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D1" w:rsidRPr="005C430B" w:rsidRDefault="007412D1" w:rsidP="00201740">
      <w:pPr>
        <w:spacing w:after="0" w:line="360" w:lineRule="auto"/>
        <w:jc w:val="both"/>
        <w:rPr>
          <w:rFonts w:ascii="Book Antiqua" w:hAnsi="Book Antiqua" w:cs="Times New Roman"/>
          <w:b/>
          <w:i/>
          <w:sz w:val="24"/>
          <w:szCs w:val="24"/>
        </w:rPr>
      </w:pPr>
      <w:r w:rsidRPr="005C430B">
        <w:rPr>
          <w:rFonts w:ascii="Book Antiqua" w:hAnsi="Book Antiqua" w:cs="Times New Roman"/>
          <w:b/>
          <w:sz w:val="24"/>
          <w:szCs w:val="24"/>
        </w:rPr>
        <w:t xml:space="preserve">Name of the journal: </w:t>
      </w:r>
      <w:r w:rsidRPr="005C430B">
        <w:rPr>
          <w:rFonts w:ascii="Book Antiqua" w:hAnsi="Book Antiqua" w:cs="Times New Roman"/>
          <w:b/>
          <w:i/>
          <w:sz w:val="24"/>
          <w:szCs w:val="24"/>
        </w:rPr>
        <w:t>World journal of Orthopedics</w:t>
      </w:r>
    </w:p>
    <w:p w:rsidR="008651AF" w:rsidRPr="005C430B" w:rsidRDefault="008651AF" w:rsidP="00201740">
      <w:pPr>
        <w:spacing w:after="0" w:line="360" w:lineRule="auto"/>
        <w:jc w:val="both"/>
        <w:rPr>
          <w:rFonts w:ascii="Book Antiqua" w:hAnsi="Book Antiqua"/>
          <w:b/>
          <w:sz w:val="24"/>
          <w:szCs w:val="24"/>
          <w:lang w:eastAsia="zh-CN"/>
        </w:rPr>
      </w:pPr>
      <w:r w:rsidRPr="005C430B">
        <w:rPr>
          <w:rFonts w:ascii="Book Antiqua" w:hAnsi="Book Antiqua"/>
          <w:b/>
          <w:sz w:val="24"/>
          <w:szCs w:val="24"/>
        </w:rPr>
        <w:t xml:space="preserve">ESPS Manuscript NO: </w:t>
      </w:r>
      <w:r w:rsidRPr="005C430B">
        <w:rPr>
          <w:rFonts w:ascii="Book Antiqua" w:hAnsi="Book Antiqua"/>
          <w:b/>
          <w:sz w:val="24"/>
          <w:szCs w:val="24"/>
          <w:lang w:eastAsia="zh-CN"/>
        </w:rPr>
        <w:t>26842</w:t>
      </w:r>
    </w:p>
    <w:p w:rsidR="007412D1" w:rsidRPr="005C430B" w:rsidRDefault="007412D1"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t>Manuscript type: REVIEW</w:t>
      </w:r>
    </w:p>
    <w:p w:rsidR="004D6D05" w:rsidRPr="005C430B" w:rsidRDefault="004D6D05" w:rsidP="00201740">
      <w:pPr>
        <w:spacing w:after="0" w:line="360" w:lineRule="auto"/>
        <w:jc w:val="both"/>
        <w:rPr>
          <w:rFonts w:ascii="Book Antiqua" w:hAnsi="Book Antiqua" w:cs="Times New Roman"/>
          <w:sz w:val="24"/>
          <w:szCs w:val="24"/>
        </w:rPr>
      </w:pPr>
    </w:p>
    <w:p w:rsidR="0071713C" w:rsidRPr="005C430B" w:rsidRDefault="008F7490" w:rsidP="00201740">
      <w:pPr>
        <w:spacing w:after="0" w:line="360" w:lineRule="auto"/>
        <w:jc w:val="both"/>
        <w:rPr>
          <w:rFonts w:ascii="Book Antiqua" w:hAnsi="Book Antiqua" w:cs="Times New Roman"/>
          <w:b/>
          <w:sz w:val="24"/>
          <w:szCs w:val="24"/>
          <w:lang w:eastAsia="zh-CN"/>
        </w:rPr>
      </w:pPr>
      <w:r w:rsidRPr="005C430B">
        <w:rPr>
          <w:rFonts w:ascii="Book Antiqua" w:hAnsi="Book Antiqua" w:cs="Times New Roman"/>
          <w:b/>
          <w:sz w:val="24"/>
          <w:szCs w:val="24"/>
        </w:rPr>
        <w:t xml:space="preserve">Management of Ewing sarcoma family of </w:t>
      </w:r>
      <w:r w:rsidR="00560E01" w:rsidRPr="005C430B">
        <w:rPr>
          <w:rFonts w:ascii="Book Antiqua" w:hAnsi="Book Antiqua" w:cs="Times New Roman"/>
          <w:b/>
          <w:sz w:val="24"/>
          <w:szCs w:val="24"/>
        </w:rPr>
        <w:t>tumors:</w:t>
      </w:r>
      <w:r w:rsidR="00201740" w:rsidRPr="005C430B">
        <w:rPr>
          <w:rFonts w:ascii="Book Antiqua" w:hAnsi="Book Antiqua" w:cs="Times New Roman"/>
          <w:b/>
          <w:sz w:val="24"/>
          <w:szCs w:val="24"/>
        </w:rPr>
        <w:t xml:space="preserve"> C</w:t>
      </w:r>
      <w:r w:rsidR="00560E01" w:rsidRPr="005C430B">
        <w:rPr>
          <w:rFonts w:ascii="Book Antiqua" w:hAnsi="Book Antiqua" w:cs="Times New Roman"/>
          <w:b/>
          <w:sz w:val="24"/>
          <w:szCs w:val="24"/>
        </w:rPr>
        <w:t>urrent scenario and</w:t>
      </w:r>
      <w:r w:rsidRPr="005C430B">
        <w:rPr>
          <w:rFonts w:ascii="Book Antiqua" w:hAnsi="Book Antiqua" w:cs="Times New Roman"/>
          <w:b/>
          <w:sz w:val="24"/>
          <w:szCs w:val="24"/>
        </w:rPr>
        <w:t xml:space="preserve"> unmet need</w:t>
      </w:r>
    </w:p>
    <w:p w:rsidR="00530060" w:rsidRPr="005C430B" w:rsidRDefault="00530060" w:rsidP="00201740">
      <w:pPr>
        <w:spacing w:after="0" w:line="360" w:lineRule="auto"/>
        <w:jc w:val="both"/>
        <w:rPr>
          <w:rFonts w:ascii="Book Antiqua" w:hAnsi="Book Antiqua" w:cs="Times New Roman"/>
          <w:b/>
          <w:sz w:val="24"/>
          <w:szCs w:val="24"/>
          <w:lang w:eastAsia="zh-CN"/>
        </w:rPr>
      </w:pPr>
    </w:p>
    <w:p w:rsidR="00694D63" w:rsidRPr="005C430B" w:rsidRDefault="00694D63"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 xml:space="preserve">Biswas </w:t>
      </w:r>
      <w:r w:rsidR="00530060" w:rsidRPr="005C430B">
        <w:rPr>
          <w:rFonts w:ascii="Book Antiqua" w:hAnsi="Book Antiqua" w:cs="Times New Roman"/>
          <w:sz w:val="24"/>
          <w:szCs w:val="24"/>
          <w:lang w:eastAsia="zh-CN"/>
        </w:rPr>
        <w:t xml:space="preserve">B </w:t>
      </w:r>
      <w:r w:rsidRPr="005C430B">
        <w:rPr>
          <w:rFonts w:ascii="Book Antiqua" w:hAnsi="Book Antiqua" w:cs="Times New Roman"/>
          <w:i/>
          <w:sz w:val="24"/>
          <w:szCs w:val="24"/>
        </w:rPr>
        <w:t>et al</w:t>
      </w:r>
      <w:r w:rsidRPr="005C430B">
        <w:rPr>
          <w:rFonts w:ascii="Book Antiqua" w:hAnsi="Book Antiqua" w:cs="Times New Roman"/>
          <w:sz w:val="24"/>
          <w:szCs w:val="24"/>
        </w:rPr>
        <w:t>. Ewing sarcoma family of tumors</w:t>
      </w:r>
    </w:p>
    <w:p w:rsidR="00D85171" w:rsidRPr="005C430B" w:rsidRDefault="00D85171" w:rsidP="00201740">
      <w:pPr>
        <w:spacing w:after="0" w:line="360" w:lineRule="auto"/>
        <w:jc w:val="both"/>
        <w:rPr>
          <w:rFonts w:ascii="Book Antiqua" w:hAnsi="Book Antiqua" w:cs="Times New Roman"/>
          <w:sz w:val="24"/>
          <w:szCs w:val="24"/>
          <w:lang w:eastAsia="zh-CN"/>
        </w:rPr>
      </w:pPr>
    </w:p>
    <w:p w:rsidR="00D85171" w:rsidRPr="005C430B" w:rsidRDefault="00D85171" w:rsidP="00201740">
      <w:pPr>
        <w:spacing w:after="0" w:line="360" w:lineRule="auto"/>
        <w:jc w:val="both"/>
        <w:rPr>
          <w:rFonts w:ascii="Book Antiqua" w:hAnsi="Book Antiqua" w:cs="Times New Roman"/>
          <w:b/>
          <w:sz w:val="24"/>
          <w:szCs w:val="24"/>
          <w:lang w:eastAsia="zh-CN"/>
        </w:rPr>
      </w:pPr>
      <w:r w:rsidRPr="005C430B">
        <w:rPr>
          <w:rFonts w:ascii="Book Antiqua" w:hAnsi="Book Antiqua" w:cs="Times New Roman"/>
          <w:b/>
          <w:sz w:val="24"/>
          <w:szCs w:val="24"/>
          <w:lang w:eastAsia="zh-CN"/>
        </w:rPr>
        <w:t>Bivas Biswas, Sameer Bakhshi</w:t>
      </w:r>
    </w:p>
    <w:p w:rsidR="00D85171" w:rsidRPr="005C430B" w:rsidRDefault="00D85171" w:rsidP="00201740">
      <w:pPr>
        <w:spacing w:after="0" w:line="360" w:lineRule="auto"/>
        <w:jc w:val="both"/>
        <w:rPr>
          <w:rFonts w:ascii="Book Antiqua" w:hAnsi="Book Antiqua" w:cs="Times New Roman"/>
          <w:sz w:val="24"/>
          <w:szCs w:val="24"/>
          <w:lang w:eastAsia="zh-CN"/>
        </w:rPr>
      </w:pPr>
    </w:p>
    <w:p w:rsidR="0050116C" w:rsidRPr="005C430B" w:rsidRDefault="00530060" w:rsidP="00201740">
      <w:pPr>
        <w:spacing w:after="0" w:line="360" w:lineRule="auto"/>
        <w:jc w:val="both"/>
        <w:rPr>
          <w:rFonts w:ascii="Book Antiqua" w:hAnsi="Book Antiqua" w:cs="Times New Roman"/>
          <w:b/>
          <w:sz w:val="24"/>
          <w:szCs w:val="24"/>
          <w:lang w:eastAsia="zh-CN"/>
        </w:rPr>
      </w:pPr>
      <w:r w:rsidRPr="005C430B">
        <w:rPr>
          <w:rFonts w:ascii="Book Antiqua" w:hAnsi="Book Antiqua" w:cs="Times New Roman"/>
          <w:b/>
          <w:sz w:val="24"/>
          <w:szCs w:val="24"/>
          <w:lang w:eastAsia="zh-CN"/>
        </w:rPr>
        <w:t xml:space="preserve">Bivas Biswas, Sameer Bakhshi, </w:t>
      </w:r>
      <w:r w:rsidR="0050116C" w:rsidRPr="005C430B">
        <w:rPr>
          <w:rFonts w:ascii="Book Antiqua" w:hAnsi="Book Antiqua" w:cs="Times New Roman"/>
          <w:sz w:val="24"/>
          <w:szCs w:val="24"/>
        </w:rPr>
        <w:t xml:space="preserve">Department of Medical Oncology, Dr.B.R.A.I.R.C.H, All India Institute of Medical Sciences, </w:t>
      </w:r>
      <w:r w:rsidRPr="005C430B">
        <w:rPr>
          <w:rFonts w:ascii="Book Antiqua" w:hAnsi="Book Antiqua" w:cs="Times New Roman"/>
          <w:sz w:val="24"/>
          <w:szCs w:val="24"/>
        </w:rPr>
        <w:t>New Delhi</w:t>
      </w:r>
      <w:r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110029, India</w:t>
      </w:r>
    </w:p>
    <w:p w:rsidR="00530060" w:rsidRPr="005C430B" w:rsidRDefault="00530060" w:rsidP="00201740">
      <w:pPr>
        <w:spacing w:after="0" w:line="360" w:lineRule="auto"/>
        <w:jc w:val="both"/>
        <w:rPr>
          <w:rFonts w:ascii="Book Antiqua" w:hAnsi="Book Antiqua" w:cs="Times New Roman"/>
          <w:b/>
          <w:sz w:val="24"/>
          <w:szCs w:val="24"/>
          <w:lang w:eastAsia="zh-CN"/>
        </w:rPr>
      </w:pPr>
    </w:p>
    <w:p w:rsidR="00783DB0" w:rsidRPr="005C430B" w:rsidRDefault="00C67418" w:rsidP="00201740">
      <w:pPr>
        <w:spacing w:after="0" w:line="360" w:lineRule="auto"/>
        <w:jc w:val="both"/>
        <w:rPr>
          <w:rFonts w:ascii="Book Antiqua" w:hAnsi="Book Antiqua" w:cs="Times New Roman"/>
          <w:sz w:val="24"/>
          <w:szCs w:val="24"/>
          <w:lang w:eastAsia="zh-CN"/>
        </w:rPr>
      </w:pPr>
      <w:r w:rsidRPr="005C430B">
        <w:rPr>
          <w:rFonts w:ascii="Book Antiqua" w:hAnsi="Book Antiqua"/>
          <w:b/>
          <w:sz w:val="24"/>
          <w:szCs w:val="24"/>
        </w:rPr>
        <w:t>Author contributions:</w:t>
      </w:r>
      <w:r w:rsidRPr="005C430B">
        <w:rPr>
          <w:rFonts w:ascii="Book Antiqua" w:hAnsi="Book Antiqua"/>
          <w:b/>
          <w:sz w:val="24"/>
          <w:szCs w:val="24"/>
          <w:lang w:eastAsia="zh-CN"/>
        </w:rPr>
        <w:t xml:space="preserve"> </w:t>
      </w:r>
      <w:r w:rsidR="00B97BEC" w:rsidRPr="005C430B">
        <w:rPr>
          <w:rFonts w:ascii="Book Antiqua" w:hAnsi="Book Antiqua" w:cs="Times New Roman"/>
          <w:sz w:val="24"/>
          <w:szCs w:val="24"/>
        </w:rPr>
        <w:t>Biswas B performed the literature search, critical analysis, wrote the paper recorded the audio core tip</w:t>
      </w:r>
      <w:r w:rsidRPr="005C430B">
        <w:rPr>
          <w:rFonts w:ascii="Book Antiqua" w:hAnsi="Book Antiqua" w:cs="Times New Roman"/>
          <w:sz w:val="24"/>
          <w:szCs w:val="24"/>
          <w:lang w:eastAsia="zh-CN"/>
        </w:rPr>
        <w:t>;</w:t>
      </w:r>
      <w:r w:rsidR="00B97BEC" w:rsidRPr="005C430B">
        <w:rPr>
          <w:rFonts w:ascii="Book Antiqua" w:hAnsi="Book Antiqua" w:cs="Times New Roman"/>
          <w:sz w:val="24"/>
          <w:szCs w:val="24"/>
        </w:rPr>
        <w:t xml:space="preserve"> Bakhshi S reviewed and edited the paper and done the critical analysis.</w:t>
      </w:r>
    </w:p>
    <w:p w:rsidR="00C67418" w:rsidRPr="005C430B" w:rsidRDefault="00C67418" w:rsidP="00201740">
      <w:pPr>
        <w:spacing w:after="0" w:line="360" w:lineRule="auto"/>
        <w:jc w:val="both"/>
        <w:rPr>
          <w:rFonts w:ascii="Book Antiqua" w:hAnsi="Book Antiqua" w:cs="Times New Roman"/>
          <w:sz w:val="24"/>
          <w:szCs w:val="24"/>
          <w:lang w:eastAsia="zh-CN"/>
        </w:rPr>
      </w:pPr>
    </w:p>
    <w:p w:rsidR="00C67418" w:rsidRPr="005C430B" w:rsidRDefault="00C67418" w:rsidP="00201740">
      <w:pPr>
        <w:spacing w:after="0" w:line="360" w:lineRule="auto"/>
        <w:jc w:val="both"/>
        <w:rPr>
          <w:rFonts w:ascii="Book Antiqua" w:hAnsi="Book Antiqua" w:cs="Garamond"/>
          <w:sz w:val="24"/>
          <w:szCs w:val="24"/>
        </w:rPr>
      </w:pPr>
      <w:r w:rsidRPr="005C430B">
        <w:rPr>
          <w:rFonts w:ascii="Book Antiqua" w:hAnsi="Book Antiqua" w:cs="TimesNewRomanPS-BoldItalicMT"/>
          <w:b/>
          <w:bCs/>
          <w:iCs/>
          <w:sz w:val="24"/>
          <w:szCs w:val="24"/>
        </w:rPr>
        <w:t>Conflict-of-interest</w:t>
      </w:r>
      <w:r w:rsidRPr="005C430B">
        <w:rPr>
          <w:rFonts w:ascii="Book Antiqua" w:hAnsi="Book Antiqua"/>
          <w:sz w:val="24"/>
          <w:szCs w:val="24"/>
        </w:rPr>
        <w:t xml:space="preserve"> </w:t>
      </w:r>
      <w:r w:rsidRPr="005C430B">
        <w:rPr>
          <w:rFonts w:ascii="Book Antiqua" w:hAnsi="Book Antiqua" w:cs="TimesNewRomanPS-BoldItalicMT"/>
          <w:b/>
          <w:bCs/>
          <w:iCs/>
          <w:sz w:val="24"/>
          <w:szCs w:val="24"/>
        </w:rPr>
        <w:t xml:space="preserve">statement: </w:t>
      </w:r>
      <w:r w:rsidRPr="005C430B">
        <w:rPr>
          <w:rFonts w:ascii="Book Antiqua" w:hAnsi="Book Antiqua" w:cs="Times New Roman"/>
          <w:sz w:val="24"/>
          <w:szCs w:val="24"/>
        </w:rPr>
        <w:t>No potential conflicts of interest to declare for each author</w:t>
      </w:r>
      <w:r w:rsidRPr="005C430B">
        <w:rPr>
          <w:rFonts w:ascii="Book Antiqua" w:hAnsi="Book Antiqua" w:cs="Times New Roman"/>
          <w:sz w:val="24"/>
          <w:szCs w:val="24"/>
          <w:lang w:eastAsia="zh-CN"/>
        </w:rPr>
        <w:t>.</w:t>
      </w:r>
    </w:p>
    <w:p w:rsidR="00C67418" w:rsidRPr="005C430B" w:rsidRDefault="00C67418" w:rsidP="00201740">
      <w:pPr>
        <w:spacing w:after="0" w:line="360" w:lineRule="auto"/>
        <w:jc w:val="both"/>
        <w:rPr>
          <w:rFonts w:ascii="Book Antiqua" w:hAnsi="Book Antiqua" w:cs="Garamond"/>
          <w:sz w:val="24"/>
          <w:szCs w:val="24"/>
        </w:rPr>
      </w:pPr>
    </w:p>
    <w:p w:rsidR="00C67418" w:rsidRPr="005C430B" w:rsidRDefault="00C67418" w:rsidP="0020174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C430B">
        <w:rPr>
          <w:rFonts w:ascii="Book Antiqua" w:hAnsi="Book Antiqua"/>
          <w:b/>
          <w:sz w:val="24"/>
          <w:szCs w:val="24"/>
        </w:rPr>
        <w:t xml:space="preserve">Open-Access: </w:t>
      </w:r>
      <w:r w:rsidRPr="005C430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C430B">
          <w:rPr>
            <w:rStyle w:val="Hyperlink"/>
            <w:rFonts w:ascii="Book Antiqua" w:hAnsi="Book Antiqua"/>
            <w:color w:val="auto"/>
            <w:sz w:val="24"/>
            <w:szCs w:val="24"/>
            <w:u w:val="none"/>
          </w:rPr>
          <w:t>http://creativecommons.org/licenses/by-nc/4.0/</w:t>
        </w:r>
      </w:hyperlink>
      <w:bookmarkEnd w:id="0"/>
      <w:bookmarkEnd w:id="1"/>
      <w:bookmarkEnd w:id="2"/>
      <w:bookmarkEnd w:id="3"/>
    </w:p>
    <w:p w:rsidR="00C67418" w:rsidRPr="005C430B" w:rsidRDefault="00C67418" w:rsidP="00201740">
      <w:pPr>
        <w:spacing w:after="0" w:line="360" w:lineRule="auto"/>
        <w:jc w:val="both"/>
        <w:rPr>
          <w:rFonts w:ascii="Book Antiqua" w:hAnsi="Book Antiqua" w:cs="Times New Roman"/>
          <w:sz w:val="24"/>
          <w:szCs w:val="24"/>
          <w:lang w:eastAsia="zh-CN"/>
        </w:rPr>
      </w:pPr>
    </w:p>
    <w:p w:rsidR="00C67418" w:rsidRPr="005C430B" w:rsidRDefault="00C67418" w:rsidP="00201740">
      <w:pPr>
        <w:spacing w:after="0" w:line="360" w:lineRule="auto"/>
        <w:jc w:val="both"/>
        <w:rPr>
          <w:rFonts w:ascii="Book Antiqua" w:eastAsia="宋体" w:hAnsi="Book Antiqua" w:cs="宋体"/>
          <w:sz w:val="24"/>
          <w:szCs w:val="24"/>
          <w:lang w:eastAsia="zh-CN"/>
        </w:rPr>
      </w:pPr>
      <w:r w:rsidRPr="005C430B">
        <w:rPr>
          <w:rFonts w:ascii="Book Antiqua" w:eastAsia="宋体" w:hAnsi="Book Antiqua" w:cs="宋体"/>
          <w:b/>
          <w:sz w:val="24"/>
          <w:szCs w:val="24"/>
        </w:rPr>
        <w:t>Manuscript source:</w:t>
      </w:r>
      <w:r w:rsidRPr="005C430B">
        <w:rPr>
          <w:rFonts w:ascii="Book Antiqua" w:eastAsia="宋体" w:hAnsi="Book Antiqua" w:cs="宋体"/>
          <w:sz w:val="24"/>
          <w:szCs w:val="24"/>
        </w:rPr>
        <w:t> Invited manuscript</w:t>
      </w:r>
    </w:p>
    <w:p w:rsidR="00C67418" w:rsidRPr="005C430B" w:rsidRDefault="00C67418" w:rsidP="00201740">
      <w:pPr>
        <w:spacing w:after="0" w:line="360" w:lineRule="auto"/>
        <w:jc w:val="both"/>
        <w:rPr>
          <w:rFonts w:ascii="Book Antiqua" w:hAnsi="Book Antiqua" w:cs="Times New Roman"/>
          <w:sz w:val="24"/>
          <w:szCs w:val="24"/>
          <w:lang w:eastAsia="zh-CN"/>
        </w:rPr>
      </w:pPr>
    </w:p>
    <w:p w:rsidR="00C67418" w:rsidRPr="005C430B" w:rsidRDefault="00C67418" w:rsidP="00201740">
      <w:pPr>
        <w:spacing w:after="0" w:line="360" w:lineRule="auto"/>
        <w:jc w:val="both"/>
        <w:rPr>
          <w:rFonts w:ascii="Book Antiqua" w:hAnsi="Book Antiqua" w:cs="Times New Roman"/>
          <w:sz w:val="24"/>
          <w:szCs w:val="24"/>
          <w:lang w:eastAsia="zh-CN"/>
        </w:rPr>
      </w:pPr>
      <w:r w:rsidRPr="005C430B">
        <w:rPr>
          <w:rFonts w:ascii="Book Antiqua" w:hAnsi="Book Antiqua"/>
          <w:b/>
          <w:sz w:val="24"/>
          <w:szCs w:val="24"/>
        </w:rPr>
        <w:lastRenderedPageBreak/>
        <w:t>Correspondence to:</w:t>
      </w:r>
      <w:r w:rsidR="00D33FBE" w:rsidRPr="005C430B">
        <w:rPr>
          <w:rFonts w:ascii="Book Antiqua" w:hAnsi="Book Antiqua" w:cs="Times New Roman"/>
          <w:sz w:val="24"/>
          <w:szCs w:val="24"/>
        </w:rPr>
        <w:t xml:space="preserve"> </w:t>
      </w:r>
      <w:r w:rsidR="00D33FBE" w:rsidRPr="005C430B">
        <w:rPr>
          <w:rFonts w:ascii="Book Antiqua" w:hAnsi="Book Antiqua" w:cs="Times New Roman"/>
          <w:b/>
          <w:sz w:val="24"/>
          <w:szCs w:val="24"/>
        </w:rPr>
        <w:t>Dr. Bivas Biswas, Assistant Professor,</w:t>
      </w:r>
      <w:r w:rsidR="00D33FBE" w:rsidRPr="005C430B">
        <w:rPr>
          <w:rFonts w:ascii="Book Antiqua" w:hAnsi="Book Antiqua" w:cs="Times New Roman"/>
          <w:sz w:val="24"/>
          <w:szCs w:val="24"/>
        </w:rPr>
        <w:t xml:space="preserve"> Department of Medical Oncology, Dr.B.R.A.I.R.C.H, All India Institute of Medical Sc</w:t>
      </w:r>
      <w:r w:rsidRPr="005C430B">
        <w:rPr>
          <w:rFonts w:ascii="Book Antiqua" w:hAnsi="Book Antiqua" w:cs="Times New Roman"/>
          <w:sz w:val="24"/>
          <w:szCs w:val="24"/>
        </w:rPr>
        <w:t>iences, Ansari Nagar, New Delhi</w:t>
      </w:r>
      <w:r w:rsidRPr="005C430B">
        <w:rPr>
          <w:rFonts w:ascii="Book Antiqua" w:hAnsi="Book Antiqua" w:cs="Times New Roman"/>
          <w:sz w:val="24"/>
          <w:szCs w:val="24"/>
          <w:lang w:eastAsia="zh-CN"/>
        </w:rPr>
        <w:t xml:space="preserve"> </w:t>
      </w:r>
      <w:r w:rsidR="00D33FBE" w:rsidRPr="005C430B">
        <w:rPr>
          <w:rFonts w:ascii="Book Antiqua" w:hAnsi="Book Antiqua" w:cs="Times New Roman"/>
          <w:sz w:val="24"/>
          <w:szCs w:val="24"/>
        </w:rPr>
        <w:t xml:space="preserve">110029, India. </w:t>
      </w:r>
      <w:hyperlink r:id="rId9" w:history="1">
        <w:r w:rsidR="00D33FBE" w:rsidRPr="005C430B">
          <w:rPr>
            <w:rStyle w:val="Hyperlink"/>
            <w:rFonts w:ascii="Book Antiqua" w:hAnsi="Book Antiqua" w:cs="Times New Roman"/>
            <w:color w:val="auto"/>
            <w:sz w:val="24"/>
            <w:szCs w:val="24"/>
            <w:u w:val="none"/>
          </w:rPr>
          <w:t>bivasbiswas@gmail.com</w:t>
        </w:r>
      </w:hyperlink>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 xml:space="preserve">Telephone: </w:t>
      </w:r>
      <w:r w:rsidRPr="005C430B">
        <w:rPr>
          <w:rFonts w:ascii="Book Antiqua" w:hAnsi="Book Antiqua" w:cs="Times New Roman"/>
          <w:sz w:val="24"/>
          <w:szCs w:val="24"/>
        </w:rPr>
        <w:t>+91-98</w:t>
      </w:r>
      <w:r w:rsidRPr="005C430B">
        <w:rPr>
          <w:rFonts w:ascii="Book Antiqua" w:hAnsi="Book Antiqua" w:cs="Times New Roman"/>
          <w:sz w:val="24"/>
          <w:szCs w:val="24"/>
          <w:lang w:eastAsia="zh-CN"/>
        </w:rPr>
        <w:t>-</w:t>
      </w:r>
      <w:r w:rsidRPr="005C430B">
        <w:rPr>
          <w:rFonts w:ascii="Book Antiqua" w:hAnsi="Book Antiqua" w:cs="Times New Roman"/>
          <w:sz w:val="24"/>
          <w:szCs w:val="24"/>
        </w:rPr>
        <w:t>30922005</w:t>
      </w:r>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Fax:</w:t>
      </w:r>
      <w:r w:rsidRPr="005C430B">
        <w:rPr>
          <w:rFonts w:ascii="Book Antiqua" w:hAnsi="Book Antiqua" w:cs="Times New Roman"/>
          <w:sz w:val="24"/>
          <w:szCs w:val="24"/>
          <w:lang w:val="en-IN"/>
        </w:rPr>
        <w:t xml:space="preserve"> +91-11-26588663</w:t>
      </w:r>
    </w:p>
    <w:p w:rsidR="00C67418" w:rsidRPr="005C430B" w:rsidRDefault="00C67418" w:rsidP="00201740">
      <w:pPr>
        <w:spacing w:after="0" w:line="360" w:lineRule="auto"/>
        <w:jc w:val="both"/>
        <w:rPr>
          <w:rFonts w:ascii="Book Antiqua" w:hAnsi="Book Antiqua" w:cs="Times New Roman"/>
          <w:sz w:val="24"/>
          <w:szCs w:val="24"/>
          <w:lang w:eastAsia="zh-CN"/>
        </w:rPr>
      </w:pPr>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 xml:space="preserve">Received: </w:t>
      </w:r>
      <w:r w:rsidR="00201740" w:rsidRPr="005C430B">
        <w:rPr>
          <w:rFonts w:ascii="Book Antiqua" w:hAnsi="Book Antiqua"/>
          <w:sz w:val="24"/>
          <w:szCs w:val="24"/>
          <w:lang w:eastAsia="zh-CN"/>
        </w:rPr>
        <w:t>April 27, 2016</w:t>
      </w:r>
      <w:r w:rsidRPr="005C430B">
        <w:rPr>
          <w:rFonts w:ascii="Book Antiqua" w:hAnsi="Book Antiqua"/>
          <w:sz w:val="24"/>
          <w:szCs w:val="24"/>
        </w:rPr>
        <w:t xml:space="preserve">  </w:t>
      </w:r>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Peer-review started:</w:t>
      </w:r>
      <w:r w:rsidR="00201740" w:rsidRPr="005C430B">
        <w:rPr>
          <w:rFonts w:ascii="Book Antiqua" w:hAnsi="Book Antiqua"/>
          <w:sz w:val="24"/>
          <w:szCs w:val="24"/>
          <w:lang w:eastAsia="zh-CN"/>
        </w:rPr>
        <w:t xml:space="preserve"> April 28, 2016</w:t>
      </w:r>
      <w:r w:rsidR="00201740" w:rsidRPr="005C430B">
        <w:rPr>
          <w:rFonts w:ascii="Book Antiqua" w:hAnsi="Book Antiqua"/>
          <w:sz w:val="24"/>
          <w:szCs w:val="24"/>
        </w:rPr>
        <w:t xml:space="preserve">  </w:t>
      </w:r>
    </w:p>
    <w:p w:rsidR="00C67418" w:rsidRPr="005C430B" w:rsidRDefault="00C67418" w:rsidP="00201740">
      <w:pPr>
        <w:spacing w:after="0" w:line="360" w:lineRule="auto"/>
        <w:jc w:val="both"/>
        <w:rPr>
          <w:rFonts w:ascii="Book Antiqua" w:hAnsi="Book Antiqua"/>
          <w:b/>
          <w:sz w:val="24"/>
          <w:szCs w:val="24"/>
          <w:lang w:eastAsia="zh-CN"/>
        </w:rPr>
      </w:pPr>
      <w:r w:rsidRPr="005C430B">
        <w:rPr>
          <w:rFonts w:ascii="Book Antiqua" w:hAnsi="Book Antiqua"/>
          <w:b/>
          <w:sz w:val="24"/>
          <w:szCs w:val="24"/>
        </w:rPr>
        <w:t>First decision:</w:t>
      </w:r>
      <w:r w:rsidR="00201740" w:rsidRPr="005C430B">
        <w:rPr>
          <w:rFonts w:ascii="Book Antiqua" w:hAnsi="Book Antiqua"/>
          <w:b/>
          <w:sz w:val="24"/>
          <w:szCs w:val="24"/>
          <w:lang w:eastAsia="zh-CN"/>
        </w:rPr>
        <w:t xml:space="preserve"> </w:t>
      </w:r>
      <w:r w:rsidR="00201740" w:rsidRPr="005C430B">
        <w:rPr>
          <w:rFonts w:ascii="Book Antiqua" w:hAnsi="Book Antiqua"/>
          <w:sz w:val="24"/>
          <w:szCs w:val="24"/>
          <w:lang w:eastAsia="zh-CN"/>
        </w:rPr>
        <w:t>June 16, 2016</w:t>
      </w:r>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Revised:</w:t>
      </w:r>
      <w:r w:rsidR="00201740" w:rsidRPr="005C430B">
        <w:rPr>
          <w:rFonts w:ascii="Book Antiqua" w:hAnsi="Book Antiqua"/>
          <w:sz w:val="24"/>
          <w:szCs w:val="24"/>
          <w:lang w:eastAsia="zh-CN"/>
        </w:rPr>
        <w:t xml:space="preserve"> June 21, 2016</w:t>
      </w:r>
      <w:r w:rsidRPr="005C430B">
        <w:rPr>
          <w:rFonts w:ascii="Book Antiqua" w:hAnsi="Book Antiqua"/>
          <w:b/>
          <w:sz w:val="24"/>
          <w:szCs w:val="24"/>
        </w:rPr>
        <w:t xml:space="preserve">  </w:t>
      </w:r>
    </w:p>
    <w:p w:rsidR="00C67418" w:rsidRPr="00400143" w:rsidRDefault="00C67418" w:rsidP="00400143">
      <w:pPr>
        <w:rPr>
          <w:rFonts w:ascii="Book Antiqua" w:hAnsi="Book Antiqua"/>
          <w:iCs/>
          <w:sz w:val="24"/>
        </w:rPr>
      </w:pPr>
      <w:r w:rsidRPr="005C430B">
        <w:rPr>
          <w:rFonts w:ascii="Book Antiqua" w:hAnsi="Book Antiqua"/>
          <w:b/>
          <w:sz w:val="24"/>
          <w:szCs w:val="24"/>
        </w:rPr>
        <w:t xml:space="preserve">Accepted:  </w:t>
      </w:r>
      <w:r w:rsidR="00400143">
        <w:rPr>
          <w:rStyle w:val="Emphasis"/>
        </w:rPr>
        <w:t>July 11</w:t>
      </w:r>
      <w:r w:rsidR="00400143" w:rsidRPr="00235CD4">
        <w:rPr>
          <w:rStyle w:val="Emphasis"/>
        </w:rPr>
        <w:t>,</w:t>
      </w:r>
      <w:r w:rsidR="00400143">
        <w:rPr>
          <w:rStyle w:val="Emphasis"/>
        </w:rPr>
        <w:t xml:space="preserve"> 2016</w:t>
      </w:r>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Article in press:</w:t>
      </w:r>
      <w:r w:rsidRPr="005C430B">
        <w:rPr>
          <w:rFonts w:ascii="Book Antiqua" w:hAnsi="Book Antiqua"/>
          <w:sz w:val="24"/>
          <w:szCs w:val="24"/>
        </w:rPr>
        <w:t xml:space="preserve">    </w:t>
      </w:r>
    </w:p>
    <w:p w:rsidR="00C67418" w:rsidRPr="005C430B" w:rsidRDefault="00C67418" w:rsidP="00201740">
      <w:pPr>
        <w:spacing w:after="0" w:line="360" w:lineRule="auto"/>
        <w:jc w:val="both"/>
        <w:rPr>
          <w:rFonts w:ascii="Book Antiqua" w:hAnsi="Book Antiqua"/>
          <w:b/>
          <w:sz w:val="24"/>
          <w:szCs w:val="24"/>
        </w:rPr>
      </w:pPr>
      <w:r w:rsidRPr="005C430B">
        <w:rPr>
          <w:rFonts w:ascii="Book Antiqua" w:hAnsi="Book Antiqua"/>
          <w:b/>
          <w:sz w:val="24"/>
          <w:szCs w:val="24"/>
        </w:rPr>
        <w:t xml:space="preserve">Published online: </w:t>
      </w:r>
    </w:p>
    <w:p w:rsidR="00390CC9" w:rsidRPr="005C430B" w:rsidRDefault="00390CC9" w:rsidP="00201740">
      <w:pPr>
        <w:spacing w:after="0" w:line="360" w:lineRule="auto"/>
        <w:jc w:val="both"/>
        <w:rPr>
          <w:rFonts w:ascii="Book Antiqua" w:hAnsi="Book Antiqua" w:cs="Times New Roman"/>
          <w:sz w:val="24"/>
          <w:szCs w:val="24"/>
          <w:lang w:val="en-IN"/>
        </w:rPr>
      </w:pPr>
    </w:p>
    <w:p w:rsidR="00201740" w:rsidRPr="005C430B" w:rsidRDefault="00201740"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br w:type="page"/>
      </w:r>
    </w:p>
    <w:p w:rsidR="009E31EF" w:rsidRPr="005C430B" w:rsidRDefault="00E179A1"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lastRenderedPageBreak/>
        <w:t>Abstract</w:t>
      </w:r>
    </w:p>
    <w:p w:rsidR="00E179A1" w:rsidRPr="005C430B" w:rsidRDefault="00E179A1"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Ewing sarcoma family tumors (ESFT) are heterogeneous, aggressive group of disease with peak incidence in adolescent and young adults. The outcome has been improved dramatically from 10% with surgery and radiotherapy alone to 65</w:t>
      </w:r>
      <w:r w:rsidR="00201740" w:rsidRPr="005C430B">
        <w:rPr>
          <w:rFonts w:ascii="Book Antiqua" w:hAnsi="Book Antiqua" w:cs="Times New Roman"/>
          <w:sz w:val="24"/>
          <w:szCs w:val="24"/>
          <w:lang w:eastAsia="zh-CN"/>
        </w:rPr>
        <w:t>%</w:t>
      </w:r>
      <w:r w:rsidRPr="005C430B">
        <w:rPr>
          <w:rFonts w:ascii="Book Antiqua" w:hAnsi="Book Antiqua" w:cs="Times New Roman"/>
          <w:sz w:val="24"/>
          <w:szCs w:val="24"/>
        </w:rPr>
        <w:t>-70% now</w:t>
      </w:r>
      <w:r w:rsidR="00733C74" w:rsidRPr="005C430B">
        <w:rPr>
          <w:rFonts w:ascii="Book Antiqua" w:hAnsi="Book Antiqua" w:cs="Times New Roman"/>
          <w:sz w:val="24"/>
          <w:szCs w:val="24"/>
        </w:rPr>
        <w:t>,</w:t>
      </w:r>
      <w:r w:rsidRPr="005C430B">
        <w:rPr>
          <w:rFonts w:ascii="Book Antiqua" w:hAnsi="Book Antiqua" w:cs="Times New Roman"/>
          <w:sz w:val="24"/>
          <w:szCs w:val="24"/>
        </w:rPr>
        <w:t xml:space="preserve"> in localized diseas</w:t>
      </w:r>
      <w:r w:rsidR="000A392C" w:rsidRPr="005C430B">
        <w:rPr>
          <w:rFonts w:ascii="Book Antiqua" w:hAnsi="Book Antiqua" w:cs="Times New Roman"/>
          <w:sz w:val="24"/>
          <w:szCs w:val="24"/>
        </w:rPr>
        <w:t>e</w:t>
      </w:r>
      <w:r w:rsidR="00733C74" w:rsidRPr="005C430B">
        <w:rPr>
          <w:rFonts w:ascii="Book Antiqua" w:hAnsi="Book Antiqua" w:cs="Times New Roman"/>
          <w:sz w:val="24"/>
          <w:szCs w:val="24"/>
        </w:rPr>
        <w:t>,</w:t>
      </w:r>
      <w:r w:rsidR="000A392C" w:rsidRPr="005C430B">
        <w:rPr>
          <w:rFonts w:ascii="Book Antiqua" w:hAnsi="Book Antiqua" w:cs="Times New Roman"/>
          <w:sz w:val="24"/>
          <w:szCs w:val="24"/>
        </w:rPr>
        <w:t xml:space="preserve"> with the introduction of </w:t>
      </w:r>
      <w:r w:rsidRPr="005C430B">
        <w:rPr>
          <w:rFonts w:ascii="Book Antiqua" w:hAnsi="Book Antiqua" w:cs="Times New Roman"/>
          <w:sz w:val="24"/>
          <w:szCs w:val="24"/>
        </w:rPr>
        <w:t>chemothera</w:t>
      </w:r>
      <w:r w:rsidR="000A392C" w:rsidRPr="005C430B">
        <w:rPr>
          <w:rFonts w:ascii="Book Antiqua" w:hAnsi="Book Antiqua" w:cs="Times New Roman"/>
          <w:sz w:val="24"/>
          <w:szCs w:val="24"/>
        </w:rPr>
        <w:t>py</w:t>
      </w:r>
      <w:r w:rsidRPr="005C430B">
        <w:rPr>
          <w:rFonts w:ascii="Book Antiqua" w:hAnsi="Book Antiqua" w:cs="Times New Roman"/>
          <w:sz w:val="24"/>
          <w:szCs w:val="24"/>
        </w:rPr>
        <w:t xml:space="preserve">. </w:t>
      </w:r>
      <w:r w:rsidR="000A392C" w:rsidRPr="005C430B">
        <w:rPr>
          <w:rFonts w:ascii="Book Antiqua" w:hAnsi="Book Antiqua" w:cs="Times New Roman"/>
          <w:sz w:val="24"/>
          <w:szCs w:val="24"/>
        </w:rPr>
        <w:t xml:space="preserve">Chemotherapy regimen evolved from single agent to multiagent with effort of many cooperative clinical trials over decades. </w:t>
      </w:r>
      <w:r w:rsidRPr="005C430B">
        <w:rPr>
          <w:rFonts w:ascii="Book Antiqua" w:hAnsi="Book Antiqua" w:cs="Times New Roman"/>
          <w:sz w:val="24"/>
          <w:szCs w:val="24"/>
        </w:rPr>
        <w:t xml:space="preserve">The usual treatment protocol include introduction of multi-agent chemotherapy in neoadjuvant setting to eradicate systemic disease with timely incorporation of surgery and/or radiotherapy as local treatment modality and further adjuvant chemotherapy to prevent recurrence. </w:t>
      </w:r>
      <w:r w:rsidR="000A392C" w:rsidRPr="005C430B">
        <w:rPr>
          <w:rFonts w:ascii="Book Antiqua" w:hAnsi="Book Antiqua" w:cs="Times New Roman"/>
          <w:sz w:val="24"/>
          <w:szCs w:val="24"/>
        </w:rPr>
        <w:t xml:space="preserve">Risk adapted chemotherapy in neoadjuvant and adjuvant setting along with radiotherapy has been used in many international collaborative trials and has resulted in improved outcome, more so in patients with localized disease. The role of high dose chemotherapy with stem cell rescue is still debatable. </w:t>
      </w:r>
      <w:r w:rsidR="00733C74" w:rsidRPr="005C430B">
        <w:rPr>
          <w:rFonts w:ascii="Book Antiqua" w:hAnsi="Book Antiqua" w:cs="Times New Roman"/>
          <w:sz w:val="24"/>
          <w:szCs w:val="24"/>
        </w:rPr>
        <w:t>T</w:t>
      </w:r>
      <w:r w:rsidR="000A392C" w:rsidRPr="005C430B">
        <w:rPr>
          <w:rFonts w:ascii="Book Antiqua" w:hAnsi="Book Antiqua" w:cs="Times New Roman"/>
          <w:sz w:val="24"/>
          <w:szCs w:val="24"/>
        </w:rPr>
        <w:t>he outcome of patients with metastatic disease is dismal with long term outcome ranges from 20%-40% depending on the sites of metastasis and intensity of treatment. There is a huge unmet need to improve outcome further, more so in metastatic setting. Novel therapy targeting the molecular pathways and pathogenesis</w:t>
      </w:r>
      <w:r w:rsidR="00417598" w:rsidRPr="005C430B">
        <w:rPr>
          <w:rFonts w:ascii="Book Antiqua" w:hAnsi="Book Antiqua" w:cs="Times New Roman"/>
          <w:sz w:val="24"/>
          <w:szCs w:val="24"/>
        </w:rPr>
        <w:t xml:space="preserve"> of ESFT is very much required. Here we have discussed the current standard of management </w:t>
      </w:r>
      <w:r w:rsidR="009F6A0D" w:rsidRPr="005C430B">
        <w:rPr>
          <w:rFonts w:ascii="Book Antiqua" w:hAnsi="Book Antiqua" w:cs="Times New Roman"/>
          <w:sz w:val="24"/>
          <w:szCs w:val="24"/>
        </w:rPr>
        <w:t>in patients with ESFT, investigational targeted or</w:t>
      </w:r>
      <w:r w:rsidR="00417598" w:rsidRPr="005C430B">
        <w:rPr>
          <w:rFonts w:ascii="Book Antiqua" w:hAnsi="Book Antiqua" w:cs="Times New Roman"/>
          <w:sz w:val="24"/>
          <w:szCs w:val="24"/>
        </w:rPr>
        <w:t xml:space="preserve"> novel therapies</w:t>
      </w:r>
      <w:r w:rsidR="009F6A0D" w:rsidRPr="005C430B">
        <w:rPr>
          <w:rFonts w:ascii="Book Antiqua" w:hAnsi="Book Antiqua" w:cs="Times New Roman"/>
          <w:sz w:val="24"/>
          <w:szCs w:val="24"/>
        </w:rPr>
        <w:t xml:space="preserve"> </w:t>
      </w:r>
      <w:r w:rsidR="00417598" w:rsidRPr="005C430B">
        <w:rPr>
          <w:rFonts w:ascii="Book Antiqua" w:hAnsi="Book Antiqua" w:cs="Times New Roman"/>
          <w:sz w:val="24"/>
          <w:szCs w:val="24"/>
        </w:rPr>
        <w:t xml:space="preserve">along with future </w:t>
      </w:r>
      <w:r w:rsidR="009F6A0D" w:rsidRPr="005C430B">
        <w:rPr>
          <w:rFonts w:ascii="Book Antiqua" w:hAnsi="Book Antiqua" w:cs="Times New Roman"/>
          <w:sz w:val="24"/>
          <w:szCs w:val="24"/>
        </w:rPr>
        <w:t xml:space="preserve">promises. </w:t>
      </w:r>
    </w:p>
    <w:p w:rsidR="00201740" w:rsidRPr="005C430B" w:rsidRDefault="00201740" w:rsidP="00201740">
      <w:pPr>
        <w:spacing w:after="0" w:line="360" w:lineRule="auto"/>
        <w:jc w:val="both"/>
        <w:rPr>
          <w:rFonts w:ascii="Book Antiqua" w:hAnsi="Book Antiqua" w:cs="Times New Roman"/>
          <w:sz w:val="24"/>
          <w:szCs w:val="24"/>
          <w:lang w:eastAsia="zh-CN"/>
        </w:rPr>
      </w:pPr>
    </w:p>
    <w:p w:rsidR="00895D89" w:rsidRPr="005C430B" w:rsidRDefault="00895D89"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b/>
          <w:sz w:val="24"/>
          <w:szCs w:val="24"/>
        </w:rPr>
        <w:t>Key words</w:t>
      </w:r>
      <w:r w:rsidR="003D3669" w:rsidRPr="005C430B">
        <w:rPr>
          <w:rFonts w:ascii="Book Antiqua" w:hAnsi="Book Antiqua" w:cs="Times New Roman"/>
          <w:sz w:val="24"/>
          <w:szCs w:val="24"/>
        </w:rPr>
        <w:t xml:space="preserve">: Ewing sarcoma; </w:t>
      </w:r>
      <w:r w:rsidR="00201740" w:rsidRPr="005C430B">
        <w:rPr>
          <w:rFonts w:ascii="Book Antiqua" w:hAnsi="Book Antiqua" w:cs="Times New Roman"/>
          <w:sz w:val="24"/>
          <w:szCs w:val="24"/>
        </w:rPr>
        <w:t>O</w:t>
      </w:r>
      <w:r w:rsidR="003D3669" w:rsidRPr="005C430B">
        <w:rPr>
          <w:rFonts w:ascii="Book Antiqua" w:hAnsi="Book Antiqua" w:cs="Times New Roman"/>
          <w:sz w:val="24"/>
          <w:szCs w:val="24"/>
        </w:rPr>
        <w:t xml:space="preserve">utcome; </w:t>
      </w:r>
      <w:r w:rsidR="00201740" w:rsidRPr="005C430B">
        <w:rPr>
          <w:rFonts w:ascii="Book Antiqua" w:hAnsi="Book Antiqua" w:cs="Times New Roman"/>
          <w:sz w:val="24"/>
          <w:szCs w:val="24"/>
        </w:rPr>
        <w:t>R</w:t>
      </w:r>
      <w:r w:rsidR="003D3669" w:rsidRPr="005C430B">
        <w:rPr>
          <w:rFonts w:ascii="Book Antiqua" w:hAnsi="Book Antiqua" w:cs="Times New Roman"/>
          <w:sz w:val="24"/>
          <w:szCs w:val="24"/>
        </w:rPr>
        <w:t xml:space="preserve">eview; </w:t>
      </w:r>
      <w:r w:rsidR="00201740" w:rsidRPr="005C430B">
        <w:rPr>
          <w:rFonts w:ascii="Book Antiqua" w:hAnsi="Book Antiqua" w:cs="Times New Roman"/>
          <w:sz w:val="24"/>
          <w:szCs w:val="24"/>
        </w:rPr>
        <w:t>C</w:t>
      </w:r>
      <w:r w:rsidR="003D3669" w:rsidRPr="005C430B">
        <w:rPr>
          <w:rFonts w:ascii="Book Antiqua" w:hAnsi="Book Antiqua" w:cs="Times New Roman"/>
          <w:sz w:val="24"/>
          <w:szCs w:val="24"/>
        </w:rPr>
        <w:t xml:space="preserve">hemotherapy; </w:t>
      </w:r>
      <w:r w:rsidR="00201740" w:rsidRPr="005C430B">
        <w:rPr>
          <w:rFonts w:ascii="Book Antiqua" w:hAnsi="Book Antiqua" w:cs="Times New Roman"/>
          <w:sz w:val="24"/>
          <w:szCs w:val="24"/>
        </w:rPr>
        <w:t>P</w:t>
      </w:r>
      <w:r w:rsidR="003D3669" w:rsidRPr="005C430B">
        <w:rPr>
          <w:rFonts w:ascii="Book Antiqua" w:hAnsi="Book Antiqua" w:cs="Times New Roman"/>
          <w:sz w:val="24"/>
          <w:szCs w:val="24"/>
        </w:rPr>
        <w:t>rognostic factors;</w:t>
      </w:r>
      <w:r w:rsidRPr="005C430B">
        <w:rPr>
          <w:rFonts w:ascii="Book Antiqua" w:hAnsi="Book Antiqua" w:cs="Times New Roman"/>
          <w:sz w:val="24"/>
          <w:szCs w:val="24"/>
        </w:rPr>
        <w:t xml:space="preserve"> </w:t>
      </w:r>
      <w:r w:rsidR="00201740" w:rsidRPr="005C430B">
        <w:rPr>
          <w:rFonts w:ascii="Book Antiqua" w:hAnsi="Book Antiqua" w:cs="Times New Roman"/>
          <w:sz w:val="24"/>
          <w:szCs w:val="24"/>
        </w:rPr>
        <w:t>T</w:t>
      </w:r>
      <w:r w:rsidRPr="005C430B">
        <w:rPr>
          <w:rFonts w:ascii="Book Antiqua" w:hAnsi="Book Antiqua" w:cs="Times New Roman"/>
          <w:sz w:val="24"/>
          <w:szCs w:val="24"/>
        </w:rPr>
        <w:t>argeted therapy</w:t>
      </w:r>
      <w:r w:rsidR="003D3669" w:rsidRPr="005C430B">
        <w:rPr>
          <w:rFonts w:ascii="Book Antiqua" w:hAnsi="Book Antiqua" w:cs="Times New Roman"/>
          <w:sz w:val="24"/>
          <w:szCs w:val="24"/>
        </w:rPr>
        <w:t>;</w:t>
      </w:r>
      <w:r w:rsidR="00201740" w:rsidRPr="005C430B">
        <w:rPr>
          <w:rFonts w:ascii="Book Antiqua" w:hAnsi="Book Antiqua" w:cs="Times New Roman"/>
          <w:sz w:val="24"/>
          <w:szCs w:val="24"/>
        </w:rPr>
        <w:t xml:space="preserve"> Radiotherapy</w:t>
      </w:r>
    </w:p>
    <w:p w:rsidR="00201740" w:rsidRPr="005C430B" w:rsidRDefault="00201740" w:rsidP="00201740">
      <w:pPr>
        <w:spacing w:after="0" w:line="360" w:lineRule="auto"/>
        <w:jc w:val="both"/>
        <w:rPr>
          <w:rFonts w:ascii="Book Antiqua" w:hAnsi="Book Antiqua" w:cs="Times New Roman"/>
          <w:sz w:val="24"/>
          <w:szCs w:val="24"/>
          <w:lang w:eastAsia="zh-CN"/>
        </w:rPr>
      </w:pPr>
    </w:p>
    <w:p w:rsidR="00201740" w:rsidRPr="005C430B" w:rsidRDefault="00201740" w:rsidP="00201740">
      <w:pPr>
        <w:spacing w:after="0" w:line="360" w:lineRule="auto"/>
        <w:jc w:val="both"/>
        <w:rPr>
          <w:rFonts w:ascii="Book Antiqua" w:hAnsi="Book Antiqua" w:cs="Arial"/>
          <w:sz w:val="24"/>
          <w:szCs w:val="24"/>
        </w:rPr>
      </w:pPr>
      <w:r w:rsidRPr="005C430B">
        <w:rPr>
          <w:rFonts w:ascii="Book Antiqua" w:hAnsi="Book Antiqua"/>
          <w:b/>
          <w:sz w:val="24"/>
          <w:szCs w:val="24"/>
        </w:rPr>
        <w:t xml:space="preserve">© </w:t>
      </w:r>
      <w:r w:rsidRPr="005C430B">
        <w:rPr>
          <w:rFonts w:ascii="Book Antiqua" w:hAnsi="Book Antiqua" w:cs="Arial"/>
          <w:b/>
          <w:sz w:val="24"/>
          <w:szCs w:val="24"/>
        </w:rPr>
        <w:t>The Author(s) 2016.</w:t>
      </w:r>
      <w:r w:rsidRPr="005C430B">
        <w:rPr>
          <w:rFonts w:ascii="Book Antiqua" w:hAnsi="Book Antiqua" w:cs="Arial"/>
          <w:sz w:val="24"/>
          <w:szCs w:val="24"/>
        </w:rPr>
        <w:t xml:space="preserve"> Published by Baishideng Publishing Group Inc. All rights reserved.</w:t>
      </w:r>
    </w:p>
    <w:p w:rsidR="00201740" w:rsidRPr="005C430B" w:rsidRDefault="00201740" w:rsidP="00201740">
      <w:pPr>
        <w:spacing w:after="0" w:line="360" w:lineRule="auto"/>
        <w:jc w:val="both"/>
        <w:rPr>
          <w:rFonts w:ascii="Book Antiqua" w:hAnsi="Book Antiqua" w:cs="Times New Roman"/>
          <w:sz w:val="24"/>
          <w:szCs w:val="24"/>
          <w:lang w:eastAsia="zh-CN"/>
        </w:rPr>
      </w:pPr>
    </w:p>
    <w:p w:rsidR="003617F0" w:rsidRPr="005C430B" w:rsidRDefault="003617F0" w:rsidP="00201740">
      <w:pPr>
        <w:spacing w:after="0" w:line="360" w:lineRule="auto"/>
        <w:jc w:val="both"/>
        <w:rPr>
          <w:rFonts w:ascii="Book Antiqua" w:hAnsi="Book Antiqua" w:cs="Times New Roman"/>
          <w:sz w:val="24"/>
          <w:szCs w:val="24"/>
        </w:rPr>
      </w:pPr>
      <w:r w:rsidRPr="005C430B">
        <w:rPr>
          <w:rFonts w:ascii="Book Antiqua" w:hAnsi="Book Antiqua" w:cs="Times New Roman"/>
          <w:b/>
          <w:sz w:val="24"/>
          <w:szCs w:val="24"/>
        </w:rPr>
        <w:t>Core tip</w:t>
      </w:r>
      <w:r w:rsidRPr="005C430B">
        <w:rPr>
          <w:rFonts w:ascii="Book Antiqua" w:hAnsi="Book Antiqua" w:cs="Times New Roman"/>
          <w:sz w:val="24"/>
          <w:szCs w:val="24"/>
        </w:rPr>
        <w:t xml:space="preserve">: </w:t>
      </w:r>
      <w:r w:rsidR="00782F79" w:rsidRPr="005C430B">
        <w:rPr>
          <w:rFonts w:ascii="Book Antiqua" w:hAnsi="Book Antiqua" w:cs="Times New Roman"/>
          <w:sz w:val="24"/>
          <w:szCs w:val="24"/>
        </w:rPr>
        <w:t xml:space="preserve">Ewing sarcoma family tumors are a heterogeneous and aggressive group of disease of bone and soft tissue in childhood. The outcome has improved with introduction of chemotherapy and multimodality </w:t>
      </w:r>
      <w:r w:rsidR="001D546F" w:rsidRPr="005C430B">
        <w:rPr>
          <w:rFonts w:ascii="Book Antiqua" w:hAnsi="Book Antiqua" w:cs="Times New Roman"/>
          <w:sz w:val="24"/>
          <w:szCs w:val="24"/>
        </w:rPr>
        <w:t xml:space="preserve">management. But, the prognosis of </w:t>
      </w:r>
      <w:r w:rsidR="001D546F" w:rsidRPr="005C430B">
        <w:rPr>
          <w:rFonts w:ascii="Book Antiqua" w:hAnsi="Book Antiqua" w:cs="Times New Roman"/>
          <w:sz w:val="24"/>
          <w:szCs w:val="24"/>
        </w:rPr>
        <w:lastRenderedPageBreak/>
        <w:t xml:space="preserve">patients with metastatic disease is dismal. Novel targeted therapies are investigation and may offer some hope in future, </w:t>
      </w:r>
      <w:r w:rsidR="007A34BD" w:rsidRPr="005C430B">
        <w:rPr>
          <w:rFonts w:ascii="Book Antiqua" w:hAnsi="Book Antiqua" w:cs="Times New Roman"/>
          <w:sz w:val="24"/>
          <w:szCs w:val="24"/>
        </w:rPr>
        <w:t xml:space="preserve">especially in metastatic setting. </w:t>
      </w:r>
      <w:r w:rsidR="002673CB" w:rsidRPr="005C430B">
        <w:rPr>
          <w:rFonts w:ascii="Book Antiqua" w:hAnsi="Book Antiqua" w:cs="Times New Roman"/>
          <w:sz w:val="24"/>
          <w:szCs w:val="24"/>
        </w:rPr>
        <w:t>In this review</w:t>
      </w:r>
      <w:r w:rsidR="00782F79" w:rsidRPr="005C430B">
        <w:rPr>
          <w:rFonts w:ascii="Book Antiqua" w:hAnsi="Book Antiqua" w:cs="Times New Roman"/>
          <w:sz w:val="24"/>
          <w:szCs w:val="24"/>
        </w:rPr>
        <w:t xml:space="preserve"> we have discussed</w:t>
      </w:r>
      <w:r w:rsidR="002673CB" w:rsidRPr="005C430B">
        <w:rPr>
          <w:rFonts w:ascii="Book Antiqua" w:hAnsi="Book Antiqua" w:cs="Times New Roman"/>
          <w:sz w:val="24"/>
          <w:szCs w:val="24"/>
        </w:rPr>
        <w:t xml:space="preserve"> </w:t>
      </w:r>
      <w:r w:rsidR="0081128E" w:rsidRPr="005C430B">
        <w:rPr>
          <w:rFonts w:ascii="Book Antiqua" w:hAnsi="Book Antiqua" w:cs="Times New Roman"/>
          <w:sz w:val="24"/>
          <w:szCs w:val="24"/>
        </w:rPr>
        <w:t xml:space="preserve">current treatment modality, prognostic factors, ongoing trials and novel investigational therapies. </w:t>
      </w:r>
    </w:p>
    <w:p w:rsidR="00201740" w:rsidRPr="005C430B" w:rsidRDefault="00201740" w:rsidP="00201740">
      <w:pPr>
        <w:spacing w:after="0" w:line="360" w:lineRule="auto"/>
        <w:jc w:val="both"/>
        <w:rPr>
          <w:rFonts w:ascii="Book Antiqua" w:hAnsi="Book Antiqua" w:cs="Times New Roman"/>
          <w:sz w:val="24"/>
          <w:szCs w:val="24"/>
          <w:lang w:eastAsia="zh-CN"/>
        </w:rPr>
      </w:pPr>
    </w:p>
    <w:p w:rsidR="00201740" w:rsidRPr="005C430B" w:rsidRDefault="00201740"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lang w:eastAsia="zh-CN"/>
        </w:rPr>
        <w:t>Biswas B, Bakhshi S.</w:t>
      </w:r>
      <w:r w:rsidRPr="005C430B">
        <w:rPr>
          <w:rFonts w:ascii="Book Antiqua" w:hAnsi="Book Antiqua" w:cs="Times New Roman"/>
          <w:sz w:val="24"/>
          <w:szCs w:val="24"/>
        </w:rPr>
        <w:t xml:space="preserve"> Management of Ewing sarcoma family of tumors: Current scenario and unmet need</w:t>
      </w:r>
      <w:r w:rsidRPr="005C430B">
        <w:rPr>
          <w:rFonts w:ascii="Book Antiqua" w:hAnsi="Book Antiqua" w:cs="Times New Roman"/>
          <w:sz w:val="24"/>
          <w:szCs w:val="24"/>
          <w:lang w:eastAsia="zh-CN"/>
        </w:rPr>
        <w:t>.</w:t>
      </w:r>
      <w:r w:rsidRPr="005C430B">
        <w:rPr>
          <w:rFonts w:ascii="Book Antiqua" w:hAnsi="Book Antiqua"/>
          <w:i/>
          <w:iCs/>
          <w:sz w:val="24"/>
          <w:szCs w:val="24"/>
        </w:rPr>
        <w:t xml:space="preserve"> World J Orthop</w:t>
      </w:r>
      <w:r w:rsidRPr="005C430B">
        <w:rPr>
          <w:rFonts w:ascii="Book Antiqua" w:hAnsi="Book Antiqua"/>
          <w:i/>
          <w:iCs/>
          <w:sz w:val="24"/>
          <w:szCs w:val="24"/>
          <w:lang w:eastAsia="zh-CN"/>
        </w:rPr>
        <w:t xml:space="preserve"> </w:t>
      </w:r>
      <w:r w:rsidRPr="005C430B">
        <w:rPr>
          <w:rFonts w:ascii="Book Antiqua" w:hAnsi="Book Antiqua"/>
          <w:iCs/>
          <w:sz w:val="24"/>
          <w:szCs w:val="24"/>
          <w:lang w:eastAsia="zh-CN"/>
        </w:rPr>
        <w:t>2016; In press</w:t>
      </w:r>
    </w:p>
    <w:p w:rsidR="00607C63" w:rsidRPr="005C430B" w:rsidRDefault="00607C63" w:rsidP="00201740">
      <w:pPr>
        <w:spacing w:after="0" w:line="360" w:lineRule="auto"/>
        <w:jc w:val="both"/>
        <w:rPr>
          <w:rFonts w:ascii="Book Antiqua" w:hAnsi="Book Antiqua" w:cs="Times New Roman"/>
          <w:b/>
          <w:sz w:val="24"/>
          <w:szCs w:val="24"/>
        </w:rPr>
      </w:pPr>
    </w:p>
    <w:p w:rsidR="00B82DDA" w:rsidRPr="005C430B" w:rsidRDefault="00B82DDA">
      <w:pPr>
        <w:rPr>
          <w:rFonts w:ascii="Book Antiqua" w:hAnsi="Book Antiqua" w:cs="Times New Roman"/>
          <w:b/>
          <w:sz w:val="24"/>
          <w:szCs w:val="24"/>
        </w:rPr>
      </w:pPr>
      <w:r w:rsidRPr="005C430B">
        <w:rPr>
          <w:rFonts w:ascii="Book Antiqua" w:hAnsi="Book Antiqua" w:cs="Times New Roman"/>
          <w:b/>
          <w:sz w:val="24"/>
          <w:szCs w:val="24"/>
        </w:rPr>
        <w:br w:type="page"/>
      </w:r>
    </w:p>
    <w:p w:rsidR="00C02D77" w:rsidRPr="005C430B" w:rsidRDefault="00285AA3"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lastRenderedPageBreak/>
        <w:t>INTRODUCTION</w:t>
      </w:r>
    </w:p>
    <w:p w:rsidR="007717D5" w:rsidRPr="005C430B" w:rsidRDefault="006B3232" w:rsidP="00201740">
      <w:pPr>
        <w:spacing w:after="0" w:line="360" w:lineRule="auto"/>
        <w:jc w:val="both"/>
        <w:rPr>
          <w:rFonts w:ascii="Book Antiqua" w:hAnsi="Book Antiqua" w:cs="Times New Roman"/>
          <w:sz w:val="24"/>
          <w:szCs w:val="24"/>
        </w:rPr>
      </w:pPr>
      <w:r w:rsidRPr="005C430B">
        <w:rPr>
          <w:rFonts w:ascii="Book Antiqua" w:hAnsi="Book Antiqua" w:cs="Times New Roman"/>
          <w:sz w:val="24"/>
          <w:szCs w:val="24"/>
        </w:rPr>
        <w:t xml:space="preserve">Ewing sarcoma families of tumors (ESFT) are a heterogeneous and aggressive group of </w:t>
      </w:r>
      <w:r w:rsidR="00244667" w:rsidRPr="005C430B">
        <w:rPr>
          <w:rFonts w:ascii="Book Antiqua" w:hAnsi="Book Antiqua" w:cs="Times New Roman"/>
          <w:sz w:val="24"/>
          <w:szCs w:val="24"/>
        </w:rPr>
        <w:t>disease</w:t>
      </w:r>
      <w:r w:rsidR="00C76052" w:rsidRPr="005C430B">
        <w:rPr>
          <w:rFonts w:ascii="Book Antiqua" w:hAnsi="Book Antiqua" w:cs="Times New Roman"/>
          <w:sz w:val="24"/>
          <w:szCs w:val="24"/>
        </w:rPr>
        <w:t xml:space="preserve"> of bone and soft tissue</w:t>
      </w:r>
      <w:r w:rsidR="00244667" w:rsidRPr="005C430B">
        <w:rPr>
          <w:rFonts w:ascii="Book Antiqua" w:hAnsi="Book Antiqua" w:cs="Times New Roman"/>
          <w:sz w:val="24"/>
          <w:szCs w:val="24"/>
        </w:rPr>
        <w:t xml:space="preserve"> that includes classical Ewing sarcoma, peripheral primitive neuroectodermal tumor and Askin</w:t>
      </w:r>
      <w:r w:rsidR="00516082" w:rsidRPr="005C430B">
        <w:rPr>
          <w:rFonts w:ascii="Book Antiqua" w:hAnsi="Book Antiqua" w:cs="Times New Roman"/>
          <w:sz w:val="24"/>
          <w:szCs w:val="24"/>
        </w:rPr>
        <w:t xml:space="preserve"> tumor. </w:t>
      </w:r>
      <w:r w:rsidR="00711131" w:rsidRPr="005C430B">
        <w:rPr>
          <w:rFonts w:ascii="Book Antiqua" w:hAnsi="Book Antiqua" w:cs="Times New Roman"/>
          <w:sz w:val="24"/>
          <w:szCs w:val="24"/>
        </w:rPr>
        <w:t>It is the 2</w:t>
      </w:r>
      <w:r w:rsidR="00711131" w:rsidRPr="005C430B">
        <w:rPr>
          <w:rFonts w:ascii="Book Antiqua" w:hAnsi="Book Antiqua" w:cs="Times New Roman"/>
          <w:sz w:val="24"/>
          <w:szCs w:val="24"/>
          <w:vertAlign w:val="superscript"/>
        </w:rPr>
        <w:t>nd</w:t>
      </w:r>
      <w:r w:rsidR="00711131" w:rsidRPr="005C430B">
        <w:rPr>
          <w:rFonts w:ascii="Book Antiqua" w:hAnsi="Book Antiqua" w:cs="Times New Roman"/>
          <w:sz w:val="24"/>
          <w:szCs w:val="24"/>
        </w:rPr>
        <w:t xml:space="preserve"> most common primary malignant bone</w:t>
      </w:r>
      <w:r w:rsidR="00B82DDA" w:rsidRPr="005C430B">
        <w:rPr>
          <w:rFonts w:ascii="Book Antiqua" w:hAnsi="Book Antiqua" w:cs="Times New Roman"/>
          <w:sz w:val="24"/>
          <w:szCs w:val="24"/>
        </w:rPr>
        <w:t xml:space="preserve"> tumor (34%) after osteosarcoma</w:t>
      </w:r>
      <w:r w:rsidR="00795A28" w:rsidRPr="005C430B">
        <w:rPr>
          <w:rFonts w:ascii="Book Antiqua" w:hAnsi="Book Antiqua" w:cs="Times New Roman"/>
          <w:sz w:val="24"/>
          <w:szCs w:val="24"/>
          <w:vertAlign w:val="superscript"/>
        </w:rPr>
        <w:t>[1]</w:t>
      </w:r>
      <w:r w:rsidR="00DC0B67" w:rsidRPr="005C430B">
        <w:rPr>
          <w:rFonts w:ascii="Book Antiqua" w:hAnsi="Book Antiqua" w:cs="Times New Roman"/>
          <w:sz w:val="24"/>
          <w:szCs w:val="24"/>
        </w:rPr>
        <w:t xml:space="preserve"> with peak</w:t>
      </w:r>
      <w:r w:rsidR="00711131" w:rsidRPr="005C430B">
        <w:rPr>
          <w:rFonts w:ascii="Book Antiqua" w:hAnsi="Book Antiqua" w:cs="Times New Roman"/>
          <w:sz w:val="24"/>
          <w:szCs w:val="24"/>
        </w:rPr>
        <w:t xml:space="preserve"> in 2</w:t>
      </w:r>
      <w:r w:rsidR="00711131" w:rsidRPr="005C430B">
        <w:rPr>
          <w:rFonts w:ascii="Book Antiqua" w:hAnsi="Book Antiqua" w:cs="Times New Roman"/>
          <w:sz w:val="24"/>
          <w:szCs w:val="24"/>
          <w:vertAlign w:val="superscript"/>
        </w:rPr>
        <w:t>nd</w:t>
      </w:r>
      <w:r w:rsidR="00711131" w:rsidRPr="005C430B">
        <w:rPr>
          <w:rFonts w:ascii="Book Antiqua" w:hAnsi="Book Antiqua" w:cs="Times New Roman"/>
          <w:sz w:val="24"/>
          <w:szCs w:val="24"/>
        </w:rPr>
        <w:t xml:space="preserve"> decade of life, though approximately 20% to 30% of all cases occur in 1</w:t>
      </w:r>
      <w:r w:rsidR="00711131" w:rsidRPr="005C430B">
        <w:rPr>
          <w:rFonts w:ascii="Book Antiqua" w:hAnsi="Book Antiqua" w:cs="Times New Roman"/>
          <w:sz w:val="24"/>
          <w:szCs w:val="24"/>
          <w:vertAlign w:val="superscript"/>
        </w:rPr>
        <w:t>st</w:t>
      </w:r>
      <w:r w:rsidR="00711131" w:rsidRPr="005C430B">
        <w:rPr>
          <w:rFonts w:ascii="Book Antiqua" w:hAnsi="Book Antiqua" w:cs="Times New Roman"/>
          <w:sz w:val="24"/>
          <w:szCs w:val="24"/>
        </w:rPr>
        <w:t xml:space="preserve"> decade.</w:t>
      </w:r>
      <w:r w:rsidR="009647EB" w:rsidRPr="005C430B">
        <w:rPr>
          <w:rFonts w:ascii="Book Antiqua" w:hAnsi="Book Antiqua" w:cs="Times New Roman"/>
          <w:sz w:val="24"/>
          <w:szCs w:val="24"/>
        </w:rPr>
        <w:t xml:space="preserve"> Over the last four decades, the survival has been improved from 10% with radiotherapy alone to near 70%</w:t>
      </w:r>
      <w:r w:rsidR="00C2552D" w:rsidRPr="005C430B">
        <w:rPr>
          <w:rFonts w:ascii="Book Antiqua" w:hAnsi="Book Antiqua" w:cs="Times New Roman"/>
          <w:sz w:val="24"/>
          <w:szCs w:val="24"/>
        </w:rPr>
        <w:t>, in localized disease,</w:t>
      </w:r>
      <w:r w:rsidR="009647EB" w:rsidRPr="005C430B">
        <w:rPr>
          <w:rFonts w:ascii="Book Antiqua" w:hAnsi="Book Antiqua" w:cs="Times New Roman"/>
          <w:sz w:val="24"/>
          <w:szCs w:val="24"/>
        </w:rPr>
        <w:t xml:space="preserve"> with the introduction of chemotherapy and multimodality approach. This improvement in outcome has been achieved after many international collaborative clinical trials </w:t>
      </w:r>
      <w:r w:rsidR="00C76052" w:rsidRPr="005C430B">
        <w:rPr>
          <w:rFonts w:ascii="Book Antiqua" w:hAnsi="Book Antiqua" w:cs="Times New Roman"/>
          <w:sz w:val="24"/>
          <w:szCs w:val="24"/>
        </w:rPr>
        <w:t xml:space="preserve">and close liaison between orthopedic surgeons, adult and pediatric oncologists, radiation oncologist, pediatric surgeons, biomedical engineers, pathologists and radiologists as well as invention of better diagnostic imaging, radiotherapy techniques and prosthesis. </w:t>
      </w:r>
    </w:p>
    <w:p w:rsidR="005862E7" w:rsidRPr="005C430B" w:rsidRDefault="00C2552D" w:rsidP="00B82DDA">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With the improvement in outcome and more number of long-term survivors, the focus is now on</w:t>
      </w:r>
      <w:r w:rsidR="00D732F6" w:rsidRPr="005C430B">
        <w:rPr>
          <w:rFonts w:ascii="Book Antiqua" w:hAnsi="Book Antiqua" w:cs="Times New Roman"/>
          <w:sz w:val="24"/>
          <w:szCs w:val="24"/>
        </w:rPr>
        <w:t xml:space="preserve"> to minimize</w:t>
      </w:r>
      <w:r w:rsidR="00B82DDA" w:rsidRPr="005C430B">
        <w:rPr>
          <w:rFonts w:ascii="Book Antiqua" w:hAnsi="Book Antiqua" w:cs="Times New Roman"/>
          <w:sz w:val="24"/>
          <w:szCs w:val="24"/>
        </w:rPr>
        <w:t xml:space="preserve"> toxicities</w:t>
      </w:r>
      <w:r w:rsidR="00C503DE">
        <w:rPr>
          <w:rFonts w:ascii="Book Antiqua" w:hAnsi="Book Antiqua" w:cs="Times New Roman" w:hint="eastAsia"/>
          <w:sz w:val="24"/>
          <w:szCs w:val="24"/>
          <w:lang w:eastAsia="zh-CN"/>
        </w:rPr>
        <w:t>, such as</w:t>
      </w:r>
      <w:r w:rsidRPr="005C430B">
        <w:rPr>
          <w:rFonts w:ascii="Book Antiqua" w:hAnsi="Book Antiqua" w:cs="Times New Roman"/>
          <w:sz w:val="24"/>
          <w:szCs w:val="24"/>
        </w:rPr>
        <w:t xml:space="preserve"> chemotherapy related, radiotherapy related and surgery related long-term complication without compromising the oncological outcomes. The multidisciplinary approach with risk adapted chemotherapy and local treatment (surgery and/or radiotherapy)</w:t>
      </w:r>
      <w:r w:rsidR="00BB0AAF" w:rsidRPr="005C430B">
        <w:rPr>
          <w:rFonts w:ascii="Book Antiqua" w:hAnsi="Book Antiqua" w:cs="Times New Roman"/>
          <w:sz w:val="24"/>
          <w:szCs w:val="24"/>
        </w:rPr>
        <w:t xml:space="preserve"> has been used in recent times in many collaborative trials to minimize the overtreatment and thus treatment related side effects with maintaining high cure rates.  </w:t>
      </w:r>
      <w:r w:rsidR="00852C7E" w:rsidRPr="005C430B">
        <w:rPr>
          <w:rFonts w:ascii="Book Antiqua" w:hAnsi="Book Antiqua" w:cs="Times New Roman"/>
          <w:sz w:val="24"/>
          <w:szCs w:val="24"/>
        </w:rPr>
        <w:t xml:space="preserve">This approach is the current standard of care in maximum institutions all over the globe. </w:t>
      </w:r>
    </w:p>
    <w:p w:rsidR="00C2552D" w:rsidRPr="005C430B" w:rsidRDefault="005862E7" w:rsidP="00B82DDA">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Even with current armamentarium the outcome of ESFT patients with metastatic disease is dismal with</w:t>
      </w:r>
      <w:r w:rsidR="00C2552D" w:rsidRPr="005C430B">
        <w:rPr>
          <w:rFonts w:ascii="Book Antiqua" w:hAnsi="Book Antiqua" w:cs="Times New Roman"/>
          <w:sz w:val="24"/>
          <w:szCs w:val="24"/>
        </w:rPr>
        <w:t xml:space="preserve"> </w:t>
      </w:r>
      <w:r w:rsidRPr="005C430B">
        <w:rPr>
          <w:rFonts w:ascii="Book Antiqua" w:hAnsi="Book Antiqua" w:cs="Times New Roman"/>
          <w:sz w:val="24"/>
          <w:szCs w:val="24"/>
        </w:rPr>
        <w:t>cure rate varying between 20%-40%</w:t>
      </w:r>
      <w:r w:rsidR="00795A28" w:rsidRPr="005C430B">
        <w:rPr>
          <w:rFonts w:ascii="Book Antiqua" w:hAnsi="Book Antiqua" w:cs="Times New Roman"/>
          <w:sz w:val="24"/>
          <w:szCs w:val="24"/>
          <w:vertAlign w:val="superscript"/>
        </w:rPr>
        <w:t>[2,3]</w:t>
      </w:r>
      <w:r w:rsidR="00E41028" w:rsidRPr="005C430B">
        <w:rPr>
          <w:rFonts w:ascii="Book Antiqua" w:hAnsi="Book Antiqua" w:cs="Times New Roman"/>
          <w:sz w:val="24"/>
          <w:szCs w:val="24"/>
        </w:rPr>
        <w:t xml:space="preserve"> and even less in those with recurrent/refractory diseases</w:t>
      </w:r>
      <w:r w:rsidRPr="005C430B">
        <w:rPr>
          <w:rFonts w:ascii="Book Antiqua" w:hAnsi="Book Antiqua" w:cs="Times New Roman"/>
          <w:sz w:val="24"/>
          <w:szCs w:val="24"/>
        </w:rPr>
        <w:t xml:space="preserve">. </w:t>
      </w:r>
      <w:r w:rsidR="00E94FB5" w:rsidRPr="005C430B">
        <w:rPr>
          <w:rFonts w:ascii="Book Antiqua" w:hAnsi="Book Antiqua" w:cs="Times New Roman"/>
          <w:sz w:val="24"/>
          <w:szCs w:val="24"/>
        </w:rPr>
        <w:t xml:space="preserve">The current emphasis is to improve the survival outcome in ESFT patients with metastatic disease and also in the recurrent setting. There is a </w:t>
      </w:r>
      <w:r w:rsidR="004C4347" w:rsidRPr="005C430B">
        <w:rPr>
          <w:rFonts w:ascii="Book Antiqua" w:hAnsi="Book Antiqua" w:cs="Times New Roman"/>
          <w:sz w:val="24"/>
          <w:szCs w:val="24"/>
        </w:rPr>
        <w:t>vacuum in</w:t>
      </w:r>
      <w:r w:rsidR="00E94FB5" w:rsidRPr="005C430B">
        <w:rPr>
          <w:rFonts w:ascii="Book Antiqua" w:hAnsi="Book Antiqua" w:cs="Times New Roman"/>
          <w:sz w:val="24"/>
          <w:szCs w:val="24"/>
        </w:rPr>
        <w:t xml:space="preserve"> novel and targeted therapies as compared to adult solid tumors, and there lies a huge unmet need to </w:t>
      </w:r>
      <w:r w:rsidR="004C4347" w:rsidRPr="005C430B">
        <w:rPr>
          <w:rFonts w:ascii="Book Antiqua" w:hAnsi="Book Antiqua" w:cs="Times New Roman"/>
          <w:sz w:val="24"/>
          <w:szCs w:val="24"/>
        </w:rPr>
        <w:t>improve</w:t>
      </w:r>
      <w:r w:rsidR="00E94FB5" w:rsidRPr="005C430B">
        <w:rPr>
          <w:rFonts w:ascii="Book Antiqua" w:hAnsi="Book Antiqua" w:cs="Times New Roman"/>
          <w:sz w:val="24"/>
          <w:szCs w:val="24"/>
        </w:rPr>
        <w:t xml:space="preserve"> the outcome of poor risk ESFTs. </w:t>
      </w:r>
    </w:p>
    <w:p w:rsidR="00E30021" w:rsidRPr="005C430B" w:rsidRDefault="004C4347" w:rsidP="00B82DDA">
      <w:pPr>
        <w:spacing w:after="0" w:line="360" w:lineRule="auto"/>
        <w:ind w:firstLineChars="100" w:firstLine="240"/>
        <w:jc w:val="both"/>
        <w:rPr>
          <w:rFonts w:ascii="Book Antiqua" w:hAnsi="Book Antiqua" w:cs="Times New Roman"/>
          <w:sz w:val="24"/>
          <w:szCs w:val="24"/>
          <w:lang w:eastAsia="zh-CN"/>
        </w:rPr>
      </w:pPr>
      <w:r w:rsidRPr="005C430B">
        <w:rPr>
          <w:rFonts w:ascii="Book Antiqua" w:hAnsi="Book Antiqua" w:cs="Times New Roman"/>
          <w:sz w:val="24"/>
          <w:szCs w:val="24"/>
        </w:rPr>
        <w:t xml:space="preserve">Researchers across the world have tried to </w:t>
      </w:r>
      <w:r w:rsidR="009464BD" w:rsidRPr="005C430B">
        <w:rPr>
          <w:rFonts w:ascii="Book Antiqua" w:hAnsi="Book Antiqua" w:cs="Times New Roman"/>
          <w:sz w:val="24"/>
          <w:szCs w:val="24"/>
        </w:rPr>
        <w:t>understand</w:t>
      </w:r>
      <w:r w:rsidRPr="005C430B">
        <w:rPr>
          <w:rFonts w:ascii="Book Antiqua" w:hAnsi="Book Antiqua" w:cs="Times New Roman"/>
          <w:sz w:val="24"/>
          <w:szCs w:val="24"/>
        </w:rPr>
        <w:t xml:space="preserve"> the pathogenesis of ESFT along with the molecular downstream pathways </w:t>
      </w:r>
      <w:r w:rsidR="009464BD" w:rsidRPr="005C430B">
        <w:rPr>
          <w:rFonts w:ascii="Book Antiqua" w:hAnsi="Book Antiqua" w:cs="Times New Roman"/>
          <w:sz w:val="24"/>
          <w:szCs w:val="24"/>
        </w:rPr>
        <w:t xml:space="preserve">enhancing the survival of ESFT tumor cells. The primary focus was on </w:t>
      </w:r>
      <w:r w:rsidR="009464BD" w:rsidRPr="005C430B">
        <w:rPr>
          <w:rFonts w:ascii="Book Antiqua" w:hAnsi="Book Antiqua" w:cs="Times New Roman"/>
          <w:i/>
          <w:sz w:val="24"/>
          <w:szCs w:val="24"/>
        </w:rPr>
        <w:t>EWS-FLI1</w:t>
      </w:r>
      <w:r w:rsidR="009464BD" w:rsidRPr="005C430B">
        <w:rPr>
          <w:rFonts w:ascii="Book Antiqua" w:hAnsi="Book Antiqua" w:cs="Times New Roman"/>
          <w:sz w:val="24"/>
          <w:szCs w:val="24"/>
        </w:rPr>
        <w:t xml:space="preserve"> fusion oncogene, and other similar </w:t>
      </w:r>
      <w:r w:rsidR="00ED47F0" w:rsidRPr="005C430B">
        <w:rPr>
          <w:rFonts w:ascii="Book Antiqua" w:hAnsi="Book Antiqua" w:cs="Times New Roman"/>
          <w:sz w:val="24"/>
          <w:szCs w:val="24"/>
        </w:rPr>
        <w:t xml:space="preserve">fusions </w:t>
      </w:r>
      <w:r w:rsidR="00ED47F0" w:rsidRPr="005C430B">
        <w:rPr>
          <w:rFonts w:ascii="Book Antiqua" w:hAnsi="Book Antiqua" w:cs="Times New Roman"/>
          <w:sz w:val="24"/>
          <w:szCs w:val="24"/>
        </w:rPr>
        <w:lastRenderedPageBreak/>
        <w:t>that were</w:t>
      </w:r>
      <w:r w:rsidR="009464BD" w:rsidRPr="005C430B">
        <w:rPr>
          <w:rFonts w:ascii="Book Antiqua" w:hAnsi="Book Antiqua" w:cs="Times New Roman"/>
          <w:sz w:val="24"/>
          <w:szCs w:val="24"/>
        </w:rPr>
        <w:t xml:space="preserve"> thought to drive the oncogenic pathway in ESFT, but targeted therapy by blocking its product has not resulted into a</w:t>
      </w:r>
      <w:r w:rsidR="00ED47F0" w:rsidRPr="005C430B">
        <w:rPr>
          <w:rFonts w:ascii="Book Antiqua" w:hAnsi="Book Antiqua" w:cs="Times New Roman"/>
          <w:sz w:val="24"/>
          <w:szCs w:val="24"/>
        </w:rPr>
        <w:t>ny meaningful clinical outcome</w:t>
      </w:r>
      <w:r w:rsidR="00795A28" w:rsidRPr="005C430B">
        <w:rPr>
          <w:rFonts w:ascii="Book Antiqua" w:hAnsi="Book Antiqua" w:cs="Times New Roman"/>
          <w:sz w:val="24"/>
          <w:szCs w:val="24"/>
          <w:vertAlign w:val="superscript"/>
        </w:rPr>
        <w:t>[4,5]</w:t>
      </w:r>
      <w:r w:rsidR="00FF0038" w:rsidRPr="005C430B">
        <w:rPr>
          <w:rFonts w:ascii="Book Antiqua" w:hAnsi="Book Antiqua" w:cs="Times New Roman"/>
          <w:sz w:val="24"/>
          <w:szCs w:val="24"/>
        </w:rPr>
        <w:t xml:space="preserve">. </w:t>
      </w:r>
      <w:r w:rsidR="00581E58" w:rsidRPr="005C430B">
        <w:rPr>
          <w:rFonts w:ascii="Book Antiqua" w:hAnsi="Book Antiqua" w:cs="Times New Roman"/>
          <w:sz w:val="24"/>
          <w:szCs w:val="24"/>
        </w:rPr>
        <w:t xml:space="preserve">In this review we have discussed </w:t>
      </w:r>
      <w:r w:rsidR="008A5EF5" w:rsidRPr="005C430B">
        <w:rPr>
          <w:rFonts w:ascii="Book Antiqua" w:hAnsi="Book Antiqua" w:cs="Times New Roman"/>
          <w:sz w:val="24"/>
          <w:szCs w:val="24"/>
        </w:rPr>
        <w:t>the</w:t>
      </w:r>
      <w:r w:rsidR="003025E1">
        <w:rPr>
          <w:rFonts w:ascii="Book Antiqua" w:hAnsi="Book Antiqua" w:cs="Times New Roman"/>
          <w:sz w:val="24"/>
          <w:szCs w:val="24"/>
        </w:rPr>
        <w:t xml:space="preserve"> current standard of treatment-</w:t>
      </w:r>
      <w:r w:rsidR="008A5EF5" w:rsidRPr="005C430B">
        <w:rPr>
          <w:rFonts w:ascii="Book Antiqua" w:hAnsi="Book Antiqua" w:cs="Times New Roman"/>
          <w:sz w:val="24"/>
          <w:szCs w:val="24"/>
        </w:rPr>
        <w:t xml:space="preserve">chemotherapy, local treatment modalities, role of high dose chemotherapy, </w:t>
      </w:r>
      <w:r w:rsidR="00AF4143" w:rsidRPr="005C430B">
        <w:rPr>
          <w:rFonts w:ascii="Book Antiqua" w:hAnsi="Book Antiqua" w:cs="Times New Roman"/>
          <w:sz w:val="24"/>
          <w:szCs w:val="24"/>
        </w:rPr>
        <w:t>and salvage</w:t>
      </w:r>
      <w:r w:rsidR="008A5EF5" w:rsidRPr="005C430B">
        <w:rPr>
          <w:rFonts w:ascii="Book Antiqua" w:hAnsi="Book Antiqua" w:cs="Times New Roman"/>
          <w:sz w:val="24"/>
          <w:szCs w:val="24"/>
        </w:rPr>
        <w:t xml:space="preserve"> treatment along with</w:t>
      </w:r>
      <w:r w:rsidR="00376352" w:rsidRPr="005C430B">
        <w:rPr>
          <w:rFonts w:ascii="Book Antiqua" w:hAnsi="Book Antiqua" w:cs="Times New Roman"/>
          <w:sz w:val="24"/>
          <w:szCs w:val="24"/>
        </w:rPr>
        <w:t xml:space="preserve"> novel targeted therapies under investigation and potential future promises. </w:t>
      </w:r>
    </w:p>
    <w:p w:rsidR="00B82DDA" w:rsidRPr="005C430B" w:rsidRDefault="00B82DDA" w:rsidP="00B82DDA">
      <w:pPr>
        <w:spacing w:after="0" w:line="360" w:lineRule="auto"/>
        <w:ind w:firstLineChars="100" w:firstLine="240"/>
        <w:jc w:val="both"/>
        <w:rPr>
          <w:rFonts w:ascii="Book Antiqua" w:hAnsi="Book Antiqua" w:cs="Times New Roman"/>
          <w:sz w:val="24"/>
          <w:szCs w:val="24"/>
          <w:lang w:eastAsia="zh-CN"/>
        </w:rPr>
      </w:pPr>
    </w:p>
    <w:p w:rsidR="00C02D77" w:rsidRPr="005C430B" w:rsidRDefault="00C02D77"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Wh</w:t>
      </w:r>
      <w:r w:rsidR="00BE13AA">
        <w:rPr>
          <w:rFonts w:ascii="Book Antiqua" w:hAnsi="Book Antiqua" w:cs="Times New Roman" w:hint="eastAsia"/>
          <w:b/>
          <w:caps/>
          <w:sz w:val="24"/>
          <w:szCs w:val="24"/>
          <w:lang w:eastAsia="zh-CN"/>
        </w:rPr>
        <w:t>at</w:t>
      </w:r>
      <w:r w:rsidRPr="005C430B">
        <w:rPr>
          <w:rFonts w:ascii="Book Antiqua" w:hAnsi="Book Antiqua" w:cs="Times New Roman"/>
          <w:b/>
          <w:caps/>
          <w:sz w:val="24"/>
          <w:szCs w:val="24"/>
        </w:rPr>
        <w:t xml:space="preserve"> are the clinically relevant prognostic factors?</w:t>
      </w:r>
    </w:p>
    <w:p w:rsidR="00EE72F9" w:rsidRPr="005C430B" w:rsidRDefault="00A07F18" w:rsidP="00201740">
      <w:pPr>
        <w:spacing w:after="0" w:line="360" w:lineRule="auto"/>
        <w:jc w:val="both"/>
        <w:rPr>
          <w:rFonts w:ascii="Book Antiqua" w:hAnsi="Book Antiqua" w:cs="Times New Roman"/>
          <w:sz w:val="24"/>
          <w:szCs w:val="24"/>
        </w:rPr>
      </w:pPr>
      <w:r w:rsidRPr="005C430B">
        <w:rPr>
          <w:rFonts w:ascii="Book Antiqua" w:hAnsi="Book Antiqua" w:cs="Times New Roman"/>
          <w:sz w:val="24"/>
          <w:szCs w:val="24"/>
        </w:rPr>
        <w:t>Many international cooperative trials has been performed over last four decades to improve the outcome of ESFTs and further analysis of those studies revealed many prognostic factors that predicted differential outcomes and successively helped in designing tailored clinical trials to optimize the treatment strategies depending on the risk group and to decrease over treatment and treatment related side effects.</w:t>
      </w:r>
      <w:r w:rsidR="00794247" w:rsidRPr="005C430B">
        <w:rPr>
          <w:rFonts w:ascii="Book Antiqua" w:hAnsi="Book Antiqua" w:cs="Times New Roman"/>
          <w:sz w:val="24"/>
          <w:szCs w:val="24"/>
        </w:rPr>
        <w:t xml:space="preserve"> Further refinements and validation of those prognostic factors (clinic-pathological and treatment related factors)</w:t>
      </w:r>
      <w:r w:rsidR="00130416" w:rsidRPr="005C430B">
        <w:rPr>
          <w:rFonts w:ascii="Book Antiqua" w:hAnsi="Book Antiqua" w:cs="Times New Roman"/>
          <w:sz w:val="24"/>
          <w:szCs w:val="24"/>
        </w:rPr>
        <w:t xml:space="preserve"> has been </w:t>
      </w:r>
      <w:r w:rsidR="00980792" w:rsidRPr="005C430B">
        <w:rPr>
          <w:rFonts w:ascii="Book Antiqua" w:hAnsi="Book Antiqua" w:cs="Times New Roman"/>
          <w:sz w:val="24"/>
          <w:szCs w:val="24"/>
        </w:rPr>
        <w:t xml:space="preserve">done in further studies and in routine clinical practices. </w:t>
      </w:r>
      <w:r w:rsidR="00825868" w:rsidRPr="005C430B">
        <w:rPr>
          <w:rFonts w:ascii="Book Antiqua" w:hAnsi="Book Antiqua" w:cs="Times New Roman"/>
          <w:sz w:val="24"/>
          <w:szCs w:val="24"/>
        </w:rPr>
        <w:t>Amongst all the clinic-pathological and treatment related factors, presence of metastasis at baseline is the strongest prognostic factor and has been proven in all clinical studies and routine clinical practices. The prognosis also depends on burden of metastasis and site of metastasis. Spectrum of outcome varies from worst with bone marrow metastasis (3-year EFS of &lt;</w:t>
      </w:r>
      <w:r w:rsidR="00B82DDA" w:rsidRPr="005C430B">
        <w:rPr>
          <w:rFonts w:ascii="Book Antiqua" w:hAnsi="Book Antiqua" w:cs="Times New Roman"/>
          <w:sz w:val="24"/>
          <w:szCs w:val="24"/>
          <w:lang w:eastAsia="zh-CN"/>
        </w:rPr>
        <w:t xml:space="preserve"> </w:t>
      </w:r>
      <w:r w:rsidR="00825868" w:rsidRPr="005C430B">
        <w:rPr>
          <w:rFonts w:ascii="Book Antiqua" w:hAnsi="Book Antiqua" w:cs="Times New Roman"/>
          <w:sz w:val="24"/>
          <w:szCs w:val="24"/>
        </w:rPr>
        <w:t>10%) with non-pulmonary metastasis in the middle and single pulmonary metastasis having the best outcome (3-year EFS of 40</w:t>
      </w:r>
      <w:r w:rsidR="00B82DDA" w:rsidRPr="005C430B">
        <w:rPr>
          <w:rFonts w:ascii="Book Antiqua" w:hAnsi="Book Antiqua" w:cs="Times New Roman"/>
          <w:sz w:val="24"/>
          <w:szCs w:val="24"/>
          <w:lang w:eastAsia="zh-CN"/>
        </w:rPr>
        <w:t>%</w:t>
      </w:r>
      <w:r w:rsidR="00825868" w:rsidRPr="005C430B">
        <w:rPr>
          <w:rFonts w:ascii="Book Antiqua" w:hAnsi="Book Antiqua" w:cs="Times New Roman"/>
          <w:sz w:val="24"/>
          <w:szCs w:val="24"/>
        </w:rPr>
        <w:t>-5</w:t>
      </w:r>
      <w:r w:rsidR="003B2B8A" w:rsidRPr="005C430B">
        <w:rPr>
          <w:rFonts w:ascii="Book Antiqua" w:hAnsi="Book Antiqua" w:cs="Times New Roman"/>
          <w:sz w:val="24"/>
          <w:szCs w:val="24"/>
        </w:rPr>
        <w:t>0%)</w:t>
      </w:r>
      <w:r w:rsidR="00795A28" w:rsidRPr="005C430B">
        <w:rPr>
          <w:rFonts w:ascii="Book Antiqua" w:hAnsi="Book Antiqua" w:cs="Times New Roman"/>
          <w:sz w:val="24"/>
          <w:szCs w:val="24"/>
          <w:vertAlign w:val="superscript"/>
        </w:rPr>
        <w:t>[6–10]</w:t>
      </w:r>
      <w:r w:rsidR="003B2B8A" w:rsidRPr="005C430B">
        <w:rPr>
          <w:rFonts w:ascii="Book Antiqua" w:hAnsi="Book Antiqua" w:cs="Times New Roman"/>
          <w:sz w:val="24"/>
          <w:szCs w:val="24"/>
        </w:rPr>
        <w:t xml:space="preserve">. </w:t>
      </w:r>
      <w:r w:rsidR="00EE72F9" w:rsidRPr="005C430B">
        <w:rPr>
          <w:rFonts w:ascii="Book Antiqua" w:hAnsi="Book Antiqua" w:cs="Times New Roman"/>
          <w:sz w:val="24"/>
          <w:szCs w:val="24"/>
        </w:rPr>
        <w:t>No research group or study had prospectively evaluated the prognostic significance of burden of metastasis until recently. Study from our center in ESFT patients with metastatic disease found hypoalbuminemia (&lt;</w:t>
      </w:r>
      <w:r w:rsidR="00B82DDA" w:rsidRPr="005C430B">
        <w:rPr>
          <w:rFonts w:ascii="Book Antiqua" w:hAnsi="Book Antiqua" w:cs="Times New Roman"/>
          <w:sz w:val="24"/>
          <w:szCs w:val="24"/>
          <w:lang w:eastAsia="zh-CN"/>
        </w:rPr>
        <w:t xml:space="preserve"> </w:t>
      </w:r>
      <w:r w:rsidR="003025E1">
        <w:rPr>
          <w:rFonts w:ascii="Book Antiqua" w:hAnsi="Book Antiqua" w:cs="Times New Roman"/>
          <w:sz w:val="24"/>
          <w:szCs w:val="24"/>
        </w:rPr>
        <w:t>3.5 g</w:t>
      </w:r>
      <w:r w:rsidR="00EE72F9" w:rsidRPr="005C430B">
        <w:rPr>
          <w:rFonts w:ascii="Book Antiqua" w:hAnsi="Book Antiqua" w:cs="Times New Roman"/>
          <w:sz w:val="24"/>
          <w:szCs w:val="24"/>
        </w:rPr>
        <w:t>/d</w:t>
      </w:r>
      <w:r w:rsidR="00B82DDA" w:rsidRPr="005C430B">
        <w:rPr>
          <w:rFonts w:ascii="Book Antiqua" w:hAnsi="Book Antiqua" w:cs="Times New Roman"/>
          <w:sz w:val="24"/>
          <w:szCs w:val="24"/>
        </w:rPr>
        <w:t>L</w:t>
      </w:r>
      <w:r w:rsidR="00EE72F9" w:rsidRPr="005C430B">
        <w:rPr>
          <w:rFonts w:ascii="Book Antiqua" w:hAnsi="Book Antiqua" w:cs="Times New Roman"/>
          <w:sz w:val="24"/>
          <w:szCs w:val="24"/>
        </w:rPr>
        <w:t xml:space="preserve">) as a novel </w:t>
      </w:r>
      <w:r w:rsidR="00B82DDA" w:rsidRPr="005C430B">
        <w:rPr>
          <w:rFonts w:ascii="Book Antiqua" w:hAnsi="Book Antiqua" w:cs="Times New Roman"/>
          <w:sz w:val="24"/>
          <w:szCs w:val="24"/>
          <w:lang w:eastAsia="zh-CN"/>
        </w:rPr>
        <w:t xml:space="preserve">and </w:t>
      </w:r>
      <w:r w:rsidR="00EE72F9" w:rsidRPr="005C430B">
        <w:rPr>
          <w:rFonts w:ascii="Book Antiqua" w:hAnsi="Book Antiqua" w:cs="Times New Roman"/>
          <w:sz w:val="24"/>
          <w:szCs w:val="24"/>
        </w:rPr>
        <w:t>independent poor progn</w:t>
      </w:r>
      <w:r w:rsidR="00B82DDA" w:rsidRPr="005C430B">
        <w:rPr>
          <w:rFonts w:ascii="Book Antiqua" w:hAnsi="Book Antiqua" w:cs="Times New Roman"/>
          <w:sz w:val="24"/>
          <w:szCs w:val="24"/>
        </w:rPr>
        <w:t>ostic factor to affect outcome</w:t>
      </w:r>
      <w:r w:rsidR="00795A28" w:rsidRPr="005C430B">
        <w:rPr>
          <w:rFonts w:ascii="Book Antiqua" w:hAnsi="Book Antiqua" w:cs="Times New Roman"/>
          <w:sz w:val="24"/>
          <w:szCs w:val="24"/>
          <w:vertAlign w:val="superscript"/>
        </w:rPr>
        <w:t>[2]</w:t>
      </w:r>
      <w:r w:rsidR="00EE72F9" w:rsidRPr="005C430B">
        <w:rPr>
          <w:rFonts w:ascii="Book Antiqua" w:hAnsi="Book Antiqua" w:cs="Times New Roman"/>
          <w:sz w:val="24"/>
          <w:szCs w:val="24"/>
        </w:rPr>
        <w:t>. The recent EuroEwing 99 (EE99) systematically risk stratified the metastatic group and the 3</w:t>
      </w:r>
      <w:r w:rsidR="00EE72F9" w:rsidRPr="005C430B">
        <w:rPr>
          <w:rFonts w:ascii="Book Antiqua" w:hAnsi="Book Antiqua" w:cs="Times New Roman"/>
          <w:sz w:val="24"/>
          <w:szCs w:val="24"/>
          <w:vertAlign w:val="superscript"/>
        </w:rPr>
        <w:t>rd</w:t>
      </w:r>
      <w:r w:rsidR="00EE72F9" w:rsidRPr="005C430B">
        <w:rPr>
          <w:rFonts w:ascii="Book Antiqua" w:hAnsi="Book Antiqua" w:cs="Times New Roman"/>
          <w:sz w:val="24"/>
          <w:szCs w:val="24"/>
        </w:rPr>
        <w:t xml:space="preserve"> randomized arm (disseminated multifocal ESFT) identified novel prognostic factors</w:t>
      </w:r>
      <w:r w:rsidR="00C503DE">
        <w:rPr>
          <w:rFonts w:ascii="Book Antiqua" w:hAnsi="Book Antiqua" w:cs="Times New Roman" w:hint="eastAsia"/>
          <w:sz w:val="24"/>
          <w:szCs w:val="24"/>
          <w:lang w:eastAsia="zh-CN"/>
        </w:rPr>
        <w:t>,</w:t>
      </w:r>
      <w:r w:rsidR="00EE72F9" w:rsidRPr="005C430B">
        <w:rPr>
          <w:rFonts w:ascii="Book Antiqua" w:hAnsi="Book Antiqua" w:cs="Times New Roman"/>
          <w:sz w:val="24"/>
          <w:szCs w:val="24"/>
        </w:rPr>
        <w:t xml:space="preserve"> </w:t>
      </w:r>
      <w:r w:rsidR="00C503DE">
        <w:rPr>
          <w:rFonts w:ascii="Book Antiqua" w:hAnsi="Book Antiqua" w:cs="Times New Roman" w:hint="eastAsia"/>
          <w:sz w:val="24"/>
          <w:szCs w:val="24"/>
          <w:lang w:eastAsia="zh-CN"/>
        </w:rPr>
        <w:t>such as</w:t>
      </w:r>
      <w:r w:rsidR="00EE72F9" w:rsidRPr="005C430B">
        <w:rPr>
          <w:rFonts w:ascii="Book Antiqua" w:hAnsi="Book Antiqua" w:cs="Times New Roman"/>
          <w:sz w:val="24"/>
          <w:szCs w:val="24"/>
        </w:rPr>
        <w:t xml:space="preserve"> - age at diagnosis &gt;</w:t>
      </w:r>
      <w:r w:rsidR="00B82DDA" w:rsidRPr="005C430B">
        <w:rPr>
          <w:rFonts w:ascii="Book Antiqua" w:hAnsi="Book Antiqua" w:cs="Times New Roman"/>
          <w:sz w:val="24"/>
          <w:szCs w:val="24"/>
          <w:lang w:eastAsia="zh-CN"/>
        </w:rPr>
        <w:t xml:space="preserve"> </w:t>
      </w:r>
      <w:r w:rsidR="00EE72F9" w:rsidRPr="005C430B">
        <w:rPr>
          <w:rFonts w:ascii="Book Antiqua" w:hAnsi="Book Antiqua" w:cs="Times New Roman"/>
          <w:sz w:val="24"/>
          <w:szCs w:val="24"/>
        </w:rPr>
        <w:t>14 years, presence and number of bone metastasis, number of pulmonary metastasis and bone marrow involvement and also developed a prognostic score to predict differential outcome ranging from 8%-40%</w:t>
      </w:r>
      <w:r w:rsidR="00795A28" w:rsidRPr="005C430B">
        <w:rPr>
          <w:rFonts w:ascii="Book Antiqua" w:hAnsi="Book Antiqua" w:cs="Times New Roman"/>
          <w:sz w:val="24"/>
          <w:szCs w:val="24"/>
          <w:vertAlign w:val="superscript"/>
        </w:rPr>
        <w:t>[10]</w:t>
      </w:r>
      <w:r w:rsidR="00EE72F9" w:rsidRPr="005C430B">
        <w:rPr>
          <w:rFonts w:ascii="Book Antiqua" w:hAnsi="Book Antiqua" w:cs="Times New Roman"/>
          <w:sz w:val="24"/>
          <w:szCs w:val="24"/>
        </w:rPr>
        <w:t>.</w:t>
      </w:r>
    </w:p>
    <w:p w:rsidR="00C717BC" w:rsidRPr="005C430B" w:rsidRDefault="00C34B38" w:rsidP="00B82DDA">
      <w:pPr>
        <w:spacing w:after="0" w:line="360" w:lineRule="auto"/>
        <w:ind w:firstLineChars="100" w:firstLine="240"/>
        <w:jc w:val="both"/>
        <w:rPr>
          <w:rFonts w:ascii="Book Antiqua" w:hAnsi="Book Antiqua" w:cs="Times New Roman"/>
          <w:b/>
          <w:bCs/>
          <w:sz w:val="24"/>
          <w:szCs w:val="24"/>
        </w:rPr>
      </w:pPr>
      <w:r w:rsidRPr="005C430B">
        <w:rPr>
          <w:rFonts w:ascii="Book Antiqua" w:hAnsi="Book Antiqua" w:cs="Times New Roman"/>
          <w:sz w:val="24"/>
          <w:szCs w:val="24"/>
        </w:rPr>
        <w:lastRenderedPageBreak/>
        <w:t xml:space="preserve">Systemic symptom (fever and weight loss) is a poor prognostic factor along with high lactate dehydrogenase level (LDH) that denotes tumor burden. These two prognostic factors has been used to risk stratify ESFT patients to tailor therapy. </w:t>
      </w:r>
      <w:r w:rsidR="00312504" w:rsidRPr="005C430B">
        <w:rPr>
          <w:rFonts w:ascii="Book Antiqua" w:hAnsi="Book Antiqua" w:cs="Times New Roman"/>
          <w:sz w:val="24"/>
          <w:szCs w:val="24"/>
        </w:rPr>
        <w:t>Tumor size and tumor volume is well established prognostic across the clinical studies with tumor size &gt;</w:t>
      </w:r>
      <w:r w:rsidR="00B82DDA" w:rsidRPr="005C430B">
        <w:rPr>
          <w:rFonts w:ascii="Book Antiqua" w:hAnsi="Book Antiqua" w:cs="Times New Roman"/>
          <w:sz w:val="24"/>
          <w:szCs w:val="24"/>
          <w:lang w:eastAsia="zh-CN"/>
        </w:rPr>
        <w:t xml:space="preserve"> </w:t>
      </w:r>
      <w:r w:rsidR="00B82DDA" w:rsidRPr="005C430B">
        <w:rPr>
          <w:rFonts w:ascii="Book Antiqua" w:hAnsi="Book Antiqua" w:cs="Times New Roman"/>
          <w:sz w:val="24"/>
          <w:szCs w:val="24"/>
        </w:rPr>
        <w:t>8 cm</w:t>
      </w:r>
      <w:r w:rsidR="00795A28" w:rsidRPr="005C430B">
        <w:rPr>
          <w:rFonts w:ascii="Book Antiqua" w:hAnsi="Book Antiqua" w:cs="Times New Roman"/>
          <w:sz w:val="24"/>
          <w:szCs w:val="24"/>
          <w:vertAlign w:val="superscript"/>
        </w:rPr>
        <w:t>[11]</w:t>
      </w:r>
      <w:r w:rsidR="00B82DDA" w:rsidRPr="005C430B">
        <w:rPr>
          <w:rFonts w:ascii="Book Antiqua" w:hAnsi="Book Antiqua" w:cs="Times New Roman"/>
          <w:sz w:val="24"/>
          <w:szCs w:val="24"/>
        </w:rPr>
        <w:t xml:space="preserve"> and tumor volume &gt;</w:t>
      </w:r>
      <w:r w:rsidR="003025E1">
        <w:rPr>
          <w:rFonts w:ascii="Book Antiqua" w:hAnsi="Book Antiqua" w:cs="Times New Roman" w:hint="eastAsia"/>
          <w:sz w:val="24"/>
          <w:szCs w:val="24"/>
          <w:lang w:eastAsia="zh-CN"/>
        </w:rPr>
        <w:t xml:space="preserve"> </w:t>
      </w:r>
      <w:r w:rsidR="00B82DDA" w:rsidRPr="005C430B">
        <w:rPr>
          <w:rFonts w:ascii="Book Antiqua" w:hAnsi="Book Antiqua" w:cs="Times New Roman"/>
          <w:sz w:val="24"/>
          <w:szCs w:val="24"/>
        </w:rPr>
        <w:t>200 mL</w:t>
      </w:r>
      <w:r w:rsidR="00795A28" w:rsidRPr="005C430B">
        <w:rPr>
          <w:rFonts w:ascii="Book Antiqua" w:hAnsi="Book Antiqua" w:cs="Times New Roman"/>
          <w:sz w:val="24"/>
          <w:szCs w:val="24"/>
          <w:vertAlign w:val="superscript"/>
        </w:rPr>
        <w:t>[12,13]</w:t>
      </w:r>
      <w:r w:rsidR="00312504" w:rsidRPr="005C430B">
        <w:rPr>
          <w:rFonts w:ascii="Book Antiqua" w:hAnsi="Book Antiqua" w:cs="Times New Roman"/>
          <w:sz w:val="24"/>
          <w:szCs w:val="24"/>
        </w:rPr>
        <w:t xml:space="preserve"> is poor prognostic and has been used in all clinical trials for risk adapted therapies. Site of primary tumor is also of prognostic significance with axial primary especially pelvic location is poor prognostic. </w:t>
      </w:r>
      <w:r w:rsidR="00CD23B0" w:rsidRPr="005C430B">
        <w:rPr>
          <w:rFonts w:ascii="Book Antiqua" w:hAnsi="Book Antiqua" w:cs="Times New Roman"/>
          <w:sz w:val="24"/>
          <w:szCs w:val="24"/>
        </w:rPr>
        <w:t>Both tumor size and pelvic primary has been proven as poor prognostic in our institutional experience</w:t>
      </w:r>
      <w:r w:rsidR="00795A28" w:rsidRPr="005C430B">
        <w:rPr>
          <w:rFonts w:ascii="Book Antiqua" w:hAnsi="Book Antiqua" w:cs="Times New Roman"/>
          <w:sz w:val="24"/>
          <w:szCs w:val="24"/>
          <w:vertAlign w:val="superscript"/>
        </w:rPr>
        <w:t>[2,14]</w:t>
      </w:r>
      <w:r w:rsidR="00CD23B0" w:rsidRPr="005C430B">
        <w:rPr>
          <w:rFonts w:ascii="Book Antiqua" w:hAnsi="Book Antiqua" w:cs="Times New Roman"/>
          <w:sz w:val="24"/>
          <w:szCs w:val="24"/>
        </w:rPr>
        <w:t xml:space="preserve">. </w:t>
      </w:r>
      <w:r w:rsidR="003748CD" w:rsidRPr="005C430B">
        <w:rPr>
          <w:rFonts w:ascii="Book Antiqua" w:hAnsi="Book Antiqua" w:cs="Times New Roman"/>
          <w:sz w:val="24"/>
          <w:szCs w:val="24"/>
        </w:rPr>
        <w:t xml:space="preserve">But recently histological response to neoadjuvant </w:t>
      </w:r>
      <w:r w:rsidRPr="005C430B">
        <w:rPr>
          <w:rFonts w:ascii="Book Antiqua" w:hAnsi="Book Antiqua" w:cs="Times New Roman"/>
          <w:sz w:val="24"/>
          <w:szCs w:val="24"/>
        </w:rPr>
        <w:t xml:space="preserve">chemotherapy </w:t>
      </w:r>
      <w:r w:rsidR="00B82DDA" w:rsidRPr="005C430B">
        <w:rPr>
          <w:rFonts w:ascii="Book Antiqua" w:hAnsi="Book Antiqua" w:cs="Times New Roman"/>
          <w:sz w:val="24"/>
          <w:szCs w:val="24"/>
          <w:lang w:eastAsia="zh-CN"/>
        </w:rPr>
        <w:t>(</w:t>
      </w:r>
      <w:r w:rsidR="003748CD" w:rsidRPr="005C430B">
        <w:rPr>
          <w:rFonts w:ascii="Book Antiqua" w:hAnsi="Book Antiqua" w:cs="Times New Roman"/>
          <w:sz w:val="24"/>
          <w:szCs w:val="24"/>
        </w:rPr>
        <w:t>poor response has been defined as &gt;</w:t>
      </w:r>
      <w:r w:rsidR="00B82DDA" w:rsidRPr="005C430B">
        <w:rPr>
          <w:rFonts w:ascii="Book Antiqua" w:hAnsi="Book Antiqua" w:cs="Times New Roman"/>
          <w:sz w:val="24"/>
          <w:szCs w:val="24"/>
          <w:lang w:eastAsia="zh-CN"/>
        </w:rPr>
        <w:t xml:space="preserve"> </w:t>
      </w:r>
      <w:r w:rsidR="003748CD" w:rsidRPr="005C430B">
        <w:rPr>
          <w:rFonts w:ascii="Book Antiqua" w:hAnsi="Book Antiqua" w:cs="Times New Roman"/>
          <w:sz w:val="24"/>
          <w:szCs w:val="24"/>
        </w:rPr>
        <w:t>10% viable tumor cells as per Salzer-Kuntschik grading system</w:t>
      </w:r>
      <w:r w:rsidR="00795A28" w:rsidRPr="005C430B">
        <w:rPr>
          <w:rFonts w:ascii="Book Antiqua" w:hAnsi="Book Antiqua" w:cs="Times New Roman"/>
          <w:sz w:val="24"/>
          <w:szCs w:val="24"/>
          <w:vertAlign w:val="superscript"/>
        </w:rPr>
        <w:t>[13]</w:t>
      </w:r>
      <w:r w:rsidR="00B82DDA" w:rsidRPr="005C430B">
        <w:rPr>
          <w:rFonts w:ascii="Book Antiqua" w:hAnsi="Book Antiqua" w:cs="Times New Roman"/>
          <w:sz w:val="24"/>
          <w:szCs w:val="24"/>
          <w:lang w:eastAsia="zh-CN"/>
        </w:rPr>
        <w:t>)</w:t>
      </w:r>
      <w:r w:rsidR="003748CD" w:rsidRPr="005C430B">
        <w:rPr>
          <w:rFonts w:ascii="Book Antiqua" w:hAnsi="Book Antiqua" w:cs="Times New Roman"/>
          <w:sz w:val="24"/>
          <w:szCs w:val="24"/>
        </w:rPr>
        <w:t xml:space="preserve"> has been emerged as the strongest prognostic factor overriding tumor size, tumor volume or tumor location.</w:t>
      </w:r>
      <w:r w:rsidRPr="005C430B">
        <w:rPr>
          <w:rFonts w:ascii="Book Antiqua" w:hAnsi="Book Antiqua" w:cs="Times New Roman"/>
          <w:sz w:val="24"/>
          <w:szCs w:val="24"/>
        </w:rPr>
        <w:t xml:space="preserve"> The recent EE99 study risk stratified ESFT patients in respect to histological response to chemotherapy to tail</w:t>
      </w:r>
      <w:r w:rsidR="00B82DDA" w:rsidRPr="005C430B">
        <w:rPr>
          <w:rFonts w:ascii="Book Antiqua" w:hAnsi="Book Antiqua" w:cs="Times New Roman"/>
          <w:sz w:val="24"/>
          <w:szCs w:val="24"/>
        </w:rPr>
        <w:t>or therapy</w:t>
      </w:r>
      <w:r w:rsidR="00795A28" w:rsidRPr="005C430B">
        <w:rPr>
          <w:rFonts w:ascii="Book Antiqua" w:hAnsi="Book Antiqua" w:cs="Times New Roman"/>
          <w:sz w:val="24"/>
          <w:szCs w:val="24"/>
          <w:vertAlign w:val="superscript"/>
        </w:rPr>
        <w:t>[15]</w:t>
      </w:r>
      <w:r w:rsidRPr="005C430B">
        <w:rPr>
          <w:rFonts w:ascii="Book Antiqua" w:hAnsi="Book Antiqua" w:cs="Times New Roman"/>
          <w:sz w:val="24"/>
          <w:szCs w:val="24"/>
        </w:rPr>
        <w:t>.</w:t>
      </w:r>
      <w:r w:rsidR="003748CD" w:rsidRPr="005C430B">
        <w:rPr>
          <w:rFonts w:ascii="Book Antiqua" w:hAnsi="Book Antiqua" w:cs="Times New Roman"/>
          <w:sz w:val="24"/>
          <w:szCs w:val="24"/>
        </w:rPr>
        <w:t xml:space="preserve"> </w:t>
      </w:r>
      <w:r w:rsidR="00C717BC" w:rsidRPr="005C430B">
        <w:rPr>
          <w:rFonts w:ascii="Book Antiqua" w:hAnsi="Book Antiqua" w:cs="Times New Roman"/>
          <w:bCs/>
          <w:sz w:val="24"/>
          <w:szCs w:val="24"/>
        </w:rPr>
        <w:t>WBC count has been emerged as independent prognostic f</w:t>
      </w:r>
      <w:r w:rsidR="00B82DDA" w:rsidRPr="005C430B">
        <w:rPr>
          <w:rFonts w:ascii="Book Antiqua" w:hAnsi="Book Antiqua" w:cs="Times New Roman"/>
          <w:bCs/>
          <w:sz w:val="24"/>
          <w:szCs w:val="24"/>
        </w:rPr>
        <w:t>actor in our experience of ESFT</w:t>
      </w:r>
      <w:r w:rsidR="00795A28" w:rsidRPr="005C430B">
        <w:rPr>
          <w:rFonts w:ascii="Book Antiqua" w:hAnsi="Book Antiqua" w:cs="Times New Roman"/>
          <w:sz w:val="24"/>
          <w:szCs w:val="24"/>
          <w:vertAlign w:val="superscript"/>
        </w:rPr>
        <w:t>[14,16–18]</w:t>
      </w:r>
      <w:r w:rsidR="00C717BC" w:rsidRPr="005C430B">
        <w:rPr>
          <w:rFonts w:ascii="Book Antiqua" w:hAnsi="Book Antiqua" w:cs="Times New Roman"/>
          <w:bCs/>
          <w:sz w:val="24"/>
          <w:szCs w:val="24"/>
        </w:rPr>
        <w:t xml:space="preserve"> treated with uniform chemotherapy protocol with high WBC (&gt;</w:t>
      </w:r>
      <w:r w:rsidR="00B82DDA" w:rsidRPr="005C430B">
        <w:rPr>
          <w:rFonts w:ascii="Book Antiqua" w:hAnsi="Book Antiqua" w:cs="Times New Roman"/>
          <w:bCs/>
          <w:sz w:val="24"/>
          <w:szCs w:val="24"/>
          <w:lang w:eastAsia="zh-CN"/>
        </w:rPr>
        <w:t xml:space="preserve"> </w:t>
      </w:r>
      <w:r w:rsidR="00B82DDA" w:rsidRPr="005C430B">
        <w:rPr>
          <w:rFonts w:ascii="Book Antiqua" w:hAnsi="Book Antiqua" w:cs="Times New Roman"/>
          <w:bCs/>
          <w:sz w:val="24"/>
          <w:szCs w:val="24"/>
        </w:rPr>
        <w:t>11</w:t>
      </w:r>
      <w:r w:rsidR="00C717BC" w:rsidRPr="005C430B">
        <w:rPr>
          <w:rFonts w:ascii="Book Antiqua" w:hAnsi="Book Antiqua" w:cs="Times New Roman"/>
          <w:bCs/>
          <w:sz w:val="24"/>
          <w:szCs w:val="24"/>
        </w:rPr>
        <w:t>000/µ</w:t>
      </w:r>
      <w:r w:rsidR="00B82DDA" w:rsidRPr="005C430B">
        <w:rPr>
          <w:rFonts w:ascii="Book Antiqua" w:hAnsi="Book Antiqua" w:cs="Times New Roman"/>
          <w:bCs/>
          <w:sz w:val="24"/>
          <w:szCs w:val="24"/>
        </w:rPr>
        <w:t>L</w:t>
      </w:r>
      <w:r w:rsidR="00C717BC" w:rsidRPr="005C430B">
        <w:rPr>
          <w:rFonts w:ascii="Book Antiqua" w:hAnsi="Book Antiqua" w:cs="Times New Roman"/>
          <w:bCs/>
          <w:sz w:val="24"/>
          <w:szCs w:val="24"/>
        </w:rPr>
        <w:t xml:space="preserve">) having poor outcome. It may signify micrometastatic disease and inflammatory nature of the disease and will require further validation in a prospective study. </w:t>
      </w:r>
    </w:p>
    <w:p w:rsidR="005A25FC" w:rsidRPr="005C430B" w:rsidRDefault="00D87CB2" w:rsidP="00B82DDA">
      <w:pPr>
        <w:spacing w:after="0" w:line="360" w:lineRule="auto"/>
        <w:ind w:firstLineChars="100" w:firstLine="240"/>
        <w:jc w:val="both"/>
        <w:rPr>
          <w:rFonts w:ascii="Book Antiqua" w:hAnsi="Book Antiqua" w:cs="Times New Roman"/>
          <w:sz w:val="24"/>
          <w:szCs w:val="24"/>
          <w:lang w:eastAsia="zh-CN"/>
        </w:rPr>
      </w:pPr>
      <w:r w:rsidRPr="005C430B">
        <w:rPr>
          <w:rFonts w:ascii="Book Antiqua" w:hAnsi="Book Antiqua" w:cs="Times New Roman"/>
          <w:sz w:val="24"/>
          <w:szCs w:val="24"/>
        </w:rPr>
        <w:t xml:space="preserve">Collaborative efforts have been made to identify potential biomarker in this rare aggressive tumor. Early retrospective </w:t>
      </w:r>
      <w:r w:rsidR="00B91D1F" w:rsidRPr="005C430B">
        <w:rPr>
          <w:rFonts w:ascii="Book Antiqua" w:hAnsi="Book Antiqua" w:cs="Times New Roman"/>
          <w:sz w:val="24"/>
          <w:szCs w:val="24"/>
        </w:rPr>
        <w:t>studies</w:t>
      </w:r>
      <w:r w:rsidR="00795A28" w:rsidRPr="005C430B">
        <w:rPr>
          <w:rFonts w:ascii="Book Antiqua" w:hAnsi="Book Antiqua" w:cs="Times New Roman"/>
          <w:sz w:val="24"/>
          <w:szCs w:val="24"/>
          <w:vertAlign w:val="superscript"/>
        </w:rPr>
        <w:t>[19,20]</w:t>
      </w:r>
      <w:r w:rsidR="00B91D1F" w:rsidRPr="005C430B">
        <w:rPr>
          <w:rFonts w:ascii="Book Antiqua" w:hAnsi="Book Antiqua" w:cs="Times New Roman"/>
          <w:sz w:val="24"/>
          <w:szCs w:val="24"/>
        </w:rPr>
        <w:t xml:space="preserve"> reported prognostic significance of different transcripts (</w:t>
      </w:r>
      <w:r w:rsidR="00B91D1F" w:rsidRPr="005C430B">
        <w:rPr>
          <w:rFonts w:ascii="Book Antiqua" w:hAnsi="Book Antiqua" w:cs="Times New Roman"/>
          <w:i/>
          <w:sz w:val="24"/>
          <w:szCs w:val="24"/>
        </w:rPr>
        <w:t>EWS-ETS</w:t>
      </w:r>
      <w:r w:rsidR="00B91D1F" w:rsidRPr="005C430B">
        <w:rPr>
          <w:rFonts w:ascii="Book Antiqua" w:hAnsi="Book Antiqua" w:cs="Times New Roman"/>
          <w:sz w:val="24"/>
          <w:szCs w:val="24"/>
        </w:rPr>
        <w:t xml:space="preserve"> fusion types) but failed to do so in prospective studies</w:t>
      </w:r>
      <w:r w:rsidR="00795A28" w:rsidRPr="005C430B">
        <w:rPr>
          <w:rFonts w:ascii="Book Antiqua" w:hAnsi="Book Antiqua" w:cs="Times New Roman"/>
          <w:sz w:val="24"/>
          <w:szCs w:val="24"/>
          <w:vertAlign w:val="superscript"/>
        </w:rPr>
        <w:t>[21]</w:t>
      </w:r>
      <w:r w:rsidR="006737FF" w:rsidRPr="005C430B">
        <w:rPr>
          <w:rFonts w:ascii="Book Antiqua" w:hAnsi="Book Antiqua" w:cs="Times New Roman"/>
          <w:sz w:val="24"/>
          <w:szCs w:val="24"/>
        </w:rPr>
        <w:t xml:space="preserve">.  High </w:t>
      </w:r>
      <w:r w:rsidR="00524FDC" w:rsidRPr="005C430B">
        <w:rPr>
          <w:rFonts w:ascii="Book Antiqua" w:hAnsi="Book Antiqua" w:cs="Times New Roman"/>
          <w:sz w:val="24"/>
          <w:szCs w:val="24"/>
        </w:rPr>
        <w:t>throughput methods has revea</w:t>
      </w:r>
      <w:r w:rsidR="00B82DDA" w:rsidRPr="005C430B">
        <w:rPr>
          <w:rFonts w:ascii="Book Antiqua" w:hAnsi="Book Antiqua" w:cs="Times New Roman"/>
          <w:sz w:val="24"/>
          <w:szCs w:val="24"/>
        </w:rPr>
        <w:t>led gene copy number variations</w:t>
      </w:r>
      <w:r w:rsidR="00795A28" w:rsidRPr="005C430B">
        <w:rPr>
          <w:rFonts w:ascii="Book Antiqua" w:hAnsi="Book Antiqua" w:cs="Times New Roman"/>
          <w:sz w:val="24"/>
          <w:szCs w:val="24"/>
          <w:vertAlign w:val="superscript"/>
        </w:rPr>
        <w:t>[22]</w:t>
      </w:r>
      <w:r w:rsidR="00C503DE">
        <w:rPr>
          <w:rFonts w:ascii="Book Antiqua" w:hAnsi="Book Antiqua" w:cs="Times New Roman" w:hint="eastAsia"/>
          <w:sz w:val="24"/>
          <w:szCs w:val="24"/>
          <w:lang w:eastAsia="zh-CN"/>
        </w:rPr>
        <w:t>,</w:t>
      </w:r>
      <w:r w:rsidR="00524FDC" w:rsidRPr="005C430B">
        <w:rPr>
          <w:rFonts w:ascii="Book Antiqua" w:hAnsi="Book Antiqua" w:cs="Times New Roman"/>
          <w:sz w:val="24"/>
          <w:szCs w:val="24"/>
        </w:rPr>
        <w:t xml:space="preserve"> </w:t>
      </w:r>
      <w:r w:rsidR="00C503DE">
        <w:rPr>
          <w:rFonts w:ascii="Book Antiqua" w:hAnsi="Book Antiqua" w:cs="Times New Roman" w:hint="eastAsia"/>
          <w:sz w:val="24"/>
          <w:szCs w:val="24"/>
          <w:lang w:eastAsia="zh-CN"/>
        </w:rPr>
        <w:t>such as</w:t>
      </w:r>
      <w:r w:rsidR="00524FDC" w:rsidRPr="005C430B">
        <w:rPr>
          <w:rFonts w:ascii="Book Antiqua" w:hAnsi="Book Antiqua" w:cs="Times New Roman"/>
          <w:sz w:val="24"/>
          <w:szCs w:val="24"/>
        </w:rPr>
        <w:t xml:space="preserve"> </w:t>
      </w:r>
      <w:r w:rsidR="00B82DDA" w:rsidRPr="005C430B">
        <w:rPr>
          <w:rFonts w:ascii="Book Antiqua" w:hAnsi="Book Antiqua" w:cs="Times New Roman"/>
          <w:sz w:val="24"/>
          <w:szCs w:val="24"/>
          <w:lang w:eastAsia="zh-CN"/>
        </w:rPr>
        <w:t>-</w:t>
      </w:r>
      <w:r w:rsidR="00524FDC" w:rsidRPr="005C430B">
        <w:rPr>
          <w:rFonts w:ascii="Book Antiqua" w:hAnsi="Book Antiqua" w:cs="Times New Roman"/>
          <w:sz w:val="24"/>
          <w:szCs w:val="24"/>
        </w:rPr>
        <w:t xml:space="preserve"> 1q-, 18q-, 20-, 16q+ along with mutation in </w:t>
      </w:r>
      <w:r w:rsidR="00524FDC" w:rsidRPr="005C430B">
        <w:rPr>
          <w:rFonts w:ascii="Book Antiqua" w:hAnsi="Book Antiqua" w:cs="Times New Roman"/>
          <w:i/>
          <w:sz w:val="24"/>
          <w:szCs w:val="24"/>
        </w:rPr>
        <w:t xml:space="preserve">TP53, CDKN2A </w:t>
      </w:r>
      <w:r w:rsidR="00524FDC" w:rsidRPr="005C430B">
        <w:rPr>
          <w:rFonts w:ascii="Book Antiqua" w:hAnsi="Book Antiqua" w:cs="Times New Roman"/>
          <w:sz w:val="24"/>
          <w:szCs w:val="24"/>
        </w:rPr>
        <w:t>and</w:t>
      </w:r>
      <w:r w:rsidR="00524FDC" w:rsidRPr="005C430B">
        <w:rPr>
          <w:rFonts w:ascii="Book Antiqua" w:hAnsi="Book Antiqua" w:cs="Times New Roman"/>
          <w:i/>
          <w:sz w:val="24"/>
          <w:szCs w:val="24"/>
        </w:rPr>
        <w:t xml:space="preserve"> STAT2</w:t>
      </w:r>
      <w:r w:rsidR="00524FDC" w:rsidRPr="005C430B">
        <w:rPr>
          <w:rFonts w:ascii="Book Antiqua" w:hAnsi="Book Antiqua" w:cs="Times New Roman"/>
          <w:sz w:val="24"/>
          <w:szCs w:val="24"/>
        </w:rPr>
        <w:t xml:space="preserve"> and concurrent presence of </w:t>
      </w:r>
      <w:r w:rsidR="00524FDC" w:rsidRPr="005C430B">
        <w:rPr>
          <w:rFonts w:ascii="Book Antiqua" w:hAnsi="Book Antiqua" w:cs="Times New Roman"/>
          <w:i/>
          <w:sz w:val="24"/>
          <w:szCs w:val="24"/>
        </w:rPr>
        <w:t>STAT2</w:t>
      </w:r>
      <w:r w:rsidR="00524FDC" w:rsidRPr="005C430B">
        <w:rPr>
          <w:rFonts w:ascii="Book Antiqua" w:hAnsi="Book Antiqua" w:cs="Times New Roman"/>
          <w:sz w:val="24"/>
          <w:szCs w:val="24"/>
        </w:rPr>
        <w:t xml:space="preserve"> and </w:t>
      </w:r>
      <w:r w:rsidR="00524FDC" w:rsidRPr="005C430B">
        <w:rPr>
          <w:rFonts w:ascii="Book Antiqua" w:hAnsi="Book Antiqua" w:cs="Times New Roman"/>
          <w:i/>
          <w:sz w:val="24"/>
          <w:szCs w:val="24"/>
        </w:rPr>
        <w:t>TP53</w:t>
      </w:r>
      <w:r w:rsidR="00B82DDA" w:rsidRPr="005C430B">
        <w:rPr>
          <w:rFonts w:ascii="Book Antiqua" w:hAnsi="Book Antiqua" w:cs="Times New Roman"/>
          <w:sz w:val="24"/>
          <w:szCs w:val="24"/>
        </w:rPr>
        <w:t xml:space="preserve"> reported as poor prognostic</w:t>
      </w:r>
      <w:r w:rsidR="00795A28" w:rsidRPr="005C430B">
        <w:rPr>
          <w:rFonts w:ascii="Book Antiqua" w:hAnsi="Book Antiqua" w:cs="Times New Roman"/>
          <w:sz w:val="24"/>
          <w:szCs w:val="24"/>
          <w:vertAlign w:val="superscript"/>
        </w:rPr>
        <w:t>[23]</w:t>
      </w:r>
      <w:r w:rsidR="00524FDC" w:rsidRPr="005C430B">
        <w:rPr>
          <w:rFonts w:ascii="Book Antiqua" w:hAnsi="Book Antiqua" w:cs="Times New Roman"/>
          <w:sz w:val="24"/>
          <w:szCs w:val="24"/>
        </w:rPr>
        <w:t xml:space="preserve">. </w:t>
      </w:r>
      <w:r w:rsidR="008203A7" w:rsidRPr="005C430B">
        <w:rPr>
          <w:rFonts w:ascii="Book Antiqua" w:hAnsi="Book Antiqua" w:cs="Times New Roman"/>
          <w:sz w:val="24"/>
          <w:szCs w:val="24"/>
        </w:rPr>
        <w:t>Detection of disseminated tumor</w:t>
      </w:r>
      <w:r w:rsidR="00B82DDA" w:rsidRPr="005C430B">
        <w:rPr>
          <w:rFonts w:ascii="Book Antiqua" w:hAnsi="Book Antiqua" w:cs="Times New Roman"/>
          <w:sz w:val="24"/>
          <w:szCs w:val="24"/>
        </w:rPr>
        <w:t xml:space="preserve"> cells in blood and bone marrow</w:t>
      </w:r>
      <w:r w:rsidR="00795A28" w:rsidRPr="005C430B">
        <w:rPr>
          <w:rFonts w:ascii="Book Antiqua" w:hAnsi="Book Antiqua" w:cs="Times New Roman"/>
          <w:sz w:val="24"/>
          <w:szCs w:val="24"/>
          <w:vertAlign w:val="superscript"/>
        </w:rPr>
        <w:t>[24]</w:t>
      </w:r>
      <w:r w:rsidR="008203A7" w:rsidRPr="005C430B">
        <w:rPr>
          <w:rFonts w:ascii="Book Antiqua" w:hAnsi="Book Antiqua" w:cs="Times New Roman"/>
          <w:sz w:val="24"/>
          <w:szCs w:val="24"/>
        </w:rPr>
        <w:t xml:space="preserve"> in localized patients (up to 20%) found to poor prognostic and its detection after completion of therapy (minimal residual disease) by flow</w:t>
      </w:r>
      <w:r w:rsidR="00400143">
        <w:rPr>
          <w:rFonts w:ascii="Book Antiqua" w:hAnsi="Book Antiqua" w:cs="Times New Roman"/>
          <w:sz w:val="24"/>
          <w:szCs w:val="24"/>
        </w:rPr>
        <w:t xml:space="preserve"> </w:t>
      </w:r>
      <w:r w:rsidR="008203A7" w:rsidRPr="005C430B">
        <w:rPr>
          <w:rFonts w:ascii="Book Antiqua" w:hAnsi="Book Antiqua" w:cs="Times New Roman"/>
          <w:sz w:val="24"/>
          <w:szCs w:val="24"/>
        </w:rPr>
        <w:t>cytometry or other sensitive method can tailor therapy, detect early recurrence and can be of future prognostic sign</w:t>
      </w:r>
      <w:r w:rsidR="00B82DDA" w:rsidRPr="005C430B">
        <w:rPr>
          <w:rFonts w:ascii="Book Antiqua" w:hAnsi="Book Antiqua" w:cs="Times New Roman"/>
          <w:sz w:val="24"/>
          <w:szCs w:val="24"/>
        </w:rPr>
        <w:t>ificance</w:t>
      </w:r>
      <w:r w:rsidR="00795A28" w:rsidRPr="005C430B">
        <w:rPr>
          <w:rFonts w:ascii="Book Antiqua" w:hAnsi="Book Antiqua" w:cs="Times New Roman"/>
          <w:sz w:val="24"/>
          <w:szCs w:val="24"/>
          <w:vertAlign w:val="superscript"/>
        </w:rPr>
        <w:t>[20]</w:t>
      </w:r>
      <w:r w:rsidR="008203A7" w:rsidRPr="005C430B">
        <w:rPr>
          <w:rFonts w:ascii="Book Antiqua" w:hAnsi="Book Antiqua" w:cs="Times New Roman"/>
          <w:sz w:val="24"/>
          <w:szCs w:val="24"/>
        </w:rPr>
        <w:t xml:space="preserve">. </w:t>
      </w:r>
    </w:p>
    <w:p w:rsidR="00B82DDA" w:rsidRPr="005C430B" w:rsidRDefault="00B82DDA" w:rsidP="00B82DDA">
      <w:pPr>
        <w:spacing w:after="0" w:line="360" w:lineRule="auto"/>
        <w:ind w:firstLineChars="100" w:firstLine="240"/>
        <w:jc w:val="both"/>
        <w:rPr>
          <w:rFonts w:ascii="Book Antiqua" w:hAnsi="Book Antiqua" w:cs="Times New Roman"/>
          <w:sz w:val="24"/>
          <w:szCs w:val="24"/>
          <w:lang w:eastAsia="zh-CN"/>
        </w:rPr>
      </w:pPr>
    </w:p>
    <w:p w:rsidR="006C289A" w:rsidRPr="005C430B" w:rsidRDefault="00170BB8"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What is the r</w:t>
      </w:r>
      <w:r w:rsidR="006C289A" w:rsidRPr="005C430B">
        <w:rPr>
          <w:rFonts w:ascii="Book Antiqua" w:hAnsi="Book Antiqua" w:cs="Times New Roman"/>
          <w:b/>
          <w:caps/>
          <w:sz w:val="24"/>
          <w:szCs w:val="24"/>
        </w:rPr>
        <w:t>ole of bio-imaging?</w:t>
      </w:r>
    </w:p>
    <w:p w:rsidR="00AA71AC" w:rsidRPr="005C430B" w:rsidRDefault="00D35525" w:rsidP="00201740">
      <w:pPr>
        <w:spacing w:after="0" w:line="360" w:lineRule="auto"/>
        <w:jc w:val="both"/>
        <w:rPr>
          <w:rFonts w:ascii="Book Antiqua" w:hAnsi="Book Antiqua" w:cs="Times New Roman"/>
          <w:bCs/>
          <w:sz w:val="24"/>
          <w:szCs w:val="24"/>
          <w:lang w:eastAsia="zh-CN"/>
        </w:rPr>
      </w:pPr>
      <w:r w:rsidRPr="005C430B">
        <w:rPr>
          <w:rFonts w:ascii="Book Antiqua" w:hAnsi="Book Antiqua" w:cs="Times New Roman"/>
          <w:sz w:val="24"/>
          <w:szCs w:val="24"/>
        </w:rPr>
        <w:lastRenderedPageBreak/>
        <w:t xml:space="preserve">Histological response to neoadjuvant chemotherapy is the strongest prognostic factor in localized ESFT and metastatic disease is the strongest one in whole cohort of ESFT. Efforts have been made to predict metastatic potential of ESFT in view of its aggressive nature and to escalate therapy in case of poor responder before initiation of local therapy. </w:t>
      </w:r>
      <w:r w:rsidRPr="005C430B">
        <w:rPr>
          <w:rFonts w:ascii="Book Antiqua" w:hAnsi="Book Antiqua" w:cs="Times New Roman"/>
          <w:bCs/>
          <w:sz w:val="24"/>
          <w:szCs w:val="24"/>
        </w:rPr>
        <w:t>18F-FDG PET is a relatively non-invasive test that can escape invasive diagnostic metastatic work-up like bone marrow aspiration/biopsy and tissue diagnosis in case of doubtful lung metastasis if it predicts site of metastases, and also post chemotherapy response assessment before the histological response is assessed. Retrospective studies have shown it can predict response to neoadjuvant chemotherapy and have a high concordance rate with the histological response by measuring reducti</w:t>
      </w:r>
      <w:r w:rsidR="00B82DDA" w:rsidRPr="005C430B">
        <w:rPr>
          <w:rFonts w:ascii="Book Antiqua" w:hAnsi="Book Antiqua" w:cs="Times New Roman"/>
          <w:bCs/>
          <w:sz w:val="24"/>
          <w:szCs w:val="24"/>
        </w:rPr>
        <w:t>on in standardized uptake value</w:t>
      </w:r>
      <w:r w:rsidR="00795A28" w:rsidRPr="005C430B">
        <w:rPr>
          <w:rFonts w:ascii="Book Antiqua" w:hAnsi="Book Antiqua" w:cs="Times New Roman"/>
          <w:sz w:val="24"/>
          <w:szCs w:val="24"/>
          <w:vertAlign w:val="superscript"/>
        </w:rPr>
        <w:t>[25,26]</w:t>
      </w:r>
      <w:r w:rsidRPr="005C430B">
        <w:rPr>
          <w:rFonts w:ascii="Book Antiqua" w:hAnsi="Book Antiqua" w:cs="Times New Roman"/>
          <w:bCs/>
          <w:sz w:val="24"/>
          <w:szCs w:val="24"/>
        </w:rPr>
        <w:t xml:space="preserve"> and also redu</w:t>
      </w:r>
      <w:r w:rsidR="00B82DDA" w:rsidRPr="005C430B">
        <w:rPr>
          <w:rFonts w:ascii="Book Antiqua" w:hAnsi="Book Antiqua" w:cs="Times New Roman"/>
          <w:bCs/>
          <w:sz w:val="24"/>
          <w:szCs w:val="24"/>
        </w:rPr>
        <w:t>ction in metabolic tumor volume</w:t>
      </w:r>
      <w:r w:rsidR="00795A28" w:rsidRPr="005C430B">
        <w:rPr>
          <w:rFonts w:ascii="Book Antiqua" w:hAnsi="Book Antiqua" w:cs="Times New Roman"/>
          <w:sz w:val="24"/>
          <w:szCs w:val="24"/>
          <w:vertAlign w:val="superscript"/>
        </w:rPr>
        <w:t>[27]</w:t>
      </w:r>
      <w:r w:rsidRPr="005C430B">
        <w:rPr>
          <w:rFonts w:ascii="Book Antiqua" w:hAnsi="Book Antiqua" w:cs="Times New Roman"/>
          <w:bCs/>
          <w:sz w:val="24"/>
          <w:szCs w:val="24"/>
        </w:rPr>
        <w:t>. But no prospective study has been done in regards to its predicting power of detecting metastasis and to predict response to chemotherapy before its utilization in routine clinical practice</w:t>
      </w:r>
      <w:r w:rsidR="008A281C" w:rsidRPr="005C430B">
        <w:rPr>
          <w:rFonts w:ascii="Book Antiqua" w:hAnsi="Book Antiqua" w:cs="Times New Roman"/>
          <w:bCs/>
          <w:sz w:val="24"/>
          <w:szCs w:val="24"/>
        </w:rPr>
        <w:t>.</w:t>
      </w:r>
    </w:p>
    <w:p w:rsidR="00B82DDA" w:rsidRPr="005C430B" w:rsidRDefault="00B82DDA" w:rsidP="00201740">
      <w:pPr>
        <w:spacing w:after="0" w:line="360" w:lineRule="auto"/>
        <w:jc w:val="both"/>
        <w:rPr>
          <w:rFonts w:ascii="Book Antiqua" w:hAnsi="Book Antiqua" w:cs="Times New Roman"/>
          <w:bCs/>
          <w:sz w:val="24"/>
          <w:szCs w:val="24"/>
          <w:lang w:eastAsia="zh-CN"/>
        </w:rPr>
      </w:pPr>
    </w:p>
    <w:p w:rsidR="00C02D77" w:rsidRPr="005C430B" w:rsidRDefault="00767A39"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Localized disease</w:t>
      </w:r>
    </w:p>
    <w:p w:rsidR="00C02D77" w:rsidRPr="005C430B" w:rsidRDefault="00C02D77" w:rsidP="00201740">
      <w:pPr>
        <w:spacing w:after="0" w:line="360" w:lineRule="auto"/>
        <w:jc w:val="both"/>
        <w:rPr>
          <w:rFonts w:ascii="Book Antiqua" w:hAnsi="Book Antiqua" w:cs="Times New Roman"/>
          <w:b/>
          <w:i/>
          <w:caps/>
          <w:sz w:val="24"/>
          <w:szCs w:val="24"/>
        </w:rPr>
      </w:pPr>
      <w:r w:rsidRPr="005C430B">
        <w:rPr>
          <w:rFonts w:ascii="Book Antiqua" w:hAnsi="Book Antiqua" w:cs="Times New Roman"/>
          <w:b/>
          <w:i/>
          <w:caps/>
          <w:sz w:val="24"/>
          <w:szCs w:val="24"/>
        </w:rPr>
        <w:t>W</w:t>
      </w:r>
      <w:r w:rsidR="00B82DDA" w:rsidRPr="005C430B">
        <w:rPr>
          <w:rFonts w:ascii="Book Antiqua" w:hAnsi="Book Antiqua" w:cs="Times New Roman"/>
          <w:b/>
          <w:i/>
          <w:sz w:val="24"/>
          <w:szCs w:val="24"/>
        </w:rPr>
        <w:t>hat chemotherapy, what intensity, and how long?</w:t>
      </w:r>
    </w:p>
    <w:p w:rsidR="008A281C" w:rsidRPr="005C430B" w:rsidRDefault="00A209A1"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Historically, in early 1970s the outcome of ESFT with radiotherapy and surgery alone was dismal with only &lt;</w:t>
      </w:r>
      <w:r w:rsidR="00B82DDA"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10% patients surviving and all invariably experienced relapse within 2 years. With the introduction of chemotherapy the outcome have improved drastically to 70% cure rate in localized disease. The evolution of chemotherapy started from single agent vincristine to multiagent chemotherapy (VAC</w:t>
      </w:r>
      <w:r w:rsidR="00D12D00"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w:t>
      </w:r>
      <w:r w:rsidR="00B804DD" w:rsidRPr="005C430B">
        <w:rPr>
          <w:rFonts w:ascii="Book Antiqua" w:hAnsi="Book Antiqua" w:cs="Times New Roman"/>
          <w:sz w:val="24"/>
          <w:szCs w:val="24"/>
        </w:rPr>
        <w:t xml:space="preserve"> vincristine, actinomycin D and cyclophosphamide</w:t>
      </w:r>
      <w:r w:rsidRPr="005C430B">
        <w:rPr>
          <w:rFonts w:ascii="Book Antiqua" w:hAnsi="Book Antiqua" w:cs="Times New Roman"/>
          <w:sz w:val="24"/>
          <w:szCs w:val="24"/>
        </w:rPr>
        <w:t>) and from adjuvant to neoadjuvant setting</w:t>
      </w:r>
      <w:r w:rsidR="00B804DD" w:rsidRPr="005C430B">
        <w:rPr>
          <w:rFonts w:ascii="Book Antiqua" w:hAnsi="Book Antiqua" w:cs="Times New Roman"/>
          <w:sz w:val="24"/>
          <w:szCs w:val="24"/>
        </w:rPr>
        <w:t xml:space="preserve"> (Table 1). Then comes the role of anthracyclines and addition of doxorubicin resulted in improved survival in 342 localized ESFT along with additional benefit of whole lung irradiation (WLI) in metastasis prevention in Intergroup E</w:t>
      </w:r>
      <w:r w:rsidR="00D12D00" w:rsidRPr="005C430B">
        <w:rPr>
          <w:rFonts w:ascii="Book Antiqua" w:hAnsi="Book Antiqua" w:cs="Times New Roman"/>
          <w:sz w:val="24"/>
          <w:szCs w:val="24"/>
        </w:rPr>
        <w:t>wing’s Sarcoma Study 1 (IESS-1)</w:t>
      </w:r>
      <w:r w:rsidR="00795A28" w:rsidRPr="005C430B">
        <w:rPr>
          <w:rFonts w:ascii="Book Antiqua" w:hAnsi="Book Antiqua" w:cs="Times New Roman"/>
          <w:sz w:val="24"/>
          <w:szCs w:val="24"/>
          <w:vertAlign w:val="superscript"/>
        </w:rPr>
        <w:t>[28]</w:t>
      </w:r>
      <w:r w:rsidR="00B804DD" w:rsidRPr="005C430B">
        <w:rPr>
          <w:rFonts w:ascii="Book Antiqua" w:hAnsi="Book Antiqua" w:cs="Times New Roman"/>
          <w:sz w:val="24"/>
          <w:szCs w:val="24"/>
        </w:rPr>
        <w:t>.</w:t>
      </w:r>
      <w:r w:rsidR="00AD5657" w:rsidRPr="005C430B">
        <w:rPr>
          <w:rFonts w:ascii="Book Antiqua" w:hAnsi="Book Antiqua" w:cs="Times New Roman"/>
          <w:sz w:val="24"/>
          <w:szCs w:val="24"/>
        </w:rPr>
        <w:t xml:space="preserve"> </w:t>
      </w:r>
      <w:r w:rsidR="003200A8" w:rsidRPr="005C430B">
        <w:rPr>
          <w:rFonts w:ascii="Book Antiqua" w:hAnsi="Book Antiqua" w:cs="Times New Roman"/>
          <w:sz w:val="24"/>
          <w:szCs w:val="24"/>
        </w:rPr>
        <w:t>The value of doxorubicin further potentiated in IESS-II which showed that high dose intermittent doxorubicin is better than low dose continuous therapy in 214 non-pelvic localized ESFT</w:t>
      </w:r>
      <w:r w:rsidR="00795A28" w:rsidRPr="005C430B">
        <w:rPr>
          <w:rFonts w:ascii="Book Antiqua" w:hAnsi="Book Antiqua" w:cs="Times New Roman"/>
          <w:sz w:val="24"/>
          <w:szCs w:val="24"/>
          <w:vertAlign w:val="superscript"/>
        </w:rPr>
        <w:t>[29]</w:t>
      </w:r>
      <w:r w:rsidR="003200A8" w:rsidRPr="005C430B">
        <w:rPr>
          <w:rFonts w:ascii="Book Antiqua" w:hAnsi="Book Antiqua" w:cs="Times New Roman"/>
          <w:sz w:val="24"/>
          <w:szCs w:val="24"/>
        </w:rPr>
        <w:t>.</w:t>
      </w:r>
      <w:r w:rsidR="007D69EF" w:rsidRPr="005C430B">
        <w:rPr>
          <w:rFonts w:ascii="Book Antiqua" w:hAnsi="Book Antiqua" w:cs="Times New Roman"/>
          <w:sz w:val="24"/>
          <w:szCs w:val="24"/>
        </w:rPr>
        <w:t xml:space="preserve"> </w:t>
      </w:r>
      <w:r w:rsidR="000F0992" w:rsidRPr="005C430B">
        <w:rPr>
          <w:rFonts w:ascii="Book Antiqua" w:hAnsi="Book Antiqua" w:cs="Times New Roman"/>
          <w:sz w:val="24"/>
          <w:szCs w:val="24"/>
        </w:rPr>
        <w:t>The landmark U</w:t>
      </w:r>
      <w:r w:rsidR="00BF7358" w:rsidRPr="005C430B">
        <w:rPr>
          <w:rFonts w:ascii="Book Antiqua" w:hAnsi="Book Antiqua" w:cs="Times New Roman"/>
          <w:sz w:val="24"/>
          <w:szCs w:val="24"/>
          <w:lang w:eastAsia="zh-CN"/>
        </w:rPr>
        <w:t xml:space="preserve">nited </w:t>
      </w:r>
      <w:r w:rsidR="000F0992" w:rsidRPr="005C430B">
        <w:rPr>
          <w:rFonts w:ascii="Book Antiqua" w:hAnsi="Book Antiqua" w:cs="Times New Roman"/>
          <w:sz w:val="24"/>
          <w:szCs w:val="24"/>
        </w:rPr>
        <w:t>S</w:t>
      </w:r>
      <w:r w:rsidR="00BF7358" w:rsidRPr="005C430B">
        <w:rPr>
          <w:rFonts w:ascii="Book Antiqua" w:hAnsi="Book Antiqua" w:cs="Times New Roman"/>
          <w:sz w:val="24"/>
          <w:szCs w:val="24"/>
          <w:lang w:eastAsia="zh-CN"/>
        </w:rPr>
        <w:t>tates</w:t>
      </w:r>
      <w:r w:rsidR="000F0992" w:rsidRPr="005C430B">
        <w:rPr>
          <w:rFonts w:ascii="Book Antiqua" w:hAnsi="Book Antiqua" w:cs="Times New Roman"/>
          <w:sz w:val="24"/>
          <w:szCs w:val="24"/>
        </w:rPr>
        <w:t xml:space="preserve"> intergroup study</w:t>
      </w:r>
      <w:r w:rsidR="00BE0B5C" w:rsidRPr="005C430B">
        <w:rPr>
          <w:rFonts w:ascii="Book Antiqua" w:hAnsi="Book Antiqua" w:cs="Times New Roman"/>
          <w:sz w:val="24"/>
          <w:szCs w:val="24"/>
        </w:rPr>
        <w:t xml:space="preserve"> (INT0091)</w:t>
      </w:r>
      <w:r w:rsidR="000F0992" w:rsidRPr="005C430B">
        <w:rPr>
          <w:rFonts w:ascii="Book Antiqua" w:hAnsi="Book Antiqua" w:cs="Times New Roman"/>
          <w:sz w:val="24"/>
          <w:szCs w:val="24"/>
        </w:rPr>
        <w:t xml:space="preserve"> by Grier </w:t>
      </w:r>
      <w:r w:rsidR="000F0992" w:rsidRPr="005C430B">
        <w:rPr>
          <w:rFonts w:ascii="Book Antiqua" w:hAnsi="Book Antiqua" w:cs="Times New Roman"/>
          <w:i/>
          <w:sz w:val="24"/>
          <w:szCs w:val="24"/>
        </w:rPr>
        <w:t>et al</w:t>
      </w:r>
      <w:r w:rsidR="00795A28" w:rsidRPr="005C430B">
        <w:rPr>
          <w:rFonts w:ascii="Book Antiqua" w:hAnsi="Book Antiqua" w:cs="Times New Roman"/>
          <w:sz w:val="24"/>
          <w:szCs w:val="24"/>
          <w:vertAlign w:val="superscript"/>
        </w:rPr>
        <w:t>[6]</w:t>
      </w:r>
      <w:r w:rsidR="000F0992" w:rsidRPr="005C430B">
        <w:rPr>
          <w:rFonts w:ascii="Book Antiqua" w:hAnsi="Book Antiqua" w:cs="Times New Roman"/>
          <w:sz w:val="24"/>
          <w:szCs w:val="24"/>
        </w:rPr>
        <w:t xml:space="preserve"> showed additional benefit of ifosfamide and etoposide (IE) in addition to </w:t>
      </w:r>
      <w:r w:rsidR="000F0992" w:rsidRPr="005C430B">
        <w:rPr>
          <w:rFonts w:ascii="Book Antiqua" w:hAnsi="Book Antiqua" w:cs="Times New Roman"/>
          <w:sz w:val="24"/>
          <w:szCs w:val="24"/>
        </w:rPr>
        <w:lastRenderedPageBreak/>
        <w:t>VDC (vincristine, doxorubicin, cyclophosphamide) in localized patients with ESFT after the beneficial effect of IE has been demonstrated in recurrent setting</w:t>
      </w:r>
      <w:r w:rsidR="00795A28" w:rsidRPr="005C430B">
        <w:rPr>
          <w:rFonts w:ascii="Book Antiqua" w:hAnsi="Book Antiqua" w:cs="Times New Roman"/>
          <w:sz w:val="24"/>
          <w:szCs w:val="24"/>
          <w:vertAlign w:val="superscript"/>
        </w:rPr>
        <w:t>[30]</w:t>
      </w:r>
      <w:r w:rsidR="000F0992" w:rsidRPr="005C430B">
        <w:rPr>
          <w:rFonts w:ascii="Book Antiqua" w:hAnsi="Book Antiqua" w:cs="Times New Roman"/>
          <w:sz w:val="24"/>
          <w:szCs w:val="24"/>
        </w:rPr>
        <w:t>, but the trial failed to demonstrate any benefit of IE in</w:t>
      </w:r>
      <w:r w:rsidR="00EC46EF" w:rsidRPr="005C430B">
        <w:rPr>
          <w:rFonts w:ascii="Book Antiqua" w:hAnsi="Book Antiqua" w:cs="Times New Roman"/>
          <w:sz w:val="24"/>
          <w:szCs w:val="24"/>
        </w:rPr>
        <w:t xml:space="preserve"> a relatively smaller numbers of</w:t>
      </w:r>
      <w:r w:rsidR="000F0992" w:rsidRPr="005C430B">
        <w:rPr>
          <w:rFonts w:ascii="Book Antiqua" w:hAnsi="Book Antiqua" w:cs="Times New Roman"/>
          <w:sz w:val="24"/>
          <w:szCs w:val="24"/>
        </w:rPr>
        <w:t xml:space="preserve"> patients with metastatic disease. </w:t>
      </w:r>
      <w:r w:rsidR="00CD4240" w:rsidRPr="005C430B">
        <w:rPr>
          <w:rFonts w:ascii="Book Antiqua" w:hAnsi="Book Antiqua" w:cs="Times New Roman"/>
          <w:sz w:val="24"/>
          <w:szCs w:val="24"/>
        </w:rPr>
        <w:t xml:space="preserve">Replacement of ifosfamide with cyclophosphamide </w:t>
      </w:r>
      <w:r w:rsidR="000F5EA1" w:rsidRPr="005C430B">
        <w:rPr>
          <w:rFonts w:ascii="Book Antiqua" w:hAnsi="Book Antiqua" w:cs="Times New Roman"/>
          <w:sz w:val="24"/>
          <w:szCs w:val="24"/>
        </w:rPr>
        <w:t>has showed conflicting results</w:t>
      </w:r>
      <w:r w:rsidR="00795A28" w:rsidRPr="005C430B">
        <w:rPr>
          <w:rFonts w:ascii="Book Antiqua" w:hAnsi="Book Antiqua" w:cs="Times New Roman"/>
          <w:sz w:val="24"/>
          <w:szCs w:val="24"/>
          <w:vertAlign w:val="superscript"/>
        </w:rPr>
        <w:t>[31]</w:t>
      </w:r>
      <w:r w:rsidR="005E2C2B" w:rsidRPr="005C430B">
        <w:rPr>
          <w:rFonts w:ascii="Book Antiqua" w:hAnsi="Book Antiqua" w:cs="Times New Roman"/>
          <w:sz w:val="24"/>
          <w:szCs w:val="24"/>
        </w:rPr>
        <w:t xml:space="preserve"> and EICESS-92 trial showed similar result with four drug chemotherapy regimen in a relatively underpowered study of 155 localized ESFT along with non-significant advantage of addition of </w:t>
      </w:r>
      <w:r w:rsidR="000F5EA1" w:rsidRPr="005C430B">
        <w:rPr>
          <w:rFonts w:ascii="Book Antiqua" w:hAnsi="Book Antiqua" w:cs="Times New Roman"/>
          <w:sz w:val="24"/>
          <w:szCs w:val="24"/>
        </w:rPr>
        <w:t>etoposide in metastatic disease</w:t>
      </w:r>
      <w:r w:rsidR="00795A28" w:rsidRPr="005C430B">
        <w:rPr>
          <w:rFonts w:ascii="Book Antiqua" w:hAnsi="Book Antiqua" w:cs="Times New Roman"/>
          <w:sz w:val="24"/>
          <w:szCs w:val="24"/>
          <w:vertAlign w:val="superscript"/>
        </w:rPr>
        <w:t>[7]</w:t>
      </w:r>
      <w:r w:rsidR="005E2C2B" w:rsidRPr="005C430B">
        <w:rPr>
          <w:rFonts w:ascii="Book Antiqua" w:hAnsi="Book Antiqua" w:cs="Times New Roman"/>
          <w:sz w:val="24"/>
          <w:szCs w:val="24"/>
        </w:rPr>
        <w:t xml:space="preserve">. </w:t>
      </w:r>
      <w:r w:rsidR="00E23B74" w:rsidRPr="005C430B">
        <w:rPr>
          <w:rFonts w:ascii="Book Antiqua" w:hAnsi="Book Antiqua" w:cs="Times New Roman"/>
          <w:sz w:val="24"/>
          <w:szCs w:val="24"/>
        </w:rPr>
        <w:t>In a different strategy to improve outcome by intensifying the alkylator dose and thus reducing the c</w:t>
      </w:r>
      <w:r w:rsidR="00E35DFC">
        <w:rPr>
          <w:rFonts w:ascii="Book Antiqua" w:hAnsi="Book Antiqua" w:cs="Times New Roman"/>
          <w:sz w:val="24"/>
          <w:szCs w:val="24"/>
        </w:rPr>
        <w:t>hemotherapy duration to 30 w</w:t>
      </w:r>
      <w:r w:rsidR="000F5EA1" w:rsidRPr="005C430B">
        <w:rPr>
          <w:rFonts w:ascii="Book Antiqua" w:hAnsi="Book Antiqua" w:cs="Times New Roman"/>
          <w:sz w:val="24"/>
          <w:szCs w:val="24"/>
        </w:rPr>
        <w:t>k</w:t>
      </w:r>
      <w:r w:rsidR="00E23B74" w:rsidRPr="005C430B">
        <w:rPr>
          <w:rFonts w:ascii="Book Antiqua" w:hAnsi="Book Antiqua" w:cs="Times New Roman"/>
          <w:sz w:val="24"/>
          <w:szCs w:val="24"/>
        </w:rPr>
        <w:t xml:space="preserve"> as compar</w:t>
      </w:r>
      <w:r w:rsidR="000F5EA1" w:rsidRPr="005C430B">
        <w:rPr>
          <w:rFonts w:ascii="Book Antiqua" w:hAnsi="Book Antiqua" w:cs="Times New Roman"/>
          <w:sz w:val="24"/>
          <w:szCs w:val="24"/>
        </w:rPr>
        <w:t>ed to standard 48 wk</w:t>
      </w:r>
      <w:r w:rsidR="00D1446E" w:rsidRPr="005C430B">
        <w:rPr>
          <w:rFonts w:ascii="Book Antiqua" w:hAnsi="Book Antiqua" w:cs="Times New Roman"/>
          <w:sz w:val="24"/>
          <w:szCs w:val="24"/>
        </w:rPr>
        <w:t xml:space="preserve"> with VDC-IE</w:t>
      </w:r>
      <w:r w:rsidR="00E23B74" w:rsidRPr="005C430B">
        <w:rPr>
          <w:rFonts w:ascii="Book Antiqua" w:hAnsi="Book Antiqua" w:cs="Times New Roman"/>
          <w:sz w:val="24"/>
          <w:szCs w:val="24"/>
        </w:rPr>
        <w:t xml:space="preserve"> failed to improve outcomes in </w:t>
      </w:r>
      <w:r w:rsidR="000F5EA1" w:rsidRPr="005C430B">
        <w:rPr>
          <w:rFonts w:ascii="Book Antiqua" w:hAnsi="Book Antiqua" w:cs="Times New Roman"/>
          <w:sz w:val="24"/>
          <w:szCs w:val="24"/>
        </w:rPr>
        <w:t xml:space="preserve">a </w:t>
      </w:r>
      <w:r w:rsidR="00BF7358" w:rsidRPr="005C430B">
        <w:rPr>
          <w:rFonts w:ascii="Book Antiqua" w:hAnsi="Book Antiqua" w:cs="Times New Roman"/>
          <w:sz w:val="24"/>
          <w:szCs w:val="24"/>
        </w:rPr>
        <w:t>U</w:t>
      </w:r>
      <w:r w:rsidR="00BF7358" w:rsidRPr="005C430B">
        <w:rPr>
          <w:rFonts w:ascii="Book Antiqua" w:hAnsi="Book Antiqua" w:cs="Times New Roman"/>
          <w:sz w:val="24"/>
          <w:szCs w:val="24"/>
          <w:lang w:eastAsia="zh-CN"/>
        </w:rPr>
        <w:t xml:space="preserve">nited </w:t>
      </w:r>
      <w:r w:rsidR="00BF7358" w:rsidRPr="005C430B">
        <w:rPr>
          <w:rFonts w:ascii="Book Antiqua" w:hAnsi="Book Antiqua" w:cs="Times New Roman"/>
          <w:sz w:val="24"/>
          <w:szCs w:val="24"/>
        </w:rPr>
        <w:t>S</w:t>
      </w:r>
      <w:r w:rsidR="00BF7358" w:rsidRPr="005C430B">
        <w:rPr>
          <w:rFonts w:ascii="Book Antiqua" w:hAnsi="Book Antiqua" w:cs="Times New Roman"/>
          <w:sz w:val="24"/>
          <w:szCs w:val="24"/>
          <w:lang w:eastAsia="zh-CN"/>
        </w:rPr>
        <w:t>tates</w:t>
      </w:r>
      <w:r w:rsidR="000F5EA1" w:rsidRPr="005C430B">
        <w:rPr>
          <w:rFonts w:ascii="Book Antiqua" w:hAnsi="Book Antiqua" w:cs="Times New Roman"/>
          <w:sz w:val="24"/>
          <w:szCs w:val="24"/>
        </w:rPr>
        <w:t xml:space="preserve"> intergroup trial (INT 154)</w:t>
      </w:r>
      <w:r w:rsidR="00795A28" w:rsidRPr="005C430B">
        <w:rPr>
          <w:rFonts w:ascii="Book Antiqua" w:hAnsi="Book Antiqua" w:cs="Times New Roman"/>
          <w:sz w:val="24"/>
          <w:szCs w:val="24"/>
          <w:vertAlign w:val="superscript"/>
        </w:rPr>
        <w:t>[32]</w:t>
      </w:r>
      <w:r w:rsidR="00E23B74" w:rsidRPr="005C430B">
        <w:rPr>
          <w:rFonts w:ascii="Book Antiqua" w:hAnsi="Book Antiqua" w:cs="Times New Roman"/>
          <w:sz w:val="24"/>
          <w:szCs w:val="24"/>
        </w:rPr>
        <w:t>.</w:t>
      </w:r>
      <w:r w:rsidR="00D1446E" w:rsidRPr="005C430B">
        <w:rPr>
          <w:rFonts w:ascii="Book Antiqua" w:hAnsi="Book Antiqua" w:cs="Times New Roman"/>
          <w:sz w:val="24"/>
          <w:szCs w:val="24"/>
        </w:rPr>
        <w:t xml:space="preserve"> But subsequent Children Oncology Group</w:t>
      </w:r>
      <w:r w:rsidR="00E23B74" w:rsidRPr="005C430B">
        <w:rPr>
          <w:rFonts w:ascii="Book Antiqua" w:hAnsi="Book Antiqua" w:cs="Times New Roman"/>
          <w:sz w:val="24"/>
          <w:szCs w:val="24"/>
        </w:rPr>
        <w:t xml:space="preserve"> </w:t>
      </w:r>
      <w:r w:rsidR="00D1446E" w:rsidRPr="005C430B">
        <w:rPr>
          <w:rFonts w:ascii="Book Antiqua" w:hAnsi="Book Antiqua" w:cs="Times New Roman"/>
          <w:sz w:val="24"/>
          <w:szCs w:val="24"/>
        </w:rPr>
        <w:t xml:space="preserve">(COG) study used dose compressed study of 3-weekly </w:t>
      </w:r>
      <w:r w:rsidR="00D1446E" w:rsidRPr="005C430B">
        <w:rPr>
          <w:rFonts w:ascii="Book Antiqua" w:hAnsi="Book Antiqua" w:cs="Times New Roman"/>
          <w:i/>
          <w:sz w:val="24"/>
          <w:szCs w:val="24"/>
        </w:rPr>
        <w:t>vs</w:t>
      </w:r>
      <w:r w:rsidR="00D1446E" w:rsidRPr="005C430B">
        <w:rPr>
          <w:rFonts w:ascii="Book Antiqua" w:hAnsi="Book Antiqua" w:cs="Times New Roman"/>
          <w:sz w:val="24"/>
          <w:szCs w:val="24"/>
        </w:rPr>
        <w:t xml:space="preserve"> 2-weekly VDC-IE with use of filgrastim, thus maintaining the dose intensity, and demonstrated superior outcome in 2-weekly arm (5-ye</w:t>
      </w:r>
      <w:r w:rsidR="00134E1D">
        <w:rPr>
          <w:rFonts w:ascii="Book Antiqua" w:hAnsi="Book Antiqua" w:cs="Times New Roman" w:hint="eastAsia"/>
          <w:sz w:val="24"/>
          <w:szCs w:val="24"/>
          <w:lang w:eastAsia="zh-CN"/>
        </w:rPr>
        <w:t>ar</w:t>
      </w:r>
      <w:r w:rsidR="00D1446E" w:rsidRPr="005C430B">
        <w:rPr>
          <w:rFonts w:ascii="Book Antiqua" w:hAnsi="Book Antiqua" w:cs="Times New Roman"/>
          <w:sz w:val="24"/>
          <w:szCs w:val="24"/>
        </w:rPr>
        <w:t xml:space="preserve"> EFS of 73%</w:t>
      </w:r>
      <w:r w:rsidR="00D1446E" w:rsidRPr="005C430B">
        <w:rPr>
          <w:rFonts w:ascii="Book Antiqua" w:hAnsi="Book Antiqua" w:cs="Times New Roman"/>
          <w:i/>
          <w:sz w:val="24"/>
          <w:szCs w:val="24"/>
        </w:rPr>
        <w:t xml:space="preserve"> vs</w:t>
      </w:r>
      <w:r w:rsidR="00D1446E" w:rsidRPr="005C430B">
        <w:rPr>
          <w:rFonts w:ascii="Book Antiqua" w:hAnsi="Book Antiqua" w:cs="Times New Roman"/>
          <w:sz w:val="24"/>
          <w:szCs w:val="24"/>
        </w:rPr>
        <w:t xml:space="preserve"> 65%,</w:t>
      </w:r>
      <w:r w:rsidR="00BF7358" w:rsidRPr="005C430B">
        <w:rPr>
          <w:rFonts w:ascii="Book Antiqua" w:hAnsi="Book Antiqua" w:cs="Times New Roman"/>
          <w:i/>
          <w:sz w:val="24"/>
          <w:szCs w:val="24"/>
        </w:rPr>
        <w:t xml:space="preserve"> P</w:t>
      </w:r>
      <w:r w:rsidR="00BF7358" w:rsidRPr="005C430B">
        <w:rPr>
          <w:rFonts w:ascii="Book Antiqua" w:hAnsi="Book Antiqua" w:cs="Times New Roman"/>
          <w:i/>
          <w:sz w:val="24"/>
          <w:szCs w:val="24"/>
          <w:lang w:eastAsia="zh-CN"/>
        </w:rPr>
        <w:t xml:space="preserve"> </w:t>
      </w:r>
      <w:r w:rsidR="00BF7358" w:rsidRPr="005C430B">
        <w:rPr>
          <w:rFonts w:ascii="Book Antiqua" w:hAnsi="Book Antiqua" w:cs="Times New Roman"/>
          <w:sz w:val="24"/>
          <w:szCs w:val="24"/>
        </w:rPr>
        <w:t>= 0.048)</w:t>
      </w:r>
      <w:r w:rsidR="00795A28" w:rsidRPr="005C430B">
        <w:rPr>
          <w:rFonts w:ascii="Book Antiqua" w:hAnsi="Book Antiqua" w:cs="Times New Roman"/>
          <w:sz w:val="24"/>
          <w:szCs w:val="24"/>
          <w:vertAlign w:val="superscript"/>
        </w:rPr>
        <w:t>[33]</w:t>
      </w:r>
      <w:r w:rsidR="004F6A20" w:rsidRPr="005C430B">
        <w:rPr>
          <w:rFonts w:ascii="Book Antiqua" w:hAnsi="Book Antiqua" w:cs="Times New Roman"/>
          <w:sz w:val="24"/>
          <w:szCs w:val="24"/>
        </w:rPr>
        <w:t xml:space="preserve"> without any increasing toxicity in the experimental arm. </w:t>
      </w:r>
      <w:r w:rsidR="004B69ED" w:rsidRPr="005C430B">
        <w:rPr>
          <w:rFonts w:ascii="Book Antiqua" w:hAnsi="Book Antiqua" w:cs="Times New Roman"/>
          <w:sz w:val="24"/>
          <w:szCs w:val="24"/>
        </w:rPr>
        <w:t>The latest and largest trial in ESFT is the ongoing EE99 trial that compared cyclophosphamide with ifosfamide in standard risk ESFT and the early result showed equivalent outcome in both arm with pending long-term toxicity results</w:t>
      </w:r>
      <w:r w:rsidR="00795A28" w:rsidRPr="005C430B">
        <w:rPr>
          <w:rFonts w:ascii="Book Antiqua" w:hAnsi="Book Antiqua" w:cs="Times New Roman"/>
          <w:sz w:val="24"/>
          <w:szCs w:val="24"/>
          <w:vertAlign w:val="superscript"/>
        </w:rPr>
        <w:t>[15]</w:t>
      </w:r>
      <w:r w:rsidR="004B69ED" w:rsidRPr="005C430B">
        <w:rPr>
          <w:rFonts w:ascii="Book Antiqua" w:hAnsi="Book Antiqua" w:cs="Times New Roman"/>
          <w:sz w:val="24"/>
          <w:szCs w:val="24"/>
        </w:rPr>
        <w:t xml:space="preserve"> (Table 2).</w:t>
      </w:r>
      <w:r w:rsidR="006E453E" w:rsidRPr="005C430B">
        <w:rPr>
          <w:rFonts w:ascii="Book Antiqua" w:hAnsi="Book Antiqua" w:cs="Times New Roman"/>
          <w:sz w:val="24"/>
          <w:szCs w:val="24"/>
        </w:rPr>
        <w:t xml:space="preserve"> </w:t>
      </w:r>
      <w:r w:rsidR="000F41F1" w:rsidRPr="005C430B">
        <w:rPr>
          <w:rFonts w:ascii="Book Antiqua" w:hAnsi="Book Antiqua" w:cs="Times New Roman"/>
          <w:sz w:val="24"/>
          <w:szCs w:val="24"/>
        </w:rPr>
        <w:t xml:space="preserve">The role of high dose chemotherapy with autologus stem cell rescue not well studied in localized disease as consolidation in comparison to continuation or maintenance chemotherapy. </w:t>
      </w:r>
      <w:r w:rsidR="00D15E29" w:rsidRPr="005C430B">
        <w:rPr>
          <w:rFonts w:ascii="Book Antiqua" w:hAnsi="Book Antiqua" w:cs="Times New Roman"/>
          <w:sz w:val="24"/>
          <w:szCs w:val="24"/>
        </w:rPr>
        <w:t>Two cooperative trials</w:t>
      </w:r>
      <w:r w:rsidR="00795A28" w:rsidRPr="005C430B">
        <w:rPr>
          <w:rFonts w:ascii="Book Antiqua" w:hAnsi="Book Antiqua" w:cs="Times New Roman"/>
          <w:sz w:val="24"/>
          <w:szCs w:val="24"/>
          <w:vertAlign w:val="superscript"/>
        </w:rPr>
        <w:t>[34,35]</w:t>
      </w:r>
      <w:r w:rsidR="00D15E29" w:rsidRPr="005C430B">
        <w:rPr>
          <w:rFonts w:ascii="Book Antiqua" w:hAnsi="Book Antiqua" w:cs="Times New Roman"/>
          <w:sz w:val="24"/>
          <w:szCs w:val="24"/>
        </w:rPr>
        <w:t xml:space="preserve"> used BuMel conditioning regimen with stem cell rescue as consolidation therapy in a non-randomized manner </w:t>
      </w:r>
      <w:r w:rsidR="0090728A" w:rsidRPr="005C430B">
        <w:rPr>
          <w:rFonts w:ascii="Book Antiqua" w:hAnsi="Book Antiqua" w:cs="Times New Roman"/>
          <w:sz w:val="24"/>
          <w:szCs w:val="24"/>
        </w:rPr>
        <w:t xml:space="preserve">in high risk localized disease (defined as poor histologic response to chemotherapy) and showed improved survival as compared to historical control and similar to that of standard risk patients. </w:t>
      </w:r>
      <w:r w:rsidR="000F41F1" w:rsidRPr="005C430B">
        <w:rPr>
          <w:rFonts w:ascii="Book Antiqua" w:hAnsi="Book Antiqua" w:cs="Times New Roman"/>
          <w:sz w:val="24"/>
          <w:szCs w:val="24"/>
        </w:rPr>
        <w:t xml:space="preserve"> </w:t>
      </w:r>
      <w:r w:rsidR="005B3799" w:rsidRPr="005C430B">
        <w:rPr>
          <w:rFonts w:ascii="Book Antiqua" w:hAnsi="Book Antiqua" w:cs="Times New Roman"/>
          <w:sz w:val="24"/>
          <w:szCs w:val="24"/>
        </w:rPr>
        <w:t xml:space="preserve">Following that result the recent ongoing EE99 trial randomized (arm 2) BuMel based high dose chemotherapy </w:t>
      </w:r>
      <w:r w:rsidR="009B3FC7" w:rsidRPr="005C430B">
        <w:rPr>
          <w:rFonts w:ascii="Book Antiqua" w:hAnsi="Book Antiqua" w:cs="Times New Roman"/>
          <w:i/>
          <w:sz w:val="24"/>
          <w:szCs w:val="24"/>
        </w:rPr>
        <w:t>vs</w:t>
      </w:r>
      <w:r w:rsidR="005B3799" w:rsidRPr="005C430B">
        <w:rPr>
          <w:rFonts w:ascii="Book Antiqua" w:hAnsi="Book Antiqua" w:cs="Times New Roman"/>
          <w:sz w:val="24"/>
          <w:szCs w:val="24"/>
        </w:rPr>
        <w:t xml:space="preserve"> continuation of standard chemotherapy after VIDE induction chemotherapy in </w:t>
      </w:r>
      <w:r w:rsidR="00C47774" w:rsidRPr="005C430B">
        <w:rPr>
          <w:rFonts w:ascii="Book Antiqua" w:hAnsi="Book Antiqua" w:cs="Times New Roman"/>
          <w:sz w:val="24"/>
          <w:szCs w:val="24"/>
        </w:rPr>
        <w:t>high</w:t>
      </w:r>
      <w:r w:rsidR="005B3799" w:rsidRPr="005C430B">
        <w:rPr>
          <w:rFonts w:ascii="Book Antiqua" w:hAnsi="Book Antiqua" w:cs="Times New Roman"/>
          <w:sz w:val="24"/>
          <w:szCs w:val="24"/>
        </w:rPr>
        <w:t xml:space="preserve"> risk localized patients an</w:t>
      </w:r>
      <w:r w:rsidR="00425C23" w:rsidRPr="005C430B">
        <w:rPr>
          <w:rFonts w:ascii="Book Antiqua" w:hAnsi="Book Antiqua" w:cs="Times New Roman"/>
          <w:sz w:val="24"/>
          <w:szCs w:val="24"/>
        </w:rPr>
        <w:t>d the result is still pending (T</w:t>
      </w:r>
      <w:r w:rsidR="005B3799" w:rsidRPr="005C430B">
        <w:rPr>
          <w:rFonts w:ascii="Book Antiqua" w:hAnsi="Book Antiqua" w:cs="Times New Roman"/>
          <w:sz w:val="24"/>
          <w:szCs w:val="24"/>
        </w:rPr>
        <w:t xml:space="preserve">able 2). </w:t>
      </w:r>
    </w:p>
    <w:p w:rsidR="00BF7358" w:rsidRPr="005C430B" w:rsidRDefault="00BF7358" w:rsidP="00201740">
      <w:pPr>
        <w:spacing w:after="0" w:line="360" w:lineRule="auto"/>
        <w:jc w:val="both"/>
        <w:rPr>
          <w:rFonts w:ascii="Book Antiqua" w:hAnsi="Book Antiqua" w:cs="Times New Roman"/>
          <w:sz w:val="24"/>
          <w:szCs w:val="24"/>
          <w:lang w:eastAsia="zh-CN"/>
        </w:rPr>
      </w:pPr>
    </w:p>
    <w:p w:rsidR="00C02D77" w:rsidRPr="005C430B" w:rsidRDefault="00C02D77" w:rsidP="00201740">
      <w:pPr>
        <w:spacing w:after="0" w:line="360" w:lineRule="auto"/>
        <w:jc w:val="both"/>
        <w:rPr>
          <w:rFonts w:ascii="Book Antiqua" w:hAnsi="Book Antiqua" w:cs="Times New Roman"/>
          <w:b/>
          <w:i/>
          <w:caps/>
          <w:sz w:val="24"/>
          <w:szCs w:val="24"/>
        </w:rPr>
      </w:pPr>
      <w:r w:rsidRPr="005C430B">
        <w:rPr>
          <w:rFonts w:ascii="Book Antiqua" w:hAnsi="Book Antiqua" w:cs="Times New Roman"/>
          <w:b/>
          <w:i/>
          <w:caps/>
          <w:sz w:val="24"/>
          <w:szCs w:val="24"/>
        </w:rPr>
        <w:t>W</w:t>
      </w:r>
      <w:r w:rsidR="00BF7358" w:rsidRPr="005C430B">
        <w:rPr>
          <w:rFonts w:ascii="Book Antiqua" w:hAnsi="Book Antiqua" w:cs="Times New Roman"/>
          <w:b/>
          <w:i/>
          <w:sz w:val="24"/>
          <w:szCs w:val="24"/>
        </w:rPr>
        <w:t>hat local therapy and when?</w:t>
      </w:r>
    </w:p>
    <w:p w:rsidR="007A7DB8" w:rsidRPr="005C430B" w:rsidRDefault="004321E3" w:rsidP="00201740">
      <w:pPr>
        <w:spacing w:after="0" w:line="360" w:lineRule="auto"/>
        <w:jc w:val="both"/>
        <w:rPr>
          <w:rFonts w:ascii="Book Antiqua" w:hAnsi="Book Antiqua" w:cs="Times New Roman"/>
          <w:sz w:val="24"/>
          <w:szCs w:val="24"/>
        </w:rPr>
      </w:pPr>
      <w:r w:rsidRPr="005C430B">
        <w:rPr>
          <w:rFonts w:ascii="Book Antiqua" w:hAnsi="Book Antiqua" w:cs="Times New Roman"/>
          <w:sz w:val="24"/>
          <w:szCs w:val="24"/>
        </w:rPr>
        <w:lastRenderedPageBreak/>
        <w:t xml:space="preserve">The outcome of ESFT with surgery or radiotherapy alone was dismal and with introduction of polychemotherapy regimen improved the outcome dramatically by eradicating systemic micrometastsis in localized disease. But, chemotherapy alone can’t eradicate ESF tumor cells and timely incorporation of local therapy either surgery and/or radiotherapy is crucial for optimum management and to produce high cure rate. The approach of local therapy evolved over time with better understanding of the disease biology, better radiation technique, invention of newer engineered prosthesis, better imaging modalities and more information of therapy related complications. </w:t>
      </w:r>
      <w:r w:rsidR="004F2894" w:rsidRPr="005C430B">
        <w:rPr>
          <w:rFonts w:ascii="Book Antiqua" w:hAnsi="Book Antiqua" w:cs="Times New Roman"/>
          <w:sz w:val="24"/>
          <w:szCs w:val="24"/>
        </w:rPr>
        <w:t>The choice of local trea</w:t>
      </w:r>
      <w:r w:rsidR="005C308C" w:rsidRPr="005C430B">
        <w:rPr>
          <w:rFonts w:ascii="Book Antiqua" w:hAnsi="Book Antiqua" w:cs="Times New Roman"/>
          <w:sz w:val="24"/>
          <w:szCs w:val="24"/>
        </w:rPr>
        <w:t xml:space="preserve">tment influenced by multiple factors, </w:t>
      </w:r>
      <w:r w:rsidR="00C503DE">
        <w:rPr>
          <w:rFonts w:ascii="Book Antiqua" w:hAnsi="Book Antiqua" w:cs="Times New Roman" w:hint="eastAsia"/>
          <w:sz w:val="24"/>
          <w:szCs w:val="24"/>
          <w:lang w:eastAsia="zh-CN"/>
        </w:rPr>
        <w:t>such as</w:t>
      </w:r>
      <w:r w:rsidR="005C308C" w:rsidRPr="005C430B">
        <w:rPr>
          <w:rFonts w:ascii="Book Antiqua" w:hAnsi="Book Antiqua" w:cs="Times New Roman"/>
          <w:sz w:val="24"/>
          <w:szCs w:val="24"/>
        </w:rPr>
        <w:t xml:space="preserve"> age of the patients, site and size of the tumor, </w:t>
      </w:r>
      <w:r w:rsidR="00067F02" w:rsidRPr="005C430B">
        <w:rPr>
          <w:rFonts w:ascii="Book Antiqua" w:hAnsi="Book Antiqua" w:cs="Times New Roman"/>
          <w:sz w:val="24"/>
          <w:szCs w:val="24"/>
        </w:rPr>
        <w:t xml:space="preserve">local extent of the tumor, </w:t>
      </w:r>
      <w:r w:rsidR="005C308C" w:rsidRPr="005C430B">
        <w:rPr>
          <w:rFonts w:ascii="Book Antiqua" w:hAnsi="Book Antiqua" w:cs="Times New Roman"/>
          <w:sz w:val="24"/>
          <w:szCs w:val="24"/>
        </w:rPr>
        <w:t>clinic-radiological response to chemotherapy</w:t>
      </w:r>
      <w:r w:rsidR="00067F02" w:rsidRPr="005C430B">
        <w:rPr>
          <w:rFonts w:ascii="Book Antiqua" w:hAnsi="Book Antiqua" w:cs="Times New Roman"/>
          <w:sz w:val="24"/>
          <w:szCs w:val="24"/>
        </w:rPr>
        <w:t xml:space="preserve">, expertise and experience of the treating institution and surgeon and patient’s choice, </w:t>
      </w:r>
      <w:r w:rsidR="00067F02" w:rsidRPr="005C430B">
        <w:rPr>
          <w:rFonts w:ascii="Book Antiqua" w:hAnsi="Book Antiqua" w:cs="Times New Roman"/>
          <w:i/>
          <w:sz w:val="24"/>
          <w:szCs w:val="24"/>
        </w:rPr>
        <w:t>etc.</w:t>
      </w:r>
      <w:r w:rsidR="00067F02" w:rsidRPr="005C430B">
        <w:rPr>
          <w:rFonts w:ascii="Book Antiqua" w:hAnsi="Book Antiqua" w:cs="Times New Roman"/>
          <w:sz w:val="24"/>
          <w:szCs w:val="24"/>
        </w:rPr>
        <w:t xml:space="preserve"> </w:t>
      </w:r>
      <w:r w:rsidR="007449FE" w:rsidRPr="005C430B">
        <w:rPr>
          <w:rFonts w:ascii="Book Antiqua" w:hAnsi="Book Antiqua" w:cs="Times New Roman"/>
          <w:sz w:val="24"/>
          <w:szCs w:val="24"/>
        </w:rPr>
        <w:t xml:space="preserve">The different modalities of local treatment include- surgery (amputation, limb </w:t>
      </w:r>
      <w:r w:rsidR="006D0EB4" w:rsidRPr="005C430B">
        <w:rPr>
          <w:rFonts w:ascii="Book Antiqua" w:hAnsi="Book Antiqua" w:cs="Times New Roman"/>
          <w:sz w:val="24"/>
          <w:szCs w:val="24"/>
        </w:rPr>
        <w:t>salvage</w:t>
      </w:r>
      <w:r w:rsidR="007449FE" w:rsidRPr="005C430B">
        <w:rPr>
          <w:rFonts w:ascii="Book Antiqua" w:hAnsi="Book Antiqua" w:cs="Times New Roman"/>
          <w:sz w:val="24"/>
          <w:szCs w:val="24"/>
        </w:rPr>
        <w:t xml:space="preserve"> or organ sparing surgery) with or without adjuvant radiotherapy, radical radiotherapy, pre-operative radiotherapy, extracorporeal radiotherapy. </w:t>
      </w:r>
      <w:r w:rsidR="006D0EB4" w:rsidRPr="005C430B">
        <w:rPr>
          <w:rFonts w:ascii="Book Antiqua" w:hAnsi="Book Antiqua" w:cs="Times New Roman"/>
          <w:sz w:val="24"/>
          <w:szCs w:val="24"/>
        </w:rPr>
        <w:t>No prospective formal comparison done between surgery and radiotherapy as local treatment. Across the clinical trials and institutional experience, surgery done better in terms of long term outcome (both local and systemic control)</w:t>
      </w:r>
      <w:r w:rsidR="007A7DB8" w:rsidRPr="005C430B">
        <w:rPr>
          <w:rFonts w:ascii="Book Antiqua" w:hAnsi="Book Antiqua" w:cs="Times New Roman"/>
          <w:sz w:val="24"/>
          <w:szCs w:val="24"/>
        </w:rPr>
        <w:t>, and thus a formal comparison between this two seems not feasible in future.</w:t>
      </w:r>
    </w:p>
    <w:p w:rsidR="00E864C0" w:rsidRPr="005C430B" w:rsidRDefault="007A7DB8" w:rsidP="00BF7358">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ESFT is a radiosensitive tumor, but the long term outcome was &lt;</w:t>
      </w:r>
      <w:r w:rsidR="00BF7358"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10% with high incidence of local</w:t>
      </w:r>
      <w:r w:rsidR="00795A28" w:rsidRPr="005C430B">
        <w:rPr>
          <w:rFonts w:ascii="Book Antiqua" w:hAnsi="Book Antiqua" w:cs="Times New Roman"/>
          <w:sz w:val="24"/>
          <w:szCs w:val="24"/>
          <w:vertAlign w:val="superscript"/>
        </w:rPr>
        <w:t>[36]</w:t>
      </w:r>
      <w:r w:rsidRPr="005C430B">
        <w:rPr>
          <w:rFonts w:ascii="Book Antiqua" w:hAnsi="Book Antiqua" w:cs="Times New Roman"/>
          <w:sz w:val="24"/>
          <w:szCs w:val="24"/>
        </w:rPr>
        <w:t xml:space="preserve"> and systemic recurrence. Surgery slowly replaced radiotherapy in view of better local control rate, lesser long-term complication</w:t>
      </w:r>
      <w:r w:rsidR="0042268B" w:rsidRPr="005C430B">
        <w:rPr>
          <w:rFonts w:ascii="Book Antiqua" w:hAnsi="Book Antiqua" w:cs="Times New Roman"/>
          <w:sz w:val="24"/>
          <w:szCs w:val="24"/>
        </w:rPr>
        <w:t xml:space="preserve"> compared to radiotherapy</w:t>
      </w:r>
      <w:r w:rsidRPr="005C430B">
        <w:rPr>
          <w:rFonts w:ascii="Book Antiqua" w:hAnsi="Book Antiqua" w:cs="Times New Roman"/>
          <w:sz w:val="24"/>
          <w:szCs w:val="24"/>
        </w:rPr>
        <w:t xml:space="preserve"> and with invention of better bone replacement materials (endoprosthesis, bone cement, allograft, vascularized autograft) the rate of limb</w:t>
      </w:r>
      <w:r w:rsidR="00E46A1A" w:rsidRPr="005C430B">
        <w:rPr>
          <w:rFonts w:ascii="Book Antiqua" w:hAnsi="Book Antiqua" w:cs="Times New Roman"/>
          <w:sz w:val="24"/>
          <w:szCs w:val="24"/>
        </w:rPr>
        <w:t xml:space="preserve"> </w:t>
      </w:r>
      <w:r w:rsidRPr="005C430B">
        <w:rPr>
          <w:rFonts w:ascii="Book Antiqua" w:hAnsi="Book Antiqua" w:cs="Times New Roman"/>
          <w:sz w:val="24"/>
          <w:szCs w:val="24"/>
        </w:rPr>
        <w:t>sparing surgery has increased as a norm now-a-days</w:t>
      </w:r>
      <w:r w:rsidR="00795A28" w:rsidRPr="005C430B">
        <w:rPr>
          <w:rFonts w:ascii="Book Antiqua" w:hAnsi="Book Antiqua" w:cs="Times New Roman"/>
          <w:sz w:val="24"/>
          <w:szCs w:val="24"/>
          <w:vertAlign w:val="superscript"/>
        </w:rPr>
        <w:t>[36,37]</w:t>
      </w:r>
      <w:r w:rsidRPr="005C430B">
        <w:rPr>
          <w:rFonts w:ascii="Book Antiqua" w:hAnsi="Book Antiqua" w:cs="Times New Roman"/>
          <w:sz w:val="24"/>
          <w:szCs w:val="24"/>
        </w:rPr>
        <w:t xml:space="preserve">. </w:t>
      </w:r>
      <w:r w:rsidR="0042268B" w:rsidRPr="005C430B">
        <w:rPr>
          <w:rFonts w:ascii="Book Antiqua" w:hAnsi="Book Antiqua" w:cs="Times New Roman"/>
          <w:sz w:val="24"/>
          <w:szCs w:val="24"/>
        </w:rPr>
        <w:t xml:space="preserve">But, the surgery is also associated with long-term complications, </w:t>
      </w:r>
      <w:r w:rsidR="00BE13AA">
        <w:rPr>
          <w:rFonts w:ascii="Book Antiqua" w:hAnsi="Book Antiqua" w:cs="Times New Roman" w:hint="eastAsia"/>
          <w:sz w:val="24"/>
          <w:szCs w:val="24"/>
          <w:lang w:eastAsia="zh-CN"/>
        </w:rPr>
        <w:t>such as</w:t>
      </w:r>
      <w:r w:rsidR="0042268B" w:rsidRPr="005C430B">
        <w:rPr>
          <w:rFonts w:ascii="Book Antiqua" w:hAnsi="Book Antiqua" w:cs="Times New Roman"/>
          <w:sz w:val="24"/>
          <w:szCs w:val="24"/>
        </w:rPr>
        <w:t xml:space="preserve">-post-op infection, limb-length discrepancy, fractures, </w:t>
      </w:r>
      <w:r w:rsidR="0042268B" w:rsidRPr="005C430B">
        <w:rPr>
          <w:rFonts w:ascii="Book Antiqua" w:hAnsi="Book Antiqua" w:cs="Times New Roman"/>
          <w:i/>
          <w:sz w:val="24"/>
          <w:szCs w:val="24"/>
        </w:rPr>
        <w:t>etc</w:t>
      </w:r>
      <w:r w:rsidR="0042268B" w:rsidRPr="005C430B">
        <w:rPr>
          <w:rFonts w:ascii="Book Antiqua" w:hAnsi="Book Antiqua" w:cs="Times New Roman"/>
          <w:sz w:val="24"/>
          <w:szCs w:val="24"/>
        </w:rPr>
        <w:t>. Maintaining limb length is difficult in growing children and expandable endoprosthesis comes handy in this scenario with its increasing uses.</w:t>
      </w:r>
      <w:r w:rsidR="00E864C0" w:rsidRPr="005C430B">
        <w:rPr>
          <w:rFonts w:ascii="Book Antiqua" w:hAnsi="Book Antiqua" w:cs="Times New Roman"/>
          <w:sz w:val="24"/>
          <w:szCs w:val="24"/>
        </w:rPr>
        <w:t xml:space="preserve"> </w:t>
      </w:r>
    </w:p>
    <w:p w:rsidR="00DC78A2" w:rsidRPr="005C430B" w:rsidRDefault="00E864C0" w:rsidP="00BF7358">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 xml:space="preserve">The surgical resection principle depends on the respectability, size </w:t>
      </w:r>
      <w:r w:rsidR="00BF7358"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sites the tumor and its operability after chemotherapy. </w:t>
      </w:r>
      <w:r w:rsidR="00050FC9" w:rsidRPr="005C430B">
        <w:rPr>
          <w:rFonts w:ascii="Book Antiqua" w:hAnsi="Book Antiqua" w:cs="Times New Roman"/>
          <w:sz w:val="24"/>
          <w:szCs w:val="24"/>
        </w:rPr>
        <w:t xml:space="preserve">A functional limb or organ is the norm after any local treatment modality. Amputation is rarely indicated and limb salvage or </w:t>
      </w:r>
      <w:r w:rsidR="00050FC9" w:rsidRPr="005C430B">
        <w:rPr>
          <w:rFonts w:ascii="Book Antiqua" w:hAnsi="Book Antiqua" w:cs="Times New Roman"/>
          <w:sz w:val="24"/>
          <w:szCs w:val="24"/>
        </w:rPr>
        <w:lastRenderedPageBreak/>
        <w:t>organ sparing surgery should be tried whenever feasible. S</w:t>
      </w:r>
      <w:r w:rsidRPr="005C430B">
        <w:rPr>
          <w:rFonts w:ascii="Book Antiqua" w:hAnsi="Book Antiqua" w:cs="Times New Roman"/>
          <w:sz w:val="24"/>
          <w:szCs w:val="24"/>
        </w:rPr>
        <w:t>urgical resection should be tried whenever a marginal or wide resection is feasible as the outcome seems to be superior to radica</w:t>
      </w:r>
      <w:r w:rsidR="0029657E" w:rsidRPr="005C430B">
        <w:rPr>
          <w:rFonts w:ascii="Book Antiqua" w:hAnsi="Book Antiqua" w:cs="Times New Roman"/>
          <w:sz w:val="24"/>
          <w:szCs w:val="24"/>
        </w:rPr>
        <w:t>l radiotherapy as local control</w:t>
      </w:r>
      <w:r w:rsidR="00795A28" w:rsidRPr="005C430B">
        <w:rPr>
          <w:rFonts w:ascii="Book Antiqua" w:hAnsi="Book Antiqua" w:cs="Times New Roman"/>
          <w:sz w:val="24"/>
          <w:szCs w:val="24"/>
          <w:vertAlign w:val="superscript"/>
        </w:rPr>
        <w:t>[11,32,36,38</w:t>
      </w:r>
      <w:r w:rsidR="003025E1">
        <w:rPr>
          <w:rFonts w:ascii="Book Antiqua" w:hAnsi="Book Antiqua" w:cs="Times New Roman" w:hint="eastAsia"/>
          <w:sz w:val="24"/>
          <w:szCs w:val="24"/>
          <w:vertAlign w:val="superscript"/>
          <w:lang w:eastAsia="zh-CN"/>
        </w:rPr>
        <w:t>-</w:t>
      </w:r>
      <w:r w:rsidR="00795A28" w:rsidRPr="005C430B">
        <w:rPr>
          <w:rFonts w:ascii="Book Antiqua" w:hAnsi="Book Antiqua" w:cs="Times New Roman"/>
          <w:sz w:val="24"/>
          <w:szCs w:val="24"/>
          <w:vertAlign w:val="superscript"/>
        </w:rPr>
        <w:t>42]</w:t>
      </w:r>
      <w:r w:rsidRPr="005C430B">
        <w:rPr>
          <w:rFonts w:ascii="Book Antiqua" w:hAnsi="Book Antiqua" w:cs="Times New Roman"/>
          <w:sz w:val="24"/>
          <w:szCs w:val="24"/>
        </w:rPr>
        <w:t>.</w:t>
      </w:r>
      <w:r w:rsidR="006D0EB4" w:rsidRPr="005C430B">
        <w:rPr>
          <w:rFonts w:ascii="Book Antiqua" w:hAnsi="Book Antiqua" w:cs="Times New Roman"/>
          <w:sz w:val="24"/>
          <w:szCs w:val="24"/>
        </w:rPr>
        <w:t xml:space="preserve"> </w:t>
      </w:r>
      <w:r w:rsidR="00050FC9" w:rsidRPr="005C430B">
        <w:rPr>
          <w:rFonts w:ascii="Book Antiqua" w:hAnsi="Book Antiqua" w:cs="Times New Roman"/>
          <w:sz w:val="24"/>
          <w:szCs w:val="24"/>
        </w:rPr>
        <w:t>Intralesional or debulking surgery should be avoided as the outcome is not s</w:t>
      </w:r>
      <w:r w:rsidR="0029657E" w:rsidRPr="005C430B">
        <w:rPr>
          <w:rFonts w:ascii="Book Antiqua" w:hAnsi="Book Antiqua" w:cs="Times New Roman"/>
          <w:sz w:val="24"/>
          <w:szCs w:val="24"/>
        </w:rPr>
        <w:t>uperior over radiotherapy alone</w:t>
      </w:r>
      <w:r w:rsidR="00795A28" w:rsidRPr="005C430B">
        <w:rPr>
          <w:rFonts w:ascii="Book Antiqua" w:hAnsi="Book Antiqua" w:cs="Times New Roman"/>
          <w:sz w:val="24"/>
          <w:szCs w:val="24"/>
          <w:vertAlign w:val="superscript"/>
        </w:rPr>
        <w:t>[41]</w:t>
      </w:r>
      <w:r w:rsidR="00050FC9" w:rsidRPr="005C430B">
        <w:rPr>
          <w:rFonts w:ascii="Book Antiqua" w:hAnsi="Book Antiqua" w:cs="Times New Roman"/>
          <w:sz w:val="24"/>
          <w:szCs w:val="24"/>
        </w:rPr>
        <w:t>.</w:t>
      </w:r>
    </w:p>
    <w:p w:rsidR="004321E3" w:rsidRPr="005C430B" w:rsidRDefault="00DC78A2" w:rsidP="0029657E">
      <w:pPr>
        <w:spacing w:after="0" w:line="360" w:lineRule="auto"/>
        <w:ind w:firstLineChars="100" w:firstLine="240"/>
        <w:jc w:val="both"/>
        <w:rPr>
          <w:rFonts w:ascii="Book Antiqua" w:hAnsi="Book Antiqua" w:cs="Times New Roman"/>
          <w:sz w:val="24"/>
          <w:szCs w:val="24"/>
          <w:lang w:eastAsia="zh-CN"/>
        </w:rPr>
      </w:pPr>
      <w:r w:rsidRPr="005C430B">
        <w:rPr>
          <w:rFonts w:ascii="Book Antiqua" w:hAnsi="Book Antiqua" w:cs="Times New Roman"/>
          <w:sz w:val="24"/>
          <w:szCs w:val="24"/>
        </w:rPr>
        <w:t xml:space="preserve">Definitive or radical radiotherapy as local treatment modality used where non-mutilating, wide local excision </w:t>
      </w:r>
      <w:r w:rsidR="00850943" w:rsidRPr="005C430B">
        <w:rPr>
          <w:rFonts w:ascii="Book Antiqua" w:hAnsi="Book Antiqua" w:cs="Times New Roman"/>
          <w:sz w:val="24"/>
          <w:szCs w:val="24"/>
        </w:rPr>
        <w:t>is not feasible with a functional organ, more so in axial primary</w:t>
      </w:r>
      <w:r w:rsidR="00C503DE">
        <w:rPr>
          <w:rFonts w:ascii="Book Antiqua" w:hAnsi="Book Antiqua" w:cs="Times New Roman" w:hint="eastAsia"/>
          <w:sz w:val="24"/>
          <w:szCs w:val="24"/>
          <w:lang w:eastAsia="zh-CN"/>
        </w:rPr>
        <w:t>,</w:t>
      </w:r>
      <w:r w:rsidR="00850943" w:rsidRPr="005C430B">
        <w:rPr>
          <w:rFonts w:ascii="Book Antiqua" w:hAnsi="Book Antiqua" w:cs="Times New Roman"/>
          <w:sz w:val="24"/>
          <w:szCs w:val="24"/>
        </w:rPr>
        <w:t xml:space="preserve"> </w:t>
      </w:r>
      <w:r w:rsidR="00C503DE">
        <w:rPr>
          <w:rFonts w:ascii="Book Antiqua" w:hAnsi="Book Antiqua" w:cs="Times New Roman" w:hint="eastAsia"/>
          <w:sz w:val="24"/>
          <w:szCs w:val="24"/>
          <w:lang w:eastAsia="zh-CN"/>
        </w:rPr>
        <w:t>such as</w:t>
      </w:r>
      <w:r w:rsidR="0029657E" w:rsidRPr="005C430B">
        <w:rPr>
          <w:rFonts w:ascii="Book Antiqua" w:hAnsi="Book Antiqua" w:cs="Times New Roman"/>
          <w:sz w:val="24"/>
          <w:szCs w:val="24"/>
          <w:lang w:eastAsia="zh-CN"/>
        </w:rPr>
        <w:t xml:space="preserve"> </w:t>
      </w:r>
      <w:r w:rsidR="00850943" w:rsidRPr="005C430B">
        <w:rPr>
          <w:rFonts w:ascii="Book Antiqua" w:hAnsi="Book Antiqua" w:cs="Times New Roman"/>
          <w:sz w:val="24"/>
          <w:szCs w:val="24"/>
        </w:rPr>
        <w:t xml:space="preserve">- head </w:t>
      </w:r>
      <w:r w:rsidR="0029657E" w:rsidRPr="005C430B">
        <w:rPr>
          <w:rFonts w:ascii="Book Antiqua" w:hAnsi="Book Antiqua" w:cs="Times New Roman"/>
          <w:sz w:val="24"/>
          <w:szCs w:val="24"/>
          <w:lang w:eastAsia="zh-CN"/>
        </w:rPr>
        <w:t>and</w:t>
      </w:r>
      <w:r w:rsidR="00850943" w:rsidRPr="005C430B">
        <w:rPr>
          <w:rFonts w:ascii="Book Antiqua" w:hAnsi="Book Antiqua" w:cs="Times New Roman"/>
          <w:sz w:val="24"/>
          <w:szCs w:val="24"/>
        </w:rPr>
        <w:t xml:space="preserve"> area, spine, pelvic primary and in very large lesion not amenable to curative surgery even after neoadjuvant chemotherapy, and in case of a metastatic disease,</w:t>
      </w:r>
      <w:r w:rsidR="00850943" w:rsidRPr="00C503DE">
        <w:rPr>
          <w:rFonts w:ascii="Book Antiqua" w:hAnsi="Book Antiqua" w:cs="Times New Roman"/>
          <w:i/>
          <w:sz w:val="24"/>
          <w:szCs w:val="24"/>
        </w:rPr>
        <w:t xml:space="preserve"> etc</w:t>
      </w:r>
      <w:r w:rsidR="00850943" w:rsidRPr="005C430B">
        <w:rPr>
          <w:rFonts w:ascii="Book Antiqua" w:hAnsi="Book Antiqua" w:cs="Times New Roman"/>
          <w:sz w:val="24"/>
          <w:szCs w:val="24"/>
        </w:rPr>
        <w:t xml:space="preserve">. </w:t>
      </w:r>
      <w:r w:rsidR="00676B14" w:rsidRPr="005C430B">
        <w:rPr>
          <w:rFonts w:ascii="Book Antiqua" w:hAnsi="Book Antiqua" w:cs="Times New Roman"/>
          <w:sz w:val="24"/>
          <w:szCs w:val="24"/>
        </w:rPr>
        <w:t>T</w:t>
      </w:r>
      <w:r w:rsidR="00850943" w:rsidRPr="005C430B">
        <w:rPr>
          <w:rFonts w:ascii="Book Antiqua" w:hAnsi="Book Antiqua" w:cs="Times New Roman"/>
          <w:sz w:val="24"/>
          <w:szCs w:val="24"/>
        </w:rPr>
        <w:t xml:space="preserve">he recommended dose </w:t>
      </w:r>
      <w:r w:rsidR="00676B14" w:rsidRPr="005C430B">
        <w:rPr>
          <w:rFonts w:ascii="Book Antiqua" w:hAnsi="Book Antiqua" w:cs="Times New Roman"/>
          <w:sz w:val="24"/>
          <w:szCs w:val="24"/>
        </w:rPr>
        <w:t>varies from 55 to 60 Gy in standard fractionation with 2 cm margin that shou</w:t>
      </w:r>
      <w:r w:rsidR="0029657E" w:rsidRPr="005C430B">
        <w:rPr>
          <w:rFonts w:ascii="Book Antiqua" w:hAnsi="Book Antiqua" w:cs="Times New Roman"/>
          <w:sz w:val="24"/>
          <w:szCs w:val="24"/>
        </w:rPr>
        <w:t>ld include original biopsy scar</w:t>
      </w:r>
      <w:r w:rsidR="00795A28" w:rsidRPr="005C430B">
        <w:rPr>
          <w:rFonts w:ascii="Book Antiqua" w:hAnsi="Book Antiqua" w:cs="Times New Roman"/>
          <w:sz w:val="24"/>
          <w:szCs w:val="24"/>
          <w:vertAlign w:val="superscript"/>
        </w:rPr>
        <w:t>[39]</w:t>
      </w:r>
      <w:r w:rsidR="00676B14" w:rsidRPr="005C430B">
        <w:rPr>
          <w:rFonts w:ascii="Book Antiqua" w:hAnsi="Book Antiqua" w:cs="Times New Roman"/>
          <w:sz w:val="24"/>
          <w:szCs w:val="24"/>
        </w:rPr>
        <w:t>. Care should be taken to avoid toxicity to adjacent normal organ and newer techniques</w:t>
      </w:r>
      <w:r w:rsidR="00C503DE">
        <w:rPr>
          <w:rFonts w:ascii="Book Antiqua" w:hAnsi="Book Antiqua" w:cs="Times New Roman" w:hint="eastAsia"/>
          <w:sz w:val="24"/>
          <w:szCs w:val="24"/>
          <w:lang w:eastAsia="zh-CN"/>
        </w:rPr>
        <w:t>,</w:t>
      </w:r>
      <w:r w:rsidR="00676B14" w:rsidRPr="005C430B">
        <w:rPr>
          <w:rFonts w:ascii="Book Antiqua" w:hAnsi="Book Antiqua" w:cs="Times New Roman"/>
          <w:sz w:val="24"/>
          <w:szCs w:val="24"/>
        </w:rPr>
        <w:t xml:space="preserve"> </w:t>
      </w:r>
      <w:r w:rsidR="00C503DE">
        <w:rPr>
          <w:rFonts w:ascii="Book Antiqua" w:hAnsi="Book Antiqua" w:cs="Times New Roman" w:hint="eastAsia"/>
          <w:sz w:val="24"/>
          <w:szCs w:val="24"/>
          <w:lang w:eastAsia="zh-CN"/>
        </w:rPr>
        <w:t>such as</w:t>
      </w:r>
      <w:r w:rsidR="00676B14" w:rsidRPr="005C430B">
        <w:rPr>
          <w:rFonts w:ascii="Book Antiqua" w:hAnsi="Book Antiqua" w:cs="Times New Roman"/>
          <w:sz w:val="24"/>
          <w:szCs w:val="24"/>
        </w:rPr>
        <w:t xml:space="preserve"> </w:t>
      </w:r>
      <w:r w:rsidR="0029657E" w:rsidRPr="005C430B">
        <w:rPr>
          <w:rFonts w:ascii="Book Antiqua" w:hAnsi="Book Antiqua" w:cs="Times New Roman"/>
          <w:sz w:val="24"/>
          <w:szCs w:val="24"/>
          <w:lang w:eastAsia="zh-CN"/>
        </w:rPr>
        <w:t>-</w:t>
      </w:r>
      <w:r w:rsidR="00676B14" w:rsidRPr="005C430B">
        <w:rPr>
          <w:rFonts w:ascii="Book Antiqua" w:hAnsi="Book Antiqua" w:cs="Times New Roman"/>
          <w:sz w:val="24"/>
          <w:szCs w:val="24"/>
        </w:rPr>
        <w:t xml:space="preserve"> intensity modulated radiotherapy, image guided planning or proton therapy, </w:t>
      </w:r>
      <w:r w:rsidR="00C503DE" w:rsidRPr="00C503DE">
        <w:rPr>
          <w:rFonts w:ascii="Book Antiqua" w:hAnsi="Book Antiqua" w:cs="Times New Roman"/>
          <w:i/>
          <w:sz w:val="24"/>
          <w:szCs w:val="24"/>
        </w:rPr>
        <w:t>etc</w:t>
      </w:r>
      <w:r w:rsidR="00C503DE" w:rsidRPr="005C430B">
        <w:rPr>
          <w:rFonts w:ascii="Book Antiqua" w:hAnsi="Book Antiqua" w:cs="Times New Roman"/>
          <w:sz w:val="24"/>
          <w:szCs w:val="24"/>
        </w:rPr>
        <w:t>.</w:t>
      </w:r>
      <w:r w:rsidR="0029657E" w:rsidRPr="005C430B">
        <w:rPr>
          <w:rFonts w:ascii="Book Antiqua" w:hAnsi="Book Antiqua" w:cs="Times New Roman"/>
          <w:sz w:val="24"/>
          <w:szCs w:val="24"/>
        </w:rPr>
        <w:t xml:space="preserve"> should be used in more cases</w:t>
      </w:r>
      <w:r w:rsidR="00795A28" w:rsidRPr="005C430B">
        <w:rPr>
          <w:rFonts w:ascii="Book Antiqua" w:hAnsi="Book Antiqua" w:cs="Times New Roman"/>
          <w:sz w:val="24"/>
          <w:szCs w:val="24"/>
          <w:vertAlign w:val="superscript"/>
        </w:rPr>
        <w:t>[40]</w:t>
      </w:r>
      <w:r w:rsidR="00676B14" w:rsidRPr="005C430B">
        <w:rPr>
          <w:rFonts w:ascii="Book Antiqua" w:hAnsi="Book Antiqua" w:cs="Times New Roman"/>
          <w:sz w:val="24"/>
          <w:szCs w:val="24"/>
        </w:rPr>
        <w:t>. Data on use of post-operative radiotherapy is mostly debated in view of conflicting results from observational studies</w:t>
      </w:r>
      <w:r w:rsidR="00795A28" w:rsidRPr="005C430B">
        <w:rPr>
          <w:rFonts w:ascii="Book Antiqua" w:hAnsi="Book Antiqua" w:cs="Times New Roman"/>
          <w:sz w:val="24"/>
          <w:szCs w:val="24"/>
          <w:vertAlign w:val="superscript"/>
        </w:rPr>
        <w:t>[41</w:t>
      </w:r>
      <w:r w:rsidR="003025E1">
        <w:rPr>
          <w:rFonts w:ascii="Book Antiqua" w:hAnsi="Book Antiqua" w:cs="Times New Roman" w:hint="eastAsia"/>
          <w:sz w:val="24"/>
          <w:szCs w:val="24"/>
          <w:vertAlign w:val="superscript"/>
          <w:lang w:eastAsia="zh-CN"/>
        </w:rPr>
        <w:t>-</w:t>
      </w:r>
      <w:r w:rsidR="00795A28" w:rsidRPr="005C430B">
        <w:rPr>
          <w:rFonts w:ascii="Book Antiqua" w:hAnsi="Book Antiqua" w:cs="Times New Roman"/>
          <w:sz w:val="24"/>
          <w:szCs w:val="24"/>
          <w:vertAlign w:val="superscript"/>
        </w:rPr>
        <w:t>43]</w:t>
      </w:r>
      <w:r w:rsidR="00676B14" w:rsidRPr="005C430B">
        <w:rPr>
          <w:rFonts w:ascii="Book Antiqua" w:hAnsi="Book Antiqua" w:cs="Times New Roman"/>
          <w:sz w:val="24"/>
          <w:szCs w:val="24"/>
        </w:rPr>
        <w:t>. The only clear cut indication is that of intralesional surgery</w:t>
      </w:r>
      <w:r w:rsidR="00795A28" w:rsidRPr="005C430B">
        <w:rPr>
          <w:rFonts w:ascii="Book Antiqua" w:hAnsi="Book Antiqua" w:cs="Times New Roman"/>
          <w:sz w:val="24"/>
          <w:szCs w:val="24"/>
          <w:vertAlign w:val="superscript"/>
        </w:rPr>
        <w:t>[32]</w:t>
      </w:r>
      <w:r w:rsidR="00676B14" w:rsidRPr="005C430B">
        <w:rPr>
          <w:rFonts w:ascii="Book Antiqua" w:hAnsi="Book Antiqua" w:cs="Times New Roman"/>
          <w:sz w:val="24"/>
          <w:szCs w:val="24"/>
        </w:rPr>
        <w:t xml:space="preserve"> where further resection with remaining functional organ is not feasible. </w:t>
      </w:r>
      <w:r w:rsidR="003679D2" w:rsidRPr="005C430B">
        <w:rPr>
          <w:rFonts w:ascii="Book Antiqua" w:hAnsi="Book Antiqua" w:cs="Times New Roman"/>
          <w:sz w:val="24"/>
          <w:szCs w:val="24"/>
        </w:rPr>
        <w:t>Many European institutions use adjuvant radiotherapy in patients with poor histologic response to chemotherapy (&gt;</w:t>
      </w:r>
      <w:r w:rsidR="0029657E" w:rsidRPr="005C430B">
        <w:rPr>
          <w:rFonts w:ascii="Book Antiqua" w:hAnsi="Book Antiqua" w:cs="Times New Roman"/>
          <w:sz w:val="24"/>
          <w:szCs w:val="24"/>
          <w:lang w:eastAsia="zh-CN"/>
        </w:rPr>
        <w:t xml:space="preserve"> </w:t>
      </w:r>
      <w:r w:rsidR="003679D2" w:rsidRPr="005C430B">
        <w:rPr>
          <w:rFonts w:ascii="Book Antiqua" w:hAnsi="Book Antiqua" w:cs="Times New Roman"/>
          <w:sz w:val="24"/>
          <w:szCs w:val="24"/>
        </w:rPr>
        <w:t>10% viable tumor cells) and in a soft tissue primary. Recent EE99 study also showed beneficial effect of adjuvant r</w:t>
      </w:r>
      <w:r w:rsidR="00770B03" w:rsidRPr="005C430B">
        <w:rPr>
          <w:rFonts w:ascii="Book Antiqua" w:hAnsi="Book Antiqua" w:cs="Times New Roman"/>
          <w:sz w:val="24"/>
          <w:szCs w:val="24"/>
        </w:rPr>
        <w:t>adiotherapy even in good respon</w:t>
      </w:r>
      <w:r w:rsidR="003679D2" w:rsidRPr="005C430B">
        <w:rPr>
          <w:rFonts w:ascii="Book Antiqua" w:hAnsi="Book Antiqua" w:cs="Times New Roman"/>
          <w:sz w:val="24"/>
          <w:szCs w:val="24"/>
        </w:rPr>
        <w:t xml:space="preserve">der and thus broadens its future use, though the risk-benefit ratio to be calculated stringently with long-term radiotherapy related complication. </w:t>
      </w:r>
      <w:r w:rsidR="00A4253D" w:rsidRPr="005C430B">
        <w:rPr>
          <w:rFonts w:ascii="Book Antiqua" w:hAnsi="Book Antiqua" w:cs="Times New Roman"/>
          <w:sz w:val="24"/>
          <w:szCs w:val="24"/>
        </w:rPr>
        <w:t>Pre-operative radiation therapy is a good viable future alternative where a complete resection looks not feasible after chemotherapy and thus can sterilize the compartment before reconsideration of surgery after radiotherapy, l</w:t>
      </w:r>
      <w:r w:rsidR="0029657E" w:rsidRPr="005C430B">
        <w:rPr>
          <w:rFonts w:ascii="Book Antiqua" w:hAnsi="Book Antiqua" w:cs="Times New Roman"/>
          <w:sz w:val="24"/>
          <w:szCs w:val="24"/>
        </w:rPr>
        <w:t>ike in pelvic or spinal primary</w:t>
      </w:r>
      <w:r w:rsidR="00795A28" w:rsidRPr="005C430B">
        <w:rPr>
          <w:rFonts w:ascii="Book Antiqua" w:hAnsi="Book Antiqua" w:cs="Times New Roman"/>
          <w:sz w:val="24"/>
          <w:szCs w:val="24"/>
          <w:vertAlign w:val="superscript"/>
        </w:rPr>
        <w:t>[40]</w:t>
      </w:r>
      <w:r w:rsidR="00A4253D" w:rsidRPr="005C430B">
        <w:rPr>
          <w:rFonts w:ascii="Book Antiqua" w:hAnsi="Book Antiqua" w:cs="Times New Roman"/>
          <w:sz w:val="24"/>
          <w:szCs w:val="24"/>
        </w:rPr>
        <w:t xml:space="preserve">. </w:t>
      </w:r>
    </w:p>
    <w:p w:rsidR="0029657E" w:rsidRPr="005C430B" w:rsidRDefault="0029657E" w:rsidP="0029657E">
      <w:pPr>
        <w:spacing w:after="0" w:line="360" w:lineRule="auto"/>
        <w:ind w:firstLineChars="100" w:firstLine="240"/>
        <w:jc w:val="both"/>
        <w:rPr>
          <w:rFonts w:ascii="Book Antiqua" w:hAnsi="Book Antiqua" w:cs="Times New Roman"/>
          <w:sz w:val="24"/>
          <w:szCs w:val="24"/>
          <w:lang w:eastAsia="zh-CN"/>
        </w:rPr>
      </w:pPr>
    </w:p>
    <w:p w:rsidR="00C02D77" w:rsidRPr="005C430B" w:rsidRDefault="00C02D77" w:rsidP="00201740">
      <w:pPr>
        <w:spacing w:after="0" w:line="360" w:lineRule="auto"/>
        <w:jc w:val="both"/>
        <w:rPr>
          <w:rFonts w:ascii="Book Antiqua" w:hAnsi="Book Antiqua" w:cs="Times New Roman"/>
          <w:b/>
          <w:i/>
          <w:caps/>
          <w:sz w:val="24"/>
          <w:szCs w:val="24"/>
        </w:rPr>
      </w:pPr>
      <w:r w:rsidRPr="005C430B">
        <w:rPr>
          <w:rFonts w:ascii="Book Antiqua" w:hAnsi="Book Antiqua" w:cs="Times New Roman"/>
          <w:b/>
          <w:i/>
          <w:caps/>
          <w:sz w:val="24"/>
          <w:szCs w:val="24"/>
        </w:rPr>
        <w:t>W</w:t>
      </w:r>
      <w:r w:rsidR="0029657E" w:rsidRPr="005C430B">
        <w:rPr>
          <w:rFonts w:ascii="Book Antiqua" w:hAnsi="Book Antiqua" w:cs="Times New Roman"/>
          <w:b/>
          <w:i/>
          <w:sz w:val="24"/>
          <w:szCs w:val="24"/>
        </w:rPr>
        <w:t>hat are the current and future studies?</w:t>
      </w:r>
    </w:p>
    <w:p w:rsidR="00514790" w:rsidRPr="005C430B" w:rsidRDefault="00E75DDC"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 xml:space="preserve">Many collaborative </w:t>
      </w:r>
      <w:r w:rsidR="00D156EB" w:rsidRPr="005C430B">
        <w:rPr>
          <w:rFonts w:ascii="Book Antiqua" w:hAnsi="Book Antiqua" w:cs="Times New Roman"/>
          <w:sz w:val="24"/>
          <w:szCs w:val="24"/>
        </w:rPr>
        <w:t xml:space="preserve">studies are ongoing in ESFT to find out the most appropriate risk-stratified approach for improving outcome with incorporation of high dose chemotherapy (Ewing 2008 and Italian ISG/AIEOP EW-1 study), introduction of metronomic chemotherapy as maintenance (COG AEWS1031 study), role of zoledronic </w:t>
      </w:r>
      <w:r w:rsidR="00D156EB" w:rsidRPr="005C430B">
        <w:rPr>
          <w:rFonts w:ascii="Book Antiqua" w:hAnsi="Book Antiqua" w:cs="Times New Roman"/>
          <w:sz w:val="24"/>
          <w:szCs w:val="24"/>
        </w:rPr>
        <w:lastRenderedPageBreak/>
        <w:t xml:space="preserve">acid (Ewing 2008 </w:t>
      </w:r>
      <w:r w:rsidR="0029657E" w:rsidRPr="005C430B">
        <w:rPr>
          <w:rFonts w:ascii="Book Antiqua" w:hAnsi="Book Antiqua" w:cs="Times New Roman"/>
          <w:sz w:val="24"/>
          <w:szCs w:val="24"/>
          <w:lang w:eastAsia="zh-CN"/>
        </w:rPr>
        <w:t>and</w:t>
      </w:r>
      <w:r w:rsidR="00D156EB" w:rsidRPr="005C430B">
        <w:rPr>
          <w:rFonts w:ascii="Book Antiqua" w:hAnsi="Book Antiqua" w:cs="Times New Roman"/>
          <w:sz w:val="24"/>
          <w:szCs w:val="24"/>
        </w:rPr>
        <w:t xml:space="preserve"> Euro-Ewing 2012 study), optimum use of post-operative radiotherapy along with dose intensified approach (Euro-Ewing 2012 study)</w:t>
      </w:r>
      <w:r w:rsidR="00020893" w:rsidRPr="005C430B">
        <w:rPr>
          <w:rFonts w:ascii="Book Antiqua" w:hAnsi="Book Antiqua" w:cs="Times New Roman"/>
          <w:sz w:val="24"/>
          <w:szCs w:val="24"/>
        </w:rPr>
        <w:t>, and comparison of VIDE</w:t>
      </w:r>
      <w:r w:rsidR="00280FD8" w:rsidRPr="005C430B">
        <w:rPr>
          <w:rFonts w:ascii="Book Antiqua" w:hAnsi="Book Antiqua" w:cs="Times New Roman"/>
          <w:sz w:val="24"/>
          <w:szCs w:val="24"/>
        </w:rPr>
        <w:t xml:space="preserve"> (vincristine, ifosfamide, doxorubicin and etoposide)</w:t>
      </w:r>
      <w:r w:rsidR="00020893" w:rsidRPr="005C430B">
        <w:rPr>
          <w:rFonts w:ascii="Book Antiqua" w:hAnsi="Book Antiqua" w:cs="Times New Roman"/>
          <w:sz w:val="24"/>
          <w:szCs w:val="24"/>
        </w:rPr>
        <w:t xml:space="preserve"> standard therapy in Europe </w:t>
      </w:r>
      <w:r w:rsidR="00020893" w:rsidRPr="005C430B">
        <w:rPr>
          <w:rFonts w:ascii="Book Antiqua" w:hAnsi="Book Antiqua" w:cs="Times New Roman"/>
          <w:i/>
          <w:sz w:val="24"/>
          <w:szCs w:val="24"/>
        </w:rPr>
        <w:t>vs</w:t>
      </w:r>
      <w:r w:rsidR="00020893" w:rsidRPr="005C430B">
        <w:rPr>
          <w:rFonts w:ascii="Book Antiqua" w:hAnsi="Book Antiqua" w:cs="Times New Roman"/>
          <w:sz w:val="24"/>
          <w:szCs w:val="24"/>
        </w:rPr>
        <w:t xml:space="preserve"> VAC-IE (Euro-Ewing 2012 study).</w:t>
      </w:r>
    </w:p>
    <w:p w:rsidR="0029657E" w:rsidRPr="005C430B" w:rsidRDefault="0029657E" w:rsidP="00201740">
      <w:pPr>
        <w:spacing w:after="0" w:line="360" w:lineRule="auto"/>
        <w:jc w:val="both"/>
        <w:rPr>
          <w:rFonts w:ascii="Book Antiqua" w:hAnsi="Book Antiqua" w:cs="Times New Roman"/>
          <w:sz w:val="24"/>
          <w:szCs w:val="24"/>
          <w:lang w:eastAsia="zh-CN"/>
        </w:rPr>
      </w:pPr>
    </w:p>
    <w:p w:rsidR="00C02D77" w:rsidRPr="005C430B" w:rsidRDefault="007F606D"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Metastatic disease</w:t>
      </w:r>
    </w:p>
    <w:p w:rsidR="006C289A" w:rsidRPr="005C430B" w:rsidRDefault="00B41F2B" w:rsidP="00201740">
      <w:pPr>
        <w:spacing w:after="0" w:line="360" w:lineRule="auto"/>
        <w:jc w:val="both"/>
        <w:rPr>
          <w:rFonts w:ascii="Book Antiqua" w:hAnsi="Book Antiqua" w:cs="Times New Roman"/>
          <w:b/>
          <w:i/>
          <w:caps/>
          <w:sz w:val="24"/>
          <w:szCs w:val="24"/>
        </w:rPr>
      </w:pPr>
      <w:r w:rsidRPr="005C430B">
        <w:rPr>
          <w:rFonts w:ascii="Book Antiqua" w:hAnsi="Book Antiqua" w:cs="Times New Roman"/>
          <w:b/>
          <w:i/>
          <w:caps/>
          <w:sz w:val="24"/>
          <w:szCs w:val="24"/>
        </w:rPr>
        <w:t>I</w:t>
      </w:r>
      <w:r w:rsidR="0029657E" w:rsidRPr="005C430B">
        <w:rPr>
          <w:rFonts w:ascii="Book Antiqua" w:hAnsi="Book Antiqua" w:cs="Times New Roman"/>
          <w:b/>
          <w:i/>
          <w:sz w:val="24"/>
          <w:szCs w:val="24"/>
        </w:rPr>
        <w:t>s site of metastasis prognostic?</w:t>
      </w:r>
    </w:p>
    <w:p w:rsidR="00E707A2" w:rsidRPr="005C430B" w:rsidRDefault="00E707A2"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ESFTs are an aggressive group of disease with high incidence of metastasis at presentation ranging from 20%-40% across different clinical trials and observation studies</w:t>
      </w:r>
      <w:r w:rsidR="00795A28" w:rsidRPr="005C430B">
        <w:rPr>
          <w:rFonts w:ascii="Book Antiqua" w:hAnsi="Book Antiqua" w:cs="Times New Roman"/>
          <w:sz w:val="24"/>
          <w:szCs w:val="24"/>
          <w:vertAlign w:val="superscript"/>
        </w:rPr>
        <w:t>[2,3,44–47]</w:t>
      </w:r>
      <w:r w:rsidRPr="005C430B">
        <w:rPr>
          <w:rFonts w:ascii="Book Antiqua" w:hAnsi="Book Antiqua" w:cs="Times New Roman"/>
          <w:sz w:val="24"/>
          <w:szCs w:val="24"/>
        </w:rPr>
        <w:t xml:space="preserve">. </w:t>
      </w:r>
      <w:r w:rsidR="001D6F92" w:rsidRPr="005C430B">
        <w:rPr>
          <w:rFonts w:ascii="Book Antiqua" w:hAnsi="Book Antiqua" w:cs="Times New Roman"/>
          <w:sz w:val="24"/>
          <w:szCs w:val="24"/>
        </w:rPr>
        <w:t xml:space="preserve">Outcome of patients with lung metastasis was better as compared to those with bone metastasis or combined or to those with bone marrow involvement and single metastasis done better as </w:t>
      </w:r>
      <w:r w:rsidR="0029657E" w:rsidRPr="005C430B">
        <w:rPr>
          <w:rFonts w:ascii="Book Antiqua" w:hAnsi="Book Antiqua" w:cs="Times New Roman"/>
          <w:sz w:val="24"/>
          <w:szCs w:val="24"/>
        </w:rPr>
        <w:t>compared to multiple metastases</w:t>
      </w:r>
      <w:r w:rsidR="00795A28" w:rsidRPr="005C430B">
        <w:rPr>
          <w:rFonts w:ascii="Book Antiqua" w:hAnsi="Book Antiqua" w:cs="Times New Roman"/>
          <w:sz w:val="24"/>
          <w:szCs w:val="24"/>
          <w:vertAlign w:val="superscript"/>
        </w:rPr>
        <w:t>[7]</w:t>
      </w:r>
      <w:r w:rsidR="001D6F92" w:rsidRPr="005C430B">
        <w:rPr>
          <w:rFonts w:ascii="Book Antiqua" w:hAnsi="Book Antiqua" w:cs="Times New Roman"/>
          <w:sz w:val="24"/>
          <w:szCs w:val="24"/>
        </w:rPr>
        <w:t xml:space="preserve">. </w:t>
      </w:r>
      <w:r w:rsidR="00E619F5" w:rsidRPr="005C430B">
        <w:rPr>
          <w:rFonts w:ascii="Book Antiqua" w:hAnsi="Book Antiqua" w:cs="Times New Roman"/>
          <w:sz w:val="24"/>
          <w:szCs w:val="24"/>
        </w:rPr>
        <w:t xml:space="preserve">The recent EE99 trial also revealed the presence and number of bone metastasis, presence and number of lung metastasis and bone marrow involvement as prognostic </w:t>
      </w:r>
      <w:r w:rsidR="0029657E" w:rsidRPr="005C430B">
        <w:rPr>
          <w:rFonts w:ascii="Book Antiqua" w:hAnsi="Book Antiqua" w:cs="Times New Roman"/>
          <w:sz w:val="24"/>
          <w:szCs w:val="24"/>
        </w:rPr>
        <w:t>factors</w:t>
      </w:r>
      <w:r w:rsidR="00795A28" w:rsidRPr="005C430B">
        <w:rPr>
          <w:rFonts w:ascii="Book Antiqua" w:hAnsi="Book Antiqua" w:cs="Times New Roman"/>
          <w:sz w:val="24"/>
          <w:szCs w:val="24"/>
          <w:vertAlign w:val="superscript"/>
        </w:rPr>
        <w:t>[10]</w:t>
      </w:r>
      <w:r w:rsidR="005F308B" w:rsidRPr="005C430B">
        <w:rPr>
          <w:rFonts w:ascii="Book Antiqua" w:hAnsi="Book Antiqua" w:cs="Times New Roman"/>
          <w:sz w:val="24"/>
          <w:szCs w:val="24"/>
        </w:rPr>
        <w:t xml:space="preserve">. </w:t>
      </w:r>
      <w:r w:rsidR="00F72E97" w:rsidRPr="005C430B">
        <w:rPr>
          <w:rFonts w:ascii="Book Antiqua" w:hAnsi="Book Antiqua" w:cs="Times New Roman"/>
          <w:sz w:val="24"/>
          <w:szCs w:val="24"/>
        </w:rPr>
        <w:t xml:space="preserve">More </w:t>
      </w:r>
      <w:r w:rsidR="008C5379" w:rsidRPr="005C430B">
        <w:rPr>
          <w:rFonts w:ascii="Book Antiqua" w:hAnsi="Book Antiqua" w:cs="Times New Roman"/>
          <w:sz w:val="24"/>
          <w:szCs w:val="24"/>
        </w:rPr>
        <w:t xml:space="preserve">prospective </w:t>
      </w:r>
      <w:r w:rsidR="00F72E97" w:rsidRPr="005C430B">
        <w:rPr>
          <w:rFonts w:ascii="Book Antiqua" w:hAnsi="Book Antiqua" w:cs="Times New Roman"/>
          <w:sz w:val="24"/>
          <w:szCs w:val="24"/>
        </w:rPr>
        <w:t xml:space="preserve">studies are needed </w:t>
      </w:r>
      <w:r w:rsidR="008C5379" w:rsidRPr="005C430B">
        <w:rPr>
          <w:rFonts w:ascii="Book Antiqua" w:hAnsi="Book Antiqua" w:cs="Times New Roman"/>
          <w:sz w:val="24"/>
          <w:szCs w:val="24"/>
        </w:rPr>
        <w:t xml:space="preserve">to </w:t>
      </w:r>
      <w:r w:rsidR="00F72E97" w:rsidRPr="005C430B">
        <w:rPr>
          <w:rFonts w:ascii="Book Antiqua" w:hAnsi="Book Antiqua" w:cs="Times New Roman"/>
          <w:sz w:val="24"/>
          <w:szCs w:val="24"/>
        </w:rPr>
        <w:t xml:space="preserve">define the prognostic nature of site and number of </w:t>
      </w:r>
      <w:r w:rsidR="00380A50" w:rsidRPr="005C430B">
        <w:rPr>
          <w:rFonts w:ascii="Book Antiqua" w:hAnsi="Book Antiqua" w:cs="Times New Roman"/>
          <w:sz w:val="24"/>
          <w:szCs w:val="24"/>
        </w:rPr>
        <w:t>metastasis</w:t>
      </w:r>
      <w:r w:rsidR="008C5379" w:rsidRPr="005C430B">
        <w:rPr>
          <w:rFonts w:ascii="Book Antiqua" w:hAnsi="Book Antiqua" w:cs="Times New Roman"/>
          <w:sz w:val="24"/>
          <w:szCs w:val="24"/>
        </w:rPr>
        <w:t xml:space="preserve"> in a more stringent manner to tailor and intensify therapies. </w:t>
      </w:r>
    </w:p>
    <w:p w:rsidR="0029657E" w:rsidRPr="005C430B" w:rsidRDefault="0029657E" w:rsidP="00201740">
      <w:pPr>
        <w:spacing w:after="0" w:line="360" w:lineRule="auto"/>
        <w:jc w:val="both"/>
        <w:rPr>
          <w:rFonts w:ascii="Book Antiqua" w:hAnsi="Book Antiqua" w:cs="Times New Roman"/>
          <w:sz w:val="24"/>
          <w:szCs w:val="24"/>
          <w:lang w:eastAsia="zh-CN"/>
        </w:rPr>
      </w:pPr>
    </w:p>
    <w:p w:rsidR="00C02D77" w:rsidRPr="005C430B" w:rsidRDefault="00C02D77" w:rsidP="00201740">
      <w:pPr>
        <w:spacing w:after="0" w:line="360" w:lineRule="auto"/>
        <w:jc w:val="both"/>
        <w:rPr>
          <w:rFonts w:ascii="Book Antiqua" w:hAnsi="Book Antiqua" w:cs="Times New Roman"/>
          <w:b/>
          <w:i/>
          <w:caps/>
          <w:sz w:val="24"/>
          <w:szCs w:val="24"/>
        </w:rPr>
      </w:pPr>
      <w:r w:rsidRPr="005C430B">
        <w:rPr>
          <w:rFonts w:ascii="Book Antiqua" w:hAnsi="Book Antiqua" w:cs="Times New Roman"/>
          <w:b/>
          <w:i/>
          <w:caps/>
          <w:sz w:val="24"/>
          <w:szCs w:val="24"/>
        </w:rPr>
        <w:t>I</w:t>
      </w:r>
      <w:r w:rsidR="0029657E" w:rsidRPr="005C430B">
        <w:rPr>
          <w:rFonts w:ascii="Book Antiqua" w:hAnsi="Book Antiqua" w:cs="Times New Roman"/>
          <w:b/>
          <w:i/>
          <w:sz w:val="24"/>
          <w:szCs w:val="24"/>
        </w:rPr>
        <w:t>s the treatment same as localized disease?</w:t>
      </w:r>
    </w:p>
    <w:p w:rsidR="000248C3" w:rsidRPr="005C430B" w:rsidRDefault="000248C3"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 xml:space="preserve">The treatment protocol is similar like in those with localized disease with curative intent </w:t>
      </w:r>
      <w:r w:rsidR="0029657E"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neoadjuvant chemotherapy followed by institution of local therapy (surgery and/or radiotherapy) and further maintenance therapy or consolidation with high dose chemotherapy or an investigation novel agents/targeted therapy. </w:t>
      </w:r>
      <w:r w:rsidR="008F3093" w:rsidRPr="005C430B">
        <w:rPr>
          <w:rFonts w:ascii="Book Antiqua" w:hAnsi="Book Antiqua" w:cs="Times New Roman"/>
          <w:sz w:val="24"/>
          <w:szCs w:val="24"/>
        </w:rPr>
        <w:t>Many agents in combination o</w:t>
      </w:r>
      <w:r w:rsidR="0084005A" w:rsidRPr="005C430B">
        <w:rPr>
          <w:rFonts w:ascii="Book Antiqua" w:hAnsi="Book Antiqua" w:cs="Times New Roman"/>
          <w:sz w:val="24"/>
          <w:szCs w:val="24"/>
        </w:rPr>
        <w:t>r with total body irradiation have</w:t>
      </w:r>
      <w:r w:rsidR="008F3093" w:rsidRPr="005C430B">
        <w:rPr>
          <w:rFonts w:ascii="Book Antiqua" w:hAnsi="Book Antiqua" w:cs="Times New Roman"/>
          <w:sz w:val="24"/>
          <w:szCs w:val="24"/>
        </w:rPr>
        <w:t xml:space="preserve"> been used as consolidation in metastatic </w:t>
      </w:r>
      <w:r w:rsidR="00653238" w:rsidRPr="005C430B">
        <w:rPr>
          <w:rFonts w:ascii="Book Antiqua" w:hAnsi="Book Antiqua" w:cs="Times New Roman"/>
          <w:sz w:val="24"/>
          <w:szCs w:val="24"/>
        </w:rPr>
        <w:t xml:space="preserve">disease. </w:t>
      </w:r>
      <w:r w:rsidR="0084005A" w:rsidRPr="005C430B">
        <w:rPr>
          <w:rFonts w:ascii="Book Antiqua" w:hAnsi="Book Antiqua" w:cs="Times New Roman"/>
          <w:sz w:val="24"/>
          <w:szCs w:val="24"/>
        </w:rPr>
        <w:t>Definitive radiotherapy used more as compared to surgery in view of high residual disease at metastatic disease after neoadjuvant chemotherapy and a more conservative approach especially in those with disseminate</w:t>
      </w:r>
      <w:r w:rsidR="00C66DBB" w:rsidRPr="005C430B">
        <w:rPr>
          <w:rFonts w:ascii="Book Antiqua" w:hAnsi="Book Antiqua" w:cs="Times New Roman"/>
          <w:sz w:val="24"/>
          <w:szCs w:val="24"/>
        </w:rPr>
        <w:t>d metastases or</w:t>
      </w:r>
      <w:r w:rsidR="0084005A" w:rsidRPr="005C430B">
        <w:rPr>
          <w:rFonts w:ascii="Book Antiqua" w:hAnsi="Book Antiqua" w:cs="Times New Roman"/>
          <w:sz w:val="24"/>
          <w:szCs w:val="24"/>
        </w:rPr>
        <w:t xml:space="preserve"> with </w:t>
      </w:r>
      <w:r w:rsidR="00C66DBB" w:rsidRPr="005C430B">
        <w:rPr>
          <w:rFonts w:ascii="Book Antiqua" w:hAnsi="Book Antiqua" w:cs="Times New Roman"/>
          <w:sz w:val="24"/>
          <w:szCs w:val="24"/>
        </w:rPr>
        <w:t xml:space="preserve">bone marrow involvement. </w:t>
      </w:r>
    </w:p>
    <w:p w:rsidR="0029657E" w:rsidRPr="005C430B" w:rsidRDefault="0029657E" w:rsidP="00201740">
      <w:pPr>
        <w:spacing w:after="0" w:line="360" w:lineRule="auto"/>
        <w:jc w:val="both"/>
        <w:rPr>
          <w:rFonts w:ascii="Book Antiqua" w:hAnsi="Book Antiqua" w:cs="Times New Roman"/>
          <w:sz w:val="24"/>
          <w:szCs w:val="24"/>
          <w:lang w:eastAsia="zh-CN"/>
        </w:rPr>
      </w:pPr>
    </w:p>
    <w:p w:rsidR="00C02D77" w:rsidRPr="005C430B" w:rsidRDefault="00B41F2B"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L</w:t>
      </w:r>
      <w:r w:rsidR="00C02D77" w:rsidRPr="005C430B">
        <w:rPr>
          <w:rFonts w:ascii="Book Antiqua" w:hAnsi="Book Antiqua" w:cs="Times New Roman"/>
          <w:b/>
          <w:caps/>
          <w:sz w:val="24"/>
          <w:szCs w:val="24"/>
        </w:rPr>
        <w:t>ocal treatment</w:t>
      </w:r>
      <w:r w:rsidRPr="005C430B">
        <w:rPr>
          <w:rFonts w:ascii="Book Antiqua" w:hAnsi="Book Antiqua" w:cs="Times New Roman"/>
          <w:b/>
          <w:caps/>
          <w:sz w:val="24"/>
          <w:szCs w:val="24"/>
        </w:rPr>
        <w:t>: what</w:t>
      </w:r>
      <w:r w:rsidR="00C02D77" w:rsidRPr="005C430B">
        <w:rPr>
          <w:rFonts w:ascii="Book Antiqua" w:hAnsi="Book Antiqua" w:cs="Times New Roman"/>
          <w:b/>
          <w:caps/>
          <w:sz w:val="24"/>
          <w:szCs w:val="24"/>
        </w:rPr>
        <w:t xml:space="preserve"> and when?</w:t>
      </w:r>
    </w:p>
    <w:p w:rsidR="002A2550" w:rsidRPr="005C430B" w:rsidRDefault="00100994"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lastRenderedPageBreak/>
        <w:t>L</w:t>
      </w:r>
      <w:r w:rsidR="002A2550" w:rsidRPr="005C430B">
        <w:rPr>
          <w:rFonts w:ascii="Book Antiqua" w:hAnsi="Book Antiqua" w:cs="Times New Roman"/>
          <w:sz w:val="24"/>
          <w:szCs w:val="24"/>
        </w:rPr>
        <w:t xml:space="preserve">ocal treatment usually incorporated after initial 5-6 cycles of chemotherapy and if there is good response to chemotherapy in both local site and metastatic site(s). </w:t>
      </w:r>
      <w:r w:rsidR="00486D44" w:rsidRPr="005C430B">
        <w:rPr>
          <w:rFonts w:ascii="Book Antiqua" w:hAnsi="Book Antiqua" w:cs="Times New Roman"/>
          <w:sz w:val="24"/>
          <w:szCs w:val="24"/>
        </w:rPr>
        <w:t>Whole lung irradiation (WLI) has been tried in clinical studies in patients with lung only metastasis</w:t>
      </w:r>
      <w:r w:rsidR="00795A28" w:rsidRPr="005C430B">
        <w:rPr>
          <w:rFonts w:ascii="Book Antiqua" w:hAnsi="Book Antiqua" w:cs="Times New Roman"/>
          <w:sz w:val="24"/>
          <w:szCs w:val="24"/>
          <w:vertAlign w:val="superscript"/>
        </w:rPr>
        <w:t>[48]</w:t>
      </w:r>
      <w:r w:rsidR="00486D44" w:rsidRPr="005C430B">
        <w:rPr>
          <w:rFonts w:ascii="Book Antiqua" w:hAnsi="Book Antiqua" w:cs="Times New Roman"/>
          <w:sz w:val="24"/>
          <w:szCs w:val="24"/>
        </w:rPr>
        <w:t xml:space="preserve"> with 5-year EFS up to 50% along with conventional chemotherapy compared to similar results with high dose chemotherapy without WLI</w:t>
      </w:r>
      <w:r w:rsidR="00795A28" w:rsidRPr="005C430B">
        <w:rPr>
          <w:rFonts w:ascii="Book Antiqua" w:hAnsi="Book Antiqua" w:cs="Times New Roman"/>
          <w:sz w:val="24"/>
          <w:szCs w:val="24"/>
          <w:vertAlign w:val="superscript"/>
        </w:rPr>
        <w:t>[8]</w:t>
      </w:r>
      <w:r w:rsidR="00486D44" w:rsidRPr="005C430B">
        <w:rPr>
          <w:rFonts w:ascii="Book Antiqua" w:hAnsi="Book Antiqua" w:cs="Times New Roman"/>
          <w:sz w:val="24"/>
          <w:szCs w:val="24"/>
        </w:rPr>
        <w:t>.</w:t>
      </w:r>
      <w:r w:rsidR="009665C2" w:rsidRPr="005C430B">
        <w:rPr>
          <w:rFonts w:ascii="Book Antiqua" w:hAnsi="Book Antiqua" w:cs="Times New Roman"/>
          <w:sz w:val="24"/>
          <w:szCs w:val="24"/>
        </w:rPr>
        <w:t xml:space="preserve"> </w:t>
      </w:r>
      <w:r w:rsidR="00BF438E" w:rsidRPr="005C430B">
        <w:rPr>
          <w:rFonts w:ascii="Book Antiqua" w:hAnsi="Book Antiqua" w:cs="Times New Roman"/>
          <w:sz w:val="24"/>
          <w:szCs w:val="24"/>
        </w:rPr>
        <w:t>The EE99 study randomized (arm 2) patients with lung only metastasis VIDE chemotherapy followed by</w:t>
      </w:r>
      <w:r w:rsidR="000A607A" w:rsidRPr="005C430B">
        <w:rPr>
          <w:rFonts w:ascii="Book Antiqua" w:hAnsi="Book Antiqua" w:cs="Times New Roman"/>
          <w:sz w:val="24"/>
          <w:szCs w:val="24"/>
        </w:rPr>
        <w:t xml:space="preserve"> VAI as maintenance plus WLI </w:t>
      </w:r>
      <w:r w:rsidR="009B3FC7" w:rsidRPr="005C430B">
        <w:rPr>
          <w:rFonts w:ascii="Book Antiqua" w:hAnsi="Book Antiqua" w:cs="Times New Roman"/>
          <w:i/>
          <w:sz w:val="24"/>
          <w:szCs w:val="24"/>
        </w:rPr>
        <w:t>vs</w:t>
      </w:r>
      <w:r w:rsidR="000A607A" w:rsidRPr="005C430B">
        <w:rPr>
          <w:rFonts w:ascii="Book Antiqua" w:hAnsi="Book Antiqua" w:cs="Times New Roman"/>
          <w:sz w:val="24"/>
          <w:szCs w:val="24"/>
        </w:rPr>
        <w:t xml:space="preserve"> BuMel based high dose chemotherapy as consolid</w:t>
      </w:r>
      <w:r w:rsidR="0029657E" w:rsidRPr="005C430B">
        <w:rPr>
          <w:rFonts w:ascii="Book Antiqua" w:hAnsi="Book Antiqua" w:cs="Times New Roman"/>
          <w:sz w:val="24"/>
          <w:szCs w:val="24"/>
        </w:rPr>
        <w:t>ation and the result is pending</w:t>
      </w:r>
      <w:r w:rsidR="00795A28" w:rsidRPr="005C430B">
        <w:rPr>
          <w:rFonts w:ascii="Book Antiqua" w:hAnsi="Book Antiqua" w:cs="Times New Roman"/>
          <w:sz w:val="24"/>
          <w:szCs w:val="24"/>
          <w:vertAlign w:val="superscript"/>
        </w:rPr>
        <w:t>[49]</w:t>
      </w:r>
      <w:r w:rsidR="000A607A" w:rsidRPr="005C430B">
        <w:rPr>
          <w:rFonts w:ascii="Book Antiqua" w:hAnsi="Book Antiqua" w:cs="Times New Roman"/>
          <w:sz w:val="24"/>
          <w:szCs w:val="24"/>
        </w:rPr>
        <w:t>.</w:t>
      </w:r>
      <w:r w:rsidR="007802EF" w:rsidRPr="005C430B">
        <w:rPr>
          <w:rFonts w:ascii="Book Antiqua" w:hAnsi="Book Antiqua" w:cs="Times New Roman"/>
          <w:sz w:val="24"/>
          <w:szCs w:val="24"/>
        </w:rPr>
        <w:t xml:space="preserve"> </w:t>
      </w:r>
      <w:r w:rsidR="00A05FAA" w:rsidRPr="005C430B">
        <w:rPr>
          <w:rFonts w:ascii="Book Antiqua" w:hAnsi="Book Antiqua" w:cs="Times New Roman"/>
          <w:sz w:val="24"/>
          <w:szCs w:val="24"/>
        </w:rPr>
        <w:t>Local excision or radiation therapy has been</w:t>
      </w:r>
      <w:r w:rsidR="00A87233" w:rsidRPr="005C430B">
        <w:rPr>
          <w:rFonts w:ascii="Book Antiqua" w:hAnsi="Book Antiqua" w:cs="Times New Roman"/>
          <w:sz w:val="24"/>
          <w:szCs w:val="24"/>
        </w:rPr>
        <w:t xml:space="preserve"> tried in patients with</w:t>
      </w:r>
      <w:r w:rsidR="00A05FAA" w:rsidRPr="005C430B">
        <w:rPr>
          <w:rFonts w:ascii="Book Antiqua" w:hAnsi="Book Antiqua" w:cs="Times New Roman"/>
          <w:sz w:val="24"/>
          <w:szCs w:val="24"/>
        </w:rPr>
        <w:t xml:space="preserve"> bone metastases</w:t>
      </w:r>
      <w:r w:rsidR="00A87233" w:rsidRPr="005C430B">
        <w:rPr>
          <w:rFonts w:ascii="Book Antiqua" w:hAnsi="Book Antiqua" w:cs="Times New Roman"/>
          <w:sz w:val="24"/>
          <w:szCs w:val="24"/>
        </w:rPr>
        <w:t xml:space="preserve"> in retrospective</w:t>
      </w:r>
      <w:r w:rsidR="0029657E" w:rsidRPr="005C430B">
        <w:rPr>
          <w:rFonts w:ascii="Book Antiqua" w:hAnsi="Book Antiqua" w:cs="Times New Roman"/>
          <w:sz w:val="24"/>
          <w:szCs w:val="24"/>
        </w:rPr>
        <w:t xml:space="preserve"> studies with favorable outcome</w:t>
      </w:r>
      <w:r w:rsidR="00795A28" w:rsidRPr="005C430B">
        <w:rPr>
          <w:rFonts w:ascii="Book Antiqua" w:hAnsi="Book Antiqua" w:cs="Times New Roman"/>
          <w:sz w:val="24"/>
          <w:szCs w:val="24"/>
          <w:vertAlign w:val="superscript"/>
        </w:rPr>
        <w:t>[50]</w:t>
      </w:r>
      <w:r w:rsidR="00A05FAA" w:rsidRPr="005C430B">
        <w:rPr>
          <w:rFonts w:ascii="Book Antiqua" w:hAnsi="Book Antiqua" w:cs="Times New Roman"/>
          <w:sz w:val="24"/>
          <w:szCs w:val="24"/>
        </w:rPr>
        <w:t xml:space="preserve">. </w:t>
      </w:r>
      <w:r w:rsidR="00DF27FF" w:rsidRPr="005C430B">
        <w:rPr>
          <w:rFonts w:ascii="Book Antiqua" w:hAnsi="Book Antiqua" w:cs="Times New Roman"/>
          <w:sz w:val="24"/>
          <w:szCs w:val="24"/>
        </w:rPr>
        <w:t>Resection of pulmonary metastasis failed to show efficacy in two retrospective studies</w:t>
      </w:r>
      <w:r w:rsidR="00795A28" w:rsidRPr="005C430B">
        <w:rPr>
          <w:rFonts w:ascii="Book Antiqua" w:hAnsi="Book Antiqua" w:cs="Times New Roman"/>
          <w:sz w:val="24"/>
          <w:szCs w:val="24"/>
          <w:vertAlign w:val="superscript"/>
        </w:rPr>
        <w:t>[51,52]</w:t>
      </w:r>
      <w:r w:rsidR="00DF27FF" w:rsidRPr="005C430B">
        <w:rPr>
          <w:rFonts w:ascii="Book Antiqua" w:hAnsi="Book Antiqua" w:cs="Times New Roman"/>
          <w:sz w:val="24"/>
          <w:szCs w:val="24"/>
        </w:rPr>
        <w:t xml:space="preserve"> but require validation </w:t>
      </w:r>
      <w:r w:rsidR="00B40CB4" w:rsidRPr="005C430B">
        <w:rPr>
          <w:rFonts w:ascii="Book Antiqua" w:hAnsi="Book Antiqua" w:cs="Times New Roman"/>
          <w:sz w:val="24"/>
          <w:szCs w:val="24"/>
        </w:rPr>
        <w:t>in a prospective manner</w:t>
      </w:r>
      <w:r w:rsidR="00DF27FF" w:rsidRPr="005C430B">
        <w:rPr>
          <w:rFonts w:ascii="Book Antiqua" w:hAnsi="Book Antiqua" w:cs="Times New Roman"/>
          <w:sz w:val="24"/>
          <w:szCs w:val="24"/>
        </w:rPr>
        <w:t xml:space="preserve"> especially in those with single lung metastasis.</w:t>
      </w:r>
      <w:r w:rsidR="00A87233" w:rsidRPr="005C430B">
        <w:rPr>
          <w:rFonts w:ascii="Book Antiqua" w:hAnsi="Book Antiqua" w:cs="Times New Roman"/>
          <w:sz w:val="24"/>
          <w:szCs w:val="24"/>
        </w:rPr>
        <w:t xml:space="preserve"> </w:t>
      </w:r>
      <w:r w:rsidR="00D9786A" w:rsidRPr="005C430B">
        <w:rPr>
          <w:rFonts w:ascii="Book Antiqua" w:hAnsi="Book Antiqua" w:cs="Times New Roman"/>
          <w:sz w:val="24"/>
          <w:szCs w:val="24"/>
        </w:rPr>
        <w:t xml:space="preserve"> </w:t>
      </w:r>
      <w:r w:rsidR="00DF27FF" w:rsidRPr="005C430B">
        <w:rPr>
          <w:rFonts w:ascii="Book Antiqua" w:hAnsi="Book Antiqua" w:cs="Times New Roman"/>
          <w:sz w:val="24"/>
          <w:szCs w:val="24"/>
        </w:rPr>
        <w:t xml:space="preserve"> </w:t>
      </w:r>
    </w:p>
    <w:p w:rsidR="0029657E" w:rsidRPr="005C430B" w:rsidRDefault="0029657E" w:rsidP="00201740">
      <w:pPr>
        <w:spacing w:after="0" w:line="360" w:lineRule="auto"/>
        <w:jc w:val="both"/>
        <w:rPr>
          <w:rFonts w:ascii="Book Antiqua" w:hAnsi="Book Antiqua" w:cs="Times New Roman"/>
          <w:sz w:val="24"/>
          <w:szCs w:val="24"/>
          <w:lang w:eastAsia="zh-CN"/>
        </w:rPr>
      </w:pPr>
    </w:p>
    <w:p w:rsidR="00152964" w:rsidRPr="005C430B" w:rsidRDefault="00C02D77"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What is the role of high dose chemotherapy?</w:t>
      </w:r>
    </w:p>
    <w:p w:rsidR="00042FA3" w:rsidRPr="005C430B" w:rsidRDefault="009C14B5"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 xml:space="preserve"> </w:t>
      </w:r>
      <w:r w:rsidR="00421E29" w:rsidRPr="005C430B">
        <w:rPr>
          <w:rFonts w:ascii="Book Antiqua" w:hAnsi="Book Antiqua" w:cs="Times New Roman"/>
          <w:sz w:val="24"/>
          <w:szCs w:val="24"/>
        </w:rPr>
        <w:t>Dose intensity</w:t>
      </w:r>
      <w:r w:rsidR="00795A28" w:rsidRPr="005C430B">
        <w:rPr>
          <w:rFonts w:ascii="Book Antiqua" w:hAnsi="Book Antiqua" w:cs="Times New Roman"/>
          <w:sz w:val="24"/>
          <w:szCs w:val="24"/>
          <w:vertAlign w:val="superscript"/>
        </w:rPr>
        <w:t>[33]</w:t>
      </w:r>
      <w:r w:rsidR="00421E29" w:rsidRPr="005C430B">
        <w:rPr>
          <w:rFonts w:ascii="Book Antiqua" w:hAnsi="Book Antiqua" w:cs="Times New Roman"/>
          <w:sz w:val="24"/>
          <w:szCs w:val="24"/>
        </w:rPr>
        <w:t xml:space="preserve"> and high dose chemotherapy</w:t>
      </w:r>
      <w:r w:rsidR="00795A28" w:rsidRPr="005C430B">
        <w:rPr>
          <w:rFonts w:ascii="Book Antiqua" w:hAnsi="Book Antiqua" w:cs="Times New Roman"/>
          <w:sz w:val="24"/>
          <w:szCs w:val="24"/>
          <w:vertAlign w:val="superscript"/>
        </w:rPr>
        <w:t>[34,35]</w:t>
      </w:r>
      <w:r w:rsidR="0005077B" w:rsidRPr="005C430B">
        <w:rPr>
          <w:rFonts w:ascii="Book Antiqua" w:hAnsi="Book Antiqua" w:cs="Times New Roman"/>
          <w:sz w:val="24"/>
          <w:szCs w:val="24"/>
        </w:rPr>
        <w:t xml:space="preserve"> </w:t>
      </w:r>
      <w:r w:rsidR="00421E29" w:rsidRPr="005C430B">
        <w:rPr>
          <w:rFonts w:ascii="Book Antiqua" w:hAnsi="Book Antiqua" w:cs="Times New Roman"/>
          <w:sz w:val="24"/>
          <w:szCs w:val="24"/>
        </w:rPr>
        <w:t>found to be effective and improved outcome in patients with localized disease especially in high risk disease.</w:t>
      </w:r>
      <w:r w:rsidR="007532B2" w:rsidRPr="005C430B">
        <w:rPr>
          <w:rFonts w:ascii="Book Antiqua" w:hAnsi="Book Antiqua" w:cs="Times New Roman"/>
          <w:sz w:val="24"/>
          <w:szCs w:val="24"/>
        </w:rPr>
        <w:t xml:space="preserve"> With the principle of dose intensity and dose density high dose chemotherapy with stem cell rescue has been tried in many randomized and non-randomized study to improve outcome in metastatic disease with mixed results. </w:t>
      </w:r>
      <w:r w:rsidR="005019BF" w:rsidRPr="005C430B">
        <w:rPr>
          <w:rFonts w:ascii="Book Antiqua" w:hAnsi="Book Antiqua" w:cs="Times New Roman"/>
          <w:sz w:val="24"/>
          <w:szCs w:val="24"/>
        </w:rPr>
        <w:t>Single agent high dose melphalan failed to improve outcome</w:t>
      </w:r>
      <w:r w:rsidR="00795A28" w:rsidRPr="005C430B">
        <w:rPr>
          <w:rFonts w:ascii="Book Antiqua" w:hAnsi="Book Antiqua" w:cs="Times New Roman"/>
          <w:sz w:val="24"/>
          <w:szCs w:val="24"/>
          <w:vertAlign w:val="superscript"/>
        </w:rPr>
        <w:t>[53]</w:t>
      </w:r>
      <w:r w:rsidR="005019BF" w:rsidRPr="005C430B">
        <w:rPr>
          <w:rFonts w:ascii="Book Antiqua" w:hAnsi="Book Antiqua" w:cs="Times New Roman"/>
          <w:sz w:val="24"/>
          <w:szCs w:val="24"/>
        </w:rPr>
        <w:t xml:space="preserve">. </w:t>
      </w:r>
      <w:r w:rsidR="00EE3D7B" w:rsidRPr="005C430B">
        <w:rPr>
          <w:rFonts w:ascii="Book Antiqua" w:hAnsi="Book Antiqua" w:cs="Times New Roman"/>
          <w:sz w:val="24"/>
          <w:szCs w:val="24"/>
        </w:rPr>
        <w:t>In a single arm study, BuMel conditioning in metastatic patients showed 5-year EFS of 52% in patients with lung metastasis and 36% in those with bone metastases</w:t>
      </w:r>
      <w:r w:rsidR="00795A28" w:rsidRPr="005C430B">
        <w:rPr>
          <w:rFonts w:ascii="Book Antiqua" w:hAnsi="Book Antiqua" w:cs="Times New Roman"/>
          <w:sz w:val="24"/>
          <w:szCs w:val="24"/>
          <w:vertAlign w:val="superscript"/>
        </w:rPr>
        <w:t>[8]</w:t>
      </w:r>
      <w:r w:rsidR="00EE3D7B" w:rsidRPr="005C430B">
        <w:rPr>
          <w:rFonts w:ascii="Book Antiqua" w:hAnsi="Book Antiqua" w:cs="Times New Roman"/>
          <w:sz w:val="24"/>
          <w:szCs w:val="24"/>
        </w:rPr>
        <w:t xml:space="preserve">. Subsequently </w:t>
      </w:r>
      <w:r w:rsidR="00FE3BB6" w:rsidRPr="005C430B">
        <w:rPr>
          <w:rFonts w:ascii="Book Antiqua" w:hAnsi="Book Antiqua" w:cs="Times New Roman"/>
          <w:sz w:val="24"/>
          <w:szCs w:val="24"/>
        </w:rPr>
        <w:t>many clinical tria</w:t>
      </w:r>
      <w:r w:rsidR="00EE3D7B" w:rsidRPr="005C430B">
        <w:rPr>
          <w:rFonts w:ascii="Book Antiqua" w:hAnsi="Book Antiqua" w:cs="Times New Roman"/>
          <w:sz w:val="24"/>
          <w:szCs w:val="24"/>
        </w:rPr>
        <w:t>l</w:t>
      </w:r>
      <w:r w:rsidR="00FE3BB6" w:rsidRPr="005C430B">
        <w:rPr>
          <w:rFonts w:ascii="Book Antiqua" w:hAnsi="Book Antiqua" w:cs="Times New Roman"/>
          <w:sz w:val="24"/>
          <w:szCs w:val="24"/>
        </w:rPr>
        <w:t>s</w:t>
      </w:r>
      <w:r w:rsidR="00EE3D7B" w:rsidRPr="005C430B">
        <w:rPr>
          <w:rFonts w:ascii="Book Antiqua" w:hAnsi="Book Antiqua" w:cs="Times New Roman"/>
          <w:sz w:val="24"/>
          <w:szCs w:val="24"/>
        </w:rPr>
        <w:t xml:space="preserve"> have tried high dose chemotherapy in metasta</w:t>
      </w:r>
      <w:r w:rsidR="00FE3BB6" w:rsidRPr="005C430B">
        <w:rPr>
          <w:rFonts w:ascii="Book Antiqua" w:hAnsi="Book Antiqua" w:cs="Times New Roman"/>
          <w:sz w:val="24"/>
          <w:szCs w:val="24"/>
        </w:rPr>
        <w:t>tic patients and showed mixed</w:t>
      </w:r>
      <w:r w:rsidR="00EE3D7B" w:rsidRPr="005C430B">
        <w:rPr>
          <w:rFonts w:ascii="Book Antiqua" w:hAnsi="Book Antiqua" w:cs="Times New Roman"/>
          <w:sz w:val="24"/>
          <w:szCs w:val="24"/>
        </w:rPr>
        <w:t xml:space="preserve"> outcome as compared to conventional chemotherapy only (Table 3). </w:t>
      </w:r>
      <w:r w:rsidR="00FE3BB6" w:rsidRPr="005C430B">
        <w:rPr>
          <w:rFonts w:ascii="Book Antiqua" w:hAnsi="Book Antiqua" w:cs="Times New Roman"/>
          <w:sz w:val="24"/>
          <w:szCs w:val="24"/>
        </w:rPr>
        <w:t>Three large st</w:t>
      </w:r>
      <w:r w:rsidR="004409FC" w:rsidRPr="005C430B">
        <w:rPr>
          <w:rFonts w:ascii="Book Antiqua" w:hAnsi="Book Antiqua" w:cs="Times New Roman"/>
          <w:sz w:val="24"/>
          <w:szCs w:val="24"/>
        </w:rPr>
        <w:t>udies using</w:t>
      </w:r>
      <w:r w:rsidR="00FE3BB6" w:rsidRPr="005C430B">
        <w:rPr>
          <w:rFonts w:ascii="Book Antiqua" w:hAnsi="Book Antiqua" w:cs="Times New Roman"/>
          <w:sz w:val="24"/>
          <w:szCs w:val="24"/>
        </w:rPr>
        <w:t xml:space="preserve"> high dose chemotherapy- the EE99 study randomized ling only metastatic group in to BuMel based high dose therapy </w:t>
      </w:r>
      <w:r w:rsidR="009B3FC7" w:rsidRPr="005C430B">
        <w:rPr>
          <w:rFonts w:ascii="Book Antiqua" w:hAnsi="Book Antiqua" w:cs="Times New Roman"/>
          <w:i/>
          <w:sz w:val="24"/>
          <w:szCs w:val="24"/>
        </w:rPr>
        <w:t>vs</w:t>
      </w:r>
      <w:r w:rsidR="00FE3BB6" w:rsidRPr="005C430B">
        <w:rPr>
          <w:rFonts w:ascii="Book Antiqua" w:hAnsi="Book Antiqua" w:cs="Times New Roman"/>
          <w:sz w:val="24"/>
          <w:szCs w:val="24"/>
        </w:rPr>
        <w:t xml:space="preserve"> WLI along with conventional chemotherapy after initial VIDE chemotherapy and the mature result is pending</w:t>
      </w:r>
      <w:r w:rsidR="00795A28" w:rsidRPr="005C430B">
        <w:rPr>
          <w:rFonts w:ascii="Book Antiqua" w:hAnsi="Book Antiqua" w:cs="Times New Roman"/>
          <w:sz w:val="24"/>
          <w:szCs w:val="24"/>
          <w:vertAlign w:val="superscript"/>
        </w:rPr>
        <w:t>[49]</w:t>
      </w:r>
      <w:r w:rsidR="00FE3BB6" w:rsidRPr="005C430B">
        <w:rPr>
          <w:rFonts w:ascii="Book Antiqua" w:hAnsi="Book Antiqua" w:cs="Times New Roman"/>
          <w:sz w:val="24"/>
          <w:szCs w:val="24"/>
        </w:rPr>
        <w:t>.</w:t>
      </w:r>
      <w:r w:rsidR="009A4B11" w:rsidRPr="005C430B">
        <w:rPr>
          <w:rFonts w:ascii="Book Antiqua" w:hAnsi="Book Antiqua" w:cs="Times New Roman"/>
          <w:sz w:val="24"/>
          <w:szCs w:val="24"/>
        </w:rPr>
        <w:t xml:space="preserve"> </w:t>
      </w:r>
      <w:r w:rsidR="00042FA3" w:rsidRPr="005C430B">
        <w:rPr>
          <w:rFonts w:ascii="Book Antiqua" w:hAnsi="Book Antiqua" w:cs="Times New Roman"/>
          <w:sz w:val="24"/>
          <w:szCs w:val="24"/>
        </w:rPr>
        <w:t>The third</w:t>
      </w:r>
      <w:r w:rsidR="001A6078" w:rsidRPr="005C430B">
        <w:rPr>
          <w:rFonts w:ascii="Book Antiqua" w:hAnsi="Book Antiqua" w:cs="Times New Roman"/>
          <w:sz w:val="24"/>
          <w:szCs w:val="24"/>
        </w:rPr>
        <w:t xml:space="preserve"> arm</w:t>
      </w:r>
      <w:r w:rsidR="00042FA3" w:rsidRPr="005C430B">
        <w:rPr>
          <w:rFonts w:ascii="Book Antiqua" w:hAnsi="Book Antiqua" w:cs="Times New Roman"/>
          <w:sz w:val="24"/>
          <w:szCs w:val="24"/>
        </w:rPr>
        <w:t xml:space="preserve"> randomized patients with extrapulmonary metastasis in BuMel or TreoMel based high dose chemotherapy </w:t>
      </w:r>
      <w:r w:rsidR="009B3FC7" w:rsidRPr="005C430B">
        <w:rPr>
          <w:rFonts w:ascii="Book Antiqua" w:hAnsi="Book Antiqua" w:cs="Times New Roman"/>
          <w:i/>
          <w:sz w:val="24"/>
          <w:szCs w:val="24"/>
        </w:rPr>
        <w:t>vs</w:t>
      </w:r>
      <w:r w:rsidR="00042FA3" w:rsidRPr="005C430B">
        <w:rPr>
          <w:rFonts w:ascii="Book Antiqua" w:hAnsi="Book Antiqua" w:cs="Times New Roman"/>
          <w:sz w:val="24"/>
          <w:szCs w:val="24"/>
        </w:rPr>
        <w:t xml:space="preserve"> investigational agent after standard VIDE based induction chemotherapy regimen</w:t>
      </w:r>
      <w:r w:rsidR="001A6078" w:rsidRPr="005C430B">
        <w:rPr>
          <w:rFonts w:ascii="Book Antiqua" w:hAnsi="Book Antiqua" w:cs="Times New Roman"/>
          <w:sz w:val="24"/>
          <w:szCs w:val="24"/>
        </w:rPr>
        <w:t xml:space="preserve"> and the</w:t>
      </w:r>
      <w:r w:rsidR="000D72E0" w:rsidRPr="005C430B">
        <w:rPr>
          <w:rFonts w:ascii="Book Antiqua" w:hAnsi="Book Antiqua" w:cs="Times New Roman"/>
          <w:sz w:val="24"/>
          <w:szCs w:val="24"/>
        </w:rPr>
        <w:t xml:space="preserve"> early results show</w:t>
      </w:r>
      <w:r w:rsidR="0029657E" w:rsidRPr="005C430B">
        <w:rPr>
          <w:rFonts w:ascii="Book Antiqua" w:hAnsi="Book Antiqua" w:cs="Times New Roman"/>
          <w:sz w:val="24"/>
          <w:szCs w:val="24"/>
        </w:rPr>
        <w:t>ed 3-year overall survival (OS)</w:t>
      </w:r>
      <w:r w:rsidR="00795A28" w:rsidRPr="005C430B">
        <w:rPr>
          <w:rFonts w:ascii="Book Antiqua" w:hAnsi="Book Antiqua" w:cs="Times New Roman"/>
          <w:sz w:val="24"/>
          <w:szCs w:val="24"/>
          <w:vertAlign w:val="superscript"/>
        </w:rPr>
        <w:t>[10]</w:t>
      </w:r>
      <w:r w:rsidR="000C6718" w:rsidRPr="005C430B">
        <w:rPr>
          <w:rFonts w:ascii="Book Antiqua" w:hAnsi="Book Antiqua" w:cs="Times New Roman"/>
          <w:sz w:val="24"/>
          <w:szCs w:val="24"/>
        </w:rPr>
        <w:t xml:space="preserve">. </w:t>
      </w:r>
      <w:r w:rsidR="000B1DC1" w:rsidRPr="005C430B">
        <w:rPr>
          <w:rFonts w:ascii="Book Antiqua" w:hAnsi="Book Antiqua" w:cs="Times New Roman"/>
          <w:sz w:val="24"/>
          <w:szCs w:val="24"/>
        </w:rPr>
        <w:t xml:space="preserve">In </w:t>
      </w:r>
      <w:r w:rsidR="000B1DC1" w:rsidRPr="005C430B">
        <w:rPr>
          <w:rFonts w:ascii="Book Antiqua" w:hAnsi="Book Antiqua" w:cs="Times New Roman"/>
          <w:sz w:val="24"/>
          <w:szCs w:val="24"/>
        </w:rPr>
        <w:lastRenderedPageBreak/>
        <w:t>study by Italian and Scandinavian sarcoma study group used BuMel conditioning with WLI in patients with lung o</w:t>
      </w:r>
      <w:r w:rsidR="00400143">
        <w:rPr>
          <w:rFonts w:ascii="Book Antiqua" w:hAnsi="Book Antiqua" w:cs="Times New Roman"/>
          <w:sz w:val="24"/>
          <w:szCs w:val="24"/>
        </w:rPr>
        <w:t>nly metastasis</w:t>
      </w:r>
      <w:r w:rsidR="00D734BA" w:rsidRPr="005C430B">
        <w:rPr>
          <w:rFonts w:ascii="Book Antiqua" w:hAnsi="Book Antiqua" w:cs="Times New Roman"/>
          <w:sz w:val="24"/>
          <w:szCs w:val="24"/>
        </w:rPr>
        <w:t xml:space="preserve"> or single bone metastasis with 5-year EFS of 43%</w:t>
      </w:r>
      <w:r w:rsidR="00795A28" w:rsidRPr="005C430B">
        <w:rPr>
          <w:rFonts w:ascii="Book Antiqua" w:hAnsi="Book Antiqua" w:cs="Times New Roman"/>
          <w:sz w:val="24"/>
          <w:szCs w:val="24"/>
          <w:vertAlign w:val="superscript"/>
        </w:rPr>
        <w:t>[9]</w:t>
      </w:r>
      <w:r w:rsidR="00D734BA" w:rsidRPr="005C430B">
        <w:rPr>
          <w:rFonts w:ascii="Book Antiqua" w:hAnsi="Book Antiqua" w:cs="Times New Roman"/>
          <w:sz w:val="24"/>
          <w:szCs w:val="24"/>
        </w:rPr>
        <w:t xml:space="preserve">. </w:t>
      </w:r>
      <w:r w:rsidR="00E54226" w:rsidRPr="005C430B">
        <w:rPr>
          <w:rFonts w:ascii="Book Antiqua" w:hAnsi="Book Antiqua" w:cs="Times New Roman"/>
          <w:sz w:val="24"/>
          <w:szCs w:val="24"/>
        </w:rPr>
        <w:t xml:space="preserve">The Ewing 2008 trial randomized patients with extrapulmonary metastasis after VAC chemotherapy to TreoMel based high dose chemotherapy </w:t>
      </w:r>
      <w:r w:rsidR="00E54226" w:rsidRPr="005C430B">
        <w:rPr>
          <w:rFonts w:ascii="Book Antiqua" w:hAnsi="Book Antiqua" w:cs="Times New Roman"/>
          <w:i/>
          <w:sz w:val="24"/>
          <w:szCs w:val="24"/>
        </w:rPr>
        <w:t>vs</w:t>
      </w:r>
      <w:r w:rsidR="00E54226" w:rsidRPr="005C430B">
        <w:rPr>
          <w:rFonts w:ascii="Book Antiqua" w:hAnsi="Book Antiqua" w:cs="Times New Roman"/>
          <w:sz w:val="24"/>
          <w:szCs w:val="24"/>
        </w:rPr>
        <w:t xml:space="preserve"> continuation of VAC and the result is pending. </w:t>
      </w:r>
      <w:r w:rsidR="0072300D" w:rsidRPr="005C430B">
        <w:rPr>
          <w:rFonts w:ascii="Book Antiqua" w:hAnsi="Book Antiqua" w:cs="Times New Roman"/>
          <w:sz w:val="24"/>
          <w:szCs w:val="24"/>
        </w:rPr>
        <w:t xml:space="preserve">On the contrary a study by Children’s Cancer Group failed to show any improvement in outcome of patients with extrapulmonary metastases after VAC-IE based chemotherapy followed by high dose chemotherapy </w:t>
      </w:r>
      <w:r w:rsidR="00C806FC" w:rsidRPr="005C430B">
        <w:rPr>
          <w:rFonts w:ascii="Book Antiqua" w:hAnsi="Book Antiqua" w:cs="Times New Roman"/>
          <w:sz w:val="24"/>
          <w:szCs w:val="24"/>
        </w:rPr>
        <w:t>with melphalan, etopo</w:t>
      </w:r>
      <w:r w:rsidR="0029657E" w:rsidRPr="005C430B">
        <w:rPr>
          <w:rFonts w:ascii="Book Antiqua" w:hAnsi="Book Antiqua" w:cs="Times New Roman"/>
          <w:sz w:val="24"/>
          <w:szCs w:val="24"/>
        </w:rPr>
        <w:t>side and total body irradiation</w:t>
      </w:r>
      <w:r w:rsidR="00795A28" w:rsidRPr="005C430B">
        <w:rPr>
          <w:rFonts w:ascii="Book Antiqua" w:hAnsi="Book Antiqua" w:cs="Times New Roman"/>
          <w:sz w:val="24"/>
          <w:szCs w:val="24"/>
          <w:vertAlign w:val="superscript"/>
        </w:rPr>
        <w:t>[54]</w:t>
      </w:r>
      <w:r w:rsidR="00C806FC" w:rsidRPr="005C430B">
        <w:rPr>
          <w:rFonts w:ascii="Book Antiqua" w:hAnsi="Book Antiqua" w:cs="Times New Roman"/>
          <w:sz w:val="24"/>
          <w:szCs w:val="24"/>
        </w:rPr>
        <w:t xml:space="preserve">. </w:t>
      </w:r>
    </w:p>
    <w:p w:rsidR="0029657E" w:rsidRPr="005C430B" w:rsidRDefault="0029657E" w:rsidP="00201740">
      <w:pPr>
        <w:spacing w:after="0" w:line="360" w:lineRule="auto"/>
        <w:jc w:val="both"/>
        <w:rPr>
          <w:rFonts w:ascii="Book Antiqua" w:hAnsi="Book Antiqua" w:cs="Times New Roman"/>
          <w:sz w:val="24"/>
          <w:szCs w:val="24"/>
          <w:lang w:eastAsia="zh-CN"/>
        </w:rPr>
      </w:pPr>
    </w:p>
    <w:p w:rsidR="00152964" w:rsidRPr="005C430B" w:rsidRDefault="00152964"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Relapsed and recurrent diseas</w:t>
      </w:r>
      <w:r w:rsidR="00CB473E" w:rsidRPr="005C430B">
        <w:rPr>
          <w:rFonts w:ascii="Book Antiqua" w:hAnsi="Book Antiqua" w:cs="Times New Roman"/>
          <w:b/>
          <w:caps/>
          <w:sz w:val="24"/>
          <w:szCs w:val="24"/>
        </w:rPr>
        <w:t>e</w:t>
      </w:r>
    </w:p>
    <w:p w:rsidR="0016073A" w:rsidRPr="005C430B" w:rsidRDefault="0016073A"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 xml:space="preserve">The progress of improved outcome in ESFT is attenuated by high incidence of recurrence (local and/or systemic) and remains the main challenge in multidisciplinary management of this aggressive malignancy, especially in those with metastatic disease. </w:t>
      </w:r>
      <w:r w:rsidR="00337B46" w:rsidRPr="005C430B">
        <w:rPr>
          <w:rFonts w:ascii="Book Antiqua" w:hAnsi="Book Antiqua" w:cs="Times New Roman"/>
          <w:sz w:val="24"/>
          <w:szCs w:val="24"/>
        </w:rPr>
        <w:t>The incidenc</w:t>
      </w:r>
      <w:r w:rsidR="00D614C7" w:rsidRPr="005C430B">
        <w:rPr>
          <w:rFonts w:ascii="Book Antiqua" w:hAnsi="Book Antiqua" w:cs="Times New Roman"/>
          <w:sz w:val="24"/>
          <w:szCs w:val="24"/>
        </w:rPr>
        <w:t>e of local or distant relapse is</w:t>
      </w:r>
      <w:r w:rsidR="00337B46" w:rsidRPr="005C430B">
        <w:rPr>
          <w:rFonts w:ascii="Book Antiqua" w:hAnsi="Book Antiqua" w:cs="Times New Roman"/>
          <w:sz w:val="24"/>
          <w:szCs w:val="24"/>
        </w:rPr>
        <w:t xml:space="preserve"> approximately 20%-25% </w:t>
      </w:r>
      <w:r w:rsidR="0029657E" w:rsidRPr="005C430B">
        <w:rPr>
          <w:rFonts w:ascii="Book Antiqua" w:hAnsi="Book Antiqua" w:cs="Times New Roman"/>
          <w:sz w:val="24"/>
          <w:szCs w:val="24"/>
        </w:rPr>
        <w:t>in the published literature</w:t>
      </w:r>
      <w:r w:rsidR="00795A28" w:rsidRPr="005C430B">
        <w:rPr>
          <w:rFonts w:ascii="Book Antiqua" w:hAnsi="Book Antiqua" w:cs="Times New Roman"/>
          <w:sz w:val="24"/>
          <w:szCs w:val="24"/>
          <w:vertAlign w:val="superscript"/>
        </w:rPr>
        <w:t>[45,55]</w:t>
      </w:r>
      <w:r w:rsidR="00D614C7" w:rsidRPr="005C430B">
        <w:rPr>
          <w:rFonts w:ascii="Book Antiqua" w:hAnsi="Book Antiqua" w:cs="Times New Roman"/>
          <w:sz w:val="24"/>
          <w:szCs w:val="24"/>
        </w:rPr>
        <w:t xml:space="preserve"> and can reach </w:t>
      </w:r>
      <w:r w:rsidR="0029657E" w:rsidRPr="005C430B">
        <w:rPr>
          <w:rFonts w:ascii="Book Antiqua" w:hAnsi="Book Antiqua" w:cs="Times New Roman"/>
          <w:sz w:val="24"/>
          <w:szCs w:val="24"/>
        </w:rPr>
        <w:t>up to 40% in metastatic setting</w:t>
      </w:r>
      <w:r w:rsidR="00795A28" w:rsidRPr="005C430B">
        <w:rPr>
          <w:rFonts w:ascii="Book Antiqua" w:hAnsi="Book Antiqua" w:cs="Times New Roman"/>
          <w:sz w:val="24"/>
          <w:szCs w:val="24"/>
          <w:vertAlign w:val="superscript"/>
        </w:rPr>
        <w:t>[2,47]</w:t>
      </w:r>
      <w:r w:rsidR="00D614C7" w:rsidRPr="005C430B">
        <w:rPr>
          <w:rFonts w:ascii="Book Antiqua" w:hAnsi="Book Antiqua" w:cs="Times New Roman"/>
          <w:sz w:val="24"/>
          <w:szCs w:val="24"/>
        </w:rPr>
        <w:t>. There is no standard established salvage therapy exist in recurrent disease with dismal outcome of 2</w:t>
      </w:r>
      <w:r w:rsidR="0029657E" w:rsidRPr="005C430B">
        <w:rPr>
          <w:rFonts w:ascii="Book Antiqua" w:hAnsi="Book Antiqua" w:cs="Times New Roman"/>
          <w:sz w:val="24"/>
          <w:szCs w:val="24"/>
        </w:rPr>
        <w:t>0% in case of localized relapse</w:t>
      </w:r>
      <w:r w:rsidR="00795A28" w:rsidRPr="005C430B">
        <w:rPr>
          <w:rFonts w:ascii="Book Antiqua" w:hAnsi="Book Antiqua" w:cs="Times New Roman"/>
          <w:sz w:val="24"/>
          <w:szCs w:val="24"/>
          <w:vertAlign w:val="superscript"/>
        </w:rPr>
        <w:t>[56]</w:t>
      </w:r>
      <w:r w:rsidR="00D614C7" w:rsidRPr="005C430B">
        <w:rPr>
          <w:rFonts w:ascii="Book Antiqua" w:hAnsi="Book Antiqua" w:cs="Times New Roman"/>
          <w:sz w:val="24"/>
          <w:szCs w:val="24"/>
        </w:rPr>
        <w:t xml:space="preserve">. Few chemotherapy agents showed activity in recurrent disease with moderate but short lasting response rate </w:t>
      </w:r>
      <w:r w:rsidR="0029657E" w:rsidRPr="005C430B">
        <w:rPr>
          <w:rFonts w:ascii="Book Antiqua" w:hAnsi="Book Antiqua" w:cs="Times New Roman"/>
          <w:sz w:val="24"/>
          <w:szCs w:val="24"/>
          <w:lang w:eastAsia="zh-CN"/>
        </w:rPr>
        <w:t>-</w:t>
      </w:r>
      <w:r w:rsidR="00D614C7" w:rsidRPr="005C430B">
        <w:rPr>
          <w:rFonts w:ascii="Book Antiqua" w:hAnsi="Book Antiqua" w:cs="Times New Roman"/>
          <w:sz w:val="24"/>
          <w:szCs w:val="24"/>
        </w:rPr>
        <w:t xml:space="preserve"> topotecan and cyclophosphamide</w:t>
      </w:r>
      <w:r w:rsidR="00795A28" w:rsidRPr="005C430B">
        <w:rPr>
          <w:rFonts w:ascii="Book Antiqua" w:hAnsi="Book Antiqua" w:cs="Times New Roman"/>
          <w:sz w:val="24"/>
          <w:szCs w:val="24"/>
          <w:vertAlign w:val="superscript"/>
        </w:rPr>
        <w:t>[57]</w:t>
      </w:r>
      <w:r w:rsidR="00D614C7" w:rsidRPr="005C430B">
        <w:rPr>
          <w:rFonts w:ascii="Book Antiqua" w:hAnsi="Book Antiqua" w:cs="Times New Roman"/>
          <w:sz w:val="24"/>
          <w:szCs w:val="24"/>
        </w:rPr>
        <w:t>, ifosfamide in combination with carboplatin and etoposide</w:t>
      </w:r>
      <w:r w:rsidR="00795A28" w:rsidRPr="005C430B">
        <w:rPr>
          <w:rFonts w:ascii="Book Antiqua" w:hAnsi="Book Antiqua" w:cs="Times New Roman"/>
          <w:sz w:val="24"/>
          <w:szCs w:val="24"/>
          <w:vertAlign w:val="superscript"/>
        </w:rPr>
        <w:t>[58]</w:t>
      </w:r>
      <w:r w:rsidR="00D614C7" w:rsidRPr="005C430B">
        <w:rPr>
          <w:rFonts w:ascii="Book Antiqua" w:hAnsi="Book Antiqua" w:cs="Times New Roman"/>
          <w:sz w:val="24"/>
          <w:szCs w:val="24"/>
        </w:rPr>
        <w:t>, irinotecan and temozolamide</w:t>
      </w:r>
      <w:r w:rsidR="00795A28" w:rsidRPr="005C430B">
        <w:rPr>
          <w:rFonts w:ascii="Book Antiqua" w:hAnsi="Book Antiqua" w:cs="Times New Roman"/>
          <w:sz w:val="24"/>
          <w:szCs w:val="24"/>
          <w:vertAlign w:val="superscript"/>
        </w:rPr>
        <w:t>[59]</w:t>
      </w:r>
      <w:r w:rsidR="00D614C7" w:rsidRPr="005C430B">
        <w:rPr>
          <w:rFonts w:ascii="Book Antiqua" w:hAnsi="Book Antiqua" w:cs="Times New Roman"/>
          <w:sz w:val="24"/>
          <w:szCs w:val="24"/>
        </w:rPr>
        <w:t>. Gemcitabine and docetaxel</w:t>
      </w:r>
      <w:r w:rsidR="00795A28" w:rsidRPr="005C430B">
        <w:rPr>
          <w:rFonts w:ascii="Book Antiqua" w:hAnsi="Book Antiqua" w:cs="Times New Roman"/>
          <w:sz w:val="24"/>
          <w:szCs w:val="24"/>
          <w:vertAlign w:val="superscript"/>
        </w:rPr>
        <w:t>[60]</w:t>
      </w:r>
      <w:r w:rsidR="00D614C7" w:rsidRPr="005C430B">
        <w:rPr>
          <w:rFonts w:ascii="Book Antiqua" w:hAnsi="Book Antiqua" w:cs="Times New Roman"/>
          <w:sz w:val="24"/>
          <w:szCs w:val="24"/>
        </w:rPr>
        <w:t xml:space="preserve"> combination failed to show any clinically meaningful activity in recurrent ESFT.</w:t>
      </w:r>
      <w:r w:rsidR="008021CD" w:rsidRPr="005C430B">
        <w:rPr>
          <w:rFonts w:ascii="Book Antiqua" w:hAnsi="Book Antiqua" w:cs="Times New Roman"/>
          <w:sz w:val="24"/>
          <w:szCs w:val="24"/>
        </w:rPr>
        <w:t xml:space="preserve"> The mostly studied chemotherapeutic regimen in recurrent ESFT is of irinotecan and temozolamide from a phase 1 trial and from few institutional experiences</w:t>
      </w:r>
      <w:r w:rsidR="00795A28" w:rsidRPr="005C430B">
        <w:rPr>
          <w:rFonts w:ascii="Book Antiqua" w:hAnsi="Book Antiqua" w:cs="Times New Roman"/>
          <w:sz w:val="24"/>
          <w:szCs w:val="24"/>
          <w:vertAlign w:val="superscript"/>
        </w:rPr>
        <w:t>[61–65]</w:t>
      </w:r>
      <w:r w:rsidR="000C194D" w:rsidRPr="005C430B">
        <w:rPr>
          <w:rFonts w:ascii="Book Antiqua" w:hAnsi="Book Antiqua" w:cs="Times New Roman"/>
          <w:sz w:val="24"/>
          <w:szCs w:val="24"/>
        </w:rPr>
        <w:t>,</w:t>
      </w:r>
      <w:r w:rsidR="008021CD" w:rsidRPr="005C430B">
        <w:rPr>
          <w:rFonts w:ascii="Book Antiqua" w:hAnsi="Book Antiqua" w:cs="Times New Roman"/>
          <w:sz w:val="24"/>
          <w:szCs w:val="24"/>
        </w:rPr>
        <w:t xml:space="preserve"> like in other pediatric solid tumors. </w:t>
      </w:r>
      <w:r w:rsidR="000C194D" w:rsidRPr="005C430B">
        <w:rPr>
          <w:rFonts w:ascii="Book Antiqua" w:hAnsi="Book Antiqua" w:cs="Times New Roman"/>
          <w:sz w:val="24"/>
          <w:szCs w:val="24"/>
        </w:rPr>
        <w:t xml:space="preserve">This combination used protracted course of irinotecan with synergistic activity of temozolamide and produced overall response rate of 25%-60% (Table 4). </w:t>
      </w:r>
      <w:r w:rsidR="005B729B" w:rsidRPr="005C430B">
        <w:rPr>
          <w:rFonts w:ascii="Book Antiqua" w:hAnsi="Book Antiqua" w:cs="Times New Roman"/>
          <w:sz w:val="24"/>
          <w:szCs w:val="24"/>
        </w:rPr>
        <w:t>No prospective study to evaluate role of high dose chemotherapy has been done so far in recurrent ESFT and r</w:t>
      </w:r>
      <w:r w:rsidR="0029657E" w:rsidRPr="005C430B">
        <w:rPr>
          <w:rFonts w:ascii="Book Antiqua" w:hAnsi="Book Antiqua" w:cs="Times New Roman"/>
          <w:sz w:val="24"/>
          <w:szCs w:val="24"/>
        </w:rPr>
        <w:t>etrospective institutional data</w:t>
      </w:r>
      <w:r w:rsidR="00795A28" w:rsidRPr="005C430B">
        <w:rPr>
          <w:rFonts w:ascii="Book Antiqua" w:hAnsi="Book Antiqua" w:cs="Times New Roman"/>
          <w:sz w:val="24"/>
          <w:szCs w:val="24"/>
          <w:vertAlign w:val="superscript"/>
        </w:rPr>
        <w:t>[66,67]</w:t>
      </w:r>
      <w:r w:rsidR="005B729B" w:rsidRPr="005C430B">
        <w:rPr>
          <w:rFonts w:ascii="Book Antiqua" w:hAnsi="Book Antiqua" w:cs="Times New Roman"/>
          <w:sz w:val="24"/>
          <w:szCs w:val="24"/>
        </w:rPr>
        <w:t xml:space="preserve"> is available with modest activity. A well selected prospective trial in needed in this regards. The Euro-Ewing consortium started a randomized phase II/III </w:t>
      </w:r>
      <w:r w:rsidR="004E5F47" w:rsidRPr="005C430B">
        <w:rPr>
          <w:rFonts w:ascii="Book Antiqua" w:hAnsi="Book Antiqua" w:cs="Times New Roman"/>
          <w:sz w:val="24"/>
          <w:szCs w:val="24"/>
        </w:rPr>
        <w:t>four arm study</w:t>
      </w:r>
      <w:r w:rsidR="004401D5" w:rsidRPr="005C430B">
        <w:rPr>
          <w:rFonts w:ascii="Book Antiqua" w:hAnsi="Book Antiqua" w:cs="Times New Roman"/>
          <w:sz w:val="24"/>
          <w:szCs w:val="24"/>
        </w:rPr>
        <w:t xml:space="preserve"> (cyclophosphamide-topotecan </w:t>
      </w:r>
      <w:r w:rsidR="009B3FC7" w:rsidRPr="005C430B">
        <w:rPr>
          <w:rFonts w:ascii="Book Antiqua" w:hAnsi="Book Antiqua" w:cs="Times New Roman"/>
          <w:i/>
          <w:sz w:val="24"/>
          <w:szCs w:val="24"/>
        </w:rPr>
        <w:t>vs</w:t>
      </w:r>
      <w:r w:rsidR="004401D5" w:rsidRPr="005C430B">
        <w:rPr>
          <w:rFonts w:ascii="Book Antiqua" w:hAnsi="Book Antiqua" w:cs="Times New Roman"/>
          <w:sz w:val="24"/>
          <w:szCs w:val="24"/>
        </w:rPr>
        <w:t xml:space="preserve"> gemcitabine-docetaxel</w:t>
      </w:r>
      <w:r w:rsidR="004401D5" w:rsidRPr="005C430B">
        <w:rPr>
          <w:rFonts w:ascii="Book Antiqua" w:hAnsi="Book Antiqua" w:cs="Times New Roman"/>
          <w:i/>
          <w:sz w:val="24"/>
          <w:szCs w:val="24"/>
        </w:rPr>
        <w:t xml:space="preserve"> vs</w:t>
      </w:r>
      <w:r w:rsidR="004401D5" w:rsidRPr="005C430B">
        <w:rPr>
          <w:rFonts w:ascii="Book Antiqua" w:hAnsi="Book Antiqua" w:cs="Times New Roman"/>
          <w:sz w:val="24"/>
          <w:szCs w:val="24"/>
        </w:rPr>
        <w:t xml:space="preserve"> high dose ifosfamide </w:t>
      </w:r>
      <w:r w:rsidR="009B3FC7" w:rsidRPr="005C430B">
        <w:rPr>
          <w:rFonts w:ascii="Book Antiqua" w:hAnsi="Book Antiqua" w:cs="Times New Roman"/>
          <w:i/>
          <w:sz w:val="24"/>
          <w:szCs w:val="24"/>
        </w:rPr>
        <w:t>vs</w:t>
      </w:r>
      <w:r w:rsidR="004401D5" w:rsidRPr="005C430B">
        <w:rPr>
          <w:rFonts w:ascii="Book Antiqua" w:hAnsi="Book Antiqua" w:cs="Times New Roman"/>
          <w:sz w:val="24"/>
          <w:szCs w:val="24"/>
        </w:rPr>
        <w:t xml:space="preserve"> irinotecan-</w:t>
      </w:r>
      <w:r w:rsidR="004401D5" w:rsidRPr="005C430B">
        <w:rPr>
          <w:rFonts w:ascii="Book Antiqua" w:hAnsi="Book Antiqua" w:cs="Times New Roman"/>
          <w:sz w:val="24"/>
          <w:szCs w:val="24"/>
        </w:rPr>
        <w:lastRenderedPageBreak/>
        <w:t>temozolamide)</w:t>
      </w:r>
      <w:r w:rsidR="004E5F47" w:rsidRPr="005C430B">
        <w:rPr>
          <w:rFonts w:ascii="Book Antiqua" w:hAnsi="Book Antiqua" w:cs="Times New Roman"/>
          <w:sz w:val="24"/>
          <w:szCs w:val="24"/>
        </w:rPr>
        <w:t xml:space="preserve"> in recurrent ESFT and the trial will complete recruitment in 2019. </w:t>
      </w:r>
      <w:r w:rsidR="004401D5" w:rsidRPr="005C430B">
        <w:rPr>
          <w:rFonts w:ascii="Book Antiqua" w:hAnsi="Book Antiqua" w:cs="Times New Roman"/>
          <w:sz w:val="24"/>
          <w:szCs w:val="24"/>
        </w:rPr>
        <w:t xml:space="preserve">A huge vacuum exist in effective salvage therapy of recurrent/refractory ESFT and novel targeted therapy is very much need to fill that unmet need. Future therapeutic trials will eye on combination of chemotherapy with targeted therapy in recurrent/refractory as well as metastatic disease.  </w:t>
      </w:r>
    </w:p>
    <w:p w:rsidR="0029657E" w:rsidRPr="005C430B" w:rsidRDefault="0029657E" w:rsidP="00201740">
      <w:pPr>
        <w:spacing w:after="0" w:line="360" w:lineRule="auto"/>
        <w:jc w:val="both"/>
        <w:rPr>
          <w:rFonts w:ascii="Book Antiqua" w:hAnsi="Book Antiqua" w:cs="Times New Roman"/>
          <w:sz w:val="24"/>
          <w:szCs w:val="24"/>
          <w:lang w:eastAsia="zh-CN"/>
        </w:rPr>
      </w:pPr>
    </w:p>
    <w:p w:rsidR="009307E8" w:rsidRPr="005C430B" w:rsidRDefault="00152964"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New targets and targeted therapies</w:t>
      </w:r>
    </w:p>
    <w:p w:rsidR="008447C2" w:rsidRPr="005C430B" w:rsidRDefault="00AE0CB4" w:rsidP="00201740">
      <w:pPr>
        <w:spacing w:after="0" w:line="360" w:lineRule="auto"/>
        <w:jc w:val="both"/>
        <w:rPr>
          <w:rFonts w:ascii="Book Antiqua" w:hAnsi="Book Antiqua" w:cs="Times New Roman"/>
          <w:sz w:val="24"/>
          <w:szCs w:val="24"/>
        </w:rPr>
      </w:pPr>
      <w:r w:rsidRPr="005C430B">
        <w:rPr>
          <w:rFonts w:ascii="Book Antiqua" w:hAnsi="Book Antiqua" w:cs="Times New Roman"/>
          <w:sz w:val="24"/>
          <w:szCs w:val="24"/>
        </w:rPr>
        <w:t xml:space="preserve">With the plateau of survival with the current conventional chemotherapy and stem cell transplantation in metastatic and recurrent setting of </w:t>
      </w:r>
      <w:r w:rsidR="00D5097A" w:rsidRPr="005C430B">
        <w:rPr>
          <w:rFonts w:ascii="Book Antiqua" w:hAnsi="Book Antiqua" w:cs="Times New Roman"/>
          <w:sz w:val="24"/>
          <w:szCs w:val="24"/>
        </w:rPr>
        <w:t xml:space="preserve">ESFT the urgent need for novel targeted therapy should match the ongoing research in understanding the biology of ESFT with revelation of more and more oncologic pathways and targets. Various drugs has been discovered and tested in preclinical and clinical studies in ESFT by targeting EWS-FLI 1 fusion protein, the hall mark of ESFT-CD99, angiogenic pathways (VEGF and its receptor), mammalian target </w:t>
      </w:r>
      <w:r w:rsidR="00E50750" w:rsidRPr="005C430B">
        <w:rPr>
          <w:rFonts w:ascii="Book Antiqua" w:hAnsi="Book Antiqua" w:cs="Times New Roman"/>
          <w:sz w:val="24"/>
          <w:szCs w:val="24"/>
        </w:rPr>
        <w:t>of rapamycin (mTOR) and insulin-</w:t>
      </w:r>
      <w:r w:rsidR="00D5097A" w:rsidRPr="005C430B">
        <w:rPr>
          <w:rFonts w:ascii="Book Antiqua" w:hAnsi="Book Antiqua" w:cs="Times New Roman"/>
          <w:sz w:val="24"/>
          <w:szCs w:val="24"/>
        </w:rPr>
        <w:t>like growth fact</w:t>
      </w:r>
      <w:r w:rsidR="00E50750" w:rsidRPr="005C430B">
        <w:rPr>
          <w:rFonts w:ascii="Book Antiqua" w:hAnsi="Book Antiqua" w:cs="Times New Roman"/>
          <w:sz w:val="24"/>
          <w:szCs w:val="24"/>
        </w:rPr>
        <w:t>or-</w:t>
      </w:r>
      <w:r w:rsidR="00D5097A" w:rsidRPr="005C430B">
        <w:rPr>
          <w:rFonts w:ascii="Book Antiqua" w:hAnsi="Book Antiqua" w:cs="Times New Roman"/>
          <w:sz w:val="24"/>
          <w:szCs w:val="24"/>
        </w:rPr>
        <w:t>1</w:t>
      </w:r>
      <w:r w:rsidR="00B041B5" w:rsidRPr="005C430B">
        <w:rPr>
          <w:rFonts w:ascii="Book Antiqua" w:hAnsi="Book Antiqua" w:cs="Times New Roman"/>
          <w:sz w:val="24"/>
          <w:szCs w:val="24"/>
        </w:rPr>
        <w:t xml:space="preserve"> (IGF</w:t>
      </w:r>
      <w:r w:rsidR="00D5097A" w:rsidRPr="005C430B">
        <w:rPr>
          <w:rFonts w:ascii="Book Antiqua" w:hAnsi="Book Antiqua" w:cs="Times New Roman"/>
          <w:sz w:val="24"/>
          <w:szCs w:val="24"/>
        </w:rPr>
        <w:t>1) pathways, the osteoclastic-osteoblastic homeostasis</w:t>
      </w:r>
      <w:r w:rsidR="007245BC" w:rsidRPr="005C430B">
        <w:rPr>
          <w:rFonts w:ascii="Book Antiqua" w:hAnsi="Book Antiqua" w:cs="Times New Roman"/>
          <w:sz w:val="24"/>
          <w:szCs w:val="24"/>
        </w:rPr>
        <w:t xml:space="preserve"> and bone microenvironment</w:t>
      </w:r>
      <w:r w:rsidR="0091002A" w:rsidRPr="005C430B">
        <w:rPr>
          <w:rFonts w:ascii="Book Antiqua" w:hAnsi="Book Antiqua" w:cs="Times New Roman"/>
          <w:sz w:val="24"/>
          <w:szCs w:val="24"/>
        </w:rPr>
        <w:t>, enz</w:t>
      </w:r>
      <w:r w:rsidR="00D5097A" w:rsidRPr="005C430B">
        <w:rPr>
          <w:rFonts w:ascii="Book Antiqua" w:hAnsi="Book Antiqua" w:cs="Times New Roman"/>
          <w:sz w:val="24"/>
          <w:szCs w:val="24"/>
        </w:rPr>
        <w:t>ymatic pathways (poly ADP-ribose polymerase 1 – PARP1)</w:t>
      </w:r>
      <w:r w:rsidR="00626AB7" w:rsidRPr="005C430B">
        <w:rPr>
          <w:rFonts w:ascii="Book Antiqua" w:hAnsi="Book Antiqua" w:cs="Times New Roman"/>
          <w:sz w:val="24"/>
          <w:szCs w:val="24"/>
        </w:rPr>
        <w:t>, and GD2 ganglioside pathways</w:t>
      </w:r>
      <w:r w:rsidR="00D5097A" w:rsidRPr="005C430B">
        <w:rPr>
          <w:rFonts w:ascii="Book Antiqua" w:hAnsi="Book Antiqua" w:cs="Times New Roman"/>
          <w:sz w:val="24"/>
          <w:szCs w:val="24"/>
        </w:rPr>
        <w:t>.</w:t>
      </w:r>
    </w:p>
    <w:p w:rsidR="00BE3D5E" w:rsidRPr="005C430B" w:rsidRDefault="00F5254E" w:rsidP="0029657E">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 xml:space="preserve">The mostly studied targeted therapy used in ESFT is by inhibiting EWS-FLI1 transcriptional complex. Many agents have been discovered that directly or indirectly inhibit EWS-FLI1 pathways </w:t>
      </w:r>
      <w:r w:rsidR="00725BF4"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B1055B" w:rsidRPr="005C430B">
        <w:rPr>
          <w:rFonts w:ascii="Book Antiqua" w:hAnsi="Book Antiqua" w:cs="Times New Roman"/>
          <w:sz w:val="24"/>
          <w:szCs w:val="24"/>
        </w:rPr>
        <w:t>small-molecule YK-4-279 is in pre-clinical phase that directly inhibit interaction</w:t>
      </w:r>
      <w:r w:rsidR="00725BF4" w:rsidRPr="005C430B">
        <w:rPr>
          <w:rFonts w:ascii="Book Antiqua" w:hAnsi="Book Antiqua" w:cs="Times New Roman"/>
          <w:sz w:val="24"/>
          <w:szCs w:val="24"/>
        </w:rPr>
        <w:t xml:space="preserve"> of EWS-FLI1 and RNA helicase A</w:t>
      </w:r>
      <w:r w:rsidR="00795A28" w:rsidRPr="005C430B">
        <w:rPr>
          <w:rFonts w:ascii="Book Antiqua" w:hAnsi="Book Antiqua" w:cs="Times New Roman"/>
          <w:sz w:val="24"/>
          <w:szCs w:val="24"/>
          <w:vertAlign w:val="superscript"/>
        </w:rPr>
        <w:t>[68]</w:t>
      </w:r>
      <w:r w:rsidR="00B1055B" w:rsidRPr="005C430B">
        <w:rPr>
          <w:rFonts w:ascii="Book Antiqua" w:hAnsi="Book Antiqua" w:cs="Times New Roman"/>
          <w:sz w:val="24"/>
          <w:szCs w:val="24"/>
        </w:rPr>
        <w:t>, certain chemotherapy agents (doxorubicin, etoposide and cytarabine), midostaurin (broad spe</w:t>
      </w:r>
      <w:r w:rsidR="00725BF4" w:rsidRPr="005C430B">
        <w:rPr>
          <w:rFonts w:ascii="Book Antiqua" w:hAnsi="Book Antiqua" w:cs="Times New Roman"/>
          <w:sz w:val="24"/>
          <w:szCs w:val="24"/>
        </w:rPr>
        <w:t>ctrum protein kinase inhibitor)</w:t>
      </w:r>
      <w:r w:rsidR="00795A28" w:rsidRPr="005C430B">
        <w:rPr>
          <w:rFonts w:ascii="Book Antiqua" w:hAnsi="Book Antiqua" w:cs="Times New Roman"/>
          <w:sz w:val="24"/>
          <w:szCs w:val="24"/>
          <w:vertAlign w:val="superscript"/>
        </w:rPr>
        <w:t>[69]</w:t>
      </w:r>
      <w:r w:rsidR="00B1055B" w:rsidRPr="005C430B">
        <w:rPr>
          <w:rFonts w:ascii="Book Antiqua" w:hAnsi="Book Antiqua" w:cs="Times New Roman"/>
          <w:sz w:val="24"/>
          <w:szCs w:val="24"/>
        </w:rPr>
        <w:t>, mithramycin (antib</w:t>
      </w:r>
      <w:r w:rsidR="00725BF4" w:rsidRPr="005C430B">
        <w:rPr>
          <w:rFonts w:ascii="Book Antiqua" w:hAnsi="Book Antiqua" w:cs="Times New Roman"/>
          <w:sz w:val="24"/>
          <w:szCs w:val="24"/>
        </w:rPr>
        <w:t>iotic inhibiting RNA synthesis)</w:t>
      </w:r>
      <w:r w:rsidR="00795A28" w:rsidRPr="005C430B">
        <w:rPr>
          <w:rFonts w:ascii="Book Antiqua" w:hAnsi="Book Antiqua" w:cs="Times New Roman"/>
          <w:sz w:val="24"/>
          <w:szCs w:val="24"/>
          <w:vertAlign w:val="superscript"/>
        </w:rPr>
        <w:t>[70]</w:t>
      </w:r>
      <w:r w:rsidR="00B1055B" w:rsidRPr="005C430B">
        <w:rPr>
          <w:rFonts w:ascii="Book Antiqua" w:hAnsi="Book Antiqua" w:cs="Times New Roman"/>
          <w:sz w:val="24"/>
          <w:szCs w:val="24"/>
        </w:rPr>
        <w:t>, and the early clinical studies failed to show any clinical benefit of inhibiting EWS-FLI1 pathway in spite of being the driver in ESFT carcinogenesis.</w:t>
      </w:r>
      <w:r w:rsidR="00994221" w:rsidRPr="005C430B">
        <w:rPr>
          <w:rFonts w:ascii="Book Antiqua" w:hAnsi="Book Antiqua" w:cs="Times New Roman"/>
          <w:sz w:val="24"/>
          <w:szCs w:val="24"/>
        </w:rPr>
        <w:t xml:space="preserve"> </w:t>
      </w:r>
    </w:p>
    <w:p w:rsidR="00C61373" w:rsidRPr="005C430B" w:rsidRDefault="00BE3D5E" w:rsidP="00725BF4">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 xml:space="preserve">Anti-angiogenic approach has been </w:t>
      </w:r>
      <w:r w:rsidR="0042681A" w:rsidRPr="005C430B">
        <w:rPr>
          <w:rFonts w:ascii="Book Antiqua" w:hAnsi="Book Antiqua" w:cs="Times New Roman"/>
          <w:sz w:val="24"/>
          <w:szCs w:val="24"/>
        </w:rPr>
        <w:t xml:space="preserve">used in recurrent tumors and thus inhibiting the tumor growth and its metastatic potential. Bevacizumab (monoclonal antibody against VEGFR) has been tested in phase II study by COG in combination with chemotherapy (vincristine, topotecan and cyclophosphamide) in recurrent setting with pending results (NCT00516295). </w:t>
      </w:r>
      <w:r w:rsidR="00C76381" w:rsidRPr="005C430B">
        <w:rPr>
          <w:rFonts w:ascii="Book Antiqua" w:hAnsi="Book Antiqua" w:cs="Times New Roman"/>
          <w:sz w:val="24"/>
          <w:szCs w:val="24"/>
        </w:rPr>
        <w:t xml:space="preserve">Pazopanib (a small </w:t>
      </w:r>
      <w:r w:rsidR="0070588E" w:rsidRPr="005C430B">
        <w:rPr>
          <w:rFonts w:ascii="Book Antiqua" w:hAnsi="Book Antiqua" w:cs="Times New Roman"/>
          <w:sz w:val="24"/>
          <w:szCs w:val="24"/>
        </w:rPr>
        <w:t>molecule multi-k</w:t>
      </w:r>
      <w:r w:rsidR="00C76381" w:rsidRPr="005C430B">
        <w:rPr>
          <w:rFonts w:ascii="Book Antiqua" w:hAnsi="Book Antiqua" w:cs="Times New Roman"/>
          <w:sz w:val="24"/>
          <w:szCs w:val="24"/>
        </w:rPr>
        <w:t>inase inhibitor incl</w:t>
      </w:r>
      <w:r w:rsidR="002C39B2" w:rsidRPr="005C430B">
        <w:rPr>
          <w:rFonts w:ascii="Book Antiqua" w:hAnsi="Book Antiqua" w:cs="Times New Roman"/>
          <w:sz w:val="24"/>
          <w:szCs w:val="24"/>
        </w:rPr>
        <w:t>uding VEGF</w:t>
      </w:r>
      <w:r w:rsidR="0093705C" w:rsidRPr="005C430B">
        <w:rPr>
          <w:rFonts w:ascii="Book Antiqua" w:hAnsi="Book Antiqua" w:cs="Times New Roman"/>
          <w:sz w:val="24"/>
          <w:szCs w:val="24"/>
        </w:rPr>
        <w:t>R</w:t>
      </w:r>
      <w:r w:rsidR="002C39B2" w:rsidRPr="005C430B">
        <w:rPr>
          <w:rFonts w:ascii="Book Antiqua" w:hAnsi="Book Antiqua" w:cs="Times New Roman"/>
          <w:sz w:val="24"/>
          <w:szCs w:val="24"/>
        </w:rPr>
        <w:t xml:space="preserve">) </w:t>
      </w:r>
      <w:r w:rsidR="002C39B2" w:rsidRPr="005C430B">
        <w:rPr>
          <w:rFonts w:ascii="Book Antiqua" w:hAnsi="Book Antiqua" w:cs="Times New Roman"/>
          <w:sz w:val="24"/>
          <w:szCs w:val="24"/>
        </w:rPr>
        <w:lastRenderedPageBreak/>
        <w:t>has been tested in a phase I trial</w:t>
      </w:r>
      <w:r w:rsidR="00795A28" w:rsidRPr="005C430B">
        <w:rPr>
          <w:rFonts w:ascii="Book Antiqua" w:hAnsi="Book Antiqua" w:cs="Times New Roman"/>
          <w:sz w:val="24"/>
          <w:szCs w:val="24"/>
          <w:vertAlign w:val="superscript"/>
        </w:rPr>
        <w:t>[71]</w:t>
      </w:r>
      <w:r w:rsidR="002C39B2" w:rsidRPr="005C430B">
        <w:rPr>
          <w:rFonts w:ascii="Book Antiqua" w:hAnsi="Book Antiqua" w:cs="Times New Roman"/>
          <w:sz w:val="24"/>
          <w:szCs w:val="24"/>
        </w:rPr>
        <w:t xml:space="preserve"> in refractory pediatric solid tumor and now being tested in a phase II study by COG</w:t>
      </w:r>
      <w:r w:rsidR="0093705C" w:rsidRPr="005C430B">
        <w:rPr>
          <w:rFonts w:ascii="Book Antiqua" w:hAnsi="Book Antiqua" w:cs="Times New Roman"/>
          <w:sz w:val="24"/>
          <w:szCs w:val="24"/>
        </w:rPr>
        <w:t xml:space="preserve"> </w:t>
      </w:r>
      <w:r w:rsidR="002C39B2" w:rsidRPr="005C430B">
        <w:rPr>
          <w:rFonts w:ascii="Book Antiqua" w:hAnsi="Book Antiqua" w:cs="Times New Roman"/>
          <w:sz w:val="24"/>
          <w:szCs w:val="24"/>
        </w:rPr>
        <w:t>that include ESFT and other sarcomas</w:t>
      </w:r>
      <w:r w:rsidR="0093705C" w:rsidRPr="005C430B">
        <w:rPr>
          <w:rFonts w:ascii="Book Antiqua" w:hAnsi="Book Antiqua" w:cs="Times New Roman"/>
          <w:sz w:val="24"/>
          <w:szCs w:val="24"/>
        </w:rPr>
        <w:t xml:space="preserve"> (</w:t>
      </w:r>
      <w:r w:rsidR="00400143">
        <w:fldChar w:fldCharType="begin"/>
      </w:r>
      <w:r w:rsidR="00400143">
        <w:instrText xml:space="preserve"> HYPERLINK "http://clinicaltrials.gov/show/NCT01956669" \t "_blank" </w:instrText>
      </w:r>
      <w:r w:rsidR="00400143">
        <w:fldChar w:fldCharType="separate"/>
      </w:r>
      <w:r w:rsidR="0093705C" w:rsidRPr="005C430B">
        <w:rPr>
          <w:rStyle w:val="Hyperlink"/>
          <w:rFonts w:ascii="Book Antiqua" w:hAnsi="Book Antiqua" w:cs="Times New Roman"/>
          <w:bCs/>
          <w:color w:val="auto"/>
          <w:sz w:val="24"/>
          <w:szCs w:val="24"/>
          <w:u w:val="none"/>
        </w:rPr>
        <w:t>NCT01956669</w:t>
      </w:r>
      <w:r w:rsidR="00400143">
        <w:rPr>
          <w:rStyle w:val="Hyperlink"/>
          <w:rFonts w:ascii="Book Antiqua" w:hAnsi="Book Antiqua" w:cs="Times New Roman"/>
          <w:bCs/>
          <w:color w:val="auto"/>
          <w:sz w:val="24"/>
          <w:szCs w:val="24"/>
          <w:u w:val="none"/>
        </w:rPr>
        <w:fldChar w:fldCharType="end"/>
      </w:r>
      <w:r w:rsidR="0093705C" w:rsidRPr="005C430B">
        <w:rPr>
          <w:rFonts w:ascii="Book Antiqua" w:hAnsi="Book Antiqua" w:cs="Times New Roman"/>
          <w:sz w:val="24"/>
          <w:szCs w:val="24"/>
        </w:rPr>
        <w:t>)</w:t>
      </w:r>
      <w:r w:rsidR="002C39B2" w:rsidRPr="005C430B">
        <w:rPr>
          <w:rFonts w:ascii="Book Antiqua" w:hAnsi="Book Antiqua" w:cs="Times New Roman"/>
          <w:sz w:val="24"/>
          <w:szCs w:val="24"/>
        </w:rPr>
        <w:t xml:space="preserve">. </w:t>
      </w:r>
      <w:r w:rsidR="00392F32" w:rsidRPr="005C430B">
        <w:rPr>
          <w:rFonts w:ascii="Book Antiqua" w:hAnsi="Book Antiqua" w:cs="Times New Roman"/>
          <w:sz w:val="24"/>
          <w:szCs w:val="24"/>
        </w:rPr>
        <w:t>Regorafenib (a small molecule multi</w:t>
      </w:r>
      <w:r w:rsidR="00634B36" w:rsidRPr="005C430B">
        <w:rPr>
          <w:rFonts w:ascii="Book Antiqua" w:hAnsi="Book Antiqua" w:cs="Times New Roman"/>
          <w:sz w:val="24"/>
          <w:szCs w:val="24"/>
        </w:rPr>
        <w:t>-</w:t>
      </w:r>
      <w:r w:rsidR="00392F32" w:rsidRPr="005C430B">
        <w:rPr>
          <w:rFonts w:ascii="Book Antiqua" w:hAnsi="Book Antiqua" w:cs="Times New Roman"/>
          <w:sz w:val="24"/>
          <w:szCs w:val="24"/>
        </w:rPr>
        <w:t>kinase inhibitor like pazopanib) also being tested</w:t>
      </w:r>
      <w:r w:rsidR="00207A53" w:rsidRPr="005C430B">
        <w:rPr>
          <w:rFonts w:ascii="Book Antiqua" w:hAnsi="Book Antiqua" w:cs="Times New Roman"/>
          <w:sz w:val="24"/>
          <w:szCs w:val="24"/>
        </w:rPr>
        <w:t xml:space="preserve"> in refractory sarcoma</w:t>
      </w:r>
      <w:r w:rsidR="002B2DF2" w:rsidRPr="005C430B">
        <w:rPr>
          <w:rFonts w:ascii="Book Antiqua" w:hAnsi="Book Antiqua" w:cs="Times New Roman"/>
          <w:sz w:val="24"/>
          <w:szCs w:val="24"/>
        </w:rPr>
        <w:t>s</w:t>
      </w:r>
      <w:r w:rsidR="00207A53" w:rsidRPr="005C430B">
        <w:rPr>
          <w:rFonts w:ascii="Book Antiqua" w:hAnsi="Book Antiqua" w:cs="Times New Roman"/>
          <w:sz w:val="24"/>
          <w:szCs w:val="24"/>
        </w:rPr>
        <w:t xml:space="preserve"> including ESFT (NCT02048371). </w:t>
      </w:r>
    </w:p>
    <w:p w:rsidR="00B041B5" w:rsidRPr="005C430B" w:rsidRDefault="00C61373" w:rsidP="00725BF4">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ESFT is characterized by osteolytic bone lesion with extensive soft tissue component which is marked by osteoclastic activity and interaction between RANK and its ligand – RANKL</w:t>
      </w:r>
      <w:r w:rsidR="00795A28" w:rsidRPr="005C430B">
        <w:rPr>
          <w:rFonts w:ascii="Book Antiqua" w:hAnsi="Book Antiqua" w:cs="Times New Roman"/>
          <w:sz w:val="24"/>
          <w:szCs w:val="24"/>
          <w:vertAlign w:val="superscript"/>
        </w:rPr>
        <w:t>[72]</w:t>
      </w:r>
      <w:r w:rsidRPr="005C430B">
        <w:rPr>
          <w:rFonts w:ascii="Book Antiqua" w:hAnsi="Book Antiqua" w:cs="Times New Roman"/>
          <w:sz w:val="24"/>
          <w:szCs w:val="24"/>
        </w:rPr>
        <w:t>. RANK</w:t>
      </w:r>
      <w:r w:rsidR="0008285C" w:rsidRPr="005C430B">
        <w:rPr>
          <w:rFonts w:ascii="Book Antiqua" w:hAnsi="Book Antiqua" w:cs="Times New Roman"/>
          <w:sz w:val="24"/>
          <w:szCs w:val="24"/>
        </w:rPr>
        <w:t>L facilitates osteoclastic activity</w:t>
      </w:r>
      <w:r w:rsidRPr="005C430B">
        <w:rPr>
          <w:rFonts w:ascii="Book Antiqua" w:hAnsi="Book Antiqua" w:cs="Times New Roman"/>
          <w:sz w:val="24"/>
          <w:szCs w:val="24"/>
        </w:rPr>
        <w:t>,</w:t>
      </w:r>
      <w:r w:rsidR="0008285C" w:rsidRPr="005C430B">
        <w:rPr>
          <w:rFonts w:ascii="Book Antiqua" w:hAnsi="Book Antiqua" w:cs="Times New Roman"/>
          <w:sz w:val="24"/>
          <w:szCs w:val="24"/>
        </w:rPr>
        <w:t xml:space="preserve"> with</w:t>
      </w:r>
      <w:r w:rsidRPr="005C430B">
        <w:rPr>
          <w:rFonts w:ascii="Book Antiqua" w:hAnsi="Book Antiqua" w:cs="Times New Roman"/>
          <w:sz w:val="24"/>
          <w:szCs w:val="24"/>
        </w:rPr>
        <w:t xml:space="preserve"> bone resorption</w:t>
      </w:r>
      <w:r w:rsidR="0008285C" w:rsidRPr="005C430B">
        <w:rPr>
          <w:rFonts w:ascii="Book Antiqua" w:hAnsi="Book Antiqua" w:cs="Times New Roman"/>
          <w:sz w:val="24"/>
          <w:szCs w:val="24"/>
        </w:rPr>
        <w:t xml:space="preserve"> and destruction</w:t>
      </w:r>
      <w:r w:rsidRPr="005C430B">
        <w:rPr>
          <w:rFonts w:ascii="Book Antiqua" w:hAnsi="Book Antiqua" w:cs="Times New Roman"/>
          <w:sz w:val="24"/>
          <w:szCs w:val="24"/>
        </w:rPr>
        <w:t xml:space="preserve">, </w:t>
      </w:r>
      <w:r w:rsidR="0008285C" w:rsidRPr="005C430B">
        <w:rPr>
          <w:rFonts w:ascii="Book Antiqua" w:hAnsi="Book Antiqua" w:cs="Times New Roman"/>
          <w:sz w:val="24"/>
          <w:szCs w:val="24"/>
        </w:rPr>
        <w:t>and</w:t>
      </w:r>
      <w:r w:rsidRPr="005C430B">
        <w:rPr>
          <w:rFonts w:ascii="Book Antiqua" w:hAnsi="Book Antiqua" w:cs="Times New Roman"/>
          <w:sz w:val="24"/>
          <w:szCs w:val="24"/>
        </w:rPr>
        <w:t xml:space="preserve"> tumor </w:t>
      </w:r>
      <w:r w:rsidR="0008285C" w:rsidRPr="005C430B">
        <w:rPr>
          <w:rFonts w:ascii="Book Antiqua" w:hAnsi="Book Antiqua" w:cs="Times New Roman"/>
          <w:sz w:val="24"/>
          <w:szCs w:val="24"/>
        </w:rPr>
        <w:t xml:space="preserve">growth. </w:t>
      </w:r>
      <w:r w:rsidR="00CE15D8" w:rsidRPr="005C430B">
        <w:rPr>
          <w:rFonts w:ascii="Book Antiqua" w:hAnsi="Book Antiqua" w:cs="Times New Roman"/>
          <w:sz w:val="24"/>
          <w:szCs w:val="24"/>
        </w:rPr>
        <w:t>Zoledronic acid, a bisphosphonate inhibit osteoclastic activity and its migration along with inhibition of RANK</w:t>
      </w:r>
      <w:r w:rsidR="00296487" w:rsidRPr="005C430B">
        <w:rPr>
          <w:rFonts w:ascii="Book Antiqua" w:hAnsi="Book Antiqua" w:cs="Times New Roman"/>
          <w:sz w:val="24"/>
          <w:szCs w:val="24"/>
        </w:rPr>
        <w:t xml:space="preserve">, showed </w:t>
      </w:r>
      <w:r w:rsidR="00DC77CC" w:rsidRPr="005C430B">
        <w:rPr>
          <w:rFonts w:ascii="Book Antiqua" w:hAnsi="Book Antiqua" w:cs="Times New Roman"/>
          <w:sz w:val="24"/>
          <w:szCs w:val="24"/>
        </w:rPr>
        <w:t xml:space="preserve">anti-tumor </w:t>
      </w:r>
      <w:r w:rsidR="00296487" w:rsidRPr="005C430B">
        <w:rPr>
          <w:rFonts w:ascii="Book Antiqua" w:hAnsi="Book Antiqua" w:cs="Times New Roman"/>
          <w:sz w:val="24"/>
          <w:szCs w:val="24"/>
        </w:rPr>
        <w:t xml:space="preserve">activity in in-vivo model </w:t>
      </w:r>
      <w:r w:rsidR="00DC77CC" w:rsidRPr="005C430B">
        <w:rPr>
          <w:rFonts w:ascii="Book Antiqua" w:hAnsi="Book Antiqua" w:cs="Times New Roman"/>
          <w:sz w:val="24"/>
          <w:szCs w:val="24"/>
        </w:rPr>
        <w:t>of ESFT and the effect was accentu</w:t>
      </w:r>
      <w:r w:rsidR="00B47BA8" w:rsidRPr="005C430B">
        <w:rPr>
          <w:rFonts w:ascii="Book Antiqua" w:hAnsi="Book Antiqua" w:cs="Times New Roman"/>
          <w:sz w:val="24"/>
          <w:szCs w:val="24"/>
        </w:rPr>
        <w:t>ated by addition of ifosfamide</w:t>
      </w:r>
      <w:r w:rsidR="00795A28" w:rsidRPr="005C430B">
        <w:rPr>
          <w:rFonts w:ascii="Book Antiqua" w:hAnsi="Book Antiqua" w:cs="Times New Roman"/>
          <w:sz w:val="24"/>
          <w:szCs w:val="24"/>
          <w:vertAlign w:val="superscript"/>
        </w:rPr>
        <w:t>[73]</w:t>
      </w:r>
      <w:r w:rsidR="00B47BA8" w:rsidRPr="005C430B">
        <w:rPr>
          <w:rFonts w:ascii="Book Antiqua" w:hAnsi="Book Antiqua" w:cs="Times New Roman"/>
          <w:sz w:val="24"/>
          <w:szCs w:val="24"/>
        </w:rPr>
        <w:t xml:space="preserve">. Ewing 2008 and Euro-Ewing 2012 trial is evaluating </w:t>
      </w:r>
      <w:r w:rsidR="003614DD" w:rsidRPr="005C430B">
        <w:rPr>
          <w:rFonts w:ascii="Book Antiqua" w:hAnsi="Book Antiqua" w:cs="Times New Roman"/>
          <w:sz w:val="24"/>
          <w:szCs w:val="24"/>
        </w:rPr>
        <w:t>the benefit of zoledronic after combining with chemotherapy in localized ESFT.</w:t>
      </w:r>
    </w:p>
    <w:p w:rsidR="00B1055B" w:rsidRPr="005C430B" w:rsidRDefault="00E50750" w:rsidP="00725BF4">
      <w:pPr>
        <w:spacing w:after="0" w:line="360" w:lineRule="auto"/>
        <w:ind w:firstLineChars="100" w:firstLine="240"/>
        <w:jc w:val="both"/>
        <w:rPr>
          <w:rFonts w:ascii="Book Antiqua" w:hAnsi="Book Antiqua" w:cs="Times New Roman"/>
          <w:sz w:val="24"/>
          <w:szCs w:val="24"/>
        </w:rPr>
      </w:pPr>
      <w:r w:rsidRPr="005C430B">
        <w:rPr>
          <w:rFonts w:ascii="Book Antiqua" w:hAnsi="Book Antiqua" w:cs="Times New Roman"/>
          <w:sz w:val="24"/>
          <w:szCs w:val="24"/>
        </w:rPr>
        <w:t xml:space="preserve">IGF1 receptor (IGF1R) </w:t>
      </w:r>
      <w:r w:rsidR="006A1FD0" w:rsidRPr="005C430B">
        <w:rPr>
          <w:rFonts w:ascii="Book Antiqua" w:hAnsi="Book Antiqua" w:cs="Times New Roman"/>
          <w:sz w:val="24"/>
          <w:szCs w:val="24"/>
        </w:rPr>
        <w:t>plays an important role downst</w:t>
      </w:r>
      <w:r w:rsidR="0036139A" w:rsidRPr="005C430B">
        <w:rPr>
          <w:rFonts w:ascii="Book Antiqua" w:hAnsi="Book Antiqua" w:cs="Times New Roman"/>
          <w:sz w:val="24"/>
          <w:szCs w:val="24"/>
        </w:rPr>
        <w:t>r</w:t>
      </w:r>
      <w:r w:rsidR="006A1FD0" w:rsidRPr="005C430B">
        <w:rPr>
          <w:rFonts w:ascii="Book Antiqua" w:hAnsi="Book Antiqua" w:cs="Times New Roman"/>
          <w:sz w:val="24"/>
          <w:szCs w:val="24"/>
        </w:rPr>
        <w:t xml:space="preserve">eam to </w:t>
      </w:r>
      <w:r w:rsidR="0036139A" w:rsidRPr="005C430B">
        <w:rPr>
          <w:rFonts w:ascii="Book Antiqua" w:hAnsi="Book Antiqua" w:cs="Times New Roman"/>
          <w:sz w:val="24"/>
          <w:szCs w:val="24"/>
        </w:rPr>
        <w:t xml:space="preserve">EWS-FLI1 for cell survival, angiogenesis and metastasis. </w:t>
      </w:r>
      <w:r w:rsidR="00EB5DF6" w:rsidRPr="005C430B">
        <w:rPr>
          <w:rFonts w:ascii="Book Antiqua" w:hAnsi="Book Antiqua" w:cs="Times New Roman"/>
          <w:sz w:val="24"/>
          <w:szCs w:val="24"/>
        </w:rPr>
        <w:t xml:space="preserve">But, disappointing results with anti-IGF1R monoclonal antibody let to stoppage of further study of this novel agent due to dramatic but very short lasting response in refractory ESFTs. </w:t>
      </w:r>
      <w:r w:rsidR="00A25616" w:rsidRPr="005C430B">
        <w:rPr>
          <w:rFonts w:ascii="Book Antiqua" w:hAnsi="Book Antiqua" w:cs="Times New Roman"/>
          <w:sz w:val="24"/>
          <w:szCs w:val="24"/>
        </w:rPr>
        <w:t>The cause of this early resistance is not fully understood though up-regulation of IGF1R or mTOR has been postulated</w:t>
      </w:r>
      <w:r w:rsidR="00795A28" w:rsidRPr="005C430B">
        <w:rPr>
          <w:rFonts w:ascii="Book Antiqua" w:hAnsi="Book Antiqua" w:cs="Times New Roman"/>
          <w:sz w:val="24"/>
          <w:szCs w:val="24"/>
          <w:vertAlign w:val="superscript"/>
        </w:rPr>
        <w:t>[74]</w:t>
      </w:r>
      <w:r w:rsidR="00A25616" w:rsidRPr="005C430B">
        <w:rPr>
          <w:rFonts w:ascii="Book Antiqua" w:hAnsi="Book Antiqua" w:cs="Times New Roman"/>
          <w:sz w:val="24"/>
          <w:szCs w:val="24"/>
        </w:rPr>
        <w:t xml:space="preserve">. The COG future trial has planned combination of VAC-IE with anti-IGF1R antibody in metastatic disease to overcome this resistance. </w:t>
      </w:r>
    </w:p>
    <w:p w:rsidR="00152964" w:rsidRPr="005C430B" w:rsidRDefault="0027033B" w:rsidP="00725BF4">
      <w:pPr>
        <w:spacing w:after="0" w:line="360" w:lineRule="auto"/>
        <w:ind w:firstLineChars="100" w:firstLine="240"/>
        <w:jc w:val="both"/>
        <w:rPr>
          <w:rFonts w:ascii="Book Antiqua" w:hAnsi="Book Antiqua" w:cs="Times New Roman"/>
          <w:sz w:val="24"/>
          <w:szCs w:val="24"/>
          <w:lang w:eastAsia="zh-CN"/>
        </w:rPr>
      </w:pPr>
      <w:r w:rsidRPr="005C430B">
        <w:rPr>
          <w:rFonts w:ascii="Book Antiqua" w:hAnsi="Book Antiqua" w:cs="Times New Roman"/>
          <w:sz w:val="24"/>
          <w:szCs w:val="24"/>
        </w:rPr>
        <w:t>T</w:t>
      </w:r>
      <w:r w:rsidR="009C1650" w:rsidRPr="005C430B">
        <w:rPr>
          <w:rFonts w:ascii="Book Antiqua" w:hAnsi="Book Antiqua" w:cs="Times New Roman"/>
          <w:sz w:val="24"/>
          <w:szCs w:val="24"/>
        </w:rPr>
        <w:t xml:space="preserve">he </w:t>
      </w:r>
      <w:r w:rsidRPr="005C430B">
        <w:rPr>
          <w:rFonts w:ascii="Book Antiqua" w:hAnsi="Book Antiqua" w:cs="Times New Roman"/>
          <w:sz w:val="24"/>
          <w:szCs w:val="24"/>
        </w:rPr>
        <w:t>oth</w:t>
      </w:r>
      <w:r w:rsidR="00D34E60" w:rsidRPr="005C430B">
        <w:rPr>
          <w:rFonts w:ascii="Book Antiqua" w:hAnsi="Book Antiqua" w:cs="Times New Roman"/>
          <w:sz w:val="24"/>
          <w:szCs w:val="24"/>
        </w:rPr>
        <w:t>er potential targeted therapies include</w:t>
      </w:r>
      <w:r w:rsidRPr="005C430B">
        <w:rPr>
          <w:rFonts w:ascii="Book Antiqua" w:hAnsi="Book Antiqua" w:cs="Times New Roman"/>
          <w:sz w:val="24"/>
          <w:szCs w:val="24"/>
        </w:rPr>
        <w:t xml:space="preserve"> </w:t>
      </w:r>
      <w:r w:rsidR="00725BF4"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34E60" w:rsidRPr="005C430B">
        <w:rPr>
          <w:rFonts w:ascii="Book Antiqua" w:hAnsi="Book Antiqua" w:cs="Times New Roman"/>
          <w:sz w:val="24"/>
          <w:szCs w:val="24"/>
        </w:rPr>
        <w:t xml:space="preserve">PARP1 inhibitor olaparib in combination with temozolamide showed </w:t>
      </w:r>
      <w:r w:rsidR="00D34E60" w:rsidRPr="005C430B">
        <w:rPr>
          <w:rFonts w:ascii="Book Antiqua" w:hAnsi="Book Antiqua" w:cs="Times New Roman"/>
          <w:i/>
          <w:sz w:val="24"/>
          <w:szCs w:val="24"/>
        </w:rPr>
        <w:t>in-vivo</w:t>
      </w:r>
      <w:r w:rsidR="00D34E60" w:rsidRPr="005C430B">
        <w:rPr>
          <w:rFonts w:ascii="Book Antiqua" w:hAnsi="Book Antiqua" w:cs="Times New Roman"/>
          <w:sz w:val="24"/>
          <w:szCs w:val="24"/>
        </w:rPr>
        <w:t xml:space="preserve"> </w:t>
      </w:r>
      <w:r w:rsidR="00725BF4" w:rsidRPr="005C430B">
        <w:rPr>
          <w:rFonts w:ascii="Book Antiqua" w:hAnsi="Book Antiqua" w:cs="Times New Roman"/>
          <w:sz w:val="24"/>
          <w:szCs w:val="24"/>
          <w:lang w:eastAsia="zh-CN"/>
        </w:rPr>
        <w:t>and</w:t>
      </w:r>
      <w:r w:rsidR="00D34E60" w:rsidRPr="005C430B">
        <w:rPr>
          <w:rFonts w:ascii="Book Antiqua" w:hAnsi="Book Antiqua" w:cs="Times New Roman"/>
          <w:sz w:val="24"/>
          <w:szCs w:val="24"/>
        </w:rPr>
        <w:t xml:space="preserve"> </w:t>
      </w:r>
      <w:r w:rsidR="00D34E60" w:rsidRPr="005C430B">
        <w:rPr>
          <w:rFonts w:ascii="Book Antiqua" w:hAnsi="Book Antiqua" w:cs="Times New Roman"/>
          <w:i/>
          <w:sz w:val="24"/>
          <w:szCs w:val="24"/>
        </w:rPr>
        <w:t>in-vitro</w:t>
      </w:r>
      <w:r w:rsidR="00D34E60" w:rsidRPr="005C430B">
        <w:rPr>
          <w:rFonts w:ascii="Book Antiqua" w:hAnsi="Book Antiqua" w:cs="Times New Roman"/>
          <w:sz w:val="24"/>
          <w:szCs w:val="24"/>
        </w:rPr>
        <w:t xml:space="preserve"> activity</w:t>
      </w:r>
      <w:r w:rsidR="00795A28" w:rsidRPr="005C430B">
        <w:rPr>
          <w:rFonts w:ascii="Book Antiqua" w:hAnsi="Book Antiqua" w:cs="Times New Roman"/>
          <w:sz w:val="24"/>
          <w:szCs w:val="24"/>
          <w:vertAlign w:val="superscript"/>
        </w:rPr>
        <w:t>[75]</w:t>
      </w:r>
      <w:r w:rsidR="00D34E60" w:rsidRPr="005C430B">
        <w:rPr>
          <w:rFonts w:ascii="Book Antiqua" w:hAnsi="Book Antiqua" w:cs="Times New Roman"/>
          <w:sz w:val="24"/>
          <w:szCs w:val="24"/>
        </w:rPr>
        <w:t>, anti-GD2 ganglioside (a neuroendocrine marker present in ESFT cells) chimeric antigen</w:t>
      </w:r>
      <w:r w:rsidR="00795A28" w:rsidRPr="005C430B">
        <w:rPr>
          <w:rFonts w:ascii="Book Antiqua" w:hAnsi="Book Antiqua" w:cs="Times New Roman"/>
          <w:sz w:val="24"/>
          <w:szCs w:val="24"/>
          <w:vertAlign w:val="superscript"/>
        </w:rPr>
        <w:t>[76]</w:t>
      </w:r>
      <w:r w:rsidR="00D34E60" w:rsidRPr="005C430B">
        <w:rPr>
          <w:rFonts w:ascii="Book Antiqua" w:hAnsi="Book Antiqua" w:cs="Times New Roman"/>
          <w:sz w:val="24"/>
          <w:szCs w:val="24"/>
        </w:rPr>
        <w:t>, and anti-CD99 monoclonal antibody</w:t>
      </w:r>
      <w:r w:rsidR="00795A28" w:rsidRPr="005C430B">
        <w:rPr>
          <w:rFonts w:ascii="Book Antiqua" w:hAnsi="Book Antiqua" w:cs="Times New Roman"/>
          <w:sz w:val="24"/>
          <w:szCs w:val="24"/>
          <w:vertAlign w:val="superscript"/>
        </w:rPr>
        <w:t>[77]</w:t>
      </w:r>
      <w:r w:rsidR="00D34E60" w:rsidRPr="005C430B">
        <w:rPr>
          <w:rFonts w:ascii="Book Antiqua" w:hAnsi="Book Antiqua" w:cs="Times New Roman"/>
          <w:sz w:val="24"/>
          <w:szCs w:val="24"/>
        </w:rPr>
        <w:t xml:space="preserve"> are in preclinical study periods.  </w:t>
      </w:r>
    </w:p>
    <w:p w:rsidR="00725BF4" w:rsidRPr="005C430B" w:rsidRDefault="00725BF4" w:rsidP="00725BF4">
      <w:pPr>
        <w:spacing w:after="0" w:line="360" w:lineRule="auto"/>
        <w:ind w:firstLineChars="100" w:firstLine="240"/>
        <w:jc w:val="both"/>
        <w:rPr>
          <w:rFonts w:ascii="Book Antiqua" w:hAnsi="Book Antiqua" w:cs="Times New Roman"/>
          <w:sz w:val="24"/>
          <w:szCs w:val="24"/>
          <w:lang w:eastAsia="zh-CN"/>
        </w:rPr>
      </w:pPr>
    </w:p>
    <w:p w:rsidR="003C1BA3" w:rsidRPr="005C430B" w:rsidRDefault="003C1BA3" w:rsidP="00201740">
      <w:pPr>
        <w:spacing w:after="0" w:line="360" w:lineRule="auto"/>
        <w:jc w:val="both"/>
        <w:rPr>
          <w:rFonts w:ascii="Book Antiqua" w:hAnsi="Book Antiqua" w:cs="Times New Roman"/>
          <w:b/>
          <w:caps/>
          <w:sz w:val="24"/>
          <w:szCs w:val="24"/>
        </w:rPr>
      </w:pPr>
      <w:r w:rsidRPr="005C430B">
        <w:rPr>
          <w:rFonts w:ascii="Book Antiqua" w:hAnsi="Book Antiqua" w:cs="Times New Roman"/>
          <w:b/>
          <w:caps/>
          <w:sz w:val="24"/>
          <w:szCs w:val="24"/>
        </w:rPr>
        <w:t>Fertility issue</w:t>
      </w:r>
      <w:r w:rsidR="00105EAF" w:rsidRPr="005C430B">
        <w:rPr>
          <w:rFonts w:ascii="Book Antiqua" w:hAnsi="Book Antiqua" w:cs="Times New Roman"/>
          <w:b/>
          <w:caps/>
          <w:sz w:val="24"/>
          <w:szCs w:val="24"/>
        </w:rPr>
        <w:t>: a important but often ignored issue</w:t>
      </w:r>
    </w:p>
    <w:p w:rsidR="0062275E" w:rsidRPr="005C430B" w:rsidRDefault="00977E98" w:rsidP="00201740">
      <w:pPr>
        <w:spacing w:after="0" w:line="360" w:lineRule="auto"/>
        <w:jc w:val="both"/>
        <w:rPr>
          <w:rFonts w:ascii="Book Antiqua" w:hAnsi="Book Antiqua"/>
          <w:sz w:val="24"/>
          <w:szCs w:val="24"/>
        </w:rPr>
      </w:pPr>
      <w:r w:rsidRPr="005C430B">
        <w:rPr>
          <w:rFonts w:ascii="Book Antiqua" w:hAnsi="Book Antiqua" w:cs="Times New Roman"/>
          <w:sz w:val="24"/>
          <w:szCs w:val="24"/>
        </w:rPr>
        <w:t xml:space="preserve">ESFT </w:t>
      </w:r>
      <w:r w:rsidR="00D429EA" w:rsidRPr="005C430B">
        <w:rPr>
          <w:rFonts w:ascii="Book Antiqua" w:hAnsi="Book Antiqua" w:cs="Times New Roman"/>
          <w:sz w:val="24"/>
          <w:szCs w:val="24"/>
        </w:rPr>
        <w:t>is a disease of young adolescent age group along with many patients in reproductive age group. All three treatment modality in ESFT affects gonadal and reproductive function in these patients. Multi-agent chemotherapy</w:t>
      </w:r>
      <w:r w:rsidR="000F0249" w:rsidRPr="005C430B">
        <w:rPr>
          <w:rFonts w:ascii="Book Antiqua" w:hAnsi="Book Antiqua" w:cs="Times New Roman"/>
          <w:sz w:val="24"/>
          <w:szCs w:val="24"/>
        </w:rPr>
        <w:t xml:space="preserve">, </w:t>
      </w:r>
      <w:r w:rsidR="000F0249" w:rsidRPr="005C430B">
        <w:rPr>
          <w:rFonts w:ascii="Book Antiqua" w:hAnsi="Book Antiqua"/>
          <w:sz w:val="24"/>
          <w:szCs w:val="24"/>
        </w:rPr>
        <w:t>especially with alkylators and anthracyclines,</w:t>
      </w:r>
      <w:r w:rsidR="004F6409" w:rsidRPr="005C430B">
        <w:rPr>
          <w:rFonts w:ascii="Book Antiqua" w:hAnsi="Book Antiqua" w:cs="Times New Roman"/>
          <w:sz w:val="24"/>
          <w:szCs w:val="24"/>
        </w:rPr>
        <w:t xml:space="preserve"> and radiotherapy are</w:t>
      </w:r>
      <w:r w:rsidR="00D429EA" w:rsidRPr="005C430B">
        <w:rPr>
          <w:rFonts w:ascii="Book Antiqua" w:hAnsi="Book Antiqua" w:cs="Times New Roman"/>
          <w:sz w:val="24"/>
          <w:szCs w:val="24"/>
        </w:rPr>
        <w:t xml:space="preserve"> the two major culprit</w:t>
      </w:r>
      <w:r w:rsidR="000F0249" w:rsidRPr="005C430B">
        <w:rPr>
          <w:rFonts w:ascii="Book Antiqua" w:hAnsi="Book Antiqua" w:cs="Times New Roman"/>
          <w:sz w:val="24"/>
          <w:szCs w:val="24"/>
        </w:rPr>
        <w:t xml:space="preserve">s in this scenario </w:t>
      </w:r>
      <w:r w:rsidRPr="005C430B">
        <w:rPr>
          <w:rFonts w:ascii="Book Antiqua" w:hAnsi="Book Antiqua"/>
          <w:sz w:val="24"/>
          <w:szCs w:val="24"/>
        </w:rPr>
        <w:t xml:space="preserve">due to </w:t>
      </w:r>
      <w:r w:rsidR="000F0249" w:rsidRPr="005C430B">
        <w:rPr>
          <w:rFonts w:ascii="Book Antiqua" w:hAnsi="Book Antiqua"/>
          <w:sz w:val="24"/>
          <w:szCs w:val="24"/>
        </w:rPr>
        <w:t xml:space="preserve">their </w:t>
      </w:r>
      <w:r w:rsidRPr="005C430B">
        <w:rPr>
          <w:rFonts w:ascii="Book Antiqua" w:hAnsi="Book Antiqua"/>
          <w:sz w:val="24"/>
          <w:szCs w:val="24"/>
        </w:rPr>
        <w:t>goandotoxic effects</w:t>
      </w:r>
      <w:r w:rsidR="000F0249" w:rsidRPr="005C430B">
        <w:rPr>
          <w:rFonts w:ascii="Book Antiqua" w:hAnsi="Book Antiqua"/>
          <w:sz w:val="24"/>
          <w:szCs w:val="24"/>
        </w:rPr>
        <w:t xml:space="preserve">. </w:t>
      </w:r>
      <w:r w:rsidRPr="005C430B">
        <w:rPr>
          <w:rFonts w:ascii="Book Antiqua" w:hAnsi="Book Antiqua"/>
          <w:sz w:val="24"/>
          <w:szCs w:val="24"/>
        </w:rPr>
        <w:t xml:space="preserve"> Many strategies have been taken to minimize </w:t>
      </w:r>
      <w:r w:rsidRPr="005C430B">
        <w:rPr>
          <w:rFonts w:ascii="Book Antiqua" w:hAnsi="Book Antiqua"/>
          <w:sz w:val="24"/>
          <w:szCs w:val="24"/>
        </w:rPr>
        <w:lastRenderedPageBreak/>
        <w:t xml:space="preserve">or counter the gonadotoxic effects of cancer treatment especially with chemotherapy and radiotherapy. </w:t>
      </w:r>
    </w:p>
    <w:p w:rsidR="008016B5" w:rsidRPr="005C430B" w:rsidRDefault="00977E98" w:rsidP="00725BF4">
      <w:pPr>
        <w:spacing w:after="0" w:line="360" w:lineRule="auto"/>
        <w:ind w:firstLineChars="100" w:firstLine="240"/>
        <w:jc w:val="both"/>
        <w:rPr>
          <w:rFonts w:ascii="Book Antiqua" w:hAnsi="Book Antiqua"/>
          <w:sz w:val="24"/>
          <w:szCs w:val="24"/>
        </w:rPr>
      </w:pPr>
      <w:r w:rsidRPr="005C430B">
        <w:rPr>
          <w:rFonts w:ascii="Book Antiqua" w:hAnsi="Book Antiqua"/>
          <w:sz w:val="24"/>
          <w:szCs w:val="24"/>
        </w:rPr>
        <w:t>Sperm cryopreservation is the standard and effective modality of fertility preservation in case of male patients, whenever indicated</w:t>
      </w:r>
      <w:r w:rsidR="00C520B9" w:rsidRPr="005C430B">
        <w:rPr>
          <w:rFonts w:ascii="Book Antiqua" w:hAnsi="Book Antiqua"/>
          <w:sz w:val="24"/>
          <w:szCs w:val="24"/>
        </w:rPr>
        <w:t>.</w:t>
      </w:r>
      <w:r w:rsidRPr="005C430B">
        <w:rPr>
          <w:rFonts w:ascii="Book Antiqua" w:hAnsi="Book Antiqua"/>
          <w:sz w:val="24"/>
          <w:szCs w:val="24"/>
        </w:rPr>
        <w:t xml:space="preserve"> </w:t>
      </w:r>
      <w:r w:rsidR="00C520B9" w:rsidRPr="005C430B">
        <w:rPr>
          <w:rFonts w:ascii="Book Antiqua" w:hAnsi="Book Antiqua"/>
          <w:sz w:val="24"/>
          <w:szCs w:val="24"/>
        </w:rPr>
        <w:t xml:space="preserve">Toxicity to ovarian follicle and embryo is a special scenario especially with pelvic radiotherapy. </w:t>
      </w:r>
      <w:r w:rsidR="003F7AFE" w:rsidRPr="005C430B">
        <w:rPr>
          <w:rFonts w:ascii="Book Antiqua" w:hAnsi="Book Antiqua"/>
          <w:sz w:val="24"/>
          <w:szCs w:val="24"/>
        </w:rPr>
        <w:t>In a COG study</w:t>
      </w:r>
      <w:r w:rsidR="00E52211" w:rsidRPr="005C430B">
        <w:rPr>
          <w:rFonts w:ascii="Book Antiqua" w:hAnsi="Book Antiqua" w:cs="Times New Roman"/>
          <w:sz w:val="24"/>
          <w:szCs w:val="24"/>
          <w:vertAlign w:val="superscript"/>
        </w:rPr>
        <w:t>[78]</w:t>
      </w:r>
      <w:r w:rsidR="003F7AFE" w:rsidRPr="005C430B">
        <w:rPr>
          <w:rFonts w:ascii="Book Antiqua" w:hAnsi="Book Antiqua"/>
          <w:sz w:val="24"/>
          <w:szCs w:val="24"/>
        </w:rPr>
        <w:t xml:space="preserve"> 8.3% of female cancer survivors experienced acute ovarian failure, defined as loss of ovarian function with 5-years of cancer diagnosis. </w:t>
      </w:r>
      <w:r w:rsidR="00DB6DF4" w:rsidRPr="005C430B">
        <w:rPr>
          <w:rFonts w:ascii="Book Antiqua" w:hAnsi="Book Antiqua"/>
          <w:sz w:val="24"/>
          <w:szCs w:val="24"/>
        </w:rPr>
        <w:t>Radiotherapy t</w:t>
      </w:r>
      <w:r w:rsidR="00805264" w:rsidRPr="005C430B">
        <w:rPr>
          <w:rFonts w:ascii="Book Antiqua" w:hAnsi="Book Antiqua"/>
          <w:sz w:val="24"/>
          <w:szCs w:val="24"/>
        </w:rPr>
        <w:t xml:space="preserve">oxicity to ovary </w:t>
      </w:r>
      <w:r w:rsidR="003960F1" w:rsidRPr="005C430B">
        <w:rPr>
          <w:rFonts w:ascii="Book Antiqua" w:hAnsi="Book Antiqua"/>
          <w:sz w:val="24"/>
          <w:szCs w:val="24"/>
        </w:rPr>
        <w:t xml:space="preserve">depends on age of the patients, concurrent ovariotoxic chemotherapy, dose and fractionation of radiotherapy </w:t>
      </w:r>
      <w:r w:rsidR="00E56A32" w:rsidRPr="005C430B">
        <w:rPr>
          <w:rFonts w:ascii="Book Antiqua" w:hAnsi="Book Antiqua"/>
          <w:sz w:val="24"/>
          <w:szCs w:val="24"/>
        </w:rPr>
        <w:t>and volume of</w:t>
      </w:r>
      <w:r w:rsidR="00BF3529" w:rsidRPr="005C430B">
        <w:rPr>
          <w:rFonts w:ascii="Book Antiqua" w:hAnsi="Book Antiqua"/>
          <w:sz w:val="24"/>
          <w:szCs w:val="24"/>
        </w:rPr>
        <w:t xml:space="preserve"> </w:t>
      </w:r>
      <w:r w:rsidR="0034078A" w:rsidRPr="005C430B">
        <w:rPr>
          <w:rFonts w:ascii="Book Antiqua" w:hAnsi="Book Antiqua"/>
          <w:sz w:val="24"/>
          <w:szCs w:val="24"/>
        </w:rPr>
        <w:t xml:space="preserve">radiation field. </w:t>
      </w:r>
      <w:r w:rsidR="00371706" w:rsidRPr="005C430B">
        <w:rPr>
          <w:rFonts w:ascii="Book Antiqua" w:hAnsi="Book Antiqua"/>
          <w:sz w:val="24"/>
          <w:szCs w:val="24"/>
        </w:rPr>
        <w:t>Cost, experience, expertise, infrastructure and low success rate are the main logistic issue in female fertility preservation</w:t>
      </w:r>
      <w:r w:rsidR="004654DF" w:rsidRPr="005C430B">
        <w:rPr>
          <w:rFonts w:ascii="Book Antiqua" w:hAnsi="Book Antiqua"/>
          <w:sz w:val="24"/>
          <w:szCs w:val="24"/>
        </w:rPr>
        <w:t xml:space="preserve">. </w:t>
      </w:r>
    </w:p>
    <w:p w:rsidR="00520504" w:rsidRPr="005C430B" w:rsidRDefault="00977E98" w:rsidP="00725BF4">
      <w:pPr>
        <w:spacing w:after="0" w:line="360" w:lineRule="auto"/>
        <w:ind w:firstLineChars="100" w:firstLine="240"/>
        <w:jc w:val="both"/>
        <w:rPr>
          <w:rFonts w:ascii="Book Antiqua" w:hAnsi="Book Antiqua"/>
          <w:sz w:val="24"/>
          <w:szCs w:val="24"/>
        </w:rPr>
      </w:pPr>
      <w:r w:rsidRPr="005C430B">
        <w:rPr>
          <w:rFonts w:ascii="Book Antiqua" w:hAnsi="Book Antiqua"/>
          <w:sz w:val="24"/>
          <w:szCs w:val="24"/>
        </w:rPr>
        <w:t xml:space="preserve">Embryo crypreservation </w:t>
      </w:r>
      <w:r w:rsidR="009A683D" w:rsidRPr="005C430B">
        <w:rPr>
          <w:rFonts w:ascii="Book Antiqua" w:hAnsi="Book Antiqua"/>
          <w:sz w:val="24"/>
          <w:szCs w:val="24"/>
        </w:rPr>
        <w:t xml:space="preserve">is </w:t>
      </w:r>
      <w:r w:rsidRPr="005C430B">
        <w:rPr>
          <w:rFonts w:ascii="Book Antiqua" w:hAnsi="Book Antiqua"/>
          <w:sz w:val="24"/>
          <w:szCs w:val="24"/>
        </w:rPr>
        <w:t>an option for fertility preservation in female patients</w:t>
      </w:r>
      <w:r w:rsidR="009A683D" w:rsidRPr="005C430B">
        <w:rPr>
          <w:rFonts w:ascii="Book Antiqua" w:hAnsi="Book Antiqua"/>
          <w:sz w:val="24"/>
          <w:szCs w:val="24"/>
        </w:rPr>
        <w:t xml:space="preserve"> with a male partner, whereas cryopreservation of mature or immature oocytes is a viable option for those refuse to opt for a sperm donor.</w:t>
      </w:r>
      <w:r w:rsidR="009B3BC1" w:rsidRPr="005C430B">
        <w:rPr>
          <w:rFonts w:ascii="Book Antiqua" w:hAnsi="Book Antiqua"/>
          <w:sz w:val="24"/>
          <w:szCs w:val="24"/>
        </w:rPr>
        <w:t xml:space="preserve"> Cumulative pregnancy rate up </w:t>
      </w:r>
      <w:r w:rsidR="00371706" w:rsidRPr="005C430B">
        <w:rPr>
          <w:rFonts w:ascii="Book Antiqua" w:hAnsi="Book Antiqua"/>
          <w:sz w:val="24"/>
          <w:szCs w:val="24"/>
        </w:rPr>
        <w:t>to 4</w:t>
      </w:r>
      <w:r w:rsidR="009B3BC1" w:rsidRPr="005C430B">
        <w:rPr>
          <w:rFonts w:ascii="Book Antiqua" w:hAnsi="Book Antiqua"/>
          <w:sz w:val="24"/>
          <w:szCs w:val="24"/>
        </w:rPr>
        <w:t>0% has been reported with the former technique</w:t>
      </w:r>
      <w:r w:rsidR="00371706" w:rsidRPr="005C430B">
        <w:rPr>
          <w:rFonts w:ascii="Book Antiqua" w:hAnsi="Book Antiqua" w:cs="Times New Roman"/>
          <w:sz w:val="24"/>
          <w:szCs w:val="24"/>
          <w:vertAlign w:val="superscript"/>
        </w:rPr>
        <w:t>[79]</w:t>
      </w:r>
      <w:r w:rsidR="00371706" w:rsidRPr="005C430B">
        <w:rPr>
          <w:rFonts w:ascii="Book Antiqua" w:hAnsi="Book Antiqua"/>
          <w:sz w:val="24"/>
          <w:szCs w:val="24"/>
        </w:rPr>
        <w:t xml:space="preserve"> but with a modest s</w:t>
      </w:r>
      <w:r w:rsidR="00725BF4" w:rsidRPr="005C430B">
        <w:rPr>
          <w:rFonts w:ascii="Book Antiqua" w:hAnsi="Book Antiqua"/>
          <w:sz w:val="24"/>
          <w:szCs w:val="24"/>
        </w:rPr>
        <w:t>uccess with the later technique</w:t>
      </w:r>
      <w:r w:rsidR="00371706" w:rsidRPr="005C430B">
        <w:rPr>
          <w:rFonts w:ascii="Book Antiqua" w:hAnsi="Book Antiqua" w:cs="Times New Roman"/>
          <w:sz w:val="24"/>
          <w:szCs w:val="24"/>
          <w:vertAlign w:val="superscript"/>
        </w:rPr>
        <w:t>[80]</w:t>
      </w:r>
      <w:r w:rsidR="00371706" w:rsidRPr="005C430B">
        <w:rPr>
          <w:rFonts w:ascii="Book Antiqua" w:hAnsi="Book Antiqua"/>
          <w:sz w:val="24"/>
          <w:szCs w:val="24"/>
        </w:rPr>
        <w:t xml:space="preserve">. </w:t>
      </w:r>
      <w:r w:rsidR="004654DF" w:rsidRPr="005C430B">
        <w:rPr>
          <w:rFonts w:ascii="Book Antiqua" w:hAnsi="Book Antiqua"/>
          <w:sz w:val="24"/>
          <w:szCs w:val="24"/>
        </w:rPr>
        <w:t>Cryopreservation of ovarian tissue is the only measures of fertility preservation in very young girls, and recent reports of successful pregnancy have been described in literature</w:t>
      </w:r>
      <w:r w:rsidR="00C67AED" w:rsidRPr="005C430B">
        <w:rPr>
          <w:rFonts w:ascii="Book Antiqua" w:hAnsi="Book Antiqua" w:cs="Times New Roman"/>
          <w:sz w:val="24"/>
          <w:szCs w:val="24"/>
          <w:vertAlign w:val="superscript"/>
        </w:rPr>
        <w:t>[81,82]</w:t>
      </w:r>
      <w:r w:rsidR="004654DF" w:rsidRPr="005C430B">
        <w:rPr>
          <w:rFonts w:ascii="Book Antiqua" w:hAnsi="Book Antiqua"/>
          <w:sz w:val="24"/>
          <w:szCs w:val="24"/>
        </w:rPr>
        <w:t>.</w:t>
      </w:r>
      <w:r w:rsidR="00C67AED" w:rsidRPr="005C430B">
        <w:rPr>
          <w:rFonts w:ascii="Book Antiqua" w:hAnsi="Book Antiqua"/>
          <w:sz w:val="24"/>
          <w:szCs w:val="24"/>
        </w:rPr>
        <w:t xml:space="preserve"> </w:t>
      </w:r>
    </w:p>
    <w:p w:rsidR="006B23FB" w:rsidRPr="005C430B" w:rsidRDefault="00977E98" w:rsidP="00725BF4">
      <w:pPr>
        <w:spacing w:after="0" w:line="360" w:lineRule="auto"/>
        <w:ind w:firstLineChars="100" w:firstLine="240"/>
        <w:jc w:val="both"/>
        <w:rPr>
          <w:rFonts w:ascii="Book Antiqua" w:hAnsi="Book Antiqua"/>
          <w:sz w:val="24"/>
          <w:szCs w:val="24"/>
        </w:rPr>
      </w:pPr>
      <w:r w:rsidRPr="005C430B">
        <w:rPr>
          <w:rFonts w:ascii="Book Antiqua" w:hAnsi="Book Antiqua"/>
          <w:sz w:val="24"/>
          <w:szCs w:val="24"/>
        </w:rPr>
        <w:t>Ovarian transposition or ovariopexy is the method to preserve ovarian function in patients receiving pelvic radiotherapy</w:t>
      </w:r>
      <w:r w:rsidR="00C67AED" w:rsidRPr="005C430B">
        <w:rPr>
          <w:rFonts w:ascii="Book Antiqua" w:hAnsi="Book Antiqua"/>
          <w:sz w:val="24"/>
          <w:szCs w:val="24"/>
        </w:rPr>
        <w:t xml:space="preserve"> but high rate of permanent cessation of ovarian function has been reported in earlier ser</w:t>
      </w:r>
      <w:r w:rsidR="00725BF4" w:rsidRPr="005C430B">
        <w:rPr>
          <w:rFonts w:ascii="Book Antiqua" w:hAnsi="Book Antiqua"/>
          <w:sz w:val="24"/>
          <w:szCs w:val="24"/>
        </w:rPr>
        <w:t>ies</w:t>
      </w:r>
      <w:r w:rsidR="00C67AED" w:rsidRPr="005C430B">
        <w:rPr>
          <w:rFonts w:ascii="Book Antiqua" w:hAnsi="Book Antiqua" w:cs="Times New Roman"/>
          <w:sz w:val="24"/>
          <w:szCs w:val="24"/>
          <w:vertAlign w:val="superscript"/>
        </w:rPr>
        <w:t>[83]</w:t>
      </w:r>
      <w:r w:rsidRPr="005C430B">
        <w:rPr>
          <w:rFonts w:ascii="Book Antiqua" w:hAnsi="Book Antiqua"/>
          <w:sz w:val="24"/>
          <w:szCs w:val="24"/>
        </w:rPr>
        <w:t>. Intensity modulated radiotherapy</w:t>
      </w:r>
      <w:r w:rsidR="00001FC2" w:rsidRPr="005C430B">
        <w:rPr>
          <w:rFonts w:ascii="Book Antiqua" w:hAnsi="Book Antiqua"/>
          <w:sz w:val="24"/>
          <w:szCs w:val="24"/>
        </w:rPr>
        <w:t xml:space="preserve"> or 3-D conformal CT planning in radiotherapy</w:t>
      </w:r>
      <w:r w:rsidRPr="005C430B">
        <w:rPr>
          <w:rFonts w:ascii="Book Antiqua" w:hAnsi="Book Antiqua"/>
          <w:sz w:val="24"/>
          <w:szCs w:val="24"/>
        </w:rPr>
        <w:t xml:space="preserve"> can minimize the gonadal toxicity in case of very small pelvic tumor or a tumor distant to ovary. </w:t>
      </w:r>
    </w:p>
    <w:p w:rsidR="00977E98" w:rsidRPr="005C430B" w:rsidRDefault="00A30093" w:rsidP="00725BF4">
      <w:pPr>
        <w:spacing w:after="0" w:line="360" w:lineRule="auto"/>
        <w:ind w:firstLineChars="100" w:firstLine="240"/>
        <w:jc w:val="both"/>
        <w:rPr>
          <w:rFonts w:ascii="Book Antiqua" w:hAnsi="Book Antiqua"/>
          <w:sz w:val="24"/>
          <w:szCs w:val="24"/>
          <w:lang w:eastAsia="zh-CN"/>
        </w:rPr>
      </w:pPr>
      <w:r w:rsidRPr="005C430B">
        <w:rPr>
          <w:rFonts w:ascii="Book Antiqua" w:hAnsi="Book Antiqua"/>
          <w:sz w:val="24"/>
          <w:szCs w:val="24"/>
        </w:rPr>
        <w:t>Prote</w:t>
      </w:r>
      <w:r w:rsidR="00725BF4" w:rsidRPr="005C430B">
        <w:rPr>
          <w:rFonts w:ascii="Book Antiqua" w:hAnsi="Book Antiqua"/>
          <w:sz w:val="24"/>
          <w:szCs w:val="24"/>
        </w:rPr>
        <w:t>ctive role of concurrent GnRH-a</w:t>
      </w:r>
      <w:r w:rsidR="00725BF4" w:rsidRPr="005C430B">
        <w:rPr>
          <w:rFonts w:ascii="Book Antiqua" w:hAnsi="Book Antiqua"/>
          <w:sz w:val="24"/>
          <w:szCs w:val="24"/>
          <w:lang w:eastAsia="zh-CN"/>
        </w:rPr>
        <w:t xml:space="preserve"> </w:t>
      </w:r>
      <w:r w:rsidRPr="005C430B">
        <w:rPr>
          <w:rFonts w:ascii="Book Antiqua" w:hAnsi="Book Antiqua"/>
          <w:sz w:val="24"/>
          <w:szCs w:val="24"/>
        </w:rPr>
        <w:t xml:space="preserve">has been described in literature during combination gonadotoxic chemotherapy. </w:t>
      </w:r>
      <w:r w:rsidR="00CF65E5" w:rsidRPr="005C430B">
        <w:rPr>
          <w:rFonts w:ascii="Book Antiqua" w:hAnsi="Book Antiqua"/>
          <w:sz w:val="24"/>
          <w:szCs w:val="24"/>
        </w:rPr>
        <w:t>In study of lymphoma patients aged 15-40 years, GnRH-a group resumed menstruation in 93.7% cases within 3-8 mo of chemotherapy as compared to 39% in historical c</w:t>
      </w:r>
      <w:r w:rsidR="00AA5096" w:rsidRPr="005C430B">
        <w:rPr>
          <w:rFonts w:ascii="Book Antiqua" w:hAnsi="Book Antiqua"/>
          <w:sz w:val="24"/>
          <w:szCs w:val="24"/>
        </w:rPr>
        <w:t>ontrols of same disease group</w:t>
      </w:r>
      <w:r w:rsidR="00CF65E5" w:rsidRPr="005C430B">
        <w:rPr>
          <w:rFonts w:ascii="Book Antiqua" w:hAnsi="Book Antiqua"/>
          <w:sz w:val="24"/>
          <w:szCs w:val="24"/>
        </w:rPr>
        <w:t xml:space="preserve"> who didn’t received </w:t>
      </w:r>
      <w:r w:rsidR="00725BF4" w:rsidRPr="005C430B">
        <w:rPr>
          <w:rFonts w:ascii="Book Antiqua" w:hAnsi="Book Antiqua"/>
          <w:sz w:val="24"/>
          <w:szCs w:val="24"/>
        </w:rPr>
        <w:t>GnRH-a</w:t>
      </w:r>
      <w:r w:rsidR="00AA5096" w:rsidRPr="005C430B">
        <w:rPr>
          <w:rFonts w:ascii="Book Antiqua" w:hAnsi="Book Antiqua" w:cs="Times New Roman"/>
          <w:sz w:val="24"/>
          <w:szCs w:val="24"/>
          <w:vertAlign w:val="superscript"/>
        </w:rPr>
        <w:t>[84]</w:t>
      </w:r>
      <w:r w:rsidR="00AA5096" w:rsidRPr="005C430B">
        <w:rPr>
          <w:rFonts w:ascii="Book Antiqua" w:hAnsi="Book Antiqua"/>
          <w:sz w:val="24"/>
          <w:szCs w:val="24"/>
        </w:rPr>
        <w:t xml:space="preserve">. </w:t>
      </w:r>
      <w:r w:rsidR="00E729AA" w:rsidRPr="005C430B">
        <w:rPr>
          <w:rFonts w:ascii="Book Antiqua" w:hAnsi="Book Antiqua"/>
          <w:sz w:val="24"/>
          <w:szCs w:val="24"/>
        </w:rPr>
        <w:t>In important issue remains in fertility preservation where the ovary itself is the primary site of disease in ESFT and rarely ESFT</w:t>
      </w:r>
      <w:r w:rsidR="00725BF4" w:rsidRPr="005C430B">
        <w:rPr>
          <w:rFonts w:ascii="Book Antiqua" w:hAnsi="Book Antiqua"/>
          <w:sz w:val="24"/>
          <w:szCs w:val="24"/>
        </w:rPr>
        <w:t xml:space="preserve"> can metastasize to the ovary</w:t>
      </w:r>
      <w:r w:rsidR="005E25A8" w:rsidRPr="005C430B">
        <w:rPr>
          <w:rFonts w:ascii="Book Antiqua" w:hAnsi="Book Antiqua" w:cs="Times New Roman"/>
          <w:sz w:val="24"/>
          <w:szCs w:val="24"/>
          <w:vertAlign w:val="superscript"/>
        </w:rPr>
        <w:t>[85–87]</w:t>
      </w:r>
      <w:r w:rsidR="00115200" w:rsidRPr="005C430B">
        <w:rPr>
          <w:rFonts w:ascii="Book Antiqua" w:hAnsi="Book Antiqua"/>
          <w:sz w:val="24"/>
          <w:szCs w:val="24"/>
        </w:rPr>
        <w:t>.</w:t>
      </w:r>
      <w:r w:rsidR="005E25A8" w:rsidRPr="005C430B">
        <w:rPr>
          <w:rFonts w:ascii="Book Antiqua" w:hAnsi="Book Antiqua"/>
          <w:sz w:val="24"/>
          <w:szCs w:val="24"/>
        </w:rPr>
        <w:t xml:space="preserve"> </w:t>
      </w:r>
    </w:p>
    <w:p w:rsidR="00725BF4" w:rsidRPr="005C430B" w:rsidRDefault="00725BF4" w:rsidP="00725BF4">
      <w:pPr>
        <w:spacing w:after="0" w:line="360" w:lineRule="auto"/>
        <w:ind w:firstLineChars="100" w:firstLine="240"/>
        <w:jc w:val="both"/>
        <w:rPr>
          <w:rFonts w:ascii="Book Antiqua" w:hAnsi="Book Antiqua"/>
          <w:sz w:val="24"/>
          <w:szCs w:val="24"/>
          <w:lang w:eastAsia="zh-CN"/>
        </w:rPr>
      </w:pPr>
    </w:p>
    <w:p w:rsidR="00A73378" w:rsidRPr="005C430B" w:rsidRDefault="00725BF4" w:rsidP="00201740">
      <w:pPr>
        <w:spacing w:after="0" w:line="360" w:lineRule="auto"/>
        <w:jc w:val="both"/>
        <w:rPr>
          <w:rFonts w:ascii="Book Antiqua" w:hAnsi="Book Antiqua" w:cs="Times New Roman"/>
          <w:b/>
          <w:caps/>
          <w:sz w:val="24"/>
          <w:szCs w:val="24"/>
          <w:lang w:eastAsia="zh-CN"/>
        </w:rPr>
      </w:pPr>
      <w:r w:rsidRPr="005C430B">
        <w:rPr>
          <w:rFonts w:ascii="Book Antiqua" w:hAnsi="Book Antiqua" w:cs="Times New Roman"/>
          <w:b/>
          <w:caps/>
          <w:sz w:val="24"/>
          <w:szCs w:val="24"/>
        </w:rPr>
        <w:t>Conclusion</w:t>
      </w:r>
    </w:p>
    <w:p w:rsidR="00A73378" w:rsidRPr="005C430B" w:rsidRDefault="00F515F3" w:rsidP="00201740">
      <w:pPr>
        <w:spacing w:after="0" w:line="360" w:lineRule="auto"/>
        <w:jc w:val="both"/>
        <w:rPr>
          <w:rFonts w:ascii="Book Antiqua" w:hAnsi="Book Antiqua" w:cs="Times New Roman"/>
          <w:sz w:val="24"/>
          <w:szCs w:val="24"/>
        </w:rPr>
      </w:pPr>
      <w:r w:rsidRPr="005C430B">
        <w:rPr>
          <w:rFonts w:ascii="Book Antiqua" w:hAnsi="Book Antiqua" w:cs="Times New Roman"/>
          <w:sz w:val="24"/>
          <w:szCs w:val="24"/>
        </w:rPr>
        <w:t xml:space="preserve">ESFTs are a rare aggressive tumor with high rate of metastasis at presentation and high incidence of recurrence. The outcome of those with localized improved to 70% after multimodality approach mainly by better understanding of disease biology, risk adapted chemotherapeutic approach, timely incorporation of local therapy, and improvement in technology. But, the outcome of those with metastatic and recurrent disease is dismal and no significant advancement has been made in these patients to improve outcome in last four decades. The overall improvement in outcome of ESFT has been made through the tremendous efforts of researcher, clinicians all over the world, better liaison between all the stakeholders of treating team, and collaborative international research in a huge number of cases. The main challenge now remains in preventing recurrence, preventing drug resistance, reducing therapy related long-term toxicities and improving outcome in those with metastatic and relapsed/recurrent disease. No potential biomarker has been identified so far to predict therapeutic efficacy of chemotherapeutic agents and predicting recurrences. The future hope lies in finding useful biomarker, better understanding of disease biology and chemotherapy resistance of ESFT cells, proper designing and execution of targeted therapies currently going under clinical trials, better use of high throughput method to detect novel driver mutations/pathways and potential targets. Better selection of risk group and designing of trials combining chemotherapeutic agents with targeted therapies to bypass drug resistance along with judicious use of high dose chemotherapies, selection of more non-toxic agents with high efficacy and broad therapeutic windows will help to improve future outcomes in expense of decreased treatment related long-term toxicities and good quality of life in survivors.      </w:t>
      </w:r>
    </w:p>
    <w:p w:rsidR="009C3951" w:rsidRPr="005C430B" w:rsidRDefault="009C3951" w:rsidP="00201740">
      <w:pPr>
        <w:spacing w:after="0" w:line="360" w:lineRule="auto"/>
        <w:jc w:val="both"/>
        <w:rPr>
          <w:rFonts w:ascii="Book Antiqua" w:hAnsi="Book Antiqua" w:cs="Times New Roman"/>
          <w:sz w:val="24"/>
          <w:szCs w:val="24"/>
        </w:rPr>
      </w:pPr>
    </w:p>
    <w:p w:rsidR="00725BF4" w:rsidRPr="005C430B" w:rsidRDefault="00725BF4">
      <w:pPr>
        <w:rPr>
          <w:rFonts w:ascii="Book Antiqua" w:hAnsi="Book Antiqua" w:cs="Times New Roman"/>
          <w:b/>
          <w:sz w:val="24"/>
          <w:szCs w:val="24"/>
        </w:rPr>
      </w:pPr>
      <w:r w:rsidRPr="005C430B">
        <w:rPr>
          <w:rFonts w:ascii="Book Antiqua" w:hAnsi="Book Antiqua" w:cs="Times New Roman"/>
          <w:b/>
          <w:sz w:val="24"/>
          <w:szCs w:val="24"/>
        </w:rPr>
        <w:br w:type="page"/>
      </w:r>
    </w:p>
    <w:p w:rsidR="00E40625" w:rsidRPr="005C430B" w:rsidRDefault="000C2764" w:rsidP="004F617E">
      <w:pPr>
        <w:spacing w:after="0" w:line="360" w:lineRule="auto"/>
        <w:jc w:val="both"/>
        <w:rPr>
          <w:rFonts w:ascii="Book Antiqua" w:hAnsi="Book Antiqua"/>
          <w:sz w:val="24"/>
          <w:szCs w:val="24"/>
        </w:rPr>
      </w:pPr>
      <w:r w:rsidRPr="005C430B">
        <w:rPr>
          <w:rFonts w:ascii="Book Antiqua" w:hAnsi="Book Antiqua" w:cs="Times New Roman"/>
          <w:b/>
          <w:sz w:val="24"/>
          <w:szCs w:val="24"/>
        </w:rPr>
        <w:lastRenderedPageBreak/>
        <w:t>REFERENCES</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 </w:t>
      </w:r>
      <w:r w:rsidRPr="004F617E">
        <w:rPr>
          <w:rFonts w:ascii="Book Antiqua" w:eastAsia="宋体" w:hAnsi="Book Antiqua" w:cs="宋体"/>
          <w:b/>
          <w:bCs/>
          <w:sz w:val="24"/>
          <w:szCs w:val="24"/>
          <w:lang w:eastAsia="zh-CN"/>
        </w:rPr>
        <w:t>Damron TA</w:t>
      </w:r>
      <w:r w:rsidRPr="004F617E">
        <w:rPr>
          <w:rFonts w:ascii="Book Antiqua" w:eastAsia="宋体" w:hAnsi="Book Antiqua" w:cs="宋体"/>
          <w:sz w:val="24"/>
          <w:szCs w:val="24"/>
          <w:lang w:eastAsia="zh-CN"/>
        </w:rPr>
        <w:t xml:space="preserve">, Ward WG, Stewart A. Osteosarcoma, chondrosarcoma, and Ewing's sarcoma: National Cancer Data Base Report. </w:t>
      </w:r>
      <w:r w:rsidRPr="004F617E">
        <w:rPr>
          <w:rFonts w:ascii="Book Antiqua" w:eastAsia="宋体" w:hAnsi="Book Antiqua" w:cs="宋体"/>
          <w:i/>
          <w:iCs/>
          <w:sz w:val="24"/>
          <w:szCs w:val="24"/>
          <w:lang w:eastAsia="zh-CN"/>
        </w:rPr>
        <w:t>Clin Orthop Relat Res</w:t>
      </w:r>
      <w:r w:rsidRPr="004F617E">
        <w:rPr>
          <w:rFonts w:ascii="Book Antiqua" w:eastAsia="宋体" w:hAnsi="Book Antiqua" w:cs="宋体"/>
          <w:sz w:val="24"/>
          <w:szCs w:val="24"/>
          <w:lang w:eastAsia="zh-CN"/>
        </w:rPr>
        <w:t xml:space="preserve"> 2007; </w:t>
      </w:r>
      <w:r w:rsidRPr="004F617E">
        <w:rPr>
          <w:rFonts w:ascii="Book Antiqua" w:eastAsia="宋体" w:hAnsi="Book Antiqua" w:cs="宋体"/>
          <w:b/>
          <w:bCs/>
          <w:sz w:val="24"/>
          <w:szCs w:val="24"/>
          <w:lang w:eastAsia="zh-CN"/>
        </w:rPr>
        <w:t>459</w:t>
      </w:r>
      <w:r w:rsidRPr="004F617E">
        <w:rPr>
          <w:rFonts w:ascii="Book Antiqua" w:eastAsia="宋体" w:hAnsi="Book Antiqua" w:cs="宋体"/>
          <w:sz w:val="24"/>
          <w:szCs w:val="24"/>
          <w:lang w:eastAsia="zh-CN"/>
        </w:rPr>
        <w:t>: 40-47 [PMID: 17414166 DOI: 10.1097/BLO.0b013e318059b8c9]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 </w:t>
      </w:r>
      <w:r w:rsidRPr="004F617E">
        <w:rPr>
          <w:rFonts w:ascii="Book Antiqua" w:eastAsia="宋体" w:hAnsi="Book Antiqua" w:cs="宋体"/>
          <w:b/>
          <w:bCs/>
          <w:sz w:val="24"/>
          <w:szCs w:val="24"/>
          <w:lang w:eastAsia="zh-CN"/>
        </w:rPr>
        <w:t>Biswas B</w:t>
      </w:r>
      <w:r w:rsidRPr="004F617E">
        <w:rPr>
          <w:rFonts w:ascii="Book Antiqua" w:eastAsia="宋体" w:hAnsi="Book Antiqua" w:cs="宋体"/>
          <w:sz w:val="24"/>
          <w:szCs w:val="24"/>
          <w:lang w:eastAsia="zh-CN"/>
        </w:rPr>
        <w:t xml:space="preserve">, Rastogi S, Khan SA, Shukla NK, Deo SV, Agarwala S, Sharma DN, Thulkar S, Vishnubhatla S, Pathania S, Bakhshi S. Hypoalbuminaemia is an independent predictor of poor outcome in metastatic Ewing's sarcoma family of tumours: a single institutional experience of 150 cases treated with uniform chemotherapy protocol. </w:t>
      </w:r>
      <w:r w:rsidRPr="004F617E">
        <w:rPr>
          <w:rFonts w:ascii="Book Antiqua" w:eastAsia="宋体" w:hAnsi="Book Antiqua" w:cs="宋体"/>
          <w:i/>
          <w:iCs/>
          <w:sz w:val="24"/>
          <w:szCs w:val="24"/>
          <w:lang w:eastAsia="zh-CN"/>
        </w:rPr>
        <w:t xml:space="preserve">Clin Oncol </w:t>
      </w:r>
      <w:r w:rsidRPr="004F617E">
        <w:rPr>
          <w:rFonts w:ascii="Book Antiqua" w:eastAsia="宋体" w:hAnsi="Book Antiqua" w:cs="宋体"/>
          <w:iCs/>
          <w:sz w:val="24"/>
          <w:szCs w:val="24"/>
          <w:lang w:eastAsia="zh-CN"/>
        </w:rPr>
        <w:t>(R Coll Radiol)</w:t>
      </w:r>
      <w:r w:rsidRPr="004F617E">
        <w:rPr>
          <w:rFonts w:ascii="Book Antiqua" w:eastAsia="宋体" w:hAnsi="Book Antiqua" w:cs="宋体"/>
          <w:sz w:val="24"/>
          <w:szCs w:val="24"/>
          <w:lang w:eastAsia="zh-CN"/>
        </w:rPr>
        <w:t xml:space="preserve"> 2014; </w:t>
      </w:r>
      <w:r w:rsidRPr="004F617E">
        <w:rPr>
          <w:rFonts w:ascii="Book Antiqua" w:eastAsia="宋体" w:hAnsi="Book Antiqua" w:cs="宋体"/>
          <w:b/>
          <w:bCs/>
          <w:sz w:val="24"/>
          <w:szCs w:val="24"/>
          <w:lang w:eastAsia="zh-CN"/>
        </w:rPr>
        <w:t>26</w:t>
      </w:r>
      <w:r w:rsidRPr="004F617E">
        <w:rPr>
          <w:rFonts w:ascii="Book Antiqua" w:eastAsia="宋体" w:hAnsi="Book Antiqua" w:cs="宋体"/>
          <w:sz w:val="24"/>
          <w:szCs w:val="24"/>
          <w:lang w:eastAsia="zh-CN"/>
        </w:rPr>
        <w:t>: 722-729 [PMID: 24919857 DOI: 10.1016/j.clon.2014.05.006]</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 </w:t>
      </w:r>
      <w:r w:rsidRPr="004F617E">
        <w:rPr>
          <w:rFonts w:ascii="Book Antiqua" w:eastAsia="宋体" w:hAnsi="Book Antiqua" w:cs="宋体"/>
          <w:b/>
          <w:bCs/>
          <w:sz w:val="24"/>
          <w:szCs w:val="24"/>
          <w:lang w:eastAsia="zh-CN"/>
        </w:rPr>
        <w:t>Cotterill SJ</w:t>
      </w:r>
      <w:r w:rsidRPr="004F617E">
        <w:rPr>
          <w:rFonts w:ascii="Book Antiqua" w:eastAsia="宋体" w:hAnsi="Book Antiqua" w:cs="宋体"/>
          <w:sz w:val="24"/>
          <w:szCs w:val="24"/>
          <w:lang w:eastAsia="zh-CN"/>
        </w:rPr>
        <w:t xml:space="preserve">, Ahrens S, Paulussen M, Jürgens HF, Voûte PA, Gadner H, Craft AW. Prognostic factors in Ewing's tumor of bone: analysis of 975 patients from the European Intergroup Cooperative Ewing's Sarcoma Study Group.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2000; </w:t>
      </w:r>
      <w:r w:rsidRPr="004F617E">
        <w:rPr>
          <w:rFonts w:ascii="Book Antiqua" w:eastAsia="宋体" w:hAnsi="Book Antiqua" w:cs="宋体"/>
          <w:b/>
          <w:bCs/>
          <w:sz w:val="24"/>
          <w:szCs w:val="24"/>
          <w:lang w:eastAsia="zh-CN"/>
        </w:rPr>
        <w:t>18</w:t>
      </w:r>
      <w:r w:rsidRPr="004F617E">
        <w:rPr>
          <w:rFonts w:ascii="Book Antiqua" w:eastAsia="宋体" w:hAnsi="Book Antiqua" w:cs="宋体"/>
          <w:sz w:val="24"/>
          <w:szCs w:val="24"/>
          <w:lang w:eastAsia="zh-CN"/>
        </w:rPr>
        <w:t>: 3108-3114 [PMID: 10963639]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 </w:t>
      </w:r>
      <w:r w:rsidRPr="004F617E">
        <w:rPr>
          <w:rFonts w:ascii="Book Antiqua" w:eastAsia="宋体" w:hAnsi="Book Antiqua" w:cs="宋体"/>
          <w:b/>
          <w:bCs/>
          <w:sz w:val="24"/>
          <w:szCs w:val="24"/>
          <w:lang w:eastAsia="zh-CN"/>
        </w:rPr>
        <w:t>Delattre O</w:t>
      </w:r>
      <w:r w:rsidRPr="004F617E">
        <w:rPr>
          <w:rFonts w:ascii="Book Antiqua" w:eastAsia="宋体" w:hAnsi="Book Antiqua" w:cs="宋体"/>
          <w:sz w:val="24"/>
          <w:szCs w:val="24"/>
          <w:lang w:eastAsia="zh-CN"/>
        </w:rPr>
        <w:t xml:space="preserve">, Zucman J, Plougastel B, Desmaze C, Melot T, Peter M, Kovar H, Joubert I, de Jong P, Rouleau G. Gene fusion with an ETS DNA-binding domain caused by chromosome translocation in human tumours. </w:t>
      </w:r>
      <w:r w:rsidRPr="004F617E">
        <w:rPr>
          <w:rFonts w:ascii="Book Antiqua" w:eastAsia="宋体" w:hAnsi="Book Antiqua" w:cs="宋体"/>
          <w:i/>
          <w:iCs/>
          <w:sz w:val="24"/>
          <w:szCs w:val="24"/>
          <w:lang w:eastAsia="zh-CN"/>
        </w:rPr>
        <w:t>Nature</w:t>
      </w:r>
      <w:r w:rsidRPr="004F617E">
        <w:rPr>
          <w:rFonts w:ascii="Book Antiqua" w:eastAsia="宋体" w:hAnsi="Book Antiqua" w:cs="宋体"/>
          <w:sz w:val="24"/>
          <w:szCs w:val="24"/>
          <w:lang w:eastAsia="zh-CN"/>
        </w:rPr>
        <w:t xml:space="preserve"> 1992; </w:t>
      </w:r>
      <w:r w:rsidRPr="004F617E">
        <w:rPr>
          <w:rFonts w:ascii="Book Antiqua" w:eastAsia="宋体" w:hAnsi="Book Antiqua" w:cs="宋体"/>
          <w:b/>
          <w:bCs/>
          <w:sz w:val="24"/>
          <w:szCs w:val="24"/>
          <w:lang w:eastAsia="zh-CN"/>
        </w:rPr>
        <w:t>359</w:t>
      </w:r>
      <w:r w:rsidRPr="004F617E">
        <w:rPr>
          <w:rFonts w:ascii="Book Antiqua" w:eastAsia="宋体" w:hAnsi="Book Antiqua" w:cs="宋体"/>
          <w:sz w:val="24"/>
          <w:szCs w:val="24"/>
          <w:lang w:eastAsia="zh-CN"/>
        </w:rPr>
        <w:t>: 162-165 [PMID: 1522903 DOI: 10.1038/359162a0]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 </w:t>
      </w:r>
      <w:r w:rsidRPr="004F617E">
        <w:rPr>
          <w:rFonts w:ascii="Book Antiqua" w:eastAsia="宋体" w:hAnsi="Book Antiqua" w:cs="宋体"/>
          <w:b/>
          <w:bCs/>
          <w:sz w:val="24"/>
          <w:szCs w:val="24"/>
          <w:lang w:eastAsia="zh-CN"/>
        </w:rPr>
        <w:t>Gaspar N</w:t>
      </w:r>
      <w:r w:rsidRPr="004F617E">
        <w:rPr>
          <w:rFonts w:ascii="Book Antiqua" w:eastAsia="宋体" w:hAnsi="Book Antiqua" w:cs="宋体"/>
          <w:sz w:val="24"/>
          <w:szCs w:val="24"/>
          <w:lang w:eastAsia="zh-CN"/>
        </w:rPr>
        <w:t xml:space="preserve">, Di Giannatale A, Geoerger B, Redini F, Corradini N, Enz-Werle N, Tirode F, Marec-Berard P, Gentet JC, Laurence V, Piperno-Neumann S, Oberlin O, Brugieres L. Bone sarcomas: from biology to targeted therapies. </w:t>
      </w:r>
      <w:r w:rsidRPr="004F617E">
        <w:rPr>
          <w:rFonts w:ascii="Book Antiqua" w:eastAsia="宋体" w:hAnsi="Book Antiqua" w:cs="宋体"/>
          <w:i/>
          <w:iCs/>
          <w:sz w:val="24"/>
          <w:szCs w:val="24"/>
          <w:lang w:eastAsia="zh-CN"/>
        </w:rPr>
        <w:t>Sarcoma</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2012</w:t>
      </w:r>
      <w:r w:rsidRPr="004F617E">
        <w:rPr>
          <w:rFonts w:ascii="Book Antiqua" w:eastAsia="宋体" w:hAnsi="Book Antiqua" w:cs="宋体"/>
          <w:sz w:val="24"/>
          <w:szCs w:val="24"/>
          <w:lang w:eastAsia="zh-CN"/>
        </w:rPr>
        <w:t>: 301975 [PMID: 23226965 DOI: 10.1155/2012/301975]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 </w:t>
      </w:r>
      <w:r w:rsidRPr="004F617E">
        <w:rPr>
          <w:rFonts w:ascii="Book Antiqua" w:eastAsia="宋体" w:hAnsi="Book Antiqua" w:cs="宋体"/>
          <w:b/>
          <w:bCs/>
          <w:sz w:val="24"/>
          <w:szCs w:val="24"/>
          <w:lang w:eastAsia="zh-CN"/>
        </w:rPr>
        <w:t>Grier HE</w:t>
      </w:r>
      <w:r w:rsidRPr="004F617E">
        <w:rPr>
          <w:rFonts w:ascii="Book Antiqua" w:eastAsia="宋体" w:hAnsi="Book Antiqua" w:cs="宋体"/>
          <w:sz w:val="24"/>
          <w:szCs w:val="24"/>
          <w:lang w:eastAsia="zh-CN"/>
        </w:rPr>
        <w:t xml:space="preserve">, Krailo MD, Tarbell NJ, Link MP, Fryer CJ, Pritchard DJ, Gebhardt MC, Dickman PS, Perlman EJ, Meyers PA, Donaldson SS, Moore S, Rausen AR, Vietti TJ, Miser JS. Addition of ifosfamide and etoposide to standard chemotherapy for Ewing's sarcoma and primitive neuroectodermal tumor of bone. </w:t>
      </w:r>
      <w:r w:rsidRPr="004F617E">
        <w:rPr>
          <w:rFonts w:ascii="Book Antiqua" w:eastAsia="宋体" w:hAnsi="Book Antiqua" w:cs="宋体"/>
          <w:i/>
          <w:iCs/>
          <w:sz w:val="24"/>
          <w:szCs w:val="24"/>
          <w:lang w:eastAsia="zh-CN"/>
        </w:rPr>
        <w:t>N Engl J Med</w:t>
      </w:r>
      <w:r w:rsidRPr="004F617E">
        <w:rPr>
          <w:rFonts w:ascii="Book Antiqua" w:eastAsia="宋体" w:hAnsi="Book Antiqua" w:cs="宋体"/>
          <w:sz w:val="24"/>
          <w:szCs w:val="24"/>
          <w:lang w:eastAsia="zh-CN"/>
        </w:rPr>
        <w:t xml:space="preserve"> 2003; </w:t>
      </w:r>
      <w:r w:rsidRPr="004F617E">
        <w:rPr>
          <w:rFonts w:ascii="Book Antiqua" w:eastAsia="宋体" w:hAnsi="Book Antiqua" w:cs="宋体"/>
          <w:b/>
          <w:bCs/>
          <w:sz w:val="24"/>
          <w:szCs w:val="24"/>
          <w:lang w:eastAsia="zh-CN"/>
        </w:rPr>
        <w:t>348</w:t>
      </w:r>
      <w:r w:rsidRPr="004F617E">
        <w:rPr>
          <w:rFonts w:ascii="Book Antiqua" w:eastAsia="宋体" w:hAnsi="Book Antiqua" w:cs="宋体"/>
          <w:sz w:val="24"/>
          <w:szCs w:val="24"/>
          <w:lang w:eastAsia="zh-CN"/>
        </w:rPr>
        <w:t>: 694-701 [PMID: 12594313 DOI: 10.1056/NEJMoa020890]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 </w:t>
      </w:r>
      <w:r w:rsidRPr="004F617E">
        <w:rPr>
          <w:rFonts w:ascii="Book Antiqua" w:eastAsia="宋体" w:hAnsi="Book Antiqua" w:cs="宋体"/>
          <w:b/>
          <w:bCs/>
          <w:sz w:val="24"/>
          <w:szCs w:val="24"/>
          <w:lang w:eastAsia="zh-CN"/>
        </w:rPr>
        <w:t>Paulussen M</w:t>
      </w:r>
      <w:r w:rsidRPr="004F617E">
        <w:rPr>
          <w:rFonts w:ascii="Book Antiqua" w:eastAsia="宋体" w:hAnsi="Book Antiqua" w:cs="宋体"/>
          <w:sz w:val="24"/>
          <w:szCs w:val="24"/>
          <w:lang w:eastAsia="zh-CN"/>
        </w:rPr>
        <w:t>, Craft AW, Lewis I, Hackshaw A, Douglas C, Dunst J, Schuck A, Winkelmann W, Köhler G, Poremba C, Zoubek A, Ladenstein R, van den Berg H, Hunold A, Cassoni A, Spooner D, Grimer R, Whelan J, McTiernan A, Jürgens H. Results of the EICESS-92 Study: two randomized trials of Ewing's sarcoma treatment--</w:t>
      </w:r>
      <w:r w:rsidRPr="004F617E">
        <w:rPr>
          <w:rFonts w:ascii="Book Antiqua" w:eastAsia="宋体" w:hAnsi="Book Antiqua" w:cs="宋体"/>
          <w:sz w:val="24"/>
          <w:szCs w:val="24"/>
          <w:lang w:eastAsia="zh-CN"/>
        </w:rPr>
        <w:lastRenderedPageBreak/>
        <w:t xml:space="preserve">cyclophosphamide compared with ifosfamide in standard-risk patients and assessment of benefit of etoposide added to standard treatment in high-risk patients.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2008; </w:t>
      </w:r>
      <w:r w:rsidRPr="004F617E">
        <w:rPr>
          <w:rFonts w:ascii="Book Antiqua" w:eastAsia="宋体" w:hAnsi="Book Antiqua" w:cs="宋体"/>
          <w:b/>
          <w:bCs/>
          <w:sz w:val="24"/>
          <w:szCs w:val="24"/>
          <w:lang w:eastAsia="zh-CN"/>
        </w:rPr>
        <w:t>26</w:t>
      </w:r>
      <w:r w:rsidRPr="004F617E">
        <w:rPr>
          <w:rFonts w:ascii="Book Antiqua" w:eastAsia="宋体" w:hAnsi="Book Antiqua" w:cs="宋体"/>
          <w:sz w:val="24"/>
          <w:szCs w:val="24"/>
          <w:lang w:eastAsia="zh-CN"/>
        </w:rPr>
        <w:t>: 4385-4393 [PMID: 18802150 DOI: 10.1200/JCO.2008.16.5720]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 </w:t>
      </w:r>
      <w:r w:rsidRPr="004F617E">
        <w:rPr>
          <w:rFonts w:ascii="Book Antiqua" w:eastAsia="宋体" w:hAnsi="Book Antiqua" w:cs="宋体"/>
          <w:b/>
          <w:bCs/>
          <w:sz w:val="24"/>
          <w:szCs w:val="24"/>
          <w:lang w:eastAsia="zh-CN"/>
        </w:rPr>
        <w:t>Oberlin O</w:t>
      </w:r>
      <w:r w:rsidRPr="004F617E">
        <w:rPr>
          <w:rFonts w:ascii="Book Antiqua" w:eastAsia="宋体" w:hAnsi="Book Antiqua" w:cs="宋体"/>
          <w:sz w:val="24"/>
          <w:szCs w:val="24"/>
          <w:lang w:eastAsia="zh-CN"/>
        </w:rPr>
        <w:t xml:space="preserve">, Rey A, Desfachelles AS, Philip T, Plantaz D, Schmitt C, Plouvier E, Lejars O, Rubie H, Terrier P, Michon J. Impact of high-dose busulfan plus melphalan as consolidation in metastatic Ewing tumors: a study by the Société Française des Cancers de l'Enfant.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24</w:t>
      </w:r>
      <w:r w:rsidRPr="004F617E">
        <w:rPr>
          <w:rFonts w:ascii="Book Antiqua" w:eastAsia="宋体" w:hAnsi="Book Antiqua" w:cs="宋体"/>
          <w:sz w:val="24"/>
          <w:szCs w:val="24"/>
          <w:lang w:eastAsia="zh-CN"/>
        </w:rPr>
        <w:t>: 3997-4002 [PMID: 16921053 DOI: 10.1200/JCO.2006.05.7059]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9 </w:t>
      </w:r>
      <w:r w:rsidRPr="004F617E">
        <w:rPr>
          <w:rFonts w:ascii="Book Antiqua" w:eastAsia="宋体" w:hAnsi="Book Antiqua" w:cs="宋体"/>
          <w:b/>
          <w:bCs/>
          <w:sz w:val="24"/>
          <w:szCs w:val="24"/>
          <w:lang w:eastAsia="zh-CN"/>
        </w:rPr>
        <w:t>Luksch R</w:t>
      </w:r>
      <w:r w:rsidRPr="004F617E">
        <w:rPr>
          <w:rFonts w:ascii="Book Antiqua" w:eastAsia="宋体" w:hAnsi="Book Antiqua" w:cs="宋体"/>
          <w:sz w:val="24"/>
          <w:szCs w:val="24"/>
          <w:lang w:eastAsia="zh-CN"/>
        </w:rPr>
        <w:t xml:space="preserve">, Tienghi A, Hall KS, Fagioli F, Picci P, Barbieri E, Gandola L, Eriksson M, Ruggieri P, Daolio P, Lindholm P, Prete A, Bisogno G, Tamburini A, Grignani G, Abate ME, Podda M, Smeland S, Ferrari S. Primary metastatic Ewing's family tumors: results of the Italian Sarcoma Group and Scandinavian Sarcoma Group ISG/SSG IV Study including myeloablative chemotherapy and total-lung irradiation. </w:t>
      </w:r>
      <w:r w:rsidRPr="004F617E">
        <w:rPr>
          <w:rFonts w:ascii="Book Antiqua" w:eastAsia="宋体" w:hAnsi="Book Antiqua" w:cs="宋体"/>
          <w:i/>
          <w:iCs/>
          <w:sz w:val="24"/>
          <w:szCs w:val="24"/>
          <w:lang w:eastAsia="zh-CN"/>
        </w:rPr>
        <w:t>Ann Oncol</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23</w:t>
      </w:r>
      <w:r w:rsidRPr="004F617E">
        <w:rPr>
          <w:rFonts w:ascii="Book Antiqua" w:eastAsia="宋体" w:hAnsi="Book Antiqua" w:cs="宋体"/>
          <w:sz w:val="24"/>
          <w:szCs w:val="24"/>
          <w:lang w:eastAsia="zh-CN"/>
        </w:rPr>
        <w:t>: 2970-2976 [PMID: 22771824 DOI: 10.1093/annonc/mds117]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10 </w:t>
      </w:r>
      <w:r w:rsidRPr="004F617E">
        <w:rPr>
          <w:rFonts w:ascii="Book Antiqua" w:eastAsia="宋体" w:hAnsi="Book Antiqua" w:cs="宋体"/>
          <w:b/>
          <w:bCs/>
          <w:sz w:val="24"/>
          <w:szCs w:val="24"/>
          <w:lang w:eastAsia="zh-CN"/>
        </w:rPr>
        <w:t>Ladenstein R</w:t>
      </w:r>
      <w:r w:rsidRPr="004F617E">
        <w:rPr>
          <w:rFonts w:ascii="Book Antiqua" w:eastAsia="宋体" w:hAnsi="Book Antiqua" w:cs="宋体"/>
          <w:sz w:val="24"/>
          <w:szCs w:val="24"/>
          <w:lang w:eastAsia="zh-CN"/>
        </w:rPr>
        <w:t xml:space="preserve">, Pötschger U, Le Deley MC, Whelan J, Paulussen M, Oberlin O, van den Berg H, Dirksen U, Hjorth L, Michon J, Lewis I, Craft A, Jürgens H. Primary disseminated multifocal Ewing sarcoma: results of the Euro-EWING 99 trial.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28</w:t>
      </w:r>
      <w:r w:rsidRPr="004F617E">
        <w:rPr>
          <w:rFonts w:ascii="Book Antiqua" w:eastAsia="宋体" w:hAnsi="Book Antiqua" w:cs="宋体"/>
          <w:sz w:val="24"/>
          <w:szCs w:val="24"/>
          <w:lang w:eastAsia="zh-CN"/>
        </w:rPr>
        <w:t>: 3284-3291 [PMID: 20547982 DOI: 10.1200/JCO.2009.22.9864]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11 </w:t>
      </w:r>
      <w:r w:rsidRPr="004F617E">
        <w:rPr>
          <w:rFonts w:ascii="Book Antiqua" w:eastAsia="宋体" w:hAnsi="Book Antiqua" w:cs="宋体"/>
          <w:b/>
          <w:bCs/>
          <w:sz w:val="24"/>
          <w:szCs w:val="24"/>
          <w:lang w:eastAsia="zh-CN"/>
        </w:rPr>
        <w:t>Krasin MJ</w:t>
      </w:r>
      <w:r w:rsidRPr="004F617E">
        <w:rPr>
          <w:rFonts w:ascii="Book Antiqua" w:eastAsia="宋体" w:hAnsi="Book Antiqua" w:cs="宋体"/>
          <w:sz w:val="24"/>
          <w:szCs w:val="24"/>
          <w:lang w:eastAsia="zh-CN"/>
        </w:rPr>
        <w:t xml:space="preserve">, Rodriguez-Galindo C, Davidoff AM, Billups CA, Fuller CE, Neel MD, Kun LE, Merchant TE. Efficacy of combined surgery and irradiation for localized Ewings sarcoma family of tumors.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2004; </w:t>
      </w:r>
      <w:r w:rsidRPr="004F617E">
        <w:rPr>
          <w:rFonts w:ascii="Book Antiqua" w:eastAsia="宋体" w:hAnsi="Book Antiqua" w:cs="宋体"/>
          <w:b/>
          <w:bCs/>
          <w:sz w:val="24"/>
          <w:szCs w:val="24"/>
          <w:lang w:eastAsia="zh-CN"/>
        </w:rPr>
        <w:t>43</w:t>
      </w:r>
      <w:r w:rsidRPr="004F617E">
        <w:rPr>
          <w:rFonts w:ascii="Book Antiqua" w:eastAsia="宋体" w:hAnsi="Book Antiqua" w:cs="宋体"/>
          <w:sz w:val="24"/>
          <w:szCs w:val="24"/>
          <w:lang w:eastAsia="zh-CN"/>
        </w:rPr>
        <w:t>: 229-236 [PMID: 15266406 DOI: 10.1002/pbc.20095]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12 </w:t>
      </w:r>
      <w:r w:rsidRPr="004F617E">
        <w:rPr>
          <w:rFonts w:ascii="Book Antiqua" w:eastAsia="宋体" w:hAnsi="Book Antiqua" w:cs="宋体"/>
          <w:b/>
          <w:bCs/>
          <w:sz w:val="24"/>
          <w:szCs w:val="24"/>
          <w:lang w:eastAsia="zh-CN"/>
        </w:rPr>
        <w:t>Göbel V</w:t>
      </w:r>
      <w:r w:rsidRPr="004F617E">
        <w:rPr>
          <w:rFonts w:ascii="Book Antiqua" w:eastAsia="宋体" w:hAnsi="Book Antiqua" w:cs="宋体"/>
          <w:sz w:val="24"/>
          <w:szCs w:val="24"/>
          <w:lang w:eastAsia="zh-CN"/>
        </w:rPr>
        <w:t xml:space="preserve">, Jürgens H, Etspüler G, Kemperdick H, Jungblut RM, Stienen U, Göbel U. Prognostic significance of tumor volume in localized Ewing's sarcoma of bone in children and adolescents. </w:t>
      </w:r>
      <w:r w:rsidRPr="004F617E">
        <w:rPr>
          <w:rFonts w:ascii="Book Antiqua" w:eastAsia="宋体" w:hAnsi="Book Antiqua" w:cs="宋体"/>
          <w:i/>
          <w:iCs/>
          <w:sz w:val="24"/>
          <w:szCs w:val="24"/>
          <w:lang w:eastAsia="zh-CN"/>
        </w:rPr>
        <w:t>J Cancer Res Clin Oncol</w:t>
      </w:r>
      <w:r w:rsidRPr="004F617E">
        <w:rPr>
          <w:rFonts w:ascii="Book Antiqua" w:eastAsia="宋体" w:hAnsi="Book Antiqua" w:cs="宋体"/>
          <w:sz w:val="24"/>
          <w:szCs w:val="24"/>
          <w:lang w:eastAsia="zh-CN"/>
        </w:rPr>
        <w:t xml:space="preserve"> 1987; </w:t>
      </w:r>
      <w:r w:rsidRPr="004F617E">
        <w:rPr>
          <w:rFonts w:ascii="Book Antiqua" w:eastAsia="宋体" w:hAnsi="Book Antiqua" w:cs="宋体"/>
          <w:b/>
          <w:bCs/>
          <w:sz w:val="24"/>
          <w:szCs w:val="24"/>
          <w:lang w:eastAsia="zh-CN"/>
        </w:rPr>
        <w:t>113</w:t>
      </w:r>
      <w:r w:rsidRPr="004F617E">
        <w:rPr>
          <w:rFonts w:ascii="Book Antiqua" w:eastAsia="宋体" w:hAnsi="Book Antiqua" w:cs="宋体"/>
          <w:sz w:val="24"/>
          <w:szCs w:val="24"/>
          <w:lang w:eastAsia="zh-CN"/>
        </w:rPr>
        <w:t>: 187-191 [PMID: 3558454</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 xml:space="preserve">DOI: </w:t>
      </w:r>
      <w:r w:rsidR="00400143">
        <w:fldChar w:fldCharType="begin"/>
      </w:r>
      <w:r w:rsidR="00400143">
        <w:instrText xml:space="preserve"> HYPERLINK "http://dx.doi.org/10.1007/BF00391442" \t "_blank" </w:instrText>
      </w:r>
      <w:r w:rsidR="00400143">
        <w:fldChar w:fldCharType="separate"/>
      </w:r>
      <w:r w:rsidR="005C430B" w:rsidRPr="005C430B">
        <w:rPr>
          <w:rStyle w:val="Hyperlink"/>
          <w:rFonts w:ascii="Book Antiqua" w:hAnsi="Book Antiqua"/>
          <w:color w:val="auto"/>
          <w:sz w:val="24"/>
          <w:szCs w:val="24"/>
          <w:u w:val="none"/>
        </w:rPr>
        <w:t>10.1007/BF00391442</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13 </w:t>
      </w:r>
      <w:r w:rsidRPr="004F617E">
        <w:rPr>
          <w:rFonts w:ascii="Book Antiqua" w:eastAsia="宋体" w:hAnsi="Book Antiqua" w:cs="宋体"/>
          <w:b/>
          <w:bCs/>
          <w:sz w:val="24"/>
          <w:szCs w:val="24"/>
          <w:lang w:eastAsia="zh-CN"/>
        </w:rPr>
        <w:t>Oberlin O</w:t>
      </w:r>
      <w:r w:rsidRPr="004F617E">
        <w:rPr>
          <w:rFonts w:ascii="Book Antiqua" w:eastAsia="宋体" w:hAnsi="Book Antiqua" w:cs="宋体"/>
          <w:sz w:val="24"/>
          <w:szCs w:val="24"/>
          <w:lang w:eastAsia="zh-CN"/>
        </w:rPr>
        <w:t xml:space="preserve">, Deley MC, Bui BN, Gentet JC, Philip T, Terrier P, Carrie C, Mechinaud F, Schmitt C, Babin-Boillettot A, Michon J. Prognostic factors in localized Ewing's tumours and peripheral neuroectodermal tumours: the third study of the French Society of </w:t>
      </w:r>
      <w:r w:rsidRPr="004F617E">
        <w:rPr>
          <w:rFonts w:ascii="Book Antiqua" w:eastAsia="宋体" w:hAnsi="Book Antiqua" w:cs="宋体"/>
          <w:sz w:val="24"/>
          <w:szCs w:val="24"/>
          <w:lang w:eastAsia="zh-CN"/>
        </w:rPr>
        <w:lastRenderedPageBreak/>
        <w:t xml:space="preserve">Paediatric Oncology (EW88 study). </w:t>
      </w:r>
      <w:r w:rsidRPr="004F617E">
        <w:rPr>
          <w:rFonts w:ascii="Book Antiqua" w:eastAsia="宋体" w:hAnsi="Book Antiqua" w:cs="宋体"/>
          <w:i/>
          <w:iCs/>
          <w:sz w:val="24"/>
          <w:szCs w:val="24"/>
          <w:lang w:eastAsia="zh-CN"/>
        </w:rPr>
        <w:t>Br J Cancer</w:t>
      </w:r>
      <w:r w:rsidRPr="004F617E">
        <w:rPr>
          <w:rFonts w:ascii="Book Antiqua" w:eastAsia="宋体" w:hAnsi="Book Antiqua" w:cs="宋体"/>
          <w:sz w:val="24"/>
          <w:szCs w:val="24"/>
          <w:lang w:eastAsia="zh-CN"/>
        </w:rPr>
        <w:t xml:space="preserve"> 2001; </w:t>
      </w:r>
      <w:r w:rsidRPr="004F617E">
        <w:rPr>
          <w:rFonts w:ascii="Book Antiqua" w:eastAsia="宋体" w:hAnsi="Book Antiqua" w:cs="宋体"/>
          <w:b/>
          <w:bCs/>
          <w:sz w:val="24"/>
          <w:szCs w:val="24"/>
          <w:lang w:eastAsia="zh-CN"/>
        </w:rPr>
        <w:t>85</w:t>
      </w:r>
      <w:r w:rsidRPr="004F617E">
        <w:rPr>
          <w:rFonts w:ascii="Book Antiqua" w:eastAsia="宋体" w:hAnsi="Book Antiqua" w:cs="宋体"/>
          <w:sz w:val="24"/>
          <w:szCs w:val="24"/>
          <w:lang w:eastAsia="zh-CN"/>
        </w:rPr>
        <w:t>: 1646-1654 [PMID: 11742482 DOI: 10.1054/bjoc.2001.2150]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14 </w:t>
      </w:r>
      <w:r w:rsidRPr="004F617E">
        <w:rPr>
          <w:rFonts w:ascii="Book Antiqua" w:eastAsia="宋体" w:hAnsi="Book Antiqua" w:cs="宋体"/>
          <w:b/>
          <w:bCs/>
          <w:sz w:val="24"/>
          <w:szCs w:val="24"/>
          <w:lang w:eastAsia="zh-CN"/>
        </w:rPr>
        <w:t>Biswas B</w:t>
      </w:r>
      <w:r w:rsidRPr="004F617E">
        <w:rPr>
          <w:rFonts w:ascii="Book Antiqua" w:eastAsia="宋体" w:hAnsi="Book Antiqua" w:cs="宋体"/>
          <w:sz w:val="24"/>
          <w:szCs w:val="24"/>
          <w:lang w:eastAsia="zh-CN"/>
        </w:rPr>
        <w:t xml:space="preserve">, Rastogi S, Khan SA, Shukla NK, Deo SV, Agarwala S, Mohanti BK, Sharma MC, Vishnubhatla S, Bakhshi S. Developing a prognostic model for localized Ewing sarcoma family of tumors: A single institutional experience of 224 cases treated with uniform chemotherapy protocol. </w:t>
      </w:r>
      <w:r w:rsidRPr="004F617E">
        <w:rPr>
          <w:rFonts w:ascii="Book Antiqua" w:eastAsia="宋体" w:hAnsi="Book Antiqua" w:cs="宋体"/>
          <w:i/>
          <w:iCs/>
          <w:sz w:val="24"/>
          <w:szCs w:val="24"/>
          <w:lang w:eastAsia="zh-CN"/>
        </w:rPr>
        <w:t>J Surg Oncol</w:t>
      </w:r>
      <w:r w:rsidRPr="004F617E">
        <w:rPr>
          <w:rFonts w:ascii="Book Antiqua" w:eastAsia="宋体" w:hAnsi="Book Antiqua" w:cs="宋体"/>
          <w:sz w:val="24"/>
          <w:szCs w:val="24"/>
          <w:lang w:eastAsia="zh-CN"/>
        </w:rPr>
        <w:t xml:space="preserve"> 2015; </w:t>
      </w:r>
      <w:r w:rsidRPr="004F617E">
        <w:rPr>
          <w:rFonts w:ascii="Book Antiqua" w:eastAsia="宋体" w:hAnsi="Book Antiqua" w:cs="宋体"/>
          <w:b/>
          <w:bCs/>
          <w:sz w:val="24"/>
          <w:szCs w:val="24"/>
          <w:lang w:eastAsia="zh-CN"/>
        </w:rPr>
        <w:t>111</w:t>
      </w:r>
      <w:r w:rsidRPr="004F617E">
        <w:rPr>
          <w:rFonts w:ascii="Book Antiqua" w:eastAsia="宋体" w:hAnsi="Book Antiqua" w:cs="宋体"/>
          <w:sz w:val="24"/>
          <w:szCs w:val="24"/>
          <w:lang w:eastAsia="zh-CN"/>
        </w:rPr>
        <w:t>: 683-689 [PMID: 25557999 DOI: 10.1002/jso.23861]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15 </w:t>
      </w:r>
      <w:r w:rsidRPr="004F617E">
        <w:rPr>
          <w:rFonts w:ascii="Book Antiqua" w:eastAsia="宋体" w:hAnsi="Book Antiqua" w:cs="宋体"/>
          <w:b/>
          <w:bCs/>
          <w:sz w:val="24"/>
          <w:szCs w:val="24"/>
          <w:lang w:eastAsia="zh-CN"/>
        </w:rPr>
        <w:t>Le Deley MC</w:t>
      </w:r>
      <w:r w:rsidRPr="004F617E">
        <w:rPr>
          <w:rFonts w:ascii="Book Antiqua" w:eastAsia="宋体" w:hAnsi="Book Antiqua" w:cs="宋体"/>
          <w:sz w:val="24"/>
          <w:szCs w:val="24"/>
          <w:lang w:eastAsia="zh-CN"/>
        </w:rPr>
        <w:t xml:space="preserve">, Paulussen M, Lewis I, Brennan B, Ranft A, Whelan J, Le Teuff G, Michon J, Ladenstein R, Marec-Bérard P, van den Berg H, Hjorth L, Wheatley K, Judson I, Juergens H, Craft A, Oberlin O, Dirksen U. Cyclophosphamide compared with ifosfamide in consolidation treatment of standard-risk Ewing sarcoma: results of the randomized noninferiority Euro-EWING99-R1 trial.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2014; </w:t>
      </w:r>
      <w:r w:rsidRPr="004F617E">
        <w:rPr>
          <w:rFonts w:ascii="Book Antiqua" w:eastAsia="宋体" w:hAnsi="Book Antiqua" w:cs="宋体"/>
          <w:b/>
          <w:bCs/>
          <w:sz w:val="24"/>
          <w:szCs w:val="24"/>
          <w:lang w:eastAsia="zh-CN"/>
        </w:rPr>
        <w:t>32</w:t>
      </w:r>
      <w:r w:rsidRPr="004F617E">
        <w:rPr>
          <w:rFonts w:ascii="Book Antiqua" w:eastAsia="宋体" w:hAnsi="Book Antiqua" w:cs="宋体"/>
          <w:sz w:val="24"/>
          <w:szCs w:val="24"/>
          <w:lang w:eastAsia="zh-CN"/>
        </w:rPr>
        <w:t>: 2440-2448 [PMID: 24982464 DOI: 10.1200/JCO.2013.54.4833]</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16 </w:t>
      </w:r>
      <w:r w:rsidRPr="004F617E">
        <w:rPr>
          <w:rFonts w:ascii="Book Antiqua" w:eastAsia="宋体" w:hAnsi="Book Antiqua" w:cs="宋体"/>
          <w:b/>
          <w:bCs/>
          <w:sz w:val="24"/>
          <w:szCs w:val="24"/>
          <w:lang w:eastAsia="zh-CN"/>
        </w:rPr>
        <w:t>Biswas B</w:t>
      </w:r>
      <w:r w:rsidRPr="004F617E">
        <w:rPr>
          <w:rFonts w:ascii="Book Antiqua" w:eastAsia="宋体" w:hAnsi="Book Antiqua" w:cs="宋体"/>
          <w:sz w:val="24"/>
          <w:szCs w:val="24"/>
          <w:lang w:eastAsia="zh-CN"/>
        </w:rPr>
        <w:t xml:space="preserve">, Thakar A, Mohanti BK, Vishnubhatla S, Bakhshi S. Prognostic factors in head and neck Ewing sarcoma family of tumors. </w:t>
      </w:r>
      <w:r w:rsidRPr="004F617E">
        <w:rPr>
          <w:rFonts w:ascii="Book Antiqua" w:eastAsia="宋体" w:hAnsi="Book Antiqua" w:cs="宋体"/>
          <w:i/>
          <w:iCs/>
          <w:sz w:val="24"/>
          <w:szCs w:val="24"/>
          <w:lang w:eastAsia="zh-CN"/>
        </w:rPr>
        <w:t>Laryngoscope</w:t>
      </w:r>
      <w:r w:rsidRPr="004F617E">
        <w:rPr>
          <w:rFonts w:ascii="Book Antiqua" w:eastAsia="宋体" w:hAnsi="Book Antiqua" w:cs="宋体"/>
          <w:sz w:val="24"/>
          <w:szCs w:val="24"/>
          <w:lang w:eastAsia="zh-CN"/>
        </w:rPr>
        <w:t xml:space="preserve"> 2015; </w:t>
      </w:r>
      <w:r w:rsidRPr="004F617E">
        <w:rPr>
          <w:rFonts w:ascii="Book Antiqua" w:eastAsia="宋体" w:hAnsi="Book Antiqua" w:cs="宋体"/>
          <w:b/>
          <w:bCs/>
          <w:sz w:val="24"/>
          <w:szCs w:val="24"/>
          <w:lang w:eastAsia="zh-CN"/>
        </w:rPr>
        <w:t>125</w:t>
      </w:r>
      <w:r w:rsidRPr="004F617E">
        <w:rPr>
          <w:rFonts w:ascii="Book Antiqua" w:eastAsia="宋体" w:hAnsi="Book Antiqua" w:cs="宋体"/>
          <w:sz w:val="24"/>
          <w:szCs w:val="24"/>
          <w:lang w:eastAsia="zh-CN"/>
        </w:rPr>
        <w:t>: E112-E117 [PMID: 25345585 DOI: 10.1002/lary.24985]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17 </w:t>
      </w:r>
      <w:r w:rsidRPr="004F617E">
        <w:rPr>
          <w:rFonts w:ascii="Book Antiqua" w:eastAsia="宋体" w:hAnsi="Book Antiqua" w:cs="宋体"/>
          <w:b/>
          <w:bCs/>
          <w:sz w:val="24"/>
          <w:szCs w:val="24"/>
          <w:lang w:eastAsia="zh-CN"/>
        </w:rPr>
        <w:t>Biswas B</w:t>
      </w:r>
      <w:r w:rsidRPr="004F617E">
        <w:rPr>
          <w:rFonts w:ascii="Book Antiqua" w:eastAsia="宋体" w:hAnsi="Book Antiqua" w:cs="宋体"/>
          <w:sz w:val="24"/>
          <w:szCs w:val="24"/>
          <w:lang w:eastAsia="zh-CN"/>
        </w:rPr>
        <w:t xml:space="preserve">, Shukla NK, Deo SV, Agarwala S, Sharma DN, Vishnubhatla S, Bakhshi S. Evaluation of outcome and prognostic factors in extraosseous Ewing sarcoma.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2014; </w:t>
      </w:r>
      <w:r w:rsidRPr="004F617E">
        <w:rPr>
          <w:rFonts w:ascii="Book Antiqua" w:eastAsia="宋体" w:hAnsi="Book Antiqua" w:cs="宋体"/>
          <w:b/>
          <w:bCs/>
          <w:sz w:val="24"/>
          <w:szCs w:val="24"/>
          <w:lang w:eastAsia="zh-CN"/>
        </w:rPr>
        <w:t>61</w:t>
      </w:r>
      <w:r w:rsidRPr="004F617E">
        <w:rPr>
          <w:rFonts w:ascii="Book Antiqua" w:eastAsia="宋体" w:hAnsi="Book Antiqua" w:cs="宋体"/>
          <w:sz w:val="24"/>
          <w:szCs w:val="24"/>
          <w:lang w:eastAsia="zh-CN"/>
        </w:rPr>
        <w:t>: 1925-1931 [PMID: 25132242 DOI: 10.1002/pbc.25095]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18 </w:t>
      </w:r>
      <w:r w:rsidRPr="004F617E">
        <w:rPr>
          <w:rFonts w:ascii="Book Antiqua" w:eastAsia="宋体" w:hAnsi="Book Antiqua" w:cs="宋体"/>
          <w:b/>
          <w:bCs/>
          <w:sz w:val="24"/>
          <w:szCs w:val="24"/>
          <w:lang w:eastAsia="zh-CN"/>
        </w:rPr>
        <w:t>Biswas B</w:t>
      </w:r>
      <w:r w:rsidRPr="004F617E">
        <w:rPr>
          <w:rFonts w:ascii="Book Antiqua" w:eastAsia="宋体" w:hAnsi="Book Antiqua" w:cs="宋体"/>
          <w:sz w:val="24"/>
          <w:szCs w:val="24"/>
          <w:lang w:eastAsia="zh-CN"/>
        </w:rPr>
        <w:t xml:space="preserve">, Rastogi S, Khan SA, Mohanti BK, Sharma DN, Sharma MC, Mridha AR, Bakhshi S. Outcomes and prognostic factors for Ewing-family tumors of the extremities. </w:t>
      </w:r>
      <w:r w:rsidRPr="004F617E">
        <w:rPr>
          <w:rFonts w:ascii="Book Antiqua" w:eastAsia="宋体" w:hAnsi="Book Antiqua" w:cs="宋体"/>
          <w:i/>
          <w:iCs/>
          <w:sz w:val="24"/>
          <w:szCs w:val="24"/>
          <w:lang w:eastAsia="zh-CN"/>
        </w:rPr>
        <w:t>J Bone Joint Surg Am</w:t>
      </w:r>
      <w:r w:rsidRPr="004F617E">
        <w:rPr>
          <w:rFonts w:ascii="Book Antiqua" w:eastAsia="宋体" w:hAnsi="Book Antiqua" w:cs="宋体"/>
          <w:sz w:val="24"/>
          <w:szCs w:val="24"/>
          <w:lang w:eastAsia="zh-CN"/>
        </w:rPr>
        <w:t xml:space="preserve"> 2014; </w:t>
      </w:r>
      <w:r w:rsidRPr="004F617E">
        <w:rPr>
          <w:rFonts w:ascii="Book Antiqua" w:eastAsia="宋体" w:hAnsi="Book Antiqua" w:cs="宋体"/>
          <w:b/>
          <w:bCs/>
          <w:sz w:val="24"/>
          <w:szCs w:val="24"/>
          <w:lang w:eastAsia="zh-CN"/>
        </w:rPr>
        <w:t>96</w:t>
      </w:r>
      <w:r w:rsidRPr="004F617E">
        <w:rPr>
          <w:rFonts w:ascii="Book Antiqua" w:eastAsia="宋体" w:hAnsi="Book Antiqua" w:cs="宋体"/>
          <w:sz w:val="24"/>
          <w:szCs w:val="24"/>
          <w:lang w:eastAsia="zh-CN"/>
        </w:rPr>
        <w:t>: 841-849 [PMID: 24875025 DOI: 10.2106/JBJS.M.00411]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19 </w:t>
      </w:r>
      <w:r w:rsidRPr="004F617E">
        <w:rPr>
          <w:rFonts w:ascii="Book Antiqua" w:eastAsia="宋体" w:hAnsi="Book Antiqua" w:cs="宋体"/>
          <w:b/>
          <w:bCs/>
          <w:sz w:val="24"/>
          <w:szCs w:val="24"/>
          <w:lang w:eastAsia="zh-CN"/>
        </w:rPr>
        <w:t>Zoubek A</w:t>
      </w:r>
      <w:r w:rsidRPr="004F617E">
        <w:rPr>
          <w:rFonts w:ascii="Book Antiqua" w:eastAsia="宋体" w:hAnsi="Book Antiqua" w:cs="宋体"/>
          <w:sz w:val="24"/>
          <w:szCs w:val="24"/>
          <w:lang w:eastAsia="zh-CN"/>
        </w:rPr>
        <w:t xml:space="preserve">, Dockhorn-Dworniczak B, Delattre O, Christiansen H, Niggli F, Gatterer-Menz I, Smith TL, Jürgens H, Gadner H, Kovar H. Does expression of different EWS chimeric transcripts define clinically distinct risk groups of Ewing tumor patients?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1996; </w:t>
      </w:r>
      <w:r w:rsidRPr="004F617E">
        <w:rPr>
          <w:rFonts w:ascii="Book Antiqua" w:eastAsia="宋体" w:hAnsi="Book Antiqua" w:cs="宋体"/>
          <w:b/>
          <w:bCs/>
          <w:sz w:val="24"/>
          <w:szCs w:val="24"/>
          <w:lang w:eastAsia="zh-CN"/>
        </w:rPr>
        <w:t>14</w:t>
      </w:r>
      <w:r w:rsidRPr="004F617E">
        <w:rPr>
          <w:rFonts w:ascii="Book Antiqua" w:eastAsia="宋体" w:hAnsi="Book Antiqua" w:cs="宋体"/>
          <w:sz w:val="24"/>
          <w:szCs w:val="24"/>
          <w:lang w:eastAsia="zh-CN"/>
        </w:rPr>
        <w:t>: 1245-1251 [PMID: 8648380]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20 </w:t>
      </w:r>
      <w:r w:rsidRPr="004F617E">
        <w:rPr>
          <w:rFonts w:ascii="Book Antiqua" w:eastAsia="宋体" w:hAnsi="Book Antiqua" w:cs="宋体"/>
          <w:b/>
          <w:bCs/>
          <w:sz w:val="24"/>
          <w:szCs w:val="24"/>
          <w:lang w:eastAsia="zh-CN"/>
        </w:rPr>
        <w:t>de Alava E</w:t>
      </w:r>
      <w:r w:rsidRPr="004F617E">
        <w:rPr>
          <w:rFonts w:ascii="Book Antiqua" w:eastAsia="宋体" w:hAnsi="Book Antiqua" w:cs="宋体"/>
          <w:sz w:val="24"/>
          <w:szCs w:val="24"/>
          <w:lang w:eastAsia="zh-CN"/>
        </w:rPr>
        <w:t xml:space="preserve">, Lozano MD, Patiño A, Sierrasesúmaga L, Pardo-Mindán FJ. Ewing family tumors: potential prognostic value of reverse-transcriptase polymerase chain reaction detection of minimal residual disease in peripheral blood samples. </w:t>
      </w:r>
      <w:r w:rsidRPr="004F617E">
        <w:rPr>
          <w:rFonts w:ascii="Book Antiqua" w:eastAsia="宋体" w:hAnsi="Book Antiqua" w:cs="宋体"/>
          <w:i/>
          <w:iCs/>
          <w:sz w:val="24"/>
          <w:szCs w:val="24"/>
          <w:lang w:eastAsia="zh-CN"/>
        </w:rPr>
        <w:t>Diagn Mol Pathol</w:t>
      </w:r>
      <w:r w:rsidRPr="004F617E">
        <w:rPr>
          <w:rFonts w:ascii="Book Antiqua" w:eastAsia="宋体" w:hAnsi="Book Antiqua" w:cs="宋体"/>
          <w:sz w:val="24"/>
          <w:szCs w:val="24"/>
          <w:lang w:eastAsia="zh-CN"/>
        </w:rPr>
        <w:t xml:space="preserve"> 1998; </w:t>
      </w:r>
      <w:r w:rsidRPr="004F617E">
        <w:rPr>
          <w:rFonts w:ascii="Book Antiqua" w:eastAsia="宋体" w:hAnsi="Book Antiqua" w:cs="宋体"/>
          <w:b/>
          <w:bCs/>
          <w:sz w:val="24"/>
          <w:szCs w:val="24"/>
          <w:lang w:eastAsia="zh-CN"/>
        </w:rPr>
        <w:t>7</w:t>
      </w:r>
      <w:r w:rsidRPr="004F617E">
        <w:rPr>
          <w:rFonts w:ascii="Book Antiqua" w:eastAsia="宋体" w:hAnsi="Book Antiqua" w:cs="宋体"/>
          <w:sz w:val="24"/>
          <w:szCs w:val="24"/>
          <w:lang w:eastAsia="zh-CN"/>
        </w:rPr>
        <w:t>: 152-157 [PMID: 9836070</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"http://dx.doi.org/10.1097/00019606-199806000-00005" \t "_blank" </w:instrText>
      </w:r>
      <w:r w:rsidR="00400143">
        <w:fldChar w:fldCharType="separate"/>
      </w:r>
      <w:r w:rsidR="005C430B" w:rsidRPr="005C430B">
        <w:rPr>
          <w:rStyle w:val="Hyperlink"/>
          <w:rFonts w:ascii="Book Antiqua" w:hAnsi="Book Antiqua"/>
          <w:color w:val="auto"/>
          <w:sz w:val="24"/>
          <w:szCs w:val="24"/>
          <w:u w:val="none"/>
        </w:rPr>
        <w:t>10.1097/00019606-199806000-00005</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lastRenderedPageBreak/>
        <w:t xml:space="preserve">21 </w:t>
      </w:r>
      <w:r w:rsidRPr="004F617E">
        <w:rPr>
          <w:rFonts w:ascii="Book Antiqua" w:eastAsia="宋体" w:hAnsi="Book Antiqua" w:cs="宋体"/>
          <w:b/>
          <w:bCs/>
          <w:sz w:val="24"/>
          <w:szCs w:val="24"/>
          <w:lang w:eastAsia="zh-CN"/>
        </w:rPr>
        <w:t>van Doorninck JA</w:t>
      </w:r>
      <w:r w:rsidRPr="004F617E">
        <w:rPr>
          <w:rFonts w:ascii="Book Antiqua" w:eastAsia="宋体" w:hAnsi="Book Antiqua" w:cs="宋体"/>
          <w:sz w:val="24"/>
          <w:szCs w:val="24"/>
          <w:lang w:eastAsia="zh-CN"/>
        </w:rPr>
        <w:t xml:space="preserve">, Ji L, Schaub B, Shimada H, Wing MR, Krailo MD, Lessnick SL, Marina N, Triche TJ, Sposto R, Womer RB, Lawlor ER. Current treatment protocols have eliminated the prognostic advantage of type 1 fusions in Ewing sarcoma: a report from the Children's Oncology Group.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28</w:t>
      </w:r>
      <w:r w:rsidRPr="004F617E">
        <w:rPr>
          <w:rFonts w:ascii="Book Antiqua" w:eastAsia="宋体" w:hAnsi="Book Antiqua" w:cs="宋体"/>
          <w:sz w:val="24"/>
          <w:szCs w:val="24"/>
          <w:lang w:eastAsia="zh-CN"/>
        </w:rPr>
        <w:t>: 1989-1994 [PMID: 20308669 DOI: 10.1200/JCO.2009.24.5845]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22 </w:t>
      </w:r>
      <w:r w:rsidRPr="004F617E">
        <w:rPr>
          <w:rFonts w:ascii="Book Antiqua" w:eastAsia="宋体" w:hAnsi="Book Antiqua" w:cs="宋体"/>
          <w:b/>
          <w:bCs/>
          <w:sz w:val="24"/>
          <w:szCs w:val="24"/>
          <w:lang w:eastAsia="zh-CN"/>
        </w:rPr>
        <w:t>Kovar H</w:t>
      </w:r>
      <w:r w:rsidRPr="004F617E">
        <w:rPr>
          <w:rFonts w:ascii="Book Antiqua" w:eastAsia="宋体" w:hAnsi="Book Antiqua" w:cs="宋体"/>
          <w:sz w:val="24"/>
          <w:szCs w:val="24"/>
          <w:lang w:eastAsia="zh-CN"/>
        </w:rPr>
        <w:t xml:space="preserve">, Alonso J, Aman P, Aryee DN, Ban J, Burchill SA, Burdach S, De Alava E, Delattre O, Dirksen U, Fourtouna A, Fulda S, Helman LJ, Herrero-Martin D, Hogendoorn PC, Kontny U, Lawlor ER, Lessnick SL, Llombart-Bosch A, Metzler M, Moriggl R, Niedan S, Potratz J, Redini F, Richter GH, Riedmann LT, Rossig C, Schäfer BW, Schwentner R, Scotlandi K, Sorensen PH, Staege MS, Tirode F, Toretsky J, Ventura S, Eggert A, Ladenstein R. The first European interdisciplinary ewing sarcoma research summit. </w:t>
      </w:r>
      <w:r w:rsidRPr="004F617E">
        <w:rPr>
          <w:rFonts w:ascii="Book Antiqua" w:eastAsia="宋体" w:hAnsi="Book Antiqua" w:cs="宋体"/>
          <w:i/>
          <w:iCs/>
          <w:sz w:val="24"/>
          <w:szCs w:val="24"/>
          <w:lang w:eastAsia="zh-CN"/>
        </w:rPr>
        <w:t>Front Oncol</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2</w:t>
      </w:r>
      <w:r w:rsidRPr="004F617E">
        <w:rPr>
          <w:rFonts w:ascii="Book Antiqua" w:eastAsia="宋体" w:hAnsi="Book Antiqua" w:cs="宋体"/>
          <w:sz w:val="24"/>
          <w:szCs w:val="24"/>
          <w:lang w:eastAsia="zh-CN"/>
        </w:rPr>
        <w:t>: 54 [PMID: 22662320 DOI: 10.3389/fonc.2012.00054]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23 </w:t>
      </w:r>
      <w:r w:rsidRPr="004F617E">
        <w:rPr>
          <w:rFonts w:ascii="Book Antiqua" w:eastAsia="宋体" w:hAnsi="Book Antiqua" w:cs="宋体"/>
          <w:b/>
          <w:bCs/>
          <w:sz w:val="24"/>
          <w:szCs w:val="24"/>
          <w:lang w:eastAsia="zh-CN"/>
        </w:rPr>
        <w:t>Tirode F</w:t>
      </w:r>
      <w:r w:rsidRPr="004F617E">
        <w:rPr>
          <w:rFonts w:ascii="Book Antiqua" w:eastAsia="宋体" w:hAnsi="Book Antiqua" w:cs="宋体"/>
          <w:sz w:val="24"/>
          <w:szCs w:val="24"/>
          <w:lang w:eastAsia="zh-CN"/>
        </w:rPr>
        <w:t xml:space="preserve">, Surdez D, Ma X, Parker M, Le Deley MC, Bahrami A, Zhang Z, Lapouble E, Grossetête-Lalami S, Rusch M, Reynaud S, Rio-Frio T, Hedlund E, Wu G, Chen X, Pierron G, Oberlin O, Zaidi S, Lemmon G, Gupta P, Vadodaria B, Easton J, Gut M, Ding L, Mardis ER, Wilson RK, Shurtleff S, Laurence V, Michon J, Marec-Bérard P, Gut I, Downing J, Dyer M, Zhang J, Delattre O. Genomic landscape of Ewing sarcoma defines an aggressive subtype with co-association of STAG2 and TP53 mutations. </w:t>
      </w:r>
      <w:r w:rsidRPr="004F617E">
        <w:rPr>
          <w:rFonts w:ascii="Book Antiqua" w:eastAsia="宋体" w:hAnsi="Book Antiqua" w:cs="宋体"/>
          <w:i/>
          <w:iCs/>
          <w:sz w:val="24"/>
          <w:szCs w:val="24"/>
          <w:lang w:eastAsia="zh-CN"/>
        </w:rPr>
        <w:t>Cancer Discov</w:t>
      </w:r>
      <w:r w:rsidRPr="004F617E">
        <w:rPr>
          <w:rFonts w:ascii="Book Antiqua" w:eastAsia="宋体" w:hAnsi="Book Antiqua" w:cs="宋体"/>
          <w:sz w:val="24"/>
          <w:szCs w:val="24"/>
          <w:lang w:eastAsia="zh-CN"/>
        </w:rPr>
        <w:t xml:space="preserve"> 2014; </w:t>
      </w:r>
      <w:r w:rsidRPr="004F617E">
        <w:rPr>
          <w:rFonts w:ascii="Book Antiqua" w:eastAsia="宋体" w:hAnsi="Book Antiqua" w:cs="宋体"/>
          <w:b/>
          <w:bCs/>
          <w:sz w:val="24"/>
          <w:szCs w:val="24"/>
          <w:lang w:eastAsia="zh-CN"/>
        </w:rPr>
        <w:t>4</w:t>
      </w:r>
      <w:r w:rsidRPr="004F617E">
        <w:rPr>
          <w:rFonts w:ascii="Book Antiqua" w:eastAsia="宋体" w:hAnsi="Book Antiqua" w:cs="宋体"/>
          <w:sz w:val="24"/>
          <w:szCs w:val="24"/>
          <w:lang w:eastAsia="zh-CN"/>
        </w:rPr>
        <w:t>: 1342-1353 [PMID: 25223734 DOI: 10.1158/2159-8290.CD-14-0622]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24 </w:t>
      </w:r>
      <w:r w:rsidRPr="004F617E">
        <w:rPr>
          <w:rFonts w:ascii="Book Antiqua" w:eastAsia="宋体" w:hAnsi="Book Antiqua" w:cs="宋体"/>
          <w:b/>
          <w:bCs/>
          <w:sz w:val="24"/>
          <w:szCs w:val="24"/>
          <w:lang w:eastAsia="zh-CN"/>
        </w:rPr>
        <w:t>Schleiermacher G</w:t>
      </w:r>
      <w:r w:rsidRPr="004F617E">
        <w:rPr>
          <w:rFonts w:ascii="Book Antiqua" w:eastAsia="宋体" w:hAnsi="Book Antiqua" w:cs="宋体"/>
          <w:sz w:val="24"/>
          <w:szCs w:val="24"/>
          <w:lang w:eastAsia="zh-CN"/>
        </w:rPr>
        <w:t xml:space="preserve">, Delattre O. [Detection of micrometastases and circulating tumour cells using molecular biology technics in solid tumours]. </w:t>
      </w:r>
      <w:r w:rsidRPr="004F617E">
        <w:rPr>
          <w:rFonts w:ascii="Book Antiqua" w:eastAsia="宋体" w:hAnsi="Book Antiqua" w:cs="宋体"/>
          <w:i/>
          <w:iCs/>
          <w:sz w:val="24"/>
          <w:szCs w:val="24"/>
          <w:lang w:eastAsia="zh-CN"/>
        </w:rPr>
        <w:t>Bull Cancer</w:t>
      </w:r>
      <w:r w:rsidRPr="004F617E">
        <w:rPr>
          <w:rFonts w:ascii="Book Antiqua" w:eastAsia="宋体" w:hAnsi="Book Antiqua" w:cs="宋体"/>
          <w:sz w:val="24"/>
          <w:szCs w:val="24"/>
          <w:lang w:eastAsia="zh-CN"/>
        </w:rPr>
        <w:t xml:space="preserve"> 2001; </w:t>
      </w:r>
      <w:r w:rsidRPr="004F617E">
        <w:rPr>
          <w:rFonts w:ascii="Book Antiqua" w:eastAsia="宋体" w:hAnsi="Book Antiqua" w:cs="宋体"/>
          <w:b/>
          <w:bCs/>
          <w:sz w:val="24"/>
          <w:szCs w:val="24"/>
          <w:lang w:eastAsia="zh-CN"/>
        </w:rPr>
        <w:t>88</w:t>
      </w:r>
      <w:r w:rsidRPr="004F617E">
        <w:rPr>
          <w:rFonts w:ascii="Book Antiqua" w:eastAsia="宋体" w:hAnsi="Book Antiqua" w:cs="宋体"/>
          <w:sz w:val="24"/>
          <w:szCs w:val="24"/>
          <w:lang w:eastAsia="zh-CN"/>
        </w:rPr>
        <w:t>: 561-570 [PMID: 11459702]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25 </w:t>
      </w:r>
      <w:r w:rsidRPr="004F617E">
        <w:rPr>
          <w:rFonts w:ascii="Book Antiqua" w:eastAsia="宋体" w:hAnsi="Book Antiqua" w:cs="宋体"/>
          <w:b/>
          <w:bCs/>
          <w:sz w:val="24"/>
          <w:szCs w:val="24"/>
          <w:lang w:eastAsia="zh-CN"/>
        </w:rPr>
        <w:t>Gupta K</w:t>
      </w:r>
      <w:r w:rsidRPr="004F617E">
        <w:rPr>
          <w:rFonts w:ascii="Book Antiqua" w:eastAsia="宋体" w:hAnsi="Book Antiqua" w:cs="宋体"/>
          <w:sz w:val="24"/>
          <w:szCs w:val="24"/>
          <w:lang w:eastAsia="zh-CN"/>
        </w:rPr>
        <w:t xml:space="preserve">, Pawaskar A, Basu S, Rajan MG, Asopa RV, Arora B, Nair N, Banavali S. Potential role of FDG PET imaging in predicting metastatic potential and assessment of therapeutic response to neoadjuvant chemotherapy in Ewing sarcoma family of tumors. </w:t>
      </w:r>
      <w:r w:rsidRPr="004F617E">
        <w:rPr>
          <w:rFonts w:ascii="Book Antiqua" w:eastAsia="宋体" w:hAnsi="Book Antiqua" w:cs="宋体"/>
          <w:i/>
          <w:iCs/>
          <w:sz w:val="24"/>
          <w:szCs w:val="24"/>
          <w:lang w:eastAsia="zh-CN"/>
        </w:rPr>
        <w:t>Clin Nucl Med</w:t>
      </w:r>
      <w:r w:rsidRPr="004F617E">
        <w:rPr>
          <w:rFonts w:ascii="Book Antiqua" w:eastAsia="宋体" w:hAnsi="Book Antiqua" w:cs="宋体"/>
          <w:sz w:val="24"/>
          <w:szCs w:val="24"/>
          <w:lang w:eastAsia="zh-CN"/>
        </w:rPr>
        <w:t xml:space="preserve"> 2011; </w:t>
      </w:r>
      <w:r w:rsidRPr="004F617E">
        <w:rPr>
          <w:rFonts w:ascii="Book Antiqua" w:eastAsia="宋体" w:hAnsi="Book Antiqua" w:cs="宋体"/>
          <w:b/>
          <w:bCs/>
          <w:sz w:val="24"/>
          <w:szCs w:val="24"/>
          <w:lang w:eastAsia="zh-CN"/>
        </w:rPr>
        <w:t>36</w:t>
      </w:r>
      <w:r w:rsidRPr="004F617E">
        <w:rPr>
          <w:rFonts w:ascii="Book Antiqua" w:eastAsia="宋体" w:hAnsi="Book Antiqua" w:cs="宋体"/>
          <w:sz w:val="24"/>
          <w:szCs w:val="24"/>
          <w:lang w:eastAsia="zh-CN"/>
        </w:rPr>
        <w:t>: 973-977 [PMID: 21975382 DOI: 10.1097/RLU.0b013e31822f684b]</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26 </w:t>
      </w:r>
      <w:r w:rsidRPr="004F617E">
        <w:rPr>
          <w:rFonts w:ascii="Book Antiqua" w:eastAsia="宋体" w:hAnsi="Book Antiqua" w:cs="宋体"/>
          <w:b/>
          <w:bCs/>
          <w:sz w:val="24"/>
          <w:szCs w:val="24"/>
          <w:lang w:eastAsia="zh-CN"/>
        </w:rPr>
        <w:t>Hawkins DS</w:t>
      </w:r>
      <w:r w:rsidRPr="004F617E">
        <w:rPr>
          <w:rFonts w:ascii="Book Antiqua" w:eastAsia="宋体" w:hAnsi="Book Antiqua" w:cs="宋体"/>
          <w:sz w:val="24"/>
          <w:szCs w:val="24"/>
          <w:lang w:eastAsia="zh-CN"/>
        </w:rPr>
        <w:t xml:space="preserve">, Schuetze SM, Butrynski JE, Rajendran JG, Vernon CB, Conrad EU, Eary JF. [18F]Fluorodeoxyglucose positron emission tomography predicts outcome for Ewing sarcoma family of tumors.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2005; </w:t>
      </w:r>
      <w:r w:rsidRPr="004F617E">
        <w:rPr>
          <w:rFonts w:ascii="Book Antiqua" w:eastAsia="宋体" w:hAnsi="Book Antiqua" w:cs="宋体"/>
          <w:b/>
          <w:bCs/>
          <w:sz w:val="24"/>
          <w:szCs w:val="24"/>
          <w:lang w:eastAsia="zh-CN"/>
        </w:rPr>
        <w:t>23</w:t>
      </w:r>
      <w:r w:rsidRPr="004F617E">
        <w:rPr>
          <w:rFonts w:ascii="Book Antiqua" w:eastAsia="宋体" w:hAnsi="Book Antiqua" w:cs="宋体"/>
          <w:sz w:val="24"/>
          <w:szCs w:val="24"/>
          <w:lang w:eastAsia="zh-CN"/>
        </w:rPr>
        <w:t>: 8828-8834 [PMID: 16314643 DOI: 10.1200/JCO.2005.01.7079]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lastRenderedPageBreak/>
        <w:t xml:space="preserve">27 </w:t>
      </w:r>
      <w:r w:rsidRPr="004F617E">
        <w:rPr>
          <w:rFonts w:ascii="Book Antiqua" w:eastAsia="宋体" w:hAnsi="Book Antiqua" w:cs="宋体"/>
          <w:b/>
          <w:bCs/>
          <w:sz w:val="24"/>
          <w:szCs w:val="24"/>
          <w:lang w:eastAsia="zh-CN"/>
        </w:rPr>
        <w:t>Gaston LL</w:t>
      </w:r>
      <w:r w:rsidRPr="004F617E">
        <w:rPr>
          <w:rFonts w:ascii="Book Antiqua" w:eastAsia="宋体" w:hAnsi="Book Antiqua" w:cs="宋体"/>
          <w:sz w:val="24"/>
          <w:szCs w:val="24"/>
          <w:lang w:eastAsia="zh-CN"/>
        </w:rPr>
        <w:t xml:space="preserve">, Di Bella C, Slavin J, Hicks RJ, Choong PF. 18F-FDG PET response to neoadjuvant chemotherapy for Ewing sarcoma and osteosarcoma are different. </w:t>
      </w:r>
      <w:r w:rsidRPr="004F617E">
        <w:rPr>
          <w:rFonts w:ascii="Book Antiqua" w:eastAsia="宋体" w:hAnsi="Book Antiqua" w:cs="宋体"/>
          <w:i/>
          <w:iCs/>
          <w:sz w:val="24"/>
          <w:szCs w:val="24"/>
          <w:lang w:eastAsia="zh-CN"/>
        </w:rPr>
        <w:t>Skeletal Radiol</w:t>
      </w:r>
      <w:r w:rsidRPr="004F617E">
        <w:rPr>
          <w:rFonts w:ascii="Book Antiqua" w:eastAsia="宋体" w:hAnsi="Book Antiqua" w:cs="宋体"/>
          <w:sz w:val="24"/>
          <w:szCs w:val="24"/>
          <w:lang w:eastAsia="zh-CN"/>
        </w:rPr>
        <w:t xml:space="preserve"> 2011; </w:t>
      </w:r>
      <w:r w:rsidRPr="004F617E">
        <w:rPr>
          <w:rFonts w:ascii="Book Antiqua" w:eastAsia="宋体" w:hAnsi="Book Antiqua" w:cs="宋体"/>
          <w:b/>
          <w:bCs/>
          <w:sz w:val="24"/>
          <w:szCs w:val="24"/>
          <w:lang w:eastAsia="zh-CN"/>
        </w:rPr>
        <w:t>40</w:t>
      </w:r>
      <w:r w:rsidRPr="004F617E">
        <w:rPr>
          <w:rFonts w:ascii="Book Antiqua" w:eastAsia="宋体" w:hAnsi="Book Antiqua" w:cs="宋体"/>
          <w:sz w:val="24"/>
          <w:szCs w:val="24"/>
          <w:lang w:eastAsia="zh-CN"/>
        </w:rPr>
        <w:t>: 1007-1015 [PMID: 21298431 DOI: 10.1007/s00256-011-1096-4]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28 </w:t>
      </w:r>
      <w:r w:rsidRPr="004F617E">
        <w:rPr>
          <w:rFonts w:ascii="Book Antiqua" w:eastAsia="宋体" w:hAnsi="Book Antiqua" w:cs="宋体"/>
          <w:b/>
          <w:bCs/>
          <w:sz w:val="24"/>
          <w:szCs w:val="24"/>
          <w:lang w:eastAsia="zh-CN"/>
        </w:rPr>
        <w:t>Nesbit ME</w:t>
      </w:r>
      <w:r w:rsidRPr="004F617E">
        <w:rPr>
          <w:rFonts w:ascii="Book Antiqua" w:eastAsia="宋体" w:hAnsi="Book Antiqua" w:cs="宋体"/>
          <w:sz w:val="24"/>
          <w:szCs w:val="24"/>
          <w:lang w:eastAsia="zh-CN"/>
        </w:rPr>
        <w:t xml:space="preserve">, Perez CA, Tefft M, Burgert EO, Vietti TJ, Kissane J, Pritchard DJ, Gehan EA. Multimodal therapy for the management of primary, nonmetastatic Ewing's sarcoma of bone: an Intergroup Study. </w:t>
      </w:r>
      <w:r w:rsidRPr="004F617E">
        <w:rPr>
          <w:rFonts w:ascii="Book Antiqua" w:eastAsia="宋体" w:hAnsi="Book Antiqua" w:cs="宋体"/>
          <w:i/>
          <w:iCs/>
          <w:sz w:val="24"/>
          <w:szCs w:val="24"/>
          <w:lang w:eastAsia="zh-CN"/>
        </w:rPr>
        <w:t>Natl Cancer Inst Monogr</w:t>
      </w:r>
      <w:r w:rsidR="005C430B" w:rsidRPr="005C430B">
        <w:rPr>
          <w:rFonts w:ascii="Book Antiqua" w:eastAsia="宋体" w:hAnsi="Book Antiqua" w:cs="宋体"/>
          <w:sz w:val="24"/>
          <w:szCs w:val="24"/>
          <w:lang w:eastAsia="zh-CN"/>
        </w:rPr>
        <w:t xml:space="preserve"> 1981</w:t>
      </w:r>
      <w:r w:rsidRPr="004F617E">
        <w:rPr>
          <w:rFonts w:ascii="Book Antiqua" w:eastAsia="宋体" w:hAnsi="Book Antiqua" w:cs="宋体"/>
          <w:sz w:val="24"/>
          <w:szCs w:val="24"/>
          <w:lang w:eastAsia="zh-CN"/>
        </w:rPr>
        <w:t>: 255-262 [PMID: 7029293]</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29 </w:t>
      </w:r>
      <w:r w:rsidRPr="004F617E">
        <w:rPr>
          <w:rFonts w:ascii="Book Antiqua" w:eastAsia="宋体" w:hAnsi="Book Antiqua" w:cs="宋体"/>
          <w:b/>
          <w:bCs/>
          <w:sz w:val="24"/>
          <w:szCs w:val="24"/>
          <w:lang w:eastAsia="zh-CN"/>
        </w:rPr>
        <w:t>Burgert EO</w:t>
      </w:r>
      <w:r w:rsidRPr="004F617E">
        <w:rPr>
          <w:rFonts w:ascii="Book Antiqua" w:eastAsia="宋体" w:hAnsi="Book Antiqua" w:cs="宋体"/>
          <w:sz w:val="24"/>
          <w:szCs w:val="24"/>
          <w:lang w:eastAsia="zh-CN"/>
        </w:rPr>
        <w:t xml:space="preserve">, Nesbit ME, Garnsey LA, Gehan EA, Herrmann J, Vietti TJ, Cangir A, Tefft M, Evans R, Thomas P. Multimodal therapy for the management of nonpelvic, localized Ewing's sarcoma of bone: intergroup study IESS-II.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1990; </w:t>
      </w:r>
      <w:r w:rsidRPr="004F617E">
        <w:rPr>
          <w:rFonts w:ascii="Book Antiqua" w:eastAsia="宋体" w:hAnsi="Book Antiqua" w:cs="宋体"/>
          <w:b/>
          <w:bCs/>
          <w:sz w:val="24"/>
          <w:szCs w:val="24"/>
          <w:lang w:eastAsia="zh-CN"/>
        </w:rPr>
        <w:t>8</w:t>
      </w:r>
      <w:r w:rsidRPr="004F617E">
        <w:rPr>
          <w:rFonts w:ascii="Book Antiqua" w:eastAsia="宋体" w:hAnsi="Book Antiqua" w:cs="宋体"/>
          <w:sz w:val="24"/>
          <w:szCs w:val="24"/>
          <w:lang w:eastAsia="zh-CN"/>
        </w:rPr>
        <w:t>: 1514-1524 [PMID: 2099751]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30 </w:t>
      </w:r>
      <w:r w:rsidRPr="004F617E">
        <w:rPr>
          <w:rFonts w:ascii="Book Antiqua" w:eastAsia="宋体" w:hAnsi="Book Antiqua" w:cs="宋体"/>
          <w:b/>
          <w:bCs/>
          <w:sz w:val="24"/>
          <w:szCs w:val="24"/>
          <w:lang w:eastAsia="zh-CN"/>
        </w:rPr>
        <w:t>Carli M</w:t>
      </w:r>
      <w:r w:rsidRPr="004F617E">
        <w:rPr>
          <w:rFonts w:ascii="Book Antiqua" w:eastAsia="宋体" w:hAnsi="Book Antiqua" w:cs="宋体"/>
          <w:sz w:val="24"/>
          <w:szCs w:val="24"/>
          <w:lang w:eastAsia="zh-CN"/>
        </w:rPr>
        <w:t xml:space="preserve">, Passone E, Perilongo G, Bisogno G. Ifosfamide in pediatric solid tumors. </w:t>
      </w:r>
      <w:r w:rsidRPr="004F617E">
        <w:rPr>
          <w:rFonts w:ascii="Book Antiqua" w:eastAsia="宋体" w:hAnsi="Book Antiqua" w:cs="宋体"/>
          <w:i/>
          <w:iCs/>
          <w:sz w:val="24"/>
          <w:szCs w:val="24"/>
          <w:lang w:eastAsia="zh-CN"/>
        </w:rPr>
        <w:t>Oncology</w:t>
      </w:r>
      <w:r w:rsidRPr="004F617E">
        <w:rPr>
          <w:rFonts w:ascii="Book Antiqua" w:eastAsia="宋体" w:hAnsi="Book Antiqua" w:cs="宋体"/>
          <w:sz w:val="24"/>
          <w:szCs w:val="24"/>
          <w:lang w:eastAsia="zh-CN"/>
        </w:rPr>
        <w:t xml:space="preserve"> 2003; </w:t>
      </w:r>
      <w:r w:rsidRPr="004F617E">
        <w:rPr>
          <w:rFonts w:ascii="Book Antiqua" w:eastAsia="宋体" w:hAnsi="Book Antiqua" w:cs="宋体"/>
          <w:b/>
          <w:bCs/>
          <w:sz w:val="24"/>
          <w:szCs w:val="24"/>
          <w:lang w:eastAsia="zh-CN"/>
        </w:rPr>
        <w:t xml:space="preserve">65 </w:t>
      </w:r>
      <w:r w:rsidRPr="004F617E">
        <w:rPr>
          <w:rFonts w:ascii="Book Antiqua" w:eastAsia="宋体" w:hAnsi="Book Antiqua" w:cs="宋体"/>
          <w:bCs/>
          <w:sz w:val="24"/>
          <w:szCs w:val="24"/>
          <w:lang w:eastAsia="zh-CN"/>
        </w:rPr>
        <w:t>Suppl 2</w:t>
      </w:r>
      <w:r w:rsidRPr="004F617E">
        <w:rPr>
          <w:rFonts w:ascii="Book Antiqua" w:eastAsia="宋体" w:hAnsi="Book Antiqua" w:cs="宋体"/>
          <w:sz w:val="24"/>
          <w:szCs w:val="24"/>
          <w:lang w:eastAsia="zh-CN"/>
        </w:rPr>
        <w:t>: 99-104 [PMID: 14586158]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31 </w:t>
      </w:r>
      <w:r w:rsidRPr="004F617E">
        <w:rPr>
          <w:rFonts w:ascii="Book Antiqua" w:eastAsia="宋体" w:hAnsi="Book Antiqua" w:cs="宋体"/>
          <w:b/>
          <w:bCs/>
          <w:sz w:val="24"/>
          <w:szCs w:val="24"/>
          <w:lang w:eastAsia="zh-CN"/>
        </w:rPr>
        <w:t>Oberlin O</w:t>
      </w:r>
      <w:r w:rsidRPr="004F617E">
        <w:rPr>
          <w:rFonts w:ascii="Book Antiqua" w:eastAsia="宋体" w:hAnsi="Book Antiqua" w:cs="宋体"/>
          <w:sz w:val="24"/>
          <w:szCs w:val="24"/>
          <w:lang w:eastAsia="zh-CN"/>
        </w:rPr>
        <w:t xml:space="preserve">, Habrand JL, Zucker JM, Brunat-Mentigny M, Terrier-Lacombe MJ, Dubousset J, Gentet JC, Schmitt C, Ponvert D, Carrié C. No benefit of ifosfamide in Ewing's sarcoma: a nonrandomized study of the French Society of Pediatric Oncology.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1992; </w:t>
      </w:r>
      <w:r w:rsidRPr="004F617E">
        <w:rPr>
          <w:rFonts w:ascii="Book Antiqua" w:eastAsia="宋体" w:hAnsi="Book Antiqua" w:cs="宋体"/>
          <w:b/>
          <w:bCs/>
          <w:sz w:val="24"/>
          <w:szCs w:val="24"/>
          <w:lang w:eastAsia="zh-CN"/>
        </w:rPr>
        <w:t>10</w:t>
      </w:r>
      <w:r w:rsidRPr="004F617E">
        <w:rPr>
          <w:rFonts w:ascii="Book Antiqua" w:eastAsia="宋体" w:hAnsi="Book Antiqua" w:cs="宋体"/>
          <w:sz w:val="24"/>
          <w:szCs w:val="24"/>
          <w:lang w:eastAsia="zh-CN"/>
        </w:rPr>
        <w:t>: 1407-1412 [PMID: 1517783]</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32 </w:t>
      </w:r>
      <w:r w:rsidRPr="004F617E">
        <w:rPr>
          <w:rFonts w:ascii="Book Antiqua" w:eastAsia="宋体" w:hAnsi="Book Antiqua" w:cs="宋体"/>
          <w:b/>
          <w:bCs/>
          <w:sz w:val="24"/>
          <w:szCs w:val="24"/>
          <w:lang w:eastAsia="zh-CN"/>
        </w:rPr>
        <w:t>Granowetter L</w:t>
      </w:r>
      <w:r w:rsidRPr="004F617E">
        <w:rPr>
          <w:rFonts w:ascii="Book Antiqua" w:eastAsia="宋体" w:hAnsi="Book Antiqua" w:cs="宋体"/>
          <w:sz w:val="24"/>
          <w:szCs w:val="24"/>
          <w:lang w:eastAsia="zh-CN"/>
        </w:rPr>
        <w:t xml:space="preserve">, Womer R, Devidas M, Krailo M, Wang C, Bernstein M, Marina N, Leavey P, Gebhardt M, Healey J, Shamberger RC, Goorin A, Miser J, Meyer J, Arndt CA, Sailer S, Marcus K, Perlman E, Dickman P, Grier HE. Dose-intensified compared with standard chemotherapy for nonmetastatic Ewing sarcoma family of tumors: a Children's Oncology Group Study.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2009; </w:t>
      </w:r>
      <w:r w:rsidRPr="004F617E">
        <w:rPr>
          <w:rFonts w:ascii="Book Antiqua" w:eastAsia="宋体" w:hAnsi="Book Antiqua" w:cs="宋体"/>
          <w:b/>
          <w:bCs/>
          <w:sz w:val="24"/>
          <w:szCs w:val="24"/>
          <w:lang w:eastAsia="zh-CN"/>
        </w:rPr>
        <w:t>27</w:t>
      </w:r>
      <w:r w:rsidRPr="004F617E">
        <w:rPr>
          <w:rFonts w:ascii="Book Antiqua" w:eastAsia="宋体" w:hAnsi="Book Antiqua" w:cs="宋体"/>
          <w:sz w:val="24"/>
          <w:szCs w:val="24"/>
          <w:lang w:eastAsia="zh-CN"/>
        </w:rPr>
        <w:t>: 2536-2541 [PMID: 19349548 DOI: 10.1200/JCO.2008.19.1478]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33 </w:t>
      </w:r>
      <w:r w:rsidRPr="004F617E">
        <w:rPr>
          <w:rFonts w:ascii="Book Antiqua" w:eastAsia="宋体" w:hAnsi="Book Antiqua" w:cs="宋体"/>
          <w:b/>
          <w:bCs/>
          <w:sz w:val="24"/>
          <w:szCs w:val="24"/>
          <w:lang w:eastAsia="zh-CN"/>
        </w:rPr>
        <w:t>Womer RB</w:t>
      </w:r>
      <w:r w:rsidRPr="004F617E">
        <w:rPr>
          <w:rFonts w:ascii="Book Antiqua" w:eastAsia="宋体" w:hAnsi="Book Antiqua" w:cs="宋体"/>
          <w:sz w:val="24"/>
          <w:szCs w:val="24"/>
          <w:lang w:eastAsia="zh-CN"/>
        </w:rPr>
        <w:t xml:space="preserve">, West DC, Krailo MD, Dickman PS, Pawel BR, Grier HE, Marcus K, Sailer S, Healey JH, Dormans JP, Weiss AR. Randomized controlled trial of interval-compressed chemotherapy for the treatment of localized Ewing sarcoma: a report from the Children's Oncology Group.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30</w:t>
      </w:r>
      <w:r w:rsidRPr="004F617E">
        <w:rPr>
          <w:rFonts w:ascii="Book Antiqua" w:eastAsia="宋体" w:hAnsi="Book Antiqua" w:cs="宋体"/>
          <w:sz w:val="24"/>
          <w:szCs w:val="24"/>
          <w:lang w:eastAsia="zh-CN"/>
        </w:rPr>
        <w:t>: 4148-4154 [PMID: 23091096 DOI: 10.1200/JCO.2011.41.5703]</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34 </w:t>
      </w:r>
      <w:r w:rsidRPr="004F617E">
        <w:rPr>
          <w:rFonts w:ascii="Book Antiqua" w:eastAsia="宋体" w:hAnsi="Book Antiqua" w:cs="宋体"/>
          <w:b/>
          <w:bCs/>
          <w:sz w:val="24"/>
          <w:szCs w:val="24"/>
          <w:lang w:eastAsia="zh-CN"/>
        </w:rPr>
        <w:t>Ferrari S</w:t>
      </w:r>
      <w:r w:rsidRPr="004F617E">
        <w:rPr>
          <w:rFonts w:ascii="Book Antiqua" w:eastAsia="宋体" w:hAnsi="Book Antiqua" w:cs="宋体"/>
          <w:sz w:val="24"/>
          <w:szCs w:val="24"/>
          <w:lang w:eastAsia="zh-CN"/>
        </w:rPr>
        <w:t xml:space="preserve">, Sundby Hall K, Luksch R, Tienghi A, Wiebe T, Fagioli F, Alvegard TA, Brach Del Prever A, Tamburini A, Alberghini M, Gandola L, Mercuri M, Capanna R, </w:t>
      </w:r>
      <w:r w:rsidRPr="004F617E">
        <w:rPr>
          <w:rFonts w:ascii="Book Antiqua" w:eastAsia="宋体" w:hAnsi="Book Antiqua" w:cs="宋体"/>
          <w:sz w:val="24"/>
          <w:szCs w:val="24"/>
          <w:lang w:eastAsia="zh-CN"/>
        </w:rPr>
        <w:lastRenderedPageBreak/>
        <w:t xml:space="preserve">Mapelli S, Prete A, Carli M, Picci P, Barbieri E, Bacci G, Smeland S. Nonmetastatic Ewing family tumors: high-dose chemotherapy with stem cell rescue in poor responder patients. Results of the Italian Sarcoma Group/Scandinavian Sarcoma Group III protocol. </w:t>
      </w:r>
      <w:r w:rsidRPr="004F617E">
        <w:rPr>
          <w:rFonts w:ascii="Book Antiqua" w:eastAsia="宋体" w:hAnsi="Book Antiqua" w:cs="宋体"/>
          <w:i/>
          <w:iCs/>
          <w:sz w:val="24"/>
          <w:szCs w:val="24"/>
          <w:lang w:eastAsia="zh-CN"/>
        </w:rPr>
        <w:t>Ann Oncol</w:t>
      </w:r>
      <w:r w:rsidRPr="004F617E">
        <w:rPr>
          <w:rFonts w:ascii="Book Antiqua" w:eastAsia="宋体" w:hAnsi="Book Antiqua" w:cs="宋体"/>
          <w:sz w:val="24"/>
          <w:szCs w:val="24"/>
          <w:lang w:eastAsia="zh-CN"/>
        </w:rPr>
        <w:t xml:space="preserve"> 2011; </w:t>
      </w:r>
      <w:r w:rsidRPr="004F617E">
        <w:rPr>
          <w:rFonts w:ascii="Book Antiqua" w:eastAsia="宋体" w:hAnsi="Book Antiqua" w:cs="宋体"/>
          <w:b/>
          <w:bCs/>
          <w:sz w:val="24"/>
          <w:szCs w:val="24"/>
          <w:lang w:eastAsia="zh-CN"/>
        </w:rPr>
        <w:t>22</w:t>
      </w:r>
      <w:r w:rsidRPr="004F617E">
        <w:rPr>
          <w:rFonts w:ascii="Book Antiqua" w:eastAsia="宋体" w:hAnsi="Book Antiqua" w:cs="宋体"/>
          <w:sz w:val="24"/>
          <w:szCs w:val="24"/>
          <w:lang w:eastAsia="zh-CN"/>
        </w:rPr>
        <w:t>: 1221-1227 [PMID: 21059639 DOI: 10.1093/annonc/mdq573]</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35 </w:t>
      </w:r>
      <w:r w:rsidRPr="004F617E">
        <w:rPr>
          <w:rFonts w:ascii="Book Antiqua" w:eastAsia="宋体" w:hAnsi="Book Antiqua" w:cs="宋体"/>
          <w:b/>
          <w:bCs/>
          <w:sz w:val="24"/>
          <w:szCs w:val="24"/>
          <w:lang w:eastAsia="zh-CN"/>
        </w:rPr>
        <w:t>Gaspar N</w:t>
      </w:r>
      <w:r w:rsidRPr="004F617E">
        <w:rPr>
          <w:rFonts w:ascii="Book Antiqua" w:eastAsia="宋体" w:hAnsi="Book Antiqua" w:cs="宋体"/>
          <w:sz w:val="24"/>
          <w:szCs w:val="24"/>
          <w:lang w:eastAsia="zh-CN"/>
        </w:rPr>
        <w:t xml:space="preserve">, Rey A, Bérard PM, Michon J, Gentet JC, Tabone MD, Roché H, Defachelles AS, Lejars O, Plouvier E, Schmitt C, Bui B, Boutard P, Taque S, Munzer M, Vannier JP, Plantaz D, Entz-Werle N, Oberlin O. Risk adapted chemotherapy for localised Ewing's sarcoma of bone: the French EW93 study. </w:t>
      </w:r>
      <w:r w:rsidRPr="004F617E">
        <w:rPr>
          <w:rFonts w:ascii="Book Antiqua" w:eastAsia="宋体" w:hAnsi="Book Antiqua" w:cs="宋体"/>
          <w:i/>
          <w:iCs/>
          <w:sz w:val="24"/>
          <w:szCs w:val="24"/>
          <w:lang w:eastAsia="zh-CN"/>
        </w:rPr>
        <w:t>Eur J Cancer</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48</w:t>
      </w:r>
      <w:r w:rsidRPr="004F617E">
        <w:rPr>
          <w:rFonts w:ascii="Book Antiqua" w:eastAsia="宋体" w:hAnsi="Book Antiqua" w:cs="宋体"/>
          <w:sz w:val="24"/>
          <w:szCs w:val="24"/>
          <w:lang w:eastAsia="zh-CN"/>
        </w:rPr>
        <w:t>: 1376-1385 [PMID: 22516209 DOI: 10.1016/j.ejca.2012.03.017]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36 </w:t>
      </w:r>
      <w:r w:rsidRPr="004F617E">
        <w:rPr>
          <w:rFonts w:ascii="Book Antiqua" w:eastAsia="宋体" w:hAnsi="Book Antiqua" w:cs="宋体"/>
          <w:b/>
          <w:bCs/>
          <w:sz w:val="24"/>
          <w:szCs w:val="24"/>
          <w:lang w:eastAsia="zh-CN"/>
        </w:rPr>
        <w:t>DuBois SG</w:t>
      </w:r>
      <w:r w:rsidRPr="004F617E">
        <w:rPr>
          <w:rFonts w:ascii="Book Antiqua" w:eastAsia="宋体" w:hAnsi="Book Antiqua" w:cs="宋体"/>
          <w:sz w:val="24"/>
          <w:szCs w:val="24"/>
          <w:lang w:eastAsia="zh-CN"/>
        </w:rPr>
        <w:t xml:space="preserve">, Krailo MD, Gebhardt MC, Donaldson SS, Marcus KJ, Dormans J, Shamberger RC, Sailer S, Nicholas RW, Healey JH, Tarbell NJ, Randall RL, Devidas M, Meyer JS, Granowetter L, Womer RB, Bernstein M, Marina N, Grier HE. Comparative evaluation of local control strategies in localized Ewing sarcoma of bone: a report from the Children's Oncology Group. </w:t>
      </w:r>
      <w:r w:rsidRPr="004F617E">
        <w:rPr>
          <w:rFonts w:ascii="Book Antiqua" w:eastAsia="宋体" w:hAnsi="Book Antiqua" w:cs="宋体"/>
          <w:i/>
          <w:iCs/>
          <w:sz w:val="24"/>
          <w:szCs w:val="24"/>
          <w:lang w:eastAsia="zh-CN"/>
        </w:rPr>
        <w:t>Cancer</w:t>
      </w:r>
      <w:r w:rsidRPr="004F617E">
        <w:rPr>
          <w:rFonts w:ascii="Book Antiqua" w:eastAsia="宋体" w:hAnsi="Book Antiqua" w:cs="宋体"/>
          <w:sz w:val="24"/>
          <w:szCs w:val="24"/>
          <w:lang w:eastAsia="zh-CN"/>
        </w:rPr>
        <w:t xml:space="preserve"> 2015; </w:t>
      </w:r>
      <w:r w:rsidRPr="004F617E">
        <w:rPr>
          <w:rFonts w:ascii="Book Antiqua" w:eastAsia="宋体" w:hAnsi="Book Antiqua" w:cs="宋体"/>
          <w:b/>
          <w:bCs/>
          <w:sz w:val="24"/>
          <w:szCs w:val="24"/>
          <w:lang w:eastAsia="zh-CN"/>
        </w:rPr>
        <w:t>121</w:t>
      </w:r>
      <w:r w:rsidRPr="004F617E">
        <w:rPr>
          <w:rFonts w:ascii="Book Antiqua" w:eastAsia="宋体" w:hAnsi="Book Antiqua" w:cs="宋体"/>
          <w:sz w:val="24"/>
          <w:szCs w:val="24"/>
          <w:lang w:eastAsia="zh-CN"/>
        </w:rPr>
        <w:t>: 467-475 [PMID: 25251206 DOI: 10.1002/cncr.29065]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37 </w:t>
      </w:r>
      <w:r w:rsidRPr="004F617E">
        <w:rPr>
          <w:rFonts w:ascii="Book Antiqua" w:eastAsia="宋体" w:hAnsi="Book Antiqua" w:cs="宋体"/>
          <w:b/>
          <w:bCs/>
          <w:sz w:val="24"/>
          <w:szCs w:val="24"/>
          <w:lang w:eastAsia="zh-CN"/>
        </w:rPr>
        <w:t>Hardes J</w:t>
      </w:r>
      <w:r w:rsidRPr="004F617E">
        <w:rPr>
          <w:rFonts w:ascii="Book Antiqua" w:eastAsia="宋体" w:hAnsi="Book Antiqua" w:cs="宋体"/>
          <w:sz w:val="24"/>
          <w:szCs w:val="24"/>
          <w:lang w:eastAsia="zh-CN"/>
        </w:rPr>
        <w:t xml:space="preserve">, von Eiff C, Streitbuerger A, Balke M, Budny T, Henrichs MP, Hauschild G, Ahrens H. Reduction of periprosthetic infection with silver-coated megaprostheses in patients with bone sarcoma. </w:t>
      </w:r>
      <w:r w:rsidRPr="004F617E">
        <w:rPr>
          <w:rFonts w:ascii="Book Antiqua" w:eastAsia="宋体" w:hAnsi="Book Antiqua" w:cs="宋体"/>
          <w:i/>
          <w:iCs/>
          <w:sz w:val="24"/>
          <w:szCs w:val="24"/>
          <w:lang w:eastAsia="zh-CN"/>
        </w:rPr>
        <w:t>J Surg Oncol</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101</w:t>
      </w:r>
      <w:r w:rsidRPr="004F617E">
        <w:rPr>
          <w:rFonts w:ascii="Book Antiqua" w:eastAsia="宋体" w:hAnsi="Book Antiqua" w:cs="宋体"/>
          <w:sz w:val="24"/>
          <w:szCs w:val="24"/>
          <w:lang w:eastAsia="zh-CN"/>
        </w:rPr>
        <w:t>: 389-395 [PMID: 20119985 DOI: 10.1002/jso.21498]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38 </w:t>
      </w:r>
      <w:r w:rsidRPr="004F617E">
        <w:rPr>
          <w:rFonts w:ascii="Book Antiqua" w:eastAsia="宋体" w:hAnsi="Book Antiqua" w:cs="宋体"/>
          <w:b/>
          <w:bCs/>
          <w:sz w:val="24"/>
          <w:szCs w:val="24"/>
          <w:lang w:eastAsia="zh-CN"/>
        </w:rPr>
        <w:t>Craft AW</w:t>
      </w:r>
      <w:r w:rsidRPr="004F617E">
        <w:rPr>
          <w:rFonts w:ascii="Book Antiqua" w:eastAsia="宋体" w:hAnsi="Book Antiqua" w:cs="宋体"/>
          <w:sz w:val="24"/>
          <w:szCs w:val="24"/>
          <w:lang w:eastAsia="zh-CN"/>
        </w:rPr>
        <w:t xml:space="preserve">, Cotterill SJ, Bullimore JA, Pearson D. Long-term results from the first UKCCSG Ewing's Tumour Study (ET-1). United Kingdom Children's Cancer Study Group (UKCCSG) and the Medical Research Council Bone Sarcoma Working Party. </w:t>
      </w:r>
      <w:r w:rsidRPr="004F617E">
        <w:rPr>
          <w:rFonts w:ascii="Book Antiqua" w:eastAsia="宋体" w:hAnsi="Book Antiqua" w:cs="宋体"/>
          <w:i/>
          <w:iCs/>
          <w:sz w:val="24"/>
          <w:szCs w:val="24"/>
          <w:lang w:eastAsia="zh-CN"/>
        </w:rPr>
        <w:t>Eur J Cancer</w:t>
      </w:r>
      <w:r w:rsidRPr="004F617E">
        <w:rPr>
          <w:rFonts w:ascii="Book Antiqua" w:eastAsia="宋体" w:hAnsi="Book Antiqua" w:cs="宋体"/>
          <w:sz w:val="24"/>
          <w:szCs w:val="24"/>
          <w:lang w:eastAsia="zh-CN"/>
        </w:rPr>
        <w:t xml:space="preserve"> 1997; </w:t>
      </w:r>
      <w:r w:rsidRPr="004F617E">
        <w:rPr>
          <w:rFonts w:ascii="Book Antiqua" w:eastAsia="宋体" w:hAnsi="Book Antiqua" w:cs="宋体"/>
          <w:b/>
          <w:bCs/>
          <w:sz w:val="24"/>
          <w:szCs w:val="24"/>
          <w:lang w:eastAsia="zh-CN"/>
        </w:rPr>
        <w:t>33</w:t>
      </w:r>
      <w:r w:rsidRPr="004F617E">
        <w:rPr>
          <w:rFonts w:ascii="Book Antiqua" w:eastAsia="宋体" w:hAnsi="Book Antiqua" w:cs="宋体"/>
          <w:sz w:val="24"/>
          <w:szCs w:val="24"/>
          <w:lang w:eastAsia="zh-CN"/>
        </w:rPr>
        <w:t>: 1061-1069 [PMID: 9376188]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39 </w:t>
      </w:r>
      <w:r w:rsidRPr="004F617E">
        <w:rPr>
          <w:rFonts w:ascii="Book Antiqua" w:eastAsia="宋体" w:hAnsi="Book Antiqua" w:cs="宋体"/>
          <w:b/>
          <w:bCs/>
          <w:sz w:val="24"/>
          <w:szCs w:val="24"/>
          <w:lang w:eastAsia="zh-CN"/>
        </w:rPr>
        <w:t>Donaldson SS</w:t>
      </w:r>
      <w:r w:rsidRPr="004F617E">
        <w:rPr>
          <w:rFonts w:ascii="Book Antiqua" w:eastAsia="宋体" w:hAnsi="Book Antiqua" w:cs="宋体"/>
          <w:sz w:val="24"/>
          <w:szCs w:val="24"/>
          <w:lang w:eastAsia="zh-CN"/>
        </w:rPr>
        <w:t xml:space="preserve">, Torrey M, Link MP, Glicksman A, Gilula L, Laurie F, Manning J, Neff J, Reinus W, Thompson E, Shuster JJ. A multidisciplinary study investigating radiotherapy in Ewing's sarcoma: end results of POG #8346. Pediatric Oncology Group. </w:t>
      </w:r>
      <w:r w:rsidRPr="004F617E">
        <w:rPr>
          <w:rFonts w:ascii="Book Antiqua" w:eastAsia="宋体" w:hAnsi="Book Antiqua" w:cs="宋体"/>
          <w:i/>
          <w:iCs/>
          <w:sz w:val="24"/>
          <w:szCs w:val="24"/>
          <w:lang w:eastAsia="zh-CN"/>
        </w:rPr>
        <w:t>Int J Radiat Oncol Biol Phys</w:t>
      </w:r>
      <w:r w:rsidRPr="004F617E">
        <w:rPr>
          <w:rFonts w:ascii="Book Antiqua" w:eastAsia="宋体" w:hAnsi="Book Antiqua" w:cs="宋体"/>
          <w:sz w:val="24"/>
          <w:szCs w:val="24"/>
          <w:lang w:eastAsia="zh-CN"/>
        </w:rPr>
        <w:t xml:space="preserve"> 1998; </w:t>
      </w:r>
      <w:r w:rsidRPr="004F617E">
        <w:rPr>
          <w:rFonts w:ascii="Book Antiqua" w:eastAsia="宋体" w:hAnsi="Book Antiqua" w:cs="宋体"/>
          <w:b/>
          <w:bCs/>
          <w:sz w:val="24"/>
          <w:szCs w:val="24"/>
          <w:lang w:eastAsia="zh-CN"/>
        </w:rPr>
        <w:t>42</w:t>
      </w:r>
      <w:r w:rsidRPr="004F617E">
        <w:rPr>
          <w:rFonts w:ascii="Book Antiqua" w:eastAsia="宋体" w:hAnsi="Book Antiqua" w:cs="宋体"/>
          <w:sz w:val="24"/>
          <w:szCs w:val="24"/>
          <w:lang w:eastAsia="zh-CN"/>
        </w:rPr>
        <w:t>: 125-135 [PMID: 9747829</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hAnsi="Book Antiqua"/>
          <w:sz w:val="24"/>
          <w:szCs w:val="24"/>
        </w:rPr>
        <w:t xml:space="preserve"> </w:t>
      </w:r>
      <w:r w:rsidR="00400143">
        <w:fldChar w:fldCharType="begin"/>
      </w:r>
      <w:r w:rsidR="00400143">
        <w:instrText xml:space="preserve"> HYPERLINK "http://dx.doi.org/10.1016/S0360-3016(98)00191-6" \t "_blank" </w:instrText>
      </w:r>
      <w:r w:rsidR="00400143">
        <w:fldChar w:fldCharType="separate"/>
      </w:r>
      <w:r w:rsidR="005C430B" w:rsidRPr="005C430B">
        <w:rPr>
          <w:rStyle w:val="Hyperlink"/>
          <w:rFonts w:ascii="Book Antiqua" w:hAnsi="Book Antiqua"/>
          <w:color w:val="auto"/>
          <w:sz w:val="24"/>
          <w:szCs w:val="24"/>
          <w:u w:val="none"/>
        </w:rPr>
        <w:t>10.1016/S0360-3016(98)00191-6</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40 </w:t>
      </w:r>
      <w:r w:rsidRPr="004F617E">
        <w:rPr>
          <w:rFonts w:ascii="Book Antiqua" w:eastAsia="宋体" w:hAnsi="Book Antiqua" w:cs="宋体"/>
          <w:b/>
          <w:bCs/>
          <w:sz w:val="24"/>
          <w:szCs w:val="24"/>
          <w:lang w:eastAsia="zh-CN"/>
        </w:rPr>
        <w:t>Schuck A</w:t>
      </w:r>
      <w:r w:rsidRPr="004F617E">
        <w:rPr>
          <w:rFonts w:ascii="Book Antiqua" w:eastAsia="宋体" w:hAnsi="Book Antiqua" w:cs="宋体"/>
          <w:sz w:val="24"/>
          <w:szCs w:val="24"/>
          <w:lang w:eastAsia="zh-CN"/>
        </w:rPr>
        <w:t xml:space="preserve">, Rübe C, Könemann S, Rübe CE, Ahrens S, Paulussen M, Dunst J, Jürgens H, Willich N. Postoperative radiotherapy in the treatment of Ewing tumors: influence of </w:t>
      </w:r>
      <w:r w:rsidRPr="004F617E">
        <w:rPr>
          <w:rFonts w:ascii="Book Antiqua" w:eastAsia="宋体" w:hAnsi="Book Antiqua" w:cs="宋体"/>
          <w:sz w:val="24"/>
          <w:szCs w:val="24"/>
          <w:lang w:eastAsia="zh-CN"/>
        </w:rPr>
        <w:lastRenderedPageBreak/>
        <w:t xml:space="preserve">the interval between surgery and radiotherapy. </w:t>
      </w:r>
      <w:r w:rsidRPr="004F617E">
        <w:rPr>
          <w:rFonts w:ascii="Book Antiqua" w:eastAsia="宋体" w:hAnsi="Book Antiqua" w:cs="宋体"/>
          <w:i/>
          <w:iCs/>
          <w:sz w:val="24"/>
          <w:szCs w:val="24"/>
          <w:lang w:eastAsia="zh-CN"/>
        </w:rPr>
        <w:t>Strahlenther Onkol</w:t>
      </w:r>
      <w:r w:rsidRPr="004F617E">
        <w:rPr>
          <w:rFonts w:ascii="Book Antiqua" w:eastAsia="宋体" w:hAnsi="Book Antiqua" w:cs="宋体"/>
          <w:sz w:val="24"/>
          <w:szCs w:val="24"/>
          <w:lang w:eastAsia="zh-CN"/>
        </w:rPr>
        <w:t xml:space="preserve"> 2002; </w:t>
      </w:r>
      <w:r w:rsidRPr="004F617E">
        <w:rPr>
          <w:rFonts w:ascii="Book Antiqua" w:eastAsia="宋体" w:hAnsi="Book Antiqua" w:cs="宋体"/>
          <w:b/>
          <w:bCs/>
          <w:sz w:val="24"/>
          <w:szCs w:val="24"/>
          <w:lang w:eastAsia="zh-CN"/>
        </w:rPr>
        <w:t>178</w:t>
      </w:r>
      <w:r w:rsidRPr="004F617E">
        <w:rPr>
          <w:rFonts w:ascii="Book Antiqua" w:eastAsia="宋体" w:hAnsi="Book Antiqua" w:cs="宋体"/>
          <w:sz w:val="24"/>
          <w:szCs w:val="24"/>
          <w:lang w:eastAsia="zh-CN"/>
        </w:rPr>
        <w:t>: 25-31 [PMID: 11977388</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"http://dx.doi.org/10.1007/s00066-002-0883-1" \t "_blank" </w:instrText>
      </w:r>
      <w:r w:rsidR="00400143">
        <w:fldChar w:fldCharType="separate"/>
      </w:r>
      <w:r w:rsidR="005C430B" w:rsidRPr="005C430B">
        <w:rPr>
          <w:rStyle w:val="Hyperlink"/>
          <w:rFonts w:ascii="Book Antiqua" w:hAnsi="Book Antiqua"/>
          <w:color w:val="auto"/>
          <w:sz w:val="24"/>
          <w:szCs w:val="24"/>
          <w:u w:val="none"/>
        </w:rPr>
        <w:t>10.1007/s00066-002-0883-1</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41 </w:t>
      </w:r>
      <w:r w:rsidRPr="004F617E">
        <w:rPr>
          <w:rFonts w:ascii="Book Antiqua" w:eastAsia="宋体" w:hAnsi="Book Antiqua" w:cs="宋体"/>
          <w:b/>
          <w:bCs/>
          <w:sz w:val="24"/>
          <w:szCs w:val="24"/>
          <w:lang w:eastAsia="zh-CN"/>
        </w:rPr>
        <w:t>Schuck A</w:t>
      </w:r>
      <w:r w:rsidRPr="004F617E">
        <w:rPr>
          <w:rFonts w:ascii="Book Antiqua" w:eastAsia="宋体" w:hAnsi="Book Antiqua" w:cs="宋体"/>
          <w:sz w:val="24"/>
          <w:szCs w:val="24"/>
          <w:lang w:eastAsia="zh-CN"/>
        </w:rPr>
        <w:t xml:space="preserve">, Ahrens S, Paulussen M, Kuhlen M, Könemann S, Rübe C, Winkelmann W, Kotz R, Dunst J, Willich N, Jürgens H. Local therapy in localized Ewing tumors: results of 1058 patients treated in the CESS 81, CESS 86, and EICESS 92 trials. </w:t>
      </w:r>
      <w:r w:rsidRPr="004F617E">
        <w:rPr>
          <w:rFonts w:ascii="Book Antiqua" w:eastAsia="宋体" w:hAnsi="Book Antiqua" w:cs="宋体"/>
          <w:i/>
          <w:iCs/>
          <w:sz w:val="24"/>
          <w:szCs w:val="24"/>
          <w:lang w:eastAsia="zh-CN"/>
        </w:rPr>
        <w:t>Int J Radiat Oncol Biol Phys</w:t>
      </w:r>
      <w:r w:rsidRPr="004F617E">
        <w:rPr>
          <w:rFonts w:ascii="Book Antiqua" w:eastAsia="宋体" w:hAnsi="Book Antiqua" w:cs="宋体"/>
          <w:sz w:val="24"/>
          <w:szCs w:val="24"/>
          <w:lang w:eastAsia="zh-CN"/>
        </w:rPr>
        <w:t xml:space="preserve"> 2003; </w:t>
      </w:r>
      <w:r w:rsidRPr="004F617E">
        <w:rPr>
          <w:rFonts w:ascii="Book Antiqua" w:eastAsia="宋体" w:hAnsi="Book Antiqua" w:cs="宋体"/>
          <w:b/>
          <w:bCs/>
          <w:sz w:val="24"/>
          <w:szCs w:val="24"/>
          <w:lang w:eastAsia="zh-CN"/>
        </w:rPr>
        <w:t>55</w:t>
      </w:r>
      <w:r w:rsidRPr="004F617E">
        <w:rPr>
          <w:rFonts w:ascii="Book Antiqua" w:eastAsia="宋体" w:hAnsi="Book Antiqua" w:cs="宋体"/>
          <w:sz w:val="24"/>
          <w:szCs w:val="24"/>
          <w:lang w:eastAsia="zh-CN"/>
        </w:rPr>
        <w:t>: 168-177 [PMID: 12504050</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"http://dx.doi.org/10.1016/S0360-3016(02)03797-5" \t "_blank" </w:instrText>
      </w:r>
      <w:r w:rsidR="00400143">
        <w:fldChar w:fldCharType="separate"/>
      </w:r>
      <w:r w:rsidR="005C430B" w:rsidRPr="005C430B">
        <w:rPr>
          <w:rStyle w:val="Hyperlink"/>
          <w:rFonts w:ascii="Book Antiqua" w:hAnsi="Book Antiqua"/>
          <w:color w:val="auto"/>
          <w:sz w:val="24"/>
          <w:szCs w:val="24"/>
          <w:u w:val="none"/>
        </w:rPr>
        <w:t>10.1016/S0360-3016(02)03797-5</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42 </w:t>
      </w:r>
      <w:r w:rsidRPr="004F617E">
        <w:rPr>
          <w:rFonts w:ascii="Book Antiqua" w:eastAsia="宋体" w:hAnsi="Book Antiqua" w:cs="宋体"/>
          <w:b/>
          <w:bCs/>
          <w:sz w:val="24"/>
          <w:szCs w:val="24"/>
          <w:lang w:eastAsia="zh-CN"/>
        </w:rPr>
        <w:t>Bacci G</w:t>
      </w:r>
      <w:r w:rsidRPr="004F617E">
        <w:rPr>
          <w:rFonts w:ascii="Book Antiqua" w:eastAsia="宋体" w:hAnsi="Book Antiqua" w:cs="宋体"/>
          <w:sz w:val="24"/>
          <w:szCs w:val="24"/>
          <w:lang w:eastAsia="zh-CN"/>
        </w:rPr>
        <w:t xml:space="preserve">, Forni C, Longhi A, Ferrari S, Donati D, De Paolis M, Barbieri E, Pignotti E, Rosito P, Versari M. Long-term outcome for patients with non-metastatic Ewing's sarcoma treated with adjuvant and neoadjuvant chemotherapies. 402 patients treated at Rizzoli between 1972 and 1992. </w:t>
      </w:r>
      <w:r w:rsidRPr="004F617E">
        <w:rPr>
          <w:rFonts w:ascii="Book Antiqua" w:eastAsia="宋体" w:hAnsi="Book Antiqua" w:cs="宋体"/>
          <w:i/>
          <w:iCs/>
          <w:sz w:val="24"/>
          <w:szCs w:val="24"/>
          <w:lang w:eastAsia="zh-CN"/>
        </w:rPr>
        <w:t>Eur J Cancer</w:t>
      </w:r>
      <w:r w:rsidRPr="004F617E">
        <w:rPr>
          <w:rFonts w:ascii="Book Antiqua" w:eastAsia="宋体" w:hAnsi="Book Antiqua" w:cs="宋体"/>
          <w:sz w:val="24"/>
          <w:szCs w:val="24"/>
          <w:lang w:eastAsia="zh-CN"/>
        </w:rPr>
        <w:t xml:space="preserve"> 2004; </w:t>
      </w:r>
      <w:r w:rsidRPr="004F617E">
        <w:rPr>
          <w:rFonts w:ascii="Book Antiqua" w:eastAsia="宋体" w:hAnsi="Book Antiqua" w:cs="宋体"/>
          <w:b/>
          <w:bCs/>
          <w:sz w:val="24"/>
          <w:szCs w:val="24"/>
          <w:lang w:eastAsia="zh-CN"/>
        </w:rPr>
        <w:t>40</w:t>
      </w:r>
      <w:r w:rsidRPr="004F617E">
        <w:rPr>
          <w:rFonts w:ascii="Book Antiqua" w:eastAsia="宋体" w:hAnsi="Book Antiqua" w:cs="宋体"/>
          <w:sz w:val="24"/>
          <w:szCs w:val="24"/>
          <w:lang w:eastAsia="zh-CN"/>
        </w:rPr>
        <w:t>: 73-83 [PMID: 14687792]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43 </w:t>
      </w:r>
      <w:r w:rsidRPr="004F617E">
        <w:rPr>
          <w:rFonts w:ascii="Book Antiqua" w:eastAsia="宋体" w:hAnsi="Book Antiqua" w:cs="宋体"/>
          <w:b/>
          <w:bCs/>
          <w:sz w:val="24"/>
          <w:szCs w:val="24"/>
          <w:lang w:eastAsia="zh-CN"/>
        </w:rPr>
        <w:t>Shankar AG</w:t>
      </w:r>
      <w:r w:rsidRPr="004F617E">
        <w:rPr>
          <w:rFonts w:ascii="Book Antiqua" w:eastAsia="宋体" w:hAnsi="Book Antiqua" w:cs="宋体"/>
          <w:sz w:val="24"/>
          <w:szCs w:val="24"/>
          <w:lang w:eastAsia="zh-CN"/>
        </w:rPr>
        <w:t xml:space="preserve">, Pinkerton CR, Atra A, Ashley S, Lewis I, Spooner D, Cannon S, Grimer R, Cotterill SJ, Craft AW. Local therapy and other factors influencing site of relapse in patients with localised Ewing's sarcoma. United Kingdom Children's Cancer Study Group (UKCCSG). </w:t>
      </w:r>
      <w:r w:rsidRPr="004F617E">
        <w:rPr>
          <w:rFonts w:ascii="Book Antiqua" w:eastAsia="宋体" w:hAnsi="Book Antiqua" w:cs="宋体"/>
          <w:i/>
          <w:iCs/>
          <w:sz w:val="24"/>
          <w:szCs w:val="24"/>
          <w:lang w:eastAsia="zh-CN"/>
        </w:rPr>
        <w:t>Eur J Cancer</w:t>
      </w:r>
      <w:r w:rsidRPr="004F617E">
        <w:rPr>
          <w:rFonts w:ascii="Book Antiqua" w:eastAsia="宋体" w:hAnsi="Book Antiqua" w:cs="宋体"/>
          <w:sz w:val="24"/>
          <w:szCs w:val="24"/>
          <w:lang w:eastAsia="zh-CN"/>
        </w:rPr>
        <w:t xml:space="preserve"> 1999; </w:t>
      </w:r>
      <w:r w:rsidRPr="004F617E">
        <w:rPr>
          <w:rFonts w:ascii="Book Antiqua" w:eastAsia="宋体" w:hAnsi="Book Antiqua" w:cs="宋体"/>
          <w:b/>
          <w:bCs/>
          <w:sz w:val="24"/>
          <w:szCs w:val="24"/>
          <w:lang w:eastAsia="zh-CN"/>
        </w:rPr>
        <w:t>35</w:t>
      </w:r>
      <w:r w:rsidRPr="004F617E">
        <w:rPr>
          <w:rFonts w:ascii="Book Antiqua" w:eastAsia="宋体" w:hAnsi="Book Antiqua" w:cs="宋体"/>
          <w:sz w:val="24"/>
          <w:szCs w:val="24"/>
          <w:lang w:eastAsia="zh-CN"/>
        </w:rPr>
        <w:t>: 1698-1704 [PMID: 10674016]</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44 </w:t>
      </w:r>
      <w:r w:rsidRPr="004F617E">
        <w:rPr>
          <w:rFonts w:ascii="Book Antiqua" w:eastAsia="宋体" w:hAnsi="Book Antiqua" w:cs="宋体"/>
          <w:b/>
          <w:bCs/>
          <w:sz w:val="24"/>
          <w:szCs w:val="24"/>
          <w:lang w:eastAsia="zh-CN"/>
        </w:rPr>
        <w:t>Obata H</w:t>
      </w:r>
      <w:r w:rsidRPr="004F617E">
        <w:rPr>
          <w:rFonts w:ascii="Book Antiqua" w:eastAsia="宋体" w:hAnsi="Book Antiqua" w:cs="宋体"/>
          <w:sz w:val="24"/>
          <w:szCs w:val="24"/>
          <w:lang w:eastAsia="zh-CN"/>
        </w:rPr>
        <w:t xml:space="preserve">, Ueda T, Kawai A, Ishii T, Ozaki T, Abe S, Tanaka K, Tsuchiya H, Matsumine A, Yabe H. Clinical outcome of patients with Ewing sarcoma family of tumors of bone in Japan: the Japanese Musculoskeletal Oncology Group cooperative study. </w:t>
      </w:r>
      <w:r w:rsidRPr="004F617E">
        <w:rPr>
          <w:rFonts w:ascii="Book Antiqua" w:eastAsia="宋体" w:hAnsi="Book Antiqua" w:cs="宋体"/>
          <w:i/>
          <w:iCs/>
          <w:sz w:val="24"/>
          <w:szCs w:val="24"/>
          <w:lang w:eastAsia="zh-CN"/>
        </w:rPr>
        <w:t>Cancer</w:t>
      </w:r>
      <w:r w:rsidRPr="004F617E">
        <w:rPr>
          <w:rFonts w:ascii="Book Antiqua" w:eastAsia="宋体" w:hAnsi="Book Antiqua" w:cs="宋体"/>
          <w:sz w:val="24"/>
          <w:szCs w:val="24"/>
          <w:lang w:eastAsia="zh-CN"/>
        </w:rPr>
        <w:t xml:space="preserve"> 2007; </w:t>
      </w:r>
      <w:r w:rsidRPr="004F617E">
        <w:rPr>
          <w:rFonts w:ascii="Book Antiqua" w:eastAsia="宋体" w:hAnsi="Book Antiqua" w:cs="宋体"/>
          <w:b/>
          <w:bCs/>
          <w:sz w:val="24"/>
          <w:szCs w:val="24"/>
          <w:lang w:eastAsia="zh-CN"/>
        </w:rPr>
        <w:t>109</w:t>
      </w:r>
      <w:r w:rsidRPr="004F617E">
        <w:rPr>
          <w:rFonts w:ascii="Book Antiqua" w:eastAsia="宋体" w:hAnsi="Book Antiqua" w:cs="宋体"/>
          <w:sz w:val="24"/>
          <w:szCs w:val="24"/>
          <w:lang w:eastAsia="zh-CN"/>
        </w:rPr>
        <w:t>: 767-775 [PMID: 17238190 DOI: 10.1002/cncr.22481]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45 </w:t>
      </w:r>
      <w:r w:rsidRPr="004F617E">
        <w:rPr>
          <w:rFonts w:ascii="Book Antiqua" w:eastAsia="宋体" w:hAnsi="Book Antiqua" w:cs="宋体"/>
          <w:b/>
          <w:bCs/>
          <w:sz w:val="24"/>
          <w:szCs w:val="24"/>
          <w:lang w:eastAsia="zh-CN"/>
        </w:rPr>
        <w:t>Rodríguez-Galindo C</w:t>
      </w:r>
      <w:r w:rsidRPr="004F617E">
        <w:rPr>
          <w:rFonts w:ascii="Book Antiqua" w:eastAsia="宋体" w:hAnsi="Book Antiqua" w:cs="宋体"/>
          <w:sz w:val="24"/>
          <w:szCs w:val="24"/>
          <w:lang w:eastAsia="zh-CN"/>
        </w:rPr>
        <w:t xml:space="preserve">, Navid F, Liu T, Billups CA, Rao BN, Krasin MJ. Prognostic factors for local and distant control in Ewing sarcoma family of tumors. </w:t>
      </w:r>
      <w:r w:rsidRPr="004F617E">
        <w:rPr>
          <w:rFonts w:ascii="Book Antiqua" w:eastAsia="宋体" w:hAnsi="Book Antiqua" w:cs="宋体"/>
          <w:i/>
          <w:iCs/>
          <w:sz w:val="24"/>
          <w:szCs w:val="24"/>
          <w:lang w:eastAsia="zh-CN"/>
        </w:rPr>
        <w:t>Ann Oncol</w:t>
      </w:r>
      <w:r w:rsidRPr="004F617E">
        <w:rPr>
          <w:rFonts w:ascii="Book Antiqua" w:eastAsia="宋体" w:hAnsi="Book Antiqua" w:cs="宋体"/>
          <w:sz w:val="24"/>
          <w:szCs w:val="24"/>
          <w:lang w:eastAsia="zh-CN"/>
        </w:rPr>
        <w:t xml:space="preserve"> 2008; </w:t>
      </w:r>
      <w:r w:rsidRPr="004F617E">
        <w:rPr>
          <w:rFonts w:ascii="Book Antiqua" w:eastAsia="宋体" w:hAnsi="Book Antiqua" w:cs="宋体"/>
          <w:b/>
          <w:bCs/>
          <w:sz w:val="24"/>
          <w:szCs w:val="24"/>
          <w:lang w:eastAsia="zh-CN"/>
        </w:rPr>
        <w:t>19</w:t>
      </w:r>
      <w:r w:rsidRPr="004F617E">
        <w:rPr>
          <w:rFonts w:ascii="Book Antiqua" w:eastAsia="宋体" w:hAnsi="Book Antiqua" w:cs="宋体"/>
          <w:sz w:val="24"/>
          <w:szCs w:val="24"/>
          <w:lang w:eastAsia="zh-CN"/>
        </w:rPr>
        <w:t>: 814-820 [PMID: 17998282 DOI: 10.1093/annonc/mdm521]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46 </w:t>
      </w:r>
      <w:r w:rsidRPr="004F617E">
        <w:rPr>
          <w:rFonts w:ascii="Book Antiqua" w:eastAsia="宋体" w:hAnsi="Book Antiqua" w:cs="宋体"/>
          <w:b/>
          <w:bCs/>
          <w:sz w:val="24"/>
          <w:szCs w:val="24"/>
          <w:lang w:eastAsia="zh-CN"/>
        </w:rPr>
        <w:t>Lee J</w:t>
      </w:r>
      <w:r w:rsidRPr="004F617E">
        <w:rPr>
          <w:rFonts w:ascii="Book Antiqua" w:eastAsia="宋体" w:hAnsi="Book Antiqua" w:cs="宋体"/>
          <w:sz w:val="24"/>
          <w:szCs w:val="24"/>
          <w:lang w:eastAsia="zh-CN"/>
        </w:rPr>
        <w:t xml:space="preserve">, Hoang BH, Ziogas A, Zell JA. Analysis of prognostic factors in Ewing sarcoma using a population-based cancer registry. </w:t>
      </w:r>
      <w:r w:rsidRPr="004F617E">
        <w:rPr>
          <w:rFonts w:ascii="Book Antiqua" w:eastAsia="宋体" w:hAnsi="Book Antiqua" w:cs="宋体"/>
          <w:i/>
          <w:iCs/>
          <w:sz w:val="24"/>
          <w:szCs w:val="24"/>
          <w:lang w:eastAsia="zh-CN"/>
        </w:rPr>
        <w:t>Cancer</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116</w:t>
      </w:r>
      <w:r w:rsidRPr="004F617E">
        <w:rPr>
          <w:rFonts w:ascii="Book Antiqua" w:eastAsia="宋体" w:hAnsi="Book Antiqua" w:cs="宋体"/>
          <w:sz w:val="24"/>
          <w:szCs w:val="24"/>
          <w:lang w:eastAsia="zh-CN"/>
        </w:rPr>
        <w:t>: 1964-1973 [PMID: 20151425 DOI: 10.1002/cncr.24937]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47 </w:t>
      </w:r>
      <w:r w:rsidRPr="004F617E">
        <w:rPr>
          <w:rFonts w:ascii="Book Antiqua" w:eastAsia="宋体" w:hAnsi="Book Antiqua" w:cs="宋体"/>
          <w:b/>
          <w:bCs/>
          <w:sz w:val="24"/>
          <w:szCs w:val="24"/>
          <w:lang w:eastAsia="zh-CN"/>
        </w:rPr>
        <w:t>Biswas B</w:t>
      </w:r>
      <w:r w:rsidRPr="004F617E">
        <w:rPr>
          <w:rFonts w:ascii="Book Antiqua" w:eastAsia="宋体" w:hAnsi="Book Antiqua" w:cs="宋体"/>
          <w:sz w:val="24"/>
          <w:szCs w:val="24"/>
          <w:lang w:eastAsia="zh-CN"/>
        </w:rPr>
        <w:t xml:space="preserve">, Agarwala S, Rastogi S, Khan SA, Mohanti BK, Sharma DN, Pathy S, Bakhshi S. High burden of metastases and poor outcome in pelvic PNET.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2013; </w:t>
      </w:r>
      <w:r w:rsidRPr="004F617E">
        <w:rPr>
          <w:rFonts w:ascii="Book Antiqua" w:eastAsia="宋体" w:hAnsi="Book Antiqua" w:cs="宋体"/>
          <w:b/>
          <w:bCs/>
          <w:sz w:val="24"/>
          <w:szCs w:val="24"/>
          <w:lang w:eastAsia="zh-CN"/>
        </w:rPr>
        <w:t>60</w:t>
      </w:r>
      <w:r w:rsidRPr="004F617E">
        <w:rPr>
          <w:rFonts w:ascii="Book Antiqua" w:eastAsia="宋体" w:hAnsi="Book Antiqua" w:cs="宋体"/>
          <w:sz w:val="24"/>
          <w:szCs w:val="24"/>
          <w:lang w:eastAsia="zh-CN"/>
        </w:rPr>
        <w:t>: E97-E99 [PMID: 23625700 DOI: 10.1002/pbc.24552]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48 </w:t>
      </w:r>
      <w:r w:rsidRPr="004F617E">
        <w:rPr>
          <w:rFonts w:ascii="Book Antiqua" w:eastAsia="宋体" w:hAnsi="Book Antiqua" w:cs="宋体"/>
          <w:b/>
          <w:bCs/>
          <w:sz w:val="24"/>
          <w:szCs w:val="24"/>
          <w:lang w:eastAsia="zh-CN"/>
        </w:rPr>
        <w:t>Paulussen M</w:t>
      </w:r>
      <w:r w:rsidRPr="004F617E">
        <w:rPr>
          <w:rFonts w:ascii="Book Antiqua" w:eastAsia="宋体" w:hAnsi="Book Antiqua" w:cs="宋体"/>
          <w:sz w:val="24"/>
          <w:szCs w:val="24"/>
          <w:lang w:eastAsia="zh-CN"/>
        </w:rPr>
        <w:t xml:space="preserve">, Ahrens S, Craft AW, Dunst J, Fröhlich B, Jabar S, Rübe C, Winkelmann W, Wissing S, Zoubek A, Jürgens H. Ewing's tumors with primary lung metastases: </w:t>
      </w:r>
      <w:r w:rsidRPr="004F617E">
        <w:rPr>
          <w:rFonts w:ascii="Book Antiqua" w:eastAsia="宋体" w:hAnsi="Book Antiqua" w:cs="宋体"/>
          <w:sz w:val="24"/>
          <w:szCs w:val="24"/>
          <w:lang w:eastAsia="zh-CN"/>
        </w:rPr>
        <w:lastRenderedPageBreak/>
        <w:t xml:space="preserve">survival analysis of 114 (European Intergroup) Cooperative Ewing's Sarcoma Studies patients.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1998; </w:t>
      </w:r>
      <w:r w:rsidRPr="004F617E">
        <w:rPr>
          <w:rFonts w:ascii="Book Antiqua" w:eastAsia="宋体" w:hAnsi="Book Antiqua" w:cs="宋体"/>
          <w:b/>
          <w:bCs/>
          <w:sz w:val="24"/>
          <w:szCs w:val="24"/>
          <w:lang w:eastAsia="zh-CN"/>
        </w:rPr>
        <w:t>16</w:t>
      </w:r>
      <w:r w:rsidRPr="004F617E">
        <w:rPr>
          <w:rFonts w:ascii="Book Antiqua" w:eastAsia="宋体" w:hAnsi="Book Antiqua" w:cs="宋体"/>
          <w:sz w:val="24"/>
          <w:szCs w:val="24"/>
          <w:lang w:eastAsia="zh-CN"/>
        </w:rPr>
        <w:t>: 3044-3052 [PMID: 9738574]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49 </w:t>
      </w:r>
      <w:r w:rsidRPr="004F617E">
        <w:rPr>
          <w:rFonts w:ascii="Book Antiqua" w:eastAsia="宋体" w:hAnsi="Book Antiqua" w:cs="宋体"/>
          <w:b/>
          <w:bCs/>
          <w:sz w:val="24"/>
          <w:szCs w:val="24"/>
          <w:lang w:eastAsia="zh-CN"/>
        </w:rPr>
        <w:t>Juergens C</w:t>
      </w:r>
      <w:r w:rsidRPr="004F617E">
        <w:rPr>
          <w:rFonts w:ascii="Book Antiqua" w:eastAsia="宋体" w:hAnsi="Book Antiqua" w:cs="宋体"/>
          <w:sz w:val="24"/>
          <w:szCs w:val="24"/>
          <w:lang w:eastAsia="zh-CN"/>
        </w:rPr>
        <w:t xml:space="preserve">, Weston C, Lewis I, Whelan J, Paulussen M, Oberlin O, Michon J, Zoubek A, Juergens H, Craft A. Safety assessment of intensive induction with vincristine, ifosfamide, doxorubicin, and etoposide (VIDE) in the treatment of Ewing tumors in the EURO-E.W.I.N.G. 99 clinical trial.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47</w:t>
      </w:r>
      <w:r w:rsidRPr="004F617E">
        <w:rPr>
          <w:rFonts w:ascii="Book Antiqua" w:eastAsia="宋体" w:hAnsi="Book Antiqua" w:cs="宋体"/>
          <w:sz w:val="24"/>
          <w:szCs w:val="24"/>
          <w:lang w:eastAsia="zh-CN"/>
        </w:rPr>
        <w:t>: 22-29 [PMID: 16572419 DOI: 10.1002/pbc.20820]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50 </w:t>
      </w:r>
      <w:r w:rsidRPr="004F617E">
        <w:rPr>
          <w:rFonts w:ascii="Book Antiqua" w:eastAsia="宋体" w:hAnsi="Book Antiqua" w:cs="宋体"/>
          <w:b/>
          <w:bCs/>
          <w:sz w:val="24"/>
          <w:szCs w:val="24"/>
          <w:lang w:eastAsia="zh-CN"/>
        </w:rPr>
        <w:t>Casey DL</w:t>
      </w:r>
      <w:r w:rsidRPr="004F617E">
        <w:rPr>
          <w:rFonts w:ascii="Book Antiqua" w:eastAsia="宋体" w:hAnsi="Book Antiqua" w:cs="宋体"/>
          <w:sz w:val="24"/>
          <w:szCs w:val="24"/>
          <w:lang w:eastAsia="zh-CN"/>
        </w:rPr>
        <w:t xml:space="preserve">, Wexler LH, Meyers PA, Magnan H, Chou AJ, Wolden SL. Radiation for bone metastases in Ewing sarcoma and rhabdomyosarcoma.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2015; </w:t>
      </w:r>
      <w:r w:rsidRPr="004F617E">
        <w:rPr>
          <w:rFonts w:ascii="Book Antiqua" w:eastAsia="宋体" w:hAnsi="Book Antiqua" w:cs="宋体"/>
          <w:b/>
          <w:bCs/>
          <w:sz w:val="24"/>
          <w:szCs w:val="24"/>
          <w:lang w:eastAsia="zh-CN"/>
        </w:rPr>
        <w:t>62</w:t>
      </w:r>
      <w:r w:rsidRPr="004F617E">
        <w:rPr>
          <w:rFonts w:ascii="Book Antiqua" w:eastAsia="宋体" w:hAnsi="Book Antiqua" w:cs="宋体"/>
          <w:sz w:val="24"/>
          <w:szCs w:val="24"/>
          <w:lang w:eastAsia="zh-CN"/>
        </w:rPr>
        <w:t>: 445-449 [PMID: 25346208 DOI: 10.1002/pbc.25294]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51 </w:t>
      </w:r>
      <w:r w:rsidRPr="004F617E">
        <w:rPr>
          <w:rFonts w:ascii="Book Antiqua" w:eastAsia="宋体" w:hAnsi="Book Antiqua" w:cs="宋体"/>
          <w:b/>
          <w:bCs/>
          <w:sz w:val="24"/>
          <w:szCs w:val="24"/>
          <w:lang w:eastAsia="zh-CN"/>
        </w:rPr>
        <w:t>Heij HA</w:t>
      </w:r>
      <w:r w:rsidRPr="004F617E">
        <w:rPr>
          <w:rFonts w:ascii="Book Antiqua" w:eastAsia="宋体" w:hAnsi="Book Antiqua" w:cs="宋体"/>
          <w:sz w:val="24"/>
          <w:szCs w:val="24"/>
          <w:lang w:eastAsia="zh-CN"/>
        </w:rPr>
        <w:t xml:space="preserve">, Vos A, de Kraker J, Voûte PA. Prognostic factors in surgery for pulmonary metastases in children. </w:t>
      </w:r>
      <w:r w:rsidRPr="004F617E">
        <w:rPr>
          <w:rFonts w:ascii="Book Antiqua" w:eastAsia="宋体" w:hAnsi="Book Antiqua" w:cs="宋体"/>
          <w:i/>
          <w:iCs/>
          <w:sz w:val="24"/>
          <w:szCs w:val="24"/>
          <w:lang w:eastAsia="zh-CN"/>
        </w:rPr>
        <w:t>Surgery</w:t>
      </w:r>
      <w:r w:rsidRPr="004F617E">
        <w:rPr>
          <w:rFonts w:ascii="Book Antiqua" w:eastAsia="宋体" w:hAnsi="Book Antiqua" w:cs="宋体"/>
          <w:sz w:val="24"/>
          <w:szCs w:val="24"/>
          <w:lang w:eastAsia="zh-CN"/>
        </w:rPr>
        <w:t xml:space="preserve"> 1994; </w:t>
      </w:r>
      <w:r w:rsidRPr="004F617E">
        <w:rPr>
          <w:rFonts w:ascii="Book Antiqua" w:eastAsia="宋体" w:hAnsi="Book Antiqua" w:cs="宋体"/>
          <w:b/>
          <w:bCs/>
          <w:sz w:val="24"/>
          <w:szCs w:val="24"/>
          <w:lang w:eastAsia="zh-CN"/>
        </w:rPr>
        <w:t>115</w:t>
      </w:r>
      <w:r w:rsidRPr="004F617E">
        <w:rPr>
          <w:rFonts w:ascii="Book Antiqua" w:eastAsia="宋体" w:hAnsi="Book Antiqua" w:cs="宋体"/>
          <w:sz w:val="24"/>
          <w:szCs w:val="24"/>
          <w:lang w:eastAsia="zh-CN"/>
        </w:rPr>
        <w:t>: 687-693 [PMID: 8197559]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52 </w:t>
      </w:r>
      <w:r w:rsidRPr="004F617E">
        <w:rPr>
          <w:rFonts w:ascii="Book Antiqua" w:eastAsia="宋体" w:hAnsi="Book Antiqua" w:cs="宋体"/>
          <w:b/>
          <w:bCs/>
          <w:sz w:val="24"/>
          <w:szCs w:val="24"/>
          <w:lang w:eastAsia="zh-CN"/>
        </w:rPr>
        <w:t>Bacci G</w:t>
      </w:r>
      <w:r w:rsidRPr="004F617E">
        <w:rPr>
          <w:rFonts w:ascii="Book Antiqua" w:eastAsia="宋体" w:hAnsi="Book Antiqua" w:cs="宋体"/>
          <w:sz w:val="24"/>
          <w:szCs w:val="24"/>
          <w:lang w:eastAsia="zh-CN"/>
        </w:rPr>
        <w:t xml:space="preserve">, Briccoli A, Picci P, Ferrari S. Metachronous pulmonary metastases resection in patients with Ewing's sarcoma initially treated with adjuvant or neoadjuvant chemotherapy. </w:t>
      </w:r>
      <w:r w:rsidRPr="004F617E">
        <w:rPr>
          <w:rFonts w:ascii="Book Antiqua" w:eastAsia="宋体" w:hAnsi="Book Antiqua" w:cs="宋体"/>
          <w:i/>
          <w:iCs/>
          <w:sz w:val="24"/>
          <w:szCs w:val="24"/>
          <w:lang w:eastAsia="zh-CN"/>
        </w:rPr>
        <w:t>Eur J Cancer</w:t>
      </w:r>
      <w:r w:rsidRPr="004F617E">
        <w:rPr>
          <w:rFonts w:ascii="Book Antiqua" w:eastAsia="宋体" w:hAnsi="Book Antiqua" w:cs="宋体"/>
          <w:sz w:val="24"/>
          <w:szCs w:val="24"/>
          <w:lang w:eastAsia="zh-CN"/>
        </w:rPr>
        <w:t xml:space="preserve"> 1995; </w:t>
      </w:r>
      <w:r w:rsidRPr="004F617E">
        <w:rPr>
          <w:rFonts w:ascii="Book Antiqua" w:eastAsia="宋体" w:hAnsi="Book Antiqua" w:cs="宋体"/>
          <w:b/>
          <w:bCs/>
          <w:sz w:val="24"/>
          <w:szCs w:val="24"/>
          <w:lang w:eastAsia="zh-CN"/>
        </w:rPr>
        <w:t>31A</w:t>
      </w:r>
      <w:r w:rsidRPr="004F617E">
        <w:rPr>
          <w:rFonts w:ascii="Book Antiqua" w:eastAsia="宋体" w:hAnsi="Book Antiqua" w:cs="宋体"/>
          <w:sz w:val="24"/>
          <w:szCs w:val="24"/>
          <w:lang w:eastAsia="zh-CN"/>
        </w:rPr>
        <w:t>: 999-1001 [PMID: 7646936]</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53 </w:t>
      </w:r>
      <w:r w:rsidRPr="004F617E">
        <w:rPr>
          <w:rFonts w:ascii="Book Antiqua" w:eastAsia="宋体" w:hAnsi="Book Antiqua" w:cs="宋体"/>
          <w:b/>
          <w:bCs/>
          <w:sz w:val="24"/>
          <w:szCs w:val="24"/>
          <w:lang w:eastAsia="zh-CN"/>
        </w:rPr>
        <w:t>Ladenstein R</w:t>
      </w:r>
      <w:r w:rsidRPr="004F617E">
        <w:rPr>
          <w:rFonts w:ascii="Book Antiqua" w:eastAsia="宋体" w:hAnsi="Book Antiqua" w:cs="宋体"/>
          <w:sz w:val="24"/>
          <w:szCs w:val="24"/>
          <w:lang w:eastAsia="zh-CN"/>
        </w:rPr>
        <w:t xml:space="preserve">, Hartmann O, Pinkerton CR. The role of megatherapy with autologous bone marrow rescue in solid tumours of childhood. </w:t>
      </w:r>
      <w:r w:rsidRPr="004F617E">
        <w:rPr>
          <w:rFonts w:ascii="Book Antiqua" w:eastAsia="宋体" w:hAnsi="Book Antiqua" w:cs="宋体"/>
          <w:i/>
          <w:iCs/>
          <w:sz w:val="24"/>
          <w:szCs w:val="24"/>
          <w:lang w:eastAsia="zh-CN"/>
        </w:rPr>
        <w:t>Ann Oncol</w:t>
      </w:r>
      <w:r w:rsidRPr="004F617E">
        <w:rPr>
          <w:rFonts w:ascii="Book Antiqua" w:eastAsia="宋体" w:hAnsi="Book Antiqua" w:cs="宋体"/>
          <w:sz w:val="24"/>
          <w:szCs w:val="24"/>
          <w:lang w:eastAsia="zh-CN"/>
        </w:rPr>
        <w:t xml:space="preserve"> 1993; </w:t>
      </w:r>
      <w:r w:rsidRPr="004F617E">
        <w:rPr>
          <w:rFonts w:ascii="Book Antiqua" w:eastAsia="宋体" w:hAnsi="Book Antiqua" w:cs="宋体"/>
          <w:b/>
          <w:bCs/>
          <w:sz w:val="24"/>
          <w:szCs w:val="24"/>
          <w:lang w:eastAsia="zh-CN"/>
        </w:rPr>
        <w:t xml:space="preserve">4 </w:t>
      </w:r>
      <w:r w:rsidRPr="004F617E">
        <w:rPr>
          <w:rFonts w:ascii="Book Antiqua" w:eastAsia="宋体" w:hAnsi="Book Antiqua" w:cs="宋体"/>
          <w:bCs/>
          <w:sz w:val="24"/>
          <w:szCs w:val="24"/>
          <w:lang w:eastAsia="zh-CN"/>
        </w:rPr>
        <w:t>Suppl 1</w:t>
      </w:r>
      <w:r w:rsidRPr="004F617E">
        <w:rPr>
          <w:rFonts w:ascii="Book Antiqua" w:eastAsia="宋体" w:hAnsi="Book Antiqua" w:cs="宋体"/>
          <w:sz w:val="24"/>
          <w:szCs w:val="24"/>
          <w:lang w:eastAsia="zh-CN"/>
        </w:rPr>
        <w:t>: 45-58 [PMID: 8338795</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"http://dx.doi.org/10.1093/annonc/4.suppl_1.S45" \t "_blank" </w:instrText>
      </w:r>
      <w:r w:rsidR="00400143">
        <w:fldChar w:fldCharType="separate"/>
      </w:r>
      <w:r w:rsidR="005C430B" w:rsidRPr="005C430B">
        <w:rPr>
          <w:rStyle w:val="Hyperlink"/>
          <w:rFonts w:ascii="Book Antiqua" w:hAnsi="Book Antiqua"/>
          <w:color w:val="auto"/>
          <w:sz w:val="24"/>
          <w:szCs w:val="24"/>
          <w:u w:val="none"/>
        </w:rPr>
        <w:t>10.1093/annonc/4.suppl_1.S45</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54 </w:t>
      </w:r>
      <w:r w:rsidRPr="004F617E">
        <w:rPr>
          <w:rFonts w:ascii="Book Antiqua" w:eastAsia="宋体" w:hAnsi="Book Antiqua" w:cs="宋体"/>
          <w:b/>
          <w:bCs/>
          <w:sz w:val="24"/>
          <w:szCs w:val="24"/>
          <w:lang w:eastAsia="zh-CN"/>
        </w:rPr>
        <w:t>Meyers PA</w:t>
      </w:r>
      <w:r w:rsidRPr="004F617E">
        <w:rPr>
          <w:rFonts w:ascii="Book Antiqua" w:eastAsia="宋体" w:hAnsi="Book Antiqua" w:cs="宋体"/>
          <w:sz w:val="24"/>
          <w:szCs w:val="24"/>
          <w:lang w:eastAsia="zh-CN"/>
        </w:rPr>
        <w:t xml:space="preserve">, Krailo MD, Ladanyi M, Chan KW, Sailer SL, Dickman PS, Baker DL, Davis JH, Gerbing RB, Grovas A, Herzog CE, Lindsley KL, Liu-Mares W, Nachman JB, Sieger L, Wadman J, Gorlick RG. High-dose melphalan, etoposide, total-body irradiation, and autologous stem-cell reconstitution as consolidation therapy for high-risk Ewing's sarcoma does not improve prognosis.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2001; </w:t>
      </w:r>
      <w:r w:rsidRPr="004F617E">
        <w:rPr>
          <w:rFonts w:ascii="Book Antiqua" w:eastAsia="宋体" w:hAnsi="Book Antiqua" w:cs="宋体"/>
          <w:b/>
          <w:bCs/>
          <w:sz w:val="24"/>
          <w:szCs w:val="24"/>
          <w:lang w:eastAsia="zh-CN"/>
        </w:rPr>
        <w:t>19</w:t>
      </w:r>
      <w:r w:rsidRPr="004F617E">
        <w:rPr>
          <w:rFonts w:ascii="Book Antiqua" w:eastAsia="宋体" w:hAnsi="Book Antiqua" w:cs="宋体"/>
          <w:sz w:val="24"/>
          <w:szCs w:val="24"/>
          <w:lang w:eastAsia="zh-CN"/>
        </w:rPr>
        <w:t>: 2812-2820 [PMID: 11387352]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55 </w:t>
      </w:r>
      <w:r w:rsidRPr="004F617E">
        <w:rPr>
          <w:rFonts w:ascii="Book Antiqua" w:eastAsia="宋体" w:hAnsi="Book Antiqua" w:cs="宋体"/>
          <w:b/>
          <w:bCs/>
          <w:sz w:val="24"/>
          <w:szCs w:val="24"/>
          <w:lang w:eastAsia="zh-CN"/>
        </w:rPr>
        <w:t>Yock TI</w:t>
      </w:r>
      <w:r w:rsidRPr="004F617E">
        <w:rPr>
          <w:rFonts w:ascii="Book Antiqua" w:eastAsia="宋体" w:hAnsi="Book Antiqua" w:cs="宋体"/>
          <w:sz w:val="24"/>
          <w:szCs w:val="24"/>
          <w:lang w:eastAsia="zh-CN"/>
        </w:rPr>
        <w:t xml:space="preserve">, Krailo M, Fryer CJ, Donaldson SS, Miser JS, Chen Z, Bernstein M, Laurie F, Gebhardt MC, Grier HE, Tarbell NJ. Local control in pelvic Ewing sarcoma: analysis from INT-0091--a report from the Children's Oncology Group.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24</w:t>
      </w:r>
      <w:r w:rsidRPr="004F617E">
        <w:rPr>
          <w:rFonts w:ascii="Book Antiqua" w:eastAsia="宋体" w:hAnsi="Book Antiqua" w:cs="宋体"/>
          <w:sz w:val="24"/>
          <w:szCs w:val="24"/>
          <w:lang w:eastAsia="zh-CN"/>
        </w:rPr>
        <w:t>: 3838-3843 [PMID: 16921035 DOI: 10.1200/JCO.2006.05.9188]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56 </w:t>
      </w:r>
      <w:r w:rsidRPr="004F617E">
        <w:rPr>
          <w:rFonts w:ascii="Book Antiqua" w:eastAsia="宋体" w:hAnsi="Book Antiqua" w:cs="宋体"/>
          <w:b/>
          <w:bCs/>
          <w:sz w:val="24"/>
          <w:szCs w:val="24"/>
          <w:lang w:eastAsia="zh-CN"/>
        </w:rPr>
        <w:t>Rodriguez-Galindo C</w:t>
      </w:r>
      <w:r w:rsidRPr="004F617E">
        <w:rPr>
          <w:rFonts w:ascii="Book Antiqua" w:eastAsia="宋体" w:hAnsi="Book Antiqua" w:cs="宋体"/>
          <w:sz w:val="24"/>
          <w:szCs w:val="24"/>
          <w:lang w:eastAsia="zh-CN"/>
        </w:rPr>
        <w:t xml:space="preserve">, Billups CA, Kun LE, Rao BN, Pratt CB, Merchant TE, Santana VM, Pappo AS. Survival after recurrence of Ewing tumors: the St Jude Children's </w:t>
      </w:r>
      <w:r w:rsidRPr="004F617E">
        <w:rPr>
          <w:rFonts w:ascii="Book Antiqua" w:eastAsia="宋体" w:hAnsi="Book Antiqua" w:cs="宋体"/>
          <w:sz w:val="24"/>
          <w:szCs w:val="24"/>
          <w:lang w:eastAsia="zh-CN"/>
        </w:rPr>
        <w:lastRenderedPageBreak/>
        <w:t xml:space="preserve">Research Hospital experience, 1979-1999. </w:t>
      </w:r>
      <w:r w:rsidRPr="004F617E">
        <w:rPr>
          <w:rFonts w:ascii="Book Antiqua" w:eastAsia="宋体" w:hAnsi="Book Antiqua" w:cs="宋体"/>
          <w:i/>
          <w:iCs/>
          <w:sz w:val="24"/>
          <w:szCs w:val="24"/>
          <w:lang w:eastAsia="zh-CN"/>
        </w:rPr>
        <w:t>Cancer</w:t>
      </w:r>
      <w:r w:rsidRPr="004F617E">
        <w:rPr>
          <w:rFonts w:ascii="Book Antiqua" w:eastAsia="宋体" w:hAnsi="Book Antiqua" w:cs="宋体"/>
          <w:sz w:val="24"/>
          <w:szCs w:val="24"/>
          <w:lang w:eastAsia="zh-CN"/>
        </w:rPr>
        <w:t xml:space="preserve"> 2002; </w:t>
      </w:r>
      <w:r w:rsidRPr="004F617E">
        <w:rPr>
          <w:rFonts w:ascii="Book Antiqua" w:eastAsia="宋体" w:hAnsi="Book Antiqua" w:cs="宋体"/>
          <w:b/>
          <w:bCs/>
          <w:sz w:val="24"/>
          <w:szCs w:val="24"/>
          <w:lang w:eastAsia="zh-CN"/>
        </w:rPr>
        <w:t>94</w:t>
      </w:r>
      <w:r w:rsidRPr="004F617E">
        <w:rPr>
          <w:rFonts w:ascii="Book Antiqua" w:eastAsia="宋体" w:hAnsi="Book Antiqua" w:cs="宋体"/>
          <w:sz w:val="24"/>
          <w:szCs w:val="24"/>
          <w:lang w:eastAsia="zh-CN"/>
        </w:rPr>
        <w:t>: 561-569 [PMID: 11900241 DOI: 10.1002/cncr.10192]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57 </w:t>
      </w:r>
      <w:r w:rsidRPr="004F617E">
        <w:rPr>
          <w:rFonts w:ascii="Book Antiqua" w:eastAsia="宋体" w:hAnsi="Book Antiqua" w:cs="宋体"/>
          <w:b/>
          <w:bCs/>
          <w:sz w:val="24"/>
          <w:szCs w:val="24"/>
          <w:lang w:eastAsia="zh-CN"/>
        </w:rPr>
        <w:t>Hunold A</w:t>
      </w:r>
      <w:r w:rsidRPr="004F617E">
        <w:rPr>
          <w:rFonts w:ascii="Book Antiqua" w:eastAsia="宋体" w:hAnsi="Book Antiqua" w:cs="宋体"/>
          <w:sz w:val="24"/>
          <w:szCs w:val="24"/>
          <w:lang w:eastAsia="zh-CN"/>
        </w:rPr>
        <w:t xml:space="preserve">, Weddeling N, Paulussen M, Ranft A, Liebscher C, Jürgens H. Topotecan and cyclophosphamide in patients with refractory or relapsed Ewing tumors.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47</w:t>
      </w:r>
      <w:r w:rsidRPr="004F617E">
        <w:rPr>
          <w:rFonts w:ascii="Book Antiqua" w:eastAsia="宋体" w:hAnsi="Book Antiqua" w:cs="宋体"/>
          <w:sz w:val="24"/>
          <w:szCs w:val="24"/>
          <w:lang w:eastAsia="zh-CN"/>
        </w:rPr>
        <w:t>: 795-800 [PMID: 16411206 DOI: 10.1002/pbc.20719]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58 </w:t>
      </w:r>
      <w:r w:rsidRPr="004F617E">
        <w:rPr>
          <w:rFonts w:ascii="Book Antiqua" w:eastAsia="宋体" w:hAnsi="Book Antiqua" w:cs="宋体"/>
          <w:b/>
          <w:bCs/>
          <w:sz w:val="24"/>
          <w:szCs w:val="24"/>
          <w:lang w:eastAsia="zh-CN"/>
        </w:rPr>
        <w:t>Van Winkle P</w:t>
      </w:r>
      <w:r w:rsidRPr="004F617E">
        <w:rPr>
          <w:rFonts w:ascii="Book Antiqua" w:eastAsia="宋体" w:hAnsi="Book Antiqua" w:cs="宋体"/>
          <w:sz w:val="24"/>
          <w:szCs w:val="24"/>
          <w:lang w:eastAsia="zh-CN"/>
        </w:rPr>
        <w:t xml:space="preserve">, Angiolillo A, Krailo M, Cheung YK, Anderson B, Davenport V, Reaman G, Cairo MS. Ifosfamide, carboplatin, and etoposide (ICE) reinduction chemotherapy in a large cohort of children and adolescents with recurrent/refractory sarcoma: the Children's Cancer Group (CCG) experience.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2005; </w:t>
      </w:r>
      <w:r w:rsidRPr="004F617E">
        <w:rPr>
          <w:rFonts w:ascii="Book Antiqua" w:eastAsia="宋体" w:hAnsi="Book Antiqua" w:cs="宋体"/>
          <w:b/>
          <w:bCs/>
          <w:sz w:val="24"/>
          <w:szCs w:val="24"/>
          <w:lang w:eastAsia="zh-CN"/>
        </w:rPr>
        <w:t>44</w:t>
      </w:r>
      <w:r w:rsidRPr="004F617E">
        <w:rPr>
          <w:rFonts w:ascii="Book Antiqua" w:eastAsia="宋体" w:hAnsi="Book Antiqua" w:cs="宋体"/>
          <w:sz w:val="24"/>
          <w:szCs w:val="24"/>
          <w:lang w:eastAsia="zh-CN"/>
        </w:rPr>
        <w:t>: 338-347 [PMID: 15503297 DOI: 10.1002/pbc.20227]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59 </w:t>
      </w:r>
      <w:r w:rsidRPr="004F617E">
        <w:rPr>
          <w:rFonts w:ascii="Book Antiqua" w:eastAsia="宋体" w:hAnsi="Book Antiqua" w:cs="宋体"/>
          <w:b/>
          <w:bCs/>
          <w:sz w:val="24"/>
          <w:szCs w:val="24"/>
          <w:lang w:eastAsia="zh-CN"/>
        </w:rPr>
        <w:t>Wagner LM</w:t>
      </w:r>
      <w:r w:rsidRPr="004F617E">
        <w:rPr>
          <w:rFonts w:ascii="Book Antiqua" w:eastAsia="宋体" w:hAnsi="Book Antiqua" w:cs="宋体"/>
          <w:sz w:val="24"/>
          <w:szCs w:val="24"/>
          <w:lang w:eastAsia="zh-CN"/>
        </w:rPr>
        <w:t xml:space="preserve">, Crews KR, Iacono LC, Houghton PJ, Fuller CE, McCarville MB, Goldsby RE, Albritton K, Stewart CF, Santana VM. Phase I trial of temozolomide and protracted irinotecan in pediatric patients with refractory solid tumors. </w:t>
      </w:r>
      <w:r w:rsidRPr="004F617E">
        <w:rPr>
          <w:rFonts w:ascii="Book Antiqua" w:eastAsia="宋体" w:hAnsi="Book Antiqua" w:cs="宋体"/>
          <w:i/>
          <w:iCs/>
          <w:sz w:val="24"/>
          <w:szCs w:val="24"/>
          <w:lang w:eastAsia="zh-CN"/>
        </w:rPr>
        <w:t>Clin Cancer Res</w:t>
      </w:r>
      <w:r w:rsidRPr="004F617E">
        <w:rPr>
          <w:rFonts w:ascii="Book Antiqua" w:eastAsia="宋体" w:hAnsi="Book Antiqua" w:cs="宋体"/>
          <w:sz w:val="24"/>
          <w:szCs w:val="24"/>
          <w:lang w:eastAsia="zh-CN"/>
        </w:rPr>
        <w:t xml:space="preserve"> 2004; </w:t>
      </w:r>
      <w:r w:rsidRPr="004F617E">
        <w:rPr>
          <w:rFonts w:ascii="Book Antiqua" w:eastAsia="宋体" w:hAnsi="Book Antiqua" w:cs="宋体"/>
          <w:b/>
          <w:bCs/>
          <w:sz w:val="24"/>
          <w:szCs w:val="24"/>
          <w:lang w:eastAsia="zh-CN"/>
        </w:rPr>
        <w:t>10</w:t>
      </w:r>
      <w:r w:rsidRPr="004F617E">
        <w:rPr>
          <w:rFonts w:ascii="Book Antiqua" w:eastAsia="宋体" w:hAnsi="Book Antiqua" w:cs="宋体"/>
          <w:sz w:val="24"/>
          <w:szCs w:val="24"/>
          <w:lang w:eastAsia="zh-CN"/>
        </w:rPr>
        <w:t>: 840-848 [PMID: 14871959</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"http://dx.doi.org/10.1158/1078-0432.CCR-03-0175" \t "_blank" </w:instrText>
      </w:r>
      <w:r w:rsidR="00400143">
        <w:fldChar w:fldCharType="separate"/>
      </w:r>
      <w:r w:rsidR="005C430B" w:rsidRPr="005C430B">
        <w:rPr>
          <w:rStyle w:val="Hyperlink"/>
          <w:rFonts w:ascii="Book Antiqua" w:hAnsi="Book Antiqua"/>
          <w:color w:val="auto"/>
          <w:sz w:val="24"/>
          <w:szCs w:val="24"/>
          <w:u w:val="none"/>
        </w:rPr>
        <w:t>10.1158/1078-0432.CCR-03-0175</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60 </w:t>
      </w:r>
      <w:r w:rsidRPr="004F617E">
        <w:rPr>
          <w:rFonts w:ascii="Book Antiqua" w:eastAsia="宋体" w:hAnsi="Book Antiqua" w:cs="宋体"/>
          <w:b/>
          <w:bCs/>
          <w:sz w:val="24"/>
          <w:szCs w:val="24"/>
          <w:lang w:eastAsia="zh-CN"/>
        </w:rPr>
        <w:t>Fox E</w:t>
      </w:r>
      <w:r w:rsidRPr="004F617E">
        <w:rPr>
          <w:rFonts w:ascii="Book Antiqua" w:eastAsia="宋体" w:hAnsi="Book Antiqua" w:cs="宋体"/>
          <w:sz w:val="24"/>
          <w:szCs w:val="24"/>
          <w:lang w:eastAsia="zh-CN"/>
        </w:rPr>
        <w:t xml:space="preserve">, Patel S, Wathen JK, Schuetze S, Chawla S, Harmon D, Reinke D, Chugh R, Benjamin RS, Helman LJ. Phase II study of sequential gemcitabine followed by docetaxel for recurrent Ewing sarcoma, osteosarcoma, or unresectable or locally recurrent chondrosarcoma: results of Sarcoma Alliance for Research Through Collaboration Study 003. </w:t>
      </w:r>
      <w:r w:rsidRPr="004F617E">
        <w:rPr>
          <w:rFonts w:ascii="Book Antiqua" w:eastAsia="宋体" w:hAnsi="Book Antiqua" w:cs="宋体"/>
          <w:i/>
          <w:iCs/>
          <w:sz w:val="24"/>
          <w:szCs w:val="24"/>
          <w:lang w:eastAsia="zh-CN"/>
        </w:rPr>
        <w:t>Oncologist</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17</w:t>
      </w:r>
      <w:r w:rsidRPr="004F617E">
        <w:rPr>
          <w:rFonts w:ascii="Book Antiqua" w:eastAsia="宋体" w:hAnsi="Book Antiqua" w:cs="宋体"/>
          <w:sz w:val="24"/>
          <w:szCs w:val="24"/>
          <w:lang w:eastAsia="zh-CN"/>
        </w:rPr>
        <w:t>: 321 [PMID: 22363068 DOI: 10.1634/theoncologist.2010-0265]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61 </w:t>
      </w:r>
      <w:r w:rsidRPr="004F617E">
        <w:rPr>
          <w:rFonts w:ascii="Book Antiqua" w:eastAsia="宋体" w:hAnsi="Book Antiqua" w:cs="宋体"/>
          <w:b/>
          <w:bCs/>
          <w:sz w:val="24"/>
          <w:szCs w:val="24"/>
          <w:lang w:eastAsia="zh-CN"/>
        </w:rPr>
        <w:t>Casey DA</w:t>
      </w:r>
      <w:r w:rsidRPr="004F617E">
        <w:rPr>
          <w:rFonts w:ascii="Book Antiqua" w:eastAsia="宋体" w:hAnsi="Book Antiqua" w:cs="宋体"/>
          <w:sz w:val="24"/>
          <w:szCs w:val="24"/>
          <w:lang w:eastAsia="zh-CN"/>
        </w:rPr>
        <w:t xml:space="preserve">, Wexler LH, Merchant MS, Chou AJ, Merola PR, Price AP, Meyers PA. Irinotecan and temozolomide for Ewing sarcoma: the Memorial Sloan-Kettering experience.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2009; </w:t>
      </w:r>
      <w:r w:rsidRPr="004F617E">
        <w:rPr>
          <w:rFonts w:ascii="Book Antiqua" w:eastAsia="宋体" w:hAnsi="Book Antiqua" w:cs="宋体"/>
          <w:b/>
          <w:bCs/>
          <w:sz w:val="24"/>
          <w:szCs w:val="24"/>
          <w:lang w:eastAsia="zh-CN"/>
        </w:rPr>
        <w:t>53</w:t>
      </w:r>
      <w:r w:rsidRPr="004F617E">
        <w:rPr>
          <w:rFonts w:ascii="Book Antiqua" w:eastAsia="宋体" w:hAnsi="Book Antiqua" w:cs="宋体"/>
          <w:sz w:val="24"/>
          <w:szCs w:val="24"/>
          <w:lang w:eastAsia="zh-CN"/>
        </w:rPr>
        <w:t>: 1029-1034 [PMID: 19637327 DOI: 10.1002/pbc.22206]</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62 </w:t>
      </w:r>
      <w:r w:rsidRPr="004F617E">
        <w:rPr>
          <w:rFonts w:ascii="Book Antiqua" w:eastAsia="宋体" w:hAnsi="Book Antiqua" w:cs="宋体"/>
          <w:b/>
          <w:bCs/>
          <w:sz w:val="24"/>
          <w:szCs w:val="24"/>
          <w:lang w:eastAsia="zh-CN"/>
        </w:rPr>
        <w:t>Wagner LM</w:t>
      </w:r>
      <w:r w:rsidRPr="004F617E">
        <w:rPr>
          <w:rFonts w:ascii="Book Antiqua" w:eastAsia="宋体" w:hAnsi="Book Antiqua" w:cs="宋体"/>
          <w:sz w:val="24"/>
          <w:szCs w:val="24"/>
          <w:lang w:eastAsia="zh-CN"/>
        </w:rPr>
        <w:t xml:space="preserve">, McAllister N, Goldsby RE, Rausen AR, McNall-Knapp RY, McCarville MB, Albritton K. Temozolomide and intravenous irinotecan for treatment of advanced Ewing sarcoma.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2007; </w:t>
      </w:r>
      <w:r w:rsidRPr="004F617E">
        <w:rPr>
          <w:rFonts w:ascii="Book Antiqua" w:eastAsia="宋体" w:hAnsi="Book Antiqua" w:cs="宋体"/>
          <w:b/>
          <w:bCs/>
          <w:sz w:val="24"/>
          <w:szCs w:val="24"/>
          <w:lang w:eastAsia="zh-CN"/>
        </w:rPr>
        <w:t>48</w:t>
      </w:r>
      <w:r w:rsidRPr="004F617E">
        <w:rPr>
          <w:rFonts w:ascii="Book Antiqua" w:eastAsia="宋体" w:hAnsi="Book Antiqua" w:cs="宋体"/>
          <w:sz w:val="24"/>
          <w:szCs w:val="24"/>
          <w:lang w:eastAsia="zh-CN"/>
        </w:rPr>
        <w:t>: 132-139 [PMID: 16317751 DOI: 10.1002/pbc.20697]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63 </w:t>
      </w:r>
      <w:r w:rsidRPr="004F617E">
        <w:rPr>
          <w:rFonts w:ascii="Book Antiqua" w:eastAsia="宋体" w:hAnsi="Book Antiqua" w:cs="宋体"/>
          <w:b/>
          <w:bCs/>
          <w:sz w:val="24"/>
          <w:szCs w:val="24"/>
          <w:lang w:eastAsia="zh-CN"/>
        </w:rPr>
        <w:t>Raciborska A</w:t>
      </w:r>
      <w:r w:rsidRPr="004F617E">
        <w:rPr>
          <w:rFonts w:ascii="Book Antiqua" w:eastAsia="宋体" w:hAnsi="Book Antiqua" w:cs="宋体"/>
          <w:sz w:val="24"/>
          <w:szCs w:val="24"/>
          <w:lang w:eastAsia="zh-CN"/>
        </w:rPr>
        <w:t xml:space="preserve">, Bilska K, Drabko K, Chaber R, Pogorzala M, Wyrobek E, Polczyńska K, Rogowska E, Rodriguez-Galindo C, Wozniak W. Vincristine, irinotecan, and </w:t>
      </w:r>
      <w:r w:rsidRPr="004F617E">
        <w:rPr>
          <w:rFonts w:ascii="Book Antiqua" w:eastAsia="宋体" w:hAnsi="Book Antiqua" w:cs="宋体"/>
          <w:sz w:val="24"/>
          <w:szCs w:val="24"/>
          <w:lang w:eastAsia="zh-CN"/>
        </w:rPr>
        <w:lastRenderedPageBreak/>
        <w:t xml:space="preserve">temozolomide in patients with relapsed and refractory Ewing sarcoma.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2013; </w:t>
      </w:r>
      <w:r w:rsidRPr="004F617E">
        <w:rPr>
          <w:rFonts w:ascii="Book Antiqua" w:eastAsia="宋体" w:hAnsi="Book Antiqua" w:cs="宋体"/>
          <w:b/>
          <w:bCs/>
          <w:sz w:val="24"/>
          <w:szCs w:val="24"/>
          <w:lang w:eastAsia="zh-CN"/>
        </w:rPr>
        <w:t>60</w:t>
      </w:r>
      <w:r w:rsidRPr="004F617E">
        <w:rPr>
          <w:rFonts w:ascii="Book Antiqua" w:eastAsia="宋体" w:hAnsi="Book Antiqua" w:cs="宋体"/>
          <w:sz w:val="24"/>
          <w:szCs w:val="24"/>
          <w:lang w:eastAsia="zh-CN"/>
        </w:rPr>
        <w:t>: 1621-1625 [PMID: 23776128 DOI: 10.1002/pbc.24621]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64 </w:t>
      </w:r>
      <w:r w:rsidRPr="004F617E">
        <w:rPr>
          <w:rFonts w:ascii="Book Antiqua" w:eastAsia="宋体" w:hAnsi="Book Antiqua" w:cs="宋体"/>
          <w:b/>
          <w:bCs/>
          <w:sz w:val="24"/>
          <w:szCs w:val="24"/>
          <w:lang w:eastAsia="zh-CN"/>
        </w:rPr>
        <w:t>McNall-Knapp RY</w:t>
      </w:r>
      <w:r w:rsidRPr="004F617E">
        <w:rPr>
          <w:rFonts w:ascii="Book Antiqua" w:eastAsia="宋体" w:hAnsi="Book Antiqua" w:cs="宋体"/>
          <w:sz w:val="24"/>
          <w:szCs w:val="24"/>
          <w:lang w:eastAsia="zh-CN"/>
        </w:rPr>
        <w:t xml:space="preserve">, Williams CN, Reeves EN, Heideman RL, Meyer WH. Extended phase I evaluation of vincristine, irinotecan, temozolomide, and antibiotic in children with refractory solid tumors. </w:t>
      </w:r>
      <w:r w:rsidRPr="004F617E">
        <w:rPr>
          <w:rFonts w:ascii="Book Antiqua" w:eastAsia="宋体" w:hAnsi="Book Antiqua" w:cs="宋体"/>
          <w:i/>
          <w:iCs/>
          <w:sz w:val="24"/>
          <w:szCs w:val="24"/>
          <w:lang w:eastAsia="zh-CN"/>
        </w:rPr>
        <w:t>Pediatr Blood Cancer</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54</w:t>
      </w:r>
      <w:r w:rsidRPr="004F617E">
        <w:rPr>
          <w:rFonts w:ascii="Book Antiqua" w:eastAsia="宋体" w:hAnsi="Book Antiqua" w:cs="宋体"/>
          <w:sz w:val="24"/>
          <w:szCs w:val="24"/>
          <w:lang w:eastAsia="zh-CN"/>
        </w:rPr>
        <w:t>: 909-915 [PMID: 20405511 DOI: 10.1002/pbc.22460]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65 </w:t>
      </w:r>
      <w:r w:rsidRPr="004F617E">
        <w:rPr>
          <w:rFonts w:ascii="Book Antiqua" w:eastAsia="宋体" w:hAnsi="Book Antiqua" w:cs="宋体"/>
          <w:b/>
          <w:bCs/>
          <w:sz w:val="24"/>
          <w:szCs w:val="24"/>
          <w:lang w:eastAsia="zh-CN"/>
        </w:rPr>
        <w:t>Kurucu N</w:t>
      </w:r>
      <w:r w:rsidRPr="004F617E">
        <w:rPr>
          <w:rFonts w:ascii="Book Antiqua" w:eastAsia="宋体" w:hAnsi="Book Antiqua" w:cs="宋体"/>
          <w:sz w:val="24"/>
          <w:szCs w:val="24"/>
          <w:lang w:eastAsia="zh-CN"/>
        </w:rPr>
        <w:t xml:space="preserve">, Sari N, Ilhan IE. Irinotecan and temozolamide treatment for relapsed Ewing sarcoma: a single-center experience and review of the literature. </w:t>
      </w:r>
      <w:r w:rsidRPr="004F617E">
        <w:rPr>
          <w:rFonts w:ascii="Book Antiqua" w:eastAsia="宋体" w:hAnsi="Book Antiqua" w:cs="宋体"/>
          <w:i/>
          <w:iCs/>
          <w:sz w:val="24"/>
          <w:szCs w:val="24"/>
          <w:lang w:eastAsia="zh-CN"/>
        </w:rPr>
        <w:t>Pediatr Hematol Oncol</w:t>
      </w:r>
      <w:r w:rsidRPr="004F617E">
        <w:rPr>
          <w:rFonts w:ascii="Book Antiqua" w:eastAsia="宋体" w:hAnsi="Book Antiqua" w:cs="宋体"/>
          <w:sz w:val="24"/>
          <w:szCs w:val="24"/>
          <w:lang w:eastAsia="zh-CN"/>
        </w:rPr>
        <w:t xml:space="preserve"> 2015; </w:t>
      </w:r>
      <w:r w:rsidRPr="004F617E">
        <w:rPr>
          <w:rFonts w:ascii="Book Antiqua" w:eastAsia="宋体" w:hAnsi="Book Antiqua" w:cs="宋体"/>
          <w:b/>
          <w:bCs/>
          <w:sz w:val="24"/>
          <w:szCs w:val="24"/>
          <w:lang w:eastAsia="zh-CN"/>
        </w:rPr>
        <w:t>32</w:t>
      </w:r>
      <w:r w:rsidRPr="004F617E">
        <w:rPr>
          <w:rFonts w:ascii="Book Antiqua" w:eastAsia="宋体" w:hAnsi="Book Antiqua" w:cs="宋体"/>
          <w:sz w:val="24"/>
          <w:szCs w:val="24"/>
          <w:lang w:eastAsia="zh-CN"/>
        </w:rPr>
        <w:t>: 50-59 [PMID: 25252096 DOI: 10.3109/08880018.2014.954070]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66 </w:t>
      </w:r>
      <w:r w:rsidRPr="004F617E">
        <w:rPr>
          <w:rFonts w:ascii="Book Antiqua" w:eastAsia="宋体" w:hAnsi="Book Antiqua" w:cs="宋体"/>
          <w:b/>
          <w:bCs/>
          <w:sz w:val="24"/>
          <w:szCs w:val="24"/>
          <w:lang w:eastAsia="zh-CN"/>
        </w:rPr>
        <w:t>Gardner SL</w:t>
      </w:r>
      <w:r w:rsidRPr="004F617E">
        <w:rPr>
          <w:rFonts w:ascii="Book Antiqua" w:eastAsia="宋体" w:hAnsi="Book Antiqua" w:cs="宋体"/>
          <w:sz w:val="24"/>
          <w:szCs w:val="24"/>
          <w:lang w:eastAsia="zh-CN"/>
        </w:rPr>
        <w:t xml:space="preserve">, Carreras J, Boudreau C, Camitta BM, Adams RH, Chen AR, Davies SM, Edwards JR, Grovas AC, Hale GA, Lazarus HM, Arora M, Stiff PJ, Eapen M. Myeloablative therapy with autologous stem cell rescue for patients with Ewing sarcoma. </w:t>
      </w:r>
      <w:r w:rsidRPr="004F617E">
        <w:rPr>
          <w:rFonts w:ascii="Book Antiqua" w:eastAsia="宋体" w:hAnsi="Book Antiqua" w:cs="宋体"/>
          <w:i/>
          <w:iCs/>
          <w:sz w:val="24"/>
          <w:szCs w:val="24"/>
          <w:lang w:eastAsia="zh-CN"/>
        </w:rPr>
        <w:t>Bone Marrow Transplant</w:t>
      </w:r>
      <w:r w:rsidRPr="004F617E">
        <w:rPr>
          <w:rFonts w:ascii="Book Antiqua" w:eastAsia="宋体" w:hAnsi="Book Antiqua" w:cs="宋体"/>
          <w:sz w:val="24"/>
          <w:szCs w:val="24"/>
          <w:lang w:eastAsia="zh-CN"/>
        </w:rPr>
        <w:t xml:space="preserve"> 2008; </w:t>
      </w:r>
      <w:r w:rsidRPr="004F617E">
        <w:rPr>
          <w:rFonts w:ascii="Book Antiqua" w:eastAsia="宋体" w:hAnsi="Book Antiqua" w:cs="宋体"/>
          <w:b/>
          <w:bCs/>
          <w:sz w:val="24"/>
          <w:szCs w:val="24"/>
          <w:lang w:eastAsia="zh-CN"/>
        </w:rPr>
        <w:t>41</w:t>
      </w:r>
      <w:r w:rsidRPr="004F617E">
        <w:rPr>
          <w:rFonts w:ascii="Book Antiqua" w:eastAsia="宋体" w:hAnsi="Book Antiqua" w:cs="宋体"/>
          <w:sz w:val="24"/>
          <w:szCs w:val="24"/>
          <w:lang w:eastAsia="zh-CN"/>
        </w:rPr>
        <w:t>: 867-872 [PMID: 18246113 DOI: 10.1038/bmt.2008.2]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67 </w:t>
      </w:r>
      <w:r w:rsidRPr="004F617E">
        <w:rPr>
          <w:rFonts w:ascii="Book Antiqua" w:eastAsia="宋体" w:hAnsi="Book Antiqua" w:cs="宋体"/>
          <w:b/>
          <w:bCs/>
          <w:sz w:val="24"/>
          <w:szCs w:val="24"/>
          <w:lang w:eastAsia="zh-CN"/>
        </w:rPr>
        <w:t>McTiernan A</w:t>
      </w:r>
      <w:r w:rsidRPr="004F617E">
        <w:rPr>
          <w:rFonts w:ascii="Book Antiqua" w:eastAsia="宋体" w:hAnsi="Book Antiqua" w:cs="宋体"/>
          <w:sz w:val="24"/>
          <w:szCs w:val="24"/>
          <w:lang w:eastAsia="zh-CN"/>
        </w:rPr>
        <w:t xml:space="preserve">, Driver D, Michelagnoli MP, Kilby AM, Whelan JS. High dose chemotherapy with bone marrow or peripheral stem cell rescue is an effective treatment option for patients with relapsed or progressive Ewing's sarcoma family of tumours. </w:t>
      </w:r>
      <w:r w:rsidRPr="004F617E">
        <w:rPr>
          <w:rFonts w:ascii="Book Antiqua" w:eastAsia="宋体" w:hAnsi="Book Antiqua" w:cs="宋体"/>
          <w:i/>
          <w:iCs/>
          <w:sz w:val="24"/>
          <w:szCs w:val="24"/>
          <w:lang w:eastAsia="zh-CN"/>
        </w:rPr>
        <w:t>Ann Oncol</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17</w:t>
      </w:r>
      <w:r w:rsidRPr="004F617E">
        <w:rPr>
          <w:rFonts w:ascii="Book Antiqua" w:eastAsia="宋体" w:hAnsi="Book Antiqua" w:cs="宋体"/>
          <w:sz w:val="24"/>
          <w:szCs w:val="24"/>
          <w:lang w:eastAsia="zh-CN"/>
        </w:rPr>
        <w:t>: 1301-1305 [PMID: 16782749 DOI: 10.1093/annonc/mdl108]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68 </w:t>
      </w:r>
      <w:r w:rsidRPr="004F617E">
        <w:rPr>
          <w:rFonts w:ascii="Book Antiqua" w:eastAsia="宋体" w:hAnsi="Book Antiqua" w:cs="宋体"/>
          <w:b/>
          <w:bCs/>
          <w:sz w:val="24"/>
          <w:szCs w:val="24"/>
          <w:lang w:eastAsia="zh-CN"/>
        </w:rPr>
        <w:t>Erkizan HV</w:t>
      </w:r>
      <w:r w:rsidRPr="004F617E">
        <w:rPr>
          <w:rFonts w:ascii="Book Antiqua" w:eastAsia="宋体" w:hAnsi="Book Antiqua" w:cs="宋体"/>
          <w:sz w:val="24"/>
          <w:szCs w:val="24"/>
          <w:lang w:eastAsia="zh-CN"/>
        </w:rPr>
        <w:t xml:space="preserve">, Scher LJ, Gamble SE, Barber-Rotenberg JS, Sajwan KP, Üren A, Toretsky JA. Novel peptide binds EWS-FLI1 and reduces the oncogenic potential in Ewing tumors. </w:t>
      </w:r>
      <w:r w:rsidRPr="004F617E">
        <w:rPr>
          <w:rFonts w:ascii="Book Antiqua" w:eastAsia="宋体" w:hAnsi="Book Antiqua" w:cs="宋体"/>
          <w:i/>
          <w:iCs/>
          <w:sz w:val="24"/>
          <w:szCs w:val="24"/>
          <w:lang w:eastAsia="zh-CN"/>
        </w:rPr>
        <w:t>Cell Cycle</w:t>
      </w:r>
      <w:r w:rsidRPr="004F617E">
        <w:rPr>
          <w:rFonts w:ascii="Book Antiqua" w:eastAsia="宋体" w:hAnsi="Book Antiqua" w:cs="宋体"/>
          <w:sz w:val="24"/>
          <w:szCs w:val="24"/>
          <w:lang w:eastAsia="zh-CN"/>
        </w:rPr>
        <w:t xml:space="preserve"> 2011; </w:t>
      </w:r>
      <w:r w:rsidRPr="004F617E">
        <w:rPr>
          <w:rFonts w:ascii="Book Antiqua" w:eastAsia="宋体" w:hAnsi="Book Antiqua" w:cs="宋体"/>
          <w:b/>
          <w:bCs/>
          <w:sz w:val="24"/>
          <w:szCs w:val="24"/>
          <w:lang w:eastAsia="zh-CN"/>
        </w:rPr>
        <w:t>10</w:t>
      </w:r>
      <w:r w:rsidRPr="004F617E">
        <w:rPr>
          <w:rFonts w:ascii="Book Antiqua" w:eastAsia="宋体" w:hAnsi="Book Antiqua" w:cs="宋体"/>
          <w:sz w:val="24"/>
          <w:szCs w:val="24"/>
          <w:lang w:eastAsia="zh-CN"/>
        </w:rPr>
        <w:t>: 3397-3408 [PMID: 21926473 DOI: 10.4161/cc.10.19.17734]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69 </w:t>
      </w:r>
      <w:r w:rsidRPr="004F617E">
        <w:rPr>
          <w:rFonts w:ascii="Book Antiqua" w:eastAsia="宋体" w:hAnsi="Book Antiqua" w:cs="宋体"/>
          <w:b/>
          <w:bCs/>
          <w:sz w:val="24"/>
          <w:szCs w:val="24"/>
          <w:lang w:eastAsia="zh-CN"/>
        </w:rPr>
        <w:t>Boro A</w:t>
      </w:r>
      <w:r w:rsidRPr="004F617E">
        <w:rPr>
          <w:rFonts w:ascii="Book Antiqua" w:eastAsia="宋体" w:hAnsi="Book Antiqua" w:cs="宋体"/>
          <w:sz w:val="24"/>
          <w:szCs w:val="24"/>
          <w:lang w:eastAsia="zh-CN"/>
        </w:rPr>
        <w:t xml:space="preserve">, Prêtre K, Rechfeld F, Thalhammer V, Oesch S, Wachtel M, Schäfer BW, Niggli FK. Small-molecule screen identifies modulators of EWS/FLI1 target gene expression and cell survival in Ewing's sarcoma. </w:t>
      </w:r>
      <w:r w:rsidRPr="004F617E">
        <w:rPr>
          <w:rFonts w:ascii="Book Antiqua" w:eastAsia="宋体" w:hAnsi="Book Antiqua" w:cs="宋体"/>
          <w:i/>
          <w:iCs/>
          <w:sz w:val="24"/>
          <w:szCs w:val="24"/>
          <w:lang w:eastAsia="zh-CN"/>
        </w:rPr>
        <w:t>Int J Cancer</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131</w:t>
      </w:r>
      <w:r w:rsidRPr="004F617E">
        <w:rPr>
          <w:rFonts w:ascii="Book Antiqua" w:eastAsia="宋体" w:hAnsi="Book Antiqua" w:cs="宋体"/>
          <w:sz w:val="24"/>
          <w:szCs w:val="24"/>
          <w:lang w:eastAsia="zh-CN"/>
        </w:rPr>
        <w:t>: 2153-2164 [PMID: 22323082 DOI: 10.1002/ijc.27472]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70 </w:t>
      </w:r>
      <w:r w:rsidRPr="004F617E">
        <w:rPr>
          <w:rFonts w:ascii="Book Antiqua" w:eastAsia="宋体" w:hAnsi="Book Antiqua" w:cs="宋体"/>
          <w:b/>
          <w:bCs/>
          <w:sz w:val="24"/>
          <w:szCs w:val="24"/>
          <w:lang w:eastAsia="zh-CN"/>
        </w:rPr>
        <w:t>Grohar PJ</w:t>
      </w:r>
      <w:r w:rsidRPr="004F617E">
        <w:rPr>
          <w:rFonts w:ascii="Book Antiqua" w:eastAsia="宋体" w:hAnsi="Book Antiqua" w:cs="宋体"/>
          <w:sz w:val="24"/>
          <w:szCs w:val="24"/>
          <w:lang w:eastAsia="zh-CN"/>
        </w:rPr>
        <w:t xml:space="preserve">, Griffin LB, Yeung C, Chen QR, Pommier Y, Khanna C, Khan J, Helman LJ. Ecteinascidin 743 interferes with the activity of EWS-FLI1 in Ewing sarcoma cells. </w:t>
      </w:r>
      <w:r w:rsidRPr="004F617E">
        <w:rPr>
          <w:rFonts w:ascii="Book Antiqua" w:eastAsia="宋体" w:hAnsi="Book Antiqua" w:cs="宋体"/>
          <w:i/>
          <w:iCs/>
          <w:sz w:val="24"/>
          <w:szCs w:val="24"/>
          <w:lang w:eastAsia="zh-CN"/>
        </w:rPr>
        <w:t>Neoplasia</w:t>
      </w:r>
      <w:r w:rsidRPr="004F617E">
        <w:rPr>
          <w:rFonts w:ascii="Book Antiqua" w:eastAsia="宋体" w:hAnsi="Book Antiqua" w:cs="宋体"/>
          <w:sz w:val="24"/>
          <w:szCs w:val="24"/>
          <w:lang w:eastAsia="zh-CN"/>
        </w:rPr>
        <w:t xml:space="preserve"> 2011; </w:t>
      </w:r>
      <w:r w:rsidRPr="004F617E">
        <w:rPr>
          <w:rFonts w:ascii="Book Antiqua" w:eastAsia="宋体" w:hAnsi="Book Antiqua" w:cs="宋体"/>
          <w:b/>
          <w:bCs/>
          <w:sz w:val="24"/>
          <w:szCs w:val="24"/>
          <w:lang w:eastAsia="zh-CN"/>
        </w:rPr>
        <w:t>13</w:t>
      </w:r>
      <w:r w:rsidRPr="004F617E">
        <w:rPr>
          <w:rFonts w:ascii="Book Antiqua" w:eastAsia="宋体" w:hAnsi="Book Antiqua" w:cs="宋体"/>
          <w:sz w:val="24"/>
          <w:szCs w:val="24"/>
          <w:lang w:eastAsia="zh-CN"/>
        </w:rPr>
        <w:t>: 145-153 [PMID: 21403840</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"http://dx.doi.org/10.1593/neo.101202" \t "_blank" </w:instrText>
      </w:r>
      <w:r w:rsidR="00400143">
        <w:fldChar w:fldCharType="separate"/>
      </w:r>
      <w:r w:rsidR="005C430B" w:rsidRPr="005C430B">
        <w:rPr>
          <w:rStyle w:val="Hyperlink"/>
          <w:rFonts w:ascii="Book Antiqua" w:hAnsi="Book Antiqua"/>
          <w:color w:val="auto"/>
          <w:sz w:val="24"/>
          <w:szCs w:val="24"/>
          <w:u w:val="none"/>
        </w:rPr>
        <w:t>10.1593/neo.101202</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lastRenderedPageBreak/>
        <w:t xml:space="preserve">71 </w:t>
      </w:r>
      <w:r w:rsidRPr="004F617E">
        <w:rPr>
          <w:rFonts w:ascii="Book Antiqua" w:eastAsia="宋体" w:hAnsi="Book Antiqua" w:cs="宋体"/>
          <w:b/>
          <w:bCs/>
          <w:sz w:val="24"/>
          <w:szCs w:val="24"/>
          <w:lang w:eastAsia="zh-CN"/>
        </w:rPr>
        <w:t>Glade Bender JL</w:t>
      </w:r>
      <w:r w:rsidRPr="004F617E">
        <w:rPr>
          <w:rFonts w:ascii="Book Antiqua" w:eastAsia="宋体" w:hAnsi="Book Antiqua" w:cs="宋体"/>
          <w:sz w:val="24"/>
          <w:szCs w:val="24"/>
          <w:lang w:eastAsia="zh-CN"/>
        </w:rPr>
        <w:t xml:space="preserve">, Lee A, Reid JM, Baruchel S, Roberts T, Voss SD, Wu B, Ahern CH, Ingle AM, Harris P, Weigel BJ, Blaney SM. Phase I pharmacokinetic and pharmacodynamic study of pazopanib in children with soft tissue sarcoma and other refractory solid tumors: a children's oncology group phase I consortium report. </w:t>
      </w:r>
      <w:r w:rsidRPr="004F617E">
        <w:rPr>
          <w:rFonts w:ascii="Book Antiqua" w:eastAsia="宋体" w:hAnsi="Book Antiqua" w:cs="宋体"/>
          <w:i/>
          <w:iCs/>
          <w:sz w:val="24"/>
          <w:szCs w:val="24"/>
          <w:lang w:eastAsia="zh-CN"/>
        </w:rPr>
        <w:t>J Clin Oncol</w:t>
      </w:r>
      <w:r w:rsidRPr="004F617E">
        <w:rPr>
          <w:rFonts w:ascii="Book Antiqua" w:eastAsia="宋体" w:hAnsi="Book Antiqua" w:cs="宋体"/>
          <w:sz w:val="24"/>
          <w:szCs w:val="24"/>
          <w:lang w:eastAsia="zh-CN"/>
        </w:rPr>
        <w:t xml:space="preserve"> 2013; </w:t>
      </w:r>
      <w:r w:rsidRPr="004F617E">
        <w:rPr>
          <w:rFonts w:ascii="Book Antiqua" w:eastAsia="宋体" w:hAnsi="Book Antiqua" w:cs="宋体"/>
          <w:b/>
          <w:bCs/>
          <w:sz w:val="24"/>
          <w:szCs w:val="24"/>
          <w:lang w:eastAsia="zh-CN"/>
        </w:rPr>
        <w:t>31</w:t>
      </w:r>
      <w:r w:rsidRPr="004F617E">
        <w:rPr>
          <w:rFonts w:ascii="Book Antiqua" w:eastAsia="宋体" w:hAnsi="Book Antiqua" w:cs="宋体"/>
          <w:sz w:val="24"/>
          <w:szCs w:val="24"/>
          <w:lang w:eastAsia="zh-CN"/>
        </w:rPr>
        <w:t>: 3034-3043 [PMID: 23857966 DOI: 10.1200/JCO.2012.47.0914]</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72 </w:t>
      </w:r>
      <w:r w:rsidRPr="004F617E">
        <w:rPr>
          <w:rFonts w:ascii="Book Antiqua" w:eastAsia="宋体" w:hAnsi="Book Antiqua" w:cs="宋体"/>
          <w:b/>
          <w:bCs/>
          <w:sz w:val="24"/>
          <w:szCs w:val="24"/>
          <w:lang w:eastAsia="zh-CN"/>
        </w:rPr>
        <w:t>Wittrant Y</w:t>
      </w:r>
      <w:r w:rsidRPr="004F617E">
        <w:rPr>
          <w:rFonts w:ascii="Book Antiqua" w:eastAsia="宋体" w:hAnsi="Book Antiqua" w:cs="宋体"/>
          <w:sz w:val="24"/>
          <w:szCs w:val="24"/>
          <w:lang w:eastAsia="zh-CN"/>
        </w:rPr>
        <w:t xml:space="preserve">, Théoleyre S, Chipoy C, Padrines M, Blanchard F, Heymann D, Rédini F. RANKL/RANK/OPG: new therapeutic targets in bone tumours and associated osteolysis. </w:t>
      </w:r>
      <w:r w:rsidRPr="004F617E">
        <w:rPr>
          <w:rFonts w:ascii="Book Antiqua" w:eastAsia="宋体" w:hAnsi="Book Antiqua" w:cs="宋体"/>
          <w:i/>
          <w:iCs/>
          <w:sz w:val="24"/>
          <w:szCs w:val="24"/>
          <w:lang w:eastAsia="zh-CN"/>
        </w:rPr>
        <w:t>Biochim Biophys Acta</w:t>
      </w:r>
      <w:r w:rsidRPr="004F617E">
        <w:rPr>
          <w:rFonts w:ascii="Book Antiqua" w:eastAsia="宋体" w:hAnsi="Book Antiqua" w:cs="宋体"/>
          <w:sz w:val="24"/>
          <w:szCs w:val="24"/>
          <w:lang w:eastAsia="zh-CN"/>
        </w:rPr>
        <w:t xml:space="preserve"> 2004; </w:t>
      </w:r>
      <w:r w:rsidRPr="004F617E">
        <w:rPr>
          <w:rFonts w:ascii="Book Antiqua" w:eastAsia="宋体" w:hAnsi="Book Antiqua" w:cs="宋体"/>
          <w:b/>
          <w:bCs/>
          <w:sz w:val="24"/>
          <w:szCs w:val="24"/>
          <w:lang w:eastAsia="zh-CN"/>
        </w:rPr>
        <w:t>1704</w:t>
      </w:r>
      <w:r w:rsidRPr="004F617E">
        <w:rPr>
          <w:rFonts w:ascii="Book Antiqua" w:eastAsia="宋体" w:hAnsi="Book Antiqua" w:cs="宋体"/>
          <w:sz w:val="24"/>
          <w:szCs w:val="24"/>
          <w:lang w:eastAsia="zh-CN"/>
        </w:rPr>
        <w:t>: 49-57 [PMID: 15363860 DOI: 10.1016/j.bbcan.2004.05.002]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73 </w:t>
      </w:r>
      <w:r w:rsidRPr="004F617E">
        <w:rPr>
          <w:rFonts w:ascii="Book Antiqua" w:eastAsia="宋体" w:hAnsi="Book Antiqua" w:cs="宋体"/>
          <w:b/>
          <w:bCs/>
          <w:sz w:val="24"/>
          <w:szCs w:val="24"/>
          <w:lang w:eastAsia="zh-CN"/>
        </w:rPr>
        <w:t>Odri GA</w:t>
      </w:r>
      <w:r w:rsidRPr="004F617E">
        <w:rPr>
          <w:rFonts w:ascii="Book Antiqua" w:eastAsia="宋体" w:hAnsi="Book Antiqua" w:cs="宋体"/>
          <w:sz w:val="24"/>
          <w:szCs w:val="24"/>
          <w:lang w:eastAsia="zh-CN"/>
        </w:rPr>
        <w:t xml:space="preserve">, Dumoucel S, Picarda G, Battaglia S, Lamoureux F, Corradini N, Rousseau J, Tirode F, Laud K, Delattre O, Gouin F, Heymann D, Redini F. Zoledronic acid as a new adjuvant therapeutic strategy for Ewing's sarcoma patients. </w:t>
      </w:r>
      <w:r w:rsidRPr="004F617E">
        <w:rPr>
          <w:rFonts w:ascii="Book Antiqua" w:eastAsia="宋体" w:hAnsi="Book Antiqua" w:cs="宋体"/>
          <w:i/>
          <w:iCs/>
          <w:sz w:val="24"/>
          <w:szCs w:val="24"/>
          <w:lang w:eastAsia="zh-CN"/>
        </w:rPr>
        <w:t>Cancer Res</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70</w:t>
      </w:r>
      <w:r w:rsidRPr="004F617E">
        <w:rPr>
          <w:rFonts w:ascii="Book Antiqua" w:eastAsia="宋体" w:hAnsi="Book Antiqua" w:cs="宋体"/>
          <w:sz w:val="24"/>
          <w:szCs w:val="24"/>
          <w:lang w:eastAsia="zh-CN"/>
        </w:rPr>
        <w:t>: 7610-7619 [PMID: 20841471 DOI: 10.1158/0008-5472.CAN-09-4272]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74 </w:t>
      </w:r>
      <w:r w:rsidRPr="004F617E">
        <w:rPr>
          <w:rFonts w:ascii="Book Antiqua" w:eastAsia="宋体" w:hAnsi="Book Antiqua" w:cs="宋体"/>
          <w:b/>
          <w:bCs/>
          <w:sz w:val="24"/>
          <w:szCs w:val="24"/>
          <w:lang w:eastAsia="zh-CN"/>
        </w:rPr>
        <w:t>Garofalo C</w:t>
      </w:r>
      <w:r w:rsidRPr="004F617E">
        <w:rPr>
          <w:rFonts w:ascii="Book Antiqua" w:eastAsia="宋体" w:hAnsi="Book Antiqua" w:cs="宋体"/>
          <w:sz w:val="24"/>
          <w:szCs w:val="24"/>
          <w:lang w:eastAsia="zh-CN"/>
        </w:rPr>
        <w:t xml:space="preserve">, Mancarella C, Grilli A, Manara MC, Astolfi A, Marino MT, Conte A, Sigismund S, Carè A, Belfiore A, Picci P, Scotlandi K. Identification of common and distinctive mechanisms of resistance to different anti-IGF-IR agents in Ewing's sarcoma. </w:t>
      </w:r>
      <w:r w:rsidRPr="004F617E">
        <w:rPr>
          <w:rFonts w:ascii="Book Antiqua" w:eastAsia="宋体" w:hAnsi="Book Antiqua" w:cs="宋体"/>
          <w:i/>
          <w:iCs/>
          <w:sz w:val="24"/>
          <w:szCs w:val="24"/>
          <w:lang w:eastAsia="zh-CN"/>
        </w:rPr>
        <w:t>Mol Endocrinol</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26</w:t>
      </w:r>
      <w:r w:rsidRPr="004F617E">
        <w:rPr>
          <w:rFonts w:ascii="Book Antiqua" w:eastAsia="宋体" w:hAnsi="Book Antiqua" w:cs="宋体"/>
          <w:sz w:val="24"/>
          <w:szCs w:val="24"/>
          <w:lang w:eastAsia="zh-CN"/>
        </w:rPr>
        <w:t>: 1603-1616 [PMID: 22798295 DOI: 10.1210/me.2012-1142]</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75 </w:t>
      </w:r>
      <w:r w:rsidRPr="004F617E">
        <w:rPr>
          <w:rFonts w:ascii="Book Antiqua" w:eastAsia="宋体" w:hAnsi="Book Antiqua" w:cs="宋体"/>
          <w:b/>
          <w:bCs/>
          <w:sz w:val="24"/>
          <w:szCs w:val="24"/>
          <w:lang w:eastAsia="zh-CN"/>
        </w:rPr>
        <w:t>Brenner JC</w:t>
      </w:r>
      <w:r w:rsidRPr="004F617E">
        <w:rPr>
          <w:rFonts w:ascii="Book Antiqua" w:eastAsia="宋体" w:hAnsi="Book Antiqua" w:cs="宋体"/>
          <w:sz w:val="24"/>
          <w:szCs w:val="24"/>
          <w:lang w:eastAsia="zh-CN"/>
        </w:rPr>
        <w:t xml:space="preserve">, Feng FY, Han S, Patel S, Goyal SV, Bou-Maroun LM, Liu M, Lonigro R, Prensner JR, Tomlins SA, Chinnaiyan AM. PARP-1 inhibition as a targeted strategy to treat Ewing's sarcoma. </w:t>
      </w:r>
      <w:r w:rsidRPr="004F617E">
        <w:rPr>
          <w:rFonts w:ascii="Book Antiqua" w:eastAsia="宋体" w:hAnsi="Book Antiqua" w:cs="宋体"/>
          <w:i/>
          <w:iCs/>
          <w:sz w:val="24"/>
          <w:szCs w:val="24"/>
          <w:lang w:eastAsia="zh-CN"/>
        </w:rPr>
        <w:t>Cancer Res</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72</w:t>
      </w:r>
      <w:r w:rsidRPr="004F617E">
        <w:rPr>
          <w:rFonts w:ascii="Book Antiqua" w:eastAsia="宋体" w:hAnsi="Book Antiqua" w:cs="宋体"/>
          <w:sz w:val="24"/>
          <w:szCs w:val="24"/>
          <w:lang w:eastAsia="zh-CN"/>
        </w:rPr>
        <w:t>: 1608-1613 [PMID: 22287547 DOI: 10.1158/0008-5472.CAN-11-3648]</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76 </w:t>
      </w:r>
      <w:r w:rsidRPr="004F617E">
        <w:rPr>
          <w:rFonts w:ascii="Book Antiqua" w:eastAsia="宋体" w:hAnsi="Book Antiqua" w:cs="宋体"/>
          <w:b/>
          <w:bCs/>
          <w:sz w:val="24"/>
          <w:szCs w:val="24"/>
          <w:lang w:eastAsia="zh-CN"/>
        </w:rPr>
        <w:t>Kailayangiri S</w:t>
      </w:r>
      <w:r w:rsidRPr="004F617E">
        <w:rPr>
          <w:rFonts w:ascii="Book Antiqua" w:eastAsia="宋体" w:hAnsi="Book Antiqua" w:cs="宋体"/>
          <w:sz w:val="24"/>
          <w:szCs w:val="24"/>
          <w:lang w:eastAsia="zh-CN"/>
        </w:rPr>
        <w:t xml:space="preserve">, Altvater B, Meltzer J, Pscherer S, Luecke A, Dierkes C, Titze U, Leuchte K, Landmeier S, Hotfilder M, Dirksen U, Hardes J, Gosheger G, Juergens H, Rossig C. The ganglioside antigen G(D2) is surface-expressed in Ewing sarcoma and allows for MHC-independent immune targeting. </w:t>
      </w:r>
      <w:r w:rsidRPr="004F617E">
        <w:rPr>
          <w:rFonts w:ascii="Book Antiqua" w:eastAsia="宋体" w:hAnsi="Book Antiqua" w:cs="宋体"/>
          <w:i/>
          <w:iCs/>
          <w:sz w:val="24"/>
          <w:szCs w:val="24"/>
          <w:lang w:eastAsia="zh-CN"/>
        </w:rPr>
        <w:t>Br J Cancer</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106</w:t>
      </w:r>
      <w:r w:rsidRPr="004F617E">
        <w:rPr>
          <w:rFonts w:ascii="Book Antiqua" w:eastAsia="宋体" w:hAnsi="Book Antiqua" w:cs="宋体"/>
          <w:sz w:val="24"/>
          <w:szCs w:val="24"/>
          <w:lang w:eastAsia="zh-CN"/>
        </w:rPr>
        <w:t>: 1123-1133 [PMID: 22374462 DOI: 10.1038/bjc.2012.57]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77 </w:t>
      </w:r>
      <w:r w:rsidRPr="004F617E">
        <w:rPr>
          <w:rFonts w:ascii="Book Antiqua" w:eastAsia="宋体" w:hAnsi="Book Antiqua" w:cs="宋体"/>
          <w:b/>
          <w:bCs/>
          <w:sz w:val="24"/>
          <w:szCs w:val="24"/>
          <w:lang w:eastAsia="zh-CN"/>
        </w:rPr>
        <w:t>Scotlandi K</w:t>
      </w:r>
      <w:r w:rsidRPr="004F617E">
        <w:rPr>
          <w:rFonts w:ascii="Book Antiqua" w:eastAsia="宋体" w:hAnsi="Book Antiqua" w:cs="宋体"/>
          <w:sz w:val="24"/>
          <w:szCs w:val="24"/>
          <w:lang w:eastAsia="zh-CN"/>
        </w:rPr>
        <w:t xml:space="preserve">, Perdichizzi S, Bernard G, Nicoletti G, Nanni P, Lollini PL, Curti A, Manara MC, Benini S, Bernard A, Picci P. Targeting CD99 in association with doxorubicin: an effective combined treatment for Ewing's sarcoma. </w:t>
      </w:r>
      <w:r w:rsidRPr="004F617E">
        <w:rPr>
          <w:rFonts w:ascii="Book Antiqua" w:eastAsia="宋体" w:hAnsi="Book Antiqua" w:cs="宋体"/>
          <w:i/>
          <w:iCs/>
          <w:sz w:val="24"/>
          <w:szCs w:val="24"/>
          <w:lang w:eastAsia="zh-CN"/>
        </w:rPr>
        <w:t>Eur J Cancer</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42</w:t>
      </w:r>
      <w:r w:rsidRPr="004F617E">
        <w:rPr>
          <w:rFonts w:ascii="Book Antiqua" w:eastAsia="宋体" w:hAnsi="Book Antiqua" w:cs="宋体"/>
          <w:sz w:val="24"/>
          <w:szCs w:val="24"/>
          <w:lang w:eastAsia="zh-CN"/>
        </w:rPr>
        <w:t>: 91-96 [PMID: 16326096 DOI: 10.1016/j.ejca.2005.09.015]</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lastRenderedPageBreak/>
        <w:t xml:space="preserve">78 </w:t>
      </w:r>
      <w:r w:rsidRPr="004F617E">
        <w:rPr>
          <w:rFonts w:ascii="Book Antiqua" w:eastAsia="宋体" w:hAnsi="Book Antiqua" w:cs="宋体"/>
          <w:b/>
          <w:bCs/>
          <w:sz w:val="24"/>
          <w:szCs w:val="24"/>
          <w:lang w:eastAsia="zh-CN"/>
        </w:rPr>
        <w:t>Chemaitilly W</w:t>
      </w:r>
      <w:r w:rsidRPr="004F617E">
        <w:rPr>
          <w:rFonts w:ascii="Book Antiqua" w:eastAsia="宋体" w:hAnsi="Book Antiqua" w:cs="宋体"/>
          <w:sz w:val="24"/>
          <w:szCs w:val="24"/>
          <w:lang w:eastAsia="zh-CN"/>
        </w:rPr>
        <w:t xml:space="preserve">, Mertens AC, Mitby P, Whitton J, Stovall M, Yasui Y, Robison LL, Sklar CA. Acute ovarian failure in the childhood cancer survivor study. </w:t>
      </w:r>
      <w:r w:rsidRPr="004F617E">
        <w:rPr>
          <w:rFonts w:ascii="Book Antiqua" w:eastAsia="宋体" w:hAnsi="Book Antiqua" w:cs="宋体"/>
          <w:i/>
          <w:iCs/>
          <w:sz w:val="24"/>
          <w:szCs w:val="24"/>
          <w:lang w:eastAsia="zh-CN"/>
        </w:rPr>
        <w:t>J Clin Endocrinol Metab</w:t>
      </w:r>
      <w:r w:rsidRPr="004F617E">
        <w:rPr>
          <w:rFonts w:ascii="Book Antiqua" w:eastAsia="宋体" w:hAnsi="Book Antiqua" w:cs="宋体"/>
          <w:sz w:val="24"/>
          <w:szCs w:val="24"/>
          <w:lang w:eastAsia="zh-CN"/>
        </w:rPr>
        <w:t xml:space="preserve"> 2006; </w:t>
      </w:r>
      <w:r w:rsidRPr="004F617E">
        <w:rPr>
          <w:rFonts w:ascii="Book Antiqua" w:eastAsia="宋体" w:hAnsi="Book Antiqua" w:cs="宋体"/>
          <w:b/>
          <w:bCs/>
          <w:sz w:val="24"/>
          <w:szCs w:val="24"/>
          <w:lang w:eastAsia="zh-CN"/>
        </w:rPr>
        <w:t>91</w:t>
      </w:r>
      <w:r w:rsidRPr="004F617E">
        <w:rPr>
          <w:rFonts w:ascii="Book Antiqua" w:eastAsia="宋体" w:hAnsi="Book Antiqua" w:cs="宋体"/>
          <w:sz w:val="24"/>
          <w:szCs w:val="24"/>
          <w:lang w:eastAsia="zh-CN"/>
        </w:rPr>
        <w:t>: 1723-1728 [PMID: 16492690 DOI: 10.1210/jc.2006-0020]</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79 </w:t>
      </w:r>
      <w:r w:rsidRPr="004F617E">
        <w:rPr>
          <w:rFonts w:ascii="Book Antiqua" w:eastAsia="宋体" w:hAnsi="Book Antiqua" w:cs="宋体"/>
          <w:b/>
          <w:bCs/>
          <w:sz w:val="24"/>
          <w:szCs w:val="24"/>
          <w:lang w:eastAsia="zh-CN"/>
        </w:rPr>
        <w:t>Frederick JL</w:t>
      </w:r>
      <w:r w:rsidRPr="004F617E">
        <w:rPr>
          <w:rFonts w:ascii="Book Antiqua" w:eastAsia="宋体" w:hAnsi="Book Antiqua" w:cs="宋体"/>
          <w:sz w:val="24"/>
          <w:szCs w:val="24"/>
          <w:lang w:eastAsia="zh-CN"/>
        </w:rPr>
        <w:t xml:space="preserve">, Ord T, Kettel LM, Stone SC, Balmaceda JP, Asch RH. Successful pregnancy outcome after cryopreservation of all fresh embryos with subsequent transfer into an unstimulated cycle. </w:t>
      </w:r>
      <w:r w:rsidRPr="004F617E">
        <w:rPr>
          <w:rFonts w:ascii="Book Antiqua" w:eastAsia="宋体" w:hAnsi="Book Antiqua" w:cs="宋体"/>
          <w:i/>
          <w:iCs/>
          <w:sz w:val="24"/>
          <w:szCs w:val="24"/>
          <w:lang w:eastAsia="zh-CN"/>
        </w:rPr>
        <w:t>Fertil Steril</w:t>
      </w:r>
      <w:r w:rsidRPr="004F617E">
        <w:rPr>
          <w:rFonts w:ascii="Book Antiqua" w:eastAsia="宋体" w:hAnsi="Book Antiqua" w:cs="宋体"/>
          <w:sz w:val="24"/>
          <w:szCs w:val="24"/>
          <w:lang w:eastAsia="zh-CN"/>
        </w:rPr>
        <w:t xml:space="preserve"> 1995; </w:t>
      </w:r>
      <w:r w:rsidRPr="004F617E">
        <w:rPr>
          <w:rFonts w:ascii="Book Antiqua" w:eastAsia="宋体" w:hAnsi="Book Antiqua" w:cs="宋体"/>
          <w:b/>
          <w:bCs/>
          <w:sz w:val="24"/>
          <w:szCs w:val="24"/>
          <w:lang w:eastAsia="zh-CN"/>
        </w:rPr>
        <w:t>64</w:t>
      </w:r>
      <w:r w:rsidRPr="004F617E">
        <w:rPr>
          <w:rFonts w:ascii="Book Antiqua" w:eastAsia="宋体" w:hAnsi="Book Antiqua" w:cs="宋体"/>
          <w:sz w:val="24"/>
          <w:szCs w:val="24"/>
          <w:lang w:eastAsia="zh-CN"/>
        </w:rPr>
        <w:t>: 987-990 [PMID: 7589647</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"http://dx.doi.org/10.1016/S0015-0282(16)57915-1" \t "_blank" </w:instrText>
      </w:r>
      <w:r w:rsidR="00400143">
        <w:fldChar w:fldCharType="separate"/>
      </w:r>
      <w:r w:rsidR="005C430B" w:rsidRPr="005C430B">
        <w:rPr>
          <w:rStyle w:val="Hyperlink"/>
          <w:rFonts w:ascii="Book Antiqua" w:hAnsi="Book Antiqua"/>
          <w:color w:val="auto"/>
          <w:sz w:val="24"/>
          <w:szCs w:val="24"/>
          <w:u w:val="none"/>
        </w:rPr>
        <w:t>10.1016/S0015-0282(16)57915-1</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80 </w:t>
      </w:r>
      <w:r w:rsidRPr="004F617E">
        <w:rPr>
          <w:rFonts w:ascii="Book Antiqua" w:eastAsia="宋体" w:hAnsi="Book Antiqua" w:cs="宋体"/>
          <w:b/>
          <w:bCs/>
          <w:sz w:val="24"/>
          <w:szCs w:val="24"/>
          <w:lang w:eastAsia="zh-CN"/>
        </w:rPr>
        <w:t>Sonmezer M</w:t>
      </w:r>
      <w:r w:rsidRPr="004F617E">
        <w:rPr>
          <w:rFonts w:ascii="Book Antiqua" w:eastAsia="宋体" w:hAnsi="Book Antiqua" w:cs="宋体"/>
          <w:sz w:val="24"/>
          <w:szCs w:val="24"/>
          <w:lang w:eastAsia="zh-CN"/>
        </w:rPr>
        <w:t xml:space="preserve">, Oktay K. Fertility preservation in female patients. </w:t>
      </w:r>
      <w:r w:rsidRPr="004F617E">
        <w:rPr>
          <w:rFonts w:ascii="Book Antiqua" w:eastAsia="宋体" w:hAnsi="Book Antiqua" w:cs="宋体"/>
          <w:i/>
          <w:iCs/>
          <w:sz w:val="24"/>
          <w:szCs w:val="24"/>
          <w:lang w:eastAsia="zh-CN"/>
        </w:rPr>
        <w:t>Hum Reprod Update</w:t>
      </w:r>
      <w:r w:rsidRPr="004F617E">
        <w:rPr>
          <w:rFonts w:ascii="Book Antiqua" w:eastAsia="宋体" w:hAnsi="Book Antiqua" w:cs="宋体"/>
          <w:sz w:val="24"/>
          <w:szCs w:val="24"/>
          <w:lang w:eastAsia="zh-CN"/>
        </w:rPr>
        <w:t xml:space="preserve"> </w:t>
      </w:r>
      <w:r w:rsidR="005C430B" w:rsidRPr="005C430B">
        <w:rPr>
          <w:rFonts w:ascii="Book Antiqua" w:eastAsia="宋体" w:hAnsi="Book Antiqua" w:cs="宋体"/>
          <w:sz w:val="24"/>
          <w:szCs w:val="24"/>
          <w:lang w:eastAsia="zh-CN"/>
        </w:rPr>
        <w:t>2004</w:t>
      </w:r>
      <w:r w:rsidRPr="004F617E">
        <w:rPr>
          <w:rFonts w:ascii="Book Antiqua" w:eastAsia="宋体" w:hAnsi="Book Antiqua" w:cs="宋体"/>
          <w:sz w:val="24"/>
          <w:szCs w:val="24"/>
          <w:lang w:eastAsia="zh-CN"/>
        </w:rPr>
        <w:t xml:space="preserve">; </w:t>
      </w:r>
      <w:r w:rsidRPr="004F617E">
        <w:rPr>
          <w:rFonts w:ascii="Book Antiqua" w:eastAsia="宋体" w:hAnsi="Book Antiqua" w:cs="宋体"/>
          <w:b/>
          <w:bCs/>
          <w:sz w:val="24"/>
          <w:szCs w:val="24"/>
          <w:lang w:eastAsia="zh-CN"/>
        </w:rPr>
        <w:t>10</w:t>
      </w:r>
      <w:r w:rsidRPr="004F617E">
        <w:rPr>
          <w:rFonts w:ascii="Book Antiqua" w:eastAsia="宋体" w:hAnsi="Book Antiqua" w:cs="宋体"/>
          <w:sz w:val="24"/>
          <w:szCs w:val="24"/>
          <w:lang w:eastAsia="zh-CN"/>
        </w:rPr>
        <w:t>: 251-266 [PMID: 15140872 DOI: 10.1093/humupd/dmh021]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81 </w:t>
      </w:r>
      <w:r w:rsidRPr="004F617E">
        <w:rPr>
          <w:rFonts w:ascii="Book Antiqua" w:eastAsia="宋体" w:hAnsi="Book Antiqua" w:cs="宋体"/>
          <w:b/>
          <w:bCs/>
          <w:sz w:val="24"/>
          <w:szCs w:val="24"/>
          <w:lang w:eastAsia="zh-CN"/>
        </w:rPr>
        <w:t>Meirow D</w:t>
      </w:r>
      <w:r w:rsidRPr="004F617E">
        <w:rPr>
          <w:rFonts w:ascii="Book Antiqua" w:eastAsia="宋体" w:hAnsi="Book Antiqua" w:cs="宋体"/>
          <w:sz w:val="24"/>
          <w:szCs w:val="24"/>
          <w:lang w:eastAsia="zh-CN"/>
        </w:rPr>
        <w:t xml:space="preserve">, Levron J, Eldar-Geva T, Hardan I, Fridman E, Zalel Y, Schiff E, Dor J. Pregnancy after transplantation of cryopreserved ovarian tissue in a patient with ovarian failure after chemotherapy. </w:t>
      </w:r>
      <w:r w:rsidRPr="004F617E">
        <w:rPr>
          <w:rFonts w:ascii="Book Antiqua" w:eastAsia="宋体" w:hAnsi="Book Antiqua" w:cs="宋体"/>
          <w:i/>
          <w:iCs/>
          <w:sz w:val="24"/>
          <w:szCs w:val="24"/>
          <w:lang w:eastAsia="zh-CN"/>
        </w:rPr>
        <w:t>N Engl J Med</w:t>
      </w:r>
      <w:r w:rsidRPr="004F617E">
        <w:rPr>
          <w:rFonts w:ascii="Book Antiqua" w:eastAsia="宋体" w:hAnsi="Book Antiqua" w:cs="宋体"/>
          <w:sz w:val="24"/>
          <w:szCs w:val="24"/>
          <w:lang w:eastAsia="zh-CN"/>
        </w:rPr>
        <w:t xml:space="preserve"> 2005; </w:t>
      </w:r>
      <w:r w:rsidRPr="004F617E">
        <w:rPr>
          <w:rFonts w:ascii="Book Antiqua" w:eastAsia="宋体" w:hAnsi="Book Antiqua" w:cs="宋体"/>
          <w:b/>
          <w:bCs/>
          <w:sz w:val="24"/>
          <w:szCs w:val="24"/>
          <w:lang w:eastAsia="zh-CN"/>
        </w:rPr>
        <w:t>353</w:t>
      </w:r>
      <w:r w:rsidRPr="004F617E">
        <w:rPr>
          <w:rFonts w:ascii="Book Antiqua" w:eastAsia="宋体" w:hAnsi="Book Antiqua" w:cs="宋体"/>
          <w:sz w:val="24"/>
          <w:szCs w:val="24"/>
          <w:lang w:eastAsia="zh-CN"/>
        </w:rPr>
        <w:t>: 318-321 [PMID: 15983020 DOI: 10.1056/NEJMc055237]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82 </w:t>
      </w:r>
      <w:r w:rsidRPr="004F617E">
        <w:rPr>
          <w:rFonts w:ascii="Book Antiqua" w:eastAsia="宋体" w:hAnsi="Book Antiqua" w:cs="宋体"/>
          <w:b/>
          <w:bCs/>
          <w:sz w:val="24"/>
          <w:szCs w:val="24"/>
          <w:lang w:eastAsia="zh-CN"/>
        </w:rPr>
        <w:t>Silber SJ</w:t>
      </w:r>
      <w:r w:rsidRPr="004F617E">
        <w:rPr>
          <w:rFonts w:ascii="Book Antiqua" w:eastAsia="宋体" w:hAnsi="Book Antiqua" w:cs="宋体"/>
          <w:sz w:val="24"/>
          <w:szCs w:val="24"/>
          <w:lang w:eastAsia="zh-CN"/>
        </w:rPr>
        <w:t xml:space="preserve">, Lenahan KM, Levine DJ, Pineda JA, Gorman KS, Friez MJ, Crawford EC, Gosden RG. Ovarian transplantation between monozygotic twins discordant for premature ovarian failure. </w:t>
      </w:r>
      <w:r w:rsidRPr="004F617E">
        <w:rPr>
          <w:rFonts w:ascii="Book Antiqua" w:eastAsia="宋体" w:hAnsi="Book Antiqua" w:cs="宋体"/>
          <w:i/>
          <w:iCs/>
          <w:sz w:val="24"/>
          <w:szCs w:val="24"/>
          <w:lang w:eastAsia="zh-CN"/>
        </w:rPr>
        <w:t>N Engl J Med</w:t>
      </w:r>
      <w:r w:rsidRPr="004F617E">
        <w:rPr>
          <w:rFonts w:ascii="Book Antiqua" w:eastAsia="宋体" w:hAnsi="Book Antiqua" w:cs="宋体"/>
          <w:sz w:val="24"/>
          <w:szCs w:val="24"/>
          <w:lang w:eastAsia="zh-CN"/>
        </w:rPr>
        <w:t xml:space="preserve"> 2005; </w:t>
      </w:r>
      <w:r w:rsidRPr="004F617E">
        <w:rPr>
          <w:rFonts w:ascii="Book Antiqua" w:eastAsia="宋体" w:hAnsi="Book Antiqua" w:cs="宋体"/>
          <w:b/>
          <w:bCs/>
          <w:sz w:val="24"/>
          <w:szCs w:val="24"/>
          <w:lang w:eastAsia="zh-CN"/>
        </w:rPr>
        <w:t>353</w:t>
      </w:r>
      <w:r w:rsidRPr="004F617E">
        <w:rPr>
          <w:rFonts w:ascii="Book Antiqua" w:eastAsia="宋体" w:hAnsi="Book Antiqua" w:cs="宋体"/>
          <w:sz w:val="24"/>
          <w:szCs w:val="24"/>
          <w:lang w:eastAsia="zh-CN"/>
        </w:rPr>
        <w:t>: 58-63 [PMID: 15941849 DOI: 10.1056/NEJMoa043157]</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83 </w:t>
      </w:r>
      <w:r w:rsidRPr="004F617E">
        <w:rPr>
          <w:rFonts w:ascii="Book Antiqua" w:eastAsia="宋体" w:hAnsi="Book Antiqua" w:cs="宋体"/>
          <w:b/>
          <w:bCs/>
          <w:sz w:val="24"/>
          <w:szCs w:val="24"/>
          <w:lang w:eastAsia="zh-CN"/>
        </w:rPr>
        <w:t>Husseinzadeh N</w:t>
      </w:r>
      <w:r w:rsidRPr="004F617E">
        <w:rPr>
          <w:rFonts w:ascii="Book Antiqua" w:eastAsia="宋体" w:hAnsi="Book Antiqua" w:cs="宋体"/>
          <w:sz w:val="24"/>
          <w:szCs w:val="24"/>
          <w:lang w:eastAsia="zh-CN"/>
        </w:rPr>
        <w:t xml:space="preserve">, Nahhas WA, Velkley DE, Whitney CW, Mortel R. The preservation of ovarian function in young women undergoing pelvic radiation therapy. </w:t>
      </w:r>
      <w:r w:rsidRPr="004F617E">
        <w:rPr>
          <w:rFonts w:ascii="Book Antiqua" w:eastAsia="宋体" w:hAnsi="Book Antiqua" w:cs="宋体"/>
          <w:i/>
          <w:iCs/>
          <w:sz w:val="24"/>
          <w:szCs w:val="24"/>
          <w:lang w:eastAsia="zh-CN"/>
        </w:rPr>
        <w:t>Gynecol Oncol</w:t>
      </w:r>
      <w:r w:rsidRPr="004F617E">
        <w:rPr>
          <w:rFonts w:ascii="Book Antiqua" w:eastAsia="宋体" w:hAnsi="Book Antiqua" w:cs="宋体"/>
          <w:sz w:val="24"/>
          <w:szCs w:val="24"/>
          <w:lang w:eastAsia="zh-CN"/>
        </w:rPr>
        <w:t xml:space="preserve"> 1984; </w:t>
      </w:r>
      <w:r w:rsidRPr="004F617E">
        <w:rPr>
          <w:rFonts w:ascii="Book Antiqua" w:eastAsia="宋体" w:hAnsi="Book Antiqua" w:cs="宋体"/>
          <w:b/>
          <w:bCs/>
          <w:sz w:val="24"/>
          <w:szCs w:val="24"/>
          <w:lang w:eastAsia="zh-CN"/>
        </w:rPr>
        <w:t>18</w:t>
      </w:r>
      <w:r w:rsidRPr="004F617E">
        <w:rPr>
          <w:rFonts w:ascii="Book Antiqua" w:eastAsia="宋体" w:hAnsi="Book Antiqua" w:cs="宋体"/>
          <w:sz w:val="24"/>
          <w:szCs w:val="24"/>
          <w:lang w:eastAsia="zh-CN"/>
        </w:rPr>
        <w:t>: 373-379 [PMID: 6430756</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"http://dx.doi.org/10.1016/0090-8258(84)90049-0" \t "_blank" </w:instrText>
      </w:r>
      <w:r w:rsidR="00400143">
        <w:fldChar w:fldCharType="separate"/>
      </w:r>
      <w:r w:rsidR="005C430B" w:rsidRPr="005C430B">
        <w:rPr>
          <w:rStyle w:val="Hyperlink"/>
          <w:rFonts w:ascii="Book Antiqua" w:hAnsi="Book Antiqua"/>
          <w:color w:val="auto"/>
          <w:sz w:val="24"/>
          <w:szCs w:val="24"/>
          <w:u w:val="none"/>
        </w:rPr>
        <w:t>10.1016/0090-8258(84)90049-0</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84 </w:t>
      </w:r>
      <w:r w:rsidRPr="004F617E">
        <w:rPr>
          <w:rFonts w:ascii="Book Antiqua" w:eastAsia="宋体" w:hAnsi="Book Antiqua" w:cs="宋体"/>
          <w:b/>
          <w:bCs/>
          <w:sz w:val="24"/>
          <w:szCs w:val="24"/>
          <w:lang w:eastAsia="zh-CN"/>
        </w:rPr>
        <w:t>Blumenfeld Z</w:t>
      </w:r>
      <w:r w:rsidRPr="004F617E">
        <w:rPr>
          <w:rFonts w:ascii="Book Antiqua" w:eastAsia="宋体" w:hAnsi="Book Antiqua" w:cs="宋体"/>
          <w:sz w:val="24"/>
          <w:szCs w:val="24"/>
          <w:lang w:eastAsia="zh-CN"/>
        </w:rPr>
        <w:t xml:space="preserve">, Avivi I, Linn S, Epelbaum R, Ben-Shahar M, Haim N. Prevention of irreversible chemotherapy-induced ovarian damage in young women with lymphoma by a gonadotrophin-releasing hormone agonist in parallel to chemotherapy. </w:t>
      </w:r>
      <w:r w:rsidRPr="004F617E">
        <w:rPr>
          <w:rFonts w:ascii="Book Antiqua" w:eastAsia="宋体" w:hAnsi="Book Antiqua" w:cs="宋体"/>
          <w:i/>
          <w:iCs/>
          <w:sz w:val="24"/>
          <w:szCs w:val="24"/>
          <w:lang w:eastAsia="zh-CN"/>
        </w:rPr>
        <w:t>Hum Reprod</w:t>
      </w:r>
      <w:r w:rsidRPr="004F617E">
        <w:rPr>
          <w:rFonts w:ascii="Book Antiqua" w:eastAsia="宋体" w:hAnsi="Book Antiqua" w:cs="宋体"/>
          <w:sz w:val="24"/>
          <w:szCs w:val="24"/>
          <w:lang w:eastAsia="zh-CN"/>
        </w:rPr>
        <w:t xml:space="preserve"> 1996; </w:t>
      </w:r>
      <w:r w:rsidRPr="004F617E">
        <w:rPr>
          <w:rFonts w:ascii="Book Antiqua" w:eastAsia="宋体" w:hAnsi="Book Antiqua" w:cs="宋体"/>
          <w:b/>
          <w:bCs/>
          <w:sz w:val="24"/>
          <w:szCs w:val="24"/>
          <w:lang w:eastAsia="zh-CN"/>
        </w:rPr>
        <w:t>11</w:t>
      </w:r>
      <w:r w:rsidRPr="004F617E">
        <w:rPr>
          <w:rFonts w:ascii="Book Antiqua" w:eastAsia="宋体" w:hAnsi="Book Antiqua" w:cs="宋体"/>
          <w:sz w:val="24"/>
          <w:szCs w:val="24"/>
          <w:lang w:eastAsia="zh-CN"/>
        </w:rPr>
        <w:t>: 1620-1626 [PMID: 8921104</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"http://dx.doi.org/10.1093/oxfordjournals.humrep.a019457" \t "_blank" </w:instrText>
      </w:r>
      <w:r w:rsidR="00400143">
        <w:fldChar w:fldCharType="separate"/>
      </w:r>
      <w:r w:rsidR="005C430B" w:rsidRPr="005C430B">
        <w:rPr>
          <w:rStyle w:val="Hyperlink"/>
          <w:rFonts w:ascii="Book Antiqua" w:hAnsi="Book Antiqua"/>
          <w:color w:val="auto"/>
          <w:sz w:val="24"/>
          <w:szCs w:val="24"/>
          <w:u w:val="none"/>
        </w:rPr>
        <w:t>10.1093/oxfordjournals.humrep.a019457</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85 </w:t>
      </w:r>
      <w:r w:rsidRPr="004F617E">
        <w:rPr>
          <w:rFonts w:ascii="Book Antiqua" w:eastAsia="宋体" w:hAnsi="Book Antiqua" w:cs="宋体"/>
          <w:b/>
          <w:bCs/>
          <w:sz w:val="24"/>
          <w:szCs w:val="24"/>
          <w:lang w:eastAsia="zh-CN"/>
        </w:rPr>
        <w:t>Abir R</w:t>
      </w:r>
      <w:r w:rsidRPr="004F617E">
        <w:rPr>
          <w:rFonts w:ascii="Book Antiqua" w:eastAsia="宋体" w:hAnsi="Book Antiqua" w:cs="宋体"/>
          <w:sz w:val="24"/>
          <w:szCs w:val="24"/>
          <w:lang w:eastAsia="zh-CN"/>
        </w:rPr>
        <w:t xml:space="preserve">, Feinmesser M, Yaniv I, Fisch B, Cohen IJ, Ben-Haroush A, Meirow D, Felz C, Avigad S. Occasional involvement of the ovary in Ewing sarcoma. </w:t>
      </w:r>
      <w:r w:rsidRPr="004F617E">
        <w:rPr>
          <w:rFonts w:ascii="Book Antiqua" w:eastAsia="宋体" w:hAnsi="Book Antiqua" w:cs="宋体"/>
          <w:i/>
          <w:iCs/>
          <w:sz w:val="24"/>
          <w:szCs w:val="24"/>
          <w:lang w:eastAsia="zh-CN"/>
        </w:rPr>
        <w:t>Hum Reprod</w:t>
      </w:r>
      <w:r w:rsidRPr="004F617E">
        <w:rPr>
          <w:rFonts w:ascii="Book Antiqua" w:eastAsia="宋体" w:hAnsi="Book Antiqua" w:cs="宋体"/>
          <w:sz w:val="24"/>
          <w:szCs w:val="24"/>
          <w:lang w:eastAsia="zh-CN"/>
        </w:rPr>
        <w:t xml:space="preserve"> 2010; </w:t>
      </w:r>
      <w:r w:rsidRPr="004F617E">
        <w:rPr>
          <w:rFonts w:ascii="Book Antiqua" w:eastAsia="宋体" w:hAnsi="Book Antiqua" w:cs="宋体"/>
          <w:b/>
          <w:bCs/>
          <w:sz w:val="24"/>
          <w:szCs w:val="24"/>
          <w:lang w:eastAsia="zh-CN"/>
        </w:rPr>
        <w:t>25</w:t>
      </w:r>
      <w:r w:rsidRPr="004F617E">
        <w:rPr>
          <w:rFonts w:ascii="Book Antiqua" w:eastAsia="宋体" w:hAnsi="Book Antiqua" w:cs="宋体"/>
          <w:sz w:val="24"/>
          <w:szCs w:val="24"/>
          <w:lang w:eastAsia="zh-CN"/>
        </w:rPr>
        <w:t>: 1708-1712 [PMID: 20472912 DOI: 10.1093/humrep/deq121]</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86 </w:t>
      </w:r>
      <w:r w:rsidRPr="004F617E">
        <w:rPr>
          <w:rFonts w:ascii="Book Antiqua" w:eastAsia="宋体" w:hAnsi="Book Antiqua" w:cs="宋体"/>
          <w:b/>
          <w:bCs/>
          <w:sz w:val="24"/>
          <w:szCs w:val="24"/>
          <w:lang w:eastAsia="zh-CN"/>
        </w:rPr>
        <w:t>Sullivan HC</w:t>
      </w:r>
      <w:r w:rsidRPr="004F617E">
        <w:rPr>
          <w:rFonts w:ascii="Book Antiqua" w:eastAsia="宋体" w:hAnsi="Book Antiqua" w:cs="宋体"/>
          <w:sz w:val="24"/>
          <w:szCs w:val="24"/>
          <w:lang w:eastAsia="zh-CN"/>
        </w:rPr>
        <w:t xml:space="preserve">, Shulman SC, Olson T, Ricketts R, Oskouei S, Shehata BM. Unusual presentation of metastatic Ewing sarcoma to the ovary in a 13 year-old: a case report </w:t>
      </w:r>
      <w:r w:rsidRPr="004F617E">
        <w:rPr>
          <w:rFonts w:ascii="Book Antiqua" w:eastAsia="宋体" w:hAnsi="Book Antiqua" w:cs="宋体"/>
          <w:sz w:val="24"/>
          <w:szCs w:val="24"/>
          <w:lang w:eastAsia="zh-CN"/>
        </w:rPr>
        <w:lastRenderedPageBreak/>
        <w:t xml:space="preserve">and review. </w:t>
      </w:r>
      <w:r w:rsidRPr="004F617E">
        <w:rPr>
          <w:rFonts w:ascii="Book Antiqua" w:eastAsia="宋体" w:hAnsi="Book Antiqua" w:cs="宋体"/>
          <w:i/>
          <w:iCs/>
          <w:sz w:val="24"/>
          <w:szCs w:val="24"/>
          <w:lang w:eastAsia="zh-CN"/>
        </w:rPr>
        <w:t>Fetal Pediatr Pathol</w:t>
      </w:r>
      <w:r w:rsidRPr="004F617E">
        <w:rPr>
          <w:rFonts w:ascii="Book Antiqua" w:eastAsia="宋体" w:hAnsi="Book Antiqua" w:cs="宋体"/>
          <w:sz w:val="24"/>
          <w:szCs w:val="24"/>
          <w:lang w:eastAsia="zh-CN"/>
        </w:rPr>
        <w:t xml:space="preserve"> 2012; </w:t>
      </w:r>
      <w:r w:rsidRPr="004F617E">
        <w:rPr>
          <w:rFonts w:ascii="Book Antiqua" w:eastAsia="宋体" w:hAnsi="Book Antiqua" w:cs="宋体"/>
          <w:b/>
          <w:bCs/>
          <w:sz w:val="24"/>
          <w:szCs w:val="24"/>
          <w:lang w:eastAsia="zh-CN"/>
        </w:rPr>
        <w:t>31</w:t>
      </w:r>
      <w:r w:rsidRPr="004F617E">
        <w:rPr>
          <w:rFonts w:ascii="Book Antiqua" w:eastAsia="宋体" w:hAnsi="Book Antiqua" w:cs="宋体"/>
          <w:sz w:val="24"/>
          <w:szCs w:val="24"/>
          <w:lang w:eastAsia="zh-CN"/>
        </w:rPr>
        <w:t>: 159-163 [PMID: 22413993 DOI: 10.3109/15513815.2012.659379]</w:t>
      </w:r>
    </w:p>
    <w:p w:rsidR="004F617E" w:rsidRPr="004F617E" w:rsidRDefault="004F617E" w:rsidP="004F617E">
      <w:pPr>
        <w:spacing w:after="0" w:line="360" w:lineRule="auto"/>
        <w:jc w:val="both"/>
        <w:rPr>
          <w:rFonts w:ascii="Book Antiqua" w:eastAsia="宋体" w:hAnsi="Book Antiqua" w:cs="宋体"/>
          <w:sz w:val="24"/>
          <w:szCs w:val="24"/>
          <w:lang w:eastAsia="zh-CN"/>
        </w:rPr>
      </w:pPr>
      <w:r w:rsidRPr="004F617E">
        <w:rPr>
          <w:rFonts w:ascii="Book Antiqua" w:eastAsia="宋体" w:hAnsi="Book Antiqua" w:cs="宋体"/>
          <w:sz w:val="24"/>
          <w:szCs w:val="24"/>
          <w:lang w:eastAsia="zh-CN"/>
        </w:rPr>
        <w:t xml:space="preserve">87 </w:t>
      </w:r>
      <w:r w:rsidRPr="004F617E">
        <w:rPr>
          <w:rFonts w:ascii="Book Antiqua" w:eastAsia="宋体" w:hAnsi="Book Antiqua" w:cs="宋体"/>
          <w:b/>
          <w:bCs/>
          <w:sz w:val="24"/>
          <w:szCs w:val="24"/>
          <w:lang w:eastAsia="zh-CN"/>
        </w:rPr>
        <w:t>Young RH</w:t>
      </w:r>
      <w:r w:rsidRPr="004F617E">
        <w:rPr>
          <w:rFonts w:ascii="Book Antiqua" w:eastAsia="宋体" w:hAnsi="Book Antiqua" w:cs="宋体"/>
          <w:sz w:val="24"/>
          <w:szCs w:val="24"/>
          <w:lang w:eastAsia="zh-CN"/>
        </w:rPr>
        <w:t xml:space="preserve">, Scully RE. Sarcomas metastatic to the ovary: a report of 21 cases. </w:t>
      </w:r>
      <w:r w:rsidRPr="004F617E">
        <w:rPr>
          <w:rFonts w:ascii="Book Antiqua" w:eastAsia="宋体" w:hAnsi="Book Antiqua" w:cs="宋体"/>
          <w:i/>
          <w:iCs/>
          <w:sz w:val="24"/>
          <w:szCs w:val="24"/>
          <w:lang w:eastAsia="zh-CN"/>
        </w:rPr>
        <w:t>Int J Gynecol Pathol</w:t>
      </w:r>
      <w:r w:rsidRPr="004F617E">
        <w:rPr>
          <w:rFonts w:ascii="Book Antiqua" w:eastAsia="宋体" w:hAnsi="Book Antiqua" w:cs="宋体"/>
          <w:sz w:val="24"/>
          <w:szCs w:val="24"/>
          <w:lang w:eastAsia="zh-CN"/>
        </w:rPr>
        <w:t xml:space="preserve"> 1990; </w:t>
      </w:r>
      <w:r w:rsidRPr="004F617E">
        <w:rPr>
          <w:rFonts w:ascii="Book Antiqua" w:eastAsia="宋体" w:hAnsi="Book Antiqua" w:cs="宋体"/>
          <w:b/>
          <w:bCs/>
          <w:sz w:val="24"/>
          <w:szCs w:val="24"/>
          <w:lang w:eastAsia="zh-CN"/>
        </w:rPr>
        <w:t>9</w:t>
      </w:r>
      <w:r w:rsidRPr="004F617E">
        <w:rPr>
          <w:rFonts w:ascii="Book Antiqua" w:eastAsia="宋体" w:hAnsi="Book Antiqua" w:cs="宋体"/>
          <w:sz w:val="24"/>
          <w:szCs w:val="24"/>
          <w:lang w:eastAsia="zh-CN"/>
        </w:rPr>
        <w:t>: 231-252 [PMID: 2373588</w:t>
      </w:r>
      <w:r w:rsidR="005C430B" w:rsidRPr="005C430B">
        <w:rPr>
          <w:rFonts w:ascii="Book Antiqua" w:eastAsia="宋体" w:hAnsi="Book Antiqua" w:cs="宋体"/>
          <w:sz w:val="24"/>
          <w:szCs w:val="24"/>
          <w:lang w:eastAsia="zh-CN"/>
        </w:rPr>
        <w:t xml:space="preserve"> </w:t>
      </w:r>
      <w:r w:rsidR="005C430B" w:rsidRPr="004F617E">
        <w:rPr>
          <w:rFonts w:ascii="Book Antiqua" w:eastAsia="宋体" w:hAnsi="Book Antiqua" w:cs="宋体"/>
          <w:sz w:val="24"/>
          <w:szCs w:val="24"/>
          <w:lang w:eastAsia="zh-CN"/>
        </w:rPr>
        <w:t>DOI:</w:t>
      </w:r>
      <w:r w:rsidR="005C430B" w:rsidRPr="005C430B">
        <w:rPr>
          <w:rFonts w:ascii="Book Antiqua" w:eastAsia="宋体" w:hAnsi="Book Antiqua" w:cs="宋体"/>
          <w:sz w:val="24"/>
          <w:szCs w:val="24"/>
          <w:lang w:eastAsia="zh-CN"/>
        </w:rPr>
        <w:t xml:space="preserve"> </w:t>
      </w:r>
      <w:r w:rsidR="00400143">
        <w:fldChar w:fldCharType="begin"/>
      </w:r>
      <w:r w:rsidR="00400143">
        <w:instrText xml:space="preserve"> HYPERLINK "http://dx.doi.org/10.1097/00004347-199007000-00004" \t "_blank" </w:instrText>
      </w:r>
      <w:r w:rsidR="00400143">
        <w:fldChar w:fldCharType="separate"/>
      </w:r>
      <w:r w:rsidR="005C430B" w:rsidRPr="005C430B">
        <w:rPr>
          <w:rStyle w:val="Hyperlink"/>
          <w:rFonts w:ascii="Book Antiqua" w:hAnsi="Book Antiqua"/>
          <w:color w:val="auto"/>
          <w:sz w:val="24"/>
          <w:szCs w:val="24"/>
          <w:u w:val="none"/>
        </w:rPr>
        <w:t>10.1097/00004347-199007000-00004</w:t>
      </w:r>
      <w:r w:rsidR="00400143">
        <w:rPr>
          <w:rStyle w:val="Hyperlink"/>
          <w:rFonts w:ascii="Book Antiqua" w:hAnsi="Book Antiqua"/>
          <w:color w:val="auto"/>
          <w:sz w:val="24"/>
          <w:szCs w:val="24"/>
          <w:u w:val="none"/>
        </w:rPr>
        <w:fldChar w:fldCharType="end"/>
      </w:r>
      <w:r w:rsidRPr="004F617E">
        <w:rPr>
          <w:rFonts w:ascii="Book Antiqua" w:eastAsia="宋体" w:hAnsi="Book Antiqua" w:cs="宋体"/>
          <w:sz w:val="24"/>
          <w:szCs w:val="24"/>
          <w:lang w:eastAsia="zh-CN"/>
        </w:rPr>
        <w:t>]</w:t>
      </w:r>
    </w:p>
    <w:p w:rsidR="009C3951" w:rsidRPr="005C430B" w:rsidRDefault="009C3951" w:rsidP="004F617E">
      <w:pPr>
        <w:spacing w:after="0" w:line="360" w:lineRule="auto"/>
        <w:jc w:val="both"/>
        <w:rPr>
          <w:rFonts w:ascii="Book Antiqua" w:hAnsi="Book Antiqua" w:cs="Times New Roman"/>
          <w:sz w:val="24"/>
          <w:szCs w:val="24"/>
        </w:rPr>
      </w:pPr>
    </w:p>
    <w:p w:rsidR="00134E1D" w:rsidRDefault="00725BF4" w:rsidP="005C430B">
      <w:pPr>
        <w:spacing w:after="0" w:line="360" w:lineRule="auto"/>
        <w:jc w:val="right"/>
        <w:rPr>
          <w:rFonts w:ascii="Book Antiqua" w:hAnsi="Book Antiqua"/>
          <w:b/>
          <w:sz w:val="24"/>
          <w:szCs w:val="24"/>
          <w:lang w:eastAsia="zh-CN"/>
        </w:rPr>
      </w:pPr>
      <w:r w:rsidRPr="005C430B">
        <w:rPr>
          <w:rFonts w:ascii="Book Antiqua" w:hAnsi="Book Antiqua"/>
          <w:b/>
          <w:sz w:val="24"/>
          <w:szCs w:val="24"/>
        </w:rPr>
        <w:t>P-Reviewer:</w:t>
      </w:r>
      <w:r w:rsidRPr="005C430B">
        <w:rPr>
          <w:rFonts w:ascii="Book Antiqua" w:hAnsi="Book Antiqua"/>
          <w:sz w:val="24"/>
          <w:szCs w:val="24"/>
        </w:rPr>
        <w:t xml:space="preserve"> Blumenfeld</w:t>
      </w:r>
      <w:r w:rsidRPr="005C430B">
        <w:rPr>
          <w:rFonts w:ascii="Book Antiqua" w:hAnsi="Book Antiqua"/>
          <w:sz w:val="24"/>
          <w:szCs w:val="24"/>
          <w:lang w:eastAsia="zh-CN"/>
        </w:rPr>
        <w:t xml:space="preserve"> Z, </w:t>
      </w:r>
      <w:r w:rsidRPr="005C430B">
        <w:rPr>
          <w:rFonts w:ascii="Book Antiqua" w:hAnsi="Book Antiqua"/>
          <w:sz w:val="24"/>
          <w:szCs w:val="24"/>
        </w:rPr>
        <w:t>Mocellin</w:t>
      </w:r>
      <w:r w:rsidRPr="005C430B">
        <w:rPr>
          <w:rFonts w:ascii="Book Antiqua" w:hAnsi="Book Antiqua"/>
          <w:sz w:val="24"/>
          <w:szCs w:val="24"/>
          <w:lang w:eastAsia="zh-CN"/>
        </w:rPr>
        <w:t xml:space="preserve"> S, </w:t>
      </w:r>
      <w:r w:rsidRPr="005C430B">
        <w:rPr>
          <w:rFonts w:ascii="Book Antiqua" w:hAnsi="Book Antiqua"/>
          <w:sz w:val="24"/>
          <w:szCs w:val="24"/>
        </w:rPr>
        <w:t>Romani</w:t>
      </w:r>
      <w:r w:rsidRPr="005C430B">
        <w:rPr>
          <w:rFonts w:ascii="Book Antiqua" w:hAnsi="Book Antiqua"/>
          <w:sz w:val="24"/>
          <w:szCs w:val="24"/>
          <w:lang w:eastAsia="zh-CN"/>
        </w:rPr>
        <w:t xml:space="preserve"> A, </w:t>
      </w:r>
      <w:r w:rsidRPr="005C430B">
        <w:rPr>
          <w:rFonts w:ascii="Book Antiqua" w:hAnsi="Book Antiqua"/>
          <w:sz w:val="24"/>
          <w:szCs w:val="24"/>
        </w:rPr>
        <w:t>Shimoyama</w:t>
      </w:r>
      <w:r w:rsidRPr="005C430B">
        <w:rPr>
          <w:rFonts w:ascii="Book Antiqua" w:hAnsi="Book Antiqua"/>
          <w:sz w:val="24"/>
          <w:szCs w:val="24"/>
          <w:lang w:eastAsia="zh-CN"/>
        </w:rPr>
        <w:t xml:space="preserve"> S</w:t>
      </w:r>
      <w:r w:rsidRPr="005C430B">
        <w:rPr>
          <w:rFonts w:ascii="Book Antiqua" w:hAnsi="Book Antiqua"/>
          <w:b/>
          <w:sz w:val="24"/>
          <w:szCs w:val="24"/>
        </w:rPr>
        <w:t xml:space="preserve"> </w:t>
      </w:r>
    </w:p>
    <w:p w:rsidR="00C02D77" w:rsidRPr="005C430B" w:rsidRDefault="00725BF4" w:rsidP="005C430B">
      <w:pPr>
        <w:spacing w:after="0" w:line="360" w:lineRule="auto"/>
        <w:jc w:val="right"/>
        <w:rPr>
          <w:rFonts w:ascii="Book Antiqua" w:hAnsi="Book Antiqua" w:cs="Times New Roman"/>
          <w:sz w:val="24"/>
          <w:szCs w:val="24"/>
        </w:rPr>
      </w:pPr>
      <w:r w:rsidRPr="005C430B">
        <w:rPr>
          <w:rFonts w:ascii="Book Antiqua" w:hAnsi="Book Antiqua"/>
          <w:b/>
          <w:sz w:val="24"/>
          <w:szCs w:val="24"/>
        </w:rPr>
        <w:t xml:space="preserve">S-Editor: </w:t>
      </w:r>
      <w:r w:rsidRPr="005C430B">
        <w:rPr>
          <w:rFonts w:ascii="Book Antiqua" w:hAnsi="Book Antiqua"/>
          <w:sz w:val="24"/>
          <w:szCs w:val="24"/>
        </w:rPr>
        <w:t>Ji FF</w:t>
      </w:r>
      <w:r w:rsidRPr="005C430B">
        <w:rPr>
          <w:rFonts w:ascii="Book Antiqua" w:hAnsi="Book Antiqua"/>
          <w:b/>
          <w:sz w:val="24"/>
          <w:szCs w:val="24"/>
        </w:rPr>
        <w:t xml:space="preserve"> L-Editor: E-Editor:</w:t>
      </w:r>
    </w:p>
    <w:p w:rsidR="000D7B4D" w:rsidRPr="005C430B" w:rsidRDefault="000D7B4D" w:rsidP="00201740">
      <w:pPr>
        <w:spacing w:after="0" w:line="360" w:lineRule="auto"/>
        <w:jc w:val="both"/>
        <w:rPr>
          <w:rFonts w:ascii="Book Antiqua" w:hAnsi="Book Antiqua" w:cs="Times New Roman"/>
          <w:sz w:val="24"/>
          <w:szCs w:val="24"/>
        </w:rPr>
      </w:pPr>
    </w:p>
    <w:p w:rsidR="000D7B4D" w:rsidRPr="005C430B" w:rsidRDefault="000D7B4D" w:rsidP="00201740">
      <w:pPr>
        <w:spacing w:after="0" w:line="360" w:lineRule="auto"/>
        <w:jc w:val="both"/>
        <w:rPr>
          <w:rFonts w:ascii="Book Antiqua" w:hAnsi="Book Antiqua" w:cs="Times New Roman"/>
          <w:sz w:val="24"/>
          <w:szCs w:val="24"/>
        </w:rPr>
      </w:pPr>
    </w:p>
    <w:p w:rsidR="004B32D7" w:rsidRPr="005C430B" w:rsidRDefault="004B32D7">
      <w:pPr>
        <w:rPr>
          <w:rFonts w:ascii="Book Antiqua" w:hAnsi="Book Antiqua" w:cs="Times New Roman"/>
          <w:b/>
          <w:sz w:val="24"/>
          <w:szCs w:val="24"/>
        </w:rPr>
      </w:pPr>
      <w:r w:rsidRPr="005C430B">
        <w:rPr>
          <w:rFonts w:ascii="Book Antiqua" w:hAnsi="Book Antiqua" w:cs="Times New Roman"/>
          <w:b/>
          <w:sz w:val="24"/>
          <w:szCs w:val="24"/>
        </w:rPr>
        <w:br w:type="page"/>
      </w:r>
    </w:p>
    <w:p w:rsidR="00B63A9A" w:rsidRPr="005C430B" w:rsidRDefault="004B32D7"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lastRenderedPageBreak/>
        <w:t>Table 1</w:t>
      </w:r>
      <w:r w:rsidR="00B63A9A" w:rsidRPr="005C430B">
        <w:rPr>
          <w:rFonts w:ascii="Book Antiqua" w:hAnsi="Book Antiqua" w:cs="Times New Roman"/>
          <w:b/>
          <w:sz w:val="24"/>
          <w:szCs w:val="24"/>
        </w:rPr>
        <w:t xml:space="preserve"> Randomized studies of chemotherapy in upfront treatment of Ewing sarcoma family tumors</w:t>
      </w:r>
    </w:p>
    <w:tbl>
      <w:tblPr>
        <w:tblStyle w:val="TableGrid"/>
        <w:tblW w:w="5000" w:type="pct"/>
        <w:tblLook w:val="04A0" w:firstRow="1" w:lastRow="0" w:firstColumn="1" w:lastColumn="0" w:noHBand="0" w:noVBand="1"/>
      </w:tblPr>
      <w:tblGrid>
        <w:gridCol w:w="1662"/>
        <w:gridCol w:w="1311"/>
        <w:gridCol w:w="2340"/>
        <w:gridCol w:w="1216"/>
        <w:gridCol w:w="756"/>
        <w:gridCol w:w="2291"/>
      </w:tblGrid>
      <w:tr w:rsidR="005C430B" w:rsidRPr="005C430B" w:rsidTr="00D12D00">
        <w:tc>
          <w:tcPr>
            <w:tcW w:w="522" w:type="pct"/>
          </w:tcPr>
          <w:p w:rsidR="00B63A9A" w:rsidRPr="005C430B" w:rsidRDefault="00B63A9A"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Study</w:t>
            </w:r>
          </w:p>
        </w:tc>
        <w:tc>
          <w:tcPr>
            <w:tcW w:w="706" w:type="pct"/>
          </w:tcPr>
          <w:p w:rsidR="00B63A9A" w:rsidRPr="005C430B" w:rsidRDefault="00B63A9A" w:rsidP="004B32D7">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Patients (</w:t>
            </w:r>
            <w:r w:rsidR="004B32D7" w:rsidRPr="005C430B">
              <w:rPr>
                <w:rFonts w:ascii="Book Antiqua" w:hAnsi="Book Antiqua" w:cs="Times New Roman"/>
                <w:b/>
                <w:i/>
                <w:sz w:val="24"/>
                <w:szCs w:val="24"/>
                <w:lang w:eastAsia="zh-CN"/>
              </w:rPr>
              <w:t>n</w:t>
            </w:r>
            <w:r w:rsidRPr="005C430B">
              <w:rPr>
                <w:rFonts w:ascii="Book Antiqua" w:hAnsi="Book Antiqua" w:cs="Times New Roman"/>
                <w:b/>
                <w:sz w:val="24"/>
                <w:szCs w:val="24"/>
              </w:rPr>
              <w:t>)</w:t>
            </w:r>
          </w:p>
        </w:tc>
        <w:tc>
          <w:tcPr>
            <w:tcW w:w="1579" w:type="pct"/>
          </w:tcPr>
          <w:p w:rsidR="00B63A9A" w:rsidRPr="005C430B" w:rsidRDefault="00B63A9A" w:rsidP="0098337D">
            <w:pPr>
              <w:spacing w:line="360" w:lineRule="auto"/>
              <w:jc w:val="both"/>
              <w:rPr>
                <w:rFonts w:ascii="Book Antiqua" w:hAnsi="Book Antiqua" w:cs="Times New Roman"/>
                <w:b/>
                <w:sz w:val="24"/>
                <w:szCs w:val="24"/>
                <w:lang w:eastAsia="zh-CN"/>
              </w:rPr>
            </w:pPr>
            <w:r w:rsidRPr="005C430B">
              <w:rPr>
                <w:rFonts w:ascii="Book Antiqua" w:hAnsi="Book Antiqua" w:cs="Times New Roman"/>
                <w:b/>
                <w:sz w:val="24"/>
                <w:szCs w:val="24"/>
              </w:rPr>
              <w:t>Intervention</w:t>
            </w:r>
            <w:r w:rsidR="0098337D" w:rsidRPr="005C430B">
              <w:rPr>
                <w:rFonts w:ascii="Book Antiqua" w:hAnsi="Book Antiqua" w:cs="Times New Roman"/>
                <w:b/>
                <w:sz w:val="24"/>
                <w:szCs w:val="24"/>
                <w:vertAlign w:val="superscript"/>
                <w:lang w:eastAsia="zh-CN"/>
              </w:rPr>
              <w:t>1</w:t>
            </w:r>
          </w:p>
        </w:tc>
        <w:tc>
          <w:tcPr>
            <w:tcW w:w="661" w:type="pct"/>
          </w:tcPr>
          <w:p w:rsidR="00B63A9A" w:rsidRPr="005C430B" w:rsidRDefault="00B63A9A"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Outcome</w:t>
            </w:r>
          </w:p>
        </w:tc>
        <w:tc>
          <w:tcPr>
            <w:tcW w:w="302" w:type="pct"/>
          </w:tcPr>
          <w:p w:rsidR="00B63A9A" w:rsidRPr="005C430B" w:rsidRDefault="00B63A9A" w:rsidP="00201740">
            <w:pPr>
              <w:spacing w:line="360" w:lineRule="auto"/>
              <w:jc w:val="both"/>
              <w:rPr>
                <w:rFonts w:ascii="Book Antiqua" w:hAnsi="Book Antiqua" w:cs="Times New Roman"/>
                <w:b/>
                <w:i/>
                <w:sz w:val="24"/>
                <w:szCs w:val="24"/>
              </w:rPr>
            </w:pPr>
            <w:r w:rsidRPr="005C430B">
              <w:rPr>
                <w:rFonts w:ascii="Book Antiqua" w:hAnsi="Book Antiqua" w:cs="Times New Roman"/>
                <w:b/>
                <w:i/>
                <w:sz w:val="24"/>
                <w:szCs w:val="24"/>
              </w:rPr>
              <w:t>P</w:t>
            </w:r>
          </w:p>
        </w:tc>
        <w:tc>
          <w:tcPr>
            <w:tcW w:w="1230" w:type="pct"/>
          </w:tcPr>
          <w:p w:rsidR="00B63A9A" w:rsidRPr="005C430B" w:rsidRDefault="00B63A9A"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 xml:space="preserve">Comments </w:t>
            </w:r>
          </w:p>
        </w:tc>
      </w:tr>
      <w:tr w:rsidR="005C430B" w:rsidRPr="005C430B" w:rsidTr="00D12D00">
        <w:tc>
          <w:tcPr>
            <w:tcW w:w="522" w:type="pct"/>
          </w:tcPr>
          <w:p w:rsidR="00B63A9A" w:rsidRPr="005C430B" w:rsidRDefault="004B32D7"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IESS I</w:t>
            </w:r>
            <w:r w:rsidR="00B63A9A" w:rsidRPr="005C430B">
              <w:rPr>
                <w:rFonts w:ascii="Book Antiqua" w:hAnsi="Book Antiqua" w:cs="Times New Roman"/>
                <w:sz w:val="24"/>
                <w:szCs w:val="24"/>
                <w:vertAlign w:val="superscript"/>
              </w:rPr>
              <w:t>[78]</w:t>
            </w:r>
          </w:p>
        </w:tc>
        <w:tc>
          <w:tcPr>
            <w:tcW w:w="706"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Localized (342)</w:t>
            </w:r>
          </w:p>
        </w:tc>
        <w:tc>
          <w:tcPr>
            <w:tcW w:w="1579" w:type="pct"/>
          </w:tcPr>
          <w:p w:rsidR="00B63A9A" w:rsidRPr="005C430B" w:rsidRDefault="00B63A9A" w:rsidP="00201740">
            <w:pPr>
              <w:pStyle w:val="ListParagraph"/>
              <w:spacing w:line="360" w:lineRule="auto"/>
              <w:ind w:left="0"/>
              <w:jc w:val="both"/>
              <w:rPr>
                <w:rFonts w:ascii="Book Antiqua" w:hAnsi="Book Antiqua" w:cs="Times New Roman"/>
                <w:sz w:val="24"/>
                <w:szCs w:val="24"/>
              </w:rPr>
            </w:pPr>
          </w:p>
          <w:p w:rsidR="00B63A9A" w:rsidRPr="005C430B" w:rsidRDefault="00B63A9A" w:rsidP="00201740">
            <w:pPr>
              <w:pStyle w:val="ListParagraph"/>
              <w:numPr>
                <w:ilvl w:val="0"/>
                <w:numId w:val="1"/>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VAC</w:t>
            </w:r>
          </w:p>
          <w:p w:rsidR="00B63A9A" w:rsidRPr="005C430B" w:rsidRDefault="00B63A9A" w:rsidP="00201740">
            <w:pPr>
              <w:pStyle w:val="ListParagraph"/>
              <w:numPr>
                <w:ilvl w:val="0"/>
                <w:numId w:val="1"/>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VACD</w:t>
            </w:r>
          </w:p>
          <w:p w:rsidR="00B63A9A" w:rsidRPr="005C430B" w:rsidRDefault="00B63A9A" w:rsidP="00201740">
            <w:pPr>
              <w:pStyle w:val="ListParagraph"/>
              <w:numPr>
                <w:ilvl w:val="0"/>
                <w:numId w:val="1"/>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VAC + Lung RT</w:t>
            </w:r>
          </w:p>
        </w:tc>
        <w:tc>
          <w:tcPr>
            <w:tcW w:w="661" w:type="pct"/>
          </w:tcPr>
          <w:p w:rsidR="00B63A9A" w:rsidRPr="005C430B" w:rsidRDefault="00284749"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5-y</w:t>
            </w:r>
            <w:r w:rsidR="00B63A9A" w:rsidRPr="005C430B">
              <w:rPr>
                <w:rFonts w:ascii="Book Antiqua" w:hAnsi="Book Antiqua" w:cs="Times New Roman"/>
                <w:sz w:val="24"/>
                <w:szCs w:val="24"/>
              </w:rPr>
              <w:t>r RFS</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24%</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60%</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44%</w:t>
            </w:r>
          </w:p>
          <w:p w:rsidR="00B63A9A" w:rsidRPr="005C430B" w:rsidRDefault="00B63A9A" w:rsidP="00201740">
            <w:pPr>
              <w:spacing w:line="360" w:lineRule="auto"/>
              <w:jc w:val="both"/>
              <w:rPr>
                <w:rFonts w:ascii="Book Antiqua" w:hAnsi="Book Antiqua" w:cs="Times New Roman"/>
                <w:sz w:val="24"/>
                <w:szCs w:val="24"/>
              </w:rPr>
            </w:pPr>
          </w:p>
        </w:tc>
        <w:tc>
          <w:tcPr>
            <w:tcW w:w="302" w:type="pct"/>
          </w:tcPr>
          <w:p w:rsidR="00B63A9A" w:rsidRPr="005C430B" w:rsidRDefault="00B63A9A" w:rsidP="00201740">
            <w:pPr>
              <w:spacing w:line="360" w:lineRule="auto"/>
              <w:jc w:val="both"/>
              <w:rPr>
                <w:rFonts w:ascii="Book Antiqua" w:hAnsi="Book Antiqua" w:cs="Times New Roman"/>
                <w:sz w:val="24"/>
                <w:szCs w:val="24"/>
              </w:rPr>
            </w:pPr>
          </w:p>
          <w:p w:rsidR="00B63A9A" w:rsidRPr="005C430B" w:rsidRDefault="00B63A9A" w:rsidP="00201740">
            <w:pPr>
              <w:spacing w:line="360" w:lineRule="auto"/>
              <w:jc w:val="both"/>
              <w:rPr>
                <w:rFonts w:ascii="Book Antiqua" w:hAnsi="Book Antiqua" w:cs="Times New Roman"/>
                <w:sz w:val="24"/>
                <w:szCs w:val="24"/>
              </w:rPr>
            </w:pP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t>
            </w:r>
          </w:p>
        </w:tc>
        <w:tc>
          <w:tcPr>
            <w:tcW w:w="1230"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Beneficial of doxorubicin and benefit of lung RT</w:t>
            </w:r>
          </w:p>
        </w:tc>
      </w:tr>
      <w:tr w:rsidR="005C430B" w:rsidRPr="005C430B" w:rsidTr="00D12D00">
        <w:tc>
          <w:tcPr>
            <w:tcW w:w="522" w:type="pct"/>
          </w:tcPr>
          <w:p w:rsidR="00B63A9A" w:rsidRPr="005C430B" w:rsidRDefault="00284749"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IESS II</w:t>
            </w:r>
            <w:r w:rsidR="00B63A9A" w:rsidRPr="005C430B">
              <w:rPr>
                <w:rFonts w:ascii="Book Antiqua" w:hAnsi="Book Antiqua" w:cs="Times New Roman"/>
                <w:sz w:val="24"/>
                <w:szCs w:val="24"/>
                <w:vertAlign w:val="superscript"/>
              </w:rPr>
              <w:t>[29]</w:t>
            </w:r>
          </w:p>
        </w:tc>
        <w:tc>
          <w:tcPr>
            <w:tcW w:w="706"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Non-pelvic, localized (214)</w:t>
            </w:r>
          </w:p>
        </w:tc>
        <w:tc>
          <w:tcPr>
            <w:tcW w:w="1579"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                    VACD</w:t>
            </w:r>
          </w:p>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 1</w:t>
            </w:r>
            <w:r w:rsidR="00B63A9A" w:rsidRPr="005C430B">
              <w:rPr>
                <w:rFonts w:ascii="Book Antiqua" w:hAnsi="Book Antiqua" w:cs="Times New Roman"/>
                <w:sz w:val="24"/>
                <w:szCs w:val="24"/>
              </w:rPr>
              <w:t xml:space="preserve"> Intermittent, high dose (3 weekly)</w:t>
            </w:r>
          </w:p>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 2</w:t>
            </w:r>
            <w:r w:rsidR="00B63A9A" w:rsidRPr="005C430B">
              <w:rPr>
                <w:rFonts w:ascii="Book Antiqua" w:hAnsi="Book Antiqua" w:cs="Times New Roman"/>
                <w:sz w:val="24"/>
                <w:szCs w:val="24"/>
              </w:rPr>
              <w:t xml:space="preserve"> Continuous, moderate dose (weekly)</w:t>
            </w:r>
          </w:p>
        </w:tc>
        <w:tc>
          <w:tcPr>
            <w:tcW w:w="661"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5-y</w:t>
            </w:r>
            <w:r w:rsidR="00B63A9A" w:rsidRPr="005C430B">
              <w:rPr>
                <w:rFonts w:ascii="Book Antiqua" w:hAnsi="Book Antiqua" w:cs="Times New Roman"/>
                <w:sz w:val="24"/>
                <w:szCs w:val="24"/>
              </w:rPr>
              <w:t>r RFS</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73%</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56%</w:t>
            </w:r>
          </w:p>
          <w:p w:rsidR="00B63A9A" w:rsidRPr="005C430B" w:rsidRDefault="00B63A9A" w:rsidP="00201740">
            <w:pPr>
              <w:spacing w:line="360" w:lineRule="auto"/>
              <w:jc w:val="both"/>
              <w:rPr>
                <w:rFonts w:ascii="Book Antiqua" w:hAnsi="Book Antiqua" w:cs="Times New Roman"/>
                <w:sz w:val="24"/>
                <w:szCs w:val="24"/>
              </w:rPr>
            </w:pPr>
          </w:p>
        </w:tc>
        <w:tc>
          <w:tcPr>
            <w:tcW w:w="30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0.04</w:t>
            </w:r>
          </w:p>
        </w:tc>
        <w:tc>
          <w:tcPr>
            <w:tcW w:w="1230"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Intermittent, high dose better</w:t>
            </w:r>
          </w:p>
        </w:tc>
      </w:tr>
      <w:tr w:rsidR="005C430B" w:rsidRPr="005C430B" w:rsidTr="00D12D00">
        <w:tc>
          <w:tcPr>
            <w:tcW w:w="522" w:type="pct"/>
            <w:vMerge w:val="restar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POG-CCSG</w:t>
            </w:r>
          </w:p>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INT-0091</w:t>
            </w:r>
            <w:r w:rsidR="00B63A9A" w:rsidRPr="005C430B">
              <w:rPr>
                <w:rFonts w:ascii="Book Antiqua" w:hAnsi="Book Antiqua" w:cs="Times New Roman"/>
                <w:sz w:val="24"/>
                <w:szCs w:val="24"/>
                <w:vertAlign w:val="superscript"/>
              </w:rPr>
              <w:t>[6]</w:t>
            </w:r>
          </w:p>
        </w:tc>
        <w:tc>
          <w:tcPr>
            <w:tcW w:w="706"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Localized (398)</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 </w:t>
            </w:r>
          </w:p>
        </w:tc>
        <w:tc>
          <w:tcPr>
            <w:tcW w:w="1579" w:type="pct"/>
          </w:tcPr>
          <w:p w:rsidR="00B63A9A" w:rsidRPr="005C430B" w:rsidRDefault="00B63A9A" w:rsidP="00201740">
            <w:pPr>
              <w:pStyle w:val="ListParagraph"/>
              <w:spacing w:line="360" w:lineRule="auto"/>
              <w:ind w:left="0"/>
              <w:jc w:val="both"/>
              <w:rPr>
                <w:rFonts w:ascii="Book Antiqua" w:hAnsi="Book Antiqua" w:cs="Times New Roman"/>
                <w:sz w:val="24"/>
                <w:szCs w:val="24"/>
              </w:rPr>
            </w:pPr>
          </w:p>
          <w:p w:rsidR="00B63A9A" w:rsidRPr="005C430B" w:rsidRDefault="00B63A9A" w:rsidP="00201740">
            <w:pPr>
              <w:pStyle w:val="ListParagraph"/>
              <w:numPr>
                <w:ilvl w:val="0"/>
                <w:numId w:val="2"/>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w:t>
            </w:r>
          </w:p>
          <w:p w:rsidR="00B63A9A" w:rsidRPr="005C430B" w:rsidRDefault="00B63A9A" w:rsidP="00201740">
            <w:pPr>
              <w:pStyle w:val="ListParagraph"/>
              <w:numPr>
                <w:ilvl w:val="0"/>
                <w:numId w:val="2"/>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 + IE</w:t>
            </w:r>
          </w:p>
        </w:tc>
        <w:tc>
          <w:tcPr>
            <w:tcW w:w="661"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5-y</w:t>
            </w:r>
            <w:r w:rsidR="00B63A9A" w:rsidRPr="005C430B">
              <w:rPr>
                <w:rFonts w:ascii="Book Antiqua" w:hAnsi="Book Antiqua" w:cs="Times New Roman"/>
                <w:sz w:val="24"/>
                <w:szCs w:val="24"/>
              </w:rPr>
              <w:t>r RFS</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54%</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69%</w:t>
            </w:r>
          </w:p>
        </w:tc>
        <w:tc>
          <w:tcPr>
            <w:tcW w:w="30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0.005</w:t>
            </w:r>
          </w:p>
        </w:tc>
        <w:tc>
          <w:tcPr>
            <w:tcW w:w="1230" w:type="pct"/>
            <w:vMerge w:val="restar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IE is beneficial in addition to VDC in localized but not in metastatic disease</w:t>
            </w:r>
          </w:p>
        </w:tc>
      </w:tr>
      <w:tr w:rsidR="005C430B" w:rsidRPr="005C430B" w:rsidTr="00D12D00">
        <w:trPr>
          <w:trHeight w:val="562"/>
        </w:trPr>
        <w:tc>
          <w:tcPr>
            <w:tcW w:w="522" w:type="pct"/>
            <w:vMerge/>
            <w:tcBorders>
              <w:bottom w:val="single" w:sz="4" w:space="0" w:color="auto"/>
            </w:tcBorders>
          </w:tcPr>
          <w:p w:rsidR="00B63A9A" w:rsidRPr="005C430B" w:rsidRDefault="00B63A9A" w:rsidP="00201740">
            <w:pPr>
              <w:spacing w:line="360" w:lineRule="auto"/>
              <w:jc w:val="both"/>
              <w:rPr>
                <w:rFonts w:ascii="Book Antiqua" w:hAnsi="Book Antiqua" w:cs="Times New Roman"/>
                <w:sz w:val="24"/>
                <w:szCs w:val="24"/>
              </w:rPr>
            </w:pPr>
          </w:p>
        </w:tc>
        <w:tc>
          <w:tcPr>
            <w:tcW w:w="706" w:type="pct"/>
            <w:tcBorders>
              <w:bottom w:val="single" w:sz="4" w:space="0" w:color="auto"/>
            </w:tcBorders>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Metastatic (120)</w:t>
            </w:r>
          </w:p>
        </w:tc>
        <w:tc>
          <w:tcPr>
            <w:tcW w:w="1579" w:type="pct"/>
            <w:tcBorders>
              <w:bottom w:val="single" w:sz="4" w:space="0" w:color="auto"/>
            </w:tcBorders>
          </w:tcPr>
          <w:p w:rsidR="00B63A9A" w:rsidRPr="005C430B" w:rsidRDefault="00B63A9A" w:rsidP="00201740">
            <w:pPr>
              <w:pStyle w:val="ListParagraph"/>
              <w:numPr>
                <w:ilvl w:val="0"/>
                <w:numId w:val="3"/>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w:t>
            </w:r>
          </w:p>
          <w:p w:rsidR="00B63A9A" w:rsidRPr="005C430B" w:rsidRDefault="00B63A9A" w:rsidP="00201740">
            <w:pPr>
              <w:pStyle w:val="ListParagraph"/>
              <w:numPr>
                <w:ilvl w:val="0"/>
                <w:numId w:val="3"/>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 + IE</w:t>
            </w:r>
          </w:p>
        </w:tc>
        <w:tc>
          <w:tcPr>
            <w:tcW w:w="661" w:type="pct"/>
            <w:tcBorders>
              <w:bottom w:val="single" w:sz="4" w:space="0" w:color="auto"/>
            </w:tcBorders>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22%</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22%</w:t>
            </w:r>
          </w:p>
          <w:p w:rsidR="00B63A9A" w:rsidRPr="005C430B" w:rsidRDefault="00B63A9A" w:rsidP="00201740">
            <w:pPr>
              <w:spacing w:line="360" w:lineRule="auto"/>
              <w:jc w:val="both"/>
              <w:rPr>
                <w:rFonts w:ascii="Book Antiqua" w:hAnsi="Book Antiqua" w:cs="Times New Roman"/>
                <w:sz w:val="24"/>
                <w:szCs w:val="24"/>
              </w:rPr>
            </w:pPr>
          </w:p>
        </w:tc>
        <w:tc>
          <w:tcPr>
            <w:tcW w:w="302" w:type="pct"/>
            <w:tcBorders>
              <w:bottom w:val="single" w:sz="4" w:space="0" w:color="auto"/>
            </w:tcBorders>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NS</w:t>
            </w:r>
          </w:p>
        </w:tc>
        <w:tc>
          <w:tcPr>
            <w:tcW w:w="1230" w:type="pct"/>
            <w:vMerge/>
            <w:tcBorders>
              <w:bottom w:val="single" w:sz="4" w:space="0" w:color="auto"/>
            </w:tcBorders>
          </w:tcPr>
          <w:p w:rsidR="00B63A9A" w:rsidRPr="005C430B" w:rsidRDefault="00B63A9A" w:rsidP="00201740">
            <w:pPr>
              <w:spacing w:line="360" w:lineRule="auto"/>
              <w:jc w:val="both"/>
              <w:rPr>
                <w:rFonts w:ascii="Book Antiqua" w:hAnsi="Book Antiqua" w:cs="Times New Roman"/>
                <w:sz w:val="24"/>
                <w:szCs w:val="24"/>
              </w:rPr>
            </w:pPr>
          </w:p>
        </w:tc>
      </w:tr>
      <w:tr w:rsidR="005C430B" w:rsidRPr="005C430B" w:rsidTr="00D12D00">
        <w:trPr>
          <w:trHeight w:val="935"/>
        </w:trPr>
        <w:tc>
          <w:tcPr>
            <w:tcW w:w="52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POG-CCSG</w:t>
            </w:r>
          </w:p>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INT-154</w:t>
            </w:r>
            <w:r w:rsidR="00B63A9A" w:rsidRPr="005C430B">
              <w:rPr>
                <w:rFonts w:ascii="Book Antiqua" w:hAnsi="Book Antiqua" w:cs="Times New Roman"/>
                <w:sz w:val="24"/>
                <w:szCs w:val="24"/>
                <w:vertAlign w:val="superscript"/>
              </w:rPr>
              <w:t>[32]</w:t>
            </w:r>
          </w:p>
        </w:tc>
        <w:tc>
          <w:tcPr>
            <w:tcW w:w="706"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Localized (478)</w:t>
            </w:r>
          </w:p>
        </w:tc>
        <w:tc>
          <w:tcPr>
            <w:tcW w:w="1579" w:type="pct"/>
          </w:tcPr>
          <w:p w:rsidR="00B63A9A" w:rsidRPr="005C430B" w:rsidRDefault="00B63A9A" w:rsidP="00201740">
            <w:pPr>
              <w:pStyle w:val="ListParagraph"/>
              <w:spacing w:line="360" w:lineRule="auto"/>
              <w:ind w:left="0"/>
              <w:jc w:val="both"/>
              <w:rPr>
                <w:rFonts w:ascii="Book Antiqua" w:hAnsi="Book Antiqua" w:cs="Times New Roman"/>
                <w:sz w:val="24"/>
                <w:szCs w:val="24"/>
              </w:rPr>
            </w:pPr>
          </w:p>
          <w:p w:rsidR="00B63A9A" w:rsidRPr="005C430B" w:rsidRDefault="00B63A9A" w:rsidP="00201740">
            <w:pPr>
              <w:pStyle w:val="ListParagraph"/>
              <w:numPr>
                <w:ilvl w:val="0"/>
                <w:numId w:val="4"/>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 + IE (standard)</w:t>
            </w:r>
          </w:p>
          <w:p w:rsidR="00B63A9A" w:rsidRPr="005C430B" w:rsidRDefault="00B63A9A" w:rsidP="00201740">
            <w:pPr>
              <w:pStyle w:val="ListParagraph"/>
              <w:numPr>
                <w:ilvl w:val="0"/>
                <w:numId w:val="4"/>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 + IE (intensified)</w:t>
            </w:r>
          </w:p>
        </w:tc>
        <w:tc>
          <w:tcPr>
            <w:tcW w:w="661"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5-y</w:t>
            </w:r>
            <w:r w:rsidR="00B63A9A" w:rsidRPr="005C430B">
              <w:rPr>
                <w:rFonts w:ascii="Book Antiqua" w:hAnsi="Book Antiqua" w:cs="Times New Roman"/>
                <w:sz w:val="24"/>
                <w:szCs w:val="24"/>
              </w:rPr>
              <w:t>r EFS</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70%</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72%</w:t>
            </w:r>
          </w:p>
        </w:tc>
        <w:tc>
          <w:tcPr>
            <w:tcW w:w="30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NS</w:t>
            </w:r>
          </w:p>
        </w:tc>
        <w:tc>
          <w:tcPr>
            <w:tcW w:w="1230"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Dose intensification not effective</w:t>
            </w:r>
          </w:p>
        </w:tc>
      </w:tr>
      <w:tr w:rsidR="005C430B" w:rsidRPr="005C430B" w:rsidTr="00D12D00">
        <w:trPr>
          <w:trHeight w:val="828"/>
        </w:trPr>
        <w:tc>
          <w:tcPr>
            <w:tcW w:w="52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COG</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AEWS0031</w:t>
            </w:r>
            <w:r w:rsidRPr="005C430B">
              <w:rPr>
                <w:rFonts w:ascii="Book Antiqua" w:hAnsi="Book Antiqua" w:cs="Times New Roman"/>
                <w:sz w:val="24"/>
                <w:szCs w:val="24"/>
                <w:vertAlign w:val="superscript"/>
              </w:rPr>
              <w:t>[33]</w:t>
            </w:r>
          </w:p>
        </w:tc>
        <w:tc>
          <w:tcPr>
            <w:tcW w:w="706"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Localized (568)</w:t>
            </w:r>
          </w:p>
        </w:tc>
        <w:tc>
          <w:tcPr>
            <w:tcW w:w="1579" w:type="pct"/>
          </w:tcPr>
          <w:p w:rsidR="00B63A9A" w:rsidRPr="005C430B" w:rsidRDefault="00B63A9A" w:rsidP="00201740">
            <w:pPr>
              <w:spacing w:line="360" w:lineRule="auto"/>
              <w:jc w:val="both"/>
              <w:rPr>
                <w:rFonts w:ascii="Book Antiqua" w:hAnsi="Book Antiqua" w:cs="Times New Roman"/>
                <w:sz w:val="24"/>
                <w:szCs w:val="24"/>
              </w:rPr>
            </w:pPr>
          </w:p>
          <w:p w:rsidR="00B63A9A" w:rsidRPr="005C430B" w:rsidRDefault="00B63A9A" w:rsidP="00201740">
            <w:pPr>
              <w:pStyle w:val="ListParagraph"/>
              <w:numPr>
                <w:ilvl w:val="0"/>
                <w:numId w:val="5"/>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t>VDC + IE (3 weekly)</w:t>
            </w:r>
          </w:p>
          <w:p w:rsidR="00B63A9A" w:rsidRPr="005C430B" w:rsidRDefault="00B63A9A" w:rsidP="00201740">
            <w:pPr>
              <w:pStyle w:val="ListParagraph"/>
              <w:numPr>
                <w:ilvl w:val="0"/>
                <w:numId w:val="5"/>
              </w:numPr>
              <w:spacing w:line="360" w:lineRule="auto"/>
              <w:ind w:left="0" w:firstLine="0"/>
              <w:jc w:val="both"/>
              <w:rPr>
                <w:rFonts w:ascii="Book Antiqua" w:hAnsi="Book Antiqua" w:cs="Times New Roman"/>
                <w:sz w:val="24"/>
                <w:szCs w:val="24"/>
              </w:rPr>
            </w:pPr>
            <w:r w:rsidRPr="005C430B">
              <w:rPr>
                <w:rFonts w:ascii="Book Antiqua" w:hAnsi="Book Antiqua" w:cs="Times New Roman"/>
                <w:sz w:val="24"/>
                <w:szCs w:val="24"/>
              </w:rPr>
              <w:lastRenderedPageBreak/>
              <w:t>VDC + IE (2 weekly)</w:t>
            </w:r>
          </w:p>
          <w:p w:rsidR="00B63A9A" w:rsidRPr="005C430B" w:rsidRDefault="00B63A9A" w:rsidP="00201740">
            <w:pPr>
              <w:pStyle w:val="ListParagraph"/>
              <w:spacing w:line="360" w:lineRule="auto"/>
              <w:ind w:left="0"/>
              <w:jc w:val="both"/>
              <w:rPr>
                <w:rFonts w:ascii="Book Antiqua" w:hAnsi="Book Antiqua" w:cs="Times New Roman"/>
                <w:sz w:val="24"/>
                <w:szCs w:val="24"/>
              </w:rPr>
            </w:pPr>
          </w:p>
        </w:tc>
        <w:tc>
          <w:tcPr>
            <w:tcW w:w="661"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lastRenderedPageBreak/>
              <w:t>5-y</w:t>
            </w:r>
            <w:r w:rsidR="00B63A9A" w:rsidRPr="005C430B">
              <w:rPr>
                <w:rFonts w:ascii="Book Antiqua" w:hAnsi="Book Antiqua" w:cs="Times New Roman"/>
                <w:sz w:val="24"/>
                <w:szCs w:val="24"/>
              </w:rPr>
              <w:t>r EFS</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65%</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73%</w:t>
            </w:r>
          </w:p>
        </w:tc>
        <w:tc>
          <w:tcPr>
            <w:tcW w:w="30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0.05</w:t>
            </w:r>
          </w:p>
        </w:tc>
        <w:tc>
          <w:tcPr>
            <w:tcW w:w="1230"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3-weekly better than 2-weekly with no increase in </w:t>
            </w:r>
            <w:r w:rsidRPr="005C430B">
              <w:rPr>
                <w:rFonts w:ascii="Book Antiqua" w:hAnsi="Book Antiqua" w:cs="Times New Roman"/>
                <w:sz w:val="24"/>
                <w:szCs w:val="24"/>
              </w:rPr>
              <w:lastRenderedPageBreak/>
              <w:t>toxicity</w:t>
            </w:r>
          </w:p>
        </w:tc>
      </w:tr>
      <w:tr w:rsidR="005C430B" w:rsidRPr="005C430B" w:rsidTr="00D12D00">
        <w:trPr>
          <w:trHeight w:val="828"/>
        </w:trPr>
        <w:tc>
          <w:tcPr>
            <w:tcW w:w="522" w:type="pct"/>
            <w:vMerge w:val="restar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lastRenderedPageBreak/>
              <w:t>EICESS92</w:t>
            </w:r>
            <w:r w:rsidR="00B63A9A" w:rsidRPr="005C430B">
              <w:rPr>
                <w:rFonts w:ascii="Book Antiqua" w:hAnsi="Book Antiqua" w:cs="Times New Roman"/>
                <w:sz w:val="24"/>
                <w:szCs w:val="24"/>
                <w:vertAlign w:val="superscript"/>
              </w:rPr>
              <w:t>[7]</w:t>
            </w:r>
          </w:p>
        </w:tc>
        <w:tc>
          <w:tcPr>
            <w:tcW w:w="706"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i/>
                <w:sz w:val="24"/>
                <w:szCs w:val="24"/>
              </w:rPr>
              <w:t>n</w:t>
            </w:r>
            <w:r w:rsidR="00B63A9A" w:rsidRPr="005C430B">
              <w:rPr>
                <w:rFonts w:ascii="Book Antiqua" w:hAnsi="Book Antiqua" w:cs="Times New Roman"/>
                <w:sz w:val="24"/>
                <w:szCs w:val="24"/>
              </w:rPr>
              <w:t xml:space="preserve"> = 155</w:t>
            </w:r>
          </w:p>
        </w:tc>
        <w:tc>
          <w:tcPr>
            <w:tcW w:w="1579"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SR (localized and &lt;</w:t>
            </w:r>
            <w:r w:rsidR="001675EC"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100 m</w:t>
            </w:r>
            <w:r w:rsidR="001675EC" w:rsidRPr="005C430B">
              <w:rPr>
                <w:rFonts w:ascii="Book Antiqua" w:hAnsi="Book Antiqua" w:cs="Times New Roman"/>
                <w:sz w:val="24"/>
                <w:szCs w:val="24"/>
              </w:rPr>
              <w:t>L</w:t>
            </w:r>
            <w:r w:rsidRPr="005C430B">
              <w:rPr>
                <w:rFonts w:ascii="Book Antiqua" w:hAnsi="Book Antiqua" w:cs="Times New Roman"/>
                <w:sz w:val="24"/>
                <w:szCs w:val="24"/>
              </w:rPr>
              <w:t>)</w:t>
            </w:r>
          </w:p>
          <w:p w:rsidR="00B63A9A"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631190</wp:posOffset>
                      </wp:positionH>
                      <wp:positionV relativeFrom="paragraph">
                        <wp:posOffset>96520</wp:posOffset>
                      </wp:positionV>
                      <wp:extent cx="228600" cy="0"/>
                      <wp:effectExtent l="8890" t="45720" r="29210" b="812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9.7pt;margin-top:7.6pt;width:1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">
                      <v:stroke endarrow="block"/>
                    </v:shape>
                  </w:pict>
                </mc:Fallback>
              </mc:AlternateContent>
            </w:r>
            <w:r w:rsidR="00B63A9A" w:rsidRPr="005C430B">
              <w:rPr>
                <w:rFonts w:ascii="Book Antiqua" w:hAnsi="Book Antiqua" w:cs="Times New Roman"/>
                <w:sz w:val="24"/>
                <w:szCs w:val="24"/>
              </w:rPr>
              <w:t xml:space="preserve"> 4#VAIA         8# VAIA </w:t>
            </w:r>
            <w:r w:rsidR="00B63A9A" w:rsidRPr="005C430B">
              <w:rPr>
                <w:rFonts w:ascii="Book Antiqua" w:hAnsi="Book Antiqua" w:cs="Times New Roman"/>
                <w:i/>
                <w:sz w:val="24"/>
                <w:szCs w:val="24"/>
              </w:rPr>
              <w:t>vs</w:t>
            </w:r>
            <w:r w:rsidR="00B63A9A" w:rsidRPr="005C430B">
              <w:rPr>
                <w:rFonts w:ascii="Book Antiqua" w:hAnsi="Book Antiqua" w:cs="Times New Roman"/>
                <w:sz w:val="24"/>
                <w:szCs w:val="24"/>
              </w:rPr>
              <w:t xml:space="preserve"> 8#VACA</w:t>
            </w:r>
          </w:p>
          <w:p w:rsidR="00B63A9A" w:rsidRPr="005C430B" w:rsidRDefault="00B63A9A" w:rsidP="00201740">
            <w:pPr>
              <w:spacing w:line="360" w:lineRule="auto"/>
              <w:jc w:val="both"/>
              <w:rPr>
                <w:rFonts w:ascii="Book Antiqua" w:hAnsi="Book Antiqua" w:cs="Times New Roman"/>
                <w:sz w:val="24"/>
                <w:szCs w:val="24"/>
              </w:rPr>
            </w:pPr>
          </w:p>
        </w:tc>
        <w:tc>
          <w:tcPr>
            <w:tcW w:w="661"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3-y</w:t>
            </w:r>
            <w:r w:rsidR="00B63A9A" w:rsidRPr="005C430B">
              <w:rPr>
                <w:rFonts w:ascii="Book Antiqua" w:hAnsi="Book Antiqua" w:cs="Times New Roman"/>
                <w:sz w:val="24"/>
                <w:szCs w:val="24"/>
              </w:rPr>
              <w:t>r EFS</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73% </w:t>
            </w:r>
            <w:r w:rsidRPr="005C430B">
              <w:rPr>
                <w:rFonts w:ascii="Book Antiqua" w:hAnsi="Book Antiqua" w:cs="Times New Roman"/>
                <w:i/>
                <w:sz w:val="24"/>
                <w:szCs w:val="24"/>
              </w:rPr>
              <w:t xml:space="preserve">vs </w:t>
            </w:r>
            <w:r w:rsidRPr="005C430B">
              <w:rPr>
                <w:rFonts w:ascii="Book Antiqua" w:hAnsi="Book Antiqua" w:cs="Times New Roman"/>
                <w:sz w:val="24"/>
                <w:szCs w:val="24"/>
              </w:rPr>
              <w:t>74%</w:t>
            </w:r>
          </w:p>
        </w:tc>
        <w:tc>
          <w:tcPr>
            <w:tcW w:w="30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NS</w:t>
            </w:r>
          </w:p>
        </w:tc>
        <w:tc>
          <w:tcPr>
            <w:tcW w:w="1230" w:type="pct"/>
          </w:tcPr>
          <w:p w:rsidR="00B63A9A" w:rsidRPr="005C430B" w:rsidRDefault="00B63A9A" w:rsidP="001675EC">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Cyclophosphamide </w:t>
            </w:r>
            <w:r w:rsidR="001675EC"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ifosfamide is similar in efficacy in SR patients</w:t>
            </w:r>
          </w:p>
        </w:tc>
      </w:tr>
      <w:tr w:rsidR="005C430B" w:rsidRPr="005C430B" w:rsidTr="00D12D00">
        <w:trPr>
          <w:trHeight w:val="562"/>
        </w:trPr>
        <w:tc>
          <w:tcPr>
            <w:tcW w:w="522" w:type="pct"/>
            <w:vMerge/>
          </w:tcPr>
          <w:p w:rsidR="00B63A9A" w:rsidRPr="005C430B" w:rsidRDefault="00B63A9A" w:rsidP="00201740">
            <w:pPr>
              <w:spacing w:line="360" w:lineRule="auto"/>
              <w:jc w:val="both"/>
              <w:rPr>
                <w:rFonts w:ascii="Book Antiqua" w:hAnsi="Book Antiqua" w:cs="Times New Roman"/>
                <w:sz w:val="24"/>
                <w:szCs w:val="24"/>
              </w:rPr>
            </w:pPr>
          </w:p>
        </w:tc>
        <w:tc>
          <w:tcPr>
            <w:tcW w:w="706" w:type="pct"/>
          </w:tcPr>
          <w:p w:rsidR="00B63A9A" w:rsidRPr="005C430B" w:rsidRDefault="001675EC" w:rsidP="00201740">
            <w:pPr>
              <w:spacing w:line="360" w:lineRule="auto"/>
              <w:jc w:val="both"/>
              <w:rPr>
                <w:rFonts w:ascii="Book Antiqua" w:hAnsi="Book Antiqua" w:cs="Times New Roman"/>
                <w:sz w:val="24"/>
                <w:szCs w:val="24"/>
              </w:rPr>
            </w:pPr>
            <w:r w:rsidRPr="005C430B">
              <w:rPr>
                <w:rFonts w:ascii="Book Antiqua" w:hAnsi="Book Antiqua" w:cs="Times New Roman"/>
                <w:i/>
                <w:sz w:val="24"/>
                <w:szCs w:val="24"/>
              </w:rPr>
              <w:t>n</w:t>
            </w:r>
            <w:r w:rsidR="00B63A9A" w:rsidRPr="005C430B">
              <w:rPr>
                <w:rFonts w:ascii="Book Antiqua" w:hAnsi="Book Antiqua" w:cs="Times New Roman"/>
                <w:sz w:val="24"/>
                <w:szCs w:val="24"/>
              </w:rPr>
              <w:t xml:space="preserve"> = 492</w:t>
            </w:r>
          </w:p>
        </w:tc>
        <w:tc>
          <w:tcPr>
            <w:tcW w:w="1579"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HR (metastatic, &gt;</w:t>
            </w:r>
            <w:r w:rsidR="001675EC"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100 m</w:t>
            </w:r>
            <w:r w:rsidR="001675EC" w:rsidRPr="005C430B">
              <w:rPr>
                <w:rFonts w:ascii="Book Antiqua" w:hAnsi="Book Antiqua" w:cs="Times New Roman"/>
                <w:sz w:val="24"/>
                <w:szCs w:val="24"/>
              </w:rPr>
              <w:t>L</w:t>
            </w:r>
            <w:r w:rsidRPr="005C430B">
              <w:rPr>
                <w:rFonts w:ascii="Book Antiqua" w:hAnsi="Book Antiqua" w:cs="Times New Roman"/>
                <w:sz w:val="24"/>
                <w:szCs w:val="24"/>
              </w:rPr>
              <w:t>)</w:t>
            </w:r>
          </w:p>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14# VAIA </w:t>
            </w:r>
            <w:r w:rsidRPr="005C430B">
              <w:rPr>
                <w:rFonts w:ascii="Book Antiqua" w:hAnsi="Book Antiqua" w:cs="Times New Roman"/>
                <w:i/>
                <w:sz w:val="24"/>
                <w:szCs w:val="24"/>
              </w:rPr>
              <w:t xml:space="preserve">vs </w:t>
            </w:r>
            <w:r w:rsidRPr="005C430B">
              <w:rPr>
                <w:rFonts w:ascii="Book Antiqua" w:hAnsi="Book Antiqua" w:cs="Times New Roman"/>
                <w:sz w:val="24"/>
                <w:szCs w:val="24"/>
              </w:rPr>
              <w:t>14#EVAIA</w:t>
            </w:r>
          </w:p>
        </w:tc>
        <w:tc>
          <w:tcPr>
            <w:tcW w:w="661"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47% </w:t>
            </w:r>
            <w:r w:rsidRPr="005C430B">
              <w:rPr>
                <w:rFonts w:ascii="Book Antiqua" w:hAnsi="Book Antiqua" w:cs="Times New Roman"/>
                <w:i/>
                <w:sz w:val="24"/>
                <w:szCs w:val="24"/>
              </w:rPr>
              <w:t>vs</w:t>
            </w:r>
            <w:r w:rsidRPr="005C430B">
              <w:rPr>
                <w:rFonts w:ascii="Book Antiqua" w:hAnsi="Book Antiqua" w:cs="Times New Roman"/>
                <w:sz w:val="24"/>
                <w:szCs w:val="24"/>
              </w:rPr>
              <w:t xml:space="preserve"> 52%</w:t>
            </w:r>
          </w:p>
        </w:tc>
        <w:tc>
          <w:tcPr>
            <w:tcW w:w="302"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0.12</w:t>
            </w:r>
          </w:p>
        </w:tc>
        <w:tc>
          <w:tcPr>
            <w:tcW w:w="1230" w:type="pct"/>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No benefit of etoposide in HR patients</w:t>
            </w:r>
          </w:p>
        </w:tc>
      </w:tr>
      <w:tr w:rsidR="005C430B" w:rsidRPr="005C430B" w:rsidTr="00D12D00">
        <w:trPr>
          <w:trHeight w:val="562"/>
        </w:trPr>
        <w:tc>
          <w:tcPr>
            <w:tcW w:w="522" w:type="pct"/>
          </w:tcPr>
          <w:p w:rsidR="00B63A9A" w:rsidRPr="005C430B" w:rsidRDefault="003025E1" w:rsidP="00201740">
            <w:pPr>
              <w:spacing w:line="360" w:lineRule="auto"/>
              <w:jc w:val="both"/>
              <w:rPr>
                <w:rFonts w:ascii="Book Antiqua" w:hAnsi="Book Antiqua" w:cs="Times New Roman"/>
                <w:sz w:val="24"/>
                <w:szCs w:val="24"/>
              </w:rPr>
            </w:pPr>
            <w:r>
              <w:rPr>
                <w:rFonts w:ascii="Book Antiqua" w:hAnsi="Book Antiqua" w:cs="Times New Roman"/>
                <w:sz w:val="24"/>
                <w:szCs w:val="24"/>
              </w:rPr>
              <w:t>Euro-Ewing 99</w:t>
            </w:r>
            <w:r w:rsidR="00B63A9A" w:rsidRPr="005C430B">
              <w:rPr>
                <w:rFonts w:ascii="Book Antiqua" w:hAnsi="Book Antiqua" w:cs="Times New Roman"/>
                <w:sz w:val="24"/>
                <w:szCs w:val="24"/>
                <w:vertAlign w:val="superscript"/>
              </w:rPr>
              <w:t>[49]</w:t>
            </w:r>
          </w:p>
        </w:tc>
        <w:tc>
          <w:tcPr>
            <w:tcW w:w="4478" w:type="pct"/>
            <w:gridSpan w:val="5"/>
          </w:tcPr>
          <w:p w:rsidR="00B63A9A" w:rsidRPr="005C430B" w:rsidRDefault="00B63A9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Detailed in Table 2</w:t>
            </w:r>
          </w:p>
        </w:tc>
      </w:tr>
    </w:tbl>
    <w:p w:rsidR="00B63A9A" w:rsidRPr="005C430B" w:rsidRDefault="00B63A9A" w:rsidP="00201740">
      <w:pPr>
        <w:spacing w:after="0" w:line="360" w:lineRule="auto"/>
        <w:jc w:val="both"/>
        <w:rPr>
          <w:rFonts w:ascii="Book Antiqua" w:hAnsi="Book Antiqua" w:cs="Times New Roman"/>
          <w:sz w:val="24"/>
          <w:szCs w:val="24"/>
        </w:rPr>
      </w:pPr>
    </w:p>
    <w:p w:rsidR="00D13A02" w:rsidRPr="005C430B" w:rsidRDefault="0098337D"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vertAlign w:val="superscript"/>
          <w:lang w:eastAsia="zh-CN"/>
        </w:rPr>
        <w:t>1</w:t>
      </w:r>
      <w:r w:rsidRPr="005C430B">
        <w:rPr>
          <w:rFonts w:ascii="Book Antiqua" w:hAnsi="Book Antiqua" w:cs="Times New Roman"/>
          <w:sz w:val="24"/>
          <w:szCs w:val="24"/>
        </w:rPr>
        <w:t>A</w:t>
      </w:r>
      <w:r w:rsidR="00B63A9A" w:rsidRPr="005C430B">
        <w:rPr>
          <w:rFonts w:ascii="Book Antiqua" w:hAnsi="Book Antiqua" w:cs="Times New Roman"/>
          <w:sz w:val="24"/>
          <w:szCs w:val="24"/>
        </w:rPr>
        <w:t>ll chemotherapy regimens mentioned in the table is used in neoadjuvant setting followed-by local therapy (in terms of surgery and/or radiotherapy) followed by</w:t>
      </w:r>
      <w:r w:rsidR="003025E1">
        <w:rPr>
          <w:rFonts w:ascii="Book Antiqua" w:hAnsi="Book Antiqua" w:cs="Times New Roman"/>
          <w:sz w:val="24"/>
          <w:szCs w:val="24"/>
        </w:rPr>
        <w:t xml:space="preserve"> further adjuvant chemotherapy.</w:t>
      </w:r>
      <w:r w:rsidR="00B63A9A" w:rsidRPr="005C430B">
        <w:rPr>
          <w:rFonts w:ascii="Book Antiqua" w:hAnsi="Book Antiqua" w:cs="Times New Roman"/>
          <w:sz w:val="24"/>
          <w:szCs w:val="24"/>
        </w:rPr>
        <w:t xml:space="preserve"> </w:t>
      </w:r>
      <w:r w:rsidRPr="005C430B">
        <w:rPr>
          <w:rFonts w:ascii="Book Antiqua" w:hAnsi="Book Antiqua" w:cs="Times New Roman"/>
          <w:sz w:val="24"/>
          <w:szCs w:val="24"/>
        </w:rPr>
        <w:t>EFS</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Event free survival; </w:t>
      </w:r>
      <w:bookmarkStart w:id="4" w:name="_GoBack"/>
      <w:r w:rsidRPr="005C430B">
        <w:rPr>
          <w:rFonts w:ascii="Book Antiqua" w:hAnsi="Book Antiqua" w:cs="Times New Roman"/>
          <w:sz w:val="24"/>
          <w:szCs w:val="24"/>
        </w:rPr>
        <w:t>EVAIA</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Etoposide, vincristine, dactinomycin, ifosfamide, doxorubicin;  HR</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High risk; IE</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Ifosfamide, etoposide; NS</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Not significant; RFS</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Relapse free survival; RT</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Radiotherapy; SR</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Standard risk; VAC</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Vincristine, dactinomycin, cyclophosphamide; VACA</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Vincristine, dactinomycin, cyclophosphamide, doxorubicin; VACD</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Vincristine, dactinomycin, cyclophosphamide, doxorubicin; VAIA</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Vincristine, dactinomyci</w:t>
      </w:r>
      <w:bookmarkEnd w:id="4"/>
      <w:r w:rsidRPr="005C430B">
        <w:rPr>
          <w:rFonts w:ascii="Book Antiqua" w:hAnsi="Book Antiqua" w:cs="Times New Roman"/>
          <w:sz w:val="24"/>
          <w:szCs w:val="24"/>
        </w:rPr>
        <w:t>n, ifosfamide, doxorubicin; VDC</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Vincristine, doxorubicin, cyclophosphamide</w:t>
      </w:r>
      <w:r w:rsidRPr="005C430B">
        <w:rPr>
          <w:rFonts w:ascii="Book Antiqua" w:hAnsi="Book Antiqua" w:cs="Times New Roman"/>
          <w:sz w:val="24"/>
          <w:szCs w:val="24"/>
          <w:lang w:eastAsia="zh-CN"/>
        </w:rPr>
        <w:t>.</w:t>
      </w:r>
    </w:p>
    <w:p w:rsidR="0098337D" w:rsidRPr="005C430B" w:rsidRDefault="0098337D">
      <w:pPr>
        <w:rPr>
          <w:rFonts w:ascii="Book Antiqua" w:hAnsi="Book Antiqua" w:cs="Times New Roman"/>
          <w:b/>
          <w:sz w:val="24"/>
          <w:szCs w:val="24"/>
        </w:rPr>
      </w:pPr>
      <w:r w:rsidRPr="005C430B">
        <w:rPr>
          <w:rFonts w:ascii="Book Antiqua" w:hAnsi="Book Antiqua" w:cs="Times New Roman"/>
          <w:b/>
          <w:sz w:val="24"/>
          <w:szCs w:val="24"/>
        </w:rPr>
        <w:br w:type="page"/>
      </w:r>
    </w:p>
    <w:p w:rsidR="00D13A02" w:rsidRPr="005C430B" w:rsidRDefault="0098337D"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lastRenderedPageBreak/>
        <w:t>Table 2</w:t>
      </w:r>
      <w:r w:rsidR="00D13A02" w:rsidRPr="005C430B">
        <w:rPr>
          <w:rFonts w:ascii="Book Antiqua" w:hAnsi="Book Antiqua" w:cs="Times New Roman"/>
          <w:b/>
          <w:sz w:val="24"/>
          <w:szCs w:val="24"/>
        </w:rPr>
        <w:t xml:space="preserve"> Euro-Ewing 99 trial design </w:t>
      </w:r>
      <w:r w:rsidRPr="005C430B">
        <w:rPr>
          <w:rFonts w:ascii="Book Antiqua" w:hAnsi="Book Antiqua" w:cs="Times New Roman"/>
          <w:b/>
          <w:sz w:val="24"/>
          <w:szCs w:val="24"/>
          <w:lang w:eastAsia="zh-CN"/>
        </w:rPr>
        <w:t>and</w:t>
      </w:r>
      <w:r w:rsidR="00D13A02" w:rsidRPr="005C430B">
        <w:rPr>
          <w:rFonts w:ascii="Book Antiqua" w:hAnsi="Book Antiqua" w:cs="Times New Roman"/>
          <w:b/>
          <w:sz w:val="24"/>
          <w:szCs w:val="24"/>
        </w:rPr>
        <w:t xml:space="preserve"> details</w:t>
      </w:r>
    </w:p>
    <w:tbl>
      <w:tblPr>
        <w:tblStyle w:val="TableGrid"/>
        <w:tblW w:w="5000" w:type="pct"/>
        <w:tblLook w:val="04A0" w:firstRow="1" w:lastRow="0" w:firstColumn="1" w:lastColumn="0" w:noHBand="0" w:noVBand="1"/>
      </w:tblPr>
      <w:tblGrid>
        <w:gridCol w:w="1616"/>
        <w:gridCol w:w="2683"/>
        <w:gridCol w:w="791"/>
        <w:gridCol w:w="3225"/>
        <w:gridCol w:w="1261"/>
      </w:tblGrid>
      <w:tr w:rsidR="00201740" w:rsidRPr="005C430B" w:rsidTr="00D12D00">
        <w:tc>
          <w:tcPr>
            <w:tcW w:w="808" w:type="pct"/>
          </w:tcPr>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Randomized arm</w:t>
            </w:r>
          </w:p>
        </w:tc>
        <w:tc>
          <w:tcPr>
            <w:tcW w:w="1410" w:type="pct"/>
          </w:tcPr>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 xml:space="preserve">Patients </w:t>
            </w:r>
          </w:p>
        </w:tc>
        <w:tc>
          <w:tcPr>
            <w:tcW w:w="422" w:type="pct"/>
          </w:tcPr>
          <w:p w:rsidR="00D13A02" w:rsidRPr="005C430B" w:rsidRDefault="002C4D79" w:rsidP="00201740">
            <w:pPr>
              <w:spacing w:line="360" w:lineRule="auto"/>
              <w:jc w:val="both"/>
              <w:rPr>
                <w:rFonts w:ascii="Book Antiqua" w:hAnsi="Book Antiqua" w:cs="Times New Roman"/>
                <w:b/>
                <w:i/>
                <w:sz w:val="24"/>
                <w:szCs w:val="24"/>
              </w:rPr>
            </w:pPr>
            <w:r w:rsidRPr="005C430B">
              <w:rPr>
                <w:rFonts w:ascii="Book Antiqua" w:hAnsi="Book Antiqua" w:cs="Times New Roman"/>
                <w:b/>
                <w:i/>
                <w:sz w:val="24"/>
                <w:szCs w:val="24"/>
              </w:rPr>
              <w:t>n</w:t>
            </w:r>
          </w:p>
        </w:tc>
        <w:tc>
          <w:tcPr>
            <w:tcW w:w="1692" w:type="pct"/>
          </w:tcPr>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Randomization</w:t>
            </w:r>
          </w:p>
        </w:tc>
        <w:tc>
          <w:tcPr>
            <w:tcW w:w="667" w:type="pct"/>
          </w:tcPr>
          <w:p w:rsidR="00D13A02" w:rsidRPr="005C430B" w:rsidRDefault="002C4D79"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3-y</w:t>
            </w:r>
            <w:r w:rsidR="00D13A02" w:rsidRPr="005C430B">
              <w:rPr>
                <w:rFonts w:ascii="Book Antiqua" w:hAnsi="Book Antiqua" w:cs="Times New Roman"/>
                <w:b/>
                <w:sz w:val="24"/>
                <w:szCs w:val="24"/>
              </w:rPr>
              <w:t>r EFS</w:t>
            </w:r>
          </w:p>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 xml:space="preserve"> </w:t>
            </w:r>
          </w:p>
        </w:tc>
      </w:tr>
      <w:tr w:rsidR="00201740" w:rsidRPr="005C430B" w:rsidTr="00D12D00">
        <w:trPr>
          <w:trHeight w:val="1380"/>
        </w:trPr>
        <w:tc>
          <w:tcPr>
            <w:tcW w:w="808" w:type="pct"/>
          </w:tcPr>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Arm 1</w:t>
            </w:r>
          </w:p>
        </w:tc>
        <w:tc>
          <w:tcPr>
            <w:tcW w:w="1410"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SR, Localized</w:t>
            </w: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(good histologic response, &lt;</w:t>
            </w:r>
            <w:r w:rsidR="002C4D79"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200 m</w:t>
            </w:r>
            <w:r w:rsidR="002C4D79" w:rsidRPr="005C430B">
              <w:rPr>
                <w:rFonts w:ascii="Book Antiqua" w:hAnsi="Book Antiqua" w:cs="Times New Roman"/>
                <w:sz w:val="24"/>
                <w:szCs w:val="24"/>
              </w:rPr>
              <w:t>L</w:t>
            </w:r>
            <w:r w:rsidRPr="005C430B">
              <w:rPr>
                <w:rFonts w:ascii="Book Antiqua" w:hAnsi="Book Antiqua" w:cs="Times New Roman"/>
                <w:sz w:val="24"/>
                <w:szCs w:val="24"/>
              </w:rPr>
              <w:t xml:space="preserve"> + RT)</w:t>
            </w:r>
          </w:p>
        </w:tc>
        <w:tc>
          <w:tcPr>
            <w:tcW w:w="422"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856</w:t>
            </w:r>
          </w:p>
        </w:tc>
        <w:tc>
          <w:tcPr>
            <w:tcW w:w="1692"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6#VIDE + 1#VAI</w:t>
            </w:r>
          </w:p>
          <w:p w:rsidR="00D13A02"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415290</wp:posOffset>
                      </wp:positionH>
                      <wp:positionV relativeFrom="paragraph">
                        <wp:posOffset>13335</wp:posOffset>
                      </wp:positionV>
                      <wp:extent cx="371475" cy="281940"/>
                      <wp:effectExtent l="8890" t="13335" r="26035" b="349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7pt;margin-top:1.05pt;width:29.25pt;height:2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149225</wp:posOffset>
                      </wp:positionH>
                      <wp:positionV relativeFrom="paragraph">
                        <wp:posOffset>13335</wp:posOffset>
                      </wp:positionV>
                      <wp:extent cx="266065" cy="281940"/>
                      <wp:effectExtent l="9525" t="13335" r="29210" b="349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75pt;margin-top:1.05pt;width:20.95pt;height:22.2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">
                      <v:stroke endarrow="block"/>
                    </v:shape>
                  </w:pict>
                </mc:Fallback>
              </mc:AlternateContent>
            </w: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7#VAI       7#VAC</w:t>
            </w:r>
          </w:p>
        </w:tc>
        <w:tc>
          <w:tcPr>
            <w:tcW w:w="667" w:type="pct"/>
          </w:tcPr>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78% </w:t>
            </w:r>
            <w:r w:rsidRPr="005C430B">
              <w:rPr>
                <w:rFonts w:ascii="Book Antiqua" w:hAnsi="Book Antiqua" w:cs="Times New Roman"/>
                <w:i/>
                <w:sz w:val="24"/>
                <w:szCs w:val="24"/>
              </w:rPr>
              <w:t xml:space="preserve">vs </w:t>
            </w:r>
            <w:r w:rsidRPr="005C430B">
              <w:rPr>
                <w:rFonts w:ascii="Book Antiqua" w:hAnsi="Book Antiqua" w:cs="Times New Roman"/>
                <w:sz w:val="24"/>
                <w:szCs w:val="24"/>
              </w:rPr>
              <w:t>75%</w:t>
            </w:r>
          </w:p>
        </w:tc>
      </w:tr>
      <w:tr w:rsidR="00201740" w:rsidRPr="005C430B" w:rsidTr="00D12D00">
        <w:trPr>
          <w:trHeight w:val="1380"/>
        </w:trPr>
        <w:tc>
          <w:tcPr>
            <w:tcW w:w="808" w:type="pct"/>
            <w:vMerge w:val="restart"/>
          </w:tcPr>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Arm 2</w:t>
            </w:r>
          </w:p>
        </w:tc>
        <w:tc>
          <w:tcPr>
            <w:tcW w:w="1410"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HR, Localized</w:t>
            </w: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(poor histologic response, ≥</w:t>
            </w:r>
            <w:r w:rsidR="002C4D79"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200 m</w:t>
            </w:r>
            <w:r w:rsidR="002C4D79" w:rsidRPr="005C430B">
              <w:rPr>
                <w:rFonts w:ascii="Book Antiqua" w:hAnsi="Book Antiqua" w:cs="Times New Roman"/>
                <w:sz w:val="24"/>
                <w:szCs w:val="24"/>
              </w:rPr>
              <w:t>L</w:t>
            </w:r>
            <w:r w:rsidRPr="005C430B">
              <w:rPr>
                <w:rFonts w:ascii="Book Antiqua" w:hAnsi="Book Antiqua" w:cs="Times New Roman"/>
                <w:sz w:val="24"/>
                <w:szCs w:val="24"/>
              </w:rPr>
              <w:t xml:space="preserve"> and RT alone</w:t>
            </w:r>
          </w:p>
        </w:tc>
        <w:tc>
          <w:tcPr>
            <w:tcW w:w="422"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t>
            </w:r>
          </w:p>
        </w:tc>
        <w:tc>
          <w:tcPr>
            <w:tcW w:w="1692" w:type="pct"/>
          </w:tcPr>
          <w:p w:rsidR="00D13A02"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172720</wp:posOffset>
                      </wp:positionV>
                      <wp:extent cx="371475" cy="281940"/>
                      <wp:effectExtent l="12065" t="7620" r="22860"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95pt;margin-top:13.6pt;width:29.25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254000</wp:posOffset>
                      </wp:positionH>
                      <wp:positionV relativeFrom="paragraph">
                        <wp:posOffset>172720</wp:posOffset>
                      </wp:positionV>
                      <wp:extent cx="266065" cy="281940"/>
                      <wp:effectExtent l="12700" t="7620" r="26035" b="279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pt;margin-top:13.6pt;width:20.95pt;height:2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">
                      <v:stroke endarrow="block"/>
                    </v:shape>
                  </w:pict>
                </mc:Fallback>
              </mc:AlternateContent>
            </w:r>
            <w:r w:rsidR="00D13A02" w:rsidRPr="005C430B">
              <w:rPr>
                <w:rFonts w:ascii="Book Antiqua" w:hAnsi="Book Antiqua" w:cs="Times New Roman"/>
                <w:sz w:val="24"/>
                <w:szCs w:val="24"/>
              </w:rPr>
              <w:t>6#VIDE + 1#VAI</w:t>
            </w: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 VAI         BuMel (</w:t>
            </w:r>
            <w:r w:rsidR="002C4D79" w:rsidRPr="005C430B">
              <w:rPr>
                <w:rFonts w:ascii="Book Antiqua" w:hAnsi="Book Antiqua" w:cs="Times New Roman"/>
                <w:i/>
                <w:sz w:val="24"/>
                <w:szCs w:val="24"/>
              </w:rPr>
              <w:t>n</w:t>
            </w:r>
            <w:r w:rsidR="002C4D79"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w:t>
            </w:r>
            <w:r w:rsidR="002C4D79"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281)</w:t>
            </w:r>
          </w:p>
          <w:p w:rsidR="00D13A02" w:rsidRPr="005C430B" w:rsidRDefault="00D13A02" w:rsidP="00201740">
            <w:pPr>
              <w:spacing w:line="360" w:lineRule="auto"/>
              <w:jc w:val="both"/>
              <w:rPr>
                <w:rFonts w:ascii="Book Antiqua" w:hAnsi="Book Antiqua" w:cs="Times New Roman"/>
                <w:sz w:val="24"/>
                <w:szCs w:val="24"/>
              </w:rPr>
            </w:pPr>
          </w:p>
        </w:tc>
        <w:tc>
          <w:tcPr>
            <w:tcW w:w="667" w:type="pct"/>
          </w:tcPr>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45% (BuMel)</w:t>
            </w:r>
          </w:p>
        </w:tc>
      </w:tr>
      <w:tr w:rsidR="00201740" w:rsidRPr="005C430B" w:rsidTr="00D12D00">
        <w:trPr>
          <w:trHeight w:val="1380"/>
        </w:trPr>
        <w:tc>
          <w:tcPr>
            <w:tcW w:w="808" w:type="pct"/>
            <w:vMerge/>
          </w:tcPr>
          <w:p w:rsidR="00D13A02" w:rsidRPr="005C430B" w:rsidRDefault="00D13A02" w:rsidP="00201740">
            <w:pPr>
              <w:spacing w:line="360" w:lineRule="auto"/>
              <w:jc w:val="both"/>
              <w:rPr>
                <w:rFonts w:ascii="Book Antiqua" w:hAnsi="Book Antiqua" w:cs="Times New Roman"/>
                <w:b/>
                <w:sz w:val="24"/>
                <w:szCs w:val="24"/>
              </w:rPr>
            </w:pPr>
          </w:p>
        </w:tc>
        <w:tc>
          <w:tcPr>
            <w:tcW w:w="1410"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Lung metastasis only</w:t>
            </w:r>
          </w:p>
        </w:tc>
        <w:tc>
          <w:tcPr>
            <w:tcW w:w="422" w:type="pct"/>
          </w:tcPr>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t>
            </w:r>
          </w:p>
        </w:tc>
        <w:tc>
          <w:tcPr>
            <w:tcW w:w="1692" w:type="pct"/>
          </w:tcPr>
          <w:p w:rsidR="00D13A02"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254000</wp:posOffset>
                      </wp:positionH>
                      <wp:positionV relativeFrom="paragraph">
                        <wp:posOffset>172720</wp:posOffset>
                      </wp:positionV>
                      <wp:extent cx="266065" cy="281940"/>
                      <wp:effectExtent l="12700" t="7620" r="26035" b="279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pt;margin-top:13.6pt;width:20.95pt;height:22.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">
                      <v:stroke endarrow="block"/>
                    </v:shape>
                  </w:pict>
                </mc:Fallback>
              </mc:AlternateContent>
            </w:r>
            <w:r w:rsidR="00D13A02" w:rsidRPr="005C430B">
              <w:rPr>
                <w:rFonts w:ascii="Book Antiqua" w:hAnsi="Book Antiqua" w:cs="Times New Roman"/>
                <w:sz w:val="24"/>
                <w:szCs w:val="24"/>
              </w:rPr>
              <w:t>6#VIDE + 1#VAI</w:t>
            </w:r>
          </w:p>
          <w:p w:rsidR="00D13A02"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520065</wp:posOffset>
                      </wp:positionH>
                      <wp:positionV relativeFrom="paragraph">
                        <wp:posOffset>-2540</wp:posOffset>
                      </wp:positionV>
                      <wp:extent cx="724535" cy="338455"/>
                      <wp:effectExtent l="12065" t="10160" r="2540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0.95pt;margin-top:-.15pt;width:57.0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">
                      <v:stroke endarrow="block"/>
                    </v:shape>
                  </w:pict>
                </mc:Fallback>
              </mc:AlternateContent>
            </w: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 VAI +</w:t>
            </w:r>
            <w:r w:rsidR="002C4D79"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WLI      BuMel</w:t>
            </w:r>
          </w:p>
          <w:p w:rsidR="00D13A02" w:rsidRPr="005C430B" w:rsidRDefault="00D13A02" w:rsidP="00201740">
            <w:pPr>
              <w:spacing w:line="360" w:lineRule="auto"/>
              <w:jc w:val="both"/>
              <w:rPr>
                <w:rFonts w:ascii="Book Antiqua" w:hAnsi="Book Antiqua" w:cs="Times New Roman"/>
                <w:sz w:val="24"/>
                <w:szCs w:val="24"/>
              </w:rPr>
            </w:pPr>
          </w:p>
        </w:tc>
        <w:tc>
          <w:tcPr>
            <w:tcW w:w="667" w:type="pct"/>
          </w:tcPr>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t>
            </w:r>
          </w:p>
        </w:tc>
      </w:tr>
      <w:tr w:rsidR="00D13A02" w:rsidRPr="005C430B" w:rsidTr="00D12D00">
        <w:trPr>
          <w:trHeight w:val="1380"/>
        </w:trPr>
        <w:tc>
          <w:tcPr>
            <w:tcW w:w="808" w:type="pct"/>
          </w:tcPr>
          <w:p w:rsidR="00D13A02" w:rsidRPr="005C430B" w:rsidRDefault="00D13A0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Arm 3</w:t>
            </w:r>
          </w:p>
        </w:tc>
        <w:tc>
          <w:tcPr>
            <w:tcW w:w="1410" w:type="pct"/>
          </w:tcPr>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Extrapulmonary metastasis</w:t>
            </w:r>
          </w:p>
        </w:tc>
        <w:tc>
          <w:tcPr>
            <w:tcW w:w="422" w:type="pct"/>
          </w:tcPr>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t>
            </w:r>
          </w:p>
        </w:tc>
        <w:tc>
          <w:tcPr>
            <w:tcW w:w="1692" w:type="pct"/>
          </w:tcPr>
          <w:p w:rsidR="00D13A02"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254000</wp:posOffset>
                      </wp:positionH>
                      <wp:positionV relativeFrom="paragraph">
                        <wp:posOffset>172720</wp:posOffset>
                      </wp:positionV>
                      <wp:extent cx="266065" cy="281940"/>
                      <wp:effectExtent l="12700" t="7620" r="26035" b="279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pt;margin-top:13.6pt;width:20.95pt;height:22.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">
                      <v:stroke endarrow="block"/>
                    </v:shape>
                  </w:pict>
                </mc:Fallback>
              </mc:AlternateContent>
            </w:r>
            <w:r w:rsidR="00D13A02" w:rsidRPr="005C430B">
              <w:rPr>
                <w:rFonts w:ascii="Book Antiqua" w:hAnsi="Book Antiqua" w:cs="Times New Roman"/>
                <w:sz w:val="24"/>
                <w:szCs w:val="24"/>
              </w:rPr>
              <w:t>6#VIDE + 1#VAI</w:t>
            </w:r>
          </w:p>
          <w:p w:rsidR="00D13A02" w:rsidRPr="005C430B" w:rsidRDefault="00400143" w:rsidP="00201740">
            <w:pPr>
              <w:spacing w:line="360" w:lineRule="auto"/>
              <w:jc w:val="both"/>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520065</wp:posOffset>
                      </wp:positionH>
                      <wp:positionV relativeFrom="paragraph">
                        <wp:posOffset>-2540</wp:posOffset>
                      </wp:positionV>
                      <wp:extent cx="724535" cy="338455"/>
                      <wp:effectExtent l="12065" t="10160" r="25400" b="323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95pt;margin-top:-.15pt;width:57.05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">
                      <v:stroke endarrow="block"/>
                    </v:shape>
                  </w:pict>
                </mc:Fallback>
              </mc:AlternateContent>
            </w: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 BuMel/TreoMel   clinical trial</w:t>
            </w:r>
          </w:p>
          <w:p w:rsidR="00D13A02" w:rsidRPr="005C430B" w:rsidRDefault="00D13A02" w:rsidP="00201740">
            <w:pPr>
              <w:spacing w:line="360" w:lineRule="auto"/>
              <w:jc w:val="both"/>
              <w:rPr>
                <w:rFonts w:ascii="Book Antiqua" w:hAnsi="Book Antiqua" w:cs="Times New Roman"/>
                <w:sz w:val="24"/>
                <w:szCs w:val="24"/>
              </w:rPr>
            </w:pPr>
          </w:p>
        </w:tc>
        <w:tc>
          <w:tcPr>
            <w:tcW w:w="667" w:type="pct"/>
          </w:tcPr>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p>
          <w:p w:rsidR="00D13A02" w:rsidRPr="005C430B" w:rsidRDefault="00D13A0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t>
            </w:r>
          </w:p>
        </w:tc>
      </w:tr>
    </w:tbl>
    <w:p w:rsidR="00D13A02" w:rsidRPr="005C430B" w:rsidRDefault="00D13A02" w:rsidP="00201740">
      <w:pPr>
        <w:spacing w:after="0" w:line="360" w:lineRule="auto"/>
        <w:jc w:val="both"/>
        <w:rPr>
          <w:rFonts w:ascii="Book Antiqua" w:hAnsi="Book Antiqua" w:cs="Times New Roman"/>
          <w:sz w:val="24"/>
          <w:szCs w:val="24"/>
        </w:rPr>
      </w:pPr>
    </w:p>
    <w:p w:rsidR="00C21472" w:rsidRPr="005C430B" w:rsidRDefault="00D13A02"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BuMel</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B</w:t>
      </w:r>
      <w:r w:rsidRPr="005C430B">
        <w:rPr>
          <w:rFonts w:ascii="Book Antiqua" w:hAnsi="Book Antiqua" w:cs="Times New Roman"/>
          <w:sz w:val="24"/>
          <w:szCs w:val="24"/>
        </w:rPr>
        <w:t xml:space="preserve">usulphan </w:t>
      </w:r>
      <w:r w:rsidR="002C4D79"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melphalan; EFS</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E</w:t>
      </w:r>
      <w:r w:rsidRPr="005C430B">
        <w:rPr>
          <w:rFonts w:ascii="Book Antiqua" w:hAnsi="Book Antiqua" w:cs="Times New Roman"/>
          <w:sz w:val="24"/>
          <w:szCs w:val="24"/>
        </w:rPr>
        <w:t>vent free survival; HR</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H</w:t>
      </w:r>
      <w:r w:rsidRPr="005C430B">
        <w:rPr>
          <w:rFonts w:ascii="Book Antiqua" w:hAnsi="Book Antiqua" w:cs="Times New Roman"/>
          <w:sz w:val="24"/>
          <w:szCs w:val="24"/>
        </w:rPr>
        <w:t xml:space="preserve">igh risk; </w:t>
      </w:r>
      <w:r w:rsidR="002C4D79" w:rsidRPr="005C430B">
        <w:rPr>
          <w:rFonts w:ascii="Book Antiqua" w:hAnsi="Book Antiqua" w:cs="Times New Roman"/>
          <w:i/>
          <w:sz w:val="24"/>
          <w:szCs w:val="24"/>
        </w:rPr>
        <w:t>n</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N</w:t>
      </w:r>
      <w:r w:rsidRPr="005C430B">
        <w:rPr>
          <w:rFonts w:ascii="Book Antiqua" w:hAnsi="Book Antiqua" w:cs="Times New Roman"/>
          <w:sz w:val="24"/>
          <w:szCs w:val="24"/>
        </w:rPr>
        <w:t>umber; RT</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R</w:t>
      </w:r>
      <w:r w:rsidRPr="005C430B">
        <w:rPr>
          <w:rFonts w:ascii="Book Antiqua" w:hAnsi="Book Antiqua" w:cs="Times New Roman"/>
          <w:sz w:val="24"/>
          <w:szCs w:val="24"/>
        </w:rPr>
        <w:t>adiotherapy; SR</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S</w:t>
      </w:r>
      <w:r w:rsidRPr="005C430B">
        <w:rPr>
          <w:rFonts w:ascii="Book Antiqua" w:hAnsi="Book Antiqua" w:cs="Times New Roman"/>
          <w:sz w:val="24"/>
          <w:szCs w:val="24"/>
        </w:rPr>
        <w:t>tandard risk; TreoMel</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Tresulphan </w:t>
      </w:r>
      <w:r w:rsidR="002C4D79"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melphalan; VAC</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Vincristine, dactinomycin</w:t>
      </w:r>
      <w:r w:rsidRPr="005C430B">
        <w:rPr>
          <w:rFonts w:ascii="Book Antiqua" w:hAnsi="Book Antiqua" w:cs="Times New Roman"/>
          <w:sz w:val="24"/>
          <w:szCs w:val="24"/>
        </w:rPr>
        <w:t>, cyclophosphamide; VAI</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V</w:t>
      </w:r>
      <w:r w:rsidRPr="005C430B">
        <w:rPr>
          <w:rFonts w:ascii="Book Antiqua" w:hAnsi="Book Antiqua" w:cs="Times New Roman"/>
          <w:sz w:val="24"/>
          <w:szCs w:val="24"/>
        </w:rPr>
        <w:t>incristine, dactinomycin, ifosfamide; VIDE</w:t>
      </w:r>
      <w:r w:rsidR="002C4D79" w:rsidRPr="005C430B">
        <w:rPr>
          <w:rFonts w:ascii="Book Antiqua" w:hAnsi="Book Antiqua" w:cs="Times New Roman"/>
          <w:sz w:val="24"/>
          <w:szCs w:val="24"/>
          <w:lang w:eastAsia="zh-CN"/>
        </w:rPr>
        <w:t>:</w:t>
      </w:r>
      <w:r w:rsidR="002C4D79" w:rsidRPr="005C430B">
        <w:rPr>
          <w:rFonts w:ascii="Book Antiqua" w:hAnsi="Book Antiqua" w:cs="Times New Roman"/>
          <w:sz w:val="24"/>
          <w:szCs w:val="24"/>
        </w:rPr>
        <w:t xml:space="preserve"> V</w:t>
      </w:r>
      <w:r w:rsidRPr="005C430B">
        <w:rPr>
          <w:rFonts w:ascii="Book Antiqua" w:hAnsi="Book Antiqua" w:cs="Times New Roman"/>
          <w:sz w:val="24"/>
          <w:szCs w:val="24"/>
        </w:rPr>
        <w:t>incristine, ifosfamide, doxorubicin, etoposide; WLI</w:t>
      </w:r>
      <w:r w:rsidR="002C4D79"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2C4D79" w:rsidRPr="005C430B">
        <w:rPr>
          <w:rFonts w:ascii="Book Antiqua" w:hAnsi="Book Antiqua" w:cs="Times New Roman"/>
          <w:sz w:val="24"/>
          <w:szCs w:val="24"/>
        </w:rPr>
        <w:t>W</w:t>
      </w:r>
      <w:r w:rsidRPr="005C430B">
        <w:rPr>
          <w:rFonts w:ascii="Book Antiqua" w:hAnsi="Book Antiqua" w:cs="Times New Roman"/>
          <w:sz w:val="24"/>
          <w:szCs w:val="24"/>
        </w:rPr>
        <w:t>hole lung irradiation.</w:t>
      </w:r>
    </w:p>
    <w:p w:rsidR="00C21472" w:rsidRPr="005C430B" w:rsidRDefault="002C4D79" w:rsidP="00201740">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lastRenderedPageBreak/>
        <w:t>Table 3</w:t>
      </w:r>
      <w:r w:rsidR="00C21472" w:rsidRPr="005C430B">
        <w:rPr>
          <w:rFonts w:ascii="Book Antiqua" w:hAnsi="Book Antiqua" w:cs="Times New Roman"/>
          <w:b/>
          <w:sz w:val="24"/>
          <w:szCs w:val="24"/>
        </w:rPr>
        <w:t xml:space="preserve"> Selected studies of high dose chemotherapy with stem cell rescue in </w:t>
      </w:r>
      <w:r w:rsidR="00D5184B" w:rsidRPr="005C430B">
        <w:rPr>
          <w:rFonts w:ascii="Book Antiqua" w:hAnsi="Book Antiqua" w:cs="Times New Roman"/>
          <w:b/>
          <w:sz w:val="24"/>
          <w:szCs w:val="24"/>
        </w:rPr>
        <w:t>E</w:t>
      </w:r>
      <w:r w:rsidR="00A06E3E" w:rsidRPr="005C430B">
        <w:rPr>
          <w:rFonts w:ascii="Book Antiqua" w:hAnsi="Book Antiqua" w:cs="Times New Roman"/>
          <w:b/>
          <w:sz w:val="24"/>
          <w:szCs w:val="24"/>
        </w:rPr>
        <w:t>wing sarcoma family tumors</w:t>
      </w:r>
    </w:p>
    <w:tbl>
      <w:tblPr>
        <w:tblStyle w:val="TableGrid"/>
        <w:tblW w:w="0" w:type="auto"/>
        <w:tblLook w:val="04A0" w:firstRow="1" w:lastRow="0" w:firstColumn="1" w:lastColumn="0" w:noHBand="0" w:noVBand="1"/>
      </w:tblPr>
      <w:tblGrid>
        <w:gridCol w:w="3771"/>
        <w:gridCol w:w="1470"/>
        <w:gridCol w:w="721"/>
        <w:gridCol w:w="1831"/>
        <w:gridCol w:w="1783"/>
      </w:tblGrid>
      <w:tr w:rsidR="005C430B" w:rsidRPr="005C430B" w:rsidTr="00D12D00">
        <w:tc>
          <w:tcPr>
            <w:tcW w:w="3445" w:type="dxa"/>
          </w:tcPr>
          <w:p w:rsidR="00C21472" w:rsidRPr="005C430B" w:rsidRDefault="00C2147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Study (type)</w:t>
            </w:r>
          </w:p>
        </w:tc>
        <w:tc>
          <w:tcPr>
            <w:tcW w:w="1571" w:type="dxa"/>
          </w:tcPr>
          <w:p w:rsidR="00C21472" w:rsidRPr="005C430B" w:rsidRDefault="00C2147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Disease setting</w:t>
            </w:r>
          </w:p>
        </w:tc>
        <w:tc>
          <w:tcPr>
            <w:tcW w:w="870" w:type="dxa"/>
          </w:tcPr>
          <w:p w:rsidR="00C21472" w:rsidRPr="005C430B" w:rsidRDefault="00CA777A" w:rsidP="00201740">
            <w:pPr>
              <w:spacing w:line="360" w:lineRule="auto"/>
              <w:jc w:val="both"/>
              <w:rPr>
                <w:rFonts w:ascii="Book Antiqua" w:hAnsi="Book Antiqua" w:cs="Times New Roman"/>
                <w:b/>
                <w:i/>
                <w:sz w:val="24"/>
                <w:szCs w:val="24"/>
                <w:lang w:eastAsia="zh-CN"/>
              </w:rPr>
            </w:pPr>
            <w:r w:rsidRPr="005C430B">
              <w:rPr>
                <w:rFonts w:ascii="Book Antiqua" w:hAnsi="Book Antiqua" w:cs="Times New Roman"/>
                <w:b/>
                <w:i/>
                <w:sz w:val="24"/>
                <w:szCs w:val="24"/>
              </w:rPr>
              <w:t>n</w:t>
            </w:r>
          </w:p>
        </w:tc>
        <w:tc>
          <w:tcPr>
            <w:tcW w:w="1686" w:type="dxa"/>
          </w:tcPr>
          <w:p w:rsidR="00C21472" w:rsidRPr="005C430B" w:rsidRDefault="00C2147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Conditioning</w:t>
            </w:r>
          </w:p>
        </w:tc>
        <w:tc>
          <w:tcPr>
            <w:tcW w:w="2004" w:type="dxa"/>
          </w:tcPr>
          <w:p w:rsidR="00C21472" w:rsidRPr="005C430B" w:rsidRDefault="00C21472"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Conclusion</w:t>
            </w:r>
          </w:p>
        </w:tc>
      </w:tr>
      <w:tr w:rsidR="005C430B" w:rsidRPr="005C430B" w:rsidTr="00D12D00">
        <w:tc>
          <w:tcPr>
            <w:tcW w:w="3445" w:type="dxa"/>
          </w:tcPr>
          <w:p w:rsidR="00C21472" w:rsidRPr="005C430B" w:rsidRDefault="00C21472" w:rsidP="00201740">
            <w:pPr>
              <w:spacing w:line="360" w:lineRule="auto"/>
              <w:jc w:val="both"/>
              <w:rPr>
                <w:rFonts w:ascii="Book Antiqua" w:hAnsi="Book Antiqua" w:cs="Times New Roman"/>
                <w:sz w:val="24"/>
                <w:szCs w:val="24"/>
              </w:rPr>
            </w:pPr>
          </w:p>
        </w:tc>
        <w:tc>
          <w:tcPr>
            <w:tcW w:w="1571" w:type="dxa"/>
          </w:tcPr>
          <w:p w:rsidR="00C21472" w:rsidRPr="005C430B" w:rsidRDefault="00C21472" w:rsidP="00201740">
            <w:pPr>
              <w:spacing w:line="360" w:lineRule="auto"/>
              <w:jc w:val="both"/>
              <w:rPr>
                <w:rFonts w:ascii="Book Antiqua" w:hAnsi="Book Antiqua" w:cs="Times New Roman"/>
                <w:sz w:val="24"/>
                <w:szCs w:val="24"/>
              </w:rPr>
            </w:pPr>
          </w:p>
        </w:tc>
        <w:tc>
          <w:tcPr>
            <w:tcW w:w="870" w:type="dxa"/>
          </w:tcPr>
          <w:p w:rsidR="00C21472" w:rsidRPr="005C430B" w:rsidRDefault="00C21472" w:rsidP="00201740">
            <w:pPr>
              <w:spacing w:line="360" w:lineRule="auto"/>
              <w:jc w:val="both"/>
              <w:rPr>
                <w:rFonts w:ascii="Book Antiqua" w:hAnsi="Book Antiqua" w:cs="Times New Roman"/>
                <w:sz w:val="24"/>
                <w:szCs w:val="24"/>
              </w:rPr>
            </w:pPr>
          </w:p>
        </w:tc>
        <w:tc>
          <w:tcPr>
            <w:tcW w:w="1686" w:type="dxa"/>
          </w:tcPr>
          <w:p w:rsidR="00C21472" w:rsidRPr="005C430B" w:rsidRDefault="00C21472" w:rsidP="00201740">
            <w:pPr>
              <w:spacing w:line="360" w:lineRule="auto"/>
              <w:jc w:val="both"/>
              <w:rPr>
                <w:rFonts w:ascii="Book Antiqua" w:hAnsi="Book Antiqua" w:cs="Times New Roman"/>
                <w:sz w:val="24"/>
                <w:szCs w:val="24"/>
              </w:rPr>
            </w:pPr>
          </w:p>
        </w:tc>
        <w:tc>
          <w:tcPr>
            <w:tcW w:w="2004" w:type="dxa"/>
          </w:tcPr>
          <w:p w:rsidR="00C21472" w:rsidRPr="005C430B" w:rsidRDefault="00C21472" w:rsidP="00201740">
            <w:pPr>
              <w:spacing w:line="360" w:lineRule="auto"/>
              <w:jc w:val="both"/>
              <w:rPr>
                <w:rFonts w:ascii="Book Antiqua" w:hAnsi="Book Antiqua" w:cs="Times New Roman"/>
                <w:sz w:val="24"/>
                <w:szCs w:val="24"/>
              </w:rPr>
            </w:pPr>
          </w:p>
        </w:tc>
      </w:tr>
      <w:tr w:rsidR="005C430B" w:rsidRPr="005C430B" w:rsidTr="00D12D00">
        <w:tc>
          <w:tcPr>
            <w:tcW w:w="3445" w:type="dxa"/>
          </w:tcPr>
          <w:p w:rsidR="00C21472" w:rsidRPr="005C430B" w:rsidRDefault="00CA777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CESS (restrospective)</w:t>
            </w:r>
            <w:r w:rsidR="00C21472" w:rsidRPr="005C430B">
              <w:rPr>
                <w:rFonts w:ascii="Book Antiqua" w:hAnsi="Book Antiqua" w:cs="Times New Roman"/>
                <w:sz w:val="24"/>
                <w:szCs w:val="24"/>
                <w:vertAlign w:val="superscript"/>
              </w:rPr>
              <w:t>[78]</w:t>
            </w:r>
          </w:p>
        </w:tc>
        <w:tc>
          <w:tcPr>
            <w:tcW w:w="1571"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Recurrent or progressive disease</w:t>
            </w:r>
          </w:p>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(HDC after CR or PR)</w:t>
            </w:r>
          </w:p>
        </w:tc>
        <w:tc>
          <w:tcPr>
            <w:tcW w:w="870"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73</w:t>
            </w:r>
          </w:p>
        </w:tc>
        <w:tc>
          <w:tcPr>
            <w:tcW w:w="1686"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BuMel  (15)</w:t>
            </w:r>
          </w:p>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TreoMel (38)</w:t>
            </w:r>
          </w:p>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Other  (20)</w:t>
            </w:r>
          </w:p>
        </w:tc>
        <w:tc>
          <w:tcPr>
            <w:tcW w:w="2004"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Early relapse- poor prognostic</w:t>
            </w:r>
          </w:p>
        </w:tc>
      </w:tr>
      <w:tr w:rsidR="005C430B" w:rsidRPr="005C430B" w:rsidTr="00D12D00">
        <w:tc>
          <w:tcPr>
            <w:tcW w:w="3445" w:type="dxa"/>
          </w:tcPr>
          <w:p w:rsidR="00C21472" w:rsidRPr="005C430B" w:rsidRDefault="00C21472" w:rsidP="00201740">
            <w:pPr>
              <w:spacing w:line="360" w:lineRule="auto"/>
              <w:jc w:val="both"/>
              <w:rPr>
                <w:rFonts w:ascii="Book Antiqua" w:hAnsi="Book Antiqua" w:cs="Times New Roman"/>
                <w:bCs/>
                <w:sz w:val="24"/>
                <w:szCs w:val="24"/>
              </w:rPr>
            </w:pPr>
            <w:r w:rsidRPr="005C430B">
              <w:rPr>
                <w:rFonts w:ascii="Book Antiqua" w:hAnsi="Book Antiqua" w:cs="Times New Roman"/>
                <w:bCs/>
                <w:sz w:val="24"/>
                <w:szCs w:val="24"/>
              </w:rPr>
              <w:t>Société Française des Cancers de l</w:t>
            </w:r>
            <w:r w:rsidR="00CA777A" w:rsidRPr="005C430B">
              <w:rPr>
                <w:rFonts w:ascii="Book Antiqua" w:hAnsi="Book Antiqua" w:cs="Times New Roman"/>
                <w:bCs/>
                <w:sz w:val="24"/>
                <w:szCs w:val="24"/>
                <w:lang w:eastAsia="zh-CN"/>
              </w:rPr>
              <w:t>’</w:t>
            </w:r>
            <w:r w:rsidRPr="005C430B">
              <w:rPr>
                <w:rFonts w:ascii="Book Antiqua" w:hAnsi="Book Antiqua" w:cs="Times New Roman"/>
                <w:bCs/>
                <w:sz w:val="24"/>
                <w:szCs w:val="24"/>
              </w:rPr>
              <w:t>Enfant</w:t>
            </w:r>
          </w:p>
          <w:p w:rsidR="00C21472" w:rsidRPr="005C430B" w:rsidRDefault="00CA777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 (prospective)</w:t>
            </w:r>
            <w:r w:rsidR="00C21472" w:rsidRPr="005C430B">
              <w:rPr>
                <w:rFonts w:ascii="Book Antiqua" w:hAnsi="Book Antiqua" w:cs="Times New Roman"/>
                <w:sz w:val="24"/>
                <w:szCs w:val="24"/>
                <w:vertAlign w:val="superscript"/>
              </w:rPr>
              <w:t>[8]</w:t>
            </w:r>
          </w:p>
        </w:tc>
        <w:tc>
          <w:tcPr>
            <w:tcW w:w="1571"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Metastatic at diagnosis</w:t>
            </w:r>
          </w:p>
        </w:tc>
        <w:tc>
          <w:tcPr>
            <w:tcW w:w="870"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75</w:t>
            </w:r>
          </w:p>
        </w:tc>
        <w:tc>
          <w:tcPr>
            <w:tcW w:w="1686"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BuMel</w:t>
            </w:r>
          </w:p>
        </w:tc>
        <w:tc>
          <w:tcPr>
            <w:tcW w:w="2004"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Beneficial for lung only or bone metastases</w:t>
            </w:r>
          </w:p>
        </w:tc>
      </w:tr>
      <w:tr w:rsidR="005C430B" w:rsidRPr="005C430B" w:rsidTr="00D12D00">
        <w:tc>
          <w:tcPr>
            <w:tcW w:w="3445"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Italian Sarcoma Group/Scandinavian Sarcoma Group IV</w:t>
            </w:r>
          </w:p>
          <w:p w:rsidR="00C21472" w:rsidRPr="005C430B" w:rsidRDefault="00CA777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Protocol (phase II)</w:t>
            </w:r>
            <w:r w:rsidR="00C21472" w:rsidRPr="005C430B">
              <w:rPr>
                <w:rFonts w:ascii="Book Antiqua" w:hAnsi="Book Antiqua" w:cs="Times New Roman"/>
                <w:sz w:val="24"/>
                <w:szCs w:val="24"/>
                <w:vertAlign w:val="superscript"/>
              </w:rPr>
              <w:t>[9]</w:t>
            </w:r>
          </w:p>
        </w:tc>
        <w:tc>
          <w:tcPr>
            <w:tcW w:w="1571"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Metastatic at diagnosis (lung or single bone metastasis)</w:t>
            </w:r>
          </w:p>
        </w:tc>
        <w:tc>
          <w:tcPr>
            <w:tcW w:w="870"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79</w:t>
            </w:r>
          </w:p>
        </w:tc>
        <w:tc>
          <w:tcPr>
            <w:tcW w:w="1686"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BuMel ± TBI</w:t>
            </w:r>
          </w:p>
        </w:tc>
        <w:tc>
          <w:tcPr>
            <w:tcW w:w="2004"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HDC with WLI is effective</w:t>
            </w:r>
          </w:p>
        </w:tc>
      </w:tr>
      <w:tr w:rsidR="005C430B" w:rsidRPr="005C430B" w:rsidTr="00D12D00">
        <w:tc>
          <w:tcPr>
            <w:tcW w:w="3445"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Italian Sarcoma Group/Scandinavian Sarcoma Group III</w:t>
            </w:r>
          </w:p>
          <w:p w:rsidR="00C21472" w:rsidRPr="005C430B" w:rsidRDefault="00CA777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Protocol (prospective)</w:t>
            </w:r>
            <w:r w:rsidR="00C21472" w:rsidRPr="005C430B">
              <w:rPr>
                <w:rFonts w:ascii="Book Antiqua" w:hAnsi="Book Antiqua" w:cs="Times New Roman"/>
                <w:sz w:val="24"/>
                <w:szCs w:val="24"/>
                <w:vertAlign w:val="superscript"/>
              </w:rPr>
              <w:t>[34]</w:t>
            </w:r>
          </w:p>
        </w:tc>
        <w:tc>
          <w:tcPr>
            <w:tcW w:w="1571"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High risk, localized </w:t>
            </w:r>
          </w:p>
        </w:tc>
        <w:tc>
          <w:tcPr>
            <w:tcW w:w="870"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126</w:t>
            </w:r>
          </w:p>
        </w:tc>
        <w:tc>
          <w:tcPr>
            <w:tcW w:w="1686"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BuMel</w:t>
            </w:r>
          </w:p>
        </w:tc>
        <w:tc>
          <w:tcPr>
            <w:tcW w:w="2004"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Effective and feasible in patients with PR after chemotherapy</w:t>
            </w:r>
          </w:p>
        </w:tc>
      </w:tr>
      <w:tr w:rsidR="005C430B" w:rsidRPr="005C430B" w:rsidTr="00D12D00">
        <w:tc>
          <w:tcPr>
            <w:tcW w:w="3445" w:type="dxa"/>
          </w:tcPr>
          <w:p w:rsidR="00C21472" w:rsidRPr="005C430B" w:rsidRDefault="00CA777A"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Euro-Ewing 99 (prospective)</w:t>
            </w:r>
            <w:r w:rsidR="00C21472" w:rsidRPr="005C430B">
              <w:rPr>
                <w:rFonts w:ascii="Book Antiqua" w:hAnsi="Book Antiqua" w:cs="Times New Roman"/>
                <w:sz w:val="24"/>
                <w:szCs w:val="24"/>
                <w:vertAlign w:val="superscript"/>
              </w:rPr>
              <w:t>[10]</w:t>
            </w:r>
          </w:p>
        </w:tc>
        <w:tc>
          <w:tcPr>
            <w:tcW w:w="1571"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Metastatic at diagnosis</w:t>
            </w:r>
          </w:p>
        </w:tc>
        <w:tc>
          <w:tcPr>
            <w:tcW w:w="870"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169</w:t>
            </w:r>
          </w:p>
        </w:tc>
        <w:tc>
          <w:tcPr>
            <w:tcW w:w="1686"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BuMel (123)</w:t>
            </w:r>
          </w:p>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Mel (15)</w:t>
            </w:r>
          </w:p>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Others (20)</w:t>
            </w:r>
          </w:p>
        </w:tc>
        <w:tc>
          <w:tcPr>
            <w:tcW w:w="2004"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Effective in Bone and Bone marrow </w:t>
            </w:r>
            <w:r w:rsidRPr="005C430B">
              <w:rPr>
                <w:rFonts w:ascii="Book Antiqua" w:hAnsi="Book Antiqua" w:cs="Times New Roman"/>
                <w:sz w:val="24"/>
                <w:szCs w:val="24"/>
              </w:rPr>
              <w:lastRenderedPageBreak/>
              <w:t>metastases</w:t>
            </w:r>
          </w:p>
        </w:tc>
      </w:tr>
      <w:tr w:rsidR="005C430B" w:rsidRPr="005C430B" w:rsidTr="00D12D00">
        <w:tc>
          <w:tcPr>
            <w:tcW w:w="3445"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lastRenderedPageBreak/>
              <w:t>EBMT registry (retrospect</w:t>
            </w:r>
            <w:r w:rsidR="00CA777A" w:rsidRPr="005C430B">
              <w:rPr>
                <w:rFonts w:ascii="Book Antiqua" w:hAnsi="Book Antiqua" w:cs="Times New Roman"/>
                <w:sz w:val="24"/>
                <w:szCs w:val="24"/>
              </w:rPr>
              <w:t>ive)</w:t>
            </w:r>
            <w:r w:rsidRPr="005C430B">
              <w:rPr>
                <w:rFonts w:ascii="Book Antiqua" w:hAnsi="Book Antiqua" w:cs="Times New Roman"/>
                <w:sz w:val="24"/>
                <w:szCs w:val="24"/>
                <w:vertAlign w:val="superscript"/>
              </w:rPr>
              <w:t>[79]</w:t>
            </w:r>
          </w:p>
        </w:tc>
        <w:tc>
          <w:tcPr>
            <w:tcW w:w="1571"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Metastatic and HR, localized (</w:t>
            </w:r>
            <w:r w:rsidRPr="005C430B">
              <w:rPr>
                <w:rFonts w:ascii="Book Antiqua" w:hAnsi="Book Antiqua" w:cs="Times New Roman"/>
                <w:i/>
                <w:sz w:val="24"/>
                <w:szCs w:val="24"/>
              </w:rPr>
              <w:t>n</w:t>
            </w:r>
            <w:r w:rsidR="00CA777A"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w:t>
            </w:r>
            <w:r w:rsidR="00CA777A"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2411)</w:t>
            </w:r>
          </w:p>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Recurrent (</w:t>
            </w:r>
            <w:r w:rsidRPr="005C430B">
              <w:rPr>
                <w:rFonts w:ascii="Book Antiqua" w:hAnsi="Book Antiqua" w:cs="Times New Roman"/>
                <w:i/>
                <w:sz w:val="24"/>
                <w:szCs w:val="24"/>
              </w:rPr>
              <w:t>n</w:t>
            </w:r>
            <w:r w:rsidR="00CA777A"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w:t>
            </w:r>
            <w:r w:rsidR="00CA777A"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719)</w:t>
            </w:r>
          </w:p>
        </w:tc>
        <w:tc>
          <w:tcPr>
            <w:tcW w:w="870"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3695</w:t>
            </w:r>
          </w:p>
        </w:tc>
        <w:tc>
          <w:tcPr>
            <w:tcW w:w="1686"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Heterogeneous regimens</w:t>
            </w:r>
          </w:p>
        </w:tc>
        <w:tc>
          <w:tcPr>
            <w:tcW w:w="2004" w:type="dxa"/>
          </w:tcPr>
          <w:p w:rsidR="00C21472" w:rsidRPr="005C430B" w:rsidRDefault="00C21472"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Prognostic factors: </w:t>
            </w:r>
            <w:r w:rsidR="00CA777A" w:rsidRPr="005C430B">
              <w:rPr>
                <w:rFonts w:ascii="Book Antiqua" w:hAnsi="Book Antiqua" w:cs="Times New Roman"/>
                <w:sz w:val="24"/>
                <w:szCs w:val="24"/>
              </w:rPr>
              <w:t>A</w:t>
            </w:r>
            <w:r w:rsidRPr="005C430B">
              <w:rPr>
                <w:rFonts w:ascii="Book Antiqua" w:hAnsi="Book Antiqua" w:cs="Times New Roman"/>
                <w:sz w:val="24"/>
                <w:szCs w:val="24"/>
              </w:rPr>
              <w:t>ge, response to treatment, BuMel regimen</w:t>
            </w:r>
          </w:p>
        </w:tc>
      </w:tr>
    </w:tbl>
    <w:p w:rsidR="00C21472" w:rsidRPr="005C430B" w:rsidRDefault="00C21472" w:rsidP="00201740">
      <w:pPr>
        <w:spacing w:after="0" w:line="360" w:lineRule="auto"/>
        <w:jc w:val="both"/>
        <w:rPr>
          <w:rFonts w:ascii="Book Antiqua" w:hAnsi="Book Antiqua" w:cs="Times New Roman"/>
          <w:sz w:val="24"/>
          <w:szCs w:val="24"/>
        </w:rPr>
      </w:pPr>
    </w:p>
    <w:p w:rsidR="00C21472" w:rsidRPr="005C430B" w:rsidRDefault="00C21472" w:rsidP="00201740">
      <w:pPr>
        <w:spacing w:after="0" w:line="360" w:lineRule="auto"/>
        <w:jc w:val="both"/>
        <w:rPr>
          <w:rFonts w:ascii="Book Antiqua" w:hAnsi="Book Antiqua" w:cs="Times New Roman"/>
          <w:sz w:val="24"/>
          <w:szCs w:val="24"/>
        </w:rPr>
      </w:pPr>
      <w:r w:rsidRPr="005C430B">
        <w:rPr>
          <w:rFonts w:ascii="Book Antiqua" w:hAnsi="Book Antiqua" w:cs="Times New Roman"/>
          <w:sz w:val="24"/>
          <w:szCs w:val="24"/>
        </w:rPr>
        <w:t>BuMel</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B</w:t>
      </w:r>
      <w:r w:rsidRPr="005C430B">
        <w:rPr>
          <w:rFonts w:ascii="Book Antiqua" w:hAnsi="Book Antiqua" w:cs="Times New Roman"/>
          <w:sz w:val="24"/>
          <w:szCs w:val="24"/>
        </w:rPr>
        <w:t xml:space="preserve">usulphan </w:t>
      </w:r>
      <w:r w:rsidR="00D5184B"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melphalan; CR</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C</w:t>
      </w:r>
      <w:r w:rsidRPr="005C430B">
        <w:rPr>
          <w:rFonts w:ascii="Book Antiqua" w:hAnsi="Book Antiqua" w:cs="Times New Roman"/>
          <w:sz w:val="24"/>
          <w:szCs w:val="24"/>
        </w:rPr>
        <w:t>omplete response; ESFT</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Ewing sarcoma family of tumors; HDC</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H</w:t>
      </w:r>
      <w:r w:rsidRPr="005C430B">
        <w:rPr>
          <w:rFonts w:ascii="Book Antiqua" w:hAnsi="Book Antiqua" w:cs="Times New Roman"/>
          <w:sz w:val="24"/>
          <w:szCs w:val="24"/>
        </w:rPr>
        <w:t>igh dose chemotherapy; HR</w:t>
      </w:r>
      <w:r w:rsidR="00D5184B" w:rsidRPr="005C430B">
        <w:rPr>
          <w:rFonts w:ascii="Book Antiqua" w:hAnsi="Book Antiqua" w:cs="Times New Roman"/>
          <w:sz w:val="24"/>
          <w:szCs w:val="24"/>
          <w:lang w:eastAsia="zh-CN"/>
        </w:rPr>
        <w:t xml:space="preserve">: </w:t>
      </w:r>
      <w:r w:rsidR="00D5184B" w:rsidRPr="005C430B">
        <w:rPr>
          <w:rFonts w:ascii="Book Antiqua" w:hAnsi="Book Antiqua" w:cs="Times New Roman"/>
          <w:sz w:val="24"/>
          <w:szCs w:val="24"/>
        </w:rPr>
        <w:t>H</w:t>
      </w:r>
      <w:r w:rsidRPr="005C430B">
        <w:rPr>
          <w:rFonts w:ascii="Book Antiqua" w:hAnsi="Book Antiqua" w:cs="Times New Roman"/>
          <w:sz w:val="24"/>
          <w:szCs w:val="24"/>
        </w:rPr>
        <w:t xml:space="preserve">igh risk; </w:t>
      </w:r>
      <w:r w:rsidR="00D5184B" w:rsidRPr="005C430B">
        <w:rPr>
          <w:rFonts w:ascii="Book Antiqua" w:hAnsi="Book Antiqua" w:cs="Times New Roman"/>
          <w:i/>
          <w:sz w:val="24"/>
          <w:szCs w:val="24"/>
        </w:rPr>
        <w:t>n</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N</w:t>
      </w:r>
      <w:r w:rsidRPr="005C430B">
        <w:rPr>
          <w:rFonts w:ascii="Book Antiqua" w:hAnsi="Book Antiqua" w:cs="Times New Roman"/>
          <w:sz w:val="24"/>
          <w:szCs w:val="24"/>
        </w:rPr>
        <w:t>umber; PR</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P</w:t>
      </w:r>
      <w:r w:rsidRPr="005C430B">
        <w:rPr>
          <w:rFonts w:ascii="Book Antiqua" w:hAnsi="Book Antiqua" w:cs="Times New Roman"/>
          <w:sz w:val="24"/>
          <w:szCs w:val="24"/>
        </w:rPr>
        <w:t>artial response; TBI</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T</w:t>
      </w:r>
      <w:r w:rsidRPr="005C430B">
        <w:rPr>
          <w:rFonts w:ascii="Book Antiqua" w:hAnsi="Book Antiqua" w:cs="Times New Roman"/>
          <w:sz w:val="24"/>
          <w:szCs w:val="24"/>
        </w:rPr>
        <w:t>otal body irradiation; TreoMel</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T</w:t>
      </w:r>
      <w:r w:rsidRPr="005C430B">
        <w:rPr>
          <w:rFonts w:ascii="Book Antiqua" w:hAnsi="Book Antiqua" w:cs="Times New Roman"/>
          <w:sz w:val="24"/>
          <w:szCs w:val="24"/>
        </w:rPr>
        <w:t xml:space="preserve">reosulphan </w:t>
      </w:r>
      <w:r w:rsidR="00D5184B"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melphalan; WLI</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w:t>
      </w:r>
      <w:r w:rsidR="00D5184B" w:rsidRPr="005C430B">
        <w:rPr>
          <w:rFonts w:ascii="Book Antiqua" w:hAnsi="Book Antiqua" w:cs="Times New Roman"/>
          <w:sz w:val="24"/>
          <w:szCs w:val="24"/>
        </w:rPr>
        <w:t>W</w:t>
      </w:r>
      <w:r w:rsidRPr="005C430B">
        <w:rPr>
          <w:rFonts w:ascii="Book Antiqua" w:hAnsi="Book Antiqua" w:cs="Times New Roman"/>
          <w:sz w:val="24"/>
          <w:szCs w:val="24"/>
        </w:rPr>
        <w:t xml:space="preserve">hole lung irradiation. </w:t>
      </w:r>
    </w:p>
    <w:p w:rsidR="00D5184B" w:rsidRPr="005C430B" w:rsidRDefault="00D5184B">
      <w:pPr>
        <w:rPr>
          <w:rFonts w:ascii="Book Antiqua" w:hAnsi="Book Antiqua" w:cs="Times New Roman"/>
          <w:b/>
          <w:sz w:val="24"/>
          <w:szCs w:val="24"/>
        </w:rPr>
      </w:pPr>
      <w:r w:rsidRPr="005C430B">
        <w:rPr>
          <w:rFonts w:ascii="Book Antiqua" w:hAnsi="Book Antiqua" w:cs="Times New Roman"/>
          <w:b/>
          <w:sz w:val="24"/>
          <w:szCs w:val="24"/>
        </w:rPr>
        <w:br w:type="page"/>
      </w:r>
    </w:p>
    <w:p w:rsidR="00D5184B" w:rsidRPr="005C430B" w:rsidRDefault="00D5184B" w:rsidP="00D5184B">
      <w:pPr>
        <w:spacing w:after="0" w:line="360" w:lineRule="auto"/>
        <w:jc w:val="both"/>
        <w:rPr>
          <w:rFonts w:ascii="Book Antiqua" w:hAnsi="Book Antiqua" w:cs="Times New Roman"/>
          <w:b/>
          <w:sz w:val="24"/>
          <w:szCs w:val="24"/>
        </w:rPr>
      </w:pPr>
      <w:r w:rsidRPr="005C430B">
        <w:rPr>
          <w:rFonts w:ascii="Book Antiqua" w:hAnsi="Book Antiqua" w:cs="Times New Roman"/>
          <w:b/>
          <w:sz w:val="24"/>
          <w:szCs w:val="24"/>
        </w:rPr>
        <w:lastRenderedPageBreak/>
        <w:t>Table 4</w:t>
      </w:r>
      <w:r w:rsidR="001B1AB4" w:rsidRPr="005C430B">
        <w:rPr>
          <w:rFonts w:ascii="Book Antiqua" w:hAnsi="Book Antiqua" w:cs="Times New Roman"/>
          <w:b/>
          <w:sz w:val="24"/>
          <w:szCs w:val="24"/>
        </w:rPr>
        <w:t xml:space="preserve"> Data on Irinotecan-temozolamide salvage regimen in recurrent/refractory </w:t>
      </w:r>
      <w:r w:rsidRPr="005C430B">
        <w:rPr>
          <w:rFonts w:ascii="Book Antiqua" w:hAnsi="Book Antiqua" w:cs="Times New Roman"/>
          <w:b/>
          <w:sz w:val="24"/>
          <w:szCs w:val="24"/>
        </w:rPr>
        <w:t>Ewing sarcoma family tumors</w:t>
      </w:r>
    </w:p>
    <w:p w:rsidR="001B1AB4" w:rsidRPr="005C430B" w:rsidRDefault="001B1AB4" w:rsidP="00201740">
      <w:pPr>
        <w:spacing w:after="0" w:line="360" w:lineRule="auto"/>
        <w:jc w:val="both"/>
        <w:rPr>
          <w:rFonts w:ascii="Book Antiqua" w:hAnsi="Book Antiqua" w:cs="Times New Roman"/>
          <w:b/>
          <w:sz w:val="24"/>
          <w:szCs w:val="24"/>
        </w:rPr>
      </w:pPr>
    </w:p>
    <w:tbl>
      <w:tblPr>
        <w:tblStyle w:val="TableGrid"/>
        <w:tblW w:w="0" w:type="auto"/>
        <w:tblLook w:val="04A0" w:firstRow="1" w:lastRow="0" w:firstColumn="1" w:lastColumn="0" w:noHBand="0" w:noVBand="1"/>
      </w:tblPr>
      <w:tblGrid>
        <w:gridCol w:w="1915"/>
        <w:gridCol w:w="1073"/>
        <w:gridCol w:w="2757"/>
        <w:gridCol w:w="1383"/>
        <w:gridCol w:w="2448"/>
      </w:tblGrid>
      <w:tr w:rsidR="005C430B" w:rsidRPr="005C430B" w:rsidTr="00D12D00">
        <w:tc>
          <w:tcPr>
            <w:tcW w:w="1915" w:type="dxa"/>
          </w:tcPr>
          <w:p w:rsidR="001B1AB4" w:rsidRPr="005C430B" w:rsidRDefault="00D5184B" w:rsidP="00201740">
            <w:pPr>
              <w:spacing w:line="360" w:lineRule="auto"/>
              <w:jc w:val="both"/>
              <w:rPr>
                <w:rFonts w:ascii="Book Antiqua" w:hAnsi="Book Antiqua" w:cs="Times New Roman"/>
                <w:b/>
                <w:sz w:val="24"/>
                <w:szCs w:val="24"/>
                <w:lang w:eastAsia="zh-CN"/>
              </w:rPr>
            </w:pPr>
            <w:r w:rsidRPr="005C430B">
              <w:rPr>
                <w:rFonts w:ascii="Book Antiqua" w:hAnsi="Book Antiqua" w:cs="Times New Roman"/>
                <w:b/>
                <w:sz w:val="24"/>
                <w:szCs w:val="24"/>
                <w:lang w:eastAsia="zh-CN"/>
              </w:rPr>
              <w:t>Ref.</w:t>
            </w:r>
          </w:p>
        </w:tc>
        <w:tc>
          <w:tcPr>
            <w:tcW w:w="1073" w:type="dxa"/>
          </w:tcPr>
          <w:p w:rsidR="001B1AB4" w:rsidRPr="005C430B" w:rsidRDefault="00D5184B" w:rsidP="00201740">
            <w:pPr>
              <w:spacing w:line="360" w:lineRule="auto"/>
              <w:jc w:val="both"/>
              <w:rPr>
                <w:rFonts w:ascii="Book Antiqua" w:hAnsi="Book Antiqua" w:cs="Times New Roman"/>
                <w:b/>
                <w:i/>
                <w:sz w:val="24"/>
                <w:szCs w:val="24"/>
              </w:rPr>
            </w:pPr>
            <w:r w:rsidRPr="005C430B">
              <w:rPr>
                <w:rFonts w:ascii="Book Antiqua" w:hAnsi="Book Antiqua" w:cs="Times New Roman"/>
                <w:b/>
                <w:i/>
                <w:sz w:val="24"/>
                <w:szCs w:val="24"/>
              </w:rPr>
              <w:t>n</w:t>
            </w:r>
          </w:p>
        </w:tc>
        <w:tc>
          <w:tcPr>
            <w:tcW w:w="2757" w:type="dxa"/>
          </w:tcPr>
          <w:p w:rsidR="001B1AB4" w:rsidRPr="005C430B" w:rsidRDefault="001B1AB4"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Irinotecan schedule</w:t>
            </w:r>
          </w:p>
        </w:tc>
        <w:tc>
          <w:tcPr>
            <w:tcW w:w="1383" w:type="dxa"/>
          </w:tcPr>
          <w:p w:rsidR="001B1AB4" w:rsidRPr="005C430B" w:rsidRDefault="001B1AB4"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ORR (</w:t>
            </w:r>
            <w:r w:rsidRPr="005C430B">
              <w:rPr>
                <w:rFonts w:ascii="Book Antiqua" w:hAnsi="Book Antiqua" w:cs="Times New Roman"/>
                <w:b/>
                <w:i/>
                <w:sz w:val="24"/>
                <w:szCs w:val="24"/>
              </w:rPr>
              <w:t>n</w:t>
            </w:r>
            <w:r w:rsidRPr="005C430B">
              <w:rPr>
                <w:rFonts w:ascii="Book Antiqua" w:hAnsi="Book Antiqua" w:cs="Times New Roman"/>
                <w:b/>
                <w:sz w:val="24"/>
                <w:szCs w:val="24"/>
              </w:rPr>
              <w:t>)</w:t>
            </w:r>
          </w:p>
        </w:tc>
        <w:tc>
          <w:tcPr>
            <w:tcW w:w="2448" w:type="dxa"/>
          </w:tcPr>
          <w:p w:rsidR="001B1AB4" w:rsidRPr="005C430B" w:rsidRDefault="001B1AB4" w:rsidP="00201740">
            <w:pPr>
              <w:spacing w:line="360" w:lineRule="auto"/>
              <w:jc w:val="both"/>
              <w:rPr>
                <w:rFonts w:ascii="Book Antiqua" w:hAnsi="Book Antiqua" w:cs="Times New Roman"/>
                <w:b/>
                <w:sz w:val="24"/>
                <w:szCs w:val="24"/>
              </w:rPr>
            </w:pPr>
            <w:r w:rsidRPr="005C430B">
              <w:rPr>
                <w:rFonts w:ascii="Book Antiqua" w:hAnsi="Book Antiqua" w:cs="Times New Roman"/>
                <w:b/>
                <w:sz w:val="24"/>
                <w:szCs w:val="24"/>
              </w:rPr>
              <w:t xml:space="preserve">Toxicity (grade 3 </w:t>
            </w:r>
            <w:r w:rsidR="00D5184B" w:rsidRPr="005C430B">
              <w:rPr>
                <w:rFonts w:ascii="Book Antiqua" w:hAnsi="Book Antiqua" w:cs="Times New Roman"/>
                <w:b/>
                <w:sz w:val="24"/>
                <w:szCs w:val="24"/>
                <w:lang w:eastAsia="zh-CN"/>
              </w:rPr>
              <w:t>and</w:t>
            </w:r>
            <w:r w:rsidRPr="005C430B">
              <w:rPr>
                <w:rFonts w:ascii="Book Antiqua" w:hAnsi="Book Antiqua" w:cs="Times New Roman"/>
                <w:b/>
                <w:sz w:val="24"/>
                <w:szCs w:val="24"/>
              </w:rPr>
              <w:t xml:space="preserve"> 4)</w:t>
            </w:r>
          </w:p>
          <w:p w:rsidR="001B1AB4" w:rsidRPr="005C430B" w:rsidRDefault="001B1AB4" w:rsidP="00201740">
            <w:pPr>
              <w:spacing w:line="360" w:lineRule="auto"/>
              <w:jc w:val="both"/>
              <w:rPr>
                <w:rFonts w:ascii="Book Antiqua" w:hAnsi="Book Antiqua" w:cs="Times New Roman"/>
                <w:b/>
                <w:sz w:val="24"/>
                <w:szCs w:val="24"/>
              </w:rPr>
            </w:pPr>
          </w:p>
        </w:tc>
      </w:tr>
      <w:tr w:rsidR="005C430B" w:rsidRPr="005C430B" w:rsidTr="00D12D00">
        <w:tc>
          <w:tcPr>
            <w:tcW w:w="1915" w:type="dxa"/>
          </w:tcPr>
          <w:p w:rsidR="001B1AB4" w:rsidRPr="005C430B" w:rsidRDefault="00D5184B"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Kurucu</w:t>
            </w:r>
            <w:r w:rsidRPr="005C430B">
              <w:rPr>
                <w:rFonts w:ascii="Book Antiqua" w:hAnsi="Book Antiqua" w:cs="Times New Roman"/>
                <w:i/>
                <w:sz w:val="24"/>
                <w:szCs w:val="24"/>
              </w:rPr>
              <w:t xml:space="preserve"> et al</w:t>
            </w:r>
            <w:r w:rsidR="001B1AB4" w:rsidRPr="005C430B">
              <w:rPr>
                <w:rFonts w:ascii="Book Antiqua" w:hAnsi="Book Antiqua" w:cs="Times New Roman"/>
                <w:sz w:val="24"/>
                <w:szCs w:val="24"/>
                <w:vertAlign w:val="superscript"/>
              </w:rPr>
              <w:t>[65]</w:t>
            </w:r>
          </w:p>
        </w:tc>
        <w:tc>
          <w:tcPr>
            <w:tcW w:w="107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20</w:t>
            </w:r>
          </w:p>
        </w:tc>
        <w:tc>
          <w:tcPr>
            <w:tcW w:w="2757" w:type="dxa"/>
          </w:tcPr>
          <w:p w:rsidR="001B1AB4" w:rsidRPr="005C430B" w:rsidRDefault="001B1AB4" w:rsidP="00D5184B">
            <w:pPr>
              <w:spacing w:line="360" w:lineRule="auto"/>
              <w:jc w:val="both"/>
              <w:rPr>
                <w:rFonts w:ascii="Book Antiqua" w:hAnsi="Book Antiqua" w:cs="Times New Roman"/>
                <w:sz w:val="24"/>
                <w:szCs w:val="24"/>
              </w:rPr>
            </w:pPr>
            <w:r w:rsidRPr="005C430B">
              <w:rPr>
                <w:rFonts w:ascii="Book Antiqua" w:hAnsi="Book Antiqua" w:cs="Times New Roman"/>
                <w:sz w:val="24"/>
                <w:szCs w:val="24"/>
              </w:rPr>
              <w:t>20 mg/m</w:t>
            </w:r>
            <w:r w:rsidRPr="005C430B">
              <w:rPr>
                <w:rFonts w:ascii="Book Antiqua" w:hAnsi="Book Antiqua" w:cs="Times New Roman"/>
                <w:sz w:val="24"/>
                <w:szCs w:val="24"/>
                <w:vertAlign w:val="superscript"/>
              </w:rPr>
              <w:t>2</w:t>
            </w:r>
            <w:r w:rsidRPr="005C430B">
              <w:rPr>
                <w:rFonts w:ascii="Book Antiqua" w:hAnsi="Book Antiqua" w:cs="Times New Roman"/>
                <w:sz w:val="24"/>
                <w:szCs w:val="24"/>
              </w:rPr>
              <w:t xml:space="preserve"> (D1-5 </w:t>
            </w:r>
            <w:r w:rsidR="00D5184B"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D8-D12)</w:t>
            </w:r>
          </w:p>
        </w:tc>
        <w:tc>
          <w:tcPr>
            <w:tcW w:w="138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55% (11)</w:t>
            </w:r>
          </w:p>
        </w:tc>
        <w:tc>
          <w:tcPr>
            <w:tcW w:w="2448"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Diarrhea </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9.2%</w:t>
            </w:r>
          </w:p>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Neutropenia </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11.3%</w:t>
            </w:r>
          </w:p>
          <w:p w:rsidR="001B1AB4" w:rsidRPr="005C430B" w:rsidRDefault="001B1AB4" w:rsidP="00201740">
            <w:pPr>
              <w:spacing w:line="360" w:lineRule="auto"/>
              <w:jc w:val="both"/>
              <w:rPr>
                <w:rFonts w:ascii="Book Antiqua" w:hAnsi="Book Antiqua" w:cs="Times New Roman"/>
                <w:sz w:val="24"/>
                <w:szCs w:val="24"/>
              </w:rPr>
            </w:pPr>
          </w:p>
        </w:tc>
      </w:tr>
      <w:tr w:rsidR="005C430B" w:rsidRPr="005C430B" w:rsidTr="00D12D00">
        <w:tc>
          <w:tcPr>
            <w:tcW w:w="1915" w:type="dxa"/>
          </w:tcPr>
          <w:p w:rsidR="001B1AB4" w:rsidRPr="005C430B" w:rsidRDefault="00D5184B"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McNall-Knapp </w:t>
            </w:r>
            <w:r w:rsidRPr="005C430B">
              <w:rPr>
                <w:rFonts w:ascii="Book Antiqua" w:hAnsi="Book Antiqua" w:cs="Times New Roman"/>
                <w:i/>
                <w:sz w:val="24"/>
                <w:szCs w:val="24"/>
              </w:rPr>
              <w:t>et al</w:t>
            </w:r>
            <w:r w:rsidR="001B1AB4" w:rsidRPr="005C430B">
              <w:rPr>
                <w:rFonts w:ascii="Book Antiqua" w:hAnsi="Book Antiqua" w:cs="Times New Roman"/>
                <w:sz w:val="24"/>
                <w:szCs w:val="24"/>
                <w:vertAlign w:val="superscript"/>
              </w:rPr>
              <w:t>[64]</w:t>
            </w:r>
          </w:p>
        </w:tc>
        <w:tc>
          <w:tcPr>
            <w:tcW w:w="107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25</w:t>
            </w:r>
          </w:p>
        </w:tc>
        <w:tc>
          <w:tcPr>
            <w:tcW w:w="2757"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15 mg/m</w:t>
            </w:r>
            <w:r w:rsidRPr="005C430B">
              <w:rPr>
                <w:rFonts w:ascii="Book Antiqua" w:hAnsi="Book Antiqua" w:cs="Times New Roman"/>
                <w:sz w:val="24"/>
                <w:szCs w:val="24"/>
                <w:vertAlign w:val="superscript"/>
              </w:rPr>
              <w:t>2</w:t>
            </w:r>
            <w:r w:rsidRPr="005C430B">
              <w:rPr>
                <w:rFonts w:ascii="Book Antiqua" w:hAnsi="Book Antiqua" w:cs="Times New Roman"/>
                <w:sz w:val="24"/>
                <w:szCs w:val="24"/>
              </w:rPr>
              <w:t xml:space="preserve"> </w:t>
            </w:r>
            <w:r w:rsidRPr="005C430B">
              <w:rPr>
                <w:rFonts w:ascii="Book Antiqua" w:hAnsi="Book Antiqua" w:cs="Times New Roman"/>
                <w:i/>
                <w:sz w:val="24"/>
                <w:szCs w:val="24"/>
              </w:rPr>
              <w:t>vs</w:t>
            </w:r>
            <w:r w:rsidRPr="005C430B">
              <w:rPr>
                <w:rFonts w:ascii="Book Antiqua" w:hAnsi="Book Antiqua" w:cs="Times New Roman"/>
                <w:sz w:val="24"/>
                <w:szCs w:val="24"/>
              </w:rPr>
              <w:t xml:space="preserve"> 20 mg/m</w:t>
            </w:r>
            <w:r w:rsidRPr="005C430B">
              <w:rPr>
                <w:rFonts w:ascii="Book Antiqua" w:hAnsi="Book Antiqua" w:cs="Times New Roman"/>
                <w:sz w:val="24"/>
                <w:szCs w:val="24"/>
                <w:vertAlign w:val="superscript"/>
              </w:rPr>
              <w:t>2</w:t>
            </w:r>
          </w:p>
          <w:p w:rsidR="001B1AB4" w:rsidRPr="005C430B" w:rsidRDefault="001B1AB4" w:rsidP="009B3FC7">
            <w:pPr>
              <w:spacing w:line="360" w:lineRule="auto"/>
              <w:jc w:val="both"/>
              <w:rPr>
                <w:rFonts w:ascii="Book Antiqua" w:hAnsi="Book Antiqua" w:cs="Times New Roman"/>
                <w:sz w:val="24"/>
                <w:szCs w:val="24"/>
                <w:lang w:eastAsia="zh-CN"/>
              </w:rPr>
            </w:pPr>
            <w:r w:rsidRPr="005C430B">
              <w:rPr>
                <w:rFonts w:ascii="Book Antiqua" w:hAnsi="Book Antiqua" w:cs="Times New Roman"/>
                <w:sz w:val="24"/>
                <w:szCs w:val="24"/>
              </w:rPr>
              <w:t xml:space="preserve"> (D1-5 </w:t>
            </w:r>
            <w:r w:rsidR="00D5184B"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D8-D12)</w:t>
            </w:r>
            <w:r w:rsidR="009B3FC7" w:rsidRPr="005C430B">
              <w:rPr>
                <w:rFonts w:ascii="Book Antiqua" w:hAnsi="Book Antiqua" w:cs="Times New Roman"/>
                <w:sz w:val="24"/>
                <w:szCs w:val="24"/>
                <w:vertAlign w:val="superscript"/>
                <w:lang w:eastAsia="zh-CN"/>
              </w:rPr>
              <w:t>1</w:t>
            </w:r>
          </w:p>
        </w:tc>
        <w:tc>
          <w:tcPr>
            <w:tcW w:w="138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20% (5)</w:t>
            </w:r>
          </w:p>
        </w:tc>
        <w:tc>
          <w:tcPr>
            <w:tcW w:w="2448"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Diarrhea </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5%</w:t>
            </w:r>
          </w:p>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Hematological </w:t>
            </w:r>
            <w:r w:rsidR="00D5184B"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55%</w:t>
            </w:r>
          </w:p>
          <w:p w:rsidR="001B1AB4" w:rsidRPr="005C430B" w:rsidRDefault="001B1AB4" w:rsidP="00201740">
            <w:pPr>
              <w:spacing w:line="360" w:lineRule="auto"/>
              <w:jc w:val="both"/>
              <w:rPr>
                <w:rFonts w:ascii="Book Antiqua" w:hAnsi="Book Antiqua" w:cs="Times New Roman"/>
                <w:sz w:val="24"/>
                <w:szCs w:val="24"/>
              </w:rPr>
            </w:pPr>
          </w:p>
        </w:tc>
      </w:tr>
      <w:tr w:rsidR="005C430B" w:rsidRPr="005C430B" w:rsidTr="00D12D00">
        <w:tc>
          <w:tcPr>
            <w:tcW w:w="1915" w:type="dxa"/>
          </w:tcPr>
          <w:p w:rsidR="001B1AB4" w:rsidRPr="005C430B" w:rsidRDefault="00D5184B"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Raciborska </w:t>
            </w:r>
            <w:r w:rsidRPr="005C430B">
              <w:rPr>
                <w:rFonts w:ascii="Book Antiqua" w:hAnsi="Book Antiqua" w:cs="Times New Roman"/>
                <w:i/>
                <w:sz w:val="24"/>
                <w:szCs w:val="24"/>
              </w:rPr>
              <w:t>et al</w:t>
            </w:r>
            <w:r w:rsidR="001B1AB4" w:rsidRPr="005C430B">
              <w:rPr>
                <w:rFonts w:ascii="Book Antiqua" w:hAnsi="Book Antiqua" w:cs="Times New Roman"/>
                <w:sz w:val="24"/>
                <w:szCs w:val="24"/>
                <w:vertAlign w:val="superscript"/>
              </w:rPr>
              <w:t>[63]</w:t>
            </w:r>
          </w:p>
        </w:tc>
        <w:tc>
          <w:tcPr>
            <w:tcW w:w="107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22</w:t>
            </w:r>
          </w:p>
        </w:tc>
        <w:tc>
          <w:tcPr>
            <w:tcW w:w="2757"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50 mg/m</w:t>
            </w:r>
            <w:r w:rsidRPr="005C430B">
              <w:rPr>
                <w:rFonts w:ascii="Book Antiqua" w:hAnsi="Book Antiqua" w:cs="Times New Roman"/>
                <w:sz w:val="24"/>
                <w:szCs w:val="24"/>
                <w:vertAlign w:val="superscript"/>
              </w:rPr>
              <w:t>2</w:t>
            </w:r>
            <w:r w:rsidRPr="005C430B">
              <w:rPr>
                <w:rFonts w:ascii="Book Antiqua" w:hAnsi="Book Antiqua" w:cs="Times New Roman"/>
                <w:sz w:val="24"/>
                <w:szCs w:val="24"/>
              </w:rPr>
              <w:t xml:space="preserve"> (D1-D5)</w:t>
            </w:r>
            <w:r w:rsidR="009B3FC7" w:rsidRPr="005C430B">
              <w:rPr>
                <w:rFonts w:ascii="Book Antiqua" w:hAnsi="Book Antiqua" w:cs="Times New Roman"/>
                <w:sz w:val="24"/>
                <w:szCs w:val="24"/>
                <w:vertAlign w:val="superscript"/>
                <w:lang w:eastAsia="zh-CN"/>
              </w:rPr>
              <w:t>1</w:t>
            </w:r>
          </w:p>
        </w:tc>
        <w:tc>
          <w:tcPr>
            <w:tcW w:w="138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50% (12)</w:t>
            </w:r>
          </w:p>
        </w:tc>
        <w:tc>
          <w:tcPr>
            <w:tcW w:w="2448"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Diarrhea </w:t>
            </w:r>
            <w:r w:rsidR="002244C0"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15%</w:t>
            </w:r>
          </w:p>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Hematological </w:t>
            </w:r>
            <w:r w:rsidR="002244C0"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10%</w:t>
            </w:r>
          </w:p>
          <w:p w:rsidR="001B1AB4" w:rsidRPr="005C430B" w:rsidRDefault="001B1AB4" w:rsidP="00201740">
            <w:pPr>
              <w:spacing w:line="360" w:lineRule="auto"/>
              <w:jc w:val="both"/>
              <w:rPr>
                <w:rFonts w:ascii="Book Antiqua" w:hAnsi="Book Antiqua" w:cs="Times New Roman"/>
                <w:sz w:val="24"/>
                <w:szCs w:val="24"/>
              </w:rPr>
            </w:pPr>
          </w:p>
        </w:tc>
      </w:tr>
      <w:tr w:rsidR="005C430B" w:rsidRPr="005C430B" w:rsidTr="00D12D00">
        <w:tc>
          <w:tcPr>
            <w:tcW w:w="1915" w:type="dxa"/>
          </w:tcPr>
          <w:p w:rsidR="001B1AB4" w:rsidRPr="005C430B" w:rsidRDefault="002244C0"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Wagner</w:t>
            </w:r>
            <w:r w:rsidRPr="005C430B">
              <w:rPr>
                <w:rFonts w:ascii="Book Antiqua" w:hAnsi="Book Antiqua" w:cs="Times New Roman"/>
                <w:i/>
                <w:sz w:val="24"/>
                <w:szCs w:val="24"/>
              </w:rPr>
              <w:t xml:space="preserve"> et al</w:t>
            </w:r>
            <w:r w:rsidR="001B1AB4" w:rsidRPr="005C430B">
              <w:rPr>
                <w:rFonts w:ascii="Book Antiqua" w:hAnsi="Book Antiqua" w:cs="Times New Roman"/>
                <w:sz w:val="24"/>
                <w:szCs w:val="24"/>
                <w:vertAlign w:val="superscript"/>
              </w:rPr>
              <w:t>[62]</w:t>
            </w:r>
          </w:p>
        </w:tc>
        <w:tc>
          <w:tcPr>
            <w:tcW w:w="107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16</w:t>
            </w:r>
          </w:p>
        </w:tc>
        <w:tc>
          <w:tcPr>
            <w:tcW w:w="2757"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10-20 mg/m</w:t>
            </w:r>
            <w:r w:rsidRPr="005C430B">
              <w:rPr>
                <w:rFonts w:ascii="Book Antiqua" w:hAnsi="Book Antiqua" w:cs="Times New Roman"/>
                <w:sz w:val="24"/>
                <w:szCs w:val="24"/>
                <w:vertAlign w:val="superscript"/>
              </w:rPr>
              <w:t>2</w:t>
            </w:r>
            <w:r w:rsidRPr="005C430B">
              <w:rPr>
                <w:rFonts w:ascii="Book Antiqua" w:hAnsi="Book Antiqua" w:cs="Times New Roman"/>
                <w:sz w:val="24"/>
                <w:szCs w:val="24"/>
              </w:rPr>
              <w:t xml:space="preserve"> (D1-5 </w:t>
            </w:r>
            <w:r w:rsidR="002244C0"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D8-D12)</w:t>
            </w:r>
            <w:r w:rsidR="002244C0"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 xml:space="preserve">- 3 </w:t>
            </w:r>
            <w:r w:rsidR="002244C0" w:rsidRPr="005C430B">
              <w:rPr>
                <w:rFonts w:ascii="Book Antiqua" w:hAnsi="Book Antiqua" w:cs="Times New Roman"/>
                <w:sz w:val="24"/>
                <w:szCs w:val="24"/>
              </w:rPr>
              <w:t>weekly</w:t>
            </w:r>
            <w:r w:rsidR="002244C0" w:rsidRPr="005C430B">
              <w:rPr>
                <w:rFonts w:ascii="Book Antiqua" w:hAnsi="Book Antiqua" w:cs="Times New Roman"/>
                <w:i/>
                <w:sz w:val="24"/>
                <w:szCs w:val="24"/>
              </w:rPr>
              <w:t xml:space="preserve"> </w:t>
            </w:r>
            <w:r w:rsidRPr="005C430B">
              <w:rPr>
                <w:rFonts w:ascii="Book Antiqua" w:hAnsi="Book Antiqua" w:cs="Times New Roman"/>
                <w:i/>
                <w:sz w:val="24"/>
                <w:szCs w:val="24"/>
              </w:rPr>
              <w:t>vs</w:t>
            </w:r>
            <w:r w:rsidRPr="005C430B">
              <w:rPr>
                <w:rFonts w:ascii="Book Antiqua" w:hAnsi="Book Antiqua" w:cs="Times New Roman"/>
                <w:sz w:val="24"/>
                <w:szCs w:val="24"/>
              </w:rPr>
              <w:t xml:space="preserve"> 4 weekly</w:t>
            </w:r>
          </w:p>
          <w:p w:rsidR="001B1AB4" w:rsidRPr="005C430B" w:rsidRDefault="001B1AB4" w:rsidP="00201740">
            <w:pPr>
              <w:spacing w:line="360" w:lineRule="auto"/>
              <w:jc w:val="both"/>
              <w:rPr>
                <w:rFonts w:ascii="Book Antiqua" w:hAnsi="Book Antiqua" w:cs="Times New Roman"/>
                <w:sz w:val="24"/>
                <w:szCs w:val="24"/>
              </w:rPr>
            </w:pPr>
          </w:p>
        </w:tc>
        <w:tc>
          <w:tcPr>
            <w:tcW w:w="138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25% (4)</w:t>
            </w:r>
          </w:p>
        </w:tc>
        <w:tc>
          <w:tcPr>
            <w:tcW w:w="2448" w:type="dxa"/>
          </w:tcPr>
          <w:p w:rsidR="001B1AB4" w:rsidRPr="005C430B" w:rsidRDefault="001B1AB4" w:rsidP="009B3FC7">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Diarrhea </w:t>
            </w:r>
            <w:r w:rsidR="009B3FC7"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11%</w:t>
            </w:r>
          </w:p>
        </w:tc>
      </w:tr>
      <w:tr w:rsidR="005C430B" w:rsidRPr="005C430B" w:rsidTr="00D12D00">
        <w:tc>
          <w:tcPr>
            <w:tcW w:w="1915" w:type="dxa"/>
          </w:tcPr>
          <w:p w:rsidR="001B1AB4" w:rsidRPr="005C430B" w:rsidRDefault="009B3FC7"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Casey </w:t>
            </w:r>
            <w:r w:rsidRPr="005C430B">
              <w:rPr>
                <w:rFonts w:ascii="Book Antiqua" w:hAnsi="Book Antiqua" w:cs="Times New Roman"/>
                <w:i/>
                <w:sz w:val="24"/>
                <w:szCs w:val="24"/>
              </w:rPr>
              <w:t>et al</w:t>
            </w:r>
            <w:r w:rsidR="001B1AB4" w:rsidRPr="005C430B">
              <w:rPr>
                <w:rFonts w:ascii="Book Antiqua" w:hAnsi="Book Antiqua" w:cs="Times New Roman"/>
                <w:sz w:val="24"/>
                <w:szCs w:val="24"/>
                <w:vertAlign w:val="superscript"/>
              </w:rPr>
              <w:t>[61]</w:t>
            </w:r>
          </w:p>
        </w:tc>
        <w:tc>
          <w:tcPr>
            <w:tcW w:w="107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20</w:t>
            </w:r>
          </w:p>
        </w:tc>
        <w:tc>
          <w:tcPr>
            <w:tcW w:w="2757" w:type="dxa"/>
          </w:tcPr>
          <w:p w:rsidR="001B1AB4" w:rsidRPr="005C430B" w:rsidRDefault="001B1AB4" w:rsidP="009B3FC7">
            <w:pPr>
              <w:spacing w:line="360" w:lineRule="auto"/>
              <w:jc w:val="both"/>
              <w:rPr>
                <w:rFonts w:ascii="Book Antiqua" w:hAnsi="Book Antiqua" w:cs="Times New Roman"/>
                <w:sz w:val="24"/>
                <w:szCs w:val="24"/>
              </w:rPr>
            </w:pPr>
            <w:r w:rsidRPr="005C430B">
              <w:rPr>
                <w:rFonts w:ascii="Book Antiqua" w:hAnsi="Book Antiqua" w:cs="Times New Roman"/>
                <w:sz w:val="24"/>
                <w:szCs w:val="24"/>
              </w:rPr>
              <w:t>20 mg/m</w:t>
            </w:r>
            <w:r w:rsidRPr="005C430B">
              <w:rPr>
                <w:rFonts w:ascii="Book Antiqua" w:hAnsi="Book Antiqua" w:cs="Times New Roman"/>
                <w:sz w:val="24"/>
                <w:szCs w:val="24"/>
                <w:vertAlign w:val="superscript"/>
              </w:rPr>
              <w:t>2</w:t>
            </w:r>
            <w:r w:rsidRPr="005C430B">
              <w:rPr>
                <w:rFonts w:ascii="Book Antiqua" w:hAnsi="Book Antiqua" w:cs="Times New Roman"/>
                <w:sz w:val="24"/>
                <w:szCs w:val="24"/>
              </w:rPr>
              <w:t xml:space="preserve"> (D1-5 </w:t>
            </w:r>
            <w:r w:rsidR="009B3FC7" w:rsidRPr="005C430B">
              <w:rPr>
                <w:rFonts w:ascii="Book Antiqua" w:hAnsi="Book Antiqua" w:cs="Times New Roman"/>
                <w:sz w:val="24"/>
                <w:szCs w:val="24"/>
                <w:lang w:eastAsia="zh-CN"/>
              </w:rPr>
              <w:t>and</w:t>
            </w:r>
            <w:r w:rsidRPr="005C430B">
              <w:rPr>
                <w:rFonts w:ascii="Book Antiqua" w:hAnsi="Book Antiqua" w:cs="Times New Roman"/>
                <w:sz w:val="24"/>
                <w:szCs w:val="24"/>
              </w:rPr>
              <w:t xml:space="preserve"> D8-D12)</w:t>
            </w:r>
          </w:p>
        </w:tc>
        <w:tc>
          <w:tcPr>
            <w:tcW w:w="1383"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63%</w:t>
            </w:r>
          </w:p>
        </w:tc>
        <w:tc>
          <w:tcPr>
            <w:tcW w:w="2448" w:type="dxa"/>
          </w:tcPr>
          <w:p w:rsidR="001B1AB4" w:rsidRPr="005C430B" w:rsidRDefault="001B1AB4" w:rsidP="00201740">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Diarrhea </w:t>
            </w:r>
            <w:r w:rsidR="009B3FC7"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4.5%</w:t>
            </w:r>
          </w:p>
          <w:p w:rsidR="001B1AB4" w:rsidRPr="005C430B" w:rsidRDefault="001B1AB4" w:rsidP="009B3FC7">
            <w:pPr>
              <w:spacing w:line="360" w:lineRule="auto"/>
              <w:jc w:val="both"/>
              <w:rPr>
                <w:rFonts w:ascii="Book Antiqua" w:hAnsi="Book Antiqua" w:cs="Times New Roman"/>
                <w:sz w:val="24"/>
                <w:szCs w:val="24"/>
              </w:rPr>
            </w:pPr>
            <w:r w:rsidRPr="005C430B">
              <w:rPr>
                <w:rFonts w:ascii="Book Antiqua" w:hAnsi="Book Antiqua" w:cs="Times New Roman"/>
                <w:sz w:val="24"/>
                <w:szCs w:val="24"/>
              </w:rPr>
              <w:t xml:space="preserve">Hematological </w:t>
            </w:r>
            <w:r w:rsidR="009B3FC7"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22%</w:t>
            </w:r>
          </w:p>
        </w:tc>
      </w:tr>
    </w:tbl>
    <w:p w:rsidR="001B1AB4" w:rsidRPr="005C430B" w:rsidRDefault="001B1AB4" w:rsidP="00201740">
      <w:pPr>
        <w:spacing w:after="0" w:line="360" w:lineRule="auto"/>
        <w:jc w:val="both"/>
        <w:rPr>
          <w:rFonts w:ascii="Book Antiqua" w:hAnsi="Book Antiqua" w:cs="Times New Roman"/>
          <w:sz w:val="24"/>
          <w:szCs w:val="24"/>
        </w:rPr>
      </w:pPr>
    </w:p>
    <w:p w:rsidR="00C21472" w:rsidRPr="005C430B" w:rsidRDefault="009B3FC7" w:rsidP="00201740">
      <w:pPr>
        <w:spacing w:after="0" w:line="360" w:lineRule="auto"/>
        <w:jc w:val="both"/>
        <w:rPr>
          <w:rFonts w:ascii="Book Antiqua" w:hAnsi="Book Antiqua" w:cs="Times New Roman"/>
          <w:sz w:val="24"/>
          <w:szCs w:val="24"/>
          <w:lang w:eastAsia="zh-CN"/>
        </w:rPr>
      </w:pPr>
      <w:r w:rsidRPr="005C430B">
        <w:rPr>
          <w:rFonts w:ascii="Book Antiqua" w:hAnsi="Book Antiqua" w:cs="Times New Roman"/>
          <w:sz w:val="24"/>
          <w:szCs w:val="24"/>
          <w:vertAlign w:val="superscript"/>
          <w:lang w:eastAsia="zh-CN"/>
        </w:rPr>
        <w:t>1</w:t>
      </w:r>
      <w:r w:rsidR="001B1AB4" w:rsidRPr="005C430B">
        <w:rPr>
          <w:rFonts w:ascii="Book Antiqua" w:hAnsi="Book Antiqua" w:cs="Times New Roman"/>
          <w:sz w:val="24"/>
          <w:szCs w:val="24"/>
        </w:rPr>
        <w:t>With vincristine</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ESFT</w:t>
      </w:r>
      <w:r w:rsidRPr="005C430B">
        <w:rPr>
          <w:rFonts w:ascii="Book Antiqua" w:hAnsi="Book Antiqua" w:cs="Times New Roman"/>
          <w:sz w:val="24"/>
          <w:szCs w:val="24"/>
          <w:lang w:eastAsia="zh-CN"/>
        </w:rPr>
        <w:t xml:space="preserve">: </w:t>
      </w:r>
      <w:r w:rsidRPr="005C430B">
        <w:rPr>
          <w:rFonts w:ascii="Book Antiqua" w:hAnsi="Book Antiqua" w:cs="Times New Roman"/>
          <w:sz w:val="24"/>
          <w:szCs w:val="24"/>
        </w:rPr>
        <w:t xml:space="preserve">Ewing sarcoma family of tumors; </w:t>
      </w:r>
      <w:r w:rsidRPr="005C430B">
        <w:rPr>
          <w:rFonts w:ascii="Book Antiqua" w:hAnsi="Book Antiqua" w:cs="Times New Roman"/>
          <w:i/>
          <w:sz w:val="24"/>
          <w:szCs w:val="24"/>
        </w:rPr>
        <w:t>n</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Number; ORR</w:t>
      </w:r>
      <w:r w:rsidRPr="005C430B">
        <w:rPr>
          <w:rFonts w:ascii="Book Antiqua" w:hAnsi="Book Antiqua" w:cs="Times New Roman"/>
          <w:sz w:val="24"/>
          <w:szCs w:val="24"/>
          <w:lang w:eastAsia="zh-CN"/>
        </w:rPr>
        <w:t>:</w:t>
      </w:r>
      <w:r w:rsidRPr="005C430B">
        <w:rPr>
          <w:rFonts w:ascii="Book Antiqua" w:hAnsi="Book Antiqua" w:cs="Times New Roman"/>
          <w:sz w:val="24"/>
          <w:szCs w:val="24"/>
        </w:rPr>
        <w:t xml:space="preserve"> Overall response rate.</w:t>
      </w:r>
    </w:p>
    <w:sectPr w:rsidR="00C21472" w:rsidRPr="005C430B" w:rsidSect="002017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E4" w:rsidRDefault="00C352E4" w:rsidP="00BD7A43">
      <w:pPr>
        <w:spacing w:after="0" w:line="240" w:lineRule="auto"/>
      </w:pPr>
      <w:r>
        <w:separator/>
      </w:r>
    </w:p>
  </w:endnote>
  <w:endnote w:type="continuationSeparator" w:id="0">
    <w:p w:rsidR="00C352E4" w:rsidRDefault="00C352E4" w:rsidP="00BD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1695"/>
      <w:docPartObj>
        <w:docPartGallery w:val="Page Numbers (Bottom of Page)"/>
        <w:docPartUnique/>
      </w:docPartObj>
    </w:sdtPr>
    <w:sdtEndPr/>
    <w:sdtContent>
      <w:p w:rsidR="00D12D00" w:rsidRDefault="00D12D00">
        <w:pPr>
          <w:pStyle w:val="Footer"/>
          <w:jc w:val="right"/>
        </w:pPr>
        <w:r>
          <w:fldChar w:fldCharType="begin"/>
        </w:r>
        <w:r>
          <w:instrText xml:space="preserve"> PAGE   \* MERGEFORMAT </w:instrText>
        </w:r>
        <w:r>
          <w:fldChar w:fldCharType="separate"/>
        </w:r>
        <w:r w:rsidR="00400143">
          <w:rPr>
            <w:noProof/>
          </w:rPr>
          <w:t>37</w:t>
        </w:r>
        <w:r>
          <w:rPr>
            <w:noProof/>
          </w:rPr>
          <w:fldChar w:fldCharType="end"/>
        </w:r>
      </w:p>
    </w:sdtContent>
  </w:sdt>
  <w:p w:rsidR="00D12D00" w:rsidRDefault="00D12D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E4" w:rsidRDefault="00C352E4" w:rsidP="00BD7A43">
      <w:pPr>
        <w:spacing w:after="0" w:line="240" w:lineRule="auto"/>
      </w:pPr>
      <w:r>
        <w:separator/>
      </w:r>
    </w:p>
  </w:footnote>
  <w:footnote w:type="continuationSeparator" w:id="0">
    <w:p w:rsidR="00C352E4" w:rsidRDefault="00C352E4" w:rsidP="00BD7A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EE"/>
    <w:multiLevelType w:val="hybridMultilevel"/>
    <w:tmpl w:val="1076BC64"/>
    <w:lvl w:ilvl="0" w:tplc="302C59C6">
      <w:start w:val="1"/>
      <w:numFmt w:val="decimal"/>
      <w:lvlText w:val="%1"/>
      <w:lvlJc w:val="left"/>
      <w:pPr>
        <w:ind w:left="450" w:hanging="360"/>
      </w:pPr>
      <w:rPr>
        <w:rFonts w:eastAsiaTheme="minorEastAsia" w:cstheme="minorBidi" w:hint="default"/>
        <w:b/>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61E6690"/>
    <w:multiLevelType w:val="hybridMultilevel"/>
    <w:tmpl w:val="3CDC5110"/>
    <w:lvl w:ilvl="0" w:tplc="302C59C6">
      <w:start w:val="1"/>
      <w:numFmt w:val="decimal"/>
      <w:lvlText w:val="%1"/>
      <w:lvlJc w:val="left"/>
      <w:pPr>
        <w:ind w:left="450" w:hanging="360"/>
      </w:pPr>
      <w:rPr>
        <w:rFonts w:eastAsiaTheme="minorEastAsia" w:cstheme="minorBidi" w:hint="default"/>
        <w:b/>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1FD480A"/>
    <w:multiLevelType w:val="hybridMultilevel"/>
    <w:tmpl w:val="765AEAC0"/>
    <w:lvl w:ilvl="0" w:tplc="302C59C6">
      <w:start w:val="1"/>
      <w:numFmt w:val="decimal"/>
      <w:lvlText w:val="%1"/>
      <w:lvlJc w:val="left"/>
      <w:pPr>
        <w:ind w:left="450" w:hanging="360"/>
      </w:pPr>
      <w:rPr>
        <w:rFonts w:eastAsiaTheme="minorEastAsia" w:cstheme="minorBidi" w:hint="default"/>
        <w:b/>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2413676"/>
    <w:multiLevelType w:val="hybridMultilevel"/>
    <w:tmpl w:val="5A8AE020"/>
    <w:lvl w:ilvl="0" w:tplc="302C59C6">
      <w:start w:val="1"/>
      <w:numFmt w:val="decimal"/>
      <w:lvlText w:val="%1"/>
      <w:lvlJc w:val="left"/>
      <w:pPr>
        <w:ind w:left="450" w:hanging="360"/>
      </w:pPr>
      <w:rPr>
        <w:rFonts w:eastAsiaTheme="minorEastAsia" w:cstheme="minorBidi" w:hint="default"/>
        <w:b/>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1C731DF"/>
    <w:multiLevelType w:val="hybridMultilevel"/>
    <w:tmpl w:val="C3960EE4"/>
    <w:lvl w:ilvl="0" w:tplc="302C59C6">
      <w:start w:val="1"/>
      <w:numFmt w:val="decimal"/>
      <w:lvlText w:val="%1"/>
      <w:lvlJc w:val="left"/>
      <w:pPr>
        <w:ind w:left="450" w:hanging="360"/>
      </w:pPr>
      <w:rPr>
        <w:rFonts w:eastAsiaTheme="minorEastAsia" w:cstheme="minorBidi" w:hint="default"/>
        <w:b/>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90"/>
    <w:rsid w:val="00000A7B"/>
    <w:rsid w:val="00001FC2"/>
    <w:rsid w:val="0000501E"/>
    <w:rsid w:val="00020893"/>
    <w:rsid w:val="00024422"/>
    <w:rsid w:val="000248C3"/>
    <w:rsid w:val="00027865"/>
    <w:rsid w:val="00033A9F"/>
    <w:rsid w:val="00042FA3"/>
    <w:rsid w:val="0005077B"/>
    <w:rsid w:val="00050FC9"/>
    <w:rsid w:val="0005254B"/>
    <w:rsid w:val="00055598"/>
    <w:rsid w:val="00056E70"/>
    <w:rsid w:val="0005796C"/>
    <w:rsid w:val="00067F02"/>
    <w:rsid w:val="00075652"/>
    <w:rsid w:val="000763E1"/>
    <w:rsid w:val="0008285C"/>
    <w:rsid w:val="000832F1"/>
    <w:rsid w:val="00093698"/>
    <w:rsid w:val="000A392C"/>
    <w:rsid w:val="000A607A"/>
    <w:rsid w:val="000B1DC1"/>
    <w:rsid w:val="000B211F"/>
    <w:rsid w:val="000C194D"/>
    <w:rsid w:val="000C2764"/>
    <w:rsid w:val="000C2A07"/>
    <w:rsid w:val="000C3E91"/>
    <w:rsid w:val="000C6718"/>
    <w:rsid w:val="000C6F4A"/>
    <w:rsid w:val="000D72E0"/>
    <w:rsid w:val="000D7B4D"/>
    <w:rsid w:val="000F01E9"/>
    <w:rsid w:val="000F0249"/>
    <w:rsid w:val="000F0992"/>
    <w:rsid w:val="000F41F1"/>
    <w:rsid w:val="000F5EA1"/>
    <w:rsid w:val="000F78CB"/>
    <w:rsid w:val="00100994"/>
    <w:rsid w:val="00105EAF"/>
    <w:rsid w:val="0011316E"/>
    <w:rsid w:val="00115200"/>
    <w:rsid w:val="00124345"/>
    <w:rsid w:val="00130416"/>
    <w:rsid w:val="00134E1D"/>
    <w:rsid w:val="00142688"/>
    <w:rsid w:val="00145613"/>
    <w:rsid w:val="00152964"/>
    <w:rsid w:val="001548A1"/>
    <w:rsid w:val="0016073A"/>
    <w:rsid w:val="00166737"/>
    <w:rsid w:val="001675EC"/>
    <w:rsid w:val="00170BB8"/>
    <w:rsid w:val="001747D2"/>
    <w:rsid w:val="00177AA5"/>
    <w:rsid w:val="001800FC"/>
    <w:rsid w:val="001A6078"/>
    <w:rsid w:val="001B1AB4"/>
    <w:rsid w:val="001C6224"/>
    <w:rsid w:val="001D546F"/>
    <w:rsid w:val="001D6F92"/>
    <w:rsid w:val="001E32FB"/>
    <w:rsid w:val="001E493E"/>
    <w:rsid w:val="001F35DD"/>
    <w:rsid w:val="00201740"/>
    <w:rsid w:val="00207A53"/>
    <w:rsid w:val="002244C0"/>
    <w:rsid w:val="00243657"/>
    <w:rsid w:val="00244667"/>
    <w:rsid w:val="00246448"/>
    <w:rsid w:val="00262534"/>
    <w:rsid w:val="00264BA1"/>
    <w:rsid w:val="002673CB"/>
    <w:rsid w:val="0027033B"/>
    <w:rsid w:val="00280FD8"/>
    <w:rsid w:val="00284749"/>
    <w:rsid w:val="00285AA3"/>
    <w:rsid w:val="00296487"/>
    <w:rsid w:val="0029657E"/>
    <w:rsid w:val="002A2550"/>
    <w:rsid w:val="002B2DF2"/>
    <w:rsid w:val="002C39B2"/>
    <w:rsid w:val="002C4D79"/>
    <w:rsid w:val="003025E1"/>
    <w:rsid w:val="00304995"/>
    <w:rsid w:val="00312504"/>
    <w:rsid w:val="003153A9"/>
    <w:rsid w:val="00316BC6"/>
    <w:rsid w:val="00316F8D"/>
    <w:rsid w:val="003200A8"/>
    <w:rsid w:val="00337B46"/>
    <w:rsid w:val="0034078A"/>
    <w:rsid w:val="00357D33"/>
    <w:rsid w:val="0036139A"/>
    <w:rsid w:val="003614DD"/>
    <w:rsid w:val="003617F0"/>
    <w:rsid w:val="00363CB6"/>
    <w:rsid w:val="003679D2"/>
    <w:rsid w:val="00371706"/>
    <w:rsid w:val="003748CD"/>
    <w:rsid w:val="00376352"/>
    <w:rsid w:val="00380A50"/>
    <w:rsid w:val="00390CC9"/>
    <w:rsid w:val="00392F32"/>
    <w:rsid w:val="003950BC"/>
    <w:rsid w:val="003960F1"/>
    <w:rsid w:val="003A22B7"/>
    <w:rsid w:val="003B2B8A"/>
    <w:rsid w:val="003C1BA3"/>
    <w:rsid w:val="003D3669"/>
    <w:rsid w:val="003D413C"/>
    <w:rsid w:val="003D5D4B"/>
    <w:rsid w:val="003F0389"/>
    <w:rsid w:val="003F7AFE"/>
    <w:rsid w:val="00400143"/>
    <w:rsid w:val="00417598"/>
    <w:rsid w:val="004215AD"/>
    <w:rsid w:val="00421725"/>
    <w:rsid w:val="00421E29"/>
    <w:rsid w:val="0042268B"/>
    <w:rsid w:val="00425C23"/>
    <w:rsid w:val="0042681A"/>
    <w:rsid w:val="004321E3"/>
    <w:rsid w:val="0043380E"/>
    <w:rsid w:val="004401D5"/>
    <w:rsid w:val="004409FC"/>
    <w:rsid w:val="00455110"/>
    <w:rsid w:val="00461254"/>
    <w:rsid w:val="004654DF"/>
    <w:rsid w:val="004665D0"/>
    <w:rsid w:val="004779E6"/>
    <w:rsid w:val="00486D44"/>
    <w:rsid w:val="0049582F"/>
    <w:rsid w:val="004A1C7D"/>
    <w:rsid w:val="004A74BA"/>
    <w:rsid w:val="004B32D7"/>
    <w:rsid w:val="004B5CFA"/>
    <w:rsid w:val="004B69ED"/>
    <w:rsid w:val="004C4347"/>
    <w:rsid w:val="004C43AB"/>
    <w:rsid w:val="004C7C5C"/>
    <w:rsid w:val="004C7FCA"/>
    <w:rsid w:val="004D363F"/>
    <w:rsid w:val="004D6D05"/>
    <w:rsid w:val="004E5F47"/>
    <w:rsid w:val="004E6D74"/>
    <w:rsid w:val="004F2894"/>
    <w:rsid w:val="004F617E"/>
    <w:rsid w:val="004F6409"/>
    <w:rsid w:val="004F6A20"/>
    <w:rsid w:val="0050116C"/>
    <w:rsid w:val="005019BF"/>
    <w:rsid w:val="00505281"/>
    <w:rsid w:val="00506EAF"/>
    <w:rsid w:val="00514790"/>
    <w:rsid w:val="00516082"/>
    <w:rsid w:val="00520504"/>
    <w:rsid w:val="00524FDC"/>
    <w:rsid w:val="005274D7"/>
    <w:rsid w:val="00530060"/>
    <w:rsid w:val="00546403"/>
    <w:rsid w:val="0055614C"/>
    <w:rsid w:val="00560E01"/>
    <w:rsid w:val="00581E58"/>
    <w:rsid w:val="005862E7"/>
    <w:rsid w:val="005A25FC"/>
    <w:rsid w:val="005A6548"/>
    <w:rsid w:val="005A74FC"/>
    <w:rsid w:val="005B02D6"/>
    <w:rsid w:val="005B28A5"/>
    <w:rsid w:val="005B3799"/>
    <w:rsid w:val="005B39C8"/>
    <w:rsid w:val="005B729B"/>
    <w:rsid w:val="005C1FED"/>
    <w:rsid w:val="005C308C"/>
    <w:rsid w:val="005C430B"/>
    <w:rsid w:val="005E25A8"/>
    <w:rsid w:val="005E2C2B"/>
    <w:rsid w:val="005F0FCD"/>
    <w:rsid w:val="005F308B"/>
    <w:rsid w:val="00607C63"/>
    <w:rsid w:val="006215F2"/>
    <w:rsid w:val="0062217A"/>
    <w:rsid w:val="0062275E"/>
    <w:rsid w:val="00622FF4"/>
    <w:rsid w:val="00626AB7"/>
    <w:rsid w:val="006276FD"/>
    <w:rsid w:val="00627FB0"/>
    <w:rsid w:val="00634B36"/>
    <w:rsid w:val="00634E18"/>
    <w:rsid w:val="006376BD"/>
    <w:rsid w:val="006378B4"/>
    <w:rsid w:val="00653238"/>
    <w:rsid w:val="0067019C"/>
    <w:rsid w:val="006737FF"/>
    <w:rsid w:val="00676B14"/>
    <w:rsid w:val="006776F4"/>
    <w:rsid w:val="006836DB"/>
    <w:rsid w:val="006858F1"/>
    <w:rsid w:val="00686616"/>
    <w:rsid w:val="00694D63"/>
    <w:rsid w:val="006A1FD0"/>
    <w:rsid w:val="006A5FEF"/>
    <w:rsid w:val="006B23FB"/>
    <w:rsid w:val="006B3232"/>
    <w:rsid w:val="006C289A"/>
    <w:rsid w:val="006C4B05"/>
    <w:rsid w:val="006C631F"/>
    <w:rsid w:val="006D0EB4"/>
    <w:rsid w:val="006E3D0A"/>
    <w:rsid w:val="006E453E"/>
    <w:rsid w:val="00701B82"/>
    <w:rsid w:val="00703BFE"/>
    <w:rsid w:val="0070588E"/>
    <w:rsid w:val="00711131"/>
    <w:rsid w:val="00715D8F"/>
    <w:rsid w:val="00716689"/>
    <w:rsid w:val="0071713C"/>
    <w:rsid w:val="0072300D"/>
    <w:rsid w:val="00723BDD"/>
    <w:rsid w:val="007245BC"/>
    <w:rsid w:val="00725BF4"/>
    <w:rsid w:val="00733C74"/>
    <w:rsid w:val="007375FA"/>
    <w:rsid w:val="007412D1"/>
    <w:rsid w:val="007449FE"/>
    <w:rsid w:val="007532B2"/>
    <w:rsid w:val="007668F3"/>
    <w:rsid w:val="00767A39"/>
    <w:rsid w:val="00770B03"/>
    <w:rsid w:val="007717D5"/>
    <w:rsid w:val="00772861"/>
    <w:rsid w:val="007802EF"/>
    <w:rsid w:val="00782F79"/>
    <w:rsid w:val="00783DB0"/>
    <w:rsid w:val="00794247"/>
    <w:rsid w:val="00795A28"/>
    <w:rsid w:val="007A34BD"/>
    <w:rsid w:val="007A7DB8"/>
    <w:rsid w:val="007C705D"/>
    <w:rsid w:val="007D69EF"/>
    <w:rsid w:val="007F606D"/>
    <w:rsid w:val="008016B5"/>
    <w:rsid w:val="008021CD"/>
    <w:rsid w:val="00805264"/>
    <w:rsid w:val="0081128E"/>
    <w:rsid w:val="00812E85"/>
    <w:rsid w:val="008203A7"/>
    <w:rsid w:val="00825868"/>
    <w:rsid w:val="00826DE2"/>
    <w:rsid w:val="0084005A"/>
    <w:rsid w:val="008447C2"/>
    <w:rsid w:val="00850712"/>
    <w:rsid w:val="00850943"/>
    <w:rsid w:val="00852C7E"/>
    <w:rsid w:val="008651AF"/>
    <w:rsid w:val="008760C2"/>
    <w:rsid w:val="00895D89"/>
    <w:rsid w:val="00896ABD"/>
    <w:rsid w:val="008A281C"/>
    <w:rsid w:val="008A5EF5"/>
    <w:rsid w:val="008C1E3F"/>
    <w:rsid w:val="008C3F4A"/>
    <w:rsid w:val="008C5379"/>
    <w:rsid w:val="008E3B42"/>
    <w:rsid w:val="008F3093"/>
    <w:rsid w:val="008F514B"/>
    <w:rsid w:val="008F7490"/>
    <w:rsid w:val="0090728A"/>
    <w:rsid w:val="0091002A"/>
    <w:rsid w:val="0091235E"/>
    <w:rsid w:val="00927F38"/>
    <w:rsid w:val="009307E8"/>
    <w:rsid w:val="009353F8"/>
    <w:rsid w:val="0093705C"/>
    <w:rsid w:val="00943556"/>
    <w:rsid w:val="009464BD"/>
    <w:rsid w:val="00947858"/>
    <w:rsid w:val="0095771C"/>
    <w:rsid w:val="009647EB"/>
    <w:rsid w:val="009665C2"/>
    <w:rsid w:val="009763DF"/>
    <w:rsid w:val="00977E98"/>
    <w:rsid w:val="00980792"/>
    <w:rsid w:val="0098337D"/>
    <w:rsid w:val="00985272"/>
    <w:rsid w:val="00987E3A"/>
    <w:rsid w:val="00994221"/>
    <w:rsid w:val="009A4B11"/>
    <w:rsid w:val="009A683D"/>
    <w:rsid w:val="009B28A7"/>
    <w:rsid w:val="009B2BBC"/>
    <w:rsid w:val="009B3BC1"/>
    <w:rsid w:val="009B3FC7"/>
    <w:rsid w:val="009C14B5"/>
    <w:rsid w:val="009C1650"/>
    <w:rsid w:val="009C3951"/>
    <w:rsid w:val="009E31EF"/>
    <w:rsid w:val="009F1DBC"/>
    <w:rsid w:val="009F6A0D"/>
    <w:rsid w:val="00A05FAA"/>
    <w:rsid w:val="00A06E3E"/>
    <w:rsid w:val="00A07F18"/>
    <w:rsid w:val="00A209A1"/>
    <w:rsid w:val="00A21B10"/>
    <w:rsid w:val="00A25616"/>
    <w:rsid w:val="00A30093"/>
    <w:rsid w:val="00A300FB"/>
    <w:rsid w:val="00A4105C"/>
    <w:rsid w:val="00A4253D"/>
    <w:rsid w:val="00A666BC"/>
    <w:rsid w:val="00A73378"/>
    <w:rsid w:val="00A87233"/>
    <w:rsid w:val="00A93B43"/>
    <w:rsid w:val="00AA5096"/>
    <w:rsid w:val="00AA71AC"/>
    <w:rsid w:val="00AD5657"/>
    <w:rsid w:val="00AE0CB4"/>
    <w:rsid w:val="00AE1DBC"/>
    <w:rsid w:val="00AE1E6C"/>
    <w:rsid w:val="00AF4143"/>
    <w:rsid w:val="00B023A7"/>
    <w:rsid w:val="00B041B5"/>
    <w:rsid w:val="00B1055B"/>
    <w:rsid w:val="00B26703"/>
    <w:rsid w:val="00B37045"/>
    <w:rsid w:val="00B40CB4"/>
    <w:rsid w:val="00B41F2B"/>
    <w:rsid w:val="00B47BA8"/>
    <w:rsid w:val="00B519BC"/>
    <w:rsid w:val="00B63A9A"/>
    <w:rsid w:val="00B6616B"/>
    <w:rsid w:val="00B75E3C"/>
    <w:rsid w:val="00B804DD"/>
    <w:rsid w:val="00B80D7E"/>
    <w:rsid w:val="00B82DDA"/>
    <w:rsid w:val="00B91D1F"/>
    <w:rsid w:val="00B97BEC"/>
    <w:rsid w:val="00BA55E8"/>
    <w:rsid w:val="00BB0AAF"/>
    <w:rsid w:val="00BB61D4"/>
    <w:rsid w:val="00BD7A43"/>
    <w:rsid w:val="00BE0B5C"/>
    <w:rsid w:val="00BE13AA"/>
    <w:rsid w:val="00BE3D5E"/>
    <w:rsid w:val="00BF3529"/>
    <w:rsid w:val="00BF438E"/>
    <w:rsid w:val="00BF7358"/>
    <w:rsid w:val="00C016D5"/>
    <w:rsid w:val="00C02D77"/>
    <w:rsid w:val="00C063D6"/>
    <w:rsid w:val="00C21472"/>
    <w:rsid w:val="00C2552D"/>
    <w:rsid w:val="00C27CBE"/>
    <w:rsid w:val="00C339D6"/>
    <w:rsid w:val="00C34B38"/>
    <w:rsid w:val="00C352E4"/>
    <w:rsid w:val="00C40B92"/>
    <w:rsid w:val="00C47774"/>
    <w:rsid w:val="00C503DE"/>
    <w:rsid w:val="00C520B9"/>
    <w:rsid w:val="00C568B6"/>
    <w:rsid w:val="00C61373"/>
    <w:rsid w:val="00C63555"/>
    <w:rsid w:val="00C66DBB"/>
    <w:rsid w:val="00C67418"/>
    <w:rsid w:val="00C67AED"/>
    <w:rsid w:val="00C717BC"/>
    <w:rsid w:val="00C7464A"/>
    <w:rsid w:val="00C75F42"/>
    <w:rsid w:val="00C76052"/>
    <w:rsid w:val="00C76381"/>
    <w:rsid w:val="00C806FC"/>
    <w:rsid w:val="00C90599"/>
    <w:rsid w:val="00CA5320"/>
    <w:rsid w:val="00CA777A"/>
    <w:rsid w:val="00CB473E"/>
    <w:rsid w:val="00CB5B8A"/>
    <w:rsid w:val="00CC4F17"/>
    <w:rsid w:val="00CD23B0"/>
    <w:rsid w:val="00CD4240"/>
    <w:rsid w:val="00CD76A0"/>
    <w:rsid w:val="00CE15D8"/>
    <w:rsid w:val="00CF4BDF"/>
    <w:rsid w:val="00CF65E5"/>
    <w:rsid w:val="00D12D00"/>
    <w:rsid w:val="00D13A02"/>
    <w:rsid w:val="00D1446E"/>
    <w:rsid w:val="00D156EB"/>
    <w:rsid w:val="00D15E29"/>
    <w:rsid w:val="00D239DF"/>
    <w:rsid w:val="00D3070A"/>
    <w:rsid w:val="00D314E7"/>
    <w:rsid w:val="00D33FBE"/>
    <w:rsid w:val="00D34E60"/>
    <w:rsid w:val="00D35525"/>
    <w:rsid w:val="00D429EA"/>
    <w:rsid w:val="00D44A35"/>
    <w:rsid w:val="00D44C04"/>
    <w:rsid w:val="00D5097A"/>
    <w:rsid w:val="00D511D2"/>
    <w:rsid w:val="00D5184B"/>
    <w:rsid w:val="00D614C7"/>
    <w:rsid w:val="00D67EE1"/>
    <w:rsid w:val="00D732F6"/>
    <w:rsid w:val="00D734BA"/>
    <w:rsid w:val="00D85171"/>
    <w:rsid w:val="00D85AB7"/>
    <w:rsid w:val="00D87CB2"/>
    <w:rsid w:val="00D925F2"/>
    <w:rsid w:val="00D95B2E"/>
    <w:rsid w:val="00D9786A"/>
    <w:rsid w:val="00DB2BEF"/>
    <w:rsid w:val="00DB6DF4"/>
    <w:rsid w:val="00DC0B67"/>
    <w:rsid w:val="00DC4813"/>
    <w:rsid w:val="00DC77CC"/>
    <w:rsid w:val="00DC78A2"/>
    <w:rsid w:val="00DF27FF"/>
    <w:rsid w:val="00DF784C"/>
    <w:rsid w:val="00DF7BA6"/>
    <w:rsid w:val="00E05EE9"/>
    <w:rsid w:val="00E15BBC"/>
    <w:rsid w:val="00E179A1"/>
    <w:rsid w:val="00E23B74"/>
    <w:rsid w:val="00E30021"/>
    <w:rsid w:val="00E35DFC"/>
    <w:rsid w:val="00E3673D"/>
    <w:rsid w:val="00E40625"/>
    <w:rsid w:val="00E406B0"/>
    <w:rsid w:val="00E41028"/>
    <w:rsid w:val="00E46A1A"/>
    <w:rsid w:val="00E50750"/>
    <w:rsid w:val="00E52211"/>
    <w:rsid w:val="00E54226"/>
    <w:rsid w:val="00E555F5"/>
    <w:rsid w:val="00E56A32"/>
    <w:rsid w:val="00E619F5"/>
    <w:rsid w:val="00E660E7"/>
    <w:rsid w:val="00E707A2"/>
    <w:rsid w:val="00E729AA"/>
    <w:rsid w:val="00E75DDC"/>
    <w:rsid w:val="00E864C0"/>
    <w:rsid w:val="00E90E9A"/>
    <w:rsid w:val="00E94FB5"/>
    <w:rsid w:val="00E97926"/>
    <w:rsid w:val="00EA4C80"/>
    <w:rsid w:val="00EA5E09"/>
    <w:rsid w:val="00EA7446"/>
    <w:rsid w:val="00EB3805"/>
    <w:rsid w:val="00EB5DF6"/>
    <w:rsid w:val="00EC46EF"/>
    <w:rsid w:val="00EC5575"/>
    <w:rsid w:val="00ED1CA3"/>
    <w:rsid w:val="00ED47F0"/>
    <w:rsid w:val="00EE3D7B"/>
    <w:rsid w:val="00EE72F9"/>
    <w:rsid w:val="00EF4015"/>
    <w:rsid w:val="00F11C20"/>
    <w:rsid w:val="00F14CAA"/>
    <w:rsid w:val="00F258C2"/>
    <w:rsid w:val="00F40AF2"/>
    <w:rsid w:val="00F434A1"/>
    <w:rsid w:val="00F472C6"/>
    <w:rsid w:val="00F515F3"/>
    <w:rsid w:val="00F5254E"/>
    <w:rsid w:val="00F72E97"/>
    <w:rsid w:val="00F831E2"/>
    <w:rsid w:val="00F85023"/>
    <w:rsid w:val="00F90086"/>
    <w:rsid w:val="00FC5ABD"/>
    <w:rsid w:val="00FD4D02"/>
    <w:rsid w:val="00FD7E98"/>
    <w:rsid w:val="00FE3BB6"/>
    <w:rsid w:val="00FE6536"/>
    <w:rsid w:val="00FF0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0" type="connector" idref="#_x0000_s1027"/>
        <o:r id="V:Rule11" type="connector" idref="#_x0000_s1029"/>
        <o:r id="V:Rule12" type="connector" idref="#_x0000_s1026"/>
        <o:r id="V:Rule13" type="connector" idref="#_x0000_s1034"/>
        <o:r id="V:Rule14" type="connector" idref="#_x0000_s1032"/>
        <o:r id="V:Rule15" type="connector" idref="#_x0000_s1028"/>
        <o:r id="V:Rule16" type="connector" idref="#_x0000_s1033"/>
        <o:r id="V:Rule17" type="connector" idref="#_x0000_s1031"/>
        <o:r id="V:Rule1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C"/>
  </w:style>
  <w:style w:type="paragraph" w:styleId="Heading1">
    <w:name w:val="heading 1"/>
    <w:basedOn w:val="Normal"/>
    <w:next w:val="Normal"/>
    <w:link w:val="Heading1Char"/>
    <w:uiPriority w:val="9"/>
    <w:qFormat/>
    <w:rsid w:val="00D35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C3951"/>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D355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705C"/>
    <w:rPr>
      <w:color w:val="0000FF" w:themeColor="hyperlink"/>
      <w:u w:val="single"/>
    </w:rPr>
  </w:style>
  <w:style w:type="table" w:styleId="TableGrid">
    <w:name w:val="Table Grid"/>
    <w:basedOn w:val="TableNormal"/>
    <w:uiPriority w:val="59"/>
    <w:rsid w:val="00CB5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B8A"/>
    <w:pPr>
      <w:ind w:left="720"/>
      <w:contextualSpacing/>
    </w:pPr>
  </w:style>
  <w:style w:type="paragraph" w:styleId="Header">
    <w:name w:val="header"/>
    <w:basedOn w:val="Normal"/>
    <w:link w:val="HeaderChar"/>
    <w:uiPriority w:val="99"/>
    <w:semiHidden/>
    <w:unhideWhenUsed/>
    <w:rsid w:val="00BD7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A43"/>
  </w:style>
  <w:style w:type="paragraph" w:styleId="Footer">
    <w:name w:val="footer"/>
    <w:basedOn w:val="Normal"/>
    <w:link w:val="FooterChar"/>
    <w:uiPriority w:val="99"/>
    <w:unhideWhenUsed/>
    <w:rsid w:val="00BD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43"/>
  </w:style>
  <w:style w:type="character" w:styleId="LineNumber">
    <w:name w:val="line number"/>
    <w:basedOn w:val="DefaultParagraphFont"/>
    <w:uiPriority w:val="99"/>
    <w:semiHidden/>
    <w:unhideWhenUsed/>
    <w:rsid w:val="00634E18"/>
  </w:style>
  <w:style w:type="character" w:styleId="Emphasis">
    <w:name w:val="Emphasis"/>
    <w:qFormat/>
    <w:rsid w:val="0040014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C"/>
  </w:style>
  <w:style w:type="paragraph" w:styleId="Heading1">
    <w:name w:val="heading 1"/>
    <w:basedOn w:val="Normal"/>
    <w:next w:val="Normal"/>
    <w:link w:val="Heading1Char"/>
    <w:uiPriority w:val="9"/>
    <w:qFormat/>
    <w:rsid w:val="00D35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C3951"/>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D355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705C"/>
    <w:rPr>
      <w:color w:val="0000FF" w:themeColor="hyperlink"/>
      <w:u w:val="single"/>
    </w:rPr>
  </w:style>
  <w:style w:type="table" w:styleId="TableGrid">
    <w:name w:val="Table Grid"/>
    <w:basedOn w:val="TableNormal"/>
    <w:uiPriority w:val="59"/>
    <w:rsid w:val="00CB5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B8A"/>
    <w:pPr>
      <w:ind w:left="720"/>
      <w:contextualSpacing/>
    </w:pPr>
  </w:style>
  <w:style w:type="paragraph" w:styleId="Header">
    <w:name w:val="header"/>
    <w:basedOn w:val="Normal"/>
    <w:link w:val="HeaderChar"/>
    <w:uiPriority w:val="99"/>
    <w:semiHidden/>
    <w:unhideWhenUsed/>
    <w:rsid w:val="00BD7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A43"/>
  </w:style>
  <w:style w:type="paragraph" w:styleId="Footer">
    <w:name w:val="footer"/>
    <w:basedOn w:val="Normal"/>
    <w:link w:val="FooterChar"/>
    <w:uiPriority w:val="99"/>
    <w:unhideWhenUsed/>
    <w:rsid w:val="00BD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43"/>
  </w:style>
  <w:style w:type="character" w:styleId="LineNumber">
    <w:name w:val="line number"/>
    <w:basedOn w:val="DefaultParagraphFont"/>
    <w:uiPriority w:val="99"/>
    <w:semiHidden/>
    <w:unhideWhenUsed/>
    <w:rsid w:val="00634E18"/>
  </w:style>
  <w:style w:type="character" w:styleId="Emphasis">
    <w:name w:val="Emphasis"/>
    <w:qFormat/>
    <w:rsid w:val="0040014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1061">
      <w:bodyDiv w:val="1"/>
      <w:marLeft w:val="0"/>
      <w:marRight w:val="0"/>
      <w:marTop w:val="0"/>
      <w:marBottom w:val="0"/>
      <w:divBdr>
        <w:top w:val="none" w:sz="0" w:space="0" w:color="auto"/>
        <w:left w:val="none" w:sz="0" w:space="0" w:color="auto"/>
        <w:bottom w:val="none" w:sz="0" w:space="0" w:color="auto"/>
        <w:right w:val="none" w:sz="0" w:space="0" w:color="auto"/>
      </w:divBdr>
    </w:div>
    <w:div w:id="827745951">
      <w:bodyDiv w:val="1"/>
      <w:marLeft w:val="0"/>
      <w:marRight w:val="0"/>
      <w:marTop w:val="0"/>
      <w:marBottom w:val="0"/>
      <w:divBdr>
        <w:top w:val="none" w:sz="0" w:space="0" w:color="auto"/>
        <w:left w:val="none" w:sz="0" w:space="0" w:color="auto"/>
        <w:bottom w:val="none" w:sz="0" w:space="0" w:color="auto"/>
        <w:right w:val="none" w:sz="0" w:space="0" w:color="auto"/>
      </w:divBdr>
      <w:divsChild>
        <w:div w:id="1813211809">
          <w:marLeft w:val="0"/>
          <w:marRight w:val="0"/>
          <w:marTop w:val="0"/>
          <w:marBottom w:val="0"/>
          <w:divBdr>
            <w:top w:val="none" w:sz="0" w:space="0" w:color="auto"/>
            <w:left w:val="none" w:sz="0" w:space="0" w:color="auto"/>
            <w:bottom w:val="none" w:sz="0" w:space="0" w:color="auto"/>
            <w:right w:val="none" w:sz="0" w:space="0" w:color="auto"/>
          </w:divBdr>
          <w:divsChild>
            <w:div w:id="965161841">
              <w:marLeft w:val="0"/>
              <w:marRight w:val="0"/>
              <w:marTop w:val="0"/>
              <w:marBottom w:val="0"/>
              <w:divBdr>
                <w:top w:val="none" w:sz="0" w:space="0" w:color="auto"/>
                <w:left w:val="none" w:sz="0" w:space="0" w:color="auto"/>
                <w:bottom w:val="none" w:sz="0" w:space="0" w:color="auto"/>
                <w:right w:val="none" w:sz="0" w:space="0" w:color="auto"/>
              </w:divBdr>
            </w:div>
            <w:div w:id="300579690">
              <w:marLeft w:val="0"/>
              <w:marRight w:val="0"/>
              <w:marTop w:val="0"/>
              <w:marBottom w:val="0"/>
              <w:divBdr>
                <w:top w:val="none" w:sz="0" w:space="0" w:color="auto"/>
                <w:left w:val="none" w:sz="0" w:space="0" w:color="auto"/>
                <w:bottom w:val="none" w:sz="0" w:space="0" w:color="auto"/>
                <w:right w:val="none" w:sz="0" w:space="0" w:color="auto"/>
              </w:divBdr>
            </w:div>
            <w:div w:id="947156171">
              <w:marLeft w:val="0"/>
              <w:marRight w:val="0"/>
              <w:marTop w:val="0"/>
              <w:marBottom w:val="0"/>
              <w:divBdr>
                <w:top w:val="none" w:sz="0" w:space="0" w:color="auto"/>
                <w:left w:val="none" w:sz="0" w:space="0" w:color="auto"/>
                <w:bottom w:val="none" w:sz="0" w:space="0" w:color="auto"/>
                <w:right w:val="none" w:sz="0" w:space="0" w:color="auto"/>
              </w:divBdr>
            </w:div>
            <w:div w:id="1062676905">
              <w:marLeft w:val="0"/>
              <w:marRight w:val="0"/>
              <w:marTop w:val="0"/>
              <w:marBottom w:val="0"/>
              <w:divBdr>
                <w:top w:val="none" w:sz="0" w:space="0" w:color="auto"/>
                <w:left w:val="none" w:sz="0" w:space="0" w:color="auto"/>
                <w:bottom w:val="none" w:sz="0" w:space="0" w:color="auto"/>
                <w:right w:val="none" w:sz="0" w:space="0" w:color="auto"/>
              </w:divBdr>
            </w:div>
            <w:div w:id="1528105076">
              <w:marLeft w:val="0"/>
              <w:marRight w:val="0"/>
              <w:marTop w:val="0"/>
              <w:marBottom w:val="0"/>
              <w:divBdr>
                <w:top w:val="none" w:sz="0" w:space="0" w:color="auto"/>
                <w:left w:val="none" w:sz="0" w:space="0" w:color="auto"/>
                <w:bottom w:val="none" w:sz="0" w:space="0" w:color="auto"/>
                <w:right w:val="none" w:sz="0" w:space="0" w:color="auto"/>
              </w:divBdr>
            </w:div>
            <w:div w:id="1287616234">
              <w:marLeft w:val="0"/>
              <w:marRight w:val="0"/>
              <w:marTop w:val="0"/>
              <w:marBottom w:val="0"/>
              <w:divBdr>
                <w:top w:val="none" w:sz="0" w:space="0" w:color="auto"/>
                <w:left w:val="none" w:sz="0" w:space="0" w:color="auto"/>
                <w:bottom w:val="none" w:sz="0" w:space="0" w:color="auto"/>
                <w:right w:val="none" w:sz="0" w:space="0" w:color="auto"/>
              </w:divBdr>
            </w:div>
            <w:div w:id="687025136">
              <w:marLeft w:val="0"/>
              <w:marRight w:val="0"/>
              <w:marTop w:val="0"/>
              <w:marBottom w:val="0"/>
              <w:divBdr>
                <w:top w:val="none" w:sz="0" w:space="0" w:color="auto"/>
                <w:left w:val="none" w:sz="0" w:space="0" w:color="auto"/>
                <w:bottom w:val="none" w:sz="0" w:space="0" w:color="auto"/>
                <w:right w:val="none" w:sz="0" w:space="0" w:color="auto"/>
              </w:divBdr>
            </w:div>
            <w:div w:id="948514805">
              <w:marLeft w:val="0"/>
              <w:marRight w:val="0"/>
              <w:marTop w:val="0"/>
              <w:marBottom w:val="0"/>
              <w:divBdr>
                <w:top w:val="none" w:sz="0" w:space="0" w:color="auto"/>
                <w:left w:val="none" w:sz="0" w:space="0" w:color="auto"/>
                <w:bottom w:val="none" w:sz="0" w:space="0" w:color="auto"/>
                <w:right w:val="none" w:sz="0" w:space="0" w:color="auto"/>
              </w:divBdr>
            </w:div>
            <w:div w:id="1494565688">
              <w:marLeft w:val="0"/>
              <w:marRight w:val="0"/>
              <w:marTop w:val="0"/>
              <w:marBottom w:val="0"/>
              <w:divBdr>
                <w:top w:val="none" w:sz="0" w:space="0" w:color="auto"/>
                <w:left w:val="none" w:sz="0" w:space="0" w:color="auto"/>
                <w:bottom w:val="none" w:sz="0" w:space="0" w:color="auto"/>
                <w:right w:val="none" w:sz="0" w:space="0" w:color="auto"/>
              </w:divBdr>
            </w:div>
            <w:div w:id="1523204821">
              <w:marLeft w:val="0"/>
              <w:marRight w:val="0"/>
              <w:marTop w:val="0"/>
              <w:marBottom w:val="0"/>
              <w:divBdr>
                <w:top w:val="none" w:sz="0" w:space="0" w:color="auto"/>
                <w:left w:val="none" w:sz="0" w:space="0" w:color="auto"/>
                <w:bottom w:val="none" w:sz="0" w:space="0" w:color="auto"/>
                <w:right w:val="none" w:sz="0" w:space="0" w:color="auto"/>
              </w:divBdr>
            </w:div>
            <w:div w:id="2036030789">
              <w:marLeft w:val="0"/>
              <w:marRight w:val="0"/>
              <w:marTop w:val="0"/>
              <w:marBottom w:val="0"/>
              <w:divBdr>
                <w:top w:val="none" w:sz="0" w:space="0" w:color="auto"/>
                <w:left w:val="none" w:sz="0" w:space="0" w:color="auto"/>
                <w:bottom w:val="none" w:sz="0" w:space="0" w:color="auto"/>
                <w:right w:val="none" w:sz="0" w:space="0" w:color="auto"/>
              </w:divBdr>
            </w:div>
            <w:div w:id="1228958091">
              <w:marLeft w:val="0"/>
              <w:marRight w:val="0"/>
              <w:marTop w:val="0"/>
              <w:marBottom w:val="0"/>
              <w:divBdr>
                <w:top w:val="none" w:sz="0" w:space="0" w:color="auto"/>
                <w:left w:val="none" w:sz="0" w:space="0" w:color="auto"/>
                <w:bottom w:val="none" w:sz="0" w:space="0" w:color="auto"/>
                <w:right w:val="none" w:sz="0" w:space="0" w:color="auto"/>
              </w:divBdr>
            </w:div>
            <w:div w:id="474298014">
              <w:marLeft w:val="0"/>
              <w:marRight w:val="0"/>
              <w:marTop w:val="0"/>
              <w:marBottom w:val="0"/>
              <w:divBdr>
                <w:top w:val="none" w:sz="0" w:space="0" w:color="auto"/>
                <w:left w:val="none" w:sz="0" w:space="0" w:color="auto"/>
                <w:bottom w:val="none" w:sz="0" w:space="0" w:color="auto"/>
                <w:right w:val="none" w:sz="0" w:space="0" w:color="auto"/>
              </w:divBdr>
            </w:div>
            <w:div w:id="1376346953">
              <w:marLeft w:val="0"/>
              <w:marRight w:val="0"/>
              <w:marTop w:val="0"/>
              <w:marBottom w:val="0"/>
              <w:divBdr>
                <w:top w:val="none" w:sz="0" w:space="0" w:color="auto"/>
                <w:left w:val="none" w:sz="0" w:space="0" w:color="auto"/>
                <w:bottom w:val="none" w:sz="0" w:space="0" w:color="auto"/>
                <w:right w:val="none" w:sz="0" w:space="0" w:color="auto"/>
              </w:divBdr>
            </w:div>
            <w:div w:id="43986498">
              <w:marLeft w:val="0"/>
              <w:marRight w:val="0"/>
              <w:marTop w:val="0"/>
              <w:marBottom w:val="0"/>
              <w:divBdr>
                <w:top w:val="none" w:sz="0" w:space="0" w:color="auto"/>
                <w:left w:val="none" w:sz="0" w:space="0" w:color="auto"/>
                <w:bottom w:val="none" w:sz="0" w:space="0" w:color="auto"/>
                <w:right w:val="none" w:sz="0" w:space="0" w:color="auto"/>
              </w:divBdr>
            </w:div>
            <w:div w:id="683703318">
              <w:marLeft w:val="0"/>
              <w:marRight w:val="0"/>
              <w:marTop w:val="0"/>
              <w:marBottom w:val="0"/>
              <w:divBdr>
                <w:top w:val="none" w:sz="0" w:space="0" w:color="auto"/>
                <w:left w:val="none" w:sz="0" w:space="0" w:color="auto"/>
                <w:bottom w:val="none" w:sz="0" w:space="0" w:color="auto"/>
                <w:right w:val="none" w:sz="0" w:space="0" w:color="auto"/>
              </w:divBdr>
            </w:div>
            <w:div w:id="2019044184">
              <w:marLeft w:val="0"/>
              <w:marRight w:val="0"/>
              <w:marTop w:val="0"/>
              <w:marBottom w:val="0"/>
              <w:divBdr>
                <w:top w:val="none" w:sz="0" w:space="0" w:color="auto"/>
                <w:left w:val="none" w:sz="0" w:space="0" w:color="auto"/>
                <w:bottom w:val="none" w:sz="0" w:space="0" w:color="auto"/>
                <w:right w:val="none" w:sz="0" w:space="0" w:color="auto"/>
              </w:divBdr>
            </w:div>
            <w:div w:id="1494446613">
              <w:marLeft w:val="0"/>
              <w:marRight w:val="0"/>
              <w:marTop w:val="0"/>
              <w:marBottom w:val="0"/>
              <w:divBdr>
                <w:top w:val="none" w:sz="0" w:space="0" w:color="auto"/>
                <w:left w:val="none" w:sz="0" w:space="0" w:color="auto"/>
                <w:bottom w:val="none" w:sz="0" w:space="0" w:color="auto"/>
                <w:right w:val="none" w:sz="0" w:space="0" w:color="auto"/>
              </w:divBdr>
            </w:div>
            <w:div w:id="799765725">
              <w:marLeft w:val="0"/>
              <w:marRight w:val="0"/>
              <w:marTop w:val="0"/>
              <w:marBottom w:val="0"/>
              <w:divBdr>
                <w:top w:val="none" w:sz="0" w:space="0" w:color="auto"/>
                <w:left w:val="none" w:sz="0" w:space="0" w:color="auto"/>
                <w:bottom w:val="none" w:sz="0" w:space="0" w:color="auto"/>
                <w:right w:val="none" w:sz="0" w:space="0" w:color="auto"/>
              </w:divBdr>
            </w:div>
            <w:div w:id="1904632314">
              <w:marLeft w:val="0"/>
              <w:marRight w:val="0"/>
              <w:marTop w:val="0"/>
              <w:marBottom w:val="0"/>
              <w:divBdr>
                <w:top w:val="none" w:sz="0" w:space="0" w:color="auto"/>
                <w:left w:val="none" w:sz="0" w:space="0" w:color="auto"/>
                <w:bottom w:val="none" w:sz="0" w:space="0" w:color="auto"/>
                <w:right w:val="none" w:sz="0" w:space="0" w:color="auto"/>
              </w:divBdr>
            </w:div>
            <w:div w:id="1238444688">
              <w:marLeft w:val="0"/>
              <w:marRight w:val="0"/>
              <w:marTop w:val="0"/>
              <w:marBottom w:val="0"/>
              <w:divBdr>
                <w:top w:val="none" w:sz="0" w:space="0" w:color="auto"/>
                <w:left w:val="none" w:sz="0" w:space="0" w:color="auto"/>
                <w:bottom w:val="none" w:sz="0" w:space="0" w:color="auto"/>
                <w:right w:val="none" w:sz="0" w:space="0" w:color="auto"/>
              </w:divBdr>
            </w:div>
            <w:div w:id="1905094181">
              <w:marLeft w:val="0"/>
              <w:marRight w:val="0"/>
              <w:marTop w:val="0"/>
              <w:marBottom w:val="0"/>
              <w:divBdr>
                <w:top w:val="none" w:sz="0" w:space="0" w:color="auto"/>
                <w:left w:val="none" w:sz="0" w:space="0" w:color="auto"/>
                <w:bottom w:val="none" w:sz="0" w:space="0" w:color="auto"/>
                <w:right w:val="none" w:sz="0" w:space="0" w:color="auto"/>
              </w:divBdr>
            </w:div>
            <w:div w:id="707224417">
              <w:marLeft w:val="0"/>
              <w:marRight w:val="0"/>
              <w:marTop w:val="0"/>
              <w:marBottom w:val="0"/>
              <w:divBdr>
                <w:top w:val="none" w:sz="0" w:space="0" w:color="auto"/>
                <w:left w:val="none" w:sz="0" w:space="0" w:color="auto"/>
                <w:bottom w:val="none" w:sz="0" w:space="0" w:color="auto"/>
                <w:right w:val="none" w:sz="0" w:space="0" w:color="auto"/>
              </w:divBdr>
            </w:div>
            <w:div w:id="928077524">
              <w:marLeft w:val="0"/>
              <w:marRight w:val="0"/>
              <w:marTop w:val="0"/>
              <w:marBottom w:val="0"/>
              <w:divBdr>
                <w:top w:val="none" w:sz="0" w:space="0" w:color="auto"/>
                <w:left w:val="none" w:sz="0" w:space="0" w:color="auto"/>
                <w:bottom w:val="none" w:sz="0" w:space="0" w:color="auto"/>
                <w:right w:val="none" w:sz="0" w:space="0" w:color="auto"/>
              </w:divBdr>
            </w:div>
            <w:div w:id="762383126">
              <w:marLeft w:val="0"/>
              <w:marRight w:val="0"/>
              <w:marTop w:val="0"/>
              <w:marBottom w:val="0"/>
              <w:divBdr>
                <w:top w:val="none" w:sz="0" w:space="0" w:color="auto"/>
                <w:left w:val="none" w:sz="0" w:space="0" w:color="auto"/>
                <w:bottom w:val="none" w:sz="0" w:space="0" w:color="auto"/>
                <w:right w:val="none" w:sz="0" w:space="0" w:color="auto"/>
              </w:divBdr>
            </w:div>
            <w:div w:id="1178733052">
              <w:marLeft w:val="0"/>
              <w:marRight w:val="0"/>
              <w:marTop w:val="0"/>
              <w:marBottom w:val="0"/>
              <w:divBdr>
                <w:top w:val="none" w:sz="0" w:space="0" w:color="auto"/>
                <w:left w:val="none" w:sz="0" w:space="0" w:color="auto"/>
                <w:bottom w:val="none" w:sz="0" w:space="0" w:color="auto"/>
                <w:right w:val="none" w:sz="0" w:space="0" w:color="auto"/>
              </w:divBdr>
            </w:div>
            <w:div w:id="184680530">
              <w:marLeft w:val="0"/>
              <w:marRight w:val="0"/>
              <w:marTop w:val="0"/>
              <w:marBottom w:val="0"/>
              <w:divBdr>
                <w:top w:val="none" w:sz="0" w:space="0" w:color="auto"/>
                <w:left w:val="none" w:sz="0" w:space="0" w:color="auto"/>
                <w:bottom w:val="none" w:sz="0" w:space="0" w:color="auto"/>
                <w:right w:val="none" w:sz="0" w:space="0" w:color="auto"/>
              </w:divBdr>
            </w:div>
            <w:div w:id="1678381026">
              <w:marLeft w:val="0"/>
              <w:marRight w:val="0"/>
              <w:marTop w:val="0"/>
              <w:marBottom w:val="0"/>
              <w:divBdr>
                <w:top w:val="none" w:sz="0" w:space="0" w:color="auto"/>
                <w:left w:val="none" w:sz="0" w:space="0" w:color="auto"/>
                <w:bottom w:val="none" w:sz="0" w:space="0" w:color="auto"/>
                <w:right w:val="none" w:sz="0" w:space="0" w:color="auto"/>
              </w:divBdr>
            </w:div>
            <w:div w:id="1861551064">
              <w:marLeft w:val="0"/>
              <w:marRight w:val="0"/>
              <w:marTop w:val="0"/>
              <w:marBottom w:val="0"/>
              <w:divBdr>
                <w:top w:val="none" w:sz="0" w:space="0" w:color="auto"/>
                <w:left w:val="none" w:sz="0" w:space="0" w:color="auto"/>
                <w:bottom w:val="none" w:sz="0" w:space="0" w:color="auto"/>
                <w:right w:val="none" w:sz="0" w:space="0" w:color="auto"/>
              </w:divBdr>
            </w:div>
            <w:div w:id="2124225350">
              <w:marLeft w:val="0"/>
              <w:marRight w:val="0"/>
              <w:marTop w:val="0"/>
              <w:marBottom w:val="0"/>
              <w:divBdr>
                <w:top w:val="none" w:sz="0" w:space="0" w:color="auto"/>
                <w:left w:val="none" w:sz="0" w:space="0" w:color="auto"/>
                <w:bottom w:val="none" w:sz="0" w:space="0" w:color="auto"/>
                <w:right w:val="none" w:sz="0" w:space="0" w:color="auto"/>
              </w:divBdr>
            </w:div>
            <w:div w:id="1589584183">
              <w:marLeft w:val="0"/>
              <w:marRight w:val="0"/>
              <w:marTop w:val="0"/>
              <w:marBottom w:val="0"/>
              <w:divBdr>
                <w:top w:val="none" w:sz="0" w:space="0" w:color="auto"/>
                <w:left w:val="none" w:sz="0" w:space="0" w:color="auto"/>
                <w:bottom w:val="none" w:sz="0" w:space="0" w:color="auto"/>
                <w:right w:val="none" w:sz="0" w:space="0" w:color="auto"/>
              </w:divBdr>
            </w:div>
            <w:div w:id="1458793039">
              <w:marLeft w:val="0"/>
              <w:marRight w:val="0"/>
              <w:marTop w:val="0"/>
              <w:marBottom w:val="0"/>
              <w:divBdr>
                <w:top w:val="none" w:sz="0" w:space="0" w:color="auto"/>
                <w:left w:val="none" w:sz="0" w:space="0" w:color="auto"/>
                <w:bottom w:val="none" w:sz="0" w:space="0" w:color="auto"/>
                <w:right w:val="none" w:sz="0" w:space="0" w:color="auto"/>
              </w:divBdr>
            </w:div>
            <w:div w:id="1942060871">
              <w:marLeft w:val="0"/>
              <w:marRight w:val="0"/>
              <w:marTop w:val="0"/>
              <w:marBottom w:val="0"/>
              <w:divBdr>
                <w:top w:val="none" w:sz="0" w:space="0" w:color="auto"/>
                <w:left w:val="none" w:sz="0" w:space="0" w:color="auto"/>
                <w:bottom w:val="none" w:sz="0" w:space="0" w:color="auto"/>
                <w:right w:val="none" w:sz="0" w:space="0" w:color="auto"/>
              </w:divBdr>
            </w:div>
            <w:div w:id="1755515280">
              <w:marLeft w:val="0"/>
              <w:marRight w:val="0"/>
              <w:marTop w:val="0"/>
              <w:marBottom w:val="0"/>
              <w:divBdr>
                <w:top w:val="none" w:sz="0" w:space="0" w:color="auto"/>
                <w:left w:val="none" w:sz="0" w:space="0" w:color="auto"/>
                <w:bottom w:val="none" w:sz="0" w:space="0" w:color="auto"/>
                <w:right w:val="none" w:sz="0" w:space="0" w:color="auto"/>
              </w:divBdr>
            </w:div>
            <w:div w:id="1649432949">
              <w:marLeft w:val="0"/>
              <w:marRight w:val="0"/>
              <w:marTop w:val="0"/>
              <w:marBottom w:val="0"/>
              <w:divBdr>
                <w:top w:val="none" w:sz="0" w:space="0" w:color="auto"/>
                <w:left w:val="none" w:sz="0" w:space="0" w:color="auto"/>
                <w:bottom w:val="none" w:sz="0" w:space="0" w:color="auto"/>
                <w:right w:val="none" w:sz="0" w:space="0" w:color="auto"/>
              </w:divBdr>
            </w:div>
            <w:div w:id="1888755471">
              <w:marLeft w:val="0"/>
              <w:marRight w:val="0"/>
              <w:marTop w:val="0"/>
              <w:marBottom w:val="0"/>
              <w:divBdr>
                <w:top w:val="none" w:sz="0" w:space="0" w:color="auto"/>
                <w:left w:val="none" w:sz="0" w:space="0" w:color="auto"/>
                <w:bottom w:val="none" w:sz="0" w:space="0" w:color="auto"/>
                <w:right w:val="none" w:sz="0" w:space="0" w:color="auto"/>
              </w:divBdr>
            </w:div>
            <w:div w:id="12149793">
              <w:marLeft w:val="0"/>
              <w:marRight w:val="0"/>
              <w:marTop w:val="0"/>
              <w:marBottom w:val="0"/>
              <w:divBdr>
                <w:top w:val="none" w:sz="0" w:space="0" w:color="auto"/>
                <w:left w:val="none" w:sz="0" w:space="0" w:color="auto"/>
                <w:bottom w:val="none" w:sz="0" w:space="0" w:color="auto"/>
                <w:right w:val="none" w:sz="0" w:space="0" w:color="auto"/>
              </w:divBdr>
            </w:div>
            <w:div w:id="1503354437">
              <w:marLeft w:val="0"/>
              <w:marRight w:val="0"/>
              <w:marTop w:val="0"/>
              <w:marBottom w:val="0"/>
              <w:divBdr>
                <w:top w:val="none" w:sz="0" w:space="0" w:color="auto"/>
                <w:left w:val="none" w:sz="0" w:space="0" w:color="auto"/>
                <w:bottom w:val="none" w:sz="0" w:space="0" w:color="auto"/>
                <w:right w:val="none" w:sz="0" w:space="0" w:color="auto"/>
              </w:divBdr>
            </w:div>
            <w:div w:id="495532521">
              <w:marLeft w:val="0"/>
              <w:marRight w:val="0"/>
              <w:marTop w:val="0"/>
              <w:marBottom w:val="0"/>
              <w:divBdr>
                <w:top w:val="none" w:sz="0" w:space="0" w:color="auto"/>
                <w:left w:val="none" w:sz="0" w:space="0" w:color="auto"/>
                <w:bottom w:val="none" w:sz="0" w:space="0" w:color="auto"/>
                <w:right w:val="none" w:sz="0" w:space="0" w:color="auto"/>
              </w:divBdr>
            </w:div>
            <w:div w:id="1241134088">
              <w:marLeft w:val="0"/>
              <w:marRight w:val="0"/>
              <w:marTop w:val="0"/>
              <w:marBottom w:val="0"/>
              <w:divBdr>
                <w:top w:val="none" w:sz="0" w:space="0" w:color="auto"/>
                <w:left w:val="none" w:sz="0" w:space="0" w:color="auto"/>
                <w:bottom w:val="none" w:sz="0" w:space="0" w:color="auto"/>
                <w:right w:val="none" w:sz="0" w:space="0" w:color="auto"/>
              </w:divBdr>
            </w:div>
            <w:div w:id="1051922497">
              <w:marLeft w:val="0"/>
              <w:marRight w:val="0"/>
              <w:marTop w:val="0"/>
              <w:marBottom w:val="0"/>
              <w:divBdr>
                <w:top w:val="none" w:sz="0" w:space="0" w:color="auto"/>
                <w:left w:val="none" w:sz="0" w:space="0" w:color="auto"/>
                <w:bottom w:val="none" w:sz="0" w:space="0" w:color="auto"/>
                <w:right w:val="none" w:sz="0" w:space="0" w:color="auto"/>
              </w:divBdr>
            </w:div>
            <w:div w:id="697317761">
              <w:marLeft w:val="0"/>
              <w:marRight w:val="0"/>
              <w:marTop w:val="0"/>
              <w:marBottom w:val="0"/>
              <w:divBdr>
                <w:top w:val="none" w:sz="0" w:space="0" w:color="auto"/>
                <w:left w:val="none" w:sz="0" w:space="0" w:color="auto"/>
                <w:bottom w:val="none" w:sz="0" w:space="0" w:color="auto"/>
                <w:right w:val="none" w:sz="0" w:space="0" w:color="auto"/>
              </w:divBdr>
            </w:div>
            <w:div w:id="354187809">
              <w:marLeft w:val="0"/>
              <w:marRight w:val="0"/>
              <w:marTop w:val="0"/>
              <w:marBottom w:val="0"/>
              <w:divBdr>
                <w:top w:val="none" w:sz="0" w:space="0" w:color="auto"/>
                <w:left w:val="none" w:sz="0" w:space="0" w:color="auto"/>
                <w:bottom w:val="none" w:sz="0" w:space="0" w:color="auto"/>
                <w:right w:val="none" w:sz="0" w:space="0" w:color="auto"/>
              </w:divBdr>
            </w:div>
            <w:div w:id="2128044046">
              <w:marLeft w:val="0"/>
              <w:marRight w:val="0"/>
              <w:marTop w:val="0"/>
              <w:marBottom w:val="0"/>
              <w:divBdr>
                <w:top w:val="none" w:sz="0" w:space="0" w:color="auto"/>
                <w:left w:val="none" w:sz="0" w:space="0" w:color="auto"/>
                <w:bottom w:val="none" w:sz="0" w:space="0" w:color="auto"/>
                <w:right w:val="none" w:sz="0" w:space="0" w:color="auto"/>
              </w:divBdr>
            </w:div>
            <w:div w:id="479924573">
              <w:marLeft w:val="0"/>
              <w:marRight w:val="0"/>
              <w:marTop w:val="0"/>
              <w:marBottom w:val="0"/>
              <w:divBdr>
                <w:top w:val="none" w:sz="0" w:space="0" w:color="auto"/>
                <w:left w:val="none" w:sz="0" w:space="0" w:color="auto"/>
                <w:bottom w:val="none" w:sz="0" w:space="0" w:color="auto"/>
                <w:right w:val="none" w:sz="0" w:space="0" w:color="auto"/>
              </w:divBdr>
            </w:div>
            <w:div w:id="573197364">
              <w:marLeft w:val="0"/>
              <w:marRight w:val="0"/>
              <w:marTop w:val="0"/>
              <w:marBottom w:val="0"/>
              <w:divBdr>
                <w:top w:val="none" w:sz="0" w:space="0" w:color="auto"/>
                <w:left w:val="none" w:sz="0" w:space="0" w:color="auto"/>
                <w:bottom w:val="none" w:sz="0" w:space="0" w:color="auto"/>
                <w:right w:val="none" w:sz="0" w:space="0" w:color="auto"/>
              </w:divBdr>
            </w:div>
            <w:div w:id="128939426">
              <w:marLeft w:val="0"/>
              <w:marRight w:val="0"/>
              <w:marTop w:val="0"/>
              <w:marBottom w:val="0"/>
              <w:divBdr>
                <w:top w:val="none" w:sz="0" w:space="0" w:color="auto"/>
                <w:left w:val="none" w:sz="0" w:space="0" w:color="auto"/>
                <w:bottom w:val="none" w:sz="0" w:space="0" w:color="auto"/>
                <w:right w:val="none" w:sz="0" w:space="0" w:color="auto"/>
              </w:divBdr>
            </w:div>
            <w:div w:id="1922832019">
              <w:marLeft w:val="0"/>
              <w:marRight w:val="0"/>
              <w:marTop w:val="0"/>
              <w:marBottom w:val="0"/>
              <w:divBdr>
                <w:top w:val="none" w:sz="0" w:space="0" w:color="auto"/>
                <w:left w:val="none" w:sz="0" w:space="0" w:color="auto"/>
                <w:bottom w:val="none" w:sz="0" w:space="0" w:color="auto"/>
                <w:right w:val="none" w:sz="0" w:space="0" w:color="auto"/>
              </w:divBdr>
            </w:div>
            <w:div w:id="504633886">
              <w:marLeft w:val="0"/>
              <w:marRight w:val="0"/>
              <w:marTop w:val="0"/>
              <w:marBottom w:val="0"/>
              <w:divBdr>
                <w:top w:val="none" w:sz="0" w:space="0" w:color="auto"/>
                <w:left w:val="none" w:sz="0" w:space="0" w:color="auto"/>
                <w:bottom w:val="none" w:sz="0" w:space="0" w:color="auto"/>
                <w:right w:val="none" w:sz="0" w:space="0" w:color="auto"/>
              </w:divBdr>
            </w:div>
            <w:div w:id="2095126286">
              <w:marLeft w:val="0"/>
              <w:marRight w:val="0"/>
              <w:marTop w:val="0"/>
              <w:marBottom w:val="0"/>
              <w:divBdr>
                <w:top w:val="none" w:sz="0" w:space="0" w:color="auto"/>
                <w:left w:val="none" w:sz="0" w:space="0" w:color="auto"/>
                <w:bottom w:val="none" w:sz="0" w:space="0" w:color="auto"/>
                <w:right w:val="none" w:sz="0" w:space="0" w:color="auto"/>
              </w:divBdr>
            </w:div>
            <w:div w:id="2061202652">
              <w:marLeft w:val="0"/>
              <w:marRight w:val="0"/>
              <w:marTop w:val="0"/>
              <w:marBottom w:val="0"/>
              <w:divBdr>
                <w:top w:val="none" w:sz="0" w:space="0" w:color="auto"/>
                <w:left w:val="none" w:sz="0" w:space="0" w:color="auto"/>
                <w:bottom w:val="none" w:sz="0" w:space="0" w:color="auto"/>
                <w:right w:val="none" w:sz="0" w:space="0" w:color="auto"/>
              </w:divBdr>
            </w:div>
            <w:div w:id="1269653795">
              <w:marLeft w:val="0"/>
              <w:marRight w:val="0"/>
              <w:marTop w:val="0"/>
              <w:marBottom w:val="0"/>
              <w:divBdr>
                <w:top w:val="none" w:sz="0" w:space="0" w:color="auto"/>
                <w:left w:val="none" w:sz="0" w:space="0" w:color="auto"/>
                <w:bottom w:val="none" w:sz="0" w:space="0" w:color="auto"/>
                <w:right w:val="none" w:sz="0" w:space="0" w:color="auto"/>
              </w:divBdr>
            </w:div>
            <w:div w:id="483280319">
              <w:marLeft w:val="0"/>
              <w:marRight w:val="0"/>
              <w:marTop w:val="0"/>
              <w:marBottom w:val="0"/>
              <w:divBdr>
                <w:top w:val="none" w:sz="0" w:space="0" w:color="auto"/>
                <w:left w:val="none" w:sz="0" w:space="0" w:color="auto"/>
                <w:bottom w:val="none" w:sz="0" w:space="0" w:color="auto"/>
                <w:right w:val="none" w:sz="0" w:space="0" w:color="auto"/>
              </w:divBdr>
            </w:div>
            <w:div w:id="1533110798">
              <w:marLeft w:val="0"/>
              <w:marRight w:val="0"/>
              <w:marTop w:val="0"/>
              <w:marBottom w:val="0"/>
              <w:divBdr>
                <w:top w:val="none" w:sz="0" w:space="0" w:color="auto"/>
                <w:left w:val="none" w:sz="0" w:space="0" w:color="auto"/>
                <w:bottom w:val="none" w:sz="0" w:space="0" w:color="auto"/>
                <w:right w:val="none" w:sz="0" w:space="0" w:color="auto"/>
              </w:divBdr>
            </w:div>
            <w:div w:id="1382484394">
              <w:marLeft w:val="0"/>
              <w:marRight w:val="0"/>
              <w:marTop w:val="0"/>
              <w:marBottom w:val="0"/>
              <w:divBdr>
                <w:top w:val="none" w:sz="0" w:space="0" w:color="auto"/>
                <w:left w:val="none" w:sz="0" w:space="0" w:color="auto"/>
                <w:bottom w:val="none" w:sz="0" w:space="0" w:color="auto"/>
                <w:right w:val="none" w:sz="0" w:space="0" w:color="auto"/>
              </w:divBdr>
            </w:div>
            <w:div w:id="1534032345">
              <w:marLeft w:val="0"/>
              <w:marRight w:val="0"/>
              <w:marTop w:val="0"/>
              <w:marBottom w:val="0"/>
              <w:divBdr>
                <w:top w:val="none" w:sz="0" w:space="0" w:color="auto"/>
                <w:left w:val="none" w:sz="0" w:space="0" w:color="auto"/>
                <w:bottom w:val="none" w:sz="0" w:space="0" w:color="auto"/>
                <w:right w:val="none" w:sz="0" w:space="0" w:color="auto"/>
              </w:divBdr>
            </w:div>
            <w:div w:id="625739073">
              <w:marLeft w:val="0"/>
              <w:marRight w:val="0"/>
              <w:marTop w:val="0"/>
              <w:marBottom w:val="0"/>
              <w:divBdr>
                <w:top w:val="none" w:sz="0" w:space="0" w:color="auto"/>
                <w:left w:val="none" w:sz="0" w:space="0" w:color="auto"/>
                <w:bottom w:val="none" w:sz="0" w:space="0" w:color="auto"/>
                <w:right w:val="none" w:sz="0" w:space="0" w:color="auto"/>
              </w:divBdr>
            </w:div>
            <w:div w:id="463887177">
              <w:marLeft w:val="0"/>
              <w:marRight w:val="0"/>
              <w:marTop w:val="0"/>
              <w:marBottom w:val="0"/>
              <w:divBdr>
                <w:top w:val="none" w:sz="0" w:space="0" w:color="auto"/>
                <w:left w:val="none" w:sz="0" w:space="0" w:color="auto"/>
                <w:bottom w:val="none" w:sz="0" w:space="0" w:color="auto"/>
                <w:right w:val="none" w:sz="0" w:space="0" w:color="auto"/>
              </w:divBdr>
            </w:div>
            <w:div w:id="347563250">
              <w:marLeft w:val="0"/>
              <w:marRight w:val="0"/>
              <w:marTop w:val="0"/>
              <w:marBottom w:val="0"/>
              <w:divBdr>
                <w:top w:val="none" w:sz="0" w:space="0" w:color="auto"/>
                <w:left w:val="none" w:sz="0" w:space="0" w:color="auto"/>
                <w:bottom w:val="none" w:sz="0" w:space="0" w:color="auto"/>
                <w:right w:val="none" w:sz="0" w:space="0" w:color="auto"/>
              </w:divBdr>
            </w:div>
            <w:div w:id="1248464596">
              <w:marLeft w:val="0"/>
              <w:marRight w:val="0"/>
              <w:marTop w:val="0"/>
              <w:marBottom w:val="0"/>
              <w:divBdr>
                <w:top w:val="none" w:sz="0" w:space="0" w:color="auto"/>
                <w:left w:val="none" w:sz="0" w:space="0" w:color="auto"/>
                <w:bottom w:val="none" w:sz="0" w:space="0" w:color="auto"/>
                <w:right w:val="none" w:sz="0" w:space="0" w:color="auto"/>
              </w:divBdr>
            </w:div>
            <w:div w:id="1955862869">
              <w:marLeft w:val="0"/>
              <w:marRight w:val="0"/>
              <w:marTop w:val="0"/>
              <w:marBottom w:val="0"/>
              <w:divBdr>
                <w:top w:val="none" w:sz="0" w:space="0" w:color="auto"/>
                <w:left w:val="none" w:sz="0" w:space="0" w:color="auto"/>
                <w:bottom w:val="none" w:sz="0" w:space="0" w:color="auto"/>
                <w:right w:val="none" w:sz="0" w:space="0" w:color="auto"/>
              </w:divBdr>
            </w:div>
            <w:div w:id="1563177203">
              <w:marLeft w:val="0"/>
              <w:marRight w:val="0"/>
              <w:marTop w:val="0"/>
              <w:marBottom w:val="0"/>
              <w:divBdr>
                <w:top w:val="none" w:sz="0" w:space="0" w:color="auto"/>
                <w:left w:val="none" w:sz="0" w:space="0" w:color="auto"/>
                <w:bottom w:val="none" w:sz="0" w:space="0" w:color="auto"/>
                <w:right w:val="none" w:sz="0" w:space="0" w:color="auto"/>
              </w:divBdr>
            </w:div>
            <w:div w:id="1902323595">
              <w:marLeft w:val="0"/>
              <w:marRight w:val="0"/>
              <w:marTop w:val="0"/>
              <w:marBottom w:val="0"/>
              <w:divBdr>
                <w:top w:val="none" w:sz="0" w:space="0" w:color="auto"/>
                <w:left w:val="none" w:sz="0" w:space="0" w:color="auto"/>
                <w:bottom w:val="none" w:sz="0" w:space="0" w:color="auto"/>
                <w:right w:val="none" w:sz="0" w:space="0" w:color="auto"/>
              </w:divBdr>
            </w:div>
            <w:div w:id="460657849">
              <w:marLeft w:val="0"/>
              <w:marRight w:val="0"/>
              <w:marTop w:val="0"/>
              <w:marBottom w:val="0"/>
              <w:divBdr>
                <w:top w:val="none" w:sz="0" w:space="0" w:color="auto"/>
                <w:left w:val="none" w:sz="0" w:space="0" w:color="auto"/>
                <w:bottom w:val="none" w:sz="0" w:space="0" w:color="auto"/>
                <w:right w:val="none" w:sz="0" w:space="0" w:color="auto"/>
              </w:divBdr>
            </w:div>
            <w:div w:id="32925456">
              <w:marLeft w:val="0"/>
              <w:marRight w:val="0"/>
              <w:marTop w:val="0"/>
              <w:marBottom w:val="0"/>
              <w:divBdr>
                <w:top w:val="none" w:sz="0" w:space="0" w:color="auto"/>
                <w:left w:val="none" w:sz="0" w:space="0" w:color="auto"/>
                <w:bottom w:val="none" w:sz="0" w:space="0" w:color="auto"/>
                <w:right w:val="none" w:sz="0" w:space="0" w:color="auto"/>
              </w:divBdr>
            </w:div>
            <w:div w:id="1841963744">
              <w:marLeft w:val="0"/>
              <w:marRight w:val="0"/>
              <w:marTop w:val="0"/>
              <w:marBottom w:val="0"/>
              <w:divBdr>
                <w:top w:val="none" w:sz="0" w:space="0" w:color="auto"/>
                <w:left w:val="none" w:sz="0" w:space="0" w:color="auto"/>
                <w:bottom w:val="none" w:sz="0" w:space="0" w:color="auto"/>
                <w:right w:val="none" w:sz="0" w:space="0" w:color="auto"/>
              </w:divBdr>
            </w:div>
            <w:div w:id="57947954">
              <w:marLeft w:val="0"/>
              <w:marRight w:val="0"/>
              <w:marTop w:val="0"/>
              <w:marBottom w:val="0"/>
              <w:divBdr>
                <w:top w:val="none" w:sz="0" w:space="0" w:color="auto"/>
                <w:left w:val="none" w:sz="0" w:space="0" w:color="auto"/>
                <w:bottom w:val="none" w:sz="0" w:space="0" w:color="auto"/>
                <w:right w:val="none" w:sz="0" w:space="0" w:color="auto"/>
              </w:divBdr>
            </w:div>
            <w:div w:id="513154353">
              <w:marLeft w:val="0"/>
              <w:marRight w:val="0"/>
              <w:marTop w:val="0"/>
              <w:marBottom w:val="0"/>
              <w:divBdr>
                <w:top w:val="none" w:sz="0" w:space="0" w:color="auto"/>
                <w:left w:val="none" w:sz="0" w:space="0" w:color="auto"/>
                <w:bottom w:val="none" w:sz="0" w:space="0" w:color="auto"/>
                <w:right w:val="none" w:sz="0" w:space="0" w:color="auto"/>
              </w:divBdr>
            </w:div>
            <w:div w:id="2130203398">
              <w:marLeft w:val="0"/>
              <w:marRight w:val="0"/>
              <w:marTop w:val="0"/>
              <w:marBottom w:val="0"/>
              <w:divBdr>
                <w:top w:val="none" w:sz="0" w:space="0" w:color="auto"/>
                <w:left w:val="none" w:sz="0" w:space="0" w:color="auto"/>
                <w:bottom w:val="none" w:sz="0" w:space="0" w:color="auto"/>
                <w:right w:val="none" w:sz="0" w:space="0" w:color="auto"/>
              </w:divBdr>
            </w:div>
            <w:div w:id="858159246">
              <w:marLeft w:val="0"/>
              <w:marRight w:val="0"/>
              <w:marTop w:val="0"/>
              <w:marBottom w:val="0"/>
              <w:divBdr>
                <w:top w:val="none" w:sz="0" w:space="0" w:color="auto"/>
                <w:left w:val="none" w:sz="0" w:space="0" w:color="auto"/>
                <w:bottom w:val="none" w:sz="0" w:space="0" w:color="auto"/>
                <w:right w:val="none" w:sz="0" w:space="0" w:color="auto"/>
              </w:divBdr>
            </w:div>
            <w:div w:id="427896831">
              <w:marLeft w:val="0"/>
              <w:marRight w:val="0"/>
              <w:marTop w:val="0"/>
              <w:marBottom w:val="0"/>
              <w:divBdr>
                <w:top w:val="none" w:sz="0" w:space="0" w:color="auto"/>
                <w:left w:val="none" w:sz="0" w:space="0" w:color="auto"/>
                <w:bottom w:val="none" w:sz="0" w:space="0" w:color="auto"/>
                <w:right w:val="none" w:sz="0" w:space="0" w:color="auto"/>
              </w:divBdr>
            </w:div>
            <w:div w:id="1438140860">
              <w:marLeft w:val="0"/>
              <w:marRight w:val="0"/>
              <w:marTop w:val="0"/>
              <w:marBottom w:val="0"/>
              <w:divBdr>
                <w:top w:val="none" w:sz="0" w:space="0" w:color="auto"/>
                <w:left w:val="none" w:sz="0" w:space="0" w:color="auto"/>
                <w:bottom w:val="none" w:sz="0" w:space="0" w:color="auto"/>
                <w:right w:val="none" w:sz="0" w:space="0" w:color="auto"/>
              </w:divBdr>
            </w:div>
            <w:div w:id="1187331202">
              <w:marLeft w:val="0"/>
              <w:marRight w:val="0"/>
              <w:marTop w:val="0"/>
              <w:marBottom w:val="0"/>
              <w:divBdr>
                <w:top w:val="none" w:sz="0" w:space="0" w:color="auto"/>
                <w:left w:val="none" w:sz="0" w:space="0" w:color="auto"/>
                <w:bottom w:val="none" w:sz="0" w:space="0" w:color="auto"/>
                <w:right w:val="none" w:sz="0" w:space="0" w:color="auto"/>
              </w:divBdr>
            </w:div>
            <w:div w:id="1580871080">
              <w:marLeft w:val="0"/>
              <w:marRight w:val="0"/>
              <w:marTop w:val="0"/>
              <w:marBottom w:val="0"/>
              <w:divBdr>
                <w:top w:val="none" w:sz="0" w:space="0" w:color="auto"/>
                <w:left w:val="none" w:sz="0" w:space="0" w:color="auto"/>
                <w:bottom w:val="none" w:sz="0" w:space="0" w:color="auto"/>
                <w:right w:val="none" w:sz="0" w:space="0" w:color="auto"/>
              </w:divBdr>
            </w:div>
            <w:div w:id="662126335">
              <w:marLeft w:val="0"/>
              <w:marRight w:val="0"/>
              <w:marTop w:val="0"/>
              <w:marBottom w:val="0"/>
              <w:divBdr>
                <w:top w:val="none" w:sz="0" w:space="0" w:color="auto"/>
                <w:left w:val="none" w:sz="0" w:space="0" w:color="auto"/>
                <w:bottom w:val="none" w:sz="0" w:space="0" w:color="auto"/>
                <w:right w:val="none" w:sz="0" w:space="0" w:color="auto"/>
              </w:divBdr>
            </w:div>
            <w:div w:id="1377585810">
              <w:marLeft w:val="0"/>
              <w:marRight w:val="0"/>
              <w:marTop w:val="0"/>
              <w:marBottom w:val="0"/>
              <w:divBdr>
                <w:top w:val="none" w:sz="0" w:space="0" w:color="auto"/>
                <w:left w:val="none" w:sz="0" w:space="0" w:color="auto"/>
                <w:bottom w:val="none" w:sz="0" w:space="0" w:color="auto"/>
                <w:right w:val="none" w:sz="0" w:space="0" w:color="auto"/>
              </w:divBdr>
            </w:div>
            <w:div w:id="1513496892">
              <w:marLeft w:val="0"/>
              <w:marRight w:val="0"/>
              <w:marTop w:val="0"/>
              <w:marBottom w:val="0"/>
              <w:divBdr>
                <w:top w:val="none" w:sz="0" w:space="0" w:color="auto"/>
                <w:left w:val="none" w:sz="0" w:space="0" w:color="auto"/>
                <w:bottom w:val="none" w:sz="0" w:space="0" w:color="auto"/>
                <w:right w:val="none" w:sz="0" w:space="0" w:color="auto"/>
              </w:divBdr>
            </w:div>
            <w:div w:id="2144736429">
              <w:marLeft w:val="0"/>
              <w:marRight w:val="0"/>
              <w:marTop w:val="0"/>
              <w:marBottom w:val="0"/>
              <w:divBdr>
                <w:top w:val="none" w:sz="0" w:space="0" w:color="auto"/>
                <w:left w:val="none" w:sz="0" w:space="0" w:color="auto"/>
                <w:bottom w:val="none" w:sz="0" w:space="0" w:color="auto"/>
                <w:right w:val="none" w:sz="0" w:space="0" w:color="auto"/>
              </w:divBdr>
            </w:div>
            <w:div w:id="1191186810">
              <w:marLeft w:val="0"/>
              <w:marRight w:val="0"/>
              <w:marTop w:val="0"/>
              <w:marBottom w:val="0"/>
              <w:divBdr>
                <w:top w:val="none" w:sz="0" w:space="0" w:color="auto"/>
                <w:left w:val="none" w:sz="0" w:space="0" w:color="auto"/>
                <w:bottom w:val="none" w:sz="0" w:space="0" w:color="auto"/>
                <w:right w:val="none" w:sz="0" w:space="0" w:color="auto"/>
              </w:divBdr>
            </w:div>
            <w:div w:id="311519561">
              <w:marLeft w:val="0"/>
              <w:marRight w:val="0"/>
              <w:marTop w:val="0"/>
              <w:marBottom w:val="0"/>
              <w:divBdr>
                <w:top w:val="none" w:sz="0" w:space="0" w:color="auto"/>
                <w:left w:val="none" w:sz="0" w:space="0" w:color="auto"/>
                <w:bottom w:val="none" w:sz="0" w:space="0" w:color="auto"/>
                <w:right w:val="none" w:sz="0" w:space="0" w:color="auto"/>
              </w:divBdr>
            </w:div>
            <w:div w:id="765612616">
              <w:marLeft w:val="0"/>
              <w:marRight w:val="0"/>
              <w:marTop w:val="0"/>
              <w:marBottom w:val="0"/>
              <w:divBdr>
                <w:top w:val="none" w:sz="0" w:space="0" w:color="auto"/>
                <w:left w:val="none" w:sz="0" w:space="0" w:color="auto"/>
                <w:bottom w:val="none" w:sz="0" w:space="0" w:color="auto"/>
                <w:right w:val="none" w:sz="0" w:space="0" w:color="auto"/>
              </w:divBdr>
            </w:div>
            <w:div w:id="798107551">
              <w:marLeft w:val="0"/>
              <w:marRight w:val="0"/>
              <w:marTop w:val="0"/>
              <w:marBottom w:val="0"/>
              <w:divBdr>
                <w:top w:val="none" w:sz="0" w:space="0" w:color="auto"/>
                <w:left w:val="none" w:sz="0" w:space="0" w:color="auto"/>
                <w:bottom w:val="none" w:sz="0" w:space="0" w:color="auto"/>
                <w:right w:val="none" w:sz="0" w:space="0" w:color="auto"/>
              </w:divBdr>
            </w:div>
            <w:div w:id="588542153">
              <w:marLeft w:val="0"/>
              <w:marRight w:val="0"/>
              <w:marTop w:val="0"/>
              <w:marBottom w:val="0"/>
              <w:divBdr>
                <w:top w:val="none" w:sz="0" w:space="0" w:color="auto"/>
                <w:left w:val="none" w:sz="0" w:space="0" w:color="auto"/>
                <w:bottom w:val="none" w:sz="0" w:space="0" w:color="auto"/>
                <w:right w:val="none" w:sz="0" w:space="0" w:color="auto"/>
              </w:divBdr>
            </w:div>
            <w:div w:id="1867135501">
              <w:marLeft w:val="0"/>
              <w:marRight w:val="0"/>
              <w:marTop w:val="0"/>
              <w:marBottom w:val="0"/>
              <w:divBdr>
                <w:top w:val="none" w:sz="0" w:space="0" w:color="auto"/>
                <w:left w:val="none" w:sz="0" w:space="0" w:color="auto"/>
                <w:bottom w:val="none" w:sz="0" w:space="0" w:color="auto"/>
                <w:right w:val="none" w:sz="0" w:space="0" w:color="auto"/>
              </w:divBdr>
            </w:div>
            <w:div w:id="561137780">
              <w:marLeft w:val="0"/>
              <w:marRight w:val="0"/>
              <w:marTop w:val="0"/>
              <w:marBottom w:val="0"/>
              <w:divBdr>
                <w:top w:val="none" w:sz="0" w:space="0" w:color="auto"/>
                <w:left w:val="none" w:sz="0" w:space="0" w:color="auto"/>
                <w:bottom w:val="none" w:sz="0" w:space="0" w:color="auto"/>
                <w:right w:val="none" w:sz="0" w:space="0" w:color="auto"/>
              </w:divBdr>
            </w:div>
            <w:div w:id="895899944">
              <w:marLeft w:val="0"/>
              <w:marRight w:val="0"/>
              <w:marTop w:val="0"/>
              <w:marBottom w:val="0"/>
              <w:divBdr>
                <w:top w:val="none" w:sz="0" w:space="0" w:color="auto"/>
                <w:left w:val="none" w:sz="0" w:space="0" w:color="auto"/>
                <w:bottom w:val="none" w:sz="0" w:space="0" w:color="auto"/>
                <w:right w:val="none" w:sz="0" w:space="0" w:color="auto"/>
              </w:divBdr>
            </w:div>
            <w:div w:id="1044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bivasbiswas@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10170</Words>
  <Characters>57972</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 Ma</cp:lastModifiedBy>
  <cp:revision>2</cp:revision>
  <dcterms:created xsi:type="dcterms:W3CDTF">2016-07-12T04:28:00Z</dcterms:created>
  <dcterms:modified xsi:type="dcterms:W3CDTF">2016-07-12T04:28:00Z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id="460TBwxs"/&gt;&lt;style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