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12" w:rsidRPr="0001656C" w:rsidRDefault="00D22412" w:rsidP="00D22412">
      <w:pPr>
        <w:spacing w:after="0" w:line="360" w:lineRule="auto"/>
        <w:jc w:val="both"/>
        <w:rPr>
          <w:rFonts w:ascii="Book Antiqua" w:hAnsi="Book Antiqua" w:cs="Times New Roman"/>
          <w:b/>
          <w:sz w:val="24"/>
          <w:szCs w:val="24"/>
          <w:lang w:val="en-US"/>
        </w:rPr>
      </w:pPr>
      <w:r w:rsidRPr="0001656C">
        <w:rPr>
          <w:rFonts w:ascii="Book Antiqua" w:hAnsi="Book Antiqua" w:cs="Times New Roman"/>
          <w:b/>
          <w:sz w:val="24"/>
          <w:szCs w:val="24"/>
          <w:lang w:val="en-US"/>
        </w:rPr>
        <w:t xml:space="preserve">Name of Journal: </w:t>
      </w:r>
      <w:r w:rsidRPr="0001656C">
        <w:rPr>
          <w:rFonts w:ascii="Book Antiqua" w:hAnsi="Book Antiqua" w:cs="Times New Roman"/>
          <w:b/>
          <w:i/>
          <w:sz w:val="24"/>
          <w:szCs w:val="24"/>
          <w:lang w:val="en-US"/>
        </w:rPr>
        <w:t>World Journal of Hepatology</w:t>
      </w:r>
    </w:p>
    <w:p w:rsidR="00D22412" w:rsidRPr="0001656C" w:rsidRDefault="00D22412" w:rsidP="00D22412">
      <w:pPr>
        <w:spacing w:after="0" w:line="360" w:lineRule="auto"/>
        <w:jc w:val="both"/>
        <w:rPr>
          <w:rFonts w:ascii="Book Antiqua" w:hAnsi="Book Antiqua" w:cs="Times New Roman"/>
          <w:b/>
          <w:sz w:val="24"/>
          <w:szCs w:val="24"/>
          <w:lang w:val="en-US" w:eastAsia="zh-CN"/>
        </w:rPr>
      </w:pPr>
      <w:bookmarkStart w:id="0" w:name="OLE_LINK485"/>
      <w:bookmarkStart w:id="1" w:name="OLE_LINK486"/>
      <w:bookmarkStart w:id="2" w:name="OLE_LINK661"/>
      <w:bookmarkStart w:id="3" w:name="OLE_LINK514"/>
      <w:bookmarkStart w:id="4" w:name="OLE_LINK515"/>
      <w:r w:rsidRPr="0001656C">
        <w:rPr>
          <w:rFonts w:ascii="Book Antiqua" w:hAnsi="Book Antiqua" w:cs="Times New Roman"/>
          <w:b/>
          <w:sz w:val="24"/>
          <w:szCs w:val="24"/>
          <w:lang w:val="en-US" w:eastAsia="zh-CN"/>
        </w:rPr>
        <w:t>ESPS Manuscript NO:</w:t>
      </w:r>
      <w:bookmarkEnd w:id="0"/>
      <w:bookmarkEnd w:id="1"/>
      <w:bookmarkEnd w:id="2"/>
      <w:bookmarkEnd w:id="3"/>
      <w:bookmarkEnd w:id="4"/>
      <w:r w:rsidR="002107E6">
        <w:rPr>
          <w:rFonts w:ascii="Book Antiqua" w:hAnsi="Book Antiqua" w:cs="Times New Roman" w:hint="eastAsia"/>
          <w:b/>
          <w:sz w:val="24"/>
          <w:szCs w:val="24"/>
          <w:lang w:val="en-US" w:eastAsia="zh-CN"/>
        </w:rPr>
        <w:t xml:space="preserve"> </w:t>
      </w:r>
      <w:r w:rsidRPr="0001656C">
        <w:rPr>
          <w:rFonts w:ascii="Book Antiqua" w:hAnsi="Book Antiqua" w:cs="Times New Roman"/>
          <w:b/>
          <w:sz w:val="24"/>
          <w:szCs w:val="24"/>
          <w:lang w:val="en-US" w:eastAsia="zh-CN"/>
        </w:rPr>
        <w:t>27002</w:t>
      </w:r>
    </w:p>
    <w:p w:rsidR="00053F5F" w:rsidRPr="0001656C" w:rsidRDefault="00D22412" w:rsidP="00D22412">
      <w:pPr>
        <w:spacing w:after="0" w:line="360" w:lineRule="auto"/>
        <w:jc w:val="both"/>
        <w:rPr>
          <w:rFonts w:ascii="Book Antiqua" w:hAnsi="Book Antiqua" w:cs="Times New Roman"/>
          <w:b/>
          <w:sz w:val="24"/>
          <w:szCs w:val="24"/>
          <w:lang w:val="en-US" w:eastAsia="zh-CN"/>
        </w:rPr>
      </w:pPr>
      <w:r w:rsidRPr="0001656C">
        <w:rPr>
          <w:rFonts w:ascii="Book Antiqua" w:hAnsi="Book Antiqua" w:cs="Times New Roman"/>
          <w:b/>
          <w:sz w:val="24"/>
          <w:szCs w:val="24"/>
          <w:lang w:val="en-US"/>
        </w:rPr>
        <w:t xml:space="preserve">Manuscript Type: </w:t>
      </w:r>
      <w:r w:rsidR="00053F5F" w:rsidRPr="0001656C">
        <w:rPr>
          <w:rFonts w:ascii="Book Antiqua" w:hAnsi="Book Antiqua"/>
          <w:b/>
          <w:sz w:val="24"/>
          <w:szCs w:val="24"/>
        </w:rPr>
        <w:t>O</w:t>
      </w:r>
      <w:r w:rsidR="004C0909" w:rsidRPr="0001656C">
        <w:rPr>
          <w:rFonts w:ascii="Book Antiqua" w:hAnsi="Book Antiqua"/>
          <w:b/>
          <w:sz w:val="24"/>
          <w:szCs w:val="24"/>
        </w:rPr>
        <w:t>riginal</w:t>
      </w:r>
      <w:r w:rsidR="00053F5F" w:rsidRPr="0001656C">
        <w:rPr>
          <w:rFonts w:ascii="Book Antiqua" w:hAnsi="Book Antiqua"/>
          <w:b/>
          <w:sz w:val="24"/>
          <w:szCs w:val="24"/>
        </w:rPr>
        <w:t xml:space="preserve"> A</w:t>
      </w:r>
      <w:r w:rsidR="004C0909" w:rsidRPr="0001656C">
        <w:rPr>
          <w:rFonts w:ascii="Book Antiqua" w:hAnsi="Book Antiqua"/>
          <w:b/>
          <w:sz w:val="24"/>
          <w:szCs w:val="24"/>
        </w:rPr>
        <w:t>rticle</w:t>
      </w:r>
    </w:p>
    <w:p w:rsidR="00D22412" w:rsidRPr="0001656C" w:rsidRDefault="00D22412" w:rsidP="00D22412">
      <w:pPr>
        <w:spacing w:after="0" w:line="360" w:lineRule="auto"/>
        <w:jc w:val="both"/>
        <w:rPr>
          <w:rFonts w:ascii="Book Antiqua" w:hAnsi="Book Antiqua" w:cs="Times New Roman"/>
          <w:b/>
          <w:i/>
          <w:sz w:val="24"/>
          <w:szCs w:val="24"/>
          <w:lang w:val="en-US"/>
        </w:rPr>
      </w:pPr>
      <w:r w:rsidRPr="0001656C">
        <w:rPr>
          <w:rFonts w:ascii="Book Antiqua" w:hAnsi="Book Antiqua" w:cs="Times New Roman"/>
          <w:b/>
          <w:i/>
          <w:sz w:val="24"/>
          <w:szCs w:val="24"/>
          <w:lang w:val="en-US"/>
        </w:rPr>
        <w:t>Prospective Study</w:t>
      </w:r>
    </w:p>
    <w:p w:rsidR="00D22412" w:rsidRPr="0001656C" w:rsidRDefault="00D22412" w:rsidP="00D22412">
      <w:pPr>
        <w:spacing w:after="0" w:line="360" w:lineRule="auto"/>
        <w:jc w:val="both"/>
        <w:rPr>
          <w:rFonts w:ascii="Book Antiqua" w:hAnsi="Book Antiqua" w:cs="Times New Roman"/>
          <w:b/>
          <w:sz w:val="24"/>
          <w:szCs w:val="24"/>
          <w:lang w:val="en-US"/>
        </w:rPr>
      </w:pPr>
    </w:p>
    <w:p w:rsidR="00D22412" w:rsidRPr="0001656C" w:rsidRDefault="00D22412" w:rsidP="00D22412">
      <w:pPr>
        <w:spacing w:after="0" w:line="360" w:lineRule="auto"/>
        <w:jc w:val="both"/>
        <w:rPr>
          <w:rFonts w:ascii="Book Antiqua" w:hAnsi="Book Antiqua" w:cs="Times New Roman"/>
          <w:b/>
          <w:sz w:val="24"/>
          <w:szCs w:val="24"/>
          <w:lang w:val="en-US"/>
        </w:rPr>
      </w:pPr>
      <w:bookmarkStart w:id="5" w:name="OLE_LINK1"/>
      <w:bookmarkStart w:id="6" w:name="OLE_LINK2"/>
      <w:r w:rsidRPr="0001656C">
        <w:rPr>
          <w:rFonts w:ascii="Book Antiqua" w:hAnsi="Book Antiqua" w:cs="Times New Roman"/>
          <w:b/>
          <w:sz w:val="24"/>
          <w:szCs w:val="24"/>
          <w:lang w:val="en-US"/>
        </w:rPr>
        <w:t>Immune response to</w:t>
      </w:r>
      <w:r w:rsidR="00FC33AD">
        <w:rPr>
          <w:rFonts w:ascii="Book Antiqua" w:hAnsi="Book Antiqua" w:cs="Times New Roman" w:hint="eastAsia"/>
          <w:b/>
          <w:sz w:val="24"/>
          <w:szCs w:val="24"/>
          <w:lang w:val="en-US" w:eastAsia="zh-CN"/>
        </w:rPr>
        <w:t xml:space="preserve"> </w:t>
      </w:r>
      <w:r w:rsidR="00FC33AD" w:rsidRPr="0001656C">
        <w:rPr>
          <w:rFonts w:ascii="Book Antiqua" w:hAnsi="Book Antiqua" w:cs="Times New Roman"/>
          <w:b/>
          <w:sz w:val="24"/>
          <w:szCs w:val="24"/>
        </w:rPr>
        <w:t>h</w:t>
      </w:r>
      <w:r w:rsidR="00053F5F" w:rsidRPr="0001656C">
        <w:rPr>
          <w:rFonts w:ascii="Book Antiqua" w:hAnsi="Book Antiqua" w:cs="Times New Roman"/>
          <w:b/>
          <w:sz w:val="24"/>
          <w:szCs w:val="24"/>
        </w:rPr>
        <w:t>epatitis B virus</w:t>
      </w:r>
      <w:r w:rsidRPr="0001656C">
        <w:rPr>
          <w:rFonts w:ascii="Book Antiqua" w:hAnsi="Book Antiqua" w:cs="Times New Roman"/>
          <w:b/>
          <w:sz w:val="24"/>
          <w:szCs w:val="24"/>
          <w:lang w:val="en-US"/>
        </w:rPr>
        <w:t xml:space="preserve"> vaccine in celiac subjects at diagnosis</w:t>
      </w:r>
    </w:p>
    <w:bookmarkEnd w:id="5"/>
    <w:bookmarkEnd w:id="6"/>
    <w:p w:rsidR="00D22412" w:rsidRPr="0001656C" w:rsidRDefault="00D22412" w:rsidP="00D22412">
      <w:pPr>
        <w:spacing w:after="0" w:line="360" w:lineRule="auto"/>
        <w:jc w:val="both"/>
        <w:rPr>
          <w:rFonts w:ascii="Book Antiqua" w:hAnsi="Book Antiqua" w:cs="Times New Roman"/>
          <w:b/>
          <w:sz w:val="24"/>
          <w:szCs w:val="24"/>
          <w:lang w:val="en-US"/>
        </w:rPr>
      </w:pPr>
    </w:p>
    <w:p w:rsidR="00D22412" w:rsidRPr="0001656C" w:rsidRDefault="00D22412" w:rsidP="00D22412">
      <w:pPr>
        <w:spacing w:after="0" w:line="360" w:lineRule="auto"/>
        <w:jc w:val="both"/>
        <w:rPr>
          <w:rFonts w:ascii="Book Antiqua" w:hAnsi="Book Antiqua" w:cs="Times New Roman"/>
          <w:sz w:val="24"/>
          <w:szCs w:val="24"/>
          <w:lang w:val="en-US"/>
        </w:rPr>
      </w:pPr>
      <w:proofErr w:type="spellStart"/>
      <w:r w:rsidRPr="0001656C">
        <w:rPr>
          <w:rFonts w:ascii="Book Antiqua" w:hAnsi="Book Antiqua" w:cs="Times New Roman"/>
          <w:sz w:val="24"/>
          <w:szCs w:val="24"/>
          <w:lang w:val="en-US"/>
        </w:rPr>
        <w:t>Filippelli</w:t>
      </w:r>
      <w:proofErr w:type="spellEnd"/>
      <w:r w:rsidRPr="0001656C">
        <w:rPr>
          <w:rFonts w:ascii="Book Antiqua" w:hAnsi="Book Antiqua" w:cs="Times New Roman"/>
          <w:sz w:val="24"/>
          <w:szCs w:val="24"/>
          <w:lang w:val="en-US"/>
        </w:rPr>
        <w:t xml:space="preserve"> M </w:t>
      </w:r>
      <w:r w:rsidRPr="0001656C">
        <w:rPr>
          <w:rFonts w:ascii="Book Antiqua" w:hAnsi="Book Antiqua" w:cs="Times New Roman"/>
          <w:i/>
          <w:sz w:val="24"/>
          <w:szCs w:val="24"/>
          <w:lang w:val="en-US"/>
        </w:rPr>
        <w:t>et al</w:t>
      </w:r>
      <w:r w:rsidRPr="0001656C">
        <w:rPr>
          <w:rFonts w:ascii="Book Antiqua" w:hAnsi="Book Antiqua" w:cs="Times New Roman"/>
          <w:sz w:val="24"/>
          <w:szCs w:val="24"/>
          <w:lang w:val="en-US"/>
        </w:rPr>
        <w:t>. HBV vaccine response in celiac subjects</w:t>
      </w:r>
    </w:p>
    <w:p w:rsidR="00D22412" w:rsidRPr="0001656C" w:rsidRDefault="00D22412" w:rsidP="00D22412">
      <w:pPr>
        <w:spacing w:after="0" w:line="360" w:lineRule="auto"/>
        <w:jc w:val="both"/>
        <w:rPr>
          <w:rFonts w:ascii="Book Antiqua" w:hAnsi="Book Antiqua" w:cs="Times New Roman"/>
          <w:sz w:val="24"/>
          <w:szCs w:val="24"/>
          <w:u w:val="single"/>
          <w:lang w:val="en-US"/>
        </w:rPr>
      </w:pPr>
    </w:p>
    <w:p w:rsidR="00D22412" w:rsidRPr="0001656C" w:rsidRDefault="00D22412" w:rsidP="00D22412">
      <w:pPr>
        <w:spacing w:after="0" w:line="360" w:lineRule="auto"/>
        <w:jc w:val="both"/>
        <w:rPr>
          <w:rFonts w:ascii="Book Antiqua" w:hAnsi="Book Antiqua" w:cs="Times New Roman"/>
          <w:b/>
          <w:sz w:val="24"/>
          <w:szCs w:val="24"/>
          <w:lang w:val="en-US"/>
        </w:rPr>
      </w:pPr>
      <w:r w:rsidRPr="0001656C">
        <w:rPr>
          <w:rFonts w:ascii="Book Antiqua" w:hAnsi="Book Antiqua" w:cs="Times New Roman"/>
          <w:b/>
          <w:sz w:val="24"/>
          <w:szCs w:val="24"/>
          <w:lang w:val="en-US"/>
        </w:rPr>
        <w:t xml:space="preserve">Martina </w:t>
      </w:r>
      <w:proofErr w:type="spellStart"/>
      <w:r w:rsidRPr="0001656C">
        <w:rPr>
          <w:rFonts w:ascii="Book Antiqua" w:hAnsi="Book Antiqua" w:cs="Times New Roman"/>
          <w:b/>
          <w:sz w:val="24"/>
          <w:szCs w:val="24"/>
          <w:lang w:val="en-US"/>
        </w:rPr>
        <w:t>Filippelli</w:t>
      </w:r>
      <w:proofErr w:type="spellEnd"/>
      <w:r w:rsidRPr="0001656C">
        <w:rPr>
          <w:rFonts w:ascii="Book Antiqua" w:hAnsi="Book Antiqua" w:cs="Times New Roman"/>
          <w:b/>
          <w:sz w:val="24"/>
          <w:szCs w:val="24"/>
          <w:lang w:val="en-US"/>
        </w:rPr>
        <w:t xml:space="preserve">, Maria Teresa </w:t>
      </w:r>
      <w:proofErr w:type="spellStart"/>
      <w:r w:rsidRPr="0001656C">
        <w:rPr>
          <w:rFonts w:ascii="Book Antiqua" w:hAnsi="Book Antiqua" w:cs="Times New Roman"/>
          <w:b/>
          <w:sz w:val="24"/>
          <w:szCs w:val="24"/>
          <w:lang w:val="en-US"/>
        </w:rPr>
        <w:t>Garozzo</w:t>
      </w:r>
      <w:proofErr w:type="spellEnd"/>
      <w:r w:rsidRPr="0001656C">
        <w:rPr>
          <w:rFonts w:ascii="Book Antiqua" w:hAnsi="Book Antiqua" w:cs="Times New Roman"/>
          <w:b/>
          <w:sz w:val="24"/>
          <w:szCs w:val="24"/>
          <w:lang w:val="en-US"/>
        </w:rPr>
        <w:t xml:space="preserve">, </w:t>
      </w:r>
      <w:proofErr w:type="spellStart"/>
      <w:r w:rsidRPr="0001656C">
        <w:rPr>
          <w:rFonts w:ascii="Book Antiqua" w:hAnsi="Book Antiqua" w:cs="Times New Roman"/>
          <w:b/>
          <w:sz w:val="24"/>
          <w:szCs w:val="24"/>
          <w:lang w:val="en-US"/>
        </w:rPr>
        <w:t>AntoninoCapizzi</w:t>
      </w:r>
      <w:proofErr w:type="spellEnd"/>
      <w:r w:rsidRPr="0001656C">
        <w:rPr>
          <w:rFonts w:ascii="Book Antiqua" w:hAnsi="Book Antiqua" w:cs="Times New Roman"/>
          <w:b/>
          <w:sz w:val="24"/>
          <w:szCs w:val="24"/>
          <w:lang w:val="en-US"/>
        </w:rPr>
        <w:t xml:space="preserve">, Massimo Spina, Sara Manti, Lucia </w:t>
      </w:r>
      <w:proofErr w:type="spellStart"/>
      <w:r w:rsidRPr="0001656C">
        <w:rPr>
          <w:rFonts w:ascii="Book Antiqua" w:hAnsi="Book Antiqua" w:cs="Times New Roman"/>
          <w:b/>
          <w:sz w:val="24"/>
          <w:szCs w:val="24"/>
          <w:lang w:val="en-US"/>
        </w:rPr>
        <w:t>Tardino</w:t>
      </w:r>
      <w:proofErr w:type="spellEnd"/>
      <w:r w:rsidRPr="0001656C">
        <w:rPr>
          <w:rFonts w:ascii="Book Antiqua" w:hAnsi="Book Antiqua" w:cs="Times New Roman"/>
          <w:b/>
          <w:sz w:val="24"/>
          <w:szCs w:val="24"/>
          <w:lang w:val="en-US"/>
        </w:rPr>
        <w:t xml:space="preserve">, Carmelo </w:t>
      </w:r>
      <w:proofErr w:type="spellStart"/>
      <w:r w:rsidRPr="0001656C">
        <w:rPr>
          <w:rFonts w:ascii="Book Antiqua" w:hAnsi="Book Antiqua" w:cs="Times New Roman"/>
          <w:b/>
          <w:sz w:val="24"/>
          <w:szCs w:val="24"/>
          <w:lang w:val="en-US"/>
        </w:rPr>
        <w:t>Salpietro</w:t>
      </w:r>
      <w:proofErr w:type="spellEnd"/>
      <w:r w:rsidRPr="0001656C">
        <w:rPr>
          <w:rFonts w:ascii="Book Antiqua" w:hAnsi="Book Antiqua" w:cs="Times New Roman"/>
          <w:b/>
          <w:sz w:val="24"/>
          <w:szCs w:val="24"/>
          <w:lang w:val="en-US"/>
        </w:rPr>
        <w:t xml:space="preserve">, Salvatore </w:t>
      </w:r>
      <w:proofErr w:type="spellStart"/>
      <w:r w:rsidRPr="0001656C">
        <w:rPr>
          <w:rFonts w:ascii="Book Antiqua" w:hAnsi="Book Antiqua" w:cs="Times New Roman"/>
          <w:b/>
          <w:sz w:val="24"/>
          <w:szCs w:val="24"/>
          <w:lang w:val="en-US"/>
        </w:rPr>
        <w:t>Leonardi</w:t>
      </w:r>
      <w:proofErr w:type="spellEnd"/>
    </w:p>
    <w:p w:rsidR="00D22412" w:rsidRPr="0001656C" w:rsidRDefault="00D22412" w:rsidP="00D22412">
      <w:pPr>
        <w:spacing w:after="0" w:line="360" w:lineRule="auto"/>
        <w:jc w:val="both"/>
        <w:rPr>
          <w:rFonts w:ascii="Book Antiqua" w:hAnsi="Book Antiqua" w:cs="Times New Roman"/>
          <w:b/>
          <w:sz w:val="24"/>
          <w:szCs w:val="24"/>
          <w:lang w:val="en-US"/>
        </w:rPr>
      </w:pPr>
    </w:p>
    <w:p w:rsidR="00D22412" w:rsidRPr="0001656C" w:rsidRDefault="00D22412" w:rsidP="00D22412">
      <w:pPr>
        <w:spacing w:after="0" w:line="360" w:lineRule="auto"/>
        <w:jc w:val="both"/>
        <w:rPr>
          <w:rFonts w:ascii="Book Antiqua" w:hAnsi="Book Antiqua" w:cs="Times New Roman"/>
          <w:sz w:val="24"/>
          <w:szCs w:val="24"/>
          <w:lang w:val="en-US"/>
        </w:rPr>
      </w:pPr>
      <w:r w:rsidRPr="0001656C">
        <w:rPr>
          <w:rFonts w:ascii="Book Antiqua" w:hAnsi="Book Antiqua" w:cs="Times New Roman"/>
          <w:b/>
          <w:sz w:val="24"/>
          <w:szCs w:val="24"/>
          <w:lang w:val="en-US"/>
        </w:rPr>
        <w:t xml:space="preserve">Martina </w:t>
      </w:r>
      <w:proofErr w:type="spellStart"/>
      <w:r w:rsidRPr="0001656C">
        <w:rPr>
          <w:rFonts w:ascii="Book Antiqua" w:hAnsi="Book Antiqua" w:cs="Times New Roman"/>
          <w:b/>
          <w:sz w:val="24"/>
          <w:szCs w:val="24"/>
          <w:lang w:val="en-US"/>
        </w:rPr>
        <w:t>Filippelli</w:t>
      </w:r>
      <w:proofErr w:type="spellEnd"/>
      <w:r w:rsidRPr="0001656C">
        <w:rPr>
          <w:rFonts w:ascii="Book Antiqua" w:hAnsi="Book Antiqua" w:cs="Times New Roman"/>
          <w:b/>
          <w:sz w:val="24"/>
          <w:szCs w:val="24"/>
          <w:lang w:val="en-US"/>
        </w:rPr>
        <w:t xml:space="preserve">, Maria Teresa </w:t>
      </w:r>
      <w:proofErr w:type="spellStart"/>
      <w:r w:rsidRPr="0001656C">
        <w:rPr>
          <w:rFonts w:ascii="Book Antiqua" w:hAnsi="Book Antiqua" w:cs="Times New Roman"/>
          <w:b/>
          <w:sz w:val="24"/>
          <w:szCs w:val="24"/>
          <w:lang w:val="en-US"/>
        </w:rPr>
        <w:t>Garozzo</w:t>
      </w:r>
      <w:proofErr w:type="spellEnd"/>
      <w:r w:rsidRPr="0001656C">
        <w:rPr>
          <w:rFonts w:ascii="Book Antiqua" w:hAnsi="Book Antiqua" w:cs="Times New Roman"/>
          <w:b/>
          <w:sz w:val="24"/>
          <w:szCs w:val="24"/>
          <w:lang w:val="en-US"/>
        </w:rPr>
        <w:t>, Antonino</w:t>
      </w:r>
      <w:r w:rsidR="007F354D">
        <w:rPr>
          <w:rFonts w:ascii="Book Antiqua" w:hAnsi="Book Antiqua" w:cs="Times New Roman" w:hint="eastAsia"/>
          <w:b/>
          <w:sz w:val="24"/>
          <w:szCs w:val="24"/>
          <w:lang w:val="en-US" w:eastAsia="zh-CN"/>
        </w:rPr>
        <w:t xml:space="preserve"> </w:t>
      </w:r>
      <w:proofErr w:type="spellStart"/>
      <w:r w:rsidRPr="0001656C">
        <w:rPr>
          <w:rFonts w:ascii="Book Antiqua" w:hAnsi="Book Antiqua" w:cs="Times New Roman"/>
          <w:b/>
          <w:sz w:val="24"/>
          <w:szCs w:val="24"/>
          <w:lang w:val="en-US"/>
        </w:rPr>
        <w:t>Capizzi</w:t>
      </w:r>
      <w:proofErr w:type="spellEnd"/>
      <w:r w:rsidRPr="0001656C">
        <w:rPr>
          <w:rFonts w:ascii="Book Antiqua" w:hAnsi="Book Antiqua" w:cs="Times New Roman"/>
          <w:b/>
          <w:sz w:val="24"/>
          <w:szCs w:val="24"/>
          <w:lang w:val="en-US"/>
        </w:rPr>
        <w:t xml:space="preserve">, Massimo Spina, Lucia </w:t>
      </w:r>
      <w:proofErr w:type="spellStart"/>
      <w:r w:rsidRPr="0001656C">
        <w:rPr>
          <w:rFonts w:ascii="Book Antiqua" w:hAnsi="Book Antiqua" w:cs="Times New Roman"/>
          <w:b/>
          <w:sz w:val="24"/>
          <w:szCs w:val="24"/>
          <w:lang w:val="en-US"/>
        </w:rPr>
        <w:t>Tardino</w:t>
      </w:r>
      <w:proofErr w:type="spellEnd"/>
      <w:r w:rsidRPr="0001656C">
        <w:rPr>
          <w:rFonts w:ascii="Book Antiqua" w:hAnsi="Book Antiqua" w:cs="Times New Roman"/>
          <w:b/>
          <w:sz w:val="24"/>
          <w:szCs w:val="24"/>
          <w:lang w:val="en-US"/>
        </w:rPr>
        <w:t xml:space="preserve">, Salvatore </w:t>
      </w:r>
      <w:proofErr w:type="spellStart"/>
      <w:r w:rsidRPr="0001656C">
        <w:rPr>
          <w:rFonts w:ascii="Book Antiqua" w:hAnsi="Book Antiqua" w:cs="Times New Roman"/>
          <w:b/>
          <w:sz w:val="24"/>
          <w:szCs w:val="24"/>
          <w:lang w:val="en-US"/>
        </w:rPr>
        <w:t>Leonardi</w:t>
      </w:r>
      <w:proofErr w:type="spellEnd"/>
      <w:r w:rsidRPr="0001656C">
        <w:rPr>
          <w:rFonts w:ascii="Book Antiqua" w:hAnsi="Book Antiqua" w:cs="Times New Roman"/>
          <w:b/>
          <w:sz w:val="24"/>
          <w:szCs w:val="24"/>
          <w:lang w:val="en-US"/>
        </w:rPr>
        <w:t xml:space="preserve">, </w:t>
      </w:r>
      <w:r w:rsidRPr="0001656C">
        <w:rPr>
          <w:rFonts w:ascii="Book Antiqua" w:hAnsi="Book Antiqua" w:cs="Times New Roman"/>
          <w:sz w:val="24"/>
          <w:szCs w:val="24"/>
          <w:lang w:val="en-US"/>
        </w:rPr>
        <w:t>Department of Medical and Pediatric Sciences, University of Catania, 95100 Catania, Italy</w:t>
      </w:r>
    </w:p>
    <w:p w:rsidR="00D22412" w:rsidRPr="0001656C" w:rsidRDefault="00D22412" w:rsidP="00D22412">
      <w:pPr>
        <w:spacing w:after="0" w:line="360" w:lineRule="auto"/>
        <w:jc w:val="both"/>
        <w:rPr>
          <w:rFonts w:ascii="Book Antiqua" w:hAnsi="Book Antiqua" w:cs="Times New Roman"/>
          <w:sz w:val="24"/>
          <w:szCs w:val="24"/>
          <w:lang w:val="en-US"/>
        </w:rPr>
      </w:pPr>
    </w:p>
    <w:p w:rsidR="00D22412" w:rsidRPr="0001656C" w:rsidRDefault="00D22412" w:rsidP="00D22412">
      <w:pPr>
        <w:spacing w:after="0" w:line="360" w:lineRule="auto"/>
        <w:jc w:val="both"/>
        <w:rPr>
          <w:rFonts w:ascii="Book Antiqua" w:hAnsi="Book Antiqua" w:cs="Times New Roman"/>
          <w:sz w:val="24"/>
          <w:szCs w:val="24"/>
          <w:lang w:val="en-US"/>
        </w:rPr>
      </w:pPr>
      <w:r w:rsidRPr="0001656C">
        <w:rPr>
          <w:rFonts w:ascii="Book Antiqua" w:hAnsi="Book Antiqua" w:cs="Times New Roman"/>
          <w:b/>
          <w:sz w:val="24"/>
          <w:szCs w:val="24"/>
          <w:lang w:val="en-US"/>
        </w:rPr>
        <w:t xml:space="preserve">Sara Manti, Carmelo </w:t>
      </w:r>
      <w:proofErr w:type="spellStart"/>
      <w:r w:rsidRPr="0001656C">
        <w:rPr>
          <w:rFonts w:ascii="Book Antiqua" w:hAnsi="Book Antiqua" w:cs="Times New Roman"/>
          <w:b/>
          <w:sz w:val="24"/>
          <w:szCs w:val="24"/>
          <w:lang w:val="en-US"/>
        </w:rPr>
        <w:t>Salpietro</w:t>
      </w:r>
      <w:proofErr w:type="spellEnd"/>
      <w:r w:rsidRPr="0001656C">
        <w:rPr>
          <w:rFonts w:ascii="Book Antiqua" w:hAnsi="Book Antiqua" w:cs="Times New Roman"/>
          <w:b/>
          <w:sz w:val="24"/>
          <w:szCs w:val="24"/>
          <w:lang w:val="en-US"/>
        </w:rPr>
        <w:t>,</w:t>
      </w:r>
      <w:r w:rsidR="0001656C">
        <w:rPr>
          <w:rFonts w:ascii="Book Antiqua" w:hAnsi="Book Antiqua" w:cs="Times New Roman" w:hint="eastAsia"/>
          <w:b/>
          <w:sz w:val="24"/>
          <w:szCs w:val="24"/>
          <w:lang w:val="en-US" w:eastAsia="zh-CN"/>
        </w:rPr>
        <w:t xml:space="preserve"> </w:t>
      </w:r>
      <w:r w:rsidRPr="0001656C">
        <w:rPr>
          <w:rFonts w:ascii="Book Antiqua" w:hAnsi="Book Antiqua" w:cs="Times New Roman"/>
          <w:sz w:val="24"/>
          <w:szCs w:val="24"/>
          <w:lang w:val="en-US"/>
        </w:rPr>
        <w:t>Department of Pediatric Sciences, University of Messina, 98100 Messina, Italy</w:t>
      </w:r>
    </w:p>
    <w:p w:rsidR="00D22412" w:rsidRPr="0001656C" w:rsidRDefault="00D22412" w:rsidP="00D22412">
      <w:pPr>
        <w:spacing w:after="0" w:line="360" w:lineRule="auto"/>
        <w:jc w:val="both"/>
        <w:rPr>
          <w:rFonts w:ascii="Book Antiqua" w:hAnsi="Book Antiqua" w:cs="Times New Roman"/>
          <w:b/>
          <w:sz w:val="24"/>
          <w:szCs w:val="24"/>
          <w:lang w:val="en-US"/>
        </w:rPr>
      </w:pPr>
    </w:p>
    <w:p w:rsidR="00D22412" w:rsidRPr="0001656C" w:rsidRDefault="00D22412" w:rsidP="00D22412">
      <w:pPr>
        <w:spacing w:after="0" w:line="360" w:lineRule="auto"/>
        <w:jc w:val="both"/>
        <w:rPr>
          <w:rFonts w:ascii="Book Antiqua" w:hAnsi="Book Antiqua" w:cs="Times New Roman"/>
          <w:sz w:val="24"/>
          <w:szCs w:val="24"/>
          <w:lang w:val="en-US"/>
        </w:rPr>
      </w:pPr>
      <w:r w:rsidRPr="0001656C">
        <w:rPr>
          <w:rFonts w:ascii="Book Antiqua" w:hAnsi="Book Antiqua" w:cs="Times New Roman"/>
          <w:b/>
          <w:sz w:val="24"/>
          <w:szCs w:val="24"/>
          <w:lang w:val="en-US"/>
        </w:rPr>
        <w:t>Author contributions:</w:t>
      </w:r>
      <w:r w:rsidR="0001656C">
        <w:rPr>
          <w:rFonts w:ascii="Book Antiqua" w:hAnsi="Book Antiqua" w:cs="Times New Roman" w:hint="eastAsia"/>
          <w:b/>
          <w:sz w:val="24"/>
          <w:szCs w:val="24"/>
          <w:lang w:val="en-US" w:eastAsia="zh-CN"/>
        </w:rPr>
        <w:t xml:space="preserve"> </w:t>
      </w:r>
      <w:proofErr w:type="spellStart"/>
      <w:r w:rsidRPr="0001656C">
        <w:rPr>
          <w:rFonts w:ascii="Book Antiqua" w:hAnsi="Book Antiqua" w:cs="Times New Roman"/>
          <w:sz w:val="24"/>
          <w:szCs w:val="24"/>
          <w:lang w:val="en-US"/>
        </w:rPr>
        <w:t>Leonardi</w:t>
      </w:r>
      <w:proofErr w:type="spellEnd"/>
      <w:r w:rsidRPr="0001656C">
        <w:rPr>
          <w:rFonts w:ascii="Book Antiqua" w:hAnsi="Book Antiqua" w:cs="Times New Roman"/>
          <w:sz w:val="24"/>
          <w:szCs w:val="24"/>
          <w:lang w:val="en-US"/>
        </w:rPr>
        <w:t xml:space="preserve"> S</w:t>
      </w:r>
      <w:r w:rsidR="0001656C">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designed the study;</w:t>
      </w:r>
      <w:r w:rsidR="0001656C">
        <w:rPr>
          <w:rFonts w:ascii="Book Antiqua" w:hAnsi="Book Antiqua" w:cs="Times New Roman" w:hint="eastAsia"/>
          <w:sz w:val="24"/>
          <w:szCs w:val="24"/>
          <w:lang w:val="en-US" w:eastAsia="zh-CN"/>
        </w:rPr>
        <w:t xml:space="preserve"> </w:t>
      </w:r>
      <w:r w:rsidRPr="0001656C">
        <w:rPr>
          <w:rFonts w:ascii="Book Antiqua" w:hAnsi="Book Antiqua"/>
          <w:sz w:val="24"/>
          <w:szCs w:val="24"/>
          <w:lang w:val="en-US"/>
        </w:rPr>
        <w:t>Spina</w:t>
      </w:r>
      <w:r w:rsidR="0001656C">
        <w:rPr>
          <w:rFonts w:ascii="Book Antiqua" w:hAnsi="Book Antiqua" w:hint="eastAsia"/>
          <w:sz w:val="24"/>
          <w:szCs w:val="24"/>
          <w:lang w:val="en-US" w:eastAsia="zh-CN"/>
        </w:rPr>
        <w:t xml:space="preserve"> </w:t>
      </w:r>
      <w:r w:rsidRPr="0001656C">
        <w:rPr>
          <w:rFonts w:ascii="Book Antiqua" w:hAnsi="Book Antiqua"/>
          <w:sz w:val="24"/>
          <w:szCs w:val="24"/>
          <w:lang w:val="en-US"/>
        </w:rPr>
        <w:t>M</w:t>
      </w:r>
      <w:r w:rsidR="0001656C">
        <w:rPr>
          <w:rFonts w:ascii="Book Antiqua" w:hAnsi="Book Antiqua" w:hint="eastAsia"/>
          <w:sz w:val="24"/>
          <w:szCs w:val="24"/>
          <w:lang w:val="en-US" w:eastAsia="zh-CN"/>
        </w:rPr>
        <w:t xml:space="preserve"> </w:t>
      </w:r>
      <w:r w:rsidRPr="0001656C">
        <w:rPr>
          <w:rFonts w:ascii="Book Antiqua" w:hAnsi="Book Antiqua" w:cs="Times New Roman"/>
          <w:sz w:val="24"/>
          <w:szCs w:val="24"/>
          <w:lang w:val="en-US"/>
        </w:rPr>
        <w:t xml:space="preserve">performed the research; </w:t>
      </w:r>
      <w:proofErr w:type="spellStart"/>
      <w:r w:rsidRPr="0001656C">
        <w:rPr>
          <w:rFonts w:ascii="Book Antiqua" w:hAnsi="Book Antiqua" w:cs="Times New Roman"/>
          <w:sz w:val="24"/>
          <w:szCs w:val="24"/>
          <w:lang w:val="en-US"/>
        </w:rPr>
        <w:t>Garozzo</w:t>
      </w:r>
      <w:proofErr w:type="spellEnd"/>
      <w:r w:rsidR="00DD4C89">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 xml:space="preserve">MT analyzed the data; </w:t>
      </w:r>
      <w:proofErr w:type="spellStart"/>
      <w:r w:rsidRPr="0001656C">
        <w:rPr>
          <w:rFonts w:ascii="Book Antiqua" w:hAnsi="Book Antiqua" w:cs="Times New Roman"/>
          <w:sz w:val="24"/>
          <w:szCs w:val="24"/>
          <w:lang w:val="en-US"/>
        </w:rPr>
        <w:t>Filippelli</w:t>
      </w:r>
      <w:proofErr w:type="spellEnd"/>
      <w:r w:rsidRPr="0001656C">
        <w:rPr>
          <w:rFonts w:ascii="Book Antiqua" w:hAnsi="Book Antiqua" w:cs="Times New Roman"/>
          <w:sz w:val="24"/>
          <w:szCs w:val="24"/>
          <w:lang w:val="en-US"/>
        </w:rPr>
        <w:t xml:space="preserve"> M, </w:t>
      </w:r>
      <w:proofErr w:type="spellStart"/>
      <w:r w:rsidRPr="0001656C">
        <w:rPr>
          <w:rFonts w:ascii="Book Antiqua" w:hAnsi="Book Antiqua" w:cs="Times New Roman"/>
          <w:sz w:val="24"/>
          <w:szCs w:val="24"/>
          <w:lang w:val="en-US"/>
        </w:rPr>
        <w:t>Capizzi</w:t>
      </w:r>
      <w:proofErr w:type="spellEnd"/>
      <w:r w:rsidRPr="0001656C">
        <w:rPr>
          <w:rFonts w:ascii="Book Antiqua" w:hAnsi="Book Antiqua" w:cs="Times New Roman"/>
          <w:sz w:val="24"/>
          <w:szCs w:val="24"/>
          <w:lang w:val="en-US"/>
        </w:rPr>
        <w:t xml:space="preserve"> A, </w:t>
      </w:r>
      <w:proofErr w:type="spellStart"/>
      <w:r w:rsidRPr="0001656C">
        <w:rPr>
          <w:rFonts w:ascii="Book Antiqua" w:hAnsi="Book Antiqua" w:cs="Times New Roman"/>
          <w:sz w:val="24"/>
          <w:szCs w:val="24"/>
          <w:lang w:val="en-US"/>
        </w:rPr>
        <w:t>Tardino</w:t>
      </w:r>
      <w:proofErr w:type="spellEnd"/>
      <w:r w:rsidRPr="0001656C">
        <w:rPr>
          <w:rFonts w:ascii="Book Antiqua" w:hAnsi="Book Antiqua" w:cs="Times New Roman"/>
          <w:sz w:val="24"/>
          <w:szCs w:val="24"/>
          <w:lang w:val="en-US"/>
        </w:rPr>
        <w:t xml:space="preserve"> L,</w:t>
      </w:r>
      <w:r w:rsidR="00DD4C89">
        <w:rPr>
          <w:rFonts w:ascii="Book Antiqua" w:hAnsi="Book Antiqua" w:cs="Times New Roman" w:hint="eastAsia"/>
          <w:sz w:val="24"/>
          <w:szCs w:val="24"/>
          <w:lang w:val="en-US" w:eastAsia="zh-CN"/>
        </w:rPr>
        <w:t xml:space="preserve"> </w:t>
      </w:r>
      <w:proofErr w:type="spellStart"/>
      <w:r w:rsidRPr="0001656C">
        <w:rPr>
          <w:rFonts w:ascii="Book Antiqua" w:hAnsi="Book Antiqua" w:cs="Times New Roman"/>
          <w:sz w:val="24"/>
          <w:szCs w:val="24"/>
          <w:lang w:val="en-US"/>
        </w:rPr>
        <w:t>Salpietro</w:t>
      </w:r>
      <w:proofErr w:type="spellEnd"/>
      <w:r w:rsidRPr="0001656C">
        <w:rPr>
          <w:rFonts w:ascii="Book Antiqua" w:hAnsi="Book Antiqua" w:cs="Times New Roman"/>
          <w:sz w:val="24"/>
          <w:szCs w:val="24"/>
          <w:lang w:val="en-US"/>
        </w:rPr>
        <w:t xml:space="preserve"> C and Manti S</w:t>
      </w:r>
      <w:r w:rsidR="0001656C">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contributed to writing</w:t>
      </w:r>
      <w:r w:rsidR="00DD4C89">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of the article;</w:t>
      </w:r>
      <w:r w:rsidR="0001656C">
        <w:rPr>
          <w:rFonts w:ascii="Book Antiqua" w:hAnsi="Book Antiqua" w:cs="Times New Roman" w:hint="eastAsia"/>
          <w:sz w:val="24"/>
          <w:szCs w:val="24"/>
          <w:lang w:val="en-US" w:eastAsia="zh-CN"/>
        </w:rPr>
        <w:t xml:space="preserve"> </w:t>
      </w:r>
      <w:proofErr w:type="spellStart"/>
      <w:r w:rsidRPr="0001656C">
        <w:rPr>
          <w:rFonts w:ascii="Book Antiqua" w:hAnsi="Book Antiqua" w:cs="Times New Roman"/>
          <w:sz w:val="24"/>
          <w:szCs w:val="24"/>
          <w:lang w:val="en-US"/>
        </w:rPr>
        <w:t>Filippelli</w:t>
      </w:r>
      <w:proofErr w:type="spellEnd"/>
      <w:r w:rsidR="00DD4C89">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 xml:space="preserve">M, </w:t>
      </w:r>
      <w:proofErr w:type="spellStart"/>
      <w:r w:rsidRPr="0001656C">
        <w:rPr>
          <w:rFonts w:ascii="Book Antiqua" w:hAnsi="Book Antiqua" w:cs="Times New Roman"/>
          <w:sz w:val="24"/>
          <w:szCs w:val="24"/>
          <w:lang w:val="en-US"/>
        </w:rPr>
        <w:t>Garozzo</w:t>
      </w:r>
      <w:proofErr w:type="spellEnd"/>
      <w:r w:rsidRPr="0001656C">
        <w:rPr>
          <w:rFonts w:ascii="Book Antiqua" w:hAnsi="Book Antiqua" w:cs="Times New Roman"/>
          <w:sz w:val="24"/>
          <w:szCs w:val="24"/>
          <w:lang w:val="en-US"/>
        </w:rPr>
        <w:t xml:space="preserve"> MT and</w:t>
      </w:r>
      <w:r w:rsidR="0001656C">
        <w:rPr>
          <w:rFonts w:ascii="Book Antiqua" w:hAnsi="Book Antiqua" w:cs="Times New Roman" w:hint="eastAsia"/>
          <w:sz w:val="24"/>
          <w:szCs w:val="24"/>
          <w:lang w:val="en-US" w:eastAsia="zh-CN"/>
        </w:rPr>
        <w:t xml:space="preserve"> </w:t>
      </w:r>
      <w:proofErr w:type="spellStart"/>
      <w:r w:rsidRPr="0001656C">
        <w:rPr>
          <w:rFonts w:ascii="Book Antiqua" w:hAnsi="Book Antiqua" w:cs="Times New Roman"/>
          <w:sz w:val="24"/>
          <w:szCs w:val="24"/>
          <w:lang w:val="en-US"/>
        </w:rPr>
        <w:t>Leonardi</w:t>
      </w:r>
      <w:proofErr w:type="spellEnd"/>
      <w:r w:rsidRPr="0001656C">
        <w:rPr>
          <w:rFonts w:ascii="Book Antiqua" w:hAnsi="Book Antiqua" w:cs="Times New Roman"/>
          <w:sz w:val="24"/>
          <w:szCs w:val="24"/>
          <w:lang w:val="en-US"/>
        </w:rPr>
        <w:t xml:space="preserve"> S</w:t>
      </w:r>
      <w:r w:rsidR="0001656C">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revised the manuscript for final submission</w:t>
      </w:r>
      <w:r w:rsidR="00053F5F" w:rsidRPr="0001656C">
        <w:rPr>
          <w:rFonts w:ascii="Book Antiqua" w:hAnsi="Book Antiqua" w:cs="Times New Roman"/>
          <w:sz w:val="24"/>
          <w:szCs w:val="24"/>
          <w:lang w:val="en-US" w:eastAsia="zh-CN"/>
        </w:rPr>
        <w:t>;</w:t>
      </w:r>
      <w:r w:rsidR="00DD4C89">
        <w:rPr>
          <w:rFonts w:ascii="Book Antiqua" w:hAnsi="Book Antiqua" w:cs="Times New Roman" w:hint="eastAsia"/>
          <w:sz w:val="24"/>
          <w:szCs w:val="24"/>
          <w:lang w:val="en-US" w:eastAsia="zh-CN"/>
        </w:rPr>
        <w:t xml:space="preserve"> </w:t>
      </w:r>
      <w:r w:rsidR="00053F5F" w:rsidRPr="0001656C">
        <w:rPr>
          <w:rFonts w:ascii="Book Antiqua" w:hAnsi="Book Antiqua" w:cs="Times New Roman"/>
          <w:sz w:val="24"/>
          <w:szCs w:val="24"/>
          <w:lang w:val="en-US"/>
        </w:rPr>
        <w:t>a</w:t>
      </w:r>
      <w:r w:rsidRPr="0001656C">
        <w:rPr>
          <w:rFonts w:ascii="Book Antiqua" w:hAnsi="Book Antiqua" w:cs="Times New Roman"/>
          <w:sz w:val="24"/>
          <w:szCs w:val="24"/>
          <w:lang w:val="en-US"/>
        </w:rPr>
        <w:t>ll authors read and approved the final manuscript.</w:t>
      </w:r>
    </w:p>
    <w:p w:rsidR="00D22412" w:rsidRPr="0001656C" w:rsidRDefault="00D22412" w:rsidP="00D22412">
      <w:pPr>
        <w:spacing w:after="0" w:line="360" w:lineRule="auto"/>
        <w:jc w:val="both"/>
        <w:rPr>
          <w:rFonts w:ascii="Book Antiqua" w:hAnsi="Book Antiqua" w:cs="Times New Roman"/>
          <w:sz w:val="24"/>
          <w:szCs w:val="24"/>
          <w:lang w:val="en-US"/>
        </w:rPr>
      </w:pPr>
    </w:p>
    <w:p w:rsidR="00D22412" w:rsidRPr="0001656C" w:rsidRDefault="00D22412" w:rsidP="00D22412">
      <w:pPr>
        <w:spacing w:after="0" w:line="360" w:lineRule="auto"/>
        <w:jc w:val="both"/>
        <w:rPr>
          <w:rFonts w:ascii="Book Antiqua" w:hAnsi="Book Antiqua" w:cs="Times New Roman"/>
          <w:sz w:val="24"/>
          <w:szCs w:val="24"/>
          <w:lang w:val="en-US"/>
        </w:rPr>
      </w:pPr>
      <w:r w:rsidRPr="0001656C">
        <w:rPr>
          <w:rFonts w:ascii="Book Antiqua" w:hAnsi="Book Antiqua" w:cs="Times New Roman"/>
          <w:b/>
          <w:sz w:val="24"/>
          <w:szCs w:val="24"/>
          <w:lang w:val="en-US"/>
        </w:rPr>
        <w:t>Institutional review board statement:</w:t>
      </w:r>
      <w:r w:rsidR="00DD4C89">
        <w:rPr>
          <w:rFonts w:ascii="Book Antiqua" w:hAnsi="Book Antiqua" w:cs="Times New Roman" w:hint="eastAsia"/>
          <w:b/>
          <w:sz w:val="24"/>
          <w:szCs w:val="24"/>
          <w:lang w:val="en-US" w:eastAsia="zh-CN"/>
        </w:rPr>
        <w:t xml:space="preserve"> </w:t>
      </w:r>
      <w:r w:rsidRPr="0001656C">
        <w:rPr>
          <w:rFonts w:ascii="Book Antiqua" w:hAnsi="Book Antiqua" w:cs="Times New Roman"/>
          <w:sz w:val="24"/>
          <w:szCs w:val="24"/>
          <w:lang w:val="en-US"/>
        </w:rPr>
        <w:t>The study was reviewed and approved by the Institutional Review Board of the University Hospital “</w:t>
      </w:r>
      <w:proofErr w:type="spellStart"/>
      <w:r w:rsidRPr="0001656C">
        <w:rPr>
          <w:rFonts w:ascii="Book Antiqua" w:hAnsi="Book Antiqua" w:cs="Times New Roman"/>
          <w:sz w:val="24"/>
          <w:szCs w:val="24"/>
          <w:lang w:val="en-US"/>
        </w:rPr>
        <w:t>Policlinico</w:t>
      </w:r>
      <w:proofErr w:type="spellEnd"/>
      <w:r w:rsidR="0001656C">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Vittorio</w:t>
      </w:r>
      <w:r w:rsidR="0001656C">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Emanuele”.</w:t>
      </w:r>
    </w:p>
    <w:p w:rsidR="00D22412" w:rsidRPr="00DD4C89" w:rsidRDefault="00D22412" w:rsidP="00D22412">
      <w:pPr>
        <w:pStyle w:val="p"/>
        <w:spacing w:before="0" w:beforeAutospacing="0" w:after="0" w:afterAutospacing="0" w:line="360" w:lineRule="auto"/>
        <w:jc w:val="both"/>
        <w:rPr>
          <w:rFonts w:ascii="Book Antiqua" w:hAnsi="Book Antiqua"/>
          <w:b/>
          <w:lang w:val="en-US"/>
        </w:rPr>
      </w:pPr>
    </w:p>
    <w:p w:rsidR="00D22412" w:rsidRPr="0001656C" w:rsidRDefault="00D22412" w:rsidP="00D22412">
      <w:pPr>
        <w:pStyle w:val="p"/>
        <w:spacing w:before="0" w:beforeAutospacing="0" w:after="0" w:afterAutospacing="0" w:line="360" w:lineRule="auto"/>
        <w:jc w:val="both"/>
        <w:rPr>
          <w:rFonts w:ascii="Book Antiqua" w:hAnsi="Book Antiqua"/>
          <w:lang w:val="en-US"/>
        </w:rPr>
      </w:pPr>
      <w:r w:rsidRPr="0001656C">
        <w:rPr>
          <w:rFonts w:ascii="Book Antiqua" w:hAnsi="Book Antiqua"/>
          <w:b/>
          <w:lang w:val="en-US"/>
        </w:rPr>
        <w:t>Informed consent statement:</w:t>
      </w:r>
      <w:r w:rsidR="0001656C">
        <w:rPr>
          <w:rFonts w:ascii="Book Antiqua" w:eastAsiaTheme="minorEastAsia" w:hAnsi="Book Antiqua" w:hint="eastAsia"/>
          <w:b/>
          <w:lang w:val="en-US" w:eastAsia="zh-CN"/>
        </w:rPr>
        <w:t xml:space="preserve"> </w:t>
      </w:r>
      <w:r w:rsidRPr="0001656C">
        <w:rPr>
          <w:rFonts w:ascii="Book Antiqua" w:hAnsi="Book Antiqua"/>
          <w:lang w:val="en-US"/>
        </w:rPr>
        <w:t>All study participants, or their legal guardians, provided informed written consent prior to study enrollment.</w:t>
      </w:r>
    </w:p>
    <w:p w:rsidR="00D22412" w:rsidRPr="0001656C" w:rsidRDefault="00D22412" w:rsidP="00D22412">
      <w:pPr>
        <w:pStyle w:val="p"/>
        <w:spacing w:before="0" w:beforeAutospacing="0" w:after="0" w:afterAutospacing="0" w:line="360" w:lineRule="auto"/>
        <w:rPr>
          <w:rFonts w:ascii="Book Antiqua" w:hAnsi="Book Antiqua"/>
          <w:b/>
          <w:lang w:val="en-US"/>
        </w:rPr>
      </w:pPr>
    </w:p>
    <w:p w:rsidR="00D22412" w:rsidRPr="0001656C" w:rsidRDefault="00D22412" w:rsidP="00D22412">
      <w:pPr>
        <w:pStyle w:val="p"/>
        <w:spacing w:before="0" w:beforeAutospacing="0" w:after="0" w:afterAutospacing="0" w:line="360" w:lineRule="auto"/>
        <w:jc w:val="both"/>
        <w:rPr>
          <w:rFonts w:ascii="Book Antiqua" w:hAnsi="Book Antiqua"/>
          <w:lang w:val="en-US"/>
        </w:rPr>
      </w:pPr>
      <w:r w:rsidRPr="0001656C">
        <w:rPr>
          <w:rFonts w:ascii="Book Antiqua" w:hAnsi="Book Antiqua"/>
          <w:b/>
          <w:lang w:val="en-US"/>
        </w:rPr>
        <w:t>Conflict-of-interest statement:</w:t>
      </w:r>
      <w:r w:rsidR="0001656C">
        <w:rPr>
          <w:rFonts w:ascii="Book Antiqua" w:eastAsiaTheme="minorEastAsia" w:hAnsi="Book Antiqua" w:hint="eastAsia"/>
          <w:b/>
          <w:lang w:val="en-US" w:eastAsia="zh-CN"/>
        </w:rPr>
        <w:t xml:space="preserve"> </w:t>
      </w:r>
      <w:r w:rsidRPr="0001656C">
        <w:rPr>
          <w:rFonts w:ascii="Book Antiqua" w:hAnsi="Book Antiqua"/>
          <w:lang w:val="en-US"/>
        </w:rPr>
        <w:t>The authors have no conflicts of interest related to the manuscript.</w:t>
      </w:r>
    </w:p>
    <w:p w:rsidR="00D22412" w:rsidRPr="0001656C" w:rsidRDefault="00D22412" w:rsidP="00D22412">
      <w:pPr>
        <w:spacing w:after="0" w:line="360" w:lineRule="auto"/>
        <w:jc w:val="both"/>
        <w:rPr>
          <w:rFonts w:ascii="Book Antiqua" w:hAnsi="Book Antiqua" w:cs="Times New Roman"/>
          <w:b/>
          <w:sz w:val="24"/>
          <w:szCs w:val="24"/>
          <w:lang w:val="en-US"/>
        </w:rPr>
      </w:pPr>
    </w:p>
    <w:p w:rsidR="00D22412" w:rsidRPr="0001656C" w:rsidRDefault="00D22412" w:rsidP="00D22412">
      <w:pPr>
        <w:spacing w:after="0" w:line="360" w:lineRule="auto"/>
        <w:jc w:val="both"/>
        <w:rPr>
          <w:rFonts w:ascii="Book Antiqua" w:hAnsi="Book Antiqua" w:cs="Times New Roman"/>
          <w:b/>
          <w:sz w:val="24"/>
          <w:szCs w:val="24"/>
          <w:lang w:val="en-US"/>
        </w:rPr>
      </w:pPr>
      <w:r w:rsidRPr="0001656C">
        <w:rPr>
          <w:rFonts w:ascii="Book Antiqua" w:hAnsi="Book Antiqua" w:cs="Times New Roman"/>
          <w:b/>
          <w:sz w:val="24"/>
          <w:szCs w:val="24"/>
          <w:lang w:val="en-US"/>
        </w:rPr>
        <w:lastRenderedPageBreak/>
        <w:t>Data sharing statement:</w:t>
      </w:r>
      <w:r w:rsidR="0001656C">
        <w:rPr>
          <w:rFonts w:ascii="Book Antiqua" w:hAnsi="Book Antiqua" w:cs="Times New Roman" w:hint="eastAsia"/>
          <w:b/>
          <w:sz w:val="24"/>
          <w:szCs w:val="24"/>
          <w:lang w:val="en-US" w:eastAsia="zh-CN"/>
        </w:rPr>
        <w:t xml:space="preserve"> </w:t>
      </w:r>
      <w:r w:rsidRPr="0001656C">
        <w:rPr>
          <w:rFonts w:ascii="Book Antiqua" w:hAnsi="Book Antiqua" w:cs="Times New Roman"/>
          <w:sz w:val="24"/>
          <w:szCs w:val="24"/>
          <w:lang w:val="en-US"/>
        </w:rPr>
        <w:t>No additional data are available.</w:t>
      </w:r>
    </w:p>
    <w:p w:rsidR="00D22412" w:rsidRPr="0001656C" w:rsidRDefault="00D22412" w:rsidP="00D22412">
      <w:pPr>
        <w:spacing w:after="0" w:line="360" w:lineRule="auto"/>
        <w:jc w:val="both"/>
        <w:rPr>
          <w:rFonts w:ascii="Book Antiqua" w:hAnsi="Book Antiqua" w:cs="Times New Roman"/>
          <w:b/>
          <w:sz w:val="24"/>
          <w:szCs w:val="24"/>
          <w:lang w:val="en-US" w:eastAsia="zh-CN"/>
        </w:rPr>
      </w:pPr>
    </w:p>
    <w:p w:rsidR="00053F5F" w:rsidRPr="0001656C" w:rsidRDefault="00053F5F" w:rsidP="00053F5F">
      <w:pPr>
        <w:pStyle w:val="1"/>
        <w:spacing w:line="360" w:lineRule="auto"/>
        <w:jc w:val="both"/>
        <w:rPr>
          <w:rFonts w:ascii="Book Antiqua" w:hAnsi="Book Antiqua" w:cs="Times New Roman"/>
          <w:bCs/>
          <w:color w:val="auto"/>
          <w:sz w:val="24"/>
          <w:szCs w:val="24"/>
          <w:lang w:val="en-US"/>
        </w:rPr>
      </w:pPr>
      <w:bookmarkStart w:id="7" w:name="OLE_LINK734"/>
      <w:bookmarkStart w:id="8" w:name="OLE_LINK441"/>
      <w:bookmarkStart w:id="9" w:name="OLE_LINK442"/>
      <w:bookmarkStart w:id="10" w:name="OLE_LINK1032"/>
      <w:bookmarkStart w:id="11" w:name="OLE_LINK1232"/>
      <w:bookmarkStart w:id="12" w:name="OLE_LINK559"/>
      <w:r w:rsidRPr="0001656C">
        <w:rPr>
          <w:rFonts w:ascii="Book Antiqua" w:hAnsi="Book Antiqua" w:cs="Times New Roman"/>
          <w:b/>
          <w:bCs/>
          <w:color w:val="auto"/>
          <w:sz w:val="24"/>
          <w:szCs w:val="24"/>
          <w:lang w:val="en-US"/>
        </w:rPr>
        <w:t>Open-Access:</w:t>
      </w:r>
      <w:bookmarkStart w:id="13" w:name="OLE_LINK479"/>
      <w:bookmarkStart w:id="14" w:name="OLE_LINK496"/>
      <w:bookmarkStart w:id="15" w:name="OLE_LINK506"/>
      <w:bookmarkStart w:id="16" w:name="OLE_LINK507"/>
      <w:r w:rsidR="0001656C">
        <w:rPr>
          <w:rFonts w:ascii="Book Antiqua" w:hAnsi="Book Antiqua" w:cs="Times New Roman" w:hint="eastAsia"/>
          <w:b/>
          <w:bCs/>
          <w:color w:val="auto"/>
          <w:sz w:val="24"/>
          <w:szCs w:val="24"/>
          <w:lang w:val="en-US" w:eastAsia="zh-CN"/>
        </w:rPr>
        <w:t xml:space="preserve"> </w:t>
      </w:r>
      <w:r w:rsidRPr="0001656C">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0001656C">
        <w:rPr>
          <w:rFonts w:ascii="Book Antiqua" w:hAnsi="Book Antiqua" w:cs="Times New Roman" w:hint="eastAsia"/>
          <w:bCs/>
          <w:color w:val="auto"/>
          <w:sz w:val="24"/>
          <w:szCs w:val="24"/>
          <w:lang w:val="en-US" w:eastAsia="zh-CN"/>
        </w:rPr>
        <w:t xml:space="preserve"> </w:t>
      </w:r>
      <w:r w:rsidRPr="0001656C">
        <w:rPr>
          <w:rFonts w:ascii="Book Antiqua" w:hAnsi="Book Antiqua" w:cs="Times New Roman"/>
          <w:bCs/>
          <w:color w:val="auto"/>
          <w:sz w:val="24"/>
          <w:szCs w:val="24"/>
          <w:lang w:val="en-US"/>
        </w:rPr>
        <w:t>in</w:t>
      </w:r>
      <w:r w:rsidR="0001656C">
        <w:rPr>
          <w:rFonts w:ascii="Book Antiqua" w:hAnsi="Book Antiqua" w:cs="Times New Roman" w:hint="eastAsia"/>
          <w:bCs/>
          <w:color w:val="auto"/>
          <w:sz w:val="24"/>
          <w:szCs w:val="24"/>
          <w:lang w:val="en-US" w:eastAsia="zh-CN"/>
        </w:rPr>
        <w:t xml:space="preserve"> </w:t>
      </w:r>
      <w:r w:rsidRPr="0001656C">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1656C">
          <w:rPr>
            <w:rStyle w:val="Hyperlink"/>
            <w:rFonts w:ascii="Book Antiqua" w:hAnsi="Book Antiqua" w:cs="Times New Roman"/>
            <w:bCs/>
            <w:color w:val="auto"/>
            <w:sz w:val="24"/>
            <w:szCs w:val="24"/>
            <w:lang w:val="en-US"/>
          </w:rPr>
          <w:t>http://creativecommons.org/licenses/by-nc/4.0/</w:t>
        </w:r>
      </w:hyperlink>
      <w:bookmarkEnd w:id="7"/>
      <w:bookmarkEnd w:id="13"/>
      <w:bookmarkEnd w:id="14"/>
      <w:bookmarkEnd w:id="15"/>
      <w:bookmarkEnd w:id="16"/>
    </w:p>
    <w:bookmarkEnd w:id="8"/>
    <w:bookmarkEnd w:id="9"/>
    <w:bookmarkEnd w:id="10"/>
    <w:bookmarkEnd w:id="11"/>
    <w:bookmarkEnd w:id="12"/>
    <w:p w:rsidR="00053F5F" w:rsidRPr="0001656C" w:rsidRDefault="00053F5F" w:rsidP="00053F5F">
      <w:pPr>
        <w:pStyle w:val="1"/>
        <w:rPr>
          <w:rFonts w:ascii="Book Antiqua" w:hAnsi="Book Antiqua" w:cs="Times New Roman"/>
          <w:b/>
          <w:bCs/>
          <w:color w:val="FF0000"/>
          <w:sz w:val="24"/>
          <w:szCs w:val="24"/>
          <w:lang w:val="en-US" w:eastAsia="zh-CN"/>
        </w:rPr>
      </w:pPr>
    </w:p>
    <w:p w:rsidR="00053F5F" w:rsidRPr="0001656C" w:rsidRDefault="00053F5F" w:rsidP="00053F5F">
      <w:pPr>
        <w:pStyle w:val="1"/>
        <w:rPr>
          <w:rFonts w:ascii="Book Antiqua" w:hAnsi="Book Antiqua" w:cs="Times New Roman"/>
          <w:b/>
          <w:bCs/>
          <w:color w:val="auto"/>
          <w:sz w:val="24"/>
          <w:szCs w:val="24"/>
          <w:lang w:val="en-US" w:eastAsia="zh-CN"/>
        </w:rPr>
      </w:pPr>
      <w:r w:rsidRPr="0001656C">
        <w:rPr>
          <w:rFonts w:ascii="Book Antiqua" w:hAnsi="Book Antiqua" w:cs="Times New Roman"/>
          <w:b/>
          <w:bCs/>
          <w:color w:val="auto"/>
          <w:sz w:val="24"/>
          <w:szCs w:val="24"/>
          <w:lang w:val="en-US"/>
        </w:rPr>
        <w:t>Manuscript source:</w:t>
      </w:r>
      <w:r w:rsidR="008A44E2">
        <w:rPr>
          <w:rFonts w:ascii="Book Antiqua" w:hAnsi="Book Antiqua" w:cs="Times New Roman" w:hint="eastAsia"/>
          <w:b/>
          <w:bCs/>
          <w:color w:val="auto"/>
          <w:sz w:val="24"/>
          <w:szCs w:val="24"/>
          <w:lang w:val="en-US" w:eastAsia="zh-CN"/>
        </w:rPr>
        <w:t xml:space="preserve"> </w:t>
      </w:r>
      <w:r w:rsidRPr="0001656C">
        <w:rPr>
          <w:rFonts w:ascii="Book Antiqua" w:hAnsi="Book Antiqua" w:cs="Times New Roman"/>
          <w:bCs/>
          <w:color w:val="auto"/>
          <w:sz w:val="24"/>
          <w:szCs w:val="24"/>
          <w:lang w:val="en-US"/>
        </w:rPr>
        <w:t>Invited manuscript</w:t>
      </w:r>
    </w:p>
    <w:p w:rsidR="00053F5F" w:rsidRPr="0001656C" w:rsidRDefault="00053F5F" w:rsidP="00D22412">
      <w:pPr>
        <w:spacing w:after="0" w:line="360" w:lineRule="auto"/>
        <w:jc w:val="both"/>
        <w:rPr>
          <w:rFonts w:ascii="Book Antiqua" w:hAnsi="Book Antiqua" w:cs="Times New Roman"/>
          <w:b/>
          <w:sz w:val="24"/>
          <w:szCs w:val="24"/>
          <w:lang w:val="en-US" w:eastAsia="zh-CN"/>
        </w:rPr>
      </w:pPr>
    </w:p>
    <w:p w:rsidR="00D22412" w:rsidRPr="0001656C" w:rsidRDefault="00D22412" w:rsidP="00D22412">
      <w:pPr>
        <w:spacing w:after="0" w:line="360" w:lineRule="auto"/>
        <w:jc w:val="both"/>
        <w:rPr>
          <w:rFonts w:ascii="Book Antiqua" w:hAnsi="Book Antiqua" w:cs="Times New Roman"/>
          <w:sz w:val="24"/>
          <w:szCs w:val="24"/>
          <w:lang w:val="en-US"/>
        </w:rPr>
      </w:pPr>
      <w:r w:rsidRPr="0001656C">
        <w:rPr>
          <w:rFonts w:ascii="Book Antiqua" w:hAnsi="Book Antiqua" w:cs="Times New Roman"/>
          <w:b/>
          <w:sz w:val="24"/>
          <w:szCs w:val="24"/>
          <w:lang w:val="en-US"/>
        </w:rPr>
        <w:t>Correspondence to:</w:t>
      </w:r>
      <w:r w:rsidR="00053F5F" w:rsidRPr="0001656C">
        <w:rPr>
          <w:rFonts w:ascii="Book Antiqua" w:hAnsi="Book Antiqua" w:cs="Times New Roman"/>
          <w:b/>
          <w:sz w:val="24"/>
          <w:szCs w:val="24"/>
          <w:lang w:val="en-US" w:eastAsia="zh-CN"/>
        </w:rPr>
        <w:t xml:space="preserve"> Dr. </w:t>
      </w:r>
      <w:r w:rsidRPr="0001656C">
        <w:rPr>
          <w:rFonts w:ascii="Book Antiqua" w:hAnsi="Book Antiqua" w:cs="Times New Roman"/>
          <w:b/>
          <w:sz w:val="24"/>
          <w:szCs w:val="24"/>
          <w:lang w:val="en-US"/>
        </w:rPr>
        <w:t xml:space="preserve">Salvatore </w:t>
      </w:r>
      <w:proofErr w:type="spellStart"/>
      <w:r w:rsidRPr="0001656C">
        <w:rPr>
          <w:rFonts w:ascii="Book Antiqua" w:hAnsi="Book Antiqua" w:cs="Times New Roman"/>
          <w:b/>
          <w:sz w:val="24"/>
          <w:szCs w:val="24"/>
          <w:lang w:val="en-US"/>
        </w:rPr>
        <w:t>Leonardi</w:t>
      </w:r>
      <w:proofErr w:type="spellEnd"/>
      <w:r w:rsidRPr="0001656C">
        <w:rPr>
          <w:rFonts w:ascii="Book Antiqua" w:hAnsi="Book Antiqua" w:cs="Times New Roman"/>
          <w:b/>
          <w:sz w:val="24"/>
          <w:szCs w:val="24"/>
          <w:lang w:val="en-US"/>
        </w:rPr>
        <w:t>, Professor,</w:t>
      </w:r>
      <w:r w:rsidRPr="0001656C">
        <w:rPr>
          <w:rFonts w:ascii="Book Antiqua" w:hAnsi="Book Antiqua" w:cs="Times New Roman"/>
          <w:sz w:val="24"/>
          <w:szCs w:val="24"/>
          <w:lang w:val="en-US"/>
        </w:rPr>
        <w:t xml:space="preserve"> Department of Medical and Pediatric Sciences, University of Catania, Via S Sofia 78, 95100 Catania, Italy. </w:t>
      </w:r>
      <w:hyperlink r:id="rId10" w:history="1">
        <w:r w:rsidRPr="0001656C">
          <w:rPr>
            <w:rStyle w:val="Hyperlink"/>
            <w:rFonts w:ascii="Book Antiqua" w:hAnsi="Book Antiqua" w:cs="Times New Roman"/>
            <w:sz w:val="24"/>
            <w:szCs w:val="24"/>
            <w:lang w:val="en-US"/>
          </w:rPr>
          <w:t>leonardi@unict.it</w:t>
        </w:r>
      </w:hyperlink>
    </w:p>
    <w:p w:rsidR="00D22412" w:rsidRPr="0001656C" w:rsidRDefault="00D22412" w:rsidP="00D22412">
      <w:pPr>
        <w:spacing w:after="0" w:line="360" w:lineRule="auto"/>
        <w:jc w:val="both"/>
        <w:rPr>
          <w:rFonts w:ascii="Book Antiqua" w:hAnsi="Book Antiqua" w:cs="Times New Roman"/>
          <w:sz w:val="24"/>
          <w:szCs w:val="24"/>
          <w:lang w:val="en-US"/>
        </w:rPr>
      </w:pPr>
      <w:r w:rsidRPr="0001656C">
        <w:rPr>
          <w:rFonts w:ascii="Book Antiqua" w:hAnsi="Book Antiqua" w:cs="Times New Roman"/>
          <w:b/>
          <w:sz w:val="24"/>
          <w:szCs w:val="24"/>
          <w:lang w:val="en-US"/>
        </w:rPr>
        <w:t>Telephone:</w:t>
      </w:r>
      <w:r w:rsidRPr="0001656C">
        <w:rPr>
          <w:rFonts w:ascii="Book Antiqua" w:hAnsi="Book Antiqua" w:cs="Times New Roman"/>
          <w:sz w:val="24"/>
          <w:szCs w:val="24"/>
          <w:lang w:val="en-US"/>
        </w:rPr>
        <w:t xml:space="preserve"> +39</w:t>
      </w:r>
      <w:r w:rsidR="00053F5F" w:rsidRPr="0001656C">
        <w:rPr>
          <w:rFonts w:ascii="Book Antiqua" w:hAnsi="Book Antiqua" w:cs="Times New Roman"/>
          <w:sz w:val="24"/>
          <w:szCs w:val="24"/>
          <w:lang w:val="en-US" w:eastAsia="zh-CN"/>
        </w:rPr>
        <w:t>-</w:t>
      </w:r>
      <w:r w:rsidRPr="0001656C">
        <w:rPr>
          <w:rFonts w:ascii="Book Antiqua" w:hAnsi="Book Antiqua" w:cs="Times New Roman"/>
          <w:sz w:val="24"/>
          <w:szCs w:val="24"/>
          <w:lang w:val="en-US"/>
        </w:rPr>
        <w:t>9</w:t>
      </w:r>
      <w:r w:rsidR="00053F5F" w:rsidRPr="0001656C">
        <w:rPr>
          <w:rFonts w:ascii="Book Antiqua" w:hAnsi="Book Antiqua" w:cs="Times New Roman"/>
          <w:sz w:val="24"/>
          <w:szCs w:val="24"/>
          <w:lang w:val="en-US" w:eastAsia="zh-CN"/>
        </w:rPr>
        <w:t>-</w:t>
      </w:r>
      <w:r w:rsidRPr="0001656C">
        <w:rPr>
          <w:rFonts w:ascii="Book Antiqua" w:hAnsi="Book Antiqua" w:cs="Times New Roman"/>
          <w:sz w:val="24"/>
          <w:szCs w:val="24"/>
          <w:lang w:val="en-US"/>
        </w:rPr>
        <w:t>53782764</w:t>
      </w:r>
    </w:p>
    <w:p w:rsidR="00D22412" w:rsidRPr="0001656C" w:rsidRDefault="00D22412" w:rsidP="00D22412">
      <w:pPr>
        <w:spacing w:after="0" w:line="360" w:lineRule="auto"/>
        <w:jc w:val="both"/>
        <w:rPr>
          <w:rFonts w:ascii="Book Antiqua" w:hAnsi="Book Antiqua" w:cs="Times New Roman"/>
          <w:sz w:val="24"/>
          <w:szCs w:val="24"/>
          <w:lang w:val="en-US"/>
        </w:rPr>
      </w:pPr>
      <w:r w:rsidRPr="0001656C">
        <w:rPr>
          <w:rFonts w:ascii="Book Antiqua" w:hAnsi="Book Antiqua" w:cs="Times New Roman"/>
          <w:b/>
          <w:sz w:val="24"/>
          <w:szCs w:val="24"/>
          <w:lang w:val="en-US"/>
        </w:rPr>
        <w:t>Fax:</w:t>
      </w:r>
      <w:r w:rsidR="00FD28D9" w:rsidRPr="0001656C">
        <w:rPr>
          <w:rFonts w:ascii="Book Antiqua" w:hAnsi="Book Antiqua" w:cs="Times New Roman"/>
          <w:b/>
          <w:sz w:val="24"/>
          <w:szCs w:val="24"/>
          <w:lang w:val="en-US" w:eastAsia="zh-CN"/>
        </w:rPr>
        <w:t xml:space="preserve"> </w:t>
      </w:r>
      <w:r w:rsidRPr="0001656C">
        <w:rPr>
          <w:rFonts w:ascii="Book Antiqua" w:hAnsi="Book Antiqua" w:cs="Times New Roman"/>
          <w:sz w:val="24"/>
          <w:szCs w:val="24"/>
          <w:lang w:val="en-US"/>
        </w:rPr>
        <w:t>+39</w:t>
      </w:r>
      <w:r w:rsidR="00053F5F" w:rsidRPr="0001656C">
        <w:rPr>
          <w:rFonts w:ascii="Book Antiqua" w:hAnsi="Book Antiqua" w:cs="Times New Roman"/>
          <w:sz w:val="24"/>
          <w:szCs w:val="24"/>
          <w:lang w:val="en-US" w:eastAsia="zh-CN"/>
        </w:rPr>
        <w:t>-</w:t>
      </w:r>
      <w:r w:rsidRPr="0001656C">
        <w:rPr>
          <w:rFonts w:ascii="Book Antiqua" w:hAnsi="Book Antiqua" w:cs="Times New Roman"/>
          <w:sz w:val="24"/>
          <w:szCs w:val="24"/>
          <w:lang w:val="en-US"/>
        </w:rPr>
        <w:t>9</w:t>
      </w:r>
      <w:r w:rsidR="00053F5F" w:rsidRPr="0001656C">
        <w:rPr>
          <w:rFonts w:ascii="Book Antiqua" w:hAnsi="Book Antiqua" w:cs="Times New Roman"/>
          <w:sz w:val="24"/>
          <w:szCs w:val="24"/>
          <w:lang w:val="en-US" w:eastAsia="zh-CN"/>
        </w:rPr>
        <w:t>-</w:t>
      </w:r>
      <w:r w:rsidRPr="0001656C">
        <w:rPr>
          <w:rFonts w:ascii="Book Antiqua" w:hAnsi="Book Antiqua" w:cs="Times New Roman"/>
          <w:sz w:val="24"/>
          <w:szCs w:val="24"/>
          <w:lang w:val="en-US"/>
        </w:rPr>
        <w:t>53782895</w:t>
      </w:r>
    </w:p>
    <w:p w:rsidR="00D22412" w:rsidRPr="0001656C" w:rsidRDefault="00D22412" w:rsidP="00D22412">
      <w:pPr>
        <w:spacing w:after="0" w:line="360" w:lineRule="auto"/>
        <w:rPr>
          <w:rFonts w:ascii="Book Antiqua" w:hAnsi="Book Antiqua" w:cs="Times New Roman"/>
          <w:b/>
          <w:sz w:val="24"/>
          <w:szCs w:val="24"/>
          <w:lang w:val="en-US" w:eastAsia="zh-CN"/>
        </w:rPr>
      </w:pPr>
    </w:p>
    <w:p w:rsidR="00053F5F" w:rsidRPr="0001656C" w:rsidRDefault="00053F5F" w:rsidP="00053F5F">
      <w:pPr>
        <w:spacing w:after="0" w:line="360" w:lineRule="auto"/>
        <w:rPr>
          <w:rFonts w:ascii="Book Antiqua" w:hAnsi="Book Antiqua" w:cs="Times New Roman"/>
          <w:b/>
          <w:sz w:val="24"/>
          <w:szCs w:val="24"/>
          <w:lang w:val="en-US" w:eastAsia="zh-CN"/>
        </w:rPr>
      </w:pPr>
      <w:r w:rsidRPr="0001656C">
        <w:rPr>
          <w:rFonts w:ascii="Book Antiqua" w:hAnsi="Book Antiqua" w:cs="Times New Roman"/>
          <w:b/>
          <w:sz w:val="24"/>
          <w:szCs w:val="24"/>
          <w:lang w:val="en-US" w:eastAsia="zh-CN"/>
        </w:rPr>
        <w:t>Received:</w:t>
      </w:r>
      <w:r w:rsidR="00FD28D9" w:rsidRPr="0001656C">
        <w:rPr>
          <w:rFonts w:ascii="Book Antiqua" w:hAnsi="Book Antiqua" w:cs="Times New Roman"/>
          <w:b/>
          <w:sz w:val="24"/>
          <w:szCs w:val="24"/>
          <w:lang w:val="en-US" w:eastAsia="zh-CN"/>
        </w:rPr>
        <w:t xml:space="preserve"> </w:t>
      </w:r>
      <w:r w:rsidRPr="0001656C">
        <w:rPr>
          <w:rFonts w:ascii="Book Antiqua" w:hAnsi="Book Antiqua" w:cs="Times New Roman"/>
          <w:sz w:val="24"/>
          <w:szCs w:val="24"/>
          <w:lang w:val="en-US" w:eastAsia="zh-CN"/>
        </w:rPr>
        <w:t>May 20, 2016</w:t>
      </w:r>
    </w:p>
    <w:p w:rsidR="00053F5F" w:rsidRPr="0001656C" w:rsidRDefault="00053F5F" w:rsidP="00053F5F">
      <w:pPr>
        <w:spacing w:after="0" w:line="360" w:lineRule="auto"/>
        <w:rPr>
          <w:rFonts w:ascii="Book Antiqua" w:hAnsi="Book Antiqua" w:cs="Times New Roman"/>
          <w:b/>
          <w:sz w:val="24"/>
          <w:szCs w:val="24"/>
          <w:lang w:val="en-US" w:eastAsia="zh-CN"/>
        </w:rPr>
      </w:pPr>
      <w:r w:rsidRPr="0001656C">
        <w:rPr>
          <w:rFonts w:ascii="Book Antiqua" w:hAnsi="Book Antiqua" w:cs="Times New Roman"/>
          <w:b/>
          <w:sz w:val="24"/>
          <w:szCs w:val="24"/>
          <w:lang w:val="en-US" w:eastAsia="zh-CN"/>
        </w:rPr>
        <w:t>Peer-review started:</w:t>
      </w:r>
      <w:r w:rsidR="00FD28D9" w:rsidRPr="0001656C">
        <w:rPr>
          <w:rFonts w:ascii="Book Antiqua" w:hAnsi="Book Antiqua" w:cs="Times New Roman"/>
          <w:b/>
          <w:sz w:val="24"/>
          <w:szCs w:val="24"/>
          <w:lang w:val="en-US" w:eastAsia="zh-CN"/>
        </w:rPr>
        <w:t xml:space="preserve"> </w:t>
      </w:r>
      <w:r w:rsidRPr="0001656C">
        <w:rPr>
          <w:rFonts w:ascii="Book Antiqua" w:hAnsi="Book Antiqua" w:cs="Times New Roman"/>
          <w:sz w:val="24"/>
          <w:szCs w:val="24"/>
          <w:lang w:val="en-US" w:eastAsia="zh-CN"/>
        </w:rPr>
        <w:t>May 20, 2016</w:t>
      </w:r>
    </w:p>
    <w:p w:rsidR="00053F5F" w:rsidRPr="0001656C" w:rsidRDefault="00053F5F" w:rsidP="00053F5F">
      <w:pPr>
        <w:spacing w:after="0" w:line="360" w:lineRule="auto"/>
        <w:rPr>
          <w:rFonts w:ascii="Book Antiqua" w:hAnsi="Book Antiqua" w:cs="Times New Roman"/>
          <w:b/>
          <w:sz w:val="24"/>
          <w:szCs w:val="24"/>
          <w:lang w:val="en-US" w:eastAsia="zh-CN"/>
        </w:rPr>
      </w:pPr>
      <w:r w:rsidRPr="0001656C">
        <w:rPr>
          <w:rFonts w:ascii="Book Antiqua" w:hAnsi="Book Antiqua" w:cs="Times New Roman"/>
          <w:b/>
          <w:sz w:val="24"/>
          <w:szCs w:val="24"/>
          <w:lang w:val="en-US" w:eastAsia="zh-CN"/>
        </w:rPr>
        <w:t>First decision:</w:t>
      </w:r>
      <w:r w:rsidR="00FD28D9" w:rsidRPr="0001656C">
        <w:rPr>
          <w:rFonts w:ascii="Book Antiqua" w:hAnsi="Book Antiqua" w:cs="Times New Roman"/>
          <w:b/>
          <w:sz w:val="24"/>
          <w:szCs w:val="24"/>
          <w:lang w:val="en-US" w:eastAsia="zh-CN"/>
        </w:rPr>
        <w:t xml:space="preserve"> </w:t>
      </w:r>
      <w:r w:rsidRPr="0001656C">
        <w:rPr>
          <w:rFonts w:ascii="Book Antiqua" w:hAnsi="Book Antiqua" w:cs="Times New Roman"/>
          <w:sz w:val="24"/>
          <w:szCs w:val="24"/>
          <w:lang w:val="en-US" w:eastAsia="zh-CN"/>
        </w:rPr>
        <w:t>July 4, 2016</w:t>
      </w:r>
    </w:p>
    <w:p w:rsidR="00053F5F" w:rsidRPr="0001656C" w:rsidRDefault="00053F5F" w:rsidP="00053F5F">
      <w:pPr>
        <w:spacing w:after="0" w:line="360" w:lineRule="auto"/>
        <w:rPr>
          <w:rFonts w:ascii="Book Antiqua" w:hAnsi="Book Antiqua" w:cs="Times New Roman"/>
          <w:b/>
          <w:sz w:val="24"/>
          <w:szCs w:val="24"/>
          <w:lang w:val="en-US" w:eastAsia="zh-CN"/>
        </w:rPr>
      </w:pPr>
      <w:r w:rsidRPr="0001656C">
        <w:rPr>
          <w:rFonts w:ascii="Book Antiqua" w:hAnsi="Book Antiqua" w:cs="Times New Roman"/>
          <w:b/>
          <w:sz w:val="24"/>
          <w:szCs w:val="24"/>
          <w:lang w:val="en-US" w:eastAsia="zh-CN"/>
        </w:rPr>
        <w:t>Revised:</w:t>
      </w:r>
      <w:r w:rsidR="00FD28D9" w:rsidRPr="0001656C">
        <w:rPr>
          <w:rFonts w:ascii="Book Antiqua" w:hAnsi="Book Antiqua" w:cs="Times New Roman"/>
          <w:b/>
          <w:sz w:val="24"/>
          <w:szCs w:val="24"/>
          <w:lang w:val="en-US" w:eastAsia="zh-CN"/>
        </w:rPr>
        <w:t xml:space="preserve"> </w:t>
      </w:r>
      <w:r w:rsidRPr="0001656C">
        <w:rPr>
          <w:rFonts w:ascii="Book Antiqua" w:hAnsi="Book Antiqua" w:cs="Times New Roman"/>
          <w:sz w:val="24"/>
          <w:szCs w:val="24"/>
          <w:lang w:val="en-US" w:eastAsia="zh-CN"/>
        </w:rPr>
        <w:t>July 14, 2016</w:t>
      </w:r>
    </w:p>
    <w:p w:rsidR="00053F5F" w:rsidRPr="004B0925" w:rsidRDefault="00053F5F" w:rsidP="004B0925">
      <w:pPr>
        <w:rPr>
          <w:rFonts w:ascii="Book Antiqua" w:hAnsi="Book Antiqua"/>
          <w:iCs/>
          <w:sz w:val="24"/>
        </w:rPr>
      </w:pPr>
      <w:r w:rsidRPr="0001656C">
        <w:rPr>
          <w:rFonts w:ascii="Book Antiqua" w:hAnsi="Book Antiqua" w:cs="Times New Roman"/>
          <w:b/>
          <w:sz w:val="24"/>
          <w:szCs w:val="24"/>
          <w:lang w:val="en-US" w:eastAsia="zh-CN"/>
        </w:rPr>
        <w:t>Accepted:</w:t>
      </w:r>
      <w:r w:rsidR="004B0925">
        <w:rPr>
          <w:rFonts w:ascii="Book Antiqua" w:hAnsi="Book Antiqua" w:cs="Times New Roman"/>
          <w:b/>
          <w:sz w:val="24"/>
          <w:szCs w:val="24"/>
          <w:lang w:val="en-US" w:eastAsia="zh-CN"/>
        </w:rPr>
        <w:t xml:space="preserve"> </w:t>
      </w:r>
      <w:proofErr w:type="spellStart"/>
      <w:r w:rsidR="004B0925">
        <w:rPr>
          <w:rStyle w:val="Emphasis"/>
        </w:rPr>
        <w:t>July</w:t>
      </w:r>
      <w:proofErr w:type="spellEnd"/>
      <w:r w:rsidR="004B0925">
        <w:rPr>
          <w:rStyle w:val="Emphasis"/>
        </w:rPr>
        <w:t xml:space="preserve"> 29</w:t>
      </w:r>
      <w:r w:rsidR="004B0925" w:rsidRPr="00235CD4">
        <w:rPr>
          <w:rStyle w:val="Emphasis"/>
        </w:rPr>
        <w:t>,</w:t>
      </w:r>
      <w:r w:rsidR="004B0925">
        <w:rPr>
          <w:rStyle w:val="Emphasis"/>
        </w:rPr>
        <w:t xml:space="preserve"> 2016</w:t>
      </w:r>
    </w:p>
    <w:p w:rsidR="00053F5F" w:rsidRPr="0001656C" w:rsidRDefault="00053F5F" w:rsidP="00053F5F">
      <w:pPr>
        <w:spacing w:after="0" w:line="360" w:lineRule="auto"/>
        <w:rPr>
          <w:rFonts w:ascii="Book Antiqua" w:hAnsi="Book Antiqua" w:cs="Times New Roman"/>
          <w:b/>
          <w:sz w:val="24"/>
          <w:szCs w:val="24"/>
          <w:lang w:val="en-US" w:eastAsia="zh-CN"/>
        </w:rPr>
      </w:pPr>
      <w:r w:rsidRPr="0001656C">
        <w:rPr>
          <w:rFonts w:ascii="Book Antiqua" w:hAnsi="Book Antiqua" w:cs="Times New Roman"/>
          <w:b/>
          <w:sz w:val="24"/>
          <w:szCs w:val="24"/>
          <w:lang w:val="en-US" w:eastAsia="zh-CN"/>
        </w:rPr>
        <w:t>Article in press:</w:t>
      </w:r>
    </w:p>
    <w:p w:rsidR="00053F5F" w:rsidRPr="0001656C" w:rsidRDefault="00053F5F" w:rsidP="00053F5F">
      <w:pPr>
        <w:spacing w:after="0" w:line="360" w:lineRule="auto"/>
        <w:rPr>
          <w:rFonts w:ascii="Book Antiqua" w:hAnsi="Book Antiqua" w:cs="Times New Roman"/>
          <w:b/>
          <w:sz w:val="24"/>
          <w:szCs w:val="24"/>
          <w:lang w:val="pl-PL" w:eastAsia="zh-CN"/>
        </w:rPr>
      </w:pPr>
      <w:r w:rsidRPr="0001656C">
        <w:rPr>
          <w:rFonts w:ascii="Book Antiqua" w:hAnsi="Book Antiqua" w:cs="Times New Roman"/>
          <w:b/>
          <w:sz w:val="24"/>
          <w:szCs w:val="24"/>
          <w:lang w:val="pl-PL" w:eastAsia="zh-CN"/>
        </w:rPr>
        <w:t>Published online:</w:t>
      </w:r>
    </w:p>
    <w:p w:rsidR="00053F5F" w:rsidRPr="0001656C" w:rsidRDefault="00053F5F" w:rsidP="00D22412">
      <w:pPr>
        <w:spacing w:after="0" w:line="360" w:lineRule="auto"/>
        <w:rPr>
          <w:rFonts w:ascii="Book Antiqua" w:hAnsi="Book Antiqua" w:cs="Times New Roman"/>
          <w:b/>
          <w:sz w:val="24"/>
          <w:szCs w:val="24"/>
          <w:lang w:val="en-US" w:eastAsia="zh-CN"/>
        </w:rPr>
      </w:pPr>
    </w:p>
    <w:p w:rsidR="00D22412" w:rsidRPr="0001656C" w:rsidRDefault="00D22412" w:rsidP="00D22412">
      <w:pPr>
        <w:rPr>
          <w:rFonts w:ascii="Book Antiqua" w:hAnsi="Book Antiqua" w:cs="Times New Roman"/>
          <w:b/>
          <w:sz w:val="24"/>
          <w:szCs w:val="24"/>
          <w:lang w:val="en-US"/>
        </w:rPr>
      </w:pPr>
      <w:r w:rsidRPr="0001656C">
        <w:rPr>
          <w:rFonts w:ascii="Book Antiqua" w:hAnsi="Book Antiqua" w:cs="Times New Roman"/>
          <w:b/>
          <w:sz w:val="24"/>
          <w:szCs w:val="24"/>
          <w:lang w:val="en-US"/>
        </w:rPr>
        <w:br w:type="page"/>
      </w:r>
    </w:p>
    <w:p w:rsidR="00D22412" w:rsidRPr="0001656C" w:rsidRDefault="00D22412" w:rsidP="00D22412">
      <w:pPr>
        <w:spacing w:after="0" w:line="360" w:lineRule="auto"/>
        <w:rPr>
          <w:rFonts w:ascii="Book Antiqua" w:hAnsi="Book Antiqua" w:cs="Times New Roman"/>
          <w:b/>
          <w:sz w:val="24"/>
          <w:szCs w:val="24"/>
          <w:lang w:val="en-US"/>
        </w:rPr>
      </w:pPr>
      <w:r w:rsidRPr="0001656C">
        <w:rPr>
          <w:rFonts w:ascii="Book Antiqua" w:hAnsi="Book Antiqua" w:cs="Times New Roman"/>
          <w:b/>
          <w:sz w:val="24"/>
          <w:szCs w:val="24"/>
          <w:lang w:val="en-US"/>
        </w:rPr>
        <w:lastRenderedPageBreak/>
        <w:t>Abstract</w:t>
      </w:r>
    </w:p>
    <w:p w:rsidR="00D22412" w:rsidRPr="0001656C" w:rsidRDefault="00D22412" w:rsidP="00D22412">
      <w:pPr>
        <w:spacing w:after="0" w:line="360" w:lineRule="auto"/>
        <w:jc w:val="both"/>
        <w:rPr>
          <w:rFonts w:ascii="Book Antiqua" w:hAnsi="Book Antiqua" w:cs="Times New Roman"/>
          <w:sz w:val="24"/>
          <w:szCs w:val="24"/>
          <w:lang w:val="en-US"/>
        </w:rPr>
      </w:pPr>
      <w:r w:rsidRPr="0001656C">
        <w:rPr>
          <w:rFonts w:ascii="Book Antiqua" w:hAnsi="Book Antiqua" w:cs="Times New Roman"/>
          <w:b/>
          <w:sz w:val="24"/>
          <w:szCs w:val="24"/>
          <w:lang w:val="en-US"/>
        </w:rPr>
        <w:t xml:space="preserve">AIM: </w:t>
      </w:r>
      <w:r w:rsidRPr="0001656C">
        <w:rPr>
          <w:rFonts w:ascii="Book Antiqua" w:hAnsi="Book Antiqua" w:cs="Times New Roman"/>
          <w:sz w:val="24"/>
          <w:szCs w:val="24"/>
          <w:lang w:val="en-US"/>
        </w:rPr>
        <w:t>To evaluate hepatitis B virus (HBV) vaccine response and correlation with</w:t>
      </w:r>
      <w:r w:rsidR="002D62A0" w:rsidRPr="0001656C">
        <w:rPr>
          <w:rFonts w:ascii="Book Antiqua" w:hAnsi="Book Antiqua" w:cs="Times New Roman"/>
          <w:sz w:val="24"/>
          <w:szCs w:val="24"/>
          <w:lang w:val="en-US"/>
        </w:rPr>
        <w:t xml:space="preserve"> human </w:t>
      </w:r>
      <w:r w:rsidR="00FD28D9" w:rsidRPr="0001656C">
        <w:rPr>
          <w:rFonts w:ascii="Book Antiqua" w:hAnsi="Book Antiqua" w:cs="Times New Roman"/>
          <w:sz w:val="24"/>
          <w:szCs w:val="24"/>
          <w:lang w:val="en-US"/>
        </w:rPr>
        <w:t>l</w:t>
      </w:r>
      <w:r w:rsidR="002D62A0" w:rsidRPr="0001656C">
        <w:rPr>
          <w:rFonts w:ascii="Book Antiqua" w:hAnsi="Book Antiqua" w:cs="Times New Roman"/>
          <w:sz w:val="24"/>
          <w:szCs w:val="24"/>
          <w:lang w:val="en-US"/>
        </w:rPr>
        <w:t>eukocyte antigens</w:t>
      </w:r>
      <w:r w:rsidR="00FD28D9" w:rsidRPr="0001656C">
        <w:rPr>
          <w:rFonts w:ascii="Book Antiqua" w:hAnsi="Book Antiqua" w:cs="Times New Roman"/>
          <w:sz w:val="24"/>
          <w:szCs w:val="24"/>
          <w:lang w:val="en-US" w:eastAsia="zh-CN"/>
        </w:rPr>
        <w:t xml:space="preserve"> </w:t>
      </w:r>
      <w:r w:rsidR="002D62A0" w:rsidRPr="0001656C">
        <w:rPr>
          <w:rFonts w:ascii="Book Antiqua" w:hAnsi="Book Antiqua" w:cs="Times New Roman"/>
          <w:sz w:val="24"/>
          <w:szCs w:val="24"/>
          <w:lang w:val="en-US"/>
        </w:rPr>
        <w:t>(</w:t>
      </w:r>
      <w:r w:rsidRPr="0001656C">
        <w:rPr>
          <w:rFonts w:ascii="Book Antiqua" w:hAnsi="Book Antiqua" w:cs="Times New Roman"/>
          <w:sz w:val="24"/>
          <w:szCs w:val="24"/>
          <w:lang w:val="en-US"/>
        </w:rPr>
        <w:t>HLA</w:t>
      </w:r>
      <w:r w:rsidR="002D62A0" w:rsidRPr="0001656C">
        <w:rPr>
          <w:rFonts w:ascii="Book Antiqua" w:hAnsi="Book Antiqua" w:cs="Times New Roman"/>
          <w:sz w:val="24"/>
          <w:szCs w:val="24"/>
          <w:lang w:val="en-US"/>
        </w:rPr>
        <w:t>)</w:t>
      </w:r>
      <w:r w:rsidRPr="0001656C">
        <w:rPr>
          <w:rFonts w:ascii="Book Antiqua" w:hAnsi="Book Antiqua" w:cs="Times New Roman"/>
          <w:sz w:val="24"/>
          <w:szCs w:val="24"/>
          <w:lang w:val="en-US"/>
        </w:rPr>
        <w:t xml:space="preserve"> and/or gluten intake in celiac patients at diagnosis.</w:t>
      </w:r>
    </w:p>
    <w:p w:rsidR="00D22412" w:rsidRPr="0001656C" w:rsidRDefault="00D22412" w:rsidP="00D22412">
      <w:pPr>
        <w:spacing w:after="0" w:line="360" w:lineRule="auto"/>
        <w:jc w:val="both"/>
        <w:rPr>
          <w:rFonts w:ascii="Book Antiqua" w:hAnsi="Book Antiqua" w:cs="Times New Roman"/>
          <w:b/>
          <w:sz w:val="24"/>
          <w:szCs w:val="24"/>
          <w:lang w:val="en-US"/>
        </w:rPr>
      </w:pPr>
    </w:p>
    <w:p w:rsidR="00D22412" w:rsidRPr="0001656C" w:rsidRDefault="00D22412" w:rsidP="00D22412">
      <w:pPr>
        <w:spacing w:after="0" w:line="360" w:lineRule="auto"/>
        <w:jc w:val="both"/>
        <w:rPr>
          <w:rFonts w:ascii="Book Antiqua" w:hAnsi="Book Antiqua" w:cs="Times New Roman"/>
          <w:b/>
          <w:sz w:val="24"/>
          <w:szCs w:val="24"/>
          <w:lang w:val="en-US"/>
        </w:rPr>
      </w:pPr>
      <w:r w:rsidRPr="0001656C">
        <w:rPr>
          <w:rFonts w:ascii="Book Antiqua" w:hAnsi="Book Antiqua" w:cs="Times New Roman"/>
          <w:b/>
          <w:sz w:val="24"/>
          <w:szCs w:val="24"/>
          <w:lang w:val="en-US"/>
        </w:rPr>
        <w:t xml:space="preserve">METHODS: </w:t>
      </w:r>
      <w:r w:rsidRPr="0001656C">
        <w:rPr>
          <w:rFonts w:ascii="Book Antiqua" w:hAnsi="Book Antiqua" w:cs="Times New Roman"/>
          <w:sz w:val="24"/>
          <w:szCs w:val="24"/>
          <w:lang w:val="en-US"/>
        </w:rPr>
        <w:t>Fifty-one patients affected by celiac disease, diagnosed at the Department of Pediatrics of the University of Catania (Italy), were recruited. All patients were tested at admission for immunization against HBV, according to findings from analysis of quantitative HBV surface antibody (anti-HBs). The anti-HBs titer was measured by enzyme-linked immunosorbent assay (ELISA). Following the international standards, subjects with antibody titer</w:t>
      </w:r>
      <w:r w:rsidR="0063686A">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&lt; 10 IU/L were defined as non-responders. The prevalence of responders and non-responders among celiac subjects and the distribution of immunization for age were examined.</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In addition, the prevalence of responders and non-responders was assessed for correlation to HLA and clinical features at diagnosis of celiac disease.</w:t>
      </w:r>
    </w:p>
    <w:p w:rsidR="00D22412" w:rsidRPr="0001656C" w:rsidRDefault="00D22412" w:rsidP="00D22412">
      <w:pPr>
        <w:spacing w:after="0" w:line="360" w:lineRule="auto"/>
        <w:contextualSpacing/>
        <w:jc w:val="both"/>
        <w:rPr>
          <w:rFonts w:ascii="Book Antiqua" w:hAnsi="Book Antiqua" w:cs="Times New Roman"/>
          <w:b/>
          <w:sz w:val="24"/>
          <w:szCs w:val="24"/>
          <w:lang w:val="en-US"/>
        </w:rPr>
      </w:pPr>
    </w:p>
    <w:p w:rsidR="00D22412" w:rsidRPr="0001656C" w:rsidRDefault="00D22412" w:rsidP="00D22412">
      <w:pPr>
        <w:spacing w:after="0" w:line="360" w:lineRule="auto"/>
        <w:contextualSpacing/>
        <w:jc w:val="both"/>
        <w:rPr>
          <w:rFonts w:ascii="Book Antiqua" w:hAnsi="Book Antiqua" w:cs="Times New Roman"/>
          <w:sz w:val="24"/>
          <w:szCs w:val="24"/>
          <w:lang w:val="en-US"/>
        </w:rPr>
      </w:pPr>
      <w:r w:rsidRPr="0001656C">
        <w:rPr>
          <w:rFonts w:ascii="Book Antiqua" w:hAnsi="Book Antiqua" w:cs="Times New Roman"/>
          <w:b/>
          <w:sz w:val="24"/>
          <w:szCs w:val="24"/>
          <w:lang w:val="en-US"/>
        </w:rPr>
        <w:t xml:space="preserve">RESULTS: </w:t>
      </w:r>
      <w:r w:rsidRPr="0001656C">
        <w:rPr>
          <w:rFonts w:ascii="Book Antiqua" w:hAnsi="Book Antiqua" w:cs="Times New Roman"/>
          <w:sz w:val="24"/>
          <w:szCs w:val="24"/>
          <w:lang w:val="en-US"/>
        </w:rPr>
        <w:t>The entire</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study population was divided into three groups according to</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age:  24 patients</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aged between 0 to 5.5 years (48.9%, group A); 16 aged between 5.5 and 9.5 years (30.61%, group B); 9 aged between 9.5 and 17 years (18.75%, group C). Comparison of the percentage of responders and non-responders between the youngest and the oldest</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age group showed no significant difference between the two groups (</w:t>
      </w:r>
      <w:r w:rsidRPr="0001656C">
        <w:rPr>
          <w:rFonts w:ascii="Book Antiqua" w:hAnsi="Book Antiqua" w:cs="Times New Roman"/>
          <w:i/>
          <w:sz w:val="24"/>
          <w:szCs w:val="24"/>
          <w:lang w:val="en-US"/>
        </w:rPr>
        <w:t>P</w:t>
      </w:r>
      <w:r w:rsidR="00FD28D9" w:rsidRPr="0001656C">
        <w:rPr>
          <w:rFonts w:ascii="Book Antiqua" w:hAnsi="Book Antiqua" w:cs="Times New Roman"/>
          <w:i/>
          <w:sz w:val="24"/>
          <w:szCs w:val="24"/>
          <w:lang w:val="en-US" w:eastAsia="zh-CN"/>
        </w:rPr>
        <w:t xml:space="preserve"> </w:t>
      </w:r>
      <w:r w:rsidRPr="0001656C">
        <w:rPr>
          <w:rFonts w:ascii="Book Antiqua" w:hAnsi="Book Antiqua" w:cs="Times New Roman"/>
          <w:sz w:val="24"/>
          <w:szCs w:val="24"/>
          <w:lang w:val="en-US"/>
        </w:rPr>
        <w:t>&gt;</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 xml:space="preserve">0.05). With regard to the HLA haplotype, comparison of the distribution of vaccination response showed no statistically significant difference between the different genotypes (homozygosity for the HLADQ2 haplotype compared with HLADQ2/DQ8 heterozygosity or other haplotypes; </w:t>
      </w:r>
      <w:r w:rsidRPr="0001656C">
        <w:rPr>
          <w:rFonts w:ascii="Book Antiqua" w:hAnsi="Book Antiqua" w:cs="Times New Roman"/>
          <w:i/>
          <w:sz w:val="24"/>
          <w:szCs w:val="24"/>
          <w:lang w:val="en-US"/>
        </w:rPr>
        <w:t>P</w:t>
      </w:r>
      <w:r w:rsidR="00FD28D9" w:rsidRPr="0001656C">
        <w:rPr>
          <w:rFonts w:ascii="Book Antiqua" w:hAnsi="Book Antiqua" w:cs="Times New Roman"/>
          <w:i/>
          <w:sz w:val="24"/>
          <w:szCs w:val="24"/>
          <w:lang w:val="en-US" w:eastAsia="zh-CN"/>
        </w:rPr>
        <w:t xml:space="preserve"> </w:t>
      </w:r>
      <w:r w:rsidRPr="0001656C">
        <w:rPr>
          <w:rFonts w:ascii="Book Antiqua" w:hAnsi="Book Antiqua" w:cs="Times New Roman"/>
          <w:sz w:val="24"/>
          <w:szCs w:val="24"/>
          <w:lang w:val="en-US"/>
        </w:rPr>
        <w:t>&gt;</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0.05). Moreover, distribution of the responders according to clinical features of celiac disease showed no statistically significant differences (</w:t>
      </w:r>
      <w:r w:rsidRPr="0001656C">
        <w:rPr>
          <w:rFonts w:ascii="Book Antiqua" w:hAnsi="Book Antiqua" w:cs="Times New Roman"/>
          <w:i/>
          <w:sz w:val="24"/>
          <w:szCs w:val="24"/>
          <w:lang w:val="en-US"/>
        </w:rPr>
        <w:t>P</w:t>
      </w:r>
      <w:r w:rsidR="00FD28D9" w:rsidRPr="0001656C">
        <w:rPr>
          <w:rFonts w:ascii="Book Antiqua" w:hAnsi="Book Antiqua" w:cs="Times New Roman"/>
          <w:i/>
          <w:sz w:val="24"/>
          <w:szCs w:val="24"/>
          <w:lang w:val="en-US" w:eastAsia="zh-CN"/>
        </w:rPr>
        <w:t xml:space="preserve"> </w:t>
      </w:r>
      <w:r w:rsidRPr="0001656C">
        <w:rPr>
          <w:rFonts w:ascii="Book Antiqua" w:hAnsi="Book Antiqua" w:cs="Times New Roman"/>
          <w:sz w:val="24"/>
          <w:szCs w:val="24"/>
          <w:lang w:val="en-US"/>
        </w:rPr>
        <w:t>&gt; 0.05).</w:t>
      </w:r>
    </w:p>
    <w:p w:rsidR="00D22412" w:rsidRPr="0001656C" w:rsidRDefault="00D22412" w:rsidP="00D22412">
      <w:pPr>
        <w:spacing w:after="0" w:line="360" w:lineRule="auto"/>
        <w:jc w:val="both"/>
        <w:rPr>
          <w:rFonts w:ascii="Book Antiqua" w:hAnsi="Book Antiqua" w:cs="Times New Roman"/>
          <w:b/>
          <w:sz w:val="24"/>
          <w:szCs w:val="24"/>
          <w:lang w:val="en-US"/>
        </w:rPr>
      </w:pPr>
    </w:p>
    <w:p w:rsidR="00D22412" w:rsidRPr="0001656C" w:rsidRDefault="00D22412" w:rsidP="00D22412">
      <w:pPr>
        <w:spacing w:after="0" w:line="360" w:lineRule="auto"/>
        <w:jc w:val="both"/>
        <w:rPr>
          <w:rFonts w:ascii="Book Antiqua" w:hAnsi="Book Antiqua" w:cs="Times New Roman"/>
          <w:sz w:val="24"/>
          <w:szCs w:val="24"/>
          <w:lang w:val="en-US"/>
        </w:rPr>
      </w:pPr>
      <w:r w:rsidRPr="0001656C">
        <w:rPr>
          <w:rFonts w:ascii="Book Antiqua" w:hAnsi="Book Antiqua" w:cs="Times New Roman"/>
          <w:b/>
          <w:sz w:val="24"/>
          <w:szCs w:val="24"/>
          <w:lang w:val="en-US"/>
        </w:rPr>
        <w:t>CONCLUSION:</w:t>
      </w:r>
      <w:r w:rsidR="00FD28D9" w:rsidRPr="0001656C">
        <w:rPr>
          <w:rFonts w:ascii="Book Antiqua" w:hAnsi="Book Antiqua" w:cs="Times New Roman"/>
          <w:b/>
          <w:sz w:val="24"/>
          <w:szCs w:val="24"/>
          <w:lang w:val="en-US" w:eastAsia="zh-CN"/>
        </w:rPr>
        <w:t xml:space="preserve"> </w:t>
      </w:r>
      <w:r w:rsidRPr="0001656C">
        <w:rPr>
          <w:rFonts w:ascii="Book Antiqua" w:hAnsi="Book Antiqua" w:cs="Times New Roman"/>
          <w:sz w:val="24"/>
          <w:szCs w:val="24"/>
          <w:lang w:val="en-US"/>
        </w:rPr>
        <w:t>This prospective study</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confirmed the lower percentage of response to HBV vaccine in celiac</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subjects. However, the underlying mechanism remains unclear and</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further studies are needed.</w:t>
      </w:r>
    </w:p>
    <w:p w:rsidR="00D22412" w:rsidRPr="0001656C" w:rsidRDefault="00D22412" w:rsidP="00D22412">
      <w:pPr>
        <w:spacing w:after="0" w:line="360" w:lineRule="auto"/>
        <w:rPr>
          <w:rFonts w:ascii="Book Antiqua" w:hAnsi="Book Antiqua" w:cs="Times New Roman"/>
          <w:b/>
          <w:sz w:val="24"/>
          <w:szCs w:val="24"/>
          <w:lang w:val="en-US"/>
        </w:rPr>
      </w:pPr>
    </w:p>
    <w:p w:rsidR="00D22412" w:rsidRPr="0001656C" w:rsidRDefault="00D22412" w:rsidP="00D22412">
      <w:pPr>
        <w:spacing w:after="0" w:line="360" w:lineRule="auto"/>
        <w:rPr>
          <w:rFonts w:ascii="Book Antiqua" w:hAnsi="Book Antiqua" w:cs="Times New Roman"/>
          <w:sz w:val="24"/>
          <w:szCs w:val="24"/>
          <w:lang w:val="en-US"/>
        </w:rPr>
      </w:pPr>
      <w:r w:rsidRPr="0001656C">
        <w:rPr>
          <w:rFonts w:ascii="Book Antiqua" w:hAnsi="Book Antiqua" w:cs="Times New Roman"/>
          <w:b/>
          <w:sz w:val="24"/>
          <w:szCs w:val="24"/>
          <w:lang w:val="en-US"/>
        </w:rPr>
        <w:t xml:space="preserve">Key words: </w:t>
      </w:r>
      <w:r w:rsidRPr="0001656C">
        <w:rPr>
          <w:rFonts w:ascii="Book Antiqua" w:hAnsi="Book Antiqua" w:cs="Times New Roman"/>
          <w:sz w:val="24"/>
          <w:szCs w:val="24"/>
          <w:lang w:val="en-US"/>
        </w:rPr>
        <w:t>Celiac disease;</w:t>
      </w:r>
      <w:r w:rsidR="00FD28D9" w:rsidRPr="0001656C">
        <w:rPr>
          <w:rFonts w:ascii="Book Antiqua" w:hAnsi="Book Antiqua" w:cs="Times New Roman"/>
          <w:sz w:val="24"/>
          <w:szCs w:val="24"/>
          <w:lang w:val="en-US" w:eastAsia="zh-CN"/>
        </w:rPr>
        <w:t xml:space="preserve"> </w:t>
      </w:r>
      <w:r w:rsidR="00053F5F" w:rsidRPr="0001656C">
        <w:rPr>
          <w:rFonts w:ascii="Book Antiqua" w:hAnsi="Book Antiqua" w:cs="Times New Roman"/>
          <w:caps/>
          <w:sz w:val="24"/>
          <w:szCs w:val="24"/>
        </w:rPr>
        <w:t>h</w:t>
      </w:r>
      <w:r w:rsidR="00053F5F" w:rsidRPr="0001656C">
        <w:rPr>
          <w:rFonts w:ascii="Book Antiqua" w:hAnsi="Book Antiqua" w:cs="Times New Roman"/>
          <w:sz w:val="24"/>
          <w:szCs w:val="24"/>
        </w:rPr>
        <w:t>epatitis B virus</w:t>
      </w:r>
      <w:r w:rsidR="00FD28D9" w:rsidRPr="0001656C">
        <w:rPr>
          <w:rFonts w:ascii="Book Antiqua" w:hAnsi="Book Antiqua" w:cs="Times New Roman"/>
          <w:sz w:val="24"/>
          <w:szCs w:val="24"/>
          <w:lang w:eastAsia="zh-CN"/>
        </w:rPr>
        <w:t xml:space="preserve"> </w:t>
      </w:r>
      <w:r w:rsidRPr="0001656C">
        <w:rPr>
          <w:rFonts w:ascii="Book Antiqua" w:hAnsi="Book Antiqua" w:cs="Times New Roman"/>
          <w:sz w:val="24"/>
          <w:szCs w:val="24"/>
          <w:lang w:val="en-US"/>
        </w:rPr>
        <w:t>vaccination;</w:t>
      </w:r>
      <w:r w:rsidR="00FD28D9" w:rsidRPr="0001656C">
        <w:rPr>
          <w:rFonts w:ascii="Book Antiqua" w:hAnsi="Book Antiqua" w:cs="Times New Roman"/>
          <w:sz w:val="24"/>
          <w:szCs w:val="24"/>
          <w:lang w:val="en-US" w:eastAsia="zh-CN"/>
        </w:rPr>
        <w:t xml:space="preserve"> </w:t>
      </w:r>
      <w:r w:rsidR="00FD28D9" w:rsidRPr="0001656C">
        <w:rPr>
          <w:rFonts w:ascii="Book Antiqua" w:hAnsi="Book Antiqua" w:cs="Times New Roman"/>
          <w:caps/>
          <w:sz w:val="24"/>
          <w:szCs w:val="24"/>
          <w:lang w:val="en-US"/>
        </w:rPr>
        <w:t>h</w:t>
      </w:r>
      <w:r w:rsidR="00FD28D9" w:rsidRPr="0001656C">
        <w:rPr>
          <w:rFonts w:ascii="Book Antiqua" w:hAnsi="Book Antiqua" w:cs="Times New Roman"/>
          <w:sz w:val="24"/>
          <w:szCs w:val="24"/>
          <w:lang w:val="en-US"/>
        </w:rPr>
        <w:t>uman leukocyte antigens</w:t>
      </w:r>
      <w:r w:rsidRPr="0001656C">
        <w:rPr>
          <w:rFonts w:ascii="Book Antiqua" w:hAnsi="Book Antiqua" w:cs="Times New Roman"/>
          <w:sz w:val="24"/>
          <w:szCs w:val="24"/>
          <w:lang w:val="en-US"/>
        </w:rPr>
        <w:t>;</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Gluten</w:t>
      </w:r>
      <w:r w:rsidR="00D93A46" w:rsidRPr="0001656C">
        <w:rPr>
          <w:rFonts w:ascii="Book Antiqua" w:hAnsi="Book Antiqua" w:cs="Times New Roman"/>
          <w:sz w:val="24"/>
          <w:szCs w:val="24"/>
          <w:lang w:val="en-US" w:eastAsia="zh-CN"/>
        </w:rPr>
        <w:t>;</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caps/>
          <w:sz w:val="24"/>
          <w:szCs w:val="24"/>
          <w:lang w:val="en-US"/>
        </w:rPr>
        <w:t>p</w:t>
      </w:r>
      <w:r w:rsidRPr="0001656C">
        <w:rPr>
          <w:rFonts w:ascii="Book Antiqua" w:hAnsi="Book Antiqua" w:cs="Times New Roman"/>
          <w:sz w:val="24"/>
          <w:szCs w:val="24"/>
          <w:lang w:val="en-US"/>
        </w:rPr>
        <w:t>oor response</w:t>
      </w:r>
    </w:p>
    <w:p w:rsidR="00D22412" w:rsidRPr="0001656C" w:rsidRDefault="00D22412" w:rsidP="00D22412">
      <w:pPr>
        <w:spacing w:after="0" w:line="360" w:lineRule="auto"/>
        <w:rPr>
          <w:rFonts w:ascii="Book Antiqua" w:hAnsi="Book Antiqua" w:cs="Times New Roman"/>
          <w:b/>
          <w:sz w:val="24"/>
          <w:szCs w:val="24"/>
          <w:lang w:val="en-US"/>
        </w:rPr>
      </w:pPr>
    </w:p>
    <w:p w:rsidR="00D22412" w:rsidRPr="0001656C" w:rsidRDefault="00D22412" w:rsidP="00D22412">
      <w:pPr>
        <w:spacing w:after="0" w:line="360" w:lineRule="auto"/>
        <w:jc w:val="both"/>
        <w:rPr>
          <w:rFonts w:ascii="Book Antiqua" w:eastAsia="宋体" w:hAnsi="Book Antiqua" w:cs="Arial"/>
          <w:sz w:val="24"/>
          <w:szCs w:val="24"/>
          <w:lang w:eastAsia="zh-CN"/>
        </w:rPr>
      </w:pPr>
      <w:bookmarkStart w:id="17" w:name="OLE_LINK55"/>
      <w:bookmarkStart w:id="18" w:name="OLE_LINK56"/>
      <w:r w:rsidRPr="0001656C">
        <w:rPr>
          <w:rFonts w:ascii="Book Antiqua" w:hAnsi="Book Antiqua"/>
          <w:b/>
          <w:sz w:val="24"/>
          <w:szCs w:val="24"/>
        </w:rPr>
        <w:lastRenderedPageBreak/>
        <w:t>©</w:t>
      </w:r>
      <w:bookmarkEnd w:id="17"/>
      <w:bookmarkEnd w:id="18"/>
      <w:r w:rsidRPr="0001656C">
        <w:rPr>
          <w:rFonts w:ascii="Book Antiqua" w:hAnsi="Book Antiqua" w:cs="Arial"/>
          <w:b/>
          <w:sz w:val="24"/>
          <w:szCs w:val="24"/>
        </w:rPr>
        <w:t xml:space="preserve">The Author(s) 2016. </w:t>
      </w:r>
      <w:r w:rsidRPr="0001656C">
        <w:rPr>
          <w:rFonts w:ascii="Book Antiqua" w:hAnsi="Book Antiqua" w:cs="Arial"/>
          <w:sz w:val="24"/>
          <w:szCs w:val="24"/>
          <w:lang w:val="en-US"/>
        </w:rPr>
        <w:t xml:space="preserve">Published by </w:t>
      </w:r>
      <w:proofErr w:type="spellStart"/>
      <w:r w:rsidRPr="0001656C">
        <w:rPr>
          <w:rFonts w:ascii="Book Antiqua" w:hAnsi="Book Antiqua" w:cs="Arial"/>
          <w:sz w:val="24"/>
          <w:szCs w:val="24"/>
          <w:lang w:val="en-US"/>
        </w:rPr>
        <w:t>Baishideng</w:t>
      </w:r>
      <w:proofErr w:type="spellEnd"/>
      <w:r w:rsidRPr="0001656C">
        <w:rPr>
          <w:rFonts w:ascii="Book Antiqua" w:hAnsi="Book Antiqua" w:cs="Arial"/>
          <w:sz w:val="24"/>
          <w:szCs w:val="24"/>
          <w:lang w:val="en-US"/>
        </w:rPr>
        <w:t xml:space="preserve"> Publishing Group Inc. All rights reserved.</w:t>
      </w:r>
    </w:p>
    <w:p w:rsidR="00D22412" w:rsidRPr="0001656C" w:rsidRDefault="00D22412" w:rsidP="00D22412">
      <w:pPr>
        <w:spacing w:after="0" w:line="360" w:lineRule="auto"/>
        <w:jc w:val="both"/>
        <w:rPr>
          <w:rFonts w:ascii="Book Antiqua" w:hAnsi="Book Antiqua" w:cs="Times New Roman"/>
          <w:b/>
          <w:sz w:val="24"/>
          <w:szCs w:val="24"/>
          <w:lang w:val="en-US"/>
        </w:rPr>
      </w:pPr>
    </w:p>
    <w:p w:rsidR="00D22412" w:rsidRPr="0001656C" w:rsidRDefault="00D22412" w:rsidP="00D22412">
      <w:pPr>
        <w:spacing w:after="0" w:line="360" w:lineRule="auto"/>
        <w:jc w:val="both"/>
        <w:rPr>
          <w:rFonts w:ascii="Book Antiqua" w:hAnsi="Book Antiqua" w:cs="Times New Roman"/>
          <w:sz w:val="24"/>
          <w:szCs w:val="24"/>
          <w:lang w:val="en-US"/>
        </w:rPr>
      </w:pPr>
      <w:r w:rsidRPr="0001656C">
        <w:rPr>
          <w:rFonts w:ascii="Book Antiqua" w:hAnsi="Book Antiqua" w:cs="Times New Roman"/>
          <w:b/>
          <w:sz w:val="24"/>
          <w:szCs w:val="24"/>
          <w:lang w:val="en-US"/>
        </w:rPr>
        <w:t>Core tip:</w:t>
      </w:r>
      <w:r w:rsidR="00FD28D9" w:rsidRPr="0001656C">
        <w:rPr>
          <w:rFonts w:ascii="Book Antiqua" w:hAnsi="Book Antiqua" w:cs="Times New Roman"/>
          <w:b/>
          <w:sz w:val="24"/>
          <w:szCs w:val="24"/>
          <w:lang w:val="en-US" w:eastAsia="zh-CN"/>
        </w:rPr>
        <w:t xml:space="preserve"> </w:t>
      </w:r>
      <w:r w:rsidRPr="0001656C">
        <w:rPr>
          <w:rFonts w:ascii="Book Antiqua" w:hAnsi="Book Antiqua" w:cs="Times New Roman"/>
          <w:sz w:val="24"/>
          <w:szCs w:val="24"/>
          <w:lang w:val="en-US"/>
        </w:rPr>
        <w:t>Correlation between celiac disease and lower response to hepatitis B virus (HBV)</w:t>
      </w:r>
      <w:r w:rsidR="00D01EDC">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vaccine has been demonstrated, but the causes remain unclear.</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The lack of prospective data represents</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an extensive gap between the time</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of vaccination and development of the immune response, contributing to select “false non-responders” (</w:t>
      </w:r>
      <w:r w:rsidRPr="0001656C">
        <w:rPr>
          <w:rFonts w:ascii="Book Antiqua" w:hAnsi="Book Antiqua" w:cs="Times New Roman"/>
          <w:i/>
          <w:sz w:val="24"/>
          <w:szCs w:val="24"/>
          <w:lang w:val="en-US"/>
        </w:rPr>
        <w:t>i.e</w:t>
      </w:r>
      <w:r w:rsidRPr="0001656C">
        <w:rPr>
          <w:rFonts w:ascii="Book Antiqua" w:hAnsi="Book Antiqua" w:cs="Times New Roman"/>
          <w:sz w:val="24"/>
          <w:szCs w:val="24"/>
          <w:lang w:val="en-US"/>
        </w:rPr>
        <w:t>. those who are destined to lose the antibody titer over time). The originality of our prospective study is that of analyzing the response to HBV vaccine in a group of celiac patients at the time of diagnosis</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in an attempt</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to nullify the percentage of error related to confounding factors.</w:t>
      </w:r>
    </w:p>
    <w:p w:rsidR="00D22412" w:rsidRPr="0001656C" w:rsidRDefault="00D22412" w:rsidP="00D22412">
      <w:pPr>
        <w:spacing w:after="0" w:line="360" w:lineRule="auto"/>
        <w:jc w:val="both"/>
        <w:rPr>
          <w:rFonts w:ascii="Book Antiqua" w:hAnsi="Book Antiqua" w:cs="Times New Roman"/>
          <w:sz w:val="24"/>
          <w:szCs w:val="24"/>
          <w:lang w:val="en-US"/>
        </w:rPr>
      </w:pPr>
    </w:p>
    <w:p w:rsidR="00D22412" w:rsidRPr="0001656C" w:rsidRDefault="00D22412" w:rsidP="00D22412">
      <w:pPr>
        <w:spacing w:after="0" w:line="360" w:lineRule="auto"/>
        <w:jc w:val="both"/>
        <w:rPr>
          <w:rFonts w:ascii="Book Antiqua" w:hAnsi="Book Antiqua" w:cs="Times New Roman"/>
          <w:b/>
          <w:sz w:val="24"/>
          <w:szCs w:val="24"/>
          <w:lang w:val="en-US"/>
        </w:rPr>
      </w:pPr>
      <w:proofErr w:type="spellStart"/>
      <w:r w:rsidRPr="0001656C">
        <w:rPr>
          <w:rFonts w:ascii="Book Antiqua" w:hAnsi="Book Antiqua" w:cs="Times New Roman"/>
          <w:sz w:val="24"/>
          <w:szCs w:val="24"/>
          <w:lang w:val="en-US"/>
        </w:rPr>
        <w:t>Filippelli</w:t>
      </w:r>
      <w:proofErr w:type="spellEnd"/>
      <w:r w:rsidRPr="0001656C">
        <w:rPr>
          <w:rFonts w:ascii="Book Antiqua" w:hAnsi="Book Antiqua" w:cs="Times New Roman"/>
          <w:sz w:val="24"/>
          <w:szCs w:val="24"/>
          <w:lang w:val="en-US"/>
        </w:rPr>
        <w:t xml:space="preserve"> M, </w:t>
      </w:r>
      <w:proofErr w:type="spellStart"/>
      <w:r w:rsidRPr="0001656C">
        <w:rPr>
          <w:rFonts w:ascii="Book Antiqua" w:hAnsi="Book Antiqua" w:cs="Times New Roman"/>
          <w:sz w:val="24"/>
          <w:szCs w:val="24"/>
          <w:lang w:val="en-US"/>
        </w:rPr>
        <w:t>Garozzo</w:t>
      </w:r>
      <w:proofErr w:type="spellEnd"/>
      <w:r w:rsidRPr="0001656C">
        <w:rPr>
          <w:rFonts w:ascii="Book Antiqua" w:hAnsi="Book Antiqua" w:cs="Times New Roman"/>
          <w:sz w:val="24"/>
          <w:szCs w:val="24"/>
          <w:lang w:val="en-US"/>
        </w:rPr>
        <w:t xml:space="preserve"> MT, </w:t>
      </w:r>
      <w:proofErr w:type="spellStart"/>
      <w:r w:rsidRPr="0001656C">
        <w:rPr>
          <w:rFonts w:ascii="Book Antiqua" w:hAnsi="Book Antiqua" w:cs="Times New Roman"/>
          <w:sz w:val="24"/>
          <w:szCs w:val="24"/>
          <w:lang w:val="en-US"/>
        </w:rPr>
        <w:t>Capizzi</w:t>
      </w:r>
      <w:proofErr w:type="spellEnd"/>
      <w:r w:rsidRPr="0001656C">
        <w:rPr>
          <w:rFonts w:ascii="Book Antiqua" w:hAnsi="Book Antiqua" w:cs="Times New Roman"/>
          <w:sz w:val="24"/>
          <w:szCs w:val="24"/>
          <w:lang w:val="en-US"/>
        </w:rPr>
        <w:t xml:space="preserve"> A, Spina M, Manti S, </w:t>
      </w:r>
      <w:proofErr w:type="spellStart"/>
      <w:r w:rsidRPr="0001656C">
        <w:rPr>
          <w:rFonts w:ascii="Book Antiqua" w:hAnsi="Book Antiqua" w:cs="Times New Roman"/>
          <w:sz w:val="24"/>
          <w:szCs w:val="24"/>
          <w:lang w:val="en-US"/>
        </w:rPr>
        <w:t>Tardino</w:t>
      </w:r>
      <w:proofErr w:type="spellEnd"/>
      <w:r w:rsidRPr="0001656C">
        <w:rPr>
          <w:rFonts w:ascii="Book Antiqua" w:hAnsi="Book Antiqua" w:cs="Times New Roman"/>
          <w:sz w:val="24"/>
          <w:szCs w:val="24"/>
          <w:lang w:val="en-US"/>
        </w:rPr>
        <w:t xml:space="preserve"> L, </w:t>
      </w:r>
      <w:proofErr w:type="spellStart"/>
      <w:r w:rsidRPr="0001656C">
        <w:rPr>
          <w:rFonts w:ascii="Book Antiqua" w:hAnsi="Book Antiqua" w:cs="Times New Roman"/>
          <w:sz w:val="24"/>
          <w:szCs w:val="24"/>
          <w:lang w:val="en-US"/>
        </w:rPr>
        <w:t>Salpietro</w:t>
      </w:r>
      <w:proofErr w:type="spellEnd"/>
      <w:r w:rsidRPr="0001656C">
        <w:rPr>
          <w:rFonts w:ascii="Book Antiqua" w:hAnsi="Book Antiqua" w:cs="Times New Roman"/>
          <w:sz w:val="24"/>
          <w:szCs w:val="24"/>
          <w:lang w:val="en-US"/>
        </w:rPr>
        <w:t xml:space="preserve"> C, </w:t>
      </w:r>
      <w:proofErr w:type="spellStart"/>
      <w:r w:rsidRPr="0001656C">
        <w:rPr>
          <w:rFonts w:ascii="Book Antiqua" w:hAnsi="Book Antiqua" w:cs="Times New Roman"/>
          <w:sz w:val="24"/>
          <w:szCs w:val="24"/>
          <w:lang w:val="en-US"/>
        </w:rPr>
        <w:t>Leonardi</w:t>
      </w:r>
      <w:proofErr w:type="spellEnd"/>
      <w:r w:rsidRPr="0001656C">
        <w:rPr>
          <w:rFonts w:ascii="Book Antiqua" w:hAnsi="Book Antiqua" w:cs="Times New Roman"/>
          <w:sz w:val="24"/>
          <w:szCs w:val="24"/>
          <w:lang w:val="en-US"/>
        </w:rPr>
        <w:t xml:space="preserve"> S. </w:t>
      </w:r>
      <w:r w:rsidR="00D93A46" w:rsidRPr="0001656C">
        <w:rPr>
          <w:rFonts w:ascii="Book Antiqua" w:hAnsi="Book Antiqua" w:cs="Times New Roman"/>
          <w:sz w:val="24"/>
          <w:szCs w:val="24"/>
          <w:lang w:val="en-US"/>
        </w:rPr>
        <w:t>Immune response to</w:t>
      </w:r>
      <w:r w:rsidR="00D93A46" w:rsidRPr="0001656C">
        <w:rPr>
          <w:rFonts w:ascii="Book Antiqua" w:hAnsi="Book Antiqua" w:cs="Times New Roman"/>
          <w:sz w:val="24"/>
          <w:szCs w:val="24"/>
        </w:rPr>
        <w:t>hepatitis B virus</w:t>
      </w:r>
      <w:r w:rsidR="00D93A46" w:rsidRPr="0001656C">
        <w:rPr>
          <w:rFonts w:ascii="Book Antiqua" w:hAnsi="Book Antiqua" w:cs="Times New Roman"/>
          <w:sz w:val="24"/>
          <w:szCs w:val="24"/>
          <w:lang w:val="en-US"/>
        </w:rPr>
        <w:t xml:space="preserve"> vaccine in celiac subjects at diagnosis</w:t>
      </w:r>
      <w:r w:rsidR="00D93A46" w:rsidRPr="0001656C">
        <w:rPr>
          <w:rFonts w:ascii="Book Antiqua" w:hAnsi="Book Antiqua" w:cs="Times New Roman"/>
          <w:sz w:val="24"/>
          <w:szCs w:val="24"/>
          <w:lang w:val="en-US" w:eastAsia="zh-CN"/>
        </w:rPr>
        <w:t xml:space="preserve">. </w:t>
      </w:r>
      <w:r w:rsidRPr="0001656C">
        <w:rPr>
          <w:rFonts w:ascii="Book Antiqua" w:hAnsi="Book Antiqua" w:cs="Times New Roman"/>
          <w:i/>
          <w:sz w:val="24"/>
          <w:szCs w:val="24"/>
          <w:lang w:val="en-US"/>
        </w:rPr>
        <w:t xml:space="preserve">World J </w:t>
      </w:r>
      <w:proofErr w:type="spellStart"/>
      <w:r w:rsidRPr="0001656C">
        <w:rPr>
          <w:rFonts w:ascii="Book Antiqua" w:hAnsi="Book Antiqua" w:cs="Times New Roman"/>
          <w:i/>
          <w:sz w:val="24"/>
          <w:szCs w:val="24"/>
          <w:lang w:val="en-US"/>
        </w:rPr>
        <w:t>Hepatol</w:t>
      </w:r>
      <w:proofErr w:type="spellEnd"/>
      <w:r w:rsidRPr="0001656C">
        <w:rPr>
          <w:rFonts w:ascii="Book Antiqua" w:hAnsi="Book Antiqua" w:cs="Times New Roman"/>
          <w:sz w:val="24"/>
          <w:szCs w:val="24"/>
          <w:lang w:val="en-US"/>
        </w:rPr>
        <w:t xml:space="preserve"> 2016; </w:t>
      </w:r>
      <w:proofErr w:type="gramStart"/>
      <w:r w:rsidRPr="0001656C">
        <w:rPr>
          <w:rFonts w:ascii="Book Antiqua" w:hAnsi="Book Antiqua" w:cs="Times New Roman"/>
          <w:sz w:val="24"/>
          <w:szCs w:val="24"/>
          <w:lang w:val="en-US"/>
        </w:rPr>
        <w:t>In</w:t>
      </w:r>
      <w:proofErr w:type="gramEnd"/>
      <w:r w:rsidRPr="0001656C">
        <w:rPr>
          <w:rFonts w:ascii="Book Antiqua" w:hAnsi="Book Antiqua" w:cs="Times New Roman"/>
          <w:sz w:val="24"/>
          <w:szCs w:val="24"/>
          <w:lang w:val="en-US"/>
        </w:rPr>
        <w:t xml:space="preserve"> press</w:t>
      </w:r>
    </w:p>
    <w:p w:rsidR="00D22412" w:rsidRPr="0001656C" w:rsidRDefault="00D22412" w:rsidP="00D22412">
      <w:pPr>
        <w:spacing w:after="0" w:line="360" w:lineRule="auto"/>
        <w:jc w:val="both"/>
        <w:rPr>
          <w:rFonts w:ascii="Book Antiqua" w:hAnsi="Book Antiqua" w:cs="Times New Roman"/>
          <w:sz w:val="24"/>
          <w:szCs w:val="24"/>
          <w:lang w:val="en-US"/>
        </w:rPr>
      </w:pPr>
    </w:p>
    <w:p w:rsidR="00D93A46" w:rsidRPr="0001656C" w:rsidRDefault="00D93A46">
      <w:pPr>
        <w:spacing w:after="0" w:line="240" w:lineRule="auto"/>
        <w:rPr>
          <w:rFonts w:ascii="Book Antiqua" w:hAnsi="Book Antiqua" w:cs="Times New Roman"/>
          <w:sz w:val="24"/>
          <w:szCs w:val="24"/>
          <w:lang w:val="en-US"/>
        </w:rPr>
      </w:pPr>
      <w:r w:rsidRPr="0001656C">
        <w:rPr>
          <w:rFonts w:ascii="Book Antiqua" w:hAnsi="Book Antiqua" w:cs="Times New Roman"/>
          <w:sz w:val="24"/>
          <w:szCs w:val="24"/>
          <w:lang w:val="en-US"/>
        </w:rPr>
        <w:br w:type="page"/>
      </w:r>
    </w:p>
    <w:p w:rsidR="00D22412" w:rsidRPr="0001656C" w:rsidRDefault="00D22412" w:rsidP="00D22412">
      <w:pPr>
        <w:spacing w:after="0" w:line="360" w:lineRule="auto"/>
        <w:rPr>
          <w:rFonts w:ascii="Book Antiqua" w:hAnsi="Book Antiqua" w:cs="Times New Roman"/>
          <w:b/>
          <w:sz w:val="24"/>
          <w:szCs w:val="24"/>
          <w:lang w:val="en-US"/>
        </w:rPr>
      </w:pPr>
      <w:r w:rsidRPr="0001656C">
        <w:rPr>
          <w:rFonts w:ascii="Book Antiqua" w:hAnsi="Book Antiqua" w:cs="Times New Roman"/>
          <w:b/>
          <w:sz w:val="24"/>
          <w:szCs w:val="24"/>
          <w:lang w:val="en-US"/>
        </w:rPr>
        <w:lastRenderedPageBreak/>
        <w:t>INTRODUCTION</w:t>
      </w:r>
    </w:p>
    <w:p w:rsidR="00D22412" w:rsidRPr="0001656C" w:rsidRDefault="00D22412" w:rsidP="00D22412">
      <w:pPr>
        <w:spacing w:after="0" w:line="360" w:lineRule="auto"/>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Celiac disease (CD) is a permanent immune-mediated enteropathy, triggered by gluten in genetically predisposed individuals. The genetic predisposition consists of the presence of alleles encoding for the molecules DQ2 or DQ8 of the human leucocyte antigen (HLA)</w:t>
      </w:r>
      <w:r w:rsidRPr="0001656C">
        <w:rPr>
          <w:rFonts w:ascii="Book Antiqua" w:hAnsi="Book Antiqua" w:cs="Times New Roman"/>
          <w:sz w:val="24"/>
          <w:szCs w:val="24"/>
          <w:vertAlign w:val="superscript"/>
          <w:lang w:val="en-US"/>
        </w:rPr>
        <w:t>[1]</w:t>
      </w:r>
      <w:r w:rsidRPr="0001656C">
        <w:rPr>
          <w:rFonts w:ascii="Book Antiqua" w:hAnsi="Book Antiqua" w:cs="Times New Roman"/>
          <w:sz w:val="24"/>
          <w:szCs w:val="24"/>
          <w:lang w:val="en-US"/>
        </w:rPr>
        <w:t>. A significant</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correlation between CD and a lower response to the hepatitis B virus (HBV)</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vaccine</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was demonstrated several years ago, but the causes of this phenomenon remain</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unclear. Many authors have postulated the role of HLA molecules (DQ2 and DQ8)</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in affecting an impaired</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 xml:space="preserve">immune response to HBV vaccine in </w:t>
      </w:r>
      <w:proofErr w:type="gramStart"/>
      <w:r w:rsidRPr="0001656C">
        <w:rPr>
          <w:rFonts w:ascii="Book Antiqua" w:hAnsi="Book Antiqua" w:cs="Times New Roman"/>
          <w:sz w:val="24"/>
          <w:szCs w:val="24"/>
          <w:lang w:val="en-US"/>
        </w:rPr>
        <w:t>CD</w:t>
      </w:r>
      <w:r w:rsidRPr="0001656C">
        <w:rPr>
          <w:rFonts w:ascii="Book Antiqua" w:hAnsi="Book Antiqua" w:cs="Times New Roman"/>
          <w:sz w:val="24"/>
          <w:szCs w:val="24"/>
          <w:vertAlign w:val="superscript"/>
          <w:lang w:val="en-US"/>
        </w:rPr>
        <w:t>[</w:t>
      </w:r>
      <w:proofErr w:type="gramEnd"/>
      <w:r w:rsidRPr="0001656C">
        <w:rPr>
          <w:rFonts w:ascii="Book Antiqua" w:hAnsi="Book Antiqua" w:cs="Times New Roman"/>
          <w:sz w:val="24"/>
          <w:szCs w:val="24"/>
          <w:vertAlign w:val="superscript"/>
          <w:lang w:val="en-US"/>
        </w:rPr>
        <w:t>2]</w:t>
      </w:r>
      <w:r w:rsidRPr="0001656C">
        <w:rPr>
          <w:rFonts w:ascii="Book Antiqua" w:hAnsi="Book Antiqua" w:cs="Times New Roman"/>
          <w:sz w:val="24"/>
          <w:szCs w:val="24"/>
          <w:lang w:val="en-US"/>
        </w:rPr>
        <w:t>. On the other hand, it has been theorized</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that gluten intake could represent the main factor involved,</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because according to some studies the percentage of responders among</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celiac patients who are compliant with a gluten-free diet (GFD) is similar to that among</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 xml:space="preserve">healthy </w:t>
      </w:r>
      <w:proofErr w:type="gramStart"/>
      <w:r w:rsidRPr="0001656C">
        <w:rPr>
          <w:rFonts w:ascii="Book Antiqua" w:hAnsi="Book Antiqua" w:cs="Times New Roman"/>
          <w:sz w:val="24"/>
          <w:szCs w:val="24"/>
          <w:lang w:val="en-US"/>
        </w:rPr>
        <w:t>subjects</w:t>
      </w:r>
      <w:r w:rsidRPr="0001656C">
        <w:rPr>
          <w:rFonts w:ascii="Book Antiqua" w:hAnsi="Book Antiqua" w:cs="Times New Roman"/>
          <w:sz w:val="24"/>
          <w:szCs w:val="24"/>
          <w:vertAlign w:val="superscript"/>
          <w:lang w:val="en-US"/>
        </w:rPr>
        <w:t>[</w:t>
      </w:r>
      <w:proofErr w:type="gramEnd"/>
      <w:r w:rsidRPr="0001656C">
        <w:rPr>
          <w:rFonts w:ascii="Book Antiqua" w:hAnsi="Book Antiqua" w:cs="Times New Roman"/>
          <w:sz w:val="24"/>
          <w:szCs w:val="24"/>
          <w:vertAlign w:val="superscript"/>
          <w:lang w:val="en-US"/>
        </w:rPr>
        <w:t>3,4]</w:t>
      </w:r>
      <w:r w:rsidRPr="0001656C">
        <w:rPr>
          <w:rFonts w:ascii="Book Antiqua" w:hAnsi="Book Antiqua" w:cs="Times New Roman"/>
          <w:sz w:val="24"/>
          <w:szCs w:val="24"/>
          <w:lang w:val="en-US"/>
        </w:rPr>
        <w:t xml:space="preserve">. </w:t>
      </w:r>
    </w:p>
    <w:p w:rsidR="00D22412" w:rsidRPr="0001656C" w:rsidRDefault="00D22412" w:rsidP="00C65294">
      <w:pPr>
        <w:spacing w:after="0" w:line="360" w:lineRule="auto"/>
        <w:ind w:firstLineChars="100" w:firstLine="240"/>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Despite the many hypotheses, the debate on poor response to hepatitis B vaccination in CD remains largely open. It could be hypothesized that many confounding factors in some of the previous studies have contributed to maintaining</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this uncertainty. First of all,</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the lack of prospective data determines a more extensive gap between time of vaccination and development of the immune response, contributing to select “false non-responders” (</w:t>
      </w:r>
      <w:r w:rsidRPr="0001656C">
        <w:rPr>
          <w:rFonts w:ascii="Book Antiqua" w:hAnsi="Book Antiqua" w:cs="Times New Roman"/>
          <w:i/>
          <w:sz w:val="24"/>
          <w:szCs w:val="24"/>
          <w:lang w:val="en-US"/>
        </w:rPr>
        <w:t>i.e</w:t>
      </w:r>
      <w:r w:rsidRPr="0001656C">
        <w:rPr>
          <w:rFonts w:ascii="Book Antiqua" w:hAnsi="Book Antiqua" w:cs="Times New Roman"/>
          <w:sz w:val="24"/>
          <w:szCs w:val="24"/>
          <w:lang w:val="en-US"/>
        </w:rPr>
        <w:t>.</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those who are destined to lose the antibody titer over time)</w:t>
      </w:r>
      <w:r w:rsidRPr="0001656C">
        <w:rPr>
          <w:rFonts w:ascii="Book Antiqua" w:hAnsi="Book Antiqua" w:cs="Times New Roman"/>
          <w:sz w:val="24"/>
          <w:szCs w:val="24"/>
          <w:vertAlign w:val="superscript"/>
          <w:lang w:val="en-US"/>
        </w:rPr>
        <w:t>[5]</w:t>
      </w:r>
      <w:r w:rsidRPr="0001656C">
        <w:rPr>
          <w:rFonts w:ascii="Book Antiqua" w:hAnsi="Book Antiqua" w:cs="Times New Roman"/>
          <w:sz w:val="24"/>
          <w:szCs w:val="24"/>
          <w:lang w:val="en-US"/>
        </w:rPr>
        <w:t>. Moreover, it could be easier</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to evaluate the effective role of HLA in influencing HBV vaccine response when CD has just been diagnosed and no other factors have yet intervened.</w:t>
      </w:r>
    </w:p>
    <w:p w:rsidR="00D22412" w:rsidRPr="0001656C" w:rsidRDefault="00D22412" w:rsidP="00C65294">
      <w:pPr>
        <w:spacing w:after="0" w:line="360" w:lineRule="auto"/>
        <w:ind w:firstLineChars="100" w:firstLine="240"/>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For all these reasons, the aim of our</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prospective</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study</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was to eliminate or reduce</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such confounding factors and to evaluate hepatitis B vaccination response in celiac patients at diagnosis of the disease and its possible correlation with HLA and/or gluten intake.</w:t>
      </w:r>
    </w:p>
    <w:p w:rsidR="00D22412" w:rsidRPr="0001656C" w:rsidRDefault="00D22412" w:rsidP="00D22412">
      <w:pPr>
        <w:spacing w:after="0" w:line="360" w:lineRule="auto"/>
        <w:contextualSpacing/>
        <w:jc w:val="both"/>
        <w:rPr>
          <w:rFonts w:ascii="Book Antiqua" w:hAnsi="Book Antiqua" w:cs="Times New Roman"/>
          <w:sz w:val="24"/>
          <w:szCs w:val="24"/>
          <w:lang w:val="en-US"/>
        </w:rPr>
      </w:pPr>
    </w:p>
    <w:p w:rsidR="00D22412" w:rsidRPr="0001656C" w:rsidRDefault="00D22412" w:rsidP="00D22412">
      <w:pPr>
        <w:spacing w:after="0" w:line="360" w:lineRule="auto"/>
        <w:rPr>
          <w:rFonts w:ascii="Book Antiqua" w:hAnsi="Book Antiqua" w:cs="Times New Roman"/>
          <w:b/>
          <w:sz w:val="24"/>
          <w:szCs w:val="24"/>
          <w:lang w:val="en-US"/>
        </w:rPr>
      </w:pPr>
      <w:r w:rsidRPr="0001656C">
        <w:rPr>
          <w:rFonts w:ascii="Book Antiqua" w:hAnsi="Book Antiqua" w:cs="Times New Roman"/>
          <w:b/>
          <w:sz w:val="24"/>
          <w:szCs w:val="24"/>
          <w:lang w:val="en-US"/>
        </w:rPr>
        <w:t>MATERIALS AND METHODS</w:t>
      </w:r>
    </w:p>
    <w:p w:rsidR="00D22412" w:rsidRPr="0001656C" w:rsidRDefault="00D22412" w:rsidP="00D22412">
      <w:pPr>
        <w:spacing w:after="0" w:line="360" w:lineRule="auto"/>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In this prospective study we recruited 51 patients affected by CD, diagnosed at</w:t>
      </w:r>
      <w:r w:rsidR="004B0925">
        <w:rPr>
          <w:rFonts w:ascii="Book Antiqua" w:hAnsi="Book Antiqua" w:cs="Times New Roman"/>
          <w:sz w:val="24"/>
          <w:szCs w:val="24"/>
          <w:lang w:val="en-US"/>
        </w:rPr>
        <w:t xml:space="preserve"> </w:t>
      </w:r>
      <w:r w:rsidRPr="0001656C">
        <w:rPr>
          <w:rFonts w:ascii="Book Antiqua" w:hAnsi="Book Antiqua" w:cs="Times New Roman"/>
          <w:sz w:val="24"/>
          <w:szCs w:val="24"/>
          <w:lang w:val="en-US"/>
        </w:rPr>
        <w:t xml:space="preserve">the Department of Pediatrics of the University of Catania (Italy). The diagnosis of CD was made according to the European Society for </w:t>
      </w:r>
      <w:proofErr w:type="spellStart"/>
      <w:r w:rsidRPr="0001656C">
        <w:rPr>
          <w:rFonts w:ascii="Book Antiqua" w:hAnsi="Book Antiqua" w:cs="Times New Roman"/>
          <w:sz w:val="24"/>
          <w:szCs w:val="24"/>
          <w:lang w:val="en-US"/>
        </w:rPr>
        <w:t>Paediatric</w:t>
      </w:r>
      <w:proofErr w:type="spellEnd"/>
      <w:r w:rsidRPr="0001656C">
        <w:rPr>
          <w:rFonts w:ascii="Book Antiqua" w:hAnsi="Book Antiqua" w:cs="Times New Roman"/>
          <w:sz w:val="24"/>
          <w:szCs w:val="24"/>
          <w:lang w:val="en-US"/>
        </w:rPr>
        <w:t xml:space="preserve"> Gastroenterology, Hepatology and Nutrition (ESPGHAN) criteria</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updated in 2012</w:t>
      </w:r>
      <w:r w:rsidRPr="0001656C">
        <w:rPr>
          <w:rFonts w:ascii="Book Antiqua" w:hAnsi="Book Antiqua" w:cs="Times New Roman"/>
          <w:sz w:val="24"/>
          <w:szCs w:val="24"/>
          <w:vertAlign w:val="superscript"/>
          <w:lang w:val="en-US"/>
        </w:rPr>
        <w:t>[6]</w:t>
      </w:r>
      <w:r w:rsidRPr="0001656C">
        <w:rPr>
          <w:rFonts w:ascii="Book Antiqua" w:hAnsi="Book Antiqua" w:cs="Times New Roman"/>
          <w:sz w:val="24"/>
          <w:szCs w:val="24"/>
          <w:lang w:val="en-US"/>
        </w:rPr>
        <w:t>.The total serum IgA levels were</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measured</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in all patients in order to exclude the presence of a selective deficit of IgA.</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Inclusion criteria required that subjects must have completed obligatory vaccinations, including the HBV vaccine. All patients where tested at admission for immunization against HBV, according to finding</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from</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quantitative analysis of</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the HBV surface antibody (anti-HBs).</w:t>
      </w:r>
      <w:r w:rsidR="00C93E1A">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 xml:space="preserve">The anti-HBs titer was measured by enzyme-linked immunosorbent assay </w:t>
      </w:r>
      <w:r w:rsidRPr="0001656C">
        <w:rPr>
          <w:rFonts w:ascii="Book Antiqua" w:hAnsi="Book Antiqua" w:cs="Times New Roman"/>
          <w:sz w:val="24"/>
          <w:szCs w:val="24"/>
          <w:lang w:val="en-US"/>
        </w:rPr>
        <w:lastRenderedPageBreak/>
        <w:t>(ELISA).</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Following</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the international standards, subjects with antibody</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titer</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&lt; 10 IU/L were defined as non-</w:t>
      </w:r>
      <w:proofErr w:type="gramStart"/>
      <w:r w:rsidRPr="0001656C">
        <w:rPr>
          <w:rFonts w:ascii="Book Antiqua" w:hAnsi="Book Antiqua" w:cs="Times New Roman"/>
          <w:sz w:val="24"/>
          <w:szCs w:val="24"/>
          <w:lang w:val="en-US"/>
        </w:rPr>
        <w:t>responders</w:t>
      </w:r>
      <w:r w:rsidRPr="0001656C">
        <w:rPr>
          <w:rFonts w:ascii="Book Antiqua" w:hAnsi="Book Antiqua" w:cs="Times New Roman"/>
          <w:sz w:val="24"/>
          <w:szCs w:val="24"/>
          <w:vertAlign w:val="superscript"/>
          <w:lang w:val="en-US"/>
        </w:rPr>
        <w:t>[</w:t>
      </w:r>
      <w:proofErr w:type="gramEnd"/>
      <w:r w:rsidRPr="0001656C">
        <w:rPr>
          <w:rFonts w:ascii="Book Antiqua" w:hAnsi="Book Antiqua" w:cs="Times New Roman"/>
          <w:sz w:val="24"/>
          <w:szCs w:val="24"/>
          <w:vertAlign w:val="superscript"/>
          <w:lang w:val="en-US"/>
        </w:rPr>
        <w:t>7]</w:t>
      </w:r>
      <w:r w:rsidRPr="0001656C">
        <w:rPr>
          <w:rFonts w:ascii="Book Antiqua" w:hAnsi="Book Antiqua" w:cs="Times New Roman"/>
          <w:sz w:val="24"/>
          <w:szCs w:val="24"/>
          <w:lang w:val="en-US"/>
        </w:rPr>
        <w:t>.</w:t>
      </w:r>
    </w:p>
    <w:p w:rsidR="00D22412" w:rsidRPr="0001656C" w:rsidRDefault="00D22412" w:rsidP="00C65294">
      <w:pPr>
        <w:spacing w:after="0" w:line="360" w:lineRule="auto"/>
        <w:ind w:firstLineChars="100" w:firstLine="240"/>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Two of the 51 celiac patients were excluded because of insufficiency of their serum samples for analysis of</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the anti-HBs titer.</w:t>
      </w:r>
    </w:p>
    <w:p w:rsidR="00D22412" w:rsidRPr="0001656C" w:rsidRDefault="00D22412" w:rsidP="00C65294">
      <w:pPr>
        <w:spacing w:after="0" w:line="360" w:lineRule="auto"/>
        <w:ind w:firstLineChars="100" w:firstLine="240"/>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We examined the prevalence of responders and non-responders among celiac subjects and the distribution of immunization for age. For this, all patients were divided into</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three groups on the basis of their age at diagnosis: group A children were aged between 1.5 and 5.5 years; group B children were aged between 5.5 and 9.5 years; group C children</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were aged between 9.5 and 17 years.</w:t>
      </w:r>
    </w:p>
    <w:p w:rsidR="00D22412" w:rsidRPr="0001656C" w:rsidRDefault="00D22412" w:rsidP="00C65294">
      <w:pPr>
        <w:spacing w:after="0" w:line="360" w:lineRule="auto"/>
        <w:ind w:firstLineChars="100" w:firstLine="240"/>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Moreover, we divided all 49 patients on the basis of clinical features at diagnosis of CD and distinguished them in the following</w:t>
      </w:r>
      <w:r w:rsidR="00FD28D9"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three groups: group 1 patients had</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typical form (onset with diarrhea, abdominal pain, cramping or distension, dyspepsia, vomiting or failure to thrive);</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group 2 patients had</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a</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typical form (onset with other symptoms such as deficiency iron-anemia, chronic fatigue, behavior change, dermatitis and joint pain)</w:t>
      </w:r>
      <w:proofErr w:type="gramStart"/>
      <w:r w:rsidRPr="0001656C">
        <w:rPr>
          <w:rFonts w:ascii="Book Antiqua" w:hAnsi="Book Antiqua" w:cs="Times New Roman"/>
          <w:sz w:val="24"/>
          <w:szCs w:val="24"/>
          <w:lang w:val="en-US"/>
        </w:rPr>
        <w:t>;group</w:t>
      </w:r>
      <w:proofErr w:type="gramEnd"/>
      <w:r w:rsidRPr="0001656C">
        <w:rPr>
          <w:rFonts w:ascii="Book Antiqua" w:hAnsi="Book Antiqua" w:cs="Times New Roman"/>
          <w:sz w:val="24"/>
          <w:szCs w:val="24"/>
          <w:lang w:val="en-US"/>
        </w:rPr>
        <w:t xml:space="preserve"> 3 patients had</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silent form (asymptomatic onset). The prevalence of responders and non-responders was assessed for correlation to HLA and the clinical features at diagnosis of CD (typical or atypical onset).</w:t>
      </w:r>
    </w:p>
    <w:p w:rsidR="00D22412" w:rsidRPr="0001656C" w:rsidRDefault="00D22412" w:rsidP="00C65294">
      <w:pPr>
        <w:spacing w:after="0" w:line="360" w:lineRule="auto"/>
        <w:ind w:firstLineChars="100" w:firstLine="240"/>
        <w:jc w:val="both"/>
        <w:rPr>
          <w:rFonts w:ascii="Book Antiqua" w:hAnsi="Book Antiqua" w:cs="Times New Roman"/>
          <w:sz w:val="24"/>
          <w:szCs w:val="24"/>
          <w:lang w:val="en-US"/>
        </w:rPr>
      </w:pPr>
      <w:r w:rsidRPr="0001656C">
        <w:rPr>
          <w:rFonts w:ascii="Book Antiqua" w:hAnsi="Book Antiqua" w:cs="Times New Roman"/>
          <w:sz w:val="24"/>
          <w:szCs w:val="24"/>
          <w:lang w:val="en-US"/>
        </w:rPr>
        <w:t xml:space="preserve">At the end, we compared the results obtained by the present observational study with the results of a retrospective study previously conducted in our Department of Pediatrics. </w:t>
      </w:r>
    </w:p>
    <w:p w:rsidR="00D22412" w:rsidRPr="0001656C" w:rsidRDefault="00D22412" w:rsidP="00D22412">
      <w:pPr>
        <w:spacing w:after="0" w:line="360" w:lineRule="auto"/>
        <w:jc w:val="both"/>
        <w:rPr>
          <w:rFonts w:ascii="Book Antiqua" w:hAnsi="Book Antiqua" w:cs="Times New Roman"/>
          <w:b/>
          <w:i/>
          <w:sz w:val="24"/>
          <w:szCs w:val="24"/>
          <w:lang w:val="en-US"/>
        </w:rPr>
      </w:pPr>
    </w:p>
    <w:p w:rsidR="00D22412" w:rsidRPr="0001656C" w:rsidRDefault="00D22412" w:rsidP="00D22412">
      <w:pPr>
        <w:spacing w:after="0" w:line="360" w:lineRule="auto"/>
        <w:jc w:val="both"/>
        <w:rPr>
          <w:rFonts w:ascii="Book Antiqua" w:hAnsi="Book Antiqua" w:cs="Times New Roman"/>
          <w:b/>
          <w:i/>
          <w:sz w:val="24"/>
          <w:szCs w:val="24"/>
          <w:lang w:val="en-US"/>
        </w:rPr>
      </w:pPr>
      <w:r w:rsidRPr="0001656C">
        <w:rPr>
          <w:rFonts w:ascii="Book Antiqua" w:hAnsi="Book Antiqua" w:cs="Times New Roman"/>
          <w:b/>
          <w:i/>
          <w:sz w:val="24"/>
          <w:szCs w:val="24"/>
          <w:lang w:val="en-US"/>
        </w:rPr>
        <w:t>Statistical analysis</w:t>
      </w:r>
    </w:p>
    <w:p w:rsidR="00D22412" w:rsidRPr="0001656C" w:rsidRDefault="00D22412" w:rsidP="00D22412">
      <w:pPr>
        <w:spacing w:after="0" w:line="360" w:lineRule="auto"/>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The statistical analysis of data was performed with the use of SPSS version 21.0 software (SPSS Inc. Chicago, IL, United States). The results for quantitative variables were expressed as mean ±</w:t>
      </w:r>
      <w:r w:rsidR="00E46C6F">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SD, and those of</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qualitative variables were expressed as frequencies and percentages. Differences between groups were compared using the Mann-Whitney U test for two independent samples. The Fisher’s exact test was used to compare frequencies.</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For all analyses, statistical significance was defined as</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i/>
          <w:sz w:val="24"/>
          <w:szCs w:val="24"/>
          <w:lang w:val="en-US"/>
        </w:rPr>
        <w:t>P</w:t>
      </w:r>
      <w:r w:rsidR="00240998" w:rsidRPr="0001656C">
        <w:rPr>
          <w:rFonts w:ascii="Book Antiqua" w:hAnsi="Book Antiqua" w:cs="Times New Roman"/>
          <w:i/>
          <w:sz w:val="24"/>
          <w:szCs w:val="24"/>
          <w:lang w:val="en-US" w:eastAsia="zh-CN"/>
        </w:rPr>
        <w:t xml:space="preserve"> </w:t>
      </w:r>
      <w:r w:rsidRPr="0001656C">
        <w:rPr>
          <w:rFonts w:ascii="Book Antiqua" w:hAnsi="Book Antiqua" w:cs="Times New Roman"/>
          <w:sz w:val="24"/>
          <w:szCs w:val="24"/>
          <w:lang w:val="en-US"/>
        </w:rPr>
        <w:t>&lt;</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0.05.</w:t>
      </w:r>
    </w:p>
    <w:p w:rsidR="00D22412" w:rsidRPr="0001656C" w:rsidRDefault="00D22412" w:rsidP="00D22412">
      <w:pPr>
        <w:spacing w:after="0" w:line="360" w:lineRule="auto"/>
        <w:rPr>
          <w:rFonts w:ascii="Book Antiqua" w:hAnsi="Book Antiqua" w:cs="Times New Roman"/>
          <w:b/>
          <w:sz w:val="24"/>
          <w:szCs w:val="24"/>
          <w:lang w:val="en-US"/>
        </w:rPr>
      </w:pPr>
    </w:p>
    <w:p w:rsidR="00E90D7B" w:rsidRPr="0001656C" w:rsidRDefault="00D22412" w:rsidP="00E90D7B">
      <w:pPr>
        <w:spacing w:after="0" w:line="360" w:lineRule="auto"/>
        <w:rPr>
          <w:rFonts w:ascii="Book Antiqua" w:hAnsi="Book Antiqua" w:cs="Times New Roman"/>
          <w:b/>
          <w:sz w:val="24"/>
          <w:szCs w:val="24"/>
          <w:lang w:val="en-US" w:eastAsia="zh-CN"/>
        </w:rPr>
      </w:pPr>
      <w:r w:rsidRPr="0001656C">
        <w:rPr>
          <w:rFonts w:ascii="Book Antiqua" w:hAnsi="Book Antiqua" w:cs="Times New Roman"/>
          <w:b/>
          <w:sz w:val="24"/>
          <w:szCs w:val="24"/>
          <w:lang w:val="en-US"/>
        </w:rPr>
        <w:t>RESULTS</w:t>
      </w:r>
    </w:p>
    <w:p w:rsidR="00D22412" w:rsidRPr="0001656C" w:rsidRDefault="00D22412" w:rsidP="00590B27">
      <w:pPr>
        <w:spacing w:after="0" w:line="360" w:lineRule="auto"/>
        <w:jc w:val="both"/>
        <w:rPr>
          <w:rFonts w:ascii="Book Antiqua" w:hAnsi="Book Antiqua" w:cs="Times New Roman"/>
          <w:b/>
          <w:sz w:val="24"/>
          <w:szCs w:val="24"/>
          <w:lang w:val="en-US"/>
        </w:rPr>
      </w:pPr>
      <w:r w:rsidRPr="0001656C">
        <w:rPr>
          <w:rFonts w:ascii="Book Antiqua" w:hAnsi="Book Antiqua" w:cs="Times New Roman"/>
          <w:sz w:val="24"/>
          <w:szCs w:val="24"/>
          <w:lang w:val="en-US"/>
        </w:rPr>
        <w:t>Data for</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the serologic and histologic findings of duodenal biopsies (according to Marsh classification) used for the diagnosis of CD are summarized in Table 1, while characteristics of the 49 patients included in the study (sex, age, percentage of responders, HLA haplotype) are summarized in Table 2.</w:t>
      </w:r>
    </w:p>
    <w:p w:rsidR="00D22412" w:rsidRPr="0001656C" w:rsidRDefault="00D22412" w:rsidP="00C65294">
      <w:pPr>
        <w:shd w:val="clear" w:color="auto" w:fill="FFFFFF"/>
        <w:spacing w:after="0" w:line="360" w:lineRule="auto"/>
        <w:ind w:firstLineChars="100" w:firstLine="240"/>
        <w:contextualSpacing/>
        <w:jc w:val="both"/>
        <w:rPr>
          <w:rFonts w:ascii="Book Antiqua" w:eastAsia="Times New Roman" w:hAnsi="Book Antiqua" w:cs="Times New Roman"/>
          <w:sz w:val="24"/>
          <w:szCs w:val="24"/>
          <w:lang w:val="en-US" w:eastAsia="it-IT"/>
        </w:rPr>
      </w:pPr>
      <w:r w:rsidRPr="0001656C">
        <w:rPr>
          <w:rFonts w:ascii="Book Antiqua" w:hAnsi="Book Antiqua" w:cs="Times New Roman"/>
          <w:sz w:val="24"/>
          <w:szCs w:val="24"/>
          <w:lang w:val="en-US"/>
        </w:rPr>
        <w:lastRenderedPageBreak/>
        <w:t>When we divided the entire</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study population into the three age groups, we found 24 patients were aged between 0 to 5.5 years (48.9%, group A), 16 were aged between 5.5 and 9.5 years (30.61%, group B) and 9 were aged between 9.5 and 17 years (18.75%, group C). The responders were distributed into the three age groups as follows: 19 (38.77%) in group A; 11 (22.44%) in group B; 4 (8.16%) in group C. Comparing the percentage of responders and non-responders between the youngest and the oldest group, no significant difference was found (</w:t>
      </w:r>
      <w:r w:rsidRPr="0001656C">
        <w:rPr>
          <w:rFonts w:ascii="Book Antiqua" w:hAnsi="Book Antiqua" w:cs="Times New Roman"/>
          <w:i/>
          <w:sz w:val="24"/>
          <w:szCs w:val="24"/>
          <w:lang w:val="en-US"/>
        </w:rPr>
        <w:t>P</w:t>
      </w:r>
      <w:r w:rsidR="00240998" w:rsidRPr="0001656C">
        <w:rPr>
          <w:rFonts w:ascii="Book Antiqua" w:hAnsi="Book Antiqua" w:cs="Times New Roman"/>
          <w:i/>
          <w:sz w:val="24"/>
          <w:szCs w:val="24"/>
          <w:lang w:val="en-US" w:eastAsia="zh-CN"/>
        </w:rPr>
        <w:t xml:space="preserve"> </w:t>
      </w:r>
      <w:r w:rsidRPr="0001656C">
        <w:rPr>
          <w:rFonts w:ascii="Book Antiqua" w:hAnsi="Book Antiqua" w:cs="Times New Roman"/>
          <w:sz w:val="24"/>
          <w:szCs w:val="24"/>
          <w:lang w:val="en-US"/>
        </w:rPr>
        <w:t>&gt;</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 xml:space="preserve">0.05). </w:t>
      </w:r>
    </w:p>
    <w:p w:rsidR="00D22412" w:rsidRPr="0001656C" w:rsidRDefault="00D22412" w:rsidP="00C65294">
      <w:pPr>
        <w:shd w:val="clear" w:color="auto" w:fill="FFFFFF"/>
        <w:spacing w:after="0" w:line="360" w:lineRule="auto"/>
        <w:ind w:firstLineChars="100" w:firstLine="240"/>
        <w:contextualSpacing/>
        <w:jc w:val="both"/>
        <w:rPr>
          <w:rFonts w:ascii="Book Antiqua" w:eastAsia="Times New Roman" w:hAnsi="Book Antiqua" w:cs="Times New Roman"/>
          <w:sz w:val="24"/>
          <w:szCs w:val="24"/>
          <w:lang w:val="en-US" w:eastAsia="it-IT"/>
        </w:rPr>
      </w:pPr>
      <w:r w:rsidRPr="0001656C">
        <w:rPr>
          <w:rFonts w:ascii="Book Antiqua" w:hAnsi="Book Antiqua" w:cs="Times New Roman"/>
          <w:sz w:val="24"/>
          <w:szCs w:val="24"/>
          <w:lang w:val="en-US"/>
        </w:rPr>
        <w:t>With regard to the HLA haplotype, comparison of the distribution of vaccination response showed no statistically significant difference between the different</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genotypes</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(Table 2).</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Moreover, the distribution of responders according to clinical features of CD was as follows: 20 out of 26 patients</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in group 1; 11 out of 17 in group 2; 3 out of 6in group 3. The typical form</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showed</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significant association with the presence of HLADQ2 (</w:t>
      </w:r>
      <w:r w:rsidRPr="0001656C">
        <w:rPr>
          <w:rFonts w:ascii="Book Antiqua" w:hAnsi="Book Antiqua" w:cs="Times New Roman"/>
          <w:i/>
          <w:sz w:val="24"/>
          <w:szCs w:val="24"/>
          <w:lang w:val="en-US"/>
        </w:rPr>
        <w:t>P</w:t>
      </w:r>
      <w:r w:rsidR="00240998" w:rsidRPr="0001656C">
        <w:rPr>
          <w:rFonts w:ascii="Book Antiqua" w:hAnsi="Book Antiqua" w:cs="Times New Roman"/>
          <w:i/>
          <w:sz w:val="24"/>
          <w:szCs w:val="24"/>
          <w:lang w:val="en-US" w:eastAsia="zh-CN"/>
        </w:rPr>
        <w:t xml:space="preserve"> </w:t>
      </w:r>
      <w:r w:rsidRPr="0001656C">
        <w:rPr>
          <w:rFonts w:ascii="Book Antiqua" w:hAnsi="Book Antiqua" w:cs="Times New Roman"/>
          <w:sz w:val="24"/>
          <w:szCs w:val="24"/>
          <w:lang w:val="en-US"/>
        </w:rPr>
        <w:t>&lt; 0.05).</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Comparison of the immunological vaccine response between the three groups showed no statistically significant differences related to the clinical features (Table 2).</w:t>
      </w:r>
    </w:p>
    <w:p w:rsidR="00D22412" w:rsidRPr="0001656C" w:rsidRDefault="00D22412" w:rsidP="00C65294">
      <w:pPr>
        <w:spacing w:after="0" w:line="360" w:lineRule="auto"/>
        <w:ind w:firstLineChars="100" w:firstLine="240"/>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Finally, we found a statistically significant difference in the vaccination response</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for patients in the present observational study as compared to</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patients analyzed in the previous retrospective study.</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In the present study, 34 out of 49 patients were responders compared to 30 out of 60 patients in the retrospective study</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w:t>
      </w:r>
      <w:r w:rsidRPr="0001656C">
        <w:rPr>
          <w:rFonts w:ascii="Book Antiqua" w:hAnsi="Book Antiqua" w:cs="Times New Roman"/>
          <w:i/>
          <w:sz w:val="24"/>
          <w:szCs w:val="24"/>
          <w:lang w:val="en-US"/>
        </w:rPr>
        <w:t>P</w:t>
      </w:r>
      <w:r w:rsidR="00240998" w:rsidRPr="0001656C">
        <w:rPr>
          <w:rFonts w:ascii="Book Antiqua" w:hAnsi="Book Antiqua" w:cs="Times New Roman"/>
          <w:i/>
          <w:sz w:val="24"/>
          <w:szCs w:val="24"/>
          <w:lang w:val="en-US" w:eastAsia="zh-CN"/>
        </w:rPr>
        <w:t xml:space="preserve"> </w:t>
      </w:r>
      <w:r w:rsidRPr="0001656C">
        <w:rPr>
          <w:rFonts w:ascii="Book Antiqua" w:hAnsi="Book Antiqua" w:cs="Times New Roman"/>
          <w:sz w:val="24"/>
          <w:szCs w:val="24"/>
          <w:lang w:val="en-US"/>
        </w:rPr>
        <w:t>&lt; 0.01).</w:t>
      </w:r>
    </w:p>
    <w:p w:rsidR="00D22412" w:rsidRPr="0001656C" w:rsidRDefault="00D22412" w:rsidP="00D22412">
      <w:pPr>
        <w:spacing w:after="0" w:line="360" w:lineRule="auto"/>
        <w:rPr>
          <w:rFonts w:ascii="Book Antiqua" w:hAnsi="Book Antiqua" w:cs="Times New Roman"/>
          <w:b/>
          <w:sz w:val="24"/>
          <w:szCs w:val="24"/>
          <w:u w:val="single"/>
          <w:lang w:val="en-US"/>
        </w:rPr>
      </w:pPr>
    </w:p>
    <w:p w:rsidR="00D22412" w:rsidRPr="0001656C" w:rsidRDefault="00D22412" w:rsidP="00D22412">
      <w:pPr>
        <w:spacing w:after="0" w:line="360" w:lineRule="auto"/>
        <w:rPr>
          <w:rFonts w:ascii="Book Antiqua" w:hAnsi="Book Antiqua" w:cs="Times New Roman"/>
          <w:b/>
          <w:sz w:val="24"/>
          <w:szCs w:val="24"/>
          <w:lang w:val="en-US"/>
        </w:rPr>
      </w:pPr>
      <w:r w:rsidRPr="0001656C">
        <w:rPr>
          <w:rFonts w:ascii="Book Antiqua" w:hAnsi="Book Antiqua" w:cs="Times New Roman"/>
          <w:b/>
          <w:sz w:val="24"/>
          <w:szCs w:val="24"/>
          <w:lang w:val="en-US"/>
        </w:rPr>
        <w:t>DISCUSSION</w:t>
      </w:r>
    </w:p>
    <w:p w:rsidR="00D22412" w:rsidRPr="0001656C" w:rsidRDefault="00D22412" w:rsidP="00D22412">
      <w:pPr>
        <w:spacing w:after="0" w:line="360" w:lineRule="auto"/>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 xml:space="preserve">CD is defined as an immune-mediated systemic disorder elicited by gluten and related </w:t>
      </w:r>
      <w:proofErr w:type="spellStart"/>
      <w:r w:rsidRPr="0001656C">
        <w:rPr>
          <w:rFonts w:ascii="Book Antiqua" w:hAnsi="Book Antiqua" w:cs="Times New Roman"/>
          <w:sz w:val="24"/>
          <w:szCs w:val="24"/>
          <w:lang w:val="en-US"/>
        </w:rPr>
        <w:t>prolamines</w:t>
      </w:r>
      <w:proofErr w:type="spellEnd"/>
      <w:r w:rsidRPr="0001656C">
        <w:rPr>
          <w:rFonts w:ascii="Book Antiqua" w:hAnsi="Book Antiqua" w:cs="Times New Roman"/>
          <w:sz w:val="24"/>
          <w:szCs w:val="24"/>
          <w:lang w:val="en-US"/>
        </w:rPr>
        <w:t xml:space="preserve"> in genetically-susceptible individuals and is characterized by the presence of a variable combination of gluten-dependent clinical manifestations, CD-specific antibodies, HLADQ2 or DQ8 haplotypes and </w:t>
      </w:r>
      <w:proofErr w:type="gramStart"/>
      <w:r w:rsidRPr="0001656C">
        <w:rPr>
          <w:rFonts w:ascii="Book Antiqua" w:hAnsi="Book Antiqua" w:cs="Times New Roman"/>
          <w:sz w:val="24"/>
          <w:szCs w:val="24"/>
          <w:lang w:val="en-US"/>
        </w:rPr>
        <w:t>enteropathy</w:t>
      </w:r>
      <w:r w:rsidRPr="0001656C">
        <w:rPr>
          <w:rFonts w:ascii="Book Antiqua" w:hAnsi="Book Antiqua" w:cs="Times New Roman"/>
          <w:sz w:val="24"/>
          <w:szCs w:val="24"/>
          <w:vertAlign w:val="superscript"/>
          <w:lang w:val="en-US"/>
        </w:rPr>
        <w:t>[</w:t>
      </w:r>
      <w:proofErr w:type="gramEnd"/>
      <w:r w:rsidRPr="0001656C">
        <w:rPr>
          <w:rFonts w:ascii="Book Antiqua" w:hAnsi="Book Antiqua" w:cs="Times New Roman"/>
          <w:sz w:val="24"/>
          <w:szCs w:val="24"/>
          <w:vertAlign w:val="superscript"/>
          <w:lang w:val="en-US"/>
        </w:rPr>
        <w:t>6]</w:t>
      </w:r>
      <w:r w:rsidRPr="0001656C">
        <w:rPr>
          <w:rFonts w:ascii="Book Antiqua" w:hAnsi="Book Antiqua" w:cs="Times New Roman"/>
          <w:sz w:val="24"/>
          <w:szCs w:val="24"/>
          <w:lang w:val="en-US"/>
        </w:rPr>
        <w:t xml:space="preserve">. </w:t>
      </w:r>
    </w:p>
    <w:p w:rsidR="00D22412" w:rsidRPr="0001656C" w:rsidRDefault="00D22412" w:rsidP="00C65294">
      <w:pPr>
        <w:spacing w:after="0" w:line="360" w:lineRule="auto"/>
        <w:ind w:firstLineChars="100" w:firstLine="240"/>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The reasons why CD could be related to an inadequate response to hepatitis B vaccination have long been discussed. Some previous studies have suggested a genetically-related failure of response, attributed to particular HLA antigens,</w:t>
      </w:r>
      <w:r w:rsidR="004B0925">
        <w:rPr>
          <w:rFonts w:ascii="Book Antiqua" w:hAnsi="Book Antiqua" w:cs="Times New Roman"/>
          <w:sz w:val="24"/>
          <w:szCs w:val="24"/>
          <w:lang w:val="en-US"/>
        </w:rPr>
        <w:t xml:space="preserve"> </w:t>
      </w:r>
      <w:bookmarkStart w:id="19" w:name="_GoBack"/>
      <w:bookmarkEnd w:id="19"/>
      <w:r w:rsidRPr="0001656C">
        <w:rPr>
          <w:rFonts w:ascii="Book Antiqua" w:hAnsi="Book Antiqua" w:cs="Times New Roman"/>
          <w:sz w:val="24"/>
          <w:szCs w:val="24"/>
          <w:lang w:val="en-US"/>
        </w:rPr>
        <w:t>mainly the DQ2 haplotype, which is also involved in autoimmunity</w:t>
      </w:r>
      <w:r w:rsidRPr="0001656C">
        <w:rPr>
          <w:rFonts w:ascii="Book Antiqua" w:hAnsi="Book Antiqua" w:cs="Times New Roman"/>
          <w:sz w:val="24"/>
          <w:szCs w:val="24"/>
          <w:vertAlign w:val="superscript"/>
          <w:lang w:val="en-US"/>
        </w:rPr>
        <w:t>[8,9]</w:t>
      </w:r>
      <w:r w:rsidRPr="0001656C">
        <w:rPr>
          <w:rFonts w:ascii="Book Antiqua" w:hAnsi="Book Antiqua" w:cs="Times New Roman"/>
          <w:sz w:val="24"/>
          <w:szCs w:val="24"/>
          <w:lang w:val="en-US"/>
        </w:rPr>
        <w:t>.</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In fact, while DQ2 is present in only</w:t>
      </w:r>
      <w:r w:rsidR="00C65294" w:rsidRPr="0001656C">
        <w:rPr>
          <w:rFonts w:ascii="Book Antiqua" w:hAnsi="Book Antiqua" w:cs="Times New Roman"/>
          <w:sz w:val="24"/>
          <w:szCs w:val="24"/>
          <w:lang w:val="en-US"/>
        </w:rPr>
        <w:t>approximately</w:t>
      </w:r>
      <w:r w:rsidRPr="0001656C">
        <w:rPr>
          <w:rFonts w:ascii="Book Antiqua" w:hAnsi="Book Antiqua" w:cs="Times New Roman"/>
          <w:sz w:val="24"/>
          <w:szCs w:val="24"/>
          <w:lang w:val="en-US"/>
        </w:rPr>
        <w:t>40% of the general population, it is expressed in up to 81% of CD patients. The HLADQ2 status would induce an inadequate Th2 response, leading to inefficient B</w:t>
      </w:r>
      <w:r w:rsidR="00591826">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 xml:space="preserve">cell differentiation and formation of memory T </w:t>
      </w:r>
      <w:proofErr w:type="gramStart"/>
      <w:r w:rsidRPr="0001656C">
        <w:rPr>
          <w:rFonts w:ascii="Book Antiqua" w:hAnsi="Book Antiqua" w:cs="Times New Roman"/>
          <w:sz w:val="24"/>
          <w:szCs w:val="24"/>
          <w:lang w:val="en-US"/>
        </w:rPr>
        <w:t>cells</w:t>
      </w:r>
      <w:r w:rsidRPr="0001656C">
        <w:rPr>
          <w:rFonts w:ascii="Book Antiqua" w:hAnsi="Book Antiqua" w:cs="Times New Roman"/>
          <w:sz w:val="24"/>
          <w:szCs w:val="24"/>
          <w:vertAlign w:val="superscript"/>
          <w:lang w:val="en-US"/>
        </w:rPr>
        <w:t>[</w:t>
      </w:r>
      <w:proofErr w:type="gramEnd"/>
      <w:r w:rsidR="00C04CA1" w:rsidRPr="0001656C">
        <w:rPr>
          <w:rFonts w:ascii="Book Antiqua" w:hAnsi="Book Antiqua" w:cs="Times New Roman"/>
          <w:sz w:val="24"/>
          <w:szCs w:val="24"/>
          <w:vertAlign w:val="superscript"/>
          <w:lang w:val="en-US"/>
        </w:rPr>
        <w:t>8,10,11</w:t>
      </w:r>
      <w:r w:rsidRPr="0001656C">
        <w:rPr>
          <w:rFonts w:ascii="Book Antiqua" w:hAnsi="Book Antiqua" w:cs="Times New Roman"/>
          <w:sz w:val="24"/>
          <w:szCs w:val="24"/>
          <w:vertAlign w:val="superscript"/>
          <w:lang w:val="en-US"/>
        </w:rPr>
        <w:t>]</w:t>
      </w:r>
      <w:r w:rsidRPr="0001656C">
        <w:rPr>
          <w:rFonts w:ascii="Book Antiqua" w:hAnsi="Book Antiqua" w:cs="Times New Roman"/>
          <w:sz w:val="24"/>
          <w:szCs w:val="24"/>
          <w:lang w:val="en-US"/>
        </w:rPr>
        <w:t xml:space="preserve">. In 2007,a study by Park </w:t>
      </w:r>
      <w:r w:rsidRPr="0001656C">
        <w:rPr>
          <w:rFonts w:ascii="Book Antiqua" w:hAnsi="Book Antiqua" w:cs="Times New Roman"/>
          <w:i/>
          <w:sz w:val="24"/>
          <w:szCs w:val="24"/>
          <w:lang w:val="en-US"/>
        </w:rPr>
        <w:t>et al</w:t>
      </w:r>
      <w:r w:rsidRPr="0001656C">
        <w:rPr>
          <w:rFonts w:ascii="Book Antiqua" w:hAnsi="Book Antiqua" w:cs="Times New Roman"/>
          <w:sz w:val="24"/>
          <w:szCs w:val="24"/>
          <w:vertAlign w:val="superscript"/>
          <w:lang w:val="en-US"/>
        </w:rPr>
        <w:t>[2]</w:t>
      </w:r>
      <w:r w:rsidRPr="0001656C">
        <w:rPr>
          <w:rFonts w:ascii="Book Antiqua" w:hAnsi="Book Antiqua" w:cs="Times New Roman"/>
          <w:sz w:val="24"/>
          <w:szCs w:val="24"/>
          <w:lang w:val="en-US"/>
        </w:rPr>
        <w:t xml:space="preserve"> demonstrated that more than 50% of the enrolled children with CD did not show a response to standard vaccination regimens for HBV, in contrast to</w:t>
      </w:r>
      <w:r w:rsidR="0034663C">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 xml:space="preserve">a physiological </w:t>
      </w:r>
      <w:r w:rsidRPr="0001656C">
        <w:rPr>
          <w:rFonts w:ascii="Book Antiqua" w:hAnsi="Book Antiqua" w:cs="Times New Roman"/>
          <w:sz w:val="24"/>
          <w:szCs w:val="24"/>
          <w:lang w:val="en-US"/>
        </w:rPr>
        <w:lastRenderedPageBreak/>
        <w:t xml:space="preserve">response that was observed with other vaccinations (tetanus, rubella, and </w:t>
      </w:r>
      <w:proofErr w:type="spellStart"/>
      <w:r w:rsidRPr="0001656C">
        <w:rPr>
          <w:rFonts w:ascii="Book Antiqua" w:hAnsi="Book Antiqua" w:cs="Times New Roman"/>
          <w:i/>
          <w:sz w:val="24"/>
          <w:szCs w:val="24"/>
          <w:lang w:val="en-US"/>
        </w:rPr>
        <w:t>Haemophilus</w:t>
      </w:r>
      <w:proofErr w:type="spellEnd"/>
      <w:r w:rsidR="00240998" w:rsidRPr="0001656C">
        <w:rPr>
          <w:rFonts w:ascii="Book Antiqua" w:hAnsi="Book Antiqua" w:cs="Times New Roman"/>
          <w:i/>
          <w:sz w:val="24"/>
          <w:szCs w:val="24"/>
          <w:lang w:val="en-US" w:eastAsia="zh-CN"/>
        </w:rPr>
        <w:t xml:space="preserve"> </w:t>
      </w:r>
      <w:proofErr w:type="spellStart"/>
      <w:r w:rsidRPr="0001656C">
        <w:rPr>
          <w:rFonts w:ascii="Book Antiqua" w:hAnsi="Book Antiqua" w:cs="Times New Roman"/>
          <w:i/>
          <w:sz w:val="24"/>
          <w:szCs w:val="24"/>
          <w:lang w:val="en-US"/>
        </w:rPr>
        <w:t>influenzae</w:t>
      </w:r>
      <w:proofErr w:type="spellEnd"/>
      <w:r w:rsidRPr="0001656C">
        <w:rPr>
          <w:rFonts w:ascii="Book Antiqua" w:hAnsi="Book Antiqua" w:cs="Times New Roman"/>
          <w:sz w:val="24"/>
          <w:szCs w:val="24"/>
          <w:lang w:val="en-US"/>
        </w:rPr>
        <w:t xml:space="preserve"> type b). This finding supported the hypothesis that HLA haplotype played a specific role in response to HBV vaccine. One year later,</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 xml:space="preserve">a subsequent study conducted by </w:t>
      </w:r>
      <w:proofErr w:type="spellStart"/>
      <w:r w:rsidRPr="0001656C">
        <w:rPr>
          <w:rFonts w:ascii="Book Antiqua" w:hAnsi="Book Antiqua" w:cs="Times New Roman"/>
          <w:sz w:val="24"/>
          <w:szCs w:val="24"/>
          <w:lang w:val="en-US"/>
        </w:rPr>
        <w:t>Ahishali</w:t>
      </w:r>
      <w:proofErr w:type="spellEnd"/>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i/>
          <w:sz w:val="24"/>
          <w:szCs w:val="24"/>
          <w:lang w:val="en-US"/>
        </w:rPr>
        <w:t xml:space="preserve">et </w:t>
      </w:r>
      <w:proofErr w:type="gramStart"/>
      <w:r w:rsidRPr="0001656C">
        <w:rPr>
          <w:rFonts w:ascii="Book Antiqua" w:hAnsi="Book Antiqua" w:cs="Times New Roman"/>
          <w:i/>
          <w:sz w:val="24"/>
          <w:szCs w:val="24"/>
          <w:lang w:val="en-US"/>
        </w:rPr>
        <w:t>al</w:t>
      </w:r>
      <w:r w:rsidR="000D1A0B" w:rsidRPr="0001656C">
        <w:rPr>
          <w:rFonts w:ascii="Book Antiqua" w:hAnsi="Book Antiqua" w:cs="Times New Roman"/>
          <w:sz w:val="24"/>
          <w:szCs w:val="24"/>
          <w:vertAlign w:val="superscript"/>
          <w:lang w:val="en-US"/>
        </w:rPr>
        <w:t>[</w:t>
      </w:r>
      <w:proofErr w:type="gramEnd"/>
      <w:r w:rsidR="000D1A0B" w:rsidRPr="0001656C">
        <w:rPr>
          <w:rFonts w:ascii="Book Antiqua" w:hAnsi="Book Antiqua" w:cs="Times New Roman"/>
          <w:sz w:val="24"/>
          <w:szCs w:val="24"/>
          <w:vertAlign w:val="superscript"/>
          <w:lang w:val="en-US"/>
        </w:rPr>
        <w:t>12</w:t>
      </w:r>
      <w:r w:rsidRPr="0001656C">
        <w:rPr>
          <w:rFonts w:ascii="Book Antiqua" w:hAnsi="Book Antiqua" w:cs="Times New Roman"/>
          <w:sz w:val="24"/>
          <w:szCs w:val="24"/>
          <w:vertAlign w:val="superscript"/>
          <w:lang w:val="en-US"/>
        </w:rPr>
        <w:t>]</w:t>
      </w:r>
      <w:r w:rsidRPr="0001656C">
        <w:rPr>
          <w:rFonts w:ascii="Book Antiqua" w:hAnsi="Book Antiqua" w:cs="Times New Roman"/>
          <w:sz w:val="24"/>
          <w:szCs w:val="24"/>
          <w:lang w:val="en-US"/>
        </w:rPr>
        <w:t xml:space="preserve"> confirmed this theory by finding responsiveness to hepatitis B vaccination in 68% of celiac patients, in contrast to the 100% response observed for the controls, emphasizing the genotypic co-incidence. </w:t>
      </w:r>
    </w:p>
    <w:p w:rsidR="00D22412" w:rsidRPr="0001656C" w:rsidRDefault="00D22412" w:rsidP="00C65294">
      <w:pPr>
        <w:spacing w:after="0" w:line="360" w:lineRule="auto"/>
        <w:ind w:firstLineChars="100" w:firstLine="240"/>
        <w:contextualSpacing/>
        <w:jc w:val="both"/>
        <w:rPr>
          <w:rFonts w:ascii="Book Antiqua" w:hAnsi="Book Antiqua" w:cs="Times New Roman"/>
          <w:sz w:val="24"/>
          <w:szCs w:val="24"/>
          <w:lang w:val="en-US" w:eastAsia="zh-CN"/>
        </w:rPr>
      </w:pPr>
      <w:r w:rsidRPr="0001656C">
        <w:rPr>
          <w:rFonts w:ascii="Book Antiqua" w:hAnsi="Book Antiqua" w:cs="Times New Roman"/>
          <w:sz w:val="24"/>
          <w:szCs w:val="24"/>
          <w:lang w:val="en-US"/>
        </w:rPr>
        <w:t>In 2009,</w:t>
      </w:r>
      <w:r w:rsidR="00240998" w:rsidRPr="0001656C">
        <w:rPr>
          <w:rFonts w:ascii="Book Antiqua" w:hAnsi="Book Antiqua" w:cs="Times New Roman"/>
          <w:sz w:val="24"/>
          <w:szCs w:val="24"/>
          <w:lang w:val="en-US" w:eastAsia="zh-CN"/>
        </w:rPr>
        <w:t xml:space="preserve"> </w:t>
      </w:r>
      <w:proofErr w:type="spellStart"/>
      <w:r w:rsidRPr="0001656C">
        <w:rPr>
          <w:rFonts w:ascii="Book Antiqua" w:hAnsi="Book Antiqua" w:cs="Times New Roman"/>
          <w:sz w:val="24"/>
          <w:szCs w:val="24"/>
          <w:lang w:val="en-US"/>
        </w:rPr>
        <w:t>Leonardi</w:t>
      </w:r>
      <w:proofErr w:type="spellEnd"/>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i/>
          <w:sz w:val="24"/>
          <w:szCs w:val="24"/>
          <w:lang w:val="en-US"/>
        </w:rPr>
        <w:t xml:space="preserve">et </w:t>
      </w:r>
      <w:proofErr w:type="gramStart"/>
      <w:r w:rsidRPr="0001656C">
        <w:rPr>
          <w:rFonts w:ascii="Book Antiqua" w:hAnsi="Book Antiqua" w:cs="Times New Roman"/>
          <w:i/>
          <w:sz w:val="24"/>
          <w:szCs w:val="24"/>
          <w:lang w:val="en-US"/>
        </w:rPr>
        <w:t>al</w:t>
      </w:r>
      <w:r w:rsidR="000D1A0B" w:rsidRPr="0001656C">
        <w:rPr>
          <w:rFonts w:ascii="Book Antiqua" w:hAnsi="Book Antiqua" w:cs="Times New Roman"/>
          <w:sz w:val="24"/>
          <w:szCs w:val="24"/>
          <w:vertAlign w:val="superscript"/>
          <w:lang w:val="en-US"/>
        </w:rPr>
        <w:t>[</w:t>
      </w:r>
      <w:proofErr w:type="gramEnd"/>
      <w:r w:rsidR="000D1A0B" w:rsidRPr="0001656C">
        <w:rPr>
          <w:rFonts w:ascii="Book Antiqua" w:hAnsi="Book Antiqua" w:cs="Times New Roman"/>
          <w:sz w:val="24"/>
          <w:szCs w:val="24"/>
          <w:vertAlign w:val="superscript"/>
          <w:lang w:val="en-US"/>
        </w:rPr>
        <w:t>13</w:t>
      </w:r>
      <w:r w:rsidRPr="0001656C">
        <w:rPr>
          <w:rFonts w:ascii="Book Antiqua" w:hAnsi="Book Antiqua" w:cs="Times New Roman"/>
          <w:sz w:val="24"/>
          <w:szCs w:val="24"/>
          <w:vertAlign w:val="superscript"/>
          <w:lang w:val="en-US"/>
        </w:rPr>
        <w:t>]</w:t>
      </w:r>
      <w:r w:rsidRPr="0001656C">
        <w:rPr>
          <w:rFonts w:ascii="Book Antiqua" w:hAnsi="Book Antiqua" w:cs="Times New Roman"/>
          <w:sz w:val="24"/>
          <w:szCs w:val="24"/>
          <w:lang w:val="en-US"/>
        </w:rPr>
        <w:t xml:space="preserve"> published a case control retrospective study about the prevalence of HBV vaccine non-responders among celiac and healthy subjects. The anti-HBs titer was measured</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after a successful period of time on a</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GFD, as demonstrated by the normalization of serum markers of CD. The study confirmed that celiac patients have a lower percentage of response to hepatitis B vaccination than healthy controls. However, the authors also found a significantly higher number of responders among the celiac patients that were younger than 18-mo-old at diagnosis and a significantly lower number of responders in adolescent patients older than 14-years-old at diagnosis. The drawback of the study was that the HLA typing was performed in few patients, so that the study could not demonstrate the correlation of the phenomenon observed with HLADQ2 or HLADQ8, and that there was a long interval between the time of hepatitis B vaccination and the time of collecting samples for analysis of the anti-HBs titer. In this regard, a recent</w:t>
      </w:r>
      <w:r w:rsidR="006D6A07">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case control retrospective study by</w:t>
      </w:r>
      <w:r w:rsidR="00240998" w:rsidRPr="0001656C">
        <w:rPr>
          <w:rFonts w:ascii="Book Antiqua" w:hAnsi="Book Antiqua" w:cs="Times New Roman"/>
          <w:sz w:val="24"/>
          <w:szCs w:val="24"/>
          <w:lang w:val="en-US" w:eastAsia="zh-CN"/>
        </w:rPr>
        <w:t xml:space="preserve"> </w:t>
      </w:r>
      <w:proofErr w:type="spellStart"/>
      <w:r w:rsidRPr="0001656C">
        <w:rPr>
          <w:rFonts w:ascii="Book Antiqua" w:hAnsi="Book Antiqua" w:cs="Times New Roman"/>
          <w:sz w:val="24"/>
          <w:szCs w:val="24"/>
          <w:lang w:val="en-US"/>
        </w:rPr>
        <w:t>Zanoni</w:t>
      </w:r>
      <w:proofErr w:type="spellEnd"/>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i/>
          <w:sz w:val="24"/>
          <w:szCs w:val="24"/>
          <w:lang w:val="en-US"/>
        </w:rPr>
        <w:t xml:space="preserve">et </w:t>
      </w:r>
      <w:proofErr w:type="gramStart"/>
      <w:r w:rsidRPr="0001656C">
        <w:rPr>
          <w:rFonts w:ascii="Book Antiqua" w:hAnsi="Book Antiqua" w:cs="Times New Roman"/>
          <w:i/>
          <w:sz w:val="24"/>
          <w:szCs w:val="24"/>
          <w:lang w:val="en-US"/>
        </w:rPr>
        <w:t>al</w:t>
      </w:r>
      <w:r w:rsidR="000D1A0B" w:rsidRPr="0001656C">
        <w:rPr>
          <w:rFonts w:ascii="Book Antiqua" w:hAnsi="Book Antiqua" w:cs="Times New Roman"/>
          <w:sz w:val="24"/>
          <w:szCs w:val="24"/>
          <w:vertAlign w:val="superscript"/>
          <w:lang w:val="en-US"/>
        </w:rPr>
        <w:t>[</w:t>
      </w:r>
      <w:proofErr w:type="gramEnd"/>
      <w:r w:rsidR="000D1A0B" w:rsidRPr="0001656C">
        <w:rPr>
          <w:rFonts w:ascii="Book Antiqua" w:hAnsi="Book Antiqua" w:cs="Times New Roman"/>
          <w:sz w:val="24"/>
          <w:szCs w:val="24"/>
          <w:vertAlign w:val="superscript"/>
          <w:lang w:val="en-US"/>
        </w:rPr>
        <w:t>11</w:t>
      </w:r>
      <w:r w:rsidRPr="0001656C">
        <w:rPr>
          <w:rFonts w:ascii="Book Antiqua" w:hAnsi="Book Antiqua" w:cs="Times New Roman"/>
          <w:sz w:val="24"/>
          <w:szCs w:val="24"/>
          <w:vertAlign w:val="superscript"/>
          <w:lang w:val="en-US"/>
        </w:rPr>
        <w:t>]</w:t>
      </w:r>
      <w:r w:rsidR="006D6A07">
        <w:rPr>
          <w:rFonts w:ascii="Book Antiqua" w:hAnsi="Book Antiqua" w:cs="Times New Roman" w:hint="eastAsia"/>
          <w:sz w:val="24"/>
          <w:szCs w:val="24"/>
          <w:vertAlign w:val="superscript"/>
          <w:lang w:val="en-US" w:eastAsia="zh-CN"/>
        </w:rPr>
        <w:t xml:space="preserve"> </w:t>
      </w:r>
      <w:r w:rsidRPr="0001656C">
        <w:rPr>
          <w:rFonts w:ascii="Book Antiqua" w:hAnsi="Book Antiqua" w:cs="Times New Roman"/>
          <w:sz w:val="24"/>
          <w:szCs w:val="24"/>
          <w:lang w:val="en-US"/>
        </w:rPr>
        <w:t>investigated the serological response to HBV and measles-containing vaccines in three groups of individuals: diabetes mellitus type 1 (T1DM) patients, celiac patients and controls. No significant differences were found in the percentage of responders to HBV and measles vaccines among the T1DM and CD patients and the control group, and there was also a lack of correlation between HBV vaccine response and DQ2. According to the authors, these conflicting results between their findings and the data reported in the literature may be due to differences in ages of the examined subjects at time of vaccination and in time intervals between vaccination and blood sample collection for testing.</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They concluded that prospective studies of pathological and healthy groups, with same age at hepatitis B vaccination and same time interval for blood sample collection to determine antibody levels, are necessary t</w:t>
      </w:r>
      <w:r w:rsidR="00C65294" w:rsidRPr="0001656C">
        <w:rPr>
          <w:rFonts w:ascii="Book Antiqua" w:hAnsi="Book Antiqua" w:cs="Times New Roman"/>
          <w:sz w:val="24"/>
          <w:szCs w:val="24"/>
          <w:lang w:val="en-US"/>
        </w:rPr>
        <w:t>o provide more conclusive data.</w:t>
      </w:r>
    </w:p>
    <w:p w:rsidR="00D22412" w:rsidRPr="0001656C" w:rsidRDefault="00D22412" w:rsidP="00C65294">
      <w:pPr>
        <w:spacing w:after="0" w:line="360" w:lineRule="auto"/>
        <w:ind w:firstLineChars="100" w:firstLine="240"/>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For these reasons, the originality of our prospective study is that of analyzing the response to hepatitis B vaccination in a group of 49 celiac patients at the time of diagnosis, helping us</w:t>
      </w:r>
      <w:r w:rsidR="00EB5530">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to nullify the percentage of error related to a long interval from time of</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lastRenderedPageBreak/>
        <w:t>hepatitis B vaccination to time of</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serum anti-HBs analysis.</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In fact, when we compared the results of our prospective study (based upon</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 xml:space="preserve">patients at time diagnosis of CD) with those retrospectively obtained by </w:t>
      </w:r>
      <w:proofErr w:type="spellStart"/>
      <w:r w:rsidRPr="0001656C">
        <w:rPr>
          <w:rFonts w:ascii="Book Antiqua" w:hAnsi="Book Antiqua" w:cs="Times New Roman"/>
          <w:sz w:val="24"/>
          <w:szCs w:val="24"/>
          <w:lang w:val="en-US"/>
        </w:rPr>
        <w:t>Leonardi</w:t>
      </w:r>
      <w:proofErr w:type="spellEnd"/>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i/>
          <w:sz w:val="24"/>
          <w:szCs w:val="24"/>
          <w:lang w:val="en-US"/>
        </w:rPr>
        <w:t xml:space="preserve">et </w:t>
      </w:r>
      <w:proofErr w:type="gramStart"/>
      <w:r w:rsidRPr="0001656C">
        <w:rPr>
          <w:rFonts w:ascii="Book Antiqua" w:hAnsi="Book Antiqua" w:cs="Times New Roman"/>
          <w:i/>
          <w:sz w:val="24"/>
          <w:szCs w:val="24"/>
          <w:lang w:val="en-US"/>
        </w:rPr>
        <w:t>al</w:t>
      </w:r>
      <w:r w:rsidR="000D1A0B" w:rsidRPr="0001656C">
        <w:rPr>
          <w:rFonts w:ascii="Book Antiqua" w:hAnsi="Book Antiqua" w:cs="Times New Roman"/>
          <w:sz w:val="24"/>
          <w:szCs w:val="24"/>
          <w:vertAlign w:val="superscript"/>
          <w:lang w:val="en-US"/>
        </w:rPr>
        <w:t>[</w:t>
      </w:r>
      <w:proofErr w:type="gramEnd"/>
      <w:r w:rsidR="000D1A0B" w:rsidRPr="0001656C">
        <w:rPr>
          <w:rFonts w:ascii="Book Antiqua" w:hAnsi="Book Antiqua" w:cs="Times New Roman"/>
          <w:sz w:val="24"/>
          <w:szCs w:val="24"/>
          <w:vertAlign w:val="superscript"/>
          <w:lang w:val="en-US"/>
        </w:rPr>
        <w:t>13</w:t>
      </w:r>
      <w:r w:rsidRPr="0001656C">
        <w:rPr>
          <w:rFonts w:ascii="Book Antiqua" w:hAnsi="Book Antiqua" w:cs="Times New Roman"/>
          <w:sz w:val="24"/>
          <w:szCs w:val="24"/>
          <w:vertAlign w:val="superscript"/>
          <w:lang w:val="en-US"/>
        </w:rPr>
        <w:t>]</w:t>
      </w:r>
      <w:r w:rsidRPr="0001656C">
        <w:rPr>
          <w:rFonts w:ascii="Book Antiqua" w:hAnsi="Book Antiqua" w:cs="Times New Roman"/>
          <w:sz w:val="24"/>
          <w:szCs w:val="24"/>
          <w:lang w:val="en-US"/>
        </w:rPr>
        <w:t xml:space="preserve"> in 2009 (based upon</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celiac patients on a GFD), we found a higher percentage of responders among the celiac subjects, probably due</w:t>
      </w:r>
      <w:r w:rsidR="00C558D9">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to our study design having eliminated more of the potential confounding factors related to loss of immunity over the time,</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which have been documented extensively in the literature</w:t>
      </w:r>
      <w:r w:rsidRPr="0001656C">
        <w:rPr>
          <w:rFonts w:ascii="Book Antiqua" w:hAnsi="Book Antiqua" w:cs="Times New Roman"/>
          <w:sz w:val="24"/>
          <w:szCs w:val="24"/>
          <w:vertAlign w:val="superscript"/>
          <w:lang w:val="en-US"/>
        </w:rPr>
        <w:t>[</w:t>
      </w:r>
      <w:r w:rsidR="00090045" w:rsidRPr="0001656C">
        <w:rPr>
          <w:rFonts w:ascii="Book Antiqua" w:hAnsi="Book Antiqua" w:cs="Times New Roman"/>
          <w:sz w:val="24"/>
          <w:szCs w:val="24"/>
          <w:vertAlign w:val="superscript"/>
          <w:lang w:val="en-US"/>
        </w:rPr>
        <w:t>14</w:t>
      </w:r>
      <w:r w:rsidR="00C65294" w:rsidRPr="0001656C">
        <w:rPr>
          <w:rFonts w:ascii="Book Antiqua" w:hAnsi="Book Antiqua" w:cs="Times New Roman"/>
          <w:sz w:val="24"/>
          <w:szCs w:val="24"/>
          <w:vertAlign w:val="superscript"/>
          <w:lang w:val="en-US" w:eastAsia="zh-CN"/>
        </w:rPr>
        <w:t>-</w:t>
      </w:r>
      <w:r w:rsidR="00090045" w:rsidRPr="0001656C">
        <w:rPr>
          <w:rFonts w:ascii="Book Antiqua" w:hAnsi="Book Antiqua" w:cs="Times New Roman"/>
          <w:sz w:val="24"/>
          <w:szCs w:val="24"/>
          <w:vertAlign w:val="superscript"/>
          <w:lang w:val="en-US"/>
        </w:rPr>
        <w:t>16</w:t>
      </w:r>
      <w:r w:rsidRPr="0001656C">
        <w:rPr>
          <w:rFonts w:ascii="Book Antiqua" w:hAnsi="Book Antiqua" w:cs="Times New Roman"/>
          <w:sz w:val="24"/>
          <w:szCs w:val="24"/>
          <w:vertAlign w:val="superscript"/>
          <w:lang w:val="en-US"/>
        </w:rPr>
        <w:t>]</w:t>
      </w:r>
      <w:r w:rsidRPr="0001656C">
        <w:rPr>
          <w:rFonts w:ascii="Book Antiqua" w:hAnsi="Book Antiqua" w:cs="Times New Roman"/>
          <w:sz w:val="24"/>
          <w:szCs w:val="24"/>
          <w:lang w:val="en-US"/>
        </w:rPr>
        <w:t>.</w:t>
      </w:r>
    </w:p>
    <w:p w:rsidR="00D22412" w:rsidRPr="0001656C" w:rsidRDefault="00D22412" w:rsidP="00C65294">
      <w:pPr>
        <w:spacing w:after="0" w:line="360" w:lineRule="auto"/>
        <w:ind w:firstLineChars="100" w:firstLine="240"/>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Meanwhile, we also observed that whereas more than half of our celiac population represented responders (69.39%), the percentage still remained lower than in the general population (90%), suggesting a role of genetic predisposition. However, comparison of the distribution of vaccination response showed no statistically significant difference between the different genotypes,</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providing an argument against</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the theory that homozygosity for the HLADQ2 haplotype could act in isolation to negatively influence</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the response to vaccination, in comparison with the HLADQ2/DQ8 heterozygosity or other haplotypes.</w:t>
      </w:r>
    </w:p>
    <w:p w:rsidR="00D22412" w:rsidRPr="0001656C" w:rsidRDefault="00D22412" w:rsidP="00D22412">
      <w:pPr>
        <w:spacing w:after="0" w:line="360" w:lineRule="auto"/>
        <w:contextualSpacing/>
        <w:jc w:val="both"/>
        <w:rPr>
          <w:rFonts w:ascii="Book Antiqua" w:hAnsi="Book Antiqua" w:cs="Times New Roman"/>
          <w:sz w:val="24"/>
          <w:szCs w:val="24"/>
          <w:lang w:val="en-US"/>
        </w:rPr>
      </w:pPr>
      <w:r w:rsidRPr="0001656C">
        <w:rPr>
          <w:rFonts w:ascii="Book Antiqua" w:hAnsi="Book Antiqua" w:cs="Times New Roman"/>
          <w:sz w:val="24"/>
          <w:szCs w:val="24"/>
          <w:lang w:val="en-US"/>
        </w:rPr>
        <w:tab/>
        <w:t>In this regard, several studies hypothesized that gluten intake at the time of vaccination could</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 xml:space="preserve">influence immune response, </w:t>
      </w:r>
      <w:r w:rsidRPr="0001656C">
        <w:rPr>
          <w:rFonts w:ascii="Book Antiqua" w:hAnsi="Book Antiqua" w:cs="Times New Roman"/>
          <w:i/>
          <w:sz w:val="24"/>
          <w:szCs w:val="24"/>
          <w:lang w:val="en-US"/>
        </w:rPr>
        <w:t>via</w:t>
      </w:r>
      <w:r w:rsidRPr="0001656C">
        <w:rPr>
          <w:rFonts w:ascii="Book Antiqua" w:hAnsi="Book Antiqua" w:cs="Times New Roman"/>
          <w:sz w:val="24"/>
          <w:szCs w:val="24"/>
          <w:lang w:val="en-US"/>
        </w:rPr>
        <w:t xml:space="preserve"> competition of both gliadin peptides and hepatitis B surface antigen protein fragments for binding to HLADQ2 molecules,</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which could result in defective antibody</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production</w:t>
      </w:r>
      <w:r w:rsidR="00090045" w:rsidRPr="0001656C">
        <w:rPr>
          <w:rFonts w:ascii="Book Antiqua" w:hAnsi="Book Antiqua" w:cs="Times New Roman"/>
          <w:sz w:val="24"/>
          <w:szCs w:val="24"/>
          <w:vertAlign w:val="superscript"/>
          <w:lang w:val="en-US"/>
        </w:rPr>
        <w:t>[3,17,18</w:t>
      </w:r>
      <w:r w:rsidRPr="0001656C">
        <w:rPr>
          <w:rFonts w:ascii="Book Antiqua" w:hAnsi="Book Antiqua" w:cs="Times New Roman"/>
          <w:sz w:val="24"/>
          <w:szCs w:val="24"/>
          <w:vertAlign w:val="superscript"/>
          <w:lang w:val="en-US"/>
        </w:rPr>
        <w:t>]</w:t>
      </w:r>
      <w:r w:rsidRPr="0001656C">
        <w:rPr>
          <w:rFonts w:ascii="Book Antiqua" w:hAnsi="Book Antiqua" w:cs="Times New Roman"/>
          <w:sz w:val="24"/>
          <w:szCs w:val="24"/>
          <w:lang w:val="en-US"/>
        </w:rPr>
        <w:t>.</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In support</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of</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this hypothesis,</w:t>
      </w:r>
      <w:r w:rsidR="00240998" w:rsidRPr="0001656C">
        <w:rPr>
          <w:rFonts w:ascii="Book Antiqua" w:hAnsi="Book Antiqua" w:cs="Times New Roman"/>
          <w:sz w:val="24"/>
          <w:szCs w:val="24"/>
          <w:lang w:val="en-US" w:eastAsia="zh-CN"/>
        </w:rPr>
        <w:t xml:space="preserve"> </w:t>
      </w:r>
      <w:proofErr w:type="spellStart"/>
      <w:r w:rsidRPr="0001656C">
        <w:rPr>
          <w:rFonts w:ascii="Book Antiqua" w:hAnsi="Book Antiqua" w:cs="Times New Roman"/>
          <w:sz w:val="24"/>
          <w:szCs w:val="24"/>
          <w:lang w:val="en-US"/>
        </w:rPr>
        <w:t>Nemes</w:t>
      </w:r>
      <w:proofErr w:type="spellEnd"/>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i/>
          <w:sz w:val="24"/>
          <w:szCs w:val="24"/>
          <w:lang w:val="en-US"/>
        </w:rPr>
        <w:t>et al</w:t>
      </w:r>
      <w:r w:rsidR="000D1A0B" w:rsidRPr="0001656C">
        <w:rPr>
          <w:rFonts w:ascii="Book Antiqua" w:hAnsi="Book Antiqua" w:cs="Times New Roman"/>
          <w:sz w:val="24"/>
          <w:szCs w:val="24"/>
          <w:vertAlign w:val="superscript"/>
          <w:lang w:val="en-US"/>
        </w:rPr>
        <w:t>[19</w:t>
      </w:r>
      <w:r w:rsidRPr="0001656C">
        <w:rPr>
          <w:rFonts w:ascii="Book Antiqua" w:hAnsi="Book Antiqua" w:cs="Times New Roman"/>
          <w:sz w:val="24"/>
          <w:szCs w:val="24"/>
          <w:vertAlign w:val="superscript"/>
          <w:lang w:val="en-US"/>
        </w:rPr>
        <w:t>]</w:t>
      </w:r>
      <w:r w:rsidR="00240998" w:rsidRPr="0001656C">
        <w:rPr>
          <w:rFonts w:ascii="Book Antiqua" w:hAnsi="Book Antiqua" w:cs="Times New Roman"/>
          <w:sz w:val="24"/>
          <w:szCs w:val="24"/>
          <w:vertAlign w:val="superscript"/>
          <w:lang w:val="en-US" w:eastAsia="zh-CN"/>
        </w:rPr>
        <w:t xml:space="preserve"> </w:t>
      </w:r>
      <w:r w:rsidRPr="0001656C">
        <w:rPr>
          <w:rFonts w:ascii="Book Antiqua" w:hAnsi="Book Antiqua" w:cs="Times New Roman"/>
          <w:sz w:val="24"/>
          <w:szCs w:val="24"/>
          <w:lang w:val="en-US"/>
        </w:rPr>
        <w:t>showed that seroconversion after hepatitis B</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vaccination was 95.5% in CD patients vaccinated during dietary treatment; in contrast,</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in a second group of CD patients that were either untreated or with a diet status ranging from strict to non-strict, the response was 50.9%. The HLA DQ alleles did not seem to playa primary role because all of the patients carried the HLADQ2.</w:t>
      </w:r>
      <w:r w:rsidR="00F25DB2">
        <w:rPr>
          <w:rFonts w:ascii="Book Antiqua" w:hAnsi="Book Antiqua" w:cs="Times New Roman" w:hint="eastAsia"/>
          <w:sz w:val="24"/>
          <w:szCs w:val="24"/>
          <w:lang w:val="en-US" w:eastAsia="zh-CN"/>
        </w:rPr>
        <w:t xml:space="preserve"> </w:t>
      </w:r>
      <w:r w:rsidRPr="0001656C">
        <w:rPr>
          <w:rFonts w:ascii="Book Antiqua" w:hAnsi="Book Antiqua" w:cs="Times New Roman"/>
          <w:sz w:val="24"/>
          <w:szCs w:val="24"/>
          <w:lang w:val="en-US"/>
        </w:rPr>
        <w:t>In our study, patients were enrolled at diagnosis of CD, when their diet contained gluten; although, we do not know the exact period of exposure. It could be of interest to administer a booster dose of HBV vaccine in these subjects after a period of GFD and to subsequently evaluate the effects on the immune response. However, since our study did not reveal a significant correlation between HBV vaccine response and HLA alone, we now question whether it is possible that impaired immune response in CD is the result of a combination of several factors. Indeed, it could be possible that genetic predisposition, gluten intake and phenotype of the disease interact</w:t>
      </w:r>
      <w:r w:rsidR="00240998" w:rsidRPr="0001656C">
        <w:rPr>
          <w:rFonts w:ascii="Book Antiqua" w:hAnsi="Book Antiqua" w:cs="Times New Roman"/>
          <w:sz w:val="24"/>
          <w:szCs w:val="24"/>
          <w:lang w:val="en-US" w:eastAsia="zh-CN"/>
        </w:rPr>
        <w:t xml:space="preserve"> </w:t>
      </w:r>
      <w:r w:rsidRPr="0001656C">
        <w:rPr>
          <w:rFonts w:ascii="Book Antiqua" w:hAnsi="Book Antiqua" w:cs="Times New Roman"/>
          <w:sz w:val="24"/>
          <w:szCs w:val="24"/>
          <w:lang w:val="en-US"/>
        </w:rPr>
        <w:t>to influence a lower HBV vaccine response in CD.</w:t>
      </w:r>
    </w:p>
    <w:p w:rsidR="00D22412" w:rsidRPr="00070E03" w:rsidRDefault="00070E03" w:rsidP="00070E03">
      <w:pPr>
        <w:spacing w:after="0" w:line="360" w:lineRule="auto"/>
        <w:ind w:firstLineChars="100" w:firstLine="240"/>
        <w:contextualSpacing/>
        <w:jc w:val="both"/>
        <w:rPr>
          <w:rFonts w:ascii="Book Antiqua" w:hAnsi="Book Antiqua" w:cs="Times New Roman"/>
          <w:b/>
          <w:sz w:val="24"/>
          <w:szCs w:val="24"/>
          <w:lang w:val="en-US" w:eastAsia="zh-CN"/>
        </w:rPr>
      </w:pPr>
      <w:r w:rsidRPr="00070E03">
        <w:rPr>
          <w:rFonts w:ascii="Book Antiqua" w:hAnsi="Book Antiqua" w:cs="Times New Roman" w:hint="eastAsia"/>
          <w:sz w:val="24"/>
          <w:szCs w:val="24"/>
          <w:lang w:val="en-US" w:eastAsia="zh-CN"/>
        </w:rPr>
        <w:t xml:space="preserve">In </w:t>
      </w:r>
      <w:r w:rsidRPr="00070E03">
        <w:rPr>
          <w:rFonts w:ascii="Book Antiqua" w:hAnsi="Book Antiqua" w:cs="Times New Roman"/>
          <w:sz w:val="24"/>
          <w:szCs w:val="24"/>
          <w:lang w:val="en-US"/>
        </w:rPr>
        <w:t>conclusion</w:t>
      </w:r>
      <w:r w:rsidRPr="00070E03">
        <w:rPr>
          <w:rFonts w:ascii="Book Antiqua" w:hAnsi="Book Antiqua" w:cs="Times New Roman" w:hint="eastAsia"/>
          <w:sz w:val="24"/>
          <w:szCs w:val="24"/>
          <w:lang w:val="en-US" w:eastAsia="zh-CN"/>
        </w:rPr>
        <w:t>,</w:t>
      </w:r>
      <w:r>
        <w:rPr>
          <w:rFonts w:ascii="Book Antiqua" w:hAnsi="Book Antiqua" w:cs="Times New Roman" w:hint="eastAsia"/>
          <w:b/>
          <w:sz w:val="24"/>
          <w:szCs w:val="24"/>
          <w:lang w:val="en-US" w:eastAsia="zh-CN"/>
        </w:rPr>
        <w:t xml:space="preserve"> </w:t>
      </w:r>
      <w:r w:rsidRPr="0001656C">
        <w:rPr>
          <w:rFonts w:ascii="Book Antiqua" w:hAnsi="Book Antiqua" w:cs="Times New Roman"/>
          <w:sz w:val="24"/>
          <w:szCs w:val="24"/>
          <w:lang w:val="en-US"/>
        </w:rPr>
        <w:t>o</w:t>
      </w:r>
      <w:r w:rsidR="00D22412" w:rsidRPr="0001656C">
        <w:rPr>
          <w:rFonts w:ascii="Book Antiqua" w:hAnsi="Book Antiqua" w:cs="Times New Roman"/>
          <w:sz w:val="24"/>
          <w:szCs w:val="24"/>
          <w:lang w:val="en-US"/>
        </w:rPr>
        <w:t xml:space="preserve">ur study is the first prospective study on HBV vaccine response in CD. The findings confirm the lower percentage of response to hepatitis B vaccination in the </w:t>
      </w:r>
      <w:r w:rsidR="00D22412" w:rsidRPr="0001656C">
        <w:rPr>
          <w:rFonts w:ascii="Book Antiqua" w:hAnsi="Book Antiqua" w:cs="Times New Roman"/>
          <w:sz w:val="24"/>
          <w:szCs w:val="24"/>
          <w:lang w:val="en-US"/>
        </w:rPr>
        <w:lastRenderedPageBreak/>
        <w:t>celiac population,</w:t>
      </w:r>
      <w:r w:rsidR="00240998" w:rsidRPr="0001656C">
        <w:rPr>
          <w:rFonts w:ascii="Book Antiqua" w:hAnsi="Book Antiqua" w:cs="Times New Roman"/>
          <w:sz w:val="24"/>
          <w:szCs w:val="24"/>
          <w:lang w:val="en-US" w:eastAsia="zh-CN"/>
        </w:rPr>
        <w:t xml:space="preserve"> </w:t>
      </w:r>
      <w:r w:rsidR="00D22412" w:rsidRPr="0001656C">
        <w:rPr>
          <w:rFonts w:ascii="Book Antiqua" w:hAnsi="Book Antiqua" w:cs="Times New Roman"/>
          <w:sz w:val="24"/>
          <w:szCs w:val="24"/>
          <w:lang w:val="en-US"/>
        </w:rPr>
        <w:t>as compared with healthy subjects. The mechanism that causes this phenomenon, however, remains unclear. According to our results,</w:t>
      </w:r>
      <w:r w:rsidR="00240998" w:rsidRPr="0001656C">
        <w:rPr>
          <w:rFonts w:ascii="Book Antiqua" w:hAnsi="Book Antiqua" w:cs="Times New Roman"/>
          <w:sz w:val="24"/>
          <w:szCs w:val="24"/>
          <w:lang w:val="en-US" w:eastAsia="zh-CN"/>
        </w:rPr>
        <w:t xml:space="preserve"> </w:t>
      </w:r>
      <w:r w:rsidR="00D22412" w:rsidRPr="0001656C">
        <w:rPr>
          <w:rFonts w:ascii="Book Antiqua" w:hAnsi="Book Antiqua" w:cs="Times New Roman"/>
          <w:sz w:val="24"/>
          <w:szCs w:val="24"/>
          <w:lang w:val="en-US"/>
        </w:rPr>
        <w:t>the mechanism</w:t>
      </w:r>
      <w:r w:rsidR="00240998" w:rsidRPr="0001656C">
        <w:rPr>
          <w:rFonts w:ascii="Book Antiqua" w:hAnsi="Book Antiqua" w:cs="Times New Roman"/>
          <w:sz w:val="24"/>
          <w:szCs w:val="24"/>
          <w:lang w:val="en-US" w:eastAsia="zh-CN"/>
        </w:rPr>
        <w:t xml:space="preserve"> </w:t>
      </w:r>
      <w:r w:rsidR="00D22412" w:rsidRPr="0001656C">
        <w:rPr>
          <w:rFonts w:ascii="Book Antiqua" w:hAnsi="Book Antiqua" w:cs="Times New Roman"/>
          <w:sz w:val="24"/>
          <w:szCs w:val="24"/>
          <w:lang w:val="en-US"/>
        </w:rPr>
        <w:t>does</w:t>
      </w:r>
      <w:r w:rsidR="00240998" w:rsidRPr="0001656C">
        <w:rPr>
          <w:rFonts w:ascii="Book Antiqua" w:hAnsi="Book Antiqua" w:cs="Times New Roman"/>
          <w:sz w:val="24"/>
          <w:szCs w:val="24"/>
          <w:lang w:val="en-US" w:eastAsia="zh-CN"/>
        </w:rPr>
        <w:t xml:space="preserve"> </w:t>
      </w:r>
      <w:r w:rsidR="00D22412" w:rsidRPr="0001656C">
        <w:rPr>
          <w:rFonts w:ascii="Book Antiqua" w:hAnsi="Book Antiqua" w:cs="Times New Roman"/>
          <w:sz w:val="24"/>
          <w:szCs w:val="24"/>
          <w:lang w:val="en-US"/>
        </w:rPr>
        <w:t>not</w:t>
      </w:r>
      <w:r w:rsidR="00240998" w:rsidRPr="0001656C">
        <w:rPr>
          <w:rFonts w:ascii="Book Antiqua" w:hAnsi="Book Antiqua" w:cs="Times New Roman"/>
          <w:sz w:val="24"/>
          <w:szCs w:val="24"/>
          <w:lang w:val="en-US" w:eastAsia="zh-CN"/>
        </w:rPr>
        <w:t xml:space="preserve"> </w:t>
      </w:r>
      <w:r w:rsidR="00D22412" w:rsidRPr="0001656C">
        <w:rPr>
          <w:rFonts w:ascii="Book Antiqua" w:hAnsi="Book Antiqua" w:cs="Times New Roman"/>
          <w:sz w:val="24"/>
          <w:szCs w:val="24"/>
          <w:lang w:val="en-US"/>
        </w:rPr>
        <w:t>appear</w:t>
      </w:r>
      <w:r w:rsidR="00240998" w:rsidRPr="0001656C">
        <w:rPr>
          <w:rFonts w:ascii="Book Antiqua" w:hAnsi="Book Antiqua" w:cs="Times New Roman"/>
          <w:sz w:val="24"/>
          <w:szCs w:val="24"/>
          <w:lang w:val="en-US" w:eastAsia="zh-CN"/>
        </w:rPr>
        <w:t xml:space="preserve"> </w:t>
      </w:r>
      <w:r w:rsidR="00D22412" w:rsidRPr="0001656C">
        <w:rPr>
          <w:rFonts w:ascii="Book Antiqua" w:hAnsi="Book Antiqua" w:cs="Times New Roman"/>
          <w:sz w:val="24"/>
          <w:szCs w:val="24"/>
          <w:lang w:val="en-US"/>
        </w:rPr>
        <w:t>to be related to HLA haplotype alone but could result</w:t>
      </w:r>
      <w:r w:rsidR="00240998" w:rsidRPr="0001656C">
        <w:rPr>
          <w:rFonts w:ascii="Book Antiqua" w:hAnsi="Book Antiqua" w:cs="Times New Roman"/>
          <w:sz w:val="24"/>
          <w:szCs w:val="24"/>
          <w:lang w:val="en-US" w:eastAsia="zh-CN"/>
        </w:rPr>
        <w:t xml:space="preserve"> </w:t>
      </w:r>
      <w:r w:rsidR="00D22412" w:rsidRPr="0001656C">
        <w:rPr>
          <w:rFonts w:ascii="Book Antiqua" w:hAnsi="Book Antiqua" w:cs="Times New Roman"/>
          <w:sz w:val="24"/>
          <w:szCs w:val="24"/>
          <w:lang w:val="en-US"/>
        </w:rPr>
        <w:t>from several variables working in combination.</w:t>
      </w:r>
      <w:r w:rsidR="00240998" w:rsidRPr="0001656C">
        <w:rPr>
          <w:rFonts w:ascii="Book Antiqua" w:hAnsi="Book Antiqua" w:cs="Times New Roman"/>
          <w:sz w:val="24"/>
          <w:szCs w:val="24"/>
          <w:lang w:val="en-US" w:eastAsia="zh-CN"/>
        </w:rPr>
        <w:t xml:space="preserve"> </w:t>
      </w:r>
      <w:r w:rsidR="00D22412" w:rsidRPr="0001656C">
        <w:rPr>
          <w:rFonts w:ascii="Book Antiqua" w:hAnsi="Book Antiqua" w:cs="Times New Roman"/>
          <w:sz w:val="24"/>
          <w:szCs w:val="24"/>
          <w:lang w:val="en-US"/>
        </w:rPr>
        <w:t>Further studies are needed to support this hypothesis and to establish the best surveillance program of response to HBV vaccine in CD.</w:t>
      </w:r>
    </w:p>
    <w:p w:rsidR="00D22412" w:rsidRPr="0001656C" w:rsidRDefault="00D22412" w:rsidP="00D22412">
      <w:pPr>
        <w:spacing w:after="0" w:line="360" w:lineRule="auto"/>
        <w:jc w:val="both"/>
        <w:rPr>
          <w:rFonts w:ascii="Book Antiqua" w:hAnsi="Book Antiqua" w:cs="Times New Roman"/>
          <w:sz w:val="24"/>
          <w:szCs w:val="24"/>
          <w:u w:val="single"/>
          <w:lang w:val="en-US"/>
        </w:rPr>
      </w:pPr>
    </w:p>
    <w:p w:rsidR="00D22412" w:rsidRPr="0001656C" w:rsidRDefault="00D22412" w:rsidP="00D22412">
      <w:pPr>
        <w:spacing w:after="0" w:line="360" w:lineRule="auto"/>
        <w:jc w:val="both"/>
        <w:rPr>
          <w:rFonts w:ascii="Book Antiqua" w:hAnsi="Book Antiqua"/>
          <w:b/>
          <w:sz w:val="24"/>
          <w:szCs w:val="24"/>
          <w:lang w:val="en-US"/>
        </w:rPr>
      </w:pPr>
      <w:bookmarkStart w:id="20" w:name="OLE_LINK677"/>
      <w:bookmarkStart w:id="21" w:name="OLE_LINK678"/>
      <w:bookmarkStart w:id="22" w:name="OLE_LINK733"/>
      <w:r w:rsidRPr="0001656C">
        <w:rPr>
          <w:rFonts w:ascii="Book Antiqua" w:hAnsi="Book Antiqua"/>
          <w:b/>
          <w:sz w:val="24"/>
          <w:szCs w:val="24"/>
          <w:lang w:val="en-US"/>
        </w:rPr>
        <w:t>COMMENTS</w:t>
      </w:r>
    </w:p>
    <w:p w:rsidR="00D22412" w:rsidRPr="0001656C" w:rsidRDefault="00D22412" w:rsidP="00D22412">
      <w:pPr>
        <w:autoSpaceDE w:val="0"/>
        <w:autoSpaceDN w:val="0"/>
        <w:adjustRightInd w:val="0"/>
        <w:spacing w:after="0" w:line="360" w:lineRule="auto"/>
        <w:jc w:val="both"/>
        <w:rPr>
          <w:rFonts w:ascii="Book Antiqua" w:hAnsi="Book Antiqua" w:cs="Book Antiqua"/>
          <w:b/>
          <w:i/>
          <w:iCs/>
          <w:sz w:val="24"/>
          <w:szCs w:val="24"/>
          <w:lang w:val="en-US"/>
        </w:rPr>
      </w:pPr>
      <w:bookmarkStart w:id="23" w:name="OLE_LINK729"/>
      <w:bookmarkStart w:id="24" w:name="OLE_LINK730"/>
      <w:r w:rsidRPr="0001656C">
        <w:rPr>
          <w:rFonts w:ascii="Book Antiqua" w:hAnsi="Book Antiqua" w:cs="Book Antiqua"/>
          <w:b/>
          <w:i/>
          <w:iCs/>
          <w:sz w:val="24"/>
          <w:szCs w:val="24"/>
          <w:lang w:val="en-US"/>
        </w:rPr>
        <w:t>Background</w:t>
      </w:r>
    </w:p>
    <w:p w:rsidR="00D22412" w:rsidRPr="0001656C" w:rsidRDefault="00D22412" w:rsidP="00D22412">
      <w:pPr>
        <w:autoSpaceDE w:val="0"/>
        <w:autoSpaceDN w:val="0"/>
        <w:adjustRightInd w:val="0"/>
        <w:spacing w:after="0" w:line="360" w:lineRule="auto"/>
        <w:jc w:val="both"/>
        <w:rPr>
          <w:rFonts w:ascii="Book Antiqua" w:hAnsi="Book Antiqua" w:cs="Book Antiqua"/>
          <w:b/>
          <w:i/>
          <w:iCs/>
          <w:sz w:val="24"/>
          <w:szCs w:val="24"/>
          <w:lang w:val="en-US"/>
        </w:rPr>
      </w:pPr>
      <w:r w:rsidRPr="0001656C">
        <w:rPr>
          <w:rFonts w:ascii="Book Antiqua" w:hAnsi="Book Antiqua" w:cs="Book Antiqua"/>
          <w:iCs/>
          <w:sz w:val="24"/>
          <w:szCs w:val="24"/>
          <w:lang w:val="en-US"/>
        </w:rPr>
        <w:t>The correlation between celiac disease and a lower response to the hepatitis B virus (HBV) vaccine has been demonstrated, but the causes remain unclear. Many confounding factors identified by previous studies have contributed to this uncertainty;</w:t>
      </w:r>
      <w:r w:rsidR="00240998" w:rsidRPr="0001656C">
        <w:rPr>
          <w:rFonts w:ascii="Book Antiqua" w:hAnsi="Book Antiqua" w:cs="Book Antiqua"/>
          <w:iCs/>
          <w:sz w:val="24"/>
          <w:szCs w:val="24"/>
          <w:lang w:val="en-US" w:eastAsia="zh-CN"/>
        </w:rPr>
        <w:t xml:space="preserve"> </w:t>
      </w:r>
      <w:r w:rsidRPr="0001656C">
        <w:rPr>
          <w:rFonts w:ascii="Book Antiqua" w:hAnsi="Book Antiqua" w:cs="Book Antiqua"/>
          <w:iCs/>
          <w:sz w:val="24"/>
          <w:szCs w:val="24"/>
          <w:lang w:val="en-US"/>
        </w:rPr>
        <w:t>moreover, the lack of prospective data represents</w:t>
      </w:r>
      <w:r w:rsidR="00240998" w:rsidRPr="0001656C">
        <w:rPr>
          <w:rFonts w:ascii="Book Antiqua" w:hAnsi="Book Antiqua" w:cs="Book Antiqua"/>
          <w:iCs/>
          <w:sz w:val="24"/>
          <w:szCs w:val="24"/>
          <w:lang w:val="en-US" w:eastAsia="zh-CN"/>
        </w:rPr>
        <w:t xml:space="preserve"> </w:t>
      </w:r>
      <w:r w:rsidRPr="0001656C">
        <w:rPr>
          <w:rFonts w:ascii="Book Antiqua" w:hAnsi="Book Antiqua" w:cs="Book Antiqua"/>
          <w:iCs/>
          <w:sz w:val="24"/>
          <w:szCs w:val="24"/>
          <w:lang w:val="en-US"/>
        </w:rPr>
        <w:t>a more extensive gap between the time</w:t>
      </w:r>
      <w:r w:rsidR="00240998" w:rsidRPr="0001656C">
        <w:rPr>
          <w:rFonts w:ascii="Book Antiqua" w:hAnsi="Book Antiqua" w:cs="Book Antiqua"/>
          <w:iCs/>
          <w:sz w:val="24"/>
          <w:szCs w:val="24"/>
          <w:lang w:val="en-US" w:eastAsia="zh-CN"/>
        </w:rPr>
        <w:t xml:space="preserve"> </w:t>
      </w:r>
      <w:r w:rsidRPr="0001656C">
        <w:rPr>
          <w:rFonts w:ascii="Book Antiqua" w:hAnsi="Book Antiqua" w:cs="Book Antiqua"/>
          <w:iCs/>
          <w:sz w:val="24"/>
          <w:szCs w:val="24"/>
          <w:lang w:val="en-US"/>
        </w:rPr>
        <w:t>of</w:t>
      </w:r>
      <w:r w:rsidR="00240998" w:rsidRPr="0001656C">
        <w:rPr>
          <w:rFonts w:ascii="Book Antiqua" w:hAnsi="Book Antiqua" w:cs="Book Antiqua"/>
          <w:iCs/>
          <w:sz w:val="24"/>
          <w:szCs w:val="24"/>
          <w:lang w:val="en-US" w:eastAsia="zh-CN"/>
        </w:rPr>
        <w:t xml:space="preserve"> </w:t>
      </w:r>
      <w:r w:rsidRPr="0001656C">
        <w:rPr>
          <w:rFonts w:ascii="Book Antiqua" w:hAnsi="Book Antiqua" w:cs="Book Antiqua"/>
          <w:iCs/>
          <w:sz w:val="24"/>
          <w:szCs w:val="24"/>
          <w:lang w:val="en-US"/>
        </w:rPr>
        <w:t>vaccination and the development of an immune response, contributing to select false non-responders (</w:t>
      </w:r>
      <w:r w:rsidRPr="0001656C">
        <w:rPr>
          <w:rFonts w:ascii="Book Antiqua" w:hAnsi="Book Antiqua" w:cs="Book Antiqua"/>
          <w:i/>
          <w:iCs/>
          <w:sz w:val="24"/>
          <w:szCs w:val="24"/>
          <w:lang w:val="en-US"/>
        </w:rPr>
        <w:t>i.e</w:t>
      </w:r>
      <w:r w:rsidRPr="0001656C">
        <w:rPr>
          <w:rFonts w:ascii="Book Antiqua" w:hAnsi="Book Antiqua" w:cs="Book Antiqua"/>
          <w:iCs/>
          <w:sz w:val="24"/>
          <w:szCs w:val="24"/>
          <w:lang w:val="en-US"/>
        </w:rPr>
        <w:t>. those who are destined to lose the antibody titer over time). The originality of our prospective study lies in our analysis</w:t>
      </w:r>
      <w:r w:rsidR="00240998" w:rsidRPr="0001656C">
        <w:rPr>
          <w:rFonts w:ascii="Book Antiqua" w:hAnsi="Book Antiqua" w:cs="Book Antiqua"/>
          <w:iCs/>
          <w:sz w:val="24"/>
          <w:szCs w:val="24"/>
          <w:lang w:val="en-US" w:eastAsia="zh-CN"/>
        </w:rPr>
        <w:t xml:space="preserve"> </w:t>
      </w:r>
      <w:r w:rsidRPr="0001656C">
        <w:rPr>
          <w:rFonts w:ascii="Book Antiqua" w:hAnsi="Book Antiqua" w:cs="Book Antiqua"/>
          <w:iCs/>
          <w:sz w:val="24"/>
          <w:szCs w:val="24"/>
          <w:lang w:val="en-US"/>
        </w:rPr>
        <w:t>of the response to</w:t>
      </w:r>
      <w:r w:rsidR="00240998" w:rsidRPr="0001656C">
        <w:rPr>
          <w:rFonts w:ascii="Book Antiqua" w:hAnsi="Book Antiqua" w:cs="Book Antiqua"/>
          <w:iCs/>
          <w:sz w:val="24"/>
          <w:szCs w:val="24"/>
          <w:lang w:val="en-US" w:eastAsia="zh-CN"/>
        </w:rPr>
        <w:t xml:space="preserve"> </w:t>
      </w:r>
      <w:r w:rsidRPr="0001656C">
        <w:rPr>
          <w:rFonts w:ascii="Book Antiqua" w:hAnsi="Book Antiqua" w:cs="Times New Roman"/>
          <w:sz w:val="24"/>
          <w:szCs w:val="24"/>
          <w:lang w:val="en-US"/>
        </w:rPr>
        <w:t>hepatitis B</w:t>
      </w:r>
      <w:r w:rsidRPr="0001656C">
        <w:rPr>
          <w:rFonts w:ascii="Book Antiqua" w:hAnsi="Book Antiqua" w:cs="Book Antiqua"/>
          <w:iCs/>
          <w:sz w:val="24"/>
          <w:szCs w:val="24"/>
          <w:lang w:val="en-US"/>
        </w:rPr>
        <w:t xml:space="preserve"> vaccination in a group of celiac patients at the time of diagnosis, which allowed our study</w:t>
      </w:r>
      <w:r w:rsidR="00240998" w:rsidRPr="0001656C">
        <w:rPr>
          <w:rFonts w:ascii="Book Antiqua" w:hAnsi="Book Antiqua" w:cs="Book Antiqua"/>
          <w:iCs/>
          <w:sz w:val="24"/>
          <w:szCs w:val="24"/>
          <w:lang w:val="en-US" w:eastAsia="zh-CN"/>
        </w:rPr>
        <w:t xml:space="preserve"> </w:t>
      </w:r>
      <w:r w:rsidRPr="0001656C">
        <w:rPr>
          <w:rFonts w:ascii="Book Antiqua" w:hAnsi="Book Antiqua" w:cs="Book Antiqua"/>
          <w:iCs/>
          <w:sz w:val="24"/>
          <w:szCs w:val="24"/>
          <w:lang w:val="en-US"/>
        </w:rPr>
        <w:t>to nullify the percentage of error related to these confounding factors.</w:t>
      </w:r>
    </w:p>
    <w:p w:rsidR="00D22412" w:rsidRPr="0001656C" w:rsidRDefault="00D22412" w:rsidP="00D22412">
      <w:pPr>
        <w:autoSpaceDE w:val="0"/>
        <w:autoSpaceDN w:val="0"/>
        <w:adjustRightInd w:val="0"/>
        <w:spacing w:after="0" w:line="360" w:lineRule="auto"/>
        <w:jc w:val="both"/>
        <w:rPr>
          <w:rFonts w:ascii="Book Antiqua" w:hAnsi="Book Antiqua" w:cs="Book Antiqua"/>
          <w:b/>
          <w:i/>
          <w:iCs/>
          <w:sz w:val="24"/>
          <w:szCs w:val="24"/>
          <w:lang w:val="en-US"/>
        </w:rPr>
      </w:pPr>
    </w:p>
    <w:p w:rsidR="00D22412" w:rsidRPr="0001656C" w:rsidRDefault="00D22412" w:rsidP="00D22412">
      <w:pPr>
        <w:autoSpaceDE w:val="0"/>
        <w:autoSpaceDN w:val="0"/>
        <w:adjustRightInd w:val="0"/>
        <w:spacing w:after="0" w:line="360" w:lineRule="auto"/>
        <w:jc w:val="both"/>
        <w:rPr>
          <w:rFonts w:ascii="Book Antiqua" w:hAnsi="Book Antiqua" w:cs="Book Antiqua"/>
          <w:b/>
          <w:i/>
          <w:iCs/>
          <w:sz w:val="24"/>
          <w:szCs w:val="24"/>
          <w:lang w:val="en-US"/>
        </w:rPr>
      </w:pPr>
      <w:r w:rsidRPr="0001656C">
        <w:rPr>
          <w:rFonts w:ascii="Book Antiqua" w:hAnsi="Book Antiqua" w:cs="Book Antiqua"/>
          <w:b/>
          <w:i/>
          <w:iCs/>
          <w:sz w:val="24"/>
          <w:szCs w:val="24"/>
          <w:lang w:val="en-US"/>
        </w:rPr>
        <w:t>Research frontiers</w:t>
      </w:r>
    </w:p>
    <w:p w:rsidR="00D22412" w:rsidRPr="0001656C" w:rsidRDefault="00D22412" w:rsidP="00D22412">
      <w:pPr>
        <w:autoSpaceDE w:val="0"/>
        <w:autoSpaceDN w:val="0"/>
        <w:adjustRightInd w:val="0"/>
        <w:spacing w:after="0" w:line="360" w:lineRule="auto"/>
        <w:jc w:val="both"/>
        <w:rPr>
          <w:rFonts w:ascii="Book Antiqua" w:hAnsi="Book Antiqua" w:cs="Book Antiqua"/>
          <w:sz w:val="24"/>
          <w:szCs w:val="24"/>
          <w:lang w:val="en-US"/>
        </w:rPr>
      </w:pPr>
      <w:r w:rsidRPr="0001656C">
        <w:rPr>
          <w:rFonts w:ascii="Book Antiqua" w:hAnsi="Book Antiqua" w:cs="Book Antiqua"/>
          <w:sz w:val="24"/>
          <w:szCs w:val="24"/>
          <w:lang w:val="en-US"/>
        </w:rPr>
        <w:t>In this study, there is suggestion that genetic predisposition, gluten intake and phenotype of celiac disease could</w:t>
      </w:r>
      <w:r w:rsidR="00240998" w:rsidRPr="0001656C">
        <w:rPr>
          <w:rFonts w:ascii="Book Antiqua" w:hAnsi="Book Antiqua" w:cs="Book Antiqua"/>
          <w:sz w:val="24"/>
          <w:szCs w:val="24"/>
          <w:lang w:val="en-US" w:eastAsia="zh-CN"/>
        </w:rPr>
        <w:t xml:space="preserve"> </w:t>
      </w:r>
      <w:r w:rsidRPr="0001656C">
        <w:rPr>
          <w:rFonts w:ascii="Book Antiqua" w:hAnsi="Book Antiqua" w:cs="Book Antiqua"/>
          <w:sz w:val="24"/>
          <w:szCs w:val="24"/>
          <w:lang w:val="en-US"/>
        </w:rPr>
        <w:t>work in conjunction to influence a lower HBV vaccine response.</w:t>
      </w:r>
    </w:p>
    <w:p w:rsidR="00D22412" w:rsidRPr="0001656C" w:rsidRDefault="00D22412" w:rsidP="00D22412">
      <w:pPr>
        <w:spacing w:after="0" w:line="360" w:lineRule="auto"/>
        <w:jc w:val="both"/>
        <w:rPr>
          <w:rFonts w:ascii="Book Antiqua" w:hAnsi="Book Antiqua" w:cs="Book Antiqua"/>
          <w:b/>
          <w:i/>
          <w:iCs/>
          <w:sz w:val="24"/>
          <w:szCs w:val="24"/>
          <w:lang w:val="en-US"/>
        </w:rPr>
      </w:pPr>
    </w:p>
    <w:p w:rsidR="00D22412" w:rsidRPr="0001656C" w:rsidRDefault="00D22412" w:rsidP="00D22412">
      <w:pPr>
        <w:spacing w:after="0" w:line="360" w:lineRule="auto"/>
        <w:jc w:val="both"/>
        <w:rPr>
          <w:rFonts w:ascii="Book Antiqua" w:hAnsi="Book Antiqua" w:cs="Book Antiqua"/>
          <w:b/>
          <w:i/>
          <w:iCs/>
          <w:sz w:val="24"/>
          <w:szCs w:val="24"/>
          <w:lang w:val="en-US"/>
        </w:rPr>
      </w:pPr>
      <w:r w:rsidRPr="0001656C">
        <w:rPr>
          <w:rFonts w:ascii="Book Antiqua" w:hAnsi="Book Antiqua" w:cs="Book Antiqua"/>
          <w:b/>
          <w:i/>
          <w:iCs/>
          <w:sz w:val="24"/>
          <w:szCs w:val="24"/>
          <w:lang w:val="en-US"/>
        </w:rPr>
        <w:t>Innovations and breakthrough</w:t>
      </w:r>
    </w:p>
    <w:p w:rsidR="00D22412" w:rsidRPr="0001656C" w:rsidRDefault="004A07E3" w:rsidP="00D22412">
      <w:pPr>
        <w:spacing w:after="0" w:line="360" w:lineRule="auto"/>
        <w:jc w:val="both"/>
        <w:rPr>
          <w:rFonts w:ascii="Book Antiqua" w:hAnsi="Book Antiqua" w:cs="Book Antiqua"/>
          <w:iCs/>
          <w:sz w:val="24"/>
          <w:szCs w:val="24"/>
          <w:lang w:val="en-US"/>
        </w:rPr>
      </w:pPr>
      <w:r w:rsidRPr="0001656C">
        <w:rPr>
          <w:rFonts w:ascii="Book Antiqua" w:hAnsi="Book Antiqua" w:cs="Book Antiqua"/>
          <w:iCs/>
          <w:sz w:val="24"/>
          <w:szCs w:val="24"/>
          <w:lang w:val="en-US" w:eastAsia="zh-CN"/>
        </w:rPr>
        <w:t xml:space="preserve">This </w:t>
      </w:r>
      <w:r w:rsidR="00D22412" w:rsidRPr="0001656C">
        <w:rPr>
          <w:rFonts w:ascii="Book Antiqua" w:hAnsi="Book Antiqua" w:cs="Book Antiqua"/>
          <w:iCs/>
          <w:sz w:val="24"/>
          <w:szCs w:val="24"/>
          <w:lang w:val="en-US"/>
        </w:rPr>
        <w:t>study is the first prospective study in literature on the topic of lower HBV vaccine response in patients with celiac disease.</w:t>
      </w:r>
      <w:r w:rsidR="00240998" w:rsidRPr="0001656C">
        <w:rPr>
          <w:rFonts w:ascii="Book Antiqua" w:hAnsi="Book Antiqua" w:cs="Book Antiqua"/>
          <w:iCs/>
          <w:sz w:val="24"/>
          <w:szCs w:val="24"/>
          <w:lang w:val="en-US" w:eastAsia="zh-CN"/>
        </w:rPr>
        <w:t xml:space="preserve"> </w:t>
      </w:r>
      <w:r w:rsidR="00D22412" w:rsidRPr="0001656C">
        <w:rPr>
          <w:rFonts w:ascii="Book Antiqua" w:hAnsi="Book Antiqua" w:cs="Book Antiqua"/>
          <w:iCs/>
          <w:sz w:val="24"/>
          <w:szCs w:val="24"/>
          <w:lang w:val="en-US"/>
        </w:rPr>
        <w:t>This study confirms the lower percentage of response to hepatitis B vaccination in the celiac population,</w:t>
      </w:r>
      <w:r w:rsidR="00240998" w:rsidRPr="0001656C">
        <w:rPr>
          <w:rFonts w:ascii="Book Antiqua" w:hAnsi="Book Antiqua" w:cs="Book Antiqua"/>
          <w:iCs/>
          <w:sz w:val="24"/>
          <w:szCs w:val="24"/>
          <w:lang w:val="en-US" w:eastAsia="zh-CN"/>
        </w:rPr>
        <w:t xml:space="preserve"> </w:t>
      </w:r>
      <w:r w:rsidR="00D22412" w:rsidRPr="0001656C">
        <w:rPr>
          <w:rFonts w:ascii="Book Antiqua" w:hAnsi="Book Antiqua" w:cs="Book Antiqua"/>
          <w:iCs/>
          <w:sz w:val="24"/>
          <w:szCs w:val="24"/>
          <w:lang w:val="en-US"/>
        </w:rPr>
        <w:t>as compared with healthy subjects. According to our results, the mechanism that causes this phenomenon is unlikely to be related to HLA haplotype alone but could be a result of several variables together.</w:t>
      </w:r>
    </w:p>
    <w:p w:rsidR="00D22412" w:rsidRPr="0001656C" w:rsidRDefault="00D22412" w:rsidP="00D22412">
      <w:pPr>
        <w:spacing w:after="0" w:line="360" w:lineRule="auto"/>
        <w:jc w:val="both"/>
        <w:rPr>
          <w:rFonts w:ascii="Book Antiqua" w:hAnsi="Book Antiqua" w:cs="Book Antiqua"/>
          <w:b/>
          <w:i/>
          <w:iCs/>
          <w:sz w:val="24"/>
          <w:szCs w:val="24"/>
          <w:lang w:val="en-US"/>
        </w:rPr>
      </w:pPr>
    </w:p>
    <w:p w:rsidR="00D22412" w:rsidRPr="0001656C" w:rsidRDefault="00D22412" w:rsidP="00D22412">
      <w:pPr>
        <w:spacing w:after="0" w:line="360" w:lineRule="auto"/>
        <w:jc w:val="both"/>
        <w:rPr>
          <w:rFonts w:ascii="Book Antiqua" w:hAnsi="Book Antiqua" w:cs="Book Antiqua"/>
          <w:b/>
          <w:i/>
          <w:iCs/>
          <w:sz w:val="24"/>
          <w:szCs w:val="24"/>
          <w:lang w:val="en-US"/>
        </w:rPr>
      </w:pPr>
      <w:r w:rsidRPr="0001656C">
        <w:rPr>
          <w:rFonts w:ascii="Book Antiqua" w:hAnsi="Book Antiqua" w:cs="Book Antiqua"/>
          <w:b/>
          <w:i/>
          <w:iCs/>
          <w:sz w:val="24"/>
          <w:szCs w:val="24"/>
          <w:lang w:val="en-US"/>
        </w:rPr>
        <w:t>Applications</w:t>
      </w:r>
    </w:p>
    <w:p w:rsidR="00D22412" w:rsidRPr="0001656C" w:rsidRDefault="00D22412" w:rsidP="00D22412">
      <w:pPr>
        <w:spacing w:after="0" w:line="360" w:lineRule="auto"/>
        <w:jc w:val="both"/>
        <w:rPr>
          <w:rFonts w:ascii="Book Antiqua" w:hAnsi="Book Antiqua" w:cs="Book Antiqua"/>
          <w:b/>
          <w:i/>
          <w:iCs/>
          <w:sz w:val="24"/>
          <w:szCs w:val="24"/>
          <w:lang w:val="en-US"/>
        </w:rPr>
      </w:pPr>
      <w:r w:rsidRPr="0001656C">
        <w:rPr>
          <w:rFonts w:ascii="Book Antiqua" w:hAnsi="Book Antiqua" w:cs="Book Antiqua"/>
          <w:iCs/>
          <w:sz w:val="24"/>
          <w:szCs w:val="24"/>
          <w:lang w:val="en-US"/>
        </w:rPr>
        <w:t>This study provides additional evidence that, along with the collective data in the literature, will help to establish an optimal surveillance program of response to HBV vaccine in celiac disease.</w:t>
      </w:r>
    </w:p>
    <w:p w:rsidR="00D22412" w:rsidRPr="0001656C" w:rsidRDefault="00D22412" w:rsidP="00D22412">
      <w:pPr>
        <w:spacing w:after="0" w:line="360" w:lineRule="auto"/>
        <w:jc w:val="both"/>
        <w:rPr>
          <w:rFonts w:ascii="Book Antiqua" w:hAnsi="Book Antiqua" w:cs="Book Antiqua"/>
          <w:b/>
          <w:i/>
          <w:iCs/>
          <w:sz w:val="24"/>
          <w:szCs w:val="24"/>
          <w:lang w:val="en-US"/>
        </w:rPr>
      </w:pPr>
    </w:p>
    <w:p w:rsidR="00D22412" w:rsidRPr="0001656C" w:rsidRDefault="00D22412" w:rsidP="00D22412">
      <w:pPr>
        <w:spacing w:after="0" w:line="360" w:lineRule="auto"/>
        <w:jc w:val="both"/>
        <w:rPr>
          <w:rFonts w:ascii="Book Antiqua" w:hAnsi="Book Antiqua" w:cs="Book Antiqua"/>
          <w:b/>
          <w:i/>
          <w:iCs/>
          <w:sz w:val="24"/>
          <w:szCs w:val="24"/>
          <w:lang w:val="en-US"/>
        </w:rPr>
      </w:pPr>
      <w:r w:rsidRPr="0001656C">
        <w:rPr>
          <w:rFonts w:ascii="Book Antiqua" w:hAnsi="Book Antiqua" w:cs="Book Antiqua"/>
          <w:b/>
          <w:i/>
          <w:iCs/>
          <w:sz w:val="24"/>
          <w:szCs w:val="24"/>
          <w:lang w:val="en-US"/>
        </w:rPr>
        <w:t>Terminology</w:t>
      </w:r>
    </w:p>
    <w:p w:rsidR="00D22412" w:rsidRPr="0001656C" w:rsidRDefault="00D22412" w:rsidP="00D22412">
      <w:pPr>
        <w:spacing w:after="0" w:line="360" w:lineRule="auto"/>
        <w:jc w:val="both"/>
        <w:rPr>
          <w:rFonts w:ascii="Book Antiqua" w:hAnsi="Book Antiqua" w:cs="Book Antiqua"/>
          <w:iCs/>
          <w:sz w:val="24"/>
          <w:szCs w:val="24"/>
          <w:lang w:val="en-US"/>
        </w:rPr>
      </w:pPr>
      <w:r w:rsidRPr="0001656C">
        <w:rPr>
          <w:rFonts w:ascii="Book Antiqua" w:hAnsi="Book Antiqua" w:cs="Book Antiqua"/>
          <w:iCs/>
          <w:sz w:val="24"/>
          <w:szCs w:val="24"/>
          <w:lang w:val="en-US"/>
        </w:rPr>
        <w:t>Non-responders are all subjects with a titer of</w:t>
      </w:r>
      <w:r w:rsidR="00240998" w:rsidRPr="0001656C">
        <w:rPr>
          <w:rFonts w:ascii="Book Antiqua" w:hAnsi="Book Antiqua" w:cs="Book Antiqua"/>
          <w:iCs/>
          <w:sz w:val="24"/>
          <w:szCs w:val="24"/>
          <w:lang w:val="en-US" w:eastAsia="zh-CN"/>
        </w:rPr>
        <w:t xml:space="preserve"> </w:t>
      </w:r>
      <w:r w:rsidRPr="0001656C">
        <w:rPr>
          <w:rFonts w:ascii="Book Antiqua" w:hAnsi="Book Antiqua" w:cs="Book Antiqua"/>
          <w:iCs/>
          <w:sz w:val="24"/>
          <w:szCs w:val="24"/>
          <w:lang w:val="en-US"/>
        </w:rPr>
        <w:t>hepatitis B surface antibody</w:t>
      </w:r>
      <w:r w:rsidR="00240998" w:rsidRPr="0001656C">
        <w:rPr>
          <w:rFonts w:ascii="Book Antiqua" w:hAnsi="Book Antiqua" w:cs="Book Antiqua"/>
          <w:iCs/>
          <w:sz w:val="24"/>
          <w:szCs w:val="24"/>
          <w:lang w:val="en-US" w:eastAsia="zh-CN"/>
        </w:rPr>
        <w:t xml:space="preserve"> </w:t>
      </w:r>
      <w:r w:rsidRPr="0001656C">
        <w:rPr>
          <w:rFonts w:ascii="Book Antiqua" w:hAnsi="Book Antiqua" w:cs="Book Antiqua"/>
          <w:iCs/>
          <w:sz w:val="24"/>
          <w:szCs w:val="24"/>
          <w:lang w:val="en-US"/>
        </w:rPr>
        <w:t xml:space="preserve">&lt; 10 </w:t>
      </w:r>
      <w:proofErr w:type="spellStart"/>
      <w:r w:rsidRPr="0001656C">
        <w:rPr>
          <w:rFonts w:ascii="Book Antiqua" w:hAnsi="Book Antiqua" w:cs="Book Antiqua"/>
          <w:iCs/>
          <w:sz w:val="24"/>
          <w:szCs w:val="24"/>
          <w:lang w:val="en-US"/>
        </w:rPr>
        <w:t>mIU</w:t>
      </w:r>
      <w:proofErr w:type="spellEnd"/>
      <w:r w:rsidRPr="0001656C">
        <w:rPr>
          <w:rFonts w:ascii="Book Antiqua" w:hAnsi="Book Antiqua" w:cs="Book Antiqua"/>
          <w:iCs/>
          <w:sz w:val="24"/>
          <w:szCs w:val="24"/>
          <w:lang w:val="en-US"/>
        </w:rPr>
        <w:t>/mL after the primary vaccination cycle.</w:t>
      </w:r>
    </w:p>
    <w:p w:rsidR="00D22412" w:rsidRPr="0001656C" w:rsidRDefault="00D22412" w:rsidP="00D22412">
      <w:pPr>
        <w:spacing w:after="0" w:line="360" w:lineRule="auto"/>
        <w:jc w:val="both"/>
        <w:rPr>
          <w:rFonts w:ascii="Book Antiqua" w:hAnsi="Book Antiqua" w:cs="Book Antiqua"/>
          <w:b/>
          <w:i/>
          <w:iCs/>
          <w:sz w:val="24"/>
          <w:szCs w:val="24"/>
          <w:lang w:val="en-US"/>
        </w:rPr>
      </w:pPr>
    </w:p>
    <w:p w:rsidR="00D22412" w:rsidRPr="0001656C" w:rsidRDefault="00D22412" w:rsidP="00D22412">
      <w:pPr>
        <w:spacing w:after="0" w:line="360" w:lineRule="auto"/>
        <w:jc w:val="both"/>
        <w:rPr>
          <w:rFonts w:ascii="Book Antiqua" w:hAnsi="Book Antiqua" w:cs="Book Antiqua"/>
          <w:b/>
          <w:i/>
          <w:iCs/>
          <w:sz w:val="24"/>
          <w:szCs w:val="24"/>
          <w:lang w:val="en-US"/>
        </w:rPr>
      </w:pPr>
      <w:r w:rsidRPr="0001656C">
        <w:rPr>
          <w:rFonts w:ascii="Book Antiqua" w:hAnsi="Book Antiqua" w:cs="Book Antiqua"/>
          <w:b/>
          <w:i/>
          <w:iCs/>
          <w:sz w:val="24"/>
          <w:szCs w:val="24"/>
          <w:lang w:val="en-US"/>
        </w:rPr>
        <w:t>Peer-review</w:t>
      </w:r>
      <w:bookmarkEnd w:id="20"/>
      <w:bookmarkEnd w:id="21"/>
      <w:bookmarkEnd w:id="22"/>
      <w:bookmarkEnd w:id="23"/>
      <w:bookmarkEnd w:id="24"/>
    </w:p>
    <w:p w:rsidR="00D22412" w:rsidRPr="0001656C" w:rsidRDefault="00D22412" w:rsidP="00D22412">
      <w:pPr>
        <w:spacing w:after="0" w:line="360" w:lineRule="auto"/>
        <w:jc w:val="both"/>
        <w:rPr>
          <w:rFonts w:ascii="Book Antiqua" w:hAnsi="Book Antiqua" w:cs="Book Antiqua"/>
          <w:iCs/>
          <w:sz w:val="24"/>
          <w:szCs w:val="24"/>
          <w:lang w:val="en-US"/>
        </w:rPr>
      </w:pPr>
      <w:r w:rsidRPr="0001656C">
        <w:rPr>
          <w:rFonts w:ascii="Book Antiqua" w:hAnsi="Book Antiqua" w:cs="Book Antiqua"/>
          <w:iCs/>
          <w:sz w:val="24"/>
          <w:szCs w:val="24"/>
          <w:lang w:val="en-US"/>
        </w:rPr>
        <w:t>The authors have studied antibody response to HBV vaccine in celiac patients. This is an interesting study, well designed and performed.</w:t>
      </w:r>
    </w:p>
    <w:p w:rsidR="00D22412" w:rsidRPr="0001656C" w:rsidRDefault="00D22412" w:rsidP="00D22412">
      <w:pPr>
        <w:spacing w:after="0" w:line="360" w:lineRule="auto"/>
        <w:rPr>
          <w:rFonts w:ascii="Book Antiqua" w:hAnsi="Book Antiqua" w:cs="Times New Roman"/>
          <w:b/>
          <w:sz w:val="24"/>
          <w:szCs w:val="24"/>
          <w:lang w:val="en-US"/>
        </w:rPr>
      </w:pPr>
    </w:p>
    <w:p w:rsidR="00D22412" w:rsidRPr="0001656C" w:rsidRDefault="00D22412" w:rsidP="00D22412">
      <w:pPr>
        <w:rPr>
          <w:rFonts w:ascii="Book Antiqua" w:hAnsi="Book Antiqua" w:cs="Times New Roman"/>
          <w:b/>
          <w:sz w:val="24"/>
          <w:szCs w:val="24"/>
          <w:lang w:val="en-US"/>
        </w:rPr>
      </w:pPr>
      <w:r w:rsidRPr="0001656C">
        <w:rPr>
          <w:rFonts w:ascii="Book Antiqua" w:hAnsi="Book Antiqua" w:cs="Times New Roman"/>
          <w:b/>
          <w:sz w:val="24"/>
          <w:szCs w:val="24"/>
          <w:lang w:val="en-US"/>
        </w:rPr>
        <w:br w:type="page"/>
      </w:r>
    </w:p>
    <w:p w:rsidR="00D22412" w:rsidRPr="0001656C" w:rsidRDefault="00D22412" w:rsidP="00D22412">
      <w:pPr>
        <w:spacing w:after="0"/>
        <w:rPr>
          <w:rFonts w:ascii="Book Antiqua" w:hAnsi="Book Antiqua" w:cs="Times New Roman"/>
          <w:b/>
          <w:sz w:val="24"/>
          <w:szCs w:val="24"/>
          <w:lang w:val="en-US"/>
        </w:rPr>
      </w:pPr>
      <w:r w:rsidRPr="0001656C">
        <w:rPr>
          <w:rFonts w:ascii="Book Antiqua" w:hAnsi="Book Antiqua" w:cs="Times New Roman"/>
          <w:b/>
          <w:sz w:val="24"/>
          <w:szCs w:val="24"/>
          <w:lang w:val="en-US"/>
        </w:rPr>
        <w:lastRenderedPageBreak/>
        <w:t>REFERENCES</w:t>
      </w:r>
    </w:p>
    <w:p w:rsidR="00946AB2" w:rsidRPr="0001656C" w:rsidRDefault="00946AB2"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1 </w:t>
      </w:r>
      <w:proofErr w:type="spellStart"/>
      <w:r w:rsidRPr="0001656C">
        <w:rPr>
          <w:rFonts w:ascii="Book Antiqua" w:eastAsia="宋体" w:hAnsi="Book Antiqua" w:cs="宋体"/>
          <w:b/>
          <w:bCs/>
          <w:color w:val="000000"/>
          <w:sz w:val="24"/>
          <w:szCs w:val="24"/>
          <w:lang w:val="en-US" w:eastAsia="zh-CN"/>
        </w:rPr>
        <w:t>Sollid</w:t>
      </w:r>
      <w:proofErr w:type="spellEnd"/>
      <w:r w:rsidRPr="0001656C">
        <w:rPr>
          <w:rFonts w:ascii="Book Antiqua" w:eastAsia="宋体" w:hAnsi="Book Antiqua" w:cs="宋体"/>
          <w:b/>
          <w:bCs/>
          <w:color w:val="000000"/>
          <w:sz w:val="24"/>
          <w:szCs w:val="24"/>
          <w:lang w:val="en-US" w:eastAsia="zh-CN"/>
        </w:rPr>
        <w:t xml:space="preserve"> LM</w:t>
      </w:r>
      <w:r w:rsidRPr="0001656C">
        <w:rPr>
          <w:rFonts w:ascii="Book Antiqua" w:eastAsia="宋体" w:hAnsi="Book Antiqua" w:cs="宋体"/>
          <w:color w:val="000000"/>
          <w:sz w:val="24"/>
          <w:szCs w:val="24"/>
          <w:lang w:val="en-US" w:eastAsia="zh-CN"/>
        </w:rPr>
        <w:t xml:space="preserve">, </w:t>
      </w:r>
      <w:proofErr w:type="spellStart"/>
      <w:r w:rsidRPr="0001656C">
        <w:rPr>
          <w:rFonts w:ascii="Book Antiqua" w:eastAsia="宋体" w:hAnsi="Book Antiqua" w:cs="宋体"/>
          <w:color w:val="000000"/>
          <w:sz w:val="24"/>
          <w:szCs w:val="24"/>
          <w:lang w:val="en-US" w:eastAsia="zh-CN"/>
        </w:rPr>
        <w:t>Jabri</w:t>
      </w:r>
      <w:proofErr w:type="spellEnd"/>
      <w:r w:rsidRPr="0001656C">
        <w:rPr>
          <w:rFonts w:ascii="Book Antiqua" w:eastAsia="宋体" w:hAnsi="Book Antiqua" w:cs="宋体"/>
          <w:color w:val="000000"/>
          <w:sz w:val="24"/>
          <w:szCs w:val="24"/>
          <w:lang w:val="en-US" w:eastAsia="zh-CN"/>
        </w:rPr>
        <w:t xml:space="preserve"> B. Triggers and drivers of autoimmunity: lessons from coeliac disease. </w:t>
      </w:r>
      <w:r w:rsidRPr="0001656C">
        <w:rPr>
          <w:rFonts w:ascii="Book Antiqua" w:eastAsia="宋体" w:hAnsi="Book Antiqua" w:cs="宋体"/>
          <w:i/>
          <w:iCs/>
          <w:color w:val="000000"/>
          <w:sz w:val="24"/>
          <w:szCs w:val="24"/>
          <w:lang w:val="en-US" w:eastAsia="zh-CN"/>
        </w:rPr>
        <w:t xml:space="preserve">Nat Rev </w:t>
      </w:r>
      <w:proofErr w:type="spellStart"/>
      <w:r w:rsidRPr="0001656C">
        <w:rPr>
          <w:rFonts w:ascii="Book Antiqua" w:eastAsia="宋体" w:hAnsi="Book Antiqua" w:cs="宋体"/>
          <w:i/>
          <w:iCs/>
          <w:color w:val="000000"/>
          <w:sz w:val="24"/>
          <w:szCs w:val="24"/>
          <w:lang w:val="en-US" w:eastAsia="zh-CN"/>
        </w:rPr>
        <w:t>Immunol</w:t>
      </w:r>
      <w:proofErr w:type="spellEnd"/>
      <w:r w:rsidRPr="0001656C">
        <w:rPr>
          <w:rFonts w:ascii="Book Antiqua" w:eastAsia="宋体" w:hAnsi="Book Antiqua" w:cs="宋体"/>
          <w:color w:val="000000"/>
          <w:sz w:val="24"/>
          <w:szCs w:val="24"/>
          <w:lang w:val="en-US" w:eastAsia="zh-CN"/>
        </w:rPr>
        <w:t> 2013; </w:t>
      </w:r>
      <w:r w:rsidRPr="0001656C">
        <w:rPr>
          <w:rFonts w:ascii="Book Antiqua" w:eastAsia="宋体" w:hAnsi="Book Antiqua" w:cs="宋体"/>
          <w:b/>
          <w:bCs/>
          <w:color w:val="000000"/>
          <w:sz w:val="24"/>
          <w:szCs w:val="24"/>
          <w:lang w:val="en-US" w:eastAsia="zh-CN"/>
        </w:rPr>
        <w:t>13</w:t>
      </w:r>
      <w:r w:rsidRPr="0001656C">
        <w:rPr>
          <w:rFonts w:ascii="Book Antiqua" w:eastAsia="宋体" w:hAnsi="Book Antiqua" w:cs="宋体"/>
          <w:color w:val="000000"/>
          <w:sz w:val="24"/>
          <w:szCs w:val="24"/>
          <w:lang w:val="en-US" w:eastAsia="zh-CN"/>
        </w:rPr>
        <w:t>: 294-302 [PMID: 23493116 DOI: 10.1038/nri3407]</w:t>
      </w:r>
    </w:p>
    <w:p w:rsidR="00946AB2" w:rsidRPr="0001656C" w:rsidRDefault="00946AB2"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2 </w:t>
      </w:r>
      <w:r w:rsidRPr="0001656C">
        <w:rPr>
          <w:rFonts w:ascii="Book Antiqua" w:eastAsia="宋体" w:hAnsi="Book Antiqua" w:cs="宋体"/>
          <w:b/>
          <w:bCs/>
          <w:color w:val="000000"/>
          <w:sz w:val="24"/>
          <w:szCs w:val="24"/>
          <w:lang w:val="en-US" w:eastAsia="zh-CN"/>
        </w:rPr>
        <w:t>Park SD</w:t>
      </w:r>
      <w:r w:rsidRPr="0001656C">
        <w:rPr>
          <w:rFonts w:ascii="Book Antiqua" w:eastAsia="宋体" w:hAnsi="Book Antiqua" w:cs="宋体"/>
          <w:color w:val="000000"/>
          <w:sz w:val="24"/>
          <w:szCs w:val="24"/>
          <w:lang w:val="en-US" w:eastAsia="zh-CN"/>
        </w:rPr>
        <w:t xml:space="preserve">, Markowitz J, </w:t>
      </w:r>
      <w:proofErr w:type="spellStart"/>
      <w:r w:rsidRPr="0001656C">
        <w:rPr>
          <w:rFonts w:ascii="Book Antiqua" w:eastAsia="宋体" w:hAnsi="Book Antiqua" w:cs="宋体"/>
          <w:color w:val="000000"/>
          <w:sz w:val="24"/>
          <w:szCs w:val="24"/>
          <w:lang w:val="en-US" w:eastAsia="zh-CN"/>
        </w:rPr>
        <w:t>Pettei</w:t>
      </w:r>
      <w:proofErr w:type="spellEnd"/>
      <w:r w:rsidRPr="0001656C">
        <w:rPr>
          <w:rFonts w:ascii="Book Antiqua" w:eastAsia="宋体" w:hAnsi="Book Antiqua" w:cs="宋体"/>
          <w:color w:val="000000"/>
          <w:sz w:val="24"/>
          <w:szCs w:val="24"/>
          <w:lang w:val="en-US" w:eastAsia="zh-CN"/>
        </w:rPr>
        <w:t xml:space="preserve"> M, Weinstein T, </w:t>
      </w:r>
      <w:proofErr w:type="spellStart"/>
      <w:r w:rsidRPr="0001656C">
        <w:rPr>
          <w:rFonts w:ascii="Book Antiqua" w:eastAsia="宋体" w:hAnsi="Book Antiqua" w:cs="宋体"/>
          <w:color w:val="000000"/>
          <w:sz w:val="24"/>
          <w:szCs w:val="24"/>
          <w:lang w:val="en-US" w:eastAsia="zh-CN"/>
        </w:rPr>
        <w:t>Sison</w:t>
      </w:r>
      <w:proofErr w:type="spellEnd"/>
      <w:r w:rsidRPr="0001656C">
        <w:rPr>
          <w:rFonts w:ascii="Book Antiqua" w:eastAsia="宋体" w:hAnsi="Book Antiqua" w:cs="宋体"/>
          <w:color w:val="000000"/>
          <w:sz w:val="24"/>
          <w:szCs w:val="24"/>
          <w:lang w:val="en-US" w:eastAsia="zh-CN"/>
        </w:rPr>
        <w:t xml:space="preserve"> CP, Swiss SR, Levine J. Failure to respond to hepatitis B vaccine in children with celiac disease. </w:t>
      </w:r>
      <w:r w:rsidRPr="0001656C">
        <w:rPr>
          <w:rFonts w:ascii="Book Antiqua" w:eastAsia="宋体" w:hAnsi="Book Antiqua" w:cs="宋体"/>
          <w:i/>
          <w:iCs/>
          <w:color w:val="000000"/>
          <w:sz w:val="24"/>
          <w:szCs w:val="24"/>
          <w:lang w:val="en-US" w:eastAsia="zh-CN"/>
        </w:rPr>
        <w:t xml:space="preserve">J </w:t>
      </w:r>
      <w:proofErr w:type="spellStart"/>
      <w:r w:rsidRPr="0001656C">
        <w:rPr>
          <w:rFonts w:ascii="Book Antiqua" w:eastAsia="宋体" w:hAnsi="Book Antiqua" w:cs="宋体"/>
          <w:i/>
          <w:iCs/>
          <w:color w:val="000000"/>
          <w:sz w:val="24"/>
          <w:szCs w:val="24"/>
          <w:lang w:val="en-US" w:eastAsia="zh-CN"/>
        </w:rPr>
        <w:t>Pediatr</w:t>
      </w:r>
      <w:proofErr w:type="spellEnd"/>
      <w:r w:rsidR="00240998" w:rsidRPr="0001656C">
        <w:rPr>
          <w:rFonts w:ascii="Book Antiqua" w:eastAsia="宋体" w:hAnsi="Book Antiqua" w:cs="宋体"/>
          <w:i/>
          <w:iCs/>
          <w:color w:val="000000"/>
          <w:sz w:val="24"/>
          <w:szCs w:val="24"/>
          <w:lang w:val="en-US" w:eastAsia="zh-CN"/>
        </w:rPr>
        <w:t xml:space="preserve"> </w:t>
      </w:r>
      <w:proofErr w:type="spellStart"/>
      <w:r w:rsidRPr="0001656C">
        <w:rPr>
          <w:rFonts w:ascii="Book Antiqua" w:eastAsia="宋体" w:hAnsi="Book Antiqua" w:cs="宋体"/>
          <w:i/>
          <w:iCs/>
          <w:color w:val="000000"/>
          <w:sz w:val="24"/>
          <w:szCs w:val="24"/>
          <w:lang w:val="en-US" w:eastAsia="zh-CN"/>
        </w:rPr>
        <w:t>Gastroenterol</w:t>
      </w:r>
      <w:proofErr w:type="spellEnd"/>
      <w:r w:rsidR="00240998" w:rsidRPr="0001656C">
        <w:rPr>
          <w:rFonts w:ascii="Book Antiqua" w:eastAsia="宋体" w:hAnsi="Book Antiqua" w:cs="宋体"/>
          <w:i/>
          <w:iCs/>
          <w:color w:val="000000"/>
          <w:sz w:val="24"/>
          <w:szCs w:val="24"/>
          <w:lang w:val="en-US" w:eastAsia="zh-CN"/>
        </w:rPr>
        <w:t xml:space="preserve"> </w:t>
      </w:r>
      <w:proofErr w:type="spellStart"/>
      <w:r w:rsidRPr="0001656C">
        <w:rPr>
          <w:rFonts w:ascii="Book Antiqua" w:eastAsia="宋体" w:hAnsi="Book Antiqua" w:cs="宋体"/>
          <w:i/>
          <w:iCs/>
          <w:color w:val="000000"/>
          <w:sz w:val="24"/>
          <w:szCs w:val="24"/>
          <w:lang w:val="en-US" w:eastAsia="zh-CN"/>
        </w:rPr>
        <w:t>Nutr</w:t>
      </w:r>
      <w:proofErr w:type="spellEnd"/>
      <w:r w:rsidRPr="0001656C">
        <w:rPr>
          <w:rFonts w:ascii="Book Antiqua" w:eastAsia="宋体" w:hAnsi="Book Antiqua" w:cs="宋体"/>
          <w:color w:val="000000"/>
          <w:sz w:val="24"/>
          <w:szCs w:val="24"/>
          <w:lang w:val="en-US" w:eastAsia="zh-CN"/>
        </w:rPr>
        <w:t> 2007; </w:t>
      </w:r>
      <w:r w:rsidRPr="0001656C">
        <w:rPr>
          <w:rFonts w:ascii="Book Antiqua" w:eastAsia="宋体" w:hAnsi="Book Antiqua" w:cs="宋体"/>
          <w:b/>
          <w:bCs/>
          <w:color w:val="000000"/>
          <w:sz w:val="24"/>
          <w:szCs w:val="24"/>
          <w:lang w:val="en-US" w:eastAsia="zh-CN"/>
        </w:rPr>
        <w:t>44</w:t>
      </w:r>
      <w:r w:rsidRPr="0001656C">
        <w:rPr>
          <w:rFonts w:ascii="Book Antiqua" w:eastAsia="宋体" w:hAnsi="Book Antiqua" w:cs="宋体"/>
          <w:color w:val="000000"/>
          <w:sz w:val="24"/>
          <w:szCs w:val="24"/>
          <w:lang w:val="en-US" w:eastAsia="zh-CN"/>
        </w:rPr>
        <w:t>: 431-435 [PMID: 17414139DOI: 10.1097/MPG.0b013e3180320654]</w:t>
      </w:r>
    </w:p>
    <w:p w:rsidR="00946AB2" w:rsidRPr="0001656C" w:rsidRDefault="00946AB2"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3 </w:t>
      </w:r>
      <w:proofErr w:type="spellStart"/>
      <w:r w:rsidRPr="0001656C">
        <w:rPr>
          <w:rFonts w:ascii="Book Antiqua" w:eastAsia="宋体" w:hAnsi="Book Antiqua" w:cs="宋体"/>
          <w:b/>
          <w:bCs/>
          <w:color w:val="000000"/>
          <w:sz w:val="24"/>
          <w:szCs w:val="24"/>
          <w:lang w:val="en-US" w:eastAsia="zh-CN"/>
        </w:rPr>
        <w:t>Zingone</w:t>
      </w:r>
      <w:proofErr w:type="spellEnd"/>
      <w:r w:rsidRPr="0001656C">
        <w:rPr>
          <w:rFonts w:ascii="Book Antiqua" w:eastAsia="宋体" w:hAnsi="Book Antiqua" w:cs="宋体"/>
          <w:b/>
          <w:bCs/>
          <w:color w:val="000000"/>
          <w:sz w:val="24"/>
          <w:szCs w:val="24"/>
          <w:lang w:val="en-US" w:eastAsia="zh-CN"/>
        </w:rPr>
        <w:t xml:space="preserve"> F</w:t>
      </w:r>
      <w:r w:rsidRPr="0001656C">
        <w:rPr>
          <w:rFonts w:ascii="Book Antiqua" w:eastAsia="宋体" w:hAnsi="Book Antiqua" w:cs="宋体"/>
          <w:color w:val="000000"/>
          <w:sz w:val="24"/>
          <w:szCs w:val="24"/>
          <w:lang w:val="en-US" w:eastAsia="zh-CN"/>
        </w:rPr>
        <w:t xml:space="preserve">, Capone P, </w:t>
      </w:r>
      <w:proofErr w:type="spellStart"/>
      <w:r w:rsidRPr="0001656C">
        <w:rPr>
          <w:rFonts w:ascii="Book Antiqua" w:eastAsia="宋体" w:hAnsi="Book Antiqua" w:cs="宋体"/>
          <w:color w:val="000000"/>
          <w:sz w:val="24"/>
          <w:szCs w:val="24"/>
          <w:lang w:val="en-US" w:eastAsia="zh-CN"/>
        </w:rPr>
        <w:t>Tortora</w:t>
      </w:r>
      <w:proofErr w:type="spellEnd"/>
      <w:r w:rsidRPr="0001656C">
        <w:rPr>
          <w:rFonts w:ascii="Book Antiqua" w:eastAsia="宋体" w:hAnsi="Book Antiqua" w:cs="宋体"/>
          <w:color w:val="000000"/>
          <w:sz w:val="24"/>
          <w:szCs w:val="24"/>
          <w:lang w:val="en-US" w:eastAsia="zh-CN"/>
        </w:rPr>
        <w:t xml:space="preserve"> R, </w:t>
      </w:r>
      <w:proofErr w:type="spellStart"/>
      <w:r w:rsidRPr="0001656C">
        <w:rPr>
          <w:rFonts w:ascii="Book Antiqua" w:eastAsia="宋体" w:hAnsi="Book Antiqua" w:cs="宋体"/>
          <w:color w:val="000000"/>
          <w:sz w:val="24"/>
          <w:szCs w:val="24"/>
          <w:lang w:val="en-US" w:eastAsia="zh-CN"/>
        </w:rPr>
        <w:t>Rispo</w:t>
      </w:r>
      <w:proofErr w:type="spellEnd"/>
      <w:r w:rsidRPr="0001656C">
        <w:rPr>
          <w:rFonts w:ascii="Book Antiqua" w:eastAsia="宋体" w:hAnsi="Book Antiqua" w:cs="宋体"/>
          <w:color w:val="000000"/>
          <w:sz w:val="24"/>
          <w:szCs w:val="24"/>
          <w:lang w:val="en-US" w:eastAsia="zh-CN"/>
        </w:rPr>
        <w:t xml:space="preserve"> A, </w:t>
      </w:r>
      <w:proofErr w:type="spellStart"/>
      <w:r w:rsidRPr="0001656C">
        <w:rPr>
          <w:rFonts w:ascii="Book Antiqua" w:eastAsia="宋体" w:hAnsi="Book Antiqua" w:cs="宋体"/>
          <w:color w:val="000000"/>
          <w:sz w:val="24"/>
          <w:szCs w:val="24"/>
          <w:lang w:val="en-US" w:eastAsia="zh-CN"/>
        </w:rPr>
        <w:t>Morisco</w:t>
      </w:r>
      <w:proofErr w:type="spellEnd"/>
      <w:r w:rsidRPr="0001656C">
        <w:rPr>
          <w:rFonts w:ascii="Book Antiqua" w:eastAsia="宋体" w:hAnsi="Book Antiqua" w:cs="宋体"/>
          <w:color w:val="000000"/>
          <w:sz w:val="24"/>
          <w:szCs w:val="24"/>
          <w:lang w:val="en-US" w:eastAsia="zh-CN"/>
        </w:rPr>
        <w:t xml:space="preserve"> F, </w:t>
      </w:r>
      <w:proofErr w:type="spellStart"/>
      <w:r w:rsidRPr="0001656C">
        <w:rPr>
          <w:rFonts w:ascii="Book Antiqua" w:eastAsia="宋体" w:hAnsi="Book Antiqua" w:cs="宋体"/>
          <w:color w:val="000000"/>
          <w:sz w:val="24"/>
          <w:szCs w:val="24"/>
          <w:lang w:val="en-US" w:eastAsia="zh-CN"/>
        </w:rPr>
        <w:t>Caporaso</w:t>
      </w:r>
      <w:proofErr w:type="spellEnd"/>
      <w:r w:rsidRPr="0001656C">
        <w:rPr>
          <w:rFonts w:ascii="Book Antiqua" w:eastAsia="宋体" w:hAnsi="Book Antiqua" w:cs="宋体"/>
          <w:color w:val="000000"/>
          <w:sz w:val="24"/>
          <w:szCs w:val="24"/>
          <w:lang w:val="en-US" w:eastAsia="zh-CN"/>
        </w:rPr>
        <w:t xml:space="preserve"> N, </w:t>
      </w:r>
      <w:proofErr w:type="spellStart"/>
      <w:r w:rsidRPr="0001656C">
        <w:rPr>
          <w:rFonts w:ascii="Book Antiqua" w:eastAsia="宋体" w:hAnsi="Book Antiqua" w:cs="宋体"/>
          <w:color w:val="000000"/>
          <w:sz w:val="24"/>
          <w:szCs w:val="24"/>
          <w:lang w:val="en-US" w:eastAsia="zh-CN"/>
        </w:rPr>
        <w:t>Imperatore</w:t>
      </w:r>
      <w:proofErr w:type="spellEnd"/>
      <w:r w:rsidRPr="0001656C">
        <w:rPr>
          <w:rFonts w:ascii="Book Antiqua" w:eastAsia="宋体" w:hAnsi="Book Antiqua" w:cs="宋体"/>
          <w:color w:val="000000"/>
          <w:sz w:val="24"/>
          <w:szCs w:val="24"/>
          <w:lang w:val="en-US" w:eastAsia="zh-CN"/>
        </w:rPr>
        <w:t xml:space="preserve"> N, De Stefano G, Iovino P, </w:t>
      </w:r>
      <w:proofErr w:type="spellStart"/>
      <w:r w:rsidRPr="0001656C">
        <w:rPr>
          <w:rFonts w:ascii="Book Antiqua" w:eastAsia="宋体" w:hAnsi="Book Antiqua" w:cs="宋体"/>
          <w:color w:val="000000"/>
          <w:sz w:val="24"/>
          <w:szCs w:val="24"/>
          <w:lang w:val="en-US" w:eastAsia="zh-CN"/>
        </w:rPr>
        <w:t>Ciacci</w:t>
      </w:r>
      <w:proofErr w:type="spellEnd"/>
      <w:r w:rsidRPr="0001656C">
        <w:rPr>
          <w:rFonts w:ascii="Book Antiqua" w:eastAsia="宋体" w:hAnsi="Book Antiqua" w:cs="宋体"/>
          <w:color w:val="000000"/>
          <w:sz w:val="24"/>
          <w:szCs w:val="24"/>
          <w:lang w:val="en-US" w:eastAsia="zh-CN"/>
        </w:rPr>
        <w:t xml:space="preserve"> C. Role of gluten intake at the time of hepatitis B virus vaccination in the immune response of celiac patients. </w:t>
      </w:r>
      <w:proofErr w:type="spellStart"/>
      <w:r w:rsidRPr="0001656C">
        <w:rPr>
          <w:rFonts w:ascii="Book Antiqua" w:eastAsia="宋体" w:hAnsi="Book Antiqua" w:cs="宋体"/>
          <w:i/>
          <w:iCs/>
          <w:color w:val="000000"/>
          <w:sz w:val="24"/>
          <w:szCs w:val="24"/>
          <w:lang w:val="en-US" w:eastAsia="zh-CN"/>
        </w:rPr>
        <w:t>Clin</w:t>
      </w:r>
      <w:proofErr w:type="spellEnd"/>
      <w:r w:rsidRPr="0001656C">
        <w:rPr>
          <w:rFonts w:ascii="Book Antiqua" w:eastAsia="宋体" w:hAnsi="Book Antiqua" w:cs="宋体"/>
          <w:i/>
          <w:iCs/>
          <w:color w:val="000000"/>
          <w:sz w:val="24"/>
          <w:szCs w:val="24"/>
          <w:lang w:val="en-US" w:eastAsia="zh-CN"/>
        </w:rPr>
        <w:t xml:space="preserve"> Vaccine </w:t>
      </w:r>
      <w:proofErr w:type="spellStart"/>
      <w:r w:rsidRPr="0001656C">
        <w:rPr>
          <w:rFonts w:ascii="Book Antiqua" w:eastAsia="宋体" w:hAnsi="Book Antiqua" w:cs="宋体"/>
          <w:i/>
          <w:iCs/>
          <w:color w:val="000000"/>
          <w:sz w:val="24"/>
          <w:szCs w:val="24"/>
          <w:lang w:val="en-US" w:eastAsia="zh-CN"/>
        </w:rPr>
        <w:t>Immunol</w:t>
      </w:r>
      <w:proofErr w:type="spellEnd"/>
      <w:r w:rsidRPr="0001656C">
        <w:rPr>
          <w:rFonts w:ascii="Book Antiqua" w:eastAsia="宋体" w:hAnsi="Book Antiqua" w:cs="宋体"/>
          <w:color w:val="000000"/>
          <w:sz w:val="24"/>
          <w:szCs w:val="24"/>
          <w:lang w:val="en-US" w:eastAsia="zh-CN"/>
        </w:rPr>
        <w:t> 2013; </w:t>
      </w:r>
      <w:r w:rsidRPr="0001656C">
        <w:rPr>
          <w:rFonts w:ascii="Book Antiqua" w:eastAsia="宋体" w:hAnsi="Book Antiqua" w:cs="宋体"/>
          <w:b/>
          <w:bCs/>
          <w:color w:val="000000"/>
          <w:sz w:val="24"/>
          <w:szCs w:val="24"/>
          <w:lang w:val="en-US" w:eastAsia="zh-CN"/>
        </w:rPr>
        <w:t>20</w:t>
      </w:r>
      <w:r w:rsidRPr="0001656C">
        <w:rPr>
          <w:rFonts w:ascii="Book Antiqua" w:eastAsia="宋体" w:hAnsi="Book Antiqua" w:cs="宋体"/>
          <w:color w:val="000000"/>
          <w:sz w:val="24"/>
          <w:szCs w:val="24"/>
          <w:lang w:val="en-US" w:eastAsia="zh-CN"/>
        </w:rPr>
        <w:t>: 660-662 [PMID: 23446217 DOI: 10.1128/CVI.00729-12]</w:t>
      </w:r>
    </w:p>
    <w:p w:rsidR="00946AB2" w:rsidRPr="0001656C" w:rsidRDefault="00946AB2"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4 </w:t>
      </w:r>
      <w:proofErr w:type="spellStart"/>
      <w:r w:rsidRPr="0001656C">
        <w:rPr>
          <w:rFonts w:ascii="Book Antiqua" w:eastAsia="宋体" w:hAnsi="Book Antiqua" w:cs="宋体"/>
          <w:b/>
          <w:bCs/>
          <w:color w:val="000000"/>
          <w:sz w:val="24"/>
          <w:szCs w:val="24"/>
          <w:lang w:val="en-US" w:eastAsia="zh-CN"/>
        </w:rPr>
        <w:t>Leonardi</w:t>
      </w:r>
      <w:proofErr w:type="spellEnd"/>
      <w:r w:rsidRPr="0001656C">
        <w:rPr>
          <w:rFonts w:ascii="Book Antiqua" w:eastAsia="宋体" w:hAnsi="Book Antiqua" w:cs="宋体"/>
          <w:b/>
          <w:bCs/>
          <w:color w:val="000000"/>
          <w:sz w:val="24"/>
          <w:szCs w:val="24"/>
          <w:lang w:val="en-US" w:eastAsia="zh-CN"/>
        </w:rPr>
        <w:t xml:space="preserve"> S</w:t>
      </w:r>
      <w:r w:rsidRPr="0001656C">
        <w:rPr>
          <w:rFonts w:ascii="Book Antiqua" w:eastAsia="宋体" w:hAnsi="Book Antiqua" w:cs="宋体"/>
          <w:color w:val="000000"/>
          <w:sz w:val="24"/>
          <w:szCs w:val="24"/>
          <w:lang w:val="en-US" w:eastAsia="zh-CN"/>
        </w:rPr>
        <w:t xml:space="preserve">, Del </w:t>
      </w:r>
      <w:proofErr w:type="spellStart"/>
      <w:r w:rsidRPr="0001656C">
        <w:rPr>
          <w:rFonts w:ascii="Book Antiqua" w:eastAsia="宋体" w:hAnsi="Book Antiqua" w:cs="宋体"/>
          <w:color w:val="000000"/>
          <w:sz w:val="24"/>
          <w:szCs w:val="24"/>
          <w:lang w:val="en-US" w:eastAsia="zh-CN"/>
        </w:rPr>
        <w:t>Giudice</w:t>
      </w:r>
      <w:proofErr w:type="spellEnd"/>
      <w:r w:rsidRPr="0001656C">
        <w:rPr>
          <w:rFonts w:ascii="Book Antiqua" w:eastAsia="宋体" w:hAnsi="Book Antiqua" w:cs="宋体"/>
          <w:color w:val="000000"/>
          <w:sz w:val="24"/>
          <w:szCs w:val="24"/>
          <w:lang w:val="en-US" w:eastAsia="zh-CN"/>
        </w:rPr>
        <w:t xml:space="preserve"> MM, </w:t>
      </w:r>
      <w:proofErr w:type="spellStart"/>
      <w:r w:rsidRPr="0001656C">
        <w:rPr>
          <w:rFonts w:ascii="Book Antiqua" w:eastAsia="宋体" w:hAnsi="Book Antiqua" w:cs="宋体"/>
          <w:color w:val="000000"/>
          <w:sz w:val="24"/>
          <w:szCs w:val="24"/>
          <w:lang w:val="en-US" w:eastAsia="zh-CN"/>
        </w:rPr>
        <w:t>Spicuzza</w:t>
      </w:r>
      <w:proofErr w:type="spellEnd"/>
      <w:r w:rsidRPr="0001656C">
        <w:rPr>
          <w:rFonts w:ascii="Book Antiqua" w:eastAsia="宋体" w:hAnsi="Book Antiqua" w:cs="宋体"/>
          <w:color w:val="000000"/>
          <w:sz w:val="24"/>
          <w:szCs w:val="24"/>
          <w:lang w:val="en-US" w:eastAsia="zh-CN"/>
        </w:rPr>
        <w:t xml:space="preserve"> L, Spina M, La Rosa M. Hepatitis B vaccine administered by intradermal route in patients with celiac disease unresponsive to the intramuscular vaccination schedule: a pilot study. </w:t>
      </w:r>
      <w:r w:rsidRPr="0001656C">
        <w:rPr>
          <w:rFonts w:ascii="Book Antiqua" w:eastAsia="宋体" w:hAnsi="Book Antiqua" w:cs="宋体"/>
          <w:i/>
          <w:iCs/>
          <w:color w:val="000000"/>
          <w:sz w:val="24"/>
          <w:szCs w:val="24"/>
          <w:lang w:val="en-US" w:eastAsia="zh-CN"/>
        </w:rPr>
        <w:t xml:space="preserve">Am J </w:t>
      </w:r>
      <w:proofErr w:type="spellStart"/>
      <w:r w:rsidRPr="0001656C">
        <w:rPr>
          <w:rFonts w:ascii="Book Antiqua" w:eastAsia="宋体" w:hAnsi="Book Antiqua" w:cs="宋体"/>
          <w:i/>
          <w:iCs/>
          <w:color w:val="000000"/>
          <w:sz w:val="24"/>
          <w:szCs w:val="24"/>
          <w:lang w:val="en-US" w:eastAsia="zh-CN"/>
        </w:rPr>
        <w:t>Gastroenterol</w:t>
      </w:r>
      <w:proofErr w:type="spellEnd"/>
      <w:r w:rsidRPr="0001656C">
        <w:rPr>
          <w:rFonts w:ascii="Book Antiqua" w:eastAsia="宋体" w:hAnsi="Book Antiqua" w:cs="宋体"/>
          <w:color w:val="000000"/>
          <w:sz w:val="24"/>
          <w:szCs w:val="24"/>
          <w:lang w:val="en-US" w:eastAsia="zh-CN"/>
        </w:rPr>
        <w:t> 2010; </w:t>
      </w:r>
      <w:r w:rsidRPr="0001656C">
        <w:rPr>
          <w:rFonts w:ascii="Book Antiqua" w:eastAsia="宋体" w:hAnsi="Book Antiqua" w:cs="宋体"/>
          <w:b/>
          <w:bCs/>
          <w:color w:val="000000"/>
          <w:sz w:val="24"/>
          <w:szCs w:val="24"/>
          <w:lang w:val="en-US" w:eastAsia="zh-CN"/>
        </w:rPr>
        <w:t>105</w:t>
      </w:r>
      <w:r w:rsidRPr="0001656C">
        <w:rPr>
          <w:rFonts w:ascii="Book Antiqua" w:eastAsia="宋体" w:hAnsi="Book Antiqua" w:cs="宋体"/>
          <w:color w:val="000000"/>
          <w:sz w:val="24"/>
          <w:szCs w:val="24"/>
          <w:lang w:val="en-US" w:eastAsia="zh-CN"/>
        </w:rPr>
        <w:t>: 2117-2119 [PMID: 20818367 DOI: 10.1038/ajg.2010.195]</w:t>
      </w:r>
    </w:p>
    <w:p w:rsidR="00946AB2" w:rsidRPr="0001656C" w:rsidRDefault="00946AB2" w:rsidP="00946AB2">
      <w:pPr>
        <w:spacing w:after="0" w:line="360" w:lineRule="auto"/>
        <w:jc w:val="both"/>
        <w:rPr>
          <w:rFonts w:ascii="Book Antiqua" w:eastAsia="宋体" w:hAnsi="Book Antiqua" w:cs="宋体"/>
          <w:color w:val="000000"/>
          <w:sz w:val="24"/>
          <w:szCs w:val="24"/>
          <w:lang w:val="en-US" w:eastAsia="zh-CN"/>
        </w:rPr>
      </w:pPr>
      <w:proofErr w:type="gramStart"/>
      <w:r w:rsidRPr="0001656C">
        <w:rPr>
          <w:rFonts w:ascii="Book Antiqua" w:eastAsia="宋体" w:hAnsi="Book Antiqua" w:cs="宋体"/>
          <w:color w:val="000000"/>
          <w:sz w:val="24"/>
          <w:szCs w:val="24"/>
          <w:lang w:val="en-US" w:eastAsia="zh-CN"/>
        </w:rPr>
        <w:t>5</w:t>
      </w:r>
      <w:r w:rsidR="00240998" w:rsidRPr="0001656C">
        <w:rPr>
          <w:rFonts w:ascii="Book Antiqua" w:eastAsia="宋体" w:hAnsi="Book Antiqua" w:cs="宋体"/>
          <w:color w:val="000000"/>
          <w:sz w:val="24"/>
          <w:szCs w:val="24"/>
          <w:lang w:val="en-US" w:eastAsia="zh-CN"/>
        </w:rPr>
        <w:t xml:space="preserve"> </w:t>
      </w:r>
      <w:r w:rsidRPr="0001656C">
        <w:rPr>
          <w:rFonts w:ascii="Book Antiqua" w:eastAsia="宋体" w:hAnsi="Book Antiqua" w:cs="宋体"/>
          <w:b/>
          <w:color w:val="000000"/>
          <w:sz w:val="24"/>
          <w:szCs w:val="24"/>
          <w:lang w:val="en-US" w:eastAsia="zh-CN"/>
        </w:rPr>
        <w:t>European Consensus Group on Hepatitis B Immunity.</w:t>
      </w:r>
      <w:proofErr w:type="gramEnd"/>
      <w:r w:rsidR="00240998" w:rsidRPr="0001656C">
        <w:rPr>
          <w:rFonts w:ascii="Book Antiqua" w:eastAsia="宋体" w:hAnsi="Book Antiqua" w:cs="宋体"/>
          <w:b/>
          <w:color w:val="000000"/>
          <w:sz w:val="24"/>
          <w:szCs w:val="24"/>
          <w:lang w:val="en-US" w:eastAsia="zh-CN"/>
        </w:rPr>
        <w:t xml:space="preserve"> </w:t>
      </w:r>
      <w:r w:rsidRPr="0001656C">
        <w:rPr>
          <w:rFonts w:ascii="Book Antiqua" w:eastAsia="宋体" w:hAnsi="Book Antiqua" w:cs="宋体"/>
          <w:color w:val="000000"/>
          <w:sz w:val="24"/>
          <w:szCs w:val="24"/>
          <w:lang w:val="en-US" w:eastAsia="zh-CN"/>
        </w:rPr>
        <w:t xml:space="preserve">Are booster </w:t>
      </w:r>
      <w:proofErr w:type="spellStart"/>
      <w:r w:rsidRPr="0001656C">
        <w:rPr>
          <w:rFonts w:ascii="Book Antiqua" w:eastAsia="宋体" w:hAnsi="Book Antiqua" w:cs="宋体"/>
          <w:color w:val="000000"/>
          <w:sz w:val="24"/>
          <w:szCs w:val="24"/>
          <w:lang w:val="en-US" w:eastAsia="zh-CN"/>
        </w:rPr>
        <w:t>immunisations</w:t>
      </w:r>
      <w:proofErr w:type="spellEnd"/>
      <w:r w:rsidRPr="0001656C">
        <w:rPr>
          <w:rFonts w:ascii="Book Antiqua" w:eastAsia="宋体" w:hAnsi="Book Antiqua" w:cs="宋体"/>
          <w:color w:val="000000"/>
          <w:sz w:val="24"/>
          <w:szCs w:val="24"/>
          <w:lang w:val="en-US" w:eastAsia="zh-CN"/>
        </w:rPr>
        <w:t xml:space="preserve"> needed for lifelong hepatitis B immunity? </w:t>
      </w:r>
      <w:r w:rsidRPr="0001656C">
        <w:rPr>
          <w:rFonts w:ascii="Book Antiqua" w:eastAsia="宋体" w:hAnsi="Book Antiqua" w:cs="宋体"/>
          <w:i/>
          <w:iCs/>
          <w:color w:val="000000"/>
          <w:sz w:val="24"/>
          <w:szCs w:val="24"/>
          <w:lang w:val="en-US" w:eastAsia="zh-CN"/>
        </w:rPr>
        <w:t>Lancet</w:t>
      </w:r>
      <w:r w:rsidRPr="0001656C">
        <w:rPr>
          <w:rFonts w:ascii="Book Antiqua" w:eastAsia="宋体" w:hAnsi="Book Antiqua" w:cs="宋体"/>
          <w:color w:val="000000"/>
          <w:sz w:val="24"/>
          <w:szCs w:val="24"/>
          <w:lang w:val="en-US" w:eastAsia="zh-CN"/>
        </w:rPr>
        <w:t> 2000; </w:t>
      </w:r>
      <w:r w:rsidRPr="0001656C">
        <w:rPr>
          <w:rFonts w:ascii="Book Antiqua" w:eastAsia="宋体" w:hAnsi="Book Antiqua" w:cs="宋体"/>
          <w:b/>
          <w:bCs/>
          <w:color w:val="000000"/>
          <w:sz w:val="24"/>
          <w:szCs w:val="24"/>
          <w:lang w:val="en-US" w:eastAsia="zh-CN"/>
        </w:rPr>
        <w:t>355</w:t>
      </w:r>
      <w:r w:rsidRPr="0001656C">
        <w:rPr>
          <w:rFonts w:ascii="Book Antiqua" w:eastAsia="宋体" w:hAnsi="Book Antiqua" w:cs="宋体"/>
          <w:color w:val="000000"/>
          <w:sz w:val="24"/>
          <w:szCs w:val="24"/>
          <w:lang w:val="en-US" w:eastAsia="zh-CN"/>
        </w:rPr>
        <w:t>: 561-565 [PMID: 10683019DOI: 10.1016/S0140-6736(99)07239-6]</w:t>
      </w:r>
    </w:p>
    <w:p w:rsidR="00946AB2" w:rsidRPr="0001656C" w:rsidRDefault="00946AB2"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6 </w:t>
      </w:r>
      <w:proofErr w:type="spellStart"/>
      <w:r w:rsidRPr="0001656C">
        <w:rPr>
          <w:rFonts w:ascii="Book Antiqua" w:eastAsia="宋体" w:hAnsi="Book Antiqua" w:cs="宋体"/>
          <w:b/>
          <w:bCs/>
          <w:color w:val="000000"/>
          <w:sz w:val="24"/>
          <w:szCs w:val="24"/>
          <w:lang w:val="en-US" w:eastAsia="zh-CN"/>
        </w:rPr>
        <w:t>Husby</w:t>
      </w:r>
      <w:proofErr w:type="spellEnd"/>
      <w:r w:rsidRPr="0001656C">
        <w:rPr>
          <w:rFonts w:ascii="Book Antiqua" w:eastAsia="宋体" w:hAnsi="Book Antiqua" w:cs="宋体"/>
          <w:b/>
          <w:bCs/>
          <w:color w:val="000000"/>
          <w:sz w:val="24"/>
          <w:szCs w:val="24"/>
          <w:lang w:val="en-US" w:eastAsia="zh-CN"/>
        </w:rPr>
        <w:t xml:space="preserve"> S</w:t>
      </w:r>
      <w:r w:rsidRPr="0001656C">
        <w:rPr>
          <w:rFonts w:ascii="Book Antiqua" w:eastAsia="宋体" w:hAnsi="Book Antiqua" w:cs="宋体"/>
          <w:color w:val="000000"/>
          <w:sz w:val="24"/>
          <w:szCs w:val="24"/>
          <w:lang w:val="en-US" w:eastAsia="zh-CN"/>
        </w:rPr>
        <w:t xml:space="preserve">, </w:t>
      </w:r>
      <w:proofErr w:type="spellStart"/>
      <w:r w:rsidRPr="0001656C">
        <w:rPr>
          <w:rFonts w:ascii="Book Antiqua" w:eastAsia="宋体" w:hAnsi="Book Antiqua" w:cs="宋体"/>
          <w:color w:val="000000"/>
          <w:sz w:val="24"/>
          <w:szCs w:val="24"/>
          <w:lang w:val="en-US" w:eastAsia="zh-CN"/>
        </w:rPr>
        <w:t>Koletzko</w:t>
      </w:r>
      <w:proofErr w:type="spellEnd"/>
      <w:r w:rsidRPr="0001656C">
        <w:rPr>
          <w:rFonts w:ascii="Book Antiqua" w:eastAsia="宋体" w:hAnsi="Book Antiqua" w:cs="宋体"/>
          <w:color w:val="000000"/>
          <w:sz w:val="24"/>
          <w:szCs w:val="24"/>
          <w:lang w:val="en-US" w:eastAsia="zh-CN"/>
        </w:rPr>
        <w:t xml:space="preserve"> S, </w:t>
      </w:r>
      <w:proofErr w:type="spellStart"/>
      <w:r w:rsidRPr="0001656C">
        <w:rPr>
          <w:rFonts w:ascii="Book Antiqua" w:eastAsia="宋体" w:hAnsi="Book Antiqua" w:cs="宋体"/>
          <w:color w:val="000000"/>
          <w:sz w:val="24"/>
          <w:szCs w:val="24"/>
          <w:lang w:val="en-US" w:eastAsia="zh-CN"/>
        </w:rPr>
        <w:t>Korponay-Szabó</w:t>
      </w:r>
      <w:proofErr w:type="spellEnd"/>
      <w:r w:rsidRPr="0001656C">
        <w:rPr>
          <w:rFonts w:ascii="Book Antiqua" w:eastAsia="宋体" w:hAnsi="Book Antiqua" w:cs="宋体"/>
          <w:color w:val="000000"/>
          <w:sz w:val="24"/>
          <w:szCs w:val="24"/>
          <w:lang w:val="en-US" w:eastAsia="zh-CN"/>
        </w:rPr>
        <w:t xml:space="preserve"> IR, </w:t>
      </w:r>
      <w:proofErr w:type="spellStart"/>
      <w:r w:rsidRPr="0001656C">
        <w:rPr>
          <w:rFonts w:ascii="Book Antiqua" w:eastAsia="宋体" w:hAnsi="Book Antiqua" w:cs="宋体"/>
          <w:color w:val="000000"/>
          <w:sz w:val="24"/>
          <w:szCs w:val="24"/>
          <w:lang w:val="en-US" w:eastAsia="zh-CN"/>
        </w:rPr>
        <w:t>Mearin</w:t>
      </w:r>
      <w:proofErr w:type="spellEnd"/>
      <w:r w:rsidRPr="0001656C">
        <w:rPr>
          <w:rFonts w:ascii="Book Antiqua" w:eastAsia="宋体" w:hAnsi="Book Antiqua" w:cs="宋体"/>
          <w:color w:val="000000"/>
          <w:sz w:val="24"/>
          <w:szCs w:val="24"/>
          <w:lang w:val="en-US" w:eastAsia="zh-CN"/>
        </w:rPr>
        <w:t xml:space="preserve"> ML, Phillips A, Shamir R, </w:t>
      </w:r>
      <w:proofErr w:type="spellStart"/>
      <w:r w:rsidRPr="0001656C">
        <w:rPr>
          <w:rFonts w:ascii="Book Antiqua" w:eastAsia="宋体" w:hAnsi="Book Antiqua" w:cs="宋体"/>
          <w:color w:val="000000"/>
          <w:sz w:val="24"/>
          <w:szCs w:val="24"/>
          <w:lang w:val="en-US" w:eastAsia="zh-CN"/>
        </w:rPr>
        <w:t>Troncone</w:t>
      </w:r>
      <w:proofErr w:type="spellEnd"/>
      <w:r w:rsidRPr="0001656C">
        <w:rPr>
          <w:rFonts w:ascii="Book Antiqua" w:eastAsia="宋体" w:hAnsi="Book Antiqua" w:cs="宋体"/>
          <w:color w:val="000000"/>
          <w:sz w:val="24"/>
          <w:szCs w:val="24"/>
          <w:lang w:val="en-US" w:eastAsia="zh-CN"/>
        </w:rPr>
        <w:t xml:space="preserve"> R, </w:t>
      </w:r>
      <w:proofErr w:type="spellStart"/>
      <w:r w:rsidRPr="0001656C">
        <w:rPr>
          <w:rFonts w:ascii="Book Antiqua" w:eastAsia="宋体" w:hAnsi="Book Antiqua" w:cs="宋体"/>
          <w:color w:val="000000"/>
          <w:sz w:val="24"/>
          <w:szCs w:val="24"/>
          <w:lang w:val="en-US" w:eastAsia="zh-CN"/>
        </w:rPr>
        <w:t>Giersiepen</w:t>
      </w:r>
      <w:proofErr w:type="spellEnd"/>
      <w:r w:rsidRPr="0001656C">
        <w:rPr>
          <w:rFonts w:ascii="Book Antiqua" w:eastAsia="宋体" w:hAnsi="Book Antiqua" w:cs="宋体"/>
          <w:color w:val="000000"/>
          <w:sz w:val="24"/>
          <w:szCs w:val="24"/>
          <w:lang w:val="en-US" w:eastAsia="zh-CN"/>
        </w:rPr>
        <w:t xml:space="preserve"> K, </w:t>
      </w:r>
      <w:proofErr w:type="spellStart"/>
      <w:r w:rsidRPr="0001656C">
        <w:rPr>
          <w:rFonts w:ascii="Book Antiqua" w:eastAsia="宋体" w:hAnsi="Book Antiqua" w:cs="宋体"/>
          <w:color w:val="000000"/>
          <w:sz w:val="24"/>
          <w:szCs w:val="24"/>
          <w:lang w:val="en-US" w:eastAsia="zh-CN"/>
        </w:rPr>
        <w:t>Branski</w:t>
      </w:r>
      <w:proofErr w:type="spellEnd"/>
      <w:r w:rsidRPr="0001656C">
        <w:rPr>
          <w:rFonts w:ascii="Book Antiqua" w:eastAsia="宋体" w:hAnsi="Book Antiqua" w:cs="宋体"/>
          <w:color w:val="000000"/>
          <w:sz w:val="24"/>
          <w:szCs w:val="24"/>
          <w:lang w:val="en-US" w:eastAsia="zh-CN"/>
        </w:rPr>
        <w:t xml:space="preserve"> D, </w:t>
      </w:r>
      <w:proofErr w:type="spellStart"/>
      <w:r w:rsidRPr="0001656C">
        <w:rPr>
          <w:rFonts w:ascii="Book Antiqua" w:eastAsia="宋体" w:hAnsi="Book Antiqua" w:cs="宋体"/>
          <w:color w:val="000000"/>
          <w:sz w:val="24"/>
          <w:szCs w:val="24"/>
          <w:lang w:val="en-US" w:eastAsia="zh-CN"/>
        </w:rPr>
        <w:t>Catassi</w:t>
      </w:r>
      <w:proofErr w:type="spellEnd"/>
      <w:r w:rsidRPr="0001656C">
        <w:rPr>
          <w:rFonts w:ascii="Book Antiqua" w:eastAsia="宋体" w:hAnsi="Book Antiqua" w:cs="宋体"/>
          <w:color w:val="000000"/>
          <w:sz w:val="24"/>
          <w:szCs w:val="24"/>
          <w:lang w:val="en-US" w:eastAsia="zh-CN"/>
        </w:rPr>
        <w:t xml:space="preserve"> C, </w:t>
      </w:r>
      <w:proofErr w:type="spellStart"/>
      <w:r w:rsidRPr="0001656C">
        <w:rPr>
          <w:rFonts w:ascii="Book Antiqua" w:eastAsia="宋体" w:hAnsi="Book Antiqua" w:cs="宋体"/>
          <w:color w:val="000000"/>
          <w:sz w:val="24"/>
          <w:szCs w:val="24"/>
          <w:lang w:val="en-US" w:eastAsia="zh-CN"/>
        </w:rPr>
        <w:t>Lelgeman</w:t>
      </w:r>
      <w:proofErr w:type="spellEnd"/>
      <w:r w:rsidRPr="0001656C">
        <w:rPr>
          <w:rFonts w:ascii="Book Antiqua" w:eastAsia="宋体" w:hAnsi="Book Antiqua" w:cs="宋体"/>
          <w:color w:val="000000"/>
          <w:sz w:val="24"/>
          <w:szCs w:val="24"/>
          <w:lang w:val="en-US" w:eastAsia="zh-CN"/>
        </w:rPr>
        <w:t xml:space="preserve"> M, </w:t>
      </w:r>
      <w:proofErr w:type="spellStart"/>
      <w:r w:rsidRPr="0001656C">
        <w:rPr>
          <w:rFonts w:ascii="Book Antiqua" w:eastAsia="宋体" w:hAnsi="Book Antiqua" w:cs="宋体"/>
          <w:color w:val="000000"/>
          <w:sz w:val="24"/>
          <w:szCs w:val="24"/>
          <w:lang w:val="en-US" w:eastAsia="zh-CN"/>
        </w:rPr>
        <w:t>Mäki</w:t>
      </w:r>
      <w:proofErr w:type="spellEnd"/>
      <w:r w:rsidRPr="0001656C">
        <w:rPr>
          <w:rFonts w:ascii="Book Antiqua" w:eastAsia="宋体" w:hAnsi="Book Antiqua" w:cs="宋体"/>
          <w:color w:val="000000"/>
          <w:sz w:val="24"/>
          <w:szCs w:val="24"/>
          <w:lang w:val="en-US" w:eastAsia="zh-CN"/>
        </w:rPr>
        <w:t xml:space="preserve"> M, </w:t>
      </w:r>
      <w:proofErr w:type="spellStart"/>
      <w:r w:rsidRPr="0001656C">
        <w:rPr>
          <w:rFonts w:ascii="Book Antiqua" w:eastAsia="宋体" w:hAnsi="Book Antiqua" w:cs="宋体"/>
          <w:color w:val="000000"/>
          <w:sz w:val="24"/>
          <w:szCs w:val="24"/>
          <w:lang w:val="en-US" w:eastAsia="zh-CN"/>
        </w:rPr>
        <w:t>Ribes-Koninckx</w:t>
      </w:r>
      <w:proofErr w:type="spellEnd"/>
      <w:r w:rsidRPr="0001656C">
        <w:rPr>
          <w:rFonts w:ascii="Book Antiqua" w:eastAsia="宋体" w:hAnsi="Book Antiqua" w:cs="宋体"/>
          <w:color w:val="000000"/>
          <w:sz w:val="24"/>
          <w:szCs w:val="24"/>
          <w:lang w:val="en-US" w:eastAsia="zh-CN"/>
        </w:rPr>
        <w:t xml:space="preserve"> C, Ventura A, Zimmer KP. European Society for Pediatric Gastroenterology, Hepatology, and Nutrition guidelines for the diagnosis of coeliac disease. </w:t>
      </w:r>
      <w:r w:rsidRPr="0001656C">
        <w:rPr>
          <w:rFonts w:ascii="Book Antiqua" w:eastAsia="宋体" w:hAnsi="Book Antiqua" w:cs="宋体"/>
          <w:i/>
          <w:iCs/>
          <w:color w:val="000000"/>
          <w:sz w:val="24"/>
          <w:szCs w:val="24"/>
          <w:lang w:val="en-US" w:eastAsia="zh-CN"/>
        </w:rPr>
        <w:t xml:space="preserve">J </w:t>
      </w:r>
      <w:proofErr w:type="spellStart"/>
      <w:r w:rsidRPr="0001656C">
        <w:rPr>
          <w:rFonts w:ascii="Book Antiqua" w:eastAsia="宋体" w:hAnsi="Book Antiqua" w:cs="宋体"/>
          <w:i/>
          <w:iCs/>
          <w:color w:val="000000"/>
          <w:sz w:val="24"/>
          <w:szCs w:val="24"/>
          <w:lang w:val="en-US" w:eastAsia="zh-CN"/>
        </w:rPr>
        <w:t>Pediatr</w:t>
      </w:r>
      <w:proofErr w:type="spellEnd"/>
      <w:r w:rsidR="00240998" w:rsidRPr="0001656C">
        <w:rPr>
          <w:rFonts w:ascii="Book Antiqua" w:eastAsia="宋体" w:hAnsi="Book Antiqua" w:cs="宋体"/>
          <w:i/>
          <w:iCs/>
          <w:color w:val="000000"/>
          <w:sz w:val="24"/>
          <w:szCs w:val="24"/>
          <w:lang w:val="en-US" w:eastAsia="zh-CN"/>
        </w:rPr>
        <w:t xml:space="preserve"> </w:t>
      </w:r>
      <w:proofErr w:type="spellStart"/>
      <w:r w:rsidRPr="0001656C">
        <w:rPr>
          <w:rFonts w:ascii="Book Antiqua" w:eastAsia="宋体" w:hAnsi="Book Antiqua" w:cs="宋体"/>
          <w:i/>
          <w:iCs/>
          <w:color w:val="000000"/>
          <w:sz w:val="24"/>
          <w:szCs w:val="24"/>
          <w:lang w:val="en-US" w:eastAsia="zh-CN"/>
        </w:rPr>
        <w:t>Gastroenterol</w:t>
      </w:r>
      <w:proofErr w:type="spellEnd"/>
      <w:r w:rsidR="00240998" w:rsidRPr="0001656C">
        <w:rPr>
          <w:rFonts w:ascii="Book Antiqua" w:eastAsia="宋体" w:hAnsi="Book Antiqua" w:cs="宋体"/>
          <w:i/>
          <w:iCs/>
          <w:color w:val="000000"/>
          <w:sz w:val="24"/>
          <w:szCs w:val="24"/>
          <w:lang w:val="en-US" w:eastAsia="zh-CN"/>
        </w:rPr>
        <w:t xml:space="preserve"> </w:t>
      </w:r>
      <w:proofErr w:type="spellStart"/>
      <w:r w:rsidRPr="0001656C">
        <w:rPr>
          <w:rFonts w:ascii="Book Antiqua" w:eastAsia="宋体" w:hAnsi="Book Antiqua" w:cs="宋体"/>
          <w:i/>
          <w:iCs/>
          <w:color w:val="000000"/>
          <w:sz w:val="24"/>
          <w:szCs w:val="24"/>
          <w:lang w:val="en-US" w:eastAsia="zh-CN"/>
        </w:rPr>
        <w:t>Nutr</w:t>
      </w:r>
      <w:proofErr w:type="spellEnd"/>
      <w:r w:rsidRPr="0001656C">
        <w:rPr>
          <w:rFonts w:ascii="Book Antiqua" w:eastAsia="宋体" w:hAnsi="Book Antiqua" w:cs="宋体"/>
          <w:color w:val="000000"/>
          <w:sz w:val="24"/>
          <w:szCs w:val="24"/>
          <w:lang w:val="en-US" w:eastAsia="zh-CN"/>
        </w:rPr>
        <w:t> 2012; </w:t>
      </w:r>
      <w:r w:rsidRPr="0001656C">
        <w:rPr>
          <w:rFonts w:ascii="Book Antiqua" w:eastAsia="宋体" w:hAnsi="Book Antiqua" w:cs="宋体"/>
          <w:b/>
          <w:bCs/>
          <w:color w:val="000000"/>
          <w:sz w:val="24"/>
          <w:szCs w:val="24"/>
          <w:lang w:val="en-US" w:eastAsia="zh-CN"/>
        </w:rPr>
        <w:t>54</w:t>
      </w:r>
      <w:r w:rsidRPr="0001656C">
        <w:rPr>
          <w:rFonts w:ascii="Book Antiqua" w:eastAsia="宋体" w:hAnsi="Book Antiqua" w:cs="宋体"/>
          <w:color w:val="000000"/>
          <w:sz w:val="24"/>
          <w:szCs w:val="24"/>
          <w:lang w:val="en-US" w:eastAsia="zh-CN"/>
        </w:rPr>
        <w:t>: 136-160 [PMID: 22197856 DOI: 10.1097/MPG.0b013e31821a23d0]</w:t>
      </w:r>
    </w:p>
    <w:p w:rsidR="00946AB2" w:rsidRPr="0001656C" w:rsidRDefault="00946AB2"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7 </w:t>
      </w:r>
      <w:r w:rsidRPr="0001656C">
        <w:rPr>
          <w:rFonts w:ascii="Book Antiqua" w:eastAsia="宋体" w:hAnsi="Book Antiqua" w:cs="宋体"/>
          <w:b/>
          <w:bCs/>
          <w:color w:val="000000"/>
          <w:sz w:val="24"/>
          <w:szCs w:val="24"/>
          <w:lang w:val="en-US" w:eastAsia="zh-CN"/>
        </w:rPr>
        <w:t>Jack AD</w:t>
      </w:r>
      <w:r w:rsidRPr="0001656C">
        <w:rPr>
          <w:rFonts w:ascii="Book Antiqua" w:eastAsia="宋体" w:hAnsi="Book Antiqua" w:cs="宋体"/>
          <w:color w:val="000000"/>
          <w:sz w:val="24"/>
          <w:szCs w:val="24"/>
          <w:lang w:val="en-US" w:eastAsia="zh-CN"/>
        </w:rPr>
        <w:t>, Hall AJ, Maine N, Mendy M, Whittle HC. What level of hepatitis B antibody is protective? </w:t>
      </w:r>
      <w:r w:rsidRPr="0001656C">
        <w:rPr>
          <w:rFonts w:ascii="Book Antiqua" w:eastAsia="宋体" w:hAnsi="Book Antiqua" w:cs="宋体"/>
          <w:i/>
          <w:iCs/>
          <w:color w:val="000000"/>
          <w:sz w:val="24"/>
          <w:szCs w:val="24"/>
          <w:lang w:val="en-US" w:eastAsia="zh-CN"/>
        </w:rPr>
        <w:t>J Infect Dis</w:t>
      </w:r>
      <w:r w:rsidRPr="0001656C">
        <w:rPr>
          <w:rFonts w:ascii="Book Antiqua" w:eastAsia="宋体" w:hAnsi="Book Antiqua" w:cs="宋体"/>
          <w:color w:val="000000"/>
          <w:sz w:val="24"/>
          <w:szCs w:val="24"/>
          <w:lang w:val="en-US" w:eastAsia="zh-CN"/>
        </w:rPr>
        <w:t> 1999; </w:t>
      </w:r>
      <w:r w:rsidRPr="0001656C">
        <w:rPr>
          <w:rFonts w:ascii="Book Antiqua" w:eastAsia="宋体" w:hAnsi="Book Antiqua" w:cs="宋体"/>
          <w:b/>
          <w:bCs/>
          <w:color w:val="000000"/>
          <w:sz w:val="24"/>
          <w:szCs w:val="24"/>
          <w:lang w:val="en-US" w:eastAsia="zh-CN"/>
        </w:rPr>
        <w:t>179</w:t>
      </w:r>
      <w:r w:rsidRPr="0001656C">
        <w:rPr>
          <w:rFonts w:ascii="Book Antiqua" w:eastAsia="宋体" w:hAnsi="Book Antiqua" w:cs="宋体"/>
          <w:color w:val="000000"/>
          <w:sz w:val="24"/>
          <w:szCs w:val="24"/>
          <w:lang w:val="en-US" w:eastAsia="zh-CN"/>
        </w:rPr>
        <w:t>: 489-492 [PMID: 9878036DOI: 10.1086/314578]</w:t>
      </w:r>
    </w:p>
    <w:p w:rsidR="00946AB2" w:rsidRPr="0001656C" w:rsidRDefault="00946AB2"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8 </w:t>
      </w:r>
      <w:proofErr w:type="spellStart"/>
      <w:r w:rsidRPr="0001656C">
        <w:rPr>
          <w:rFonts w:ascii="Book Antiqua" w:eastAsia="宋体" w:hAnsi="Book Antiqua" w:cs="宋体"/>
          <w:b/>
          <w:bCs/>
          <w:color w:val="000000"/>
          <w:sz w:val="24"/>
          <w:szCs w:val="24"/>
          <w:lang w:val="en-US" w:eastAsia="zh-CN"/>
        </w:rPr>
        <w:t>Martinetti</w:t>
      </w:r>
      <w:proofErr w:type="spellEnd"/>
      <w:r w:rsidRPr="0001656C">
        <w:rPr>
          <w:rFonts w:ascii="Book Antiqua" w:eastAsia="宋体" w:hAnsi="Book Antiqua" w:cs="宋体"/>
          <w:b/>
          <w:bCs/>
          <w:color w:val="000000"/>
          <w:sz w:val="24"/>
          <w:szCs w:val="24"/>
          <w:lang w:val="en-US" w:eastAsia="zh-CN"/>
        </w:rPr>
        <w:t xml:space="preserve"> M</w:t>
      </w:r>
      <w:r w:rsidRPr="0001656C">
        <w:rPr>
          <w:rFonts w:ascii="Book Antiqua" w:eastAsia="宋体" w:hAnsi="Book Antiqua" w:cs="宋体"/>
          <w:color w:val="000000"/>
          <w:sz w:val="24"/>
          <w:szCs w:val="24"/>
          <w:lang w:val="en-US" w:eastAsia="zh-CN"/>
        </w:rPr>
        <w:t xml:space="preserve">, De </w:t>
      </w:r>
      <w:proofErr w:type="spellStart"/>
      <w:r w:rsidRPr="0001656C">
        <w:rPr>
          <w:rFonts w:ascii="Book Antiqua" w:eastAsia="宋体" w:hAnsi="Book Antiqua" w:cs="宋体"/>
          <w:color w:val="000000"/>
          <w:sz w:val="24"/>
          <w:szCs w:val="24"/>
          <w:lang w:val="en-US" w:eastAsia="zh-CN"/>
        </w:rPr>
        <w:t>Silvestri</w:t>
      </w:r>
      <w:proofErr w:type="spellEnd"/>
      <w:r w:rsidRPr="0001656C">
        <w:rPr>
          <w:rFonts w:ascii="Book Antiqua" w:eastAsia="宋体" w:hAnsi="Book Antiqua" w:cs="宋体"/>
          <w:color w:val="000000"/>
          <w:sz w:val="24"/>
          <w:szCs w:val="24"/>
          <w:lang w:val="en-US" w:eastAsia="zh-CN"/>
        </w:rPr>
        <w:t xml:space="preserve"> A, </w:t>
      </w:r>
      <w:proofErr w:type="spellStart"/>
      <w:r w:rsidRPr="0001656C">
        <w:rPr>
          <w:rFonts w:ascii="Book Antiqua" w:eastAsia="宋体" w:hAnsi="Book Antiqua" w:cs="宋体"/>
          <w:color w:val="000000"/>
          <w:sz w:val="24"/>
          <w:szCs w:val="24"/>
          <w:lang w:val="en-US" w:eastAsia="zh-CN"/>
        </w:rPr>
        <w:t>Belloni</w:t>
      </w:r>
      <w:proofErr w:type="spellEnd"/>
      <w:r w:rsidRPr="0001656C">
        <w:rPr>
          <w:rFonts w:ascii="Book Antiqua" w:eastAsia="宋体" w:hAnsi="Book Antiqua" w:cs="宋体"/>
          <w:color w:val="000000"/>
          <w:sz w:val="24"/>
          <w:szCs w:val="24"/>
          <w:lang w:val="en-US" w:eastAsia="zh-CN"/>
        </w:rPr>
        <w:t xml:space="preserve"> C, </w:t>
      </w:r>
      <w:proofErr w:type="spellStart"/>
      <w:r w:rsidRPr="0001656C">
        <w:rPr>
          <w:rFonts w:ascii="Book Antiqua" w:eastAsia="宋体" w:hAnsi="Book Antiqua" w:cs="宋体"/>
          <w:color w:val="000000"/>
          <w:sz w:val="24"/>
          <w:szCs w:val="24"/>
          <w:lang w:val="en-US" w:eastAsia="zh-CN"/>
        </w:rPr>
        <w:t>Pasi</w:t>
      </w:r>
      <w:proofErr w:type="spellEnd"/>
      <w:r w:rsidRPr="0001656C">
        <w:rPr>
          <w:rFonts w:ascii="Book Antiqua" w:eastAsia="宋体" w:hAnsi="Book Antiqua" w:cs="宋体"/>
          <w:color w:val="000000"/>
          <w:sz w:val="24"/>
          <w:szCs w:val="24"/>
          <w:lang w:val="en-US" w:eastAsia="zh-CN"/>
        </w:rPr>
        <w:t xml:space="preserve"> A, </w:t>
      </w:r>
      <w:proofErr w:type="spellStart"/>
      <w:r w:rsidRPr="0001656C">
        <w:rPr>
          <w:rFonts w:ascii="Book Antiqua" w:eastAsia="宋体" w:hAnsi="Book Antiqua" w:cs="宋体"/>
          <w:color w:val="000000"/>
          <w:sz w:val="24"/>
          <w:szCs w:val="24"/>
          <w:lang w:val="en-US" w:eastAsia="zh-CN"/>
        </w:rPr>
        <w:t>Tinelli</w:t>
      </w:r>
      <w:proofErr w:type="spellEnd"/>
      <w:r w:rsidRPr="0001656C">
        <w:rPr>
          <w:rFonts w:ascii="Book Antiqua" w:eastAsia="宋体" w:hAnsi="Book Antiqua" w:cs="宋体"/>
          <w:color w:val="000000"/>
          <w:sz w:val="24"/>
          <w:szCs w:val="24"/>
          <w:lang w:val="en-US" w:eastAsia="zh-CN"/>
        </w:rPr>
        <w:t xml:space="preserve"> C, </w:t>
      </w:r>
      <w:proofErr w:type="spellStart"/>
      <w:r w:rsidRPr="0001656C">
        <w:rPr>
          <w:rFonts w:ascii="Book Antiqua" w:eastAsia="宋体" w:hAnsi="Book Antiqua" w:cs="宋体"/>
          <w:color w:val="000000"/>
          <w:sz w:val="24"/>
          <w:szCs w:val="24"/>
          <w:lang w:val="en-US" w:eastAsia="zh-CN"/>
        </w:rPr>
        <w:t>Pistorio</w:t>
      </w:r>
      <w:proofErr w:type="spellEnd"/>
      <w:r w:rsidRPr="0001656C">
        <w:rPr>
          <w:rFonts w:ascii="Book Antiqua" w:eastAsia="宋体" w:hAnsi="Book Antiqua" w:cs="宋体"/>
          <w:color w:val="000000"/>
          <w:sz w:val="24"/>
          <w:szCs w:val="24"/>
          <w:lang w:val="en-US" w:eastAsia="zh-CN"/>
        </w:rPr>
        <w:t xml:space="preserve"> A, </w:t>
      </w:r>
      <w:proofErr w:type="spellStart"/>
      <w:r w:rsidRPr="0001656C">
        <w:rPr>
          <w:rFonts w:ascii="Book Antiqua" w:eastAsia="宋体" w:hAnsi="Book Antiqua" w:cs="宋体"/>
          <w:color w:val="000000"/>
          <w:sz w:val="24"/>
          <w:szCs w:val="24"/>
          <w:lang w:val="en-US" w:eastAsia="zh-CN"/>
        </w:rPr>
        <w:t>Salvaneschi</w:t>
      </w:r>
      <w:proofErr w:type="spellEnd"/>
      <w:r w:rsidRPr="0001656C">
        <w:rPr>
          <w:rFonts w:ascii="Book Antiqua" w:eastAsia="宋体" w:hAnsi="Book Antiqua" w:cs="宋体"/>
          <w:color w:val="000000"/>
          <w:sz w:val="24"/>
          <w:szCs w:val="24"/>
          <w:lang w:val="en-US" w:eastAsia="zh-CN"/>
        </w:rPr>
        <w:t xml:space="preserve"> L, </w:t>
      </w:r>
      <w:proofErr w:type="spellStart"/>
      <w:r w:rsidRPr="0001656C">
        <w:rPr>
          <w:rFonts w:ascii="Book Antiqua" w:eastAsia="宋体" w:hAnsi="Book Antiqua" w:cs="宋体"/>
          <w:color w:val="000000"/>
          <w:sz w:val="24"/>
          <w:szCs w:val="24"/>
          <w:lang w:val="en-US" w:eastAsia="zh-CN"/>
        </w:rPr>
        <w:t>Rondini</w:t>
      </w:r>
      <w:proofErr w:type="spellEnd"/>
      <w:r w:rsidRPr="0001656C">
        <w:rPr>
          <w:rFonts w:ascii="Book Antiqua" w:eastAsia="宋体" w:hAnsi="Book Antiqua" w:cs="宋体"/>
          <w:color w:val="000000"/>
          <w:sz w:val="24"/>
          <w:szCs w:val="24"/>
          <w:lang w:val="en-US" w:eastAsia="zh-CN"/>
        </w:rPr>
        <w:t xml:space="preserve"> G, </w:t>
      </w:r>
      <w:proofErr w:type="spellStart"/>
      <w:r w:rsidRPr="0001656C">
        <w:rPr>
          <w:rFonts w:ascii="Book Antiqua" w:eastAsia="宋体" w:hAnsi="Book Antiqua" w:cs="宋体"/>
          <w:color w:val="000000"/>
          <w:sz w:val="24"/>
          <w:szCs w:val="24"/>
          <w:lang w:val="en-US" w:eastAsia="zh-CN"/>
        </w:rPr>
        <w:t>Avanzini</w:t>
      </w:r>
      <w:proofErr w:type="spellEnd"/>
      <w:r w:rsidRPr="0001656C">
        <w:rPr>
          <w:rFonts w:ascii="Book Antiqua" w:eastAsia="宋体" w:hAnsi="Book Antiqua" w:cs="宋体"/>
          <w:color w:val="000000"/>
          <w:sz w:val="24"/>
          <w:szCs w:val="24"/>
          <w:lang w:val="en-US" w:eastAsia="zh-CN"/>
        </w:rPr>
        <w:t xml:space="preserve"> MA, </w:t>
      </w:r>
      <w:proofErr w:type="spellStart"/>
      <w:r w:rsidRPr="0001656C">
        <w:rPr>
          <w:rFonts w:ascii="Book Antiqua" w:eastAsia="宋体" w:hAnsi="Book Antiqua" w:cs="宋体"/>
          <w:color w:val="000000"/>
          <w:sz w:val="24"/>
          <w:szCs w:val="24"/>
          <w:lang w:val="en-US" w:eastAsia="zh-CN"/>
        </w:rPr>
        <w:t>Cuccia</w:t>
      </w:r>
      <w:proofErr w:type="spellEnd"/>
      <w:r w:rsidRPr="0001656C">
        <w:rPr>
          <w:rFonts w:ascii="Book Antiqua" w:eastAsia="宋体" w:hAnsi="Book Antiqua" w:cs="宋体"/>
          <w:color w:val="000000"/>
          <w:sz w:val="24"/>
          <w:szCs w:val="24"/>
          <w:lang w:val="en-US" w:eastAsia="zh-CN"/>
        </w:rPr>
        <w:t xml:space="preserve"> M. Humoral response to recombinant hepatitis B virus vaccine at birth: role of HLA and beyond. </w:t>
      </w:r>
      <w:proofErr w:type="spellStart"/>
      <w:r w:rsidRPr="0001656C">
        <w:rPr>
          <w:rFonts w:ascii="Book Antiqua" w:eastAsia="宋体" w:hAnsi="Book Antiqua" w:cs="宋体"/>
          <w:i/>
          <w:iCs/>
          <w:color w:val="000000"/>
          <w:sz w:val="24"/>
          <w:szCs w:val="24"/>
          <w:lang w:val="en-US" w:eastAsia="zh-CN"/>
        </w:rPr>
        <w:t>Clin</w:t>
      </w:r>
      <w:proofErr w:type="spellEnd"/>
      <w:r w:rsidR="00240998" w:rsidRPr="0001656C">
        <w:rPr>
          <w:rFonts w:ascii="Book Antiqua" w:eastAsia="宋体" w:hAnsi="Book Antiqua" w:cs="宋体"/>
          <w:i/>
          <w:iCs/>
          <w:color w:val="000000"/>
          <w:sz w:val="24"/>
          <w:szCs w:val="24"/>
          <w:lang w:val="en-US" w:eastAsia="zh-CN"/>
        </w:rPr>
        <w:t xml:space="preserve"> </w:t>
      </w:r>
      <w:proofErr w:type="spellStart"/>
      <w:r w:rsidRPr="0001656C">
        <w:rPr>
          <w:rFonts w:ascii="Book Antiqua" w:eastAsia="宋体" w:hAnsi="Book Antiqua" w:cs="宋体"/>
          <w:i/>
          <w:iCs/>
          <w:color w:val="000000"/>
          <w:sz w:val="24"/>
          <w:szCs w:val="24"/>
          <w:lang w:val="en-US" w:eastAsia="zh-CN"/>
        </w:rPr>
        <w:t>Immunol</w:t>
      </w:r>
      <w:proofErr w:type="spellEnd"/>
      <w:r w:rsidRPr="0001656C">
        <w:rPr>
          <w:rFonts w:ascii="Book Antiqua" w:eastAsia="宋体" w:hAnsi="Book Antiqua" w:cs="宋体"/>
          <w:color w:val="000000"/>
          <w:sz w:val="24"/>
          <w:szCs w:val="24"/>
          <w:lang w:val="en-US" w:eastAsia="zh-CN"/>
        </w:rPr>
        <w:t> 2000; </w:t>
      </w:r>
      <w:r w:rsidRPr="0001656C">
        <w:rPr>
          <w:rFonts w:ascii="Book Antiqua" w:eastAsia="宋体" w:hAnsi="Book Antiqua" w:cs="宋体"/>
          <w:b/>
          <w:bCs/>
          <w:color w:val="000000"/>
          <w:sz w:val="24"/>
          <w:szCs w:val="24"/>
          <w:lang w:val="en-US" w:eastAsia="zh-CN"/>
        </w:rPr>
        <w:t>97</w:t>
      </w:r>
      <w:r w:rsidRPr="0001656C">
        <w:rPr>
          <w:rFonts w:ascii="Book Antiqua" w:eastAsia="宋体" w:hAnsi="Book Antiqua" w:cs="宋体"/>
          <w:color w:val="000000"/>
          <w:sz w:val="24"/>
          <w:szCs w:val="24"/>
          <w:lang w:val="en-US" w:eastAsia="zh-CN"/>
        </w:rPr>
        <w:t>: 234-240 [PMID: 11112362DOI: 10.1006/clim.2000.4933]</w:t>
      </w:r>
    </w:p>
    <w:p w:rsidR="00946AB2" w:rsidRPr="0001656C" w:rsidRDefault="00946AB2"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9 </w:t>
      </w:r>
      <w:r w:rsidRPr="0001656C">
        <w:rPr>
          <w:rFonts w:ascii="Book Antiqua" w:eastAsia="宋体" w:hAnsi="Book Antiqua" w:cs="宋体"/>
          <w:b/>
          <w:bCs/>
          <w:color w:val="000000"/>
          <w:sz w:val="24"/>
          <w:szCs w:val="24"/>
          <w:lang w:val="en-US" w:eastAsia="zh-CN"/>
        </w:rPr>
        <w:t>Lin HH</w:t>
      </w:r>
      <w:r w:rsidRPr="0001656C">
        <w:rPr>
          <w:rFonts w:ascii="Book Antiqua" w:eastAsia="宋体" w:hAnsi="Book Antiqua" w:cs="宋体"/>
          <w:color w:val="000000"/>
          <w:sz w:val="24"/>
          <w:szCs w:val="24"/>
          <w:lang w:val="en-US" w:eastAsia="zh-CN"/>
        </w:rPr>
        <w:t xml:space="preserve">, Liao HW, Lin SK, Wang LY. </w:t>
      </w:r>
      <w:proofErr w:type="gramStart"/>
      <w:r w:rsidRPr="0001656C">
        <w:rPr>
          <w:rFonts w:ascii="Book Antiqua" w:eastAsia="宋体" w:hAnsi="Book Antiqua" w:cs="宋体"/>
          <w:color w:val="000000"/>
          <w:sz w:val="24"/>
          <w:szCs w:val="24"/>
          <w:lang w:val="en-US" w:eastAsia="zh-CN"/>
        </w:rPr>
        <w:t>HLA and response to booster hepatitis B vaccination in anti-HBs-seronegative adolescents who had received primary infantile vaccination.</w:t>
      </w:r>
      <w:proofErr w:type="gramEnd"/>
      <w:r w:rsidRPr="0001656C">
        <w:rPr>
          <w:rFonts w:ascii="Book Antiqua" w:eastAsia="宋体" w:hAnsi="Book Antiqua" w:cs="宋体"/>
          <w:color w:val="000000"/>
          <w:sz w:val="24"/>
          <w:szCs w:val="24"/>
          <w:lang w:val="en-US" w:eastAsia="zh-CN"/>
        </w:rPr>
        <w:t> </w:t>
      </w:r>
      <w:r w:rsidRPr="0001656C">
        <w:rPr>
          <w:rFonts w:ascii="Book Antiqua" w:eastAsia="宋体" w:hAnsi="Book Antiqua" w:cs="宋体"/>
          <w:i/>
          <w:iCs/>
          <w:color w:val="000000"/>
          <w:sz w:val="24"/>
          <w:szCs w:val="24"/>
          <w:lang w:val="en-US" w:eastAsia="zh-CN"/>
        </w:rPr>
        <w:t>Vaccine</w:t>
      </w:r>
      <w:r w:rsidRPr="0001656C">
        <w:rPr>
          <w:rFonts w:ascii="Book Antiqua" w:eastAsia="宋体" w:hAnsi="Book Antiqua" w:cs="宋体"/>
          <w:color w:val="000000"/>
          <w:sz w:val="24"/>
          <w:szCs w:val="24"/>
          <w:lang w:val="en-US" w:eastAsia="zh-CN"/>
        </w:rPr>
        <w:t> 2008; </w:t>
      </w:r>
      <w:r w:rsidRPr="0001656C">
        <w:rPr>
          <w:rFonts w:ascii="Book Antiqua" w:eastAsia="宋体" w:hAnsi="Book Antiqua" w:cs="宋体"/>
          <w:b/>
          <w:bCs/>
          <w:color w:val="000000"/>
          <w:sz w:val="24"/>
          <w:szCs w:val="24"/>
          <w:lang w:val="en-US" w:eastAsia="zh-CN"/>
        </w:rPr>
        <w:t>26</w:t>
      </w:r>
      <w:r w:rsidRPr="0001656C">
        <w:rPr>
          <w:rFonts w:ascii="Book Antiqua" w:eastAsia="宋体" w:hAnsi="Book Antiqua" w:cs="宋体"/>
          <w:color w:val="000000"/>
          <w:sz w:val="24"/>
          <w:szCs w:val="24"/>
          <w:lang w:val="en-US" w:eastAsia="zh-CN"/>
        </w:rPr>
        <w:t>:</w:t>
      </w:r>
      <w:r w:rsidR="00240998" w:rsidRPr="0001656C">
        <w:rPr>
          <w:rFonts w:ascii="Book Antiqua" w:eastAsia="宋体" w:hAnsi="Book Antiqua" w:cs="宋体"/>
          <w:color w:val="000000"/>
          <w:sz w:val="24"/>
          <w:szCs w:val="24"/>
          <w:lang w:val="en-US" w:eastAsia="zh-CN"/>
        </w:rPr>
        <w:t xml:space="preserve"> </w:t>
      </w:r>
      <w:r w:rsidRPr="0001656C">
        <w:rPr>
          <w:rFonts w:ascii="Book Antiqua" w:eastAsia="宋体" w:hAnsi="Book Antiqua" w:cs="宋体"/>
          <w:color w:val="000000"/>
          <w:sz w:val="24"/>
          <w:szCs w:val="24"/>
          <w:lang w:val="en-US" w:eastAsia="zh-CN"/>
        </w:rPr>
        <w:t>3414-3420 [PMID: 18501999 DOI: 10.1016/j.vaccine.2008.04.038]</w:t>
      </w:r>
    </w:p>
    <w:p w:rsidR="00946AB2" w:rsidRPr="0001656C" w:rsidRDefault="00946AB2" w:rsidP="00946AB2">
      <w:pPr>
        <w:spacing w:after="0" w:line="360" w:lineRule="auto"/>
        <w:jc w:val="both"/>
        <w:rPr>
          <w:rFonts w:ascii="Book Antiqua" w:eastAsia="宋体" w:hAnsi="Book Antiqua" w:cs="宋体"/>
          <w:color w:val="000000"/>
          <w:sz w:val="24"/>
          <w:szCs w:val="24"/>
          <w:lang w:val="en-US" w:eastAsia="zh-CN"/>
        </w:rPr>
      </w:pPr>
      <w:proofErr w:type="gramStart"/>
      <w:r w:rsidRPr="0001656C">
        <w:rPr>
          <w:rFonts w:ascii="Book Antiqua" w:eastAsia="宋体" w:hAnsi="Book Antiqua" w:cs="宋体"/>
          <w:color w:val="000000"/>
          <w:sz w:val="24"/>
          <w:szCs w:val="24"/>
          <w:lang w:val="en-US" w:eastAsia="zh-CN"/>
        </w:rPr>
        <w:lastRenderedPageBreak/>
        <w:t>10 </w:t>
      </w:r>
      <w:r w:rsidRPr="0001656C">
        <w:rPr>
          <w:rFonts w:ascii="Book Antiqua" w:eastAsia="宋体" w:hAnsi="Book Antiqua" w:cs="宋体"/>
          <w:b/>
          <w:bCs/>
          <w:color w:val="000000"/>
          <w:sz w:val="24"/>
          <w:szCs w:val="24"/>
          <w:lang w:val="en-US" w:eastAsia="zh-CN"/>
        </w:rPr>
        <w:t>Noh KW</w:t>
      </w:r>
      <w:r w:rsidRPr="0001656C">
        <w:rPr>
          <w:rFonts w:ascii="Book Antiqua" w:eastAsia="宋体" w:hAnsi="Book Antiqua" w:cs="宋体"/>
          <w:color w:val="000000"/>
          <w:sz w:val="24"/>
          <w:szCs w:val="24"/>
          <w:lang w:val="en-US" w:eastAsia="zh-CN"/>
        </w:rPr>
        <w:t>, Poland GA, Murray JA.</w:t>
      </w:r>
      <w:proofErr w:type="gramEnd"/>
      <w:r w:rsidR="005F691A" w:rsidRPr="0001656C">
        <w:rPr>
          <w:rFonts w:ascii="Book Antiqua" w:eastAsia="宋体" w:hAnsi="Book Antiqua" w:cs="宋体"/>
          <w:color w:val="000000"/>
          <w:sz w:val="24"/>
          <w:szCs w:val="24"/>
          <w:lang w:val="en-US" w:eastAsia="zh-CN"/>
        </w:rPr>
        <w:t xml:space="preserve"> </w:t>
      </w:r>
      <w:proofErr w:type="gramStart"/>
      <w:r w:rsidRPr="0001656C">
        <w:rPr>
          <w:rFonts w:ascii="Book Antiqua" w:eastAsia="宋体" w:hAnsi="Book Antiqua" w:cs="宋体"/>
          <w:color w:val="000000"/>
          <w:sz w:val="24"/>
          <w:szCs w:val="24"/>
          <w:lang w:val="en-US" w:eastAsia="zh-CN"/>
        </w:rPr>
        <w:t>Hepatitis B vaccine nonresponse and celiac disease.</w:t>
      </w:r>
      <w:proofErr w:type="gramEnd"/>
      <w:r w:rsidR="005F691A" w:rsidRPr="0001656C">
        <w:rPr>
          <w:rFonts w:ascii="Book Antiqua" w:eastAsia="宋体" w:hAnsi="Book Antiqua" w:cs="宋体"/>
          <w:color w:val="000000"/>
          <w:sz w:val="24"/>
          <w:szCs w:val="24"/>
          <w:lang w:val="en-US" w:eastAsia="zh-CN"/>
        </w:rPr>
        <w:t xml:space="preserve"> </w:t>
      </w:r>
      <w:r w:rsidRPr="0001656C">
        <w:rPr>
          <w:rFonts w:ascii="Book Antiqua" w:eastAsia="宋体" w:hAnsi="Book Antiqua" w:cs="宋体"/>
          <w:i/>
          <w:iCs/>
          <w:color w:val="000000"/>
          <w:sz w:val="24"/>
          <w:szCs w:val="24"/>
          <w:lang w:val="en-US" w:eastAsia="zh-CN"/>
        </w:rPr>
        <w:t xml:space="preserve">Am J </w:t>
      </w:r>
      <w:proofErr w:type="spellStart"/>
      <w:r w:rsidRPr="0001656C">
        <w:rPr>
          <w:rFonts w:ascii="Book Antiqua" w:eastAsia="宋体" w:hAnsi="Book Antiqua" w:cs="宋体"/>
          <w:i/>
          <w:iCs/>
          <w:color w:val="000000"/>
          <w:sz w:val="24"/>
          <w:szCs w:val="24"/>
          <w:lang w:val="en-US" w:eastAsia="zh-CN"/>
        </w:rPr>
        <w:t>Gastroenterol</w:t>
      </w:r>
      <w:proofErr w:type="spellEnd"/>
      <w:r w:rsidR="005F691A" w:rsidRPr="0001656C">
        <w:rPr>
          <w:rFonts w:ascii="Book Antiqua" w:eastAsia="宋体" w:hAnsi="Book Antiqua" w:cs="宋体"/>
          <w:color w:val="000000"/>
          <w:sz w:val="24"/>
          <w:szCs w:val="24"/>
          <w:lang w:val="en-US" w:eastAsia="zh-CN"/>
        </w:rPr>
        <w:t xml:space="preserve"> </w:t>
      </w:r>
      <w:r w:rsidRPr="0001656C">
        <w:rPr>
          <w:rFonts w:ascii="Book Antiqua" w:eastAsia="宋体" w:hAnsi="Book Antiqua" w:cs="宋体"/>
          <w:color w:val="000000"/>
          <w:sz w:val="24"/>
          <w:szCs w:val="24"/>
          <w:lang w:val="en-US" w:eastAsia="zh-CN"/>
        </w:rPr>
        <w:t>2003;</w:t>
      </w:r>
      <w:r w:rsidR="005F691A" w:rsidRPr="0001656C">
        <w:rPr>
          <w:rFonts w:ascii="Book Antiqua" w:eastAsia="宋体" w:hAnsi="Book Antiqua" w:cs="宋体"/>
          <w:color w:val="000000"/>
          <w:sz w:val="24"/>
          <w:szCs w:val="24"/>
          <w:lang w:val="en-US" w:eastAsia="zh-CN"/>
        </w:rPr>
        <w:t xml:space="preserve"> </w:t>
      </w:r>
      <w:r w:rsidRPr="0001656C">
        <w:rPr>
          <w:rFonts w:ascii="Book Antiqua" w:eastAsia="宋体" w:hAnsi="Book Antiqua" w:cs="宋体"/>
          <w:b/>
          <w:bCs/>
          <w:color w:val="000000"/>
          <w:sz w:val="24"/>
          <w:szCs w:val="24"/>
          <w:lang w:val="en-US" w:eastAsia="zh-CN"/>
        </w:rPr>
        <w:t>98</w:t>
      </w:r>
      <w:r w:rsidRPr="0001656C">
        <w:rPr>
          <w:rFonts w:ascii="Book Antiqua" w:eastAsia="宋体" w:hAnsi="Book Antiqua" w:cs="宋体"/>
          <w:color w:val="000000"/>
          <w:sz w:val="24"/>
          <w:szCs w:val="24"/>
          <w:lang w:val="en-US" w:eastAsia="zh-CN"/>
        </w:rPr>
        <w:t>: 2289-2292 [PMID: 14572581DOI: 10.1111/j.1572-0241.2003.07701.x]</w:t>
      </w:r>
    </w:p>
    <w:p w:rsidR="00946AB2" w:rsidRPr="0001656C" w:rsidRDefault="00946AB2"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11 </w:t>
      </w:r>
      <w:proofErr w:type="spellStart"/>
      <w:r w:rsidRPr="0001656C">
        <w:rPr>
          <w:rFonts w:ascii="Book Antiqua" w:eastAsia="宋体" w:hAnsi="Book Antiqua" w:cs="宋体"/>
          <w:b/>
          <w:bCs/>
          <w:color w:val="000000"/>
          <w:sz w:val="24"/>
          <w:szCs w:val="24"/>
          <w:lang w:val="en-US" w:eastAsia="zh-CN"/>
        </w:rPr>
        <w:t>Zanoni</w:t>
      </w:r>
      <w:proofErr w:type="spellEnd"/>
      <w:r w:rsidRPr="0001656C">
        <w:rPr>
          <w:rFonts w:ascii="Book Antiqua" w:eastAsia="宋体" w:hAnsi="Book Antiqua" w:cs="宋体"/>
          <w:b/>
          <w:bCs/>
          <w:color w:val="000000"/>
          <w:sz w:val="24"/>
          <w:szCs w:val="24"/>
          <w:lang w:val="en-US" w:eastAsia="zh-CN"/>
        </w:rPr>
        <w:t xml:space="preserve"> G</w:t>
      </w:r>
      <w:r w:rsidRPr="0001656C">
        <w:rPr>
          <w:rFonts w:ascii="Book Antiqua" w:eastAsia="宋体" w:hAnsi="Book Antiqua" w:cs="宋体"/>
          <w:color w:val="000000"/>
          <w:sz w:val="24"/>
          <w:szCs w:val="24"/>
          <w:lang w:val="en-US" w:eastAsia="zh-CN"/>
        </w:rPr>
        <w:t xml:space="preserve">, </w:t>
      </w:r>
      <w:proofErr w:type="spellStart"/>
      <w:r w:rsidRPr="0001656C">
        <w:rPr>
          <w:rFonts w:ascii="Book Antiqua" w:eastAsia="宋体" w:hAnsi="Book Antiqua" w:cs="宋体"/>
          <w:color w:val="000000"/>
          <w:sz w:val="24"/>
          <w:szCs w:val="24"/>
          <w:lang w:val="en-US" w:eastAsia="zh-CN"/>
        </w:rPr>
        <w:t>Contreas</w:t>
      </w:r>
      <w:proofErr w:type="spellEnd"/>
      <w:r w:rsidRPr="0001656C">
        <w:rPr>
          <w:rFonts w:ascii="Book Antiqua" w:eastAsia="宋体" w:hAnsi="Book Antiqua" w:cs="宋体"/>
          <w:color w:val="000000"/>
          <w:sz w:val="24"/>
          <w:szCs w:val="24"/>
          <w:lang w:val="en-US" w:eastAsia="zh-CN"/>
        </w:rPr>
        <w:t xml:space="preserve"> G, Valletta E, </w:t>
      </w:r>
      <w:proofErr w:type="spellStart"/>
      <w:r w:rsidRPr="0001656C">
        <w:rPr>
          <w:rFonts w:ascii="Book Antiqua" w:eastAsia="宋体" w:hAnsi="Book Antiqua" w:cs="宋体"/>
          <w:color w:val="000000"/>
          <w:sz w:val="24"/>
          <w:szCs w:val="24"/>
          <w:lang w:val="en-US" w:eastAsia="zh-CN"/>
        </w:rPr>
        <w:t>Gabrielli</w:t>
      </w:r>
      <w:proofErr w:type="spellEnd"/>
      <w:r w:rsidRPr="0001656C">
        <w:rPr>
          <w:rFonts w:ascii="Book Antiqua" w:eastAsia="宋体" w:hAnsi="Book Antiqua" w:cs="宋体"/>
          <w:color w:val="000000"/>
          <w:sz w:val="24"/>
          <w:szCs w:val="24"/>
          <w:lang w:val="en-US" w:eastAsia="zh-CN"/>
        </w:rPr>
        <w:t xml:space="preserve"> O, </w:t>
      </w:r>
      <w:proofErr w:type="spellStart"/>
      <w:r w:rsidRPr="0001656C">
        <w:rPr>
          <w:rFonts w:ascii="Book Antiqua" w:eastAsia="宋体" w:hAnsi="Book Antiqua" w:cs="宋体"/>
          <w:color w:val="000000"/>
          <w:sz w:val="24"/>
          <w:szCs w:val="24"/>
          <w:lang w:val="en-US" w:eastAsia="zh-CN"/>
        </w:rPr>
        <w:t>Mengoli</w:t>
      </w:r>
      <w:proofErr w:type="spellEnd"/>
      <w:r w:rsidRPr="0001656C">
        <w:rPr>
          <w:rFonts w:ascii="Book Antiqua" w:eastAsia="宋体" w:hAnsi="Book Antiqua" w:cs="宋体"/>
          <w:color w:val="000000"/>
          <w:sz w:val="24"/>
          <w:szCs w:val="24"/>
          <w:lang w:val="en-US" w:eastAsia="zh-CN"/>
        </w:rPr>
        <w:t xml:space="preserve"> C, </w:t>
      </w:r>
      <w:proofErr w:type="spellStart"/>
      <w:r w:rsidRPr="0001656C">
        <w:rPr>
          <w:rFonts w:ascii="Book Antiqua" w:eastAsia="宋体" w:hAnsi="Book Antiqua" w:cs="宋体"/>
          <w:color w:val="000000"/>
          <w:sz w:val="24"/>
          <w:szCs w:val="24"/>
          <w:lang w:val="en-US" w:eastAsia="zh-CN"/>
        </w:rPr>
        <w:t>Veneri</w:t>
      </w:r>
      <w:proofErr w:type="spellEnd"/>
      <w:r w:rsidRPr="0001656C">
        <w:rPr>
          <w:rFonts w:ascii="Book Antiqua" w:eastAsia="宋体" w:hAnsi="Book Antiqua" w:cs="宋体"/>
          <w:color w:val="000000"/>
          <w:sz w:val="24"/>
          <w:szCs w:val="24"/>
          <w:lang w:val="en-US" w:eastAsia="zh-CN"/>
        </w:rPr>
        <w:t xml:space="preserve"> D. Normal or defective immune response to Hepatitis B vaccine in patients with diabetes and celiac disease. </w:t>
      </w:r>
      <w:r w:rsidRPr="0001656C">
        <w:rPr>
          <w:rFonts w:ascii="Book Antiqua" w:eastAsia="宋体" w:hAnsi="Book Antiqua" w:cs="宋体"/>
          <w:i/>
          <w:iCs/>
          <w:color w:val="000000"/>
          <w:sz w:val="24"/>
          <w:szCs w:val="24"/>
          <w:lang w:val="en-US" w:eastAsia="zh-CN"/>
        </w:rPr>
        <w:t xml:space="preserve">Hum </w:t>
      </w:r>
      <w:proofErr w:type="spellStart"/>
      <w:r w:rsidRPr="0001656C">
        <w:rPr>
          <w:rFonts w:ascii="Book Antiqua" w:eastAsia="宋体" w:hAnsi="Book Antiqua" w:cs="宋体"/>
          <w:i/>
          <w:iCs/>
          <w:color w:val="000000"/>
          <w:sz w:val="24"/>
          <w:szCs w:val="24"/>
          <w:lang w:val="en-US" w:eastAsia="zh-CN"/>
        </w:rPr>
        <w:t>Vaccin</w:t>
      </w:r>
      <w:proofErr w:type="spellEnd"/>
      <w:r w:rsidR="005F691A" w:rsidRPr="0001656C">
        <w:rPr>
          <w:rFonts w:ascii="Book Antiqua" w:eastAsia="宋体" w:hAnsi="Book Antiqua" w:cs="宋体"/>
          <w:i/>
          <w:iCs/>
          <w:color w:val="000000"/>
          <w:sz w:val="24"/>
          <w:szCs w:val="24"/>
          <w:lang w:val="en-US" w:eastAsia="zh-CN"/>
        </w:rPr>
        <w:t xml:space="preserve"> </w:t>
      </w:r>
      <w:proofErr w:type="spellStart"/>
      <w:r w:rsidRPr="0001656C">
        <w:rPr>
          <w:rFonts w:ascii="Book Antiqua" w:eastAsia="宋体" w:hAnsi="Book Antiqua" w:cs="宋体"/>
          <w:i/>
          <w:iCs/>
          <w:color w:val="000000"/>
          <w:sz w:val="24"/>
          <w:szCs w:val="24"/>
          <w:lang w:val="en-US" w:eastAsia="zh-CN"/>
        </w:rPr>
        <w:t>Immunother</w:t>
      </w:r>
      <w:proofErr w:type="spellEnd"/>
      <w:r w:rsidRPr="0001656C">
        <w:rPr>
          <w:rFonts w:ascii="Book Antiqua" w:eastAsia="宋体" w:hAnsi="Book Antiqua" w:cs="宋体"/>
          <w:color w:val="000000"/>
          <w:sz w:val="24"/>
          <w:szCs w:val="24"/>
          <w:lang w:val="en-US" w:eastAsia="zh-CN"/>
        </w:rPr>
        <w:t> 2015; </w:t>
      </w:r>
      <w:r w:rsidRPr="0001656C">
        <w:rPr>
          <w:rFonts w:ascii="Book Antiqua" w:eastAsia="宋体" w:hAnsi="Book Antiqua" w:cs="宋体"/>
          <w:b/>
          <w:bCs/>
          <w:color w:val="000000"/>
          <w:sz w:val="24"/>
          <w:szCs w:val="24"/>
          <w:lang w:val="en-US" w:eastAsia="zh-CN"/>
        </w:rPr>
        <w:t>11</w:t>
      </w:r>
      <w:r w:rsidRPr="0001656C">
        <w:rPr>
          <w:rFonts w:ascii="Book Antiqua" w:eastAsia="宋体" w:hAnsi="Book Antiqua" w:cs="宋体"/>
          <w:color w:val="000000"/>
          <w:sz w:val="24"/>
          <w:szCs w:val="24"/>
          <w:lang w:val="en-US" w:eastAsia="zh-CN"/>
        </w:rPr>
        <w:t>: 58-62 [PMID: 25483516 DOI: 10.4161/hv.34309]</w:t>
      </w:r>
    </w:p>
    <w:p w:rsidR="00946AB2" w:rsidRPr="0001656C" w:rsidRDefault="00946AB2"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1</w:t>
      </w:r>
      <w:r w:rsidR="000D1A0B" w:rsidRPr="0001656C">
        <w:rPr>
          <w:rFonts w:ascii="Book Antiqua" w:eastAsia="宋体" w:hAnsi="Book Antiqua" w:cs="宋体"/>
          <w:color w:val="000000"/>
          <w:sz w:val="24"/>
          <w:szCs w:val="24"/>
          <w:lang w:val="en-US" w:eastAsia="zh-CN"/>
        </w:rPr>
        <w:t>2</w:t>
      </w:r>
      <w:r w:rsidRPr="0001656C">
        <w:rPr>
          <w:rFonts w:ascii="Book Antiqua" w:eastAsia="宋体" w:hAnsi="Book Antiqua" w:cs="宋体"/>
          <w:color w:val="000000"/>
          <w:sz w:val="24"/>
          <w:szCs w:val="24"/>
          <w:lang w:val="en-US" w:eastAsia="zh-CN"/>
        </w:rPr>
        <w:t> </w:t>
      </w:r>
      <w:proofErr w:type="spellStart"/>
      <w:r w:rsidRPr="0001656C">
        <w:rPr>
          <w:rFonts w:ascii="Book Antiqua" w:eastAsia="宋体" w:hAnsi="Book Antiqua" w:cs="宋体"/>
          <w:b/>
          <w:bCs/>
          <w:color w:val="000000"/>
          <w:sz w:val="24"/>
          <w:szCs w:val="24"/>
          <w:lang w:val="en-US" w:eastAsia="zh-CN"/>
        </w:rPr>
        <w:t>Ahishali</w:t>
      </w:r>
      <w:proofErr w:type="spellEnd"/>
      <w:r w:rsidRPr="0001656C">
        <w:rPr>
          <w:rFonts w:ascii="Book Antiqua" w:eastAsia="宋体" w:hAnsi="Book Antiqua" w:cs="宋体"/>
          <w:b/>
          <w:bCs/>
          <w:color w:val="000000"/>
          <w:sz w:val="24"/>
          <w:szCs w:val="24"/>
          <w:lang w:val="en-US" w:eastAsia="zh-CN"/>
        </w:rPr>
        <w:t xml:space="preserve"> E</w:t>
      </w:r>
      <w:r w:rsidRPr="0001656C">
        <w:rPr>
          <w:rFonts w:ascii="Book Antiqua" w:eastAsia="宋体" w:hAnsi="Book Antiqua" w:cs="宋体"/>
          <w:color w:val="000000"/>
          <w:sz w:val="24"/>
          <w:szCs w:val="24"/>
          <w:lang w:val="en-US" w:eastAsia="zh-CN"/>
        </w:rPr>
        <w:t xml:space="preserve">, </w:t>
      </w:r>
      <w:proofErr w:type="spellStart"/>
      <w:r w:rsidRPr="0001656C">
        <w:rPr>
          <w:rFonts w:ascii="Book Antiqua" w:eastAsia="宋体" w:hAnsi="Book Antiqua" w:cs="宋体"/>
          <w:color w:val="000000"/>
          <w:sz w:val="24"/>
          <w:szCs w:val="24"/>
          <w:lang w:val="en-US" w:eastAsia="zh-CN"/>
        </w:rPr>
        <w:t>Boztas</w:t>
      </w:r>
      <w:proofErr w:type="spellEnd"/>
      <w:r w:rsidRPr="0001656C">
        <w:rPr>
          <w:rFonts w:ascii="Book Antiqua" w:eastAsia="宋体" w:hAnsi="Book Antiqua" w:cs="宋体"/>
          <w:color w:val="000000"/>
          <w:sz w:val="24"/>
          <w:szCs w:val="24"/>
          <w:lang w:val="en-US" w:eastAsia="zh-CN"/>
        </w:rPr>
        <w:t xml:space="preserve"> G, </w:t>
      </w:r>
      <w:proofErr w:type="spellStart"/>
      <w:r w:rsidRPr="0001656C">
        <w:rPr>
          <w:rFonts w:ascii="Book Antiqua" w:eastAsia="宋体" w:hAnsi="Book Antiqua" w:cs="宋体"/>
          <w:color w:val="000000"/>
          <w:sz w:val="24"/>
          <w:szCs w:val="24"/>
          <w:lang w:val="en-US" w:eastAsia="zh-CN"/>
        </w:rPr>
        <w:t>Akyuz</w:t>
      </w:r>
      <w:proofErr w:type="spellEnd"/>
      <w:r w:rsidRPr="0001656C">
        <w:rPr>
          <w:rFonts w:ascii="Book Antiqua" w:eastAsia="宋体" w:hAnsi="Book Antiqua" w:cs="宋体"/>
          <w:color w:val="000000"/>
          <w:sz w:val="24"/>
          <w:szCs w:val="24"/>
          <w:lang w:val="en-US" w:eastAsia="zh-CN"/>
        </w:rPr>
        <w:t xml:space="preserve"> F, </w:t>
      </w:r>
      <w:proofErr w:type="spellStart"/>
      <w:r w:rsidRPr="0001656C">
        <w:rPr>
          <w:rFonts w:ascii="Book Antiqua" w:eastAsia="宋体" w:hAnsi="Book Antiqua" w:cs="宋体"/>
          <w:color w:val="000000"/>
          <w:sz w:val="24"/>
          <w:szCs w:val="24"/>
          <w:lang w:val="en-US" w:eastAsia="zh-CN"/>
        </w:rPr>
        <w:t>Ibrisim</w:t>
      </w:r>
      <w:proofErr w:type="spellEnd"/>
      <w:r w:rsidRPr="0001656C">
        <w:rPr>
          <w:rFonts w:ascii="Book Antiqua" w:eastAsia="宋体" w:hAnsi="Book Antiqua" w:cs="宋体"/>
          <w:color w:val="000000"/>
          <w:sz w:val="24"/>
          <w:szCs w:val="24"/>
          <w:lang w:val="en-US" w:eastAsia="zh-CN"/>
        </w:rPr>
        <w:t xml:space="preserve"> D, </w:t>
      </w:r>
      <w:proofErr w:type="spellStart"/>
      <w:r w:rsidRPr="0001656C">
        <w:rPr>
          <w:rFonts w:ascii="Book Antiqua" w:eastAsia="宋体" w:hAnsi="Book Antiqua" w:cs="宋体"/>
          <w:color w:val="000000"/>
          <w:sz w:val="24"/>
          <w:szCs w:val="24"/>
          <w:lang w:val="en-US" w:eastAsia="zh-CN"/>
        </w:rPr>
        <w:t>Poturoglu</w:t>
      </w:r>
      <w:proofErr w:type="spellEnd"/>
      <w:r w:rsidRPr="0001656C">
        <w:rPr>
          <w:rFonts w:ascii="Book Antiqua" w:eastAsia="宋体" w:hAnsi="Book Antiqua" w:cs="宋体"/>
          <w:color w:val="000000"/>
          <w:sz w:val="24"/>
          <w:szCs w:val="24"/>
          <w:lang w:val="en-US" w:eastAsia="zh-CN"/>
        </w:rPr>
        <w:t xml:space="preserve"> S, </w:t>
      </w:r>
      <w:proofErr w:type="spellStart"/>
      <w:r w:rsidRPr="0001656C">
        <w:rPr>
          <w:rFonts w:ascii="Book Antiqua" w:eastAsia="宋体" w:hAnsi="Book Antiqua" w:cs="宋体"/>
          <w:color w:val="000000"/>
          <w:sz w:val="24"/>
          <w:szCs w:val="24"/>
          <w:lang w:val="en-US" w:eastAsia="zh-CN"/>
        </w:rPr>
        <w:t>Pinarbasi</w:t>
      </w:r>
      <w:proofErr w:type="spellEnd"/>
      <w:r w:rsidRPr="0001656C">
        <w:rPr>
          <w:rFonts w:ascii="Book Antiqua" w:eastAsia="宋体" w:hAnsi="Book Antiqua" w:cs="宋体"/>
          <w:color w:val="000000"/>
          <w:sz w:val="24"/>
          <w:szCs w:val="24"/>
          <w:lang w:val="en-US" w:eastAsia="zh-CN"/>
        </w:rPr>
        <w:t xml:space="preserve"> B, </w:t>
      </w:r>
      <w:proofErr w:type="spellStart"/>
      <w:r w:rsidRPr="0001656C">
        <w:rPr>
          <w:rFonts w:ascii="Book Antiqua" w:eastAsia="宋体" w:hAnsi="Book Antiqua" w:cs="宋体"/>
          <w:color w:val="000000"/>
          <w:sz w:val="24"/>
          <w:szCs w:val="24"/>
          <w:lang w:val="en-US" w:eastAsia="zh-CN"/>
        </w:rPr>
        <w:t>Ozdil</w:t>
      </w:r>
      <w:proofErr w:type="spellEnd"/>
      <w:r w:rsidRPr="0001656C">
        <w:rPr>
          <w:rFonts w:ascii="Book Antiqua" w:eastAsia="宋体" w:hAnsi="Book Antiqua" w:cs="宋体"/>
          <w:color w:val="000000"/>
          <w:sz w:val="24"/>
          <w:szCs w:val="24"/>
          <w:lang w:val="en-US" w:eastAsia="zh-CN"/>
        </w:rPr>
        <w:t xml:space="preserve"> S, </w:t>
      </w:r>
      <w:proofErr w:type="spellStart"/>
      <w:r w:rsidRPr="0001656C">
        <w:rPr>
          <w:rFonts w:ascii="Book Antiqua" w:eastAsia="宋体" w:hAnsi="Book Antiqua" w:cs="宋体"/>
          <w:color w:val="000000"/>
          <w:sz w:val="24"/>
          <w:szCs w:val="24"/>
          <w:lang w:val="en-US" w:eastAsia="zh-CN"/>
        </w:rPr>
        <w:t>Mungan</w:t>
      </w:r>
      <w:proofErr w:type="spellEnd"/>
      <w:r w:rsidRPr="0001656C">
        <w:rPr>
          <w:rFonts w:ascii="Book Antiqua" w:eastAsia="宋体" w:hAnsi="Book Antiqua" w:cs="宋体"/>
          <w:color w:val="000000"/>
          <w:sz w:val="24"/>
          <w:szCs w:val="24"/>
          <w:lang w:val="en-US" w:eastAsia="zh-CN"/>
        </w:rPr>
        <w:t xml:space="preserve"> Z. Response to hepatitis B vaccination in patients with celiac disease. </w:t>
      </w:r>
      <w:r w:rsidRPr="0001656C">
        <w:rPr>
          <w:rFonts w:ascii="Book Antiqua" w:eastAsia="宋体" w:hAnsi="Book Antiqua" w:cs="宋体"/>
          <w:i/>
          <w:iCs/>
          <w:color w:val="000000"/>
          <w:sz w:val="24"/>
          <w:szCs w:val="24"/>
          <w:lang w:val="en-US" w:eastAsia="zh-CN"/>
        </w:rPr>
        <w:t xml:space="preserve">Dig Dis </w:t>
      </w:r>
      <w:proofErr w:type="spellStart"/>
      <w:r w:rsidRPr="0001656C">
        <w:rPr>
          <w:rFonts w:ascii="Book Antiqua" w:eastAsia="宋体" w:hAnsi="Book Antiqua" w:cs="宋体"/>
          <w:i/>
          <w:iCs/>
          <w:color w:val="000000"/>
          <w:sz w:val="24"/>
          <w:szCs w:val="24"/>
          <w:lang w:val="en-US" w:eastAsia="zh-CN"/>
        </w:rPr>
        <w:t>Sci</w:t>
      </w:r>
      <w:proofErr w:type="spellEnd"/>
      <w:r w:rsidRPr="0001656C">
        <w:rPr>
          <w:rFonts w:ascii="Book Antiqua" w:eastAsia="宋体" w:hAnsi="Book Antiqua" w:cs="宋体"/>
          <w:color w:val="000000"/>
          <w:sz w:val="24"/>
          <w:szCs w:val="24"/>
          <w:lang w:val="en-US" w:eastAsia="zh-CN"/>
        </w:rPr>
        <w:t> 2008; </w:t>
      </w:r>
      <w:r w:rsidRPr="0001656C">
        <w:rPr>
          <w:rFonts w:ascii="Book Antiqua" w:eastAsia="宋体" w:hAnsi="Book Antiqua" w:cs="宋体"/>
          <w:b/>
          <w:bCs/>
          <w:color w:val="000000"/>
          <w:sz w:val="24"/>
          <w:szCs w:val="24"/>
          <w:lang w:val="en-US" w:eastAsia="zh-CN"/>
        </w:rPr>
        <w:t>53</w:t>
      </w:r>
      <w:r w:rsidRPr="0001656C">
        <w:rPr>
          <w:rFonts w:ascii="Book Antiqua" w:eastAsia="宋体" w:hAnsi="Book Antiqua" w:cs="宋体"/>
          <w:color w:val="000000"/>
          <w:sz w:val="24"/>
          <w:szCs w:val="24"/>
          <w:lang w:val="en-US" w:eastAsia="zh-CN"/>
        </w:rPr>
        <w:t>: 2156-2159 [PMID: 18157638DOI: 10.1007/s10620-007-0128-3]</w:t>
      </w:r>
    </w:p>
    <w:p w:rsidR="00946AB2" w:rsidRPr="0001656C" w:rsidRDefault="000D1A0B"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13</w:t>
      </w:r>
      <w:r w:rsidR="00946AB2" w:rsidRPr="0001656C">
        <w:rPr>
          <w:rFonts w:ascii="Book Antiqua" w:eastAsia="宋体" w:hAnsi="Book Antiqua" w:cs="宋体"/>
          <w:color w:val="000000"/>
          <w:sz w:val="24"/>
          <w:szCs w:val="24"/>
          <w:lang w:val="en-US" w:eastAsia="zh-CN"/>
        </w:rPr>
        <w:t> </w:t>
      </w:r>
      <w:proofErr w:type="spellStart"/>
      <w:r w:rsidR="00946AB2" w:rsidRPr="0001656C">
        <w:rPr>
          <w:rFonts w:ascii="Book Antiqua" w:eastAsia="宋体" w:hAnsi="Book Antiqua" w:cs="宋体"/>
          <w:b/>
          <w:bCs/>
          <w:color w:val="000000"/>
          <w:sz w:val="24"/>
          <w:szCs w:val="24"/>
          <w:lang w:val="en-US" w:eastAsia="zh-CN"/>
        </w:rPr>
        <w:t>Leonardi</w:t>
      </w:r>
      <w:proofErr w:type="spellEnd"/>
      <w:r w:rsidR="00946AB2" w:rsidRPr="0001656C">
        <w:rPr>
          <w:rFonts w:ascii="Book Antiqua" w:eastAsia="宋体" w:hAnsi="Book Antiqua" w:cs="宋体"/>
          <w:b/>
          <w:bCs/>
          <w:color w:val="000000"/>
          <w:sz w:val="24"/>
          <w:szCs w:val="24"/>
          <w:lang w:val="en-US" w:eastAsia="zh-CN"/>
        </w:rPr>
        <w:t xml:space="preserve"> S</w:t>
      </w:r>
      <w:r w:rsidR="00946AB2" w:rsidRPr="0001656C">
        <w:rPr>
          <w:rFonts w:ascii="Book Antiqua" w:eastAsia="宋体" w:hAnsi="Book Antiqua" w:cs="宋体"/>
          <w:color w:val="000000"/>
          <w:sz w:val="24"/>
          <w:szCs w:val="24"/>
          <w:lang w:val="en-US" w:eastAsia="zh-CN"/>
        </w:rPr>
        <w:t xml:space="preserve">, Spina M, </w:t>
      </w:r>
      <w:proofErr w:type="spellStart"/>
      <w:r w:rsidR="00946AB2" w:rsidRPr="0001656C">
        <w:rPr>
          <w:rFonts w:ascii="Book Antiqua" w:eastAsia="宋体" w:hAnsi="Book Antiqua" w:cs="宋体"/>
          <w:color w:val="000000"/>
          <w:sz w:val="24"/>
          <w:szCs w:val="24"/>
          <w:lang w:val="en-US" w:eastAsia="zh-CN"/>
        </w:rPr>
        <w:t>Spicuzza</w:t>
      </w:r>
      <w:proofErr w:type="spellEnd"/>
      <w:r w:rsidR="00946AB2" w:rsidRPr="0001656C">
        <w:rPr>
          <w:rFonts w:ascii="Book Antiqua" w:eastAsia="宋体" w:hAnsi="Book Antiqua" w:cs="宋体"/>
          <w:color w:val="000000"/>
          <w:sz w:val="24"/>
          <w:szCs w:val="24"/>
          <w:lang w:val="en-US" w:eastAsia="zh-CN"/>
        </w:rPr>
        <w:t xml:space="preserve"> L, </w:t>
      </w:r>
      <w:proofErr w:type="spellStart"/>
      <w:r w:rsidR="00946AB2" w:rsidRPr="0001656C">
        <w:rPr>
          <w:rFonts w:ascii="Book Antiqua" w:eastAsia="宋体" w:hAnsi="Book Antiqua" w:cs="宋体"/>
          <w:color w:val="000000"/>
          <w:sz w:val="24"/>
          <w:szCs w:val="24"/>
          <w:lang w:val="en-US" w:eastAsia="zh-CN"/>
        </w:rPr>
        <w:t>Rotolo</w:t>
      </w:r>
      <w:proofErr w:type="spellEnd"/>
      <w:r w:rsidR="00946AB2" w:rsidRPr="0001656C">
        <w:rPr>
          <w:rFonts w:ascii="Book Antiqua" w:eastAsia="宋体" w:hAnsi="Book Antiqua" w:cs="宋体"/>
          <w:color w:val="000000"/>
          <w:sz w:val="24"/>
          <w:szCs w:val="24"/>
          <w:lang w:val="en-US" w:eastAsia="zh-CN"/>
        </w:rPr>
        <w:t xml:space="preserve"> N, La Rosa M. Hepatitis B vaccination failure in celiac disease: is there a need to reassess current immunization strategies?</w:t>
      </w:r>
      <w:r w:rsidR="005F691A" w:rsidRPr="0001656C">
        <w:rPr>
          <w:rFonts w:ascii="Book Antiqua" w:eastAsia="宋体" w:hAnsi="Book Antiqua" w:cs="宋体"/>
          <w:color w:val="000000"/>
          <w:sz w:val="24"/>
          <w:szCs w:val="24"/>
          <w:lang w:val="en-US" w:eastAsia="zh-CN"/>
        </w:rPr>
        <w:t xml:space="preserve"> </w:t>
      </w:r>
      <w:r w:rsidR="00946AB2" w:rsidRPr="0001656C">
        <w:rPr>
          <w:rFonts w:ascii="Book Antiqua" w:eastAsia="宋体" w:hAnsi="Book Antiqua" w:cs="宋体"/>
          <w:i/>
          <w:iCs/>
          <w:color w:val="000000"/>
          <w:sz w:val="24"/>
          <w:szCs w:val="24"/>
          <w:lang w:val="en-US" w:eastAsia="zh-CN"/>
        </w:rPr>
        <w:t>Vaccine</w:t>
      </w:r>
      <w:r w:rsidR="005F691A" w:rsidRPr="0001656C">
        <w:rPr>
          <w:rFonts w:ascii="Book Antiqua" w:eastAsia="宋体" w:hAnsi="Book Antiqua" w:cs="宋体"/>
          <w:color w:val="000000"/>
          <w:sz w:val="24"/>
          <w:szCs w:val="24"/>
          <w:lang w:val="en-US" w:eastAsia="zh-CN"/>
        </w:rPr>
        <w:t xml:space="preserve"> </w:t>
      </w:r>
      <w:r w:rsidR="00946AB2" w:rsidRPr="0001656C">
        <w:rPr>
          <w:rFonts w:ascii="Book Antiqua" w:eastAsia="宋体" w:hAnsi="Book Antiqua" w:cs="宋体"/>
          <w:color w:val="000000"/>
          <w:sz w:val="24"/>
          <w:szCs w:val="24"/>
          <w:lang w:val="en-US" w:eastAsia="zh-CN"/>
        </w:rPr>
        <w:t>2009;</w:t>
      </w:r>
      <w:r w:rsidR="005F691A" w:rsidRPr="0001656C">
        <w:rPr>
          <w:rFonts w:ascii="Book Antiqua" w:eastAsia="宋体" w:hAnsi="Book Antiqua" w:cs="宋体"/>
          <w:color w:val="000000"/>
          <w:sz w:val="24"/>
          <w:szCs w:val="24"/>
          <w:lang w:val="en-US" w:eastAsia="zh-CN"/>
        </w:rPr>
        <w:t xml:space="preserve"> </w:t>
      </w:r>
      <w:r w:rsidR="00946AB2" w:rsidRPr="0001656C">
        <w:rPr>
          <w:rFonts w:ascii="Book Antiqua" w:eastAsia="宋体" w:hAnsi="Book Antiqua" w:cs="宋体"/>
          <w:b/>
          <w:bCs/>
          <w:color w:val="000000"/>
          <w:sz w:val="24"/>
          <w:szCs w:val="24"/>
          <w:lang w:val="en-US" w:eastAsia="zh-CN"/>
        </w:rPr>
        <w:t>27</w:t>
      </w:r>
      <w:r w:rsidR="00946AB2" w:rsidRPr="0001656C">
        <w:rPr>
          <w:rFonts w:ascii="Book Antiqua" w:eastAsia="宋体" w:hAnsi="Book Antiqua" w:cs="宋体"/>
          <w:color w:val="000000"/>
          <w:sz w:val="24"/>
          <w:szCs w:val="24"/>
          <w:lang w:val="en-US" w:eastAsia="zh-CN"/>
        </w:rPr>
        <w:t>:</w:t>
      </w:r>
      <w:r w:rsidR="005F691A" w:rsidRPr="0001656C">
        <w:rPr>
          <w:rFonts w:ascii="Book Antiqua" w:eastAsia="宋体" w:hAnsi="Book Antiqua" w:cs="宋体"/>
          <w:color w:val="000000"/>
          <w:sz w:val="24"/>
          <w:szCs w:val="24"/>
          <w:lang w:val="en-US" w:eastAsia="zh-CN"/>
        </w:rPr>
        <w:t xml:space="preserve"> </w:t>
      </w:r>
      <w:r w:rsidR="00946AB2" w:rsidRPr="0001656C">
        <w:rPr>
          <w:rFonts w:ascii="Book Antiqua" w:eastAsia="宋体" w:hAnsi="Book Antiqua" w:cs="宋体"/>
          <w:color w:val="000000"/>
          <w:sz w:val="24"/>
          <w:szCs w:val="24"/>
          <w:lang w:val="en-US" w:eastAsia="zh-CN"/>
        </w:rPr>
        <w:t>6030-6033 [PMID: 19682619 DOI: 10.1016/j.vaccine.2009.07.099]</w:t>
      </w:r>
    </w:p>
    <w:p w:rsidR="00090045" w:rsidRPr="0001656C" w:rsidRDefault="00090045" w:rsidP="00090045">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14 </w:t>
      </w:r>
      <w:proofErr w:type="spellStart"/>
      <w:r w:rsidRPr="0001656C">
        <w:rPr>
          <w:rFonts w:ascii="Book Antiqua" w:eastAsia="宋体" w:hAnsi="Book Antiqua" w:cs="宋体"/>
          <w:b/>
          <w:bCs/>
          <w:color w:val="000000"/>
          <w:sz w:val="24"/>
          <w:szCs w:val="24"/>
          <w:lang w:val="en-US" w:eastAsia="zh-CN"/>
        </w:rPr>
        <w:t>Filippelli</w:t>
      </w:r>
      <w:proofErr w:type="spellEnd"/>
      <w:r w:rsidRPr="0001656C">
        <w:rPr>
          <w:rFonts w:ascii="Book Antiqua" w:eastAsia="宋体" w:hAnsi="Book Antiqua" w:cs="宋体"/>
          <w:b/>
          <w:bCs/>
          <w:color w:val="000000"/>
          <w:sz w:val="24"/>
          <w:szCs w:val="24"/>
          <w:lang w:val="en-US" w:eastAsia="zh-CN"/>
        </w:rPr>
        <w:t xml:space="preserve"> M</w:t>
      </w:r>
      <w:r w:rsidRPr="0001656C">
        <w:rPr>
          <w:rFonts w:ascii="Book Antiqua" w:eastAsia="宋体" w:hAnsi="Book Antiqua" w:cs="宋体"/>
          <w:color w:val="000000"/>
          <w:sz w:val="24"/>
          <w:szCs w:val="24"/>
          <w:lang w:val="en-US" w:eastAsia="zh-CN"/>
        </w:rPr>
        <w:t xml:space="preserve">, </w:t>
      </w:r>
      <w:proofErr w:type="spellStart"/>
      <w:r w:rsidRPr="0001656C">
        <w:rPr>
          <w:rFonts w:ascii="Book Antiqua" w:eastAsia="宋体" w:hAnsi="Book Antiqua" w:cs="宋体"/>
          <w:color w:val="000000"/>
          <w:sz w:val="24"/>
          <w:szCs w:val="24"/>
          <w:lang w:val="en-US" w:eastAsia="zh-CN"/>
        </w:rPr>
        <w:t>Lionetti</w:t>
      </w:r>
      <w:proofErr w:type="spellEnd"/>
      <w:r w:rsidRPr="0001656C">
        <w:rPr>
          <w:rFonts w:ascii="Book Antiqua" w:eastAsia="宋体" w:hAnsi="Book Antiqua" w:cs="宋体"/>
          <w:color w:val="000000"/>
          <w:sz w:val="24"/>
          <w:szCs w:val="24"/>
          <w:lang w:val="en-US" w:eastAsia="zh-CN"/>
        </w:rPr>
        <w:t xml:space="preserve"> E, </w:t>
      </w:r>
      <w:proofErr w:type="spellStart"/>
      <w:r w:rsidRPr="0001656C">
        <w:rPr>
          <w:rFonts w:ascii="Book Antiqua" w:eastAsia="宋体" w:hAnsi="Book Antiqua" w:cs="宋体"/>
          <w:color w:val="000000"/>
          <w:sz w:val="24"/>
          <w:szCs w:val="24"/>
          <w:lang w:val="en-US" w:eastAsia="zh-CN"/>
        </w:rPr>
        <w:t>Pulvirenti</w:t>
      </w:r>
      <w:proofErr w:type="spellEnd"/>
      <w:r w:rsidRPr="0001656C">
        <w:rPr>
          <w:rFonts w:ascii="Book Antiqua" w:eastAsia="宋体" w:hAnsi="Book Antiqua" w:cs="宋体"/>
          <w:color w:val="000000"/>
          <w:sz w:val="24"/>
          <w:szCs w:val="24"/>
          <w:lang w:val="en-US" w:eastAsia="zh-CN"/>
        </w:rPr>
        <w:t xml:space="preserve"> A, </w:t>
      </w:r>
      <w:proofErr w:type="spellStart"/>
      <w:r w:rsidRPr="0001656C">
        <w:rPr>
          <w:rFonts w:ascii="Book Antiqua" w:eastAsia="宋体" w:hAnsi="Book Antiqua" w:cs="宋体"/>
          <w:color w:val="000000"/>
          <w:sz w:val="24"/>
          <w:szCs w:val="24"/>
          <w:lang w:val="en-US" w:eastAsia="zh-CN"/>
        </w:rPr>
        <w:t>Gennaro</w:t>
      </w:r>
      <w:proofErr w:type="spellEnd"/>
      <w:r w:rsidRPr="0001656C">
        <w:rPr>
          <w:rFonts w:ascii="Book Antiqua" w:eastAsia="宋体" w:hAnsi="Book Antiqua" w:cs="宋体"/>
          <w:color w:val="000000"/>
          <w:sz w:val="24"/>
          <w:szCs w:val="24"/>
          <w:lang w:val="en-US" w:eastAsia="zh-CN"/>
        </w:rPr>
        <w:t xml:space="preserve"> A, </w:t>
      </w:r>
      <w:proofErr w:type="spellStart"/>
      <w:r w:rsidRPr="0001656C">
        <w:rPr>
          <w:rFonts w:ascii="Book Antiqua" w:eastAsia="宋体" w:hAnsi="Book Antiqua" w:cs="宋体"/>
          <w:color w:val="000000"/>
          <w:sz w:val="24"/>
          <w:szCs w:val="24"/>
          <w:lang w:val="en-US" w:eastAsia="zh-CN"/>
        </w:rPr>
        <w:t>Lanzafame</w:t>
      </w:r>
      <w:proofErr w:type="spellEnd"/>
      <w:r w:rsidRPr="0001656C">
        <w:rPr>
          <w:rFonts w:ascii="Book Antiqua" w:eastAsia="宋体" w:hAnsi="Book Antiqua" w:cs="宋体"/>
          <w:color w:val="000000"/>
          <w:sz w:val="24"/>
          <w:szCs w:val="24"/>
          <w:lang w:val="en-US" w:eastAsia="zh-CN"/>
        </w:rPr>
        <w:t xml:space="preserve"> A, </w:t>
      </w:r>
      <w:proofErr w:type="spellStart"/>
      <w:r w:rsidRPr="0001656C">
        <w:rPr>
          <w:rFonts w:ascii="Book Antiqua" w:eastAsia="宋体" w:hAnsi="Book Antiqua" w:cs="宋体"/>
          <w:color w:val="000000"/>
          <w:sz w:val="24"/>
          <w:szCs w:val="24"/>
          <w:lang w:val="en-US" w:eastAsia="zh-CN"/>
        </w:rPr>
        <w:t>Marseglia</w:t>
      </w:r>
      <w:proofErr w:type="spellEnd"/>
      <w:r w:rsidRPr="0001656C">
        <w:rPr>
          <w:rFonts w:ascii="Book Antiqua" w:eastAsia="宋体" w:hAnsi="Book Antiqua" w:cs="宋体"/>
          <w:color w:val="000000"/>
          <w:sz w:val="24"/>
          <w:szCs w:val="24"/>
          <w:lang w:val="en-US" w:eastAsia="zh-CN"/>
        </w:rPr>
        <w:t xml:space="preserve"> GL, </w:t>
      </w:r>
      <w:proofErr w:type="spellStart"/>
      <w:r w:rsidRPr="0001656C">
        <w:rPr>
          <w:rFonts w:ascii="Book Antiqua" w:eastAsia="宋体" w:hAnsi="Book Antiqua" w:cs="宋体"/>
          <w:color w:val="000000"/>
          <w:sz w:val="24"/>
          <w:szCs w:val="24"/>
          <w:lang w:val="en-US" w:eastAsia="zh-CN"/>
        </w:rPr>
        <w:t>Salpietro</w:t>
      </w:r>
      <w:proofErr w:type="spellEnd"/>
      <w:r w:rsidRPr="0001656C">
        <w:rPr>
          <w:rFonts w:ascii="Book Antiqua" w:eastAsia="宋体" w:hAnsi="Book Antiqua" w:cs="宋体"/>
          <w:color w:val="000000"/>
          <w:sz w:val="24"/>
          <w:szCs w:val="24"/>
          <w:lang w:val="en-US" w:eastAsia="zh-CN"/>
        </w:rPr>
        <w:t xml:space="preserve"> C, Rosa ML, </w:t>
      </w:r>
      <w:proofErr w:type="spellStart"/>
      <w:r w:rsidRPr="0001656C">
        <w:rPr>
          <w:rFonts w:ascii="Book Antiqua" w:eastAsia="宋体" w:hAnsi="Book Antiqua" w:cs="宋体"/>
          <w:color w:val="000000"/>
          <w:sz w:val="24"/>
          <w:szCs w:val="24"/>
          <w:lang w:val="en-US" w:eastAsia="zh-CN"/>
        </w:rPr>
        <w:t>Leonardi</w:t>
      </w:r>
      <w:proofErr w:type="spellEnd"/>
      <w:r w:rsidRPr="0001656C">
        <w:rPr>
          <w:rFonts w:ascii="Book Antiqua" w:eastAsia="宋体" w:hAnsi="Book Antiqua" w:cs="宋体"/>
          <w:color w:val="000000"/>
          <w:sz w:val="24"/>
          <w:szCs w:val="24"/>
          <w:lang w:val="en-US" w:eastAsia="zh-CN"/>
        </w:rPr>
        <w:t xml:space="preserve"> S. </w:t>
      </w:r>
      <w:proofErr w:type="gramStart"/>
      <w:r w:rsidRPr="0001656C">
        <w:rPr>
          <w:rFonts w:ascii="Book Antiqua" w:eastAsia="宋体" w:hAnsi="Book Antiqua" w:cs="宋体"/>
          <w:color w:val="000000"/>
          <w:sz w:val="24"/>
          <w:szCs w:val="24"/>
          <w:lang w:val="en-US" w:eastAsia="zh-CN"/>
        </w:rPr>
        <w:t>New approaches in hepatitis B vaccination for celiac disease.</w:t>
      </w:r>
      <w:proofErr w:type="gramEnd"/>
      <w:r w:rsidRPr="0001656C">
        <w:rPr>
          <w:rFonts w:ascii="Book Antiqua" w:eastAsia="宋体" w:hAnsi="Book Antiqua" w:cs="宋体"/>
          <w:color w:val="000000"/>
          <w:sz w:val="24"/>
          <w:szCs w:val="24"/>
          <w:lang w:val="en-US" w:eastAsia="zh-CN"/>
        </w:rPr>
        <w:t> </w:t>
      </w:r>
      <w:r w:rsidRPr="0001656C">
        <w:rPr>
          <w:rFonts w:ascii="Book Antiqua" w:eastAsia="宋体" w:hAnsi="Book Antiqua" w:cs="宋体"/>
          <w:i/>
          <w:iCs/>
          <w:color w:val="000000"/>
          <w:sz w:val="24"/>
          <w:szCs w:val="24"/>
          <w:lang w:val="en-US" w:eastAsia="zh-CN"/>
        </w:rPr>
        <w:t>Immunotherapy</w:t>
      </w:r>
      <w:r w:rsidRPr="0001656C">
        <w:rPr>
          <w:rFonts w:ascii="Book Antiqua" w:eastAsia="宋体" w:hAnsi="Book Antiqua" w:cs="宋体"/>
          <w:color w:val="000000"/>
          <w:sz w:val="24"/>
          <w:szCs w:val="24"/>
          <w:lang w:val="en-US" w:eastAsia="zh-CN"/>
        </w:rPr>
        <w:t> 2014; </w:t>
      </w:r>
      <w:r w:rsidRPr="0001656C">
        <w:rPr>
          <w:rFonts w:ascii="Book Antiqua" w:eastAsia="宋体" w:hAnsi="Book Antiqua" w:cs="宋体"/>
          <w:b/>
          <w:bCs/>
          <w:color w:val="000000"/>
          <w:sz w:val="24"/>
          <w:szCs w:val="24"/>
          <w:lang w:val="en-US" w:eastAsia="zh-CN"/>
        </w:rPr>
        <w:t>6</w:t>
      </w:r>
      <w:r w:rsidRPr="0001656C">
        <w:rPr>
          <w:rFonts w:ascii="Book Antiqua" w:eastAsia="宋体" w:hAnsi="Book Antiqua" w:cs="宋体"/>
          <w:color w:val="000000"/>
          <w:sz w:val="24"/>
          <w:szCs w:val="24"/>
          <w:lang w:val="en-US" w:eastAsia="zh-CN"/>
        </w:rPr>
        <w:t>: 945-952 [PMID: 25313572 DOI: 10.2217/IMT.14.64]</w:t>
      </w:r>
    </w:p>
    <w:p w:rsidR="00090045" w:rsidRPr="0001656C" w:rsidRDefault="00090045" w:rsidP="00090045">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15 </w:t>
      </w:r>
      <w:proofErr w:type="spellStart"/>
      <w:r w:rsidRPr="0001656C">
        <w:rPr>
          <w:rFonts w:ascii="Book Antiqua" w:eastAsia="宋体" w:hAnsi="Book Antiqua" w:cs="宋体"/>
          <w:b/>
          <w:bCs/>
          <w:color w:val="000000"/>
          <w:sz w:val="24"/>
          <w:szCs w:val="24"/>
          <w:lang w:val="en-US" w:eastAsia="zh-CN"/>
        </w:rPr>
        <w:t>Filippelli</w:t>
      </w:r>
      <w:proofErr w:type="spellEnd"/>
      <w:r w:rsidRPr="0001656C">
        <w:rPr>
          <w:rFonts w:ascii="Book Antiqua" w:eastAsia="宋体" w:hAnsi="Book Antiqua" w:cs="宋体"/>
          <w:b/>
          <w:bCs/>
          <w:color w:val="000000"/>
          <w:sz w:val="24"/>
          <w:szCs w:val="24"/>
          <w:lang w:val="en-US" w:eastAsia="zh-CN"/>
        </w:rPr>
        <w:t xml:space="preserve"> M</w:t>
      </w:r>
      <w:r w:rsidRPr="0001656C">
        <w:rPr>
          <w:rFonts w:ascii="Book Antiqua" w:eastAsia="宋体" w:hAnsi="Book Antiqua" w:cs="宋体"/>
          <w:color w:val="000000"/>
          <w:sz w:val="24"/>
          <w:szCs w:val="24"/>
          <w:lang w:val="en-US" w:eastAsia="zh-CN"/>
        </w:rPr>
        <w:t xml:space="preserve">, </w:t>
      </w:r>
      <w:proofErr w:type="spellStart"/>
      <w:r w:rsidRPr="0001656C">
        <w:rPr>
          <w:rFonts w:ascii="Book Antiqua" w:eastAsia="宋体" w:hAnsi="Book Antiqua" w:cs="宋体"/>
          <w:color w:val="000000"/>
          <w:sz w:val="24"/>
          <w:szCs w:val="24"/>
          <w:lang w:val="en-US" w:eastAsia="zh-CN"/>
        </w:rPr>
        <w:t>Lionetti</w:t>
      </w:r>
      <w:proofErr w:type="spellEnd"/>
      <w:r w:rsidRPr="0001656C">
        <w:rPr>
          <w:rFonts w:ascii="Book Antiqua" w:eastAsia="宋体" w:hAnsi="Book Antiqua" w:cs="宋体"/>
          <w:color w:val="000000"/>
          <w:sz w:val="24"/>
          <w:szCs w:val="24"/>
          <w:lang w:val="en-US" w:eastAsia="zh-CN"/>
        </w:rPr>
        <w:t xml:space="preserve"> E, </w:t>
      </w:r>
      <w:proofErr w:type="spellStart"/>
      <w:r w:rsidRPr="0001656C">
        <w:rPr>
          <w:rFonts w:ascii="Book Antiqua" w:eastAsia="宋体" w:hAnsi="Book Antiqua" w:cs="宋体"/>
          <w:color w:val="000000"/>
          <w:sz w:val="24"/>
          <w:szCs w:val="24"/>
          <w:lang w:val="en-US" w:eastAsia="zh-CN"/>
        </w:rPr>
        <w:t>Gennaro</w:t>
      </w:r>
      <w:proofErr w:type="spellEnd"/>
      <w:r w:rsidRPr="0001656C">
        <w:rPr>
          <w:rFonts w:ascii="Book Antiqua" w:eastAsia="宋体" w:hAnsi="Book Antiqua" w:cs="宋体"/>
          <w:color w:val="000000"/>
          <w:sz w:val="24"/>
          <w:szCs w:val="24"/>
          <w:lang w:val="en-US" w:eastAsia="zh-CN"/>
        </w:rPr>
        <w:t xml:space="preserve"> A, </w:t>
      </w:r>
      <w:proofErr w:type="spellStart"/>
      <w:r w:rsidRPr="0001656C">
        <w:rPr>
          <w:rFonts w:ascii="Book Antiqua" w:eastAsia="宋体" w:hAnsi="Book Antiqua" w:cs="宋体"/>
          <w:color w:val="000000"/>
          <w:sz w:val="24"/>
          <w:szCs w:val="24"/>
          <w:lang w:val="en-US" w:eastAsia="zh-CN"/>
        </w:rPr>
        <w:t>Lanzafame</w:t>
      </w:r>
      <w:proofErr w:type="spellEnd"/>
      <w:r w:rsidRPr="0001656C">
        <w:rPr>
          <w:rFonts w:ascii="Book Antiqua" w:eastAsia="宋体" w:hAnsi="Book Antiqua" w:cs="宋体"/>
          <w:color w:val="000000"/>
          <w:sz w:val="24"/>
          <w:szCs w:val="24"/>
          <w:lang w:val="en-US" w:eastAsia="zh-CN"/>
        </w:rPr>
        <w:t xml:space="preserve"> A, Arrigo T, </w:t>
      </w:r>
      <w:proofErr w:type="spellStart"/>
      <w:r w:rsidRPr="0001656C">
        <w:rPr>
          <w:rFonts w:ascii="Book Antiqua" w:eastAsia="宋体" w:hAnsi="Book Antiqua" w:cs="宋体"/>
          <w:color w:val="000000"/>
          <w:sz w:val="24"/>
          <w:szCs w:val="24"/>
          <w:lang w:val="en-US" w:eastAsia="zh-CN"/>
        </w:rPr>
        <w:t>Salpietro</w:t>
      </w:r>
      <w:proofErr w:type="spellEnd"/>
      <w:r w:rsidRPr="0001656C">
        <w:rPr>
          <w:rFonts w:ascii="Book Antiqua" w:eastAsia="宋体" w:hAnsi="Book Antiqua" w:cs="宋体"/>
          <w:color w:val="000000"/>
          <w:sz w:val="24"/>
          <w:szCs w:val="24"/>
          <w:lang w:val="en-US" w:eastAsia="zh-CN"/>
        </w:rPr>
        <w:t xml:space="preserve"> C, La Rosa M, </w:t>
      </w:r>
      <w:proofErr w:type="spellStart"/>
      <w:r w:rsidRPr="0001656C">
        <w:rPr>
          <w:rFonts w:ascii="Book Antiqua" w:eastAsia="宋体" w:hAnsi="Book Antiqua" w:cs="宋体"/>
          <w:color w:val="000000"/>
          <w:sz w:val="24"/>
          <w:szCs w:val="24"/>
          <w:lang w:val="en-US" w:eastAsia="zh-CN"/>
        </w:rPr>
        <w:t>Leonardi</w:t>
      </w:r>
      <w:proofErr w:type="spellEnd"/>
      <w:r w:rsidRPr="0001656C">
        <w:rPr>
          <w:rFonts w:ascii="Book Antiqua" w:eastAsia="宋体" w:hAnsi="Book Antiqua" w:cs="宋体"/>
          <w:color w:val="000000"/>
          <w:sz w:val="24"/>
          <w:szCs w:val="24"/>
          <w:lang w:val="en-US" w:eastAsia="zh-CN"/>
        </w:rPr>
        <w:t xml:space="preserve"> S. Hepatitis B vaccine by intradermal route in non</w:t>
      </w:r>
      <w:r w:rsidR="005F691A" w:rsidRPr="0001656C">
        <w:rPr>
          <w:rFonts w:ascii="Book Antiqua" w:eastAsia="宋体" w:hAnsi="Book Antiqua" w:cs="宋体"/>
          <w:color w:val="000000"/>
          <w:sz w:val="24"/>
          <w:szCs w:val="24"/>
          <w:lang w:val="en-US" w:eastAsia="zh-CN"/>
        </w:rPr>
        <w:t xml:space="preserve"> </w:t>
      </w:r>
      <w:r w:rsidRPr="0001656C">
        <w:rPr>
          <w:rFonts w:ascii="Book Antiqua" w:eastAsia="宋体" w:hAnsi="Book Antiqua" w:cs="宋体"/>
          <w:color w:val="000000"/>
          <w:sz w:val="24"/>
          <w:szCs w:val="24"/>
          <w:lang w:val="en-US" w:eastAsia="zh-CN"/>
        </w:rPr>
        <w:t>responder patients: an update. </w:t>
      </w:r>
      <w:r w:rsidRPr="0001656C">
        <w:rPr>
          <w:rFonts w:ascii="Book Antiqua" w:eastAsia="宋体" w:hAnsi="Book Antiqua" w:cs="宋体"/>
          <w:i/>
          <w:iCs/>
          <w:color w:val="000000"/>
          <w:sz w:val="24"/>
          <w:szCs w:val="24"/>
          <w:lang w:val="en-US" w:eastAsia="zh-CN"/>
        </w:rPr>
        <w:t xml:space="preserve">World J </w:t>
      </w:r>
      <w:proofErr w:type="spellStart"/>
      <w:r w:rsidRPr="0001656C">
        <w:rPr>
          <w:rFonts w:ascii="Book Antiqua" w:eastAsia="宋体" w:hAnsi="Book Antiqua" w:cs="宋体"/>
          <w:i/>
          <w:iCs/>
          <w:color w:val="000000"/>
          <w:sz w:val="24"/>
          <w:szCs w:val="24"/>
          <w:lang w:val="en-US" w:eastAsia="zh-CN"/>
        </w:rPr>
        <w:t>Gastroenterol</w:t>
      </w:r>
      <w:proofErr w:type="spellEnd"/>
      <w:r w:rsidRPr="0001656C">
        <w:rPr>
          <w:rFonts w:ascii="Book Antiqua" w:eastAsia="宋体" w:hAnsi="Book Antiqua" w:cs="宋体"/>
          <w:color w:val="000000"/>
          <w:sz w:val="24"/>
          <w:szCs w:val="24"/>
          <w:lang w:val="en-US" w:eastAsia="zh-CN"/>
        </w:rPr>
        <w:t> 2014; </w:t>
      </w:r>
      <w:r w:rsidRPr="0001656C">
        <w:rPr>
          <w:rFonts w:ascii="Book Antiqua" w:eastAsia="宋体" w:hAnsi="Book Antiqua" w:cs="宋体"/>
          <w:b/>
          <w:bCs/>
          <w:color w:val="000000"/>
          <w:sz w:val="24"/>
          <w:szCs w:val="24"/>
          <w:lang w:val="en-US" w:eastAsia="zh-CN"/>
        </w:rPr>
        <w:t>20</w:t>
      </w:r>
      <w:r w:rsidRPr="0001656C">
        <w:rPr>
          <w:rFonts w:ascii="Book Antiqua" w:eastAsia="宋体" w:hAnsi="Book Antiqua" w:cs="宋体"/>
          <w:color w:val="000000"/>
          <w:sz w:val="24"/>
          <w:szCs w:val="24"/>
          <w:lang w:val="en-US" w:eastAsia="zh-CN"/>
        </w:rPr>
        <w:t>: 10383-10394 [PMID: 25132754 DOI: 10.3748/wjg.v20.i30.10383]</w:t>
      </w:r>
    </w:p>
    <w:p w:rsidR="00090045" w:rsidRPr="0001656C" w:rsidRDefault="00090045"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16 </w:t>
      </w:r>
      <w:r w:rsidRPr="0001656C">
        <w:rPr>
          <w:rFonts w:ascii="Book Antiqua" w:eastAsia="宋体" w:hAnsi="Book Antiqua" w:cs="宋体"/>
          <w:b/>
          <w:bCs/>
          <w:color w:val="000000"/>
          <w:sz w:val="24"/>
          <w:szCs w:val="24"/>
          <w:lang w:val="en-US" w:eastAsia="zh-CN"/>
        </w:rPr>
        <w:t>McMahon BJ</w:t>
      </w:r>
      <w:r w:rsidRPr="0001656C">
        <w:rPr>
          <w:rFonts w:ascii="Book Antiqua" w:eastAsia="宋体" w:hAnsi="Book Antiqua" w:cs="宋体"/>
          <w:color w:val="000000"/>
          <w:sz w:val="24"/>
          <w:szCs w:val="24"/>
          <w:lang w:val="en-US" w:eastAsia="zh-CN"/>
        </w:rPr>
        <w:t xml:space="preserve">, </w:t>
      </w:r>
      <w:proofErr w:type="spellStart"/>
      <w:r w:rsidRPr="0001656C">
        <w:rPr>
          <w:rFonts w:ascii="Book Antiqua" w:eastAsia="宋体" w:hAnsi="Book Antiqua" w:cs="宋体"/>
          <w:color w:val="000000"/>
          <w:sz w:val="24"/>
          <w:szCs w:val="24"/>
          <w:lang w:val="en-US" w:eastAsia="zh-CN"/>
        </w:rPr>
        <w:t>Bruden</w:t>
      </w:r>
      <w:proofErr w:type="spellEnd"/>
      <w:r w:rsidRPr="0001656C">
        <w:rPr>
          <w:rFonts w:ascii="Book Antiqua" w:eastAsia="宋体" w:hAnsi="Book Antiqua" w:cs="宋体"/>
          <w:color w:val="000000"/>
          <w:sz w:val="24"/>
          <w:szCs w:val="24"/>
          <w:lang w:val="en-US" w:eastAsia="zh-CN"/>
        </w:rPr>
        <w:t xml:space="preserve"> DL, Petersen KM, </w:t>
      </w:r>
      <w:proofErr w:type="spellStart"/>
      <w:r w:rsidRPr="0001656C">
        <w:rPr>
          <w:rFonts w:ascii="Book Antiqua" w:eastAsia="宋体" w:hAnsi="Book Antiqua" w:cs="宋体"/>
          <w:color w:val="000000"/>
          <w:sz w:val="24"/>
          <w:szCs w:val="24"/>
          <w:lang w:val="en-US" w:eastAsia="zh-CN"/>
        </w:rPr>
        <w:t>Bulkow</w:t>
      </w:r>
      <w:proofErr w:type="spellEnd"/>
      <w:r w:rsidRPr="0001656C">
        <w:rPr>
          <w:rFonts w:ascii="Book Antiqua" w:eastAsia="宋体" w:hAnsi="Book Antiqua" w:cs="宋体"/>
          <w:color w:val="000000"/>
          <w:sz w:val="24"/>
          <w:szCs w:val="24"/>
          <w:lang w:val="en-US" w:eastAsia="zh-CN"/>
        </w:rPr>
        <w:t xml:space="preserve"> LR, Parkinson AJ, </w:t>
      </w:r>
      <w:proofErr w:type="spellStart"/>
      <w:r w:rsidRPr="0001656C">
        <w:rPr>
          <w:rFonts w:ascii="Book Antiqua" w:eastAsia="宋体" w:hAnsi="Book Antiqua" w:cs="宋体"/>
          <w:color w:val="000000"/>
          <w:sz w:val="24"/>
          <w:szCs w:val="24"/>
          <w:lang w:val="en-US" w:eastAsia="zh-CN"/>
        </w:rPr>
        <w:t>Nainan</w:t>
      </w:r>
      <w:proofErr w:type="spellEnd"/>
      <w:r w:rsidRPr="0001656C">
        <w:rPr>
          <w:rFonts w:ascii="Book Antiqua" w:eastAsia="宋体" w:hAnsi="Book Antiqua" w:cs="宋体"/>
          <w:color w:val="000000"/>
          <w:sz w:val="24"/>
          <w:szCs w:val="24"/>
          <w:lang w:val="en-US" w:eastAsia="zh-CN"/>
        </w:rPr>
        <w:t xml:space="preserve"> O, </w:t>
      </w:r>
      <w:proofErr w:type="spellStart"/>
      <w:r w:rsidRPr="0001656C">
        <w:rPr>
          <w:rFonts w:ascii="Book Antiqua" w:eastAsia="宋体" w:hAnsi="Book Antiqua" w:cs="宋体"/>
          <w:color w:val="000000"/>
          <w:sz w:val="24"/>
          <w:szCs w:val="24"/>
          <w:lang w:val="en-US" w:eastAsia="zh-CN"/>
        </w:rPr>
        <w:t>Khristova</w:t>
      </w:r>
      <w:proofErr w:type="spellEnd"/>
      <w:r w:rsidRPr="0001656C">
        <w:rPr>
          <w:rFonts w:ascii="Book Antiqua" w:eastAsia="宋体" w:hAnsi="Book Antiqua" w:cs="宋体"/>
          <w:color w:val="000000"/>
          <w:sz w:val="24"/>
          <w:szCs w:val="24"/>
          <w:lang w:val="en-US" w:eastAsia="zh-CN"/>
        </w:rPr>
        <w:t xml:space="preserve"> M, </w:t>
      </w:r>
      <w:proofErr w:type="spellStart"/>
      <w:r w:rsidRPr="0001656C">
        <w:rPr>
          <w:rFonts w:ascii="Book Antiqua" w:eastAsia="宋体" w:hAnsi="Book Antiqua" w:cs="宋体"/>
          <w:color w:val="000000"/>
          <w:sz w:val="24"/>
          <w:szCs w:val="24"/>
          <w:lang w:val="en-US" w:eastAsia="zh-CN"/>
        </w:rPr>
        <w:t>Zanis</w:t>
      </w:r>
      <w:proofErr w:type="spellEnd"/>
      <w:r w:rsidRPr="0001656C">
        <w:rPr>
          <w:rFonts w:ascii="Book Antiqua" w:eastAsia="宋体" w:hAnsi="Book Antiqua" w:cs="宋体"/>
          <w:color w:val="000000"/>
          <w:sz w:val="24"/>
          <w:szCs w:val="24"/>
          <w:lang w:val="en-US" w:eastAsia="zh-CN"/>
        </w:rPr>
        <w:t xml:space="preserve"> C, Peters H, Margolis HS. Antibody levels and protection after hepatitis B vaccination: results of a 15-year follow-up. </w:t>
      </w:r>
      <w:r w:rsidRPr="0001656C">
        <w:rPr>
          <w:rFonts w:ascii="Book Antiqua" w:eastAsia="宋体" w:hAnsi="Book Antiqua" w:cs="宋体"/>
          <w:i/>
          <w:iCs/>
          <w:color w:val="000000"/>
          <w:sz w:val="24"/>
          <w:szCs w:val="24"/>
          <w:lang w:val="en-US" w:eastAsia="zh-CN"/>
        </w:rPr>
        <w:t>Ann Intern Med</w:t>
      </w:r>
      <w:r w:rsidRPr="0001656C">
        <w:rPr>
          <w:rFonts w:ascii="Book Antiqua" w:eastAsia="宋体" w:hAnsi="Book Antiqua" w:cs="宋体"/>
          <w:color w:val="000000"/>
          <w:sz w:val="24"/>
          <w:szCs w:val="24"/>
          <w:lang w:val="en-US" w:eastAsia="zh-CN"/>
        </w:rPr>
        <w:t>2005; </w:t>
      </w:r>
      <w:r w:rsidRPr="0001656C">
        <w:rPr>
          <w:rFonts w:ascii="Book Antiqua" w:eastAsia="宋体" w:hAnsi="Book Antiqua" w:cs="宋体"/>
          <w:b/>
          <w:bCs/>
          <w:color w:val="000000"/>
          <w:sz w:val="24"/>
          <w:szCs w:val="24"/>
          <w:lang w:val="en-US" w:eastAsia="zh-CN"/>
        </w:rPr>
        <w:t>142</w:t>
      </w:r>
      <w:r w:rsidRPr="0001656C">
        <w:rPr>
          <w:rFonts w:ascii="Book Antiqua" w:eastAsia="宋体" w:hAnsi="Book Antiqua" w:cs="宋体"/>
          <w:color w:val="000000"/>
          <w:sz w:val="24"/>
          <w:szCs w:val="24"/>
          <w:lang w:val="en-US" w:eastAsia="zh-CN"/>
        </w:rPr>
        <w:t>: 333-341 [PMID: 15738452DOI: 10.7326/0003-4819-142-5-200503010-00008]</w:t>
      </w:r>
    </w:p>
    <w:p w:rsidR="00946AB2" w:rsidRPr="0001656C" w:rsidRDefault="00090045"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17</w:t>
      </w:r>
      <w:r w:rsidR="00946AB2" w:rsidRPr="0001656C">
        <w:rPr>
          <w:rFonts w:ascii="Book Antiqua" w:eastAsia="宋体" w:hAnsi="Book Antiqua" w:cs="宋体"/>
          <w:color w:val="000000"/>
          <w:sz w:val="24"/>
          <w:szCs w:val="24"/>
          <w:lang w:val="en-US" w:eastAsia="zh-CN"/>
        </w:rPr>
        <w:t> </w:t>
      </w:r>
      <w:proofErr w:type="spellStart"/>
      <w:r w:rsidR="00946AB2" w:rsidRPr="0001656C">
        <w:rPr>
          <w:rFonts w:ascii="Book Antiqua" w:eastAsia="宋体" w:hAnsi="Book Antiqua" w:cs="宋体"/>
          <w:b/>
          <w:bCs/>
          <w:color w:val="000000"/>
          <w:sz w:val="24"/>
          <w:szCs w:val="24"/>
          <w:lang w:val="en-US" w:eastAsia="zh-CN"/>
        </w:rPr>
        <w:t>Ertem</w:t>
      </w:r>
      <w:proofErr w:type="spellEnd"/>
      <w:r w:rsidR="00946AB2" w:rsidRPr="0001656C">
        <w:rPr>
          <w:rFonts w:ascii="Book Antiqua" w:eastAsia="宋体" w:hAnsi="Book Antiqua" w:cs="宋体"/>
          <w:b/>
          <w:bCs/>
          <w:color w:val="000000"/>
          <w:sz w:val="24"/>
          <w:szCs w:val="24"/>
          <w:lang w:val="en-US" w:eastAsia="zh-CN"/>
        </w:rPr>
        <w:t xml:space="preserve"> D</w:t>
      </w:r>
      <w:r w:rsidR="00946AB2" w:rsidRPr="0001656C">
        <w:rPr>
          <w:rFonts w:ascii="Book Antiqua" w:eastAsia="宋体" w:hAnsi="Book Antiqua" w:cs="宋体"/>
          <w:color w:val="000000"/>
          <w:sz w:val="24"/>
          <w:szCs w:val="24"/>
          <w:lang w:val="en-US" w:eastAsia="zh-CN"/>
        </w:rPr>
        <w:t xml:space="preserve">, </w:t>
      </w:r>
      <w:proofErr w:type="spellStart"/>
      <w:r w:rsidR="00946AB2" w:rsidRPr="0001656C">
        <w:rPr>
          <w:rFonts w:ascii="Book Antiqua" w:eastAsia="宋体" w:hAnsi="Book Antiqua" w:cs="宋体"/>
          <w:color w:val="000000"/>
          <w:sz w:val="24"/>
          <w:szCs w:val="24"/>
          <w:lang w:val="en-US" w:eastAsia="zh-CN"/>
        </w:rPr>
        <w:t>Gonen</w:t>
      </w:r>
      <w:proofErr w:type="spellEnd"/>
      <w:r w:rsidR="00946AB2" w:rsidRPr="0001656C">
        <w:rPr>
          <w:rFonts w:ascii="Book Antiqua" w:eastAsia="宋体" w:hAnsi="Book Antiqua" w:cs="宋体"/>
          <w:color w:val="000000"/>
          <w:sz w:val="24"/>
          <w:szCs w:val="24"/>
          <w:lang w:val="en-US" w:eastAsia="zh-CN"/>
        </w:rPr>
        <w:t xml:space="preserve"> I, </w:t>
      </w:r>
      <w:proofErr w:type="spellStart"/>
      <w:r w:rsidR="00946AB2" w:rsidRPr="0001656C">
        <w:rPr>
          <w:rFonts w:ascii="Book Antiqua" w:eastAsia="宋体" w:hAnsi="Book Antiqua" w:cs="宋体"/>
          <w:color w:val="000000"/>
          <w:sz w:val="24"/>
          <w:szCs w:val="24"/>
          <w:lang w:val="en-US" w:eastAsia="zh-CN"/>
        </w:rPr>
        <w:t>Tanidir</w:t>
      </w:r>
      <w:proofErr w:type="spellEnd"/>
      <w:r w:rsidR="00946AB2" w:rsidRPr="0001656C">
        <w:rPr>
          <w:rFonts w:ascii="Book Antiqua" w:eastAsia="宋体" w:hAnsi="Book Antiqua" w:cs="宋体"/>
          <w:color w:val="000000"/>
          <w:sz w:val="24"/>
          <w:szCs w:val="24"/>
          <w:lang w:val="en-US" w:eastAsia="zh-CN"/>
        </w:rPr>
        <w:t xml:space="preserve"> C, </w:t>
      </w:r>
      <w:proofErr w:type="spellStart"/>
      <w:r w:rsidR="00946AB2" w:rsidRPr="0001656C">
        <w:rPr>
          <w:rFonts w:ascii="Book Antiqua" w:eastAsia="宋体" w:hAnsi="Book Antiqua" w:cs="宋体"/>
          <w:color w:val="000000"/>
          <w:sz w:val="24"/>
          <w:szCs w:val="24"/>
          <w:lang w:val="en-US" w:eastAsia="zh-CN"/>
        </w:rPr>
        <w:t>Ugras</w:t>
      </w:r>
      <w:proofErr w:type="spellEnd"/>
      <w:r w:rsidR="00946AB2" w:rsidRPr="0001656C">
        <w:rPr>
          <w:rFonts w:ascii="Book Antiqua" w:eastAsia="宋体" w:hAnsi="Book Antiqua" w:cs="宋体"/>
          <w:color w:val="000000"/>
          <w:sz w:val="24"/>
          <w:szCs w:val="24"/>
          <w:lang w:val="en-US" w:eastAsia="zh-CN"/>
        </w:rPr>
        <w:t xml:space="preserve"> M, </w:t>
      </w:r>
      <w:proofErr w:type="spellStart"/>
      <w:r w:rsidR="00946AB2" w:rsidRPr="0001656C">
        <w:rPr>
          <w:rFonts w:ascii="Book Antiqua" w:eastAsia="宋体" w:hAnsi="Book Antiqua" w:cs="宋体"/>
          <w:color w:val="000000"/>
          <w:sz w:val="24"/>
          <w:szCs w:val="24"/>
          <w:lang w:val="en-US" w:eastAsia="zh-CN"/>
        </w:rPr>
        <w:t>Yildiz</w:t>
      </w:r>
      <w:proofErr w:type="spellEnd"/>
      <w:r w:rsidR="00946AB2" w:rsidRPr="0001656C">
        <w:rPr>
          <w:rFonts w:ascii="Book Antiqua" w:eastAsia="宋体" w:hAnsi="Book Antiqua" w:cs="宋体"/>
          <w:color w:val="000000"/>
          <w:sz w:val="24"/>
          <w:szCs w:val="24"/>
          <w:lang w:val="en-US" w:eastAsia="zh-CN"/>
        </w:rPr>
        <w:t xml:space="preserve"> A, </w:t>
      </w:r>
      <w:proofErr w:type="spellStart"/>
      <w:r w:rsidR="00946AB2" w:rsidRPr="0001656C">
        <w:rPr>
          <w:rFonts w:ascii="Book Antiqua" w:eastAsia="宋体" w:hAnsi="Book Antiqua" w:cs="宋体"/>
          <w:color w:val="000000"/>
          <w:sz w:val="24"/>
          <w:szCs w:val="24"/>
          <w:lang w:val="en-US" w:eastAsia="zh-CN"/>
        </w:rPr>
        <w:t>Pehlivanoğlu</w:t>
      </w:r>
      <w:proofErr w:type="spellEnd"/>
      <w:r w:rsidR="00946AB2" w:rsidRPr="0001656C">
        <w:rPr>
          <w:rFonts w:ascii="Book Antiqua" w:eastAsia="宋体" w:hAnsi="Book Antiqua" w:cs="宋体"/>
          <w:color w:val="000000"/>
          <w:sz w:val="24"/>
          <w:szCs w:val="24"/>
          <w:lang w:val="en-US" w:eastAsia="zh-CN"/>
        </w:rPr>
        <w:t xml:space="preserve"> E, </w:t>
      </w:r>
      <w:proofErr w:type="spellStart"/>
      <w:r w:rsidR="00946AB2" w:rsidRPr="0001656C">
        <w:rPr>
          <w:rFonts w:ascii="Book Antiqua" w:eastAsia="宋体" w:hAnsi="Book Antiqua" w:cs="宋体"/>
          <w:color w:val="000000"/>
          <w:sz w:val="24"/>
          <w:szCs w:val="24"/>
          <w:lang w:val="en-US" w:eastAsia="zh-CN"/>
        </w:rPr>
        <w:t>Eksioglu-Demiralp</w:t>
      </w:r>
      <w:proofErr w:type="spellEnd"/>
      <w:r w:rsidR="00946AB2" w:rsidRPr="0001656C">
        <w:rPr>
          <w:rFonts w:ascii="Book Antiqua" w:eastAsia="宋体" w:hAnsi="Book Antiqua" w:cs="宋体"/>
          <w:color w:val="000000"/>
          <w:sz w:val="24"/>
          <w:szCs w:val="24"/>
          <w:lang w:val="en-US" w:eastAsia="zh-CN"/>
        </w:rPr>
        <w:t xml:space="preserve"> E. The response to hepatitis B vaccine: does it differ in celiac disease? </w:t>
      </w:r>
      <w:proofErr w:type="spellStart"/>
      <w:r w:rsidR="00946AB2" w:rsidRPr="0001656C">
        <w:rPr>
          <w:rFonts w:ascii="Book Antiqua" w:eastAsia="宋体" w:hAnsi="Book Antiqua" w:cs="宋体"/>
          <w:i/>
          <w:iCs/>
          <w:color w:val="000000"/>
          <w:sz w:val="24"/>
          <w:szCs w:val="24"/>
          <w:lang w:val="en-US" w:eastAsia="zh-CN"/>
        </w:rPr>
        <w:t>Eur</w:t>
      </w:r>
      <w:proofErr w:type="spellEnd"/>
      <w:r w:rsidR="00946AB2" w:rsidRPr="0001656C">
        <w:rPr>
          <w:rFonts w:ascii="Book Antiqua" w:eastAsia="宋体" w:hAnsi="Book Antiqua" w:cs="宋体"/>
          <w:i/>
          <w:iCs/>
          <w:color w:val="000000"/>
          <w:sz w:val="24"/>
          <w:szCs w:val="24"/>
          <w:lang w:val="en-US" w:eastAsia="zh-CN"/>
        </w:rPr>
        <w:t xml:space="preserve"> J </w:t>
      </w:r>
      <w:proofErr w:type="spellStart"/>
      <w:r w:rsidR="00946AB2" w:rsidRPr="0001656C">
        <w:rPr>
          <w:rFonts w:ascii="Book Antiqua" w:eastAsia="宋体" w:hAnsi="Book Antiqua" w:cs="宋体"/>
          <w:i/>
          <w:iCs/>
          <w:color w:val="000000"/>
          <w:sz w:val="24"/>
          <w:szCs w:val="24"/>
          <w:lang w:val="en-US" w:eastAsia="zh-CN"/>
        </w:rPr>
        <w:t>Gastroenterol</w:t>
      </w:r>
      <w:proofErr w:type="spellEnd"/>
      <w:r w:rsidR="005F691A" w:rsidRPr="0001656C">
        <w:rPr>
          <w:rFonts w:ascii="Book Antiqua" w:eastAsia="宋体" w:hAnsi="Book Antiqua" w:cs="宋体"/>
          <w:i/>
          <w:iCs/>
          <w:color w:val="000000"/>
          <w:sz w:val="24"/>
          <w:szCs w:val="24"/>
          <w:lang w:val="en-US" w:eastAsia="zh-CN"/>
        </w:rPr>
        <w:t xml:space="preserve"> </w:t>
      </w:r>
      <w:proofErr w:type="spellStart"/>
      <w:r w:rsidR="00946AB2" w:rsidRPr="0001656C">
        <w:rPr>
          <w:rFonts w:ascii="Book Antiqua" w:eastAsia="宋体" w:hAnsi="Book Antiqua" w:cs="宋体"/>
          <w:i/>
          <w:iCs/>
          <w:color w:val="000000"/>
          <w:sz w:val="24"/>
          <w:szCs w:val="24"/>
          <w:lang w:val="en-US" w:eastAsia="zh-CN"/>
        </w:rPr>
        <w:t>Hepatol</w:t>
      </w:r>
      <w:proofErr w:type="spellEnd"/>
      <w:r w:rsidR="005F691A" w:rsidRPr="0001656C">
        <w:rPr>
          <w:rFonts w:ascii="Book Antiqua" w:eastAsia="宋体" w:hAnsi="Book Antiqua" w:cs="宋体"/>
          <w:color w:val="000000"/>
          <w:sz w:val="24"/>
          <w:szCs w:val="24"/>
          <w:lang w:val="en-US" w:eastAsia="zh-CN"/>
        </w:rPr>
        <w:t xml:space="preserve"> </w:t>
      </w:r>
      <w:r w:rsidR="00946AB2" w:rsidRPr="0001656C">
        <w:rPr>
          <w:rFonts w:ascii="Book Antiqua" w:eastAsia="宋体" w:hAnsi="Book Antiqua" w:cs="宋体"/>
          <w:color w:val="000000"/>
          <w:sz w:val="24"/>
          <w:szCs w:val="24"/>
          <w:lang w:val="en-US" w:eastAsia="zh-CN"/>
        </w:rPr>
        <w:t>2010; </w:t>
      </w:r>
      <w:r w:rsidR="00946AB2" w:rsidRPr="0001656C">
        <w:rPr>
          <w:rFonts w:ascii="Book Antiqua" w:eastAsia="宋体" w:hAnsi="Book Antiqua" w:cs="宋体"/>
          <w:b/>
          <w:bCs/>
          <w:color w:val="000000"/>
          <w:sz w:val="24"/>
          <w:szCs w:val="24"/>
          <w:lang w:val="en-US" w:eastAsia="zh-CN"/>
        </w:rPr>
        <w:t>22</w:t>
      </w:r>
      <w:r w:rsidR="00946AB2" w:rsidRPr="0001656C">
        <w:rPr>
          <w:rFonts w:ascii="Book Antiqua" w:eastAsia="宋体" w:hAnsi="Book Antiqua" w:cs="宋体"/>
          <w:color w:val="000000"/>
          <w:sz w:val="24"/>
          <w:szCs w:val="24"/>
          <w:lang w:val="en-US" w:eastAsia="zh-CN"/>
        </w:rPr>
        <w:t>: 787-793 [PMID: 19584738 DOI: 10.1097/MEG.0b013e32832e9d41]</w:t>
      </w:r>
    </w:p>
    <w:p w:rsidR="00946AB2" w:rsidRPr="0001656C" w:rsidRDefault="00090045" w:rsidP="00946AB2">
      <w:pPr>
        <w:spacing w:after="0" w:line="360" w:lineRule="auto"/>
        <w:jc w:val="both"/>
        <w:rPr>
          <w:rFonts w:ascii="Book Antiqua" w:eastAsia="宋体" w:hAnsi="Book Antiqua" w:cs="宋体"/>
          <w:color w:val="000000"/>
          <w:sz w:val="24"/>
          <w:szCs w:val="24"/>
          <w:lang w:val="en-US" w:eastAsia="zh-CN"/>
        </w:rPr>
      </w:pPr>
      <w:proofErr w:type="gramStart"/>
      <w:r w:rsidRPr="0001656C">
        <w:rPr>
          <w:rFonts w:ascii="Book Antiqua" w:eastAsia="宋体" w:hAnsi="Book Antiqua" w:cs="宋体"/>
          <w:color w:val="000000"/>
          <w:sz w:val="24"/>
          <w:szCs w:val="24"/>
          <w:lang w:val="en-US" w:eastAsia="zh-CN"/>
        </w:rPr>
        <w:t>18</w:t>
      </w:r>
      <w:r w:rsidR="005F691A" w:rsidRPr="0001656C">
        <w:rPr>
          <w:rFonts w:ascii="Book Antiqua" w:eastAsia="宋体" w:hAnsi="Book Antiqua" w:cs="宋体"/>
          <w:color w:val="000000"/>
          <w:sz w:val="24"/>
          <w:szCs w:val="24"/>
          <w:lang w:val="en-US" w:eastAsia="zh-CN"/>
        </w:rPr>
        <w:t xml:space="preserve"> </w:t>
      </w:r>
      <w:proofErr w:type="spellStart"/>
      <w:r w:rsidR="00946AB2" w:rsidRPr="0001656C">
        <w:rPr>
          <w:rFonts w:ascii="Book Antiqua" w:eastAsia="宋体" w:hAnsi="Book Antiqua" w:cs="宋体"/>
          <w:b/>
          <w:bCs/>
          <w:color w:val="000000"/>
          <w:sz w:val="24"/>
          <w:szCs w:val="24"/>
          <w:lang w:val="en-US" w:eastAsia="zh-CN"/>
        </w:rPr>
        <w:t>Ertekin</w:t>
      </w:r>
      <w:proofErr w:type="spellEnd"/>
      <w:r w:rsidR="00946AB2" w:rsidRPr="0001656C">
        <w:rPr>
          <w:rFonts w:ascii="Book Antiqua" w:eastAsia="宋体" w:hAnsi="Book Antiqua" w:cs="宋体"/>
          <w:b/>
          <w:bCs/>
          <w:color w:val="000000"/>
          <w:sz w:val="24"/>
          <w:szCs w:val="24"/>
          <w:lang w:val="en-US" w:eastAsia="zh-CN"/>
        </w:rPr>
        <w:t xml:space="preserve"> V</w:t>
      </w:r>
      <w:r w:rsidR="00946AB2" w:rsidRPr="0001656C">
        <w:rPr>
          <w:rFonts w:ascii="Book Antiqua" w:eastAsia="宋体" w:hAnsi="Book Antiqua" w:cs="宋体"/>
          <w:color w:val="000000"/>
          <w:sz w:val="24"/>
          <w:szCs w:val="24"/>
          <w:lang w:val="en-US" w:eastAsia="zh-CN"/>
        </w:rPr>
        <w:t xml:space="preserve">, </w:t>
      </w:r>
      <w:proofErr w:type="spellStart"/>
      <w:r w:rsidR="00946AB2" w:rsidRPr="0001656C">
        <w:rPr>
          <w:rFonts w:ascii="Book Antiqua" w:eastAsia="宋体" w:hAnsi="Book Antiqua" w:cs="宋体"/>
          <w:color w:val="000000"/>
          <w:sz w:val="24"/>
          <w:szCs w:val="24"/>
          <w:lang w:val="en-US" w:eastAsia="zh-CN"/>
        </w:rPr>
        <w:t>Tosun</w:t>
      </w:r>
      <w:proofErr w:type="spellEnd"/>
      <w:r w:rsidR="00946AB2" w:rsidRPr="0001656C">
        <w:rPr>
          <w:rFonts w:ascii="Book Antiqua" w:eastAsia="宋体" w:hAnsi="Book Antiqua" w:cs="宋体"/>
          <w:color w:val="000000"/>
          <w:sz w:val="24"/>
          <w:szCs w:val="24"/>
          <w:lang w:val="en-US" w:eastAsia="zh-CN"/>
        </w:rPr>
        <w:t xml:space="preserve"> MS, </w:t>
      </w:r>
      <w:proofErr w:type="spellStart"/>
      <w:r w:rsidR="00946AB2" w:rsidRPr="0001656C">
        <w:rPr>
          <w:rFonts w:ascii="Book Antiqua" w:eastAsia="宋体" w:hAnsi="Book Antiqua" w:cs="宋体"/>
          <w:color w:val="000000"/>
          <w:sz w:val="24"/>
          <w:szCs w:val="24"/>
          <w:lang w:val="en-US" w:eastAsia="zh-CN"/>
        </w:rPr>
        <w:t>Selimoglu</w:t>
      </w:r>
      <w:proofErr w:type="spellEnd"/>
      <w:r w:rsidR="00946AB2" w:rsidRPr="0001656C">
        <w:rPr>
          <w:rFonts w:ascii="Book Antiqua" w:eastAsia="宋体" w:hAnsi="Book Antiqua" w:cs="宋体"/>
          <w:color w:val="000000"/>
          <w:sz w:val="24"/>
          <w:szCs w:val="24"/>
          <w:lang w:val="en-US" w:eastAsia="zh-CN"/>
        </w:rPr>
        <w:t xml:space="preserve"> MA.</w:t>
      </w:r>
      <w:proofErr w:type="gramEnd"/>
      <w:r w:rsidR="00946AB2" w:rsidRPr="0001656C">
        <w:rPr>
          <w:rFonts w:ascii="Book Antiqua" w:eastAsia="宋体" w:hAnsi="Book Antiqua" w:cs="宋体"/>
          <w:color w:val="000000"/>
          <w:sz w:val="24"/>
          <w:szCs w:val="24"/>
          <w:lang w:val="en-US" w:eastAsia="zh-CN"/>
        </w:rPr>
        <w:t xml:space="preserve"> Is there need for a new hepatitıs B vaccine schedule for children with celiac disease? </w:t>
      </w:r>
      <w:proofErr w:type="spellStart"/>
      <w:r w:rsidR="00946AB2" w:rsidRPr="0001656C">
        <w:rPr>
          <w:rFonts w:ascii="Book Antiqua" w:eastAsia="宋体" w:hAnsi="Book Antiqua" w:cs="宋体"/>
          <w:i/>
          <w:iCs/>
          <w:color w:val="000000"/>
          <w:sz w:val="24"/>
          <w:szCs w:val="24"/>
          <w:lang w:val="en-US" w:eastAsia="zh-CN"/>
        </w:rPr>
        <w:t>Hepat</w:t>
      </w:r>
      <w:proofErr w:type="spellEnd"/>
      <w:r w:rsidR="00946AB2" w:rsidRPr="0001656C">
        <w:rPr>
          <w:rFonts w:ascii="Book Antiqua" w:eastAsia="宋体" w:hAnsi="Book Antiqua" w:cs="宋体"/>
          <w:i/>
          <w:iCs/>
          <w:color w:val="000000"/>
          <w:sz w:val="24"/>
          <w:szCs w:val="24"/>
          <w:lang w:val="en-US" w:eastAsia="zh-CN"/>
        </w:rPr>
        <w:t xml:space="preserve"> Mon</w:t>
      </w:r>
      <w:r w:rsidR="00946AB2" w:rsidRPr="0001656C">
        <w:rPr>
          <w:rFonts w:ascii="Book Antiqua" w:eastAsia="宋体" w:hAnsi="Book Antiqua" w:cs="宋体"/>
          <w:color w:val="000000"/>
          <w:sz w:val="24"/>
          <w:szCs w:val="24"/>
          <w:lang w:val="en-US" w:eastAsia="zh-CN"/>
        </w:rPr>
        <w:t> 2011; </w:t>
      </w:r>
      <w:r w:rsidR="00946AB2" w:rsidRPr="0001656C">
        <w:rPr>
          <w:rFonts w:ascii="Book Antiqua" w:eastAsia="宋体" w:hAnsi="Book Antiqua" w:cs="宋体"/>
          <w:b/>
          <w:bCs/>
          <w:color w:val="000000"/>
          <w:sz w:val="24"/>
          <w:szCs w:val="24"/>
          <w:lang w:val="en-US" w:eastAsia="zh-CN"/>
        </w:rPr>
        <w:t>11</w:t>
      </w:r>
      <w:r w:rsidR="00946AB2" w:rsidRPr="0001656C">
        <w:rPr>
          <w:rFonts w:ascii="Book Antiqua" w:eastAsia="宋体" w:hAnsi="Book Antiqua" w:cs="宋体"/>
          <w:color w:val="000000"/>
          <w:sz w:val="24"/>
          <w:szCs w:val="24"/>
          <w:lang w:val="en-US" w:eastAsia="zh-CN"/>
        </w:rPr>
        <w:t>: 634-637 [PMID: 22140387DOI: 10.5812/kowsar.1735143X.1129]</w:t>
      </w:r>
    </w:p>
    <w:p w:rsidR="00946AB2" w:rsidRPr="0001656C" w:rsidRDefault="000D1A0B" w:rsidP="00946AB2">
      <w:pPr>
        <w:spacing w:after="0" w:line="360" w:lineRule="auto"/>
        <w:jc w:val="both"/>
        <w:rPr>
          <w:rFonts w:ascii="Book Antiqua" w:eastAsia="宋体" w:hAnsi="Book Antiqua" w:cs="宋体"/>
          <w:color w:val="000000"/>
          <w:sz w:val="24"/>
          <w:szCs w:val="24"/>
          <w:lang w:val="en-US" w:eastAsia="zh-CN"/>
        </w:rPr>
      </w:pPr>
      <w:r w:rsidRPr="0001656C">
        <w:rPr>
          <w:rFonts w:ascii="Book Antiqua" w:eastAsia="宋体" w:hAnsi="Book Antiqua" w:cs="宋体"/>
          <w:color w:val="000000"/>
          <w:sz w:val="24"/>
          <w:szCs w:val="24"/>
          <w:lang w:val="en-US" w:eastAsia="zh-CN"/>
        </w:rPr>
        <w:t>19</w:t>
      </w:r>
      <w:r w:rsidR="00946AB2" w:rsidRPr="0001656C">
        <w:rPr>
          <w:rFonts w:ascii="Book Antiqua" w:eastAsia="宋体" w:hAnsi="Book Antiqua" w:cs="宋体"/>
          <w:color w:val="000000"/>
          <w:sz w:val="24"/>
          <w:szCs w:val="24"/>
          <w:lang w:val="en-US" w:eastAsia="zh-CN"/>
        </w:rPr>
        <w:t> </w:t>
      </w:r>
      <w:proofErr w:type="spellStart"/>
      <w:r w:rsidR="00946AB2" w:rsidRPr="0001656C">
        <w:rPr>
          <w:rFonts w:ascii="Book Antiqua" w:eastAsia="宋体" w:hAnsi="Book Antiqua" w:cs="宋体"/>
          <w:b/>
          <w:bCs/>
          <w:color w:val="000000"/>
          <w:sz w:val="24"/>
          <w:szCs w:val="24"/>
          <w:lang w:val="en-US" w:eastAsia="zh-CN"/>
        </w:rPr>
        <w:t>Nemes</w:t>
      </w:r>
      <w:proofErr w:type="spellEnd"/>
      <w:r w:rsidR="00946AB2" w:rsidRPr="0001656C">
        <w:rPr>
          <w:rFonts w:ascii="Book Antiqua" w:eastAsia="宋体" w:hAnsi="Book Antiqua" w:cs="宋体"/>
          <w:b/>
          <w:bCs/>
          <w:color w:val="000000"/>
          <w:sz w:val="24"/>
          <w:szCs w:val="24"/>
          <w:lang w:val="en-US" w:eastAsia="zh-CN"/>
        </w:rPr>
        <w:t xml:space="preserve"> E</w:t>
      </w:r>
      <w:r w:rsidR="00946AB2" w:rsidRPr="0001656C">
        <w:rPr>
          <w:rFonts w:ascii="Book Antiqua" w:eastAsia="宋体" w:hAnsi="Book Antiqua" w:cs="宋体"/>
          <w:color w:val="000000"/>
          <w:sz w:val="24"/>
          <w:szCs w:val="24"/>
          <w:lang w:val="en-US" w:eastAsia="zh-CN"/>
        </w:rPr>
        <w:t xml:space="preserve">, </w:t>
      </w:r>
      <w:proofErr w:type="spellStart"/>
      <w:r w:rsidR="00946AB2" w:rsidRPr="0001656C">
        <w:rPr>
          <w:rFonts w:ascii="Book Antiqua" w:eastAsia="宋体" w:hAnsi="Book Antiqua" w:cs="宋体"/>
          <w:color w:val="000000"/>
          <w:sz w:val="24"/>
          <w:szCs w:val="24"/>
          <w:lang w:val="en-US" w:eastAsia="zh-CN"/>
        </w:rPr>
        <w:t>Lefler</w:t>
      </w:r>
      <w:proofErr w:type="spellEnd"/>
      <w:r w:rsidR="00946AB2" w:rsidRPr="0001656C">
        <w:rPr>
          <w:rFonts w:ascii="Book Antiqua" w:eastAsia="宋体" w:hAnsi="Book Antiqua" w:cs="宋体"/>
          <w:color w:val="000000"/>
          <w:sz w:val="24"/>
          <w:szCs w:val="24"/>
          <w:lang w:val="en-US" w:eastAsia="zh-CN"/>
        </w:rPr>
        <w:t xml:space="preserve"> E, </w:t>
      </w:r>
      <w:proofErr w:type="spellStart"/>
      <w:r w:rsidR="00946AB2" w:rsidRPr="0001656C">
        <w:rPr>
          <w:rFonts w:ascii="Book Antiqua" w:eastAsia="宋体" w:hAnsi="Book Antiqua" w:cs="宋体"/>
          <w:color w:val="000000"/>
          <w:sz w:val="24"/>
          <w:szCs w:val="24"/>
          <w:lang w:val="en-US" w:eastAsia="zh-CN"/>
        </w:rPr>
        <w:t>Szegedi</w:t>
      </w:r>
      <w:proofErr w:type="spellEnd"/>
      <w:r w:rsidR="00946AB2" w:rsidRPr="0001656C">
        <w:rPr>
          <w:rFonts w:ascii="Book Antiqua" w:eastAsia="宋体" w:hAnsi="Book Antiqua" w:cs="宋体"/>
          <w:color w:val="000000"/>
          <w:sz w:val="24"/>
          <w:szCs w:val="24"/>
          <w:lang w:val="en-US" w:eastAsia="zh-CN"/>
        </w:rPr>
        <w:t xml:space="preserve"> L, </w:t>
      </w:r>
      <w:proofErr w:type="spellStart"/>
      <w:r w:rsidR="00946AB2" w:rsidRPr="0001656C">
        <w:rPr>
          <w:rFonts w:ascii="Book Antiqua" w:eastAsia="宋体" w:hAnsi="Book Antiqua" w:cs="宋体"/>
          <w:color w:val="000000"/>
          <w:sz w:val="24"/>
          <w:szCs w:val="24"/>
          <w:lang w:val="en-US" w:eastAsia="zh-CN"/>
        </w:rPr>
        <w:t>Kapitány</w:t>
      </w:r>
      <w:proofErr w:type="spellEnd"/>
      <w:r w:rsidR="00946AB2" w:rsidRPr="0001656C">
        <w:rPr>
          <w:rFonts w:ascii="Book Antiqua" w:eastAsia="宋体" w:hAnsi="Book Antiqua" w:cs="宋体"/>
          <w:color w:val="000000"/>
          <w:sz w:val="24"/>
          <w:szCs w:val="24"/>
          <w:lang w:val="en-US" w:eastAsia="zh-CN"/>
        </w:rPr>
        <w:t xml:space="preserve"> A, </w:t>
      </w:r>
      <w:proofErr w:type="spellStart"/>
      <w:r w:rsidR="00946AB2" w:rsidRPr="0001656C">
        <w:rPr>
          <w:rFonts w:ascii="Book Antiqua" w:eastAsia="宋体" w:hAnsi="Book Antiqua" w:cs="宋体"/>
          <w:color w:val="000000"/>
          <w:sz w:val="24"/>
          <w:szCs w:val="24"/>
          <w:lang w:val="en-US" w:eastAsia="zh-CN"/>
        </w:rPr>
        <w:t>Kovács</w:t>
      </w:r>
      <w:proofErr w:type="spellEnd"/>
      <w:r w:rsidR="00946AB2" w:rsidRPr="0001656C">
        <w:rPr>
          <w:rFonts w:ascii="Book Antiqua" w:eastAsia="宋体" w:hAnsi="Book Antiqua" w:cs="宋体"/>
          <w:color w:val="000000"/>
          <w:sz w:val="24"/>
          <w:szCs w:val="24"/>
          <w:lang w:val="en-US" w:eastAsia="zh-CN"/>
        </w:rPr>
        <w:t xml:space="preserve"> JB, </w:t>
      </w:r>
      <w:proofErr w:type="spellStart"/>
      <w:r w:rsidR="00946AB2" w:rsidRPr="0001656C">
        <w:rPr>
          <w:rFonts w:ascii="Book Antiqua" w:eastAsia="宋体" w:hAnsi="Book Antiqua" w:cs="宋体"/>
          <w:color w:val="000000"/>
          <w:sz w:val="24"/>
          <w:szCs w:val="24"/>
          <w:lang w:val="en-US" w:eastAsia="zh-CN"/>
        </w:rPr>
        <w:t>Balogh</w:t>
      </w:r>
      <w:proofErr w:type="spellEnd"/>
      <w:r w:rsidR="00946AB2" w:rsidRPr="0001656C">
        <w:rPr>
          <w:rFonts w:ascii="Book Antiqua" w:eastAsia="宋体" w:hAnsi="Book Antiqua" w:cs="宋体"/>
          <w:color w:val="000000"/>
          <w:sz w:val="24"/>
          <w:szCs w:val="24"/>
          <w:lang w:val="en-US" w:eastAsia="zh-CN"/>
        </w:rPr>
        <w:t xml:space="preserve"> M, </w:t>
      </w:r>
      <w:proofErr w:type="spellStart"/>
      <w:r w:rsidR="00946AB2" w:rsidRPr="0001656C">
        <w:rPr>
          <w:rFonts w:ascii="Book Antiqua" w:eastAsia="宋体" w:hAnsi="Book Antiqua" w:cs="宋体"/>
          <w:color w:val="000000"/>
          <w:sz w:val="24"/>
          <w:szCs w:val="24"/>
          <w:lang w:val="en-US" w:eastAsia="zh-CN"/>
        </w:rPr>
        <w:t>Szabados</w:t>
      </w:r>
      <w:proofErr w:type="spellEnd"/>
      <w:r w:rsidR="00946AB2" w:rsidRPr="0001656C">
        <w:rPr>
          <w:rFonts w:ascii="Book Antiqua" w:eastAsia="宋体" w:hAnsi="Book Antiqua" w:cs="宋体"/>
          <w:color w:val="000000"/>
          <w:sz w:val="24"/>
          <w:szCs w:val="24"/>
          <w:lang w:val="en-US" w:eastAsia="zh-CN"/>
        </w:rPr>
        <w:t xml:space="preserve"> K, </w:t>
      </w:r>
      <w:proofErr w:type="spellStart"/>
      <w:r w:rsidR="00946AB2" w:rsidRPr="0001656C">
        <w:rPr>
          <w:rFonts w:ascii="Book Antiqua" w:eastAsia="宋体" w:hAnsi="Book Antiqua" w:cs="宋体"/>
          <w:color w:val="000000"/>
          <w:sz w:val="24"/>
          <w:szCs w:val="24"/>
          <w:lang w:val="en-US" w:eastAsia="zh-CN"/>
        </w:rPr>
        <w:t>Tumpek</w:t>
      </w:r>
      <w:proofErr w:type="spellEnd"/>
      <w:r w:rsidR="00946AB2" w:rsidRPr="0001656C">
        <w:rPr>
          <w:rFonts w:ascii="Book Antiqua" w:eastAsia="宋体" w:hAnsi="Book Antiqua" w:cs="宋体"/>
          <w:color w:val="000000"/>
          <w:sz w:val="24"/>
          <w:szCs w:val="24"/>
          <w:lang w:val="en-US" w:eastAsia="zh-CN"/>
        </w:rPr>
        <w:t xml:space="preserve"> J, </w:t>
      </w:r>
      <w:proofErr w:type="spellStart"/>
      <w:r w:rsidR="00946AB2" w:rsidRPr="0001656C">
        <w:rPr>
          <w:rFonts w:ascii="Book Antiqua" w:eastAsia="宋体" w:hAnsi="Book Antiqua" w:cs="宋体"/>
          <w:color w:val="000000"/>
          <w:sz w:val="24"/>
          <w:szCs w:val="24"/>
          <w:lang w:val="en-US" w:eastAsia="zh-CN"/>
        </w:rPr>
        <w:t>Sipka</w:t>
      </w:r>
      <w:proofErr w:type="spellEnd"/>
      <w:r w:rsidR="00946AB2" w:rsidRPr="0001656C">
        <w:rPr>
          <w:rFonts w:ascii="Book Antiqua" w:eastAsia="宋体" w:hAnsi="Book Antiqua" w:cs="宋体"/>
          <w:color w:val="000000"/>
          <w:sz w:val="24"/>
          <w:szCs w:val="24"/>
          <w:lang w:val="en-US" w:eastAsia="zh-CN"/>
        </w:rPr>
        <w:t xml:space="preserve"> S, </w:t>
      </w:r>
      <w:proofErr w:type="spellStart"/>
      <w:r w:rsidR="00946AB2" w:rsidRPr="0001656C">
        <w:rPr>
          <w:rFonts w:ascii="Book Antiqua" w:eastAsia="宋体" w:hAnsi="Book Antiqua" w:cs="宋体"/>
          <w:color w:val="000000"/>
          <w:sz w:val="24"/>
          <w:szCs w:val="24"/>
          <w:lang w:val="en-US" w:eastAsia="zh-CN"/>
        </w:rPr>
        <w:t>Korponay-Szabó</w:t>
      </w:r>
      <w:proofErr w:type="spellEnd"/>
      <w:r w:rsidR="00946AB2" w:rsidRPr="0001656C">
        <w:rPr>
          <w:rFonts w:ascii="Book Antiqua" w:eastAsia="宋体" w:hAnsi="Book Antiqua" w:cs="宋体"/>
          <w:color w:val="000000"/>
          <w:sz w:val="24"/>
          <w:szCs w:val="24"/>
          <w:lang w:val="en-US" w:eastAsia="zh-CN"/>
        </w:rPr>
        <w:t xml:space="preserve"> IR. Gluten intake interferes with the humoral immune response to recombinant hepatitis B vaccine in patients with celiac disease. </w:t>
      </w:r>
      <w:r w:rsidR="00946AB2" w:rsidRPr="0001656C">
        <w:rPr>
          <w:rFonts w:ascii="Book Antiqua" w:eastAsia="宋体" w:hAnsi="Book Antiqua" w:cs="宋体"/>
          <w:i/>
          <w:iCs/>
          <w:color w:val="000000"/>
          <w:sz w:val="24"/>
          <w:szCs w:val="24"/>
          <w:lang w:val="en-US" w:eastAsia="zh-CN"/>
        </w:rPr>
        <w:t>Pediatrics</w:t>
      </w:r>
      <w:r w:rsidR="00946AB2" w:rsidRPr="0001656C">
        <w:rPr>
          <w:rFonts w:ascii="Book Antiqua" w:eastAsia="宋体" w:hAnsi="Book Antiqua" w:cs="宋体"/>
          <w:color w:val="000000"/>
          <w:sz w:val="24"/>
          <w:szCs w:val="24"/>
          <w:lang w:val="en-US" w:eastAsia="zh-CN"/>
        </w:rPr>
        <w:t> 2008; </w:t>
      </w:r>
      <w:r w:rsidR="00946AB2" w:rsidRPr="0001656C">
        <w:rPr>
          <w:rFonts w:ascii="Book Antiqua" w:eastAsia="宋体" w:hAnsi="Book Antiqua" w:cs="宋体"/>
          <w:b/>
          <w:bCs/>
          <w:color w:val="000000"/>
          <w:sz w:val="24"/>
          <w:szCs w:val="24"/>
          <w:lang w:val="en-US" w:eastAsia="zh-CN"/>
        </w:rPr>
        <w:t>121</w:t>
      </w:r>
      <w:r w:rsidR="00946AB2" w:rsidRPr="0001656C">
        <w:rPr>
          <w:rFonts w:ascii="Book Antiqua" w:eastAsia="宋体" w:hAnsi="Book Antiqua" w:cs="宋体"/>
          <w:color w:val="000000"/>
          <w:sz w:val="24"/>
          <w:szCs w:val="24"/>
          <w:lang w:val="en-US" w:eastAsia="zh-CN"/>
        </w:rPr>
        <w:t>: e1570-e1576 [PMID: 18519462 DOI: 10.1542/peds.2007-2446]</w:t>
      </w:r>
    </w:p>
    <w:p w:rsidR="00590B27" w:rsidRDefault="00590B27" w:rsidP="00946AB2">
      <w:pPr>
        <w:widowControl w:val="0"/>
        <w:wordWrap w:val="0"/>
        <w:spacing w:after="0" w:line="360" w:lineRule="auto"/>
        <w:jc w:val="right"/>
        <w:rPr>
          <w:rFonts w:ascii="Book Antiqua" w:hAnsi="Book Antiqua" w:cs="Times New Roman"/>
          <w:b/>
          <w:bCs/>
          <w:kern w:val="2"/>
          <w:sz w:val="24"/>
          <w:szCs w:val="24"/>
          <w:lang w:val="en-US" w:eastAsia="zh-CN"/>
        </w:rPr>
      </w:pPr>
      <w:bookmarkStart w:id="25" w:name="OLE_LINK51"/>
      <w:bookmarkStart w:id="26" w:name="OLE_LINK52"/>
      <w:bookmarkStart w:id="27" w:name="OLE_LINK120"/>
      <w:bookmarkStart w:id="28" w:name="OLE_LINK148"/>
      <w:bookmarkStart w:id="29" w:name="OLE_LINK72"/>
      <w:bookmarkStart w:id="30" w:name="OLE_LINK112"/>
      <w:bookmarkStart w:id="31" w:name="OLE_LINK320"/>
      <w:bookmarkStart w:id="32" w:name="OLE_LINK387"/>
      <w:bookmarkStart w:id="33" w:name="OLE_LINK183"/>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686"/>
      <w:bookmarkStart w:id="62" w:name="OLE_LINK471"/>
      <w:bookmarkStart w:id="63" w:name="OLE_LINK462"/>
      <w:bookmarkStart w:id="64" w:name="OLE_LINK519"/>
      <w:bookmarkStart w:id="65" w:name="OLE_LINK575"/>
      <w:bookmarkStart w:id="66" w:name="OLE_LINK491"/>
      <w:bookmarkStart w:id="67" w:name="OLE_LINK532"/>
      <w:bookmarkStart w:id="68" w:name="OLE_LINK572"/>
      <w:bookmarkStart w:id="69" w:name="OLE_LINK574"/>
      <w:bookmarkStart w:id="70" w:name="OLE_LINK480"/>
      <w:bookmarkStart w:id="71" w:name="OLE_LINK567"/>
      <w:bookmarkStart w:id="72" w:name="OLE_LINK2700"/>
      <w:bookmarkStart w:id="73" w:name="OLE_LINK581"/>
      <w:bookmarkStart w:id="74" w:name="OLE_LINK639"/>
      <w:bookmarkStart w:id="75" w:name="OLE_LINK688"/>
      <w:bookmarkStart w:id="76" w:name="OLE_LINK722"/>
      <w:bookmarkStart w:id="77" w:name="OLE_LINK542"/>
      <w:bookmarkStart w:id="78" w:name="OLE_LINK589"/>
      <w:bookmarkStart w:id="79" w:name="OLE_LINK582"/>
      <w:bookmarkStart w:id="80" w:name="OLE_LINK640"/>
      <w:bookmarkStart w:id="81" w:name="OLE_LINK714"/>
      <w:bookmarkStart w:id="82" w:name="OLE_LINK593"/>
      <w:bookmarkStart w:id="83" w:name="OLE_LINK716"/>
      <w:bookmarkStart w:id="84" w:name="OLE_LINK770"/>
      <w:bookmarkStart w:id="85" w:name="OLE_LINK801"/>
      <w:bookmarkStart w:id="86" w:name="OLE_LINK660"/>
      <w:bookmarkStart w:id="87" w:name="OLE_LINK781"/>
      <w:bookmarkStart w:id="88" w:name="OLE_LINK833"/>
      <w:bookmarkStart w:id="89" w:name="OLE_LINK642"/>
      <w:bookmarkStart w:id="90" w:name="OLE_LINK700"/>
      <w:bookmarkStart w:id="91" w:name="OLE_LINK792"/>
      <w:bookmarkStart w:id="92" w:name="OLE_LINK2882"/>
      <w:bookmarkStart w:id="93" w:name="OLE_LINK836"/>
      <w:bookmarkStart w:id="94" w:name="OLE_LINK889"/>
      <w:bookmarkStart w:id="95" w:name="OLE_LINK782"/>
      <w:bookmarkStart w:id="96" w:name="OLE_LINK826"/>
      <w:bookmarkStart w:id="97" w:name="OLE_LINK865"/>
      <w:bookmarkStart w:id="98" w:name="OLE_LINK856"/>
      <w:bookmarkStart w:id="99" w:name="OLE_LINK908"/>
      <w:bookmarkStart w:id="100" w:name="OLE_LINK980"/>
      <w:bookmarkStart w:id="101" w:name="OLE_LINK1018"/>
      <w:bookmarkStart w:id="102" w:name="OLE_LINK1049"/>
      <w:bookmarkStart w:id="103" w:name="OLE_LINK1076"/>
      <w:bookmarkStart w:id="104" w:name="OLE_LINK1106"/>
      <w:bookmarkStart w:id="105" w:name="OLE_LINK891"/>
      <w:bookmarkStart w:id="106" w:name="OLE_LINK943"/>
      <w:bookmarkStart w:id="107" w:name="OLE_LINK981"/>
      <w:bookmarkStart w:id="108" w:name="OLE_LINK1030"/>
      <w:bookmarkStart w:id="109" w:name="OLE_LINK847"/>
      <w:bookmarkStart w:id="110" w:name="OLE_LINK909"/>
      <w:bookmarkStart w:id="111" w:name="OLE_LINK906"/>
      <w:bookmarkStart w:id="112" w:name="OLE_LINK992"/>
      <w:bookmarkStart w:id="113" w:name="OLE_LINK993"/>
      <w:bookmarkStart w:id="114" w:name="OLE_LINK1052"/>
      <w:bookmarkStart w:id="115" w:name="OLE_LINK946"/>
      <w:bookmarkStart w:id="116" w:name="OLE_LINK911"/>
      <w:bookmarkStart w:id="117" w:name="OLE_LINK930"/>
      <w:bookmarkStart w:id="118" w:name="OLE_LINK1059"/>
      <w:bookmarkStart w:id="119" w:name="OLE_LINK1174"/>
      <w:bookmarkStart w:id="120" w:name="OLE_LINK1137"/>
      <w:bookmarkStart w:id="121" w:name="OLE_LINK1167"/>
      <w:bookmarkStart w:id="122" w:name="OLE_LINK1200"/>
      <w:bookmarkStart w:id="123" w:name="OLE_LINK1241"/>
      <w:bookmarkStart w:id="124" w:name="OLE_LINK1288"/>
      <w:bookmarkStart w:id="125" w:name="OLE_LINK1056"/>
      <w:bookmarkStart w:id="126" w:name="OLE_LINK1158"/>
      <w:bookmarkStart w:id="127" w:name="OLE_LINK1175"/>
      <w:bookmarkStart w:id="128" w:name="OLE_LINK1074"/>
      <w:bookmarkStart w:id="129" w:name="OLE_LINK1169"/>
    </w:p>
    <w:p w:rsidR="00946AB2" w:rsidRPr="0001656C" w:rsidRDefault="00946AB2" w:rsidP="00590B27">
      <w:pPr>
        <w:widowControl w:val="0"/>
        <w:spacing w:after="0" w:line="360" w:lineRule="auto"/>
        <w:jc w:val="right"/>
        <w:rPr>
          <w:rFonts w:ascii="Book Antiqua" w:hAnsi="Book Antiqua" w:cs="Times New Roman"/>
          <w:kern w:val="2"/>
          <w:sz w:val="24"/>
          <w:szCs w:val="24"/>
          <w:lang w:val="en-US" w:eastAsia="zh-CN"/>
        </w:rPr>
      </w:pPr>
      <w:r w:rsidRPr="0001656C">
        <w:rPr>
          <w:rFonts w:ascii="Book Antiqua" w:hAnsi="Book Antiqua" w:cs="Times New Roman"/>
          <w:b/>
          <w:bCs/>
          <w:kern w:val="2"/>
          <w:sz w:val="24"/>
          <w:szCs w:val="24"/>
          <w:lang w:val="en-US" w:eastAsia="zh-CN"/>
        </w:rPr>
        <w:t>P-Reviewer:</w:t>
      </w:r>
      <w:r w:rsidR="005F691A" w:rsidRPr="0001656C">
        <w:rPr>
          <w:rFonts w:ascii="Book Antiqua" w:hAnsi="Book Antiqua" w:cs="Times New Roman"/>
          <w:b/>
          <w:bCs/>
          <w:kern w:val="2"/>
          <w:sz w:val="24"/>
          <w:szCs w:val="24"/>
          <w:lang w:val="en-US" w:eastAsia="zh-CN"/>
        </w:rPr>
        <w:t xml:space="preserve"> </w:t>
      </w:r>
      <w:proofErr w:type="spellStart"/>
      <w:r w:rsidRPr="0001656C">
        <w:rPr>
          <w:rFonts w:ascii="Book Antiqua" w:hAnsi="Book Antiqua" w:cs="Times New Roman"/>
          <w:bCs/>
          <w:kern w:val="2"/>
          <w:sz w:val="24"/>
          <w:szCs w:val="24"/>
          <w:lang w:val="en-US" w:eastAsia="zh-CN"/>
        </w:rPr>
        <w:t>Balaban</w:t>
      </w:r>
      <w:proofErr w:type="spellEnd"/>
      <w:r w:rsidRPr="0001656C">
        <w:rPr>
          <w:rFonts w:ascii="Book Antiqua" w:hAnsi="Book Antiqua" w:cs="Times New Roman"/>
          <w:bCs/>
          <w:kern w:val="2"/>
          <w:sz w:val="24"/>
          <w:szCs w:val="24"/>
          <w:lang w:val="en-US" w:eastAsia="zh-CN"/>
        </w:rPr>
        <w:t xml:space="preserve"> YH, </w:t>
      </w:r>
      <w:proofErr w:type="spellStart"/>
      <w:r w:rsidRPr="0001656C">
        <w:rPr>
          <w:rFonts w:ascii="Book Antiqua" w:hAnsi="Book Antiqua" w:cs="Times New Roman"/>
          <w:bCs/>
          <w:kern w:val="2"/>
          <w:sz w:val="24"/>
          <w:szCs w:val="24"/>
          <w:lang w:val="en-US" w:eastAsia="zh-CN"/>
        </w:rPr>
        <w:t>SaezLR</w:t>
      </w:r>
      <w:proofErr w:type="spellEnd"/>
      <w:r w:rsidRPr="0001656C">
        <w:rPr>
          <w:rFonts w:ascii="Book Antiqua" w:hAnsi="Book Antiqua" w:cs="Times New Roman"/>
          <w:bCs/>
          <w:kern w:val="2"/>
          <w:sz w:val="24"/>
          <w:szCs w:val="24"/>
          <w:lang w:val="en-US" w:eastAsia="zh-CN"/>
        </w:rPr>
        <w:t xml:space="preserve">, </w:t>
      </w:r>
      <w:proofErr w:type="spellStart"/>
      <w:r w:rsidRPr="0001656C">
        <w:rPr>
          <w:rFonts w:ascii="Book Antiqua" w:hAnsi="Book Antiqua" w:cs="Times New Roman"/>
          <w:bCs/>
          <w:kern w:val="2"/>
          <w:sz w:val="24"/>
          <w:szCs w:val="24"/>
          <w:lang w:val="en-US" w:eastAsia="zh-CN"/>
        </w:rPr>
        <w:t>Sener</w:t>
      </w:r>
      <w:proofErr w:type="spellEnd"/>
      <w:r w:rsidRPr="0001656C">
        <w:rPr>
          <w:rFonts w:ascii="Book Antiqua" w:hAnsi="Book Antiqua" w:cs="Times New Roman"/>
          <w:bCs/>
          <w:kern w:val="2"/>
          <w:sz w:val="24"/>
          <w:szCs w:val="24"/>
          <w:lang w:val="en-US" w:eastAsia="zh-CN"/>
        </w:rPr>
        <w:t xml:space="preserve"> AG</w:t>
      </w:r>
      <w:r w:rsidR="005F691A" w:rsidRPr="0001656C">
        <w:rPr>
          <w:rFonts w:ascii="Book Antiqua" w:hAnsi="Book Antiqua" w:cs="Times New Roman"/>
          <w:bCs/>
          <w:kern w:val="2"/>
          <w:sz w:val="24"/>
          <w:szCs w:val="24"/>
          <w:lang w:val="en-US" w:eastAsia="zh-CN"/>
        </w:rPr>
        <w:t xml:space="preserve"> </w:t>
      </w:r>
      <w:r w:rsidRPr="0001656C">
        <w:rPr>
          <w:rFonts w:ascii="Book Antiqua" w:hAnsi="Book Antiqua" w:cs="Times New Roman"/>
          <w:b/>
          <w:bCs/>
          <w:kern w:val="2"/>
          <w:sz w:val="24"/>
          <w:szCs w:val="24"/>
          <w:lang w:val="en-US" w:eastAsia="zh-CN"/>
        </w:rPr>
        <w:t>S-Editor:</w:t>
      </w:r>
      <w:r w:rsidRPr="0001656C">
        <w:rPr>
          <w:rFonts w:ascii="Book Antiqua" w:hAnsi="Book Antiqua" w:cs="Times New Roman"/>
          <w:kern w:val="2"/>
          <w:sz w:val="24"/>
          <w:szCs w:val="24"/>
          <w:lang w:val="en-US" w:eastAsia="zh-CN"/>
        </w:rPr>
        <w:t xml:space="preserve"> Gong ZM</w:t>
      </w:r>
    </w:p>
    <w:p w:rsidR="00D22412" w:rsidRPr="0001656C" w:rsidRDefault="00946AB2" w:rsidP="005F691A">
      <w:pPr>
        <w:widowControl w:val="0"/>
        <w:wordWrap w:val="0"/>
        <w:spacing w:after="0" w:line="360" w:lineRule="auto"/>
        <w:jc w:val="right"/>
        <w:rPr>
          <w:rFonts w:ascii="Book Antiqua" w:hAnsi="Book Antiqua" w:cs="Times New Roman"/>
          <w:kern w:val="2"/>
          <w:sz w:val="24"/>
          <w:szCs w:val="24"/>
          <w:lang w:val="en-US" w:eastAsia="zh-CN"/>
        </w:rPr>
      </w:pPr>
      <w:r w:rsidRPr="0001656C">
        <w:rPr>
          <w:rFonts w:ascii="Book Antiqua" w:hAnsi="Book Antiqua" w:cs="Times New Roman"/>
          <w:b/>
          <w:bCs/>
          <w:kern w:val="2"/>
          <w:sz w:val="24"/>
          <w:szCs w:val="24"/>
          <w:lang w:val="en-US" w:eastAsia="zh-CN"/>
        </w:rPr>
        <w:t>L-Editor:</w:t>
      </w:r>
      <w:r w:rsidR="005F691A" w:rsidRPr="0001656C">
        <w:rPr>
          <w:rFonts w:ascii="Book Antiqua" w:hAnsi="Book Antiqua" w:cs="Times New Roman"/>
          <w:b/>
          <w:bCs/>
          <w:kern w:val="2"/>
          <w:sz w:val="24"/>
          <w:szCs w:val="24"/>
          <w:lang w:val="en-US" w:eastAsia="zh-CN"/>
        </w:rPr>
        <w:t xml:space="preserve">  </w:t>
      </w:r>
      <w:r w:rsidRPr="0001656C">
        <w:rPr>
          <w:rFonts w:ascii="Book Antiqua" w:hAnsi="Book Antiqua" w:cs="Times New Roman"/>
          <w:b/>
          <w:bCs/>
          <w:kern w:val="2"/>
          <w:sz w:val="24"/>
          <w:szCs w:val="24"/>
          <w:lang w:val="en-US" w:eastAsia="zh-CN"/>
        </w:rPr>
        <w:t>E-Editor:</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D22412" w:rsidRPr="0001656C" w:rsidRDefault="00D22412" w:rsidP="00D22412">
      <w:pPr>
        <w:rPr>
          <w:rFonts w:ascii="Book Antiqua" w:eastAsia="Times New Roman" w:hAnsi="Book Antiqua" w:cs="Times New Roman"/>
          <w:b/>
          <w:sz w:val="24"/>
          <w:szCs w:val="24"/>
          <w:lang w:val="en-US" w:eastAsia="it-IT"/>
        </w:rPr>
      </w:pPr>
      <w:r w:rsidRPr="0001656C">
        <w:rPr>
          <w:rFonts w:ascii="Book Antiqua" w:eastAsia="Times New Roman" w:hAnsi="Book Antiqua" w:cs="Times New Roman"/>
          <w:b/>
          <w:sz w:val="24"/>
          <w:szCs w:val="24"/>
          <w:lang w:val="en-US" w:eastAsia="it-IT"/>
        </w:rPr>
        <w:br w:type="page"/>
      </w:r>
    </w:p>
    <w:p w:rsidR="00D22412" w:rsidRPr="0001656C" w:rsidRDefault="00D22412" w:rsidP="00E26DBC">
      <w:pPr>
        <w:shd w:val="clear" w:color="auto" w:fill="FFFFFF"/>
        <w:spacing w:after="0"/>
        <w:jc w:val="both"/>
        <w:rPr>
          <w:rFonts w:ascii="Book Antiqua" w:eastAsia="Times New Roman" w:hAnsi="Book Antiqua" w:cs="Times New Roman"/>
          <w:b/>
          <w:sz w:val="24"/>
          <w:szCs w:val="24"/>
          <w:lang w:val="en-US" w:eastAsia="it-IT"/>
        </w:rPr>
      </w:pPr>
      <w:r w:rsidRPr="0001656C">
        <w:rPr>
          <w:rFonts w:ascii="Book Antiqua" w:eastAsia="Times New Roman" w:hAnsi="Book Antiqua" w:cs="Times New Roman"/>
          <w:b/>
          <w:sz w:val="24"/>
          <w:szCs w:val="24"/>
          <w:lang w:val="en-US" w:eastAsia="it-IT"/>
        </w:rPr>
        <w:lastRenderedPageBreak/>
        <w:t xml:space="preserve">Table 1Serologic and histologic findings of the duodenal biopsies for </w:t>
      </w:r>
      <w:r w:rsidR="00A5132A" w:rsidRPr="0001656C">
        <w:rPr>
          <w:rFonts w:ascii="Book Antiqua" w:eastAsia="Times New Roman" w:hAnsi="Book Antiqua" w:cs="Times New Roman"/>
          <w:b/>
          <w:sz w:val="24"/>
          <w:szCs w:val="24"/>
          <w:lang w:val="en-US" w:eastAsia="it-IT"/>
        </w:rPr>
        <w:t>celiac disease</w:t>
      </w:r>
      <w:r w:rsidR="005F691A" w:rsidRPr="0001656C">
        <w:rPr>
          <w:rFonts w:ascii="Book Antiqua" w:hAnsi="Book Antiqua" w:cs="Times New Roman"/>
          <w:b/>
          <w:sz w:val="24"/>
          <w:szCs w:val="24"/>
          <w:lang w:val="en-US" w:eastAsia="zh-CN"/>
        </w:rPr>
        <w:t xml:space="preserve"> </w:t>
      </w:r>
      <w:r w:rsidRPr="0001656C">
        <w:rPr>
          <w:rFonts w:ascii="Book Antiqua" w:eastAsia="Times New Roman" w:hAnsi="Book Antiqua" w:cs="Times New Roman"/>
          <w:b/>
          <w:sz w:val="24"/>
          <w:szCs w:val="24"/>
          <w:lang w:val="en-US" w:eastAsia="it-IT"/>
        </w:rPr>
        <w:t xml:space="preserve">diagnosis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2127"/>
        <w:gridCol w:w="1932"/>
        <w:gridCol w:w="1611"/>
        <w:gridCol w:w="1134"/>
        <w:gridCol w:w="1241"/>
      </w:tblGrid>
      <w:tr w:rsidR="00D22412" w:rsidRPr="0001656C" w:rsidTr="004A07E3">
        <w:trPr>
          <w:trHeight w:val="139"/>
        </w:trPr>
        <w:tc>
          <w:tcPr>
            <w:tcW w:w="1449" w:type="dxa"/>
            <w:tcBorders>
              <w:top w:val="single" w:sz="4" w:space="0" w:color="auto"/>
            </w:tcBorders>
          </w:tcPr>
          <w:p w:rsidR="00D22412" w:rsidRPr="0001656C" w:rsidRDefault="00D22412" w:rsidP="004A07E3">
            <w:pPr>
              <w:jc w:val="both"/>
              <w:rPr>
                <w:rFonts w:ascii="Book Antiqua" w:eastAsia="Times New Roman" w:hAnsi="Book Antiqua" w:cs="Times New Roman"/>
                <w:b/>
                <w:sz w:val="24"/>
                <w:szCs w:val="24"/>
                <w:lang w:val="en-US" w:eastAsia="it-IT"/>
              </w:rPr>
            </w:pPr>
          </w:p>
        </w:tc>
        <w:tc>
          <w:tcPr>
            <w:tcW w:w="5670" w:type="dxa"/>
            <w:gridSpan w:val="3"/>
            <w:tcBorders>
              <w:top w:val="single" w:sz="4" w:space="0" w:color="auto"/>
            </w:tcBorders>
          </w:tcPr>
          <w:p w:rsidR="00D22412" w:rsidRPr="0001656C" w:rsidRDefault="00D22412" w:rsidP="00C529BB">
            <w:pPr>
              <w:jc w:val="center"/>
              <w:rPr>
                <w:rFonts w:ascii="Book Antiqua" w:hAnsi="Book Antiqua" w:cs="Times New Roman"/>
                <w:b/>
                <w:sz w:val="24"/>
                <w:szCs w:val="24"/>
                <w:lang w:val="en-US" w:eastAsia="zh-CN"/>
              </w:rPr>
            </w:pPr>
            <w:r w:rsidRPr="0001656C">
              <w:rPr>
                <w:rFonts w:ascii="Book Antiqua" w:eastAsia="Times New Roman" w:hAnsi="Book Antiqua" w:cs="Times New Roman"/>
                <w:b/>
                <w:sz w:val="24"/>
                <w:szCs w:val="24"/>
                <w:lang w:val="en-US" w:eastAsia="it-IT"/>
              </w:rPr>
              <w:t>TTG IgA</w:t>
            </w:r>
            <w:r w:rsidR="00C529BB" w:rsidRPr="0001656C">
              <w:rPr>
                <w:rFonts w:ascii="Book Antiqua" w:hAnsi="Book Antiqua" w:cs="Times New Roman"/>
                <w:b/>
                <w:sz w:val="24"/>
                <w:szCs w:val="24"/>
                <w:lang w:val="en-US" w:eastAsia="zh-CN"/>
              </w:rPr>
              <w:t xml:space="preserve"> (</w:t>
            </w:r>
            <w:proofErr w:type="spellStart"/>
            <w:r w:rsidR="00C529BB" w:rsidRPr="0001656C">
              <w:rPr>
                <w:rFonts w:ascii="Book Antiqua" w:eastAsia="Times New Roman" w:hAnsi="Book Antiqua" w:cs="Times New Roman"/>
                <w:b/>
                <w:sz w:val="24"/>
                <w:szCs w:val="24"/>
                <w:lang w:val="en-US" w:eastAsia="it-IT"/>
              </w:rPr>
              <w:t>μ</w:t>
            </w:r>
            <w:r w:rsidRPr="0001656C">
              <w:rPr>
                <w:rFonts w:ascii="Book Antiqua" w:eastAsia="Times New Roman" w:hAnsi="Book Antiqua" w:cs="Times New Roman"/>
                <w:b/>
                <w:sz w:val="24"/>
                <w:szCs w:val="24"/>
                <w:lang w:val="en-US" w:eastAsia="it-IT"/>
              </w:rPr>
              <w:t>A</w:t>
            </w:r>
            <w:proofErr w:type="spellEnd"/>
            <w:r w:rsidRPr="0001656C">
              <w:rPr>
                <w:rFonts w:ascii="Book Antiqua" w:eastAsia="Times New Roman" w:hAnsi="Book Antiqua" w:cs="Times New Roman"/>
                <w:b/>
                <w:sz w:val="24"/>
                <w:szCs w:val="24"/>
                <w:lang w:val="en-US" w:eastAsia="it-IT"/>
              </w:rPr>
              <w:t>/mL</w:t>
            </w:r>
            <w:r w:rsidR="00C529BB" w:rsidRPr="0001656C">
              <w:rPr>
                <w:rFonts w:ascii="Book Antiqua" w:hAnsi="Book Antiqua" w:cs="Times New Roman"/>
                <w:b/>
                <w:sz w:val="24"/>
                <w:szCs w:val="24"/>
                <w:lang w:val="en-US" w:eastAsia="zh-CN"/>
              </w:rPr>
              <w:t>)</w:t>
            </w:r>
          </w:p>
        </w:tc>
        <w:tc>
          <w:tcPr>
            <w:tcW w:w="2375" w:type="dxa"/>
            <w:gridSpan w:val="2"/>
            <w:tcBorders>
              <w:top w:val="single" w:sz="4" w:space="0" w:color="auto"/>
            </w:tcBorders>
          </w:tcPr>
          <w:p w:rsidR="00D22412" w:rsidRPr="0001656C" w:rsidRDefault="00D22412" w:rsidP="004A07E3">
            <w:pPr>
              <w:jc w:val="center"/>
              <w:rPr>
                <w:rFonts w:ascii="Book Antiqua" w:eastAsia="Times New Roman" w:hAnsi="Book Antiqua" w:cs="Times New Roman"/>
                <w:b/>
                <w:sz w:val="24"/>
                <w:szCs w:val="24"/>
                <w:lang w:val="en-US" w:eastAsia="it-IT"/>
              </w:rPr>
            </w:pPr>
            <w:r w:rsidRPr="0001656C">
              <w:rPr>
                <w:rFonts w:ascii="Book Antiqua" w:eastAsia="Times New Roman" w:hAnsi="Book Antiqua" w:cs="Times New Roman"/>
                <w:b/>
                <w:sz w:val="24"/>
                <w:szCs w:val="24"/>
                <w:lang w:val="en-US" w:eastAsia="it-IT"/>
              </w:rPr>
              <w:t>Marsh score</w:t>
            </w:r>
          </w:p>
        </w:tc>
      </w:tr>
      <w:tr w:rsidR="00D22412" w:rsidRPr="0001656C" w:rsidTr="004A07E3">
        <w:tc>
          <w:tcPr>
            <w:tcW w:w="1449" w:type="dxa"/>
            <w:tcBorders>
              <w:bottom w:val="single" w:sz="4" w:space="0" w:color="auto"/>
            </w:tcBorders>
          </w:tcPr>
          <w:p w:rsidR="00D22412" w:rsidRPr="0001656C" w:rsidRDefault="00D22412" w:rsidP="004A07E3">
            <w:pPr>
              <w:jc w:val="both"/>
              <w:rPr>
                <w:rFonts w:ascii="Book Antiqua" w:hAnsi="Book Antiqua" w:cs="Times New Roman"/>
                <w:b/>
                <w:sz w:val="24"/>
                <w:szCs w:val="24"/>
                <w:lang w:val="en-US" w:eastAsia="zh-CN"/>
              </w:rPr>
            </w:pPr>
          </w:p>
        </w:tc>
        <w:tc>
          <w:tcPr>
            <w:tcW w:w="2127" w:type="dxa"/>
            <w:tcBorders>
              <w:bottom w:val="single" w:sz="4" w:space="0" w:color="auto"/>
            </w:tcBorders>
          </w:tcPr>
          <w:p w:rsidR="00D22412" w:rsidRPr="0001656C" w:rsidRDefault="00D22412" w:rsidP="004A07E3">
            <w:pPr>
              <w:jc w:val="center"/>
              <w:rPr>
                <w:rFonts w:ascii="Book Antiqua" w:eastAsia="Times New Roman" w:hAnsi="Book Antiqua" w:cs="Times New Roman"/>
                <w:b/>
                <w:sz w:val="24"/>
                <w:szCs w:val="24"/>
                <w:lang w:val="en-US" w:eastAsia="it-IT"/>
              </w:rPr>
            </w:pPr>
            <w:r w:rsidRPr="0001656C">
              <w:rPr>
                <w:rFonts w:ascii="Book Antiqua" w:eastAsia="Times New Roman" w:hAnsi="Book Antiqua" w:cs="Times New Roman"/>
                <w:b/>
                <w:sz w:val="24"/>
                <w:szCs w:val="24"/>
                <w:lang w:val="en-US" w:eastAsia="it-IT"/>
              </w:rPr>
              <w:t xml:space="preserve">70-200 </w:t>
            </w:r>
          </w:p>
        </w:tc>
        <w:tc>
          <w:tcPr>
            <w:tcW w:w="1932" w:type="dxa"/>
            <w:tcBorders>
              <w:bottom w:val="single" w:sz="4" w:space="0" w:color="auto"/>
            </w:tcBorders>
          </w:tcPr>
          <w:p w:rsidR="00D22412" w:rsidRPr="0001656C" w:rsidRDefault="00D22412" w:rsidP="004A07E3">
            <w:pPr>
              <w:jc w:val="center"/>
              <w:rPr>
                <w:rFonts w:ascii="Book Antiqua" w:eastAsia="Times New Roman" w:hAnsi="Book Antiqua" w:cs="Times New Roman"/>
                <w:b/>
                <w:sz w:val="24"/>
                <w:szCs w:val="24"/>
                <w:lang w:val="en-US" w:eastAsia="it-IT"/>
              </w:rPr>
            </w:pPr>
            <w:r w:rsidRPr="0001656C">
              <w:rPr>
                <w:rFonts w:ascii="Book Antiqua" w:eastAsia="Times New Roman" w:hAnsi="Book Antiqua" w:cs="Times New Roman"/>
                <w:b/>
                <w:sz w:val="24"/>
                <w:szCs w:val="24"/>
                <w:lang w:val="en-US" w:eastAsia="it-IT"/>
              </w:rPr>
              <w:t xml:space="preserve">201-300 </w:t>
            </w:r>
          </w:p>
        </w:tc>
        <w:tc>
          <w:tcPr>
            <w:tcW w:w="1611" w:type="dxa"/>
            <w:tcBorders>
              <w:bottom w:val="single" w:sz="4" w:space="0" w:color="auto"/>
            </w:tcBorders>
          </w:tcPr>
          <w:p w:rsidR="00D22412" w:rsidRPr="0001656C" w:rsidRDefault="00D22412" w:rsidP="004A07E3">
            <w:pPr>
              <w:jc w:val="center"/>
              <w:rPr>
                <w:rFonts w:ascii="Book Antiqua" w:eastAsia="Times New Roman" w:hAnsi="Book Antiqua" w:cs="Times New Roman"/>
                <w:b/>
                <w:sz w:val="24"/>
                <w:szCs w:val="24"/>
                <w:lang w:val="en-US" w:eastAsia="it-IT"/>
              </w:rPr>
            </w:pPr>
            <w:r w:rsidRPr="0001656C">
              <w:rPr>
                <w:rFonts w:ascii="Book Antiqua" w:eastAsia="Times New Roman" w:hAnsi="Book Antiqua" w:cs="Times New Roman"/>
                <w:b/>
                <w:sz w:val="24"/>
                <w:szCs w:val="24"/>
                <w:lang w:val="en-US" w:eastAsia="it-IT"/>
              </w:rPr>
              <w:t xml:space="preserve">&gt; 300 </w:t>
            </w:r>
          </w:p>
        </w:tc>
        <w:tc>
          <w:tcPr>
            <w:tcW w:w="1134" w:type="dxa"/>
            <w:tcBorders>
              <w:bottom w:val="single" w:sz="4" w:space="0" w:color="auto"/>
            </w:tcBorders>
          </w:tcPr>
          <w:p w:rsidR="00D22412" w:rsidRPr="0001656C" w:rsidRDefault="00D22412" w:rsidP="004A07E3">
            <w:pPr>
              <w:jc w:val="center"/>
              <w:rPr>
                <w:rFonts w:ascii="Book Antiqua" w:eastAsia="Times New Roman" w:hAnsi="Book Antiqua" w:cs="Times New Roman"/>
                <w:b/>
                <w:sz w:val="24"/>
                <w:szCs w:val="24"/>
                <w:lang w:val="en-US" w:eastAsia="it-IT"/>
              </w:rPr>
            </w:pPr>
            <w:r w:rsidRPr="0001656C">
              <w:rPr>
                <w:rFonts w:ascii="Book Antiqua" w:eastAsia="Times New Roman" w:hAnsi="Book Antiqua" w:cs="Times New Roman"/>
                <w:b/>
                <w:sz w:val="24"/>
                <w:szCs w:val="24"/>
                <w:lang w:val="en-US" w:eastAsia="it-IT"/>
              </w:rPr>
              <w:t>3C-B2</w:t>
            </w:r>
          </w:p>
        </w:tc>
        <w:tc>
          <w:tcPr>
            <w:tcW w:w="1241" w:type="dxa"/>
            <w:tcBorders>
              <w:bottom w:val="single" w:sz="4" w:space="0" w:color="auto"/>
            </w:tcBorders>
          </w:tcPr>
          <w:p w:rsidR="00D22412" w:rsidRPr="0001656C" w:rsidRDefault="00D22412" w:rsidP="004A07E3">
            <w:pPr>
              <w:jc w:val="center"/>
              <w:rPr>
                <w:rFonts w:ascii="Book Antiqua" w:eastAsia="Times New Roman" w:hAnsi="Book Antiqua" w:cs="Times New Roman"/>
                <w:b/>
                <w:sz w:val="24"/>
                <w:szCs w:val="24"/>
                <w:lang w:val="en-US" w:eastAsia="it-IT"/>
              </w:rPr>
            </w:pPr>
            <w:r w:rsidRPr="0001656C">
              <w:rPr>
                <w:rFonts w:ascii="Book Antiqua" w:eastAsia="Times New Roman" w:hAnsi="Book Antiqua" w:cs="Times New Roman"/>
                <w:b/>
                <w:sz w:val="24"/>
                <w:szCs w:val="24"/>
                <w:lang w:val="en-US" w:eastAsia="it-IT"/>
              </w:rPr>
              <w:t>3B-B1</w:t>
            </w:r>
          </w:p>
        </w:tc>
      </w:tr>
      <w:tr w:rsidR="00D22412" w:rsidRPr="0001656C" w:rsidTr="004A07E3">
        <w:tc>
          <w:tcPr>
            <w:tcW w:w="1449" w:type="dxa"/>
            <w:tcBorders>
              <w:top w:val="single" w:sz="4" w:space="0" w:color="auto"/>
              <w:bottom w:val="single" w:sz="4" w:space="0" w:color="auto"/>
            </w:tcBorders>
          </w:tcPr>
          <w:p w:rsidR="00D22412" w:rsidRPr="0001656C" w:rsidRDefault="00D22412" w:rsidP="004A07E3">
            <w:pPr>
              <w:keepNext/>
              <w:keepLines/>
              <w:jc w:val="both"/>
              <w:outlineLvl w:val="4"/>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 xml:space="preserve">Patients, </w:t>
            </w:r>
            <w:r w:rsidRPr="0001656C">
              <w:rPr>
                <w:rFonts w:ascii="Book Antiqua" w:eastAsia="Times New Roman" w:hAnsi="Book Antiqua" w:cs="Times New Roman"/>
                <w:i/>
                <w:sz w:val="24"/>
                <w:szCs w:val="24"/>
                <w:lang w:val="en-US" w:eastAsia="it-IT"/>
              </w:rPr>
              <w:t>n</w:t>
            </w:r>
          </w:p>
        </w:tc>
        <w:tc>
          <w:tcPr>
            <w:tcW w:w="2127" w:type="dxa"/>
            <w:tcBorders>
              <w:top w:val="single" w:sz="4" w:space="0" w:color="auto"/>
              <w:bottom w:val="single" w:sz="4" w:space="0" w:color="auto"/>
            </w:tcBorders>
            <w:vAlign w:val="center"/>
          </w:tcPr>
          <w:p w:rsidR="00D22412" w:rsidRPr="0001656C" w:rsidRDefault="00D22412" w:rsidP="004A07E3">
            <w:pPr>
              <w:jc w:val="center"/>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20</w:t>
            </w:r>
          </w:p>
        </w:tc>
        <w:tc>
          <w:tcPr>
            <w:tcW w:w="1932" w:type="dxa"/>
            <w:tcBorders>
              <w:top w:val="single" w:sz="4" w:space="0" w:color="auto"/>
              <w:bottom w:val="single" w:sz="4" w:space="0" w:color="auto"/>
            </w:tcBorders>
            <w:vAlign w:val="center"/>
          </w:tcPr>
          <w:p w:rsidR="00D22412" w:rsidRPr="0001656C" w:rsidRDefault="00D22412" w:rsidP="004A07E3">
            <w:pPr>
              <w:jc w:val="center"/>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10</w:t>
            </w:r>
          </w:p>
        </w:tc>
        <w:tc>
          <w:tcPr>
            <w:tcW w:w="1611" w:type="dxa"/>
            <w:tcBorders>
              <w:top w:val="single" w:sz="4" w:space="0" w:color="auto"/>
              <w:bottom w:val="single" w:sz="4" w:space="0" w:color="auto"/>
            </w:tcBorders>
            <w:vAlign w:val="center"/>
          </w:tcPr>
          <w:p w:rsidR="00D22412" w:rsidRPr="0001656C" w:rsidRDefault="00D22412" w:rsidP="004A07E3">
            <w:pPr>
              <w:jc w:val="center"/>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19</w:t>
            </w:r>
          </w:p>
        </w:tc>
        <w:tc>
          <w:tcPr>
            <w:tcW w:w="1134" w:type="dxa"/>
            <w:tcBorders>
              <w:top w:val="single" w:sz="4" w:space="0" w:color="auto"/>
              <w:bottom w:val="single" w:sz="4" w:space="0" w:color="auto"/>
            </w:tcBorders>
            <w:vAlign w:val="center"/>
          </w:tcPr>
          <w:p w:rsidR="00D22412" w:rsidRPr="0001656C" w:rsidRDefault="00D22412" w:rsidP="004A07E3">
            <w:pPr>
              <w:jc w:val="center"/>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26</w:t>
            </w:r>
          </w:p>
        </w:tc>
        <w:tc>
          <w:tcPr>
            <w:tcW w:w="1241" w:type="dxa"/>
            <w:tcBorders>
              <w:top w:val="single" w:sz="4" w:space="0" w:color="auto"/>
              <w:bottom w:val="single" w:sz="4" w:space="0" w:color="auto"/>
            </w:tcBorders>
            <w:vAlign w:val="center"/>
          </w:tcPr>
          <w:p w:rsidR="00D22412" w:rsidRPr="0001656C" w:rsidRDefault="00D22412" w:rsidP="004A07E3">
            <w:pPr>
              <w:jc w:val="center"/>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23</w:t>
            </w:r>
          </w:p>
        </w:tc>
      </w:tr>
    </w:tbl>
    <w:p w:rsidR="00A5132A" w:rsidRPr="0001656C" w:rsidRDefault="00A5132A" w:rsidP="00D22412">
      <w:pPr>
        <w:shd w:val="clear" w:color="auto" w:fill="FFFFFF"/>
        <w:spacing w:after="0"/>
        <w:ind w:left="360"/>
        <w:jc w:val="both"/>
        <w:rPr>
          <w:rFonts w:ascii="Book Antiqua" w:eastAsia="Times New Roman" w:hAnsi="Book Antiqua" w:cs="Times New Roman"/>
          <w:sz w:val="24"/>
          <w:szCs w:val="24"/>
          <w:lang w:val="en-US" w:eastAsia="it-IT"/>
        </w:rPr>
      </w:pPr>
    </w:p>
    <w:p w:rsidR="00A5132A" w:rsidRPr="0001656C" w:rsidRDefault="00A5132A">
      <w:pPr>
        <w:spacing w:after="0" w:line="240" w:lineRule="auto"/>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br w:type="page"/>
      </w:r>
    </w:p>
    <w:p w:rsidR="00D22412" w:rsidRPr="0001656C" w:rsidRDefault="00D22412" w:rsidP="00703963">
      <w:pPr>
        <w:shd w:val="clear" w:color="auto" w:fill="FFFFFF"/>
        <w:spacing w:after="0"/>
        <w:jc w:val="both"/>
        <w:rPr>
          <w:rFonts w:ascii="Book Antiqua" w:eastAsia="Times New Roman" w:hAnsi="Book Antiqua" w:cs="Times New Roman"/>
          <w:sz w:val="24"/>
          <w:szCs w:val="24"/>
          <w:lang w:val="en-US" w:eastAsia="it-IT"/>
        </w:rPr>
      </w:pPr>
      <w:r w:rsidRPr="0001656C">
        <w:rPr>
          <w:rFonts w:ascii="Book Antiqua" w:eastAsia="Times New Roman" w:hAnsi="Book Antiqua" w:cs="Times New Roman"/>
          <w:b/>
          <w:sz w:val="24"/>
          <w:szCs w:val="24"/>
          <w:lang w:val="en-US" w:eastAsia="it-IT"/>
        </w:rPr>
        <w:lastRenderedPageBreak/>
        <w:t>Table 2</w:t>
      </w:r>
      <w:r w:rsidR="005F691A" w:rsidRPr="0001656C">
        <w:rPr>
          <w:rFonts w:ascii="Book Antiqua" w:hAnsi="Book Antiqua" w:cs="Times New Roman"/>
          <w:b/>
          <w:sz w:val="24"/>
          <w:szCs w:val="24"/>
          <w:lang w:val="en-US" w:eastAsia="zh-CN"/>
        </w:rPr>
        <w:t xml:space="preserve"> </w:t>
      </w:r>
      <w:r w:rsidRPr="0001656C">
        <w:rPr>
          <w:rFonts w:ascii="Book Antiqua" w:eastAsia="Times New Roman" w:hAnsi="Book Antiqua" w:cs="Times New Roman"/>
          <w:b/>
          <w:sz w:val="24"/>
          <w:szCs w:val="24"/>
          <w:lang w:val="en-US" w:eastAsia="it-IT"/>
        </w:rPr>
        <w:t>Patient characteristics and distribution of HLA and clinical features</w:t>
      </w:r>
    </w:p>
    <w:tbl>
      <w:tblPr>
        <w:tblStyle w:val="LightShading1"/>
        <w:tblW w:w="0" w:type="auto"/>
        <w:tblLayout w:type="fixed"/>
        <w:tblLook w:val="06A0" w:firstRow="1" w:lastRow="0" w:firstColumn="1" w:lastColumn="0" w:noHBand="1" w:noVBand="1"/>
      </w:tblPr>
      <w:tblGrid>
        <w:gridCol w:w="3381"/>
        <w:gridCol w:w="2577"/>
        <w:gridCol w:w="2538"/>
        <w:gridCol w:w="1358"/>
      </w:tblGrid>
      <w:tr w:rsidR="00D22412" w:rsidRPr="0001656C" w:rsidTr="004A0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1" w:type="dxa"/>
          </w:tcPr>
          <w:p w:rsidR="00D22412" w:rsidRPr="0001656C" w:rsidRDefault="00D22412" w:rsidP="004A07E3">
            <w:pPr>
              <w:jc w:val="both"/>
              <w:rPr>
                <w:rFonts w:ascii="Book Antiqua" w:eastAsia="Times New Roman" w:hAnsi="Book Antiqua" w:cs="Times New Roman"/>
                <w:sz w:val="24"/>
                <w:szCs w:val="24"/>
                <w:lang w:val="en-US" w:eastAsia="it-IT"/>
              </w:rPr>
            </w:pPr>
          </w:p>
        </w:tc>
        <w:tc>
          <w:tcPr>
            <w:tcW w:w="2577" w:type="dxa"/>
          </w:tcPr>
          <w:p w:rsidR="00D22412" w:rsidRPr="0001656C" w:rsidRDefault="00D22412" w:rsidP="00D81D62">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Responders</w:t>
            </w:r>
          </w:p>
        </w:tc>
        <w:tc>
          <w:tcPr>
            <w:tcW w:w="2538" w:type="dxa"/>
          </w:tcPr>
          <w:p w:rsidR="00D22412" w:rsidRPr="0001656C" w:rsidRDefault="00D22412" w:rsidP="00D81D62">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Non-responders</w:t>
            </w:r>
          </w:p>
        </w:tc>
        <w:tc>
          <w:tcPr>
            <w:tcW w:w="1358" w:type="dxa"/>
          </w:tcPr>
          <w:p w:rsidR="00D22412" w:rsidRPr="0001656C" w:rsidRDefault="00D22412" w:rsidP="00D81D62">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4"/>
                <w:szCs w:val="24"/>
                <w:lang w:val="en-US" w:eastAsia="zh-CN"/>
              </w:rPr>
            </w:pPr>
            <w:r w:rsidRPr="0001656C">
              <w:rPr>
                <w:rFonts w:ascii="Book Antiqua" w:eastAsia="Times New Roman" w:hAnsi="Book Antiqua" w:cs="Times New Roman"/>
                <w:i/>
                <w:sz w:val="24"/>
                <w:szCs w:val="24"/>
                <w:lang w:val="en-US" w:eastAsia="it-IT"/>
              </w:rPr>
              <w:t>P</w:t>
            </w:r>
            <w:r w:rsidR="00BB29DA" w:rsidRPr="0001656C">
              <w:rPr>
                <w:rFonts w:ascii="Book Antiqua" w:hAnsi="Book Antiqua" w:cs="Times New Roman"/>
                <w:i/>
                <w:sz w:val="24"/>
                <w:szCs w:val="24"/>
                <w:lang w:val="en-US" w:eastAsia="zh-CN"/>
              </w:rPr>
              <w:t xml:space="preserve"> </w:t>
            </w:r>
            <w:r w:rsidR="00D81D62" w:rsidRPr="0001656C">
              <w:rPr>
                <w:rFonts w:ascii="Book Antiqua" w:hAnsi="Book Antiqua" w:cs="Times New Roman"/>
                <w:sz w:val="24"/>
                <w:szCs w:val="24"/>
                <w:lang w:val="en-US" w:eastAsia="zh-CN"/>
              </w:rPr>
              <w:t>value</w:t>
            </w:r>
          </w:p>
        </w:tc>
      </w:tr>
      <w:tr w:rsidR="00D22412" w:rsidRPr="0001656C" w:rsidTr="004A07E3">
        <w:tc>
          <w:tcPr>
            <w:cnfStyle w:val="001000000000" w:firstRow="0" w:lastRow="0" w:firstColumn="1" w:lastColumn="0" w:oddVBand="0" w:evenVBand="0" w:oddHBand="0" w:evenHBand="0" w:firstRowFirstColumn="0" w:firstRowLastColumn="0" w:lastRowFirstColumn="0" w:lastRowLastColumn="0"/>
            <w:tcW w:w="3381" w:type="dxa"/>
          </w:tcPr>
          <w:p w:rsidR="00D22412" w:rsidRPr="0001656C" w:rsidRDefault="00D22412" w:rsidP="004A07E3">
            <w:pPr>
              <w:jc w:val="both"/>
              <w:rPr>
                <w:rFonts w:ascii="Book Antiqua" w:eastAsia="Times New Roman" w:hAnsi="Book Antiqua" w:cs="Times New Roman"/>
                <w:b w:val="0"/>
                <w:sz w:val="24"/>
                <w:szCs w:val="24"/>
                <w:lang w:val="en-US" w:eastAsia="it-IT"/>
              </w:rPr>
            </w:pPr>
            <w:r w:rsidRPr="0001656C">
              <w:rPr>
                <w:rFonts w:ascii="Book Antiqua" w:eastAsia="Times New Roman" w:hAnsi="Book Antiqua" w:cs="Times New Roman"/>
                <w:b w:val="0"/>
                <w:sz w:val="24"/>
                <w:szCs w:val="24"/>
                <w:lang w:val="en-US" w:eastAsia="it-IT"/>
              </w:rPr>
              <w:t>HBV vaccination</w:t>
            </w:r>
          </w:p>
        </w:tc>
        <w:tc>
          <w:tcPr>
            <w:tcW w:w="2577"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34 (69.4%)</w:t>
            </w:r>
          </w:p>
        </w:tc>
        <w:tc>
          <w:tcPr>
            <w:tcW w:w="253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15 (30.6%)</w:t>
            </w:r>
          </w:p>
        </w:tc>
        <w:tc>
          <w:tcPr>
            <w:tcW w:w="135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r>
      <w:tr w:rsidR="00D22412" w:rsidRPr="0001656C" w:rsidTr="004A07E3">
        <w:tc>
          <w:tcPr>
            <w:cnfStyle w:val="001000000000" w:firstRow="0" w:lastRow="0" w:firstColumn="1" w:lastColumn="0" w:oddVBand="0" w:evenVBand="0" w:oddHBand="0" w:evenHBand="0" w:firstRowFirstColumn="0" w:firstRowLastColumn="0" w:lastRowFirstColumn="0" w:lastRowLastColumn="0"/>
            <w:tcW w:w="3381" w:type="dxa"/>
          </w:tcPr>
          <w:p w:rsidR="00D22412" w:rsidRPr="0001656C" w:rsidRDefault="00D22412" w:rsidP="004A07E3">
            <w:pPr>
              <w:jc w:val="both"/>
              <w:rPr>
                <w:rFonts w:ascii="Book Antiqua" w:eastAsia="Times New Roman" w:hAnsi="Book Antiqua" w:cs="Times New Roman"/>
                <w:b w:val="0"/>
                <w:sz w:val="24"/>
                <w:szCs w:val="24"/>
                <w:lang w:val="en-US" w:eastAsia="it-IT"/>
              </w:rPr>
            </w:pPr>
            <w:r w:rsidRPr="0001656C">
              <w:rPr>
                <w:rFonts w:ascii="Book Antiqua" w:eastAsia="Times New Roman" w:hAnsi="Book Antiqua" w:cs="Times New Roman"/>
                <w:b w:val="0"/>
                <w:sz w:val="24"/>
                <w:szCs w:val="24"/>
                <w:lang w:val="en-US" w:eastAsia="it-IT"/>
              </w:rPr>
              <w:t>Female sex</w:t>
            </w:r>
          </w:p>
        </w:tc>
        <w:tc>
          <w:tcPr>
            <w:tcW w:w="2577"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22 (66.7%)</w:t>
            </w:r>
          </w:p>
        </w:tc>
        <w:tc>
          <w:tcPr>
            <w:tcW w:w="253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11 (33.3%)</w:t>
            </w:r>
          </w:p>
        </w:tc>
        <w:tc>
          <w:tcPr>
            <w:tcW w:w="135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r>
      <w:tr w:rsidR="00D22412" w:rsidRPr="0001656C" w:rsidTr="004A07E3">
        <w:tc>
          <w:tcPr>
            <w:cnfStyle w:val="001000000000" w:firstRow="0" w:lastRow="0" w:firstColumn="1" w:lastColumn="0" w:oddVBand="0" w:evenVBand="0" w:oddHBand="0" w:evenHBand="0" w:firstRowFirstColumn="0" w:firstRowLastColumn="0" w:lastRowFirstColumn="0" w:lastRowLastColumn="0"/>
            <w:tcW w:w="3381" w:type="dxa"/>
          </w:tcPr>
          <w:p w:rsidR="00D22412" w:rsidRPr="0001656C" w:rsidRDefault="00D22412" w:rsidP="004A07E3">
            <w:pPr>
              <w:jc w:val="both"/>
              <w:rPr>
                <w:rFonts w:ascii="Book Antiqua" w:eastAsia="Times New Roman" w:hAnsi="Book Antiqua" w:cs="Times New Roman"/>
                <w:b w:val="0"/>
                <w:sz w:val="24"/>
                <w:szCs w:val="24"/>
                <w:lang w:val="en-US" w:eastAsia="it-IT"/>
              </w:rPr>
            </w:pPr>
            <w:r w:rsidRPr="0001656C">
              <w:rPr>
                <w:rFonts w:ascii="Book Antiqua" w:eastAsia="Times New Roman" w:hAnsi="Book Antiqua" w:cs="Times New Roman"/>
                <w:b w:val="0"/>
                <w:sz w:val="24"/>
                <w:szCs w:val="24"/>
                <w:lang w:val="en-US" w:eastAsia="it-IT"/>
              </w:rPr>
              <w:t>Male sex</w:t>
            </w:r>
          </w:p>
        </w:tc>
        <w:tc>
          <w:tcPr>
            <w:tcW w:w="2577"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12 (75%)</w:t>
            </w:r>
          </w:p>
        </w:tc>
        <w:tc>
          <w:tcPr>
            <w:tcW w:w="253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4 (25%)</w:t>
            </w:r>
          </w:p>
        </w:tc>
        <w:tc>
          <w:tcPr>
            <w:tcW w:w="135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r>
      <w:tr w:rsidR="00D22412" w:rsidRPr="0001656C" w:rsidTr="004A07E3">
        <w:tc>
          <w:tcPr>
            <w:cnfStyle w:val="001000000000" w:firstRow="0" w:lastRow="0" w:firstColumn="1" w:lastColumn="0" w:oddVBand="0" w:evenVBand="0" w:oddHBand="0" w:evenHBand="0" w:firstRowFirstColumn="0" w:firstRowLastColumn="0" w:lastRowFirstColumn="0" w:lastRowLastColumn="0"/>
            <w:tcW w:w="3381" w:type="dxa"/>
          </w:tcPr>
          <w:p w:rsidR="00D22412" w:rsidRPr="0001656C" w:rsidRDefault="00D22412" w:rsidP="004A07E3">
            <w:pPr>
              <w:jc w:val="both"/>
              <w:rPr>
                <w:rFonts w:ascii="Book Antiqua" w:eastAsia="Times New Roman" w:hAnsi="Book Antiqua" w:cs="Times New Roman"/>
                <w:b w:val="0"/>
                <w:sz w:val="24"/>
                <w:szCs w:val="24"/>
                <w:lang w:val="en-US" w:eastAsia="it-IT"/>
              </w:rPr>
            </w:pPr>
            <w:r w:rsidRPr="0001656C">
              <w:rPr>
                <w:rFonts w:ascii="Book Antiqua" w:eastAsia="Times New Roman" w:hAnsi="Book Antiqua" w:cs="Times New Roman"/>
                <w:b w:val="0"/>
                <w:sz w:val="24"/>
                <w:szCs w:val="24"/>
                <w:lang w:val="en-US" w:eastAsia="it-IT"/>
              </w:rPr>
              <w:t>Median age</w:t>
            </w:r>
          </w:p>
        </w:tc>
        <w:tc>
          <w:tcPr>
            <w:tcW w:w="2577"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5.55 (±</w:t>
            </w:r>
            <w:r w:rsidR="00BB29DA" w:rsidRPr="0001656C">
              <w:rPr>
                <w:rFonts w:ascii="Book Antiqua" w:hAnsi="Book Antiqua" w:cs="Times New Roman"/>
                <w:sz w:val="24"/>
                <w:szCs w:val="24"/>
                <w:lang w:val="en-US" w:eastAsia="zh-CN"/>
              </w:rPr>
              <w:t xml:space="preserve"> </w:t>
            </w:r>
            <w:r w:rsidRPr="0001656C">
              <w:rPr>
                <w:rFonts w:ascii="Book Antiqua" w:eastAsia="Times New Roman" w:hAnsi="Book Antiqua" w:cs="Times New Roman"/>
                <w:sz w:val="24"/>
                <w:szCs w:val="24"/>
                <w:lang w:val="en-US" w:eastAsia="it-IT"/>
              </w:rPr>
              <w:t>3.25 SDS)</w:t>
            </w:r>
          </w:p>
        </w:tc>
        <w:tc>
          <w:tcPr>
            <w:tcW w:w="253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8.04 (±</w:t>
            </w:r>
            <w:r w:rsidR="00BB29DA" w:rsidRPr="0001656C">
              <w:rPr>
                <w:rFonts w:ascii="Book Antiqua" w:hAnsi="Book Antiqua" w:cs="Times New Roman"/>
                <w:sz w:val="24"/>
                <w:szCs w:val="24"/>
                <w:lang w:val="en-US" w:eastAsia="zh-CN"/>
              </w:rPr>
              <w:t xml:space="preserve"> </w:t>
            </w:r>
            <w:r w:rsidRPr="0001656C">
              <w:rPr>
                <w:rFonts w:ascii="Book Antiqua" w:eastAsia="Times New Roman" w:hAnsi="Book Antiqua" w:cs="Times New Roman"/>
                <w:sz w:val="24"/>
                <w:szCs w:val="24"/>
                <w:lang w:val="en-US" w:eastAsia="it-IT"/>
              </w:rPr>
              <w:t>4.3 SDS)</w:t>
            </w:r>
          </w:p>
        </w:tc>
        <w:tc>
          <w:tcPr>
            <w:tcW w:w="135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&gt; 0.05</w:t>
            </w:r>
          </w:p>
        </w:tc>
      </w:tr>
      <w:tr w:rsidR="00D22412" w:rsidRPr="0001656C" w:rsidTr="004A07E3">
        <w:tc>
          <w:tcPr>
            <w:cnfStyle w:val="001000000000" w:firstRow="0" w:lastRow="0" w:firstColumn="1" w:lastColumn="0" w:oddVBand="0" w:evenVBand="0" w:oddHBand="0" w:evenHBand="0" w:firstRowFirstColumn="0" w:firstRowLastColumn="0" w:lastRowFirstColumn="0" w:lastRowLastColumn="0"/>
            <w:tcW w:w="3381" w:type="dxa"/>
          </w:tcPr>
          <w:p w:rsidR="00D22412" w:rsidRPr="0001656C" w:rsidRDefault="00D22412" w:rsidP="004A07E3">
            <w:pPr>
              <w:jc w:val="both"/>
              <w:rPr>
                <w:rFonts w:ascii="Book Antiqua" w:eastAsia="Times New Roman" w:hAnsi="Book Antiqua" w:cs="Times New Roman"/>
                <w:b w:val="0"/>
                <w:sz w:val="24"/>
                <w:szCs w:val="24"/>
                <w:lang w:val="en-US" w:eastAsia="it-IT"/>
              </w:rPr>
            </w:pPr>
            <w:r w:rsidRPr="0001656C">
              <w:rPr>
                <w:rFonts w:ascii="Book Antiqua" w:eastAsia="Times New Roman" w:hAnsi="Book Antiqua" w:cs="Times New Roman"/>
                <w:b w:val="0"/>
                <w:sz w:val="24"/>
                <w:szCs w:val="24"/>
                <w:lang w:val="en-US" w:eastAsia="it-IT"/>
              </w:rPr>
              <w:t>HLA</w:t>
            </w:r>
          </w:p>
        </w:tc>
        <w:tc>
          <w:tcPr>
            <w:tcW w:w="2577"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c>
          <w:tcPr>
            <w:tcW w:w="253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c>
          <w:tcPr>
            <w:tcW w:w="135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r>
      <w:tr w:rsidR="00D22412" w:rsidRPr="0001656C" w:rsidTr="004A07E3">
        <w:tc>
          <w:tcPr>
            <w:cnfStyle w:val="001000000000" w:firstRow="0" w:lastRow="0" w:firstColumn="1" w:lastColumn="0" w:oddVBand="0" w:evenVBand="0" w:oddHBand="0" w:evenHBand="0" w:firstRowFirstColumn="0" w:firstRowLastColumn="0" w:lastRowFirstColumn="0" w:lastRowLastColumn="0"/>
            <w:tcW w:w="3381" w:type="dxa"/>
          </w:tcPr>
          <w:p w:rsidR="00D22412" w:rsidRPr="0001656C" w:rsidRDefault="00D22412" w:rsidP="00D81D62">
            <w:pPr>
              <w:ind w:firstLineChars="100" w:firstLine="240"/>
              <w:rPr>
                <w:rFonts w:ascii="Book Antiqua" w:eastAsia="Times New Roman" w:hAnsi="Book Antiqua" w:cs="Times New Roman"/>
                <w:b w:val="0"/>
                <w:bCs w:val="0"/>
                <w:color w:val="auto"/>
                <w:sz w:val="24"/>
                <w:szCs w:val="24"/>
                <w:lang w:val="en-US" w:eastAsia="it-IT"/>
              </w:rPr>
            </w:pPr>
            <w:r w:rsidRPr="0001656C">
              <w:rPr>
                <w:rFonts w:ascii="Book Antiqua" w:eastAsia="Times New Roman" w:hAnsi="Book Antiqua" w:cs="Times New Roman"/>
                <w:b w:val="0"/>
                <w:sz w:val="24"/>
                <w:szCs w:val="24"/>
                <w:lang w:val="en-US" w:eastAsia="it-IT"/>
              </w:rPr>
              <w:t>DQ2/DQ2</w:t>
            </w:r>
          </w:p>
        </w:tc>
        <w:tc>
          <w:tcPr>
            <w:tcW w:w="2577"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8</w:t>
            </w:r>
          </w:p>
        </w:tc>
        <w:tc>
          <w:tcPr>
            <w:tcW w:w="253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4</w:t>
            </w:r>
          </w:p>
        </w:tc>
        <w:tc>
          <w:tcPr>
            <w:tcW w:w="135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r>
      <w:tr w:rsidR="00D22412" w:rsidRPr="0001656C" w:rsidTr="004A07E3">
        <w:tc>
          <w:tcPr>
            <w:cnfStyle w:val="001000000000" w:firstRow="0" w:lastRow="0" w:firstColumn="1" w:lastColumn="0" w:oddVBand="0" w:evenVBand="0" w:oddHBand="0" w:evenHBand="0" w:firstRowFirstColumn="0" w:firstRowLastColumn="0" w:lastRowFirstColumn="0" w:lastRowLastColumn="0"/>
            <w:tcW w:w="3381" w:type="dxa"/>
          </w:tcPr>
          <w:p w:rsidR="00D22412" w:rsidRPr="0001656C" w:rsidRDefault="00D22412" w:rsidP="00C40239">
            <w:pPr>
              <w:ind w:firstLineChars="100" w:firstLine="240"/>
              <w:rPr>
                <w:rFonts w:ascii="Book Antiqua" w:hAnsi="Book Antiqua" w:cs="Times New Roman"/>
                <w:b w:val="0"/>
                <w:bCs w:val="0"/>
                <w:color w:val="auto"/>
                <w:sz w:val="24"/>
                <w:szCs w:val="24"/>
                <w:lang w:val="en-US" w:eastAsia="zh-CN"/>
              </w:rPr>
            </w:pPr>
            <w:r w:rsidRPr="0001656C">
              <w:rPr>
                <w:rFonts w:ascii="Book Antiqua" w:eastAsia="Times New Roman" w:hAnsi="Book Antiqua" w:cs="Times New Roman"/>
                <w:b w:val="0"/>
                <w:sz w:val="24"/>
                <w:szCs w:val="24"/>
                <w:lang w:val="en-US" w:eastAsia="it-IT"/>
              </w:rPr>
              <w:t>DQ2/DQ8</w:t>
            </w:r>
          </w:p>
        </w:tc>
        <w:tc>
          <w:tcPr>
            <w:tcW w:w="2577"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6</w:t>
            </w:r>
          </w:p>
        </w:tc>
        <w:tc>
          <w:tcPr>
            <w:tcW w:w="253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1</w:t>
            </w:r>
          </w:p>
        </w:tc>
        <w:tc>
          <w:tcPr>
            <w:tcW w:w="135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r>
      <w:tr w:rsidR="00D22412" w:rsidRPr="0001656C" w:rsidTr="004A07E3">
        <w:tc>
          <w:tcPr>
            <w:cnfStyle w:val="001000000000" w:firstRow="0" w:lastRow="0" w:firstColumn="1" w:lastColumn="0" w:oddVBand="0" w:evenVBand="0" w:oddHBand="0" w:evenHBand="0" w:firstRowFirstColumn="0" w:firstRowLastColumn="0" w:lastRowFirstColumn="0" w:lastRowLastColumn="0"/>
            <w:tcW w:w="3381" w:type="dxa"/>
          </w:tcPr>
          <w:p w:rsidR="00D22412" w:rsidRPr="0001656C" w:rsidRDefault="00D22412" w:rsidP="00D81D62">
            <w:pPr>
              <w:ind w:firstLineChars="100" w:firstLine="240"/>
              <w:rPr>
                <w:rFonts w:ascii="Book Antiqua" w:eastAsia="Times New Roman" w:hAnsi="Book Antiqua" w:cs="Times New Roman"/>
                <w:b w:val="0"/>
                <w:bCs w:val="0"/>
                <w:color w:val="auto"/>
                <w:sz w:val="24"/>
                <w:szCs w:val="24"/>
                <w:lang w:val="en-US" w:eastAsia="it-IT"/>
              </w:rPr>
            </w:pPr>
            <w:r w:rsidRPr="0001656C">
              <w:rPr>
                <w:rFonts w:ascii="Book Antiqua" w:eastAsia="Times New Roman" w:hAnsi="Book Antiqua" w:cs="Times New Roman"/>
                <w:b w:val="0"/>
                <w:sz w:val="24"/>
                <w:szCs w:val="24"/>
                <w:lang w:val="en-US" w:eastAsia="it-IT"/>
              </w:rPr>
              <w:t>Other HLA</w:t>
            </w:r>
            <w:r w:rsidRPr="0001656C">
              <w:rPr>
                <w:rFonts w:ascii="Book Antiqua" w:eastAsia="Times New Roman" w:hAnsi="Book Antiqua" w:cs="Times New Roman"/>
                <w:b w:val="0"/>
                <w:sz w:val="24"/>
                <w:szCs w:val="24"/>
                <w:vertAlign w:val="superscript"/>
                <w:lang w:val="en-US" w:eastAsia="it-IT"/>
              </w:rPr>
              <w:t>1</w:t>
            </w:r>
          </w:p>
        </w:tc>
        <w:tc>
          <w:tcPr>
            <w:tcW w:w="2577"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19</w:t>
            </w:r>
          </w:p>
        </w:tc>
        <w:tc>
          <w:tcPr>
            <w:tcW w:w="253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10</w:t>
            </w:r>
          </w:p>
        </w:tc>
        <w:tc>
          <w:tcPr>
            <w:tcW w:w="135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r>
      <w:tr w:rsidR="00D22412" w:rsidRPr="0001656C" w:rsidTr="004A07E3">
        <w:tc>
          <w:tcPr>
            <w:cnfStyle w:val="001000000000" w:firstRow="0" w:lastRow="0" w:firstColumn="1" w:lastColumn="0" w:oddVBand="0" w:evenVBand="0" w:oddHBand="0" w:evenHBand="0" w:firstRowFirstColumn="0" w:firstRowLastColumn="0" w:lastRowFirstColumn="0" w:lastRowLastColumn="0"/>
            <w:tcW w:w="5958" w:type="dxa"/>
            <w:gridSpan w:val="2"/>
          </w:tcPr>
          <w:p w:rsidR="00D22412" w:rsidRPr="0001656C" w:rsidRDefault="00D22412" w:rsidP="00D81D62">
            <w:pPr>
              <w:ind w:firstLineChars="100" w:firstLine="240"/>
              <w:jc w:val="both"/>
              <w:rPr>
                <w:rFonts w:ascii="Book Antiqua" w:eastAsia="Times New Roman" w:hAnsi="Book Antiqua" w:cs="Times New Roman"/>
                <w:b w:val="0"/>
                <w:bCs w:val="0"/>
                <w:color w:val="auto"/>
                <w:sz w:val="24"/>
                <w:szCs w:val="24"/>
                <w:lang w:val="en-US" w:eastAsia="it-IT"/>
              </w:rPr>
            </w:pPr>
            <w:r w:rsidRPr="0001656C">
              <w:rPr>
                <w:rFonts w:ascii="Book Antiqua" w:eastAsia="Times New Roman" w:hAnsi="Book Antiqua" w:cs="Times New Roman"/>
                <w:b w:val="0"/>
                <w:sz w:val="24"/>
                <w:szCs w:val="24"/>
                <w:lang w:val="en-US" w:eastAsia="it-IT"/>
              </w:rPr>
              <w:t>Distribution according HLA</w:t>
            </w:r>
          </w:p>
        </w:tc>
        <w:tc>
          <w:tcPr>
            <w:tcW w:w="2538" w:type="dxa"/>
          </w:tcPr>
          <w:p w:rsidR="00D22412" w:rsidRPr="0001656C" w:rsidRDefault="00D22412" w:rsidP="004A07E3">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c>
          <w:tcPr>
            <w:tcW w:w="135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&gt; 0.05</w:t>
            </w:r>
          </w:p>
        </w:tc>
      </w:tr>
      <w:tr w:rsidR="00D22412" w:rsidRPr="0001656C" w:rsidTr="004A07E3">
        <w:trPr>
          <w:trHeight w:val="266"/>
        </w:trPr>
        <w:tc>
          <w:tcPr>
            <w:cnfStyle w:val="001000000000" w:firstRow="0" w:lastRow="0" w:firstColumn="1" w:lastColumn="0" w:oddVBand="0" w:evenVBand="0" w:oddHBand="0" w:evenHBand="0" w:firstRowFirstColumn="0" w:firstRowLastColumn="0" w:lastRowFirstColumn="0" w:lastRowLastColumn="0"/>
            <w:tcW w:w="3381" w:type="dxa"/>
          </w:tcPr>
          <w:p w:rsidR="00D22412" w:rsidRPr="0001656C" w:rsidRDefault="00D22412" w:rsidP="004A07E3">
            <w:pPr>
              <w:jc w:val="both"/>
              <w:rPr>
                <w:rFonts w:ascii="Book Antiqua" w:eastAsia="Times New Roman" w:hAnsi="Book Antiqua" w:cs="Times New Roman"/>
                <w:b w:val="0"/>
                <w:sz w:val="24"/>
                <w:szCs w:val="24"/>
                <w:lang w:val="en-US" w:eastAsia="it-IT"/>
              </w:rPr>
            </w:pPr>
            <w:r w:rsidRPr="0001656C">
              <w:rPr>
                <w:rFonts w:ascii="Book Antiqua" w:eastAsia="Times New Roman" w:hAnsi="Book Antiqua" w:cs="Times New Roman"/>
                <w:b w:val="0"/>
                <w:sz w:val="24"/>
                <w:szCs w:val="24"/>
                <w:lang w:val="en-US" w:eastAsia="it-IT"/>
              </w:rPr>
              <w:t>Clinical form of CD</w:t>
            </w:r>
          </w:p>
        </w:tc>
        <w:tc>
          <w:tcPr>
            <w:tcW w:w="2577" w:type="dxa"/>
          </w:tcPr>
          <w:p w:rsidR="00D22412" w:rsidRPr="0001656C" w:rsidRDefault="00D22412" w:rsidP="004A07E3">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c>
          <w:tcPr>
            <w:tcW w:w="2538" w:type="dxa"/>
          </w:tcPr>
          <w:p w:rsidR="00D22412" w:rsidRPr="0001656C" w:rsidRDefault="00D22412" w:rsidP="004A07E3">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c>
          <w:tcPr>
            <w:tcW w:w="1358" w:type="dxa"/>
          </w:tcPr>
          <w:p w:rsidR="00D22412" w:rsidRPr="0001656C" w:rsidRDefault="00D22412" w:rsidP="004A07E3">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r>
      <w:tr w:rsidR="00D22412" w:rsidRPr="0001656C" w:rsidTr="004A07E3">
        <w:trPr>
          <w:trHeight w:val="266"/>
        </w:trPr>
        <w:tc>
          <w:tcPr>
            <w:cnfStyle w:val="001000000000" w:firstRow="0" w:lastRow="0" w:firstColumn="1" w:lastColumn="0" w:oddVBand="0" w:evenVBand="0" w:oddHBand="0" w:evenHBand="0" w:firstRowFirstColumn="0" w:firstRowLastColumn="0" w:lastRowFirstColumn="0" w:lastRowLastColumn="0"/>
            <w:tcW w:w="3381" w:type="dxa"/>
          </w:tcPr>
          <w:p w:rsidR="00D22412" w:rsidRPr="0001656C" w:rsidRDefault="00D22412" w:rsidP="00D81D62">
            <w:pPr>
              <w:ind w:firstLineChars="100" w:firstLine="240"/>
              <w:jc w:val="both"/>
              <w:rPr>
                <w:rFonts w:ascii="Book Antiqua" w:eastAsia="Times New Roman" w:hAnsi="Book Antiqua" w:cs="Times New Roman"/>
                <w:b w:val="0"/>
                <w:bCs w:val="0"/>
                <w:color w:val="auto"/>
                <w:sz w:val="24"/>
                <w:szCs w:val="24"/>
                <w:lang w:val="en-US" w:eastAsia="it-IT"/>
              </w:rPr>
            </w:pPr>
            <w:r w:rsidRPr="0001656C">
              <w:rPr>
                <w:rFonts w:ascii="Book Antiqua" w:eastAsia="Times New Roman" w:hAnsi="Book Antiqua" w:cs="Times New Roman"/>
                <w:b w:val="0"/>
                <w:sz w:val="24"/>
                <w:szCs w:val="24"/>
                <w:lang w:val="en-US" w:eastAsia="it-IT"/>
              </w:rPr>
              <w:t>Typical form</w:t>
            </w:r>
          </w:p>
        </w:tc>
        <w:tc>
          <w:tcPr>
            <w:tcW w:w="2577"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20</w:t>
            </w:r>
          </w:p>
        </w:tc>
        <w:tc>
          <w:tcPr>
            <w:tcW w:w="253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6</w:t>
            </w:r>
          </w:p>
        </w:tc>
        <w:tc>
          <w:tcPr>
            <w:tcW w:w="135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r>
      <w:tr w:rsidR="00D22412" w:rsidRPr="0001656C" w:rsidTr="004A07E3">
        <w:trPr>
          <w:trHeight w:val="248"/>
        </w:trPr>
        <w:tc>
          <w:tcPr>
            <w:cnfStyle w:val="001000000000" w:firstRow="0" w:lastRow="0" w:firstColumn="1" w:lastColumn="0" w:oddVBand="0" w:evenVBand="0" w:oddHBand="0" w:evenHBand="0" w:firstRowFirstColumn="0" w:firstRowLastColumn="0" w:lastRowFirstColumn="0" w:lastRowLastColumn="0"/>
            <w:tcW w:w="3381" w:type="dxa"/>
          </w:tcPr>
          <w:p w:rsidR="00D22412" w:rsidRPr="0001656C" w:rsidRDefault="00D81D62" w:rsidP="00D81D62">
            <w:pPr>
              <w:ind w:firstLineChars="100" w:firstLine="240"/>
              <w:jc w:val="both"/>
              <w:rPr>
                <w:rFonts w:ascii="Book Antiqua" w:hAnsi="Book Antiqua" w:cs="Times New Roman"/>
                <w:b w:val="0"/>
                <w:bCs w:val="0"/>
                <w:color w:val="auto"/>
                <w:sz w:val="24"/>
                <w:szCs w:val="24"/>
                <w:lang w:val="en-US" w:eastAsia="zh-CN"/>
              </w:rPr>
            </w:pPr>
            <w:r w:rsidRPr="0001656C">
              <w:rPr>
                <w:rFonts w:ascii="Book Antiqua" w:eastAsia="Times New Roman" w:hAnsi="Book Antiqua" w:cs="Times New Roman"/>
                <w:b w:val="0"/>
                <w:sz w:val="24"/>
                <w:szCs w:val="24"/>
                <w:lang w:val="en-US" w:eastAsia="it-IT"/>
              </w:rPr>
              <w:t xml:space="preserve">Atypical form </w:t>
            </w:r>
          </w:p>
        </w:tc>
        <w:tc>
          <w:tcPr>
            <w:tcW w:w="2577"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11</w:t>
            </w:r>
          </w:p>
        </w:tc>
        <w:tc>
          <w:tcPr>
            <w:tcW w:w="253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6</w:t>
            </w:r>
          </w:p>
        </w:tc>
        <w:tc>
          <w:tcPr>
            <w:tcW w:w="135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r>
      <w:tr w:rsidR="00D22412" w:rsidRPr="0001656C" w:rsidTr="004A07E3">
        <w:tc>
          <w:tcPr>
            <w:cnfStyle w:val="001000000000" w:firstRow="0" w:lastRow="0" w:firstColumn="1" w:lastColumn="0" w:oddVBand="0" w:evenVBand="0" w:oddHBand="0" w:evenHBand="0" w:firstRowFirstColumn="0" w:firstRowLastColumn="0" w:lastRowFirstColumn="0" w:lastRowLastColumn="0"/>
            <w:tcW w:w="3381" w:type="dxa"/>
          </w:tcPr>
          <w:p w:rsidR="00D22412" w:rsidRPr="0001656C" w:rsidRDefault="00D22412" w:rsidP="00D81D62">
            <w:pPr>
              <w:ind w:firstLineChars="100" w:firstLine="240"/>
              <w:jc w:val="both"/>
              <w:rPr>
                <w:rFonts w:ascii="Book Antiqua" w:hAnsi="Book Antiqua" w:cs="Times New Roman"/>
                <w:b w:val="0"/>
                <w:bCs w:val="0"/>
                <w:color w:val="auto"/>
                <w:sz w:val="24"/>
                <w:szCs w:val="24"/>
                <w:lang w:val="en-US" w:eastAsia="zh-CN"/>
              </w:rPr>
            </w:pPr>
            <w:r w:rsidRPr="0001656C">
              <w:rPr>
                <w:rFonts w:ascii="Book Antiqua" w:eastAsia="Times New Roman" w:hAnsi="Book Antiqua" w:cs="Times New Roman"/>
                <w:b w:val="0"/>
                <w:sz w:val="24"/>
                <w:szCs w:val="24"/>
                <w:lang w:val="en-US" w:eastAsia="it-IT"/>
              </w:rPr>
              <w:t>Silent form</w:t>
            </w:r>
          </w:p>
        </w:tc>
        <w:tc>
          <w:tcPr>
            <w:tcW w:w="2577"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3</w:t>
            </w:r>
          </w:p>
        </w:tc>
        <w:tc>
          <w:tcPr>
            <w:tcW w:w="253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3</w:t>
            </w:r>
          </w:p>
        </w:tc>
        <w:tc>
          <w:tcPr>
            <w:tcW w:w="135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r>
      <w:tr w:rsidR="00D22412" w:rsidRPr="0001656C" w:rsidTr="004A07E3">
        <w:tc>
          <w:tcPr>
            <w:cnfStyle w:val="001000000000" w:firstRow="0" w:lastRow="0" w:firstColumn="1" w:lastColumn="0" w:oddVBand="0" w:evenVBand="0" w:oddHBand="0" w:evenHBand="0" w:firstRowFirstColumn="0" w:firstRowLastColumn="0" w:lastRowFirstColumn="0" w:lastRowLastColumn="0"/>
            <w:tcW w:w="5958" w:type="dxa"/>
            <w:gridSpan w:val="2"/>
          </w:tcPr>
          <w:p w:rsidR="00D22412" w:rsidRPr="0001656C" w:rsidRDefault="00D22412" w:rsidP="00D81D62">
            <w:pPr>
              <w:ind w:firstLineChars="100" w:firstLine="240"/>
              <w:jc w:val="both"/>
              <w:rPr>
                <w:rFonts w:ascii="Book Antiqua" w:eastAsia="Times New Roman" w:hAnsi="Book Antiqua" w:cs="Times New Roman"/>
                <w:b w:val="0"/>
                <w:bCs w:val="0"/>
                <w:color w:val="auto"/>
                <w:sz w:val="24"/>
                <w:szCs w:val="24"/>
                <w:lang w:val="en-US" w:eastAsia="it-IT"/>
              </w:rPr>
            </w:pPr>
            <w:r w:rsidRPr="0001656C">
              <w:rPr>
                <w:rFonts w:ascii="Book Antiqua" w:eastAsia="Times New Roman" w:hAnsi="Book Antiqua" w:cs="Times New Roman"/>
                <w:b w:val="0"/>
                <w:sz w:val="24"/>
                <w:szCs w:val="24"/>
                <w:lang w:val="en-US" w:eastAsia="it-IT"/>
              </w:rPr>
              <w:t>Distribution according clinical form</w:t>
            </w:r>
          </w:p>
        </w:tc>
        <w:tc>
          <w:tcPr>
            <w:tcW w:w="2538" w:type="dxa"/>
          </w:tcPr>
          <w:p w:rsidR="00D22412" w:rsidRPr="0001656C" w:rsidRDefault="00D22412" w:rsidP="004A07E3">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p>
        </w:tc>
        <w:tc>
          <w:tcPr>
            <w:tcW w:w="1358" w:type="dxa"/>
          </w:tcPr>
          <w:p w:rsidR="00D22412" w:rsidRPr="0001656C" w:rsidRDefault="00D22412" w:rsidP="00D81D6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it-IT"/>
              </w:rPr>
            </w:pPr>
            <w:r w:rsidRPr="0001656C">
              <w:rPr>
                <w:rFonts w:ascii="Book Antiqua" w:eastAsia="Times New Roman" w:hAnsi="Book Antiqua" w:cs="Times New Roman"/>
                <w:sz w:val="24"/>
                <w:szCs w:val="24"/>
                <w:lang w:val="en-US" w:eastAsia="it-IT"/>
              </w:rPr>
              <w:t>&gt; 0.05</w:t>
            </w:r>
          </w:p>
        </w:tc>
      </w:tr>
    </w:tbl>
    <w:p w:rsidR="00A5132A" w:rsidRPr="0001656C" w:rsidRDefault="00D22412" w:rsidP="00A5132A">
      <w:pPr>
        <w:shd w:val="clear" w:color="auto" w:fill="FFFFFF"/>
        <w:spacing w:after="0" w:line="360" w:lineRule="auto"/>
        <w:jc w:val="both"/>
        <w:rPr>
          <w:rFonts w:ascii="Book Antiqua" w:eastAsia="Times New Roman" w:hAnsi="Book Antiqua" w:cs="Times New Roman"/>
          <w:sz w:val="24"/>
          <w:szCs w:val="24"/>
          <w:lang w:val="en-US" w:eastAsia="it-IT"/>
        </w:rPr>
      </w:pPr>
      <w:proofErr w:type="gramStart"/>
      <w:r w:rsidRPr="0001656C">
        <w:rPr>
          <w:rFonts w:ascii="Book Antiqua" w:eastAsia="Times New Roman" w:hAnsi="Book Antiqua" w:cs="Times New Roman"/>
          <w:sz w:val="24"/>
          <w:szCs w:val="24"/>
          <w:vertAlign w:val="superscript"/>
          <w:lang w:val="en-US" w:eastAsia="it-IT"/>
        </w:rPr>
        <w:t>1</w:t>
      </w:r>
      <w:r w:rsidRPr="0001656C">
        <w:rPr>
          <w:rFonts w:ascii="Book Antiqua" w:eastAsia="Times New Roman" w:hAnsi="Book Antiqua" w:cs="Times New Roman"/>
          <w:sz w:val="24"/>
          <w:szCs w:val="24"/>
          <w:lang w:val="en-US" w:eastAsia="it-IT"/>
        </w:rPr>
        <w:t>Includes heterozygosis for HLA DQ2, heterozygosis for HLA DQ8 and homozygosis for HLA DQ8 patients</w:t>
      </w:r>
      <w:r w:rsidRPr="0001656C">
        <w:rPr>
          <w:rFonts w:ascii="Book Antiqua" w:hAnsi="Book Antiqua" w:cs="Times New Roman"/>
          <w:sz w:val="24"/>
          <w:szCs w:val="24"/>
          <w:lang w:val="en-US" w:eastAsia="zh-CN"/>
        </w:rPr>
        <w:t>.</w:t>
      </w:r>
      <w:proofErr w:type="gramEnd"/>
      <w:r w:rsidR="005F691A" w:rsidRPr="0001656C">
        <w:rPr>
          <w:rFonts w:ascii="Book Antiqua" w:hAnsi="Book Antiqua" w:cs="Times New Roman"/>
          <w:sz w:val="24"/>
          <w:szCs w:val="24"/>
          <w:lang w:val="en-US" w:eastAsia="zh-CN"/>
        </w:rPr>
        <w:t xml:space="preserve"> </w:t>
      </w:r>
      <w:r w:rsidR="00A5132A" w:rsidRPr="0001656C">
        <w:rPr>
          <w:rFonts w:ascii="Book Antiqua" w:eastAsia="Times New Roman" w:hAnsi="Book Antiqua" w:cs="Times New Roman"/>
          <w:sz w:val="24"/>
          <w:szCs w:val="24"/>
          <w:lang w:val="en-US" w:eastAsia="it-IT"/>
        </w:rPr>
        <w:t>HBV</w:t>
      </w:r>
      <w:r w:rsidR="00A5132A" w:rsidRPr="0001656C">
        <w:rPr>
          <w:rFonts w:ascii="Book Antiqua" w:hAnsi="Book Antiqua" w:cs="Times New Roman"/>
          <w:sz w:val="24"/>
          <w:szCs w:val="24"/>
          <w:lang w:val="en-US" w:eastAsia="zh-CN"/>
        </w:rPr>
        <w:t xml:space="preserve">: </w:t>
      </w:r>
      <w:r w:rsidR="00A5132A" w:rsidRPr="0001656C">
        <w:rPr>
          <w:rFonts w:ascii="Book Antiqua" w:hAnsi="Book Antiqua" w:cs="Times New Roman"/>
          <w:caps/>
          <w:sz w:val="24"/>
          <w:szCs w:val="24"/>
          <w:lang w:eastAsia="zh-CN"/>
        </w:rPr>
        <w:t>h</w:t>
      </w:r>
      <w:r w:rsidR="00A5132A" w:rsidRPr="0001656C">
        <w:rPr>
          <w:rFonts w:ascii="Book Antiqua" w:hAnsi="Book Antiqua" w:cs="Times New Roman"/>
          <w:sz w:val="24"/>
          <w:szCs w:val="24"/>
          <w:lang w:eastAsia="zh-CN"/>
        </w:rPr>
        <w:t>epatitis B virus;</w:t>
      </w:r>
      <w:r w:rsidR="005F691A" w:rsidRPr="0001656C">
        <w:rPr>
          <w:rFonts w:ascii="Book Antiqua" w:hAnsi="Book Antiqua" w:cs="Times New Roman"/>
          <w:sz w:val="24"/>
          <w:szCs w:val="24"/>
          <w:lang w:eastAsia="zh-CN"/>
        </w:rPr>
        <w:t xml:space="preserve"> </w:t>
      </w:r>
      <w:r w:rsidR="00A5132A" w:rsidRPr="0001656C">
        <w:rPr>
          <w:rFonts w:ascii="Book Antiqua" w:eastAsia="Times New Roman" w:hAnsi="Book Antiqua" w:cs="Times New Roman"/>
          <w:sz w:val="24"/>
          <w:szCs w:val="24"/>
          <w:lang w:val="en-US" w:eastAsia="it-IT"/>
        </w:rPr>
        <w:t>CD</w:t>
      </w:r>
      <w:r w:rsidR="00A5132A" w:rsidRPr="0001656C">
        <w:rPr>
          <w:rFonts w:ascii="Book Antiqua" w:hAnsi="Book Antiqua" w:cs="Times New Roman"/>
          <w:sz w:val="24"/>
          <w:szCs w:val="24"/>
          <w:lang w:val="en-US" w:eastAsia="zh-CN"/>
        </w:rPr>
        <w:t>: Celiac disease;</w:t>
      </w:r>
      <w:r w:rsidR="00A5132A" w:rsidRPr="0001656C">
        <w:rPr>
          <w:rFonts w:ascii="Book Antiqua" w:eastAsia="Times New Roman" w:hAnsi="Book Antiqua" w:cs="Times New Roman"/>
          <w:sz w:val="24"/>
          <w:szCs w:val="24"/>
          <w:lang w:val="en-US" w:eastAsia="it-IT"/>
        </w:rPr>
        <w:t xml:space="preserve"> SDS: Standard deviation score.</w:t>
      </w:r>
    </w:p>
    <w:p w:rsidR="00D22412" w:rsidRPr="0001656C" w:rsidRDefault="00D22412" w:rsidP="00D22412">
      <w:pPr>
        <w:shd w:val="clear" w:color="auto" w:fill="FFFFFF"/>
        <w:spacing w:after="0"/>
        <w:jc w:val="both"/>
        <w:rPr>
          <w:rFonts w:ascii="Book Antiqua" w:hAnsi="Book Antiqua" w:cs="Times New Roman"/>
          <w:sz w:val="24"/>
          <w:szCs w:val="24"/>
          <w:lang w:val="en-US" w:eastAsia="zh-CN"/>
        </w:rPr>
      </w:pPr>
    </w:p>
    <w:sectPr w:rsidR="00D22412" w:rsidRPr="0001656C" w:rsidSect="004A07E3">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4B" w:rsidRDefault="00DC624B" w:rsidP="00D22412">
      <w:pPr>
        <w:spacing w:after="0" w:line="240" w:lineRule="auto"/>
      </w:pPr>
      <w:r>
        <w:separator/>
      </w:r>
    </w:p>
  </w:endnote>
  <w:endnote w:type="continuationSeparator" w:id="0">
    <w:p w:rsidR="00DC624B" w:rsidRDefault="00DC624B" w:rsidP="00D2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E3" w:rsidRDefault="00261B43" w:rsidP="004A07E3">
    <w:pPr>
      <w:pStyle w:val="Footer"/>
      <w:framePr w:wrap="around" w:vAnchor="text" w:hAnchor="margin" w:xAlign="center" w:y="1"/>
      <w:rPr>
        <w:rStyle w:val="PageNumber"/>
      </w:rPr>
    </w:pPr>
    <w:r>
      <w:rPr>
        <w:rStyle w:val="PageNumber"/>
      </w:rPr>
      <w:fldChar w:fldCharType="begin"/>
    </w:r>
    <w:r w:rsidR="004A07E3">
      <w:rPr>
        <w:rStyle w:val="PageNumber"/>
      </w:rPr>
      <w:instrText xml:space="preserve">PAGE  </w:instrText>
    </w:r>
    <w:r>
      <w:rPr>
        <w:rStyle w:val="PageNumber"/>
      </w:rPr>
      <w:fldChar w:fldCharType="end"/>
    </w:r>
  </w:p>
  <w:p w:rsidR="004A07E3" w:rsidRDefault="004A07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E3" w:rsidRPr="00005FC0" w:rsidRDefault="00261B43" w:rsidP="004A07E3">
    <w:pPr>
      <w:pStyle w:val="Footer"/>
      <w:framePr w:wrap="around" w:vAnchor="text" w:hAnchor="margin" w:xAlign="center" w:y="1"/>
      <w:rPr>
        <w:rStyle w:val="PageNumber"/>
        <w:rFonts w:ascii="Book Antiqua" w:hAnsi="Book Antiqua"/>
        <w:sz w:val="24"/>
        <w:szCs w:val="24"/>
      </w:rPr>
    </w:pPr>
    <w:r w:rsidRPr="00005FC0">
      <w:rPr>
        <w:rStyle w:val="PageNumber"/>
        <w:rFonts w:ascii="Book Antiqua" w:hAnsi="Book Antiqua"/>
        <w:sz w:val="24"/>
        <w:szCs w:val="24"/>
      </w:rPr>
      <w:fldChar w:fldCharType="begin"/>
    </w:r>
    <w:r w:rsidR="004A07E3" w:rsidRPr="00005FC0">
      <w:rPr>
        <w:rStyle w:val="PageNumber"/>
        <w:rFonts w:ascii="Book Antiqua" w:hAnsi="Book Antiqua"/>
        <w:sz w:val="24"/>
        <w:szCs w:val="24"/>
      </w:rPr>
      <w:instrText xml:space="preserve">PAGE  </w:instrText>
    </w:r>
    <w:r w:rsidRPr="00005FC0">
      <w:rPr>
        <w:rStyle w:val="PageNumber"/>
        <w:rFonts w:ascii="Book Antiqua" w:hAnsi="Book Antiqua"/>
        <w:sz w:val="24"/>
        <w:szCs w:val="24"/>
      </w:rPr>
      <w:fldChar w:fldCharType="separate"/>
    </w:r>
    <w:r w:rsidR="004B0925">
      <w:rPr>
        <w:rStyle w:val="PageNumber"/>
        <w:rFonts w:ascii="Book Antiqua" w:hAnsi="Book Antiqua"/>
        <w:noProof/>
        <w:sz w:val="24"/>
        <w:szCs w:val="24"/>
      </w:rPr>
      <w:t>16</w:t>
    </w:r>
    <w:r w:rsidRPr="00005FC0">
      <w:rPr>
        <w:rStyle w:val="PageNumber"/>
        <w:rFonts w:ascii="Book Antiqua" w:hAnsi="Book Antiqua"/>
        <w:sz w:val="24"/>
        <w:szCs w:val="24"/>
      </w:rPr>
      <w:fldChar w:fldCharType="end"/>
    </w:r>
  </w:p>
  <w:p w:rsidR="004A07E3" w:rsidRDefault="004A07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4B" w:rsidRDefault="00DC624B" w:rsidP="00D22412">
      <w:pPr>
        <w:spacing w:after="0" w:line="240" w:lineRule="auto"/>
      </w:pPr>
      <w:r>
        <w:separator/>
      </w:r>
    </w:p>
  </w:footnote>
  <w:footnote w:type="continuationSeparator" w:id="0">
    <w:p w:rsidR="00DC624B" w:rsidRDefault="00DC624B" w:rsidP="00D224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117E"/>
    <w:multiLevelType w:val="hybridMultilevel"/>
    <w:tmpl w:val="17E0339A"/>
    <w:lvl w:ilvl="0" w:tplc="EDAC91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6A1877"/>
    <w:multiLevelType w:val="hybridMultilevel"/>
    <w:tmpl w:val="950A48F4"/>
    <w:lvl w:ilvl="0" w:tplc="62D6157C">
      <w:start w:val="3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533356"/>
    <w:multiLevelType w:val="hybridMultilevel"/>
    <w:tmpl w:val="99F60AEA"/>
    <w:lvl w:ilvl="0" w:tplc="7D1C1582">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3D706A"/>
    <w:multiLevelType w:val="hybridMultilevel"/>
    <w:tmpl w:val="44944DB0"/>
    <w:lvl w:ilvl="0" w:tplc="5F3AB3C6">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EE1AB8"/>
    <w:multiLevelType w:val="hybridMultilevel"/>
    <w:tmpl w:val="B1F2246A"/>
    <w:lvl w:ilvl="0" w:tplc="56E62A1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EA372E"/>
    <w:multiLevelType w:val="hybridMultilevel"/>
    <w:tmpl w:val="8EFE4762"/>
    <w:lvl w:ilvl="0" w:tplc="EDAC91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3C405D1"/>
    <w:multiLevelType w:val="hybridMultilevel"/>
    <w:tmpl w:val="949EEEA0"/>
    <w:lvl w:ilvl="0" w:tplc="36FA86B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B9716BE"/>
    <w:multiLevelType w:val="hybridMultilevel"/>
    <w:tmpl w:val="54469BC0"/>
    <w:lvl w:ilvl="0" w:tplc="9A763270">
      <w:start w:val="3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6A"/>
    <w:rsid w:val="0001656C"/>
    <w:rsid w:val="00053F5F"/>
    <w:rsid w:val="00070E03"/>
    <w:rsid w:val="00090045"/>
    <w:rsid w:val="000D1A0B"/>
    <w:rsid w:val="00116224"/>
    <w:rsid w:val="002107E6"/>
    <w:rsid w:val="00210818"/>
    <w:rsid w:val="00240998"/>
    <w:rsid w:val="00261B43"/>
    <w:rsid w:val="002D62A0"/>
    <w:rsid w:val="00306FC8"/>
    <w:rsid w:val="003156BE"/>
    <w:rsid w:val="0034663C"/>
    <w:rsid w:val="003A2310"/>
    <w:rsid w:val="003A2D58"/>
    <w:rsid w:val="004676DC"/>
    <w:rsid w:val="004A07E3"/>
    <w:rsid w:val="004B0925"/>
    <w:rsid w:val="004C0909"/>
    <w:rsid w:val="00590B27"/>
    <w:rsid w:val="00591826"/>
    <w:rsid w:val="005F691A"/>
    <w:rsid w:val="00611A6A"/>
    <w:rsid w:val="0063686A"/>
    <w:rsid w:val="006903E0"/>
    <w:rsid w:val="006D6A07"/>
    <w:rsid w:val="00703963"/>
    <w:rsid w:val="007C2281"/>
    <w:rsid w:val="007F354D"/>
    <w:rsid w:val="00851F87"/>
    <w:rsid w:val="00876E32"/>
    <w:rsid w:val="008A44E2"/>
    <w:rsid w:val="008C23AE"/>
    <w:rsid w:val="008E6055"/>
    <w:rsid w:val="00946AB2"/>
    <w:rsid w:val="009A3EED"/>
    <w:rsid w:val="009A7544"/>
    <w:rsid w:val="009F3CF4"/>
    <w:rsid w:val="00A5132A"/>
    <w:rsid w:val="00AC3D3F"/>
    <w:rsid w:val="00BB29DA"/>
    <w:rsid w:val="00C04CA1"/>
    <w:rsid w:val="00C25664"/>
    <w:rsid w:val="00C40239"/>
    <w:rsid w:val="00C529BB"/>
    <w:rsid w:val="00C558D9"/>
    <w:rsid w:val="00C65294"/>
    <w:rsid w:val="00C843A1"/>
    <w:rsid w:val="00C93E1A"/>
    <w:rsid w:val="00D01EDC"/>
    <w:rsid w:val="00D22412"/>
    <w:rsid w:val="00D81D62"/>
    <w:rsid w:val="00D93A46"/>
    <w:rsid w:val="00DA2803"/>
    <w:rsid w:val="00DC624B"/>
    <w:rsid w:val="00DD4C89"/>
    <w:rsid w:val="00DE751B"/>
    <w:rsid w:val="00E26DBC"/>
    <w:rsid w:val="00E46C6F"/>
    <w:rsid w:val="00E90D7B"/>
    <w:rsid w:val="00EB5530"/>
    <w:rsid w:val="00F25DB2"/>
    <w:rsid w:val="00F5140A"/>
    <w:rsid w:val="00FC33AD"/>
    <w:rsid w:val="00FD28D9"/>
    <w:rsid w:val="00FD345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12"/>
    <w:pPr>
      <w:spacing w:after="200" w:line="276" w:lineRule="auto"/>
    </w:pPr>
    <w:rPr>
      <w:kern w:val="0"/>
      <w:sz w:val="22"/>
      <w:lang w:val="it-IT" w:eastAsia="en-US"/>
    </w:rPr>
  </w:style>
  <w:style w:type="paragraph" w:styleId="Heading1">
    <w:name w:val="heading 1"/>
    <w:basedOn w:val="Normal"/>
    <w:link w:val="Heading1Char"/>
    <w:uiPriority w:val="9"/>
    <w:qFormat/>
    <w:rsid w:val="00D22412"/>
    <w:pPr>
      <w:spacing w:before="240" w:after="120" w:line="240" w:lineRule="auto"/>
      <w:outlineLvl w:val="0"/>
    </w:pPr>
    <w:rPr>
      <w:rFonts w:ascii="Times New Roman" w:eastAsia="Times New Roman" w:hAnsi="Times New Roman" w:cs="Times New Roman"/>
      <w:b/>
      <w:bCs/>
      <w:color w:val="000000"/>
      <w:kern w:val="36"/>
      <w:sz w:val="33"/>
      <w:szCs w:val="33"/>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22412"/>
    <w:rPr>
      <w:sz w:val="18"/>
      <w:szCs w:val="18"/>
    </w:rPr>
  </w:style>
  <w:style w:type="paragraph" w:styleId="Footer">
    <w:name w:val="footer"/>
    <w:basedOn w:val="Normal"/>
    <w:link w:val="FooterChar"/>
    <w:uiPriority w:val="99"/>
    <w:unhideWhenUsed/>
    <w:rsid w:val="00D224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22412"/>
    <w:rPr>
      <w:sz w:val="18"/>
      <w:szCs w:val="18"/>
    </w:rPr>
  </w:style>
  <w:style w:type="character" w:customStyle="1" w:styleId="Heading1Char">
    <w:name w:val="Heading 1 Char"/>
    <w:basedOn w:val="DefaultParagraphFont"/>
    <w:link w:val="Heading1"/>
    <w:uiPriority w:val="9"/>
    <w:rsid w:val="00D22412"/>
    <w:rPr>
      <w:rFonts w:ascii="Times New Roman" w:eastAsia="Times New Roman" w:hAnsi="Times New Roman" w:cs="Times New Roman"/>
      <w:b/>
      <w:bCs/>
      <w:color w:val="000000"/>
      <w:kern w:val="36"/>
      <w:sz w:val="33"/>
      <w:szCs w:val="33"/>
      <w:lang w:val="it-IT" w:eastAsia="it-IT"/>
    </w:rPr>
  </w:style>
  <w:style w:type="paragraph" w:customStyle="1" w:styleId="title1">
    <w:name w:val="title1"/>
    <w:basedOn w:val="Normal"/>
    <w:rsid w:val="00D22412"/>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Normal"/>
    <w:rsid w:val="00D22412"/>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Normal"/>
    <w:rsid w:val="00D22412"/>
    <w:pPr>
      <w:spacing w:after="0" w:line="240" w:lineRule="auto"/>
    </w:pPr>
    <w:rPr>
      <w:rFonts w:ascii="Times New Roman" w:eastAsia="Times New Roman" w:hAnsi="Times New Roman" w:cs="Times New Roman"/>
      <w:lang w:eastAsia="it-IT"/>
    </w:rPr>
  </w:style>
  <w:style w:type="character" w:customStyle="1" w:styleId="jrnl">
    <w:name w:val="jrnl"/>
    <w:basedOn w:val="DefaultParagraphFont"/>
    <w:rsid w:val="00D22412"/>
  </w:style>
  <w:style w:type="character" w:customStyle="1" w:styleId="highlight2">
    <w:name w:val="highlight2"/>
    <w:basedOn w:val="DefaultParagraphFont"/>
    <w:rsid w:val="00D22412"/>
  </w:style>
  <w:style w:type="character" w:styleId="Hyperlink">
    <w:name w:val="Hyperlink"/>
    <w:basedOn w:val="DefaultParagraphFont"/>
    <w:uiPriority w:val="99"/>
    <w:unhideWhenUsed/>
    <w:rsid w:val="00D22412"/>
    <w:rPr>
      <w:color w:val="0000FF" w:themeColor="hyperlink"/>
      <w:u w:val="single"/>
    </w:rPr>
  </w:style>
  <w:style w:type="paragraph" w:styleId="ListParagraph">
    <w:name w:val="List Paragraph"/>
    <w:basedOn w:val="Normal"/>
    <w:uiPriority w:val="34"/>
    <w:qFormat/>
    <w:rsid w:val="00D22412"/>
    <w:pPr>
      <w:ind w:left="720"/>
      <w:contextualSpacing/>
    </w:pPr>
  </w:style>
  <w:style w:type="table" w:styleId="TableGrid">
    <w:name w:val="Table Grid"/>
    <w:basedOn w:val="TableNormal"/>
    <w:uiPriority w:val="59"/>
    <w:rsid w:val="00D22412"/>
    <w:rPr>
      <w:kern w:val="0"/>
      <w:sz w:val="22"/>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22412"/>
    <w:rPr>
      <w:color w:val="000000" w:themeColor="text1" w:themeShade="BF"/>
      <w:kern w:val="0"/>
      <w:sz w:val="22"/>
      <w:lang w:val="it-IT"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
    <w:name w:val="p"/>
    <w:basedOn w:val="Normal"/>
    <w:rsid w:val="00D2241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D2241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22412"/>
    <w:rPr>
      <w:kern w:val="0"/>
      <w:sz w:val="18"/>
      <w:szCs w:val="18"/>
      <w:lang w:val="it-IT" w:eastAsia="en-US"/>
    </w:rPr>
  </w:style>
  <w:style w:type="paragraph" w:customStyle="1" w:styleId="1">
    <w:name w:val="正文1"/>
    <w:uiPriority w:val="99"/>
    <w:rsid w:val="00D22412"/>
    <w:pPr>
      <w:spacing w:line="276" w:lineRule="auto"/>
    </w:pPr>
    <w:rPr>
      <w:rFonts w:ascii="Arial" w:eastAsia="宋体" w:hAnsi="Arial" w:cs="Arial"/>
      <w:color w:val="000000"/>
      <w:kern w:val="0"/>
      <w:sz w:val="22"/>
      <w:szCs w:val="20"/>
      <w:lang w:val="pl-PL" w:eastAsia="pl-PL"/>
    </w:rPr>
  </w:style>
  <w:style w:type="character" w:styleId="CommentReference">
    <w:name w:val="annotation reference"/>
    <w:basedOn w:val="DefaultParagraphFont"/>
    <w:uiPriority w:val="99"/>
    <w:semiHidden/>
    <w:unhideWhenUsed/>
    <w:rsid w:val="00D22412"/>
    <w:rPr>
      <w:sz w:val="21"/>
      <w:szCs w:val="21"/>
    </w:rPr>
  </w:style>
  <w:style w:type="paragraph" w:styleId="CommentText">
    <w:name w:val="annotation text"/>
    <w:basedOn w:val="Normal"/>
    <w:link w:val="CommentTextChar"/>
    <w:uiPriority w:val="99"/>
    <w:unhideWhenUsed/>
    <w:rsid w:val="00D22412"/>
  </w:style>
  <w:style w:type="character" w:customStyle="1" w:styleId="CommentTextChar">
    <w:name w:val="Comment Text Char"/>
    <w:basedOn w:val="DefaultParagraphFont"/>
    <w:link w:val="CommentText"/>
    <w:uiPriority w:val="99"/>
    <w:rsid w:val="00D22412"/>
    <w:rPr>
      <w:kern w:val="0"/>
      <w:sz w:val="22"/>
      <w:lang w:val="it-IT" w:eastAsia="en-US"/>
    </w:rPr>
  </w:style>
  <w:style w:type="paragraph" w:styleId="CommentSubject">
    <w:name w:val="annotation subject"/>
    <w:basedOn w:val="CommentText"/>
    <w:next w:val="CommentText"/>
    <w:link w:val="CommentSubjectChar"/>
    <w:uiPriority w:val="99"/>
    <w:semiHidden/>
    <w:unhideWhenUsed/>
    <w:rsid w:val="00D22412"/>
    <w:rPr>
      <w:b/>
      <w:bCs/>
    </w:rPr>
  </w:style>
  <w:style w:type="character" w:customStyle="1" w:styleId="CommentSubjectChar">
    <w:name w:val="Comment Subject Char"/>
    <w:basedOn w:val="CommentTextChar"/>
    <w:link w:val="CommentSubject"/>
    <w:uiPriority w:val="99"/>
    <w:semiHidden/>
    <w:rsid w:val="00D22412"/>
    <w:rPr>
      <w:b/>
      <w:bCs/>
      <w:kern w:val="0"/>
      <w:sz w:val="22"/>
      <w:lang w:val="it-IT" w:eastAsia="en-US"/>
    </w:rPr>
  </w:style>
  <w:style w:type="character" w:styleId="PageNumber">
    <w:name w:val="page number"/>
    <w:basedOn w:val="DefaultParagraphFont"/>
    <w:uiPriority w:val="99"/>
    <w:semiHidden/>
    <w:unhideWhenUsed/>
    <w:rsid w:val="00D22412"/>
  </w:style>
  <w:style w:type="paragraph" w:styleId="Revision">
    <w:name w:val="Revision"/>
    <w:hidden/>
    <w:uiPriority w:val="99"/>
    <w:semiHidden/>
    <w:rsid w:val="00D22412"/>
    <w:rPr>
      <w:kern w:val="0"/>
      <w:sz w:val="22"/>
      <w:lang w:val="it-IT" w:eastAsia="en-US"/>
    </w:rPr>
  </w:style>
  <w:style w:type="character" w:styleId="Emphasis">
    <w:name w:val="Emphasis"/>
    <w:qFormat/>
    <w:rsid w:val="004B092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12"/>
    <w:pPr>
      <w:spacing w:after="200" w:line="276" w:lineRule="auto"/>
    </w:pPr>
    <w:rPr>
      <w:kern w:val="0"/>
      <w:sz w:val="22"/>
      <w:lang w:val="it-IT" w:eastAsia="en-US"/>
    </w:rPr>
  </w:style>
  <w:style w:type="paragraph" w:styleId="Heading1">
    <w:name w:val="heading 1"/>
    <w:basedOn w:val="Normal"/>
    <w:link w:val="Heading1Char"/>
    <w:uiPriority w:val="9"/>
    <w:qFormat/>
    <w:rsid w:val="00D22412"/>
    <w:pPr>
      <w:spacing w:before="240" w:after="120" w:line="240" w:lineRule="auto"/>
      <w:outlineLvl w:val="0"/>
    </w:pPr>
    <w:rPr>
      <w:rFonts w:ascii="Times New Roman" w:eastAsia="Times New Roman" w:hAnsi="Times New Roman" w:cs="Times New Roman"/>
      <w:b/>
      <w:bCs/>
      <w:color w:val="000000"/>
      <w:kern w:val="36"/>
      <w:sz w:val="33"/>
      <w:szCs w:val="33"/>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22412"/>
    <w:rPr>
      <w:sz w:val="18"/>
      <w:szCs w:val="18"/>
    </w:rPr>
  </w:style>
  <w:style w:type="paragraph" w:styleId="Footer">
    <w:name w:val="footer"/>
    <w:basedOn w:val="Normal"/>
    <w:link w:val="FooterChar"/>
    <w:uiPriority w:val="99"/>
    <w:unhideWhenUsed/>
    <w:rsid w:val="00D224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22412"/>
    <w:rPr>
      <w:sz w:val="18"/>
      <w:szCs w:val="18"/>
    </w:rPr>
  </w:style>
  <w:style w:type="character" w:customStyle="1" w:styleId="Heading1Char">
    <w:name w:val="Heading 1 Char"/>
    <w:basedOn w:val="DefaultParagraphFont"/>
    <w:link w:val="Heading1"/>
    <w:uiPriority w:val="9"/>
    <w:rsid w:val="00D22412"/>
    <w:rPr>
      <w:rFonts w:ascii="Times New Roman" w:eastAsia="Times New Roman" w:hAnsi="Times New Roman" w:cs="Times New Roman"/>
      <w:b/>
      <w:bCs/>
      <w:color w:val="000000"/>
      <w:kern w:val="36"/>
      <w:sz w:val="33"/>
      <w:szCs w:val="33"/>
      <w:lang w:val="it-IT" w:eastAsia="it-IT"/>
    </w:rPr>
  </w:style>
  <w:style w:type="paragraph" w:customStyle="1" w:styleId="title1">
    <w:name w:val="title1"/>
    <w:basedOn w:val="Normal"/>
    <w:rsid w:val="00D22412"/>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Normal"/>
    <w:rsid w:val="00D22412"/>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Normal"/>
    <w:rsid w:val="00D22412"/>
    <w:pPr>
      <w:spacing w:after="0" w:line="240" w:lineRule="auto"/>
    </w:pPr>
    <w:rPr>
      <w:rFonts w:ascii="Times New Roman" w:eastAsia="Times New Roman" w:hAnsi="Times New Roman" w:cs="Times New Roman"/>
      <w:lang w:eastAsia="it-IT"/>
    </w:rPr>
  </w:style>
  <w:style w:type="character" w:customStyle="1" w:styleId="jrnl">
    <w:name w:val="jrnl"/>
    <w:basedOn w:val="DefaultParagraphFont"/>
    <w:rsid w:val="00D22412"/>
  </w:style>
  <w:style w:type="character" w:customStyle="1" w:styleId="highlight2">
    <w:name w:val="highlight2"/>
    <w:basedOn w:val="DefaultParagraphFont"/>
    <w:rsid w:val="00D22412"/>
  </w:style>
  <w:style w:type="character" w:styleId="Hyperlink">
    <w:name w:val="Hyperlink"/>
    <w:basedOn w:val="DefaultParagraphFont"/>
    <w:uiPriority w:val="99"/>
    <w:unhideWhenUsed/>
    <w:rsid w:val="00D22412"/>
    <w:rPr>
      <w:color w:val="0000FF" w:themeColor="hyperlink"/>
      <w:u w:val="single"/>
    </w:rPr>
  </w:style>
  <w:style w:type="paragraph" w:styleId="ListParagraph">
    <w:name w:val="List Paragraph"/>
    <w:basedOn w:val="Normal"/>
    <w:uiPriority w:val="34"/>
    <w:qFormat/>
    <w:rsid w:val="00D22412"/>
    <w:pPr>
      <w:ind w:left="720"/>
      <w:contextualSpacing/>
    </w:pPr>
  </w:style>
  <w:style w:type="table" w:styleId="TableGrid">
    <w:name w:val="Table Grid"/>
    <w:basedOn w:val="TableNormal"/>
    <w:uiPriority w:val="59"/>
    <w:rsid w:val="00D22412"/>
    <w:rPr>
      <w:kern w:val="0"/>
      <w:sz w:val="22"/>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22412"/>
    <w:rPr>
      <w:color w:val="000000" w:themeColor="text1" w:themeShade="BF"/>
      <w:kern w:val="0"/>
      <w:sz w:val="22"/>
      <w:lang w:val="it-IT"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
    <w:name w:val="p"/>
    <w:basedOn w:val="Normal"/>
    <w:rsid w:val="00D2241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D2241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22412"/>
    <w:rPr>
      <w:kern w:val="0"/>
      <w:sz w:val="18"/>
      <w:szCs w:val="18"/>
      <w:lang w:val="it-IT" w:eastAsia="en-US"/>
    </w:rPr>
  </w:style>
  <w:style w:type="paragraph" w:customStyle="1" w:styleId="1">
    <w:name w:val="正文1"/>
    <w:uiPriority w:val="99"/>
    <w:rsid w:val="00D22412"/>
    <w:pPr>
      <w:spacing w:line="276" w:lineRule="auto"/>
    </w:pPr>
    <w:rPr>
      <w:rFonts w:ascii="Arial" w:eastAsia="宋体" w:hAnsi="Arial" w:cs="Arial"/>
      <w:color w:val="000000"/>
      <w:kern w:val="0"/>
      <w:sz w:val="22"/>
      <w:szCs w:val="20"/>
      <w:lang w:val="pl-PL" w:eastAsia="pl-PL"/>
    </w:rPr>
  </w:style>
  <w:style w:type="character" w:styleId="CommentReference">
    <w:name w:val="annotation reference"/>
    <w:basedOn w:val="DefaultParagraphFont"/>
    <w:uiPriority w:val="99"/>
    <w:semiHidden/>
    <w:unhideWhenUsed/>
    <w:rsid w:val="00D22412"/>
    <w:rPr>
      <w:sz w:val="21"/>
      <w:szCs w:val="21"/>
    </w:rPr>
  </w:style>
  <w:style w:type="paragraph" w:styleId="CommentText">
    <w:name w:val="annotation text"/>
    <w:basedOn w:val="Normal"/>
    <w:link w:val="CommentTextChar"/>
    <w:uiPriority w:val="99"/>
    <w:unhideWhenUsed/>
    <w:rsid w:val="00D22412"/>
  </w:style>
  <w:style w:type="character" w:customStyle="1" w:styleId="CommentTextChar">
    <w:name w:val="Comment Text Char"/>
    <w:basedOn w:val="DefaultParagraphFont"/>
    <w:link w:val="CommentText"/>
    <w:uiPriority w:val="99"/>
    <w:rsid w:val="00D22412"/>
    <w:rPr>
      <w:kern w:val="0"/>
      <w:sz w:val="22"/>
      <w:lang w:val="it-IT" w:eastAsia="en-US"/>
    </w:rPr>
  </w:style>
  <w:style w:type="paragraph" w:styleId="CommentSubject">
    <w:name w:val="annotation subject"/>
    <w:basedOn w:val="CommentText"/>
    <w:next w:val="CommentText"/>
    <w:link w:val="CommentSubjectChar"/>
    <w:uiPriority w:val="99"/>
    <w:semiHidden/>
    <w:unhideWhenUsed/>
    <w:rsid w:val="00D22412"/>
    <w:rPr>
      <w:b/>
      <w:bCs/>
    </w:rPr>
  </w:style>
  <w:style w:type="character" w:customStyle="1" w:styleId="CommentSubjectChar">
    <w:name w:val="Comment Subject Char"/>
    <w:basedOn w:val="CommentTextChar"/>
    <w:link w:val="CommentSubject"/>
    <w:uiPriority w:val="99"/>
    <w:semiHidden/>
    <w:rsid w:val="00D22412"/>
    <w:rPr>
      <w:b/>
      <w:bCs/>
      <w:kern w:val="0"/>
      <w:sz w:val="22"/>
      <w:lang w:val="it-IT" w:eastAsia="en-US"/>
    </w:rPr>
  </w:style>
  <w:style w:type="character" w:styleId="PageNumber">
    <w:name w:val="page number"/>
    <w:basedOn w:val="DefaultParagraphFont"/>
    <w:uiPriority w:val="99"/>
    <w:semiHidden/>
    <w:unhideWhenUsed/>
    <w:rsid w:val="00D22412"/>
  </w:style>
  <w:style w:type="paragraph" w:styleId="Revision">
    <w:name w:val="Revision"/>
    <w:hidden/>
    <w:uiPriority w:val="99"/>
    <w:semiHidden/>
    <w:rsid w:val="00D22412"/>
    <w:rPr>
      <w:kern w:val="0"/>
      <w:sz w:val="22"/>
      <w:lang w:val="it-IT" w:eastAsia="en-US"/>
    </w:rPr>
  </w:style>
  <w:style w:type="character" w:styleId="Emphasis">
    <w:name w:val="Emphasis"/>
    <w:qFormat/>
    <w:rsid w:val="004B092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11774">
      <w:bodyDiv w:val="1"/>
      <w:marLeft w:val="0"/>
      <w:marRight w:val="0"/>
      <w:marTop w:val="0"/>
      <w:marBottom w:val="0"/>
      <w:divBdr>
        <w:top w:val="none" w:sz="0" w:space="0" w:color="auto"/>
        <w:left w:val="none" w:sz="0" w:space="0" w:color="auto"/>
        <w:bottom w:val="none" w:sz="0" w:space="0" w:color="auto"/>
        <w:right w:val="none" w:sz="0" w:space="0" w:color="auto"/>
      </w:divBdr>
    </w:div>
    <w:div w:id="17477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leonardi@unict.i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0F92-DC60-934A-87F4-00023DF4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4010</Words>
  <Characters>22863</Characters>
  <Application>Microsoft Macintosh Word</Application>
  <DocSecurity>0</DocSecurity>
  <Lines>190</Lines>
  <Paragraphs>53</Paragraphs>
  <ScaleCrop>false</ScaleCrop>
  <Company>微软中国</Company>
  <LinksUpToDate>false</LinksUpToDate>
  <CharactersWithSpaces>26820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2016-07-29T19:33:00Z</dcterms:created>
  <dcterms:modified xsi:type="dcterms:W3CDTF">2016-07-29T19:33:00Z</dcterms:modified>
</cp:coreProperties>
</file>