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1B142" w14:textId="77777777" w:rsidR="00190FD3" w:rsidRPr="00DF6624" w:rsidRDefault="00190FD3" w:rsidP="005C2EDC">
      <w:pPr>
        <w:adjustRightInd w:val="0"/>
        <w:snapToGrid w:val="0"/>
        <w:spacing w:after="0" w:line="360" w:lineRule="auto"/>
        <w:jc w:val="both"/>
        <w:rPr>
          <w:rFonts w:ascii="Book Antiqua" w:hAnsi="Book Antiqua" w:cs="Arial"/>
          <w:b/>
          <w:color w:val="000000" w:themeColor="text1"/>
          <w:sz w:val="24"/>
          <w:szCs w:val="24"/>
          <w:shd w:val="clear" w:color="auto" w:fill="FFFFFF"/>
        </w:rPr>
      </w:pPr>
      <w:r w:rsidRPr="00DF6624">
        <w:rPr>
          <w:rFonts w:ascii="Book Antiqua" w:hAnsi="Book Antiqua" w:cs="Arial"/>
          <w:b/>
          <w:color w:val="000000" w:themeColor="text1"/>
          <w:sz w:val="24"/>
          <w:szCs w:val="24"/>
          <w:shd w:val="clear" w:color="auto" w:fill="FFFFFF"/>
        </w:rPr>
        <w:t>Name of Journal: World Journal of Gastroenterology</w:t>
      </w:r>
    </w:p>
    <w:p w14:paraId="44EA01C0" w14:textId="2615F902" w:rsidR="00190FD3" w:rsidRPr="00DF6624" w:rsidRDefault="00190FD3" w:rsidP="005C2EDC">
      <w:pPr>
        <w:adjustRightInd w:val="0"/>
        <w:snapToGrid w:val="0"/>
        <w:spacing w:after="0" w:line="360" w:lineRule="auto"/>
        <w:jc w:val="both"/>
        <w:rPr>
          <w:rFonts w:ascii="Book Antiqua" w:hAnsi="Book Antiqua" w:cs="Arial"/>
          <w:b/>
          <w:color w:val="000000" w:themeColor="text1"/>
          <w:sz w:val="24"/>
          <w:szCs w:val="24"/>
          <w:shd w:val="clear" w:color="auto" w:fill="FFFFFF"/>
        </w:rPr>
      </w:pPr>
      <w:r w:rsidRPr="00DF6624">
        <w:rPr>
          <w:rFonts w:ascii="Book Antiqua" w:hAnsi="Book Antiqua" w:cs="Arial"/>
          <w:b/>
          <w:color w:val="000000" w:themeColor="text1"/>
          <w:sz w:val="24"/>
          <w:szCs w:val="24"/>
          <w:shd w:val="clear" w:color="auto" w:fill="FFFFFF"/>
        </w:rPr>
        <w:t>ESPS Manuscript NO: 27279</w:t>
      </w:r>
    </w:p>
    <w:p w14:paraId="6051F53F" w14:textId="77777777" w:rsidR="00190FD3" w:rsidRDefault="00190FD3" w:rsidP="005C2EDC">
      <w:pPr>
        <w:adjustRightInd w:val="0"/>
        <w:snapToGrid w:val="0"/>
        <w:spacing w:after="0" w:line="360" w:lineRule="auto"/>
        <w:jc w:val="both"/>
        <w:rPr>
          <w:rFonts w:ascii="Book Antiqua" w:eastAsia="宋体" w:hAnsi="Book Antiqua" w:cs="Arial"/>
          <w:b/>
          <w:color w:val="000000" w:themeColor="text1"/>
          <w:sz w:val="24"/>
          <w:szCs w:val="24"/>
          <w:shd w:val="clear" w:color="auto" w:fill="FFFFFF"/>
          <w:lang w:eastAsia="zh-CN"/>
        </w:rPr>
      </w:pPr>
      <w:r w:rsidRPr="00DF6624">
        <w:rPr>
          <w:rFonts w:ascii="Book Antiqua" w:hAnsi="Book Antiqua" w:cs="Arial"/>
          <w:b/>
          <w:color w:val="000000" w:themeColor="text1"/>
          <w:sz w:val="24"/>
          <w:szCs w:val="24"/>
          <w:shd w:val="clear" w:color="auto" w:fill="FFFFFF"/>
        </w:rPr>
        <w:t>Manuscript Type: ORIGINAL ARTICLE</w:t>
      </w:r>
    </w:p>
    <w:p w14:paraId="64A9F093" w14:textId="77777777" w:rsidR="009C09DA" w:rsidRPr="009C09DA" w:rsidRDefault="009C09DA" w:rsidP="005C2EDC">
      <w:pPr>
        <w:adjustRightInd w:val="0"/>
        <w:snapToGrid w:val="0"/>
        <w:spacing w:after="0" w:line="360" w:lineRule="auto"/>
        <w:jc w:val="both"/>
        <w:rPr>
          <w:rFonts w:ascii="Book Antiqua" w:eastAsia="宋体" w:hAnsi="Book Antiqua" w:cs="Arial"/>
          <w:b/>
          <w:color w:val="000000" w:themeColor="text1"/>
          <w:sz w:val="24"/>
          <w:szCs w:val="24"/>
          <w:shd w:val="clear" w:color="auto" w:fill="FFFFFF"/>
          <w:lang w:eastAsia="zh-CN"/>
        </w:rPr>
      </w:pPr>
    </w:p>
    <w:p w14:paraId="433A4B34" w14:textId="77777777" w:rsidR="00190FD3" w:rsidRPr="00DF6624" w:rsidRDefault="00190FD3" w:rsidP="005C2EDC">
      <w:pPr>
        <w:adjustRightInd w:val="0"/>
        <w:snapToGrid w:val="0"/>
        <w:spacing w:after="0" w:line="360" w:lineRule="auto"/>
        <w:jc w:val="both"/>
        <w:rPr>
          <w:rFonts w:ascii="Book Antiqua" w:hAnsi="Book Antiqua" w:cs="Arial"/>
          <w:b/>
          <w:i/>
          <w:color w:val="000000" w:themeColor="text1"/>
          <w:sz w:val="24"/>
          <w:szCs w:val="24"/>
          <w:shd w:val="clear" w:color="auto" w:fill="FFFFFF"/>
        </w:rPr>
      </w:pPr>
      <w:r w:rsidRPr="00DF6624">
        <w:rPr>
          <w:rFonts w:ascii="Book Antiqua" w:hAnsi="Book Antiqua" w:cs="Arial"/>
          <w:b/>
          <w:i/>
          <w:color w:val="000000" w:themeColor="text1"/>
          <w:sz w:val="24"/>
          <w:szCs w:val="24"/>
          <w:shd w:val="clear" w:color="auto" w:fill="FFFFFF"/>
        </w:rPr>
        <w:t>Basic Study</w:t>
      </w:r>
    </w:p>
    <w:p w14:paraId="5E54094F" w14:textId="08705C83" w:rsidR="006725C1" w:rsidRPr="00DF6624" w:rsidRDefault="006725C1" w:rsidP="005C2EDC">
      <w:pPr>
        <w:adjustRightInd w:val="0"/>
        <w:snapToGrid w:val="0"/>
        <w:spacing w:after="0" w:line="360" w:lineRule="auto"/>
        <w:jc w:val="both"/>
        <w:rPr>
          <w:rFonts w:ascii="Book Antiqua" w:hAnsi="Book Antiqua" w:cs="Times New Roman"/>
          <w:b/>
          <w:color w:val="000000" w:themeColor="text1"/>
          <w:sz w:val="24"/>
          <w:szCs w:val="24"/>
        </w:rPr>
      </w:pPr>
      <w:r w:rsidRPr="00DF6624">
        <w:rPr>
          <w:rFonts w:ascii="Book Antiqua" w:hAnsi="Book Antiqua" w:cs="Times New Roman"/>
          <w:b/>
          <w:color w:val="000000" w:themeColor="text1"/>
          <w:sz w:val="24"/>
          <w:szCs w:val="24"/>
        </w:rPr>
        <w:t xml:space="preserve">Increased ATG5-ATG12 in </w:t>
      </w:r>
      <w:r w:rsidR="00190FD3" w:rsidRPr="00DF6624">
        <w:rPr>
          <w:rFonts w:ascii="Book Antiqua" w:hAnsi="Book Antiqua" w:cs="Times New Roman"/>
          <w:b/>
          <w:color w:val="000000" w:themeColor="text1"/>
          <w:sz w:val="24"/>
          <w:szCs w:val="24"/>
        </w:rPr>
        <w:t>hepatitis B virus</w:t>
      </w:r>
      <w:r w:rsidRPr="00DF6624">
        <w:rPr>
          <w:rFonts w:ascii="Book Antiqua" w:hAnsi="Book Antiqua" w:cs="Times New Roman"/>
          <w:b/>
          <w:color w:val="000000" w:themeColor="text1"/>
          <w:sz w:val="24"/>
          <w:szCs w:val="24"/>
        </w:rPr>
        <w:t>-associated hepatocellular carcinoma and their role in apoptosis</w:t>
      </w:r>
    </w:p>
    <w:p w14:paraId="58F60B31" w14:textId="77777777" w:rsidR="006725C1" w:rsidRPr="00DF6624" w:rsidRDefault="006725C1" w:rsidP="005C2EDC">
      <w:pPr>
        <w:adjustRightInd w:val="0"/>
        <w:snapToGrid w:val="0"/>
        <w:spacing w:after="0" w:line="360" w:lineRule="auto"/>
        <w:jc w:val="both"/>
        <w:rPr>
          <w:rFonts w:ascii="Book Antiqua" w:hAnsi="Book Antiqua" w:cs="Times New Roman"/>
          <w:b/>
          <w:color w:val="000000" w:themeColor="text1"/>
          <w:sz w:val="24"/>
          <w:szCs w:val="24"/>
        </w:rPr>
      </w:pPr>
    </w:p>
    <w:p w14:paraId="72183B6D"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Kunanopparat A </w:t>
      </w:r>
      <w:r w:rsidRPr="00DF6624">
        <w:rPr>
          <w:rFonts w:ascii="Book Antiqua" w:hAnsi="Book Antiqua" w:cs="Times New Roman"/>
          <w:i/>
          <w:iCs/>
          <w:color w:val="000000" w:themeColor="text1"/>
          <w:sz w:val="24"/>
          <w:szCs w:val="24"/>
        </w:rPr>
        <w:t>et al</w:t>
      </w:r>
      <w:r w:rsidRPr="00DF6624">
        <w:rPr>
          <w:rFonts w:ascii="Book Antiqua" w:hAnsi="Book Antiqua" w:cs="Times New Roman"/>
          <w:color w:val="000000" w:themeColor="text1"/>
          <w:sz w:val="24"/>
          <w:szCs w:val="24"/>
        </w:rPr>
        <w:t>. ATG12 in HBV-associated hepatocellular carcinoma</w:t>
      </w:r>
    </w:p>
    <w:p w14:paraId="26ACC2A1"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4CB3620B"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Cs/>
          <w:color w:val="000000" w:themeColor="text1"/>
          <w:sz w:val="24"/>
          <w:szCs w:val="24"/>
        </w:rPr>
        <w:t>Areerat Kunanopparat, Ingorn Kimkong, Tanapat Palaga, Pisit Tangkijv</w:t>
      </w:r>
      <w:r w:rsidR="005F7D76" w:rsidRPr="00DF6624">
        <w:rPr>
          <w:rFonts w:ascii="Book Antiqua" w:hAnsi="Book Antiqua" w:cs="Times New Roman"/>
          <w:bCs/>
          <w:color w:val="000000" w:themeColor="text1"/>
          <w:sz w:val="24"/>
          <w:szCs w:val="24"/>
        </w:rPr>
        <w:t xml:space="preserve">anich, Boonchoo Sirichindakul, </w:t>
      </w:r>
      <w:r w:rsidRPr="00DF6624">
        <w:rPr>
          <w:rFonts w:ascii="Book Antiqua" w:hAnsi="Book Antiqua" w:cs="Times New Roman"/>
          <w:bCs/>
          <w:color w:val="000000" w:themeColor="text1"/>
          <w:sz w:val="24"/>
          <w:szCs w:val="24"/>
        </w:rPr>
        <w:t>Nattiya Hirankarn</w:t>
      </w:r>
      <w:r w:rsidRPr="00DF6624" w:rsidDel="00A90371">
        <w:rPr>
          <w:rFonts w:ascii="Book Antiqua" w:hAnsi="Book Antiqua" w:cs="Times New Roman"/>
          <w:bCs/>
          <w:color w:val="000000" w:themeColor="text1"/>
          <w:sz w:val="24"/>
          <w:szCs w:val="24"/>
        </w:rPr>
        <w:t xml:space="preserve"> </w:t>
      </w:r>
    </w:p>
    <w:p w14:paraId="31618750" w14:textId="77777777" w:rsidR="007F629D" w:rsidRPr="00DF6624" w:rsidRDefault="007F629D" w:rsidP="005C2EDC">
      <w:pPr>
        <w:adjustRightInd w:val="0"/>
        <w:snapToGrid w:val="0"/>
        <w:spacing w:after="0" w:line="360" w:lineRule="auto"/>
        <w:jc w:val="both"/>
        <w:rPr>
          <w:rFonts w:ascii="Book Antiqua" w:hAnsi="Book Antiqua" w:cs="Times New Roman"/>
          <w:b/>
          <w:bCs/>
          <w:color w:val="000000" w:themeColor="text1"/>
          <w:sz w:val="24"/>
          <w:szCs w:val="24"/>
        </w:rPr>
      </w:pPr>
    </w:p>
    <w:p w14:paraId="18C52BBF" w14:textId="50A80D56"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Areerat Kunanopparat, Nattiya Hirankarn,</w:t>
      </w:r>
      <w:r w:rsidRPr="00DF6624">
        <w:rPr>
          <w:rFonts w:ascii="Book Antiqua" w:hAnsi="Book Antiqua" w:cs="Times New Roman"/>
          <w:color w:val="000000" w:themeColor="text1"/>
          <w:sz w:val="24"/>
          <w:szCs w:val="24"/>
        </w:rPr>
        <w:t xml:space="preserve"> Center of Excellence in Immunology and Immune-mediated Diseases, Department of Microbiology, Faculty of Medicine, Ch</w:t>
      </w:r>
      <w:r w:rsidR="00985333" w:rsidRPr="00DF6624">
        <w:rPr>
          <w:rFonts w:ascii="Book Antiqua" w:hAnsi="Book Antiqua" w:cs="Times New Roman"/>
          <w:color w:val="000000" w:themeColor="text1"/>
          <w:sz w:val="24"/>
          <w:szCs w:val="24"/>
        </w:rPr>
        <w:t>ulalongkorn University, Bangkok</w:t>
      </w:r>
      <w:r w:rsidR="00B9349E" w:rsidRPr="00DF6624">
        <w:rPr>
          <w:rFonts w:ascii="Book Antiqua" w:hAnsi="Book Antiqua" w:cs="Times New Roman"/>
          <w:color w:val="000000" w:themeColor="text1"/>
          <w:sz w:val="24"/>
          <w:szCs w:val="24"/>
        </w:rPr>
        <w:t xml:space="preserve"> 10330,</w:t>
      </w:r>
      <w:r w:rsidRPr="00DF6624">
        <w:rPr>
          <w:rFonts w:ascii="Book Antiqua" w:hAnsi="Book Antiqua" w:cs="Times New Roman"/>
          <w:color w:val="000000" w:themeColor="text1"/>
          <w:sz w:val="24"/>
          <w:szCs w:val="24"/>
        </w:rPr>
        <w:t xml:space="preserve"> Thailand</w:t>
      </w:r>
    </w:p>
    <w:p w14:paraId="45F7E46F" w14:textId="77777777" w:rsidR="00B9349E" w:rsidRPr="00DF6624" w:rsidRDefault="00B9349E" w:rsidP="005C2EDC">
      <w:pPr>
        <w:adjustRightInd w:val="0"/>
        <w:snapToGrid w:val="0"/>
        <w:spacing w:after="0" w:line="360" w:lineRule="auto"/>
        <w:jc w:val="both"/>
        <w:rPr>
          <w:rFonts w:ascii="Book Antiqua" w:hAnsi="Book Antiqua" w:cs="Times New Roman"/>
          <w:color w:val="000000" w:themeColor="text1"/>
          <w:sz w:val="24"/>
          <w:szCs w:val="24"/>
        </w:rPr>
      </w:pPr>
    </w:p>
    <w:p w14:paraId="5D7E9B40" w14:textId="493752D5" w:rsidR="00985333" w:rsidRPr="00DF6624" w:rsidRDefault="00B9349E" w:rsidP="005C2EDC">
      <w:pPr>
        <w:adjustRightInd w:val="0"/>
        <w:snapToGrid w:val="0"/>
        <w:spacing w:after="0" w:line="360" w:lineRule="auto"/>
        <w:jc w:val="both"/>
        <w:rPr>
          <w:rFonts w:ascii="Book Antiqua" w:eastAsia="宋体" w:hAnsi="Book Antiqua" w:cs="Times New Roman"/>
          <w:color w:val="000000" w:themeColor="text1"/>
          <w:sz w:val="24"/>
          <w:szCs w:val="24"/>
          <w:lang w:eastAsia="zh-CN"/>
        </w:rPr>
      </w:pPr>
      <w:r w:rsidRPr="00DF6624">
        <w:rPr>
          <w:rFonts w:ascii="Book Antiqua" w:hAnsi="Book Antiqua" w:cs="Times New Roman"/>
          <w:b/>
          <w:bCs/>
          <w:color w:val="000000" w:themeColor="text1"/>
          <w:sz w:val="24"/>
          <w:szCs w:val="24"/>
        </w:rPr>
        <w:t>Ingorn Kimkong,</w:t>
      </w:r>
      <w:r w:rsidRPr="00DF6624">
        <w:rPr>
          <w:rFonts w:ascii="Book Antiqua" w:hAnsi="Book Antiqua" w:cs="Times New Roman"/>
          <w:color w:val="000000" w:themeColor="text1"/>
          <w:sz w:val="24"/>
          <w:szCs w:val="24"/>
        </w:rPr>
        <w:t xml:space="preserve"> Department of Microbiology, Faculty of Science</w:t>
      </w:r>
      <w:r w:rsidR="00263436" w:rsidRPr="00DF6624">
        <w:rPr>
          <w:rFonts w:ascii="Book Antiqua" w:hAnsi="Book Antiqua" w:cs="Times New Roman"/>
          <w:color w:val="000000" w:themeColor="text1"/>
          <w:sz w:val="24"/>
          <w:szCs w:val="24"/>
        </w:rPr>
        <w:t>, Kasetsart University, Bangkok</w:t>
      </w:r>
      <w:r w:rsidRPr="00DF6624">
        <w:rPr>
          <w:rFonts w:ascii="Book Antiqua" w:hAnsi="Book Antiqua" w:cs="Times New Roman"/>
          <w:color w:val="000000" w:themeColor="text1"/>
          <w:sz w:val="24"/>
          <w:szCs w:val="24"/>
        </w:rPr>
        <w:t xml:space="preserve"> 10900, Thailand</w:t>
      </w:r>
    </w:p>
    <w:p w14:paraId="4C6C88AF" w14:textId="77777777" w:rsidR="00985333" w:rsidRPr="00DF6624" w:rsidRDefault="00985333" w:rsidP="005C2EDC">
      <w:pPr>
        <w:adjustRightInd w:val="0"/>
        <w:snapToGrid w:val="0"/>
        <w:spacing w:after="0" w:line="360" w:lineRule="auto"/>
        <w:jc w:val="both"/>
        <w:rPr>
          <w:rFonts w:ascii="Book Antiqua" w:eastAsia="宋体" w:hAnsi="Book Antiqua" w:cs="Times New Roman"/>
          <w:color w:val="000000" w:themeColor="text1"/>
          <w:sz w:val="24"/>
          <w:szCs w:val="24"/>
          <w:lang w:eastAsia="zh-CN"/>
        </w:rPr>
      </w:pPr>
    </w:p>
    <w:p w14:paraId="52034EF7" w14:textId="1FCFBD31" w:rsidR="00B9349E" w:rsidRPr="00DF6624" w:rsidRDefault="00B9349E"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Ingorn Kimkong</w:t>
      </w:r>
      <w:r w:rsidRPr="00DF6624">
        <w:rPr>
          <w:rFonts w:ascii="Book Antiqua" w:hAnsi="Book Antiqua" w:cs="Times New Roman"/>
          <w:color w:val="000000" w:themeColor="text1"/>
          <w:sz w:val="24"/>
          <w:szCs w:val="24"/>
        </w:rPr>
        <w:t>, Center for Advanced Studies in Tropical Natural Resources, National Research University – Kasetsart Univer</w:t>
      </w:r>
      <w:r w:rsidR="00263436" w:rsidRPr="00DF6624">
        <w:rPr>
          <w:rFonts w:ascii="Book Antiqua" w:hAnsi="Book Antiqua" w:cs="Times New Roman"/>
          <w:color w:val="000000" w:themeColor="text1"/>
          <w:sz w:val="24"/>
          <w:szCs w:val="24"/>
        </w:rPr>
        <w:t>sity (CASTNAR, NRU-KU), Bangkok</w:t>
      </w:r>
      <w:r w:rsidRPr="00DF6624">
        <w:rPr>
          <w:rFonts w:ascii="Book Antiqua" w:hAnsi="Book Antiqua" w:cs="Times New Roman"/>
          <w:color w:val="000000" w:themeColor="text1"/>
          <w:sz w:val="24"/>
          <w:szCs w:val="24"/>
        </w:rPr>
        <w:t xml:space="preserve"> 10900, Thailand</w:t>
      </w:r>
    </w:p>
    <w:p w14:paraId="5F2BF981"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350FAFC4" w14:textId="4AEFE810"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Tanapat Palaga,</w:t>
      </w:r>
      <w:r w:rsidRPr="00DF6624">
        <w:rPr>
          <w:rFonts w:ascii="Book Antiqua" w:hAnsi="Book Antiqua" w:cs="Times New Roman"/>
          <w:color w:val="000000" w:themeColor="text1"/>
          <w:sz w:val="24"/>
          <w:szCs w:val="24"/>
        </w:rPr>
        <w:t xml:space="preserve"> Department of M</w:t>
      </w:r>
      <w:r w:rsidR="00B9349E" w:rsidRPr="00DF6624">
        <w:rPr>
          <w:rFonts w:ascii="Book Antiqua" w:hAnsi="Book Antiqua" w:cs="Times New Roman"/>
          <w:color w:val="000000" w:themeColor="text1"/>
          <w:sz w:val="24"/>
          <w:szCs w:val="24"/>
        </w:rPr>
        <w:t>icrobiology, Faculty of Science</w:t>
      </w:r>
      <w:r w:rsidRPr="00DF6624">
        <w:rPr>
          <w:rFonts w:ascii="Book Antiqua" w:hAnsi="Book Antiqua" w:cs="Times New Roman"/>
          <w:color w:val="000000" w:themeColor="text1"/>
          <w:sz w:val="24"/>
          <w:szCs w:val="24"/>
        </w:rPr>
        <w:t>, Ch</w:t>
      </w:r>
      <w:r w:rsidR="00263436" w:rsidRPr="00DF6624">
        <w:rPr>
          <w:rFonts w:ascii="Book Antiqua" w:hAnsi="Book Antiqua" w:cs="Times New Roman"/>
          <w:color w:val="000000" w:themeColor="text1"/>
          <w:sz w:val="24"/>
          <w:szCs w:val="24"/>
        </w:rPr>
        <w:t>ulalongkorn University, Bangkok</w:t>
      </w:r>
      <w:r w:rsidR="00F413E7" w:rsidRPr="00DF6624">
        <w:rPr>
          <w:rFonts w:ascii="Book Antiqua" w:hAnsi="Book Antiqua" w:cs="Times New Roman"/>
          <w:color w:val="000000" w:themeColor="text1"/>
          <w:sz w:val="24"/>
          <w:szCs w:val="24"/>
        </w:rPr>
        <w:t xml:space="preserve"> 10330,</w:t>
      </w:r>
      <w:r w:rsidRPr="00DF6624">
        <w:rPr>
          <w:rFonts w:ascii="Book Antiqua" w:hAnsi="Book Antiqua" w:cs="Times New Roman"/>
          <w:color w:val="000000" w:themeColor="text1"/>
          <w:sz w:val="24"/>
          <w:szCs w:val="24"/>
        </w:rPr>
        <w:t xml:space="preserve"> Thailand</w:t>
      </w:r>
    </w:p>
    <w:p w14:paraId="35D6CD3E"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0C8C919A" w14:textId="3F69E672"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Pisit Tangkijvanich,</w:t>
      </w:r>
      <w:r w:rsidRPr="00DF6624">
        <w:rPr>
          <w:rFonts w:ascii="Book Antiqua" w:hAnsi="Book Antiqua" w:cs="Times New Roman"/>
          <w:color w:val="000000" w:themeColor="text1"/>
          <w:sz w:val="24"/>
          <w:szCs w:val="24"/>
        </w:rPr>
        <w:t xml:space="preserve"> Research Unit of Hepatitis and Liver Cancer, Department of Biochemistry, Faculty of Medicine, Ch</w:t>
      </w:r>
      <w:r w:rsidR="00263436" w:rsidRPr="00DF6624">
        <w:rPr>
          <w:rFonts w:ascii="Book Antiqua" w:hAnsi="Book Antiqua" w:cs="Times New Roman"/>
          <w:color w:val="000000" w:themeColor="text1"/>
          <w:sz w:val="24"/>
          <w:szCs w:val="24"/>
        </w:rPr>
        <w:t>ulalongkorn University, Bangkok</w:t>
      </w:r>
      <w:r w:rsidR="00F413E7" w:rsidRPr="00DF6624">
        <w:rPr>
          <w:rFonts w:ascii="Book Antiqua" w:hAnsi="Book Antiqua" w:cs="Times New Roman"/>
          <w:color w:val="000000" w:themeColor="text1"/>
          <w:sz w:val="24"/>
          <w:szCs w:val="24"/>
        </w:rPr>
        <w:t xml:space="preserve"> 10330,</w:t>
      </w:r>
      <w:r w:rsidRPr="00DF6624">
        <w:rPr>
          <w:rFonts w:ascii="Book Antiqua" w:hAnsi="Book Antiqua" w:cs="Times New Roman"/>
          <w:color w:val="000000" w:themeColor="text1"/>
          <w:sz w:val="24"/>
          <w:szCs w:val="24"/>
        </w:rPr>
        <w:t xml:space="preserve"> Thailand</w:t>
      </w:r>
    </w:p>
    <w:p w14:paraId="07BA7EC4"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vertAlign w:val="superscript"/>
        </w:rPr>
      </w:pPr>
    </w:p>
    <w:p w14:paraId="189DD310" w14:textId="76E5D4FE"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lastRenderedPageBreak/>
        <w:t>Boonchoo Sirichindakul,</w:t>
      </w:r>
      <w:r w:rsidRPr="00DF6624">
        <w:rPr>
          <w:rFonts w:ascii="Book Antiqua" w:hAnsi="Book Antiqua" w:cs="Times New Roman"/>
          <w:color w:val="000000" w:themeColor="text1"/>
          <w:sz w:val="24"/>
          <w:szCs w:val="24"/>
        </w:rPr>
        <w:t xml:space="preserve"> Department of Surgery, Faculty of Medicine, Chulalongkorn Uni</w:t>
      </w:r>
      <w:r w:rsidR="00263436" w:rsidRPr="00DF6624">
        <w:rPr>
          <w:rFonts w:ascii="Book Antiqua" w:hAnsi="Book Antiqua" w:cs="Times New Roman"/>
          <w:color w:val="000000" w:themeColor="text1"/>
          <w:sz w:val="24"/>
          <w:szCs w:val="24"/>
        </w:rPr>
        <w:t>versity, Bangkok</w:t>
      </w:r>
      <w:r w:rsidR="00F413E7" w:rsidRPr="00DF6624">
        <w:rPr>
          <w:rFonts w:ascii="Book Antiqua" w:hAnsi="Book Antiqua" w:cs="Times New Roman"/>
          <w:color w:val="000000" w:themeColor="text1"/>
          <w:sz w:val="24"/>
          <w:szCs w:val="24"/>
        </w:rPr>
        <w:t xml:space="preserve"> 10330,</w:t>
      </w:r>
      <w:r w:rsidRPr="00DF6624">
        <w:rPr>
          <w:rFonts w:ascii="Book Antiqua" w:hAnsi="Book Antiqua" w:cs="Times New Roman"/>
          <w:color w:val="000000" w:themeColor="text1"/>
          <w:sz w:val="24"/>
          <w:szCs w:val="24"/>
        </w:rPr>
        <w:t xml:space="preserve"> Thailand</w:t>
      </w:r>
    </w:p>
    <w:p w14:paraId="79B6C694"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0706DDE6"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Author contributions:</w:t>
      </w:r>
      <w:r w:rsidRPr="00DF6624">
        <w:rPr>
          <w:rFonts w:ascii="Book Antiqua" w:hAnsi="Book Antiqua" w:cs="Times New Roman"/>
          <w:color w:val="000000" w:themeColor="text1"/>
          <w:sz w:val="24"/>
          <w:szCs w:val="24"/>
        </w:rPr>
        <w:t xml:space="preserve"> Kunanopparat A performed the majority of experiments and analyzed the data; Tangkijvanich P and Sirichindakul B participated in tissue biopsy collection, clinical data and data analysis; Palaga T was involved in data analysis and editing the manuscript; Kimkong I and Hirankarn N designed the research; Kunanopparat A, Kimkong I and Hirankarn N wrote the manuscript.</w:t>
      </w:r>
    </w:p>
    <w:p w14:paraId="2D7B6FC3"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737B4FF2" w14:textId="19BBA7DB"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bCs/>
          <w:color w:val="000000" w:themeColor="text1"/>
          <w:sz w:val="24"/>
          <w:szCs w:val="24"/>
        </w:rPr>
        <w:t>Supported by</w:t>
      </w:r>
      <w:r w:rsidRPr="00DF6624">
        <w:rPr>
          <w:rFonts w:ascii="Book Antiqua" w:hAnsi="Book Antiqua" w:cs="Times New Roman"/>
          <w:bCs/>
          <w:color w:val="000000" w:themeColor="text1"/>
          <w:sz w:val="24"/>
          <w:szCs w:val="24"/>
        </w:rPr>
        <w:t xml:space="preserve"> Nation</w:t>
      </w:r>
      <w:r w:rsidR="00263436" w:rsidRPr="00DF6624">
        <w:rPr>
          <w:rFonts w:ascii="Book Antiqua" w:hAnsi="Book Antiqua" w:cs="Times New Roman"/>
          <w:bCs/>
          <w:color w:val="000000" w:themeColor="text1"/>
          <w:sz w:val="24"/>
          <w:szCs w:val="24"/>
        </w:rPr>
        <w:t>al Research Council of Thailand</w:t>
      </w:r>
      <w:r w:rsidRPr="00DF6624">
        <w:rPr>
          <w:rFonts w:ascii="Book Antiqua" w:hAnsi="Book Antiqua" w:cs="Times New Roman"/>
          <w:bCs/>
          <w:color w:val="000000" w:themeColor="text1"/>
          <w:sz w:val="24"/>
          <w:szCs w:val="24"/>
        </w:rPr>
        <w:t xml:space="preserve"> 2013 and the Ratchadaphiseksomphot Matching Fund from the Faculty of Medicine, Chulalongkorn University</w:t>
      </w:r>
      <w:r w:rsidR="00263436"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 xml:space="preserve"> International Research Integration, Chula Research Scholar, Ratchadaphiseksomphot Endowment Fund, Center of Excellence in Immunology and Immune-mediated Diseases and the Rachadapisaek Sompote Post-Doctoral Fund, Chulalongkorn University. </w:t>
      </w:r>
    </w:p>
    <w:p w14:paraId="5CB6FB63"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t xml:space="preserve"> </w:t>
      </w:r>
    </w:p>
    <w:p w14:paraId="72D6E432"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Institutional review board statement:</w:t>
      </w:r>
      <w:r w:rsidRPr="00DF6624">
        <w:rPr>
          <w:rFonts w:ascii="Book Antiqua" w:hAnsi="Book Antiqua" w:cs="Times New Roman"/>
          <w:color w:val="000000" w:themeColor="text1"/>
          <w:sz w:val="24"/>
          <w:szCs w:val="24"/>
        </w:rPr>
        <w:t xml:space="preserve"> The study was reviewed and approved by the Institutional Review Board (IRB No. 396/55), Faculty of Medicine, Chulalongkorn University.</w:t>
      </w:r>
    </w:p>
    <w:p w14:paraId="38FD4D32"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68875AE4"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Conflict-of-interest statement:</w:t>
      </w:r>
      <w:r w:rsidRPr="00DF6624">
        <w:rPr>
          <w:rFonts w:ascii="Book Antiqua" w:hAnsi="Book Antiqua" w:cs="Times New Roman"/>
          <w:color w:val="000000" w:themeColor="text1"/>
          <w:sz w:val="24"/>
          <w:szCs w:val="24"/>
        </w:rPr>
        <w:t xml:space="preserve"> The authors have no conflicts of interest to declare.</w:t>
      </w:r>
    </w:p>
    <w:p w14:paraId="2BB6D3F7"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1FEE7D3B"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t xml:space="preserve">Data sharing statement: </w:t>
      </w:r>
      <w:r w:rsidRPr="00DF6624">
        <w:rPr>
          <w:rFonts w:ascii="Book Antiqua" w:hAnsi="Book Antiqua" w:cs="Times New Roman"/>
          <w:color w:val="000000" w:themeColor="text1"/>
          <w:sz w:val="24"/>
          <w:szCs w:val="24"/>
        </w:rPr>
        <w:t>No additional data are available.</w:t>
      </w:r>
    </w:p>
    <w:p w14:paraId="1B46F363" w14:textId="77777777" w:rsidR="006725C1" w:rsidRPr="00DF6624" w:rsidRDefault="006725C1" w:rsidP="005C2EDC">
      <w:pPr>
        <w:adjustRightInd w:val="0"/>
        <w:snapToGrid w:val="0"/>
        <w:spacing w:after="0" w:line="360" w:lineRule="auto"/>
        <w:jc w:val="both"/>
        <w:rPr>
          <w:rFonts w:ascii="Book Antiqua" w:eastAsia="宋体" w:hAnsi="Book Antiqua" w:cs="Times New Roman"/>
          <w:b/>
          <w:bCs/>
          <w:iCs/>
          <w:color w:val="000000" w:themeColor="text1"/>
          <w:sz w:val="24"/>
          <w:szCs w:val="24"/>
          <w:lang w:eastAsia="zh-CN"/>
        </w:rPr>
      </w:pPr>
    </w:p>
    <w:p w14:paraId="78587899" w14:textId="77777777" w:rsidR="00367D4E" w:rsidRPr="00DF6624" w:rsidRDefault="00367D4E" w:rsidP="005C2EDC">
      <w:pPr>
        <w:adjustRightInd w:val="0"/>
        <w:snapToGrid w:val="0"/>
        <w:spacing w:after="0" w:line="360" w:lineRule="auto"/>
        <w:jc w:val="both"/>
        <w:rPr>
          <w:rFonts w:ascii="Book Antiqua" w:hAnsi="Book Antiqua"/>
          <w:color w:val="000000" w:themeColor="text1"/>
          <w:sz w:val="24"/>
        </w:rPr>
      </w:pPr>
      <w:bookmarkStart w:id="0" w:name="OLE_LINK507"/>
      <w:bookmarkStart w:id="1" w:name="OLE_LINK506"/>
      <w:bookmarkStart w:id="2" w:name="OLE_LINK496"/>
      <w:bookmarkStart w:id="3" w:name="OLE_LINK479"/>
      <w:r w:rsidRPr="00DF6624">
        <w:rPr>
          <w:rFonts w:ascii="Book Antiqua" w:hAnsi="Book Antiqua"/>
          <w:b/>
          <w:color w:val="000000" w:themeColor="text1"/>
          <w:sz w:val="24"/>
        </w:rPr>
        <w:t xml:space="preserve">Open-Access: </w:t>
      </w:r>
      <w:r w:rsidRPr="00DF6624">
        <w:rPr>
          <w:rFonts w:ascii="Book Antiqua" w:hAnsi="Book Antiqua"/>
          <w:color w:val="000000" w:themeColor="text1"/>
          <w:sz w:val="24"/>
        </w:rPr>
        <w:t>This article is an open-access</w:t>
      </w:r>
      <w:r w:rsidRPr="00DF6624">
        <w:rPr>
          <w:rFonts w:ascii="Book Antiqua" w:hAnsi="Book Antiqua" w:hint="eastAsia"/>
          <w:color w:val="000000" w:themeColor="text1"/>
          <w:sz w:val="24"/>
        </w:rPr>
        <w:t xml:space="preserve"> </w:t>
      </w:r>
      <w:r w:rsidRPr="00DF6624">
        <w:rPr>
          <w:rFonts w:ascii="Book Antiqua" w:hAnsi="Book Antiqua"/>
          <w:color w:val="000000" w:themeColor="text1"/>
          <w:sz w:val="24"/>
        </w:rPr>
        <w:t>article</w:t>
      </w:r>
      <w:r w:rsidRPr="00DF6624">
        <w:rPr>
          <w:rFonts w:ascii="Book Antiqua" w:hAnsi="Book Antiqua" w:hint="eastAsia"/>
          <w:color w:val="000000" w:themeColor="text1"/>
          <w:sz w:val="24"/>
        </w:rPr>
        <w:t xml:space="preserve"> </w:t>
      </w:r>
      <w:r w:rsidRPr="00DF6624">
        <w:rPr>
          <w:rFonts w:ascii="Book Antiqua" w:hAnsi="Book Antiqua"/>
          <w:color w:val="000000" w:themeColor="text1"/>
          <w:sz w:val="24"/>
        </w:rPr>
        <w:t>which was selected by an in-house editor and fully peer-reviewed by external reviewers. It is distributed</w:t>
      </w:r>
      <w:r w:rsidRPr="00DF6624">
        <w:rPr>
          <w:rFonts w:ascii="Book Antiqua" w:hAnsi="Book Antiqua" w:hint="eastAsia"/>
          <w:color w:val="000000" w:themeColor="text1"/>
          <w:sz w:val="24"/>
        </w:rPr>
        <w:t xml:space="preserve"> </w:t>
      </w:r>
      <w:r w:rsidRPr="00DF6624">
        <w:rPr>
          <w:rFonts w:ascii="Book Antiqua" w:hAnsi="Book Antiqua"/>
          <w:color w:val="000000" w:themeColor="text1"/>
          <w:sz w:val="24"/>
        </w:rPr>
        <w:t>in</w:t>
      </w:r>
      <w:r w:rsidRPr="00DF6624">
        <w:rPr>
          <w:rFonts w:ascii="Book Antiqua" w:hAnsi="Book Antiqua" w:hint="eastAsia"/>
          <w:color w:val="000000" w:themeColor="text1"/>
          <w:sz w:val="24"/>
        </w:rPr>
        <w:t xml:space="preserve"> </w:t>
      </w:r>
      <w:r w:rsidRPr="00DF6624">
        <w:rPr>
          <w:rFonts w:ascii="Book Antiqua" w:hAnsi="Book Antiqua"/>
          <w:color w:val="000000" w:themeColor="text1"/>
          <w:sz w:val="24"/>
        </w:rPr>
        <w:t>accordance</w:t>
      </w:r>
      <w:r w:rsidRPr="00DF6624">
        <w:rPr>
          <w:rFonts w:ascii="Book Antiqua" w:hAnsi="Book Antiqua" w:hint="eastAsia"/>
          <w:color w:val="000000" w:themeColor="text1"/>
          <w:sz w:val="24"/>
        </w:rPr>
        <w:t xml:space="preserve"> </w:t>
      </w:r>
      <w:r w:rsidRPr="00DF6624">
        <w:rPr>
          <w:rFonts w:ascii="Book Antiqua" w:hAnsi="Book Antiqua"/>
          <w:color w:val="000000" w:themeColor="text1"/>
          <w:sz w:val="24"/>
        </w:rPr>
        <w:t xml:space="preserve">with the Creative Commons Attribution Non Commercial (CC BY-NC 4.0) license, which permits others to distribute, remix, adapt, build upon this work non-commercially, and license their </w:t>
      </w:r>
      <w:r w:rsidRPr="00DF6624">
        <w:rPr>
          <w:rFonts w:ascii="Book Antiqua" w:hAnsi="Book Antiqua"/>
          <w:color w:val="000000" w:themeColor="text1"/>
          <w:sz w:val="24"/>
        </w:rPr>
        <w:lastRenderedPageBreak/>
        <w:t xml:space="preserve">derivative works on different terms, provided the original work is properly cited and the use is non-commercial. See: </w:t>
      </w:r>
      <w:hyperlink r:id="rId7" w:history="1">
        <w:r w:rsidRPr="00DF6624">
          <w:rPr>
            <w:rStyle w:val="a8"/>
            <w:rFonts w:ascii="Book Antiqua" w:hAnsi="Book Antiqua"/>
            <w:color w:val="000000" w:themeColor="text1"/>
            <w:sz w:val="24"/>
          </w:rPr>
          <w:t>http://creativecommons.org/licenses/by-nc/4.0/</w:t>
        </w:r>
      </w:hyperlink>
      <w:bookmarkEnd w:id="0"/>
      <w:bookmarkEnd w:id="1"/>
      <w:bookmarkEnd w:id="2"/>
      <w:bookmarkEnd w:id="3"/>
    </w:p>
    <w:p w14:paraId="2251C352" w14:textId="77777777" w:rsidR="00367D4E" w:rsidRPr="00DF6624" w:rsidRDefault="00367D4E" w:rsidP="005C2EDC">
      <w:pPr>
        <w:adjustRightInd w:val="0"/>
        <w:snapToGrid w:val="0"/>
        <w:spacing w:after="0" w:line="360" w:lineRule="auto"/>
        <w:jc w:val="both"/>
        <w:rPr>
          <w:rFonts w:ascii="Book Antiqua" w:eastAsia="宋体" w:hAnsi="Book Antiqua"/>
          <w:b/>
          <w:color w:val="000000" w:themeColor="text1"/>
          <w:sz w:val="24"/>
          <w:lang w:eastAsia="zh-CN"/>
        </w:rPr>
      </w:pPr>
    </w:p>
    <w:p w14:paraId="751784E2" w14:textId="77777777" w:rsidR="00367D4E" w:rsidRPr="00DF6624" w:rsidRDefault="00367D4E" w:rsidP="005C2EDC">
      <w:pPr>
        <w:adjustRightInd w:val="0"/>
        <w:snapToGrid w:val="0"/>
        <w:spacing w:after="0" w:line="360" w:lineRule="auto"/>
        <w:jc w:val="both"/>
        <w:rPr>
          <w:rFonts w:ascii="Book Antiqua" w:hAnsi="Book Antiqua"/>
          <w:color w:val="000000" w:themeColor="text1"/>
          <w:sz w:val="24"/>
        </w:rPr>
      </w:pPr>
      <w:r w:rsidRPr="00DF6624">
        <w:rPr>
          <w:rFonts w:ascii="Book Antiqua" w:hAnsi="Book Antiqua"/>
          <w:b/>
          <w:color w:val="000000" w:themeColor="text1"/>
          <w:sz w:val="24"/>
        </w:rPr>
        <w:t xml:space="preserve">Manuscript source: </w:t>
      </w:r>
      <w:r w:rsidRPr="00DF6624">
        <w:rPr>
          <w:rFonts w:ascii="Book Antiqua" w:hAnsi="Book Antiqua"/>
          <w:color w:val="000000" w:themeColor="text1"/>
          <w:sz w:val="24"/>
        </w:rPr>
        <w:t>Invited manuscript</w:t>
      </w:r>
    </w:p>
    <w:p w14:paraId="619ABB25" w14:textId="77777777" w:rsidR="00367D4E" w:rsidRPr="00DF6624" w:rsidRDefault="00367D4E" w:rsidP="005C2EDC">
      <w:pPr>
        <w:adjustRightInd w:val="0"/>
        <w:snapToGrid w:val="0"/>
        <w:spacing w:after="0" w:line="360" w:lineRule="auto"/>
        <w:jc w:val="both"/>
        <w:rPr>
          <w:rFonts w:ascii="Book Antiqua" w:eastAsia="宋体" w:hAnsi="Book Antiqua" w:cs="Times New Roman"/>
          <w:b/>
          <w:bCs/>
          <w:iCs/>
          <w:color w:val="000000" w:themeColor="text1"/>
          <w:sz w:val="24"/>
          <w:szCs w:val="24"/>
          <w:lang w:eastAsia="zh-CN"/>
        </w:rPr>
      </w:pPr>
    </w:p>
    <w:p w14:paraId="749001B7" w14:textId="163CE6DE" w:rsidR="00A860DF" w:rsidRPr="00DF6624" w:rsidRDefault="006725C1" w:rsidP="005C2EDC">
      <w:pPr>
        <w:adjustRightInd w:val="0"/>
        <w:snapToGrid w:val="0"/>
        <w:spacing w:after="0" w:line="360" w:lineRule="auto"/>
        <w:jc w:val="both"/>
        <w:rPr>
          <w:rFonts w:ascii="Book Antiqua" w:eastAsia="宋体" w:hAnsi="Book Antiqua" w:cs="Times New Roman"/>
          <w:bCs/>
          <w:color w:val="000000" w:themeColor="text1"/>
          <w:sz w:val="24"/>
          <w:szCs w:val="24"/>
          <w:lang w:eastAsia="zh-CN"/>
        </w:rPr>
      </w:pPr>
      <w:r w:rsidRPr="00DF6624">
        <w:rPr>
          <w:rFonts w:ascii="Book Antiqua" w:hAnsi="Book Antiqua" w:cs="Times New Roman"/>
          <w:b/>
          <w:color w:val="000000" w:themeColor="text1"/>
          <w:sz w:val="24"/>
          <w:szCs w:val="24"/>
        </w:rPr>
        <w:t>Correspondence to</w:t>
      </w:r>
      <w:r w:rsidRPr="00DF6624">
        <w:rPr>
          <w:rFonts w:ascii="Book Antiqua" w:hAnsi="Book Antiqua" w:cs="Times New Roman"/>
          <w:color w:val="000000" w:themeColor="text1"/>
          <w:sz w:val="24"/>
          <w:szCs w:val="24"/>
        </w:rPr>
        <w:t xml:space="preserve">: </w:t>
      </w:r>
      <w:r w:rsidRPr="00DF6624">
        <w:rPr>
          <w:rFonts w:ascii="Book Antiqua" w:hAnsi="Book Antiqua" w:cs="Times New Roman"/>
          <w:b/>
          <w:bCs/>
          <w:color w:val="000000" w:themeColor="text1"/>
          <w:sz w:val="24"/>
          <w:szCs w:val="24"/>
        </w:rPr>
        <w:t xml:space="preserve">Ingorn Kimkong, </w:t>
      </w:r>
      <w:r w:rsidR="00C920FF" w:rsidRPr="00DF6624">
        <w:rPr>
          <w:rFonts w:ascii="Book Antiqua" w:hAnsi="Book Antiqua" w:cs="Times New Roman"/>
          <w:b/>
          <w:bCs/>
          <w:color w:val="000000" w:themeColor="text1"/>
          <w:sz w:val="24"/>
          <w:szCs w:val="24"/>
        </w:rPr>
        <w:t xml:space="preserve">Assistant Professor, </w:t>
      </w:r>
      <w:r w:rsidRPr="00DF6624">
        <w:rPr>
          <w:rFonts w:ascii="Book Antiqua" w:hAnsi="Book Antiqua" w:cs="Times New Roman"/>
          <w:bCs/>
          <w:color w:val="000000" w:themeColor="text1"/>
          <w:sz w:val="24"/>
          <w:szCs w:val="24"/>
        </w:rPr>
        <w:t>Department of M</w:t>
      </w:r>
      <w:r w:rsidR="004B37BB" w:rsidRPr="00DF6624">
        <w:rPr>
          <w:rFonts w:ascii="Book Antiqua" w:hAnsi="Book Antiqua" w:cs="Times New Roman"/>
          <w:bCs/>
          <w:color w:val="000000" w:themeColor="text1"/>
          <w:sz w:val="24"/>
          <w:szCs w:val="24"/>
        </w:rPr>
        <w:t>icrobiology, Faculty of Science</w:t>
      </w:r>
      <w:r w:rsidR="00367D4E" w:rsidRPr="00DF6624">
        <w:rPr>
          <w:rFonts w:ascii="Book Antiqua" w:hAnsi="Book Antiqua" w:cs="Times New Roman"/>
          <w:bCs/>
          <w:color w:val="000000" w:themeColor="text1"/>
          <w:sz w:val="24"/>
          <w:szCs w:val="24"/>
        </w:rPr>
        <w:t>, Kasetsart University, Bangkok</w:t>
      </w:r>
      <w:r w:rsidR="00C920FF" w:rsidRPr="00DF6624">
        <w:rPr>
          <w:rFonts w:ascii="Book Antiqua" w:hAnsi="Book Antiqua" w:cs="Times New Roman"/>
          <w:bCs/>
          <w:color w:val="000000" w:themeColor="text1"/>
          <w:sz w:val="24"/>
          <w:szCs w:val="24"/>
        </w:rPr>
        <w:t xml:space="preserve"> 10900</w:t>
      </w:r>
      <w:r w:rsidRPr="00DF6624">
        <w:rPr>
          <w:rFonts w:ascii="Book Antiqua" w:hAnsi="Book Antiqua" w:cs="Times New Roman"/>
          <w:bCs/>
          <w:color w:val="000000" w:themeColor="text1"/>
          <w:sz w:val="24"/>
          <w:szCs w:val="24"/>
        </w:rPr>
        <w:t xml:space="preserve"> Thailand</w:t>
      </w:r>
      <w:r w:rsidR="00367D4E" w:rsidRPr="00DF6624">
        <w:rPr>
          <w:rFonts w:ascii="Book Antiqua" w:eastAsia="宋体" w:hAnsi="Book Antiqua" w:cs="Times New Roman" w:hint="eastAsia"/>
          <w:bCs/>
          <w:color w:val="000000" w:themeColor="text1"/>
          <w:sz w:val="24"/>
          <w:szCs w:val="24"/>
          <w:lang w:eastAsia="zh-CN"/>
        </w:rPr>
        <w:t xml:space="preserve">. </w:t>
      </w:r>
      <w:r w:rsidR="00A860DF" w:rsidRPr="00DF6624">
        <w:rPr>
          <w:rFonts w:ascii="Book Antiqua" w:hAnsi="Book Antiqua" w:cs="Times New Roman"/>
          <w:bCs/>
          <w:color w:val="000000" w:themeColor="text1"/>
          <w:sz w:val="24"/>
          <w:szCs w:val="24"/>
        </w:rPr>
        <w:t>fsciiok@ku.ac.th</w:t>
      </w:r>
    </w:p>
    <w:p w14:paraId="0C9E4B57" w14:textId="4903D3BD" w:rsidR="003147C3" w:rsidRPr="00DF6624" w:rsidRDefault="003147C3"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t xml:space="preserve">Telephone: </w:t>
      </w:r>
      <w:r w:rsidRPr="00DF6624">
        <w:rPr>
          <w:rFonts w:ascii="Book Antiqua" w:hAnsi="Book Antiqua" w:cs="Times New Roman"/>
          <w:bCs/>
          <w:color w:val="000000" w:themeColor="text1"/>
          <w:sz w:val="24"/>
          <w:szCs w:val="24"/>
        </w:rPr>
        <w:t>+66</w:t>
      </w:r>
      <w:r w:rsidR="00A860DF"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25625555</w:t>
      </w:r>
      <w:r w:rsidR="00A860DF"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4040</w:t>
      </w:r>
    </w:p>
    <w:p w14:paraId="2FBD0B5E" w14:textId="32DEC304" w:rsidR="003147C3" w:rsidRPr="00DF6624" w:rsidRDefault="003147C3" w:rsidP="005C2EDC">
      <w:pPr>
        <w:adjustRightInd w:val="0"/>
        <w:snapToGrid w:val="0"/>
        <w:spacing w:after="0" w:line="360" w:lineRule="auto"/>
        <w:jc w:val="both"/>
        <w:rPr>
          <w:rFonts w:ascii="Book Antiqua" w:hAnsi="Book Antiqua" w:cs="Times New Roman"/>
          <w:b/>
          <w:color w:val="000000" w:themeColor="text1"/>
          <w:sz w:val="24"/>
          <w:szCs w:val="24"/>
        </w:rPr>
      </w:pPr>
      <w:r w:rsidRPr="00DF6624">
        <w:rPr>
          <w:rFonts w:ascii="Book Antiqua" w:hAnsi="Book Antiqua" w:cs="Times New Roman"/>
          <w:b/>
          <w:color w:val="000000" w:themeColor="text1"/>
          <w:sz w:val="24"/>
          <w:szCs w:val="24"/>
        </w:rPr>
        <w:t xml:space="preserve">Fax: </w:t>
      </w:r>
      <w:r w:rsidRPr="00DF6624">
        <w:rPr>
          <w:rFonts w:ascii="Book Antiqua" w:hAnsi="Book Antiqua" w:cs="Times New Roman"/>
          <w:bCs/>
          <w:color w:val="000000" w:themeColor="text1"/>
          <w:sz w:val="24"/>
          <w:szCs w:val="24"/>
        </w:rPr>
        <w:t>+66</w:t>
      </w:r>
      <w:r w:rsidR="00A860DF"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25792081</w:t>
      </w:r>
    </w:p>
    <w:p w14:paraId="26EC43A0" w14:textId="77777777" w:rsidR="00A860DF" w:rsidRPr="00DF6624" w:rsidRDefault="00A860DF" w:rsidP="005C2EDC">
      <w:pPr>
        <w:adjustRightInd w:val="0"/>
        <w:snapToGrid w:val="0"/>
        <w:spacing w:after="0" w:line="360" w:lineRule="auto"/>
        <w:jc w:val="both"/>
        <w:rPr>
          <w:rFonts w:ascii="Book Antiqua" w:eastAsia="宋体" w:hAnsi="Book Antiqua" w:cs="Times New Roman"/>
          <w:b/>
          <w:color w:val="000000" w:themeColor="text1"/>
          <w:sz w:val="24"/>
          <w:szCs w:val="24"/>
          <w:lang w:eastAsia="zh-CN"/>
        </w:rPr>
      </w:pPr>
    </w:p>
    <w:p w14:paraId="5CCECE80" w14:textId="336C0D57" w:rsidR="00A860DF" w:rsidRPr="00DF6624" w:rsidRDefault="00A860DF" w:rsidP="005C2EDC">
      <w:pPr>
        <w:adjustRightInd w:val="0"/>
        <w:snapToGrid w:val="0"/>
        <w:spacing w:after="0" w:line="360" w:lineRule="auto"/>
        <w:jc w:val="both"/>
        <w:rPr>
          <w:rFonts w:ascii="Book Antiqua" w:hAnsi="Book Antiqua"/>
          <w:b/>
          <w:color w:val="000000" w:themeColor="text1"/>
          <w:sz w:val="24"/>
        </w:rPr>
      </w:pPr>
      <w:r w:rsidRPr="00DF6624">
        <w:rPr>
          <w:rFonts w:ascii="Book Antiqua" w:hAnsi="Book Antiqua"/>
          <w:b/>
          <w:color w:val="000000" w:themeColor="text1"/>
          <w:sz w:val="24"/>
        </w:rPr>
        <w:t xml:space="preserve">Received: </w:t>
      </w:r>
      <w:r w:rsidR="00DF6624" w:rsidRPr="00DF6624">
        <w:rPr>
          <w:rFonts w:ascii="Book Antiqua" w:hAnsi="Book Antiqua"/>
          <w:color w:val="000000" w:themeColor="text1"/>
          <w:sz w:val="24"/>
        </w:rPr>
        <w:t>May</w:t>
      </w:r>
      <w:r w:rsidR="00DF6624" w:rsidRPr="00DF6624">
        <w:rPr>
          <w:rFonts w:ascii="Book Antiqua" w:eastAsia="宋体" w:hAnsi="Book Antiqua" w:hint="eastAsia"/>
          <w:color w:val="000000" w:themeColor="text1"/>
          <w:sz w:val="24"/>
          <w:lang w:eastAsia="zh-CN"/>
        </w:rPr>
        <w:t xml:space="preserve"> 21, 2016</w:t>
      </w:r>
      <w:r w:rsidR="00DF6624" w:rsidRPr="00DF6624">
        <w:rPr>
          <w:rFonts w:ascii="Book Antiqua" w:hAnsi="Book Antiqua"/>
          <w:b/>
          <w:i/>
          <w:color w:val="000000" w:themeColor="text1"/>
          <w:sz w:val="24"/>
        </w:rPr>
        <w:t xml:space="preserve"> </w:t>
      </w:r>
    </w:p>
    <w:p w14:paraId="04D4DCB2" w14:textId="176743AE" w:rsidR="00A860DF" w:rsidRPr="00DF6624" w:rsidRDefault="00A860DF" w:rsidP="005C2EDC">
      <w:pPr>
        <w:adjustRightInd w:val="0"/>
        <w:snapToGrid w:val="0"/>
        <w:spacing w:after="0" w:line="360" w:lineRule="auto"/>
        <w:jc w:val="both"/>
        <w:rPr>
          <w:rFonts w:ascii="Book Antiqua" w:eastAsia="宋体" w:hAnsi="Book Antiqua"/>
          <w:b/>
          <w:color w:val="000000" w:themeColor="text1"/>
          <w:sz w:val="24"/>
          <w:lang w:eastAsia="zh-CN"/>
        </w:rPr>
      </w:pPr>
      <w:r w:rsidRPr="00DF6624">
        <w:rPr>
          <w:rFonts w:ascii="Book Antiqua" w:hAnsi="Book Antiqua"/>
          <w:b/>
          <w:color w:val="000000" w:themeColor="text1"/>
          <w:sz w:val="24"/>
        </w:rPr>
        <w:t>Peer-review started:</w:t>
      </w:r>
      <w:r w:rsidR="00DF6624" w:rsidRPr="00DF6624">
        <w:rPr>
          <w:rFonts w:ascii="Book Antiqua" w:eastAsia="宋体" w:hAnsi="Book Antiqua" w:hint="eastAsia"/>
          <w:b/>
          <w:color w:val="000000" w:themeColor="text1"/>
          <w:sz w:val="24"/>
          <w:lang w:eastAsia="zh-CN"/>
        </w:rPr>
        <w:t xml:space="preserve"> </w:t>
      </w:r>
      <w:r w:rsidR="00DF6624" w:rsidRPr="00DF6624">
        <w:rPr>
          <w:rFonts w:ascii="Book Antiqua" w:hAnsi="Book Antiqua"/>
          <w:color w:val="000000" w:themeColor="text1"/>
          <w:sz w:val="24"/>
        </w:rPr>
        <w:t>May</w:t>
      </w:r>
      <w:r w:rsidR="00DF6624" w:rsidRPr="00DF6624">
        <w:rPr>
          <w:rFonts w:ascii="Book Antiqua" w:eastAsia="宋体" w:hAnsi="Book Antiqua" w:hint="eastAsia"/>
          <w:color w:val="000000" w:themeColor="text1"/>
          <w:sz w:val="24"/>
          <w:lang w:eastAsia="zh-CN"/>
        </w:rPr>
        <w:t xml:space="preserve"> 23, 2016</w:t>
      </w:r>
    </w:p>
    <w:p w14:paraId="7523441F" w14:textId="4BA9F661" w:rsidR="00A860DF" w:rsidRPr="00DF6624" w:rsidRDefault="00A860DF" w:rsidP="005C2EDC">
      <w:pPr>
        <w:adjustRightInd w:val="0"/>
        <w:snapToGrid w:val="0"/>
        <w:spacing w:after="0" w:line="360" w:lineRule="auto"/>
        <w:jc w:val="both"/>
        <w:rPr>
          <w:rFonts w:ascii="Book Antiqua" w:eastAsia="宋体" w:hAnsi="Book Antiqua"/>
          <w:b/>
          <w:color w:val="000000" w:themeColor="text1"/>
          <w:sz w:val="24"/>
          <w:lang w:eastAsia="zh-CN"/>
        </w:rPr>
      </w:pPr>
      <w:r w:rsidRPr="00DF6624">
        <w:rPr>
          <w:rFonts w:ascii="Book Antiqua" w:hAnsi="Book Antiqua"/>
          <w:b/>
          <w:color w:val="000000" w:themeColor="text1"/>
          <w:sz w:val="24"/>
        </w:rPr>
        <w:t>First decision:</w:t>
      </w:r>
      <w:r w:rsidR="00DF6624" w:rsidRPr="00DF6624">
        <w:rPr>
          <w:rFonts w:ascii="Book Antiqua" w:eastAsia="宋体" w:hAnsi="Book Antiqua" w:hint="eastAsia"/>
          <w:b/>
          <w:color w:val="000000" w:themeColor="text1"/>
          <w:sz w:val="24"/>
          <w:lang w:eastAsia="zh-CN"/>
        </w:rPr>
        <w:t xml:space="preserve"> </w:t>
      </w:r>
      <w:r w:rsidR="00DF6624" w:rsidRPr="00DF6624">
        <w:rPr>
          <w:rFonts w:ascii="Book Antiqua" w:hAnsi="Book Antiqua"/>
          <w:color w:val="000000" w:themeColor="text1"/>
          <w:sz w:val="24"/>
        </w:rPr>
        <w:t>June</w:t>
      </w:r>
      <w:r w:rsidR="00DF6624" w:rsidRPr="00DF6624">
        <w:rPr>
          <w:rFonts w:ascii="Book Antiqua" w:eastAsia="宋体" w:hAnsi="Book Antiqua" w:hint="eastAsia"/>
          <w:color w:val="000000" w:themeColor="text1"/>
          <w:sz w:val="24"/>
          <w:lang w:eastAsia="zh-CN"/>
        </w:rPr>
        <w:t xml:space="preserve"> 20, 2016</w:t>
      </w:r>
    </w:p>
    <w:p w14:paraId="64F94096" w14:textId="3D1CC8AE" w:rsidR="00A860DF" w:rsidRPr="00DF6624" w:rsidRDefault="00A860DF" w:rsidP="005C2EDC">
      <w:pPr>
        <w:adjustRightInd w:val="0"/>
        <w:snapToGrid w:val="0"/>
        <w:spacing w:after="0" w:line="360" w:lineRule="auto"/>
        <w:jc w:val="both"/>
        <w:rPr>
          <w:rFonts w:ascii="Book Antiqua" w:hAnsi="Book Antiqua"/>
          <w:b/>
          <w:color w:val="000000" w:themeColor="text1"/>
          <w:sz w:val="24"/>
        </w:rPr>
      </w:pPr>
      <w:r w:rsidRPr="00DF6624">
        <w:rPr>
          <w:rFonts w:ascii="Book Antiqua" w:hAnsi="Book Antiqua"/>
          <w:b/>
          <w:color w:val="000000" w:themeColor="text1"/>
          <w:sz w:val="24"/>
        </w:rPr>
        <w:t xml:space="preserve">Revised: </w:t>
      </w:r>
      <w:r w:rsidR="00DF6624" w:rsidRPr="00DF6624">
        <w:rPr>
          <w:rFonts w:ascii="Book Antiqua" w:hAnsi="Book Antiqua"/>
          <w:color w:val="000000" w:themeColor="text1"/>
          <w:sz w:val="24"/>
        </w:rPr>
        <w:t>July</w:t>
      </w:r>
      <w:r w:rsidR="00DF6624" w:rsidRPr="00DF6624">
        <w:rPr>
          <w:rFonts w:ascii="Book Antiqua" w:eastAsia="宋体" w:hAnsi="Book Antiqua" w:hint="eastAsia"/>
          <w:color w:val="000000" w:themeColor="text1"/>
          <w:sz w:val="24"/>
          <w:lang w:eastAsia="zh-CN"/>
        </w:rPr>
        <w:t xml:space="preserve"> 4, 2016</w:t>
      </w:r>
      <w:r w:rsidRPr="00DF6624">
        <w:rPr>
          <w:rFonts w:ascii="Book Antiqua" w:hAnsi="Book Antiqua"/>
          <w:b/>
          <w:color w:val="000000" w:themeColor="text1"/>
          <w:sz w:val="24"/>
        </w:rPr>
        <w:t xml:space="preserve"> </w:t>
      </w:r>
    </w:p>
    <w:p w14:paraId="492FA6EA" w14:textId="612BEC74" w:rsidR="00A860DF" w:rsidRPr="001D5995" w:rsidRDefault="00A860DF" w:rsidP="001D5995">
      <w:pPr>
        <w:spacing w:line="360" w:lineRule="auto"/>
        <w:rPr>
          <w:rFonts w:ascii="Book Antiqua" w:hAnsi="Book Antiqua"/>
          <w:color w:val="000000"/>
          <w:sz w:val="24"/>
        </w:rPr>
      </w:pPr>
      <w:r w:rsidRPr="00DF6624">
        <w:rPr>
          <w:rFonts w:ascii="Book Antiqua" w:hAnsi="Book Antiqua"/>
          <w:b/>
          <w:color w:val="000000" w:themeColor="text1"/>
          <w:sz w:val="24"/>
        </w:rPr>
        <w:t>Accepted:</w:t>
      </w:r>
      <w:r w:rsidR="001D5995" w:rsidRPr="001D5995">
        <w:rPr>
          <w:rFonts w:ascii="Book Antiqua" w:hAnsi="Book Antiqua"/>
          <w:color w:val="000000"/>
          <w:sz w:val="24"/>
        </w:rPr>
        <w:t xml:space="preserve"> </w:t>
      </w:r>
      <w:r w:rsidR="001D5995">
        <w:rPr>
          <w:rFonts w:ascii="Book Antiqua" w:hAnsi="Book Antiqua"/>
          <w:color w:val="000000"/>
          <w:sz w:val="24"/>
        </w:rPr>
        <w:t>August 1, 2016</w:t>
      </w:r>
      <w:r w:rsidR="00DF6624" w:rsidRPr="00DF6624">
        <w:rPr>
          <w:rFonts w:ascii="Book Antiqua" w:hAnsi="Book Antiqua"/>
          <w:b/>
          <w:i/>
          <w:color w:val="000000" w:themeColor="text1"/>
          <w:sz w:val="24"/>
        </w:rPr>
        <w:t xml:space="preserve"> </w:t>
      </w:r>
    </w:p>
    <w:p w14:paraId="4423327A" w14:textId="77777777" w:rsidR="00A860DF" w:rsidRPr="00DF6624" w:rsidRDefault="00A860DF" w:rsidP="005C2EDC">
      <w:pPr>
        <w:adjustRightInd w:val="0"/>
        <w:snapToGrid w:val="0"/>
        <w:spacing w:after="0" w:line="360" w:lineRule="auto"/>
        <w:jc w:val="both"/>
        <w:rPr>
          <w:rFonts w:ascii="Book Antiqua" w:hAnsi="Book Antiqua"/>
          <w:b/>
          <w:color w:val="000000" w:themeColor="text1"/>
          <w:sz w:val="24"/>
        </w:rPr>
      </w:pPr>
      <w:r w:rsidRPr="00DF6624">
        <w:rPr>
          <w:rFonts w:ascii="Book Antiqua" w:hAnsi="Book Antiqua"/>
          <w:b/>
          <w:color w:val="000000" w:themeColor="text1"/>
          <w:sz w:val="24"/>
        </w:rPr>
        <w:t>Article in press:</w:t>
      </w:r>
    </w:p>
    <w:p w14:paraId="15545980" w14:textId="77777777" w:rsidR="00A860DF" w:rsidRPr="00DF6624" w:rsidRDefault="00A860DF" w:rsidP="005C2EDC">
      <w:pPr>
        <w:adjustRightInd w:val="0"/>
        <w:snapToGrid w:val="0"/>
        <w:spacing w:after="0" w:line="360" w:lineRule="auto"/>
        <w:jc w:val="both"/>
        <w:rPr>
          <w:rFonts w:ascii="Book Antiqua" w:hAnsi="Book Antiqua"/>
          <w:color w:val="000000" w:themeColor="text1"/>
          <w:sz w:val="24"/>
        </w:rPr>
      </w:pPr>
      <w:r w:rsidRPr="00DF6624">
        <w:rPr>
          <w:rFonts w:ascii="Book Antiqua" w:hAnsi="Book Antiqua"/>
          <w:b/>
          <w:color w:val="000000" w:themeColor="text1"/>
          <w:sz w:val="24"/>
        </w:rPr>
        <w:t>Published online:</w:t>
      </w:r>
    </w:p>
    <w:p w14:paraId="5FFA3B8B" w14:textId="77777777" w:rsidR="00A860DF" w:rsidRPr="00DF6624" w:rsidRDefault="00A860DF" w:rsidP="005C2EDC">
      <w:pPr>
        <w:adjustRightInd w:val="0"/>
        <w:snapToGrid w:val="0"/>
        <w:spacing w:after="0" w:line="360" w:lineRule="auto"/>
        <w:jc w:val="both"/>
        <w:rPr>
          <w:rFonts w:ascii="Arial" w:hAnsi="Arial" w:cs="Arial"/>
          <w:b/>
          <w:bCs/>
          <w:color w:val="000000" w:themeColor="text1"/>
          <w:sz w:val="27"/>
          <w:szCs w:val="27"/>
          <w:shd w:val="clear" w:color="auto" w:fill="FAFAFA"/>
        </w:rPr>
      </w:pPr>
    </w:p>
    <w:p w14:paraId="66AE707D" w14:textId="2F29B8D2" w:rsidR="00DF6624" w:rsidRPr="00DF6624" w:rsidRDefault="00DF6624" w:rsidP="005C2EDC">
      <w:pPr>
        <w:adjustRightInd w:val="0"/>
        <w:snapToGrid w:val="0"/>
        <w:spacing w:after="0" w:line="360" w:lineRule="auto"/>
        <w:jc w:val="both"/>
        <w:rPr>
          <w:rFonts w:ascii="Book Antiqua" w:eastAsia="宋体" w:hAnsi="Book Antiqua" w:cs="Times New Roman"/>
          <w:b/>
          <w:color w:val="000000" w:themeColor="text1"/>
          <w:sz w:val="24"/>
          <w:szCs w:val="24"/>
          <w:lang w:eastAsia="zh-CN"/>
        </w:rPr>
      </w:pPr>
      <w:r w:rsidRPr="00DF6624">
        <w:rPr>
          <w:rFonts w:ascii="Book Antiqua" w:eastAsia="宋体" w:hAnsi="Book Antiqua" w:cs="Times New Roman"/>
          <w:b/>
          <w:color w:val="000000" w:themeColor="text1"/>
          <w:sz w:val="24"/>
          <w:szCs w:val="24"/>
          <w:lang w:eastAsia="zh-CN"/>
        </w:rPr>
        <w:br w:type="page"/>
      </w:r>
    </w:p>
    <w:p w14:paraId="36F6EEA5" w14:textId="50EB1C6D" w:rsidR="00190FD3" w:rsidRPr="00DF6624" w:rsidRDefault="00A860DF" w:rsidP="005C2EDC">
      <w:pPr>
        <w:adjustRightInd w:val="0"/>
        <w:snapToGrid w:val="0"/>
        <w:spacing w:after="0" w:line="360" w:lineRule="auto"/>
        <w:jc w:val="both"/>
        <w:rPr>
          <w:rFonts w:ascii="Book Antiqua" w:eastAsia="宋体" w:hAnsi="Book Antiqua" w:cs="Times New Roman"/>
          <w:b/>
          <w:color w:val="000000" w:themeColor="text1"/>
          <w:sz w:val="24"/>
          <w:szCs w:val="24"/>
          <w:lang w:eastAsia="zh-CN"/>
        </w:rPr>
      </w:pPr>
      <w:r w:rsidRPr="00DF6624">
        <w:rPr>
          <w:rFonts w:ascii="Book Antiqua" w:hAnsi="Book Antiqua" w:cs="Times New Roman"/>
          <w:b/>
          <w:color w:val="000000" w:themeColor="text1"/>
          <w:sz w:val="24"/>
          <w:szCs w:val="24"/>
        </w:rPr>
        <w:lastRenderedPageBreak/>
        <w:t>Abstract</w:t>
      </w:r>
    </w:p>
    <w:p w14:paraId="6213D48F" w14:textId="1910DCE5"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t xml:space="preserve">AIM: </w:t>
      </w:r>
      <w:r w:rsidRPr="00DF6624">
        <w:rPr>
          <w:rFonts w:ascii="Book Antiqua" w:hAnsi="Book Antiqua" w:cs="Times New Roman"/>
          <w:bCs/>
          <w:color w:val="000000" w:themeColor="text1"/>
          <w:sz w:val="24"/>
          <w:szCs w:val="24"/>
        </w:rPr>
        <w:t>To i</w:t>
      </w:r>
      <w:r w:rsidRPr="00DF6624">
        <w:rPr>
          <w:rFonts w:ascii="Book Antiqua" w:hAnsi="Book Antiqua"/>
          <w:bCs/>
          <w:color w:val="000000" w:themeColor="text1"/>
          <w:sz w:val="24"/>
          <w:szCs w:val="24"/>
        </w:rPr>
        <w:t>nvestigate</w:t>
      </w:r>
      <w:r w:rsidRPr="00DF6624">
        <w:rPr>
          <w:rFonts w:ascii="Book Antiqua" w:hAnsi="Book Antiqua" w:cs="Times New Roman"/>
          <w:bCs/>
          <w:color w:val="000000" w:themeColor="text1"/>
          <w:sz w:val="24"/>
          <w:szCs w:val="24"/>
        </w:rPr>
        <w:t xml:space="preserve"> autophagy-related genes, particularly ATG12, in apoptosis and cell cycle in </w:t>
      </w:r>
      <w:r w:rsidR="00190FD3" w:rsidRPr="00DF6624">
        <w:rPr>
          <w:rFonts w:ascii="Book Antiqua" w:hAnsi="Book Antiqua" w:cs="Times New Roman"/>
          <w:bCs/>
          <w:color w:val="000000" w:themeColor="text1"/>
          <w:sz w:val="24"/>
          <w:szCs w:val="24"/>
        </w:rPr>
        <w:t xml:space="preserve">hepatitis B virus </w:t>
      </w:r>
      <w:r w:rsidR="00190FD3"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HBV</w:t>
      </w:r>
      <w:r w:rsidR="00190FD3"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-associated hepatocellular carcinoma (HCC) and non-HBV-HCC cell lines.</w:t>
      </w:r>
    </w:p>
    <w:p w14:paraId="2DCE6065" w14:textId="77777777"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p>
    <w:p w14:paraId="6154D27D" w14:textId="77777777"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t xml:space="preserve">METHODS: </w:t>
      </w:r>
      <w:r w:rsidRPr="00DF6624">
        <w:rPr>
          <w:rFonts w:ascii="Book Antiqua" w:hAnsi="Book Antiqua" w:cs="Times New Roman"/>
          <w:bCs/>
          <w:color w:val="000000" w:themeColor="text1"/>
          <w:sz w:val="24"/>
          <w:szCs w:val="24"/>
        </w:rPr>
        <w:t>The expression of autophagy-related genes in HBV-associated hepatocellular carcinoma and non-HBV-HCC cell lines and human liver tissues was examined by quantitative real-time reverse transcriptase–polymerase chain reaction (qRT-PCR) and western blotting.</w:t>
      </w:r>
      <w:r w:rsidRPr="00DF6624">
        <w:rPr>
          <w:rFonts w:ascii="Book Antiqua" w:hAnsi="Book Antiqua"/>
          <w:color w:val="000000" w:themeColor="text1"/>
          <w:sz w:val="24"/>
          <w:szCs w:val="24"/>
        </w:rPr>
        <w:t xml:space="preserve"> </w:t>
      </w:r>
      <w:r w:rsidRPr="00DF6624">
        <w:rPr>
          <w:rFonts w:ascii="Book Antiqua" w:hAnsi="Book Antiqua" w:cs="Times New Roman"/>
          <w:bCs/>
          <w:color w:val="000000" w:themeColor="text1"/>
          <w:sz w:val="24"/>
          <w:szCs w:val="24"/>
        </w:rPr>
        <w:t xml:space="preserve">The silencing of target genes was used to examine the function of various genes in apoptosis and cell cycle progression. </w:t>
      </w:r>
    </w:p>
    <w:p w14:paraId="0E1BF069" w14:textId="77777777" w:rsidR="006725C1" w:rsidRPr="00DF6624" w:rsidRDefault="006725C1" w:rsidP="005C2EDC">
      <w:pPr>
        <w:adjustRightInd w:val="0"/>
        <w:snapToGrid w:val="0"/>
        <w:spacing w:after="0" w:line="360" w:lineRule="auto"/>
        <w:jc w:val="both"/>
        <w:rPr>
          <w:rFonts w:ascii="Book Antiqua" w:hAnsi="Book Antiqua" w:cs="Times New Roman"/>
          <w:b/>
          <w:color w:val="000000" w:themeColor="text1"/>
          <w:sz w:val="24"/>
          <w:szCs w:val="24"/>
        </w:rPr>
      </w:pPr>
    </w:p>
    <w:p w14:paraId="60E2AE4E" w14:textId="550C5C30"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t xml:space="preserve">RESULTS: </w:t>
      </w:r>
      <w:r w:rsidRPr="00DF6624">
        <w:rPr>
          <w:rFonts w:ascii="Book Antiqua" w:hAnsi="Book Antiqua" w:cs="Times New Roman"/>
          <w:bCs/>
          <w:color w:val="000000" w:themeColor="text1"/>
          <w:sz w:val="24"/>
          <w:szCs w:val="24"/>
        </w:rPr>
        <w:t>The expression of autophagy related genes ATG5, ATG12, ATG9A and ATG4B expression was analyzed in HepG2.2.15 cells and compared with HepG2 and THLE cells. We found that ATG5 and ATG12 mRNA expression was significantly increased in HepG2.2.15 cells compared to HepG2 cells (</w:t>
      </w:r>
      <w:r w:rsidR="00DF6624" w:rsidRPr="00DF6624">
        <w:rPr>
          <w:rFonts w:ascii="Book Antiqua" w:hAnsi="Book Antiqua" w:cs="Times New Roman"/>
          <w:bCs/>
          <w:i/>
          <w:color w:val="000000" w:themeColor="text1"/>
          <w:sz w:val="24"/>
          <w:szCs w:val="24"/>
        </w:rPr>
        <w:t xml:space="preserve">P &lt; </w:t>
      </w:r>
      <w:r w:rsidRPr="00DF6624">
        <w:rPr>
          <w:rFonts w:ascii="Book Antiqua" w:hAnsi="Book Antiqua" w:cs="Times New Roman"/>
          <w:bCs/>
          <w:color w:val="000000" w:themeColor="text1"/>
          <w:sz w:val="24"/>
          <w:szCs w:val="24"/>
        </w:rPr>
        <w:t>0.005). Moreover, ATG5-ATG12 protein levels were increased in tumor liver tissues compared to adjacent non-tumor tissues mainly from HCC patients with HBV infection. We also analyzed the function of ATG12 in cell apoptosis and cell cycle progression. The percentage of apoptotic cells increased by 11.4% in ATG12-silenced HepG2.2.15 cells (</w:t>
      </w:r>
      <w:r w:rsidR="00DF6624" w:rsidRPr="00DF6624">
        <w:rPr>
          <w:rFonts w:ascii="Book Antiqua" w:hAnsi="Book Antiqua" w:cs="Times New Roman"/>
          <w:bCs/>
          <w:i/>
          <w:color w:val="000000" w:themeColor="text1"/>
          <w:sz w:val="24"/>
          <w:szCs w:val="24"/>
        </w:rPr>
        <w:t xml:space="preserve">P &lt; </w:t>
      </w:r>
      <w:r w:rsidRPr="00DF6624">
        <w:rPr>
          <w:rFonts w:ascii="Book Antiqua" w:hAnsi="Book Antiqua" w:cs="Times New Roman"/>
          <w:bCs/>
          <w:color w:val="000000" w:themeColor="text1"/>
          <w:sz w:val="24"/>
          <w:szCs w:val="24"/>
        </w:rPr>
        <w:t>0.005) but did not change in ATG12-silenced HepG2 cells</w:t>
      </w:r>
      <w:r w:rsidRPr="00DF6624">
        <w:rPr>
          <w:rFonts w:ascii="Book Antiqua" w:hAnsi="Book Antiqua"/>
          <w:color w:val="000000" w:themeColor="text1"/>
          <w:sz w:val="24"/>
          <w:szCs w:val="24"/>
        </w:rPr>
        <w:t xml:space="preserve"> </w:t>
      </w:r>
      <w:r w:rsidRPr="00DF6624">
        <w:rPr>
          <w:rFonts w:ascii="Book Antiqua" w:hAnsi="Book Antiqua" w:cs="Times New Roman"/>
          <w:bCs/>
          <w:color w:val="000000" w:themeColor="text1"/>
          <w:sz w:val="24"/>
          <w:szCs w:val="24"/>
        </w:rPr>
        <w:t xml:space="preserve">under starvation with Earle’s balanced salt solution. However, </w:t>
      </w:r>
      <w:r w:rsidRPr="00DF6624">
        <w:rPr>
          <w:rFonts w:ascii="Book Antiqua" w:hAnsi="Book Antiqua"/>
          <w:color w:val="000000" w:themeColor="text1"/>
          <w:sz w:val="24"/>
          <w:szCs w:val="24"/>
        </w:rPr>
        <w:t>t</w:t>
      </w:r>
      <w:r w:rsidRPr="00DF6624">
        <w:rPr>
          <w:rFonts w:ascii="Book Antiqua" w:hAnsi="Book Antiqua" w:cs="Times New Roman"/>
          <w:bCs/>
          <w:color w:val="000000" w:themeColor="text1"/>
          <w:sz w:val="24"/>
          <w:szCs w:val="24"/>
        </w:rPr>
        <w:t>he combination blockade of Notch signaling and ATG12 decreased the apoptotic rate of HepG2.2.15 cells from 55.6% to 50.4% (</w:t>
      </w:r>
      <w:r w:rsidR="00DF6624" w:rsidRPr="00DF6624">
        <w:rPr>
          <w:rFonts w:ascii="Book Antiqua" w:hAnsi="Book Antiqua" w:cs="Times New Roman"/>
          <w:bCs/>
          <w:i/>
          <w:color w:val="000000" w:themeColor="text1"/>
          <w:sz w:val="24"/>
          <w:szCs w:val="24"/>
        </w:rPr>
        <w:t xml:space="preserve">P &lt; </w:t>
      </w:r>
      <w:r w:rsidRPr="00DF6624">
        <w:rPr>
          <w:rFonts w:ascii="Book Antiqua" w:hAnsi="Book Antiqua" w:cs="Times New Roman"/>
          <w:bCs/>
          <w:color w:val="000000" w:themeColor="text1"/>
          <w:sz w:val="24"/>
          <w:szCs w:val="24"/>
        </w:rPr>
        <w:t xml:space="preserve">0.05). </w:t>
      </w:r>
    </w:p>
    <w:p w14:paraId="7345CF15" w14:textId="77777777"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p>
    <w:p w14:paraId="58265648" w14:textId="77777777"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t>CONCLUSION:</w:t>
      </w:r>
      <w:r w:rsidRPr="00DF6624">
        <w:rPr>
          <w:rFonts w:ascii="Book Antiqua" w:hAnsi="Book Antiqua"/>
          <w:color w:val="000000" w:themeColor="text1"/>
          <w:sz w:val="24"/>
          <w:szCs w:val="24"/>
        </w:rPr>
        <w:t xml:space="preserve"> </w:t>
      </w:r>
      <w:r w:rsidRPr="00DF6624">
        <w:rPr>
          <w:rFonts w:ascii="Book Antiqua" w:hAnsi="Book Antiqua" w:cs="Times New Roman"/>
          <w:bCs/>
          <w:color w:val="000000" w:themeColor="text1"/>
          <w:sz w:val="24"/>
          <w:szCs w:val="24"/>
        </w:rPr>
        <w:t xml:space="preserve">ATG12 is important for HBV-associated </w:t>
      </w:r>
      <w:r w:rsidRPr="00DF6624">
        <w:rPr>
          <w:rFonts w:ascii="Book Antiqua" w:hAnsi="Book Antiqua" w:cs="Times New Roman"/>
          <w:color w:val="000000" w:themeColor="text1"/>
          <w:sz w:val="24"/>
          <w:szCs w:val="24"/>
        </w:rPr>
        <w:t xml:space="preserve">apoptosis </w:t>
      </w:r>
      <w:r w:rsidRPr="00DF6624">
        <w:rPr>
          <w:rFonts w:ascii="Book Antiqua" w:hAnsi="Book Antiqua" w:cs="Times New Roman"/>
          <w:bCs/>
          <w:color w:val="000000" w:themeColor="text1"/>
          <w:sz w:val="24"/>
          <w:szCs w:val="24"/>
        </w:rPr>
        <w:t xml:space="preserve">and a potential drug target for HBV-HCC. </w:t>
      </w:r>
      <w:r w:rsidRPr="00DF6624">
        <w:rPr>
          <w:rFonts w:ascii="Book Antiqua" w:hAnsi="Book Antiqua" w:cs="Times New Roman"/>
          <w:color w:val="000000" w:themeColor="text1"/>
          <w:sz w:val="24"/>
          <w:szCs w:val="24"/>
        </w:rPr>
        <w:t>Combination inhibition of ATG12/Notch signaling</w:t>
      </w:r>
      <w:r w:rsidRPr="00DF6624" w:rsidDel="00C8118D">
        <w:rPr>
          <w:rFonts w:ascii="Book Antiqua" w:hAnsi="Book Antiqua" w:cs="Times New Roman"/>
          <w:bCs/>
          <w:color w:val="000000" w:themeColor="text1"/>
          <w:sz w:val="24"/>
          <w:szCs w:val="24"/>
        </w:rPr>
        <w:t xml:space="preserve"> </w:t>
      </w:r>
      <w:r w:rsidRPr="00DF6624">
        <w:rPr>
          <w:rFonts w:ascii="Book Antiqua" w:hAnsi="Book Antiqua" w:cs="Times New Roman"/>
          <w:bCs/>
          <w:color w:val="000000" w:themeColor="text1"/>
          <w:sz w:val="24"/>
          <w:szCs w:val="24"/>
        </w:rPr>
        <w:t xml:space="preserve">had no </w:t>
      </w:r>
      <w:r w:rsidRPr="00DF6624">
        <w:rPr>
          <w:rFonts w:ascii="Book Antiqua" w:hAnsi="Book Antiqua" w:cs="Times New Roman"/>
          <w:color w:val="000000" w:themeColor="text1"/>
          <w:sz w:val="24"/>
          <w:szCs w:val="24"/>
        </w:rPr>
        <w:t>additional effect on HepG2.2.15 apoptosis.</w:t>
      </w:r>
    </w:p>
    <w:p w14:paraId="51C8F986" w14:textId="77777777" w:rsidR="006725C1" w:rsidRPr="00DF6624" w:rsidRDefault="006725C1" w:rsidP="005C2EDC">
      <w:pPr>
        <w:adjustRightInd w:val="0"/>
        <w:snapToGrid w:val="0"/>
        <w:spacing w:after="0" w:line="360" w:lineRule="auto"/>
        <w:jc w:val="both"/>
        <w:rPr>
          <w:rFonts w:ascii="Book Antiqua" w:hAnsi="Book Antiqua" w:cs="Times New Roman"/>
          <w:b/>
          <w:color w:val="000000" w:themeColor="text1"/>
          <w:sz w:val="24"/>
          <w:szCs w:val="24"/>
        </w:rPr>
      </w:pPr>
    </w:p>
    <w:p w14:paraId="26195CB4" w14:textId="4A7B7C83"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lastRenderedPageBreak/>
        <w:t>Key words:</w:t>
      </w:r>
      <w:r w:rsidR="00DF6624" w:rsidRPr="00DF6624">
        <w:rPr>
          <w:rFonts w:ascii="Book Antiqua" w:hAnsi="Book Antiqua" w:cs="Times New Roman"/>
          <w:b/>
          <w:i/>
          <w:color w:val="000000" w:themeColor="text1"/>
          <w:sz w:val="24"/>
          <w:szCs w:val="24"/>
        </w:rPr>
        <w:t xml:space="preserve"> </w:t>
      </w:r>
      <w:r w:rsidR="00DF6624" w:rsidRPr="00DF6624">
        <w:rPr>
          <w:rFonts w:ascii="Book Antiqua" w:hAnsi="Book Antiqua" w:cs="Times New Roman"/>
          <w:bCs/>
          <w:color w:val="000000" w:themeColor="text1"/>
          <w:sz w:val="24"/>
          <w:szCs w:val="24"/>
        </w:rPr>
        <w:t>Autophagy</w:t>
      </w:r>
      <w:r w:rsidRPr="00DF6624">
        <w:rPr>
          <w:rFonts w:ascii="Book Antiqua" w:hAnsi="Book Antiqua" w:cs="Times New Roman"/>
          <w:bCs/>
          <w:color w:val="000000" w:themeColor="text1"/>
          <w:sz w:val="24"/>
          <w:szCs w:val="24"/>
        </w:rPr>
        <w:t xml:space="preserve">; </w:t>
      </w:r>
      <w:r w:rsidR="00DF6624" w:rsidRPr="00DF6624">
        <w:rPr>
          <w:rFonts w:ascii="Book Antiqua" w:hAnsi="Book Antiqua" w:cs="Times New Roman"/>
          <w:bCs/>
          <w:color w:val="000000" w:themeColor="text1"/>
          <w:sz w:val="24"/>
          <w:szCs w:val="24"/>
        </w:rPr>
        <w:t xml:space="preserve">Hepatitis </w:t>
      </w:r>
      <w:r w:rsidRPr="00DF6624">
        <w:rPr>
          <w:rFonts w:ascii="Book Antiqua" w:hAnsi="Book Antiqua" w:cs="Times New Roman"/>
          <w:bCs/>
          <w:color w:val="000000" w:themeColor="text1"/>
          <w:sz w:val="24"/>
          <w:szCs w:val="24"/>
        </w:rPr>
        <w:t xml:space="preserve">B virus; </w:t>
      </w:r>
      <w:r w:rsidR="00DF6624" w:rsidRPr="00DF6624">
        <w:rPr>
          <w:rFonts w:ascii="Book Antiqua" w:hAnsi="Book Antiqua" w:cs="Times New Roman"/>
          <w:bCs/>
          <w:color w:val="000000" w:themeColor="text1"/>
          <w:sz w:val="24"/>
          <w:szCs w:val="24"/>
        </w:rPr>
        <w:t xml:space="preserve">Hepatocellular </w:t>
      </w:r>
      <w:r w:rsidRPr="00DF6624">
        <w:rPr>
          <w:rFonts w:ascii="Book Antiqua" w:hAnsi="Book Antiqua" w:cs="Times New Roman"/>
          <w:bCs/>
          <w:color w:val="000000" w:themeColor="text1"/>
          <w:sz w:val="24"/>
          <w:szCs w:val="24"/>
        </w:rPr>
        <w:t xml:space="preserve">carcinoma; ATG12; </w:t>
      </w:r>
      <w:r w:rsidR="00DF6624" w:rsidRPr="00DF6624">
        <w:rPr>
          <w:rFonts w:ascii="Book Antiqua" w:hAnsi="Book Antiqua" w:cs="Times New Roman"/>
          <w:bCs/>
          <w:color w:val="000000" w:themeColor="text1"/>
          <w:sz w:val="24"/>
          <w:szCs w:val="24"/>
        </w:rPr>
        <w:t>Apoptosis</w:t>
      </w:r>
      <w:r w:rsidRPr="00DF6624">
        <w:rPr>
          <w:rFonts w:ascii="Book Antiqua" w:hAnsi="Book Antiqua" w:cs="Times New Roman"/>
          <w:bCs/>
          <w:color w:val="000000" w:themeColor="text1"/>
          <w:sz w:val="24"/>
          <w:szCs w:val="24"/>
        </w:rPr>
        <w:t xml:space="preserve">; </w:t>
      </w:r>
      <w:r w:rsidR="00DF6624" w:rsidRPr="00DF6624">
        <w:rPr>
          <w:rFonts w:ascii="Book Antiqua" w:hAnsi="Book Antiqua" w:cs="Times New Roman"/>
          <w:bCs/>
          <w:color w:val="000000" w:themeColor="text1"/>
          <w:sz w:val="24"/>
          <w:szCs w:val="24"/>
        </w:rPr>
        <w:t xml:space="preserve">Cell </w:t>
      </w:r>
      <w:r w:rsidRPr="00DF6624">
        <w:rPr>
          <w:rFonts w:ascii="Book Antiqua" w:hAnsi="Book Antiqua" w:cs="Times New Roman"/>
          <w:bCs/>
          <w:color w:val="000000" w:themeColor="text1"/>
          <w:sz w:val="24"/>
          <w:szCs w:val="24"/>
        </w:rPr>
        <w:t>cycle; Notch signaling</w:t>
      </w:r>
    </w:p>
    <w:p w14:paraId="360622C2" w14:textId="77777777" w:rsidR="006725C1" w:rsidRPr="00DF6624" w:rsidRDefault="006725C1" w:rsidP="005C2EDC">
      <w:pPr>
        <w:adjustRightInd w:val="0"/>
        <w:snapToGrid w:val="0"/>
        <w:spacing w:after="0" w:line="360" w:lineRule="auto"/>
        <w:jc w:val="both"/>
        <w:rPr>
          <w:rFonts w:ascii="Book Antiqua" w:eastAsia="宋体" w:hAnsi="Book Antiqua" w:cs="Times New Roman"/>
          <w:bCs/>
          <w:color w:val="000000" w:themeColor="text1"/>
          <w:sz w:val="24"/>
          <w:szCs w:val="24"/>
          <w:lang w:eastAsia="zh-CN"/>
        </w:rPr>
      </w:pPr>
    </w:p>
    <w:p w14:paraId="6A178234" w14:textId="77777777" w:rsidR="00DF6624" w:rsidRPr="00DF6624" w:rsidRDefault="00DF6624" w:rsidP="005C2EDC">
      <w:pPr>
        <w:autoSpaceDE w:val="0"/>
        <w:autoSpaceDN w:val="0"/>
        <w:adjustRightInd w:val="0"/>
        <w:snapToGrid w:val="0"/>
        <w:spacing w:after="0" w:line="360" w:lineRule="auto"/>
        <w:jc w:val="both"/>
        <w:rPr>
          <w:rFonts w:ascii="Book Antiqua" w:hAnsi="Book Antiqua" w:cs="Arial Unicode MS"/>
          <w:color w:val="000000" w:themeColor="text1"/>
          <w:sz w:val="24"/>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DF6624">
        <w:rPr>
          <w:rFonts w:ascii="Book Antiqua" w:hAnsi="Book Antiqua"/>
          <w:b/>
          <w:color w:val="000000" w:themeColor="text1"/>
          <w:sz w:val="24"/>
          <w:lang w:val="en-GB"/>
        </w:rPr>
        <w:t xml:space="preserve">© </w:t>
      </w:r>
      <w:r w:rsidRPr="00DF6624">
        <w:rPr>
          <w:rFonts w:ascii="Book Antiqua" w:eastAsia="AdvTimes" w:hAnsi="Book Antiqua" w:cs="AdvTimes"/>
          <w:b/>
          <w:color w:val="000000" w:themeColor="text1"/>
          <w:sz w:val="24"/>
        </w:rPr>
        <w:t>The Author(s) 201</w:t>
      </w:r>
      <w:r w:rsidRPr="00DF6624">
        <w:rPr>
          <w:rFonts w:ascii="Book Antiqua" w:hAnsi="Book Antiqua" w:cs="AdvTimes" w:hint="eastAsia"/>
          <w:b/>
          <w:color w:val="000000" w:themeColor="text1"/>
          <w:sz w:val="24"/>
        </w:rPr>
        <w:t>6</w:t>
      </w:r>
      <w:r w:rsidRPr="00DF6624">
        <w:rPr>
          <w:rFonts w:ascii="Book Antiqua" w:eastAsia="AdvTimes" w:hAnsi="Book Antiqua" w:cs="AdvTimes"/>
          <w:b/>
          <w:color w:val="000000" w:themeColor="text1"/>
          <w:sz w:val="24"/>
        </w:rPr>
        <w:t>.</w:t>
      </w:r>
      <w:r w:rsidRPr="00DF6624">
        <w:rPr>
          <w:rFonts w:ascii="Book Antiqua" w:eastAsia="AdvTimes" w:hAnsi="Book Antiqua" w:cs="AdvTimes"/>
          <w:color w:val="000000" w:themeColor="text1"/>
          <w:sz w:val="24"/>
        </w:rPr>
        <w:t xml:space="preserve"> Published by </w:t>
      </w:r>
      <w:r w:rsidRPr="00DF6624">
        <w:rPr>
          <w:rFonts w:ascii="Book Antiqua" w:hAnsi="Book Antiqua" w:cs="Arial Unicode MS"/>
          <w:color w:val="000000" w:themeColor="text1"/>
          <w:sz w:val="24"/>
          <w:lang w:val="en-GB"/>
        </w:rPr>
        <w:t>Baishideng Publishing Group Inc.</w:t>
      </w:r>
      <w:r w:rsidRPr="00DF6624">
        <w:rPr>
          <w:rFonts w:ascii="Book Antiqua" w:hAnsi="Book Antiqua" w:cs="Arial Unicode MS"/>
          <w:color w:val="000000" w:themeColor="text1"/>
          <w:sz w:val="24"/>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E648780" w14:textId="77777777" w:rsidR="00DF6624" w:rsidRPr="00DF6624" w:rsidRDefault="00DF6624" w:rsidP="005C2EDC">
      <w:pPr>
        <w:adjustRightInd w:val="0"/>
        <w:snapToGrid w:val="0"/>
        <w:spacing w:after="0" w:line="360" w:lineRule="auto"/>
        <w:jc w:val="both"/>
        <w:rPr>
          <w:rFonts w:ascii="Book Antiqua" w:eastAsia="宋体" w:hAnsi="Book Antiqua" w:cs="Times New Roman"/>
          <w:bCs/>
          <w:color w:val="000000" w:themeColor="text1"/>
          <w:sz w:val="24"/>
          <w:szCs w:val="24"/>
          <w:lang w:eastAsia="zh-CN"/>
        </w:rPr>
      </w:pPr>
    </w:p>
    <w:p w14:paraId="24703D40" w14:textId="365C2CAF"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
          <w:color w:val="000000" w:themeColor="text1"/>
          <w:sz w:val="24"/>
          <w:szCs w:val="24"/>
        </w:rPr>
        <w:t xml:space="preserve">Core tip: </w:t>
      </w:r>
      <w:r w:rsidRPr="00DF6624">
        <w:rPr>
          <w:rFonts w:ascii="Book Antiqua" w:hAnsi="Book Antiqua" w:cs="Times New Roman"/>
          <w:bCs/>
          <w:color w:val="000000" w:themeColor="text1"/>
          <w:sz w:val="24"/>
          <w:szCs w:val="24"/>
        </w:rPr>
        <w:t xml:space="preserve">ATG5-ATG12 protein expression was increased in </w:t>
      </w:r>
      <w:r w:rsidR="00DF6624" w:rsidRPr="00DF6624">
        <w:rPr>
          <w:rFonts w:ascii="Book Antiqua" w:hAnsi="Book Antiqua" w:cs="Times New Roman"/>
          <w:bCs/>
          <w:color w:val="000000" w:themeColor="text1"/>
          <w:sz w:val="24"/>
          <w:szCs w:val="24"/>
        </w:rPr>
        <w:t xml:space="preserve">hepatitis B virus </w:t>
      </w:r>
      <w:r w:rsidR="00DF6624" w:rsidRPr="00DF6624">
        <w:rPr>
          <w:rFonts w:ascii="Book Antiqua" w:eastAsia="宋体" w:hAnsi="Book Antiqua" w:cs="Times New Roman" w:hint="eastAsia"/>
          <w:bCs/>
          <w:color w:val="000000" w:themeColor="text1"/>
          <w:sz w:val="24"/>
          <w:szCs w:val="24"/>
          <w:lang w:eastAsia="zh-CN"/>
        </w:rPr>
        <w:t>(</w:t>
      </w:r>
      <w:r w:rsidR="00DF6624" w:rsidRPr="00DF6624">
        <w:rPr>
          <w:rFonts w:ascii="Book Antiqua" w:hAnsi="Book Antiqua" w:cs="Times New Roman"/>
          <w:bCs/>
          <w:color w:val="000000" w:themeColor="text1"/>
          <w:sz w:val="24"/>
          <w:szCs w:val="24"/>
        </w:rPr>
        <w:t>HBV</w:t>
      </w:r>
      <w:r w:rsidR="00DF6624" w:rsidRPr="00DF6624">
        <w:rPr>
          <w:rFonts w:ascii="Book Antiqua" w:eastAsia="宋体" w:hAnsi="Book Antiqua" w:cs="Times New Roman" w:hint="eastAsia"/>
          <w:bCs/>
          <w:color w:val="000000" w:themeColor="text1"/>
          <w:sz w:val="24"/>
          <w:szCs w:val="24"/>
          <w:lang w:eastAsia="zh-CN"/>
        </w:rPr>
        <w:t>)</w:t>
      </w:r>
      <w:r w:rsidRPr="00DF6624">
        <w:rPr>
          <w:rFonts w:ascii="Book Antiqua" w:hAnsi="Book Antiqua" w:cs="Times New Roman"/>
          <w:bCs/>
          <w:color w:val="000000" w:themeColor="text1"/>
          <w:sz w:val="24"/>
          <w:szCs w:val="24"/>
        </w:rPr>
        <w:t xml:space="preserve">-transfected HepG2.2.15 cells when they were compared with HepG2 cells and was increased in tumor liver tissues compared to adjacent non-tumor tissues from </w:t>
      </w:r>
      <w:r w:rsidR="00DF6624" w:rsidRPr="00DF6624">
        <w:rPr>
          <w:rFonts w:ascii="Book Antiqua" w:hAnsi="Book Antiqua" w:cs="Times New Roman"/>
          <w:bCs/>
          <w:color w:val="000000" w:themeColor="text1"/>
          <w:sz w:val="24"/>
          <w:szCs w:val="24"/>
        </w:rPr>
        <w:t>hepatocellular carcinoma (HCC)</w:t>
      </w:r>
      <w:r w:rsidR="00DF6624" w:rsidRPr="00DF6624">
        <w:rPr>
          <w:rFonts w:ascii="Book Antiqua" w:eastAsia="宋体" w:hAnsi="Book Antiqua" w:cs="Times New Roman" w:hint="eastAsia"/>
          <w:bCs/>
          <w:color w:val="000000" w:themeColor="text1"/>
          <w:sz w:val="24"/>
          <w:szCs w:val="24"/>
          <w:lang w:eastAsia="zh-CN"/>
        </w:rPr>
        <w:t xml:space="preserve"> </w:t>
      </w:r>
      <w:r w:rsidRPr="00DF6624">
        <w:rPr>
          <w:rFonts w:ascii="Book Antiqua" w:hAnsi="Book Antiqua" w:cs="Times New Roman"/>
          <w:bCs/>
          <w:color w:val="000000" w:themeColor="text1"/>
          <w:sz w:val="24"/>
          <w:szCs w:val="24"/>
        </w:rPr>
        <w:t>patients with HBV infection. We showed that silencing of ATG12</w:t>
      </w:r>
      <w:r w:rsidRPr="00DF6624">
        <w:rPr>
          <w:rFonts w:ascii="Book Antiqua" w:hAnsi="Book Antiqua"/>
          <w:color w:val="000000" w:themeColor="text1"/>
          <w:sz w:val="24"/>
          <w:szCs w:val="24"/>
        </w:rPr>
        <w:t xml:space="preserve"> </w:t>
      </w:r>
      <w:r w:rsidRPr="00DF6624">
        <w:rPr>
          <w:rFonts w:ascii="Book Antiqua" w:hAnsi="Book Antiqua" w:cs="Times New Roman"/>
          <w:bCs/>
          <w:color w:val="000000" w:themeColor="text1"/>
          <w:sz w:val="24"/>
          <w:szCs w:val="24"/>
        </w:rPr>
        <w:t>increased cell apoptosis of HepG2.2.15 cells but not HepG2 cells under starvation conditions. These results suggest that ATG5-ATG12 proteins are important for the survival of HBV-associated HCC during states of limited tumor nutrients. The inhibition of ATG12 might be a good target for HBV-associated HCC treatment.</w:t>
      </w:r>
    </w:p>
    <w:p w14:paraId="00EA92C0" w14:textId="77777777"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p>
    <w:p w14:paraId="420C82B4" w14:textId="40785479" w:rsidR="006725C1" w:rsidRPr="00DF6624" w:rsidRDefault="004B37BB" w:rsidP="005C2EDC">
      <w:pPr>
        <w:adjustRightInd w:val="0"/>
        <w:snapToGrid w:val="0"/>
        <w:spacing w:after="0" w:line="360" w:lineRule="auto"/>
        <w:jc w:val="both"/>
        <w:rPr>
          <w:rFonts w:ascii="Book Antiqua" w:eastAsia="宋体" w:hAnsi="Book Antiqua" w:cs="Times New Roman"/>
          <w:bCs/>
          <w:color w:val="000000" w:themeColor="text1"/>
          <w:sz w:val="24"/>
          <w:szCs w:val="24"/>
          <w:lang w:eastAsia="zh-CN"/>
        </w:rPr>
      </w:pPr>
      <w:r w:rsidRPr="00DF6624">
        <w:rPr>
          <w:rFonts w:ascii="Book Antiqua" w:hAnsi="Book Antiqua" w:cs="Times New Roman"/>
          <w:bCs/>
          <w:color w:val="000000" w:themeColor="text1"/>
          <w:sz w:val="24"/>
          <w:szCs w:val="24"/>
        </w:rPr>
        <w:t xml:space="preserve">Kunanopparat A, Kimkong I, Palaga T, Tangkijvanich P, Sirichindakul B, Hirankarn N. </w:t>
      </w:r>
      <w:r w:rsidR="00DF6624" w:rsidRPr="00DF6624">
        <w:rPr>
          <w:rFonts w:ascii="Book Antiqua" w:hAnsi="Book Antiqua" w:cs="Times New Roman"/>
          <w:bCs/>
          <w:color w:val="000000" w:themeColor="text1"/>
          <w:sz w:val="24"/>
          <w:szCs w:val="24"/>
        </w:rPr>
        <w:t>Increased ATG5-ATG12 in hepatitis B virus-associated hepatocellular carcinoma and their role in apoptosis</w:t>
      </w:r>
      <w:r w:rsidRPr="00DF6624">
        <w:rPr>
          <w:rFonts w:ascii="Book Antiqua" w:hAnsi="Book Antiqua" w:cs="Times New Roman"/>
          <w:bCs/>
          <w:color w:val="000000" w:themeColor="text1"/>
          <w:sz w:val="24"/>
          <w:szCs w:val="24"/>
        </w:rPr>
        <w:t>.</w:t>
      </w:r>
      <w:r w:rsidR="00DF6624" w:rsidRPr="00DF6624">
        <w:rPr>
          <w:rFonts w:ascii="Book Antiqua" w:eastAsia="宋体" w:hAnsi="Book Antiqua" w:cs="Times New Roman" w:hint="eastAsia"/>
          <w:bCs/>
          <w:color w:val="000000" w:themeColor="text1"/>
          <w:sz w:val="24"/>
          <w:szCs w:val="24"/>
          <w:lang w:eastAsia="zh-CN"/>
        </w:rPr>
        <w:t xml:space="preserve"> </w:t>
      </w:r>
      <w:r w:rsidR="00DF6624" w:rsidRPr="00DF6624">
        <w:rPr>
          <w:rFonts w:ascii="Book Antiqua" w:eastAsia="宋体" w:hAnsi="Book Antiqua" w:cs="Times New Roman"/>
          <w:bCs/>
          <w:i/>
          <w:color w:val="000000" w:themeColor="text1"/>
          <w:sz w:val="24"/>
          <w:szCs w:val="24"/>
          <w:lang w:eastAsia="zh-CN"/>
        </w:rPr>
        <w:t>World J Gastroenterol</w:t>
      </w:r>
      <w:r w:rsidR="00DF6624" w:rsidRPr="00DF6624">
        <w:rPr>
          <w:rFonts w:ascii="Book Antiqua" w:eastAsia="宋体" w:hAnsi="Book Antiqua" w:cs="Times New Roman"/>
          <w:bCs/>
          <w:color w:val="000000" w:themeColor="text1"/>
          <w:sz w:val="24"/>
          <w:szCs w:val="24"/>
          <w:lang w:eastAsia="zh-CN"/>
        </w:rPr>
        <w:t xml:space="preserve"> 201</w:t>
      </w:r>
      <w:r w:rsidR="00DF6624" w:rsidRPr="00DF6624">
        <w:rPr>
          <w:rFonts w:ascii="Book Antiqua" w:eastAsia="宋体" w:hAnsi="Book Antiqua" w:cs="Times New Roman" w:hint="eastAsia"/>
          <w:bCs/>
          <w:color w:val="000000" w:themeColor="text1"/>
          <w:sz w:val="24"/>
          <w:szCs w:val="24"/>
          <w:lang w:eastAsia="zh-CN"/>
        </w:rPr>
        <w:t>6</w:t>
      </w:r>
      <w:r w:rsidR="00DF6624" w:rsidRPr="00DF6624">
        <w:rPr>
          <w:rFonts w:ascii="Book Antiqua" w:eastAsia="宋体" w:hAnsi="Book Antiqua" w:cs="Times New Roman"/>
          <w:bCs/>
          <w:color w:val="000000" w:themeColor="text1"/>
          <w:sz w:val="24"/>
          <w:szCs w:val="24"/>
          <w:lang w:eastAsia="zh-CN"/>
        </w:rPr>
        <w:t>; In press</w:t>
      </w:r>
    </w:p>
    <w:p w14:paraId="74FEFAA5" w14:textId="77777777" w:rsidR="006725C1" w:rsidRPr="00DF6624" w:rsidRDefault="006725C1" w:rsidP="005C2EDC">
      <w:pPr>
        <w:adjustRightInd w:val="0"/>
        <w:snapToGrid w:val="0"/>
        <w:spacing w:after="0" w:line="360" w:lineRule="auto"/>
        <w:jc w:val="both"/>
        <w:rPr>
          <w:rFonts w:ascii="Book Antiqua" w:hAnsi="Book Antiqua" w:cs="Times New Roman"/>
          <w:bCs/>
          <w:color w:val="000000" w:themeColor="text1"/>
          <w:sz w:val="24"/>
          <w:szCs w:val="24"/>
        </w:rPr>
      </w:pPr>
      <w:r w:rsidRPr="00DF6624">
        <w:rPr>
          <w:rFonts w:ascii="Book Antiqua" w:hAnsi="Book Antiqua" w:cs="Times New Roman"/>
          <w:bCs/>
          <w:color w:val="000000" w:themeColor="text1"/>
          <w:sz w:val="24"/>
          <w:szCs w:val="24"/>
        </w:rPr>
        <w:br w:type="page"/>
      </w:r>
    </w:p>
    <w:p w14:paraId="74E28DA4"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color w:val="000000" w:themeColor="text1"/>
          <w:sz w:val="24"/>
          <w:szCs w:val="24"/>
        </w:rPr>
        <w:lastRenderedPageBreak/>
        <w:t>INTRODUCTION</w:t>
      </w:r>
    </w:p>
    <w:p w14:paraId="3260B69A"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Previous studies have reported that HBV expressi</w:t>
      </w:r>
      <w:r w:rsidR="005F7D76" w:rsidRPr="00DF6624">
        <w:rPr>
          <w:rFonts w:ascii="Book Antiqua" w:hAnsi="Book Antiqua" w:cs="Times New Roman"/>
          <w:color w:val="000000" w:themeColor="text1"/>
          <w:sz w:val="24"/>
          <w:szCs w:val="24"/>
        </w:rPr>
        <w:t xml:space="preserve">on is correlated with autophagy </w:t>
      </w:r>
      <w:r w:rsidRPr="00DF6624">
        <w:rPr>
          <w:rFonts w:ascii="Book Antiqua" w:hAnsi="Book Antiqua" w:cs="Times New Roman"/>
          <w:color w:val="000000" w:themeColor="text1"/>
          <w:sz w:val="24"/>
          <w:szCs w:val="24"/>
        </w:rPr>
        <w:t>induction</w:t>
      </w:r>
      <w:r w:rsidRPr="00DF6624">
        <w:rPr>
          <w:rFonts w:ascii="Book Antiqua" w:hAnsi="Book Antiqua" w:cs="Times New Roman"/>
          <w:color w:val="000000" w:themeColor="text1"/>
          <w:sz w:val="24"/>
          <w:szCs w:val="24"/>
          <w:vertAlign w:val="superscript"/>
        </w:rPr>
        <w:t>[1-3]</w:t>
      </w:r>
      <w:r w:rsidRPr="00DF6624">
        <w:rPr>
          <w:rFonts w:ascii="Book Antiqua" w:hAnsi="Book Antiqua" w:cs="Times New Roman"/>
          <w:color w:val="000000" w:themeColor="text1"/>
          <w:sz w:val="24"/>
          <w:szCs w:val="24"/>
        </w:rPr>
        <w:t xml:space="preserve">. HBV enhances and uses autophagy for its replication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the HBx protein, which binds and activates phosphatidylinositol-3-kinase class 3 (PIK3C3), an enzyme important for the initiation of autophagy. Autophagy inhibitors or the silencing of enzymes essential for the formation of autophagosomes suppresses HBV DNA synthesis with a minimal effect on the HBV mRNA levels</w:t>
      </w:r>
      <w:r w:rsidRPr="00DF6624">
        <w:rPr>
          <w:rFonts w:ascii="Book Antiqua" w:hAnsi="Book Antiqua" w:cs="Times New Roman"/>
          <w:color w:val="000000" w:themeColor="text1"/>
          <w:sz w:val="24"/>
          <w:szCs w:val="24"/>
          <w:vertAlign w:val="superscript"/>
        </w:rPr>
        <w:t>[2]</w:t>
      </w:r>
      <w:r w:rsidRPr="00DF6624">
        <w:rPr>
          <w:rFonts w:ascii="Book Antiqua" w:hAnsi="Book Antiqua" w:cs="Times New Roman"/>
          <w:color w:val="000000" w:themeColor="text1"/>
          <w:sz w:val="24"/>
          <w:szCs w:val="24"/>
        </w:rPr>
        <w:fldChar w:fldCharType="begin">
          <w:fldData xml:space="preserve">PEVuZE5vdGU+PENpdGU+PEF1dGhvcj5TaXI8L0F1dGhvcj48WWVhcj4yMDEwPC9ZZWFyPjxSZWNO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</w:fldData>
        </w:fldChar>
      </w:r>
      <w:r w:rsidRPr="00DF6624">
        <w:rPr>
          <w:rFonts w:ascii="Book Antiqua" w:hAnsi="Book Antiqua" w:cs="Times New Roman"/>
          <w:color w:val="000000" w:themeColor="text1"/>
          <w:sz w:val="24"/>
          <w:szCs w:val="24"/>
        </w:rPr>
        <w:instrText xml:space="preserve"> ADDIN EN.CITE </w:instrText>
      </w:r>
      <w:r w:rsidRPr="00DF6624">
        <w:rPr>
          <w:rFonts w:ascii="Book Antiqua" w:hAnsi="Book Antiqua" w:cs="Times New Roman"/>
          <w:color w:val="000000" w:themeColor="text1"/>
          <w:sz w:val="24"/>
          <w:szCs w:val="24"/>
        </w:rPr>
        <w:fldChar w:fldCharType="begin">
          <w:fldData xml:space="preserve">PEVuZE5vdGU+PENpdGU+PEF1dGhvcj5TaXI8L0F1dGhvcj48WWVhcj4yMDEwPC9ZZWFyPjxSZWNO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</w:fldData>
        </w:fldChar>
      </w:r>
      <w:r w:rsidRPr="00DF6624">
        <w:rPr>
          <w:rFonts w:ascii="Book Antiqua" w:hAnsi="Book Antiqua" w:cs="Times New Roman"/>
          <w:color w:val="000000" w:themeColor="text1"/>
          <w:sz w:val="24"/>
          <w:szCs w:val="24"/>
        </w:rPr>
        <w:instrText xml:space="preserve"> ADDIN EN.CITE.DATA </w:instrText>
      </w:r>
      <w:r w:rsidRPr="00DF6624">
        <w:rPr>
          <w:rFonts w:ascii="Book Antiqua" w:hAnsi="Book Antiqua" w:cs="Times New Roman"/>
          <w:color w:val="000000" w:themeColor="text1"/>
          <w:sz w:val="24"/>
          <w:szCs w:val="24"/>
        </w:rPr>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t>. The role of autophagy in the production of HBV virions was demonstrated in HBV transgenic mice with a liver-specific deficiency of Atg5</w:t>
      </w:r>
      <w:r w:rsidRPr="00DF6624">
        <w:rPr>
          <w:rFonts w:ascii="Book Antiqua" w:hAnsi="Book Antiqua" w:cs="Times New Roman"/>
          <w:color w:val="000000" w:themeColor="text1"/>
          <w:sz w:val="24"/>
          <w:szCs w:val="24"/>
          <w:vertAlign w:val="superscript"/>
        </w:rPr>
        <w:t>[4]</w:t>
      </w:r>
      <w:r w:rsidRPr="00DF6624">
        <w:rPr>
          <w:rFonts w:ascii="Book Antiqua" w:hAnsi="Book Antiqua" w:cs="Times New Roman"/>
          <w:color w:val="000000" w:themeColor="text1"/>
          <w:sz w:val="24"/>
          <w:szCs w:val="24"/>
        </w:rPr>
        <w:t>. We recently confirmed that ATG12 knock down reduced HBV DNA levels in HepG2.2.15 cells and induced the interferon signaling pathway, suggesting that autophagy machinery may aid HBV survival by reducing antiviral innate immunity</w:t>
      </w:r>
      <w:r w:rsidRPr="00DF6624">
        <w:rPr>
          <w:rFonts w:ascii="Book Antiqua" w:hAnsi="Book Antiqua" w:cs="Times New Roman"/>
          <w:color w:val="000000" w:themeColor="text1"/>
          <w:sz w:val="24"/>
          <w:szCs w:val="24"/>
          <w:vertAlign w:val="superscript"/>
        </w:rPr>
        <w:t>[5]</w:t>
      </w:r>
      <w:r w:rsidRPr="00DF6624">
        <w:rPr>
          <w:rFonts w:ascii="Book Antiqua" w:hAnsi="Book Antiqua" w:cs="Times New Roman"/>
          <w:color w:val="000000" w:themeColor="text1"/>
          <w:sz w:val="24"/>
          <w:szCs w:val="24"/>
        </w:rPr>
        <w:t>.</w:t>
      </w:r>
    </w:p>
    <w:p w14:paraId="434A0CAF" w14:textId="77777777" w:rsidR="006725C1" w:rsidRPr="00DF6624" w:rsidRDefault="006725C1" w:rsidP="005C2EDC">
      <w:pPr>
        <w:adjustRightInd w:val="0"/>
        <w:snapToGrid w:val="0"/>
        <w:spacing w:after="0" w:line="360" w:lineRule="auto"/>
        <w:ind w:firstLine="709"/>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Many studies have provided evidence to support the role of autophagy in human cancer. Beclin-1 was the first mammalian autophagy gene to be identified. The monoallelic deletion of Beclin-1 at chromosome 17q21 is</w:t>
      </w:r>
      <w:r w:rsidRPr="00DF6624">
        <w:rPr>
          <w:rFonts w:ascii="Book Antiqua" w:hAnsi="Book Antiqua" w:cs="Times New Roman"/>
          <w:b/>
          <w:bCs/>
          <w:color w:val="000000" w:themeColor="text1"/>
          <w:sz w:val="24"/>
          <w:szCs w:val="24"/>
        </w:rPr>
        <w:t xml:space="preserve"> </w:t>
      </w:r>
      <w:r w:rsidRPr="00DF6624">
        <w:rPr>
          <w:rFonts w:ascii="Book Antiqua" w:hAnsi="Book Antiqua" w:cs="Times New Roman"/>
          <w:color w:val="000000" w:themeColor="text1"/>
          <w:sz w:val="24"/>
          <w:szCs w:val="24"/>
        </w:rPr>
        <w:t>sporadically observed in approximately 75% of ovarian cancers</w:t>
      </w:r>
      <w:r w:rsidRPr="00DF6624">
        <w:rPr>
          <w:rFonts w:ascii="Book Antiqua" w:hAnsi="Book Antiqua" w:cs="Times New Roman"/>
          <w:color w:val="000000" w:themeColor="text1"/>
          <w:sz w:val="24"/>
          <w:szCs w:val="24"/>
          <w:vertAlign w:val="superscript"/>
        </w:rPr>
        <w:t>[6,7]</w:t>
      </w:r>
      <w:r w:rsidRPr="00DF6624">
        <w:rPr>
          <w:rFonts w:ascii="Book Antiqua" w:hAnsi="Book Antiqua" w:cs="Times New Roman"/>
          <w:color w:val="000000" w:themeColor="text1"/>
          <w:sz w:val="24"/>
          <w:szCs w:val="24"/>
        </w:rPr>
        <w:t>, 50% of breast cancers</w:t>
      </w:r>
      <w:r w:rsidRPr="00DF6624">
        <w:rPr>
          <w:rFonts w:ascii="Book Antiqua" w:hAnsi="Book Antiqua" w:cs="Times New Roman"/>
          <w:color w:val="000000" w:themeColor="text1"/>
          <w:sz w:val="24"/>
          <w:szCs w:val="24"/>
          <w:vertAlign w:val="superscript"/>
        </w:rPr>
        <w:t>[8]</w:t>
      </w:r>
      <w:r w:rsidRPr="00DF6624">
        <w:rPr>
          <w:rFonts w:ascii="Book Antiqua" w:hAnsi="Book Antiqua" w:cs="Times New Roman"/>
          <w:color w:val="000000" w:themeColor="text1"/>
          <w:sz w:val="24"/>
          <w:szCs w:val="24"/>
        </w:rPr>
        <w:t>, and 40% of prostate cancers</w:t>
      </w:r>
      <w:r w:rsidRPr="00DF6624">
        <w:rPr>
          <w:rFonts w:ascii="Book Antiqua" w:hAnsi="Book Antiqua" w:cs="Times New Roman"/>
          <w:color w:val="000000" w:themeColor="text1"/>
          <w:sz w:val="24"/>
          <w:szCs w:val="24"/>
          <w:vertAlign w:val="superscript"/>
        </w:rPr>
        <w:t>[9]</w:t>
      </w:r>
      <w:r w:rsidRPr="00DF6624">
        <w:rPr>
          <w:rFonts w:ascii="Book Antiqua" w:hAnsi="Book Antiqua" w:cs="Times New Roman"/>
          <w:color w:val="000000" w:themeColor="text1"/>
          <w:sz w:val="24"/>
          <w:szCs w:val="24"/>
        </w:rPr>
        <w:t>. Other</w:t>
      </w:r>
      <w:r w:rsidRPr="00DF6624">
        <w:rPr>
          <w:rFonts w:ascii="Book Antiqua" w:hAnsi="Book Antiqua"/>
          <w:color w:val="000000" w:themeColor="text1"/>
          <w:sz w:val="24"/>
          <w:szCs w:val="24"/>
          <w:cs/>
        </w:rPr>
        <w:t xml:space="preserve"> </w:t>
      </w:r>
      <w:r w:rsidRPr="00DF6624">
        <w:rPr>
          <w:rFonts w:ascii="Book Antiqua" w:eastAsiaTheme="minorEastAsia" w:hAnsi="Book Antiqua"/>
          <w:color w:val="000000" w:themeColor="text1"/>
          <w:sz w:val="24"/>
          <w:szCs w:val="24"/>
          <w:lang w:eastAsia="ja-JP"/>
        </w:rPr>
        <w:t>mutations in</w:t>
      </w:r>
      <w:r w:rsidRPr="00DF6624">
        <w:rPr>
          <w:rFonts w:ascii="Book Antiqua" w:hAnsi="Book Antiqua" w:cs="Times New Roman"/>
          <w:color w:val="000000" w:themeColor="text1"/>
          <w:sz w:val="24"/>
          <w:szCs w:val="24"/>
        </w:rPr>
        <w:t xml:space="preserve"> autophagy genes such as Atg5, Atg12, Atg9B are frequent in gastric and colon cancers</w:t>
      </w:r>
      <w:r w:rsidRPr="00DF6624">
        <w:rPr>
          <w:rFonts w:ascii="Book Antiqua" w:hAnsi="Book Antiqua" w:cs="Times New Roman"/>
          <w:color w:val="000000" w:themeColor="text1"/>
          <w:sz w:val="24"/>
          <w:szCs w:val="24"/>
          <w:vertAlign w:val="superscript"/>
        </w:rPr>
        <w:t>[10]</w:t>
      </w:r>
      <w:r w:rsidRPr="00DF6624">
        <w:rPr>
          <w:rFonts w:ascii="Book Antiqua" w:hAnsi="Book Antiqua" w:cs="Times New Roman"/>
          <w:color w:val="000000" w:themeColor="text1"/>
          <w:sz w:val="24"/>
          <w:szCs w:val="24"/>
        </w:rPr>
        <w:t>. UVRAG, a Beclin1-interacting protein</w:t>
      </w:r>
      <w:r w:rsidRPr="00DF6624">
        <w:rPr>
          <w:rFonts w:ascii="Book Antiqua" w:hAnsi="Book Antiqua" w:cs="Times New Roman"/>
          <w:color w:val="000000" w:themeColor="text1"/>
          <w:sz w:val="24"/>
          <w:szCs w:val="24"/>
          <w:vertAlign w:val="superscript"/>
        </w:rPr>
        <w:t xml:space="preserve">[10,11] </w:t>
      </w:r>
      <w:r w:rsidRPr="00DF6624">
        <w:rPr>
          <w:rFonts w:ascii="Book Antiqua" w:hAnsi="Book Antiqua" w:cs="Times New Roman"/>
          <w:color w:val="000000" w:themeColor="text1"/>
          <w:sz w:val="24"/>
          <w:szCs w:val="24"/>
        </w:rPr>
        <w:t>and Atg4C were also shown to suppress tumor gene activity</w:t>
      </w:r>
      <w:r w:rsidRPr="00DF6624">
        <w:rPr>
          <w:rFonts w:ascii="Book Antiqua" w:hAnsi="Book Antiqua" w:cs="Times New Roman"/>
          <w:color w:val="000000" w:themeColor="text1"/>
          <w:sz w:val="24"/>
          <w:szCs w:val="24"/>
          <w:vertAlign w:val="superscript"/>
        </w:rPr>
        <w:t>[12]</w:t>
      </w:r>
      <w:r w:rsidRPr="00DF6624">
        <w:rPr>
          <w:rFonts w:ascii="Book Antiqua" w:hAnsi="Book Antiqua" w:cs="Times New Roman"/>
          <w:color w:val="000000" w:themeColor="text1"/>
          <w:sz w:val="24"/>
          <w:szCs w:val="24"/>
        </w:rPr>
        <w:fldChar w:fldCharType="begin">
          <w:fldData xml:space="preserve">PEVuZE5vdGU+PENpdGU+PEF1dGhvcj5NYXJpbm88L0F1dGhvcj48WWVhcj4yMDA3PC9ZZWFyPjxS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aWNhbCBjaGVtaXN0cnk8L2FiYnItMT48L2FsdC1wZXJpb2RpY2FsPjxwYWdlcz4xODU3My04Mzwv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</w:fldData>
        </w:fldChar>
      </w:r>
      <w:r w:rsidRPr="00DF6624">
        <w:rPr>
          <w:rFonts w:ascii="Book Antiqua" w:hAnsi="Book Antiqua" w:cs="Times New Roman"/>
          <w:color w:val="000000" w:themeColor="text1"/>
          <w:sz w:val="24"/>
          <w:szCs w:val="24"/>
        </w:rPr>
        <w:instrText xml:space="preserve"> ADDIN EN.CITE </w:instrText>
      </w:r>
      <w:r w:rsidRPr="00DF6624">
        <w:rPr>
          <w:rFonts w:ascii="Book Antiqua" w:hAnsi="Book Antiqua" w:cs="Times New Roman"/>
          <w:color w:val="000000" w:themeColor="text1"/>
          <w:sz w:val="24"/>
          <w:szCs w:val="24"/>
        </w:rPr>
        <w:fldChar w:fldCharType="begin">
          <w:fldData xml:space="preserve">PEVuZE5vdGU+PENpdGU+PEF1dGhvcj5NYXJpbm88L0F1dGhvcj48WWVhcj4yMDA3PC9ZZWFyPjxS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aWNhbCBjaGVtaXN0cnk8L2FiYnItMT48L2FsdC1wZXJpb2RpY2FsPjxwYWdlcz4xODU3My04Mzwv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</w:fldData>
        </w:fldChar>
      </w:r>
      <w:r w:rsidRPr="00DF6624">
        <w:rPr>
          <w:rFonts w:ascii="Book Antiqua" w:hAnsi="Book Antiqua" w:cs="Times New Roman"/>
          <w:color w:val="000000" w:themeColor="text1"/>
          <w:sz w:val="24"/>
          <w:szCs w:val="24"/>
        </w:rPr>
        <w:instrText xml:space="preserve"> ADDIN EN.CITE.DATA </w:instrText>
      </w:r>
      <w:r w:rsidRPr="00DF6624">
        <w:rPr>
          <w:rFonts w:ascii="Book Antiqua" w:hAnsi="Book Antiqua" w:cs="Times New Roman"/>
          <w:color w:val="000000" w:themeColor="text1"/>
          <w:sz w:val="24"/>
          <w:szCs w:val="24"/>
        </w:rPr>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t>. Liver-specific Beclin-1 knockout heterozygous mice showed increased rates of hepatocellular carcinoma in old aged mice</w:t>
      </w:r>
      <w:r w:rsidRPr="00DF6624">
        <w:rPr>
          <w:rFonts w:ascii="Book Antiqua" w:hAnsi="Book Antiqua" w:cs="Times New Roman"/>
          <w:color w:val="000000" w:themeColor="text1"/>
          <w:sz w:val="24"/>
          <w:szCs w:val="24"/>
          <w:vertAlign w:val="superscript"/>
        </w:rPr>
        <w:t>[13,14]</w:t>
      </w:r>
      <w:r w:rsidRPr="00DF6624">
        <w:rPr>
          <w:rFonts w:ascii="Book Antiqua" w:hAnsi="Book Antiqua" w:cs="Times New Roman"/>
          <w:color w:val="000000" w:themeColor="text1"/>
          <w:sz w:val="24"/>
          <w:szCs w:val="24"/>
        </w:rPr>
        <w:t>. Furthermore, mosaic Atg5</w:t>
      </w:r>
      <w:r w:rsidRPr="00DF662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mice developed benign liver tumors at 6-months of age</w:t>
      </w:r>
      <w:r w:rsidRPr="00DF6624">
        <w:rPr>
          <w:rFonts w:ascii="Book Antiqua" w:hAnsi="Book Antiqua" w:cs="Times New Roman"/>
          <w:color w:val="000000" w:themeColor="text1"/>
          <w:sz w:val="24"/>
          <w:szCs w:val="24"/>
          <w:vertAlign w:val="superscript"/>
        </w:rPr>
        <w:t>[15]</w:t>
      </w:r>
      <w:r w:rsidRPr="00DF6624">
        <w:rPr>
          <w:rFonts w:ascii="Book Antiqua" w:hAnsi="Book Antiqua" w:cs="Times New Roman"/>
          <w:color w:val="000000" w:themeColor="text1"/>
          <w:sz w:val="24"/>
          <w:szCs w:val="24"/>
        </w:rPr>
        <w:t xml:space="preserve"> and Atg7 hepatocyte-specific knockout mice also developed liver tumors later in life</w:t>
      </w:r>
      <w:r w:rsidRPr="00DF6624">
        <w:rPr>
          <w:rFonts w:ascii="Book Antiqua" w:hAnsi="Book Antiqua" w:cs="Times New Roman"/>
          <w:color w:val="000000" w:themeColor="text1"/>
          <w:sz w:val="24"/>
          <w:szCs w:val="24"/>
          <w:vertAlign w:val="superscript"/>
        </w:rPr>
        <w:t>[15]</w:t>
      </w:r>
      <w:r w:rsidRPr="00DF6624">
        <w:rPr>
          <w:rFonts w:ascii="Book Antiqua" w:hAnsi="Book Antiqua" w:cs="Times New Roman"/>
          <w:color w:val="000000" w:themeColor="text1"/>
          <w:sz w:val="24"/>
          <w:szCs w:val="24"/>
        </w:rPr>
        <w:fldChar w:fldCharType="begin">
          <w:fldData xml:space="preserve">PEVuZE5vdGU+PENpdGU+PEF1dGhvcj5UYWthbXVyYTwvQXV0aG9yPjxZZWFyPjIwMTE8L1llYXI+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</w:fldData>
        </w:fldChar>
      </w:r>
      <w:r w:rsidRPr="00DF6624">
        <w:rPr>
          <w:rFonts w:ascii="Book Antiqua" w:hAnsi="Book Antiqua" w:cs="Times New Roman"/>
          <w:color w:val="000000" w:themeColor="text1"/>
          <w:sz w:val="24"/>
          <w:szCs w:val="24"/>
        </w:rPr>
        <w:instrText xml:space="preserve"> ADDIN EN.CITE </w:instrText>
      </w:r>
      <w:r w:rsidRPr="00DF6624">
        <w:rPr>
          <w:rFonts w:ascii="Book Antiqua" w:hAnsi="Book Antiqua" w:cs="Times New Roman"/>
          <w:color w:val="000000" w:themeColor="text1"/>
          <w:sz w:val="24"/>
          <w:szCs w:val="24"/>
        </w:rPr>
        <w:fldChar w:fldCharType="begin">
          <w:fldData xml:space="preserve">PEVuZE5vdGU+PENpdGU+PEF1dGhvcj5UYWthbXVyYTwvQXV0aG9yPjxZZWFyPjIwMTE8L1llYXI+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</w:fldData>
        </w:fldChar>
      </w:r>
      <w:r w:rsidRPr="00DF6624">
        <w:rPr>
          <w:rFonts w:ascii="Book Antiqua" w:hAnsi="Book Antiqua" w:cs="Times New Roman"/>
          <w:color w:val="000000" w:themeColor="text1"/>
          <w:sz w:val="24"/>
          <w:szCs w:val="24"/>
        </w:rPr>
        <w:instrText xml:space="preserve"> ADDIN EN.CITE.DATA </w:instrText>
      </w:r>
      <w:r w:rsidRPr="00DF6624">
        <w:rPr>
          <w:rFonts w:ascii="Book Antiqua" w:hAnsi="Book Antiqua" w:cs="Times New Roman"/>
          <w:color w:val="000000" w:themeColor="text1"/>
          <w:sz w:val="24"/>
          <w:szCs w:val="24"/>
        </w:rPr>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t>. These data support the idea that autophagy defects contribute to tumorigenesis.</w:t>
      </w:r>
    </w:p>
    <w:p w14:paraId="0AD56E25" w14:textId="77777777" w:rsidR="006725C1" w:rsidRPr="00DF6624" w:rsidRDefault="006725C1" w:rsidP="005C2EDC">
      <w:pPr>
        <w:adjustRightInd w:val="0"/>
        <w:snapToGrid w:val="0"/>
        <w:spacing w:after="0" w:line="360" w:lineRule="auto"/>
        <w:jc w:val="both"/>
        <w:rPr>
          <w:rFonts w:ascii="Book Antiqua" w:hAnsi="Book Antiqua"/>
          <w:color w:val="000000" w:themeColor="text1"/>
          <w:sz w:val="24"/>
          <w:szCs w:val="24"/>
        </w:rPr>
      </w:pPr>
      <w:r w:rsidRPr="00DF6624">
        <w:rPr>
          <w:rFonts w:ascii="Book Antiqua" w:hAnsi="Book Antiqua" w:cs="Times New Roman"/>
          <w:color w:val="000000" w:themeColor="text1"/>
          <w:sz w:val="24"/>
          <w:szCs w:val="24"/>
        </w:rPr>
        <w:tab/>
        <w:t xml:space="preserve">However, autophagy deficient cells can occur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cellular damage caused by dysfunctional mitochondria, oxidative stress, endoplasmic reticulum stress, necrosis and p62 accumulation</w:t>
      </w:r>
      <w:r w:rsidRPr="00DF6624">
        <w:rPr>
          <w:rFonts w:ascii="Book Antiqua" w:hAnsi="Book Antiqua" w:cs="Times New Roman"/>
          <w:color w:val="000000" w:themeColor="text1"/>
          <w:sz w:val="24"/>
          <w:szCs w:val="24"/>
          <w:vertAlign w:val="superscript"/>
        </w:rPr>
        <w:t>[16]</w:t>
      </w:r>
      <w:r w:rsidRPr="00DF6624">
        <w:rPr>
          <w:rFonts w:ascii="Book Antiqua" w:hAnsi="Book Antiqua" w:cs="Times New Roman"/>
          <w:color w:val="000000" w:themeColor="text1"/>
          <w:sz w:val="24"/>
          <w:szCs w:val="24"/>
        </w:rPr>
        <w:fldChar w:fldCharType="begin"/>
      </w:r>
      <w:r w:rsidRPr="00DF6624">
        <w:rPr>
          <w:rFonts w:ascii="Book Antiqua" w:hAnsi="Book Antiqua" w:cs="Times New Roman"/>
          <w:color w:val="000000" w:themeColor="text1"/>
          <w:sz w:val="24"/>
          <w:szCs w:val="24"/>
        </w:rPr>
        <w:instrText xml:space="preserve"> ADDIN EN.CITE &lt;EndNote&gt;&lt;Cite&gt;&lt;Author&gt;Roy&lt;/Author&gt;&lt;Year&gt;2010&lt;/Year&gt;&lt;RecNum&gt;116&lt;/RecNum&gt;&lt;DisplayText&gt;(Roy and Debnath, 2010)&lt;/DisplayText&gt;&lt;record&gt;&lt;rec-number&gt;116&lt;/rec-number&gt;&lt;foreign-keys&gt;&lt;key app="EN" db-id="5rw0x9s97sszpdeazd9xprt4pvt9xxv00szw"&gt;116&lt;/key&gt;&lt;/foreign-keys&gt;&lt;ref-type name="Journal Article"&gt;17&lt;/ref-type&gt;&lt;contributors&gt;&lt;authors&gt;&lt;author&gt;Roy, S.&lt;/author&gt;&lt;author&gt;Debnath, J.&lt;/author&gt;&lt;/authors&gt;&lt;/contributors&gt;&lt;auth-address&gt;Department of Pathology and Diller Comprehensive Cancer Center, University of California San Francisco, 513 Parnassus Ave, HSW450B, San Francisco, CA 94143, USA.&lt;/auth-address&gt;&lt;titles&gt;&lt;title&gt;Autophagy and tumorigenesis&lt;/title&gt;&lt;secondary-title&gt;Semin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383-96&lt;/pages&gt;&lt;volume&gt;32&lt;/volume&gt;&lt;number&gt;4&lt;/number&gt;&lt;edition&gt;2010/07/01&lt;/edition&gt;&lt;keywords&gt;&lt;keyword&gt;Animals&lt;/keyword&gt;&lt;keyword&gt;Autophagy/*immunology&lt;/keyword&gt;&lt;keyword&gt;Cell Survival/immunology&lt;/keyword&gt;&lt;keyword&gt;Humans&lt;/keyword&gt;&lt;keyword&gt;Lysosomes/*immunology&lt;/keyword&gt;&lt;keyword&gt;Neoplasms/*immunology/pathology/therapy&lt;/keyword&gt;&lt;keyword&gt;Tumor Markers, Biological/*immunology&lt;/keyword&gt;&lt;/keywords&gt;&lt;dates&gt;&lt;year&gt;2010&lt;/year&gt;&lt;pub-dates&gt;&lt;date&gt;Dec&lt;/date&gt;&lt;/pub-dates&gt;&lt;/dates&gt;&lt;isbn&gt;1863-2300 (Electronic)&amp;#xD;1863-2297 (Linking)&lt;/isbn&gt;&lt;accession-num&gt;20589500&lt;/accession-num&gt;&lt;work-type&gt;Research Support, N.I.H., Extramural&amp;#xD;Research Support, Non-U.S. Gov&amp;apos;t&amp;#xD;Review&lt;/work-type&gt;&lt;urls&gt;&lt;related-urls&gt;&lt;url&gt;http://www.ncbi.nlm.nih.gov/pubmed/20589500&lt;/url&gt;&lt;/related-urls&gt;&lt;/urls&gt;&lt;custom2&gt;2999728&lt;/custom2&gt;&lt;electronic-resource-num&gt;10.1007/s00281-010-0213-0&lt;/electronic-resource-num&gt;&lt;language&gt;eng&lt;/language&gt;&lt;/record&gt;&lt;/Cite&gt;&lt;/EndNote&gt;</w:instrText>
      </w:r>
      <w:r w:rsidRPr="00DF6624">
        <w:rPr>
          <w:rFonts w:ascii="Book Antiqua" w:hAnsi="Book Antiqua" w:cs="Times New Roman"/>
          <w:color w:val="000000" w:themeColor="text1"/>
          <w:sz w:val="24"/>
          <w:szCs w:val="24"/>
        </w:rPr>
        <w:fldChar w:fldCharType="end"/>
      </w:r>
      <w:r w:rsidRPr="00DF6624">
        <w:rPr>
          <w:rFonts w:ascii="Book Antiqua" w:hAnsi="Book Antiqua" w:cs="Times New Roman"/>
          <w:color w:val="000000" w:themeColor="text1"/>
          <w:sz w:val="24"/>
          <w:szCs w:val="24"/>
        </w:rPr>
        <w:t>. The accumulation of cell damage can lead to chromosome instability</w:t>
      </w:r>
      <w:r w:rsidRPr="00DF6624">
        <w:rPr>
          <w:rFonts w:ascii="Book Antiqua" w:hAnsi="Book Antiqua" w:cs="Times New Roman"/>
          <w:color w:val="000000" w:themeColor="text1"/>
          <w:sz w:val="24"/>
          <w:szCs w:val="24"/>
          <w:vertAlign w:val="superscript"/>
        </w:rPr>
        <w:t>[17]</w:t>
      </w:r>
      <w:r w:rsidRPr="00DF6624">
        <w:rPr>
          <w:rFonts w:ascii="Book Antiqua" w:hAnsi="Book Antiqua" w:cs="Times New Roman"/>
          <w:color w:val="000000" w:themeColor="text1"/>
          <w:sz w:val="24"/>
          <w:szCs w:val="24"/>
        </w:rPr>
        <w:t xml:space="preserve"> and inflammatory responses</w:t>
      </w:r>
      <w:r w:rsidRPr="00DF6624">
        <w:rPr>
          <w:rFonts w:ascii="Book Antiqua" w:hAnsi="Book Antiqua" w:cs="Times New Roman"/>
          <w:color w:val="000000" w:themeColor="text1"/>
          <w:sz w:val="24"/>
          <w:szCs w:val="24"/>
          <w:vertAlign w:val="superscript"/>
        </w:rPr>
        <w:t>[18]</w:t>
      </w:r>
      <w:r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lastRenderedPageBreak/>
        <w:t>resulting in tumor development. Although, autophagy functions as a tumor suppressor in primary cells, it is important for cancer cell survival. Interestingly, spontaneously occurring liver tumors did not progress in chimeric mice with Atg5 or Atg7 loss</w:t>
      </w:r>
      <w:r w:rsidRPr="00DF6624">
        <w:rPr>
          <w:rFonts w:ascii="Book Antiqua" w:hAnsi="Book Antiqua" w:cs="Times New Roman"/>
          <w:color w:val="000000" w:themeColor="text1"/>
          <w:sz w:val="24"/>
          <w:szCs w:val="24"/>
          <w:vertAlign w:val="superscript"/>
        </w:rPr>
        <w:t>[15]</w:t>
      </w:r>
      <w:r w:rsidRPr="00DF6624">
        <w:rPr>
          <w:rFonts w:ascii="Book Antiqua" w:hAnsi="Book Antiqua" w:cs="Times New Roman"/>
          <w:color w:val="000000" w:themeColor="text1"/>
          <w:sz w:val="24"/>
          <w:szCs w:val="24"/>
        </w:rPr>
        <w:t>. This finding implies that autophagy is required for tumor progression. Additionally, autophagy is required for cancer progression of other types of cancers. For example, an Atg3 deletion in hematopoietic cells prevents BCR-Abl-mediated leukemia</w:t>
      </w:r>
      <w:r w:rsidRPr="00DF6624">
        <w:rPr>
          <w:rFonts w:ascii="Book Antiqua" w:hAnsi="Book Antiqua" w:cs="Times New Roman"/>
          <w:color w:val="000000" w:themeColor="text1"/>
          <w:sz w:val="24"/>
          <w:szCs w:val="24"/>
          <w:vertAlign w:val="superscript"/>
        </w:rPr>
        <w:t>[19]</w:t>
      </w:r>
      <w:r w:rsidRPr="00DF6624">
        <w:rPr>
          <w:rFonts w:ascii="Book Antiqua" w:hAnsi="Book Antiqua" w:cs="Times New Roman"/>
          <w:color w:val="000000" w:themeColor="text1"/>
          <w:sz w:val="24"/>
          <w:szCs w:val="24"/>
        </w:rPr>
        <w:t>. Some tumor cells are susceptible to growth inhibition or death when autophagy is inhibited.</w:t>
      </w:r>
      <w:r w:rsidRPr="00DF6624">
        <w:rPr>
          <w:rFonts w:ascii="Book Antiqua" w:hAnsi="Book Antiqua" w:cs="Times New Roman"/>
          <w:b/>
          <w:bCs/>
          <w:color w:val="000000" w:themeColor="text1"/>
          <w:sz w:val="24"/>
          <w:szCs w:val="24"/>
        </w:rPr>
        <w:t xml:space="preserve"> </w:t>
      </w:r>
      <w:r w:rsidRPr="00DF6624">
        <w:rPr>
          <w:rFonts w:ascii="Book Antiqua" w:hAnsi="Book Antiqua" w:cs="Times New Roman"/>
          <w:color w:val="000000" w:themeColor="text1"/>
          <w:sz w:val="24"/>
          <w:szCs w:val="24"/>
        </w:rPr>
        <w:t>Guo et al., found that Ras-driven tumors required autophagy for tumor cell survival upon starvation</w:t>
      </w:r>
      <w:r w:rsidRPr="00DF6624">
        <w:rPr>
          <w:rFonts w:ascii="Book Antiqua" w:hAnsi="Book Antiqua" w:cs="Times New Roman"/>
          <w:color w:val="000000" w:themeColor="text1"/>
          <w:sz w:val="24"/>
          <w:szCs w:val="24"/>
          <w:vertAlign w:val="superscript"/>
        </w:rPr>
        <w:t>[20]</w:t>
      </w:r>
      <w:r w:rsidRPr="00DF6624">
        <w:rPr>
          <w:rFonts w:ascii="Book Antiqua" w:hAnsi="Book Antiqua" w:cs="Times New Roman"/>
          <w:color w:val="000000" w:themeColor="text1"/>
          <w:sz w:val="24"/>
          <w:szCs w:val="24"/>
        </w:rPr>
        <w:t xml:space="preserve">. Therefore, autophagy has a dual-function in cancer. It functions as a tumor suppressor during cancer initiation, but also functions to promote tumor progression and metastasis later in the development process. </w:t>
      </w:r>
    </w:p>
    <w:p w14:paraId="38EF2961" w14:textId="524FA07F"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Because HBV infection is associated with hepatocellular carcinoma (HCC) and requires the induction of autophagy for its survival, we investigated the involvement of autophagic genes in cancer cell survival using HBV-associated </w:t>
      </w:r>
      <w:r w:rsidR="00E476C4">
        <w:rPr>
          <w:rFonts w:ascii="Book Antiqua" w:hAnsi="Book Antiqua" w:cs="Times New Roman"/>
          <w:color w:val="000000" w:themeColor="text1"/>
          <w:sz w:val="24"/>
          <w:szCs w:val="24"/>
        </w:rPr>
        <w:t>HCC</w:t>
      </w:r>
      <w:r w:rsidRPr="00DF6624">
        <w:rPr>
          <w:rFonts w:ascii="Book Antiqua" w:hAnsi="Book Antiqua" w:cs="Times New Roman"/>
          <w:color w:val="000000" w:themeColor="text1"/>
          <w:sz w:val="24"/>
          <w:szCs w:val="24"/>
        </w:rPr>
        <w:t xml:space="preserve"> and non HBV-HCC cell lines and liver tissues. </w:t>
      </w:r>
    </w:p>
    <w:p w14:paraId="4A1340F5" w14:textId="77777777" w:rsidR="006725C1" w:rsidRPr="00DF6624" w:rsidRDefault="006725C1" w:rsidP="005C2EDC">
      <w:pPr>
        <w:adjustRightInd w:val="0"/>
        <w:snapToGrid w:val="0"/>
        <w:spacing w:after="0" w:line="360" w:lineRule="auto"/>
        <w:jc w:val="both"/>
        <w:rPr>
          <w:rFonts w:ascii="Book Antiqua" w:hAnsi="Book Antiqua" w:cs="Times New Roman"/>
          <w:b/>
          <w:color w:val="000000" w:themeColor="text1"/>
          <w:sz w:val="24"/>
          <w:szCs w:val="24"/>
        </w:rPr>
      </w:pPr>
    </w:p>
    <w:p w14:paraId="5FAFE539" w14:textId="77777777" w:rsidR="006725C1" w:rsidRPr="00DF6624" w:rsidRDefault="006725C1" w:rsidP="005C2EDC">
      <w:pPr>
        <w:adjustRightInd w:val="0"/>
        <w:snapToGrid w:val="0"/>
        <w:spacing w:after="0" w:line="360" w:lineRule="auto"/>
        <w:jc w:val="both"/>
        <w:rPr>
          <w:rFonts w:ascii="Book Antiqua" w:hAnsi="Book Antiqua" w:cs="Times New Roman"/>
          <w:b/>
          <w:color w:val="000000" w:themeColor="text1"/>
          <w:sz w:val="24"/>
          <w:szCs w:val="24"/>
        </w:rPr>
      </w:pPr>
      <w:r w:rsidRPr="00DF6624">
        <w:rPr>
          <w:rFonts w:ascii="Book Antiqua" w:hAnsi="Book Antiqua" w:cs="Times New Roman"/>
          <w:b/>
          <w:color w:val="000000" w:themeColor="text1"/>
          <w:sz w:val="24"/>
          <w:szCs w:val="24"/>
        </w:rPr>
        <w:t>MATERIALS AND METHODS</w:t>
      </w:r>
    </w:p>
    <w:p w14:paraId="79F99CF6"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Cell lines</w:t>
      </w:r>
    </w:p>
    <w:p w14:paraId="780780BA" w14:textId="055E917C"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color w:val="000000" w:themeColor="text1"/>
          <w:sz w:val="24"/>
          <w:szCs w:val="24"/>
        </w:rPr>
        <w:t xml:space="preserve">The immortalized human liver epithelial cell line (THLE-2; </w:t>
      </w:r>
      <w:r w:rsidRPr="00DF6624">
        <w:rPr>
          <w:rFonts w:ascii="Book Antiqua" w:eastAsiaTheme="minorEastAsia" w:hAnsi="Book Antiqua" w:cs="Times New Roman"/>
          <w:color w:val="000000" w:themeColor="text1"/>
          <w:sz w:val="24"/>
          <w:szCs w:val="24"/>
          <w:lang w:val="en-GB" w:eastAsia="ja-JP" w:bidi="ar-SA"/>
        </w:rPr>
        <w:t>ATCC</w:t>
      </w:r>
      <w:r w:rsidRPr="00E476C4">
        <w:rPr>
          <w:rFonts w:ascii="Book Antiqua" w:eastAsiaTheme="minorEastAsia" w:hAnsi="Book Antiqua" w:cs="Times New Roman"/>
          <w:color w:val="000000" w:themeColor="text1"/>
          <w:sz w:val="24"/>
          <w:szCs w:val="24"/>
          <w:vertAlign w:val="superscript"/>
          <w:lang w:val="en-GB" w:eastAsia="ja-JP" w:bidi="ar-SA"/>
        </w:rPr>
        <w:t>®</w:t>
      </w:r>
      <w:r w:rsidRPr="00DF6624">
        <w:rPr>
          <w:rFonts w:ascii="Book Antiqua" w:eastAsiaTheme="minorEastAsia" w:hAnsi="Book Antiqua" w:cs="Times New Roman"/>
          <w:color w:val="000000" w:themeColor="text1"/>
          <w:sz w:val="24"/>
          <w:szCs w:val="24"/>
          <w:lang w:val="en-GB" w:eastAsia="ja-JP" w:bidi="ar-SA"/>
        </w:rPr>
        <w:t xml:space="preserve"> CRL-2706™</w:t>
      </w:r>
      <w:r w:rsidRPr="00DF6624">
        <w:rPr>
          <w:rFonts w:ascii="Book Antiqua" w:hAnsi="Book Antiqua"/>
          <w:color w:val="000000" w:themeColor="text1"/>
          <w:sz w:val="24"/>
          <w:szCs w:val="24"/>
        </w:rPr>
        <w:t xml:space="preserve">, </w:t>
      </w:r>
      <w:r w:rsidRPr="00DF6624">
        <w:rPr>
          <w:rFonts w:ascii="Book Antiqua" w:eastAsiaTheme="minorEastAsia" w:hAnsi="Book Antiqua" w:cs="Times New Roman"/>
          <w:color w:val="000000" w:themeColor="text1"/>
          <w:sz w:val="24"/>
          <w:szCs w:val="24"/>
          <w:lang w:val="en-GB" w:eastAsia="ja-JP" w:bidi="ar-SA"/>
        </w:rPr>
        <w:t>Manassas, VA, 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 xml:space="preserve">) was cultured in </w:t>
      </w:r>
      <w:r w:rsidRPr="00DF6624">
        <w:rPr>
          <w:rFonts w:ascii="Book Antiqua" w:hAnsi="Book Antiqua" w:cs="Times New Roman"/>
          <w:color w:val="000000" w:themeColor="text1"/>
          <w:sz w:val="24"/>
          <w:szCs w:val="24"/>
          <w:shd w:val="clear" w:color="auto" w:fill="FFFFFF"/>
        </w:rPr>
        <w:t xml:space="preserve">BEGM medium (CC3170 Bullet Kit; </w:t>
      </w:r>
      <w:r w:rsidRPr="00DF6624">
        <w:rPr>
          <w:rFonts w:ascii="Book Antiqua" w:hAnsi="Book Antiqua" w:cs="Times New Roman"/>
          <w:color w:val="000000" w:themeColor="text1"/>
          <w:sz w:val="24"/>
          <w:szCs w:val="24"/>
        </w:rPr>
        <w:t xml:space="preserve">Lonza, Walkersville, MD, </w:t>
      </w:r>
      <w:r w:rsidR="00E476C4" w:rsidRPr="00DF6624">
        <w:rPr>
          <w:rFonts w:ascii="Book Antiqua" w:eastAsiaTheme="minorEastAsia" w:hAnsi="Book Antiqua" w:cs="Times New Roman"/>
          <w:color w:val="000000" w:themeColor="text1"/>
          <w:sz w:val="24"/>
          <w:szCs w:val="24"/>
          <w:lang w:val="en-GB" w:eastAsia="ja-JP" w:bidi="ar-SA"/>
        </w:rPr>
        <w:t>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 supplemented with 10% heat-inactivated fetal bovine serum (FBS), 5 ng/mL epidermal growth factor and 70 ng/mL phosphoethanolamine and maintained at 37 °C in 5% CO</w:t>
      </w:r>
      <w:r w:rsidRPr="00DF6624">
        <w:rPr>
          <w:rFonts w:ascii="Book Antiqua" w:hAnsi="Book Antiqua" w:cs="Times New Roman"/>
          <w:color w:val="000000" w:themeColor="text1"/>
          <w:sz w:val="24"/>
          <w:szCs w:val="24"/>
          <w:vertAlign w:val="subscript"/>
        </w:rPr>
        <w:t>2</w:t>
      </w:r>
      <w:r w:rsidRPr="00DF6624">
        <w:rPr>
          <w:rFonts w:ascii="Book Antiqua" w:hAnsi="Book Antiqua" w:cs="Times New Roman"/>
          <w:color w:val="000000" w:themeColor="text1"/>
          <w:sz w:val="24"/>
          <w:szCs w:val="24"/>
        </w:rPr>
        <w:t>.</w:t>
      </w:r>
      <w:r w:rsidRPr="00DF6624">
        <w:rPr>
          <w:rFonts w:ascii="Book Antiqua" w:hAnsi="Book Antiqua"/>
          <w:color w:val="000000" w:themeColor="text1"/>
          <w:sz w:val="24"/>
          <w:szCs w:val="24"/>
          <w:shd w:val="clear" w:color="auto" w:fill="FFFFFF"/>
        </w:rPr>
        <w:t xml:space="preserve"> </w:t>
      </w:r>
      <w:r w:rsidRPr="00DF6624">
        <w:rPr>
          <w:rFonts w:ascii="Book Antiqua" w:hAnsi="Book Antiqua" w:cs="Times New Roman"/>
          <w:color w:val="000000" w:themeColor="text1"/>
          <w:sz w:val="24"/>
          <w:szCs w:val="24"/>
          <w:shd w:val="clear" w:color="auto" w:fill="FFFFFF"/>
        </w:rPr>
        <w:t xml:space="preserve">The flasks were </w:t>
      </w:r>
      <w:r w:rsidRPr="00DF6624">
        <w:rPr>
          <w:rFonts w:ascii="Book Antiqua" w:hAnsi="Book Antiqua" w:cs="Times New Roman"/>
          <w:color w:val="000000" w:themeColor="text1"/>
          <w:sz w:val="24"/>
          <w:szCs w:val="24"/>
          <w:bdr w:val="none" w:sz="0" w:space="0" w:color="auto" w:frame="1"/>
          <w:shd w:val="clear" w:color="auto" w:fill="FFFFFF"/>
        </w:rPr>
        <w:t>precoated</w:t>
      </w:r>
      <w:r w:rsidRPr="00DF6624">
        <w:rPr>
          <w:rStyle w:val="apple-converted-space"/>
          <w:rFonts w:ascii="Book Antiqua" w:hAnsi="Book Antiqua" w:cs="Times New Roman"/>
          <w:color w:val="000000" w:themeColor="text1"/>
          <w:sz w:val="24"/>
          <w:szCs w:val="24"/>
          <w:bdr w:val="none" w:sz="0" w:space="0" w:color="auto" w:frame="1"/>
          <w:shd w:val="clear" w:color="auto" w:fill="FFFFFF"/>
        </w:rPr>
        <w:t xml:space="preserve"> </w:t>
      </w:r>
      <w:r w:rsidRPr="00DF6624">
        <w:rPr>
          <w:rFonts w:ascii="Book Antiqua" w:hAnsi="Book Antiqua" w:cs="Times New Roman"/>
          <w:color w:val="000000" w:themeColor="text1"/>
          <w:sz w:val="24"/>
          <w:szCs w:val="24"/>
          <w:shd w:val="clear" w:color="auto" w:fill="FFFFFF"/>
        </w:rPr>
        <w:t xml:space="preserve">with a mixture of 0.01 mg/mL fibronectin, 0.03 mg/mL bovine collagen type I and 0.01 mg/mL bovine serum albumin dissolved in BEBM medium. </w:t>
      </w:r>
      <w:r w:rsidRPr="00DF6624">
        <w:rPr>
          <w:rFonts w:ascii="Book Antiqua" w:hAnsi="Book Antiqua" w:cs="Times New Roman"/>
          <w:color w:val="000000" w:themeColor="text1"/>
          <w:sz w:val="24"/>
          <w:szCs w:val="24"/>
        </w:rPr>
        <w:t xml:space="preserve">The human hepatocellular carcinoma (HepG2) and HBV-transfected HepG2.2.15 cell lines were obtained from Professor Antonio Bertoletti (Singapore Institute for Clinical Sciences, A*Star). These two cell lines were maintained in Dulbecco’s modified Eagle’s </w:t>
      </w:r>
      <w:r w:rsidRPr="00DF6624">
        <w:rPr>
          <w:rFonts w:ascii="Book Antiqua" w:hAnsi="Book Antiqua" w:cs="Times New Roman"/>
          <w:color w:val="000000" w:themeColor="text1"/>
          <w:sz w:val="24"/>
          <w:szCs w:val="24"/>
        </w:rPr>
        <w:lastRenderedPageBreak/>
        <w:t xml:space="preserve">medium (DMEM; Gibco, </w:t>
      </w:r>
      <w:r w:rsidR="00E476C4" w:rsidRPr="00DF6624">
        <w:rPr>
          <w:rFonts w:ascii="Book Antiqua" w:eastAsiaTheme="minorEastAsia" w:hAnsi="Book Antiqua" w:cs="Times New Roman"/>
          <w:color w:val="000000" w:themeColor="text1"/>
          <w:sz w:val="24"/>
          <w:szCs w:val="24"/>
          <w:lang w:val="en-GB" w:eastAsia="ja-JP" w:bidi="ar-SA"/>
        </w:rPr>
        <w:t>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 supplemented with 10% heat-inactivated FBS, 100 U/mL penicillin, and streptomycin at 37 °C in 5% CO</w:t>
      </w:r>
      <w:r w:rsidRPr="00DF6624">
        <w:rPr>
          <w:rFonts w:ascii="Book Antiqua" w:hAnsi="Book Antiqua" w:cs="Times New Roman"/>
          <w:color w:val="000000" w:themeColor="text1"/>
          <w:sz w:val="24"/>
          <w:szCs w:val="24"/>
          <w:vertAlign w:val="subscript"/>
        </w:rPr>
        <w:t>2</w:t>
      </w:r>
      <w:r w:rsidRPr="00DF6624">
        <w:rPr>
          <w:rFonts w:ascii="Book Antiqua" w:hAnsi="Book Antiqua" w:cs="Times New Roman"/>
          <w:color w:val="000000" w:themeColor="text1"/>
          <w:sz w:val="24"/>
          <w:szCs w:val="24"/>
        </w:rPr>
        <w:t xml:space="preserve">. For HepG2.2.15 cells, the medium was supplemented with 150 µg/mL of G418 (Geneticin; Gibco, </w:t>
      </w:r>
      <w:r w:rsidR="00E476C4" w:rsidRPr="00DF6624">
        <w:rPr>
          <w:rFonts w:ascii="Book Antiqua" w:eastAsiaTheme="minorEastAsia" w:hAnsi="Book Antiqua" w:cs="Times New Roman"/>
          <w:color w:val="000000" w:themeColor="text1"/>
          <w:sz w:val="24"/>
          <w:szCs w:val="24"/>
          <w:lang w:val="en-GB" w:eastAsia="ja-JP" w:bidi="ar-SA"/>
        </w:rPr>
        <w:t>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 to maintain HBV plasmids.</w:t>
      </w:r>
    </w:p>
    <w:p w14:paraId="52E2470C"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p>
    <w:p w14:paraId="4DCC6B5A"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Autophagy induction</w:t>
      </w:r>
    </w:p>
    <w:p w14:paraId="363F4D4A" w14:textId="50A3510D"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To induce starvation conditions, the cells were incubated in serum-free Earle’s balanced salt solution (EBSS; starvation medium; Invitrogen, </w:t>
      </w:r>
      <w:r w:rsidR="00E476C4" w:rsidRPr="00DF6624">
        <w:rPr>
          <w:rFonts w:ascii="Book Antiqua" w:eastAsiaTheme="minorEastAsia" w:hAnsi="Book Antiqua" w:cs="Times New Roman"/>
          <w:color w:val="000000" w:themeColor="text1"/>
          <w:sz w:val="24"/>
          <w:szCs w:val="24"/>
          <w:lang w:val="en-GB" w:eastAsia="ja-JP" w:bidi="ar-SA"/>
        </w:rPr>
        <w:t>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 for the indicated number of hours (between 4-8 h).</w:t>
      </w:r>
    </w:p>
    <w:p w14:paraId="3584D172"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p>
    <w:p w14:paraId="4363D9C8" w14:textId="78705021" w:rsidR="006725C1" w:rsidRPr="00DF6624" w:rsidRDefault="006725C1" w:rsidP="005C2EDC">
      <w:pPr>
        <w:adjustRightInd w:val="0"/>
        <w:snapToGrid w:val="0"/>
        <w:spacing w:after="0" w:line="360" w:lineRule="auto"/>
        <w:jc w:val="both"/>
        <w:rPr>
          <w:rFonts w:ascii="Book Antiqua" w:hAnsi="Book Antiqua"/>
          <w:b/>
          <w:bCs/>
          <w:i/>
          <w:iCs/>
          <w:color w:val="000000" w:themeColor="text1"/>
          <w:sz w:val="24"/>
          <w:szCs w:val="24"/>
        </w:rPr>
      </w:pPr>
      <w:r w:rsidRPr="00DF6624">
        <w:rPr>
          <w:rFonts w:ascii="Book Antiqua" w:eastAsiaTheme="minorEastAsia" w:hAnsi="Book Antiqua" w:cs="Times New Roman"/>
          <w:b/>
          <w:bCs/>
          <w:i/>
          <w:iCs/>
          <w:color w:val="000000" w:themeColor="text1"/>
          <w:sz w:val="24"/>
          <w:szCs w:val="24"/>
          <w:lang w:val="en-GB" w:eastAsia="ja-JP" w:bidi="ar-SA"/>
        </w:rPr>
        <w:t>Human HCC samples</w:t>
      </w:r>
      <w:r w:rsidR="00DF6624" w:rsidRPr="00DF6624">
        <w:rPr>
          <w:rFonts w:ascii="Book Antiqua" w:eastAsiaTheme="minorEastAsia" w:hAnsi="Book Antiqua" w:cs="Times New Roman"/>
          <w:b/>
          <w:bCs/>
          <w:i/>
          <w:iCs/>
          <w:color w:val="000000" w:themeColor="text1"/>
          <w:sz w:val="24"/>
          <w:szCs w:val="24"/>
          <w:lang w:val="en-GB" w:eastAsia="ja-JP" w:bidi="ar-SA"/>
        </w:rPr>
        <w:t xml:space="preserve"> </w:t>
      </w:r>
    </w:p>
    <w:p w14:paraId="68A69F8D"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eastAsiaTheme="minorEastAsia" w:hAnsi="Book Antiqua" w:cs="Times New Roman"/>
          <w:color w:val="000000" w:themeColor="text1"/>
          <w:sz w:val="24"/>
          <w:szCs w:val="24"/>
          <w:lang w:eastAsia="ja-JP" w:bidi="ar-SA"/>
        </w:rPr>
        <w:t xml:space="preserve">Human liver tissues were obtained from King Chulalongkorn Memorial Hospital. The use of tissue biopsy was approved by the Institutional Review Board (IRB No. 396/55), Faculty of Medicine, Chulalongkorn University. The sections of tumor tissue and adjacent non-tumor tissue were performed at the Department of Pathology, Chulalongkorn University. The tissue samples were divided into two groups: HBV-infected and non-HBV infected groups. The diagnosis of HBV infection from HCC patients was established by seropositivity for HBsAg, HBV viral DNA, anti-HBcAg and seronegativity to anti-HBsAg. All fresh tissue samples were </w:t>
      </w:r>
      <w:r w:rsidRPr="00DF6624">
        <w:rPr>
          <w:rFonts w:ascii="Book Antiqua" w:hAnsi="Book Antiqua" w:cs="Times New Roman"/>
          <w:color w:val="000000" w:themeColor="text1"/>
          <w:sz w:val="24"/>
          <w:szCs w:val="24"/>
        </w:rPr>
        <w:t>snap frozen in liquid nitrogen</w:t>
      </w:r>
      <w:r w:rsidRPr="00DF6624">
        <w:rPr>
          <w:rFonts w:ascii="Book Antiqua" w:eastAsiaTheme="minorEastAsia" w:hAnsi="Book Antiqua" w:cs="Times New Roman"/>
          <w:color w:val="000000" w:themeColor="text1"/>
          <w:sz w:val="24"/>
          <w:szCs w:val="24"/>
          <w:lang w:eastAsia="ja-JP" w:bidi="ar-SA"/>
        </w:rPr>
        <w:t xml:space="preserve"> and stored at −80 °C prior to use.</w:t>
      </w:r>
    </w:p>
    <w:p w14:paraId="5B43D284"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p>
    <w:p w14:paraId="53EFFA2D"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RNA extraction and cDNA synthesis</w:t>
      </w:r>
    </w:p>
    <w:p w14:paraId="385D8397" w14:textId="74143802"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Total cellular RNA was extracted using Real Genomics Total RNA Extraction kit (RBC Bioscience, Taiwan). The quantity of RNA was measured using a spectrophotometer. RNA concentrations in a solution were read and a 260 nm absorbance reading of 1.0 was equivalent to about 40 µg/mL of RNA and the ratio of absorbance at 260 and 280 nm was used to assess the RNA purity of RNA preparations. Then 1 µg</w:t>
      </w:r>
      <w:r w:rsidRPr="00DF6624" w:rsidDel="00AA2C6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t xml:space="preserve">of total RNA was converted to cDNA using High-Capacity cDNA Reverse Transcription Kits (Applied Biosystems, </w:t>
      </w:r>
      <w:r w:rsidR="00E476C4" w:rsidRPr="00DF6624">
        <w:rPr>
          <w:rFonts w:ascii="Book Antiqua" w:eastAsiaTheme="minorEastAsia" w:hAnsi="Book Antiqua" w:cs="Times New Roman"/>
          <w:color w:val="000000" w:themeColor="text1"/>
          <w:sz w:val="24"/>
          <w:szCs w:val="24"/>
          <w:lang w:val="en-GB" w:eastAsia="ja-JP" w:bidi="ar-SA"/>
        </w:rPr>
        <w:t>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w:t>
      </w:r>
    </w:p>
    <w:p w14:paraId="768DF944"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p>
    <w:p w14:paraId="3FA0957F"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Analysis of mRNA expression using real-time quantitative PCR</w:t>
      </w:r>
    </w:p>
    <w:p w14:paraId="0E940347" w14:textId="65BDDF73"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PCR reactions were performed in a 20 µL reaction volume in a 96-well plate (Applied Biosystems, </w:t>
      </w:r>
      <w:r w:rsidR="00E476C4" w:rsidRPr="00DF6624">
        <w:rPr>
          <w:rFonts w:ascii="Book Antiqua" w:eastAsiaTheme="minorEastAsia" w:hAnsi="Book Antiqua" w:cs="Times New Roman"/>
          <w:color w:val="000000" w:themeColor="text1"/>
          <w:sz w:val="24"/>
          <w:szCs w:val="24"/>
          <w:lang w:val="en-GB" w:eastAsia="ja-JP" w:bidi="ar-SA"/>
        </w:rPr>
        <w:t>U</w:t>
      </w:r>
      <w:r w:rsidR="00E476C4">
        <w:rPr>
          <w:rFonts w:ascii="Book Antiqua" w:eastAsia="宋体" w:hAnsi="Book Antiqua" w:cs="Times New Roman" w:hint="eastAsia"/>
          <w:color w:val="000000" w:themeColor="text1"/>
          <w:sz w:val="24"/>
          <w:szCs w:val="24"/>
          <w:lang w:val="en-GB" w:eastAsia="zh-CN" w:bidi="ar-SA"/>
        </w:rPr>
        <w:t>nited States</w:t>
      </w:r>
      <w:r w:rsidRPr="00DF6624">
        <w:rPr>
          <w:rFonts w:ascii="Book Antiqua" w:hAnsi="Book Antiqua" w:cs="Times New Roman"/>
          <w:color w:val="000000" w:themeColor="text1"/>
          <w:sz w:val="24"/>
          <w:szCs w:val="24"/>
        </w:rPr>
        <w:t>). The PCR mixture contained 2 µL of cDNA template, 10 µL of commercial (2X) Power SYBR® Green PCR Master Mix (Applied Biosystems), and each primer at a final concentration of 0.5 µ</w:t>
      </w:r>
      <w:r w:rsidR="00E476C4">
        <w:rPr>
          <w:rFonts w:ascii="Book Antiqua" w:eastAsia="宋体" w:hAnsi="Book Antiqua" w:cs="Times New Roman" w:hint="eastAsia"/>
          <w:color w:val="000000" w:themeColor="text1"/>
          <w:sz w:val="24"/>
          <w:szCs w:val="24"/>
          <w:lang w:eastAsia="zh-CN"/>
        </w:rPr>
        <w:t>mol/L</w:t>
      </w:r>
      <w:r w:rsidRPr="00DF6624">
        <w:rPr>
          <w:rFonts w:ascii="Book Antiqua" w:hAnsi="Book Antiqua" w:cs="Times New Roman"/>
          <w:color w:val="000000" w:themeColor="text1"/>
          <w:sz w:val="24"/>
          <w:szCs w:val="24"/>
        </w:rPr>
        <w:t>. Real-time PCR runs were carried out using an ABI Thermal cycler 7500 real-time PCR instrument (Applied Biosystems). The conditions for thermal cycling were as follows: initial denaturation at 95 °C for 10 min, followed by 40 amplification cycles at 95 °C for 15 s and then 60 °C for 1 min. For each PCR run, a negative (no-template) control was used to test for false-positive results or contamination. The absence of nonspecific amplification was confirmed by generating a melt curve using the Applied Biosystems real-time PCR system software. The primers utilized in this study are summarized in Table 1.</w:t>
      </w:r>
    </w:p>
    <w:p w14:paraId="5F4E81F9" w14:textId="77777777" w:rsidR="006725C1" w:rsidRPr="00DF6624" w:rsidRDefault="006725C1" w:rsidP="005C2EDC">
      <w:pPr>
        <w:adjustRightInd w:val="0"/>
        <w:snapToGrid w:val="0"/>
        <w:spacing w:after="0" w:line="360" w:lineRule="auto"/>
        <w:ind w:firstLine="720"/>
        <w:jc w:val="both"/>
        <w:rPr>
          <w:rFonts w:ascii="Book Antiqua" w:hAnsi="Book Antiqua" w:cs="Times New Roman"/>
          <w:i/>
          <w:iCs/>
          <w:color w:val="000000" w:themeColor="text1"/>
          <w:sz w:val="24"/>
          <w:szCs w:val="24"/>
        </w:rPr>
      </w:pPr>
    </w:p>
    <w:p w14:paraId="61DD1CB9"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Quantifying relative gene expression</w:t>
      </w:r>
    </w:p>
    <w:p w14:paraId="7AA3DB4A"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color w:val="000000" w:themeColor="text1"/>
          <w:sz w:val="24"/>
          <w:szCs w:val="24"/>
        </w:rPr>
        <w:t xml:space="preserve">To analyze the relative gene expression data, we used real-time quantitative PCR and the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sup>
        </m:sSup>
      </m:oMath>
      <w:r w:rsidRPr="00DF6624">
        <w:rPr>
          <w:rFonts w:ascii="Book Antiqua" w:hAnsi="Book Antiqua" w:cs="Times New Roman"/>
          <w:color w:val="000000" w:themeColor="text1"/>
          <w:sz w:val="24"/>
          <w:szCs w:val="24"/>
        </w:rPr>
        <w:t xml:space="preserve"> method</w:t>
      </w:r>
      <w:r w:rsidRPr="00DF6624">
        <w:rPr>
          <w:rFonts w:ascii="Book Antiqua" w:hAnsi="Book Antiqua" w:cs="Times New Roman"/>
          <w:color w:val="000000" w:themeColor="text1"/>
          <w:sz w:val="24"/>
          <w:szCs w:val="24"/>
          <w:vertAlign w:val="superscript"/>
        </w:rPr>
        <w:t>[21]</w:t>
      </w:r>
      <w:r w:rsidRPr="00DF6624">
        <w:rPr>
          <w:rFonts w:ascii="Book Antiqua" w:hAnsi="Book Antiqua" w:cs="Times New Roman"/>
          <w:color w:val="000000" w:themeColor="text1"/>
          <w:sz w:val="24"/>
          <w:szCs w:val="24"/>
        </w:rPr>
        <w:t>.</w:t>
      </w:r>
      <w:r w:rsidRPr="00DF6624" w:rsidDel="00382948">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t>The C</w:t>
      </w:r>
      <w:r w:rsidRPr="00DF6624">
        <w:rPr>
          <w:rFonts w:ascii="Book Antiqua" w:hAnsi="Book Antiqua" w:cs="Times New Roman"/>
          <w:color w:val="000000" w:themeColor="text1"/>
          <w:sz w:val="24"/>
          <w:szCs w:val="24"/>
          <w:vertAlign w:val="subscript"/>
        </w:rPr>
        <w:t>T</w:t>
      </w:r>
      <w:r w:rsidRPr="00DF6624">
        <w:rPr>
          <w:rFonts w:ascii="Book Antiqua" w:hAnsi="Book Antiqua" w:cs="Times New Roman"/>
          <w:color w:val="000000" w:themeColor="text1"/>
          <w:sz w:val="24"/>
          <w:szCs w:val="24"/>
        </w:rPr>
        <w:t xml:space="preserve"> values were obtained from real-time PCR instrumentation. The quantity of mRNA relative to a reference gene was calculated using the formula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 xml:space="preserve"> 2</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sup>
        </m:sSup>
      </m:oMath>
      <w:r w:rsidRPr="00DF6624">
        <w:rPr>
          <w:rFonts w:ascii="Book Antiqua" w:eastAsiaTheme="minorEastAsia" w:hAnsi="Book Antiqua"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T</m:t>
            </m:r>
          </m:sub>
        </m:sSub>
      </m:oMath>
      <w:r w:rsidRPr="00DF6624">
        <w:rPr>
          <w:rFonts w:ascii="Book Antiqua" w:eastAsiaTheme="minorEastAsia" w:hAnsi="Book Antiqua" w:cs="Times New Roman"/>
          <w:color w:val="000000" w:themeColor="text1"/>
          <w:sz w:val="24"/>
          <w:szCs w:val="24"/>
        </w:rPr>
        <w:t>= (C</w:t>
      </w:r>
      <w:r w:rsidRPr="00DF6624">
        <w:rPr>
          <w:rFonts w:ascii="Book Antiqua" w:eastAsiaTheme="minorEastAsia" w:hAnsi="Book Antiqua" w:cs="Times New Roman"/>
          <w:color w:val="000000" w:themeColor="text1"/>
          <w:sz w:val="24"/>
          <w:szCs w:val="24"/>
          <w:vertAlign w:val="subscript"/>
        </w:rPr>
        <w:t xml:space="preserve">T target </w:t>
      </w:r>
      <w:r w:rsidRPr="00DF6624">
        <w:rPr>
          <w:rFonts w:ascii="Book Antiqua" w:hAnsi="Book Antiqua" w:cs="Times New Roman"/>
          <w:color w:val="000000" w:themeColor="text1"/>
          <w:sz w:val="24"/>
          <w:szCs w:val="24"/>
          <w:vertAlign w:val="subscript"/>
        </w:rPr>
        <w:t>RNA</w:t>
      </w:r>
      <w:r w:rsidRPr="00DF6624">
        <w:rPr>
          <w:rFonts w:ascii="Book Antiqua" w:hAnsi="Book Antiqua" w:cs="Times New Roman"/>
          <w:color w:val="000000" w:themeColor="text1"/>
          <w:sz w:val="24"/>
          <w:szCs w:val="24"/>
        </w:rPr>
        <w:t xml:space="preserve"> − C</w:t>
      </w:r>
      <w:r w:rsidRPr="00DF6624">
        <w:rPr>
          <w:rFonts w:ascii="Book Antiqua" w:hAnsi="Book Antiqua" w:cs="Times New Roman"/>
          <w:color w:val="000000" w:themeColor="text1"/>
          <w:sz w:val="24"/>
          <w:szCs w:val="24"/>
          <w:vertAlign w:val="subscript"/>
        </w:rPr>
        <w:t>T reference RNA</w:t>
      </w:r>
      <w:r w:rsidRPr="00DF6624">
        <w:rPr>
          <w:rFonts w:ascii="Book Antiqua" w:hAnsi="Book Antiqua" w:cs="Times New Roman"/>
          <w:color w:val="000000" w:themeColor="text1"/>
          <w:sz w:val="24"/>
          <w:szCs w:val="24"/>
        </w:rPr>
        <w:t>). Comparison of gene expression was based on a comparative C</w:t>
      </w:r>
      <w:r w:rsidRPr="00DF6624">
        <w:rPr>
          <w:rFonts w:ascii="Book Antiqua" w:hAnsi="Book Antiqua" w:cs="Times New Roman"/>
          <w:color w:val="000000" w:themeColor="text1"/>
          <w:sz w:val="24"/>
          <w:szCs w:val="24"/>
          <w:vertAlign w:val="subscript"/>
        </w:rPr>
        <w:t>T</w:t>
      </w:r>
      <w:r w:rsidRPr="00DF6624">
        <w:rPr>
          <w:rFonts w:ascii="Book Antiqua" w:hAnsi="Book Antiqua" w:cs="Times New Roman"/>
          <w:color w:val="000000" w:themeColor="text1"/>
          <w:sz w:val="24"/>
          <w:szCs w:val="24"/>
        </w:rPr>
        <w:t xml:space="preserve"> method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oMath>
      <w:r w:rsidRPr="00DF6624">
        <w:rPr>
          <w:rFonts w:ascii="Book Antiqua" w:eastAsiaTheme="minorEastAsia" w:hAnsi="Book Antiqua" w:cs="Times New Roman"/>
          <w:color w:val="000000" w:themeColor="text1"/>
          <w:sz w:val="24"/>
          <w:szCs w:val="24"/>
        </w:rPr>
        <w:t xml:space="preserve">), and the relative RNA expression was quantified according to the formula of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m:t>
            </m:r>
          </m:e>
          <m: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T</m:t>
                </m:r>
              </m:sub>
            </m:sSub>
          </m:sup>
        </m:sSup>
      </m:oMath>
      <w:r w:rsidRPr="00DF6624">
        <w:rPr>
          <w:rFonts w:ascii="Book Antiqua" w:eastAsiaTheme="minorEastAsia" w:hAnsi="Book Antiqua"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T</m:t>
            </m:r>
          </m:sub>
        </m:sSub>
      </m:oMath>
      <w:r w:rsidRPr="00DF6624">
        <w:rPr>
          <w:rFonts w:ascii="Book Antiqua" w:eastAsiaTheme="minorEastAsia" w:hAnsi="Book Antiqua" w:cs="Times New Roman"/>
          <w:color w:val="000000" w:themeColor="text1"/>
          <w:sz w:val="24"/>
          <w:szCs w:val="24"/>
        </w:rPr>
        <w:t xml:space="preserve"> = (C</w:t>
      </w:r>
      <w:r w:rsidRPr="00DF6624">
        <w:rPr>
          <w:rFonts w:ascii="Book Antiqua" w:eastAsiaTheme="minorEastAsia" w:hAnsi="Book Antiqua" w:cs="Times New Roman"/>
          <w:color w:val="000000" w:themeColor="text1"/>
          <w:sz w:val="24"/>
          <w:szCs w:val="24"/>
          <w:vertAlign w:val="subscript"/>
        </w:rPr>
        <w:t>T target RNA (experimental group)</w:t>
      </w:r>
      <w:r w:rsidRPr="00DF6624">
        <w:rPr>
          <w:rFonts w:ascii="Book Antiqua" w:eastAsiaTheme="minorEastAsia" w:hAnsi="Book Antiqua" w:cs="Times New Roman"/>
          <w:color w:val="000000" w:themeColor="text1"/>
          <w:sz w:val="24"/>
          <w:szCs w:val="24"/>
        </w:rPr>
        <w:t xml:space="preserve"> –C</w:t>
      </w:r>
      <w:r w:rsidRPr="00DF6624">
        <w:rPr>
          <w:rFonts w:ascii="Book Antiqua" w:eastAsiaTheme="minorEastAsia" w:hAnsi="Book Antiqua" w:cs="Times New Roman"/>
          <w:color w:val="000000" w:themeColor="text1"/>
          <w:sz w:val="24"/>
          <w:szCs w:val="24"/>
          <w:vertAlign w:val="subscript"/>
        </w:rPr>
        <w:t>T reference RNA (experimental group)</w:t>
      </w:r>
      <w:r w:rsidRPr="00DF6624">
        <w:rPr>
          <w:rFonts w:ascii="Book Antiqua" w:eastAsiaTheme="minorEastAsia" w:hAnsi="Book Antiqua" w:cs="Times New Roman"/>
          <w:color w:val="000000" w:themeColor="text1"/>
          <w:sz w:val="24"/>
          <w:szCs w:val="24"/>
        </w:rPr>
        <w:t>) – (C</w:t>
      </w:r>
      <w:r w:rsidRPr="00DF6624">
        <w:rPr>
          <w:rFonts w:ascii="Book Antiqua" w:eastAsiaTheme="minorEastAsia" w:hAnsi="Book Antiqua" w:cs="Times New Roman"/>
          <w:color w:val="000000" w:themeColor="text1"/>
          <w:sz w:val="24"/>
          <w:szCs w:val="24"/>
          <w:vertAlign w:val="subscript"/>
        </w:rPr>
        <w:t>T target RNA (control group)</w:t>
      </w:r>
      <w:r w:rsidRPr="00DF6624">
        <w:rPr>
          <w:rFonts w:ascii="Book Antiqua" w:eastAsiaTheme="minorEastAsia" w:hAnsi="Book Antiqua" w:cs="Times New Roman"/>
          <w:color w:val="000000" w:themeColor="text1"/>
          <w:sz w:val="24"/>
          <w:szCs w:val="24"/>
        </w:rPr>
        <w:t xml:space="preserve"> –C</w:t>
      </w:r>
      <w:r w:rsidRPr="00DF6624">
        <w:rPr>
          <w:rFonts w:ascii="Book Antiqua" w:eastAsiaTheme="minorEastAsia" w:hAnsi="Book Antiqua" w:cs="Times New Roman"/>
          <w:color w:val="000000" w:themeColor="text1"/>
          <w:sz w:val="24"/>
          <w:szCs w:val="24"/>
          <w:vertAlign w:val="subscript"/>
        </w:rPr>
        <w:t>T reference RNA (control group)</w:t>
      </w:r>
      <w:r w:rsidRPr="00DF6624">
        <w:rPr>
          <w:rFonts w:ascii="Book Antiqua" w:eastAsiaTheme="minorEastAsia" w:hAnsi="Book Antiqua" w:cs="Times New Roman"/>
          <w:color w:val="000000" w:themeColor="text1"/>
          <w:sz w:val="24"/>
          <w:szCs w:val="24"/>
        </w:rPr>
        <w:t>). Genes with high expression levels were selected for the functional study.</w:t>
      </w:r>
    </w:p>
    <w:p w14:paraId="7B20B046" w14:textId="77777777" w:rsidR="006725C1" w:rsidRPr="00DF6624" w:rsidRDefault="006725C1" w:rsidP="005C2EDC">
      <w:pPr>
        <w:adjustRightInd w:val="0"/>
        <w:snapToGrid w:val="0"/>
        <w:spacing w:after="0" w:line="360" w:lineRule="auto"/>
        <w:ind w:firstLine="720"/>
        <w:jc w:val="both"/>
        <w:rPr>
          <w:rFonts w:ascii="Book Antiqua" w:hAnsi="Book Antiqua" w:cs="Times New Roman"/>
          <w:b/>
          <w:bCs/>
          <w:color w:val="000000" w:themeColor="text1"/>
          <w:sz w:val="24"/>
          <w:szCs w:val="24"/>
        </w:rPr>
      </w:pPr>
    </w:p>
    <w:p w14:paraId="30175A27"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Western blot analysis</w:t>
      </w:r>
    </w:p>
    <w:p w14:paraId="0AEA533A" w14:textId="36BB8141"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All cell lines and</w:t>
      </w:r>
      <w:r w:rsidRPr="00DF6624">
        <w:rPr>
          <w:rFonts w:ascii="Book Antiqua" w:eastAsiaTheme="minorEastAsia" w:hAnsi="Book Antiqua" w:cs="Times New Roman"/>
          <w:color w:val="000000" w:themeColor="text1"/>
          <w:sz w:val="24"/>
          <w:szCs w:val="24"/>
          <w:lang w:eastAsia="ja-JP" w:bidi="ar-SA"/>
        </w:rPr>
        <w:t xml:space="preserve"> human liver tissues samples </w:t>
      </w:r>
      <w:r w:rsidRPr="00DF6624">
        <w:rPr>
          <w:rFonts w:ascii="Book Antiqua" w:hAnsi="Book Antiqua" w:cs="Times New Roman"/>
          <w:color w:val="000000" w:themeColor="text1"/>
          <w:sz w:val="24"/>
          <w:szCs w:val="24"/>
        </w:rPr>
        <w:t>were lysed with RIPA buffer (25 m</w:t>
      </w:r>
      <w:r w:rsidR="00E476C4">
        <w:rPr>
          <w:rFonts w:ascii="Book Antiqua" w:eastAsia="宋体" w:hAnsi="Book Antiqua" w:cs="Times New Roman" w:hint="eastAsia"/>
          <w:color w:val="000000" w:themeColor="text1"/>
          <w:sz w:val="24"/>
          <w:szCs w:val="24"/>
          <w:lang w:eastAsia="zh-CN"/>
        </w:rPr>
        <w:t>mol/L</w:t>
      </w:r>
      <w:r w:rsidRPr="00DF6624">
        <w:rPr>
          <w:rFonts w:ascii="Book Antiqua" w:hAnsi="Book Antiqua" w:cs="Times New Roman"/>
          <w:color w:val="000000" w:themeColor="text1"/>
          <w:sz w:val="24"/>
          <w:szCs w:val="24"/>
        </w:rPr>
        <w:t xml:space="preserve"> Tris-HCl, pH 7.6, 150 </w:t>
      </w:r>
      <w:r w:rsidR="00E476C4" w:rsidRPr="00DF6624">
        <w:rPr>
          <w:rFonts w:ascii="Book Antiqua" w:hAnsi="Book Antiqua" w:cs="Times New Roman"/>
          <w:color w:val="000000" w:themeColor="text1"/>
          <w:sz w:val="24"/>
          <w:szCs w:val="24"/>
        </w:rPr>
        <w:t>m</w:t>
      </w:r>
      <w:r w:rsidR="00E476C4">
        <w:rPr>
          <w:rFonts w:ascii="Book Antiqua" w:eastAsia="宋体" w:hAnsi="Book Antiqua" w:cs="Times New Roman"/>
          <w:color w:val="000000" w:themeColor="text1"/>
          <w:sz w:val="24"/>
          <w:szCs w:val="24"/>
          <w:lang w:eastAsia="zh-CN"/>
        </w:rPr>
        <w:t>mol</w:t>
      </w:r>
      <w:r w:rsidR="00E476C4">
        <w:rPr>
          <w:rFonts w:ascii="Book Antiqua" w:eastAsia="宋体" w:hAnsi="Book Antiqua" w:cs="Times New Roman" w:hint="eastAsia"/>
          <w:color w:val="000000" w:themeColor="text1"/>
          <w:sz w:val="24"/>
          <w:szCs w:val="24"/>
          <w:lang w:eastAsia="zh-CN"/>
        </w:rPr>
        <w:t>/L</w:t>
      </w:r>
      <w:r w:rsidRPr="00DF6624">
        <w:rPr>
          <w:rFonts w:ascii="Book Antiqua" w:hAnsi="Book Antiqua" w:cs="Times New Roman"/>
          <w:color w:val="000000" w:themeColor="text1"/>
          <w:sz w:val="24"/>
          <w:szCs w:val="24"/>
        </w:rPr>
        <w:t xml:space="preserve"> NaCl, 1% NP-40, 1% sodium deoxycholate, 0.1% sodium dodecyl sulfate). After sonication, protein </w:t>
      </w:r>
      <w:r w:rsidRPr="00DF6624">
        <w:rPr>
          <w:rFonts w:ascii="Book Antiqua" w:hAnsi="Book Antiqua" w:cs="Times New Roman"/>
          <w:color w:val="000000" w:themeColor="text1"/>
          <w:sz w:val="24"/>
          <w:szCs w:val="24"/>
        </w:rPr>
        <w:lastRenderedPageBreak/>
        <w:t xml:space="preserve">concentrations of cell lysates were measured using BCA assay (Thermo Scientific,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xml:space="preserve">). Then 20 µg of protein from each cell line was loaded onto a 12% polyacrylamide gel and run at 130 V for 80 min. The proteins were transferred onto nitrocellulose membranes and were immunoblotted with primary mAb against Atg9a, Atg12, cNotch1, GAPDH (dilution, 1:1000; rabbit mAb; Cell Signaling Technologies,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xml:space="preserve">) and Atg4b (dilution, 1:1000; mouse mAb; Abcam,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After washing, the membranes were incubated with secondary antibodies conjugated with horseradish peroxidase (dilution 1:2000) and were analyzed with enhanced chemiluminescence (ECL) substrate (SuperSignal West Femto Chemiluminescent Substrate; Thermo Scientific). Images were quantified using a Licor-odyssey image system (LI-COR</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w:t>
      </w:r>
    </w:p>
    <w:p w14:paraId="5A878F5E"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1D93E4F0"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Determination of HBx gene effect on autophagic gene expression</w:t>
      </w:r>
    </w:p>
    <w:p w14:paraId="4DC29238" w14:textId="65BBFB59"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HepG2 cells were grown in DMEM supplemented with 10% FBS, antibiotic-free at 37 °C in 5% CO</w:t>
      </w:r>
      <w:r w:rsidRPr="00DF6624">
        <w:rPr>
          <w:rFonts w:ascii="Book Antiqua" w:hAnsi="Book Antiqua" w:cs="Times New Roman"/>
          <w:color w:val="000000" w:themeColor="text1"/>
          <w:sz w:val="24"/>
          <w:szCs w:val="24"/>
          <w:vertAlign w:val="subscript"/>
        </w:rPr>
        <w:t>2</w:t>
      </w:r>
      <w:r w:rsidRPr="00DF6624">
        <w:rPr>
          <w:rFonts w:ascii="Book Antiqua" w:hAnsi="Book Antiqua" w:cs="Times New Roman"/>
          <w:color w:val="000000" w:themeColor="text1"/>
          <w:sz w:val="24"/>
          <w:szCs w:val="24"/>
        </w:rPr>
        <w:t xml:space="preserve"> for 24 h. HepG2 cells were transfected with 500-1000 ng of pGFP-HBx plasmids (Addgene, MA,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or pGFP (negative control) using 1-3 µL of Lipofectamine</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2000 Transfection Reagent (Invitrogen,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Opti-MEM</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I Reduced Serum Medium (Invitrogen) was used to dilute Lipofectamine</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2000 and plasmids, which were then gently mixed at a 1:1 ratio, incubated for 40 min at room temperature. HepG2 cells were diluted in complete growth medium without antibiotics to a final concentration of 4</w:t>
      </w:r>
      <w:r w:rsidR="00E476C4">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x</w:t>
      </w:r>
      <w:r w:rsidR="00E476C4">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10</w:t>
      </w:r>
      <w:r w:rsidRPr="00DF6624">
        <w:rPr>
          <w:rFonts w:ascii="Book Antiqua" w:hAnsi="Book Antiqua" w:cs="Times New Roman"/>
          <w:color w:val="000000" w:themeColor="text1"/>
          <w:sz w:val="24"/>
          <w:szCs w:val="24"/>
          <w:vertAlign w:val="superscript"/>
        </w:rPr>
        <w:t>5</w:t>
      </w:r>
      <w:r w:rsidRPr="00DF6624">
        <w:rPr>
          <w:rFonts w:ascii="Book Antiqua" w:hAnsi="Book Antiqua" w:cs="Times New Roman"/>
          <w:color w:val="000000" w:themeColor="text1"/>
          <w:sz w:val="24"/>
          <w:szCs w:val="24"/>
        </w:rPr>
        <w:t xml:space="preserve"> cells/mL, then the cells were added to culture plates with plasmid-Lipofectamine</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2000 complexes and gently mixed by rocking the plate. The cells were incubated for 24-72 h at 37 °C in a 5% CO</w:t>
      </w:r>
      <w:r w:rsidRPr="00DF6624">
        <w:rPr>
          <w:rFonts w:ascii="Book Antiqua" w:hAnsi="Book Antiqua" w:cs="Times New Roman"/>
          <w:color w:val="000000" w:themeColor="text1"/>
          <w:sz w:val="24"/>
          <w:szCs w:val="24"/>
          <w:vertAlign w:val="subscript"/>
        </w:rPr>
        <w:t>2</w:t>
      </w:r>
      <w:r w:rsidRPr="00DF6624">
        <w:rPr>
          <w:rFonts w:ascii="Book Antiqua" w:hAnsi="Book Antiqua" w:cs="Times New Roman"/>
          <w:color w:val="000000" w:themeColor="text1"/>
          <w:sz w:val="24"/>
          <w:szCs w:val="24"/>
        </w:rPr>
        <w:t xml:space="preserve"> incubator. The relative</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autophagic gene expression was detected by real-time quantitative PCR.</w:t>
      </w:r>
    </w:p>
    <w:p w14:paraId="3C704FAD"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lang w:val="en-GB"/>
        </w:rPr>
      </w:pPr>
    </w:p>
    <w:p w14:paraId="3BAD77D0" w14:textId="77777777" w:rsidR="006725C1" w:rsidRPr="00DF6624" w:rsidRDefault="006725C1" w:rsidP="005C2EDC">
      <w:pPr>
        <w:adjustRightInd w:val="0"/>
        <w:snapToGrid w:val="0"/>
        <w:spacing w:after="0" w:line="360" w:lineRule="auto"/>
        <w:jc w:val="both"/>
        <w:rPr>
          <w:rFonts w:ascii="Book Antiqua" w:hAnsi="Book Antiqua"/>
          <w:b/>
          <w:bCs/>
          <w:i/>
          <w:iCs/>
          <w:color w:val="000000" w:themeColor="text1"/>
          <w:sz w:val="24"/>
          <w:szCs w:val="24"/>
          <w:cs/>
          <w:lang w:val="en-GB"/>
        </w:rPr>
      </w:pPr>
      <w:r w:rsidRPr="00DF6624">
        <w:rPr>
          <w:rFonts w:ascii="Book Antiqua" w:hAnsi="Book Antiqua" w:cs="Times New Roman"/>
          <w:b/>
          <w:bCs/>
          <w:i/>
          <w:iCs/>
          <w:color w:val="000000" w:themeColor="text1"/>
          <w:sz w:val="24"/>
          <w:szCs w:val="24"/>
          <w:lang w:val="en-GB"/>
        </w:rPr>
        <w:t>RNA interference</w:t>
      </w:r>
    </w:p>
    <w:p w14:paraId="08DA49D9" w14:textId="48891F85"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lang w:val="en-GB"/>
        </w:rPr>
      </w:pPr>
      <w:r w:rsidRPr="00DF6624">
        <w:rPr>
          <w:rFonts w:ascii="Book Antiqua" w:hAnsi="Book Antiqua" w:cs="Angsana New"/>
          <w:color w:val="000000" w:themeColor="text1"/>
          <w:sz w:val="24"/>
          <w:szCs w:val="24"/>
        </w:rPr>
        <w:t xml:space="preserve">HepG2 and </w:t>
      </w:r>
      <w:r w:rsidRPr="00DF6624">
        <w:rPr>
          <w:rFonts w:ascii="Book Antiqua" w:hAnsi="Book Antiqua" w:cs="Times New Roman"/>
          <w:color w:val="000000" w:themeColor="text1"/>
          <w:sz w:val="24"/>
          <w:szCs w:val="24"/>
          <w:lang w:val="en-GB"/>
        </w:rPr>
        <w:t xml:space="preserve">HepG2.2.15 cells were transiently transfected with 500 ng of short hairpin RNA (shRNA) plasmid specific to ATG12 or a negative control </w:t>
      </w:r>
      <w:r w:rsidRPr="00DF6624">
        <w:rPr>
          <w:rFonts w:ascii="Book Antiqua" w:hAnsi="Book Antiqua" w:cs="Times New Roman"/>
          <w:color w:val="000000" w:themeColor="text1"/>
          <w:sz w:val="24"/>
          <w:szCs w:val="24"/>
          <w:lang w:val="en-GB"/>
        </w:rPr>
        <w:lastRenderedPageBreak/>
        <w:t>(</w:t>
      </w:r>
      <w:r w:rsidRPr="00DF6624">
        <w:rPr>
          <w:rFonts w:ascii="Book Antiqua" w:hAnsi="Book Antiqua" w:cs="Times New Roman"/>
          <w:color w:val="000000" w:themeColor="text1"/>
          <w:sz w:val="24"/>
          <w:szCs w:val="24"/>
          <w:shd w:val="clear" w:color="auto" w:fill="FFFFFF"/>
          <w:lang w:val="en-GB"/>
        </w:rPr>
        <w:t>SureSilencing shRNA Plasmid</w:t>
      </w:r>
      <w:r w:rsidRPr="00DF6624">
        <w:rPr>
          <w:rFonts w:ascii="Book Antiqua" w:hAnsi="Book Antiqua" w:cs="Times New Roman"/>
          <w:color w:val="000000" w:themeColor="text1"/>
          <w:sz w:val="24"/>
          <w:szCs w:val="24"/>
          <w:lang w:val="en-GB"/>
        </w:rPr>
        <w:t xml:space="preserve">; Qiagen,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lang w:val="en-GB"/>
        </w:rPr>
        <w:t>). The shATG12 plasmids contained following sequence: 5’-GCAAATCCTCTATGCCTTCTT-3’. Negative controls were inserted with a mock target sequence as follows: 5’-GGAATCTCATTCGATGCATAC-3’. Transfection of shRNA plasmids was carried out using Lipofectamine</w:t>
      </w:r>
      <w:r w:rsidRPr="00E476C4">
        <w:rPr>
          <w:rFonts w:ascii="Book Antiqua" w:hAnsi="Book Antiqua" w:cs="Times New Roman"/>
          <w:color w:val="000000" w:themeColor="text1"/>
          <w:sz w:val="24"/>
          <w:szCs w:val="24"/>
          <w:vertAlign w:val="superscript"/>
          <w:lang w:val="en-GB"/>
        </w:rPr>
        <w:t>®</w:t>
      </w:r>
      <w:r w:rsidRPr="00DF6624">
        <w:rPr>
          <w:rFonts w:ascii="Book Antiqua" w:hAnsi="Book Antiqua" w:cs="Times New Roman"/>
          <w:color w:val="000000" w:themeColor="text1"/>
          <w:sz w:val="24"/>
          <w:szCs w:val="24"/>
          <w:lang w:val="en-GB"/>
        </w:rPr>
        <w:t xml:space="preserve"> 2000 (Invitrogen) according to the manufacturer’s instructions. At 72 h post-transfection, cells were collected and the silencing efficiency of the shRNA was detected by western blotting.</w:t>
      </w:r>
    </w:p>
    <w:p w14:paraId="394FB0CC"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lang w:val="en-GB"/>
        </w:rPr>
      </w:pPr>
    </w:p>
    <w:p w14:paraId="413E46F8" w14:textId="77777777" w:rsidR="006725C1" w:rsidRPr="00DF6624" w:rsidRDefault="006725C1" w:rsidP="005C2EDC">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shd w:val="clear" w:color="auto" w:fill="FFFFFF"/>
        </w:rPr>
        <w:t>Flow cytometric analysis</w:t>
      </w:r>
    </w:p>
    <w:p w14:paraId="0D356F2A" w14:textId="54765C00" w:rsidR="006725C1" w:rsidRPr="00DF6624" w:rsidRDefault="006725C1" w:rsidP="005C2EDC">
      <w:pPr>
        <w:adjustRightInd w:val="0"/>
        <w:snapToGrid w:val="0"/>
        <w:spacing w:after="0" w:line="360" w:lineRule="auto"/>
        <w:jc w:val="both"/>
        <w:rPr>
          <w:rFonts w:ascii="Book Antiqua" w:eastAsiaTheme="minorEastAsia" w:hAnsi="Book Antiqua" w:cs="Times New Roman"/>
          <w:color w:val="000000" w:themeColor="text1"/>
          <w:sz w:val="24"/>
          <w:szCs w:val="24"/>
          <w:lang w:eastAsia="ja-JP" w:bidi="ar-SA"/>
        </w:rPr>
      </w:pPr>
      <w:r w:rsidRPr="00DF6624">
        <w:rPr>
          <w:rFonts w:ascii="Book Antiqua" w:hAnsi="Book Antiqua" w:cs="Times New Roman"/>
          <w:color w:val="000000" w:themeColor="text1"/>
          <w:sz w:val="24"/>
          <w:szCs w:val="24"/>
        </w:rPr>
        <w:t>Specific autophagic silenced cells (shATG12) were assayed for apoptosis using PE-labeled annexin V staining (BioLegend,</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 xml:space="preserve">San Diego, CA,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and Fixable Viability Dye eFluor</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780 staining (eBioscience, CA,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Total apoptotic cells and early apoptotic cells were defined as annexin V-positive and Fixable Viability Dye eFluor</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780-negative and late apoptotic cells were defined as annexin V-positive and Fixable Viability Dye eFluor</w:t>
      </w:r>
      <w:r w:rsidRPr="00E476C4">
        <w:rPr>
          <w:rFonts w:ascii="Book Antiqua" w:hAnsi="Book Antiqua" w:cs="Times New Roman"/>
          <w:color w:val="000000" w:themeColor="text1"/>
          <w:sz w:val="24"/>
          <w:szCs w:val="24"/>
          <w:vertAlign w:val="superscript"/>
        </w:rPr>
        <w:t>®</w:t>
      </w:r>
      <w:r w:rsidRPr="00DF6624">
        <w:rPr>
          <w:rFonts w:ascii="Book Antiqua" w:hAnsi="Book Antiqua" w:cs="Times New Roman"/>
          <w:color w:val="000000" w:themeColor="text1"/>
          <w:sz w:val="24"/>
          <w:szCs w:val="24"/>
        </w:rPr>
        <w:t xml:space="preserve"> 780-positive. For cell cycle analysis, cells were fixed with 70% ice-cold ethanol for at least 2 h on ice. The supernatant was removed, and the pellet was washed and treated with RNaseA to resuspend cells. Cells were then stained with propidium iodide (PI) solution at room temperature in the dark for 30 min. Cells were acquired on a FACScan (BD Biosciences,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xml:space="preserve">) and analyzed with FlowJo 10.0 software (FlowJo LLC.,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w:t>
      </w:r>
    </w:p>
    <w:p w14:paraId="55F65448"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660C2692"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Statistical analysis</w:t>
      </w:r>
    </w:p>
    <w:p w14:paraId="7B3095C3" w14:textId="302700EA"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Significant differences were determined by unpaired </w:t>
      </w:r>
      <w:r w:rsidRPr="00E476C4">
        <w:rPr>
          <w:rFonts w:ascii="Book Antiqua" w:hAnsi="Book Antiqua" w:cs="Times New Roman"/>
          <w:i/>
          <w:color w:val="000000" w:themeColor="text1"/>
          <w:sz w:val="24"/>
          <w:szCs w:val="24"/>
        </w:rPr>
        <w:t>t</w:t>
      </w:r>
      <w:r w:rsidRPr="00DF6624">
        <w:rPr>
          <w:rFonts w:ascii="Book Antiqua" w:hAnsi="Book Antiqua" w:cs="Times New Roman"/>
          <w:color w:val="000000" w:themeColor="text1"/>
          <w:sz w:val="24"/>
          <w:szCs w:val="24"/>
        </w:rPr>
        <w:t xml:space="preserve"> test with GraphPad Prism software, version 5.0 (San Diego, CA, </w:t>
      </w:r>
      <w:r w:rsidR="00E476C4">
        <w:rPr>
          <w:rFonts w:ascii="Book Antiqua" w:eastAsia="宋体" w:hAnsi="Book Antiqua" w:cs="Times New Roman" w:hint="eastAsia"/>
          <w:color w:val="000000" w:themeColor="text1"/>
          <w:sz w:val="24"/>
          <w:szCs w:val="24"/>
          <w:lang w:eastAsia="zh-CN"/>
        </w:rPr>
        <w:t>United States</w:t>
      </w:r>
      <w:r w:rsidRPr="00DF6624">
        <w:rPr>
          <w:rFonts w:ascii="Book Antiqua" w:hAnsi="Book Antiqua" w:cs="Times New Roman"/>
          <w:color w:val="000000" w:themeColor="text1"/>
          <w:sz w:val="24"/>
          <w:szCs w:val="24"/>
        </w:rPr>
        <w:t xml:space="preserve">). Statistical significance was set at a </w:t>
      </w:r>
      <w:r w:rsidRPr="00E476C4">
        <w:rPr>
          <w:rFonts w:ascii="Book Antiqua" w:hAnsi="Book Antiqua" w:cs="Times New Roman"/>
          <w:i/>
          <w:color w:val="000000" w:themeColor="text1"/>
          <w:sz w:val="24"/>
          <w:szCs w:val="24"/>
        </w:rPr>
        <w:t>P</w:t>
      </w:r>
      <w:r w:rsidRPr="00DF6624">
        <w:rPr>
          <w:rFonts w:ascii="Book Antiqua" w:hAnsi="Book Antiqua" w:cs="Times New Roman"/>
          <w:color w:val="000000" w:themeColor="text1"/>
          <w:sz w:val="24"/>
          <w:szCs w:val="24"/>
        </w:rPr>
        <w:t>-value of &lt; 0.05.</w:t>
      </w:r>
    </w:p>
    <w:p w14:paraId="11EE5B2B"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002C47E2"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t>RESULTS</w:t>
      </w:r>
    </w:p>
    <w:p w14:paraId="3DCE529D"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Expression profile of autophagic genes in cell line</w:t>
      </w:r>
      <w:r w:rsidRPr="00DF6624">
        <w:rPr>
          <w:rFonts w:ascii="Book Antiqua" w:hAnsi="Book Antiqua" w:cs="Angsana New"/>
          <w:b/>
          <w:bCs/>
          <w:i/>
          <w:iCs/>
          <w:color w:val="000000" w:themeColor="text1"/>
          <w:sz w:val="24"/>
          <w:szCs w:val="24"/>
        </w:rPr>
        <w:t>s</w:t>
      </w:r>
      <w:r w:rsidRPr="00DF6624">
        <w:rPr>
          <w:rFonts w:ascii="Book Antiqua" w:hAnsi="Book Antiqua" w:cs="Times New Roman"/>
          <w:b/>
          <w:bCs/>
          <w:i/>
          <w:iCs/>
          <w:color w:val="000000" w:themeColor="text1"/>
          <w:sz w:val="24"/>
          <w:szCs w:val="24"/>
        </w:rPr>
        <w:t xml:space="preserve"> and HCC biopsy tissue</w:t>
      </w:r>
    </w:p>
    <w:p w14:paraId="2F441CA4" w14:textId="46875AC1"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To investigate the involvement of autophagy in HCC, we used Beclin-1 as a marker for HBV-induced autophagy under starvation conditions. We </w:t>
      </w:r>
      <w:r w:rsidRPr="00DF6624">
        <w:rPr>
          <w:rFonts w:ascii="Book Antiqua" w:hAnsi="Book Antiqua" w:cs="Times New Roman"/>
          <w:color w:val="000000" w:themeColor="text1"/>
          <w:sz w:val="24"/>
          <w:szCs w:val="24"/>
        </w:rPr>
        <w:lastRenderedPageBreak/>
        <w:t>analyzed Beclin-1 mRNA expression in HBV-transfected HepG2.2.15 cells and</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the parental cell line, HepG2. At 4 h post-starvation, Beclin-1 was up regulated in both cell lines and was then down regulated at 8 h (data not shown). Thus, we selected autophagy induction with starvation in EBSS for 4 h for all subsequent experiments.</w:t>
      </w:r>
      <w:r w:rsidR="00DF6624" w:rsidRPr="00DF6624">
        <w:rPr>
          <w:rFonts w:ascii="Book Antiqua" w:hAnsi="Book Antiqua" w:cs="Times New Roman"/>
          <w:i/>
          <w:color w:val="000000" w:themeColor="text1"/>
          <w:sz w:val="24"/>
          <w:szCs w:val="24"/>
        </w:rPr>
        <w:t xml:space="preserve"> </w:t>
      </w:r>
    </w:p>
    <w:p w14:paraId="630B8C01" w14:textId="21C9DDD6"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Autophagy related genes that represent each major part of the autophagy machinery including </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1) induction step (Beclin1)</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 xml:space="preserve"> </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2) the first ubiquitin-like conjugation molecules (ATG5 and ATG12)</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 xml:space="preserve"> </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3) the cysteine protease that catalyzes the second ubiquitin-like conjugation molecules (ATG4B)</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 xml:space="preserve"> and </w:t>
      </w:r>
      <w:r w:rsidR="00E476C4">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4) the transporter membrane required for autophagosome formation (ATG9A) were tested. The mRNA expression levels of these selected molecules were determined at baseline and at 4 h post-culture in EBSS. There were no significant differences at baseline (data not shown). At 4 h post starvation, Beclin1 mRNA was down regulated in HepG2.2.15 compared to THLE2 and HepG2 (</w:t>
      </w:r>
      <w:bookmarkStart w:id="139" w:name="OLE_LINK1"/>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 xml:space="preserve">0.0213 </w:t>
      </w:r>
      <w:bookmarkEnd w:id="139"/>
      <w:r w:rsidRPr="00DF6624">
        <w:rPr>
          <w:rFonts w:ascii="Book Antiqua" w:hAnsi="Book Antiqua" w:cs="Times New Roman"/>
          <w:color w:val="000000" w:themeColor="text1"/>
          <w:sz w:val="24"/>
          <w:szCs w:val="24"/>
        </w:rPr>
        <w:t xml:space="preserve">and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0.0236, respectively)</w:t>
      </w:r>
      <w:r w:rsidR="00CA74E6" w:rsidRPr="00DF6624">
        <w:rPr>
          <w:rFonts w:ascii="Book Antiqua" w:hAnsi="Book Antiqua"/>
          <w:color w:val="000000" w:themeColor="text1"/>
          <w:sz w:val="24"/>
          <w:szCs w:val="24"/>
        </w:rPr>
        <w:t xml:space="preserve"> </w:t>
      </w:r>
      <w:r w:rsidR="00CA74E6" w:rsidRPr="00DF6624">
        <w:rPr>
          <w:rFonts w:ascii="Book Antiqua" w:hAnsi="Book Antiqua" w:cs="Times New Roman"/>
          <w:color w:val="000000" w:themeColor="text1"/>
          <w:sz w:val="24"/>
          <w:szCs w:val="24"/>
        </w:rPr>
        <w:t>(Figure 1</w:t>
      </w:r>
      <w:r w:rsidR="000717B4" w:rsidRPr="00DF6624">
        <w:rPr>
          <w:rFonts w:ascii="Book Antiqua" w:hAnsi="Book Antiqua" w:cs="Times New Roman"/>
          <w:color w:val="000000" w:themeColor="text1"/>
          <w:sz w:val="24"/>
          <w:szCs w:val="24"/>
        </w:rPr>
        <w:t>A</w:t>
      </w:r>
      <w:r w:rsidR="00CA74E6"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t>No significant difference was observed for ATG4B expression between HBV-transfected HepG2.2.15 and HepG2, but it was significantly increased in HepG2 and HepG2.2.15 compared with THLE-2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 xml:space="preserve">0.0002 and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0.0007, respectively)</w:t>
      </w:r>
      <w:r w:rsidR="00CA74E6" w:rsidRPr="00DF6624">
        <w:rPr>
          <w:rFonts w:ascii="Book Antiqua" w:hAnsi="Book Antiqua"/>
          <w:color w:val="000000" w:themeColor="text1"/>
          <w:sz w:val="24"/>
          <w:szCs w:val="24"/>
        </w:rPr>
        <w:t xml:space="preserve"> </w:t>
      </w:r>
      <w:r w:rsidR="00CA74E6" w:rsidRPr="00DF6624">
        <w:rPr>
          <w:rFonts w:ascii="Book Antiqua" w:hAnsi="Book Antiqua" w:cs="Times New Roman"/>
          <w:color w:val="000000" w:themeColor="text1"/>
          <w:sz w:val="24"/>
          <w:szCs w:val="24"/>
        </w:rPr>
        <w:t>(Figure 1</w:t>
      </w:r>
      <w:r w:rsidR="000717B4" w:rsidRPr="00DF6624">
        <w:rPr>
          <w:rFonts w:ascii="Book Antiqua" w:hAnsi="Book Antiqua" w:cs="Times New Roman"/>
          <w:color w:val="000000" w:themeColor="text1"/>
          <w:sz w:val="24"/>
          <w:szCs w:val="24"/>
        </w:rPr>
        <w:t>E</w:t>
      </w:r>
      <w:r w:rsidR="00CA74E6" w:rsidRPr="00DF6624">
        <w:rPr>
          <w:rFonts w:ascii="Book Antiqua" w:hAnsi="Book Antiqua" w:cs="Times New Roman"/>
          <w:color w:val="000000" w:themeColor="text1"/>
          <w:sz w:val="24"/>
          <w:szCs w:val="24"/>
        </w:rPr>
        <w:t>).</w:t>
      </w:r>
      <w:r w:rsidRPr="00DF6624">
        <w:rPr>
          <w:rFonts w:ascii="Book Antiqua" w:hAnsi="Book Antiqua" w:cs="Times New Roman"/>
          <w:color w:val="000000" w:themeColor="text1"/>
          <w:sz w:val="24"/>
          <w:szCs w:val="24"/>
        </w:rPr>
        <w:t xml:space="preserve"> ATG9A mRNA expression was higher in HepG2 and HepG2.2.15 compared to THLE2 but significantly down regulated in HBV-transfected HepG2.2.15 compared with HepG2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0.0013)</w:t>
      </w:r>
      <w:r w:rsidR="00CA74E6" w:rsidRPr="00DF6624">
        <w:rPr>
          <w:rFonts w:ascii="Book Antiqua" w:hAnsi="Book Antiqua"/>
          <w:color w:val="000000" w:themeColor="text1"/>
          <w:sz w:val="24"/>
          <w:szCs w:val="24"/>
        </w:rPr>
        <w:t xml:space="preserve"> </w:t>
      </w:r>
      <w:r w:rsidR="00CA74E6" w:rsidRPr="00DF6624">
        <w:rPr>
          <w:rFonts w:ascii="Book Antiqua" w:hAnsi="Book Antiqua" w:cs="Times New Roman"/>
          <w:color w:val="000000" w:themeColor="text1"/>
          <w:sz w:val="24"/>
          <w:szCs w:val="24"/>
        </w:rPr>
        <w:t>(Figure 1</w:t>
      </w:r>
      <w:r w:rsidR="000717B4" w:rsidRPr="00DF6624">
        <w:rPr>
          <w:rFonts w:ascii="Book Antiqua" w:hAnsi="Book Antiqua" w:cs="Times New Roman"/>
          <w:color w:val="000000" w:themeColor="text1"/>
          <w:sz w:val="24"/>
          <w:szCs w:val="24"/>
        </w:rPr>
        <w:t>D</w:t>
      </w:r>
      <w:r w:rsidR="00CA74E6" w:rsidRPr="00DF6624">
        <w:rPr>
          <w:rFonts w:ascii="Book Antiqua" w:hAnsi="Book Antiqua" w:cs="Times New Roman"/>
          <w:color w:val="000000" w:themeColor="text1"/>
          <w:sz w:val="24"/>
          <w:szCs w:val="24"/>
        </w:rPr>
        <w:t>)</w:t>
      </w:r>
      <w:r w:rsidRPr="00DF6624">
        <w:rPr>
          <w:rFonts w:ascii="Book Antiqua" w:hAnsi="Book Antiqua" w:cs="Times New Roman"/>
          <w:color w:val="000000" w:themeColor="text1"/>
          <w:sz w:val="24"/>
          <w:szCs w:val="24"/>
        </w:rPr>
        <w:t>. Only the mRNA expression of ATG5 and ATG12 was significantly increased in HBV-transfected HepG2.2.15 compared with HepG2 cells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 xml:space="preserve">0.0027 </w:t>
      </w:r>
      <w:r w:rsidR="00CA74E6" w:rsidRPr="00DF6624">
        <w:rPr>
          <w:rFonts w:ascii="Book Antiqua" w:hAnsi="Book Antiqua" w:cs="Times New Roman"/>
          <w:color w:val="000000" w:themeColor="text1"/>
          <w:sz w:val="24"/>
          <w:szCs w:val="24"/>
        </w:rPr>
        <w:t>(Figure 1</w:t>
      </w:r>
      <w:r w:rsidR="000717B4" w:rsidRPr="00DF6624">
        <w:rPr>
          <w:rFonts w:ascii="Book Antiqua" w:hAnsi="Book Antiqua" w:cs="Times New Roman"/>
          <w:color w:val="000000" w:themeColor="text1"/>
          <w:sz w:val="24"/>
          <w:szCs w:val="24"/>
        </w:rPr>
        <w:t>B</w:t>
      </w:r>
      <w:r w:rsidR="00CA74E6"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t xml:space="preserve">and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0.0039</w:t>
      </w:r>
      <w:r w:rsidR="000717B4" w:rsidRPr="00DF6624">
        <w:rPr>
          <w:rFonts w:ascii="Book Antiqua" w:hAnsi="Book Antiqua" w:cs="Times New Roman"/>
          <w:color w:val="000000" w:themeColor="text1"/>
          <w:sz w:val="24"/>
          <w:szCs w:val="24"/>
        </w:rPr>
        <w:t xml:space="preserve"> </w:t>
      </w:r>
      <w:r w:rsidR="00CA74E6" w:rsidRPr="00DF6624">
        <w:rPr>
          <w:rFonts w:ascii="Book Antiqua" w:hAnsi="Book Antiqua" w:cs="Times New Roman"/>
          <w:color w:val="000000" w:themeColor="text1"/>
          <w:sz w:val="24"/>
          <w:szCs w:val="24"/>
        </w:rPr>
        <w:t>(Figure 1</w:t>
      </w:r>
      <w:r w:rsidR="000717B4" w:rsidRPr="00DF6624">
        <w:rPr>
          <w:rFonts w:ascii="Book Antiqua" w:hAnsi="Book Antiqua" w:cs="Times New Roman"/>
          <w:color w:val="000000" w:themeColor="text1"/>
          <w:sz w:val="24"/>
          <w:szCs w:val="24"/>
        </w:rPr>
        <w:t>C</w:t>
      </w:r>
      <w:r w:rsidR="00CA74E6" w:rsidRPr="00DF6624">
        <w:rPr>
          <w:rFonts w:ascii="Book Antiqua" w:hAnsi="Book Antiqua" w:cs="Times New Roman"/>
          <w:color w:val="000000" w:themeColor="text1"/>
          <w:sz w:val="24"/>
          <w:szCs w:val="24"/>
        </w:rPr>
        <w:t xml:space="preserve">), </w:t>
      </w:r>
      <w:r w:rsidR="000717B4" w:rsidRPr="00DF6624">
        <w:rPr>
          <w:rFonts w:ascii="Book Antiqua" w:hAnsi="Book Antiqua" w:cs="Times New Roman"/>
          <w:color w:val="000000" w:themeColor="text1"/>
          <w:sz w:val="24"/>
          <w:szCs w:val="24"/>
        </w:rPr>
        <w:t>respectively)</w:t>
      </w:r>
      <w:r w:rsidRPr="00DF6624">
        <w:rPr>
          <w:rFonts w:ascii="Book Antiqua" w:hAnsi="Book Antiqua" w:cs="Times New Roman"/>
          <w:color w:val="000000" w:themeColor="text1"/>
          <w:sz w:val="24"/>
          <w:szCs w:val="24"/>
        </w:rPr>
        <w:t xml:space="preserve">. The results of mRNA levels were confirmed by western blot analysis. ATG5-ATG12 proteins were up regulated in HBV-transfected HepG2.2.15 whereas ATG9A were down regulated compared to HepG2 cells. There was no difference in ATG4B protein expression between HBV-transfected HepG2.2.15 and HepG2 (Figure </w:t>
      </w:r>
      <w:r w:rsidR="00705CA4" w:rsidRPr="00DF6624">
        <w:rPr>
          <w:rFonts w:ascii="Book Antiqua" w:hAnsi="Book Antiqua" w:cs="Times New Roman"/>
          <w:color w:val="000000" w:themeColor="text1"/>
          <w:sz w:val="24"/>
          <w:szCs w:val="24"/>
        </w:rPr>
        <w:t>1</w:t>
      </w:r>
      <w:r w:rsidR="000717B4" w:rsidRPr="00DF6624">
        <w:rPr>
          <w:rFonts w:ascii="Book Antiqua" w:hAnsi="Book Antiqua" w:cs="Times New Roman"/>
          <w:color w:val="000000" w:themeColor="text1"/>
          <w:sz w:val="24"/>
          <w:szCs w:val="24"/>
        </w:rPr>
        <w:t>F</w:t>
      </w:r>
      <w:r w:rsidRPr="00DF6624">
        <w:rPr>
          <w:rFonts w:ascii="Book Antiqua" w:hAnsi="Book Antiqua" w:cs="Times New Roman"/>
          <w:color w:val="000000" w:themeColor="text1"/>
          <w:sz w:val="24"/>
          <w:szCs w:val="24"/>
        </w:rPr>
        <w:t>).</w:t>
      </w:r>
    </w:p>
    <w:p w14:paraId="4D06E6B1" w14:textId="77777777" w:rsidR="006725C1" w:rsidRPr="00DF6624" w:rsidRDefault="006725C1" w:rsidP="005C2EDC">
      <w:pPr>
        <w:adjustRightInd w:val="0"/>
        <w:snapToGrid w:val="0"/>
        <w:spacing w:after="0" w:line="360" w:lineRule="auto"/>
        <w:ind w:firstLine="720"/>
        <w:jc w:val="both"/>
        <w:rPr>
          <w:rFonts w:ascii="Book Antiqua" w:hAnsi="Book Antiqua"/>
          <w:color w:val="000000" w:themeColor="text1"/>
          <w:sz w:val="24"/>
          <w:szCs w:val="24"/>
          <w:cs/>
          <w:lang w:val="th-TH"/>
        </w:rPr>
      </w:pPr>
      <w:r w:rsidRPr="00DF6624">
        <w:rPr>
          <w:rFonts w:ascii="Book Antiqua" w:hAnsi="Book Antiqua" w:cs="Times New Roman"/>
          <w:color w:val="000000" w:themeColor="text1"/>
          <w:sz w:val="24"/>
          <w:szCs w:val="24"/>
        </w:rPr>
        <w:t>Next, we analyzed ATG5-ATG12 levels in tumor tissues compared to adjacent non-tumor</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 xml:space="preserve">tissues from HCC patients with or without HBV infection. </w:t>
      </w:r>
      <w:r w:rsidRPr="00DF6624">
        <w:rPr>
          <w:rFonts w:ascii="Book Antiqua" w:hAnsi="Book Antiqua" w:cs="Times New Roman"/>
          <w:color w:val="000000" w:themeColor="text1"/>
          <w:sz w:val="24"/>
          <w:szCs w:val="24"/>
        </w:rPr>
        <w:lastRenderedPageBreak/>
        <w:t>In HBV-associated HCC tissues, ATG5-ATG12 protein levels were increased in the majority of tumor liver tissues compared to adjacent non-tumor</w:t>
      </w:r>
      <w:r w:rsidRPr="00DF6624">
        <w:rPr>
          <w:rFonts w:ascii="Book Antiqua" w:hAnsi="Book Antiqua"/>
          <w:color w:val="000000" w:themeColor="text1"/>
          <w:sz w:val="24"/>
          <w:szCs w:val="24"/>
        </w:rPr>
        <w:t xml:space="preserve"> </w:t>
      </w:r>
      <w:r w:rsidR="00705CA4" w:rsidRPr="00DF6624">
        <w:rPr>
          <w:rFonts w:ascii="Book Antiqua" w:hAnsi="Book Antiqua" w:cs="Times New Roman"/>
          <w:color w:val="000000" w:themeColor="text1"/>
          <w:sz w:val="24"/>
          <w:szCs w:val="24"/>
        </w:rPr>
        <w:t>tissues (9/10 sample pairs)</w:t>
      </w:r>
      <w:r w:rsidR="00C972B8" w:rsidRPr="00DF6624">
        <w:rPr>
          <w:rFonts w:ascii="Book Antiqua" w:hAnsi="Book Antiqua" w:cs="Times New Roman"/>
          <w:color w:val="000000" w:themeColor="text1"/>
          <w:sz w:val="24"/>
          <w:szCs w:val="24"/>
        </w:rPr>
        <w:t xml:space="preserve"> (Figure 2A, 2C)</w:t>
      </w:r>
      <w:r w:rsidRPr="00DF6624">
        <w:rPr>
          <w:rFonts w:ascii="Book Antiqua" w:hAnsi="Book Antiqua" w:cs="Times New Roman"/>
          <w:color w:val="000000" w:themeColor="text1"/>
          <w:sz w:val="24"/>
          <w:szCs w:val="24"/>
        </w:rPr>
        <w:t xml:space="preserve">. In non-HBV HCC, ATG5-ATG12 protein levels were only increased in 3/8 tumor liver tissue samples (Figure </w:t>
      </w:r>
      <w:r w:rsidR="00C972B8" w:rsidRPr="00DF6624">
        <w:rPr>
          <w:rFonts w:ascii="Book Antiqua" w:hAnsi="Book Antiqua" w:cs="Times New Roman"/>
          <w:color w:val="000000" w:themeColor="text1"/>
          <w:sz w:val="24"/>
          <w:szCs w:val="24"/>
        </w:rPr>
        <w:t>2B, 2</w:t>
      </w:r>
      <w:r w:rsidR="00705CA4" w:rsidRPr="00DF6624">
        <w:rPr>
          <w:rFonts w:ascii="Book Antiqua" w:hAnsi="Book Antiqua" w:cs="Times New Roman"/>
          <w:color w:val="000000" w:themeColor="text1"/>
          <w:sz w:val="24"/>
          <w:szCs w:val="24"/>
        </w:rPr>
        <w:t>C</w:t>
      </w:r>
      <w:r w:rsidRPr="00DF6624">
        <w:rPr>
          <w:rFonts w:ascii="Book Antiqua" w:hAnsi="Book Antiqua" w:cs="Times New Roman"/>
          <w:color w:val="000000" w:themeColor="text1"/>
          <w:sz w:val="24"/>
          <w:szCs w:val="24"/>
        </w:rPr>
        <w:t>). These results suggested that ATG5-ATG12 proteins might have a selective advantage in HBV-associated HCC compared to non-HBV HCC.</w:t>
      </w:r>
    </w:p>
    <w:p w14:paraId="15E355E4" w14:textId="77777777" w:rsidR="00E476C4" w:rsidRDefault="00E476C4" w:rsidP="005C2EDC">
      <w:pPr>
        <w:adjustRightInd w:val="0"/>
        <w:snapToGrid w:val="0"/>
        <w:spacing w:after="0" w:line="360" w:lineRule="auto"/>
        <w:jc w:val="both"/>
        <w:rPr>
          <w:rFonts w:ascii="Book Antiqua" w:eastAsia="宋体" w:hAnsi="Book Antiqua" w:cs="Angsana New"/>
          <w:b/>
          <w:bCs/>
          <w:i/>
          <w:iCs/>
          <w:color w:val="000000" w:themeColor="text1"/>
          <w:sz w:val="24"/>
          <w:szCs w:val="24"/>
          <w:lang w:eastAsia="zh-CN"/>
        </w:rPr>
      </w:pPr>
    </w:p>
    <w:p w14:paraId="1CCCF676"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Angsana New"/>
          <w:b/>
          <w:bCs/>
          <w:i/>
          <w:iCs/>
          <w:color w:val="000000" w:themeColor="text1"/>
          <w:sz w:val="24"/>
          <w:szCs w:val="24"/>
        </w:rPr>
        <w:t>E</w:t>
      </w:r>
      <w:r w:rsidRPr="00DF6624">
        <w:rPr>
          <w:rFonts w:ascii="Book Antiqua" w:hAnsi="Book Antiqua" w:cs="Times New Roman"/>
          <w:b/>
          <w:bCs/>
          <w:i/>
          <w:iCs/>
          <w:color w:val="000000" w:themeColor="text1"/>
          <w:sz w:val="24"/>
          <w:szCs w:val="24"/>
        </w:rPr>
        <w:t>ffect of HBx gene on autophag</w:t>
      </w:r>
      <w:r w:rsidRPr="00DF6624">
        <w:rPr>
          <w:rFonts w:ascii="Book Antiqua" w:hAnsi="Book Antiqua" w:cs="Angsana New"/>
          <w:b/>
          <w:bCs/>
          <w:i/>
          <w:iCs/>
          <w:color w:val="000000" w:themeColor="text1"/>
          <w:sz w:val="24"/>
          <w:szCs w:val="24"/>
        </w:rPr>
        <w:t>ic</w:t>
      </w:r>
      <w:r w:rsidRPr="00DF6624">
        <w:rPr>
          <w:rFonts w:ascii="Book Antiqua" w:hAnsi="Book Antiqua" w:cs="Times New Roman"/>
          <w:b/>
          <w:bCs/>
          <w:i/>
          <w:iCs/>
          <w:color w:val="000000" w:themeColor="text1"/>
          <w:sz w:val="24"/>
          <w:szCs w:val="24"/>
        </w:rPr>
        <w:t xml:space="preserve"> gene expression</w:t>
      </w:r>
    </w:p>
    <w:p w14:paraId="7E17BE64" w14:textId="7C2F1AE3"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color w:val="000000" w:themeColor="text1"/>
          <w:sz w:val="24"/>
          <w:szCs w:val="24"/>
        </w:rPr>
        <w:t>The X protein was shown to induce HBV replication by increasing Beclin-1 transcription leading to the induction of autophagy</w:t>
      </w:r>
      <w:r w:rsidRPr="00DF6624">
        <w:rPr>
          <w:rFonts w:ascii="Book Antiqua" w:hAnsi="Book Antiqua" w:cs="Times New Roman"/>
          <w:color w:val="000000" w:themeColor="text1"/>
          <w:sz w:val="24"/>
          <w:szCs w:val="24"/>
          <w:vertAlign w:val="superscript"/>
        </w:rPr>
        <w:t>[1]</w:t>
      </w:r>
      <w:r w:rsidRPr="00DF6624">
        <w:rPr>
          <w:rFonts w:ascii="Book Antiqua" w:hAnsi="Book Antiqua" w:cs="Times New Roman"/>
          <w:color w:val="000000" w:themeColor="text1"/>
          <w:sz w:val="24"/>
          <w:szCs w:val="24"/>
        </w:rPr>
        <w:t>. In this study, we analyzed the effect of HBx on Beclin-1 and on ATG12 by transfection of HepG2 cells with the pGFP-HBx plasmid. Then, we analyzed Beclin-1 and ATG12 mRNA expressions using quantitative real-time RT-PCR. We found that Beclin-1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0.0027)</w:t>
      </w:r>
      <w:r w:rsidR="0039187C" w:rsidRPr="00DF6624">
        <w:rPr>
          <w:rFonts w:ascii="Book Antiqua" w:hAnsi="Book Antiqua"/>
          <w:color w:val="000000" w:themeColor="text1"/>
          <w:sz w:val="24"/>
          <w:szCs w:val="24"/>
        </w:rPr>
        <w:t xml:space="preserve"> </w:t>
      </w:r>
      <w:r w:rsidR="0039187C" w:rsidRPr="00DF6624">
        <w:rPr>
          <w:rFonts w:ascii="Book Antiqua" w:hAnsi="Book Antiqua" w:cs="Times New Roman"/>
          <w:color w:val="000000" w:themeColor="text1"/>
          <w:sz w:val="24"/>
          <w:szCs w:val="24"/>
        </w:rPr>
        <w:t>(Figure 3A)</w:t>
      </w:r>
      <w:r w:rsidRPr="00DF6624">
        <w:rPr>
          <w:rFonts w:ascii="Book Antiqua" w:hAnsi="Book Antiqua" w:cs="Times New Roman"/>
          <w:color w:val="000000" w:themeColor="text1"/>
          <w:sz w:val="24"/>
          <w:szCs w:val="24"/>
        </w:rPr>
        <w:t xml:space="preserve"> and ATG12 (</w:t>
      </w:r>
      <w:r w:rsidR="00E476C4" w:rsidRPr="00E476C4">
        <w:rPr>
          <w:rFonts w:ascii="Book Antiqua" w:hAnsi="Book Antiqua" w:cs="Times New Roman"/>
          <w:i/>
          <w:color w:val="000000" w:themeColor="text1"/>
          <w:sz w:val="24"/>
          <w:szCs w:val="24"/>
        </w:rPr>
        <w:t xml:space="preserve">P = </w:t>
      </w:r>
      <w:r w:rsidRPr="00DF6624">
        <w:rPr>
          <w:rFonts w:ascii="Book Antiqua" w:hAnsi="Book Antiqua" w:cs="Times New Roman"/>
          <w:color w:val="000000" w:themeColor="text1"/>
          <w:sz w:val="24"/>
          <w:szCs w:val="24"/>
        </w:rPr>
        <w:t xml:space="preserve">0.0139) </w:t>
      </w:r>
      <w:r w:rsidR="0039187C" w:rsidRPr="00DF6624">
        <w:rPr>
          <w:rFonts w:ascii="Book Antiqua" w:hAnsi="Book Antiqua" w:cs="Times New Roman"/>
          <w:color w:val="000000" w:themeColor="text1"/>
          <w:sz w:val="24"/>
          <w:szCs w:val="24"/>
        </w:rPr>
        <w:t xml:space="preserve">(Figure 3B) </w:t>
      </w:r>
      <w:r w:rsidRPr="00DF6624">
        <w:rPr>
          <w:rFonts w:ascii="Book Antiqua" w:hAnsi="Book Antiqua" w:cs="Times New Roman"/>
          <w:color w:val="000000" w:themeColor="text1"/>
          <w:sz w:val="24"/>
          <w:szCs w:val="24"/>
        </w:rPr>
        <w:t>mRNA expression were significantly increased in HepG2-GFP-HBx compared with HepG2-GFP after 48 h of transfection. These results suggested that HBX plays a role in ATG12 induction, either directly or indirectly through Beclin1.</w:t>
      </w:r>
    </w:p>
    <w:p w14:paraId="6FF00500"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65FCC8CF"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ATG12 gene silencing in HepG2 and HepG2.2.15</w:t>
      </w:r>
    </w:p>
    <w:p w14:paraId="2DB09820" w14:textId="1F8D463D"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Next, we studied the functional role of the ATG12 autophagic gene by monitoring the</w:t>
      </w:r>
      <w:r w:rsidRPr="00DF6624">
        <w:rPr>
          <w:rFonts w:ascii="Book Antiqua" w:hAnsi="Book Antiqua"/>
          <w:color w:val="000000" w:themeColor="text1"/>
          <w:sz w:val="24"/>
          <w:szCs w:val="24"/>
        </w:rPr>
        <w:t xml:space="preserve"> </w:t>
      </w:r>
      <w:r w:rsidRPr="00DF6624">
        <w:rPr>
          <w:rFonts w:ascii="Book Antiqua" w:eastAsia="Calibri" w:hAnsi="Book Antiqua" w:cs="Times New Roman"/>
          <w:color w:val="000000" w:themeColor="text1"/>
          <w:sz w:val="24"/>
          <w:szCs w:val="24"/>
        </w:rPr>
        <w:t>biological effect after</w:t>
      </w:r>
      <w:r w:rsidRPr="00DF6624">
        <w:rPr>
          <w:rFonts w:ascii="Book Antiqua" w:hAnsi="Book Antiqua"/>
          <w:color w:val="000000" w:themeColor="text1"/>
          <w:sz w:val="24"/>
          <w:szCs w:val="24"/>
        </w:rPr>
        <w:t xml:space="preserve"> </w:t>
      </w:r>
      <w:r w:rsidRPr="00DF6624">
        <w:rPr>
          <w:rFonts w:ascii="Book Antiqua" w:eastAsia="Calibri" w:hAnsi="Book Antiqua" w:cs="Times New Roman"/>
          <w:color w:val="000000" w:themeColor="text1"/>
          <w:sz w:val="24"/>
          <w:szCs w:val="24"/>
        </w:rPr>
        <w:t xml:space="preserve">knockdown of its expression. </w:t>
      </w:r>
      <w:r w:rsidRPr="00DF6624">
        <w:rPr>
          <w:rFonts w:ascii="Book Antiqua" w:hAnsi="Book Antiqua" w:cs="Times New Roman"/>
          <w:color w:val="000000" w:themeColor="text1"/>
          <w:sz w:val="24"/>
          <w:szCs w:val="24"/>
        </w:rPr>
        <w:t xml:space="preserve">Cells containing plasmids with the greatest silencing efficiency were subjected to western blot analysis for protein expression. The transfection efficiency was estimated by monitoring GFP expression under inverted fluorescence microscope (data not shown). The protein level of ATG12 in transfected HepG2 and HepG2.2.15 cells was decreased compared with mock controls </w:t>
      </w:r>
      <w:r w:rsidR="00C07509" w:rsidRPr="00DF6624">
        <w:rPr>
          <w:rFonts w:ascii="Book Antiqua" w:hAnsi="Book Antiqua" w:cs="Times New Roman"/>
          <w:color w:val="000000" w:themeColor="text1"/>
          <w:sz w:val="24"/>
          <w:szCs w:val="24"/>
        </w:rPr>
        <w:t xml:space="preserve">(Figure </w:t>
      </w:r>
      <w:r w:rsidR="00497174" w:rsidRPr="00DF6624">
        <w:rPr>
          <w:rFonts w:ascii="Book Antiqua" w:hAnsi="Book Antiqua" w:cs="Times New Roman"/>
          <w:color w:val="000000" w:themeColor="text1"/>
          <w:sz w:val="24"/>
          <w:szCs w:val="24"/>
        </w:rPr>
        <w:t>4</w:t>
      </w:r>
      <w:r w:rsidR="00C07509" w:rsidRPr="00DF6624">
        <w:rPr>
          <w:rFonts w:ascii="Book Antiqua" w:hAnsi="Book Antiqua" w:cs="Times New Roman"/>
          <w:color w:val="000000" w:themeColor="text1"/>
          <w:sz w:val="24"/>
          <w:szCs w:val="24"/>
        </w:rPr>
        <w:t>A</w:t>
      </w:r>
      <w:r w:rsidRPr="00DF6624">
        <w:rPr>
          <w:rFonts w:ascii="Book Antiqua" w:hAnsi="Book Antiqua" w:cs="Times New Roman"/>
          <w:color w:val="000000" w:themeColor="text1"/>
          <w:sz w:val="24"/>
          <w:szCs w:val="24"/>
        </w:rPr>
        <w:t>).</w:t>
      </w:r>
      <w:r w:rsidR="00DF6624" w:rsidRPr="00DF6624">
        <w:rPr>
          <w:rFonts w:ascii="Book Antiqua" w:hAnsi="Book Antiqua" w:cs="Times New Roman"/>
          <w:i/>
          <w:color w:val="000000" w:themeColor="text1"/>
          <w:sz w:val="24"/>
          <w:szCs w:val="24"/>
        </w:rPr>
        <w:t xml:space="preserve"> </w:t>
      </w:r>
    </w:p>
    <w:p w14:paraId="6AC8BED1"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324D44CC"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Effect of ATG12 knock down on cell apoptosis and cell cycle progression</w:t>
      </w:r>
    </w:p>
    <w:p w14:paraId="59551D1A" w14:textId="60940208"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lastRenderedPageBreak/>
        <w:t xml:space="preserve">We investigated apoptosis and </w:t>
      </w:r>
      <w:r w:rsidRPr="00DF6624">
        <w:rPr>
          <w:rFonts w:ascii="Book Antiqua" w:hAnsi="Book Antiqua" w:cs="Times New Roman"/>
          <w:color w:val="000000" w:themeColor="text1"/>
          <w:sz w:val="24"/>
          <w:szCs w:val="24"/>
          <w:lang w:bidi="ar-SA"/>
        </w:rPr>
        <w:t>cell cycle progression</w:t>
      </w:r>
      <w:r w:rsidRPr="00DF6624">
        <w:rPr>
          <w:rFonts w:ascii="Book Antiqua" w:hAnsi="Book Antiqua" w:cs="Times New Roman"/>
          <w:color w:val="000000" w:themeColor="text1"/>
          <w:sz w:val="24"/>
          <w:szCs w:val="24"/>
        </w:rPr>
        <w:t xml:space="preserve"> in HepG2.2.15 cells compare to HepG2 cells after the silencing of ATG12. </w:t>
      </w:r>
      <w:r w:rsidR="003C49C4" w:rsidRPr="00DF6624">
        <w:rPr>
          <w:rFonts w:ascii="Book Antiqua" w:hAnsi="Book Antiqua" w:cs="Times New Roman"/>
          <w:color w:val="000000" w:themeColor="text1"/>
          <w:sz w:val="24"/>
          <w:szCs w:val="24"/>
        </w:rPr>
        <w:t>T</w:t>
      </w:r>
      <w:r w:rsidR="007E75CF" w:rsidRPr="00DF6624">
        <w:rPr>
          <w:rFonts w:ascii="Book Antiqua" w:hAnsi="Book Antiqua" w:cs="Times New Roman"/>
          <w:color w:val="000000" w:themeColor="text1"/>
          <w:sz w:val="24"/>
          <w:szCs w:val="24"/>
        </w:rPr>
        <w:t xml:space="preserve">he </w:t>
      </w:r>
      <w:r w:rsidRPr="00DF6624">
        <w:rPr>
          <w:rFonts w:ascii="Book Antiqua" w:hAnsi="Book Antiqua" w:cs="Times New Roman"/>
          <w:color w:val="000000" w:themeColor="text1"/>
          <w:sz w:val="24"/>
          <w:szCs w:val="24"/>
        </w:rPr>
        <w:t>percentage of apoptotic cells was slightly increased (</w:t>
      </w:r>
      <w:r w:rsidR="009439F0" w:rsidRPr="00DF6624">
        <w:rPr>
          <w:rFonts w:ascii="Book Antiqua" w:hAnsi="Book Antiqua" w:cs="Times New Roman"/>
          <w:color w:val="000000" w:themeColor="text1"/>
          <w:sz w:val="24"/>
          <w:szCs w:val="24"/>
        </w:rPr>
        <w:t>8.3</w:t>
      </w:r>
      <w:r w:rsidRPr="00DF6624">
        <w:rPr>
          <w:rFonts w:ascii="Book Antiqua" w:hAnsi="Book Antiqua" w:cs="Times New Roman"/>
          <w:color w:val="000000" w:themeColor="text1"/>
          <w:sz w:val="24"/>
          <w:szCs w:val="24"/>
        </w:rPr>
        <w:t>%) in ATG12-silenced HepG2 but unchanged in HepG2.2.15</w:t>
      </w:r>
      <w:r w:rsidR="007E75CF" w:rsidRPr="00DF6624">
        <w:rPr>
          <w:rFonts w:ascii="Book Antiqua" w:hAnsi="Book Antiqua"/>
          <w:color w:val="000000" w:themeColor="text1"/>
          <w:sz w:val="24"/>
          <w:szCs w:val="24"/>
        </w:rPr>
        <w:t xml:space="preserve"> </w:t>
      </w:r>
      <w:r w:rsidR="007E75CF" w:rsidRPr="00DF6624">
        <w:rPr>
          <w:rFonts w:ascii="Book Antiqua" w:hAnsi="Book Antiqua" w:cs="Times New Roman"/>
          <w:color w:val="000000" w:themeColor="text1"/>
          <w:sz w:val="24"/>
          <w:szCs w:val="24"/>
        </w:rPr>
        <w:t>under normal conditions</w:t>
      </w:r>
      <w:r w:rsidR="003C49C4" w:rsidRPr="00DF6624">
        <w:rPr>
          <w:rFonts w:ascii="Book Antiqua" w:hAnsi="Book Antiqua" w:cs="Times New Roman"/>
          <w:color w:val="000000" w:themeColor="text1"/>
          <w:sz w:val="24"/>
          <w:szCs w:val="24"/>
        </w:rPr>
        <w:t>, which is similar to w</w:t>
      </w:r>
      <w:r w:rsidR="00E476C4">
        <w:rPr>
          <w:rFonts w:ascii="Book Antiqua" w:hAnsi="Book Antiqua" w:cs="Times New Roman"/>
          <w:color w:val="000000" w:themeColor="text1"/>
          <w:sz w:val="24"/>
          <w:szCs w:val="24"/>
        </w:rPr>
        <w:t>hat we have previously reported</w:t>
      </w:r>
      <w:r w:rsidR="007E75CF" w:rsidRPr="00DF6624">
        <w:rPr>
          <w:rFonts w:ascii="Book Antiqua" w:hAnsi="Book Antiqua" w:cs="Times New Roman"/>
          <w:color w:val="000000" w:themeColor="text1"/>
          <w:sz w:val="24"/>
          <w:szCs w:val="24"/>
          <w:vertAlign w:val="superscript"/>
        </w:rPr>
        <w:t>[5]</w:t>
      </w:r>
      <w:r w:rsidR="007E75CF"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t xml:space="preserve">Under starvation conditions with EBSS, the percentage of apoptotic cells increased 11.4% in ATG12-silenced HepG2.2.15 but did not change in ATG12-silenced HepG2 </w:t>
      </w:r>
      <w:r w:rsidR="00C07509" w:rsidRPr="00DF6624">
        <w:rPr>
          <w:rFonts w:ascii="Book Antiqua" w:hAnsi="Book Antiqua" w:cs="Times New Roman"/>
          <w:color w:val="000000" w:themeColor="text1"/>
          <w:sz w:val="24"/>
          <w:szCs w:val="24"/>
        </w:rPr>
        <w:t xml:space="preserve">(Figure </w:t>
      </w:r>
      <w:r w:rsidR="00497174" w:rsidRPr="00DF6624">
        <w:rPr>
          <w:rFonts w:ascii="Book Antiqua" w:hAnsi="Book Antiqua" w:cs="Times New Roman"/>
          <w:color w:val="000000" w:themeColor="text1"/>
          <w:sz w:val="24"/>
          <w:szCs w:val="24"/>
        </w:rPr>
        <w:t>4</w:t>
      </w:r>
      <w:r w:rsidR="00C07509" w:rsidRPr="00DF6624">
        <w:rPr>
          <w:rFonts w:ascii="Book Antiqua" w:hAnsi="Book Antiqua" w:cs="Times New Roman"/>
          <w:color w:val="000000" w:themeColor="text1"/>
          <w:sz w:val="24"/>
          <w:szCs w:val="24"/>
        </w:rPr>
        <w:t>B</w:t>
      </w:r>
      <w:r w:rsidRPr="00DF6624">
        <w:rPr>
          <w:rFonts w:ascii="Book Antiqua" w:hAnsi="Book Antiqua" w:cs="Times New Roman"/>
          <w:color w:val="000000" w:themeColor="text1"/>
          <w:sz w:val="24"/>
          <w:szCs w:val="24"/>
        </w:rPr>
        <w:t>).</w:t>
      </w:r>
      <w:r w:rsidRPr="00DF6624">
        <w:rPr>
          <w:rFonts w:ascii="Book Antiqua" w:hAnsi="Book Antiqua" w:cs="Times New Roman"/>
          <w:color w:val="000000" w:themeColor="text1"/>
          <w:sz w:val="24"/>
          <w:szCs w:val="24"/>
          <w:lang w:bidi="ar-SA"/>
        </w:rPr>
        <w:t xml:space="preserve"> No significant changes in cell cycle progression were observed in either cell line </w:t>
      </w:r>
      <w:r w:rsidRPr="00DF6624">
        <w:rPr>
          <w:rFonts w:ascii="Book Antiqua" w:hAnsi="Book Antiqua" w:cs="Times New Roman"/>
          <w:color w:val="000000" w:themeColor="text1"/>
          <w:sz w:val="24"/>
          <w:szCs w:val="24"/>
        </w:rPr>
        <w:t xml:space="preserve">(Figure </w:t>
      </w:r>
      <w:r w:rsidR="00497174" w:rsidRPr="00DF6624">
        <w:rPr>
          <w:rFonts w:ascii="Book Antiqua" w:hAnsi="Book Antiqua" w:cs="Times New Roman"/>
          <w:color w:val="000000" w:themeColor="text1"/>
          <w:sz w:val="24"/>
          <w:szCs w:val="24"/>
        </w:rPr>
        <w:t>5</w:t>
      </w:r>
      <w:r w:rsidRPr="00DF6624">
        <w:rPr>
          <w:rFonts w:ascii="Book Antiqua" w:hAnsi="Book Antiqua" w:cs="Times New Roman"/>
          <w:color w:val="000000" w:themeColor="text1"/>
          <w:sz w:val="24"/>
          <w:szCs w:val="24"/>
        </w:rPr>
        <w:t>). These results suggest that ATG5-ATG12 proteins are important for the survival of HBV-associated HCC during states of limited tumor nutrients.</w:t>
      </w:r>
    </w:p>
    <w:p w14:paraId="314A43DD"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p>
    <w:p w14:paraId="091A51D3"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Analysis of combination treatment using ATG12-silencing and Notch inhibition</w:t>
      </w:r>
    </w:p>
    <w:p w14:paraId="51C1CBA4"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We recently reported that Notch signaling played a role in cell cycle progression and apoptosis, particularly in HBV-associated HCC</w:t>
      </w:r>
      <w:r w:rsidRPr="00DF6624">
        <w:rPr>
          <w:rFonts w:ascii="Book Antiqua" w:hAnsi="Book Antiqua" w:cs="Times New Roman"/>
          <w:color w:val="000000" w:themeColor="text1"/>
          <w:sz w:val="24"/>
          <w:szCs w:val="24"/>
          <w:vertAlign w:val="superscript"/>
        </w:rPr>
        <w:t>[22]</w:t>
      </w:r>
      <w:r w:rsidRPr="00DF6624">
        <w:rPr>
          <w:rFonts w:ascii="Book Antiqua" w:hAnsi="Book Antiqua" w:cs="Times New Roman"/>
          <w:color w:val="000000" w:themeColor="text1"/>
          <w:sz w:val="24"/>
          <w:szCs w:val="24"/>
        </w:rPr>
        <w:t>. Because ATG12 was up</w:t>
      </w:r>
      <w:r w:rsidR="004F5ADE"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t>regulated in HepG2.2.15 compared to HepG2, and plays a role in cell apoptosis, we assessed the effect of ATG12 silencing in combination with a Notch inhibitor in the HepG2.2.15 cell line. Gamma-Secretase Inhibitors (GSI), also known as N-[N-(3,5-difluorophenacetyl)-L-alanyl]-S-phenylglycine t-butyl ester; DAPT, is used to block the Notch pathway</w:t>
      </w:r>
      <w:r w:rsidRPr="00DF6624">
        <w:rPr>
          <w:rFonts w:ascii="Book Antiqua" w:hAnsi="Book Antiqua" w:cs="Times New Roman"/>
          <w:color w:val="000000" w:themeColor="text1"/>
          <w:sz w:val="24"/>
          <w:szCs w:val="24"/>
          <w:vertAlign w:val="superscript"/>
        </w:rPr>
        <w:t>[23]</w:t>
      </w:r>
      <w:r w:rsidRPr="00DF6624">
        <w:rPr>
          <w:rFonts w:ascii="Book Antiqua" w:hAnsi="Book Antiqua" w:cs="Times New Roman"/>
          <w:color w:val="000000" w:themeColor="text1"/>
          <w:sz w:val="24"/>
          <w:szCs w:val="24"/>
        </w:rPr>
        <w:t xml:space="preserve">. </w:t>
      </w:r>
      <w:r w:rsidRPr="00DF6624">
        <w:rPr>
          <w:rFonts w:ascii="Book Antiqua" w:hAnsi="Book Antiqua"/>
          <w:color w:val="000000" w:themeColor="text1"/>
          <w:sz w:val="24"/>
          <w:szCs w:val="24"/>
        </w:rPr>
        <w:t>W</w:t>
      </w:r>
      <w:r w:rsidRPr="00DF6624">
        <w:rPr>
          <w:rFonts w:ascii="Book Antiqua" w:hAnsi="Book Antiqua" w:cs="Times New Roman"/>
          <w:color w:val="000000" w:themeColor="text1"/>
          <w:sz w:val="24"/>
          <w:szCs w:val="24"/>
        </w:rPr>
        <w:t xml:space="preserve">hen using DAPT combined with gene silencing of ATG12 under starvation conditions, HepG2 cell apoptosis was increased from 38.5% to 48.3%, compared to DAPT treatment alone, although there was no synergistic effect (Figure </w:t>
      </w:r>
      <w:r w:rsidR="00906B41" w:rsidRPr="00DF6624">
        <w:rPr>
          <w:rFonts w:ascii="Book Antiqua" w:hAnsi="Book Antiqua" w:cs="Times New Roman"/>
          <w:color w:val="000000" w:themeColor="text1"/>
          <w:sz w:val="24"/>
          <w:szCs w:val="24"/>
        </w:rPr>
        <w:t>6</w:t>
      </w:r>
      <w:r w:rsidRPr="00DF6624">
        <w:rPr>
          <w:rFonts w:ascii="Book Antiqua" w:hAnsi="Book Antiqua" w:cs="Times New Roman"/>
          <w:color w:val="000000" w:themeColor="text1"/>
          <w:sz w:val="24"/>
          <w:szCs w:val="24"/>
        </w:rPr>
        <w:t xml:space="preserve">). Interestingly, the combination blockade of DAPT and ATG12 gave the opposite result by decreasing the apoptosis rate in HepG2.2.15 from 55.6% to 50.4% (Figure </w:t>
      </w:r>
      <w:r w:rsidR="00906B41" w:rsidRPr="00DF6624">
        <w:rPr>
          <w:rFonts w:ascii="Book Antiqua" w:hAnsi="Book Antiqua" w:cs="Times New Roman"/>
          <w:color w:val="000000" w:themeColor="text1"/>
          <w:sz w:val="24"/>
          <w:szCs w:val="24"/>
        </w:rPr>
        <w:t>6</w:t>
      </w:r>
      <w:r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lang w:bidi="ar-SA"/>
        </w:rPr>
        <w:t xml:space="preserve">No significant changes in cell cycle progression were observed </w:t>
      </w:r>
      <w:r w:rsidRPr="00DF6624">
        <w:rPr>
          <w:rFonts w:ascii="Book Antiqua" w:hAnsi="Book Antiqua" w:cs="Times New Roman"/>
          <w:color w:val="000000" w:themeColor="text1"/>
          <w:sz w:val="24"/>
          <w:szCs w:val="24"/>
        </w:rPr>
        <w:t xml:space="preserve">for the combination treatment of ATG12 siRNA and DAPT (Figure </w:t>
      </w:r>
      <w:r w:rsidR="00906B41" w:rsidRPr="00DF6624">
        <w:rPr>
          <w:rFonts w:ascii="Book Antiqua" w:hAnsi="Book Antiqua" w:cs="Times New Roman"/>
          <w:color w:val="000000" w:themeColor="text1"/>
          <w:sz w:val="24"/>
          <w:szCs w:val="24"/>
        </w:rPr>
        <w:t>7</w:t>
      </w:r>
      <w:r w:rsidRPr="00DF6624">
        <w:rPr>
          <w:rFonts w:ascii="Book Antiqua" w:hAnsi="Book Antiqua" w:cs="Times New Roman"/>
          <w:color w:val="000000" w:themeColor="text1"/>
          <w:sz w:val="24"/>
          <w:szCs w:val="24"/>
        </w:rPr>
        <w:t xml:space="preserve">). These results suggested that autophagy and </w:t>
      </w:r>
      <w:r w:rsidR="00BD2577" w:rsidRPr="00DF6624">
        <w:rPr>
          <w:rFonts w:ascii="Book Antiqua" w:hAnsi="Book Antiqua" w:cs="Times New Roman"/>
          <w:color w:val="000000" w:themeColor="text1"/>
          <w:sz w:val="24"/>
          <w:szCs w:val="24"/>
        </w:rPr>
        <w:t xml:space="preserve">Notch signaling are independent </w:t>
      </w:r>
      <w:r w:rsidRPr="00DF6624">
        <w:rPr>
          <w:rFonts w:ascii="Book Antiqua" w:hAnsi="Book Antiqua" w:cs="Times New Roman"/>
          <w:color w:val="000000" w:themeColor="text1"/>
          <w:sz w:val="24"/>
          <w:szCs w:val="24"/>
        </w:rPr>
        <w:t xml:space="preserve">from each other in HBV-expressing cells compared to non-HBV HCC. </w:t>
      </w:r>
    </w:p>
    <w:p w14:paraId="12AE3111" w14:textId="7EE5955F"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lastRenderedPageBreak/>
        <w:t>Finally, we</w:t>
      </w:r>
      <w:r w:rsidRPr="00DF6624">
        <w:rPr>
          <w:rFonts w:ascii="Book Antiqua" w:hAnsi="Book Antiqua" w:cs="Times New Roman"/>
          <w:color w:val="000000" w:themeColor="text1"/>
          <w:sz w:val="24"/>
          <w:szCs w:val="24"/>
          <w:lang w:bidi="ar-SA"/>
        </w:rPr>
        <w:t xml:space="preserve"> </w:t>
      </w:r>
      <w:r w:rsidRPr="00DF6624">
        <w:rPr>
          <w:rFonts w:ascii="Book Antiqua" w:hAnsi="Book Antiqua" w:cs="Times New Roman"/>
          <w:color w:val="000000" w:themeColor="text1"/>
          <w:sz w:val="24"/>
          <w:szCs w:val="24"/>
        </w:rPr>
        <w:t>analyzed ATG12 expression</w:t>
      </w:r>
      <w:r w:rsidRPr="00DF6624">
        <w:rPr>
          <w:rFonts w:ascii="Book Antiqua" w:hAnsi="Book Antiqua" w:cs="Times New Roman"/>
          <w:color w:val="000000" w:themeColor="text1"/>
          <w:sz w:val="24"/>
          <w:szCs w:val="24"/>
          <w:lang w:bidi="ar-SA"/>
        </w:rPr>
        <w:t xml:space="preserve"> after treatment with DAPT </w:t>
      </w:r>
      <w:r w:rsidRPr="00DF6624">
        <w:rPr>
          <w:rFonts w:ascii="Book Antiqua" w:hAnsi="Book Antiqua" w:cs="Times New Roman"/>
          <w:color w:val="000000" w:themeColor="text1"/>
          <w:sz w:val="24"/>
          <w:szCs w:val="24"/>
        </w:rPr>
        <w:t xml:space="preserve">and detected cleaved Notch1 expression after silencing ATG12 genes at baseline. ATG12 mRNA was decreased by DAPT treatment in HepG2.2.15 (Figure </w:t>
      </w:r>
      <w:r w:rsidR="00906B41" w:rsidRPr="00DF6624">
        <w:rPr>
          <w:rFonts w:ascii="Book Antiqua" w:hAnsi="Book Antiqua" w:cs="Times New Roman"/>
          <w:color w:val="000000" w:themeColor="text1"/>
          <w:sz w:val="24"/>
          <w:szCs w:val="24"/>
        </w:rPr>
        <w:t>8</w:t>
      </w:r>
      <w:r w:rsidRPr="00DF6624">
        <w:rPr>
          <w:rFonts w:ascii="Book Antiqua" w:hAnsi="Book Antiqua" w:cs="Times New Roman"/>
          <w:color w:val="000000" w:themeColor="text1"/>
          <w:sz w:val="24"/>
          <w:szCs w:val="24"/>
        </w:rPr>
        <w:t xml:space="preserve">A). Moreover, cleaved Notch1 was diminished in ATG12-silenced HepG2.2.15 under normal conditions (Figure </w:t>
      </w:r>
      <w:r w:rsidR="00906B41" w:rsidRPr="00DF6624">
        <w:rPr>
          <w:rFonts w:ascii="Book Antiqua" w:hAnsi="Book Antiqua" w:cs="Times New Roman"/>
          <w:color w:val="000000" w:themeColor="text1"/>
          <w:sz w:val="24"/>
          <w:szCs w:val="24"/>
        </w:rPr>
        <w:t>8</w:t>
      </w:r>
      <w:r w:rsidRPr="00DF6624">
        <w:rPr>
          <w:rFonts w:ascii="Book Antiqua" w:hAnsi="Book Antiqua" w:cs="Times New Roman"/>
          <w:color w:val="000000" w:themeColor="text1"/>
          <w:sz w:val="24"/>
          <w:szCs w:val="24"/>
        </w:rPr>
        <w:t>B).</w:t>
      </w:r>
      <w:r w:rsidR="00DF6624" w:rsidRPr="00DF6624">
        <w:rPr>
          <w:rFonts w:ascii="Book Antiqua" w:hAnsi="Book Antiqua" w:cs="Times New Roman"/>
          <w:i/>
          <w:color w:val="000000" w:themeColor="text1"/>
          <w:sz w:val="24"/>
          <w:szCs w:val="24"/>
        </w:rPr>
        <w:t xml:space="preserve"> </w:t>
      </w:r>
    </w:p>
    <w:p w14:paraId="3F9D0E86"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0743111C"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DISCUSSION</w:t>
      </w:r>
    </w:p>
    <w:p w14:paraId="32F41E43" w14:textId="4B07295A" w:rsidR="006725C1" w:rsidRPr="00DF6624" w:rsidRDefault="006725C1" w:rsidP="005C2EDC">
      <w:pPr>
        <w:adjustRightInd w:val="0"/>
        <w:snapToGrid w:val="0"/>
        <w:spacing w:after="0" w:line="360" w:lineRule="auto"/>
        <w:jc w:val="both"/>
        <w:rPr>
          <w:rFonts w:ascii="Book Antiqua" w:hAnsi="Book Antiqua"/>
          <w:color w:val="000000" w:themeColor="text1"/>
          <w:sz w:val="24"/>
          <w:szCs w:val="24"/>
        </w:rPr>
      </w:pPr>
      <w:r w:rsidRPr="00DF6624">
        <w:rPr>
          <w:rFonts w:ascii="Book Antiqua" w:hAnsi="Book Antiqua" w:cs="Times New Roman"/>
          <w:color w:val="000000" w:themeColor="text1"/>
          <w:sz w:val="24"/>
          <w:szCs w:val="24"/>
        </w:rPr>
        <w:t>Autophagy has been reported to be associated with HBV and HCC</w:t>
      </w:r>
      <w:r w:rsidRPr="00DF6624">
        <w:rPr>
          <w:rFonts w:ascii="Book Antiqua" w:hAnsi="Book Antiqua" w:cs="Times New Roman"/>
          <w:color w:val="000000" w:themeColor="text1"/>
          <w:sz w:val="24"/>
          <w:szCs w:val="24"/>
          <w:vertAlign w:val="superscript"/>
        </w:rPr>
        <w:t>[13,15,24]</w:t>
      </w:r>
      <w:r w:rsidRPr="00DF6624">
        <w:rPr>
          <w:rFonts w:ascii="Book Antiqua" w:hAnsi="Book Antiqua" w:cs="Times New Roman"/>
          <w:color w:val="000000" w:themeColor="text1"/>
          <w:sz w:val="24"/>
          <w:szCs w:val="24"/>
        </w:rPr>
        <w:t>. However, the mechanism is still poorly understood. Moreover, recent evidence suggests that specific ATG genes might contribute differently to viral infection and cancer development</w:t>
      </w:r>
      <w:r w:rsidRPr="00DF6624">
        <w:rPr>
          <w:rFonts w:ascii="Book Antiqua" w:hAnsi="Book Antiqua" w:cs="Times New Roman"/>
          <w:color w:val="000000" w:themeColor="text1"/>
          <w:sz w:val="24"/>
          <w:szCs w:val="24"/>
          <w:vertAlign w:val="superscript"/>
        </w:rPr>
        <w:t>[25-28]</w:t>
      </w:r>
      <w:r w:rsidRPr="00DF6624">
        <w:rPr>
          <w:rFonts w:ascii="Book Antiqua" w:hAnsi="Book Antiqua" w:cs="Times New Roman"/>
          <w:color w:val="000000" w:themeColor="text1"/>
          <w:sz w:val="24"/>
          <w:szCs w:val="24"/>
        </w:rPr>
        <w:t>. Some ATG genes have autophagy independent functions</w:t>
      </w:r>
      <w:r w:rsidRPr="00DF6624">
        <w:rPr>
          <w:rFonts w:ascii="Book Antiqua" w:hAnsi="Book Antiqua" w:cs="Times New Roman"/>
          <w:color w:val="000000" w:themeColor="text1"/>
          <w:sz w:val="24"/>
          <w:szCs w:val="24"/>
          <w:vertAlign w:val="superscript"/>
        </w:rPr>
        <w:t>[29-32]</w:t>
      </w:r>
      <w:r w:rsidRPr="00DF6624">
        <w:rPr>
          <w:rFonts w:ascii="Book Antiqua" w:hAnsi="Book Antiqua" w:cs="Times New Roman"/>
          <w:color w:val="000000" w:themeColor="text1"/>
          <w:sz w:val="24"/>
          <w:szCs w:val="24"/>
        </w:rPr>
        <w:t>. In this study, we focused on the ATG5-ATG12 complex that was up regulated in HepG2.2.15 and were highly expressed in HBV-associated HCC compared to non-HBV cell lines and HCC.</w:t>
      </w:r>
      <w:r w:rsidR="00DF6624" w:rsidRPr="00DF6624">
        <w:rPr>
          <w:rFonts w:ascii="Book Antiqua" w:hAnsi="Book Antiqua" w:cs="Times New Roman"/>
          <w:i/>
          <w:color w:val="000000" w:themeColor="text1"/>
          <w:sz w:val="24"/>
          <w:szCs w:val="24"/>
        </w:rPr>
        <w:t xml:space="preserve"> </w:t>
      </w:r>
    </w:p>
    <w:p w14:paraId="5A39C7EE" w14:textId="5338A31C"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HBX appears to play a role in ATG12 induction, probably indirectly through the stimulation of Beclin</w:t>
      </w:r>
      <w:r w:rsidR="00023A81" w:rsidRPr="00DF6624">
        <w:rPr>
          <w:rFonts w:ascii="Book Antiqua" w:hAnsi="Book Antiqua" w:cs="Times New Roman"/>
          <w:color w:val="000000" w:themeColor="text1"/>
          <w:sz w:val="24"/>
          <w:szCs w:val="24"/>
        </w:rPr>
        <w:t>-</w:t>
      </w:r>
      <w:r w:rsidRPr="00DF6624">
        <w:rPr>
          <w:rFonts w:ascii="Book Antiqua" w:hAnsi="Book Antiqua" w:cs="Times New Roman"/>
          <w:color w:val="000000" w:themeColor="text1"/>
          <w:sz w:val="24"/>
          <w:szCs w:val="24"/>
        </w:rPr>
        <w:t>1 and PIK3C</w:t>
      </w:r>
      <w:r w:rsidR="00BD2577" w:rsidRPr="00DF6624">
        <w:rPr>
          <w:rFonts w:ascii="Book Antiqua" w:hAnsi="Book Antiqua" w:cs="Times New Roman"/>
          <w:color w:val="000000" w:themeColor="text1"/>
          <w:sz w:val="24"/>
          <w:szCs w:val="24"/>
        </w:rPr>
        <w:t>3</w:t>
      </w:r>
      <w:r w:rsidRPr="00DF6624">
        <w:rPr>
          <w:rFonts w:ascii="Book Antiqua" w:hAnsi="Book Antiqua" w:cs="Times New Roman"/>
          <w:color w:val="000000" w:themeColor="text1"/>
          <w:sz w:val="24"/>
          <w:szCs w:val="24"/>
          <w:vertAlign w:val="superscript"/>
        </w:rPr>
        <w:t>[1,2]</w:t>
      </w:r>
      <w:r w:rsidRPr="00DF6624">
        <w:rPr>
          <w:rFonts w:ascii="Book Antiqua" w:hAnsi="Book Antiqua" w:cs="Times New Roman"/>
          <w:color w:val="000000" w:themeColor="text1"/>
          <w:sz w:val="24"/>
          <w:szCs w:val="24"/>
        </w:rPr>
        <w:t>. We showed that silencing of ATG12, which represented the elimination of the ATG5-ATG12 complex, increased cell apoptosis under starvation conditions in HepG2.2.15 but not in HepG2. These results suggested that ATG5-ATG12 is important for the survival of HBV-associated HCC during states of limited tumor nutrients. A previous study by Mao et al. showed that HepG2.2.15 cells have a higher survival rate than HepG2 cells after culturing in a starvation medium for 48 h. Cell death was reduced through activation of the autophagy pathway</w:t>
      </w:r>
      <w:r w:rsidRPr="00DF6624">
        <w:rPr>
          <w:rFonts w:ascii="Book Antiqua" w:hAnsi="Book Antiqua" w:cs="Times New Roman"/>
          <w:color w:val="000000" w:themeColor="text1"/>
          <w:sz w:val="24"/>
          <w:szCs w:val="24"/>
          <w:vertAlign w:val="superscript"/>
        </w:rPr>
        <w:t>[33]</w:t>
      </w:r>
      <w:r w:rsidRPr="00DF6624">
        <w:rPr>
          <w:rFonts w:ascii="Book Antiqua" w:hAnsi="Book Antiqua" w:cs="Times New Roman"/>
          <w:color w:val="000000" w:themeColor="text1"/>
          <w:sz w:val="24"/>
          <w:szCs w:val="24"/>
        </w:rPr>
        <w:t xml:space="preserve">. However, our study did not show any significant difference between the rate of cell death for HepG2 and HepG2.2.15 after starvation for 4 h. </w:t>
      </w:r>
      <w:r w:rsidRPr="00DF6624">
        <w:rPr>
          <w:rFonts w:ascii="Book Antiqua" w:hAnsi="Book Antiqua"/>
          <w:color w:val="000000" w:themeColor="text1"/>
          <w:sz w:val="24"/>
          <w:szCs w:val="24"/>
        </w:rPr>
        <w:t>This might be explained by our shorter starvation time</w:t>
      </w:r>
      <w:r w:rsidRPr="00DF6624">
        <w:rPr>
          <w:rFonts w:ascii="Book Antiqua" w:hAnsi="Book Antiqua" w:cs="Times New Roman"/>
          <w:color w:val="000000" w:themeColor="text1"/>
          <w:sz w:val="24"/>
          <w:szCs w:val="24"/>
        </w:rPr>
        <w:t>. The inhibition of autophagy-induced liver cancer cell apoptosis</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under starvation conditi</w:t>
      </w:r>
      <w:r w:rsidR="00BA3301">
        <w:rPr>
          <w:rFonts w:ascii="Book Antiqua" w:hAnsi="Book Antiqua" w:cs="Times New Roman"/>
          <w:color w:val="000000" w:themeColor="text1"/>
          <w:sz w:val="24"/>
          <w:szCs w:val="24"/>
        </w:rPr>
        <w:t xml:space="preserve">ons was reported by Chang </w:t>
      </w:r>
      <w:r w:rsidR="00BA3301" w:rsidRPr="00BA3301">
        <w:rPr>
          <w:rFonts w:ascii="Book Antiqua" w:hAnsi="Book Antiqua" w:cs="Times New Roman"/>
          <w:i/>
          <w:color w:val="000000" w:themeColor="text1"/>
          <w:sz w:val="24"/>
          <w:szCs w:val="24"/>
        </w:rPr>
        <w:t>et al</w:t>
      </w:r>
      <w:r w:rsidRPr="00DF6624">
        <w:rPr>
          <w:rFonts w:ascii="Book Antiqua" w:hAnsi="Book Antiqua" w:cs="Times New Roman"/>
          <w:color w:val="000000" w:themeColor="text1"/>
          <w:sz w:val="24"/>
          <w:szCs w:val="24"/>
          <w:vertAlign w:val="superscript"/>
        </w:rPr>
        <w:t>[34]</w:t>
      </w:r>
      <w:r w:rsidRPr="00DF6624">
        <w:rPr>
          <w:rFonts w:ascii="Book Antiqua" w:hAnsi="Book Antiqua" w:cs="Times New Roman"/>
          <w:color w:val="000000" w:themeColor="text1"/>
          <w:sz w:val="24"/>
          <w:szCs w:val="24"/>
        </w:rPr>
        <w:t xml:space="preserve"> They showed that HepG2 and HuH6 induced autophagy (Beclin-1, ATG5 and LC3B expression) for cell survival under starvation conditions with serum-free medium or chemotherapy. The inhibition of autophagy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the silencing of autophagic genes (Beclin-1 and ATG5) or 3-</w:t>
      </w:r>
      <w:r w:rsidRPr="00DF6624">
        <w:rPr>
          <w:rFonts w:ascii="Book Antiqua" w:hAnsi="Book Antiqua" w:cs="Times New Roman"/>
          <w:color w:val="000000" w:themeColor="text1"/>
          <w:sz w:val="24"/>
          <w:szCs w:val="24"/>
        </w:rPr>
        <w:lastRenderedPageBreak/>
        <w:t>MA treatment induced HuH6 cell apoptosis under starvation conditions</w:t>
      </w:r>
      <w:r w:rsidRPr="00DF6624">
        <w:rPr>
          <w:rFonts w:ascii="Book Antiqua" w:hAnsi="Book Antiqua" w:cs="Times New Roman"/>
          <w:color w:val="000000" w:themeColor="text1"/>
          <w:sz w:val="24"/>
          <w:szCs w:val="24"/>
          <w:vertAlign w:val="superscript"/>
        </w:rPr>
        <w:t>[34]</w:t>
      </w:r>
      <w:r w:rsidRPr="00DF6624">
        <w:rPr>
          <w:rFonts w:ascii="Book Antiqua" w:hAnsi="Book Antiqua" w:cs="Times New Roman"/>
          <w:color w:val="000000" w:themeColor="text1"/>
          <w:sz w:val="24"/>
          <w:szCs w:val="24"/>
        </w:rPr>
        <w:t>. A study by Liu et al. demonstrated that starvation</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 xml:space="preserve">with serum-free medium for 48 h induced autophagy and apoptosis in 7702, HepG2, Hep3B and Huh7 cell lines; however, the inhibition of autophagy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Bafilomycin A1 was not affected in HepG2 apoptosis under starvation conditions similar to our result</w:t>
      </w:r>
      <w:r w:rsidRPr="00DF6624">
        <w:rPr>
          <w:rFonts w:ascii="Book Antiqua" w:hAnsi="Book Antiqua" w:cs="Times New Roman"/>
          <w:color w:val="000000" w:themeColor="text1"/>
          <w:sz w:val="24"/>
          <w:szCs w:val="24"/>
          <w:vertAlign w:val="superscript"/>
        </w:rPr>
        <w:t>[35]</w:t>
      </w:r>
      <w:r w:rsidRPr="00DF6624">
        <w:rPr>
          <w:rFonts w:ascii="Book Antiqua" w:hAnsi="Book Antiqua" w:cs="Times New Roman"/>
          <w:color w:val="000000" w:themeColor="text1"/>
          <w:sz w:val="24"/>
          <w:szCs w:val="24"/>
        </w:rPr>
        <w:t>. These results imply that targeting the inhibition of autophagy might have different effects depending on the cell type and various metabolic stress conditions present.</w:t>
      </w:r>
    </w:p>
    <w:p w14:paraId="75B7DC42"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Although ATG12 has been demonstrated to have pro-apoptotic activity through the ATG12-ATG3 conjugate</w:t>
      </w:r>
      <w:r w:rsidRPr="00DF6624">
        <w:rPr>
          <w:rFonts w:ascii="Book Antiqua" w:hAnsi="Book Antiqua" w:cs="Times New Roman"/>
          <w:color w:val="000000" w:themeColor="text1"/>
          <w:sz w:val="24"/>
          <w:szCs w:val="24"/>
          <w:vertAlign w:val="superscript"/>
        </w:rPr>
        <w:t>[36]</w:t>
      </w:r>
      <w:r w:rsidRPr="00DF6624">
        <w:rPr>
          <w:rFonts w:ascii="Book Antiqua" w:hAnsi="Book Antiqua" w:cs="Times New Roman"/>
          <w:color w:val="000000" w:themeColor="text1"/>
          <w:sz w:val="24"/>
          <w:szCs w:val="24"/>
        </w:rPr>
        <w:t xml:space="preserve">, ATG12 also has anti-apoptotic activity. In mammalian HeLa cells, disruption of autophagy by silencing ATG12 promotes cells to die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apoptosis under starvation conditions</w:t>
      </w:r>
      <w:r w:rsidRPr="00DF6624">
        <w:rPr>
          <w:rFonts w:ascii="Book Antiqua" w:hAnsi="Book Antiqua" w:cs="Times New Roman"/>
          <w:color w:val="000000" w:themeColor="text1"/>
          <w:sz w:val="24"/>
          <w:szCs w:val="24"/>
          <w:vertAlign w:val="superscript"/>
        </w:rPr>
        <w:t>[37]</w:t>
      </w:r>
      <w:r w:rsidRPr="00DF6624">
        <w:rPr>
          <w:rFonts w:ascii="Book Antiqua" w:hAnsi="Book Antiqua" w:cs="Times New Roman"/>
          <w:color w:val="000000" w:themeColor="text1"/>
          <w:sz w:val="24"/>
          <w:szCs w:val="24"/>
        </w:rPr>
        <w:t>. ATG12 and other autophagic proteins (LC3 and ATG5) are associated with</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 xml:space="preserve">mitochondrial quality control of human umbilical vein endothelial cells. ATG12, ATG5 and LC3B were up-regulated after mitochondrial damage, leading to increased anti-apoptotic effects and increased life span in an </w:t>
      </w:r>
      <w:r w:rsidRPr="00DF6624">
        <w:rPr>
          <w:rFonts w:ascii="Book Antiqua" w:hAnsi="Book Antiqua" w:cs="Times New Roman"/>
          <w:i/>
          <w:color w:val="000000" w:themeColor="text1"/>
          <w:sz w:val="24"/>
          <w:szCs w:val="24"/>
        </w:rPr>
        <w:t>in vitro</w:t>
      </w:r>
      <w:r w:rsidRPr="00DF6624">
        <w:rPr>
          <w:rFonts w:ascii="Book Antiqua" w:hAnsi="Book Antiqua" w:cs="Times New Roman"/>
          <w:color w:val="000000" w:themeColor="text1"/>
          <w:sz w:val="24"/>
          <w:szCs w:val="24"/>
        </w:rPr>
        <w:t xml:space="preserve"> aging model</w:t>
      </w:r>
      <w:r w:rsidRPr="00DF6624">
        <w:rPr>
          <w:rFonts w:ascii="Book Antiqua" w:hAnsi="Book Antiqua" w:cs="Times New Roman"/>
          <w:color w:val="000000" w:themeColor="text1"/>
          <w:sz w:val="24"/>
          <w:szCs w:val="24"/>
          <w:vertAlign w:val="superscript"/>
        </w:rPr>
        <w:t>[38]</w:t>
      </w:r>
      <w:r w:rsidRPr="00DF6624">
        <w:rPr>
          <w:rFonts w:ascii="Book Antiqua" w:hAnsi="Book Antiqua" w:cs="Times New Roman"/>
          <w:color w:val="000000" w:themeColor="text1"/>
          <w:sz w:val="24"/>
          <w:szCs w:val="24"/>
        </w:rPr>
        <w:t>. The combination of trastuzumab with silencing of ATG12 reduces cell viability and tumor growth in nude mice</w:t>
      </w:r>
      <w:r w:rsidRPr="00DF6624">
        <w:rPr>
          <w:rFonts w:ascii="Book Antiqua" w:hAnsi="Book Antiqua" w:cs="Times New Roman"/>
          <w:color w:val="000000" w:themeColor="text1"/>
          <w:sz w:val="24"/>
          <w:szCs w:val="24"/>
          <w:vertAlign w:val="superscript"/>
        </w:rPr>
        <w:t>[39]</w:t>
      </w:r>
      <w:r w:rsidRPr="00DF6624">
        <w:rPr>
          <w:rFonts w:ascii="Book Antiqua" w:hAnsi="Book Antiqua" w:cs="Times New Roman"/>
          <w:color w:val="000000" w:themeColor="text1"/>
          <w:sz w:val="24"/>
          <w:szCs w:val="24"/>
        </w:rPr>
        <w:t>. Therefore, we suggest that the inhibition of ATG12 might be a good target for the treatment of HBV-associated HCC.</w:t>
      </w:r>
    </w:p>
    <w:p w14:paraId="2989D846"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Many cancer drug treatments increase tumor cell autophagy to protect cancer cells from apoptosis. Autophagy inhibitors in combination with chemotherapy are designed to induce apoptosis in human cancers. For example, autophagy inhibition was previously shown to enhance the growth inhibitory effects of sorafenib</w:t>
      </w:r>
      <w:r w:rsidRPr="00DF6624">
        <w:rPr>
          <w:rFonts w:ascii="Book Antiqua" w:hAnsi="Book Antiqua" w:cs="Times New Roman"/>
          <w:color w:val="000000" w:themeColor="text1"/>
          <w:sz w:val="24"/>
          <w:szCs w:val="24"/>
          <w:vertAlign w:val="superscript"/>
        </w:rPr>
        <w:t>[40]</w:t>
      </w:r>
      <w:r w:rsidRPr="00DF6624">
        <w:rPr>
          <w:rFonts w:ascii="Book Antiqua" w:hAnsi="Book Antiqua" w:cs="Times New Roman"/>
          <w:color w:val="000000" w:themeColor="text1"/>
          <w:sz w:val="24"/>
          <w:szCs w:val="24"/>
        </w:rPr>
        <w:t xml:space="preserve"> as well as the combination of vorinostat with sorafenib in HCC cell lines</w:t>
      </w:r>
      <w:r w:rsidRPr="00DF6624">
        <w:rPr>
          <w:rFonts w:ascii="Book Antiqua" w:hAnsi="Book Antiqua" w:cs="Times New Roman"/>
          <w:color w:val="000000" w:themeColor="text1"/>
          <w:sz w:val="24"/>
          <w:szCs w:val="24"/>
          <w:vertAlign w:val="superscript"/>
        </w:rPr>
        <w:t>[41]</w:t>
      </w:r>
      <w:r w:rsidRPr="00DF6624">
        <w:rPr>
          <w:rFonts w:ascii="Book Antiqua" w:hAnsi="Book Antiqua" w:cs="Times New Roman"/>
          <w:color w:val="000000" w:themeColor="text1"/>
          <w:sz w:val="24"/>
          <w:szCs w:val="24"/>
        </w:rPr>
        <w:t xml:space="preserve">. In this study, we examined apoptosis cell death after the inhibition of ATG12 in combination with Notch signaling in HepG2 and HepG2.2.15 cell lines. The combination treatment increased cell apoptosis in HepG2 cells. However, when we blocked both Notch signaling and ATG12 under starvation conditions, cell apoptosis did not increase. There appears to be some interaction between ATG12 and Notch signaling, specifically in </w:t>
      </w:r>
      <w:r w:rsidRPr="00DF6624">
        <w:rPr>
          <w:rFonts w:ascii="Book Antiqua" w:hAnsi="Book Antiqua" w:cs="Times New Roman"/>
          <w:color w:val="000000" w:themeColor="text1"/>
          <w:sz w:val="24"/>
          <w:szCs w:val="24"/>
        </w:rPr>
        <w:lastRenderedPageBreak/>
        <w:t xml:space="preserve">HepG2.2.12, because the Notch inhibitor DAPT caused the down-regulation of ATG12 mRNA but this was not observed in HepG2. In addition, the inhibition of ATG12 impaired Notch activation in HepG2.2.15 but increased Notch activation in HepG2. </w:t>
      </w:r>
    </w:p>
    <w:p w14:paraId="283AB87E"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This observation regarding the regulation between autophagy and notch signaling in HepG2.2.15 was unexpected. Both autophagy and Notch signaling are highly conserved signaling pathways in eukaryotic cells. The core Notch signaling pathway is through the binding of Notch ligand to Notch receptor which induces two proteolytic cleavages, metalloprotease and </w:t>
      </w:r>
      <w:r w:rsidRPr="00DF6624">
        <w:rPr>
          <w:rFonts w:ascii="Book Antiqua" w:hAnsi="Book Antiqua" w:cs="Times New Roman"/>
          <w:color w:val="000000" w:themeColor="text1"/>
          <w:sz w:val="24"/>
          <w:szCs w:val="24"/>
        </w:rPr>
        <w:t>-secretase, to release the Notch intracellular domain, which translocates to the nucleus and binds to DNA to regulate the transcription of target genes</w:t>
      </w:r>
      <w:r w:rsidRPr="00DF6624">
        <w:rPr>
          <w:rFonts w:ascii="Book Antiqua" w:hAnsi="Book Antiqua" w:cs="Times New Roman"/>
          <w:color w:val="000000" w:themeColor="text1"/>
          <w:sz w:val="24"/>
          <w:szCs w:val="24"/>
          <w:vertAlign w:val="superscript"/>
        </w:rPr>
        <w:t>[42]</w:t>
      </w:r>
      <w:r w:rsidRPr="00DF6624">
        <w:rPr>
          <w:rFonts w:ascii="Book Antiqua" w:hAnsi="Book Antiqua" w:cs="Times New Roman"/>
          <w:color w:val="000000" w:themeColor="text1"/>
          <w:sz w:val="24"/>
          <w:szCs w:val="24"/>
        </w:rPr>
        <w:t>. The Notch pathway is associated with both tumor suppression and tumorigenesis in HCC</w:t>
      </w:r>
      <w:r w:rsidRPr="00DF6624">
        <w:rPr>
          <w:rFonts w:ascii="Book Antiqua" w:hAnsi="Book Antiqua" w:cs="Times New Roman"/>
          <w:color w:val="000000" w:themeColor="text1"/>
          <w:sz w:val="24"/>
          <w:szCs w:val="24"/>
          <w:vertAlign w:val="superscript"/>
        </w:rPr>
        <w:t>[43,44]</w:t>
      </w:r>
      <w:r w:rsidRPr="00DF6624">
        <w:rPr>
          <w:rFonts w:ascii="Book Antiqua" w:hAnsi="Book Antiqua" w:cs="Times New Roman"/>
          <w:color w:val="000000" w:themeColor="text1"/>
          <w:sz w:val="24"/>
          <w:szCs w:val="24"/>
        </w:rPr>
        <w:t>. The connection of autophagy and Notch signaling was demonstrated in Drosophila where the ATG4 mutation enhanced the notched-wing phenotype resulting in defective Notch signaling</w:t>
      </w:r>
      <w:r w:rsidRPr="00DF6624">
        <w:rPr>
          <w:rFonts w:ascii="Book Antiqua" w:hAnsi="Book Antiqua" w:cs="Times New Roman"/>
          <w:color w:val="000000" w:themeColor="text1"/>
          <w:sz w:val="24"/>
          <w:szCs w:val="24"/>
          <w:vertAlign w:val="superscript"/>
        </w:rPr>
        <w:t>[45]</w:t>
      </w:r>
      <w:r w:rsidRPr="00DF6624">
        <w:rPr>
          <w:rFonts w:ascii="Book Antiqua" w:hAnsi="Book Antiqua" w:cs="Times New Roman"/>
          <w:color w:val="000000" w:themeColor="text1"/>
          <w:sz w:val="24"/>
          <w:szCs w:val="24"/>
        </w:rPr>
        <w:t>. In contrast, the overexpression of ATG1 enhanced the notched-wing phenotype</w:t>
      </w:r>
      <w:r w:rsidRPr="00DF6624">
        <w:rPr>
          <w:rFonts w:ascii="Book Antiqua" w:hAnsi="Book Antiqua" w:cs="Times New Roman"/>
          <w:color w:val="000000" w:themeColor="text1"/>
          <w:sz w:val="24"/>
          <w:szCs w:val="24"/>
          <w:vertAlign w:val="superscript"/>
        </w:rPr>
        <w:t>[46]</w:t>
      </w:r>
      <w:r w:rsidRPr="00DF6624">
        <w:rPr>
          <w:rFonts w:ascii="Book Antiqua" w:hAnsi="Book Antiqua" w:cs="Times New Roman"/>
          <w:color w:val="000000" w:themeColor="text1"/>
          <w:sz w:val="24"/>
          <w:szCs w:val="24"/>
        </w:rPr>
        <w:t xml:space="preserve">, suggesting that some autophagic proteins have additional functions independent of autophagy that are related to the enhancement or suppression of Notch signaling. </w:t>
      </w:r>
    </w:p>
    <w:p w14:paraId="6FC4830D"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Mammalian target of rapamycin (mTOR) is a positive regulator of Notch signaling</w:t>
      </w:r>
      <w:r w:rsidRPr="00DF6624">
        <w:rPr>
          <w:rFonts w:ascii="Book Antiqua" w:hAnsi="Book Antiqua" w:cs="Times New Roman"/>
          <w:color w:val="000000" w:themeColor="text1"/>
          <w:sz w:val="24"/>
          <w:szCs w:val="24"/>
          <w:vertAlign w:val="superscript"/>
        </w:rPr>
        <w:t>[47]</w:t>
      </w:r>
      <w:r w:rsidRPr="00DF6624">
        <w:rPr>
          <w:rFonts w:ascii="Book Antiqua" w:hAnsi="Book Antiqua" w:cs="Times New Roman"/>
          <w:color w:val="000000" w:themeColor="text1"/>
          <w:sz w:val="24"/>
          <w:szCs w:val="24"/>
        </w:rPr>
        <w:t xml:space="preserve"> and a negative</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regulator of autophagy</w:t>
      </w:r>
      <w:r w:rsidRPr="00DF6624">
        <w:rPr>
          <w:rFonts w:ascii="Book Antiqua" w:hAnsi="Book Antiqua" w:cs="Times New Roman"/>
          <w:color w:val="000000" w:themeColor="text1"/>
          <w:sz w:val="24"/>
          <w:szCs w:val="24"/>
          <w:vertAlign w:val="superscript"/>
        </w:rPr>
        <w:t>[48]</w:t>
      </w:r>
      <w:r w:rsidRPr="00DF6624">
        <w:rPr>
          <w:rFonts w:ascii="Book Antiqua" w:hAnsi="Book Antiqua" w:cs="Times New Roman"/>
          <w:color w:val="000000" w:themeColor="text1"/>
          <w:sz w:val="24"/>
          <w:szCs w:val="24"/>
        </w:rPr>
        <w:t>. Previous reports have shown that silencing of Notch1 activated phosphorylated Akt and decreased mTOR to induce glioblastoma cell apoptosis</w:t>
      </w:r>
      <w:r w:rsidRPr="00DF6624">
        <w:rPr>
          <w:rFonts w:ascii="Book Antiqua" w:hAnsi="Book Antiqua" w:cs="Times New Roman"/>
          <w:color w:val="000000" w:themeColor="text1"/>
          <w:sz w:val="24"/>
          <w:szCs w:val="24"/>
          <w:vertAlign w:val="superscript"/>
        </w:rPr>
        <w:t>[49]</w:t>
      </w:r>
      <w:r w:rsidRPr="00DF6624">
        <w:rPr>
          <w:rFonts w:ascii="Book Antiqua" w:hAnsi="Book Antiqua" w:cs="Times New Roman"/>
          <w:color w:val="000000" w:themeColor="text1"/>
          <w:sz w:val="24"/>
          <w:szCs w:val="24"/>
        </w:rPr>
        <w:t xml:space="preserve">. The inhibition of Notch signaling induced autophagy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PTEN-PI3K/Akt/mTOR pathway to promote the adipogenic differentiation of BM-MSCs</w:t>
      </w:r>
      <w:r w:rsidRPr="00DF6624">
        <w:rPr>
          <w:rFonts w:ascii="Book Antiqua" w:hAnsi="Book Antiqua" w:cs="Times New Roman"/>
          <w:color w:val="000000" w:themeColor="text1"/>
          <w:sz w:val="24"/>
          <w:szCs w:val="24"/>
          <w:vertAlign w:val="superscript"/>
        </w:rPr>
        <w:t>[50]</w:t>
      </w:r>
      <w:r w:rsidRPr="00DF6624">
        <w:rPr>
          <w:rFonts w:ascii="Book Antiqua" w:hAnsi="Book Antiqua" w:cs="Times New Roman"/>
          <w:color w:val="000000" w:themeColor="text1"/>
          <w:sz w:val="24"/>
          <w:szCs w:val="24"/>
        </w:rPr>
        <w:t>. Other studies have demonstrated that autophagy regulates Notch signaling by</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 xml:space="preserve">reducing the </w:t>
      </w:r>
      <w:r w:rsidRPr="00DF6624">
        <w:rPr>
          <w:rFonts w:ascii="Book Antiqua" w:hAnsi="Book Antiqua"/>
          <w:color w:val="000000" w:themeColor="text1"/>
          <w:sz w:val="24"/>
          <w:szCs w:val="24"/>
        </w:rPr>
        <w:t xml:space="preserve">impact of </w:t>
      </w:r>
      <w:r w:rsidRPr="00DF6624">
        <w:rPr>
          <w:rFonts w:ascii="Book Antiqua" w:hAnsi="Book Antiqua" w:cs="Times New Roman"/>
          <w:color w:val="000000" w:themeColor="text1"/>
          <w:sz w:val="24"/>
          <w:szCs w:val="24"/>
        </w:rPr>
        <w:t>Notch1</w:t>
      </w:r>
      <w:r w:rsidRPr="00DF6624">
        <w:rPr>
          <w:rFonts w:ascii="Book Antiqua" w:hAnsi="Book Antiqua"/>
          <w:color w:val="000000" w:themeColor="text1"/>
          <w:sz w:val="24"/>
          <w:szCs w:val="24"/>
        </w:rPr>
        <w:t xml:space="preserve"> on </w:t>
      </w:r>
      <w:r w:rsidRPr="00DF6624">
        <w:rPr>
          <w:rFonts w:ascii="Book Antiqua" w:hAnsi="Book Antiqua" w:cs="Times New Roman"/>
          <w:color w:val="000000" w:themeColor="text1"/>
          <w:sz w:val="24"/>
          <w:szCs w:val="24"/>
        </w:rPr>
        <w:t>stem cell differentiation. The silencing of autophagy (ATG7 or ATG16L1) induced Notch1 and cleaved Notch1 in HEK cells</w:t>
      </w:r>
      <w:r w:rsidRPr="00DF6624">
        <w:rPr>
          <w:rFonts w:ascii="Book Antiqua" w:hAnsi="Book Antiqua" w:cs="Times New Roman"/>
          <w:color w:val="000000" w:themeColor="text1"/>
          <w:sz w:val="24"/>
          <w:szCs w:val="24"/>
          <w:vertAlign w:val="superscript"/>
        </w:rPr>
        <w:t>[51]</w:t>
      </w:r>
      <w:r w:rsidRPr="00DF6624">
        <w:rPr>
          <w:rFonts w:ascii="Book Antiqua" w:hAnsi="Book Antiqua" w:cs="Times New Roman"/>
          <w:color w:val="000000" w:themeColor="text1"/>
          <w:sz w:val="24"/>
          <w:szCs w:val="24"/>
        </w:rPr>
        <w:t xml:space="preserve">. </w:t>
      </w:r>
    </w:p>
    <w:p w14:paraId="60E47C49" w14:textId="77777777" w:rsidR="006725C1" w:rsidRPr="00DF6624" w:rsidRDefault="006725C1" w:rsidP="005C2EDC">
      <w:pPr>
        <w:adjustRightInd w:val="0"/>
        <w:snapToGrid w:val="0"/>
        <w:spacing w:after="0" w:line="360" w:lineRule="auto"/>
        <w:ind w:firstLine="720"/>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The unexpected relationship between autophagy and Notch signaling in HepG2.2.15 was different from HepG2 and might be explained by the HBV genome. The HBV X protein activates the NF-κB pathway (p65 and p50)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w:t>
      </w:r>
      <w:r w:rsidRPr="00DF6624">
        <w:rPr>
          <w:rFonts w:ascii="Book Antiqua" w:hAnsi="Book Antiqua" w:cs="Times New Roman"/>
          <w:color w:val="000000" w:themeColor="text1"/>
          <w:sz w:val="24"/>
          <w:szCs w:val="24"/>
        </w:rPr>
        <w:lastRenderedPageBreak/>
        <w:t>Notch signaling through a specific ligand and receptor to promote cell survival</w:t>
      </w:r>
      <w:r w:rsidRPr="00DF6624">
        <w:rPr>
          <w:rFonts w:ascii="Book Antiqua" w:hAnsi="Book Antiqua" w:cs="Times New Roman"/>
          <w:color w:val="000000" w:themeColor="text1"/>
          <w:sz w:val="24"/>
          <w:szCs w:val="24"/>
          <w:vertAlign w:val="superscript"/>
        </w:rPr>
        <w:t>[52]</w:t>
      </w:r>
      <w:r w:rsidRPr="00DF6624">
        <w:rPr>
          <w:rFonts w:ascii="Book Antiqua" w:hAnsi="Book Antiqua" w:cs="Times New Roman"/>
          <w:color w:val="000000" w:themeColor="text1"/>
          <w:sz w:val="24"/>
          <w:szCs w:val="24"/>
        </w:rPr>
        <w:t>. After treatment with DAPT, NF-κB expression was decreased</w:t>
      </w:r>
      <w:r w:rsidRPr="00DF6624">
        <w:rPr>
          <w:rFonts w:ascii="Book Antiqua" w:hAnsi="Book Antiqua" w:cs="Times New Roman"/>
          <w:color w:val="000000" w:themeColor="text1"/>
          <w:sz w:val="24"/>
          <w:szCs w:val="24"/>
          <w:vertAlign w:val="superscript"/>
        </w:rPr>
        <w:t>[53]</w:t>
      </w:r>
      <w:r w:rsidRPr="00DF6624">
        <w:rPr>
          <w:rFonts w:ascii="Book Antiqua" w:hAnsi="Book Antiqua" w:cs="Times New Roman"/>
          <w:color w:val="000000" w:themeColor="text1"/>
          <w:sz w:val="24"/>
          <w:szCs w:val="24"/>
        </w:rPr>
        <w:t xml:space="preserve">. Thus, the activation of NF-κB can either stimulate or inhibit autophagy </w:t>
      </w:r>
      <w:r w:rsidRPr="00DF6624">
        <w:rPr>
          <w:rFonts w:ascii="Book Antiqua" w:hAnsi="Book Antiqua" w:cs="Times New Roman"/>
          <w:i/>
          <w:color w:val="000000" w:themeColor="text1"/>
          <w:sz w:val="24"/>
          <w:szCs w:val="24"/>
        </w:rPr>
        <w:t>via</w:t>
      </w:r>
      <w:r w:rsidRPr="00DF6624">
        <w:rPr>
          <w:rFonts w:ascii="Book Antiqua" w:hAnsi="Book Antiqua" w:cs="Times New Roman"/>
          <w:color w:val="000000" w:themeColor="text1"/>
          <w:sz w:val="24"/>
          <w:szCs w:val="24"/>
        </w:rPr>
        <w:t xml:space="preserve"> the upregulation of Beclin-1 in T-cells</w:t>
      </w:r>
      <w:r w:rsidRPr="00DF6624">
        <w:rPr>
          <w:rFonts w:ascii="Book Antiqua" w:hAnsi="Book Antiqua" w:cs="Times New Roman"/>
          <w:color w:val="000000" w:themeColor="text1"/>
          <w:sz w:val="24"/>
          <w:szCs w:val="24"/>
          <w:vertAlign w:val="superscript"/>
        </w:rPr>
        <w:t>[54]</w:t>
      </w:r>
      <w:r w:rsidRPr="00DF6624">
        <w:rPr>
          <w:rFonts w:ascii="Book Antiqua" w:hAnsi="Book Antiqua" w:cs="Times New Roman"/>
          <w:color w:val="000000" w:themeColor="text1"/>
          <w:sz w:val="24"/>
          <w:szCs w:val="24"/>
        </w:rPr>
        <w:t>, whereas prolonged NF-κB activation suppresses ATG5 and Beclin-1 expression in macrophages</w:t>
      </w:r>
      <w:r w:rsidRPr="00DF6624">
        <w:rPr>
          <w:rFonts w:ascii="Book Antiqua" w:hAnsi="Book Antiqua" w:cs="Times New Roman"/>
          <w:color w:val="000000" w:themeColor="text1"/>
          <w:sz w:val="24"/>
          <w:szCs w:val="24"/>
          <w:vertAlign w:val="superscript"/>
        </w:rPr>
        <w:t>[55]</w:t>
      </w:r>
      <w:r w:rsidRPr="00DF6624">
        <w:rPr>
          <w:rFonts w:ascii="Book Antiqua" w:hAnsi="Book Antiqua" w:cs="Times New Roman"/>
          <w:color w:val="000000" w:themeColor="text1"/>
          <w:sz w:val="24"/>
          <w:szCs w:val="24"/>
        </w:rPr>
        <w:t xml:space="preserve">. However, the connection between HBV and Notch related autophagy needs further study. </w:t>
      </w:r>
    </w:p>
    <w:p w14:paraId="45DF68BA" w14:textId="7DC52AED" w:rsidR="005F7D76" w:rsidRPr="00DF6624" w:rsidRDefault="006725C1" w:rsidP="005C2EDC">
      <w:pPr>
        <w:adjustRightInd w:val="0"/>
        <w:snapToGrid w:val="0"/>
        <w:spacing w:after="0" w:line="360" w:lineRule="auto"/>
        <w:jc w:val="both"/>
        <w:rPr>
          <w:rFonts w:ascii="Book Antiqua" w:hAnsi="Book Antiqua"/>
          <w:color w:val="000000" w:themeColor="text1"/>
          <w:sz w:val="24"/>
          <w:szCs w:val="24"/>
        </w:rPr>
      </w:pPr>
      <w:r w:rsidRPr="00DF6624">
        <w:rPr>
          <w:rFonts w:ascii="Book Antiqua" w:hAnsi="Book Antiqua" w:cs="Times New Roman"/>
          <w:color w:val="000000" w:themeColor="text1"/>
          <w:sz w:val="24"/>
          <w:szCs w:val="24"/>
        </w:rPr>
        <w:t>In conclusion, our previous study demonstrated the role of autophagy machinery in HBV replication. We found that ATG12-knockdown reduced HBV DNA levels in HepG2.2.15 and induced the interferon signaling pathway. Thus, the ATG12 machinery of autophagy may aid HBV survival by reducing antiviral innate immunity</w:t>
      </w:r>
      <w:r w:rsidRPr="00DF6624">
        <w:rPr>
          <w:rFonts w:ascii="Book Antiqua" w:hAnsi="Book Antiqua" w:cs="Times New Roman"/>
          <w:color w:val="000000" w:themeColor="text1"/>
          <w:sz w:val="24"/>
          <w:szCs w:val="24"/>
          <w:vertAlign w:val="superscript"/>
        </w:rPr>
        <w:t>[5]</w:t>
      </w:r>
      <w:r w:rsidRPr="00DF6624">
        <w:rPr>
          <w:rFonts w:ascii="Book Antiqua" w:hAnsi="Book Antiqua" w:cs="Times New Roman"/>
          <w:color w:val="000000" w:themeColor="text1"/>
          <w:sz w:val="24"/>
          <w:szCs w:val="24"/>
        </w:rPr>
        <w:t xml:space="preserve">. Moreover, this study demonstrated that autophagy is related to HBV-associated cell death responses. Atg12 silenced HepG2.2.15 showed increased apoptosis under starvation conditions. The function of Atg12 seems to be dominated in HBV-associated HCC. </w:t>
      </w:r>
      <w:r w:rsidR="005F7D76" w:rsidRPr="00DF6624">
        <w:rPr>
          <w:rFonts w:ascii="Book Antiqua" w:hAnsi="Book Antiqua" w:cs="Times New Roman"/>
          <w:color w:val="000000" w:themeColor="text1"/>
          <w:sz w:val="24"/>
          <w:szCs w:val="24"/>
        </w:rPr>
        <w:t>These results suggested that ATG5-ATG12 is important for the survival of HBV-associated HCC during states of limited tumor nutrients.</w:t>
      </w:r>
      <w:r w:rsidR="00DF6624" w:rsidRPr="00DF6624">
        <w:rPr>
          <w:rFonts w:ascii="Book Antiqua" w:hAnsi="Book Antiqua" w:cs="Times New Roman"/>
          <w:i/>
          <w:color w:val="000000" w:themeColor="text1"/>
          <w:sz w:val="24"/>
          <w:szCs w:val="24"/>
        </w:rPr>
        <w:t xml:space="preserve"> </w:t>
      </w:r>
      <w:r w:rsidR="005F7D76" w:rsidRPr="00DF6624">
        <w:rPr>
          <w:rFonts w:ascii="Book Antiqua" w:hAnsi="Book Antiqua" w:cs="Times New Roman"/>
          <w:color w:val="000000" w:themeColor="text1"/>
          <w:sz w:val="24"/>
          <w:szCs w:val="24"/>
        </w:rPr>
        <w:t>However, as mentioned previously that autophagy has a dual-function in cancer. Despite its role as tumor promotion in the later phase, it can act as a tumor suppressor during cancer initiation.</w:t>
      </w:r>
      <w:r w:rsidR="00DF6624" w:rsidRPr="00DF6624">
        <w:rPr>
          <w:rFonts w:ascii="Book Antiqua" w:hAnsi="Book Antiqua" w:cs="Times New Roman"/>
          <w:i/>
          <w:color w:val="000000" w:themeColor="text1"/>
          <w:sz w:val="24"/>
          <w:szCs w:val="24"/>
        </w:rPr>
        <w:t xml:space="preserve"> </w:t>
      </w:r>
      <w:r w:rsidR="005F7D76" w:rsidRPr="00DF6624">
        <w:rPr>
          <w:rFonts w:ascii="Book Antiqua" w:hAnsi="Book Antiqua" w:cs="Times New Roman"/>
          <w:color w:val="000000" w:themeColor="text1"/>
          <w:sz w:val="24"/>
          <w:szCs w:val="24"/>
        </w:rPr>
        <w:t>Therefore, the therapeutic intervention that target autophagy has to take this information into consideration too</w:t>
      </w:r>
      <w:r w:rsidR="008567D1" w:rsidRPr="00DF6624">
        <w:rPr>
          <w:rFonts w:ascii="Book Antiqua" w:hAnsi="Book Antiqua" w:cs="Times New Roman"/>
          <w:color w:val="000000" w:themeColor="text1"/>
          <w:sz w:val="24"/>
          <w:szCs w:val="24"/>
        </w:rPr>
        <w:t>.</w:t>
      </w:r>
      <w:r w:rsidR="00DF6624" w:rsidRPr="00DF6624">
        <w:rPr>
          <w:rFonts w:ascii="Book Antiqua" w:hAnsi="Book Antiqua" w:cs="Times New Roman"/>
          <w:i/>
          <w:color w:val="000000" w:themeColor="text1"/>
          <w:sz w:val="24"/>
          <w:szCs w:val="24"/>
        </w:rPr>
        <w:t xml:space="preserve"> </w:t>
      </w:r>
      <w:r w:rsidR="005F7D76" w:rsidRPr="00DF6624">
        <w:rPr>
          <w:rFonts w:ascii="Book Antiqua" w:hAnsi="Book Antiqua" w:cs="Times New Roman"/>
          <w:color w:val="000000" w:themeColor="text1"/>
          <w:sz w:val="24"/>
          <w:szCs w:val="24"/>
        </w:rPr>
        <w:t>Moreo</w:t>
      </w:r>
      <w:r w:rsidRPr="00DF6624">
        <w:rPr>
          <w:rFonts w:ascii="Book Antiqua" w:hAnsi="Book Antiqua" w:cs="Times New Roman"/>
          <w:color w:val="000000" w:themeColor="text1"/>
          <w:sz w:val="24"/>
          <w:szCs w:val="24"/>
        </w:rPr>
        <w:t xml:space="preserve">ver, </w:t>
      </w:r>
      <w:r w:rsidR="005F7D76" w:rsidRPr="00DF6624">
        <w:rPr>
          <w:rFonts w:ascii="Book Antiqua" w:hAnsi="Book Antiqua" w:cs="Times New Roman"/>
          <w:color w:val="000000" w:themeColor="text1"/>
          <w:sz w:val="24"/>
          <w:szCs w:val="24"/>
        </w:rPr>
        <w:t xml:space="preserve">our result showed that </w:t>
      </w:r>
      <w:r w:rsidRPr="00DF6624">
        <w:rPr>
          <w:rFonts w:ascii="Book Antiqua" w:hAnsi="Book Antiqua" w:cs="Times New Roman"/>
          <w:color w:val="000000" w:themeColor="text1"/>
          <w:sz w:val="24"/>
          <w:szCs w:val="24"/>
        </w:rPr>
        <w:t>the use of autophagy inhibition in combination with other anti-tumor th</w:t>
      </w:r>
      <w:r w:rsidR="005F7D76" w:rsidRPr="00DF6624">
        <w:rPr>
          <w:rFonts w:ascii="Book Antiqua" w:hAnsi="Book Antiqua" w:cs="Times New Roman"/>
          <w:color w:val="000000" w:themeColor="text1"/>
          <w:sz w:val="24"/>
          <w:szCs w:val="24"/>
        </w:rPr>
        <w:t>erapies such as Notch inhibitor</w:t>
      </w:r>
      <w:r w:rsidRPr="00DF6624">
        <w:rPr>
          <w:rFonts w:ascii="Book Antiqua" w:hAnsi="Book Antiqua" w:cs="Times New Roman"/>
          <w:color w:val="000000" w:themeColor="text1"/>
          <w:sz w:val="24"/>
          <w:szCs w:val="24"/>
        </w:rPr>
        <w:t>, might not be a good strategy. Further characterization of HBV and Notch related autophagy is needed.</w:t>
      </w:r>
      <w:r w:rsidR="005F7D76" w:rsidRPr="00DF6624">
        <w:rPr>
          <w:rFonts w:ascii="Book Antiqua" w:hAnsi="Book Antiqua" w:cs="Times New Roman"/>
          <w:color w:val="000000" w:themeColor="text1"/>
          <w:sz w:val="24"/>
          <w:szCs w:val="24"/>
        </w:rPr>
        <w:t xml:space="preserve"> </w:t>
      </w:r>
    </w:p>
    <w:p w14:paraId="5CAF70FF" w14:textId="77777777" w:rsidR="006725C1" w:rsidRPr="00BA3301" w:rsidRDefault="006725C1" w:rsidP="005C2EDC">
      <w:pPr>
        <w:adjustRightInd w:val="0"/>
        <w:snapToGrid w:val="0"/>
        <w:spacing w:after="0" w:line="360" w:lineRule="auto"/>
        <w:jc w:val="both"/>
        <w:rPr>
          <w:rFonts w:ascii="Book Antiqua" w:eastAsia="宋体" w:hAnsi="Book Antiqua"/>
          <w:b/>
          <w:bCs/>
          <w:color w:val="000000" w:themeColor="text1"/>
          <w:sz w:val="24"/>
          <w:szCs w:val="24"/>
          <w:lang w:eastAsia="zh-CN"/>
        </w:rPr>
      </w:pPr>
    </w:p>
    <w:p w14:paraId="518EC831" w14:textId="77777777" w:rsidR="006725C1" w:rsidRPr="00DF6624" w:rsidRDefault="006725C1" w:rsidP="005C2EDC">
      <w:pPr>
        <w:adjustRightInd w:val="0"/>
        <w:snapToGrid w:val="0"/>
        <w:spacing w:after="0" w:line="360" w:lineRule="auto"/>
        <w:jc w:val="both"/>
        <w:rPr>
          <w:rFonts w:ascii="Book Antiqua" w:hAnsi="Book Antiqua"/>
          <w:b/>
          <w:bCs/>
          <w:color w:val="000000" w:themeColor="text1"/>
          <w:sz w:val="24"/>
          <w:szCs w:val="24"/>
        </w:rPr>
      </w:pPr>
      <w:r w:rsidRPr="00DF6624">
        <w:rPr>
          <w:rFonts w:ascii="Book Antiqua" w:hAnsi="Book Antiqua"/>
          <w:b/>
          <w:bCs/>
          <w:color w:val="000000" w:themeColor="text1"/>
          <w:sz w:val="24"/>
          <w:szCs w:val="24"/>
        </w:rPr>
        <w:t>COMMENTS</w:t>
      </w:r>
    </w:p>
    <w:p w14:paraId="6DA2ECAB"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Background</w:t>
      </w:r>
    </w:p>
    <w:p w14:paraId="1E5E5967" w14:textId="1EA1B26B"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 xml:space="preserve">Hepatitis B virus </w:t>
      </w:r>
      <w:r w:rsidR="00BA3301">
        <w:rPr>
          <w:rFonts w:ascii="Book Antiqua" w:eastAsia="宋体" w:hAnsi="Book Antiqua" w:cs="Times New Roman" w:hint="eastAsia"/>
          <w:color w:val="000000" w:themeColor="text1"/>
          <w:sz w:val="24"/>
          <w:szCs w:val="24"/>
          <w:lang w:eastAsia="zh-CN"/>
        </w:rPr>
        <w:t xml:space="preserve">(HBVs) </w:t>
      </w:r>
      <w:r w:rsidRPr="00DF6624">
        <w:rPr>
          <w:rFonts w:ascii="Book Antiqua" w:hAnsi="Book Antiqua" w:cs="Times New Roman"/>
          <w:color w:val="000000" w:themeColor="text1"/>
          <w:sz w:val="24"/>
          <w:szCs w:val="24"/>
        </w:rPr>
        <w:t xml:space="preserve">infection is associated with hepatocellular carcinoma </w:t>
      </w:r>
      <w:r w:rsidR="00430F5A">
        <w:rPr>
          <w:rFonts w:ascii="Book Antiqua" w:eastAsia="宋体" w:hAnsi="Book Antiqua" w:cs="Times New Roman" w:hint="eastAsia"/>
          <w:color w:val="000000" w:themeColor="text1"/>
          <w:sz w:val="24"/>
          <w:szCs w:val="24"/>
          <w:lang w:eastAsia="zh-CN"/>
        </w:rPr>
        <w:t xml:space="preserve">(HCC) </w:t>
      </w:r>
      <w:r w:rsidRPr="00DF6624">
        <w:rPr>
          <w:rFonts w:ascii="Book Antiqua" w:hAnsi="Book Antiqua" w:cs="Times New Roman"/>
          <w:color w:val="000000" w:themeColor="text1"/>
          <w:sz w:val="24"/>
          <w:szCs w:val="24"/>
        </w:rPr>
        <w:t xml:space="preserve">and has been proved to induce autophagy for its replication and survival. The involvement of some autophagic genes on </w:t>
      </w:r>
      <w:r w:rsidRPr="00DF6624">
        <w:rPr>
          <w:rFonts w:ascii="Book Antiqua" w:hAnsi="Book Antiqua" w:cs="Times New Roman"/>
          <w:color w:val="000000" w:themeColor="text1"/>
          <w:sz w:val="24"/>
          <w:szCs w:val="24"/>
        </w:rPr>
        <w:lastRenderedPageBreak/>
        <w:t xml:space="preserve">cancer cell survival is still unknown. Therefore, we investigated the role of ATG genes in HBV-associated </w:t>
      </w:r>
      <w:r w:rsidR="00430F5A">
        <w:rPr>
          <w:rFonts w:ascii="Book Antiqua" w:hAnsi="Book Antiqua" w:cs="Times New Roman"/>
          <w:color w:val="000000" w:themeColor="text1"/>
          <w:sz w:val="24"/>
          <w:szCs w:val="24"/>
        </w:rPr>
        <w:t>HCC</w:t>
      </w:r>
      <w:r w:rsidRPr="00DF6624">
        <w:rPr>
          <w:rFonts w:ascii="Book Antiqua" w:hAnsi="Book Antiqua" w:cs="Times New Roman"/>
          <w:color w:val="000000" w:themeColor="text1"/>
          <w:sz w:val="24"/>
          <w:szCs w:val="24"/>
        </w:rPr>
        <w:t xml:space="preserve"> and non HBV-HCC in this study.</w:t>
      </w:r>
    </w:p>
    <w:p w14:paraId="249892DF"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0C472F4F"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Research frontiers</w:t>
      </w:r>
    </w:p>
    <w:p w14:paraId="21EEA951"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Autophagy is a catabolic process for cell survival under nutrient limitation or stress conditions.</w:t>
      </w:r>
      <w:r w:rsidRPr="00DF6624">
        <w:rPr>
          <w:rFonts w:ascii="Book Antiqua" w:hAnsi="Book Antiqua" w:cs="Times New Roman"/>
          <w:b/>
          <w:bCs/>
          <w:i/>
          <w:iCs/>
          <w:color w:val="000000" w:themeColor="text1"/>
          <w:sz w:val="24"/>
          <w:szCs w:val="24"/>
        </w:rPr>
        <w:t xml:space="preserve"> </w:t>
      </w:r>
      <w:r w:rsidRPr="00DF6624">
        <w:rPr>
          <w:rFonts w:ascii="Book Antiqua" w:hAnsi="Book Antiqua" w:cs="Times New Roman"/>
          <w:color w:val="000000" w:themeColor="text1"/>
          <w:sz w:val="24"/>
          <w:szCs w:val="24"/>
        </w:rPr>
        <w:t>However, autophagy</w:t>
      </w:r>
      <w:r w:rsidRPr="00DF6624">
        <w:rPr>
          <w:rFonts w:ascii="Book Antiqua" w:hAnsi="Book Antiqua"/>
          <w:color w:val="000000" w:themeColor="text1"/>
          <w:sz w:val="24"/>
          <w:szCs w:val="24"/>
        </w:rPr>
        <w:t xml:space="preserve"> </w:t>
      </w:r>
      <w:r w:rsidRPr="00DF6624">
        <w:rPr>
          <w:rFonts w:ascii="Book Antiqua" w:hAnsi="Book Antiqua" w:cs="Times New Roman"/>
          <w:color w:val="000000" w:themeColor="text1"/>
          <w:sz w:val="24"/>
          <w:szCs w:val="24"/>
        </w:rPr>
        <w:t>can act as either an oncogene or tumor suppressor gene.</w:t>
      </w:r>
      <w:r w:rsidRPr="00DF6624">
        <w:rPr>
          <w:rFonts w:ascii="Book Antiqua" w:hAnsi="Book Antiqua" w:cs="Times New Roman"/>
          <w:b/>
          <w:bCs/>
          <w:i/>
          <w:iCs/>
          <w:color w:val="000000" w:themeColor="text1"/>
          <w:sz w:val="24"/>
          <w:szCs w:val="24"/>
        </w:rPr>
        <w:t xml:space="preserve"> </w:t>
      </w:r>
      <w:r w:rsidRPr="00DF6624">
        <w:rPr>
          <w:rFonts w:ascii="Book Antiqua" w:hAnsi="Book Antiqua" w:cs="Times New Roman"/>
          <w:color w:val="000000" w:themeColor="text1"/>
          <w:sz w:val="24"/>
          <w:szCs w:val="24"/>
        </w:rPr>
        <w:t>A recent report showed that HBV used the autophagic pathway for its own benefit; however the molecular mechanism is still unclear.</w:t>
      </w:r>
    </w:p>
    <w:p w14:paraId="5BE24411"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p>
    <w:p w14:paraId="125A307F"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Innovations and breakthroughs</w:t>
      </w:r>
    </w:p>
    <w:p w14:paraId="29033654"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ATG5-ATG12 protein was up regulated in HepG2.2.15 and expressed in a high percentage of HBV-associated HCC compared to non-HBV cell lines and HCC. The Atg12 silenced HepG2.2.15 cell line had increased apoptosis under starvation conditions. This is the first study to show a function of Atg12 in apoptosis in HBV-associated HCC.</w:t>
      </w:r>
    </w:p>
    <w:p w14:paraId="7B480536"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14FCDA83"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Applications</w:t>
      </w:r>
    </w:p>
    <w:p w14:paraId="43578AAA"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color w:val="000000" w:themeColor="text1"/>
          <w:sz w:val="24"/>
          <w:szCs w:val="24"/>
        </w:rPr>
        <w:t>These findings raise the possibility of targeting the autophagic pathway for the treatment of HBV-associated HCC patients.</w:t>
      </w:r>
    </w:p>
    <w:p w14:paraId="106F62A5"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1C2800FA"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t>Peer-review</w:t>
      </w:r>
    </w:p>
    <w:p w14:paraId="12E9CC4B" w14:textId="23554D23" w:rsidR="006725C1" w:rsidRPr="00430F5A" w:rsidRDefault="006725C1" w:rsidP="005C2EDC">
      <w:pPr>
        <w:adjustRightInd w:val="0"/>
        <w:snapToGrid w:val="0"/>
        <w:spacing w:after="0" w:line="360" w:lineRule="auto"/>
        <w:jc w:val="both"/>
        <w:rPr>
          <w:rFonts w:ascii="Book Antiqua" w:eastAsia="宋体" w:hAnsi="Book Antiqua" w:cs="Times New Roman"/>
          <w:bCs/>
          <w:color w:val="000000" w:themeColor="text1"/>
          <w:sz w:val="24"/>
          <w:szCs w:val="24"/>
          <w:lang w:eastAsia="zh-CN"/>
        </w:rPr>
      </w:pPr>
      <w:r w:rsidRPr="00DF6624">
        <w:rPr>
          <w:rFonts w:ascii="Book Antiqua" w:hAnsi="Book Antiqua" w:cs="Times New Roman"/>
          <w:bCs/>
          <w:color w:val="000000" w:themeColor="text1"/>
          <w:sz w:val="24"/>
          <w:szCs w:val="24"/>
        </w:rPr>
        <w:t>This paper reported that ATG5-ATG12 protein expression was increased in HBV-transfected HepG2.2.15 cells compared to HepG2 cells and was increased in tumor liver tissues compared to adjacent non-tumor tissues from HCC patients with HBV infection. The silencing of ATG12</w:t>
      </w:r>
      <w:r w:rsidRPr="00DF6624">
        <w:rPr>
          <w:rFonts w:ascii="Book Antiqua" w:hAnsi="Book Antiqua"/>
          <w:color w:val="000000" w:themeColor="text1"/>
          <w:sz w:val="24"/>
          <w:szCs w:val="24"/>
        </w:rPr>
        <w:t xml:space="preserve"> </w:t>
      </w:r>
      <w:r w:rsidRPr="00DF6624">
        <w:rPr>
          <w:rFonts w:ascii="Book Antiqua" w:hAnsi="Book Antiqua" w:cs="Times New Roman"/>
          <w:bCs/>
          <w:color w:val="000000" w:themeColor="text1"/>
          <w:sz w:val="24"/>
          <w:szCs w:val="24"/>
        </w:rPr>
        <w:t>increased cell apoptosis under starvation conditions in HepG2.2.15 cells but not in HepG2 cells. Their results suggest that ATG5-ATG12 is important for the survival of HBV-associated HCC in the state of tumor nutrient limitation. The inhibition of ATG12 might be a good</w:t>
      </w:r>
      <w:r w:rsidR="00430F5A">
        <w:rPr>
          <w:rFonts w:ascii="Book Antiqua" w:hAnsi="Book Antiqua" w:cs="Times New Roman"/>
          <w:bCs/>
          <w:color w:val="000000" w:themeColor="text1"/>
          <w:sz w:val="24"/>
          <w:szCs w:val="24"/>
        </w:rPr>
        <w:t xml:space="preserve"> target for HBV-associated HCC.</w:t>
      </w:r>
    </w:p>
    <w:p w14:paraId="2E4F0741" w14:textId="77777777" w:rsidR="006725C1" w:rsidRPr="00DF6624" w:rsidRDefault="006725C1" w:rsidP="005C2EDC">
      <w:pPr>
        <w:adjustRightInd w:val="0"/>
        <w:snapToGrid w:val="0"/>
        <w:spacing w:after="0" w:line="360" w:lineRule="auto"/>
        <w:jc w:val="both"/>
        <w:rPr>
          <w:rFonts w:ascii="Book Antiqua" w:hAnsi="Book Antiqua" w:cs="Times New Roman"/>
          <w:b/>
          <w:bCs/>
          <w:i/>
          <w:iCs/>
          <w:color w:val="000000" w:themeColor="text1"/>
          <w:sz w:val="24"/>
          <w:szCs w:val="24"/>
        </w:rPr>
      </w:pPr>
      <w:r w:rsidRPr="00DF6624">
        <w:rPr>
          <w:rFonts w:ascii="Book Antiqua" w:hAnsi="Book Antiqua" w:cs="Times New Roman"/>
          <w:b/>
          <w:bCs/>
          <w:i/>
          <w:iCs/>
          <w:color w:val="000000" w:themeColor="text1"/>
          <w:sz w:val="24"/>
          <w:szCs w:val="24"/>
        </w:rPr>
        <w:br w:type="page"/>
      </w:r>
    </w:p>
    <w:p w14:paraId="28D61052" w14:textId="77777777" w:rsidR="006725C1" w:rsidRPr="00DF6624" w:rsidRDefault="006725C1" w:rsidP="005C2EDC">
      <w:pPr>
        <w:adjustRightInd w:val="0"/>
        <w:snapToGrid w:val="0"/>
        <w:spacing w:after="0" w:line="360" w:lineRule="auto"/>
        <w:jc w:val="both"/>
        <w:rPr>
          <w:rFonts w:ascii="Book Antiqua" w:eastAsia="宋体" w:hAnsi="Book Antiqua" w:cs="Times New Roman"/>
          <w:b/>
          <w:bCs/>
          <w:color w:val="000000" w:themeColor="text1"/>
          <w:sz w:val="24"/>
          <w:szCs w:val="24"/>
          <w:lang w:eastAsia="zh-CN"/>
        </w:rPr>
      </w:pPr>
      <w:r w:rsidRPr="00DF6624">
        <w:rPr>
          <w:rFonts w:ascii="Book Antiqua" w:hAnsi="Book Antiqua" w:cs="Times New Roman"/>
          <w:b/>
          <w:bCs/>
          <w:color w:val="000000" w:themeColor="text1"/>
          <w:sz w:val="24"/>
          <w:szCs w:val="24"/>
        </w:rPr>
        <w:lastRenderedPageBreak/>
        <w:t>REFERENCES</w:t>
      </w:r>
    </w:p>
    <w:p w14:paraId="039200A2"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1 </w:t>
      </w:r>
      <w:r w:rsidRPr="00DF6624">
        <w:rPr>
          <w:rFonts w:ascii="Book Antiqua" w:eastAsia="宋体" w:hAnsi="Book Antiqua" w:cs="宋体"/>
          <w:b/>
          <w:bCs/>
          <w:color w:val="000000" w:themeColor="text1"/>
          <w:sz w:val="24"/>
          <w:szCs w:val="24"/>
        </w:rPr>
        <w:t>Tang H</w:t>
      </w:r>
      <w:r w:rsidRPr="00DF6624">
        <w:rPr>
          <w:rFonts w:ascii="Book Antiqua" w:eastAsia="宋体" w:hAnsi="Book Antiqua" w:cs="宋体"/>
          <w:color w:val="000000" w:themeColor="text1"/>
          <w:sz w:val="24"/>
          <w:szCs w:val="24"/>
        </w:rPr>
        <w:t>, Da L, Mao Y, Li Y, Li D, Xu Z, Li F, Wang Y, Tiollais P, Li T, Zhao M. Hepatitis B virus X protein sensitizes cells to starvation-induced autophagy via up-regulation of beclin 1 expression. </w:t>
      </w:r>
      <w:r w:rsidRPr="00DF6624">
        <w:rPr>
          <w:rFonts w:ascii="Book Antiqua" w:eastAsia="宋体" w:hAnsi="Book Antiqua" w:cs="宋体"/>
          <w:i/>
          <w:iCs/>
          <w:color w:val="000000" w:themeColor="text1"/>
          <w:sz w:val="24"/>
          <w:szCs w:val="24"/>
        </w:rPr>
        <w:t>Hepatology</w:t>
      </w:r>
      <w:r w:rsidRPr="00DF6624">
        <w:rPr>
          <w:rFonts w:ascii="Book Antiqua" w:eastAsia="宋体" w:hAnsi="Book Antiqua" w:cs="宋体"/>
          <w:color w:val="000000" w:themeColor="text1"/>
          <w:sz w:val="24"/>
          <w:szCs w:val="24"/>
        </w:rPr>
        <w:t> 2009; </w:t>
      </w:r>
      <w:r w:rsidRPr="00DF6624">
        <w:rPr>
          <w:rFonts w:ascii="Book Antiqua" w:eastAsia="宋体" w:hAnsi="Book Antiqua" w:cs="宋体"/>
          <w:b/>
          <w:bCs/>
          <w:color w:val="000000" w:themeColor="text1"/>
          <w:sz w:val="24"/>
          <w:szCs w:val="24"/>
        </w:rPr>
        <w:t>49</w:t>
      </w:r>
      <w:r w:rsidRPr="00DF6624">
        <w:rPr>
          <w:rFonts w:ascii="Book Antiqua" w:eastAsia="宋体" w:hAnsi="Book Antiqua" w:cs="宋体"/>
          <w:color w:val="000000" w:themeColor="text1"/>
          <w:sz w:val="24"/>
          <w:szCs w:val="24"/>
        </w:rPr>
        <w:t>: 60-71 [PMID: 19065679 DOI: 10.1002/hep.22581]</w:t>
      </w:r>
    </w:p>
    <w:p w14:paraId="132EEF8A"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2 </w:t>
      </w:r>
      <w:r w:rsidRPr="00DF6624">
        <w:rPr>
          <w:rFonts w:ascii="Book Antiqua" w:eastAsia="宋体" w:hAnsi="Book Antiqua" w:cs="宋体"/>
          <w:b/>
          <w:bCs/>
          <w:color w:val="000000" w:themeColor="text1"/>
          <w:sz w:val="24"/>
          <w:szCs w:val="24"/>
        </w:rPr>
        <w:t>Sir D</w:t>
      </w:r>
      <w:r w:rsidRPr="00DF6624">
        <w:rPr>
          <w:rFonts w:ascii="Book Antiqua" w:eastAsia="宋体" w:hAnsi="Book Antiqua" w:cs="宋体"/>
          <w:color w:val="000000" w:themeColor="text1"/>
          <w:sz w:val="24"/>
          <w:szCs w:val="24"/>
        </w:rPr>
        <w:t>, Tian Y, Chen WL, Ann DK, Yen TS, Ou JH. The early autophagic pathway is activated by hepatitis B virus and required for viral DNA replication. </w:t>
      </w:r>
      <w:r w:rsidRPr="00DF6624">
        <w:rPr>
          <w:rFonts w:ascii="Book Antiqua" w:eastAsia="宋体" w:hAnsi="Book Antiqua" w:cs="宋体"/>
          <w:i/>
          <w:iCs/>
          <w:color w:val="000000" w:themeColor="text1"/>
          <w:sz w:val="24"/>
          <w:szCs w:val="24"/>
        </w:rPr>
        <w:t>Proc Natl Acad Sci USA</w:t>
      </w:r>
      <w:r w:rsidRPr="00DF6624">
        <w:rPr>
          <w:rFonts w:ascii="Book Antiqua" w:eastAsia="宋体" w:hAnsi="Book Antiqua" w:cs="宋体"/>
          <w:color w:val="000000" w:themeColor="text1"/>
          <w:sz w:val="24"/>
          <w:szCs w:val="24"/>
        </w:rPr>
        <w:t> 2010; </w:t>
      </w:r>
      <w:r w:rsidRPr="00DF6624">
        <w:rPr>
          <w:rFonts w:ascii="Book Antiqua" w:eastAsia="宋体" w:hAnsi="Book Antiqua" w:cs="宋体"/>
          <w:b/>
          <w:bCs/>
          <w:color w:val="000000" w:themeColor="text1"/>
          <w:sz w:val="24"/>
          <w:szCs w:val="24"/>
        </w:rPr>
        <w:t>107</w:t>
      </w:r>
      <w:r w:rsidRPr="00DF6624">
        <w:rPr>
          <w:rFonts w:ascii="Book Antiqua" w:eastAsia="宋体" w:hAnsi="Book Antiqua" w:cs="宋体"/>
          <w:color w:val="000000" w:themeColor="text1"/>
          <w:sz w:val="24"/>
          <w:szCs w:val="24"/>
        </w:rPr>
        <w:t>: 4383-4388 [PMID: 20142477 DOI: 10.1073/pnas.0911373107]</w:t>
      </w:r>
    </w:p>
    <w:p w14:paraId="0AA84CD0"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3 </w:t>
      </w:r>
      <w:r w:rsidRPr="00DF6624">
        <w:rPr>
          <w:rFonts w:ascii="Book Antiqua" w:eastAsia="宋体" w:hAnsi="Book Antiqua" w:cs="宋体"/>
          <w:b/>
          <w:bCs/>
          <w:color w:val="000000" w:themeColor="text1"/>
          <w:sz w:val="24"/>
          <w:szCs w:val="24"/>
        </w:rPr>
        <w:t>Li J</w:t>
      </w:r>
      <w:r w:rsidRPr="00DF6624">
        <w:rPr>
          <w:rFonts w:ascii="Book Antiqua" w:eastAsia="宋体" w:hAnsi="Book Antiqua" w:cs="宋体"/>
          <w:color w:val="000000" w:themeColor="text1"/>
          <w:sz w:val="24"/>
          <w:szCs w:val="24"/>
        </w:rPr>
        <w:t>, Liu Y, Wang Z, Liu K, Wang Y, Liu J, Ding H, Yuan Z. Subversion of cellular autophagy machinery by hepatitis B virus for viral envelopment. </w:t>
      </w:r>
      <w:r w:rsidRPr="00DF6624">
        <w:rPr>
          <w:rFonts w:ascii="Book Antiqua" w:eastAsia="宋体" w:hAnsi="Book Antiqua" w:cs="宋体"/>
          <w:i/>
          <w:iCs/>
          <w:color w:val="000000" w:themeColor="text1"/>
          <w:sz w:val="24"/>
          <w:szCs w:val="24"/>
        </w:rPr>
        <w:t>J Virol</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85</w:t>
      </w:r>
      <w:r w:rsidRPr="00DF6624">
        <w:rPr>
          <w:rFonts w:ascii="Book Antiqua" w:eastAsia="宋体" w:hAnsi="Book Antiqua" w:cs="宋体"/>
          <w:color w:val="000000" w:themeColor="text1"/>
          <w:sz w:val="24"/>
          <w:szCs w:val="24"/>
        </w:rPr>
        <w:t>: 6319-6333 [PMID: 21507968 DOI: 10.1128/JVI.02627-10]</w:t>
      </w:r>
    </w:p>
    <w:p w14:paraId="75978C92"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 xml:space="preserve">4 </w:t>
      </w:r>
      <w:r w:rsidRPr="00DF6624">
        <w:rPr>
          <w:rFonts w:ascii="Book Antiqua" w:eastAsia="宋体" w:hAnsi="Book Antiqua" w:cs="宋体"/>
          <w:b/>
          <w:bCs/>
          <w:color w:val="000000" w:themeColor="text1"/>
          <w:sz w:val="24"/>
          <w:szCs w:val="24"/>
        </w:rPr>
        <w:t>Tian Y</w:t>
      </w:r>
      <w:r w:rsidRPr="00DF6624">
        <w:rPr>
          <w:rFonts w:ascii="Book Antiqua" w:eastAsia="宋体" w:hAnsi="Book Antiqua" w:cs="宋体"/>
          <w:color w:val="000000" w:themeColor="text1"/>
          <w:sz w:val="24"/>
          <w:szCs w:val="24"/>
        </w:rPr>
        <w:t>, Sir D, Kuo CF, Ann DK, Ou JH. Autophagy required for hepatitis B virus replication in transgenic mice. </w:t>
      </w:r>
      <w:r w:rsidRPr="00DF6624">
        <w:rPr>
          <w:rFonts w:ascii="Book Antiqua" w:eastAsia="宋体" w:hAnsi="Book Antiqua" w:cs="宋体"/>
          <w:i/>
          <w:iCs/>
          <w:color w:val="000000" w:themeColor="text1"/>
          <w:sz w:val="24"/>
          <w:szCs w:val="24"/>
        </w:rPr>
        <w:t>J Virol</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85</w:t>
      </w:r>
      <w:r w:rsidRPr="00DF6624">
        <w:rPr>
          <w:rFonts w:ascii="Book Antiqua" w:eastAsia="宋体" w:hAnsi="Book Antiqua" w:cs="宋体"/>
          <w:color w:val="000000" w:themeColor="text1"/>
          <w:sz w:val="24"/>
          <w:szCs w:val="24"/>
        </w:rPr>
        <w:t>: 13453-13456 [PMID: 21957292 DOI: 10.1128/JVI.06064-11]</w:t>
      </w:r>
    </w:p>
    <w:p w14:paraId="51F8A20B"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5 </w:t>
      </w:r>
      <w:r w:rsidRPr="00DF6624">
        <w:rPr>
          <w:rFonts w:ascii="Book Antiqua" w:eastAsia="宋体" w:hAnsi="Book Antiqua" w:cs="宋体"/>
          <w:b/>
          <w:bCs/>
          <w:color w:val="000000" w:themeColor="text1"/>
          <w:sz w:val="24"/>
          <w:szCs w:val="24"/>
        </w:rPr>
        <w:t>Kunanopparat A</w:t>
      </w:r>
      <w:r w:rsidRPr="00DF6624">
        <w:rPr>
          <w:rFonts w:ascii="Book Antiqua" w:eastAsia="宋体" w:hAnsi="Book Antiqua" w:cs="宋体"/>
          <w:color w:val="000000" w:themeColor="text1"/>
          <w:sz w:val="24"/>
          <w:szCs w:val="24"/>
        </w:rPr>
        <w:t>, Hirankarn N, Kittigul C, Tangkijvanich P, Kimkong I. Autophagy machinery impaired interferon signalling pathways to benefit hepatitis B virus replication. </w:t>
      </w:r>
      <w:r w:rsidRPr="00DF6624">
        <w:rPr>
          <w:rFonts w:ascii="Book Antiqua" w:eastAsia="宋体" w:hAnsi="Book Antiqua" w:cs="宋体"/>
          <w:i/>
          <w:iCs/>
          <w:color w:val="000000" w:themeColor="text1"/>
          <w:sz w:val="24"/>
          <w:szCs w:val="24"/>
        </w:rPr>
        <w:t>Asian Pac J Allergy Immunol</w:t>
      </w:r>
      <w:r w:rsidRPr="00DF6624">
        <w:rPr>
          <w:rFonts w:ascii="Book Antiqua" w:eastAsia="宋体" w:hAnsi="Book Antiqua" w:cs="宋体"/>
          <w:color w:val="000000" w:themeColor="text1"/>
          <w:sz w:val="24"/>
          <w:szCs w:val="24"/>
        </w:rPr>
        <w:t> 2016; </w:t>
      </w:r>
      <w:r w:rsidRPr="00DF6624">
        <w:rPr>
          <w:rFonts w:ascii="Book Antiqua" w:eastAsia="宋体" w:hAnsi="Book Antiqua" w:cs="宋体"/>
          <w:b/>
          <w:bCs/>
          <w:color w:val="000000" w:themeColor="text1"/>
          <w:sz w:val="24"/>
          <w:szCs w:val="24"/>
        </w:rPr>
        <w:t>34</w:t>
      </w:r>
      <w:r w:rsidRPr="00DF6624">
        <w:rPr>
          <w:rFonts w:ascii="Book Antiqua" w:eastAsia="宋体" w:hAnsi="Book Antiqua" w:cs="宋体"/>
          <w:color w:val="000000" w:themeColor="text1"/>
          <w:sz w:val="24"/>
          <w:szCs w:val="24"/>
        </w:rPr>
        <w:t>: 77-85 [PMID: 26994630 DOI: 10.12932/AP0636.34.1.2016]</w:t>
      </w:r>
    </w:p>
    <w:p w14:paraId="4A6D5424"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6 </w:t>
      </w:r>
      <w:r w:rsidRPr="00DF6624">
        <w:rPr>
          <w:rFonts w:ascii="Book Antiqua" w:eastAsia="宋体" w:hAnsi="Book Antiqua" w:cs="宋体"/>
          <w:b/>
          <w:bCs/>
          <w:color w:val="000000" w:themeColor="text1"/>
          <w:sz w:val="24"/>
          <w:szCs w:val="24"/>
        </w:rPr>
        <w:t>Aita VM</w:t>
      </w:r>
      <w:r w:rsidRPr="00DF6624">
        <w:rPr>
          <w:rFonts w:ascii="Book Antiqua" w:eastAsia="宋体" w:hAnsi="Book Antiqua" w:cs="宋体"/>
          <w:color w:val="000000" w:themeColor="text1"/>
          <w:sz w:val="24"/>
          <w:szCs w:val="24"/>
        </w:rPr>
        <w:t>, Liang XH, Murty VV, Pincus DL, Yu W, Cayanis E, Kalachikov S, Gilliam TC, Levine B. Cloning and genomic organization of beclin 1, a candidate tumor suppressor gene on chromosome 17q21. </w:t>
      </w:r>
      <w:r w:rsidRPr="00DF6624">
        <w:rPr>
          <w:rFonts w:ascii="Book Antiqua" w:eastAsia="宋体" w:hAnsi="Book Antiqua" w:cs="宋体"/>
          <w:i/>
          <w:iCs/>
          <w:color w:val="000000" w:themeColor="text1"/>
          <w:sz w:val="24"/>
          <w:szCs w:val="24"/>
        </w:rPr>
        <w:t>Genomics</w:t>
      </w:r>
      <w:r w:rsidRPr="00DF6624">
        <w:rPr>
          <w:rFonts w:ascii="Book Antiqua" w:eastAsia="宋体" w:hAnsi="Book Antiqua" w:cs="宋体"/>
          <w:color w:val="000000" w:themeColor="text1"/>
          <w:sz w:val="24"/>
          <w:szCs w:val="24"/>
        </w:rPr>
        <w:t> 1999; </w:t>
      </w:r>
      <w:r w:rsidRPr="00DF6624">
        <w:rPr>
          <w:rFonts w:ascii="Book Antiqua" w:eastAsia="宋体" w:hAnsi="Book Antiqua" w:cs="宋体"/>
          <w:b/>
          <w:bCs/>
          <w:color w:val="000000" w:themeColor="text1"/>
          <w:sz w:val="24"/>
          <w:szCs w:val="24"/>
        </w:rPr>
        <w:t>59</w:t>
      </w:r>
      <w:r w:rsidRPr="00DF6624">
        <w:rPr>
          <w:rFonts w:ascii="Book Antiqua" w:eastAsia="宋体" w:hAnsi="Book Antiqua" w:cs="宋体"/>
          <w:color w:val="000000" w:themeColor="text1"/>
          <w:sz w:val="24"/>
          <w:szCs w:val="24"/>
        </w:rPr>
        <w:t>: 59-65 [PMID: 10395800]</w:t>
      </w:r>
    </w:p>
    <w:p w14:paraId="5F41C23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7 </w:t>
      </w:r>
      <w:r w:rsidRPr="00DF6624">
        <w:rPr>
          <w:rFonts w:ascii="Book Antiqua" w:eastAsia="宋体" w:hAnsi="Book Antiqua" w:cs="宋体"/>
          <w:b/>
          <w:bCs/>
          <w:color w:val="000000" w:themeColor="text1"/>
          <w:sz w:val="24"/>
          <w:szCs w:val="24"/>
        </w:rPr>
        <w:t>Eccles DM</w:t>
      </w:r>
      <w:r w:rsidRPr="00DF6624">
        <w:rPr>
          <w:rFonts w:ascii="Book Antiqua" w:eastAsia="宋体" w:hAnsi="Book Antiqua" w:cs="宋体"/>
          <w:color w:val="000000" w:themeColor="text1"/>
          <w:sz w:val="24"/>
          <w:szCs w:val="24"/>
        </w:rPr>
        <w:t>, Russell SE, Haites NE, Atkinson R, Bell DW, Gruber L, Hickey I, Kelly K, Kitchener H, Leonard R. Early loss of heterozygosity on 17q in ovarian cancer. The Abe Ovarian Cancer Genetics Group. </w:t>
      </w:r>
      <w:r w:rsidRPr="00DF6624">
        <w:rPr>
          <w:rFonts w:ascii="Book Antiqua" w:eastAsia="宋体" w:hAnsi="Book Antiqua" w:cs="宋体"/>
          <w:i/>
          <w:iCs/>
          <w:color w:val="000000" w:themeColor="text1"/>
          <w:sz w:val="24"/>
          <w:szCs w:val="24"/>
        </w:rPr>
        <w:t>Oncogene</w:t>
      </w:r>
      <w:r w:rsidRPr="00DF6624">
        <w:rPr>
          <w:rFonts w:ascii="Book Antiqua" w:eastAsia="宋体" w:hAnsi="Book Antiqua" w:cs="宋体"/>
          <w:color w:val="000000" w:themeColor="text1"/>
          <w:sz w:val="24"/>
          <w:szCs w:val="24"/>
        </w:rPr>
        <w:t> 1992; </w:t>
      </w:r>
      <w:r w:rsidRPr="00DF6624">
        <w:rPr>
          <w:rFonts w:ascii="Book Antiqua" w:eastAsia="宋体" w:hAnsi="Book Antiqua" w:cs="宋体"/>
          <w:b/>
          <w:bCs/>
          <w:color w:val="000000" w:themeColor="text1"/>
          <w:sz w:val="24"/>
          <w:szCs w:val="24"/>
        </w:rPr>
        <w:t>7</w:t>
      </w:r>
      <w:r w:rsidRPr="00DF6624">
        <w:rPr>
          <w:rFonts w:ascii="Book Antiqua" w:eastAsia="宋体" w:hAnsi="Book Antiqua" w:cs="宋体"/>
          <w:color w:val="000000" w:themeColor="text1"/>
          <w:sz w:val="24"/>
          <w:szCs w:val="24"/>
        </w:rPr>
        <w:t>: 2069-2072 [PMID: 1408149]</w:t>
      </w:r>
    </w:p>
    <w:p w14:paraId="78C5A434"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8 </w:t>
      </w:r>
      <w:r w:rsidRPr="00DF6624">
        <w:rPr>
          <w:rFonts w:ascii="Book Antiqua" w:eastAsia="宋体" w:hAnsi="Book Antiqua" w:cs="宋体"/>
          <w:b/>
          <w:bCs/>
          <w:color w:val="000000" w:themeColor="text1"/>
          <w:sz w:val="24"/>
          <w:szCs w:val="24"/>
        </w:rPr>
        <w:t>Saito H</w:t>
      </w:r>
      <w:r w:rsidRPr="00DF6624">
        <w:rPr>
          <w:rFonts w:ascii="Book Antiqua" w:eastAsia="宋体" w:hAnsi="Book Antiqua" w:cs="宋体"/>
          <w:color w:val="000000" w:themeColor="text1"/>
          <w:sz w:val="24"/>
          <w:szCs w:val="24"/>
        </w:rPr>
        <w:t>, Inazawa J, Saito S, Kasumi F, Koi S, Sagae S, Kudo R, Saito J, Noda K, Nakamura Y. Detailed deletion mapping of chromosome 17q in ovarian and breast cancers: 2-cM region on 17q21.3 often and commonly deleted in tumors. </w:t>
      </w:r>
      <w:r w:rsidRPr="00DF6624">
        <w:rPr>
          <w:rFonts w:ascii="Book Antiqua" w:eastAsia="宋体" w:hAnsi="Book Antiqua" w:cs="宋体"/>
          <w:i/>
          <w:iCs/>
          <w:color w:val="000000" w:themeColor="text1"/>
          <w:sz w:val="24"/>
          <w:szCs w:val="24"/>
        </w:rPr>
        <w:t>Cancer Res</w:t>
      </w:r>
      <w:r w:rsidRPr="00DF6624">
        <w:rPr>
          <w:rFonts w:ascii="Book Antiqua" w:eastAsia="宋体" w:hAnsi="Book Antiqua" w:cs="宋体"/>
          <w:color w:val="000000" w:themeColor="text1"/>
          <w:sz w:val="24"/>
          <w:szCs w:val="24"/>
        </w:rPr>
        <w:t> 1993; </w:t>
      </w:r>
      <w:r w:rsidRPr="00DF6624">
        <w:rPr>
          <w:rFonts w:ascii="Book Antiqua" w:eastAsia="宋体" w:hAnsi="Book Antiqua" w:cs="宋体"/>
          <w:b/>
          <w:bCs/>
          <w:color w:val="000000" w:themeColor="text1"/>
          <w:sz w:val="24"/>
          <w:szCs w:val="24"/>
        </w:rPr>
        <w:t>53</w:t>
      </w:r>
      <w:r w:rsidRPr="00DF6624">
        <w:rPr>
          <w:rFonts w:ascii="Book Antiqua" w:eastAsia="宋体" w:hAnsi="Book Antiqua" w:cs="宋体"/>
          <w:color w:val="000000" w:themeColor="text1"/>
          <w:sz w:val="24"/>
          <w:szCs w:val="24"/>
        </w:rPr>
        <w:t>: 3382-3385 [PMID: 8100738]</w:t>
      </w:r>
    </w:p>
    <w:p w14:paraId="51395D5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lastRenderedPageBreak/>
        <w:t>9 </w:t>
      </w:r>
      <w:r w:rsidRPr="00DF6624">
        <w:rPr>
          <w:rFonts w:ascii="Book Antiqua" w:eastAsia="宋体" w:hAnsi="Book Antiqua" w:cs="宋体"/>
          <w:b/>
          <w:bCs/>
          <w:color w:val="000000" w:themeColor="text1"/>
          <w:sz w:val="24"/>
          <w:szCs w:val="24"/>
        </w:rPr>
        <w:t>Gao X</w:t>
      </w:r>
      <w:r w:rsidRPr="00DF6624">
        <w:rPr>
          <w:rFonts w:ascii="Book Antiqua" w:eastAsia="宋体" w:hAnsi="Book Antiqua" w:cs="宋体"/>
          <w:color w:val="000000" w:themeColor="text1"/>
          <w:sz w:val="24"/>
          <w:szCs w:val="24"/>
        </w:rPr>
        <w:t>, Zacharek A, Salkowski A, Grignon DJ, Sakr W, Porter AT, Honn KV. Loss of heterozygosity of the BRCA1 and other loci on chromosome 17q in human prostate cancer. </w:t>
      </w:r>
      <w:r w:rsidRPr="00DF6624">
        <w:rPr>
          <w:rFonts w:ascii="Book Antiqua" w:eastAsia="宋体" w:hAnsi="Book Antiqua" w:cs="宋体"/>
          <w:i/>
          <w:iCs/>
          <w:color w:val="000000" w:themeColor="text1"/>
          <w:sz w:val="24"/>
          <w:szCs w:val="24"/>
        </w:rPr>
        <w:t>Cancer Res</w:t>
      </w:r>
      <w:r w:rsidRPr="00DF6624">
        <w:rPr>
          <w:rFonts w:ascii="Book Antiqua" w:eastAsia="宋体" w:hAnsi="Book Antiqua" w:cs="宋体"/>
          <w:color w:val="000000" w:themeColor="text1"/>
          <w:sz w:val="24"/>
          <w:szCs w:val="24"/>
        </w:rPr>
        <w:t> 1995; </w:t>
      </w:r>
      <w:r w:rsidRPr="00DF6624">
        <w:rPr>
          <w:rFonts w:ascii="Book Antiqua" w:eastAsia="宋体" w:hAnsi="Book Antiqua" w:cs="宋体"/>
          <w:b/>
          <w:bCs/>
          <w:color w:val="000000" w:themeColor="text1"/>
          <w:sz w:val="24"/>
          <w:szCs w:val="24"/>
        </w:rPr>
        <w:t>55</w:t>
      </w:r>
      <w:r w:rsidRPr="00DF6624">
        <w:rPr>
          <w:rFonts w:ascii="Book Antiqua" w:eastAsia="宋体" w:hAnsi="Book Antiqua" w:cs="宋体"/>
          <w:color w:val="000000" w:themeColor="text1"/>
          <w:sz w:val="24"/>
          <w:szCs w:val="24"/>
        </w:rPr>
        <w:t>: 1002-1005 [PMID: 7866981]</w:t>
      </w:r>
    </w:p>
    <w:p w14:paraId="20BFD05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10 </w:t>
      </w:r>
      <w:r w:rsidRPr="00DF6624">
        <w:rPr>
          <w:rFonts w:ascii="Book Antiqua" w:eastAsia="宋体" w:hAnsi="Book Antiqua" w:cs="宋体"/>
          <w:b/>
          <w:bCs/>
          <w:color w:val="000000" w:themeColor="text1"/>
          <w:sz w:val="24"/>
          <w:szCs w:val="24"/>
        </w:rPr>
        <w:t>Lebovitz CB</w:t>
      </w:r>
      <w:r w:rsidRPr="00DF6624">
        <w:rPr>
          <w:rFonts w:ascii="Book Antiqua" w:eastAsia="宋体" w:hAnsi="Book Antiqua" w:cs="宋体"/>
          <w:color w:val="000000" w:themeColor="text1"/>
          <w:sz w:val="24"/>
          <w:szCs w:val="24"/>
        </w:rPr>
        <w:t>, Bortnik SB, Gorski SM. Here, there be dragons: charting autophagy-related alterations in human tumors. </w:t>
      </w:r>
      <w:r w:rsidRPr="00DF6624">
        <w:rPr>
          <w:rFonts w:ascii="Book Antiqua" w:eastAsia="宋体" w:hAnsi="Book Antiqua" w:cs="宋体"/>
          <w:i/>
          <w:iCs/>
          <w:color w:val="000000" w:themeColor="text1"/>
          <w:sz w:val="24"/>
          <w:szCs w:val="24"/>
        </w:rPr>
        <w:t>Clin Cancer Res</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18</w:t>
      </w:r>
      <w:r w:rsidRPr="00DF6624">
        <w:rPr>
          <w:rFonts w:ascii="Book Antiqua" w:eastAsia="宋体" w:hAnsi="Book Antiqua" w:cs="宋体"/>
          <w:color w:val="000000" w:themeColor="text1"/>
          <w:sz w:val="24"/>
          <w:szCs w:val="24"/>
        </w:rPr>
        <w:t>: 1214-1226 [PMID: 22253413 DOI: 10.1158/1078-0432.CCR-11-2465]</w:t>
      </w:r>
    </w:p>
    <w:p w14:paraId="79A96B3B"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11 </w:t>
      </w:r>
      <w:r w:rsidRPr="00DF6624">
        <w:rPr>
          <w:rFonts w:ascii="Book Antiqua" w:eastAsia="宋体" w:hAnsi="Book Antiqua" w:cs="宋体"/>
          <w:b/>
          <w:bCs/>
          <w:color w:val="000000" w:themeColor="text1"/>
          <w:sz w:val="24"/>
          <w:szCs w:val="24"/>
        </w:rPr>
        <w:t>Ionov Y</w:t>
      </w:r>
      <w:r w:rsidRPr="00DF6624">
        <w:rPr>
          <w:rFonts w:ascii="Book Antiqua" w:eastAsia="宋体" w:hAnsi="Book Antiqua" w:cs="宋体"/>
          <w:color w:val="000000" w:themeColor="text1"/>
          <w:sz w:val="24"/>
          <w:szCs w:val="24"/>
        </w:rPr>
        <w:t>, Nowak N, Perucho M, Markowitz S, Cowell JK. Manipulation of nonsense mediated decay identifies gene mutations in colon cancer Cells with microsatellite instability. </w:t>
      </w:r>
      <w:r w:rsidRPr="00DF6624">
        <w:rPr>
          <w:rFonts w:ascii="Book Antiqua" w:eastAsia="宋体" w:hAnsi="Book Antiqua" w:cs="宋体"/>
          <w:i/>
          <w:iCs/>
          <w:color w:val="000000" w:themeColor="text1"/>
          <w:sz w:val="24"/>
          <w:szCs w:val="24"/>
        </w:rPr>
        <w:t>Oncogene</w:t>
      </w:r>
      <w:r w:rsidRPr="00DF6624">
        <w:rPr>
          <w:rFonts w:ascii="Book Antiqua" w:eastAsia="宋体" w:hAnsi="Book Antiqua" w:cs="宋体"/>
          <w:color w:val="000000" w:themeColor="text1"/>
          <w:sz w:val="24"/>
          <w:szCs w:val="24"/>
        </w:rPr>
        <w:t> 2004; </w:t>
      </w:r>
      <w:r w:rsidRPr="00DF6624">
        <w:rPr>
          <w:rFonts w:ascii="Book Antiqua" w:eastAsia="宋体" w:hAnsi="Book Antiqua" w:cs="宋体"/>
          <w:b/>
          <w:bCs/>
          <w:color w:val="000000" w:themeColor="text1"/>
          <w:sz w:val="24"/>
          <w:szCs w:val="24"/>
        </w:rPr>
        <w:t>23</w:t>
      </w:r>
      <w:r w:rsidRPr="00DF6624">
        <w:rPr>
          <w:rFonts w:ascii="Book Antiqua" w:eastAsia="宋体" w:hAnsi="Book Antiqua" w:cs="宋体"/>
          <w:color w:val="000000" w:themeColor="text1"/>
          <w:sz w:val="24"/>
          <w:szCs w:val="24"/>
        </w:rPr>
        <w:t>: 639-645 [PMID: 14737099]</w:t>
      </w:r>
    </w:p>
    <w:p w14:paraId="7383A267"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12 </w:t>
      </w:r>
      <w:r w:rsidRPr="00DF6624">
        <w:rPr>
          <w:rFonts w:ascii="Book Antiqua" w:eastAsia="宋体" w:hAnsi="Book Antiqua" w:cs="宋体"/>
          <w:b/>
          <w:bCs/>
          <w:color w:val="000000" w:themeColor="text1"/>
          <w:sz w:val="24"/>
          <w:szCs w:val="24"/>
        </w:rPr>
        <w:t>Mariño G</w:t>
      </w:r>
      <w:r w:rsidRPr="00DF6624">
        <w:rPr>
          <w:rFonts w:ascii="Book Antiqua" w:eastAsia="宋体" w:hAnsi="Book Antiqua" w:cs="宋体"/>
          <w:color w:val="000000" w:themeColor="text1"/>
          <w:sz w:val="24"/>
          <w:szCs w:val="24"/>
        </w:rPr>
        <w:t>, Salvador-Montoliu N, Fueyo A, Knecht E, Mizushima N, López-Otín C. Tissue-specific autophagy alterations and increased tumorigenesis in mice deficient in Atg4C/autophagin-3. </w:t>
      </w:r>
      <w:r w:rsidRPr="00DF6624">
        <w:rPr>
          <w:rFonts w:ascii="Book Antiqua" w:eastAsia="宋体" w:hAnsi="Book Antiqua" w:cs="宋体"/>
          <w:i/>
          <w:iCs/>
          <w:color w:val="000000" w:themeColor="text1"/>
          <w:sz w:val="24"/>
          <w:szCs w:val="24"/>
        </w:rPr>
        <w:t>J Biol Chem</w:t>
      </w:r>
      <w:r w:rsidRPr="00DF6624">
        <w:rPr>
          <w:rFonts w:ascii="Book Antiqua" w:eastAsia="宋体" w:hAnsi="Book Antiqua" w:cs="宋体"/>
          <w:color w:val="000000" w:themeColor="text1"/>
          <w:sz w:val="24"/>
          <w:szCs w:val="24"/>
        </w:rPr>
        <w:t> 2007; </w:t>
      </w:r>
      <w:r w:rsidRPr="00DF6624">
        <w:rPr>
          <w:rFonts w:ascii="Book Antiqua" w:eastAsia="宋体" w:hAnsi="Book Antiqua" w:cs="宋体"/>
          <w:b/>
          <w:bCs/>
          <w:color w:val="000000" w:themeColor="text1"/>
          <w:sz w:val="24"/>
          <w:szCs w:val="24"/>
        </w:rPr>
        <w:t>282</w:t>
      </w:r>
      <w:r w:rsidRPr="00DF6624">
        <w:rPr>
          <w:rFonts w:ascii="Book Antiqua" w:eastAsia="宋体" w:hAnsi="Book Antiqua" w:cs="宋体"/>
          <w:color w:val="000000" w:themeColor="text1"/>
          <w:sz w:val="24"/>
          <w:szCs w:val="24"/>
        </w:rPr>
        <w:t>: 18573-18583 [PMID: 17442669 DOI: 10.1074/jbc.M701194200]</w:t>
      </w:r>
    </w:p>
    <w:p w14:paraId="1BFA3FE2"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13 </w:t>
      </w:r>
      <w:r w:rsidRPr="00DF6624">
        <w:rPr>
          <w:rFonts w:ascii="Book Antiqua" w:eastAsia="宋体" w:hAnsi="Book Antiqua" w:cs="宋体"/>
          <w:b/>
          <w:bCs/>
          <w:color w:val="000000" w:themeColor="text1"/>
          <w:sz w:val="24"/>
          <w:szCs w:val="24"/>
        </w:rPr>
        <w:t>Qu X</w:t>
      </w:r>
      <w:r w:rsidRPr="00DF6624">
        <w:rPr>
          <w:rFonts w:ascii="Book Antiqua" w:eastAsia="宋体" w:hAnsi="Book Antiqua" w:cs="宋体"/>
          <w:color w:val="000000" w:themeColor="text1"/>
          <w:sz w:val="24"/>
          <w:szCs w:val="24"/>
        </w:rPr>
        <w:t>, Yu J, Bhagat G, Furuya N, Hibshoosh H, Troxel A, Rosen J, Eskelinen EL, Mizushima N, Ohsumi Y, Cattoretti G, Levine B. Promotion of tumorigenesis by heterozygous disruption of the beclin 1 autophagy gene. </w:t>
      </w:r>
      <w:r w:rsidRPr="00DF6624">
        <w:rPr>
          <w:rFonts w:ascii="Book Antiqua" w:eastAsia="宋体" w:hAnsi="Book Antiqua" w:cs="宋体"/>
          <w:i/>
          <w:iCs/>
          <w:color w:val="000000" w:themeColor="text1"/>
          <w:sz w:val="24"/>
          <w:szCs w:val="24"/>
        </w:rPr>
        <w:t>J Clin Invest</w:t>
      </w:r>
      <w:r w:rsidRPr="00DF6624">
        <w:rPr>
          <w:rFonts w:ascii="Book Antiqua" w:eastAsia="宋体" w:hAnsi="Book Antiqua" w:cs="宋体"/>
          <w:color w:val="000000" w:themeColor="text1"/>
          <w:sz w:val="24"/>
          <w:szCs w:val="24"/>
        </w:rPr>
        <w:t> 2003; </w:t>
      </w:r>
      <w:r w:rsidRPr="00DF6624">
        <w:rPr>
          <w:rFonts w:ascii="Book Antiqua" w:eastAsia="宋体" w:hAnsi="Book Antiqua" w:cs="宋体"/>
          <w:b/>
          <w:bCs/>
          <w:color w:val="000000" w:themeColor="text1"/>
          <w:sz w:val="24"/>
          <w:szCs w:val="24"/>
        </w:rPr>
        <w:t>112</w:t>
      </w:r>
      <w:r w:rsidRPr="00DF6624">
        <w:rPr>
          <w:rFonts w:ascii="Book Antiqua" w:eastAsia="宋体" w:hAnsi="Book Antiqua" w:cs="宋体"/>
          <w:color w:val="000000" w:themeColor="text1"/>
          <w:sz w:val="24"/>
          <w:szCs w:val="24"/>
        </w:rPr>
        <w:t>: 1809-1820 [PMID: 14638851]</w:t>
      </w:r>
    </w:p>
    <w:p w14:paraId="6A717B52"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14 </w:t>
      </w:r>
      <w:r w:rsidRPr="00DF6624">
        <w:rPr>
          <w:rFonts w:ascii="Book Antiqua" w:eastAsia="宋体" w:hAnsi="Book Antiqua" w:cs="宋体"/>
          <w:b/>
          <w:bCs/>
          <w:color w:val="000000" w:themeColor="text1"/>
          <w:sz w:val="24"/>
          <w:szCs w:val="24"/>
        </w:rPr>
        <w:t>Yue Z</w:t>
      </w:r>
      <w:r w:rsidRPr="00DF6624">
        <w:rPr>
          <w:rFonts w:ascii="Book Antiqua" w:eastAsia="宋体" w:hAnsi="Book Antiqua" w:cs="宋体"/>
          <w:color w:val="000000" w:themeColor="text1"/>
          <w:sz w:val="24"/>
          <w:szCs w:val="24"/>
        </w:rPr>
        <w:t>, Jin S, Yang C, Levine AJ, Heintz N. Beclin 1, an autophagy gene essential for early embryonic development, is a haploinsufficient tumor suppressor. </w:t>
      </w:r>
      <w:r w:rsidRPr="00DF6624">
        <w:rPr>
          <w:rFonts w:ascii="Book Antiqua" w:eastAsia="宋体" w:hAnsi="Book Antiqua" w:cs="宋体"/>
          <w:i/>
          <w:iCs/>
          <w:color w:val="000000" w:themeColor="text1"/>
          <w:sz w:val="24"/>
          <w:szCs w:val="24"/>
        </w:rPr>
        <w:t>Proc Natl Acad Sci USA</w:t>
      </w:r>
      <w:r w:rsidRPr="00DF6624">
        <w:rPr>
          <w:rFonts w:ascii="Book Antiqua" w:eastAsia="宋体" w:hAnsi="Book Antiqua" w:cs="宋体"/>
          <w:color w:val="000000" w:themeColor="text1"/>
          <w:sz w:val="24"/>
          <w:szCs w:val="24"/>
        </w:rPr>
        <w:t> 2003; </w:t>
      </w:r>
      <w:r w:rsidRPr="00DF6624">
        <w:rPr>
          <w:rFonts w:ascii="Book Antiqua" w:eastAsia="宋体" w:hAnsi="Book Antiqua" w:cs="宋体"/>
          <w:b/>
          <w:bCs/>
          <w:color w:val="000000" w:themeColor="text1"/>
          <w:sz w:val="24"/>
          <w:szCs w:val="24"/>
        </w:rPr>
        <w:t>100</w:t>
      </w:r>
      <w:r w:rsidRPr="00DF6624">
        <w:rPr>
          <w:rFonts w:ascii="Book Antiqua" w:eastAsia="宋体" w:hAnsi="Book Antiqua" w:cs="宋体"/>
          <w:color w:val="000000" w:themeColor="text1"/>
          <w:sz w:val="24"/>
          <w:szCs w:val="24"/>
        </w:rPr>
        <w:t>: 15077-15082 [PMID: 14657337]</w:t>
      </w:r>
    </w:p>
    <w:p w14:paraId="1E94D7CD"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15 </w:t>
      </w:r>
      <w:r w:rsidRPr="00DF6624">
        <w:rPr>
          <w:rFonts w:ascii="Book Antiqua" w:eastAsia="宋体" w:hAnsi="Book Antiqua" w:cs="宋体"/>
          <w:b/>
          <w:bCs/>
          <w:color w:val="000000" w:themeColor="text1"/>
          <w:sz w:val="24"/>
          <w:szCs w:val="24"/>
        </w:rPr>
        <w:t>Takamura A</w:t>
      </w:r>
      <w:r w:rsidRPr="00DF6624">
        <w:rPr>
          <w:rFonts w:ascii="Book Antiqua" w:eastAsia="宋体" w:hAnsi="Book Antiqua" w:cs="宋体"/>
          <w:color w:val="000000" w:themeColor="text1"/>
          <w:sz w:val="24"/>
          <w:szCs w:val="24"/>
        </w:rPr>
        <w:t>, Komatsu M, Hara T, Sakamoto A, Kishi C, Waguri S, Eishi Y, Hino O, Tanaka K, Mizushima N. Autophagy-deficient mice develop multiple liver tumors. </w:t>
      </w:r>
      <w:r w:rsidRPr="00DF6624">
        <w:rPr>
          <w:rFonts w:ascii="Book Antiqua" w:eastAsia="宋体" w:hAnsi="Book Antiqua" w:cs="宋体"/>
          <w:i/>
          <w:iCs/>
          <w:color w:val="000000" w:themeColor="text1"/>
          <w:sz w:val="24"/>
          <w:szCs w:val="24"/>
        </w:rPr>
        <w:t>Genes Dev</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25</w:t>
      </w:r>
      <w:r w:rsidRPr="00DF6624">
        <w:rPr>
          <w:rFonts w:ascii="Book Antiqua" w:eastAsia="宋体" w:hAnsi="Book Antiqua" w:cs="宋体"/>
          <w:color w:val="000000" w:themeColor="text1"/>
          <w:sz w:val="24"/>
          <w:szCs w:val="24"/>
        </w:rPr>
        <w:t>: 795-800 [PMID: 21498569 DOI: 10.1101/gad.2016211]</w:t>
      </w:r>
    </w:p>
    <w:p w14:paraId="4F27933C"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16 </w:t>
      </w:r>
      <w:r w:rsidRPr="00DF6624">
        <w:rPr>
          <w:rFonts w:ascii="Book Antiqua" w:eastAsia="宋体" w:hAnsi="Book Antiqua" w:cs="宋体"/>
          <w:b/>
          <w:bCs/>
          <w:color w:val="000000" w:themeColor="text1"/>
          <w:sz w:val="24"/>
          <w:szCs w:val="24"/>
        </w:rPr>
        <w:t>Roy S</w:t>
      </w:r>
      <w:r w:rsidRPr="00DF6624">
        <w:rPr>
          <w:rFonts w:ascii="Book Antiqua" w:eastAsia="宋体" w:hAnsi="Book Antiqua" w:cs="宋体"/>
          <w:color w:val="000000" w:themeColor="text1"/>
          <w:sz w:val="24"/>
          <w:szCs w:val="24"/>
        </w:rPr>
        <w:t>, Debnath J. Autophagy and tumorigenesis. </w:t>
      </w:r>
      <w:r w:rsidRPr="00DF6624">
        <w:rPr>
          <w:rFonts w:ascii="Book Antiqua" w:eastAsia="宋体" w:hAnsi="Book Antiqua" w:cs="宋体"/>
          <w:i/>
          <w:iCs/>
          <w:color w:val="000000" w:themeColor="text1"/>
          <w:sz w:val="24"/>
          <w:szCs w:val="24"/>
        </w:rPr>
        <w:t>Semin Immunopathol</w:t>
      </w:r>
      <w:r w:rsidRPr="00DF6624">
        <w:rPr>
          <w:rFonts w:ascii="Book Antiqua" w:eastAsia="宋体" w:hAnsi="Book Antiqua" w:cs="宋体"/>
          <w:color w:val="000000" w:themeColor="text1"/>
          <w:sz w:val="24"/>
          <w:szCs w:val="24"/>
        </w:rPr>
        <w:t> 2010; </w:t>
      </w:r>
      <w:r w:rsidRPr="00DF6624">
        <w:rPr>
          <w:rFonts w:ascii="Book Antiqua" w:eastAsia="宋体" w:hAnsi="Book Antiqua" w:cs="宋体"/>
          <w:b/>
          <w:bCs/>
          <w:color w:val="000000" w:themeColor="text1"/>
          <w:sz w:val="24"/>
          <w:szCs w:val="24"/>
        </w:rPr>
        <w:t>32</w:t>
      </w:r>
      <w:r w:rsidRPr="00DF6624">
        <w:rPr>
          <w:rFonts w:ascii="Book Antiqua" w:eastAsia="宋体" w:hAnsi="Book Antiqua" w:cs="宋体"/>
          <w:color w:val="000000" w:themeColor="text1"/>
          <w:sz w:val="24"/>
          <w:szCs w:val="24"/>
        </w:rPr>
        <w:t>: 383-396 [PMID: 20589500 DOI: 10.1007/s00281-010-0213-0]</w:t>
      </w:r>
    </w:p>
    <w:p w14:paraId="3C4854B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17 </w:t>
      </w:r>
      <w:r w:rsidRPr="00DF6624">
        <w:rPr>
          <w:rFonts w:ascii="Book Antiqua" w:eastAsia="宋体" w:hAnsi="Book Antiqua" w:cs="宋体"/>
          <w:b/>
          <w:bCs/>
          <w:color w:val="000000" w:themeColor="text1"/>
          <w:sz w:val="24"/>
          <w:szCs w:val="24"/>
        </w:rPr>
        <w:t>Mathew R</w:t>
      </w:r>
      <w:r w:rsidRPr="00DF6624">
        <w:rPr>
          <w:rFonts w:ascii="Book Antiqua" w:eastAsia="宋体" w:hAnsi="Book Antiqua" w:cs="宋体"/>
          <w:color w:val="000000" w:themeColor="text1"/>
          <w:sz w:val="24"/>
          <w:szCs w:val="24"/>
        </w:rPr>
        <w:t>, Kongara S, Beaudoin B, Karp CM, Bray K, Degenhardt K, Chen G, Jin S, White E. Autophagy suppresses tumor progression by limiting chromosomal instability. </w:t>
      </w:r>
      <w:r w:rsidRPr="00DF6624">
        <w:rPr>
          <w:rFonts w:ascii="Book Antiqua" w:eastAsia="宋体" w:hAnsi="Book Antiqua" w:cs="宋体"/>
          <w:i/>
          <w:iCs/>
          <w:color w:val="000000" w:themeColor="text1"/>
          <w:sz w:val="24"/>
          <w:szCs w:val="24"/>
        </w:rPr>
        <w:t>Genes Dev</w:t>
      </w:r>
      <w:r w:rsidRPr="00DF6624">
        <w:rPr>
          <w:rFonts w:ascii="Book Antiqua" w:eastAsia="宋体" w:hAnsi="Book Antiqua" w:cs="宋体"/>
          <w:color w:val="000000" w:themeColor="text1"/>
          <w:sz w:val="24"/>
          <w:szCs w:val="24"/>
        </w:rPr>
        <w:t> 2007; </w:t>
      </w:r>
      <w:r w:rsidRPr="00DF6624">
        <w:rPr>
          <w:rFonts w:ascii="Book Antiqua" w:eastAsia="宋体" w:hAnsi="Book Antiqua" w:cs="宋体"/>
          <w:b/>
          <w:bCs/>
          <w:color w:val="000000" w:themeColor="text1"/>
          <w:sz w:val="24"/>
          <w:szCs w:val="24"/>
        </w:rPr>
        <w:t>21</w:t>
      </w:r>
      <w:r w:rsidRPr="00DF6624">
        <w:rPr>
          <w:rFonts w:ascii="Book Antiqua" w:eastAsia="宋体" w:hAnsi="Book Antiqua" w:cs="宋体"/>
          <w:color w:val="000000" w:themeColor="text1"/>
          <w:sz w:val="24"/>
          <w:szCs w:val="24"/>
        </w:rPr>
        <w:t>: 1367-1381 [PMID: 17510285]</w:t>
      </w:r>
    </w:p>
    <w:p w14:paraId="3DE7BEBC"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lastRenderedPageBreak/>
        <w:t>18 </w:t>
      </w:r>
      <w:r w:rsidRPr="00DF6624">
        <w:rPr>
          <w:rFonts w:ascii="Book Antiqua" w:eastAsia="宋体" w:hAnsi="Book Antiqua" w:cs="宋体"/>
          <w:b/>
          <w:bCs/>
          <w:color w:val="000000" w:themeColor="text1"/>
          <w:sz w:val="24"/>
          <w:szCs w:val="24"/>
        </w:rPr>
        <w:t>Lum JJ</w:t>
      </w:r>
      <w:r w:rsidRPr="00DF6624">
        <w:rPr>
          <w:rFonts w:ascii="Book Antiqua" w:eastAsia="宋体" w:hAnsi="Book Antiqua" w:cs="宋体"/>
          <w:color w:val="000000" w:themeColor="text1"/>
          <w:sz w:val="24"/>
          <w:szCs w:val="24"/>
        </w:rPr>
        <w:t>, Bauer DE, Kong M, Harris MH, Li C, Lindsten T, Thompson CB. Growth factor regulation of autophagy and cell survival in the absence of apoptosis. </w:t>
      </w:r>
      <w:r w:rsidRPr="00DF6624">
        <w:rPr>
          <w:rFonts w:ascii="Book Antiqua" w:eastAsia="宋体" w:hAnsi="Book Antiqua" w:cs="宋体"/>
          <w:i/>
          <w:iCs/>
          <w:color w:val="000000" w:themeColor="text1"/>
          <w:sz w:val="24"/>
          <w:szCs w:val="24"/>
        </w:rPr>
        <w:t>Cell</w:t>
      </w:r>
      <w:r w:rsidRPr="00DF6624">
        <w:rPr>
          <w:rFonts w:ascii="Book Antiqua" w:eastAsia="宋体" w:hAnsi="Book Antiqua" w:cs="宋体"/>
          <w:color w:val="000000" w:themeColor="text1"/>
          <w:sz w:val="24"/>
          <w:szCs w:val="24"/>
        </w:rPr>
        <w:t> 2005; </w:t>
      </w:r>
      <w:r w:rsidRPr="00DF6624">
        <w:rPr>
          <w:rFonts w:ascii="Book Antiqua" w:eastAsia="宋体" w:hAnsi="Book Antiqua" w:cs="宋体"/>
          <w:b/>
          <w:bCs/>
          <w:color w:val="000000" w:themeColor="text1"/>
          <w:sz w:val="24"/>
          <w:szCs w:val="24"/>
        </w:rPr>
        <w:t>120</w:t>
      </w:r>
      <w:r w:rsidRPr="00DF6624">
        <w:rPr>
          <w:rFonts w:ascii="Book Antiqua" w:eastAsia="宋体" w:hAnsi="Book Antiqua" w:cs="宋体"/>
          <w:color w:val="000000" w:themeColor="text1"/>
          <w:sz w:val="24"/>
          <w:szCs w:val="24"/>
        </w:rPr>
        <w:t>: 237-248 [PMID: 15680329]</w:t>
      </w:r>
    </w:p>
    <w:p w14:paraId="7E8D1799"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19 </w:t>
      </w:r>
      <w:r w:rsidRPr="00DF6624">
        <w:rPr>
          <w:rFonts w:ascii="Book Antiqua" w:eastAsia="宋体" w:hAnsi="Book Antiqua" w:cs="宋体"/>
          <w:b/>
          <w:bCs/>
          <w:color w:val="000000" w:themeColor="text1"/>
          <w:sz w:val="24"/>
          <w:szCs w:val="24"/>
        </w:rPr>
        <w:t>Altman BJ</w:t>
      </w:r>
      <w:r w:rsidRPr="00DF6624">
        <w:rPr>
          <w:rFonts w:ascii="Book Antiqua" w:eastAsia="宋体" w:hAnsi="Book Antiqua" w:cs="宋体"/>
          <w:color w:val="000000" w:themeColor="text1"/>
          <w:sz w:val="24"/>
          <w:szCs w:val="24"/>
        </w:rPr>
        <w:t>, Jacobs SR, Mason EF, Michalek RD, MacIntyre AN, Coloff JL, Ilkayeva O, Jia W, He YW, Rathmell JC. Autophagy is essential to suppress cell stress and to allow BCR-Abl-mediated leukemogenesis. </w:t>
      </w:r>
      <w:r w:rsidRPr="00DF6624">
        <w:rPr>
          <w:rFonts w:ascii="Book Antiqua" w:eastAsia="宋体" w:hAnsi="Book Antiqua" w:cs="宋体"/>
          <w:i/>
          <w:iCs/>
          <w:color w:val="000000" w:themeColor="text1"/>
          <w:sz w:val="24"/>
          <w:szCs w:val="24"/>
        </w:rPr>
        <w:t>Oncogene</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30</w:t>
      </w:r>
      <w:r w:rsidRPr="00DF6624">
        <w:rPr>
          <w:rFonts w:ascii="Book Antiqua" w:eastAsia="宋体" w:hAnsi="Book Antiqua" w:cs="宋体"/>
          <w:color w:val="000000" w:themeColor="text1"/>
          <w:sz w:val="24"/>
          <w:szCs w:val="24"/>
        </w:rPr>
        <w:t>: 1855-1867 [PMID: 21151168 DOI: 10.1038/onc.2010.561]</w:t>
      </w:r>
    </w:p>
    <w:p w14:paraId="05CF389B"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20 </w:t>
      </w:r>
      <w:r w:rsidRPr="00DF6624">
        <w:rPr>
          <w:rFonts w:ascii="Book Antiqua" w:eastAsia="宋体" w:hAnsi="Book Antiqua" w:cs="宋体"/>
          <w:b/>
          <w:bCs/>
          <w:color w:val="000000" w:themeColor="text1"/>
          <w:sz w:val="24"/>
          <w:szCs w:val="24"/>
        </w:rPr>
        <w:t>Guo JY</w:t>
      </w:r>
      <w:r w:rsidRPr="00DF6624">
        <w:rPr>
          <w:rFonts w:ascii="Book Antiqua" w:eastAsia="宋体" w:hAnsi="Book Antiqua" w:cs="宋体"/>
          <w:color w:val="000000" w:themeColor="text1"/>
          <w:sz w:val="24"/>
          <w:szCs w:val="24"/>
        </w:rPr>
        <w:t>, Chen HY, Mathew R, Fan J, Strohecker AM, Karsli-Uzunbas G, Kamphorst JJ, Chen G, Lemons JM, Karantza V, Coller HA, Dipaola RS, Gelinas C, Rabinowitz JD, White E. Activated Ras requires autophagy to maintain oxidative metabolism and tumorigenesis. </w:t>
      </w:r>
      <w:r w:rsidRPr="00DF6624">
        <w:rPr>
          <w:rFonts w:ascii="Book Antiqua" w:eastAsia="宋体" w:hAnsi="Book Antiqua" w:cs="宋体"/>
          <w:i/>
          <w:iCs/>
          <w:color w:val="000000" w:themeColor="text1"/>
          <w:sz w:val="24"/>
          <w:szCs w:val="24"/>
        </w:rPr>
        <w:t>Genes Dev</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25</w:t>
      </w:r>
      <w:r w:rsidRPr="00DF6624">
        <w:rPr>
          <w:rFonts w:ascii="Book Antiqua" w:eastAsia="宋体" w:hAnsi="Book Antiqua" w:cs="宋体"/>
          <w:color w:val="000000" w:themeColor="text1"/>
          <w:sz w:val="24"/>
          <w:szCs w:val="24"/>
        </w:rPr>
        <w:t>: 460-470 [PMID: 21317241 DOI: 10.1101/gad.2016311]</w:t>
      </w:r>
    </w:p>
    <w:p w14:paraId="79BB34B3"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21 </w:t>
      </w:r>
      <w:r w:rsidRPr="00DF6624">
        <w:rPr>
          <w:rFonts w:ascii="Book Antiqua" w:eastAsia="宋体" w:hAnsi="Book Antiqua" w:cs="宋体"/>
          <w:b/>
          <w:bCs/>
          <w:color w:val="000000" w:themeColor="text1"/>
          <w:sz w:val="24"/>
          <w:szCs w:val="24"/>
        </w:rPr>
        <w:t>Livak KJ</w:t>
      </w:r>
      <w:r w:rsidRPr="00DF6624">
        <w:rPr>
          <w:rFonts w:ascii="Book Antiqua" w:eastAsia="宋体" w:hAnsi="Book Antiqua" w:cs="宋体"/>
          <w:color w:val="000000" w:themeColor="text1"/>
          <w:sz w:val="24"/>
          <w:szCs w:val="24"/>
        </w:rPr>
        <w:t>, Schmittgen TD. Analysis of relative gene expression data using real-time quantitative PCR and the 2(-Delta Delta C(T)) Method. </w:t>
      </w:r>
      <w:r w:rsidRPr="00DF6624">
        <w:rPr>
          <w:rFonts w:ascii="Book Antiqua" w:eastAsia="宋体" w:hAnsi="Book Antiqua" w:cs="宋体"/>
          <w:i/>
          <w:iCs/>
          <w:color w:val="000000" w:themeColor="text1"/>
          <w:sz w:val="24"/>
          <w:szCs w:val="24"/>
        </w:rPr>
        <w:t>Methods</w:t>
      </w:r>
      <w:r w:rsidRPr="00DF6624">
        <w:rPr>
          <w:rFonts w:ascii="Book Antiqua" w:eastAsia="宋体" w:hAnsi="Book Antiqua" w:cs="宋体"/>
          <w:color w:val="000000" w:themeColor="text1"/>
          <w:sz w:val="24"/>
          <w:szCs w:val="24"/>
        </w:rPr>
        <w:t> 2001; </w:t>
      </w:r>
      <w:r w:rsidRPr="00DF6624">
        <w:rPr>
          <w:rFonts w:ascii="Book Antiqua" w:eastAsia="宋体" w:hAnsi="Book Antiqua" w:cs="宋体"/>
          <w:b/>
          <w:bCs/>
          <w:color w:val="000000" w:themeColor="text1"/>
          <w:sz w:val="24"/>
          <w:szCs w:val="24"/>
        </w:rPr>
        <w:t>25</w:t>
      </w:r>
      <w:r w:rsidRPr="00DF6624">
        <w:rPr>
          <w:rFonts w:ascii="Book Antiqua" w:eastAsia="宋体" w:hAnsi="Book Antiqua" w:cs="宋体"/>
          <w:color w:val="000000" w:themeColor="text1"/>
          <w:sz w:val="24"/>
          <w:szCs w:val="24"/>
        </w:rPr>
        <w:t>: 402-408 [PMID: 11846609 DOI: 10.1006/meth.2001.1262]</w:t>
      </w:r>
    </w:p>
    <w:p w14:paraId="1DE19F2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22 </w:t>
      </w:r>
      <w:r w:rsidRPr="00DF6624">
        <w:rPr>
          <w:rFonts w:ascii="Book Antiqua" w:eastAsia="宋体" w:hAnsi="Book Antiqua" w:cs="宋体"/>
          <w:b/>
          <w:bCs/>
          <w:color w:val="000000" w:themeColor="text1"/>
          <w:sz w:val="24"/>
          <w:szCs w:val="24"/>
        </w:rPr>
        <w:t>Kongkavitoon P</w:t>
      </w:r>
      <w:r w:rsidRPr="00DF6624">
        <w:rPr>
          <w:rFonts w:ascii="Book Antiqua" w:eastAsia="宋体" w:hAnsi="Book Antiqua" w:cs="宋体"/>
          <w:color w:val="000000" w:themeColor="text1"/>
          <w:sz w:val="24"/>
          <w:szCs w:val="24"/>
        </w:rPr>
        <w:t>, Tangkijvanich P, Hirankarn N, Palaga T. Hepatitis B Virus HBx Activates Notch Signaling via Delta-Like 4/Notch1 in Hepatocellular Carcinoma. </w:t>
      </w:r>
      <w:r w:rsidRPr="00DF6624">
        <w:rPr>
          <w:rFonts w:ascii="Book Antiqua" w:eastAsia="宋体" w:hAnsi="Book Antiqua" w:cs="宋体"/>
          <w:i/>
          <w:iCs/>
          <w:color w:val="000000" w:themeColor="text1"/>
          <w:sz w:val="24"/>
          <w:szCs w:val="24"/>
        </w:rPr>
        <w:t>PLoS One</w:t>
      </w:r>
      <w:r w:rsidRPr="00DF6624">
        <w:rPr>
          <w:rFonts w:ascii="Book Antiqua" w:eastAsia="宋体" w:hAnsi="Book Antiqua" w:cs="宋体"/>
          <w:color w:val="000000" w:themeColor="text1"/>
          <w:sz w:val="24"/>
          <w:szCs w:val="24"/>
        </w:rPr>
        <w:t> 2016; </w:t>
      </w:r>
      <w:r w:rsidRPr="00DF6624">
        <w:rPr>
          <w:rFonts w:ascii="Book Antiqua" w:eastAsia="宋体" w:hAnsi="Book Antiqua" w:cs="宋体"/>
          <w:b/>
          <w:bCs/>
          <w:color w:val="000000" w:themeColor="text1"/>
          <w:sz w:val="24"/>
          <w:szCs w:val="24"/>
        </w:rPr>
        <w:t>11</w:t>
      </w:r>
      <w:r w:rsidRPr="00DF6624">
        <w:rPr>
          <w:rFonts w:ascii="Book Antiqua" w:eastAsia="宋体" w:hAnsi="Book Antiqua" w:cs="宋体"/>
          <w:color w:val="000000" w:themeColor="text1"/>
          <w:sz w:val="24"/>
          <w:szCs w:val="24"/>
        </w:rPr>
        <w:t>: e0146696 [PMID: 26766040 DOI: 10.1371/journal.pone.0146696]</w:t>
      </w:r>
    </w:p>
    <w:p w14:paraId="73A46D9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23 </w:t>
      </w:r>
      <w:r w:rsidRPr="00DF6624">
        <w:rPr>
          <w:rFonts w:ascii="Book Antiqua" w:eastAsia="宋体" w:hAnsi="Book Antiqua" w:cs="宋体"/>
          <w:b/>
          <w:bCs/>
          <w:color w:val="000000" w:themeColor="text1"/>
          <w:sz w:val="24"/>
          <w:szCs w:val="24"/>
        </w:rPr>
        <w:t>Purow B</w:t>
      </w:r>
      <w:r w:rsidRPr="00DF6624">
        <w:rPr>
          <w:rFonts w:ascii="Book Antiqua" w:eastAsia="宋体" w:hAnsi="Book Antiqua" w:cs="宋体"/>
          <w:color w:val="000000" w:themeColor="text1"/>
          <w:sz w:val="24"/>
          <w:szCs w:val="24"/>
        </w:rPr>
        <w:t>. Notch inhibition as a promising new approach to cancer therapy. </w:t>
      </w:r>
      <w:r w:rsidRPr="00DF6624">
        <w:rPr>
          <w:rFonts w:ascii="Book Antiqua" w:eastAsia="宋体" w:hAnsi="Book Antiqua" w:cs="宋体"/>
          <w:i/>
          <w:iCs/>
          <w:color w:val="000000" w:themeColor="text1"/>
          <w:sz w:val="24"/>
          <w:szCs w:val="24"/>
        </w:rPr>
        <w:t>Adv Exp Med Biol</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727</w:t>
      </w:r>
      <w:r w:rsidRPr="00DF6624">
        <w:rPr>
          <w:rFonts w:ascii="Book Antiqua" w:eastAsia="宋体" w:hAnsi="Book Antiqua" w:cs="宋体"/>
          <w:color w:val="000000" w:themeColor="text1"/>
          <w:sz w:val="24"/>
          <w:szCs w:val="24"/>
        </w:rPr>
        <w:t>: 305-319 [PMID: 22399357 DOI: 10.1007/978-1-4614-0899-4_23]</w:t>
      </w:r>
    </w:p>
    <w:p w14:paraId="060E324D" w14:textId="77777777" w:rsidR="004E1E5C" w:rsidRPr="00DF6624" w:rsidRDefault="004E1E5C" w:rsidP="005C2EDC">
      <w:pPr>
        <w:widowControl w:val="0"/>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 xml:space="preserve">24 </w:t>
      </w:r>
      <w:r w:rsidRPr="00DF6624">
        <w:rPr>
          <w:rFonts w:ascii="Book Antiqua" w:eastAsia="宋体" w:hAnsi="Book Antiqua" w:cs="宋体"/>
          <w:b/>
          <w:bCs/>
          <w:color w:val="000000" w:themeColor="text1"/>
          <w:sz w:val="24"/>
          <w:szCs w:val="24"/>
        </w:rPr>
        <w:t>Kotsafti A</w:t>
      </w:r>
      <w:r w:rsidRPr="00DF6624">
        <w:rPr>
          <w:rFonts w:ascii="Book Antiqua" w:eastAsia="宋体" w:hAnsi="Book Antiqua" w:cs="宋体"/>
          <w:color w:val="000000" w:themeColor="text1"/>
          <w:sz w:val="24"/>
          <w:szCs w:val="24"/>
        </w:rPr>
        <w:t>, Farinati F, Cardin R, Cillo U, Nitti D, Bortolami M. Autophagy and apoptosis-related genes in chronic liver disease and hepatocellular carcinoma. </w:t>
      </w:r>
      <w:r w:rsidRPr="00DF6624">
        <w:rPr>
          <w:rFonts w:ascii="Book Antiqua" w:eastAsia="宋体" w:hAnsi="Book Antiqua" w:cs="宋体"/>
          <w:i/>
          <w:iCs/>
          <w:color w:val="000000" w:themeColor="text1"/>
          <w:sz w:val="24"/>
          <w:szCs w:val="24"/>
        </w:rPr>
        <w:t>BMC Gastroenterol</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12</w:t>
      </w:r>
      <w:r w:rsidRPr="00DF6624">
        <w:rPr>
          <w:rFonts w:ascii="Book Antiqua" w:eastAsia="宋体" w:hAnsi="Book Antiqua" w:cs="宋体"/>
          <w:color w:val="000000" w:themeColor="text1"/>
          <w:sz w:val="24"/>
          <w:szCs w:val="24"/>
        </w:rPr>
        <w:t>: 118 [PMID: 22928777 DOI: 10.1186/1471-230X-12-118]</w:t>
      </w:r>
    </w:p>
    <w:p w14:paraId="69AC56AA"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25 </w:t>
      </w:r>
      <w:r w:rsidRPr="00DF6624">
        <w:rPr>
          <w:rFonts w:ascii="Book Antiqua" w:eastAsia="宋体" w:hAnsi="Book Antiqua" w:cs="宋体"/>
          <w:b/>
          <w:bCs/>
          <w:color w:val="000000" w:themeColor="text1"/>
          <w:sz w:val="24"/>
          <w:szCs w:val="24"/>
        </w:rPr>
        <w:t>Proikas-Cezanne T</w:t>
      </w:r>
      <w:r w:rsidRPr="00DF6624">
        <w:rPr>
          <w:rFonts w:ascii="Book Antiqua" w:eastAsia="宋体" w:hAnsi="Book Antiqua" w:cs="宋体"/>
          <w:color w:val="000000" w:themeColor="text1"/>
          <w:sz w:val="24"/>
          <w:szCs w:val="24"/>
        </w:rPr>
        <w:t>, Waddell S, Gaugel A, Frickey T, Lupas A, Nordheim A. WIPI-1alpha (WIPI49), a member of the novel 7-bladed WIPI protein family, is aberrantly expressed in human cancer and is linked to starvation-</w:t>
      </w:r>
      <w:r w:rsidRPr="00DF6624">
        <w:rPr>
          <w:rFonts w:ascii="Book Antiqua" w:eastAsia="宋体" w:hAnsi="Book Antiqua" w:cs="宋体"/>
          <w:color w:val="000000" w:themeColor="text1"/>
          <w:sz w:val="24"/>
          <w:szCs w:val="24"/>
        </w:rPr>
        <w:lastRenderedPageBreak/>
        <w:t>induced autophagy. </w:t>
      </w:r>
      <w:r w:rsidRPr="00DF6624">
        <w:rPr>
          <w:rFonts w:ascii="Book Antiqua" w:eastAsia="宋体" w:hAnsi="Book Antiqua" w:cs="宋体"/>
          <w:i/>
          <w:iCs/>
          <w:color w:val="000000" w:themeColor="text1"/>
          <w:sz w:val="24"/>
          <w:szCs w:val="24"/>
        </w:rPr>
        <w:t>Oncogene</w:t>
      </w:r>
      <w:r w:rsidRPr="00DF6624">
        <w:rPr>
          <w:rFonts w:ascii="Book Antiqua" w:eastAsia="宋体" w:hAnsi="Book Antiqua" w:cs="宋体"/>
          <w:color w:val="000000" w:themeColor="text1"/>
          <w:sz w:val="24"/>
          <w:szCs w:val="24"/>
        </w:rPr>
        <w:t> 2004; </w:t>
      </w:r>
      <w:r w:rsidRPr="00DF6624">
        <w:rPr>
          <w:rFonts w:ascii="Book Antiqua" w:eastAsia="宋体" w:hAnsi="Book Antiqua" w:cs="宋体"/>
          <w:b/>
          <w:bCs/>
          <w:color w:val="000000" w:themeColor="text1"/>
          <w:sz w:val="24"/>
          <w:szCs w:val="24"/>
        </w:rPr>
        <w:t>23</w:t>
      </w:r>
      <w:r w:rsidRPr="00DF6624">
        <w:rPr>
          <w:rFonts w:ascii="Book Antiqua" w:eastAsia="宋体" w:hAnsi="Book Antiqua" w:cs="宋体"/>
          <w:color w:val="000000" w:themeColor="text1"/>
          <w:sz w:val="24"/>
          <w:szCs w:val="24"/>
        </w:rPr>
        <w:t>: 9314-9325 [PMID: 15602573 DOI: 10.1038/sj.onc.1208331]</w:t>
      </w:r>
    </w:p>
    <w:p w14:paraId="1385956C"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26 </w:t>
      </w:r>
      <w:r w:rsidRPr="00DF6624">
        <w:rPr>
          <w:rFonts w:ascii="Book Antiqua" w:eastAsia="宋体" w:hAnsi="Book Antiqua" w:cs="宋体"/>
          <w:b/>
          <w:bCs/>
          <w:color w:val="000000" w:themeColor="text1"/>
          <w:sz w:val="24"/>
          <w:szCs w:val="24"/>
        </w:rPr>
        <w:t>Ito H</w:t>
      </w:r>
      <w:r w:rsidRPr="00DF6624">
        <w:rPr>
          <w:rFonts w:ascii="Book Antiqua" w:eastAsia="宋体" w:hAnsi="Book Antiqua" w:cs="宋体"/>
          <w:color w:val="000000" w:themeColor="text1"/>
          <w:sz w:val="24"/>
          <w:szCs w:val="24"/>
        </w:rPr>
        <w:t>, Daido S, Kanzawa T, Kondo S, Kondo Y. Radiation-induced autophagy is associated with LC3 and its inhibition sensitizes malignant glioma cells. </w:t>
      </w:r>
      <w:r w:rsidRPr="00DF6624">
        <w:rPr>
          <w:rFonts w:ascii="Book Antiqua" w:eastAsia="宋体" w:hAnsi="Book Antiqua" w:cs="宋体"/>
          <w:i/>
          <w:iCs/>
          <w:color w:val="000000" w:themeColor="text1"/>
          <w:sz w:val="24"/>
          <w:szCs w:val="24"/>
        </w:rPr>
        <w:t>Int J Oncol</w:t>
      </w:r>
      <w:r w:rsidRPr="00DF6624">
        <w:rPr>
          <w:rFonts w:ascii="Book Antiqua" w:eastAsia="宋体" w:hAnsi="Book Antiqua" w:cs="宋体"/>
          <w:color w:val="000000" w:themeColor="text1"/>
          <w:sz w:val="24"/>
          <w:szCs w:val="24"/>
        </w:rPr>
        <w:t> 2005; </w:t>
      </w:r>
      <w:r w:rsidRPr="00DF6624">
        <w:rPr>
          <w:rFonts w:ascii="Book Antiqua" w:eastAsia="宋体" w:hAnsi="Book Antiqua" w:cs="宋体"/>
          <w:b/>
          <w:bCs/>
          <w:color w:val="000000" w:themeColor="text1"/>
          <w:sz w:val="24"/>
          <w:szCs w:val="24"/>
        </w:rPr>
        <w:t>26</w:t>
      </w:r>
      <w:r w:rsidRPr="00DF6624">
        <w:rPr>
          <w:rFonts w:ascii="Book Antiqua" w:eastAsia="宋体" w:hAnsi="Book Antiqua" w:cs="宋体"/>
          <w:color w:val="000000" w:themeColor="text1"/>
          <w:sz w:val="24"/>
          <w:szCs w:val="24"/>
        </w:rPr>
        <w:t>: 1401-1410 [PMID: 15809734]</w:t>
      </w:r>
    </w:p>
    <w:p w14:paraId="06C205A9"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27 </w:t>
      </w:r>
      <w:r w:rsidRPr="00DF6624">
        <w:rPr>
          <w:rFonts w:ascii="Book Antiqua" w:eastAsia="宋体" w:hAnsi="Book Antiqua" w:cs="宋体"/>
          <w:b/>
          <w:bCs/>
          <w:color w:val="000000" w:themeColor="text1"/>
          <w:sz w:val="24"/>
          <w:szCs w:val="24"/>
        </w:rPr>
        <w:t>Reggiori F</w:t>
      </w:r>
      <w:r w:rsidRPr="00DF6624">
        <w:rPr>
          <w:rFonts w:ascii="Book Antiqua" w:eastAsia="宋体" w:hAnsi="Book Antiqua" w:cs="宋体"/>
          <w:color w:val="000000" w:themeColor="text1"/>
          <w:sz w:val="24"/>
          <w:szCs w:val="24"/>
        </w:rPr>
        <w:t>, Monastyrska I, Verheije MH, Calì T, Ulasli M, Bianchi S, Bernasconi R, de Haan CA, Molinari M. Coronaviruses Hijack the LC3-I-positive EDEMosomes, ER-derived vesicles exporting short-lived ERAD regulators, for replication. </w:t>
      </w:r>
      <w:r w:rsidRPr="00DF6624">
        <w:rPr>
          <w:rFonts w:ascii="Book Antiqua" w:eastAsia="宋体" w:hAnsi="Book Antiqua" w:cs="宋体"/>
          <w:i/>
          <w:iCs/>
          <w:color w:val="000000" w:themeColor="text1"/>
          <w:sz w:val="24"/>
          <w:szCs w:val="24"/>
        </w:rPr>
        <w:t>Cell Host Microbe</w:t>
      </w:r>
      <w:r w:rsidRPr="00DF6624">
        <w:rPr>
          <w:rFonts w:ascii="Book Antiqua" w:eastAsia="宋体" w:hAnsi="Book Antiqua" w:cs="宋体"/>
          <w:color w:val="000000" w:themeColor="text1"/>
          <w:sz w:val="24"/>
          <w:szCs w:val="24"/>
        </w:rPr>
        <w:t> 2010; </w:t>
      </w:r>
      <w:r w:rsidRPr="00DF6624">
        <w:rPr>
          <w:rFonts w:ascii="Book Antiqua" w:eastAsia="宋体" w:hAnsi="Book Antiqua" w:cs="宋体"/>
          <w:b/>
          <w:bCs/>
          <w:color w:val="000000" w:themeColor="text1"/>
          <w:sz w:val="24"/>
          <w:szCs w:val="24"/>
        </w:rPr>
        <w:t>7</w:t>
      </w:r>
      <w:r w:rsidRPr="00DF6624">
        <w:rPr>
          <w:rFonts w:ascii="Book Antiqua" w:eastAsia="宋体" w:hAnsi="Book Antiqua" w:cs="宋体"/>
          <w:color w:val="000000" w:themeColor="text1"/>
          <w:sz w:val="24"/>
          <w:szCs w:val="24"/>
        </w:rPr>
        <w:t>: 500-508 [PMID: 20542253 DOI: 10.1016/j.chom.2010.05.013]</w:t>
      </w:r>
    </w:p>
    <w:p w14:paraId="5C5FEB6D"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 xml:space="preserve">28 </w:t>
      </w:r>
      <w:r w:rsidRPr="00DF6624">
        <w:rPr>
          <w:rFonts w:ascii="Book Antiqua" w:hAnsi="Book Antiqua"/>
          <w:b/>
          <w:bCs/>
          <w:color w:val="000000" w:themeColor="text1"/>
          <w:sz w:val="24"/>
          <w:szCs w:val="24"/>
        </w:rPr>
        <w:t>Dreux M</w:t>
      </w:r>
      <w:r w:rsidRPr="00DF6624">
        <w:rPr>
          <w:rFonts w:ascii="Book Antiqua" w:hAnsi="Book Antiqua"/>
          <w:color w:val="000000" w:themeColor="text1"/>
          <w:sz w:val="24"/>
          <w:szCs w:val="24"/>
        </w:rPr>
        <w:t>, Chisari FV. Impact of the autophagy machinery on hepatitis C virus infection.</w:t>
      </w:r>
      <w:r w:rsidRPr="00DF6624">
        <w:rPr>
          <w:rStyle w:val="apple-converted-space"/>
          <w:rFonts w:ascii="Book Antiqua" w:hAnsi="Book Antiqua"/>
          <w:color w:val="000000" w:themeColor="text1"/>
          <w:sz w:val="24"/>
          <w:szCs w:val="24"/>
        </w:rPr>
        <w:t> </w:t>
      </w:r>
      <w:r w:rsidRPr="00DF6624">
        <w:rPr>
          <w:rFonts w:ascii="Book Antiqua" w:hAnsi="Book Antiqua"/>
          <w:i/>
          <w:iCs/>
          <w:color w:val="000000" w:themeColor="text1"/>
          <w:sz w:val="24"/>
          <w:szCs w:val="24"/>
        </w:rPr>
        <w:t>Viruses</w:t>
      </w:r>
      <w:r w:rsidRPr="00DF6624">
        <w:rPr>
          <w:rStyle w:val="apple-converted-space"/>
          <w:rFonts w:ascii="Book Antiqua" w:hAnsi="Book Antiqua"/>
          <w:color w:val="000000" w:themeColor="text1"/>
          <w:sz w:val="24"/>
          <w:szCs w:val="24"/>
        </w:rPr>
        <w:t> </w:t>
      </w:r>
      <w:r w:rsidRPr="00DF6624">
        <w:rPr>
          <w:rFonts w:ascii="Book Antiqua" w:hAnsi="Book Antiqua"/>
          <w:color w:val="000000" w:themeColor="text1"/>
          <w:sz w:val="24"/>
          <w:szCs w:val="24"/>
        </w:rPr>
        <w:t>2011;</w:t>
      </w:r>
      <w:r w:rsidRPr="00DF6624">
        <w:rPr>
          <w:rStyle w:val="apple-converted-space"/>
          <w:rFonts w:ascii="Book Antiqua" w:hAnsi="Book Antiqua"/>
          <w:color w:val="000000" w:themeColor="text1"/>
          <w:sz w:val="24"/>
          <w:szCs w:val="24"/>
        </w:rPr>
        <w:t> </w:t>
      </w:r>
      <w:r w:rsidRPr="00DF6624">
        <w:rPr>
          <w:rFonts w:ascii="Book Antiqua" w:hAnsi="Book Antiqua"/>
          <w:b/>
          <w:bCs/>
          <w:color w:val="000000" w:themeColor="text1"/>
          <w:sz w:val="24"/>
          <w:szCs w:val="24"/>
        </w:rPr>
        <w:t>3</w:t>
      </w:r>
      <w:r w:rsidRPr="00DF6624">
        <w:rPr>
          <w:rFonts w:ascii="Book Antiqua" w:hAnsi="Book Antiqua"/>
          <w:color w:val="000000" w:themeColor="text1"/>
          <w:sz w:val="24"/>
          <w:szCs w:val="24"/>
        </w:rPr>
        <w:t>: 1342-1357 [PMID: 21994783 DOI: 10.3390/v3081342]</w:t>
      </w:r>
    </w:p>
    <w:p w14:paraId="66D795ED"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29 </w:t>
      </w:r>
      <w:r w:rsidRPr="00DF6624">
        <w:rPr>
          <w:rFonts w:ascii="Book Antiqua" w:eastAsia="宋体" w:hAnsi="Book Antiqua" w:cs="宋体"/>
          <w:b/>
          <w:bCs/>
          <w:color w:val="000000" w:themeColor="text1"/>
          <w:sz w:val="24"/>
          <w:szCs w:val="24"/>
        </w:rPr>
        <w:t>Jounai N</w:t>
      </w:r>
      <w:r w:rsidRPr="00DF6624">
        <w:rPr>
          <w:rFonts w:ascii="Book Antiqua" w:eastAsia="宋体" w:hAnsi="Book Antiqua" w:cs="宋体"/>
          <w:color w:val="000000" w:themeColor="text1"/>
          <w:sz w:val="24"/>
          <w:szCs w:val="24"/>
        </w:rPr>
        <w:t>, Takeshita F, Kobiyama K, Sawano A, Miyawaki A, Xin KQ, Ishii KJ, Kawai T, Akira S, Suzuki K, Okuda K. The Atg5 Atg12 conjugate associates with innate antiviral immune responses. </w:t>
      </w:r>
      <w:r w:rsidRPr="00DF6624">
        <w:rPr>
          <w:rFonts w:ascii="Book Antiqua" w:eastAsia="宋体" w:hAnsi="Book Antiqua" w:cs="宋体"/>
          <w:i/>
          <w:iCs/>
          <w:color w:val="000000" w:themeColor="text1"/>
          <w:sz w:val="24"/>
          <w:szCs w:val="24"/>
        </w:rPr>
        <w:t>Proc Natl Acad Sci USA</w:t>
      </w:r>
      <w:r w:rsidRPr="00DF6624">
        <w:rPr>
          <w:rFonts w:ascii="Book Antiqua" w:eastAsia="宋体" w:hAnsi="Book Antiqua" w:cs="宋体"/>
          <w:color w:val="000000" w:themeColor="text1"/>
          <w:sz w:val="24"/>
          <w:szCs w:val="24"/>
        </w:rPr>
        <w:t> 2007; </w:t>
      </w:r>
      <w:r w:rsidRPr="00DF6624">
        <w:rPr>
          <w:rFonts w:ascii="Book Antiqua" w:eastAsia="宋体" w:hAnsi="Book Antiqua" w:cs="宋体"/>
          <w:b/>
          <w:bCs/>
          <w:color w:val="000000" w:themeColor="text1"/>
          <w:sz w:val="24"/>
          <w:szCs w:val="24"/>
        </w:rPr>
        <w:t>104</w:t>
      </w:r>
      <w:r w:rsidRPr="00DF6624">
        <w:rPr>
          <w:rFonts w:ascii="Book Antiqua" w:eastAsia="宋体" w:hAnsi="Book Antiqua" w:cs="宋体"/>
          <w:color w:val="000000" w:themeColor="text1"/>
          <w:sz w:val="24"/>
          <w:szCs w:val="24"/>
        </w:rPr>
        <w:t>: 14050-14055 [PMID: 17709747]</w:t>
      </w:r>
    </w:p>
    <w:p w14:paraId="779FA36C"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30 </w:t>
      </w:r>
      <w:r w:rsidRPr="00DF6624">
        <w:rPr>
          <w:rFonts w:ascii="Book Antiqua" w:eastAsia="宋体" w:hAnsi="Book Antiqua" w:cs="宋体"/>
          <w:b/>
          <w:bCs/>
          <w:color w:val="000000" w:themeColor="text1"/>
          <w:sz w:val="24"/>
          <w:szCs w:val="24"/>
        </w:rPr>
        <w:t>Takeshita F</w:t>
      </w:r>
      <w:r w:rsidRPr="00DF6624">
        <w:rPr>
          <w:rFonts w:ascii="Book Antiqua" w:eastAsia="宋体" w:hAnsi="Book Antiqua" w:cs="宋体"/>
          <w:color w:val="000000" w:themeColor="text1"/>
          <w:sz w:val="24"/>
          <w:szCs w:val="24"/>
        </w:rPr>
        <w:t>, Kobiyama K, Miyawaki A, Jounai N, Okuda K. The non-canonical role of Atg family members as suppressors of innate antiviral immune signaling. </w:t>
      </w:r>
      <w:r w:rsidRPr="00DF6624">
        <w:rPr>
          <w:rFonts w:ascii="Book Antiqua" w:eastAsia="宋体" w:hAnsi="Book Antiqua" w:cs="宋体"/>
          <w:i/>
          <w:iCs/>
          <w:color w:val="000000" w:themeColor="text1"/>
          <w:sz w:val="24"/>
          <w:szCs w:val="24"/>
        </w:rPr>
        <w:t>Autophagy</w:t>
      </w:r>
      <w:r w:rsidRPr="00DF6624">
        <w:rPr>
          <w:rFonts w:ascii="Book Antiqua" w:eastAsia="宋体" w:hAnsi="Book Antiqua" w:cs="宋体"/>
          <w:color w:val="000000" w:themeColor="text1"/>
          <w:sz w:val="24"/>
          <w:szCs w:val="24"/>
        </w:rPr>
        <w:t> 2008; </w:t>
      </w:r>
      <w:r w:rsidRPr="00DF6624">
        <w:rPr>
          <w:rFonts w:ascii="Book Antiqua" w:eastAsia="宋体" w:hAnsi="Book Antiqua" w:cs="宋体"/>
          <w:b/>
          <w:bCs/>
          <w:color w:val="000000" w:themeColor="text1"/>
          <w:sz w:val="24"/>
          <w:szCs w:val="24"/>
        </w:rPr>
        <w:t>4</w:t>
      </w:r>
      <w:r w:rsidRPr="00DF6624">
        <w:rPr>
          <w:rFonts w:ascii="Book Antiqua" w:eastAsia="宋体" w:hAnsi="Book Antiqua" w:cs="宋体"/>
          <w:color w:val="000000" w:themeColor="text1"/>
          <w:sz w:val="24"/>
          <w:szCs w:val="24"/>
        </w:rPr>
        <w:t>: 67-69 [PMID: 17921696]</w:t>
      </w:r>
    </w:p>
    <w:p w14:paraId="424D6FE1"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31 </w:t>
      </w:r>
      <w:r w:rsidRPr="00DF6624">
        <w:rPr>
          <w:rFonts w:ascii="Book Antiqua" w:eastAsia="宋体" w:hAnsi="Book Antiqua" w:cs="宋体"/>
          <w:b/>
          <w:bCs/>
          <w:color w:val="000000" w:themeColor="text1"/>
          <w:sz w:val="24"/>
          <w:szCs w:val="24"/>
        </w:rPr>
        <w:t>Hwang S</w:t>
      </w:r>
      <w:r w:rsidRPr="00DF6624">
        <w:rPr>
          <w:rFonts w:ascii="Book Antiqua" w:eastAsia="宋体" w:hAnsi="Book Antiqua" w:cs="宋体"/>
          <w:color w:val="000000" w:themeColor="text1"/>
          <w:sz w:val="24"/>
          <w:szCs w:val="24"/>
        </w:rPr>
        <w:t>, Maloney NS, Bruinsma MW, Goel G, Duan E, Zhang L, Shrestha B, Diamond MS, Dani A, Sosnovtsev SV, Green KY, Lopez-Otin C, Xavier RJ, Thackray LB, Virgin HW. Nondegradative role of Atg5-Atg12/ Atg16L1 autophagy protein complex in antiviral activity of interferon gamma. </w:t>
      </w:r>
      <w:r w:rsidRPr="00DF6624">
        <w:rPr>
          <w:rFonts w:ascii="Book Antiqua" w:eastAsia="宋体" w:hAnsi="Book Antiqua" w:cs="宋体"/>
          <w:i/>
          <w:iCs/>
          <w:color w:val="000000" w:themeColor="text1"/>
          <w:sz w:val="24"/>
          <w:szCs w:val="24"/>
        </w:rPr>
        <w:t>Cell Host Microbe</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11</w:t>
      </w:r>
      <w:r w:rsidRPr="00DF6624">
        <w:rPr>
          <w:rFonts w:ascii="Book Antiqua" w:eastAsia="宋体" w:hAnsi="Book Antiqua" w:cs="宋体"/>
          <w:color w:val="000000" w:themeColor="text1"/>
          <w:sz w:val="24"/>
          <w:szCs w:val="24"/>
        </w:rPr>
        <w:t>: 397-409 [PMID: 22520467 DOI: 10.1016/j.chom.2012.03.002]</w:t>
      </w:r>
    </w:p>
    <w:p w14:paraId="2FC9D824"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32 </w:t>
      </w:r>
      <w:r w:rsidRPr="00DF6624">
        <w:rPr>
          <w:rFonts w:ascii="Book Antiqua" w:eastAsia="宋体" w:hAnsi="Book Antiqua" w:cs="宋体"/>
          <w:b/>
          <w:bCs/>
          <w:color w:val="000000" w:themeColor="text1"/>
          <w:sz w:val="24"/>
          <w:szCs w:val="24"/>
        </w:rPr>
        <w:t>Young MM</w:t>
      </w:r>
      <w:r w:rsidRPr="00DF6624">
        <w:rPr>
          <w:rFonts w:ascii="Book Antiqua" w:eastAsia="宋体" w:hAnsi="Book Antiqua" w:cs="宋体"/>
          <w:color w:val="000000" w:themeColor="text1"/>
          <w:sz w:val="24"/>
          <w:szCs w:val="24"/>
        </w:rPr>
        <w:t>, Takahashi Y, Khan O, Park S, Hori T, Yun J, Sharma AK, Amin S, Hu CD, Zhang J, Kester M, Wang HG. Autophagosomal membrane serves as platform for intracellular death-inducing signaling complex (iDISC)-mediated caspase-8 activation and apoptosis. </w:t>
      </w:r>
      <w:r w:rsidRPr="00DF6624">
        <w:rPr>
          <w:rFonts w:ascii="Book Antiqua" w:eastAsia="宋体" w:hAnsi="Book Antiqua" w:cs="宋体"/>
          <w:i/>
          <w:iCs/>
          <w:color w:val="000000" w:themeColor="text1"/>
          <w:sz w:val="24"/>
          <w:szCs w:val="24"/>
        </w:rPr>
        <w:t>J Biol Chem</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287</w:t>
      </w:r>
      <w:r w:rsidRPr="00DF6624">
        <w:rPr>
          <w:rFonts w:ascii="Book Antiqua" w:eastAsia="宋体" w:hAnsi="Book Antiqua" w:cs="宋体"/>
          <w:color w:val="000000" w:themeColor="text1"/>
          <w:sz w:val="24"/>
          <w:szCs w:val="24"/>
        </w:rPr>
        <w:t>: 12455-12468 [PMID: 22362782 DOI: 10.1074/jbc.M111.309104]</w:t>
      </w:r>
    </w:p>
    <w:p w14:paraId="6D75A8E7"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lastRenderedPageBreak/>
        <w:t>33 </w:t>
      </w:r>
      <w:r w:rsidRPr="00DF6624">
        <w:rPr>
          <w:rFonts w:ascii="Book Antiqua" w:eastAsia="宋体" w:hAnsi="Book Antiqua" w:cs="宋体"/>
          <w:b/>
          <w:bCs/>
          <w:color w:val="000000" w:themeColor="text1"/>
          <w:sz w:val="24"/>
          <w:szCs w:val="24"/>
        </w:rPr>
        <w:t>Mao Y</w:t>
      </w:r>
      <w:r w:rsidRPr="00DF6624">
        <w:rPr>
          <w:rFonts w:ascii="Book Antiqua" w:eastAsia="宋体" w:hAnsi="Book Antiqua" w:cs="宋体"/>
          <w:color w:val="000000" w:themeColor="text1"/>
          <w:sz w:val="24"/>
          <w:szCs w:val="24"/>
        </w:rPr>
        <w:t>, Da L, Tang H, Yang J, Lei Y, Tiollais P, Li T, Zhao M. Hepatitis B virus X protein reduces starvation-induced cell death through activation of autophagy and inhibition of mitochondrial apoptotic pathway. </w:t>
      </w:r>
      <w:r w:rsidRPr="00DF6624">
        <w:rPr>
          <w:rFonts w:ascii="Book Antiqua" w:eastAsia="宋体" w:hAnsi="Book Antiqua" w:cs="宋体"/>
          <w:i/>
          <w:iCs/>
          <w:color w:val="000000" w:themeColor="text1"/>
          <w:sz w:val="24"/>
          <w:szCs w:val="24"/>
        </w:rPr>
        <w:t>Biochem Biophys Res Commun</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415</w:t>
      </w:r>
      <w:r w:rsidRPr="00DF6624">
        <w:rPr>
          <w:rFonts w:ascii="Book Antiqua" w:eastAsia="宋体" w:hAnsi="Book Antiqua" w:cs="宋体"/>
          <w:color w:val="000000" w:themeColor="text1"/>
          <w:sz w:val="24"/>
          <w:szCs w:val="24"/>
        </w:rPr>
        <w:t>: 68-74 [PMID: 22020078 DOI: 10.1016/j.bbrc.2011.10.013]</w:t>
      </w:r>
    </w:p>
    <w:p w14:paraId="55DD9F3A"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34 </w:t>
      </w:r>
      <w:r w:rsidRPr="00DF6624">
        <w:rPr>
          <w:rFonts w:ascii="Book Antiqua" w:eastAsia="宋体" w:hAnsi="Book Antiqua" w:cs="宋体"/>
          <w:b/>
          <w:bCs/>
          <w:color w:val="000000" w:themeColor="text1"/>
          <w:sz w:val="24"/>
          <w:szCs w:val="24"/>
        </w:rPr>
        <w:t>Chang Y</w:t>
      </w:r>
      <w:r w:rsidRPr="00DF6624">
        <w:rPr>
          <w:rFonts w:ascii="Book Antiqua" w:eastAsia="宋体" w:hAnsi="Book Antiqua" w:cs="宋体"/>
          <w:color w:val="000000" w:themeColor="text1"/>
          <w:sz w:val="24"/>
          <w:szCs w:val="24"/>
        </w:rPr>
        <w:t>, Chen L, Liu Y, Hu L, Li L, Tu Q, Wang R, Wu M, Yang J, Wang H. Inhibition of autophagy may suppress the development of hepatoblastoma. </w:t>
      </w:r>
      <w:r w:rsidRPr="00DF6624">
        <w:rPr>
          <w:rFonts w:ascii="Book Antiqua" w:eastAsia="宋体" w:hAnsi="Book Antiqua" w:cs="宋体"/>
          <w:i/>
          <w:iCs/>
          <w:color w:val="000000" w:themeColor="text1"/>
          <w:sz w:val="24"/>
          <w:szCs w:val="24"/>
        </w:rPr>
        <w:t>FEBS J</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278</w:t>
      </w:r>
      <w:r w:rsidRPr="00DF6624">
        <w:rPr>
          <w:rFonts w:ascii="Book Antiqua" w:eastAsia="宋体" w:hAnsi="Book Antiqua" w:cs="宋体"/>
          <w:color w:val="000000" w:themeColor="text1"/>
          <w:sz w:val="24"/>
          <w:szCs w:val="24"/>
        </w:rPr>
        <w:t>: 4811-4823 [PMID: 21972944 DOI: 10.1111/j.1742-4658.2011.08381.x]</w:t>
      </w:r>
    </w:p>
    <w:p w14:paraId="323250E8"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35 </w:t>
      </w:r>
      <w:r w:rsidRPr="00DF6624">
        <w:rPr>
          <w:rFonts w:ascii="Book Antiqua" w:eastAsia="宋体" w:hAnsi="Book Antiqua" w:cs="宋体"/>
          <w:b/>
          <w:bCs/>
          <w:color w:val="000000" w:themeColor="text1"/>
          <w:sz w:val="24"/>
          <w:szCs w:val="24"/>
        </w:rPr>
        <w:t>Liu K</w:t>
      </w:r>
      <w:r w:rsidRPr="00DF6624">
        <w:rPr>
          <w:rFonts w:ascii="Book Antiqua" w:eastAsia="宋体" w:hAnsi="Book Antiqua" w:cs="宋体"/>
          <w:color w:val="000000" w:themeColor="text1"/>
          <w:sz w:val="24"/>
          <w:szCs w:val="24"/>
        </w:rPr>
        <w:t>, Shi Y, Guo XH, Ouyang YB, Wang SS, Liu DJ, Wang AN, Li N, Chen DX. Phosphorylated AKT inhibits the apoptosis induced by DRAM-mediated mitophagy in hepatocellular carcinoma by preventing the translocation of DRAM to mitochondria. </w:t>
      </w:r>
      <w:r w:rsidRPr="00DF6624">
        <w:rPr>
          <w:rFonts w:ascii="Book Antiqua" w:eastAsia="宋体" w:hAnsi="Book Antiqua" w:cs="宋体"/>
          <w:i/>
          <w:iCs/>
          <w:color w:val="000000" w:themeColor="text1"/>
          <w:sz w:val="24"/>
          <w:szCs w:val="24"/>
        </w:rPr>
        <w:t>Cell Death Dis</w:t>
      </w:r>
      <w:r w:rsidRPr="00DF6624">
        <w:rPr>
          <w:rFonts w:ascii="Book Antiqua" w:eastAsia="宋体" w:hAnsi="Book Antiqua" w:cs="宋体"/>
          <w:color w:val="000000" w:themeColor="text1"/>
          <w:sz w:val="24"/>
          <w:szCs w:val="24"/>
        </w:rPr>
        <w:t> 2014; </w:t>
      </w:r>
      <w:r w:rsidRPr="00DF6624">
        <w:rPr>
          <w:rFonts w:ascii="Book Antiqua" w:eastAsia="宋体" w:hAnsi="Book Antiqua" w:cs="宋体"/>
          <w:b/>
          <w:bCs/>
          <w:color w:val="000000" w:themeColor="text1"/>
          <w:sz w:val="24"/>
          <w:szCs w:val="24"/>
        </w:rPr>
        <w:t>5</w:t>
      </w:r>
      <w:r w:rsidRPr="00DF6624">
        <w:rPr>
          <w:rFonts w:ascii="Book Antiqua" w:eastAsia="宋体" w:hAnsi="Book Antiqua" w:cs="宋体"/>
          <w:color w:val="000000" w:themeColor="text1"/>
          <w:sz w:val="24"/>
          <w:szCs w:val="24"/>
        </w:rPr>
        <w:t>: e1078 [PMID: 24556693 DOI: 10.1038/cddis.2014.51]</w:t>
      </w:r>
    </w:p>
    <w:p w14:paraId="4F56B025"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36 </w:t>
      </w:r>
      <w:r w:rsidRPr="00DF6624">
        <w:rPr>
          <w:rFonts w:ascii="Book Antiqua" w:eastAsia="宋体" w:hAnsi="Book Antiqua" w:cs="宋体"/>
          <w:b/>
          <w:bCs/>
          <w:color w:val="000000" w:themeColor="text1"/>
          <w:sz w:val="24"/>
          <w:szCs w:val="24"/>
        </w:rPr>
        <w:t>Radoshevich L</w:t>
      </w:r>
      <w:r w:rsidRPr="00DF6624">
        <w:rPr>
          <w:rFonts w:ascii="Book Antiqua" w:eastAsia="宋体" w:hAnsi="Book Antiqua" w:cs="宋体"/>
          <w:color w:val="000000" w:themeColor="text1"/>
          <w:sz w:val="24"/>
          <w:szCs w:val="24"/>
        </w:rPr>
        <w:t>, Murrow L, Chen N, Fernandez E, Roy S, Fung C, Debnath J. ATG12 conjugation to ATG3 regulates mitochondrial homeostasis and cell death. </w:t>
      </w:r>
      <w:r w:rsidRPr="00DF6624">
        <w:rPr>
          <w:rFonts w:ascii="Book Antiqua" w:eastAsia="宋体" w:hAnsi="Book Antiqua" w:cs="宋体"/>
          <w:i/>
          <w:iCs/>
          <w:color w:val="000000" w:themeColor="text1"/>
          <w:sz w:val="24"/>
          <w:szCs w:val="24"/>
        </w:rPr>
        <w:t>Cell</w:t>
      </w:r>
      <w:r w:rsidRPr="00DF6624">
        <w:rPr>
          <w:rFonts w:ascii="Book Antiqua" w:eastAsia="宋体" w:hAnsi="Book Antiqua" w:cs="宋体"/>
          <w:color w:val="000000" w:themeColor="text1"/>
          <w:sz w:val="24"/>
          <w:szCs w:val="24"/>
        </w:rPr>
        <w:t> 2010; </w:t>
      </w:r>
      <w:r w:rsidRPr="00DF6624">
        <w:rPr>
          <w:rFonts w:ascii="Book Antiqua" w:eastAsia="宋体" w:hAnsi="Book Antiqua" w:cs="宋体"/>
          <w:b/>
          <w:bCs/>
          <w:color w:val="000000" w:themeColor="text1"/>
          <w:sz w:val="24"/>
          <w:szCs w:val="24"/>
        </w:rPr>
        <w:t>142</w:t>
      </w:r>
      <w:r w:rsidRPr="00DF6624">
        <w:rPr>
          <w:rFonts w:ascii="Book Antiqua" w:eastAsia="宋体" w:hAnsi="Book Antiqua" w:cs="宋体"/>
          <w:color w:val="000000" w:themeColor="text1"/>
          <w:sz w:val="24"/>
          <w:szCs w:val="24"/>
        </w:rPr>
        <w:t>: 590-600 [PMID: 20723759 DOI: 10.1016/j.cell.2010.07.018]</w:t>
      </w:r>
    </w:p>
    <w:p w14:paraId="4BB04971"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37 </w:t>
      </w:r>
      <w:r w:rsidRPr="00DF6624">
        <w:rPr>
          <w:rFonts w:ascii="Book Antiqua" w:eastAsia="宋体" w:hAnsi="Book Antiqua" w:cs="宋体"/>
          <w:b/>
          <w:bCs/>
          <w:color w:val="000000" w:themeColor="text1"/>
          <w:sz w:val="24"/>
          <w:szCs w:val="24"/>
        </w:rPr>
        <w:t>Boya P</w:t>
      </w:r>
      <w:r w:rsidRPr="00DF6624">
        <w:rPr>
          <w:rFonts w:ascii="Book Antiqua" w:eastAsia="宋体" w:hAnsi="Book Antiqua" w:cs="宋体"/>
          <w:color w:val="000000" w:themeColor="text1"/>
          <w:sz w:val="24"/>
          <w:szCs w:val="24"/>
        </w:rPr>
        <w:t>, González-Polo RA, Casares N, Perfettini JL, Dessen P, Larochette N, Métivier D, Meley D, Souquere S, Yoshimori T, Pierron G, Codogno P, Kroemer G. Inhibition of macroautophagy triggers apoptosis. </w:t>
      </w:r>
      <w:r w:rsidRPr="00DF6624">
        <w:rPr>
          <w:rFonts w:ascii="Book Antiqua" w:eastAsia="宋体" w:hAnsi="Book Antiqua" w:cs="宋体"/>
          <w:i/>
          <w:iCs/>
          <w:color w:val="000000" w:themeColor="text1"/>
          <w:sz w:val="24"/>
          <w:szCs w:val="24"/>
        </w:rPr>
        <w:t>Mol Cell Biol</w:t>
      </w:r>
      <w:r w:rsidRPr="00DF6624">
        <w:rPr>
          <w:rFonts w:ascii="Book Antiqua" w:eastAsia="宋体" w:hAnsi="Book Antiqua" w:cs="宋体"/>
          <w:color w:val="000000" w:themeColor="text1"/>
          <w:sz w:val="24"/>
          <w:szCs w:val="24"/>
        </w:rPr>
        <w:t> 2005; </w:t>
      </w:r>
      <w:r w:rsidRPr="00DF6624">
        <w:rPr>
          <w:rFonts w:ascii="Book Antiqua" w:eastAsia="宋体" w:hAnsi="Book Antiqua" w:cs="宋体"/>
          <w:b/>
          <w:bCs/>
          <w:color w:val="000000" w:themeColor="text1"/>
          <w:sz w:val="24"/>
          <w:szCs w:val="24"/>
        </w:rPr>
        <w:t>25</w:t>
      </w:r>
      <w:r w:rsidRPr="00DF6624">
        <w:rPr>
          <w:rFonts w:ascii="Book Antiqua" w:eastAsia="宋体" w:hAnsi="Book Antiqua" w:cs="宋体"/>
          <w:color w:val="000000" w:themeColor="text1"/>
          <w:sz w:val="24"/>
          <w:szCs w:val="24"/>
        </w:rPr>
        <w:t>: 1025-1040 [PMID: 15657430]</w:t>
      </w:r>
    </w:p>
    <w:p w14:paraId="44FE5143"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38 </w:t>
      </w:r>
      <w:r w:rsidRPr="00DF6624">
        <w:rPr>
          <w:rFonts w:ascii="Book Antiqua" w:eastAsia="宋体" w:hAnsi="Book Antiqua" w:cs="宋体"/>
          <w:b/>
          <w:bCs/>
          <w:color w:val="000000" w:themeColor="text1"/>
          <w:sz w:val="24"/>
          <w:szCs w:val="24"/>
        </w:rPr>
        <w:t>Mai S</w:t>
      </w:r>
      <w:r w:rsidRPr="00DF6624">
        <w:rPr>
          <w:rFonts w:ascii="Book Antiqua" w:eastAsia="宋体" w:hAnsi="Book Antiqua" w:cs="宋体"/>
          <w:color w:val="000000" w:themeColor="text1"/>
          <w:sz w:val="24"/>
          <w:szCs w:val="24"/>
        </w:rPr>
        <w:t>, Muster B, Bereiter-Hahn J, Jendrach M. Autophagy proteins LC3B, ATG5 and ATG12 participate in quality control after mitochondrial damage and influence lifespan. </w:t>
      </w:r>
      <w:r w:rsidRPr="00DF6624">
        <w:rPr>
          <w:rFonts w:ascii="Book Antiqua" w:eastAsia="宋体" w:hAnsi="Book Antiqua" w:cs="宋体"/>
          <w:i/>
          <w:iCs/>
          <w:color w:val="000000" w:themeColor="text1"/>
          <w:sz w:val="24"/>
          <w:szCs w:val="24"/>
        </w:rPr>
        <w:t>Autophagy</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8</w:t>
      </w:r>
      <w:r w:rsidRPr="00DF6624">
        <w:rPr>
          <w:rFonts w:ascii="Book Antiqua" w:eastAsia="宋体" w:hAnsi="Book Antiqua" w:cs="宋体"/>
          <w:color w:val="000000" w:themeColor="text1"/>
          <w:sz w:val="24"/>
          <w:szCs w:val="24"/>
        </w:rPr>
        <w:t>: 47-62 [PMID: 22170153 DOI: 10.4161/auto.8.1.18174]</w:t>
      </w:r>
    </w:p>
    <w:p w14:paraId="6B804FA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39 </w:t>
      </w:r>
      <w:r w:rsidRPr="00DF6624">
        <w:rPr>
          <w:rFonts w:ascii="Book Antiqua" w:eastAsia="宋体" w:hAnsi="Book Antiqua" w:cs="宋体"/>
          <w:b/>
          <w:bCs/>
          <w:color w:val="000000" w:themeColor="text1"/>
          <w:sz w:val="24"/>
          <w:szCs w:val="24"/>
        </w:rPr>
        <w:t>Cufí S</w:t>
      </w:r>
      <w:r w:rsidRPr="00DF6624">
        <w:rPr>
          <w:rFonts w:ascii="Book Antiqua" w:eastAsia="宋体" w:hAnsi="Book Antiqua" w:cs="宋体"/>
          <w:color w:val="000000" w:themeColor="text1"/>
          <w:sz w:val="24"/>
          <w:szCs w:val="24"/>
        </w:rPr>
        <w:t>, Vazquez-Martin A, Oliveras-Ferraros C, Corominas-Faja B, Urruticoechea A, Martin-Castillo B, Menendez JA. Autophagy-related gene 12 (ATG12) is a novel determinant of primary resistance to HER2-targeted therapies: utility of transcriptome analysis of the autophagy interactome to guide breast cancer treatment. </w:t>
      </w:r>
      <w:r w:rsidRPr="00DF6624">
        <w:rPr>
          <w:rFonts w:ascii="Book Antiqua" w:eastAsia="宋体" w:hAnsi="Book Antiqua" w:cs="宋体"/>
          <w:i/>
          <w:iCs/>
          <w:color w:val="000000" w:themeColor="text1"/>
          <w:sz w:val="24"/>
          <w:szCs w:val="24"/>
        </w:rPr>
        <w:t>Oncotarget</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3</w:t>
      </w:r>
      <w:r w:rsidRPr="00DF6624">
        <w:rPr>
          <w:rFonts w:ascii="Book Antiqua" w:eastAsia="宋体" w:hAnsi="Book Antiqua" w:cs="宋体"/>
          <w:color w:val="000000" w:themeColor="text1"/>
          <w:sz w:val="24"/>
          <w:szCs w:val="24"/>
        </w:rPr>
        <w:t>: 1600-1614 [PMID: 23307622]</w:t>
      </w:r>
    </w:p>
    <w:p w14:paraId="347DA5F8"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lastRenderedPageBreak/>
        <w:t>40 </w:t>
      </w:r>
      <w:r w:rsidRPr="00DF6624">
        <w:rPr>
          <w:rFonts w:ascii="Book Antiqua" w:eastAsia="宋体" w:hAnsi="Book Antiqua" w:cs="宋体"/>
          <w:b/>
          <w:bCs/>
          <w:color w:val="000000" w:themeColor="text1"/>
          <w:sz w:val="24"/>
          <w:szCs w:val="24"/>
        </w:rPr>
        <w:t>Shi YH</w:t>
      </w:r>
      <w:r w:rsidRPr="00DF6624">
        <w:rPr>
          <w:rFonts w:ascii="Book Antiqua" w:eastAsia="宋体" w:hAnsi="Book Antiqua" w:cs="宋体"/>
          <w:color w:val="000000" w:themeColor="text1"/>
          <w:sz w:val="24"/>
          <w:szCs w:val="24"/>
        </w:rPr>
        <w:t>, Ding ZB, Zhou J, Hui B, Shi GM, Ke AW, Wang XY, Dai Z, Peng YF, Gu CY, Qiu SJ, Fan J. Targeting autophagy enhances sorafenib lethality for hepatocellular carcinoma via ER stress-related apoptosis. </w:t>
      </w:r>
      <w:r w:rsidRPr="00DF6624">
        <w:rPr>
          <w:rFonts w:ascii="Book Antiqua" w:eastAsia="宋体" w:hAnsi="Book Antiqua" w:cs="宋体"/>
          <w:i/>
          <w:iCs/>
          <w:color w:val="000000" w:themeColor="text1"/>
          <w:sz w:val="24"/>
          <w:szCs w:val="24"/>
        </w:rPr>
        <w:t>Autophagy</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7</w:t>
      </w:r>
      <w:r w:rsidRPr="00DF6624">
        <w:rPr>
          <w:rFonts w:ascii="Book Antiqua" w:eastAsia="宋体" w:hAnsi="Book Antiqua" w:cs="宋体"/>
          <w:color w:val="000000" w:themeColor="text1"/>
          <w:sz w:val="24"/>
          <w:szCs w:val="24"/>
        </w:rPr>
        <w:t>: 1159-1172 [PMID: 21691147 DOI: 10.4161/auto.7.10.16818]</w:t>
      </w:r>
    </w:p>
    <w:p w14:paraId="5354FA2D"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41 </w:t>
      </w:r>
      <w:r w:rsidRPr="00DF6624">
        <w:rPr>
          <w:rFonts w:ascii="Book Antiqua" w:eastAsia="宋体" w:hAnsi="Book Antiqua" w:cs="宋体"/>
          <w:b/>
          <w:bCs/>
          <w:color w:val="000000" w:themeColor="text1"/>
          <w:sz w:val="24"/>
          <w:szCs w:val="24"/>
        </w:rPr>
        <w:t>Yuan H</w:t>
      </w:r>
      <w:r w:rsidRPr="00DF6624">
        <w:rPr>
          <w:rFonts w:ascii="Book Antiqua" w:eastAsia="宋体" w:hAnsi="Book Antiqua" w:cs="宋体"/>
          <w:color w:val="000000" w:themeColor="text1"/>
          <w:sz w:val="24"/>
          <w:szCs w:val="24"/>
        </w:rPr>
        <w:t>, Li AJ, Ma SL, Cui LJ, Wu B, Yin L, Wu MC. Inhibition of autophagy signiﬁcantly enhances combination therapy with sorafenib and HDAC inhibitors for human hepatoma cells. </w:t>
      </w:r>
      <w:r w:rsidRPr="00DF6624">
        <w:rPr>
          <w:rFonts w:ascii="Book Antiqua" w:eastAsia="宋体" w:hAnsi="Book Antiqua" w:cs="宋体"/>
          <w:i/>
          <w:iCs/>
          <w:color w:val="000000" w:themeColor="text1"/>
          <w:sz w:val="24"/>
          <w:szCs w:val="24"/>
        </w:rPr>
        <w:t>World J Gastroenterol</w:t>
      </w:r>
      <w:r w:rsidRPr="00DF6624">
        <w:rPr>
          <w:rFonts w:ascii="Book Antiqua" w:eastAsia="宋体" w:hAnsi="Book Antiqua" w:cs="宋体"/>
          <w:color w:val="000000" w:themeColor="text1"/>
          <w:sz w:val="24"/>
          <w:szCs w:val="24"/>
        </w:rPr>
        <w:t> 2014; </w:t>
      </w:r>
      <w:r w:rsidRPr="00DF6624">
        <w:rPr>
          <w:rFonts w:ascii="Book Antiqua" w:eastAsia="宋体" w:hAnsi="Book Antiqua" w:cs="宋体"/>
          <w:b/>
          <w:bCs/>
          <w:color w:val="000000" w:themeColor="text1"/>
          <w:sz w:val="24"/>
          <w:szCs w:val="24"/>
        </w:rPr>
        <w:t>20</w:t>
      </w:r>
      <w:r w:rsidRPr="00DF6624">
        <w:rPr>
          <w:rFonts w:ascii="Book Antiqua" w:eastAsia="宋体" w:hAnsi="Book Antiqua" w:cs="宋体"/>
          <w:color w:val="000000" w:themeColor="text1"/>
          <w:sz w:val="24"/>
          <w:szCs w:val="24"/>
        </w:rPr>
        <w:t>: 4953-4962 [PMID: 24833845 DOI: 10.3748/wjg.v20.i17.4953]</w:t>
      </w:r>
    </w:p>
    <w:p w14:paraId="7E0E7D71"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42 </w:t>
      </w:r>
      <w:r w:rsidRPr="00DF6624">
        <w:rPr>
          <w:rFonts w:ascii="Book Antiqua" w:eastAsia="宋体" w:hAnsi="Book Antiqua" w:cs="宋体"/>
          <w:b/>
          <w:bCs/>
          <w:color w:val="000000" w:themeColor="text1"/>
          <w:sz w:val="24"/>
          <w:szCs w:val="24"/>
        </w:rPr>
        <w:t>Bray SJ</w:t>
      </w:r>
      <w:r w:rsidRPr="00DF6624">
        <w:rPr>
          <w:rFonts w:ascii="Book Antiqua" w:eastAsia="宋体" w:hAnsi="Book Antiqua" w:cs="宋体"/>
          <w:color w:val="000000" w:themeColor="text1"/>
          <w:sz w:val="24"/>
          <w:szCs w:val="24"/>
        </w:rPr>
        <w:t>. Notch signalling: a simple pathway becomes complex. </w:t>
      </w:r>
      <w:r w:rsidRPr="00DF6624">
        <w:rPr>
          <w:rFonts w:ascii="Book Antiqua" w:eastAsia="宋体" w:hAnsi="Book Antiqua" w:cs="宋体"/>
          <w:i/>
          <w:iCs/>
          <w:color w:val="000000" w:themeColor="text1"/>
          <w:sz w:val="24"/>
          <w:szCs w:val="24"/>
        </w:rPr>
        <w:t>Nat Rev Mol Cell Biol</w:t>
      </w:r>
      <w:r w:rsidRPr="00DF6624">
        <w:rPr>
          <w:rFonts w:ascii="Book Antiqua" w:eastAsia="宋体" w:hAnsi="Book Antiqua" w:cs="宋体"/>
          <w:color w:val="000000" w:themeColor="text1"/>
          <w:sz w:val="24"/>
          <w:szCs w:val="24"/>
        </w:rPr>
        <w:t> 2006; </w:t>
      </w:r>
      <w:r w:rsidRPr="00DF6624">
        <w:rPr>
          <w:rFonts w:ascii="Book Antiqua" w:eastAsia="宋体" w:hAnsi="Book Antiqua" w:cs="宋体"/>
          <w:b/>
          <w:bCs/>
          <w:color w:val="000000" w:themeColor="text1"/>
          <w:sz w:val="24"/>
          <w:szCs w:val="24"/>
        </w:rPr>
        <w:t>7</w:t>
      </w:r>
      <w:r w:rsidRPr="00DF6624">
        <w:rPr>
          <w:rFonts w:ascii="Book Antiqua" w:eastAsia="宋体" w:hAnsi="Book Antiqua" w:cs="宋体"/>
          <w:color w:val="000000" w:themeColor="text1"/>
          <w:sz w:val="24"/>
          <w:szCs w:val="24"/>
        </w:rPr>
        <w:t>: 678-689 [PMID: 16921404]</w:t>
      </w:r>
    </w:p>
    <w:p w14:paraId="0CEF43E0"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43 </w:t>
      </w:r>
      <w:r w:rsidRPr="00DF6624">
        <w:rPr>
          <w:rFonts w:ascii="Book Antiqua" w:eastAsia="宋体" w:hAnsi="Book Antiqua" w:cs="宋体"/>
          <w:b/>
          <w:bCs/>
          <w:color w:val="000000" w:themeColor="text1"/>
          <w:sz w:val="24"/>
          <w:szCs w:val="24"/>
        </w:rPr>
        <w:t>Viatour P</w:t>
      </w:r>
      <w:r w:rsidRPr="00DF6624">
        <w:rPr>
          <w:rFonts w:ascii="Book Antiqua" w:eastAsia="宋体" w:hAnsi="Book Antiqua" w:cs="宋体"/>
          <w:color w:val="000000" w:themeColor="text1"/>
          <w:sz w:val="24"/>
          <w:szCs w:val="24"/>
        </w:rPr>
        <w:t>, Ehmer U, Saddic LA, Dorrell C, Andersen JB, Lin C, Zmoos AF, Mazur PK, Schaffer BE, Ostermeier A, Vogel H, Sylvester KG, Thorgeirsson SS, Grompe M, Sage J. Notch signaling inhibits hepatocellular carcinoma following inactivation of the RB pathway. </w:t>
      </w:r>
      <w:r w:rsidRPr="00DF6624">
        <w:rPr>
          <w:rFonts w:ascii="Book Antiqua" w:eastAsia="宋体" w:hAnsi="Book Antiqua" w:cs="宋体"/>
          <w:i/>
          <w:iCs/>
          <w:color w:val="000000" w:themeColor="text1"/>
          <w:sz w:val="24"/>
          <w:szCs w:val="24"/>
        </w:rPr>
        <w:t>J Exp Med</w:t>
      </w:r>
      <w:r w:rsidRPr="00DF6624">
        <w:rPr>
          <w:rFonts w:ascii="Book Antiqua" w:eastAsia="宋体" w:hAnsi="Book Antiqua" w:cs="宋体"/>
          <w:color w:val="000000" w:themeColor="text1"/>
          <w:sz w:val="24"/>
          <w:szCs w:val="24"/>
        </w:rPr>
        <w:t> 2011; </w:t>
      </w:r>
      <w:r w:rsidRPr="00DF6624">
        <w:rPr>
          <w:rFonts w:ascii="Book Antiqua" w:eastAsia="宋体" w:hAnsi="Book Antiqua" w:cs="宋体"/>
          <w:b/>
          <w:bCs/>
          <w:color w:val="000000" w:themeColor="text1"/>
          <w:sz w:val="24"/>
          <w:szCs w:val="24"/>
        </w:rPr>
        <w:t>208</w:t>
      </w:r>
      <w:r w:rsidRPr="00DF6624">
        <w:rPr>
          <w:rFonts w:ascii="Book Antiqua" w:eastAsia="宋体" w:hAnsi="Book Antiqua" w:cs="宋体"/>
          <w:color w:val="000000" w:themeColor="text1"/>
          <w:sz w:val="24"/>
          <w:szCs w:val="24"/>
        </w:rPr>
        <w:t>: 1963-1976 [PMID: 21875955 DOI: 10.1084/jem.20110198]</w:t>
      </w:r>
    </w:p>
    <w:p w14:paraId="520BAA89"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44 </w:t>
      </w:r>
      <w:r w:rsidRPr="00DF6624">
        <w:rPr>
          <w:rFonts w:ascii="Book Antiqua" w:eastAsia="宋体" w:hAnsi="Book Antiqua" w:cs="宋体"/>
          <w:b/>
          <w:bCs/>
          <w:color w:val="000000" w:themeColor="text1"/>
          <w:sz w:val="24"/>
          <w:szCs w:val="24"/>
        </w:rPr>
        <w:t>Strazzabosco M</w:t>
      </w:r>
      <w:r w:rsidRPr="00DF6624">
        <w:rPr>
          <w:rFonts w:ascii="Book Antiqua" w:eastAsia="宋体" w:hAnsi="Book Antiqua" w:cs="宋体"/>
          <w:color w:val="000000" w:themeColor="text1"/>
          <w:sz w:val="24"/>
          <w:szCs w:val="24"/>
        </w:rPr>
        <w:t>, Fabris L. Notch signaling in hepatocellular carcinoma: guilty in association! </w:t>
      </w:r>
      <w:r w:rsidRPr="00DF6624">
        <w:rPr>
          <w:rFonts w:ascii="Book Antiqua" w:eastAsia="宋体" w:hAnsi="Book Antiqua" w:cs="宋体"/>
          <w:i/>
          <w:iCs/>
          <w:color w:val="000000" w:themeColor="text1"/>
          <w:sz w:val="24"/>
          <w:szCs w:val="24"/>
        </w:rPr>
        <w:t>Gastroenterology</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143</w:t>
      </w:r>
      <w:r w:rsidRPr="00DF6624">
        <w:rPr>
          <w:rFonts w:ascii="Book Antiqua" w:eastAsia="宋体" w:hAnsi="Book Antiqua" w:cs="宋体"/>
          <w:color w:val="000000" w:themeColor="text1"/>
          <w:sz w:val="24"/>
          <w:szCs w:val="24"/>
        </w:rPr>
        <w:t>: 1430-1434 [PMID: 23099244 DOI: 10.1053/j.gastro.2012.10.025]</w:t>
      </w:r>
    </w:p>
    <w:p w14:paraId="249A3285"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45 </w:t>
      </w:r>
      <w:r w:rsidRPr="00DF6624">
        <w:rPr>
          <w:rFonts w:ascii="Book Antiqua" w:eastAsia="宋体" w:hAnsi="Book Antiqua" w:cs="宋体"/>
          <w:b/>
          <w:bCs/>
          <w:color w:val="000000" w:themeColor="text1"/>
          <w:sz w:val="24"/>
          <w:szCs w:val="24"/>
        </w:rPr>
        <w:t>Thumm M</w:t>
      </w:r>
      <w:r w:rsidRPr="00DF6624">
        <w:rPr>
          <w:rFonts w:ascii="Book Antiqua" w:eastAsia="宋体" w:hAnsi="Book Antiqua" w:cs="宋体"/>
          <w:color w:val="000000" w:themeColor="text1"/>
          <w:sz w:val="24"/>
          <w:szCs w:val="24"/>
        </w:rPr>
        <w:t>, Kadowaki T. The loss of Drosophila APG4/AUT2 function modifies the phenotypes of cut and Notch signaling pathway mutants. </w:t>
      </w:r>
      <w:r w:rsidRPr="00DF6624">
        <w:rPr>
          <w:rFonts w:ascii="Book Antiqua" w:eastAsia="宋体" w:hAnsi="Book Antiqua" w:cs="宋体"/>
          <w:i/>
          <w:iCs/>
          <w:color w:val="000000" w:themeColor="text1"/>
          <w:sz w:val="24"/>
          <w:szCs w:val="24"/>
        </w:rPr>
        <w:t>Mol Genet Genomics</w:t>
      </w:r>
      <w:r w:rsidRPr="00DF6624">
        <w:rPr>
          <w:rFonts w:ascii="Book Antiqua" w:eastAsia="宋体" w:hAnsi="Book Antiqua" w:cs="宋体"/>
          <w:color w:val="000000" w:themeColor="text1"/>
          <w:sz w:val="24"/>
          <w:szCs w:val="24"/>
        </w:rPr>
        <w:t> 2001; </w:t>
      </w:r>
      <w:r w:rsidRPr="00DF6624">
        <w:rPr>
          <w:rFonts w:ascii="Book Antiqua" w:eastAsia="宋体" w:hAnsi="Book Antiqua" w:cs="宋体"/>
          <w:b/>
          <w:bCs/>
          <w:color w:val="000000" w:themeColor="text1"/>
          <w:sz w:val="24"/>
          <w:szCs w:val="24"/>
        </w:rPr>
        <w:t>266</w:t>
      </w:r>
      <w:r w:rsidRPr="00DF6624">
        <w:rPr>
          <w:rFonts w:ascii="Book Antiqua" w:eastAsia="宋体" w:hAnsi="Book Antiqua" w:cs="宋体"/>
          <w:color w:val="000000" w:themeColor="text1"/>
          <w:sz w:val="24"/>
          <w:szCs w:val="24"/>
        </w:rPr>
        <w:t>: 657-663 [PMID: 11810238]</w:t>
      </w:r>
    </w:p>
    <w:p w14:paraId="4A90EF9C"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46 </w:t>
      </w:r>
      <w:r w:rsidRPr="00DF6624">
        <w:rPr>
          <w:rFonts w:ascii="Book Antiqua" w:eastAsia="宋体" w:hAnsi="Book Antiqua" w:cs="宋体"/>
          <w:b/>
          <w:bCs/>
          <w:color w:val="000000" w:themeColor="text1"/>
          <w:sz w:val="24"/>
          <w:szCs w:val="24"/>
        </w:rPr>
        <w:t>Kwon MH</w:t>
      </w:r>
      <w:r w:rsidRPr="00DF6624">
        <w:rPr>
          <w:rFonts w:ascii="Book Antiqua" w:eastAsia="宋体" w:hAnsi="Book Antiqua" w:cs="宋体"/>
          <w:color w:val="000000" w:themeColor="text1"/>
          <w:sz w:val="24"/>
          <w:szCs w:val="24"/>
        </w:rPr>
        <w:t>, Callaway H, Zhong J, Yedvobnick B. A targeted genetic modifier screen links the SWI2/SNF2 protein domino to growth and autophagy genes in Drosophila melanogaster. </w:t>
      </w:r>
      <w:r w:rsidRPr="00DF6624">
        <w:rPr>
          <w:rFonts w:ascii="Book Antiqua" w:eastAsia="宋体" w:hAnsi="Book Antiqua" w:cs="宋体"/>
          <w:i/>
          <w:iCs/>
          <w:color w:val="000000" w:themeColor="text1"/>
          <w:sz w:val="24"/>
          <w:szCs w:val="24"/>
        </w:rPr>
        <w:t>G3 (Bethesda)</w:t>
      </w:r>
      <w:r w:rsidRPr="00DF6624">
        <w:rPr>
          <w:rFonts w:ascii="Book Antiqua" w:eastAsia="宋体" w:hAnsi="Book Antiqua" w:cs="宋体"/>
          <w:color w:val="000000" w:themeColor="text1"/>
          <w:sz w:val="24"/>
          <w:szCs w:val="24"/>
        </w:rPr>
        <w:t> 2013; </w:t>
      </w:r>
      <w:r w:rsidRPr="00DF6624">
        <w:rPr>
          <w:rFonts w:ascii="Book Antiqua" w:eastAsia="宋体" w:hAnsi="Book Antiqua" w:cs="宋体"/>
          <w:b/>
          <w:bCs/>
          <w:color w:val="000000" w:themeColor="text1"/>
          <w:sz w:val="24"/>
          <w:szCs w:val="24"/>
        </w:rPr>
        <w:t>3</w:t>
      </w:r>
      <w:r w:rsidRPr="00DF6624">
        <w:rPr>
          <w:rFonts w:ascii="Book Antiqua" w:eastAsia="宋体" w:hAnsi="Book Antiqua" w:cs="宋体"/>
          <w:color w:val="000000" w:themeColor="text1"/>
          <w:sz w:val="24"/>
          <w:szCs w:val="24"/>
        </w:rPr>
        <w:t>: 815-825 [PMID: 23550128 DOI: 10.1534/g3.112.005496]</w:t>
      </w:r>
    </w:p>
    <w:p w14:paraId="3544FE9A"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47 </w:t>
      </w:r>
      <w:r w:rsidRPr="00DF6624">
        <w:rPr>
          <w:rFonts w:ascii="Book Antiqua" w:eastAsia="宋体" w:hAnsi="Book Antiqua" w:cs="宋体"/>
          <w:b/>
          <w:bCs/>
          <w:color w:val="000000" w:themeColor="text1"/>
          <w:sz w:val="24"/>
          <w:szCs w:val="24"/>
        </w:rPr>
        <w:t>Ma J</w:t>
      </w:r>
      <w:r w:rsidRPr="00DF6624">
        <w:rPr>
          <w:rFonts w:ascii="Book Antiqua" w:eastAsia="宋体" w:hAnsi="Book Antiqua" w:cs="宋体"/>
          <w:color w:val="000000" w:themeColor="text1"/>
          <w:sz w:val="24"/>
          <w:szCs w:val="24"/>
        </w:rPr>
        <w:t xml:space="preserve">, Meng Y, Kwiatkowski DJ, Chen X, Peng H, Sun Q, Zha X, Wang F, Wang Y, Jing Y, Zhang S, Chen R, Wang L, Wu E, Cai G, Malinowska-Kolodziej I, Liao Q, Liu Y, Zhao Y, Sun Q, Xu K, Dai J, Han J, Wu L, Zhao RC, Shen H, Zhang H. Mammalian target of rapamycin regulates murine and </w:t>
      </w:r>
      <w:r w:rsidRPr="00DF6624">
        <w:rPr>
          <w:rFonts w:ascii="Book Antiqua" w:eastAsia="宋体" w:hAnsi="Book Antiqua" w:cs="宋体"/>
          <w:color w:val="000000" w:themeColor="text1"/>
          <w:sz w:val="24"/>
          <w:szCs w:val="24"/>
        </w:rPr>
        <w:lastRenderedPageBreak/>
        <w:t>human cell differentiation through STAT3/p63/Jagged/Notch cascade. </w:t>
      </w:r>
      <w:r w:rsidRPr="00DF6624">
        <w:rPr>
          <w:rFonts w:ascii="Book Antiqua" w:eastAsia="宋体" w:hAnsi="Book Antiqua" w:cs="宋体"/>
          <w:i/>
          <w:iCs/>
          <w:color w:val="000000" w:themeColor="text1"/>
          <w:sz w:val="24"/>
          <w:szCs w:val="24"/>
        </w:rPr>
        <w:t>J Clin Invest</w:t>
      </w:r>
      <w:r w:rsidRPr="00DF6624">
        <w:rPr>
          <w:rFonts w:ascii="Book Antiqua" w:eastAsia="宋体" w:hAnsi="Book Antiqua" w:cs="宋体"/>
          <w:color w:val="000000" w:themeColor="text1"/>
          <w:sz w:val="24"/>
          <w:szCs w:val="24"/>
        </w:rPr>
        <w:t> 2010; </w:t>
      </w:r>
      <w:r w:rsidRPr="00DF6624">
        <w:rPr>
          <w:rFonts w:ascii="Book Antiqua" w:eastAsia="宋体" w:hAnsi="Book Antiqua" w:cs="宋体"/>
          <w:b/>
          <w:bCs/>
          <w:color w:val="000000" w:themeColor="text1"/>
          <w:sz w:val="24"/>
          <w:szCs w:val="24"/>
        </w:rPr>
        <w:t>120</w:t>
      </w:r>
      <w:r w:rsidRPr="00DF6624">
        <w:rPr>
          <w:rFonts w:ascii="Book Antiqua" w:eastAsia="宋体" w:hAnsi="Book Antiqua" w:cs="宋体"/>
          <w:color w:val="000000" w:themeColor="text1"/>
          <w:sz w:val="24"/>
          <w:szCs w:val="24"/>
        </w:rPr>
        <w:t>: 103-114 [PMID: 20038814 DOI: 10.1172/JCI37964]</w:t>
      </w:r>
    </w:p>
    <w:p w14:paraId="32E82600"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48 </w:t>
      </w:r>
      <w:r w:rsidRPr="00DF6624">
        <w:rPr>
          <w:rFonts w:ascii="Book Antiqua" w:eastAsia="宋体" w:hAnsi="Book Antiqua" w:cs="宋体"/>
          <w:b/>
          <w:bCs/>
          <w:color w:val="000000" w:themeColor="text1"/>
          <w:sz w:val="24"/>
          <w:szCs w:val="24"/>
        </w:rPr>
        <w:t>Meley D</w:t>
      </w:r>
      <w:r w:rsidRPr="00DF6624">
        <w:rPr>
          <w:rFonts w:ascii="Book Antiqua" w:eastAsia="宋体" w:hAnsi="Book Antiqua" w:cs="宋体"/>
          <w:color w:val="000000" w:themeColor="text1"/>
          <w:sz w:val="24"/>
          <w:szCs w:val="24"/>
        </w:rPr>
        <w:t>, Bauvy C, Houben-Weerts JH, Dubbelhuis PF, Helmond MT, Codogno P, Meijer AJ. AMP-activated protein kinase and the regulation of autophagic proteolysis. </w:t>
      </w:r>
      <w:r w:rsidRPr="00DF6624">
        <w:rPr>
          <w:rFonts w:ascii="Book Antiqua" w:eastAsia="宋体" w:hAnsi="Book Antiqua" w:cs="宋体"/>
          <w:i/>
          <w:iCs/>
          <w:color w:val="000000" w:themeColor="text1"/>
          <w:sz w:val="24"/>
          <w:szCs w:val="24"/>
        </w:rPr>
        <w:t>J Biol Chem</w:t>
      </w:r>
      <w:r w:rsidRPr="00DF6624">
        <w:rPr>
          <w:rFonts w:ascii="Book Antiqua" w:eastAsia="宋体" w:hAnsi="Book Antiqua" w:cs="宋体"/>
          <w:color w:val="000000" w:themeColor="text1"/>
          <w:sz w:val="24"/>
          <w:szCs w:val="24"/>
        </w:rPr>
        <w:t> 2006; </w:t>
      </w:r>
      <w:r w:rsidRPr="00DF6624">
        <w:rPr>
          <w:rFonts w:ascii="Book Antiqua" w:eastAsia="宋体" w:hAnsi="Book Antiqua" w:cs="宋体"/>
          <w:b/>
          <w:bCs/>
          <w:color w:val="000000" w:themeColor="text1"/>
          <w:sz w:val="24"/>
          <w:szCs w:val="24"/>
        </w:rPr>
        <w:t>281</w:t>
      </w:r>
      <w:r w:rsidRPr="00DF6624">
        <w:rPr>
          <w:rFonts w:ascii="Book Antiqua" w:eastAsia="宋体" w:hAnsi="Book Antiqua" w:cs="宋体"/>
          <w:color w:val="000000" w:themeColor="text1"/>
          <w:sz w:val="24"/>
          <w:szCs w:val="24"/>
        </w:rPr>
        <w:t>: 34870-34879 [PMID: 16990266]</w:t>
      </w:r>
    </w:p>
    <w:p w14:paraId="0F068F7E"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49 </w:t>
      </w:r>
      <w:r w:rsidRPr="00DF6624">
        <w:rPr>
          <w:rFonts w:ascii="Book Antiqua" w:eastAsia="宋体" w:hAnsi="Book Antiqua" w:cs="宋体"/>
          <w:b/>
          <w:bCs/>
          <w:color w:val="000000" w:themeColor="text1"/>
          <w:sz w:val="24"/>
          <w:szCs w:val="24"/>
        </w:rPr>
        <w:t>Zhao N</w:t>
      </w:r>
      <w:r w:rsidRPr="00DF6624">
        <w:rPr>
          <w:rFonts w:ascii="Book Antiqua" w:eastAsia="宋体" w:hAnsi="Book Antiqua" w:cs="宋体"/>
          <w:color w:val="000000" w:themeColor="text1"/>
          <w:sz w:val="24"/>
          <w:szCs w:val="24"/>
        </w:rPr>
        <w:t>, Guo Y, Zhang M, Lin L, Zheng Z. Akt-mTOR signaling is involved in Notch-1-mediated glioma cell survival and proliferation. </w:t>
      </w:r>
      <w:r w:rsidRPr="00DF6624">
        <w:rPr>
          <w:rFonts w:ascii="Book Antiqua" w:eastAsia="宋体" w:hAnsi="Book Antiqua" w:cs="宋体"/>
          <w:i/>
          <w:iCs/>
          <w:color w:val="000000" w:themeColor="text1"/>
          <w:sz w:val="24"/>
          <w:szCs w:val="24"/>
        </w:rPr>
        <w:t>Oncol Rep</w:t>
      </w:r>
      <w:r w:rsidRPr="00DF6624">
        <w:rPr>
          <w:rFonts w:ascii="Book Antiqua" w:eastAsia="宋体" w:hAnsi="Book Antiqua" w:cs="宋体"/>
          <w:color w:val="000000" w:themeColor="text1"/>
          <w:sz w:val="24"/>
          <w:szCs w:val="24"/>
        </w:rPr>
        <w:t> 2010; </w:t>
      </w:r>
      <w:r w:rsidRPr="00DF6624">
        <w:rPr>
          <w:rFonts w:ascii="Book Antiqua" w:eastAsia="宋体" w:hAnsi="Book Antiqua" w:cs="宋体"/>
          <w:b/>
          <w:bCs/>
          <w:color w:val="000000" w:themeColor="text1"/>
          <w:sz w:val="24"/>
          <w:szCs w:val="24"/>
        </w:rPr>
        <w:t>23</w:t>
      </w:r>
      <w:r w:rsidRPr="00DF6624">
        <w:rPr>
          <w:rFonts w:ascii="Book Antiqua" w:eastAsia="宋体" w:hAnsi="Book Antiqua" w:cs="宋体"/>
          <w:color w:val="000000" w:themeColor="text1"/>
          <w:sz w:val="24"/>
          <w:szCs w:val="24"/>
        </w:rPr>
        <w:t>: 1443-1447 [PMID: 20372862 DOI: 10.3892/or_00000782]</w:t>
      </w:r>
    </w:p>
    <w:p w14:paraId="09BB7ED0"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50 </w:t>
      </w:r>
      <w:r w:rsidRPr="00DF6624">
        <w:rPr>
          <w:rFonts w:ascii="Book Antiqua" w:eastAsia="宋体" w:hAnsi="Book Antiqua" w:cs="宋体"/>
          <w:b/>
          <w:bCs/>
          <w:color w:val="000000" w:themeColor="text1"/>
          <w:sz w:val="24"/>
          <w:szCs w:val="24"/>
        </w:rPr>
        <w:t>Song BQ</w:t>
      </w:r>
      <w:r w:rsidRPr="00DF6624">
        <w:rPr>
          <w:rFonts w:ascii="Book Antiqua" w:eastAsia="宋体" w:hAnsi="Book Antiqua" w:cs="宋体"/>
          <w:color w:val="000000" w:themeColor="text1"/>
          <w:sz w:val="24"/>
          <w:szCs w:val="24"/>
        </w:rPr>
        <w:t>, Chi Y, Li X, Du WJ, Han ZB, Tian JJ, Li JJ, Chen F, Wu HH, Han LX, Lu SH, Zheng YZ, Han ZC. Inhibition of Notch Signaling Promotes the Adipogenic Differentiation of Mesenchymal Stem Cells Through Autophagy Activation and PTEN-PI3K/AKT/mTOR Pathway. </w:t>
      </w:r>
      <w:r w:rsidRPr="00DF6624">
        <w:rPr>
          <w:rFonts w:ascii="Book Antiqua" w:eastAsia="宋体" w:hAnsi="Book Antiqua" w:cs="宋体"/>
          <w:i/>
          <w:iCs/>
          <w:color w:val="000000" w:themeColor="text1"/>
          <w:sz w:val="24"/>
          <w:szCs w:val="24"/>
        </w:rPr>
        <w:t>Cell Physiol Biochem</w:t>
      </w:r>
      <w:r w:rsidRPr="00DF6624">
        <w:rPr>
          <w:rFonts w:ascii="Book Antiqua" w:eastAsia="宋体" w:hAnsi="Book Antiqua" w:cs="宋体"/>
          <w:color w:val="000000" w:themeColor="text1"/>
          <w:sz w:val="24"/>
          <w:szCs w:val="24"/>
        </w:rPr>
        <w:t> 2015; </w:t>
      </w:r>
      <w:r w:rsidRPr="00DF6624">
        <w:rPr>
          <w:rFonts w:ascii="Book Antiqua" w:eastAsia="宋体" w:hAnsi="Book Antiqua" w:cs="宋体"/>
          <w:b/>
          <w:bCs/>
          <w:color w:val="000000" w:themeColor="text1"/>
          <w:sz w:val="24"/>
          <w:szCs w:val="24"/>
        </w:rPr>
        <w:t>36</w:t>
      </w:r>
      <w:r w:rsidRPr="00DF6624">
        <w:rPr>
          <w:rFonts w:ascii="Book Antiqua" w:eastAsia="宋体" w:hAnsi="Book Antiqua" w:cs="宋体"/>
          <w:color w:val="000000" w:themeColor="text1"/>
          <w:sz w:val="24"/>
          <w:szCs w:val="24"/>
        </w:rPr>
        <w:t>: 1991-2002 [PMID: 26202359 DOI: 10.1159/000430167]</w:t>
      </w:r>
    </w:p>
    <w:p w14:paraId="78FCA137"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51 </w:t>
      </w:r>
      <w:r w:rsidRPr="00DF6624">
        <w:rPr>
          <w:rFonts w:ascii="Book Antiqua" w:eastAsia="宋体" w:hAnsi="Book Antiqua" w:cs="宋体"/>
          <w:b/>
          <w:bCs/>
          <w:color w:val="000000" w:themeColor="text1"/>
          <w:sz w:val="24"/>
          <w:szCs w:val="24"/>
        </w:rPr>
        <w:t>Wu X</w:t>
      </w:r>
      <w:r w:rsidRPr="00DF6624">
        <w:rPr>
          <w:rFonts w:ascii="Book Antiqua" w:eastAsia="宋体" w:hAnsi="Book Antiqua" w:cs="宋体"/>
          <w:color w:val="000000" w:themeColor="text1"/>
          <w:sz w:val="24"/>
          <w:szCs w:val="24"/>
        </w:rPr>
        <w:t>, Fleming A, Ricketts T, Pavel M, Virgin H, Menzies FM, Rubinsztein DC. Autophagy regulates Notch degradation and modulates stem cell development and neurogenesis. </w:t>
      </w:r>
      <w:r w:rsidRPr="00DF6624">
        <w:rPr>
          <w:rFonts w:ascii="Book Antiqua" w:eastAsia="宋体" w:hAnsi="Book Antiqua" w:cs="宋体"/>
          <w:i/>
          <w:iCs/>
          <w:color w:val="000000" w:themeColor="text1"/>
          <w:sz w:val="24"/>
          <w:szCs w:val="24"/>
        </w:rPr>
        <w:t>Nat Commun</w:t>
      </w:r>
      <w:r w:rsidRPr="00DF6624">
        <w:rPr>
          <w:rFonts w:ascii="Book Antiqua" w:eastAsia="宋体" w:hAnsi="Book Antiqua" w:cs="宋体"/>
          <w:color w:val="000000" w:themeColor="text1"/>
          <w:sz w:val="24"/>
          <w:szCs w:val="24"/>
        </w:rPr>
        <w:t> 2016; </w:t>
      </w:r>
      <w:r w:rsidRPr="00DF6624">
        <w:rPr>
          <w:rFonts w:ascii="Book Antiqua" w:eastAsia="宋体" w:hAnsi="Book Antiqua" w:cs="宋体"/>
          <w:b/>
          <w:bCs/>
          <w:color w:val="000000" w:themeColor="text1"/>
          <w:sz w:val="24"/>
          <w:szCs w:val="24"/>
        </w:rPr>
        <w:t>7</w:t>
      </w:r>
      <w:r w:rsidRPr="00DF6624">
        <w:rPr>
          <w:rFonts w:ascii="Book Antiqua" w:eastAsia="宋体" w:hAnsi="Book Antiqua" w:cs="宋体"/>
          <w:color w:val="000000" w:themeColor="text1"/>
          <w:sz w:val="24"/>
          <w:szCs w:val="24"/>
        </w:rPr>
        <w:t>: 10533 [PMID: 26837467 DOI: 10.1038/ncomms10533]</w:t>
      </w:r>
    </w:p>
    <w:p w14:paraId="0EC1A8E7"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52 </w:t>
      </w:r>
      <w:r w:rsidRPr="00DF6624">
        <w:rPr>
          <w:rFonts w:ascii="Book Antiqua" w:eastAsia="宋体" w:hAnsi="Book Antiqua" w:cs="宋体"/>
          <w:b/>
          <w:bCs/>
          <w:color w:val="000000" w:themeColor="text1"/>
          <w:sz w:val="24"/>
          <w:szCs w:val="24"/>
        </w:rPr>
        <w:t>Wang F</w:t>
      </w:r>
      <w:r w:rsidRPr="00DF6624">
        <w:rPr>
          <w:rFonts w:ascii="Book Antiqua" w:eastAsia="宋体" w:hAnsi="Book Antiqua" w:cs="宋体"/>
          <w:color w:val="000000" w:themeColor="text1"/>
          <w:sz w:val="24"/>
          <w:szCs w:val="24"/>
        </w:rPr>
        <w:t>, Zhou H, Yang Y, Xia X, Sun Q, Luo J, Cheng B. Hepatitis B virus X protein promotes the growth of hepatocellular carcinoma by modulation of the Notch signaling pathway. </w:t>
      </w:r>
      <w:r w:rsidRPr="00DF6624">
        <w:rPr>
          <w:rFonts w:ascii="Book Antiqua" w:eastAsia="宋体" w:hAnsi="Book Antiqua" w:cs="宋体"/>
          <w:i/>
          <w:iCs/>
          <w:color w:val="000000" w:themeColor="text1"/>
          <w:sz w:val="24"/>
          <w:szCs w:val="24"/>
        </w:rPr>
        <w:t>Oncol Rep</w:t>
      </w:r>
      <w:r w:rsidRPr="00DF6624">
        <w:rPr>
          <w:rFonts w:ascii="Book Antiqua" w:eastAsia="宋体" w:hAnsi="Book Antiqua" w:cs="宋体"/>
          <w:color w:val="000000" w:themeColor="text1"/>
          <w:sz w:val="24"/>
          <w:szCs w:val="24"/>
        </w:rPr>
        <w:t> 2012; </w:t>
      </w:r>
      <w:r w:rsidRPr="00DF6624">
        <w:rPr>
          <w:rFonts w:ascii="Book Antiqua" w:eastAsia="宋体" w:hAnsi="Book Antiqua" w:cs="宋体"/>
          <w:b/>
          <w:bCs/>
          <w:color w:val="000000" w:themeColor="text1"/>
          <w:sz w:val="24"/>
          <w:szCs w:val="24"/>
        </w:rPr>
        <w:t>27</w:t>
      </w:r>
      <w:r w:rsidRPr="00DF6624">
        <w:rPr>
          <w:rFonts w:ascii="Book Antiqua" w:eastAsia="宋体" w:hAnsi="Book Antiqua" w:cs="宋体"/>
          <w:color w:val="000000" w:themeColor="text1"/>
          <w:sz w:val="24"/>
          <w:szCs w:val="24"/>
        </w:rPr>
        <w:t>: 1170-1176 [PMID: 22218807 DOI: 10.3892/or.2012.1620]</w:t>
      </w:r>
    </w:p>
    <w:p w14:paraId="36796B61"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53 </w:t>
      </w:r>
      <w:r w:rsidRPr="00DF6624">
        <w:rPr>
          <w:rFonts w:ascii="Book Antiqua" w:eastAsia="宋体" w:hAnsi="Book Antiqua" w:cs="宋体"/>
          <w:b/>
          <w:bCs/>
          <w:color w:val="000000" w:themeColor="text1"/>
          <w:sz w:val="24"/>
          <w:szCs w:val="24"/>
        </w:rPr>
        <w:t>Luo J</w:t>
      </w:r>
      <w:r w:rsidRPr="00DF6624">
        <w:rPr>
          <w:rFonts w:ascii="Book Antiqua" w:eastAsia="宋体" w:hAnsi="Book Antiqua" w:cs="宋体"/>
          <w:color w:val="000000" w:themeColor="text1"/>
          <w:sz w:val="24"/>
          <w:szCs w:val="24"/>
        </w:rPr>
        <w:t>, Zhou H, Wang F, Xia X, Sun Q, Wang R, Cheng B. The hepatitis B virus X protein downregulates NF-κB signaling pathways through decreasing the Notch signaling pathway in HBx-transformed L02 cells. </w:t>
      </w:r>
      <w:r w:rsidRPr="00DF6624">
        <w:rPr>
          <w:rFonts w:ascii="Book Antiqua" w:eastAsia="宋体" w:hAnsi="Book Antiqua" w:cs="宋体"/>
          <w:i/>
          <w:iCs/>
          <w:color w:val="000000" w:themeColor="text1"/>
          <w:sz w:val="24"/>
          <w:szCs w:val="24"/>
        </w:rPr>
        <w:t>Int J Oncol</w:t>
      </w:r>
      <w:r w:rsidRPr="00DF6624">
        <w:rPr>
          <w:rFonts w:ascii="Book Antiqua" w:eastAsia="宋体" w:hAnsi="Book Antiqua" w:cs="宋体"/>
          <w:color w:val="000000" w:themeColor="text1"/>
          <w:sz w:val="24"/>
          <w:szCs w:val="24"/>
        </w:rPr>
        <w:t> 2013; </w:t>
      </w:r>
      <w:r w:rsidRPr="00DF6624">
        <w:rPr>
          <w:rFonts w:ascii="Book Antiqua" w:eastAsia="宋体" w:hAnsi="Book Antiqua" w:cs="宋体"/>
          <w:b/>
          <w:bCs/>
          <w:color w:val="000000" w:themeColor="text1"/>
          <w:sz w:val="24"/>
          <w:szCs w:val="24"/>
        </w:rPr>
        <w:t>42</w:t>
      </w:r>
      <w:r w:rsidRPr="00DF6624">
        <w:rPr>
          <w:rFonts w:ascii="Book Antiqua" w:eastAsia="宋体" w:hAnsi="Book Antiqua" w:cs="宋体"/>
          <w:color w:val="000000" w:themeColor="text1"/>
          <w:sz w:val="24"/>
          <w:szCs w:val="24"/>
        </w:rPr>
        <w:t>: 1636-1643 [PMID: 23450368 DOI: 10.3892/ijo.2013.1842]</w:t>
      </w:r>
    </w:p>
    <w:p w14:paraId="6B192A53"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54 </w:t>
      </w:r>
      <w:r w:rsidRPr="00DF6624">
        <w:rPr>
          <w:rFonts w:ascii="Book Antiqua" w:eastAsia="宋体" w:hAnsi="Book Antiqua" w:cs="宋体"/>
          <w:b/>
          <w:bCs/>
          <w:color w:val="000000" w:themeColor="text1"/>
          <w:sz w:val="24"/>
          <w:szCs w:val="24"/>
        </w:rPr>
        <w:t>Copetti T</w:t>
      </w:r>
      <w:r w:rsidRPr="00DF6624">
        <w:rPr>
          <w:rFonts w:ascii="Book Antiqua" w:eastAsia="宋体" w:hAnsi="Book Antiqua" w:cs="宋体"/>
          <w:color w:val="000000" w:themeColor="text1"/>
          <w:sz w:val="24"/>
          <w:szCs w:val="24"/>
        </w:rPr>
        <w:t>, Bertoli C, Dalla E, Demarchi F, Schneider C. p65/RelA modulates BECN1 transcription and autophagy. </w:t>
      </w:r>
      <w:r w:rsidRPr="00DF6624">
        <w:rPr>
          <w:rFonts w:ascii="Book Antiqua" w:eastAsia="宋体" w:hAnsi="Book Antiqua" w:cs="宋体"/>
          <w:i/>
          <w:iCs/>
          <w:color w:val="000000" w:themeColor="text1"/>
          <w:sz w:val="24"/>
          <w:szCs w:val="24"/>
        </w:rPr>
        <w:t>Mol Cell Biol</w:t>
      </w:r>
      <w:r w:rsidRPr="00DF6624">
        <w:rPr>
          <w:rFonts w:ascii="Book Antiqua" w:eastAsia="宋体" w:hAnsi="Book Antiqua" w:cs="宋体"/>
          <w:color w:val="000000" w:themeColor="text1"/>
          <w:sz w:val="24"/>
          <w:szCs w:val="24"/>
        </w:rPr>
        <w:t> 2009; </w:t>
      </w:r>
      <w:r w:rsidRPr="00DF6624">
        <w:rPr>
          <w:rFonts w:ascii="Book Antiqua" w:eastAsia="宋体" w:hAnsi="Book Antiqua" w:cs="宋体"/>
          <w:b/>
          <w:bCs/>
          <w:color w:val="000000" w:themeColor="text1"/>
          <w:sz w:val="24"/>
          <w:szCs w:val="24"/>
        </w:rPr>
        <w:t>29</w:t>
      </w:r>
      <w:r w:rsidRPr="00DF6624">
        <w:rPr>
          <w:rFonts w:ascii="Book Antiqua" w:eastAsia="宋体" w:hAnsi="Book Antiqua" w:cs="宋体"/>
          <w:color w:val="000000" w:themeColor="text1"/>
          <w:sz w:val="24"/>
          <w:szCs w:val="24"/>
        </w:rPr>
        <w:t>: 2594-2608 [PMID: 19289499 DOI: 10.1128/MCB.01396-08]</w:t>
      </w:r>
    </w:p>
    <w:p w14:paraId="3F7993EF" w14:textId="77777777" w:rsidR="004E1E5C" w:rsidRPr="00DF6624" w:rsidRDefault="004E1E5C" w:rsidP="005C2EDC">
      <w:pPr>
        <w:adjustRightInd w:val="0"/>
        <w:snapToGrid w:val="0"/>
        <w:spacing w:after="0" w:line="360" w:lineRule="auto"/>
        <w:jc w:val="both"/>
        <w:rPr>
          <w:rFonts w:ascii="Book Antiqua" w:eastAsia="宋体" w:hAnsi="Book Antiqua" w:cs="宋体"/>
          <w:color w:val="000000" w:themeColor="text1"/>
          <w:sz w:val="24"/>
          <w:szCs w:val="24"/>
        </w:rPr>
      </w:pPr>
      <w:r w:rsidRPr="00DF6624">
        <w:rPr>
          <w:rFonts w:ascii="Book Antiqua" w:eastAsia="宋体" w:hAnsi="Book Antiqua" w:cs="宋体"/>
          <w:color w:val="000000" w:themeColor="text1"/>
          <w:sz w:val="24"/>
          <w:szCs w:val="24"/>
        </w:rPr>
        <w:t>55 </w:t>
      </w:r>
      <w:r w:rsidRPr="00DF6624">
        <w:rPr>
          <w:rFonts w:ascii="Book Antiqua" w:eastAsia="宋体" w:hAnsi="Book Antiqua" w:cs="宋体"/>
          <w:b/>
          <w:bCs/>
          <w:color w:val="000000" w:themeColor="text1"/>
          <w:sz w:val="24"/>
          <w:szCs w:val="24"/>
        </w:rPr>
        <w:t>Schlottmann S</w:t>
      </w:r>
      <w:r w:rsidRPr="00DF6624">
        <w:rPr>
          <w:rFonts w:ascii="Book Antiqua" w:eastAsia="宋体" w:hAnsi="Book Antiqua" w:cs="宋体"/>
          <w:color w:val="000000" w:themeColor="text1"/>
          <w:sz w:val="24"/>
          <w:szCs w:val="24"/>
        </w:rPr>
        <w:t xml:space="preserve">, Buback F, Stahl B, Meierhenrich R, Walter P, Georgieff M, Senftleben U. Prolonged classical NF-kappaB activation prevents autophagy upon E. coli stimulation in vitro: a potential resolving mechanism of </w:t>
      </w:r>
      <w:r w:rsidRPr="00DF6624">
        <w:rPr>
          <w:rFonts w:ascii="Book Antiqua" w:eastAsia="宋体" w:hAnsi="Book Antiqua" w:cs="宋体"/>
          <w:color w:val="000000" w:themeColor="text1"/>
          <w:sz w:val="24"/>
          <w:szCs w:val="24"/>
        </w:rPr>
        <w:lastRenderedPageBreak/>
        <w:t>inflammation. </w:t>
      </w:r>
      <w:r w:rsidRPr="00DF6624">
        <w:rPr>
          <w:rFonts w:ascii="Book Antiqua" w:eastAsia="宋体" w:hAnsi="Book Antiqua" w:cs="宋体"/>
          <w:i/>
          <w:iCs/>
          <w:color w:val="000000" w:themeColor="text1"/>
          <w:sz w:val="24"/>
          <w:szCs w:val="24"/>
        </w:rPr>
        <w:t>Mediators Inflamm</w:t>
      </w:r>
      <w:r w:rsidRPr="00DF6624">
        <w:rPr>
          <w:rFonts w:ascii="Book Antiqua" w:eastAsia="宋体" w:hAnsi="Book Antiqua" w:cs="宋体"/>
          <w:color w:val="000000" w:themeColor="text1"/>
          <w:sz w:val="24"/>
          <w:szCs w:val="24"/>
        </w:rPr>
        <w:t> 2008; </w:t>
      </w:r>
      <w:r w:rsidRPr="00DF6624">
        <w:rPr>
          <w:rFonts w:ascii="Book Antiqua" w:eastAsia="宋体" w:hAnsi="Book Antiqua" w:cs="宋体"/>
          <w:b/>
          <w:bCs/>
          <w:color w:val="000000" w:themeColor="text1"/>
          <w:sz w:val="24"/>
          <w:szCs w:val="24"/>
        </w:rPr>
        <w:t>2008</w:t>
      </w:r>
      <w:r w:rsidRPr="00DF6624">
        <w:rPr>
          <w:rFonts w:ascii="Book Antiqua" w:eastAsia="宋体" w:hAnsi="Book Antiqua" w:cs="宋体"/>
          <w:color w:val="000000" w:themeColor="text1"/>
          <w:sz w:val="24"/>
          <w:szCs w:val="24"/>
        </w:rPr>
        <w:t>: 725854 [PMID: 18566685 DOI: 10.1155/2008/725854]</w:t>
      </w:r>
    </w:p>
    <w:p w14:paraId="362D1350" w14:textId="77777777" w:rsidR="004E1E5C" w:rsidRPr="00DF6624" w:rsidRDefault="004E1E5C" w:rsidP="005C2EDC">
      <w:pPr>
        <w:adjustRightInd w:val="0"/>
        <w:snapToGrid w:val="0"/>
        <w:spacing w:after="0" w:line="360" w:lineRule="auto"/>
        <w:jc w:val="both"/>
        <w:rPr>
          <w:rFonts w:ascii="Book Antiqua" w:hAnsi="Book Antiqua"/>
          <w:color w:val="000000" w:themeColor="text1"/>
          <w:sz w:val="24"/>
          <w:szCs w:val="24"/>
        </w:rPr>
      </w:pPr>
    </w:p>
    <w:p w14:paraId="1F2506F3" w14:textId="16ADB8EF" w:rsidR="004E1E5C" w:rsidRPr="00DF6624" w:rsidRDefault="004E1E5C" w:rsidP="005C2EDC">
      <w:pPr>
        <w:adjustRightInd w:val="0"/>
        <w:snapToGrid w:val="0"/>
        <w:spacing w:after="0" w:line="360" w:lineRule="auto"/>
        <w:jc w:val="right"/>
        <w:rPr>
          <w:rFonts w:ascii="Book Antiqua" w:hAnsi="Book Antiqua"/>
          <w:b/>
          <w:bCs/>
          <w:color w:val="000000" w:themeColor="text1"/>
          <w:sz w:val="24"/>
        </w:rPr>
      </w:pPr>
      <w:r w:rsidRPr="00DF6624">
        <w:rPr>
          <w:rFonts w:ascii="Book Antiqua" w:hAnsi="Book Antiqua"/>
          <w:b/>
          <w:bCs/>
          <w:color w:val="000000" w:themeColor="text1"/>
          <w:sz w:val="24"/>
        </w:rPr>
        <w:t>P-Reviewer:</w:t>
      </w:r>
      <w:r w:rsidRPr="00DF6624">
        <w:rPr>
          <w:rFonts w:ascii="Book Antiqua" w:eastAsia="宋体" w:hAnsi="Book Antiqua" w:hint="eastAsia"/>
          <w:b/>
          <w:bCs/>
          <w:color w:val="000000" w:themeColor="text1"/>
          <w:sz w:val="24"/>
          <w:lang w:eastAsia="zh-CN"/>
        </w:rPr>
        <w:t xml:space="preserve"> </w:t>
      </w:r>
      <w:r w:rsidRPr="00DF6624">
        <w:rPr>
          <w:rFonts w:ascii="Book Antiqua" w:hAnsi="Book Antiqua"/>
          <w:bCs/>
          <w:color w:val="000000" w:themeColor="text1"/>
          <w:sz w:val="24"/>
        </w:rPr>
        <w:t>Kim</w:t>
      </w:r>
      <w:r w:rsidRPr="00DF6624">
        <w:rPr>
          <w:rFonts w:ascii="Book Antiqua" w:eastAsia="宋体" w:hAnsi="Book Antiqua" w:hint="eastAsia"/>
          <w:bCs/>
          <w:color w:val="000000" w:themeColor="text1"/>
          <w:sz w:val="24"/>
          <w:lang w:eastAsia="zh-CN"/>
        </w:rPr>
        <w:t xml:space="preserve"> K,</w:t>
      </w:r>
      <w:r w:rsidRPr="00DF6624">
        <w:rPr>
          <w:rFonts w:ascii="Book Antiqua" w:hAnsi="Book Antiqua" w:hint="eastAsia"/>
          <w:bCs/>
          <w:color w:val="000000" w:themeColor="text1"/>
          <w:sz w:val="24"/>
        </w:rPr>
        <w:t xml:space="preserve"> </w:t>
      </w:r>
      <w:r w:rsidRPr="00DF6624">
        <w:rPr>
          <w:rFonts w:ascii="Book Antiqua" w:hAnsi="Book Antiqua"/>
          <w:bCs/>
          <w:color w:val="000000" w:themeColor="text1"/>
          <w:sz w:val="24"/>
        </w:rPr>
        <w:t>Rodriguez-Frias</w:t>
      </w:r>
      <w:r w:rsidRPr="00DF6624">
        <w:rPr>
          <w:rFonts w:ascii="Book Antiqua" w:eastAsia="宋体" w:hAnsi="Book Antiqua" w:hint="eastAsia"/>
          <w:bCs/>
          <w:color w:val="000000" w:themeColor="text1"/>
          <w:sz w:val="24"/>
          <w:lang w:eastAsia="zh-CN"/>
        </w:rPr>
        <w:t xml:space="preserve"> F</w:t>
      </w:r>
      <w:r w:rsidRPr="00DF6624">
        <w:rPr>
          <w:rFonts w:ascii="Book Antiqua" w:eastAsia="宋体" w:hAnsi="Book Antiqua" w:hint="eastAsia"/>
          <w:b/>
          <w:bCs/>
          <w:color w:val="000000" w:themeColor="text1"/>
          <w:sz w:val="24"/>
          <w:lang w:eastAsia="zh-CN"/>
        </w:rPr>
        <w:t xml:space="preserve"> </w:t>
      </w:r>
      <w:r w:rsidRPr="00DF6624">
        <w:rPr>
          <w:rFonts w:ascii="Book Antiqua" w:hAnsi="Book Antiqua"/>
          <w:b/>
          <w:bCs/>
          <w:color w:val="000000" w:themeColor="text1"/>
          <w:sz w:val="24"/>
        </w:rPr>
        <w:t>S-Editor:</w:t>
      </w:r>
      <w:r w:rsidRPr="00DF6624">
        <w:rPr>
          <w:rFonts w:ascii="Book Antiqua" w:hAnsi="Book Antiqua"/>
          <w:color w:val="000000" w:themeColor="text1"/>
          <w:sz w:val="24"/>
        </w:rPr>
        <w:t xml:space="preserve"> </w:t>
      </w:r>
      <w:r w:rsidRPr="00DF6624">
        <w:rPr>
          <w:rFonts w:ascii="Book Antiqua" w:hAnsi="Book Antiqua" w:hint="eastAsia"/>
          <w:color w:val="000000" w:themeColor="text1"/>
          <w:sz w:val="24"/>
        </w:rPr>
        <w:t xml:space="preserve">Ma YJ </w:t>
      </w:r>
      <w:r w:rsidRPr="00DF6624">
        <w:rPr>
          <w:rFonts w:ascii="Book Antiqua" w:hAnsi="Book Antiqua"/>
          <w:b/>
          <w:bCs/>
          <w:color w:val="000000" w:themeColor="text1"/>
          <w:sz w:val="24"/>
        </w:rPr>
        <w:t>L-Editor:</w:t>
      </w:r>
      <w:r w:rsidR="00E476C4" w:rsidRPr="00E476C4">
        <w:rPr>
          <w:rFonts w:ascii="Book Antiqua" w:hAnsi="Book Antiqua"/>
          <w:i/>
          <w:color w:val="000000" w:themeColor="text1"/>
          <w:sz w:val="24"/>
        </w:rPr>
        <w:t xml:space="preserve"> </w:t>
      </w:r>
      <w:r w:rsidRPr="00DF6624">
        <w:rPr>
          <w:rFonts w:ascii="Book Antiqua" w:hAnsi="Book Antiqua"/>
          <w:b/>
          <w:bCs/>
          <w:color w:val="000000" w:themeColor="text1"/>
          <w:sz w:val="24"/>
        </w:rPr>
        <w:t>E-Editor:</w:t>
      </w:r>
    </w:p>
    <w:p w14:paraId="3C6637DE" w14:textId="77777777" w:rsidR="009B6CE1" w:rsidRDefault="009B6CE1" w:rsidP="009B6CE1">
      <w:pPr>
        <w:shd w:val="clear" w:color="auto" w:fill="FFFFFF"/>
        <w:spacing w:line="360" w:lineRule="auto"/>
        <w:rPr>
          <w:rFonts w:ascii="Book Antiqua" w:eastAsia="宋体" w:hAnsi="Book Antiqua" w:cs="Times New Roman"/>
          <w:b/>
          <w:bCs/>
          <w:color w:val="000000" w:themeColor="text1"/>
          <w:sz w:val="24"/>
          <w:szCs w:val="24"/>
          <w:lang w:eastAsia="zh-CN"/>
        </w:rPr>
      </w:pPr>
    </w:p>
    <w:p w14:paraId="1BBFE8D2" w14:textId="77777777" w:rsidR="00AF0B90" w:rsidRPr="007D68A7" w:rsidRDefault="00AF0B90" w:rsidP="00AF0B90">
      <w:pPr>
        <w:shd w:val="clear" w:color="auto" w:fill="FFFFFF"/>
        <w:spacing w:line="360" w:lineRule="auto"/>
        <w:rPr>
          <w:rFonts w:ascii="Book Antiqua" w:eastAsia="宋体" w:hAnsi="Book Antiqua" w:cs="Helvetica"/>
          <w:color w:val="000000" w:themeColor="text1"/>
          <w:sz w:val="24"/>
          <w:szCs w:val="24"/>
        </w:rPr>
      </w:pPr>
      <w:r>
        <w:rPr>
          <w:rFonts w:ascii="Book Antiqua" w:eastAsia="宋体" w:hAnsi="Book Antiqua" w:cs="Helvetica"/>
          <w:b/>
          <w:color w:val="000000" w:themeColor="text1"/>
          <w:sz w:val="24"/>
          <w:szCs w:val="24"/>
        </w:rPr>
        <w:t>Specialty Type:</w:t>
      </w:r>
      <w:r>
        <w:rPr>
          <w:rFonts w:ascii="Book Antiqua" w:eastAsia="宋体" w:hAnsi="Book Antiqua" w:cs="Helvetica" w:hint="eastAsia"/>
          <w:b/>
          <w:color w:val="000000" w:themeColor="text1"/>
          <w:sz w:val="24"/>
          <w:szCs w:val="24"/>
        </w:rPr>
        <w:t xml:space="preserve"> </w:t>
      </w:r>
      <w:r w:rsidRPr="003E2C02">
        <w:rPr>
          <w:rFonts w:ascii="Book Antiqua" w:eastAsia="宋体" w:hAnsi="Book Antiqua" w:cs="Helvetica"/>
          <w:color w:val="000000" w:themeColor="text1"/>
          <w:sz w:val="24"/>
          <w:szCs w:val="24"/>
        </w:rPr>
        <w:t>Gastroenterology and Hepatology</w:t>
      </w:r>
    </w:p>
    <w:p w14:paraId="75C5EF6B" w14:textId="77777777" w:rsidR="00AF0B90" w:rsidRDefault="00AF0B90" w:rsidP="00AF0B90">
      <w:pPr>
        <w:shd w:val="clear" w:color="auto" w:fill="FFFFFF"/>
        <w:spacing w:line="360" w:lineRule="auto"/>
        <w:rPr>
          <w:rFonts w:ascii="Book Antiqua" w:eastAsia="宋体" w:hAnsi="Book Antiqua" w:cs="Helvetica"/>
          <w:b/>
          <w:color w:val="000000" w:themeColor="text1"/>
          <w:sz w:val="24"/>
          <w:szCs w:val="24"/>
          <w:lang w:eastAsia="zh-CN"/>
        </w:rPr>
      </w:pPr>
      <w:r w:rsidRPr="00FA3CD8">
        <w:rPr>
          <w:rFonts w:ascii="Book Antiqua" w:eastAsia="宋体" w:hAnsi="Book Antiqua" w:cs="Helvetica"/>
          <w:b/>
          <w:color w:val="000000" w:themeColor="text1"/>
          <w:sz w:val="24"/>
          <w:szCs w:val="24"/>
        </w:rPr>
        <w:t>Country of Origin:</w:t>
      </w:r>
      <w:r>
        <w:rPr>
          <w:rFonts w:ascii="Book Antiqua" w:eastAsia="宋体" w:hAnsi="Book Antiqua" w:cs="Helvetica" w:hint="eastAsia"/>
          <w:b/>
          <w:color w:val="000000" w:themeColor="text1"/>
          <w:sz w:val="24"/>
          <w:szCs w:val="24"/>
        </w:rPr>
        <w:t xml:space="preserve"> </w:t>
      </w:r>
      <w:r w:rsidRPr="00F96DA2">
        <w:rPr>
          <w:rFonts w:ascii="Book Antiqua" w:hAnsi="Book Antiqua" w:cs="Times New Roman"/>
          <w:color w:val="000000"/>
          <w:sz w:val="24"/>
          <w:szCs w:val="24"/>
        </w:rPr>
        <w:t>Thailand</w:t>
      </w:r>
      <w:r w:rsidRPr="003C1D7C">
        <w:rPr>
          <w:rFonts w:ascii="Book Antiqua" w:eastAsia="宋体" w:hAnsi="Book Antiqua" w:cs="Helvetica"/>
          <w:b/>
          <w:color w:val="000000" w:themeColor="text1"/>
          <w:sz w:val="24"/>
          <w:szCs w:val="24"/>
        </w:rPr>
        <w:t xml:space="preserve"> </w:t>
      </w:r>
    </w:p>
    <w:p w14:paraId="12360AC4" w14:textId="457EC9F1" w:rsidR="009B6CE1" w:rsidRPr="003C1D7C" w:rsidRDefault="009B6CE1" w:rsidP="00AF0B90">
      <w:pPr>
        <w:shd w:val="clear" w:color="auto" w:fill="FFFFFF"/>
        <w:spacing w:line="360" w:lineRule="auto"/>
        <w:rPr>
          <w:rFonts w:ascii="Book Antiqua" w:eastAsia="宋体" w:hAnsi="Book Antiqua" w:cs="Helvetica"/>
          <w:b/>
          <w:color w:val="000000" w:themeColor="text1"/>
          <w:sz w:val="24"/>
          <w:szCs w:val="24"/>
        </w:rPr>
      </w:pPr>
      <w:r w:rsidRPr="003C1D7C">
        <w:rPr>
          <w:rFonts w:ascii="Book Antiqua" w:eastAsia="宋体" w:hAnsi="Book Antiqua" w:cs="Helvetica"/>
          <w:b/>
          <w:color w:val="000000" w:themeColor="text1"/>
          <w:sz w:val="24"/>
          <w:szCs w:val="24"/>
        </w:rPr>
        <w:t>Peer-Review Report Classification</w:t>
      </w:r>
    </w:p>
    <w:p w14:paraId="3E47C95C" w14:textId="77777777" w:rsidR="009B6CE1" w:rsidRPr="003C1D7C" w:rsidRDefault="009B6CE1" w:rsidP="009B6CE1">
      <w:pPr>
        <w:shd w:val="clear" w:color="auto" w:fill="FFFFFF"/>
        <w:spacing w:line="360" w:lineRule="auto"/>
        <w:rPr>
          <w:rFonts w:ascii="Book Antiqua" w:eastAsia="宋体" w:hAnsi="Book Antiqua" w:cs="Helvetica"/>
          <w:color w:val="000000" w:themeColor="text1"/>
          <w:sz w:val="24"/>
          <w:szCs w:val="24"/>
        </w:rPr>
      </w:pPr>
      <w:r w:rsidRPr="003C1D7C">
        <w:rPr>
          <w:rFonts w:ascii="Book Antiqua" w:eastAsia="宋体" w:hAnsi="Book Antiqua" w:cs="Helvetica"/>
          <w:color w:val="000000" w:themeColor="text1"/>
          <w:sz w:val="24"/>
          <w:szCs w:val="24"/>
        </w:rPr>
        <w:t>Grade A (Excellent): 0</w:t>
      </w:r>
    </w:p>
    <w:p w14:paraId="6304A530" w14:textId="084686BD" w:rsidR="009B6CE1" w:rsidRPr="003C1D7C" w:rsidRDefault="009B6CE1" w:rsidP="009B6CE1">
      <w:pPr>
        <w:shd w:val="clear" w:color="auto" w:fill="FFFFFF"/>
        <w:spacing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B (Very good): </w:t>
      </w:r>
      <w:r>
        <w:rPr>
          <w:rFonts w:ascii="Book Antiqua" w:eastAsia="宋体" w:hAnsi="Book Antiqua" w:cs="Helvetica" w:hint="eastAsia"/>
          <w:color w:val="000000" w:themeColor="text1"/>
          <w:sz w:val="24"/>
          <w:szCs w:val="24"/>
          <w:lang w:eastAsia="zh-CN"/>
        </w:rPr>
        <w:t>B</w:t>
      </w:r>
      <w:r w:rsidR="006B6FCA">
        <w:rPr>
          <w:rFonts w:ascii="Book Antiqua" w:eastAsia="宋体" w:hAnsi="Book Antiqua" w:cs="Helvetica" w:hint="eastAsia"/>
          <w:color w:val="000000" w:themeColor="text1"/>
          <w:sz w:val="24"/>
          <w:szCs w:val="24"/>
          <w:lang w:eastAsia="zh-CN"/>
        </w:rPr>
        <w:t>, B</w:t>
      </w:r>
      <w:bookmarkStart w:id="140" w:name="_GoBack"/>
      <w:bookmarkEnd w:id="140"/>
    </w:p>
    <w:p w14:paraId="44420950" w14:textId="653985E6" w:rsidR="009B6CE1" w:rsidRPr="003C1D7C" w:rsidRDefault="009B6CE1" w:rsidP="009B6CE1">
      <w:pPr>
        <w:shd w:val="clear" w:color="auto" w:fill="FFFFFF"/>
        <w:spacing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C (Good): </w:t>
      </w:r>
      <w:r>
        <w:rPr>
          <w:rFonts w:ascii="Book Antiqua" w:eastAsia="宋体" w:hAnsi="Book Antiqua" w:cs="Helvetica" w:hint="eastAsia"/>
          <w:color w:val="000000" w:themeColor="text1"/>
          <w:sz w:val="24"/>
          <w:szCs w:val="24"/>
          <w:lang w:eastAsia="zh-CN"/>
        </w:rPr>
        <w:t>C</w:t>
      </w:r>
    </w:p>
    <w:p w14:paraId="346C2AF7" w14:textId="77777777" w:rsidR="009B6CE1" w:rsidRPr="003C1D7C" w:rsidRDefault="009B6CE1" w:rsidP="009B6CE1">
      <w:pPr>
        <w:shd w:val="clear" w:color="auto" w:fill="FFFFFF"/>
        <w:spacing w:line="360" w:lineRule="auto"/>
        <w:rPr>
          <w:rFonts w:ascii="Book Antiqua" w:eastAsia="宋体" w:hAnsi="Book Antiqua" w:cs="Helvetica"/>
          <w:color w:val="000000" w:themeColor="text1"/>
          <w:sz w:val="24"/>
          <w:szCs w:val="24"/>
        </w:rPr>
      </w:pPr>
      <w:r w:rsidRPr="003C1D7C">
        <w:rPr>
          <w:rFonts w:ascii="Book Antiqua" w:eastAsia="宋体" w:hAnsi="Book Antiqua" w:cs="Helvetica"/>
          <w:color w:val="000000" w:themeColor="text1"/>
          <w:sz w:val="24"/>
          <w:szCs w:val="24"/>
        </w:rPr>
        <w:t>Grade D (Fair): 0</w:t>
      </w:r>
    </w:p>
    <w:p w14:paraId="34B90499" w14:textId="77777777" w:rsidR="009B6CE1" w:rsidRPr="003C1D7C" w:rsidRDefault="009B6CE1" w:rsidP="009B6CE1">
      <w:pPr>
        <w:shd w:val="clear" w:color="auto" w:fill="FFFFFF"/>
        <w:spacing w:line="360" w:lineRule="auto"/>
        <w:rPr>
          <w:color w:val="000000" w:themeColor="text1"/>
        </w:rPr>
      </w:pPr>
      <w:r w:rsidRPr="003C1D7C">
        <w:rPr>
          <w:rFonts w:ascii="Book Antiqua" w:eastAsia="宋体" w:hAnsi="Book Antiqua" w:cs="Helvetica"/>
          <w:color w:val="000000" w:themeColor="text1"/>
          <w:sz w:val="24"/>
          <w:szCs w:val="24"/>
        </w:rPr>
        <w:t>Grade E (Poor): 0</w:t>
      </w:r>
    </w:p>
    <w:p w14:paraId="40B890A6" w14:textId="4C2CA592" w:rsidR="004E1E5C" w:rsidRPr="009B6CE1" w:rsidRDefault="004E1E5C" w:rsidP="005C2EDC">
      <w:pPr>
        <w:adjustRightInd w:val="0"/>
        <w:snapToGrid w:val="0"/>
        <w:spacing w:after="0" w:line="360" w:lineRule="auto"/>
        <w:jc w:val="both"/>
        <w:rPr>
          <w:rFonts w:ascii="Book Antiqua" w:eastAsia="宋体" w:hAnsi="Book Antiqua" w:cs="Times New Roman"/>
          <w:b/>
          <w:bCs/>
          <w:color w:val="000000" w:themeColor="text1"/>
          <w:sz w:val="24"/>
          <w:szCs w:val="24"/>
          <w:lang w:eastAsia="zh-CN"/>
        </w:rPr>
      </w:pPr>
    </w:p>
    <w:p w14:paraId="232B0AA0" w14:textId="0123A770"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454369E7" w14:textId="77777777" w:rsidR="006725C1" w:rsidRPr="00DF6624" w:rsidRDefault="005F4274"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noProof/>
          <w:color w:val="000000" w:themeColor="text1"/>
          <w:sz w:val="24"/>
          <w:szCs w:val="24"/>
          <w:lang w:eastAsia="zh-CN" w:bidi="ar-SA"/>
        </w:rPr>
        <w:lastRenderedPageBreak/>
        <w:drawing>
          <wp:inline distT="0" distB="0" distL="0" distR="0" wp14:anchorId="1C254E65" wp14:editId="5E3D353B">
            <wp:extent cx="4500450" cy="675448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27-6-16.png"/>
                    <pic:cNvPicPr/>
                  </pic:nvPicPr>
                  <pic:blipFill>
                    <a:blip r:embed="rId8">
                      <a:extLst>
                        <a:ext uri="{28A0092B-C50C-407E-A947-70E740481C1C}">
                          <a14:useLocalDpi xmlns:a14="http://schemas.microsoft.com/office/drawing/2010/main" val="0"/>
                        </a:ext>
                      </a:extLst>
                    </a:blip>
                    <a:stretch>
                      <a:fillRect/>
                    </a:stretch>
                  </pic:blipFill>
                  <pic:spPr>
                    <a:xfrm>
                      <a:off x="0" y="0"/>
                      <a:ext cx="4509178" cy="6767584"/>
                    </a:xfrm>
                    <a:prstGeom prst="rect">
                      <a:avLst/>
                    </a:prstGeom>
                  </pic:spPr>
                </pic:pic>
              </a:graphicData>
            </a:graphic>
          </wp:inline>
        </w:drawing>
      </w:r>
    </w:p>
    <w:p w14:paraId="46428B39" w14:textId="77777777" w:rsidR="00E9328E" w:rsidRPr="00DF6624" w:rsidRDefault="00E9328E" w:rsidP="005C2EDC">
      <w:pPr>
        <w:adjustRightInd w:val="0"/>
        <w:snapToGrid w:val="0"/>
        <w:spacing w:after="0" w:line="360" w:lineRule="auto"/>
        <w:jc w:val="both"/>
        <w:rPr>
          <w:rFonts w:ascii="Book Antiqua" w:hAnsi="Book Antiqua" w:cs="Times New Roman"/>
          <w:b/>
          <w:bCs/>
          <w:color w:val="000000" w:themeColor="text1"/>
          <w:sz w:val="24"/>
          <w:szCs w:val="24"/>
        </w:rPr>
      </w:pPr>
    </w:p>
    <w:p w14:paraId="01E3EE6A" w14:textId="639436E8" w:rsidR="00430F5A"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Figure 1</w:t>
      </w:r>
      <w:r w:rsidR="00C61D4B" w:rsidRPr="00DF6624">
        <w:rPr>
          <w:rFonts w:ascii="Book Antiqua" w:hAnsi="Book Antiqua" w:cs="Times New Roman"/>
          <w:b/>
          <w:bCs/>
          <w:color w:val="000000" w:themeColor="text1"/>
          <w:sz w:val="24"/>
          <w:szCs w:val="24"/>
        </w:rPr>
        <w:t xml:space="preserve"> </w:t>
      </w:r>
      <w:r w:rsidRPr="00DF6624">
        <w:rPr>
          <w:rFonts w:ascii="Book Antiqua" w:hAnsi="Book Antiqua" w:cs="Times New Roman"/>
          <w:b/>
          <w:color w:val="000000" w:themeColor="text1"/>
          <w:sz w:val="24"/>
          <w:szCs w:val="24"/>
        </w:rPr>
        <w:t xml:space="preserve">Quantitative real-time </w:t>
      </w:r>
      <w:r w:rsidR="00430F5A" w:rsidRPr="00430F5A">
        <w:rPr>
          <w:rFonts w:ascii="Book Antiqua" w:hAnsi="Book Antiqua" w:cs="Times New Roman"/>
          <w:b/>
          <w:color w:val="000000" w:themeColor="text1"/>
          <w:sz w:val="24"/>
          <w:szCs w:val="24"/>
        </w:rPr>
        <w:t>real-time reverse transcriptase–polymerase chain reaction</w:t>
      </w:r>
      <w:r w:rsidRPr="00DF6624">
        <w:rPr>
          <w:rFonts w:ascii="Book Antiqua" w:hAnsi="Book Antiqua" w:cs="Times New Roman"/>
          <w:b/>
          <w:color w:val="000000" w:themeColor="text1"/>
          <w:sz w:val="24"/>
          <w:szCs w:val="24"/>
        </w:rPr>
        <w:t xml:space="preserve"> analysis of Beclin-1 (</w:t>
      </w:r>
      <w:r w:rsidR="00C61D4B" w:rsidRPr="00DF6624">
        <w:rPr>
          <w:rFonts w:ascii="Book Antiqua" w:hAnsi="Book Antiqua" w:cs="Times New Roman"/>
          <w:b/>
          <w:color w:val="000000" w:themeColor="text1"/>
          <w:sz w:val="24"/>
          <w:szCs w:val="24"/>
        </w:rPr>
        <w:t>A</w:t>
      </w:r>
      <w:r w:rsidRPr="00DF6624">
        <w:rPr>
          <w:rFonts w:ascii="Book Antiqua" w:hAnsi="Book Antiqua" w:cs="Times New Roman"/>
          <w:b/>
          <w:color w:val="000000" w:themeColor="text1"/>
          <w:sz w:val="24"/>
          <w:szCs w:val="24"/>
        </w:rPr>
        <w:t>), ATG5 (</w:t>
      </w:r>
      <w:r w:rsidR="00C61D4B" w:rsidRPr="00DF6624">
        <w:rPr>
          <w:rFonts w:ascii="Book Antiqua" w:hAnsi="Book Antiqua" w:cs="Times New Roman"/>
          <w:b/>
          <w:color w:val="000000" w:themeColor="text1"/>
          <w:sz w:val="24"/>
          <w:szCs w:val="24"/>
        </w:rPr>
        <w:t>B</w:t>
      </w:r>
      <w:r w:rsidRPr="00DF6624">
        <w:rPr>
          <w:rFonts w:ascii="Book Antiqua" w:hAnsi="Book Antiqua" w:cs="Times New Roman"/>
          <w:b/>
          <w:color w:val="000000" w:themeColor="text1"/>
          <w:sz w:val="24"/>
          <w:szCs w:val="24"/>
        </w:rPr>
        <w:t>), ATG12 (</w:t>
      </w:r>
      <w:r w:rsidR="00C61D4B" w:rsidRPr="00DF6624">
        <w:rPr>
          <w:rFonts w:ascii="Book Antiqua" w:hAnsi="Book Antiqua" w:cs="Times New Roman"/>
          <w:b/>
          <w:color w:val="000000" w:themeColor="text1"/>
          <w:sz w:val="24"/>
          <w:szCs w:val="24"/>
        </w:rPr>
        <w:t>C</w:t>
      </w:r>
      <w:r w:rsidRPr="00DF6624">
        <w:rPr>
          <w:rFonts w:ascii="Book Antiqua" w:hAnsi="Book Antiqua" w:cs="Times New Roman"/>
          <w:b/>
          <w:color w:val="000000" w:themeColor="text1"/>
          <w:sz w:val="24"/>
          <w:szCs w:val="24"/>
        </w:rPr>
        <w:t>), ATG9A (</w:t>
      </w:r>
      <w:r w:rsidR="00C61D4B" w:rsidRPr="00DF6624">
        <w:rPr>
          <w:rFonts w:ascii="Book Antiqua" w:hAnsi="Book Antiqua" w:cs="Times New Roman"/>
          <w:b/>
          <w:color w:val="000000" w:themeColor="text1"/>
          <w:sz w:val="24"/>
          <w:szCs w:val="24"/>
        </w:rPr>
        <w:t>D</w:t>
      </w:r>
      <w:r w:rsidRPr="00DF6624">
        <w:rPr>
          <w:rFonts w:ascii="Book Antiqua" w:hAnsi="Book Antiqua" w:cs="Times New Roman"/>
          <w:b/>
          <w:color w:val="000000" w:themeColor="text1"/>
          <w:sz w:val="24"/>
          <w:szCs w:val="24"/>
        </w:rPr>
        <w:t>) and ATG4B (</w:t>
      </w:r>
      <w:r w:rsidR="00C61D4B" w:rsidRPr="00DF6624">
        <w:rPr>
          <w:rFonts w:ascii="Book Antiqua" w:hAnsi="Book Antiqua" w:cs="Times New Roman"/>
          <w:b/>
          <w:color w:val="000000" w:themeColor="text1"/>
          <w:sz w:val="24"/>
          <w:szCs w:val="24"/>
        </w:rPr>
        <w:t>E</w:t>
      </w:r>
      <w:r w:rsidRPr="00DF6624">
        <w:rPr>
          <w:rFonts w:ascii="Book Antiqua" w:hAnsi="Book Antiqua" w:cs="Times New Roman"/>
          <w:b/>
          <w:color w:val="000000" w:themeColor="text1"/>
          <w:sz w:val="24"/>
          <w:szCs w:val="24"/>
        </w:rPr>
        <w:t xml:space="preserve">) mRNA in THLE-2, HepG2 and HepG2.2.15 cell lines at 4 h post-culture in EBSS. </w:t>
      </w:r>
      <w:r w:rsidRPr="00430F5A">
        <w:rPr>
          <w:rFonts w:ascii="Symbol" w:hAnsi="Symbol" w:cs="Times New Roman"/>
          <w:color w:val="000000" w:themeColor="text1"/>
          <w:sz w:val="24"/>
          <w:szCs w:val="24"/>
        </w:rPr>
        <w:t></w:t>
      </w:r>
      <w:r w:rsidRPr="00DF6624">
        <w:rPr>
          <w:rFonts w:ascii="Book Antiqua" w:hAnsi="Book Antiqua" w:cs="Times New Roman"/>
          <w:color w:val="000000" w:themeColor="text1"/>
          <w:sz w:val="24"/>
          <w:szCs w:val="24"/>
        </w:rPr>
        <w:t>-actin was used as an internal control. Data represent the mean and SE from five independent experiments.</w:t>
      </w:r>
      <w:r w:rsidR="00C61D4B" w:rsidRPr="00DF6624">
        <w:rPr>
          <w:rFonts w:ascii="Book Antiqua" w:hAnsi="Book Antiqua" w:cs="Times New Roman"/>
          <w:color w:val="000000" w:themeColor="text1"/>
          <w:sz w:val="24"/>
          <w:szCs w:val="24"/>
        </w:rPr>
        <w:t xml:space="preserve"> </w:t>
      </w:r>
      <w:r w:rsidRPr="00DF6624">
        <w:rPr>
          <w:rFonts w:ascii="Book Antiqua" w:hAnsi="Book Antiqua" w:cs="Times New Roman"/>
          <w:bCs/>
          <w:color w:val="000000" w:themeColor="text1"/>
          <w:sz w:val="24"/>
          <w:szCs w:val="24"/>
        </w:rPr>
        <w:t xml:space="preserve">Western blotting with specific antibodies was used to analyze </w:t>
      </w:r>
      <w:r w:rsidR="00E9328E" w:rsidRPr="00DF6624">
        <w:rPr>
          <w:rFonts w:ascii="Book Antiqua" w:hAnsi="Book Antiqua" w:cs="Times New Roman"/>
          <w:bCs/>
          <w:color w:val="000000" w:themeColor="text1"/>
          <w:sz w:val="24"/>
          <w:szCs w:val="24"/>
        </w:rPr>
        <w:t xml:space="preserve">ATG12, </w:t>
      </w:r>
      <w:r w:rsidRPr="00DF6624">
        <w:rPr>
          <w:rFonts w:ascii="Book Antiqua" w:hAnsi="Book Antiqua" w:cs="Times New Roman"/>
          <w:bCs/>
          <w:color w:val="000000" w:themeColor="text1"/>
          <w:sz w:val="24"/>
          <w:szCs w:val="24"/>
        </w:rPr>
        <w:t xml:space="preserve">ATG9A and ATG4B protein </w:t>
      </w:r>
      <w:r w:rsidRPr="00DF6624">
        <w:rPr>
          <w:rFonts w:ascii="Book Antiqua" w:hAnsi="Book Antiqua" w:cs="Times New Roman"/>
          <w:bCs/>
          <w:color w:val="000000" w:themeColor="text1"/>
          <w:sz w:val="24"/>
          <w:szCs w:val="24"/>
        </w:rPr>
        <w:lastRenderedPageBreak/>
        <w:t>expression in THLE-2, HepG2 and HepG2.2.15 cells at 4 h post-culture in EBSS</w:t>
      </w:r>
      <w:r w:rsidR="00C61D4B" w:rsidRPr="00DF6624">
        <w:rPr>
          <w:rFonts w:ascii="Book Antiqua" w:hAnsi="Book Antiqua" w:cs="Times New Roman"/>
          <w:bCs/>
          <w:color w:val="000000" w:themeColor="text1"/>
          <w:sz w:val="24"/>
          <w:szCs w:val="24"/>
        </w:rPr>
        <w:t xml:space="preserve"> (F)</w:t>
      </w:r>
      <w:r w:rsidRPr="00DF6624">
        <w:rPr>
          <w:rFonts w:ascii="Book Antiqua" w:hAnsi="Book Antiqua" w:cs="Times New Roman"/>
          <w:bCs/>
          <w:color w:val="000000" w:themeColor="text1"/>
          <w:sz w:val="24"/>
          <w:szCs w:val="24"/>
        </w:rPr>
        <w:t xml:space="preserve">. </w:t>
      </w:r>
      <w:r w:rsidRPr="00DF6624">
        <w:rPr>
          <w:rFonts w:ascii="Book Antiqua" w:hAnsi="Book Antiqua" w:cs="Times New Roman"/>
          <w:color w:val="000000" w:themeColor="text1"/>
          <w:sz w:val="24"/>
          <w:szCs w:val="24"/>
        </w:rPr>
        <w:t xml:space="preserve">GAPDH was used as a protein loading control. </w:t>
      </w:r>
      <w:r w:rsidR="00430F5A">
        <w:rPr>
          <w:rFonts w:ascii="Book Antiqua" w:hAnsi="Book Antiqua" w:cs="Times New Roman"/>
          <w:color w:val="000000" w:themeColor="text1"/>
          <w:sz w:val="24"/>
          <w:szCs w:val="24"/>
        </w:rPr>
        <w:br w:type="page"/>
      </w:r>
    </w:p>
    <w:p w14:paraId="480B4C01" w14:textId="77777777" w:rsidR="00E9328E" w:rsidRPr="00DF6624" w:rsidRDefault="00E9328E" w:rsidP="005C2EDC">
      <w:pPr>
        <w:adjustRightInd w:val="0"/>
        <w:snapToGrid w:val="0"/>
        <w:spacing w:after="0" w:line="360" w:lineRule="auto"/>
        <w:jc w:val="both"/>
        <w:rPr>
          <w:rFonts w:ascii="Book Antiqua" w:hAnsi="Book Antiqua" w:cs="Times New Roman"/>
          <w:color w:val="000000" w:themeColor="text1"/>
          <w:sz w:val="24"/>
          <w:szCs w:val="24"/>
        </w:rPr>
      </w:pPr>
    </w:p>
    <w:p w14:paraId="203E10C8" w14:textId="77777777" w:rsidR="00C61D4B" w:rsidRPr="00DF6624" w:rsidRDefault="00C61D4B" w:rsidP="005C2EDC">
      <w:pPr>
        <w:adjustRightInd w:val="0"/>
        <w:snapToGrid w:val="0"/>
        <w:spacing w:after="0" w:line="360" w:lineRule="auto"/>
        <w:jc w:val="both"/>
        <w:rPr>
          <w:rFonts w:ascii="Book Antiqua" w:hAnsi="Book Antiqua" w:cs="Times New Roman"/>
          <w:b/>
          <w:bCs/>
          <w:color w:val="000000" w:themeColor="text1"/>
          <w:sz w:val="24"/>
          <w:szCs w:val="24"/>
        </w:rPr>
      </w:pPr>
    </w:p>
    <w:p w14:paraId="08168BF3" w14:textId="77777777" w:rsidR="006725C1" w:rsidRPr="00DF6624" w:rsidRDefault="005F4274" w:rsidP="005C2EDC">
      <w:pPr>
        <w:pStyle w:val="Default"/>
        <w:snapToGrid w:val="0"/>
        <w:spacing w:line="360" w:lineRule="auto"/>
        <w:ind w:hanging="1134"/>
        <w:jc w:val="both"/>
        <w:rPr>
          <w:rFonts w:ascii="Book Antiqua" w:hAnsi="Book Antiqua" w:cs="Times New Roman"/>
          <w:b/>
          <w:bCs/>
          <w:color w:val="000000" w:themeColor="text1"/>
          <w:lang w:val="en-US"/>
        </w:rPr>
      </w:pPr>
      <w:r w:rsidRPr="00DF6624">
        <w:rPr>
          <w:rFonts w:ascii="Book Antiqua" w:hAnsi="Book Antiqua" w:cs="Times New Roman"/>
          <w:b/>
          <w:bCs/>
          <w:noProof/>
          <w:color w:val="000000" w:themeColor="text1"/>
          <w:lang w:val="en-US" w:eastAsia="zh-CN" w:bidi="ar-SA"/>
        </w:rPr>
        <w:drawing>
          <wp:inline distT="0" distB="0" distL="0" distR="0" wp14:anchorId="6D300FA4" wp14:editId="67D50667">
            <wp:extent cx="5191918" cy="431035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27-6-16.png"/>
                    <pic:cNvPicPr/>
                  </pic:nvPicPr>
                  <pic:blipFill>
                    <a:blip r:embed="rId9">
                      <a:extLst>
                        <a:ext uri="{28A0092B-C50C-407E-A947-70E740481C1C}">
                          <a14:useLocalDpi xmlns:a14="http://schemas.microsoft.com/office/drawing/2010/main" val="0"/>
                        </a:ext>
                      </a:extLst>
                    </a:blip>
                    <a:stretch>
                      <a:fillRect/>
                    </a:stretch>
                  </pic:blipFill>
                  <pic:spPr>
                    <a:xfrm>
                      <a:off x="0" y="0"/>
                      <a:ext cx="5193520" cy="4311682"/>
                    </a:xfrm>
                    <a:prstGeom prst="rect">
                      <a:avLst/>
                    </a:prstGeom>
                  </pic:spPr>
                </pic:pic>
              </a:graphicData>
            </a:graphic>
          </wp:inline>
        </w:drawing>
      </w:r>
    </w:p>
    <w:p w14:paraId="76F705B6" w14:textId="717D1D20" w:rsidR="00C61D4B" w:rsidRPr="00430F5A" w:rsidRDefault="005F4274" w:rsidP="005C2EDC">
      <w:pPr>
        <w:adjustRightInd w:val="0"/>
        <w:snapToGrid w:val="0"/>
        <w:spacing w:after="0" w:line="360" w:lineRule="auto"/>
        <w:jc w:val="both"/>
        <w:rPr>
          <w:rFonts w:ascii="Book Antiqua" w:eastAsia="宋体" w:hAnsi="Book Antiqua" w:cs="Times New Roman"/>
          <w:color w:val="000000" w:themeColor="text1"/>
          <w:sz w:val="24"/>
          <w:szCs w:val="24"/>
          <w:lang w:eastAsia="zh-CN"/>
        </w:rPr>
      </w:pPr>
      <w:r w:rsidRPr="00430F5A">
        <w:rPr>
          <w:rFonts w:ascii="Book Antiqua" w:hAnsi="Book Antiqua" w:cs="Times New Roman"/>
          <w:b/>
          <w:bCs/>
          <w:color w:val="000000" w:themeColor="text1"/>
          <w:sz w:val="24"/>
          <w:szCs w:val="24"/>
        </w:rPr>
        <w:t xml:space="preserve">Figure </w:t>
      </w:r>
      <w:r w:rsidR="00C61D4B" w:rsidRPr="00430F5A">
        <w:rPr>
          <w:rFonts w:ascii="Book Antiqua" w:hAnsi="Book Antiqua" w:cs="Times New Roman"/>
          <w:b/>
          <w:bCs/>
          <w:color w:val="000000" w:themeColor="text1"/>
          <w:sz w:val="24"/>
          <w:szCs w:val="24"/>
        </w:rPr>
        <w:t xml:space="preserve">2 Quantification of ATG5-ATG12 protein levels from </w:t>
      </w:r>
      <w:r w:rsidR="00430F5A" w:rsidRPr="00430F5A">
        <w:rPr>
          <w:rFonts w:ascii="Book Antiqua" w:hAnsi="Book Antiqua" w:cs="Times New Roman"/>
          <w:b/>
          <w:bCs/>
          <w:color w:val="000000" w:themeColor="text1"/>
          <w:sz w:val="24"/>
          <w:szCs w:val="24"/>
        </w:rPr>
        <w:t>hepatitis B virus</w:t>
      </w:r>
      <w:r w:rsidR="00C61D4B" w:rsidRPr="00430F5A">
        <w:rPr>
          <w:rFonts w:ascii="Book Antiqua" w:hAnsi="Book Antiqua" w:cs="Times New Roman"/>
          <w:b/>
          <w:bCs/>
          <w:color w:val="000000" w:themeColor="text1"/>
          <w:sz w:val="24"/>
          <w:szCs w:val="24"/>
        </w:rPr>
        <w:t>-infected</w:t>
      </w:r>
      <w:r w:rsidR="00430F5A" w:rsidRPr="00430F5A">
        <w:rPr>
          <w:rFonts w:ascii="Book Antiqua" w:eastAsia="宋体" w:hAnsi="Book Antiqua" w:cs="Times New Roman" w:hint="eastAsia"/>
          <w:b/>
          <w:bCs/>
          <w:color w:val="000000" w:themeColor="text1"/>
          <w:sz w:val="24"/>
          <w:szCs w:val="24"/>
          <w:lang w:eastAsia="zh-CN"/>
        </w:rPr>
        <w:t xml:space="preserve"> </w:t>
      </w:r>
      <w:r w:rsidR="00430F5A" w:rsidRPr="00430F5A">
        <w:rPr>
          <w:rFonts w:ascii="Book Antiqua" w:hAnsi="Book Antiqua" w:cs="Times New Roman"/>
          <w:b/>
          <w:bCs/>
          <w:color w:val="000000" w:themeColor="text1"/>
          <w:sz w:val="24"/>
          <w:szCs w:val="24"/>
        </w:rPr>
        <w:t xml:space="preserve">hepatocellular carcinoma </w:t>
      </w:r>
      <w:r w:rsidR="00C61D4B" w:rsidRPr="00430F5A">
        <w:rPr>
          <w:rFonts w:ascii="Book Antiqua" w:hAnsi="Book Antiqua" w:cs="Times New Roman"/>
          <w:b/>
          <w:bCs/>
          <w:color w:val="000000" w:themeColor="text1"/>
          <w:sz w:val="24"/>
          <w:szCs w:val="24"/>
        </w:rPr>
        <w:t xml:space="preserve">patients </w:t>
      </w:r>
      <w:r w:rsidR="005B3C27" w:rsidRPr="00430F5A">
        <w:rPr>
          <w:rFonts w:ascii="Book Antiqua" w:hAnsi="Book Antiqua" w:cs="Times New Roman"/>
          <w:b/>
          <w:bCs/>
          <w:color w:val="000000" w:themeColor="text1"/>
          <w:sz w:val="24"/>
          <w:szCs w:val="24"/>
        </w:rPr>
        <w:t>and non-</w:t>
      </w:r>
      <w:r w:rsidR="00430F5A" w:rsidRPr="00430F5A">
        <w:rPr>
          <w:rFonts w:ascii="Book Antiqua" w:hAnsi="Book Antiqua" w:cs="Times New Roman"/>
          <w:b/>
          <w:bCs/>
          <w:color w:val="000000" w:themeColor="text1"/>
          <w:sz w:val="24"/>
          <w:szCs w:val="24"/>
        </w:rPr>
        <w:t xml:space="preserve">hepatitis B virus hepatocellular carcinoma </w:t>
      </w:r>
      <w:r w:rsidR="005B3C27" w:rsidRPr="00430F5A">
        <w:rPr>
          <w:rFonts w:ascii="Book Antiqua" w:hAnsi="Book Antiqua" w:cs="Times New Roman"/>
          <w:b/>
          <w:bCs/>
          <w:color w:val="000000" w:themeColor="text1"/>
          <w:sz w:val="24"/>
          <w:szCs w:val="24"/>
        </w:rPr>
        <w:t xml:space="preserve">patients. </w:t>
      </w:r>
      <w:r w:rsidR="00C61D4B" w:rsidRPr="00DF6624">
        <w:rPr>
          <w:rFonts w:ascii="Book Antiqua" w:hAnsi="Book Antiqua" w:cs="Times New Roman"/>
          <w:color w:val="000000" w:themeColor="text1"/>
          <w:sz w:val="24"/>
          <w:szCs w:val="24"/>
        </w:rPr>
        <w:t>Western blotting with specific</w:t>
      </w:r>
      <w:r w:rsidR="00430F5A">
        <w:rPr>
          <w:rFonts w:ascii="Book Antiqua" w:eastAsia="宋体" w:hAnsi="Book Antiqua" w:cs="Times New Roman" w:hint="eastAsia"/>
          <w:color w:val="000000" w:themeColor="text1"/>
          <w:sz w:val="24"/>
          <w:szCs w:val="24"/>
          <w:lang w:eastAsia="zh-CN"/>
        </w:rPr>
        <w:t xml:space="preserve"> </w:t>
      </w:r>
      <w:r w:rsidR="005B3C27" w:rsidRPr="00DF6624">
        <w:rPr>
          <w:rFonts w:ascii="Book Antiqua" w:hAnsi="Book Antiqua" w:cs="Times New Roman"/>
          <w:color w:val="000000" w:themeColor="text1"/>
          <w:sz w:val="24"/>
          <w:szCs w:val="24"/>
        </w:rPr>
        <w:t>a</w:t>
      </w:r>
      <w:r w:rsidR="00C61D4B" w:rsidRPr="00DF6624">
        <w:rPr>
          <w:rFonts w:ascii="Book Antiqua" w:hAnsi="Book Antiqua" w:cs="Times New Roman"/>
          <w:color w:val="000000" w:themeColor="text1"/>
          <w:sz w:val="24"/>
          <w:szCs w:val="24"/>
        </w:rPr>
        <w:t>ntibodies was used to a</w:t>
      </w:r>
      <w:r w:rsidR="00CA0225" w:rsidRPr="00DF6624">
        <w:rPr>
          <w:rFonts w:ascii="Book Antiqua" w:hAnsi="Book Antiqua" w:cs="Times New Roman"/>
          <w:color w:val="000000" w:themeColor="text1"/>
          <w:sz w:val="24"/>
          <w:szCs w:val="24"/>
        </w:rPr>
        <w:t xml:space="preserve">nalyze ATG12 protein expression in </w:t>
      </w:r>
      <w:r w:rsidR="00C61D4B" w:rsidRPr="00DF6624">
        <w:rPr>
          <w:rFonts w:ascii="Book Antiqua" w:hAnsi="Book Antiqua" w:cs="Times New Roman"/>
          <w:color w:val="000000" w:themeColor="text1"/>
          <w:sz w:val="24"/>
          <w:szCs w:val="24"/>
        </w:rPr>
        <w:t>HBV-</w:t>
      </w:r>
      <w:r w:rsidR="00CA0225" w:rsidRPr="00DF6624">
        <w:rPr>
          <w:rFonts w:ascii="Book Antiqua" w:hAnsi="Book Antiqua" w:cs="Times New Roman"/>
          <w:color w:val="000000" w:themeColor="text1"/>
          <w:sz w:val="24"/>
          <w:szCs w:val="24"/>
        </w:rPr>
        <w:t>associated HCC and non-HBV HCC.</w:t>
      </w:r>
      <w:r w:rsidR="00DF6624" w:rsidRPr="00DF6624">
        <w:rPr>
          <w:rFonts w:ascii="Book Antiqua" w:hAnsi="Book Antiqua" w:cs="Times New Roman"/>
          <w:i/>
          <w:color w:val="000000" w:themeColor="text1"/>
          <w:sz w:val="24"/>
          <w:szCs w:val="24"/>
        </w:rPr>
        <w:t xml:space="preserve"> </w:t>
      </w:r>
      <w:r w:rsidR="005B3C27" w:rsidRPr="00DF6624">
        <w:rPr>
          <w:rFonts w:ascii="Book Antiqua" w:hAnsi="Book Antiqua" w:cs="Times New Roman"/>
          <w:color w:val="000000" w:themeColor="text1"/>
          <w:sz w:val="24"/>
          <w:szCs w:val="24"/>
        </w:rPr>
        <w:t>G</w:t>
      </w:r>
      <w:r w:rsidR="00C61D4B" w:rsidRPr="00DF6624">
        <w:rPr>
          <w:rFonts w:ascii="Book Antiqua" w:hAnsi="Book Antiqua" w:cs="Times New Roman"/>
          <w:color w:val="000000" w:themeColor="text1"/>
          <w:sz w:val="24"/>
          <w:szCs w:val="24"/>
        </w:rPr>
        <w:t xml:space="preserve">APDH was used </w:t>
      </w:r>
      <w:r w:rsidR="00CA0225" w:rsidRPr="00DF6624">
        <w:rPr>
          <w:rFonts w:ascii="Book Antiqua" w:hAnsi="Book Antiqua" w:cs="Times New Roman"/>
          <w:color w:val="000000" w:themeColor="text1"/>
          <w:sz w:val="24"/>
          <w:szCs w:val="24"/>
        </w:rPr>
        <w:t>as a protein loading control</w:t>
      </w:r>
      <w:r w:rsidR="00C61D4B" w:rsidRPr="00DF6624">
        <w:rPr>
          <w:rFonts w:ascii="Book Antiqua" w:hAnsi="Book Antiqua" w:cs="Times New Roman"/>
          <w:color w:val="000000" w:themeColor="text1"/>
          <w:sz w:val="24"/>
          <w:szCs w:val="24"/>
        </w:rPr>
        <w:t>.</w:t>
      </w:r>
      <w:r w:rsidR="00DF6624" w:rsidRPr="00DF6624">
        <w:rPr>
          <w:rFonts w:ascii="Book Antiqua" w:hAnsi="Book Antiqua" w:cs="Times New Roman"/>
          <w:i/>
          <w:color w:val="000000" w:themeColor="text1"/>
          <w:sz w:val="24"/>
          <w:szCs w:val="24"/>
        </w:rPr>
        <w:t xml:space="preserve"> </w:t>
      </w:r>
      <w:r w:rsidR="005B3C27" w:rsidRPr="00DF6624">
        <w:rPr>
          <w:rFonts w:ascii="Book Antiqua" w:hAnsi="Book Antiqua" w:cs="Times New Roman"/>
          <w:color w:val="000000" w:themeColor="text1"/>
          <w:sz w:val="24"/>
          <w:szCs w:val="24"/>
        </w:rPr>
        <w:t xml:space="preserve">Graphs showing the </w:t>
      </w:r>
      <w:r w:rsidR="00C61D4B" w:rsidRPr="00DF6624">
        <w:rPr>
          <w:rFonts w:ascii="Book Antiqua" w:hAnsi="Book Antiqua" w:cs="Times New Roman"/>
          <w:color w:val="000000" w:themeColor="text1"/>
          <w:sz w:val="24"/>
          <w:szCs w:val="24"/>
        </w:rPr>
        <w:t>intensity band ratio (tumor tissue/adjacent non-tumor tissue) quantified using the LI-COR</w:t>
      </w:r>
      <w:r w:rsidR="00C61D4B" w:rsidRPr="00430F5A">
        <w:rPr>
          <w:rFonts w:ascii="Book Antiqua" w:hAnsi="Book Antiqua" w:cs="Times New Roman"/>
          <w:color w:val="000000" w:themeColor="text1"/>
          <w:sz w:val="24"/>
          <w:szCs w:val="24"/>
          <w:vertAlign w:val="superscript"/>
        </w:rPr>
        <w:t>®</w:t>
      </w:r>
      <w:r w:rsidR="00C61D4B" w:rsidRPr="00DF6624">
        <w:rPr>
          <w:rFonts w:ascii="Book Antiqua" w:hAnsi="Book Antiqua" w:cs="Times New Roman"/>
          <w:color w:val="000000" w:themeColor="text1"/>
          <w:sz w:val="24"/>
          <w:szCs w:val="24"/>
        </w:rPr>
        <w:t xml:space="preserve"> image system from western blot </w:t>
      </w:r>
      <w:r w:rsidR="00CA0225" w:rsidRPr="00DF6624">
        <w:rPr>
          <w:rFonts w:ascii="Book Antiqua" w:hAnsi="Book Antiqua" w:cs="Times New Roman"/>
          <w:color w:val="000000" w:themeColor="text1"/>
          <w:sz w:val="24"/>
          <w:szCs w:val="24"/>
        </w:rPr>
        <w:t>analysis were shown in A and B</w:t>
      </w:r>
      <w:r w:rsidR="00C61D4B" w:rsidRPr="00DF6624">
        <w:rPr>
          <w:rFonts w:ascii="Book Antiqua" w:hAnsi="Book Antiqua" w:cs="Times New Roman"/>
          <w:color w:val="000000" w:themeColor="text1"/>
          <w:sz w:val="24"/>
          <w:szCs w:val="24"/>
        </w:rPr>
        <w:t>.</w:t>
      </w:r>
      <w:r w:rsidR="00DF6624" w:rsidRPr="00DF6624">
        <w:rPr>
          <w:rFonts w:ascii="Book Antiqua" w:hAnsi="Book Antiqua" w:cs="Times New Roman"/>
          <w:i/>
          <w:color w:val="000000" w:themeColor="text1"/>
          <w:sz w:val="24"/>
          <w:szCs w:val="24"/>
        </w:rPr>
        <w:t xml:space="preserve"> </w:t>
      </w:r>
      <w:r w:rsidR="00CA0225" w:rsidRPr="00DF6624">
        <w:rPr>
          <w:rFonts w:ascii="Book Antiqua" w:hAnsi="Book Antiqua" w:cs="Times New Roman"/>
          <w:color w:val="000000" w:themeColor="text1"/>
          <w:sz w:val="24"/>
          <w:szCs w:val="24"/>
        </w:rPr>
        <w:t xml:space="preserve">Representative </w:t>
      </w:r>
      <w:r w:rsidR="00432F4D" w:rsidRPr="00DF6624">
        <w:rPr>
          <w:rFonts w:ascii="Book Antiqua" w:hAnsi="Book Antiqua" w:cs="Times New Roman"/>
          <w:color w:val="000000" w:themeColor="text1"/>
          <w:sz w:val="24"/>
          <w:szCs w:val="24"/>
        </w:rPr>
        <w:t>western blot results</w:t>
      </w:r>
      <w:r w:rsidR="00430F5A">
        <w:rPr>
          <w:rFonts w:ascii="Book Antiqua" w:hAnsi="Book Antiqua" w:cs="Times New Roman"/>
          <w:color w:val="000000" w:themeColor="text1"/>
          <w:sz w:val="24"/>
          <w:szCs w:val="24"/>
        </w:rPr>
        <w:t xml:space="preserve"> were </w:t>
      </w:r>
      <w:r w:rsidR="00CA0225" w:rsidRPr="00DF6624">
        <w:rPr>
          <w:rFonts w:ascii="Book Antiqua" w:hAnsi="Book Antiqua" w:cs="Times New Roman"/>
          <w:color w:val="000000" w:themeColor="text1"/>
          <w:sz w:val="24"/>
          <w:szCs w:val="24"/>
        </w:rPr>
        <w:t>shown in C.</w:t>
      </w:r>
      <w:r w:rsidR="00C61D4B" w:rsidRPr="00DF6624">
        <w:rPr>
          <w:rFonts w:ascii="Book Antiqua" w:hAnsi="Book Antiqua" w:cs="Times New Roman"/>
          <w:color w:val="000000" w:themeColor="text1"/>
          <w:sz w:val="24"/>
          <w:szCs w:val="24"/>
        </w:rPr>
        <w:t xml:space="preserve"> </w:t>
      </w:r>
      <w:r w:rsidR="00430F5A" w:rsidRPr="00DF6624">
        <w:rPr>
          <w:rFonts w:ascii="Book Antiqua" w:hAnsi="Book Antiqua" w:cs="Times New Roman"/>
          <w:color w:val="000000" w:themeColor="text1"/>
          <w:sz w:val="24"/>
          <w:szCs w:val="24"/>
        </w:rPr>
        <w:t>HBV</w:t>
      </w:r>
      <w:r w:rsidR="00430F5A">
        <w:rPr>
          <w:rFonts w:ascii="Book Antiqua" w:eastAsia="宋体" w:hAnsi="Book Antiqua" w:cs="Times New Roman" w:hint="eastAsia"/>
          <w:color w:val="000000" w:themeColor="text1"/>
          <w:sz w:val="24"/>
          <w:szCs w:val="24"/>
          <w:lang w:eastAsia="zh-CN"/>
        </w:rPr>
        <w:t xml:space="preserve">: </w:t>
      </w:r>
      <w:r w:rsidR="00430F5A" w:rsidRPr="00430F5A">
        <w:rPr>
          <w:rFonts w:ascii="Book Antiqua" w:hAnsi="Book Antiqua" w:cs="Times New Roman"/>
          <w:bCs/>
          <w:caps/>
          <w:color w:val="000000" w:themeColor="text1"/>
          <w:sz w:val="24"/>
          <w:szCs w:val="24"/>
        </w:rPr>
        <w:t>h</w:t>
      </w:r>
      <w:r w:rsidR="00430F5A" w:rsidRPr="00430F5A">
        <w:rPr>
          <w:rFonts w:ascii="Book Antiqua" w:hAnsi="Book Antiqua" w:cs="Times New Roman"/>
          <w:bCs/>
          <w:color w:val="000000" w:themeColor="text1"/>
          <w:sz w:val="24"/>
          <w:szCs w:val="24"/>
        </w:rPr>
        <w:t>epatitis B virus</w:t>
      </w:r>
      <w:r w:rsidR="00430F5A" w:rsidRPr="00430F5A">
        <w:rPr>
          <w:rFonts w:ascii="Book Antiqua" w:eastAsia="宋体" w:hAnsi="Book Antiqua" w:cs="Times New Roman" w:hint="eastAsia"/>
          <w:bCs/>
          <w:color w:val="000000" w:themeColor="text1"/>
          <w:sz w:val="24"/>
          <w:szCs w:val="24"/>
          <w:lang w:eastAsia="zh-CN"/>
        </w:rPr>
        <w:t xml:space="preserve">; </w:t>
      </w:r>
      <w:r w:rsidR="00430F5A" w:rsidRPr="00DF6624">
        <w:rPr>
          <w:rFonts w:ascii="Book Antiqua" w:hAnsi="Book Antiqua" w:cs="Times New Roman"/>
          <w:color w:val="000000" w:themeColor="text1"/>
          <w:sz w:val="24"/>
          <w:szCs w:val="24"/>
        </w:rPr>
        <w:t>HCC</w:t>
      </w:r>
      <w:r w:rsidR="00430F5A">
        <w:rPr>
          <w:rFonts w:ascii="Book Antiqua" w:eastAsia="宋体" w:hAnsi="Book Antiqua" w:cs="Times New Roman" w:hint="eastAsia"/>
          <w:color w:val="000000" w:themeColor="text1"/>
          <w:sz w:val="24"/>
          <w:szCs w:val="24"/>
          <w:lang w:eastAsia="zh-CN"/>
        </w:rPr>
        <w:t xml:space="preserve">: </w:t>
      </w:r>
      <w:r w:rsidR="00430F5A" w:rsidRPr="00430F5A">
        <w:rPr>
          <w:rFonts w:ascii="Book Antiqua" w:eastAsia="宋体" w:hAnsi="Book Antiqua" w:cs="Times New Roman"/>
          <w:caps/>
          <w:color w:val="000000" w:themeColor="text1"/>
          <w:sz w:val="24"/>
          <w:szCs w:val="24"/>
          <w:lang w:eastAsia="zh-CN"/>
        </w:rPr>
        <w:t>h</w:t>
      </w:r>
      <w:r w:rsidR="00430F5A" w:rsidRPr="00430F5A">
        <w:rPr>
          <w:rFonts w:ascii="Book Antiqua" w:eastAsia="宋体" w:hAnsi="Book Antiqua" w:cs="Times New Roman"/>
          <w:color w:val="000000" w:themeColor="text1"/>
          <w:sz w:val="24"/>
          <w:szCs w:val="24"/>
          <w:lang w:eastAsia="zh-CN"/>
        </w:rPr>
        <w:t>epatocellular carcinoma</w:t>
      </w:r>
      <w:r w:rsidR="00430F5A">
        <w:rPr>
          <w:rFonts w:ascii="Book Antiqua" w:eastAsia="宋体" w:hAnsi="Book Antiqua" w:cs="Times New Roman" w:hint="eastAsia"/>
          <w:color w:val="000000" w:themeColor="text1"/>
          <w:sz w:val="24"/>
          <w:szCs w:val="24"/>
          <w:lang w:eastAsia="zh-CN"/>
        </w:rPr>
        <w:t>.</w:t>
      </w:r>
    </w:p>
    <w:p w14:paraId="7DA303D6" w14:textId="31BA9724" w:rsidR="00430F5A" w:rsidRDefault="00430F5A"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14:paraId="5E452022" w14:textId="77777777" w:rsidR="00C61D4B" w:rsidRPr="00DF6624" w:rsidRDefault="00C61D4B"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p>
    <w:p w14:paraId="71D71828" w14:textId="77777777" w:rsidR="00C61D4B" w:rsidRPr="00430F5A" w:rsidRDefault="00C61D4B" w:rsidP="005C2EDC">
      <w:pPr>
        <w:adjustRightInd w:val="0"/>
        <w:snapToGrid w:val="0"/>
        <w:spacing w:after="0" w:line="360" w:lineRule="auto"/>
        <w:jc w:val="both"/>
        <w:rPr>
          <w:rFonts w:ascii="Book Antiqua" w:eastAsia="宋体" w:hAnsi="Book Antiqua" w:cs="Times New Roman"/>
          <w:color w:val="000000" w:themeColor="text1"/>
          <w:sz w:val="24"/>
          <w:szCs w:val="24"/>
          <w:lang w:eastAsia="zh-CN"/>
        </w:rPr>
      </w:pPr>
    </w:p>
    <w:p w14:paraId="63C6BAA1" w14:textId="77777777" w:rsidR="005F4274" w:rsidRPr="00DF6624" w:rsidRDefault="005F4274"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r w:rsidRPr="00DF6624">
        <w:rPr>
          <w:rFonts w:ascii="Book Antiqua" w:hAnsi="Book Antiqua" w:cs="Times New Roman"/>
          <w:b/>
          <w:bCs/>
          <w:noProof/>
          <w:color w:val="000000" w:themeColor="text1"/>
          <w:sz w:val="24"/>
          <w:szCs w:val="24"/>
          <w:lang w:eastAsia="zh-CN" w:bidi="ar-SA"/>
        </w:rPr>
        <w:drawing>
          <wp:inline distT="0" distB="0" distL="0" distR="0" wp14:anchorId="7263991F" wp14:editId="71F63631">
            <wp:extent cx="5248275" cy="1914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ng"/>
                    <pic:cNvPicPr/>
                  </pic:nvPicPr>
                  <pic:blipFill>
                    <a:blip r:embed="rId10">
                      <a:extLst>
                        <a:ext uri="{28A0092B-C50C-407E-A947-70E740481C1C}">
                          <a14:useLocalDpi xmlns:a14="http://schemas.microsoft.com/office/drawing/2010/main" val="0"/>
                        </a:ext>
                      </a:extLst>
                    </a:blip>
                    <a:stretch>
                      <a:fillRect/>
                    </a:stretch>
                  </pic:blipFill>
                  <pic:spPr>
                    <a:xfrm>
                      <a:off x="0" y="0"/>
                      <a:ext cx="5248275" cy="1914525"/>
                    </a:xfrm>
                    <a:prstGeom prst="rect">
                      <a:avLst/>
                    </a:prstGeom>
                  </pic:spPr>
                </pic:pic>
              </a:graphicData>
            </a:graphic>
          </wp:inline>
        </w:drawing>
      </w:r>
    </w:p>
    <w:p w14:paraId="59F29551" w14:textId="5963FBB1"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t xml:space="preserve">Figure </w:t>
      </w:r>
      <w:r w:rsidR="005F4274" w:rsidRPr="00DF6624">
        <w:rPr>
          <w:rFonts w:ascii="Book Antiqua" w:hAnsi="Book Antiqua" w:cs="Times New Roman"/>
          <w:b/>
          <w:color w:val="000000" w:themeColor="text1"/>
          <w:sz w:val="24"/>
          <w:szCs w:val="24"/>
        </w:rPr>
        <w:t>3</w:t>
      </w:r>
      <w:r w:rsidRPr="00DF6624">
        <w:rPr>
          <w:rFonts w:ascii="Book Antiqua" w:hAnsi="Book Antiqua" w:cs="Times New Roman"/>
          <w:b/>
          <w:color w:val="000000" w:themeColor="text1"/>
          <w:sz w:val="24"/>
          <w:szCs w:val="24"/>
        </w:rPr>
        <w:t xml:space="preserve"> Quantitative real-time </w:t>
      </w:r>
      <w:r w:rsidR="00430F5A" w:rsidRPr="00430F5A">
        <w:rPr>
          <w:rFonts w:ascii="Book Antiqua" w:hAnsi="Book Antiqua" w:cs="Times New Roman"/>
          <w:b/>
          <w:color w:val="000000" w:themeColor="text1"/>
          <w:sz w:val="24"/>
          <w:szCs w:val="24"/>
        </w:rPr>
        <w:t>real-time reverse transcriptase–polymerase chain reaction</w:t>
      </w:r>
      <w:r w:rsidRPr="00DF6624">
        <w:rPr>
          <w:rFonts w:ascii="Book Antiqua" w:hAnsi="Book Antiqua" w:cs="Times New Roman"/>
          <w:b/>
          <w:color w:val="000000" w:themeColor="text1"/>
          <w:sz w:val="24"/>
          <w:szCs w:val="24"/>
        </w:rPr>
        <w:t xml:space="preserve"> analysis of Beclin-1 (A) and ATG12 (B) mRNA expression in HepG2-GFP and HepG2-HBx transfected cell lines. </w:t>
      </w:r>
      <w:r w:rsidRPr="00DF6624">
        <w:rPr>
          <w:rFonts w:ascii="Symbol" w:hAnsi="Symbol" w:cs="Times New Roman"/>
          <w:color w:val="000000" w:themeColor="text1"/>
          <w:sz w:val="24"/>
          <w:szCs w:val="24"/>
        </w:rPr>
        <w:t></w:t>
      </w:r>
      <w:r w:rsidRPr="00DF6624">
        <w:rPr>
          <w:rFonts w:ascii="Book Antiqua" w:hAnsi="Book Antiqua" w:cs="Times New Roman"/>
          <w:color w:val="000000" w:themeColor="text1"/>
          <w:sz w:val="24"/>
          <w:szCs w:val="24"/>
        </w:rPr>
        <w:t>-actin was used as an internal control. Data represent the mean and SE from three independent experiments.</w:t>
      </w:r>
    </w:p>
    <w:p w14:paraId="4A5734AB" w14:textId="17DEEDB0" w:rsidR="00430F5A" w:rsidRDefault="00430F5A" w:rsidP="005C2EDC">
      <w:pPr>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14:paraId="5E51467D" w14:textId="77777777" w:rsidR="00E9328E" w:rsidRPr="00DF6624" w:rsidRDefault="00E9328E" w:rsidP="005C2EDC">
      <w:pPr>
        <w:adjustRightInd w:val="0"/>
        <w:snapToGrid w:val="0"/>
        <w:spacing w:after="0" w:line="360" w:lineRule="auto"/>
        <w:jc w:val="both"/>
        <w:rPr>
          <w:rFonts w:ascii="Book Antiqua" w:hAnsi="Book Antiqua" w:cs="Times New Roman"/>
          <w:b/>
          <w:bCs/>
          <w:color w:val="000000" w:themeColor="text1"/>
          <w:sz w:val="24"/>
          <w:szCs w:val="24"/>
        </w:rPr>
      </w:pPr>
    </w:p>
    <w:p w14:paraId="0E8C61B6" w14:textId="77777777" w:rsidR="006725C1" w:rsidRPr="00DF6624" w:rsidRDefault="00E9328E"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r w:rsidRPr="00DF6624">
        <w:rPr>
          <w:rFonts w:ascii="Book Antiqua" w:hAnsi="Book Antiqua" w:cs="Times New Roman"/>
          <w:b/>
          <w:bCs/>
          <w:noProof/>
          <w:color w:val="000000" w:themeColor="text1"/>
          <w:sz w:val="24"/>
          <w:szCs w:val="24"/>
          <w:lang w:eastAsia="zh-CN" w:bidi="ar-SA"/>
        </w:rPr>
        <w:drawing>
          <wp:inline distT="0" distB="0" distL="0" distR="0" wp14:anchorId="0D89E06D" wp14:editId="7D737B5A">
            <wp:extent cx="5268130" cy="6019164"/>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3revised.png"/>
                    <pic:cNvPicPr/>
                  </pic:nvPicPr>
                  <pic:blipFill rotWithShape="1">
                    <a:blip r:embed="rId11">
                      <a:extLst>
                        <a:ext uri="{28A0092B-C50C-407E-A947-70E740481C1C}">
                          <a14:useLocalDpi xmlns:a14="http://schemas.microsoft.com/office/drawing/2010/main" val="0"/>
                        </a:ext>
                      </a:extLst>
                    </a:blip>
                    <a:srcRect l="1002" t="1229" r="1914" b="1662"/>
                    <a:stretch/>
                  </pic:blipFill>
                  <pic:spPr bwMode="auto">
                    <a:xfrm>
                      <a:off x="0" y="0"/>
                      <a:ext cx="5276820" cy="6029093"/>
                    </a:xfrm>
                    <a:prstGeom prst="rect">
                      <a:avLst/>
                    </a:prstGeom>
                    <a:ln>
                      <a:noFill/>
                    </a:ln>
                    <a:extLst>
                      <a:ext uri="{53640926-AAD7-44D8-BBD7-CCE9431645EC}">
                        <a14:shadowObscured xmlns:a14="http://schemas.microsoft.com/office/drawing/2010/main"/>
                      </a:ext>
                    </a:extLst>
                  </pic:spPr>
                </pic:pic>
              </a:graphicData>
            </a:graphic>
          </wp:inline>
        </w:drawing>
      </w:r>
    </w:p>
    <w:p w14:paraId="3A8D3193" w14:textId="77777777" w:rsidR="00E9328E" w:rsidRPr="00DF6624" w:rsidRDefault="00E9328E" w:rsidP="005C2EDC">
      <w:pPr>
        <w:adjustRightInd w:val="0"/>
        <w:snapToGrid w:val="0"/>
        <w:spacing w:after="0" w:line="360" w:lineRule="auto"/>
        <w:jc w:val="both"/>
        <w:rPr>
          <w:rFonts w:ascii="Book Antiqua" w:hAnsi="Book Antiqua" w:cs="Times New Roman"/>
          <w:b/>
          <w:bCs/>
          <w:color w:val="000000" w:themeColor="text1"/>
          <w:sz w:val="24"/>
          <w:szCs w:val="24"/>
        </w:rPr>
      </w:pPr>
    </w:p>
    <w:p w14:paraId="55B39F8E" w14:textId="10CC6F09" w:rsidR="00430F5A"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 xml:space="preserve">Figure </w:t>
      </w:r>
      <w:r w:rsidR="005F4274" w:rsidRPr="00DF6624">
        <w:rPr>
          <w:rFonts w:ascii="Book Antiqua" w:hAnsi="Book Antiqua" w:cs="Times New Roman"/>
          <w:b/>
          <w:bCs/>
          <w:color w:val="000000" w:themeColor="text1"/>
          <w:sz w:val="24"/>
          <w:szCs w:val="24"/>
        </w:rPr>
        <w:t>4</w:t>
      </w:r>
      <w:r w:rsidRPr="00DF6624">
        <w:rPr>
          <w:rFonts w:ascii="Book Antiqua" w:hAnsi="Book Antiqua" w:cs="Times New Roman"/>
          <w:b/>
          <w:color w:val="000000" w:themeColor="text1"/>
          <w:sz w:val="24"/>
          <w:szCs w:val="24"/>
        </w:rPr>
        <w:t xml:space="preserve"> </w:t>
      </w:r>
      <w:r w:rsidR="00E9328E" w:rsidRPr="00DF6624">
        <w:rPr>
          <w:rFonts w:ascii="Book Antiqua" w:hAnsi="Book Antiqua" w:cs="Times New Roman"/>
          <w:b/>
          <w:color w:val="000000" w:themeColor="text1"/>
          <w:sz w:val="24"/>
          <w:szCs w:val="24"/>
        </w:rPr>
        <w:t>Apoptosis assays of HepG2 and HepG2.2.15 cells transfected w</w:t>
      </w:r>
      <w:r w:rsidR="00914CD4" w:rsidRPr="00DF6624">
        <w:rPr>
          <w:rFonts w:ascii="Book Antiqua" w:hAnsi="Book Antiqua" w:cs="Times New Roman"/>
          <w:b/>
          <w:color w:val="000000" w:themeColor="text1"/>
          <w:sz w:val="24"/>
          <w:szCs w:val="24"/>
        </w:rPr>
        <w:t xml:space="preserve">ith shATG12 or shNeg (control). </w:t>
      </w:r>
      <w:r w:rsidR="00430F5A" w:rsidRPr="00430F5A">
        <w:rPr>
          <w:rFonts w:ascii="Book Antiqua" w:eastAsia="宋体" w:hAnsi="Book Antiqua" w:cs="Times New Roman" w:hint="eastAsia"/>
          <w:caps/>
          <w:color w:val="000000" w:themeColor="text1"/>
          <w:sz w:val="24"/>
          <w:szCs w:val="24"/>
          <w:lang w:eastAsia="zh-CN"/>
        </w:rPr>
        <w:t>a:</w:t>
      </w:r>
      <w:r w:rsidR="00430F5A">
        <w:rPr>
          <w:rFonts w:ascii="Book Antiqua" w:eastAsia="宋体" w:hAnsi="Book Antiqua" w:cs="Times New Roman" w:hint="eastAsia"/>
          <w:b/>
          <w:caps/>
          <w:color w:val="000000" w:themeColor="text1"/>
          <w:sz w:val="24"/>
          <w:szCs w:val="24"/>
          <w:lang w:eastAsia="zh-CN"/>
        </w:rPr>
        <w:t xml:space="preserve"> </w:t>
      </w:r>
      <w:r w:rsidRPr="00DF6624">
        <w:rPr>
          <w:rFonts w:ascii="Book Antiqua" w:hAnsi="Book Antiqua" w:cs="Times New Roman"/>
          <w:bCs/>
          <w:color w:val="000000" w:themeColor="text1"/>
          <w:sz w:val="24"/>
          <w:szCs w:val="24"/>
        </w:rPr>
        <w:t>Suppression of ATG12 expression</w:t>
      </w:r>
      <w:r w:rsidR="00572763" w:rsidRPr="00DF6624">
        <w:rPr>
          <w:rFonts w:ascii="Book Antiqua" w:hAnsi="Book Antiqua" w:cs="Times New Roman"/>
          <w:bCs/>
          <w:color w:val="000000" w:themeColor="text1"/>
          <w:sz w:val="24"/>
          <w:szCs w:val="24"/>
        </w:rPr>
        <w:t xml:space="preserve"> was done</w:t>
      </w:r>
      <w:r w:rsidRPr="00DF6624">
        <w:rPr>
          <w:rFonts w:ascii="Book Antiqua" w:hAnsi="Book Antiqua" w:cs="Times New Roman"/>
          <w:bCs/>
          <w:color w:val="000000" w:themeColor="text1"/>
          <w:sz w:val="24"/>
          <w:szCs w:val="24"/>
        </w:rPr>
        <w:t xml:space="preserve"> by RNA interference. </w:t>
      </w:r>
      <w:r w:rsidRPr="00DF6624">
        <w:rPr>
          <w:rFonts w:ascii="Book Antiqua" w:hAnsi="Book Antiqua" w:cs="Times New Roman"/>
          <w:color w:val="000000" w:themeColor="text1"/>
          <w:sz w:val="24"/>
          <w:szCs w:val="24"/>
        </w:rPr>
        <w:t>Western blotting was used to analyze ATG12 proteins from mock treatment (control) and ATG</w:t>
      </w:r>
      <w:r w:rsidR="00970737" w:rsidRPr="00DF6624">
        <w:rPr>
          <w:rFonts w:ascii="Book Antiqua" w:hAnsi="Book Antiqua" w:cs="Times New Roman"/>
          <w:color w:val="000000" w:themeColor="text1"/>
          <w:sz w:val="24"/>
          <w:szCs w:val="24"/>
        </w:rPr>
        <w:t>12 knockdown (shATG12) in HepG2 and HepG2.2.15 cells</w:t>
      </w:r>
      <w:r w:rsidR="00430F5A">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color w:val="000000" w:themeColor="text1"/>
          <w:sz w:val="24"/>
          <w:szCs w:val="24"/>
        </w:rPr>
        <w:t xml:space="preserve"> </w:t>
      </w:r>
      <w:r w:rsidR="00430F5A">
        <w:rPr>
          <w:rFonts w:ascii="Book Antiqua" w:hAnsi="Book Antiqua" w:cs="Times New Roman"/>
          <w:color w:val="000000" w:themeColor="text1"/>
          <w:sz w:val="24"/>
          <w:szCs w:val="24"/>
        </w:rPr>
        <w:t>B</w:t>
      </w:r>
      <w:r w:rsidR="00430F5A">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GAPDH was used as a protein loading control.</w:t>
      </w:r>
      <w:r w:rsidR="00914CD4" w:rsidRPr="00DF6624">
        <w:rPr>
          <w:rFonts w:ascii="Book Antiqua" w:hAnsi="Book Antiqua"/>
          <w:color w:val="000000" w:themeColor="text1"/>
          <w:sz w:val="24"/>
          <w:szCs w:val="24"/>
        </w:rPr>
        <w:t xml:space="preserve"> </w:t>
      </w:r>
      <w:r w:rsidR="00970737" w:rsidRPr="00DF6624">
        <w:rPr>
          <w:rFonts w:ascii="Book Antiqua" w:hAnsi="Book Antiqua" w:cs="Times New Roman"/>
          <w:color w:val="000000" w:themeColor="text1"/>
          <w:sz w:val="24"/>
          <w:szCs w:val="24"/>
        </w:rPr>
        <w:t xml:space="preserve">Cells were transiently transfected with shRNA plasmids for 72 h (normal) and then cultured in EBSS for 4 h (starvation). Bar graphs show the percentage of total </w:t>
      </w:r>
      <w:r w:rsidR="00970737" w:rsidRPr="00DF6624">
        <w:rPr>
          <w:rFonts w:ascii="Book Antiqua" w:hAnsi="Book Antiqua" w:cs="Times New Roman"/>
          <w:color w:val="000000" w:themeColor="text1"/>
          <w:sz w:val="24"/>
          <w:szCs w:val="24"/>
        </w:rPr>
        <w:lastRenderedPageBreak/>
        <w:t>apoptotic cells detected by Annexin V binding. Data represent the mean and SE from three independent experiments.</w:t>
      </w:r>
      <w:r w:rsidR="00430F5A">
        <w:rPr>
          <w:rFonts w:ascii="Book Antiqua" w:hAnsi="Book Antiqua" w:cs="Times New Roman"/>
          <w:color w:val="000000" w:themeColor="text1"/>
          <w:sz w:val="24"/>
          <w:szCs w:val="24"/>
        </w:rPr>
        <w:br w:type="page"/>
      </w:r>
    </w:p>
    <w:p w14:paraId="0DCC6E5C" w14:textId="77777777"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p>
    <w:p w14:paraId="66FCEB8B" w14:textId="77777777" w:rsidR="006725C1" w:rsidRPr="00DF6624" w:rsidRDefault="00970737"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noProof/>
          <w:color w:val="000000" w:themeColor="text1"/>
          <w:sz w:val="24"/>
          <w:szCs w:val="24"/>
          <w:lang w:eastAsia="zh-CN" w:bidi="ar-SA"/>
        </w:rPr>
        <w:drawing>
          <wp:inline distT="0" distB="0" distL="0" distR="0" wp14:anchorId="52503005" wp14:editId="694F0143">
            <wp:extent cx="5178904" cy="3556814"/>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4 revised.png"/>
                    <pic:cNvPicPr/>
                  </pic:nvPicPr>
                  <pic:blipFill>
                    <a:blip r:embed="rId12">
                      <a:extLst>
                        <a:ext uri="{28A0092B-C50C-407E-A947-70E740481C1C}">
                          <a14:useLocalDpi xmlns:a14="http://schemas.microsoft.com/office/drawing/2010/main" val="0"/>
                        </a:ext>
                      </a:extLst>
                    </a:blip>
                    <a:stretch>
                      <a:fillRect/>
                    </a:stretch>
                  </pic:blipFill>
                  <pic:spPr>
                    <a:xfrm>
                      <a:off x="0" y="0"/>
                      <a:ext cx="5184248" cy="3560485"/>
                    </a:xfrm>
                    <a:prstGeom prst="rect">
                      <a:avLst/>
                    </a:prstGeom>
                  </pic:spPr>
                </pic:pic>
              </a:graphicData>
            </a:graphic>
          </wp:inline>
        </w:drawing>
      </w:r>
    </w:p>
    <w:p w14:paraId="0FE50EFD" w14:textId="77777777" w:rsidR="006725C1" w:rsidRPr="00DF6624" w:rsidRDefault="006725C1" w:rsidP="005C2EDC">
      <w:pPr>
        <w:adjustRightInd w:val="0"/>
        <w:snapToGrid w:val="0"/>
        <w:spacing w:after="0" w:line="360" w:lineRule="auto"/>
        <w:ind w:hanging="993"/>
        <w:jc w:val="both"/>
        <w:rPr>
          <w:rFonts w:ascii="Book Antiqua" w:hAnsi="Book Antiqua" w:cs="Times New Roman"/>
          <w:b/>
          <w:bCs/>
          <w:color w:val="000000" w:themeColor="text1"/>
          <w:sz w:val="24"/>
          <w:szCs w:val="24"/>
        </w:rPr>
      </w:pPr>
    </w:p>
    <w:p w14:paraId="617CAB11" w14:textId="1FC31AC4" w:rsidR="00430F5A" w:rsidRDefault="00970737"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 xml:space="preserve">Figure </w:t>
      </w:r>
      <w:r w:rsidR="005F4274" w:rsidRPr="00DF6624">
        <w:rPr>
          <w:rFonts w:ascii="Book Antiqua" w:hAnsi="Book Antiqua" w:cs="Times New Roman"/>
          <w:b/>
          <w:bCs/>
          <w:color w:val="000000" w:themeColor="text1"/>
          <w:sz w:val="24"/>
          <w:szCs w:val="24"/>
        </w:rPr>
        <w:t>5</w:t>
      </w:r>
      <w:r w:rsidR="006725C1" w:rsidRPr="00DF6624">
        <w:rPr>
          <w:rFonts w:ascii="Book Antiqua" w:hAnsi="Book Antiqua" w:cs="Times New Roman"/>
          <w:color w:val="000000" w:themeColor="text1"/>
          <w:sz w:val="24"/>
          <w:szCs w:val="24"/>
        </w:rPr>
        <w:t xml:space="preserve"> </w:t>
      </w:r>
      <w:r w:rsidR="006725C1" w:rsidRPr="00DF6624">
        <w:rPr>
          <w:rFonts w:ascii="Book Antiqua" w:hAnsi="Book Antiqua" w:cs="Times New Roman"/>
          <w:b/>
          <w:color w:val="000000" w:themeColor="text1"/>
          <w:sz w:val="24"/>
          <w:szCs w:val="24"/>
        </w:rPr>
        <w:t>Cell cycle analysis of HepG2 and HepG2.2.15 cells transfected with shATG12 or shNeg (control).</w:t>
      </w:r>
      <w:r w:rsidR="006725C1" w:rsidRPr="00DF6624">
        <w:rPr>
          <w:rFonts w:ascii="Book Antiqua" w:hAnsi="Book Antiqua" w:cs="Times New Roman"/>
          <w:color w:val="000000" w:themeColor="text1"/>
          <w:sz w:val="24"/>
          <w:szCs w:val="24"/>
        </w:rPr>
        <w:t xml:space="preserve"> </w:t>
      </w:r>
      <w:r w:rsidR="00430F5A">
        <w:rPr>
          <w:rFonts w:ascii="Book Antiqua" w:hAnsi="Book Antiqua" w:cs="Times New Roman"/>
          <w:color w:val="000000" w:themeColor="text1"/>
          <w:sz w:val="24"/>
          <w:szCs w:val="24"/>
        </w:rPr>
        <w:t>A</w:t>
      </w:r>
      <w:r w:rsidR="00430F5A">
        <w:rPr>
          <w:rFonts w:ascii="Book Antiqua" w:eastAsia="宋体" w:hAnsi="Book Antiqua" w:cs="Times New Roman" w:hint="eastAsia"/>
          <w:color w:val="000000" w:themeColor="text1"/>
          <w:sz w:val="24"/>
          <w:szCs w:val="24"/>
          <w:lang w:eastAsia="zh-CN"/>
        </w:rPr>
        <w:t xml:space="preserve">: </w:t>
      </w:r>
      <w:r w:rsidR="006725C1" w:rsidRPr="00DF6624">
        <w:rPr>
          <w:rFonts w:ascii="Book Antiqua" w:hAnsi="Book Antiqua" w:cs="Times New Roman"/>
          <w:color w:val="000000" w:themeColor="text1"/>
          <w:sz w:val="24"/>
          <w:szCs w:val="24"/>
        </w:rPr>
        <w:t>Cells were transiently transfected with shRNA plasmids for 72 h (normal) and then cultured in EBSS for 4 h (starvation)</w:t>
      </w:r>
      <w:r w:rsidR="00430F5A">
        <w:rPr>
          <w:rFonts w:ascii="Book Antiqua" w:eastAsia="宋体" w:hAnsi="Book Antiqua" w:cs="Times New Roman" w:hint="eastAsia"/>
          <w:color w:val="000000" w:themeColor="text1"/>
          <w:sz w:val="24"/>
          <w:szCs w:val="24"/>
          <w:lang w:eastAsia="zh-CN"/>
        </w:rPr>
        <w:t>;</w:t>
      </w:r>
      <w:r w:rsidR="006725C1" w:rsidRPr="00DF6624">
        <w:rPr>
          <w:rFonts w:ascii="Book Antiqua" w:hAnsi="Book Antiqua" w:cs="Times New Roman"/>
          <w:color w:val="000000" w:themeColor="text1"/>
          <w:sz w:val="24"/>
          <w:szCs w:val="24"/>
        </w:rPr>
        <w:t xml:space="preserve"> </w:t>
      </w:r>
      <w:r w:rsidR="00430F5A">
        <w:rPr>
          <w:rFonts w:ascii="Book Antiqua" w:hAnsi="Book Antiqua" w:cs="Times New Roman"/>
          <w:color w:val="000000" w:themeColor="text1"/>
          <w:sz w:val="24"/>
          <w:szCs w:val="24"/>
        </w:rPr>
        <w:t>B</w:t>
      </w:r>
      <w:r w:rsidR="00430F5A">
        <w:rPr>
          <w:rFonts w:ascii="Book Antiqua" w:eastAsia="宋体" w:hAnsi="Book Antiqua" w:cs="Times New Roman" w:hint="eastAsia"/>
          <w:color w:val="000000" w:themeColor="text1"/>
          <w:sz w:val="24"/>
          <w:szCs w:val="24"/>
          <w:lang w:eastAsia="zh-CN"/>
        </w:rPr>
        <w:t xml:space="preserve">: </w:t>
      </w:r>
      <w:r w:rsidR="006725C1" w:rsidRPr="00DF6624">
        <w:rPr>
          <w:rFonts w:ascii="Book Antiqua" w:hAnsi="Book Antiqua" w:cs="Times New Roman"/>
          <w:color w:val="000000" w:themeColor="text1"/>
          <w:sz w:val="24"/>
          <w:szCs w:val="24"/>
        </w:rPr>
        <w:t>Bar graphs show the percentage of cells in each phase. Data represent the mean and SE from three independent experiments.</w:t>
      </w:r>
      <w:r w:rsidR="00430F5A">
        <w:rPr>
          <w:rFonts w:ascii="Book Antiqua" w:hAnsi="Book Antiqua" w:cs="Times New Roman"/>
          <w:color w:val="000000" w:themeColor="text1"/>
          <w:sz w:val="24"/>
          <w:szCs w:val="24"/>
        </w:rPr>
        <w:br w:type="page"/>
      </w:r>
    </w:p>
    <w:p w14:paraId="1AE682BC"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06BB9CFF" w14:textId="77777777" w:rsidR="006725C1" w:rsidRPr="00DF6624" w:rsidRDefault="006725C1"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r w:rsidRPr="00DF6624">
        <w:rPr>
          <w:rFonts w:ascii="Book Antiqua" w:hAnsi="Book Antiqua" w:cs="Times New Roman"/>
          <w:b/>
          <w:bCs/>
          <w:noProof/>
          <w:color w:val="000000" w:themeColor="text1"/>
          <w:sz w:val="24"/>
          <w:szCs w:val="24"/>
          <w:lang w:eastAsia="zh-CN" w:bidi="ar-SA"/>
        </w:rPr>
        <w:drawing>
          <wp:inline distT="0" distB="0" distL="0" distR="0" wp14:anchorId="16F05231" wp14:editId="1C8DD607">
            <wp:extent cx="4532958" cy="513479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8.png"/>
                    <pic:cNvPicPr/>
                  </pic:nvPicPr>
                  <pic:blipFill>
                    <a:blip r:embed="rId13">
                      <a:extLst>
                        <a:ext uri="{28A0092B-C50C-407E-A947-70E740481C1C}">
                          <a14:useLocalDpi xmlns:a14="http://schemas.microsoft.com/office/drawing/2010/main" val="0"/>
                        </a:ext>
                      </a:extLst>
                    </a:blip>
                    <a:stretch>
                      <a:fillRect/>
                    </a:stretch>
                  </pic:blipFill>
                  <pic:spPr>
                    <a:xfrm>
                      <a:off x="0" y="0"/>
                      <a:ext cx="4539320" cy="5141997"/>
                    </a:xfrm>
                    <a:prstGeom prst="rect">
                      <a:avLst/>
                    </a:prstGeom>
                  </pic:spPr>
                </pic:pic>
              </a:graphicData>
            </a:graphic>
          </wp:inline>
        </w:drawing>
      </w:r>
    </w:p>
    <w:p w14:paraId="668292BD" w14:textId="77777777" w:rsidR="006725C1" w:rsidRPr="00DF6624" w:rsidRDefault="006725C1"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p>
    <w:p w14:paraId="3A444E07" w14:textId="445CBB12" w:rsidR="006725C1" w:rsidRPr="00DF6624" w:rsidRDefault="006725C1" w:rsidP="005C2EDC">
      <w:pPr>
        <w:adjustRightInd w:val="0"/>
        <w:snapToGrid w:val="0"/>
        <w:spacing w:after="0" w:line="360" w:lineRule="auto"/>
        <w:jc w:val="both"/>
        <w:rPr>
          <w:rFonts w:ascii="Book Antiqua" w:hAnsi="Book Antiqua" w:cs="Times New Roman"/>
          <w:color w:val="000000" w:themeColor="text1"/>
          <w:sz w:val="24"/>
          <w:szCs w:val="24"/>
        </w:rPr>
      </w:pPr>
      <w:r w:rsidRPr="00DF6624">
        <w:rPr>
          <w:rFonts w:ascii="Book Antiqua" w:hAnsi="Book Antiqua" w:cs="Times New Roman"/>
          <w:b/>
          <w:bCs/>
          <w:color w:val="000000" w:themeColor="text1"/>
          <w:sz w:val="24"/>
          <w:szCs w:val="24"/>
        </w:rPr>
        <w:t xml:space="preserve">Figure </w:t>
      </w:r>
      <w:r w:rsidR="005F4274" w:rsidRPr="00DF6624">
        <w:rPr>
          <w:rFonts w:ascii="Book Antiqua" w:hAnsi="Book Antiqua" w:cs="Times New Roman"/>
          <w:b/>
          <w:bCs/>
          <w:color w:val="000000" w:themeColor="text1"/>
          <w:sz w:val="24"/>
          <w:szCs w:val="24"/>
        </w:rPr>
        <w:t>6</w:t>
      </w:r>
      <w:r w:rsidRPr="00DF6624">
        <w:rPr>
          <w:rFonts w:ascii="Book Antiqua" w:hAnsi="Book Antiqua" w:cs="Times New Roman"/>
          <w:b/>
          <w:bCs/>
          <w:color w:val="000000" w:themeColor="text1"/>
          <w:sz w:val="24"/>
          <w:szCs w:val="24"/>
        </w:rPr>
        <w:t xml:space="preserve"> </w:t>
      </w:r>
      <w:r w:rsidRPr="00DF6624">
        <w:rPr>
          <w:rFonts w:ascii="Book Antiqua" w:hAnsi="Book Antiqua" w:cs="Times New Roman"/>
          <w:b/>
          <w:color w:val="000000" w:themeColor="text1"/>
          <w:sz w:val="24"/>
          <w:szCs w:val="24"/>
        </w:rPr>
        <w:t>Apoptosis assays of HepG2 and HepG2.2.15 cells transfected with shATG12 or shNeg (control)</w:t>
      </w:r>
      <w:r w:rsidRPr="00DF6624">
        <w:rPr>
          <w:rFonts w:ascii="Book Antiqua" w:hAnsi="Book Antiqua"/>
          <w:b/>
          <w:color w:val="000000" w:themeColor="text1"/>
          <w:sz w:val="24"/>
          <w:szCs w:val="24"/>
        </w:rPr>
        <w:t xml:space="preserve"> </w:t>
      </w:r>
      <w:r w:rsidRPr="00DF6624">
        <w:rPr>
          <w:rFonts w:ascii="Book Antiqua" w:hAnsi="Book Antiqua" w:cs="Times New Roman"/>
          <w:b/>
          <w:color w:val="000000" w:themeColor="text1"/>
          <w:sz w:val="24"/>
          <w:szCs w:val="24"/>
        </w:rPr>
        <w:t>pretreated with DAPT.</w:t>
      </w:r>
      <w:r w:rsidRPr="00DF6624">
        <w:rPr>
          <w:rFonts w:ascii="Book Antiqua" w:hAnsi="Book Antiqua" w:cs="Times New Roman"/>
          <w:color w:val="000000" w:themeColor="text1"/>
          <w:sz w:val="24"/>
          <w:szCs w:val="24"/>
        </w:rPr>
        <w:t xml:space="preserve"> </w:t>
      </w:r>
      <w:r w:rsidR="00430F5A">
        <w:rPr>
          <w:rFonts w:ascii="Book Antiqua" w:hAnsi="Book Antiqua" w:cs="Times New Roman"/>
          <w:color w:val="000000" w:themeColor="text1"/>
          <w:sz w:val="24"/>
          <w:szCs w:val="24"/>
        </w:rPr>
        <w:t>A</w:t>
      </w:r>
      <w:r w:rsidR="00430F5A">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 xml:space="preserve">Cells were transiently transfected with shRNA plasmids for 24 h, and then pretreated with DAPT (50 </w:t>
      </w:r>
      <w:r w:rsidRPr="00430F5A">
        <w:rPr>
          <w:rFonts w:ascii="Symbol" w:hAnsi="Symbol" w:cs="Times New Roman"/>
          <w:color w:val="000000" w:themeColor="text1"/>
          <w:sz w:val="24"/>
          <w:szCs w:val="24"/>
        </w:rPr>
        <w:t></w:t>
      </w:r>
      <w:r w:rsidR="00430F5A">
        <w:rPr>
          <w:rFonts w:ascii="Book Antiqua" w:eastAsia="宋体" w:hAnsi="Book Antiqua" w:cs="Times New Roman" w:hint="eastAsia"/>
          <w:color w:val="000000" w:themeColor="text1"/>
          <w:sz w:val="24"/>
          <w:szCs w:val="24"/>
          <w:lang w:eastAsia="zh-CN"/>
        </w:rPr>
        <w:t>mol/L</w:t>
      </w:r>
      <w:r w:rsidRPr="00DF6624">
        <w:rPr>
          <w:rFonts w:ascii="Book Antiqua" w:hAnsi="Book Antiqua" w:cs="Times New Roman"/>
          <w:color w:val="000000" w:themeColor="text1"/>
          <w:sz w:val="24"/>
          <w:szCs w:val="24"/>
        </w:rPr>
        <w:t>, 48</w:t>
      </w:r>
      <w:r w:rsidR="00985333" w:rsidRPr="00DF6624">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h) and cultured in EBSS for 4 h (starvation)</w:t>
      </w:r>
      <w:r w:rsidR="00430F5A">
        <w:rPr>
          <w:rFonts w:ascii="Book Antiqua" w:eastAsia="宋体" w:hAnsi="Book Antiqua" w:cs="Times New Roman" w:hint="eastAsia"/>
          <w:color w:val="000000" w:themeColor="text1"/>
          <w:sz w:val="24"/>
          <w:szCs w:val="24"/>
          <w:lang w:eastAsia="zh-CN"/>
        </w:rPr>
        <w:t xml:space="preserve">; </w:t>
      </w:r>
      <w:r w:rsidR="00430F5A">
        <w:rPr>
          <w:rFonts w:ascii="Book Antiqua" w:hAnsi="Book Antiqua" w:cs="Times New Roman"/>
          <w:color w:val="000000" w:themeColor="text1"/>
          <w:sz w:val="24"/>
          <w:szCs w:val="24"/>
        </w:rPr>
        <w:t>B</w:t>
      </w:r>
      <w:r w:rsidR="00430F5A">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Bar graphs show the percentage of total apoptotic cells detected by Annexin V binding. Data represent the mean and SE from three independent experiments.</w:t>
      </w:r>
    </w:p>
    <w:p w14:paraId="69723590" w14:textId="68E80D11" w:rsidR="00430F5A" w:rsidRDefault="00430F5A" w:rsidP="005C2EDC">
      <w:pPr>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14:paraId="294A46A7"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5D7DB90A" w14:textId="77777777" w:rsidR="006725C1" w:rsidRPr="00DF6624" w:rsidRDefault="00970737"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noProof/>
          <w:color w:val="000000" w:themeColor="text1"/>
          <w:sz w:val="24"/>
          <w:szCs w:val="24"/>
          <w:lang w:eastAsia="zh-CN" w:bidi="ar-SA"/>
        </w:rPr>
        <w:drawing>
          <wp:inline distT="0" distB="0" distL="0" distR="0" wp14:anchorId="0858952D" wp14:editId="495F8F87">
            <wp:extent cx="5211296" cy="407799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6revised.png"/>
                    <pic:cNvPicPr/>
                  </pic:nvPicPr>
                  <pic:blipFill>
                    <a:blip r:embed="rId14">
                      <a:extLst>
                        <a:ext uri="{28A0092B-C50C-407E-A947-70E740481C1C}">
                          <a14:useLocalDpi xmlns:a14="http://schemas.microsoft.com/office/drawing/2010/main" val="0"/>
                        </a:ext>
                      </a:extLst>
                    </a:blip>
                    <a:stretch>
                      <a:fillRect/>
                    </a:stretch>
                  </pic:blipFill>
                  <pic:spPr>
                    <a:xfrm>
                      <a:off x="0" y="0"/>
                      <a:ext cx="5217742" cy="4083042"/>
                    </a:xfrm>
                    <a:prstGeom prst="rect">
                      <a:avLst/>
                    </a:prstGeom>
                  </pic:spPr>
                </pic:pic>
              </a:graphicData>
            </a:graphic>
          </wp:inline>
        </w:drawing>
      </w:r>
    </w:p>
    <w:p w14:paraId="3B30ABC5"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p>
    <w:p w14:paraId="553A7710" w14:textId="2A382AEA"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t xml:space="preserve">Figure </w:t>
      </w:r>
      <w:r w:rsidR="005F4274" w:rsidRPr="00DF6624">
        <w:rPr>
          <w:rFonts w:ascii="Book Antiqua" w:hAnsi="Book Antiqua" w:cs="Times New Roman"/>
          <w:b/>
          <w:bCs/>
          <w:color w:val="000000" w:themeColor="text1"/>
          <w:sz w:val="24"/>
          <w:szCs w:val="24"/>
        </w:rPr>
        <w:t>7</w:t>
      </w:r>
      <w:r w:rsidRPr="00DF6624">
        <w:rPr>
          <w:rFonts w:ascii="Book Antiqua" w:hAnsi="Book Antiqua" w:cs="Times New Roman"/>
          <w:color w:val="000000" w:themeColor="text1"/>
          <w:sz w:val="24"/>
          <w:szCs w:val="24"/>
        </w:rPr>
        <w:t xml:space="preserve"> </w:t>
      </w:r>
      <w:r w:rsidRPr="00DF6624">
        <w:rPr>
          <w:rFonts w:ascii="Book Antiqua" w:hAnsi="Book Antiqua" w:cs="Times New Roman"/>
          <w:b/>
          <w:color w:val="000000" w:themeColor="text1"/>
          <w:sz w:val="24"/>
          <w:szCs w:val="24"/>
        </w:rPr>
        <w:t>Cell cycle analysis of HepG2 and HepG2.2.15 cells transfected with shATG12, ATG9A</w:t>
      </w:r>
      <w:r w:rsidRPr="00DF6624">
        <w:rPr>
          <w:rFonts w:ascii="Book Antiqua" w:hAnsi="Book Antiqua" w:cs="Times New Roman"/>
          <w:b/>
          <w:i/>
          <w:iCs/>
          <w:color w:val="000000" w:themeColor="text1"/>
          <w:sz w:val="24"/>
          <w:szCs w:val="24"/>
        </w:rPr>
        <w:t xml:space="preserve"> </w:t>
      </w:r>
      <w:r w:rsidRPr="00DF6624">
        <w:rPr>
          <w:rFonts w:ascii="Book Antiqua" w:hAnsi="Book Antiqua" w:cs="Times New Roman"/>
          <w:b/>
          <w:color w:val="000000" w:themeColor="text1"/>
          <w:sz w:val="24"/>
          <w:szCs w:val="24"/>
        </w:rPr>
        <w:t>or shNeg (control) pretreated with DAPT.</w:t>
      </w:r>
      <w:r w:rsidRPr="00DF6624">
        <w:rPr>
          <w:rFonts w:ascii="Book Antiqua" w:hAnsi="Book Antiqua" w:cs="Times New Roman"/>
          <w:color w:val="000000" w:themeColor="text1"/>
          <w:sz w:val="24"/>
          <w:szCs w:val="24"/>
        </w:rPr>
        <w:t xml:space="preserve"> </w:t>
      </w:r>
      <w:r w:rsidR="00430F5A">
        <w:rPr>
          <w:rFonts w:ascii="Book Antiqua" w:hAnsi="Book Antiqua" w:cs="Times New Roman"/>
          <w:color w:val="000000" w:themeColor="text1"/>
          <w:sz w:val="24"/>
          <w:szCs w:val="24"/>
        </w:rPr>
        <w:t>A</w:t>
      </w:r>
      <w:r w:rsidR="00430F5A">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 xml:space="preserve">Cells were transfected with shRNA plasmids for 24 h, and then pretreated with DAPT (50 </w:t>
      </w:r>
      <w:r w:rsidRPr="00430F5A">
        <w:rPr>
          <w:rFonts w:ascii="Symbol" w:hAnsi="Symbol" w:cs="Times New Roman"/>
          <w:color w:val="000000" w:themeColor="text1"/>
          <w:sz w:val="24"/>
          <w:szCs w:val="24"/>
        </w:rPr>
        <w:t></w:t>
      </w:r>
      <w:r w:rsidR="00430F5A">
        <w:rPr>
          <w:rFonts w:ascii="Book Antiqua" w:eastAsia="宋体" w:hAnsi="Book Antiqua" w:cs="Times New Roman" w:hint="eastAsia"/>
          <w:color w:val="000000" w:themeColor="text1"/>
          <w:sz w:val="24"/>
          <w:szCs w:val="24"/>
          <w:lang w:eastAsia="zh-CN"/>
        </w:rPr>
        <w:t>mol/L</w:t>
      </w:r>
      <w:r w:rsidRPr="00DF6624">
        <w:rPr>
          <w:rFonts w:ascii="Book Antiqua" w:hAnsi="Book Antiqua" w:cs="Times New Roman"/>
          <w:color w:val="000000" w:themeColor="text1"/>
          <w:sz w:val="24"/>
          <w:szCs w:val="24"/>
        </w:rPr>
        <w:t>, 48 h), and cultured in EBSS for 4 h (starvation)</w:t>
      </w:r>
      <w:r w:rsidR="00430F5A">
        <w:rPr>
          <w:rFonts w:ascii="Book Antiqua" w:eastAsia="宋体" w:hAnsi="Book Antiqua" w:cs="Times New Roman" w:hint="eastAsia"/>
          <w:color w:val="000000" w:themeColor="text1"/>
          <w:sz w:val="24"/>
          <w:szCs w:val="24"/>
          <w:lang w:eastAsia="zh-CN"/>
        </w:rPr>
        <w:t xml:space="preserve">; </w:t>
      </w:r>
      <w:r w:rsidR="00430F5A">
        <w:rPr>
          <w:rFonts w:ascii="Book Antiqua" w:hAnsi="Book Antiqua" w:cs="Times New Roman"/>
          <w:color w:val="000000" w:themeColor="text1"/>
          <w:sz w:val="24"/>
          <w:szCs w:val="24"/>
        </w:rPr>
        <w:t>B</w:t>
      </w:r>
      <w:r w:rsidR="00430F5A">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Bar graphs show the percentage of cells in each phase. Data represent the mean and SE from three independent experiments.</w:t>
      </w:r>
    </w:p>
    <w:p w14:paraId="3EF67A21" w14:textId="0B77D1FD" w:rsidR="00430F5A" w:rsidRDefault="00430F5A"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14:paraId="0ABFC30A" w14:textId="77777777" w:rsidR="006725C1" w:rsidRPr="00DF6624" w:rsidRDefault="006725C1"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r w:rsidRPr="00DF6624">
        <w:rPr>
          <w:rFonts w:ascii="Book Antiqua" w:hAnsi="Book Antiqua" w:cs="Times New Roman"/>
          <w:b/>
          <w:bCs/>
          <w:noProof/>
          <w:color w:val="000000" w:themeColor="text1"/>
          <w:sz w:val="24"/>
          <w:szCs w:val="24"/>
          <w:lang w:eastAsia="zh-CN" w:bidi="ar-SA"/>
        </w:rPr>
        <w:lastRenderedPageBreak/>
        <w:drawing>
          <wp:inline distT="0" distB="0" distL="0" distR="0" wp14:anchorId="72120003" wp14:editId="3797685A">
            <wp:extent cx="5270500" cy="18262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0.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1826260"/>
                    </a:xfrm>
                    <a:prstGeom prst="rect">
                      <a:avLst/>
                    </a:prstGeom>
                  </pic:spPr>
                </pic:pic>
              </a:graphicData>
            </a:graphic>
          </wp:inline>
        </w:drawing>
      </w:r>
    </w:p>
    <w:p w14:paraId="79AA1C3D" w14:textId="77777777" w:rsidR="006725C1" w:rsidRPr="00DF6624" w:rsidRDefault="006725C1" w:rsidP="005C2EDC">
      <w:pPr>
        <w:adjustRightInd w:val="0"/>
        <w:snapToGrid w:val="0"/>
        <w:spacing w:after="0" w:line="360" w:lineRule="auto"/>
        <w:ind w:hanging="1134"/>
        <w:jc w:val="both"/>
        <w:rPr>
          <w:rFonts w:ascii="Book Antiqua" w:hAnsi="Book Antiqua" w:cs="Times New Roman"/>
          <w:b/>
          <w:bCs/>
          <w:color w:val="000000" w:themeColor="text1"/>
          <w:sz w:val="24"/>
          <w:szCs w:val="24"/>
        </w:rPr>
      </w:pPr>
    </w:p>
    <w:p w14:paraId="0E0A468D" w14:textId="4FA95FFE"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t xml:space="preserve">Figure </w:t>
      </w:r>
      <w:r w:rsidR="005F4274" w:rsidRPr="00DF6624">
        <w:rPr>
          <w:rFonts w:ascii="Book Antiqua" w:hAnsi="Book Antiqua" w:cs="Times New Roman"/>
          <w:b/>
          <w:bCs/>
          <w:color w:val="000000" w:themeColor="text1"/>
          <w:sz w:val="24"/>
          <w:szCs w:val="24"/>
        </w:rPr>
        <w:t>8</w:t>
      </w:r>
      <w:r w:rsidRPr="00DF6624">
        <w:rPr>
          <w:rFonts w:ascii="Book Antiqua" w:hAnsi="Book Antiqua" w:cs="Times New Roman"/>
          <w:b/>
          <w:bCs/>
          <w:color w:val="000000" w:themeColor="text1"/>
          <w:sz w:val="24"/>
          <w:szCs w:val="24"/>
        </w:rPr>
        <w:t xml:space="preserve"> </w:t>
      </w:r>
      <w:r w:rsidRPr="00DF6624">
        <w:rPr>
          <w:rFonts w:ascii="Book Antiqua" w:hAnsi="Book Antiqua" w:cs="Times New Roman"/>
          <w:b/>
          <w:color w:val="000000" w:themeColor="text1"/>
          <w:sz w:val="24"/>
          <w:szCs w:val="24"/>
        </w:rPr>
        <w:t xml:space="preserve">Quantitative real-time </w:t>
      </w:r>
      <w:r w:rsidR="006E2CDF" w:rsidRPr="006E2CDF">
        <w:rPr>
          <w:rFonts w:ascii="Book Antiqua" w:hAnsi="Book Antiqua" w:cs="Times New Roman"/>
          <w:b/>
          <w:color w:val="000000" w:themeColor="text1"/>
          <w:sz w:val="24"/>
          <w:szCs w:val="24"/>
        </w:rPr>
        <w:t>real-time reverse transcriptase–polymerase chain reaction</w:t>
      </w:r>
      <w:r w:rsidRPr="00DF6624">
        <w:rPr>
          <w:rFonts w:ascii="Book Antiqua" w:hAnsi="Book Antiqua" w:cs="Times New Roman"/>
          <w:b/>
          <w:color w:val="000000" w:themeColor="text1"/>
          <w:sz w:val="24"/>
          <w:szCs w:val="24"/>
        </w:rPr>
        <w:t xml:space="preserve"> analysis of ATG12 mRNA in HepG2 and HepG2.2.15 cells with DAPT treatment for 48 h.</w:t>
      </w:r>
      <w:r w:rsidRPr="00DF6624">
        <w:rPr>
          <w:rFonts w:ascii="Book Antiqua" w:hAnsi="Book Antiqua" w:cs="Times New Roman"/>
          <w:color w:val="000000" w:themeColor="text1"/>
          <w:sz w:val="24"/>
          <w:szCs w:val="24"/>
        </w:rPr>
        <w:t xml:space="preserve"> </w:t>
      </w:r>
      <w:r w:rsidR="006E2CDF" w:rsidRPr="006E2CDF">
        <w:rPr>
          <w:rFonts w:ascii="Book Antiqua" w:hAnsi="Book Antiqua" w:cs="Times New Roman"/>
          <w:color w:val="000000" w:themeColor="text1"/>
          <w:sz w:val="24"/>
          <w:szCs w:val="24"/>
        </w:rPr>
        <w:t>A</w:t>
      </w:r>
      <w:r w:rsidR="006E2CDF" w:rsidRPr="006E2CDF">
        <w:rPr>
          <w:rFonts w:ascii="Book Antiqua" w:eastAsia="宋体" w:hAnsi="Book Antiqua" w:cs="Times New Roman" w:hint="eastAsia"/>
          <w:color w:val="000000" w:themeColor="text1"/>
          <w:sz w:val="24"/>
          <w:szCs w:val="24"/>
          <w:lang w:eastAsia="zh-CN"/>
        </w:rPr>
        <w:t>:</w:t>
      </w:r>
      <w:r w:rsidR="006E2CDF">
        <w:rPr>
          <w:rFonts w:ascii="Book Antiqua" w:eastAsia="宋体" w:hAnsi="Book Antiqua" w:cs="Times New Roman" w:hint="eastAsia"/>
          <w:b/>
          <w:color w:val="000000" w:themeColor="text1"/>
          <w:sz w:val="24"/>
          <w:szCs w:val="24"/>
          <w:lang w:eastAsia="zh-CN"/>
        </w:rPr>
        <w:t xml:space="preserve"> </w:t>
      </w:r>
      <w:r w:rsidRPr="00DF6624">
        <w:rPr>
          <w:rFonts w:ascii="Book Antiqua" w:hAnsi="Book Antiqua" w:cs="Times New Roman"/>
          <w:color w:val="000000" w:themeColor="text1"/>
          <w:sz w:val="24"/>
          <w:szCs w:val="24"/>
        </w:rPr>
        <w:t>Data represent the mean and SE from three independent experiments</w:t>
      </w:r>
      <w:r w:rsidR="006E2CDF">
        <w:rPr>
          <w:rFonts w:ascii="Book Antiqua" w:eastAsia="宋体" w:hAnsi="Book Antiqua" w:cs="Times New Roman" w:hint="eastAsia"/>
          <w:color w:val="000000" w:themeColor="text1"/>
          <w:sz w:val="24"/>
          <w:szCs w:val="24"/>
          <w:lang w:eastAsia="zh-CN"/>
        </w:rPr>
        <w:t>;</w:t>
      </w:r>
      <w:r w:rsidRPr="00DF6624">
        <w:rPr>
          <w:rFonts w:ascii="Book Antiqua" w:hAnsi="Book Antiqua" w:cs="Times New Roman"/>
          <w:bCs/>
          <w:color w:val="000000" w:themeColor="text1"/>
          <w:sz w:val="24"/>
          <w:szCs w:val="24"/>
        </w:rPr>
        <w:t xml:space="preserve"> </w:t>
      </w:r>
      <w:r w:rsidR="006E2CDF">
        <w:rPr>
          <w:rFonts w:ascii="Book Antiqua" w:hAnsi="Book Antiqua" w:cs="Times New Roman"/>
          <w:color w:val="000000" w:themeColor="text1"/>
          <w:sz w:val="24"/>
          <w:szCs w:val="24"/>
        </w:rPr>
        <w:t>B</w:t>
      </w:r>
      <w:r w:rsidR="006E2CDF">
        <w:rPr>
          <w:rFonts w:ascii="Book Antiqua" w:eastAsia="宋体" w:hAnsi="Book Antiqua" w:cs="Times New Roman" w:hint="eastAsia"/>
          <w:color w:val="000000" w:themeColor="text1"/>
          <w:sz w:val="24"/>
          <w:szCs w:val="24"/>
          <w:lang w:eastAsia="zh-CN"/>
        </w:rPr>
        <w:t xml:space="preserve">: </w:t>
      </w:r>
      <w:r w:rsidRPr="00DF6624">
        <w:rPr>
          <w:rFonts w:ascii="Book Antiqua" w:hAnsi="Book Antiqua" w:cs="Times New Roman"/>
          <w:color w:val="000000" w:themeColor="text1"/>
          <w:sz w:val="24"/>
          <w:szCs w:val="24"/>
        </w:rPr>
        <w:t xml:space="preserve">Notch activation was detected by cleaved Notch1 protein expression in HepG2 and HepG2.2.15 cells after silencing ATG12 for 72 h. GAPDH was used as a protein loading control. </w:t>
      </w:r>
    </w:p>
    <w:p w14:paraId="3B414266" w14:textId="77777777" w:rsidR="006725C1" w:rsidRPr="00DF6624" w:rsidRDefault="006725C1" w:rsidP="005C2EDC">
      <w:pPr>
        <w:adjustRightInd w:val="0"/>
        <w:snapToGrid w:val="0"/>
        <w:spacing w:after="0" w:line="360" w:lineRule="auto"/>
        <w:ind w:hanging="1134"/>
        <w:jc w:val="both"/>
        <w:rPr>
          <w:rFonts w:ascii="Book Antiqua" w:hAnsi="Book Antiqua" w:cs="Times New Roman"/>
          <w:color w:val="000000" w:themeColor="text1"/>
          <w:sz w:val="24"/>
          <w:szCs w:val="24"/>
        </w:rPr>
      </w:pPr>
    </w:p>
    <w:p w14:paraId="519D1F37" w14:textId="06562196" w:rsidR="006E2CDF" w:rsidRDefault="006E2CDF" w:rsidP="005C2EDC">
      <w:pPr>
        <w:adjustRightInd w:val="0"/>
        <w:snapToGrid w:val="0"/>
        <w:spacing w:after="0" w:line="360" w:lineRule="auto"/>
        <w:ind w:hanging="1134"/>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1E8679C" w14:textId="77777777" w:rsidR="006725C1" w:rsidRPr="00DF6624" w:rsidRDefault="006725C1" w:rsidP="005C2EDC">
      <w:pPr>
        <w:adjustRightInd w:val="0"/>
        <w:snapToGrid w:val="0"/>
        <w:spacing w:after="0" w:line="360" w:lineRule="auto"/>
        <w:jc w:val="both"/>
        <w:rPr>
          <w:rFonts w:ascii="Book Antiqua" w:hAnsi="Book Antiqua" w:cs="Times New Roman"/>
          <w:b/>
          <w:bCs/>
          <w:color w:val="000000" w:themeColor="text1"/>
          <w:sz w:val="24"/>
          <w:szCs w:val="24"/>
        </w:rPr>
      </w:pPr>
      <w:r w:rsidRPr="00DF6624">
        <w:rPr>
          <w:rFonts w:ascii="Book Antiqua" w:hAnsi="Book Antiqua" w:cs="Times New Roman"/>
          <w:b/>
          <w:bCs/>
          <w:color w:val="000000" w:themeColor="text1"/>
          <w:sz w:val="24"/>
          <w:szCs w:val="24"/>
        </w:rPr>
        <w:lastRenderedPageBreak/>
        <w:t>Table 1</w:t>
      </w:r>
      <w:r w:rsidRPr="00DF6624">
        <w:rPr>
          <w:rFonts w:ascii="Book Antiqua" w:hAnsi="Book Antiqua"/>
          <w:color w:val="000000" w:themeColor="text1"/>
          <w:sz w:val="24"/>
          <w:szCs w:val="24"/>
        </w:rPr>
        <w:t xml:space="preserve"> </w:t>
      </w:r>
      <w:r w:rsidRPr="00DF6624">
        <w:rPr>
          <w:rFonts w:ascii="Book Antiqua" w:hAnsi="Book Antiqua" w:cs="Times New Roman"/>
          <w:b/>
          <w:bCs/>
          <w:color w:val="000000" w:themeColor="text1"/>
          <w:sz w:val="24"/>
          <w:szCs w:val="24"/>
        </w:rPr>
        <w:t>Sequences of primers used in this study</w:t>
      </w:r>
    </w:p>
    <w:tbl>
      <w:tblPr>
        <w:tblStyle w:val="TableGrid1"/>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08"/>
        <w:gridCol w:w="1808"/>
        <w:gridCol w:w="4817"/>
        <w:gridCol w:w="39"/>
      </w:tblGrid>
      <w:tr w:rsidR="006725C1" w:rsidRPr="00DF6624" w14:paraId="2AE1FA30" w14:textId="77777777" w:rsidTr="004E1E5C">
        <w:trPr>
          <w:trHeight w:val="266"/>
        </w:trPr>
        <w:tc>
          <w:tcPr>
            <w:tcW w:w="1592" w:type="dxa"/>
            <w:tcBorders>
              <w:top w:val="single" w:sz="4" w:space="0" w:color="auto"/>
              <w:bottom w:val="single" w:sz="4" w:space="0" w:color="auto"/>
            </w:tcBorders>
            <w:hideMark/>
          </w:tcPr>
          <w:p w14:paraId="6BDB94CD" w14:textId="77777777" w:rsidR="006725C1" w:rsidRPr="00DF6624" w:rsidRDefault="006725C1" w:rsidP="005C2EDC">
            <w:pPr>
              <w:adjustRightInd w:val="0"/>
              <w:snapToGrid w:val="0"/>
              <w:spacing w:after="0" w:line="360" w:lineRule="auto"/>
              <w:jc w:val="both"/>
              <w:rPr>
                <w:rFonts w:ascii="Book Antiqua" w:eastAsia="Calibri" w:hAnsi="Book Antiqua" w:cs="Times New Roman"/>
                <w:b/>
                <w:color w:val="000000" w:themeColor="text1"/>
                <w:sz w:val="24"/>
                <w:szCs w:val="24"/>
              </w:rPr>
            </w:pPr>
            <w:r w:rsidRPr="00DF6624">
              <w:rPr>
                <w:rFonts w:ascii="Book Antiqua" w:eastAsia="Calibri" w:hAnsi="Book Antiqua" w:cs="Times New Roman"/>
                <w:b/>
                <w:color w:val="000000" w:themeColor="text1"/>
                <w:sz w:val="24"/>
                <w:szCs w:val="24"/>
              </w:rPr>
              <w:t>Gene names</w:t>
            </w:r>
          </w:p>
        </w:tc>
        <w:tc>
          <w:tcPr>
            <w:tcW w:w="6772" w:type="dxa"/>
            <w:gridSpan w:val="4"/>
            <w:tcBorders>
              <w:top w:val="single" w:sz="4" w:space="0" w:color="auto"/>
              <w:bottom w:val="single" w:sz="4" w:space="0" w:color="auto"/>
            </w:tcBorders>
            <w:hideMark/>
          </w:tcPr>
          <w:p w14:paraId="61E8611A" w14:textId="77777777" w:rsidR="006725C1" w:rsidRPr="00DF6624" w:rsidRDefault="006725C1" w:rsidP="005C2EDC">
            <w:pPr>
              <w:adjustRightInd w:val="0"/>
              <w:snapToGrid w:val="0"/>
              <w:spacing w:after="0" w:line="360" w:lineRule="auto"/>
              <w:jc w:val="both"/>
              <w:rPr>
                <w:rFonts w:ascii="Book Antiqua" w:eastAsia="Calibri" w:hAnsi="Book Antiqua" w:cs="Times New Roman"/>
                <w:b/>
                <w:color w:val="000000" w:themeColor="text1"/>
                <w:sz w:val="24"/>
                <w:szCs w:val="24"/>
              </w:rPr>
            </w:pPr>
            <w:r w:rsidRPr="00DF6624">
              <w:rPr>
                <w:rFonts w:ascii="Book Antiqua" w:eastAsia="Calibri" w:hAnsi="Book Antiqua" w:cs="Times New Roman"/>
                <w:b/>
                <w:color w:val="000000" w:themeColor="text1"/>
                <w:sz w:val="24"/>
                <w:szCs w:val="24"/>
              </w:rPr>
              <w:t>Primer sequences (5’–3’)</w:t>
            </w:r>
          </w:p>
        </w:tc>
      </w:tr>
      <w:tr w:rsidR="006725C1" w:rsidRPr="00DF6624" w14:paraId="5B5D16F6" w14:textId="77777777" w:rsidTr="004E1E5C">
        <w:trPr>
          <w:gridAfter w:val="1"/>
          <w:wAfter w:w="39" w:type="dxa"/>
          <w:trHeight w:val="600"/>
        </w:trPr>
        <w:tc>
          <w:tcPr>
            <w:tcW w:w="1700" w:type="dxa"/>
            <w:gridSpan w:val="2"/>
          </w:tcPr>
          <w:p w14:paraId="3A47D1D0"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r w:rsidRPr="006E2CDF">
              <w:rPr>
                <w:rFonts w:ascii="Book Antiqua" w:eastAsia="Calibri" w:hAnsi="Book Antiqua" w:cs="Times New Roman"/>
                <w:i/>
                <w:color w:val="000000" w:themeColor="text1"/>
                <w:sz w:val="24"/>
                <w:szCs w:val="24"/>
              </w:rPr>
              <w:t>Beclin-1</w:t>
            </w:r>
          </w:p>
        </w:tc>
        <w:tc>
          <w:tcPr>
            <w:tcW w:w="6625" w:type="dxa"/>
            <w:gridSpan w:val="2"/>
          </w:tcPr>
          <w:p w14:paraId="7048F240" w14:textId="321470A1"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BECN1-F</w:t>
            </w:r>
            <w:r w:rsidR="00E476C4" w:rsidRPr="00E476C4">
              <w:rPr>
                <w:rFonts w:ascii="Book Antiqua" w:eastAsia="Calibri" w:hAnsi="Book Antiqua" w:cs="Times New Roman"/>
                <w:i/>
                <w:color w:val="000000" w:themeColor="text1"/>
                <w:sz w:val="24"/>
                <w:szCs w:val="24"/>
              </w:rPr>
              <w:t xml:space="preserve">   </w:t>
            </w:r>
            <w:r w:rsidRPr="00DF6624">
              <w:rPr>
                <w:rFonts w:ascii="Book Antiqua" w:eastAsia="Calibri" w:hAnsi="Book Antiqua" w:cs="Times New Roman"/>
                <w:color w:val="000000" w:themeColor="text1"/>
                <w:sz w:val="24"/>
                <w:szCs w:val="24"/>
              </w:rPr>
              <w:t xml:space="preserve"> GGATCAGGAGGAAGC</w:t>
            </w:r>
          </w:p>
          <w:p w14:paraId="39826B59" w14:textId="2F467F12"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BECN1-R</w:t>
            </w:r>
            <w:r w:rsidR="00E476C4" w:rsidRPr="00E476C4">
              <w:rPr>
                <w:rFonts w:ascii="Book Antiqua" w:eastAsia="Calibri" w:hAnsi="Book Antiqua" w:cs="Times New Roman"/>
                <w:i/>
                <w:color w:val="000000" w:themeColor="text1"/>
                <w:sz w:val="24"/>
                <w:szCs w:val="24"/>
              </w:rPr>
              <w:t xml:space="preserve">   </w:t>
            </w:r>
            <w:r w:rsidRPr="00DF6624">
              <w:rPr>
                <w:rFonts w:ascii="Book Antiqua" w:eastAsia="Calibri" w:hAnsi="Book Antiqua" w:cs="Times New Roman"/>
                <w:color w:val="000000" w:themeColor="text1"/>
                <w:sz w:val="24"/>
                <w:szCs w:val="24"/>
              </w:rPr>
              <w:t xml:space="preserve"> GATGTGGAAGGTTGC</w:t>
            </w:r>
          </w:p>
        </w:tc>
      </w:tr>
      <w:tr w:rsidR="006725C1" w:rsidRPr="00DF6624" w14:paraId="753FE3FE" w14:textId="77777777" w:rsidTr="004E1E5C">
        <w:trPr>
          <w:gridAfter w:val="1"/>
          <w:wAfter w:w="39" w:type="dxa"/>
        </w:trPr>
        <w:tc>
          <w:tcPr>
            <w:tcW w:w="1700" w:type="dxa"/>
            <w:gridSpan w:val="2"/>
          </w:tcPr>
          <w:p w14:paraId="1D46CF35"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r w:rsidRPr="006E2CDF">
              <w:rPr>
                <w:rFonts w:ascii="Book Antiqua" w:eastAsia="Calibri" w:hAnsi="Book Antiqua" w:cs="Times New Roman"/>
                <w:i/>
                <w:color w:val="000000" w:themeColor="text1"/>
                <w:sz w:val="24"/>
                <w:szCs w:val="24"/>
              </w:rPr>
              <w:t>ATG5</w:t>
            </w:r>
          </w:p>
        </w:tc>
        <w:tc>
          <w:tcPr>
            <w:tcW w:w="6625" w:type="dxa"/>
            <w:gridSpan w:val="2"/>
          </w:tcPr>
          <w:p w14:paraId="4087F70D" w14:textId="72BD5A91"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ATG5-F</w:t>
            </w:r>
            <w:r w:rsidR="00E476C4" w:rsidRPr="00E476C4">
              <w:rPr>
                <w:rFonts w:ascii="Book Antiqua" w:hAnsi="Book Antiqua"/>
                <w:i/>
                <w:color w:val="000000" w:themeColor="text1"/>
                <w:sz w:val="24"/>
                <w:szCs w:val="24"/>
              </w:rPr>
              <w:t xml:space="preserve"> </w:t>
            </w:r>
            <w:r w:rsidR="00E476C4" w:rsidRPr="00E476C4">
              <w:rPr>
                <w:rFonts w:ascii="Book Antiqua" w:eastAsia="Calibri" w:hAnsi="Book Antiqua" w:cs="Times New Roman"/>
                <w:i/>
                <w:color w:val="000000" w:themeColor="text1"/>
                <w:sz w:val="24"/>
                <w:szCs w:val="24"/>
              </w:rPr>
              <w:t xml:space="preserve">   </w:t>
            </w:r>
            <w:r w:rsidRPr="00DF6624">
              <w:rPr>
                <w:rFonts w:ascii="Book Antiqua" w:eastAsia="Calibri" w:hAnsi="Book Antiqua" w:cs="Times New Roman"/>
                <w:color w:val="000000" w:themeColor="text1"/>
                <w:sz w:val="24"/>
                <w:szCs w:val="24"/>
              </w:rPr>
              <w:t>GCTTCGAGATGTGTGGTTTGG</w:t>
            </w:r>
          </w:p>
          <w:p w14:paraId="3B1D7C8C" w14:textId="44874EB5"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ATG5-R</w:t>
            </w:r>
            <w:r w:rsidR="00E476C4" w:rsidRPr="00E476C4">
              <w:rPr>
                <w:rFonts w:ascii="Book Antiqua" w:hAnsi="Book Antiqua"/>
                <w:i/>
                <w:color w:val="000000" w:themeColor="text1"/>
                <w:sz w:val="24"/>
                <w:szCs w:val="24"/>
              </w:rPr>
              <w:t xml:space="preserve"> </w:t>
            </w:r>
            <w:r w:rsidR="00E476C4" w:rsidRPr="00E476C4">
              <w:rPr>
                <w:rFonts w:ascii="Book Antiqua" w:eastAsia="Calibri" w:hAnsi="Book Antiqua" w:cs="Times New Roman"/>
                <w:i/>
                <w:color w:val="000000" w:themeColor="text1"/>
                <w:sz w:val="24"/>
                <w:szCs w:val="24"/>
              </w:rPr>
              <w:t xml:space="preserve">   </w:t>
            </w:r>
            <w:r w:rsidRPr="00DF6624">
              <w:rPr>
                <w:rFonts w:ascii="Book Antiqua" w:eastAsia="Calibri" w:hAnsi="Book Antiqua" w:cs="Times New Roman"/>
                <w:color w:val="000000" w:themeColor="text1"/>
                <w:sz w:val="24"/>
                <w:szCs w:val="24"/>
              </w:rPr>
              <w:t>ACTTTGTCAGTTACCAACGTCA</w:t>
            </w:r>
          </w:p>
        </w:tc>
      </w:tr>
      <w:tr w:rsidR="006725C1" w:rsidRPr="00DF6624" w14:paraId="2A831798" w14:textId="77777777" w:rsidTr="004E1E5C">
        <w:trPr>
          <w:gridAfter w:val="1"/>
          <w:wAfter w:w="39" w:type="dxa"/>
          <w:trHeight w:val="470"/>
        </w:trPr>
        <w:tc>
          <w:tcPr>
            <w:tcW w:w="1700" w:type="dxa"/>
            <w:gridSpan w:val="2"/>
          </w:tcPr>
          <w:p w14:paraId="2F1A7F03"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r w:rsidRPr="006E2CDF">
              <w:rPr>
                <w:rFonts w:ascii="Book Antiqua" w:eastAsia="Calibri" w:hAnsi="Book Antiqua" w:cs="Times New Roman"/>
                <w:i/>
                <w:color w:val="000000" w:themeColor="text1"/>
                <w:sz w:val="24"/>
                <w:szCs w:val="24"/>
              </w:rPr>
              <w:t>ATG12</w:t>
            </w:r>
          </w:p>
          <w:p w14:paraId="268753C2"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p>
        </w:tc>
        <w:tc>
          <w:tcPr>
            <w:tcW w:w="1808" w:type="dxa"/>
            <w:hideMark/>
          </w:tcPr>
          <w:p w14:paraId="30A4FFC3"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ATG12-F</w:t>
            </w:r>
          </w:p>
          <w:p w14:paraId="44F49DDA"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ATG12-R</w:t>
            </w:r>
          </w:p>
        </w:tc>
        <w:tc>
          <w:tcPr>
            <w:tcW w:w="4817" w:type="dxa"/>
            <w:hideMark/>
          </w:tcPr>
          <w:p w14:paraId="77588F01"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TTGTGGCCTCAGAACAGTTG</w:t>
            </w:r>
          </w:p>
          <w:p w14:paraId="1B731F43"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GAGAGTTCCAACTTCTTGGTCTG</w:t>
            </w:r>
          </w:p>
        </w:tc>
      </w:tr>
      <w:tr w:rsidR="006725C1" w:rsidRPr="00DF6624" w14:paraId="22F2180C" w14:textId="77777777" w:rsidTr="004E1E5C">
        <w:trPr>
          <w:gridAfter w:val="1"/>
          <w:wAfter w:w="39" w:type="dxa"/>
          <w:trHeight w:val="470"/>
        </w:trPr>
        <w:tc>
          <w:tcPr>
            <w:tcW w:w="1700" w:type="dxa"/>
            <w:gridSpan w:val="2"/>
          </w:tcPr>
          <w:p w14:paraId="022CFC49"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r w:rsidRPr="006E2CDF">
              <w:rPr>
                <w:rFonts w:ascii="Book Antiqua" w:eastAsia="Calibri" w:hAnsi="Book Antiqua" w:cs="Times New Roman"/>
                <w:i/>
                <w:color w:val="000000" w:themeColor="text1"/>
                <w:sz w:val="24"/>
                <w:szCs w:val="24"/>
              </w:rPr>
              <w:t>ATG9A</w:t>
            </w:r>
          </w:p>
        </w:tc>
        <w:tc>
          <w:tcPr>
            <w:tcW w:w="1808" w:type="dxa"/>
          </w:tcPr>
          <w:p w14:paraId="12D73CBC"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ATG9A-F</w:t>
            </w:r>
          </w:p>
          <w:p w14:paraId="6641C553"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ATG9A-R</w:t>
            </w:r>
          </w:p>
        </w:tc>
        <w:tc>
          <w:tcPr>
            <w:tcW w:w="4817" w:type="dxa"/>
          </w:tcPr>
          <w:p w14:paraId="043BE782"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CGTGTGGGAAGGACAG</w:t>
            </w:r>
          </w:p>
          <w:p w14:paraId="092D1E5A"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GGCGCTTTCTCCACTC</w:t>
            </w:r>
          </w:p>
        </w:tc>
      </w:tr>
      <w:tr w:rsidR="006725C1" w:rsidRPr="00DF6624" w14:paraId="615DB667" w14:textId="77777777" w:rsidTr="004E1E5C">
        <w:trPr>
          <w:gridAfter w:val="1"/>
          <w:wAfter w:w="39" w:type="dxa"/>
          <w:trHeight w:val="470"/>
        </w:trPr>
        <w:tc>
          <w:tcPr>
            <w:tcW w:w="1700" w:type="dxa"/>
            <w:gridSpan w:val="2"/>
          </w:tcPr>
          <w:p w14:paraId="3C91446C"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r w:rsidRPr="006E2CDF">
              <w:rPr>
                <w:rFonts w:ascii="Book Antiqua" w:eastAsia="Calibri" w:hAnsi="Book Antiqua" w:cs="Times New Roman"/>
                <w:i/>
                <w:color w:val="000000" w:themeColor="text1"/>
                <w:sz w:val="24"/>
                <w:szCs w:val="24"/>
              </w:rPr>
              <w:t>ATG4B</w:t>
            </w:r>
          </w:p>
        </w:tc>
        <w:tc>
          <w:tcPr>
            <w:tcW w:w="1808" w:type="dxa"/>
          </w:tcPr>
          <w:p w14:paraId="2BFAC8B0"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ATG4B-F</w:t>
            </w:r>
          </w:p>
          <w:p w14:paraId="4EF1DF87"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ATG4B-R</w:t>
            </w:r>
          </w:p>
        </w:tc>
        <w:tc>
          <w:tcPr>
            <w:tcW w:w="4817" w:type="dxa"/>
          </w:tcPr>
          <w:p w14:paraId="301924D9"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TCCATAGGCCAGTGGTACG</w:t>
            </w:r>
          </w:p>
          <w:p w14:paraId="4FA75466"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TGCACAACCTTCTGATTTCC</w:t>
            </w:r>
          </w:p>
        </w:tc>
      </w:tr>
      <w:tr w:rsidR="006725C1" w:rsidRPr="00DF6624" w14:paraId="7C52C4A7" w14:textId="77777777" w:rsidTr="004E1E5C">
        <w:trPr>
          <w:gridAfter w:val="1"/>
          <w:wAfter w:w="39" w:type="dxa"/>
          <w:trHeight w:val="470"/>
        </w:trPr>
        <w:tc>
          <w:tcPr>
            <w:tcW w:w="1700" w:type="dxa"/>
            <w:gridSpan w:val="2"/>
            <w:tcBorders>
              <w:bottom w:val="single" w:sz="4" w:space="0" w:color="auto"/>
            </w:tcBorders>
            <w:hideMark/>
          </w:tcPr>
          <w:p w14:paraId="632B7617" w14:textId="77777777" w:rsidR="006725C1" w:rsidRPr="006E2CDF" w:rsidRDefault="006725C1" w:rsidP="005C2EDC">
            <w:pPr>
              <w:adjustRightInd w:val="0"/>
              <w:snapToGrid w:val="0"/>
              <w:spacing w:after="0" w:line="360" w:lineRule="auto"/>
              <w:jc w:val="both"/>
              <w:rPr>
                <w:rFonts w:ascii="Book Antiqua" w:eastAsia="Calibri" w:hAnsi="Book Antiqua" w:cs="Times New Roman"/>
                <w:i/>
                <w:color w:val="000000" w:themeColor="text1"/>
                <w:sz w:val="24"/>
                <w:szCs w:val="24"/>
              </w:rPr>
            </w:pPr>
            <w:r w:rsidRPr="006E2CDF">
              <w:rPr>
                <w:rFonts w:ascii="Book Antiqua" w:eastAsia="Calibri" w:hAnsi="Book Antiqua" w:cs="Times New Roman"/>
                <w:i/>
                <w:color w:val="000000" w:themeColor="text1"/>
                <w:sz w:val="24"/>
                <w:szCs w:val="24"/>
              </w:rPr>
              <w:t>B-actin</w:t>
            </w:r>
          </w:p>
        </w:tc>
        <w:tc>
          <w:tcPr>
            <w:tcW w:w="1808" w:type="dxa"/>
            <w:tcBorders>
              <w:bottom w:val="single" w:sz="4" w:space="0" w:color="auto"/>
            </w:tcBorders>
            <w:hideMark/>
          </w:tcPr>
          <w:p w14:paraId="155E470B"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B-actin-F</w:t>
            </w:r>
          </w:p>
          <w:p w14:paraId="5CD8400B"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B-actin-R</w:t>
            </w:r>
          </w:p>
        </w:tc>
        <w:tc>
          <w:tcPr>
            <w:tcW w:w="4817" w:type="dxa"/>
            <w:tcBorders>
              <w:bottom w:val="single" w:sz="4" w:space="0" w:color="auto"/>
            </w:tcBorders>
            <w:hideMark/>
          </w:tcPr>
          <w:p w14:paraId="6F1DD809"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ACCAACTGGGACGACATGGAGAA</w:t>
            </w:r>
          </w:p>
          <w:p w14:paraId="66F5BCA4" w14:textId="77777777" w:rsidR="006725C1" w:rsidRPr="00DF6624" w:rsidRDefault="006725C1" w:rsidP="005C2EDC">
            <w:pPr>
              <w:adjustRightInd w:val="0"/>
              <w:snapToGrid w:val="0"/>
              <w:spacing w:after="0" w:line="360" w:lineRule="auto"/>
              <w:jc w:val="both"/>
              <w:rPr>
                <w:rFonts w:ascii="Book Antiqua" w:eastAsia="Calibri" w:hAnsi="Book Antiqua" w:cs="Times New Roman"/>
                <w:color w:val="000000" w:themeColor="text1"/>
                <w:sz w:val="24"/>
                <w:szCs w:val="24"/>
              </w:rPr>
            </w:pPr>
            <w:r w:rsidRPr="00DF6624">
              <w:rPr>
                <w:rFonts w:ascii="Book Antiqua" w:eastAsia="Calibri" w:hAnsi="Book Antiqua" w:cs="Times New Roman"/>
                <w:color w:val="000000" w:themeColor="text1"/>
                <w:sz w:val="24"/>
                <w:szCs w:val="24"/>
              </w:rPr>
              <w:t>GTGGTGGTGAAGCTGTAGCC</w:t>
            </w:r>
          </w:p>
        </w:tc>
      </w:tr>
    </w:tbl>
    <w:p w14:paraId="67A0BAA6" w14:textId="77777777" w:rsidR="00257E06" w:rsidRPr="00DF6624" w:rsidRDefault="00257E06" w:rsidP="005C2EDC">
      <w:pPr>
        <w:adjustRightInd w:val="0"/>
        <w:snapToGrid w:val="0"/>
        <w:spacing w:after="0" w:line="360" w:lineRule="auto"/>
        <w:jc w:val="both"/>
        <w:rPr>
          <w:rFonts w:ascii="Book Antiqua" w:eastAsia="宋体" w:hAnsi="Book Antiqua"/>
          <w:color w:val="000000" w:themeColor="text1"/>
          <w:sz w:val="24"/>
          <w:szCs w:val="24"/>
          <w:lang w:eastAsia="zh-CN"/>
        </w:rPr>
      </w:pPr>
    </w:p>
    <w:sectPr w:rsidR="00257E06" w:rsidRPr="00DF6624" w:rsidSect="005F4274">
      <w:headerReference w:type="default" r:id="rId16"/>
      <w:pgSz w:w="11900" w:h="16840"/>
      <w:pgMar w:top="1440" w:right="1835"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A56F2" w14:textId="77777777" w:rsidR="005524EA" w:rsidRDefault="005524EA" w:rsidP="00006C48">
      <w:pPr>
        <w:spacing w:after="0" w:line="240" w:lineRule="auto"/>
      </w:pPr>
      <w:r>
        <w:separator/>
      </w:r>
    </w:p>
  </w:endnote>
  <w:endnote w:type="continuationSeparator" w:id="0">
    <w:p w14:paraId="77AFEF09" w14:textId="77777777" w:rsidR="005524EA" w:rsidRDefault="005524EA" w:rsidP="00006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F25E7" w14:textId="77777777" w:rsidR="005524EA" w:rsidRDefault="005524EA" w:rsidP="00006C48">
      <w:pPr>
        <w:spacing w:after="0" w:line="240" w:lineRule="auto"/>
      </w:pPr>
      <w:r>
        <w:separator/>
      </w:r>
    </w:p>
  </w:footnote>
  <w:footnote w:type="continuationSeparator" w:id="0">
    <w:p w14:paraId="5F70D952" w14:textId="77777777" w:rsidR="005524EA" w:rsidRDefault="005524EA" w:rsidP="00006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53359"/>
      <w:docPartObj>
        <w:docPartGallery w:val="Page Numbers (Top of Page)"/>
        <w:docPartUnique/>
      </w:docPartObj>
    </w:sdtPr>
    <w:sdtEndPr>
      <w:rPr>
        <w:noProof/>
      </w:rPr>
    </w:sdtEndPr>
    <w:sdtContent>
      <w:p w14:paraId="576BAF7D" w14:textId="5DFC27ED" w:rsidR="004E1E5C" w:rsidRDefault="004E1E5C">
        <w:pPr>
          <w:pStyle w:val="ab"/>
          <w:jc w:val="right"/>
        </w:pPr>
        <w:r>
          <w:fldChar w:fldCharType="begin"/>
        </w:r>
        <w:r>
          <w:instrText xml:space="preserve"> PAGE   \* MERGEFORMAT </w:instrText>
        </w:r>
        <w:r>
          <w:fldChar w:fldCharType="separate"/>
        </w:r>
        <w:r w:rsidR="006B6FCA">
          <w:rPr>
            <w:noProof/>
          </w:rPr>
          <w:t>27</w:t>
        </w:r>
        <w:r>
          <w:rPr>
            <w:noProof/>
          </w:rPr>
          <w:fldChar w:fldCharType="end"/>
        </w:r>
      </w:p>
    </w:sdtContent>
  </w:sdt>
  <w:p w14:paraId="13C1173D" w14:textId="77777777" w:rsidR="004E1E5C" w:rsidRDefault="004E1E5C">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5C1"/>
    <w:rsid w:val="00006C48"/>
    <w:rsid w:val="00023A81"/>
    <w:rsid w:val="00050F61"/>
    <w:rsid w:val="000717B4"/>
    <w:rsid w:val="000812F7"/>
    <w:rsid w:val="000D16AA"/>
    <w:rsid w:val="00190FD3"/>
    <w:rsid w:val="001D5995"/>
    <w:rsid w:val="00257E06"/>
    <w:rsid w:val="00263436"/>
    <w:rsid w:val="00267F21"/>
    <w:rsid w:val="00283BB8"/>
    <w:rsid w:val="00286095"/>
    <w:rsid w:val="002D4D5F"/>
    <w:rsid w:val="003147C3"/>
    <w:rsid w:val="003349A7"/>
    <w:rsid w:val="0034512C"/>
    <w:rsid w:val="00367D4E"/>
    <w:rsid w:val="0039187C"/>
    <w:rsid w:val="003C49C4"/>
    <w:rsid w:val="003C7BC0"/>
    <w:rsid w:val="003E269F"/>
    <w:rsid w:val="00430F5A"/>
    <w:rsid w:val="00432F4D"/>
    <w:rsid w:val="00437486"/>
    <w:rsid w:val="00497174"/>
    <w:rsid w:val="004A70AC"/>
    <w:rsid w:val="004B37BB"/>
    <w:rsid w:val="004D58C6"/>
    <w:rsid w:val="004E0C88"/>
    <w:rsid w:val="004E1E5C"/>
    <w:rsid w:val="004F11FC"/>
    <w:rsid w:val="004F5ADE"/>
    <w:rsid w:val="005524EA"/>
    <w:rsid w:val="00572763"/>
    <w:rsid w:val="005B3C27"/>
    <w:rsid w:val="005C2EDC"/>
    <w:rsid w:val="005F4274"/>
    <w:rsid w:val="005F7D76"/>
    <w:rsid w:val="006542DA"/>
    <w:rsid w:val="006725C1"/>
    <w:rsid w:val="006A3E06"/>
    <w:rsid w:val="006B41C4"/>
    <w:rsid w:val="006B6FCA"/>
    <w:rsid w:val="006E2CDF"/>
    <w:rsid w:val="00705CA4"/>
    <w:rsid w:val="00743E01"/>
    <w:rsid w:val="00764089"/>
    <w:rsid w:val="007E75CF"/>
    <w:rsid w:val="007F629D"/>
    <w:rsid w:val="008567D1"/>
    <w:rsid w:val="00897D11"/>
    <w:rsid w:val="008D4E3A"/>
    <w:rsid w:val="008F5E02"/>
    <w:rsid w:val="00906B41"/>
    <w:rsid w:val="00914CD4"/>
    <w:rsid w:val="00921B66"/>
    <w:rsid w:val="009439F0"/>
    <w:rsid w:val="00970737"/>
    <w:rsid w:val="00985333"/>
    <w:rsid w:val="009B6CE1"/>
    <w:rsid w:val="009C09DA"/>
    <w:rsid w:val="00A227CB"/>
    <w:rsid w:val="00A860DF"/>
    <w:rsid w:val="00AB27FC"/>
    <w:rsid w:val="00AF0B90"/>
    <w:rsid w:val="00B25535"/>
    <w:rsid w:val="00B9349E"/>
    <w:rsid w:val="00BA3301"/>
    <w:rsid w:val="00BD2577"/>
    <w:rsid w:val="00BF40F0"/>
    <w:rsid w:val="00C07509"/>
    <w:rsid w:val="00C327F5"/>
    <w:rsid w:val="00C61D4B"/>
    <w:rsid w:val="00C920FF"/>
    <w:rsid w:val="00C972B8"/>
    <w:rsid w:val="00CA0225"/>
    <w:rsid w:val="00CA74E6"/>
    <w:rsid w:val="00D05622"/>
    <w:rsid w:val="00D54C7B"/>
    <w:rsid w:val="00DF01DA"/>
    <w:rsid w:val="00DF6624"/>
    <w:rsid w:val="00E476C4"/>
    <w:rsid w:val="00E50095"/>
    <w:rsid w:val="00E9328E"/>
    <w:rsid w:val="00EF35DA"/>
    <w:rsid w:val="00F256F5"/>
    <w:rsid w:val="00F413E7"/>
    <w:rsid w:val="00F578F1"/>
    <w:rsid w:val="00F704D7"/>
    <w:rsid w:val="00FE700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ABED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5C1"/>
    <w:pPr>
      <w:spacing w:after="160" w:line="259" w:lineRule="auto"/>
    </w:pPr>
    <w:rPr>
      <w:rFonts w:eastAsiaTheme="minorHAnsi"/>
      <w:sz w:val="22"/>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25C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59"/>
    <w:rsid w:val="006725C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725C1"/>
  </w:style>
  <w:style w:type="paragraph" w:styleId="a4">
    <w:name w:val="Balloon Text"/>
    <w:basedOn w:val="a"/>
    <w:link w:val="Char"/>
    <w:uiPriority w:val="99"/>
    <w:semiHidden/>
    <w:unhideWhenUsed/>
    <w:rsid w:val="006725C1"/>
    <w:pPr>
      <w:spacing w:after="0" w:line="240" w:lineRule="auto"/>
    </w:pPr>
    <w:rPr>
      <w:rFonts w:ascii="Lucida Grande" w:hAnsi="Lucida Grande" w:cs="Lucida Grande"/>
      <w:sz w:val="18"/>
      <w:szCs w:val="18"/>
    </w:rPr>
  </w:style>
  <w:style w:type="character" w:customStyle="1" w:styleId="Char">
    <w:name w:val="批注框文本 Char"/>
    <w:basedOn w:val="a0"/>
    <w:link w:val="a4"/>
    <w:uiPriority w:val="99"/>
    <w:semiHidden/>
    <w:rsid w:val="006725C1"/>
    <w:rPr>
      <w:rFonts w:ascii="Lucida Grande" w:eastAsiaTheme="minorHAnsi" w:hAnsi="Lucida Grande" w:cs="Lucida Grande"/>
      <w:sz w:val="18"/>
      <w:szCs w:val="18"/>
      <w:lang w:bidi="th-TH"/>
    </w:rPr>
  </w:style>
  <w:style w:type="paragraph" w:customStyle="1" w:styleId="Default">
    <w:name w:val="Default"/>
    <w:rsid w:val="006725C1"/>
    <w:pPr>
      <w:autoSpaceDE w:val="0"/>
      <w:autoSpaceDN w:val="0"/>
      <w:adjustRightInd w:val="0"/>
    </w:pPr>
    <w:rPr>
      <w:rFonts w:ascii="Arial" w:hAnsi="Arial" w:cs="Arial"/>
      <w:color w:val="000000"/>
      <w:lang w:val="en-GB" w:eastAsia="ja-JP" w:bidi="th-TH"/>
    </w:rPr>
  </w:style>
  <w:style w:type="character" w:styleId="a5">
    <w:name w:val="annotation reference"/>
    <w:basedOn w:val="a0"/>
    <w:uiPriority w:val="99"/>
    <w:semiHidden/>
    <w:unhideWhenUsed/>
    <w:rsid w:val="006725C1"/>
    <w:rPr>
      <w:sz w:val="18"/>
      <w:szCs w:val="18"/>
    </w:rPr>
  </w:style>
  <w:style w:type="paragraph" w:styleId="a6">
    <w:name w:val="annotation text"/>
    <w:basedOn w:val="a"/>
    <w:link w:val="Char0"/>
    <w:uiPriority w:val="99"/>
    <w:semiHidden/>
    <w:unhideWhenUsed/>
    <w:rsid w:val="006725C1"/>
    <w:pPr>
      <w:spacing w:line="240" w:lineRule="auto"/>
    </w:pPr>
    <w:rPr>
      <w:sz w:val="24"/>
      <w:szCs w:val="24"/>
    </w:rPr>
  </w:style>
  <w:style w:type="character" w:customStyle="1" w:styleId="Char0">
    <w:name w:val="批注文字 Char"/>
    <w:basedOn w:val="a0"/>
    <w:link w:val="a6"/>
    <w:uiPriority w:val="99"/>
    <w:semiHidden/>
    <w:rsid w:val="006725C1"/>
    <w:rPr>
      <w:rFonts w:eastAsiaTheme="minorHAnsi"/>
      <w:lang w:bidi="th-TH"/>
    </w:rPr>
  </w:style>
  <w:style w:type="paragraph" w:styleId="a7">
    <w:name w:val="annotation subject"/>
    <w:basedOn w:val="a6"/>
    <w:next w:val="a6"/>
    <w:link w:val="Char1"/>
    <w:uiPriority w:val="99"/>
    <w:semiHidden/>
    <w:unhideWhenUsed/>
    <w:rsid w:val="006725C1"/>
    <w:rPr>
      <w:b/>
      <w:bCs/>
      <w:sz w:val="20"/>
      <w:szCs w:val="20"/>
    </w:rPr>
  </w:style>
  <w:style w:type="character" w:customStyle="1" w:styleId="Char1">
    <w:name w:val="批注主题 Char"/>
    <w:basedOn w:val="Char0"/>
    <w:link w:val="a7"/>
    <w:uiPriority w:val="99"/>
    <w:semiHidden/>
    <w:rsid w:val="006725C1"/>
    <w:rPr>
      <w:rFonts w:eastAsiaTheme="minorHAnsi"/>
      <w:b/>
      <w:bCs/>
      <w:sz w:val="20"/>
      <w:szCs w:val="20"/>
      <w:lang w:bidi="th-TH"/>
    </w:rPr>
  </w:style>
  <w:style w:type="character" w:styleId="a8">
    <w:name w:val="Hyperlink"/>
    <w:basedOn w:val="a0"/>
    <w:uiPriority w:val="99"/>
    <w:unhideWhenUsed/>
    <w:rsid w:val="006725C1"/>
    <w:rPr>
      <w:color w:val="0000FF" w:themeColor="hyperlink"/>
      <w:u w:val="single"/>
    </w:rPr>
  </w:style>
  <w:style w:type="character" w:styleId="a9">
    <w:name w:val="FollowedHyperlink"/>
    <w:basedOn w:val="a0"/>
    <w:uiPriority w:val="99"/>
    <w:semiHidden/>
    <w:unhideWhenUsed/>
    <w:rsid w:val="006725C1"/>
    <w:rPr>
      <w:color w:val="800080" w:themeColor="followedHyperlink"/>
      <w:u w:val="single"/>
    </w:rPr>
  </w:style>
  <w:style w:type="paragraph" w:styleId="aa">
    <w:name w:val="Revision"/>
    <w:hidden/>
    <w:uiPriority w:val="99"/>
    <w:semiHidden/>
    <w:rsid w:val="006725C1"/>
    <w:rPr>
      <w:rFonts w:eastAsiaTheme="minorHAnsi"/>
      <w:sz w:val="22"/>
      <w:szCs w:val="28"/>
      <w:lang w:bidi="th-TH"/>
    </w:rPr>
  </w:style>
  <w:style w:type="paragraph" w:styleId="ab">
    <w:name w:val="header"/>
    <w:basedOn w:val="a"/>
    <w:link w:val="Char2"/>
    <w:uiPriority w:val="99"/>
    <w:unhideWhenUsed/>
    <w:rsid w:val="00006C48"/>
    <w:pPr>
      <w:tabs>
        <w:tab w:val="center" w:pos="4513"/>
        <w:tab w:val="right" w:pos="9026"/>
      </w:tabs>
      <w:spacing w:after="0" w:line="240" w:lineRule="auto"/>
    </w:pPr>
  </w:style>
  <w:style w:type="character" w:customStyle="1" w:styleId="Char2">
    <w:name w:val="页眉 Char"/>
    <w:basedOn w:val="a0"/>
    <w:link w:val="ab"/>
    <w:uiPriority w:val="99"/>
    <w:rsid w:val="00006C48"/>
    <w:rPr>
      <w:rFonts w:eastAsiaTheme="minorHAnsi"/>
      <w:sz w:val="22"/>
      <w:szCs w:val="28"/>
      <w:lang w:bidi="th-TH"/>
    </w:rPr>
  </w:style>
  <w:style w:type="paragraph" w:styleId="ac">
    <w:name w:val="footer"/>
    <w:basedOn w:val="a"/>
    <w:link w:val="Char3"/>
    <w:uiPriority w:val="99"/>
    <w:unhideWhenUsed/>
    <w:rsid w:val="00006C48"/>
    <w:pPr>
      <w:tabs>
        <w:tab w:val="center" w:pos="4513"/>
        <w:tab w:val="right" w:pos="9026"/>
      </w:tabs>
      <w:spacing w:after="0" w:line="240" w:lineRule="auto"/>
    </w:pPr>
  </w:style>
  <w:style w:type="character" w:customStyle="1" w:styleId="Char3">
    <w:name w:val="页脚 Char"/>
    <w:basedOn w:val="a0"/>
    <w:link w:val="ac"/>
    <w:uiPriority w:val="99"/>
    <w:rsid w:val="00006C48"/>
    <w:rPr>
      <w:rFonts w:eastAsiaTheme="minorHAnsi"/>
      <w:sz w:val="22"/>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5C1"/>
    <w:pPr>
      <w:spacing w:after="160" w:line="259" w:lineRule="auto"/>
    </w:pPr>
    <w:rPr>
      <w:rFonts w:eastAsiaTheme="minorHAnsi"/>
      <w:sz w:val="22"/>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25C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59"/>
    <w:rsid w:val="006725C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725C1"/>
  </w:style>
  <w:style w:type="paragraph" w:styleId="a4">
    <w:name w:val="Balloon Text"/>
    <w:basedOn w:val="a"/>
    <w:link w:val="Char"/>
    <w:uiPriority w:val="99"/>
    <w:semiHidden/>
    <w:unhideWhenUsed/>
    <w:rsid w:val="006725C1"/>
    <w:pPr>
      <w:spacing w:after="0" w:line="240" w:lineRule="auto"/>
    </w:pPr>
    <w:rPr>
      <w:rFonts w:ascii="Lucida Grande" w:hAnsi="Lucida Grande" w:cs="Lucida Grande"/>
      <w:sz w:val="18"/>
      <w:szCs w:val="18"/>
    </w:rPr>
  </w:style>
  <w:style w:type="character" w:customStyle="1" w:styleId="Char">
    <w:name w:val="批注框文本 Char"/>
    <w:basedOn w:val="a0"/>
    <w:link w:val="a4"/>
    <w:uiPriority w:val="99"/>
    <w:semiHidden/>
    <w:rsid w:val="006725C1"/>
    <w:rPr>
      <w:rFonts w:ascii="Lucida Grande" w:eastAsiaTheme="minorHAnsi" w:hAnsi="Lucida Grande" w:cs="Lucida Grande"/>
      <w:sz w:val="18"/>
      <w:szCs w:val="18"/>
      <w:lang w:bidi="th-TH"/>
    </w:rPr>
  </w:style>
  <w:style w:type="paragraph" w:customStyle="1" w:styleId="Default">
    <w:name w:val="Default"/>
    <w:rsid w:val="006725C1"/>
    <w:pPr>
      <w:autoSpaceDE w:val="0"/>
      <w:autoSpaceDN w:val="0"/>
      <w:adjustRightInd w:val="0"/>
    </w:pPr>
    <w:rPr>
      <w:rFonts w:ascii="Arial" w:hAnsi="Arial" w:cs="Arial"/>
      <w:color w:val="000000"/>
      <w:lang w:val="en-GB" w:eastAsia="ja-JP" w:bidi="th-TH"/>
    </w:rPr>
  </w:style>
  <w:style w:type="character" w:styleId="a5">
    <w:name w:val="annotation reference"/>
    <w:basedOn w:val="a0"/>
    <w:uiPriority w:val="99"/>
    <w:semiHidden/>
    <w:unhideWhenUsed/>
    <w:rsid w:val="006725C1"/>
    <w:rPr>
      <w:sz w:val="18"/>
      <w:szCs w:val="18"/>
    </w:rPr>
  </w:style>
  <w:style w:type="paragraph" w:styleId="a6">
    <w:name w:val="annotation text"/>
    <w:basedOn w:val="a"/>
    <w:link w:val="Char0"/>
    <w:uiPriority w:val="99"/>
    <w:semiHidden/>
    <w:unhideWhenUsed/>
    <w:rsid w:val="006725C1"/>
    <w:pPr>
      <w:spacing w:line="240" w:lineRule="auto"/>
    </w:pPr>
    <w:rPr>
      <w:sz w:val="24"/>
      <w:szCs w:val="24"/>
    </w:rPr>
  </w:style>
  <w:style w:type="character" w:customStyle="1" w:styleId="Char0">
    <w:name w:val="批注文字 Char"/>
    <w:basedOn w:val="a0"/>
    <w:link w:val="a6"/>
    <w:uiPriority w:val="99"/>
    <w:semiHidden/>
    <w:rsid w:val="006725C1"/>
    <w:rPr>
      <w:rFonts w:eastAsiaTheme="minorHAnsi"/>
      <w:lang w:bidi="th-TH"/>
    </w:rPr>
  </w:style>
  <w:style w:type="paragraph" w:styleId="a7">
    <w:name w:val="annotation subject"/>
    <w:basedOn w:val="a6"/>
    <w:next w:val="a6"/>
    <w:link w:val="Char1"/>
    <w:uiPriority w:val="99"/>
    <w:semiHidden/>
    <w:unhideWhenUsed/>
    <w:rsid w:val="006725C1"/>
    <w:rPr>
      <w:b/>
      <w:bCs/>
      <w:sz w:val="20"/>
      <w:szCs w:val="20"/>
    </w:rPr>
  </w:style>
  <w:style w:type="character" w:customStyle="1" w:styleId="Char1">
    <w:name w:val="批注主题 Char"/>
    <w:basedOn w:val="Char0"/>
    <w:link w:val="a7"/>
    <w:uiPriority w:val="99"/>
    <w:semiHidden/>
    <w:rsid w:val="006725C1"/>
    <w:rPr>
      <w:rFonts w:eastAsiaTheme="minorHAnsi"/>
      <w:b/>
      <w:bCs/>
      <w:sz w:val="20"/>
      <w:szCs w:val="20"/>
      <w:lang w:bidi="th-TH"/>
    </w:rPr>
  </w:style>
  <w:style w:type="character" w:styleId="a8">
    <w:name w:val="Hyperlink"/>
    <w:basedOn w:val="a0"/>
    <w:uiPriority w:val="99"/>
    <w:unhideWhenUsed/>
    <w:rsid w:val="006725C1"/>
    <w:rPr>
      <w:color w:val="0000FF" w:themeColor="hyperlink"/>
      <w:u w:val="single"/>
    </w:rPr>
  </w:style>
  <w:style w:type="character" w:styleId="a9">
    <w:name w:val="FollowedHyperlink"/>
    <w:basedOn w:val="a0"/>
    <w:uiPriority w:val="99"/>
    <w:semiHidden/>
    <w:unhideWhenUsed/>
    <w:rsid w:val="006725C1"/>
    <w:rPr>
      <w:color w:val="800080" w:themeColor="followedHyperlink"/>
      <w:u w:val="single"/>
    </w:rPr>
  </w:style>
  <w:style w:type="paragraph" w:styleId="aa">
    <w:name w:val="Revision"/>
    <w:hidden/>
    <w:uiPriority w:val="99"/>
    <w:semiHidden/>
    <w:rsid w:val="006725C1"/>
    <w:rPr>
      <w:rFonts w:eastAsiaTheme="minorHAnsi"/>
      <w:sz w:val="22"/>
      <w:szCs w:val="28"/>
      <w:lang w:bidi="th-TH"/>
    </w:rPr>
  </w:style>
  <w:style w:type="paragraph" w:styleId="ab">
    <w:name w:val="header"/>
    <w:basedOn w:val="a"/>
    <w:link w:val="Char2"/>
    <w:uiPriority w:val="99"/>
    <w:unhideWhenUsed/>
    <w:rsid w:val="00006C48"/>
    <w:pPr>
      <w:tabs>
        <w:tab w:val="center" w:pos="4513"/>
        <w:tab w:val="right" w:pos="9026"/>
      </w:tabs>
      <w:spacing w:after="0" w:line="240" w:lineRule="auto"/>
    </w:pPr>
  </w:style>
  <w:style w:type="character" w:customStyle="1" w:styleId="Char2">
    <w:name w:val="页眉 Char"/>
    <w:basedOn w:val="a0"/>
    <w:link w:val="ab"/>
    <w:uiPriority w:val="99"/>
    <w:rsid w:val="00006C48"/>
    <w:rPr>
      <w:rFonts w:eastAsiaTheme="minorHAnsi"/>
      <w:sz w:val="22"/>
      <w:szCs w:val="28"/>
      <w:lang w:bidi="th-TH"/>
    </w:rPr>
  </w:style>
  <w:style w:type="paragraph" w:styleId="ac">
    <w:name w:val="footer"/>
    <w:basedOn w:val="a"/>
    <w:link w:val="Char3"/>
    <w:uiPriority w:val="99"/>
    <w:unhideWhenUsed/>
    <w:rsid w:val="00006C48"/>
    <w:pPr>
      <w:tabs>
        <w:tab w:val="center" w:pos="4513"/>
        <w:tab w:val="right" w:pos="9026"/>
      </w:tabs>
      <w:spacing w:after="0" w:line="240" w:lineRule="auto"/>
    </w:pPr>
  </w:style>
  <w:style w:type="character" w:customStyle="1" w:styleId="Char3">
    <w:name w:val="页脚 Char"/>
    <w:basedOn w:val="a0"/>
    <w:link w:val="ac"/>
    <w:uiPriority w:val="99"/>
    <w:rsid w:val="00006C48"/>
    <w:rPr>
      <w:rFonts w:eastAsiaTheme="minorHAnsi"/>
      <w:sz w:val="22"/>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8050</Words>
  <Characters>45889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Nattiya Hirankarn</dc:creator>
  <cp:lastModifiedBy>Ma, Ya-Juan (BPG)</cp:lastModifiedBy>
  <cp:revision>4</cp:revision>
  <dcterms:created xsi:type="dcterms:W3CDTF">2016-07-31T21:54:00Z</dcterms:created>
  <dcterms:modified xsi:type="dcterms:W3CDTF">2016-08-01T06:29:00Z</dcterms:modified>
</cp:coreProperties>
</file>