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57" w:rsidRPr="00900E2E" w:rsidRDefault="00965D57" w:rsidP="00C805C6">
      <w:pPr>
        <w:adjustRightInd w:val="0"/>
        <w:snapToGrid w:val="0"/>
        <w:spacing w:line="360" w:lineRule="auto"/>
        <w:rPr>
          <w:rFonts w:ascii="Book Antiqua" w:hAnsi="Book Antiqua" w:cs="Arial"/>
          <w:b/>
          <w:color w:val="000000" w:themeColor="text1"/>
          <w:shd w:val="clear" w:color="auto" w:fill="FFFFFF"/>
        </w:rPr>
      </w:pPr>
      <w:r w:rsidRPr="00900E2E">
        <w:rPr>
          <w:rFonts w:ascii="Book Antiqua" w:hAnsi="Book Antiqua" w:cs="Arial"/>
          <w:b/>
          <w:color w:val="000000" w:themeColor="text1"/>
          <w:shd w:val="clear" w:color="auto" w:fill="FFFFFF"/>
        </w:rPr>
        <w:t>Name of Journal: World Journal of Gastroenterology</w:t>
      </w:r>
    </w:p>
    <w:p w:rsidR="00965D57" w:rsidRPr="00900E2E" w:rsidRDefault="00965D57" w:rsidP="00C805C6">
      <w:pPr>
        <w:adjustRightInd w:val="0"/>
        <w:snapToGrid w:val="0"/>
        <w:spacing w:line="360" w:lineRule="auto"/>
        <w:rPr>
          <w:rFonts w:ascii="Book Antiqua" w:hAnsi="Book Antiqua" w:cs="Arial"/>
          <w:b/>
          <w:color w:val="000000" w:themeColor="text1"/>
          <w:shd w:val="clear" w:color="auto" w:fill="FFFFFF"/>
        </w:rPr>
      </w:pPr>
      <w:r w:rsidRPr="00900E2E">
        <w:rPr>
          <w:rFonts w:ascii="Book Antiqua" w:hAnsi="Book Antiqua" w:cs="Arial"/>
          <w:b/>
          <w:color w:val="000000" w:themeColor="text1"/>
          <w:shd w:val="clear" w:color="auto" w:fill="FFFFFF"/>
        </w:rPr>
        <w:t>ESPS Manuscript NO: 27286</w:t>
      </w:r>
    </w:p>
    <w:p w:rsidR="00965D57" w:rsidRDefault="00965D57" w:rsidP="00C805C6">
      <w:pPr>
        <w:adjustRightInd w:val="0"/>
        <w:snapToGrid w:val="0"/>
        <w:spacing w:line="360" w:lineRule="auto"/>
        <w:rPr>
          <w:rFonts w:ascii="Book Antiqua" w:eastAsia="宋体" w:hAnsi="Book Antiqua" w:cs="Arial"/>
          <w:b/>
          <w:color w:val="000000" w:themeColor="text1"/>
          <w:shd w:val="clear" w:color="auto" w:fill="FFFFFF"/>
          <w:lang w:eastAsia="zh-CN"/>
        </w:rPr>
      </w:pPr>
      <w:r w:rsidRPr="00900E2E">
        <w:rPr>
          <w:rFonts w:ascii="Book Antiqua" w:hAnsi="Book Antiqua" w:cs="Arial"/>
          <w:b/>
          <w:color w:val="000000" w:themeColor="text1"/>
          <w:shd w:val="clear" w:color="auto" w:fill="FFFFFF"/>
        </w:rPr>
        <w:t>Manuscript Type: ORIGINAL ARTICLE</w:t>
      </w:r>
    </w:p>
    <w:p w:rsidR="001974B9" w:rsidRPr="001974B9" w:rsidRDefault="001974B9" w:rsidP="00C805C6">
      <w:pPr>
        <w:adjustRightInd w:val="0"/>
        <w:snapToGrid w:val="0"/>
        <w:spacing w:line="360" w:lineRule="auto"/>
        <w:rPr>
          <w:rFonts w:ascii="Book Antiqua" w:eastAsia="宋体" w:hAnsi="Book Antiqua" w:cs="Arial"/>
          <w:b/>
          <w:color w:val="000000" w:themeColor="text1"/>
          <w:shd w:val="clear" w:color="auto" w:fill="FFFFFF"/>
          <w:lang w:eastAsia="zh-CN"/>
        </w:rPr>
      </w:pPr>
    </w:p>
    <w:p w:rsidR="00965D57" w:rsidRPr="00900E2E" w:rsidRDefault="00965D57" w:rsidP="00C805C6">
      <w:pPr>
        <w:adjustRightInd w:val="0"/>
        <w:snapToGrid w:val="0"/>
        <w:spacing w:line="360" w:lineRule="auto"/>
        <w:rPr>
          <w:rFonts w:ascii="Book Antiqua" w:eastAsia="宋体" w:hAnsi="Book Antiqua" w:cs="Arial"/>
          <w:b/>
          <w:i/>
          <w:color w:val="000000" w:themeColor="text1"/>
          <w:shd w:val="clear" w:color="auto" w:fill="FFFFFF"/>
          <w:lang w:eastAsia="zh-CN"/>
        </w:rPr>
      </w:pPr>
      <w:r w:rsidRPr="00900E2E">
        <w:rPr>
          <w:rFonts w:ascii="Book Antiqua" w:hAnsi="Book Antiqua" w:cs="Arial"/>
          <w:b/>
          <w:i/>
          <w:color w:val="000000" w:themeColor="text1"/>
          <w:shd w:val="clear" w:color="auto" w:fill="FFFFFF"/>
        </w:rPr>
        <w:t>Retrospective Study</w:t>
      </w:r>
    </w:p>
    <w:p w:rsidR="00404C55" w:rsidRPr="00900E2E" w:rsidRDefault="00404C55" w:rsidP="00C805C6">
      <w:pPr>
        <w:adjustRightInd w:val="0"/>
        <w:snapToGrid w:val="0"/>
        <w:spacing w:line="360" w:lineRule="auto"/>
        <w:rPr>
          <w:rFonts w:ascii="Book Antiqua" w:hAnsi="Book Antiqua"/>
          <w:b/>
          <w:color w:val="000000" w:themeColor="text1"/>
          <w:sz w:val="24"/>
          <w:szCs w:val="24"/>
        </w:rPr>
      </w:pPr>
      <w:r w:rsidRPr="00900E2E">
        <w:rPr>
          <w:rFonts w:ascii="Book Antiqua" w:hAnsi="Book Antiqua"/>
          <w:b/>
          <w:color w:val="000000" w:themeColor="text1"/>
          <w:sz w:val="24"/>
          <w:szCs w:val="24"/>
        </w:rPr>
        <w:t xml:space="preserve">Pretreatment AKR1B10 expression predicts the risk of </w:t>
      </w:r>
      <w:r w:rsidR="00965D57" w:rsidRPr="00900E2E">
        <w:rPr>
          <w:rFonts w:ascii="Book Antiqua" w:hAnsi="Book Antiqua"/>
          <w:b/>
          <w:color w:val="000000" w:themeColor="text1"/>
          <w:sz w:val="24"/>
          <w:szCs w:val="24"/>
        </w:rPr>
        <w:t xml:space="preserve">hepatocellular carcinoma </w:t>
      </w:r>
      <w:r w:rsidRPr="00900E2E">
        <w:rPr>
          <w:rFonts w:ascii="Book Antiqua" w:hAnsi="Book Antiqua"/>
          <w:b/>
          <w:color w:val="000000" w:themeColor="text1"/>
          <w:sz w:val="24"/>
          <w:szCs w:val="24"/>
        </w:rPr>
        <w:t xml:space="preserve">development after </w:t>
      </w:r>
      <w:r w:rsidR="00965D57" w:rsidRPr="00900E2E">
        <w:rPr>
          <w:rFonts w:ascii="Book Antiqua" w:hAnsi="Book Antiqua"/>
          <w:b/>
          <w:color w:val="000000" w:themeColor="text1"/>
          <w:sz w:val="24"/>
          <w:szCs w:val="24"/>
        </w:rPr>
        <w:t xml:space="preserve">hepatitis C virus </w:t>
      </w:r>
      <w:r w:rsidRPr="00900E2E">
        <w:rPr>
          <w:rFonts w:ascii="Book Antiqua" w:hAnsi="Book Antiqua"/>
          <w:b/>
          <w:color w:val="000000" w:themeColor="text1"/>
          <w:sz w:val="24"/>
          <w:szCs w:val="24"/>
        </w:rPr>
        <w:t>eradication</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3D6F02"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 xml:space="preserve">Murata </w:t>
      </w:r>
      <w:r w:rsidRPr="00900E2E">
        <w:rPr>
          <w:rFonts w:ascii="Book Antiqua" w:eastAsia="宋体" w:hAnsi="Book Antiqua" w:hint="eastAsia"/>
          <w:color w:val="000000" w:themeColor="text1"/>
          <w:sz w:val="24"/>
          <w:szCs w:val="24"/>
          <w:lang w:eastAsia="zh-CN"/>
        </w:rPr>
        <w:t xml:space="preserve">A </w:t>
      </w:r>
      <w:r w:rsidRPr="00900E2E">
        <w:rPr>
          <w:rFonts w:ascii="Book Antiqua" w:eastAsia="宋体" w:hAnsi="Book Antiqua" w:hint="eastAsia"/>
          <w:i/>
          <w:color w:val="000000" w:themeColor="text1"/>
          <w:sz w:val="24"/>
          <w:szCs w:val="24"/>
          <w:lang w:eastAsia="zh-CN"/>
        </w:rPr>
        <w:t>et al</w:t>
      </w:r>
      <w:r w:rsidRPr="00900E2E">
        <w:rPr>
          <w:rFonts w:ascii="Book Antiqua" w:eastAsia="宋体" w:hAnsi="Book Antiqua" w:hint="eastAsia"/>
          <w:color w:val="000000" w:themeColor="text1"/>
          <w:sz w:val="24"/>
          <w:szCs w:val="24"/>
          <w:lang w:eastAsia="zh-CN"/>
        </w:rPr>
        <w:t xml:space="preserve">. </w:t>
      </w:r>
      <w:r w:rsidR="00404C55" w:rsidRPr="00900E2E">
        <w:rPr>
          <w:rFonts w:ascii="Book Antiqua" w:hAnsi="Book Antiqua"/>
          <w:color w:val="000000" w:themeColor="text1"/>
          <w:sz w:val="24"/>
          <w:szCs w:val="24"/>
        </w:rPr>
        <w:t>AKR1B10 and HCC after SVR</w:t>
      </w:r>
    </w:p>
    <w:p w:rsidR="003D6F02" w:rsidRPr="00900E2E" w:rsidRDefault="003D6F02" w:rsidP="00C805C6">
      <w:pPr>
        <w:adjustRightInd w:val="0"/>
        <w:snapToGrid w:val="0"/>
        <w:spacing w:line="360" w:lineRule="auto"/>
        <w:rPr>
          <w:rFonts w:ascii="Book Antiqua" w:eastAsia="宋体" w:hAnsi="Book Antiqua"/>
          <w:color w:val="000000" w:themeColor="text1"/>
          <w:sz w:val="24"/>
          <w:szCs w:val="24"/>
          <w:lang w:eastAsia="zh-CN"/>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Ayato Murata, Takuya Genda, Takafumi Ichida, Nozomi Amano, Sho Sato, Hironori Tsuzura, Shunsuke Sato, Yutaka Narita, Yoshio Kanemitsu, Yuji Shimada, Katsuharu Hirano, Katsuyori Iijima, Ryo Wada, Akihito Nagahara, Sumio Watanabe</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Ayato Murata, Takuya Genda, Nozomi Amano, Sho Sato, Hironori Tsuzura, Shunsuke Sato, Yutaka Narita, Yoshio Kanemitsu, Yuji Shimada, Katsuyori Iijima, Akihito Nagahara</w:t>
      </w:r>
      <w:r w:rsidRPr="00900E2E">
        <w:rPr>
          <w:rFonts w:ascii="Book Antiqua" w:hAnsi="Book Antiqua"/>
          <w:color w:val="000000" w:themeColor="text1"/>
          <w:sz w:val="24"/>
          <w:szCs w:val="24"/>
        </w:rPr>
        <w:t>, Department of Gastroenterology and Hepatology, Juntendo Univers</w:t>
      </w:r>
      <w:r w:rsidR="003D6F02" w:rsidRPr="00900E2E">
        <w:rPr>
          <w:rFonts w:ascii="Book Antiqua" w:hAnsi="Book Antiqua"/>
          <w:color w:val="000000" w:themeColor="text1"/>
          <w:sz w:val="24"/>
          <w:szCs w:val="24"/>
        </w:rPr>
        <w:t>ity Shizuoka Hospital, Shizuoka</w:t>
      </w:r>
      <w:r w:rsidRPr="00900E2E">
        <w:rPr>
          <w:rFonts w:ascii="Book Antiqua" w:hAnsi="Book Antiqua"/>
          <w:color w:val="000000" w:themeColor="text1"/>
          <w:sz w:val="24"/>
          <w:szCs w:val="24"/>
        </w:rPr>
        <w:t xml:space="preserve"> </w:t>
      </w:r>
      <w:r w:rsidR="00A752A5" w:rsidRPr="00900E2E">
        <w:rPr>
          <w:rFonts w:ascii="Book Antiqua" w:hAnsi="Book Antiqua"/>
          <w:color w:val="000000" w:themeColor="text1"/>
          <w:sz w:val="24"/>
          <w:szCs w:val="24"/>
        </w:rPr>
        <w:t xml:space="preserve">410-2295, </w:t>
      </w:r>
      <w:r w:rsidRPr="00900E2E">
        <w:rPr>
          <w:rFonts w:ascii="Book Antiqua" w:hAnsi="Book Antiqua"/>
          <w:color w:val="000000" w:themeColor="text1"/>
          <w:sz w:val="24"/>
          <w:szCs w:val="24"/>
        </w:rPr>
        <w:t>Japan</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Takafumi Ichida, Katsuharu Hirano,</w:t>
      </w:r>
      <w:r w:rsidRPr="00900E2E">
        <w:rPr>
          <w:rFonts w:ascii="Book Antiqua" w:hAnsi="Book Antiqua"/>
          <w:color w:val="000000" w:themeColor="text1"/>
          <w:sz w:val="24"/>
          <w:szCs w:val="24"/>
        </w:rPr>
        <w:t xml:space="preserve"> Department of Hepatology, Shonan-</w:t>
      </w:r>
      <w:r w:rsidR="003D6F02" w:rsidRPr="00900E2E">
        <w:rPr>
          <w:rFonts w:ascii="Book Antiqua" w:hAnsi="Book Antiqua"/>
          <w:color w:val="000000" w:themeColor="text1"/>
          <w:sz w:val="24"/>
          <w:szCs w:val="24"/>
        </w:rPr>
        <w:t>East General Hospital, Kanagawa</w:t>
      </w:r>
      <w:r w:rsidRPr="00900E2E">
        <w:rPr>
          <w:rFonts w:ascii="Book Antiqua" w:hAnsi="Book Antiqua"/>
          <w:color w:val="000000" w:themeColor="text1"/>
          <w:sz w:val="24"/>
          <w:szCs w:val="24"/>
        </w:rPr>
        <w:t xml:space="preserve"> </w:t>
      </w:r>
      <w:r w:rsidR="00A752A5" w:rsidRPr="00900E2E">
        <w:rPr>
          <w:rFonts w:ascii="Book Antiqua" w:hAnsi="Book Antiqua"/>
          <w:color w:val="000000" w:themeColor="text1"/>
          <w:sz w:val="24"/>
          <w:szCs w:val="24"/>
        </w:rPr>
        <w:t xml:space="preserve">253-0083, </w:t>
      </w:r>
      <w:r w:rsidRPr="00900E2E">
        <w:rPr>
          <w:rFonts w:ascii="Book Antiqua" w:hAnsi="Book Antiqua"/>
          <w:color w:val="000000" w:themeColor="text1"/>
          <w:sz w:val="24"/>
          <w:szCs w:val="24"/>
        </w:rPr>
        <w:t>Japan</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Ryo Wada</w:t>
      </w:r>
      <w:r w:rsidRPr="00900E2E">
        <w:rPr>
          <w:rFonts w:ascii="Book Antiqua" w:hAnsi="Book Antiqua"/>
          <w:color w:val="000000" w:themeColor="text1"/>
          <w:sz w:val="24"/>
          <w:szCs w:val="24"/>
        </w:rPr>
        <w:t xml:space="preserve">, Department of Pathology, Juntendo University Shizuoka Hospital, </w:t>
      </w:r>
      <w:r w:rsidR="003D6F02" w:rsidRPr="00900E2E">
        <w:rPr>
          <w:rFonts w:ascii="Book Antiqua" w:hAnsi="Book Antiqua"/>
          <w:color w:val="000000" w:themeColor="text1"/>
          <w:sz w:val="24"/>
          <w:szCs w:val="24"/>
        </w:rPr>
        <w:t>Shizuoka</w:t>
      </w:r>
      <w:r w:rsidRPr="00900E2E">
        <w:rPr>
          <w:rFonts w:ascii="Book Antiqua" w:hAnsi="Book Antiqua"/>
          <w:color w:val="000000" w:themeColor="text1"/>
          <w:sz w:val="24"/>
          <w:szCs w:val="24"/>
        </w:rPr>
        <w:t xml:space="preserve"> </w:t>
      </w:r>
      <w:r w:rsidR="00A752A5" w:rsidRPr="00900E2E">
        <w:rPr>
          <w:rFonts w:ascii="Book Antiqua" w:hAnsi="Book Antiqua"/>
          <w:color w:val="000000" w:themeColor="text1"/>
          <w:sz w:val="24"/>
          <w:szCs w:val="24"/>
        </w:rPr>
        <w:t xml:space="preserve">410-2295, </w:t>
      </w:r>
      <w:r w:rsidRPr="00900E2E">
        <w:rPr>
          <w:rFonts w:ascii="Book Antiqua" w:hAnsi="Book Antiqua"/>
          <w:color w:val="000000" w:themeColor="text1"/>
          <w:sz w:val="24"/>
          <w:szCs w:val="24"/>
        </w:rPr>
        <w:t>Japan</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Sumio Watanabe</w:t>
      </w:r>
      <w:r w:rsidRPr="00900E2E">
        <w:rPr>
          <w:rFonts w:ascii="Book Antiqua" w:hAnsi="Book Antiqua"/>
          <w:color w:val="000000" w:themeColor="text1"/>
          <w:sz w:val="24"/>
          <w:szCs w:val="24"/>
        </w:rPr>
        <w:t>, Department of Gastroenterology, Juntendo Unive</w:t>
      </w:r>
      <w:r w:rsidR="003D6F02" w:rsidRPr="00900E2E">
        <w:rPr>
          <w:rFonts w:ascii="Book Antiqua" w:hAnsi="Book Antiqua"/>
          <w:color w:val="000000" w:themeColor="text1"/>
          <w:sz w:val="24"/>
          <w:szCs w:val="24"/>
        </w:rPr>
        <w:t>rsity School of Medicine, Tokyo</w:t>
      </w:r>
      <w:r w:rsidRPr="00900E2E">
        <w:rPr>
          <w:rFonts w:ascii="Book Antiqua" w:hAnsi="Book Antiqua"/>
          <w:color w:val="000000" w:themeColor="text1"/>
          <w:sz w:val="24"/>
          <w:szCs w:val="24"/>
        </w:rPr>
        <w:t xml:space="preserve"> </w:t>
      </w:r>
      <w:r w:rsidR="00A752A5" w:rsidRPr="00900E2E">
        <w:rPr>
          <w:rFonts w:ascii="Book Antiqua" w:hAnsi="Book Antiqua"/>
          <w:color w:val="000000" w:themeColor="text1"/>
          <w:sz w:val="24"/>
          <w:szCs w:val="24"/>
        </w:rPr>
        <w:t xml:space="preserve">113-8431, </w:t>
      </w:r>
      <w:r w:rsidRPr="00900E2E">
        <w:rPr>
          <w:rFonts w:ascii="Book Antiqua" w:hAnsi="Book Antiqua"/>
          <w:color w:val="000000" w:themeColor="text1"/>
          <w:sz w:val="24"/>
          <w:szCs w:val="24"/>
        </w:rPr>
        <w:t>Japan</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Author contributions:</w:t>
      </w:r>
      <w:r w:rsidRPr="00900E2E">
        <w:rPr>
          <w:rFonts w:ascii="Book Antiqua" w:hAnsi="Book Antiqua"/>
          <w:color w:val="000000" w:themeColor="text1"/>
          <w:sz w:val="24"/>
          <w:szCs w:val="24"/>
        </w:rPr>
        <w:t xml:space="preserve"> Murata A, Genda T, Ichida T, Amano N, Sato S, Tsuzura </w:t>
      </w:r>
      <w:r w:rsidRPr="00900E2E">
        <w:rPr>
          <w:rFonts w:ascii="Book Antiqua" w:hAnsi="Book Antiqua"/>
          <w:color w:val="000000" w:themeColor="text1"/>
          <w:sz w:val="24"/>
          <w:szCs w:val="24"/>
        </w:rPr>
        <w:lastRenderedPageBreak/>
        <w:t>H, Sato S, Narita Y, Kanemitsu Y, Shimada Y, Hirano K, Iijima K, Wada R, Nagahara A and Watanabe S designed the study; Murata A collected and analyzed the data; Murata A and Genda T wrote the paper; all authors have read and approved the final version to be published.</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Supported by</w:t>
      </w:r>
      <w:r w:rsidR="003D6F02"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color w:val="000000" w:themeColor="text1"/>
          <w:sz w:val="24"/>
          <w:szCs w:val="24"/>
        </w:rPr>
        <w:t>Grant-in-Aid from the Ministry of Health, Labor and Welfare of Japan.</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Institutional review board statement:</w:t>
      </w:r>
      <w:r w:rsidRPr="00900E2E">
        <w:rPr>
          <w:rFonts w:ascii="Book Antiqua" w:hAnsi="Book Antiqua"/>
          <w:color w:val="000000" w:themeColor="text1"/>
          <w:sz w:val="24"/>
          <w:szCs w:val="24"/>
        </w:rPr>
        <w:t xml:space="preserve"> This study was reviewed and approved by the Ethics Committee of Juntendo University Shizuoka Hospital.</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Informed consent statement:</w:t>
      </w:r>
      <w:r w:rsidRPr="00900E2E">
        <w:rPr>
          <w:rFonts w:ascii="Book Antiqua" w:hAnsi="Book Antiqua"/>
          <w:color w:val="000000" w:themeColor="text1"/>
          <w:sz w:val="24"/>
          <w:szCs w:val="24"/>
        </w:rPr>
        <w:t xml:space="preserve"> Written informed consent was obtained from all the patients enrolled in the study.</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Conflict-of-interest statement:</w:t>
      </w:r>
      <w:r w:rsidRPr="00900E2E">
        <w:rPr>
          <w:rFonts w:ascii="Book Antiqua" w:hAnsi="Book Antiqua"/>
          <w:color w:val="000000" w:themeColor="text1"/>
          <w:sz w:val="24"/>
          <w:szCs w:val="24"/>
        </w:rPr>
        <w:t xml:space="preserve"> The authors declare no conflict of interest related to this study.</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Data sharing statement:</w:t>
      </w:r>
      <w:r w:rsidRPr="00900E2E">
        <w:rPr>
          <w:rFonts w:ascii="Book Antiqua" w:hAnsi="Book Antiqua"/>
          <w:color w:val="000000" w:themeColor="text1"/>
          <w:sz w:val="24"/>
          <w:szCs w:val="24"/>
        </w:rPr>
        <w:t xml:space="preserve"> No additional data are available.</w:t>
      </w:r>
    </w:p>
    <w:p w:rsidR="00404C55" w:rsidRPr="00900E2E" w:rsidRDefault="00404C55" w:rsidP="00C805C6">
      <w:pPr>
        <w:adjustRightInd w:val="0"/>
        <w:snapToGrid w:val="0"/>
        <w:spacing w:line="360" w:lineRule="auto"/>
        <w:rPr>
          <w:rFonts w:ascii="Book Antiqua" w:eastAsia="宋体" w:hAnsi="Book Antiqua"/>
          <w:color w:val="000000" w:themeColor="text1"/>
          <w:sz w:val="24"/>
          <w:szCs w:val="24"/>
          <w:lang w:eastAsia="zh-CN"/>
        </w:rPr>
      </w:pPr>
    </w:p>
    <w:p w:rsidR="003D6F02" w:rsidRPr="00900E2E" w:rsidRDefault="003D6F02" w:rsidP="00C805C6">
      <w:pPr>
        <w:adjustRightInd w:val="0"/>
        <w:snapToGrid w:val="0"/>
        <w:spacing w:line="360" w:lineRule="auto"/>
        <w:rPr>
          <w:rFonts w:ascii="Book Antiqua" w:hAnsi="Book Antiqua"/>
          <w:color w:val="000000" w:themeColor="text1"/>
          <w:sz w:val="24"/>
        </w:rPr>
      </w:pPr>
      <w:bookmarkStart w:id="0" w:name="OLE_LINK507"/>
      <w:bookmarkStart w:id="1" w:name="OLE_LINK506"/>
      <w:bookmarkStart w:id="2" w:name="OLE_LINK496"/>
      <w:bookmarkStart w:id="3" w:name="OLE_LINK479"/>
      <w:r w:rsidRPr="00900E2E">
        <w:rPr>
          <w:rFonts w:ascii="Book Antiqua" w:hAnsi="Book Antiqua"/>
          <w:b/>
          <w:color w:val="000000" w:themeColor="text1"/>
          <w:sz w:val="24"/>
        </w:rPr>
        <w:t xml:space="preserve">Open-Access: </w:t>
      </w:r>
      <w:r w:rsidRPr="00900E2E">
        <w:rPr>
          <w:rFonts w:ascii="Book Antiqua" w:hAnsi="Book Antiqua"/>
          <w:color w:val="000000" w:themeColor="text1"/>
          <w:sz w:val="24"/>
        </w:rPr>
        <w:t>This article is an open-access</w:t>
      </w:r>
      <w:r w:rsidRPr="00900E2E">
        <w:rPr>
          <w:rFonts w:ascii="Book Antiqua" w:hAnsi="Book Antiqua" w:hint="eastAsia"/>
          <w:color w:val="000000" w:themeColor="text1"/>
          <w:sz w:val="24"/>
        </w:rPr>
        <w:t xml:space="preserve"> </w:t>
      </w:r>
      <w:r w:rsidRPr="00900E2E">
        <w:rPr>
          <w:rFonts w:ascii="Book Antiqua" w:hAnsi="Book Antiqua"/>
          <w:color w:val="000000" w:themeColor="text1"/>
          <w:sz w:val="24"/>
        </w:rPr>
        <w:t>article</w:t>
      </w:r>
      <w:r w:rsidRPr="00900E2E">
        <w:rPr>
          <w:rFonts w:ascii="Book Antiqua" w:hAnsi="Book Antiqua" w:hint="eastAsia"/>
          <w:color w:val="000000" w:themeColor="text1"/>
          <w:sz w:val="24"/>
        </w:rPr>
        <w:t xml:space="preserve"> </w:t>
      </w:r>
      <w:r w:rsidRPr="00900E2E">
        <w:rPr>
          <w:rFonts w:ascii="Book Antiqua" w:hAnsi="Book Antiqua"/>
          <w:color w:val="000000" w:themeColor="text1"/>
          <w:sz w:val="24"/>
        </w:rPr>
        <w:t>which was selected by an in-house editor and fully peer-reviewed by external reviewers. It is distributed</w:t>
      </w:r>
      <w:r w:rsidRPr="00900E2E">
        <w:rPr>
          <w:rFonts w:ascii="Book Antiqua" w:hAnsi="Book Antiqua" w:hint="eastAsia"/>
          <w:color w:val="000000" w:themeColor="text1"/>
          <w:sz w:val="24"/>
        </w:rPr>
        <w:t xml:space="preserve"> </w:t>
      </w:r>
      <w:r w:rsidRPr="00900E2E">
        <w:rPr>
          <w:rFonts w:ascii="Book Antiqua" w:hAnsi="Book Antiqua"/>
          <w:color w:val="000000" w:themeColor="text1"/>
          <w:sz w:val="24"/>
        </w:rPr>
        <w:t>in</w:t>
      </w:r>
      <w:r w:rsidRPr="00900E2E">
        <w:rPr>
          <w:rFonts w:ascii="Book Antiqua" w:hAnsi="Book Antiqua" w:hint="eastAsia"/>
          <w:color w:val="000000" w:themeColor="text1"/>
          <w:sz w:val="24"/>
        </w:rPr>
        <w:t xml:space="preserve"> </w:t>
      </w:r>
      <w:r w:rsidRPr="00900E2E">
        <w:rPr>
          <w:rFonts w:ascii="Book Antiqua" w:hAnsi="Book Antiqua"/>
          <w:color w:val="000000" w:themeColor="text1"/>
          <w:sz w:val="24"/>
        </w:rPr>
        <w:t>accordance</w:t>
      </w:r>
      <w:r w:rsidRPr="00900E2E">
        <w:rPr>
          <w:rFonts w:ascii="Book Antiqua" w:hAnsi="Book Antiqua" w:hint="eastAsia"/>
          <w:color w:val="000000" w:themeColor="text1"/>
          <w:sz w:val="24"/>
        </w:rPr>
        <w:t xml:space="preserve"> </w:t>
      </w:r>
      <w:r w:rsidRPr="00900E2E">
        <w:rPr>
          <w:rFonts w:ascii="Book Antiqua" w:hAnsi="Book Antiqua"/>
          <w:color w:val="000000" w:themeColor="text1"/>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00E2E">
          <w:rPr>
            <w:rStyle w:val="a7"/>
            <w:rFonts w:ascii="Book Antiqua" w:hAnsi="Book Antiqua"/>
            <w:color w:val="000000" w:themeColor="text1"/>
            <w:sz w:val="24"/>
          </w:rPr>
          <w:t>http://creativecommons.org/licenses/by-nc/4.0/</w:t>
        </w:r>
      </w:hyperlink>
      <w:bookmarkEnd w:id="0"/>
      <w:bookmarkEnd w:id="1"/>
      <w:bookmarkEnd w:id="2"/>
      <w:bookmarkEnd w:id="3"/>
    </w:p>
    <w:p w:rsidR="003D6F02" w:rsidRPr="00900E2E" w:rsidRDefault="003D6F02" w:rsidP="00C805C6">
      <w:pPr>
        <w:adjustRightInd w:val="0"/>
        <w:snapToGrid w:val="0"/>
        <w:spacing w:line="360" w:lineRule="auto"/>
        <w:rPr>
          <w:rFonts w:ascii="Book Antiqua" w:eastAsia="宋体" w:hAnsi="Book Antiqua"/>
          <w:b/>
          <w:color w:val="000000" w:themeColor="text1"/>
          <w:sz w:val="24"/>
          <w:lang w:eastAsia="zh-CN"/>
        </w:rPr>
      </w:pPr>
    </w:p>
    <w:p w:rsidR="003D6F02" w:rsidRPr="00900E2E" w:rsidRDefault="003D6F02" w:rsidP="00C805C6">
      <w:pPr>
        <w:adjustRightInd w:val="0"/>
        <w:snapToGrid w:val="0"/>
        <w:spacing w:line="360" w:lineRule="auto"/>
        <w:rPr>
          <w:rFonts w:ascii="Book Antiqua" w:hAnsi="Book Antiqua"/>
          <w:color w:val="000000" w:themeColor="text1"/>
          <w:sz w:val="24"/>
        </w:rPr>
      </w:pPr>
      <w:r w:rsidRPr="00900E2E">
        <w:rPr>
          <w:rFonts w:ascii="Book Antiqua" w:hAnsi="Book Antiqua"/>
          <w:b/>
          <w:color w:val="000000" w:themeColor="text1"/>
          <w:sz w:val="24"/>
        </w:rPr>
        <w:t xml:space="preserve">Manuscript source: </w:t>
      </w:r>
      <w:r w:rsidRPr="00900E2E">
        <w:rPr>
          <w:rFonts w:ascii="Book Antiqua" w:hAnsi="Book Antiqua"/>
          <w:color w:val="000000" w:themeColor="text1"/>
          <w:sz w:val="24"/>
        </w:rPr>
        <w:t>Invited manuscript</w:t>
      </w:r>
    </w:p>
    <w:p w:rsidR="003D6F02" w:rsidRPr="00900E2E" w:rsidRDefault="003D6F02" w:rsidP="00C805C6">
      <w:pPr>
        <w:adjustRightInd w:val="0"/>
        <w:snapToGrid w:val="0"/>
        <w:spacing w:line="360" w:lineRule="auto"/>
        <w:rPr>
          <w:rFonts w:ascii="Book Antiqua" w:eastAsia="宋体" w:hAnsi="Book Antiqua"/>
          <w:color w:val="000000" w:themeColor="text1"/>
          <w:sz w:val="24"/>
          <w:szCs w:val="24"/>
          <w:lang w:eastAsia="zh-CN"/>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lastRenderedPageBreak/>
        <w:t>Correspondence to: Takuya Genda, MD, PhD, Associate Professor,</w:t>
      </w:r>
      <w:r w:rsidRPr="00900E2E">
        <w:rPr>
          <w:rFonts w:ascii="Book Antiqua" w:hAnsi="Book Antiqua"/>
          <w:color w:val="000000" w:themeColor="text1"/>
          <w:sz w:val="24"/>
          <w:szCs w:val="24"/>
        </w:rPr>
        <w:t xml:space="preserve"> Department of Gastroenterology and Hepatology, Juntendo University Shizuoka Hospital, 1129 Nagaoka, Izunokuni-shi, Shizuoka 410-2295, Japan. genda@rice.ocn.ne.jp</w:t>
      </w: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Telephone:</w:t>
      </w:r>
      <w:r w:rsidRPr="00900E2E">
        <w:rPr>
          <w:rFonts w:ascii="Book Antiqua" w:hAnsi="Book Antiqua"/>
          <w:color w:val="000000" w:themeColor="text1"/>
          <w:sz w:val="24"/>
          <w:szCs w:val="24"/>
        </w:rPr>
        <w:t xml:space="preserve"> +81-55-9483111</w:t>
      </w: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 xml:space="preserve">Fax: </w:t>
      </w:r>
      <w:r w:rsidRPr="00900E2E">
        <w:rPr>
          <w:rFonts w:ascii="Book Antiqua" w:hAnsi="Book Antiqua"/>
          <w:color w:val="000000" w:themeColor="text1"/>
          <w:sz w:val="24"/>
          <w:szCs w:val="24"/>
        </w:rPr>
        <w:t>+81-55-9485088</w:t>
      </w:r>
    </w:p>
    <w:p w:rsidR="003D6F02" w:rsidRPr="00900E2E" w:rsidRDefault="003D6F02" w:rsidP="00C805C6">
      <w:pPr>
        <w:widowControl/>
        <w:adjustRightInd w:val="0"/>
        <w:snapToGrid w:val="0"/>
        <w:spacing w:line="360" w:lineRule="auto"/>
        <w:jc w:val="left"/>
        <w:rPr>
          <w:rFonts w:ascii="Book Antiqua" w:eastAsia="宋体" w:hAnsi="Book Antiqua"/>
          <w:color w:val="000000" w:themeColor="text1"/>
          <w:sz w:val="24"/>
          <w:szCs w:val="24"/>
          <w:lang w:eastAsia="zh-CN"/>
        </w:rPr>
      </w:pPr>
    </w:p>
    <w:p w:rsidR="003D6F02" w:rsidRPr="00900E2E" w:rsidRDefault="003D6F02" w:rsidP="00C805C6">
      <w:pPr>
        <w:adjustRightInd w:val="0"/>
        <w:snapToGrid w:val="0"/>
        <w:spacing w:line="360" w:lineRule="auto"/>
        <w:rPr>
          <w:rFonts w:ascii="Book Antiqua" w:hAnsi="Book Antiqua"/>
          <w:b/>
          <w:color w:val="000000" w:themeColor="text1"/>
          <w:sz w:val="24"/>
        </w:rPr>
      </w:pPr>
      <w:r w:rsidRPr="00900E2E">
        <w:rPr>
          <w:rFonts w:ascii="Book Antiqua" w:hAnsi="Book Antiqua"/>
          <w:b/>
          <w:color w:val="000000" w:themeColor="text1"/>
          <w:sz w:val="24"/>
        </w:rPr>
        <w:t xml:space="preserve">Received: </w:t>
      </w:r>
      <w:r w:rsidR="00DD500F" w:rsidRPr="00900E2E">
        <w:rPr>
          <w:rFonts w:ascii="Book Antiqua" w:hAnsi="Book Antiqua"/>
          <w:color w:val="000000" w:themeColor="text1"/>
          <w:sz w:val="24"/>
        </w:rPr>
        <w:t>May</w:t>
      </w:r>
      <w:r w:rsidR="00DD500F" w:rsidRPr="00900E2E">
        <w:rPr>
          <w:rFonts w:ascii="Book Antiqua" w:eastAsia="宋体" w:hAnsi="Book Antiqua" w:hint="eastAsia"/>
          <w:color w:val="000000" w:themeColor="text1"/>
          <w:sz w:val="24"/>
          <w:lang w:eastAsia="zh-CN"/>
        </w:rPr>
        <w:t xml:space="preserve"> 21, 2016</w:t>
      </w:r>
      <w:r w:rsidRPr="00900E2E">
        <w:rPr>
          <w:rFonts w:ascii="Book Antiqua" w:hAnsi="Book Antiqua"/>
          <w:b/>
          <w:color w:val="000000" w:themeColor="text1"/>
          <w:sz w:val="24"/>
        </w:rPr>
        <w:t xml:space="preserve">  </w:t>
      </w:r>
    </w:p>
    <w:p w:rsidR="003D6F02" w:rsidRPr="00900E2E" w:rsidRDefault="003D6F02" w:rsidP="00C805C6">
      <w:pPr>
        <w:adjustRightInd w:val="0"/>
        <w:snapToGrid w:val="0"/>
        <w:spacing w:line="360" w:lineRule="auto"/>
        <w:rPr>
          <w:rFonts w:ascii="Book Antiqua" w:eastAsia="宋体" w:hAnsi="Book Antiqua"/>
          <w:b/>
          <w:color w:val="000000" w:themeColor="text1"/>
          <w:sz w:val="24"/>
          <w:lang w:eastAsia="zh-CN"/>
        </w:rPr>
      </w:pPr>
      <w:r w:rsidRPr="00900E2E">
        <w:rPr>
          <w:rFonts w:ascii="Book Antiqua" w:hAnsi="Book Antiqua"/>
          <w:b/>
          <w:color w:val="000000" w:themeColor="text1"/>
          <w:sz w:val="24"/>
        </w:rPr>
        <w:t>Peer-review started:</w:t>
      </w:r>
      <w:r w:rsidR="00DD500F" w:rsidRPr="00900E2E">
        <w:rPr>
          <w:rFonts w:ascii="Book Antiqua" w:eastAsia="宋体" w:hAnsi="Book Antiqua" w:hint="eastAsia"/>
          <w:b/>
          <w:color w:val="000000" w:themeColor="text1"/>
          <w:sz w:val="24"/>
          <w:lang w:eastAsia="zh-CN"/>
        </w:rPr>
        <w:t xml:space="preserve"> </w:t>
      </w:r>
      <w:r w:rsidR="00DD500F" w:rsidRPr="00900E2E">
        <w:rPr>
          <w:rFonts w:ascii="Book Antiqua" w:hAnsi="Book Antiqua"/>
          <w:color w:val="000000" w:themeColor="text1"/>
          <w:sz w:val="24"/>
        </w:rPr>
        <w:t>May</w:t>
      </w:r>
      <w:r w:rsidR="00DD500F" w:rsidRPr="00900E2E">
        <w:rPr>
          <w:rFonts w:ascii="Book Antiqua" w:eastAsia="宋体" w:hAnsi="Book Antiqua" w:hint="eastAsia"/>
          <w:color w:val="000000" w:themeColor="text1"/>
          <w:sz w:val="24"/>
          <w:lang w:eastAsia="zh-CN"/>
        </w:rPr>
        <w:t xml:space="preserve"> 23, 2016</w:t>
      </w:r>
    </w:p>
    <w:p w:rsidR="003D6F02" w:rsidRPr="00900E2E" w:rsidRDefault="003D6F02" w:rsidP="00C805C6">
      <w:pPr>
        <w:adjustRightInd w:val="0"/>
        <w:snapToGrid w:val="0"/>
        <w:spacing w:line="360" w:lineRule="auto"/>
        <w:rPr>
          <w:rFonts w:ascii="Book Antiqua" w:eastAsia="宋体" w:hAnsi="Book Antiqua"/>
          <w:color w:val="000000" w:themeColor="text1"/>
          <w:sz w:val="24"/>
          <w:lang w:eastAsia="zh-CN"/>
        </w:rPr>
      </w:pPr>
      <w:r w:rsidRPr="00900E2E">
        <w:rPr>
          <w:rFonts w:ascii="Book Antiqua" w:hAnsi="Book Antiqua"/>
          <w:b/>
          <w:color w:val="000000" w:themeColor="text1"/>
          <w:sz w:val="24"/>
        </w:rPr>
        <w:t>First decision:</w:t>
      </w:r>
      <w:r w:rsidR="00DD500F" w:rsidRPr="00900E2E">
        <w:rPr>
          <w:rFonts w:ascii="Book Antiqua" w:eastAsia="宋体" w:hAnsi="Book Antiqua" w:hint="eastAsia"/>
          <w:b/>
          <w:color w:val="000000" w:themeColor="text1"/>
          <w:sz w:val="24"/>
          <w:lang w:eastAsia="zh-CN"/>
        </w:rPr>
        <w:t xml:space="preserve"> </w:t>
      </w:r>
      <w:r w:rsidR="00DD500F" w:rsidRPr="00900E2E">
        <w:rPr>
          <w:rFonts w:ascii="Book Antiqua" w:eastAsia="宋体" w:hAnsi="Book Antiqua" w:hint="eastAsia"/>
          <w:color w:val="000000" w:themeColor="text1"/>
          <w:sz w:val="24"/>
          <w:lang w:eastAsia="zh-CN"/>
        </w:rPr>
        <w:t>June 20, 2016</w:t>
      </w:r>
    </w:p>
    <w:p w:rsidR="003D6F02" w:rsidRPr="00900E2E" w:rsidRDefault="003D6F02" w:rsidP="00C805C6">
      <w:pPr>
        <w:adjustRightInd w:val="0"/>
        <w:snapToGrid w:val="0"/>
        <w:spacing w:line="360" w:lineRule="auto"/>
        <w:rPr>
          <w:rFonts w:ascii="Book Antiqua" w:hAnsi="Book Antiqua"/>
          <w:b/>
          <w:color w:val="000000" w:themeColor="text1"/>
          <w:sz w:val="24"/>
        </w:rPr>
      </w:pPr>
      <w:r w:rsidRPr="00900E2E">
        <w:rPr>
          <w:rFonts w:ascii="Book Antiqua" w:hAnsi="Book Antiqua"/>
          <w:b/>
          <w:color w:val="000000" w:themeColor="text1"/>
          <w:sz w:val="24"/>
        </w:rPr>
        <w:t xml:space="preserve">Revised: </w:t>
      </w:r>
      <w:r w:rsidR="007E1B74" w:rsidRPr="00900E2E">
        <w:rPr>
          <w:rFonts w:ascii="Book Antiqua" w:hAnsi="Book Antiqua"/>
          <w:color w:val="000000" w:themeColor="text1"/>
          <w:sz w:val="24"/>
        </w:rPr>
        <w:t>July</w:t>
      </w:r>
      <w:r w:rsidR="007E1B74" w:rsidRPr="00900E2E">
        <w:rPr>
          <w:rFonts w:ascii="Book Antiqua" w:eastAsia="宋体" w:hAnsi="Book Antiqua" w:hint="eastAsia"/>
          <w:color w:val="000000" w:themeColor="text1"/>
          <w:sz w:val="24"/>
          <w:lang w:eastAsia="zh-CN"/>
        </w:rPr>
        <w:t xml:space="preserve"> 4, 2016</w:t>
      </w:r>
      <w:r w:rsidRPr="00900E2E">
        <w:rPr>
          <w:rFonts w:ascii="Book Antiqua" w:hAnsi="Book Antiqua"/>
          <w:b/>
          <w:color w:val="000000" w:themeColor="text1"/>
          <w:sz w:val="24"/>
        </w:rPr>
        <w:t xml:space="preserve"> </w:t>
      </w:r>
    </w:p>
    <w:p w:rsidR="003D6F02" w:rsidRPr="004430BA" w:rsidRDefault="003D6F02" w:rsidP="004430BA">
      <w:pPr>
        <w:spacing w:line="360" w:lineRule="auto"/>
        <w:rPr>
          <w:rFonts w:ascii="Book Antiqua" w:hAnsi="Book Antiqua"/>
          <w:color w:val="000000"/>
          <w:sz w:val="24"/>
        </w:rPr>
      </w:pPr>
      <w:r w:rsidRPr="00900E2E">
        <w:rPr>
          <w:rFonts w:ascii="Book Antiqua" w:hAnsi="Book Antiqua"/>
          <w:b/>
          <w:color w:val="000000" w:themeColor="text1"/>
          <w:sz w:val="24"/>
        </w:rPr>
        <w:t>Accepted:</w:t>
      </w:r>
      <w:r w:rsidR="004430BA" w:rsidRPr="004430BA">
        <w:rPr>
          <w:rFonts w:ascii="Book Antiqua" w:hAnsi="Book Antiqua"/>
          <w:color w:val="000000"/>
          <w:sz w:val="24"/>
        </w:rPr>
        <w:t xml:space="preserve"> </w:t>
      </w:r>
      <w:r w:rsidR="004430BA">
        <w:rPr>
          <w:rFonts w:ascii="Book Antiqua" w:hAnsi="Book Antiqua"/>
          <w:color w:val="000000"/>
          <w:sz w:val="24"/>
        </w:rPr>
        <w:t>August 1, 2016</w:t>
      </w:r>
      <w:r w:rsidRPr="00900E2E">
        <w:rPr>
          <w:rFonts w:ascii="Book Antiqua" w:hAnsi="Book Antiqua"/>
          <w:b/>
          <w:color w:val="000000" w:themeColor="text1"/>
          <w:sz w:val="24"/>
        </w:rPr>
        <w:t xml:space="preserve">  </w:t>
      </w:r>
    </w:p>
    <w:p w:rsidR="003D6F02" w:rsidRPr="00900E2E" w:rsidRDefault="003D6F02" w:rsidP="00C805C6">
      <w:pPr>
        <w:adjustRightInd w:val="0"/>
        <w:snapToGrid w:val="0"/>
        <w:spacing w:line="360" w:lineRule="auto"/>
        <w:rPr>
          <w:rFonts w:ascii="Book Antiqua" w:hAnsi="Book Antiqua"/>
          <w:b/>
          <w:color w:val="000000" w:themeColor="text1"/>
          <w:sz w:val="24"/>
        </w:rPr>
      </w:pPr>
      <w:r w:rsidRPr="00900E2E">
        <w:rPr>
          <w:rFonts w:ascii="Book Antiqua" w:hAnsi="Book Antiqua"/>
          <w:b/>
          <w:color w:val="000000" w:themeColor="text1"/>
          <w:sz w:val="24"/>
        </w:rPr>
        <w:t>Article in press:</w:t>
      </w:r>
    </w:p>
    <w:p w:rsidR="003D6F02" w:rsidRPr="00900E2E" w:rsidRDefault="003D6F02" w:rsidP="00C805C6">
      <w:pPr>
        <w:adjustRightInd w:val="0"/>
        <w:snapToGrid w:val="0"/>
        <w:spacing w:line="360" w:lineRule="auto"/>
        <w:rPr>
          <w:rFonts w:ascii="Book Antiqua" w:eastAsia="宋体" w:hAnsi="Book Antiqua"/>
          <w:color w:val="000000" w:themeColor="text1"/>
          <w:sz w:val="24"/>
          <w:lang w:eastAsia="zh-CN"/>
        </w:rPr>
      </w:pPr>
      <w:r w:rsidRPr="00900E2E">
        <w:rPr>
          <w:rFonts w:ascii="Book Antiqua" w:hAnsi="Book Antiqua"/>
          <w:b/>
          <w:color w:val="000000" w:themeColor="text1"/>
          <w:sz w:val="24"/>
        </w:rPr>
        <w:t>Published online:</w:t>
      </w:r>
    </w:p>
    <w:p w:rsidR="00C8397D" w:rsidRPr="00900E2E" w:rsidRDefault="00C8397D" w:rsidP="00C805C6">
      <w:pPr>
        <w:widowControl/>
        <w:adjustRightInd w:val="0"/>
        <w:snapToGrid w:val="0"/>
        <w:spacing w:line="360" w:lineRule="auto"/>
        <w:jc w:val="left"/>
        <w:rPr>
          <w:rFonts w:ascii="Book Antiqua" w:hAnsi="Book Antiqua"/>
          <w:color w:val="000000" w:themeColor="text1"/>
          <w:sz w:val="24"/>
          <w:szCs w:val="24"/>
        </w:rPr>
      </w:pPr>
      <w:r w:rsidRPr="00900E2E">
        <w:rPr>
          <w:rFonts w:ascii="Book Antiqua" w:hAnsi="Book Antiqua"/>
          <w:color w:val="000000" w:themeColor="text1"/>
          <w:sz w:val="24"/>
          <w:szCs w:val="24"/>
        </w:rPr>
        <w:br w:type="page"/>
      </w:r>
    </w:p>
    <w:p w:rsidR="00404C55" w:rsidRPr="00900E2E" w:rsidRDefault="00404C55" w:rsidP="00C805C6">
      <w:pPr>
        <w:adjustRightInd w:val="0"/>
        <w:snapToGrid w:val="0"/>
        <w:spacing w:line="360" w:lineRule="auto"/>
        <w:rPr>
          <w:rFonts w:ascii="Book Antiqua" w:hAnsi="Book Antiqua"/>
          <w:b/>
          <w:color w:val="000000" w:themeColor="text1"/>
          <w:sz w:val="24"/>
          <w:szCs w:val="24"/>
        </w:rPr>
      </w:pPr>
      <w:r w:rsidRPr="00900E2E">
        <w:rPr>
          <w:rFonts w:ascii="Book Antiqua" w:hAnsi="Book Antiqua"/>
          <w:b/>
          <w:color w:val="000000" w:themeColor="text1"/>
          <w:sz w:val="24"/>
          <w:szCs w:val="24"/>
        </w:rPr>
        <w:lastRenderedPageBreak/>
        <w:t>Abstract</w:t>
      </w: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AIM:</w:t>
      </w:r>
      <w:r w:rsidRPr="00900E2E">
        <w:rPr>
          <w:rFonts w:ascii="Book Antiqua" w:hAnsi="Book Antiqua"/>
          <w:color w:val="000000" w:themeColor="text1"/>
          <w:sz w:val="24"/>
          <w:szCs w:val="24"/>
        </w:rPr>
        <w:t xml:space="preserve"> To clarify the association between aldo-keto reductase family 1 member B10 (AKR1B10) expression and hepatocarcinogenesis after hepatitis C virus eradication.</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METHODS:</w:t>
      </w:r>
      <w:r w:rsidRPr="00900E2E">
        <w:rPr>
          <w:rFonts w:ascii="Book Antiqua" w:hAnsi="Book Antiqua"/>
          <w:color w:val="000000" w:themeColor="text1"/>
          <w:sz w:val="24"/>
          <w:szCs w:val="24"/>
        </w:rPr>
        <w:t xml:space="preserve"> In this study, we enrolled 303 chronic hepatitis C patients who had achieved sustained virological response (SVR) through interferon-based antiviral therapy. Pretreatment AKR1B10 expression in the liver was immunohistochemically assessed and quantified as a percentage of positive staining area by using image-analysis software. A multivariate Cox analysis was used to estimate the hazard ratios (HRs) of AKR1B10 expression for hepatocellular carcinoma (HCC) development after achieving SVR. The cumulative incidences of HCC development were evaluated using Kaplan-Meier analysis and the log-rank test.</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RESULTS:</w:t>
      </w:r>
      <w:r w:rsidRPr="00900E2E">
        <w:rPr>
          <w:rFonts w:ascii="Book Antiqua" w:hAnsi="Book Antiqua"/>
          <w:color w:val="000000" w:themeColor="text1"/>
          <w:sz w:val="24"/>
          <w:szCs w:val="24"/>
        </w:rPr>
        <w:t xml:space="preserve"> Of the 303 chronic hepatitis C patients, 153 (50.5%) showed scarce hepatic AKR1B10 expression, quantified as 0%, which was similar to the expression in control normal liver tissues. However, the remaining 150 patients (49.5%) exhibited various degrees of AKR1B10 expression in the liver, with a maximal AKR1B10 expression of 73%. During the median follow-up time of 3.6 years (range 1.0–10.0 years), 8/303 patients developed HCC. Multivariate analysis revealed that only high AKR1B10 expression (≥</w:t>
      </w:r>
      <w:r w:rsidR="007E1B74"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color w:val="000000" w:themeColor="text1"/>
          <w:sz w:val="24"/>
          <w:szCs w:val="24"/>
        </w:rPr>
        <w:t>8%) was an independent risk factor for HCC development (HR</w:t>
      </w:r>
      <w:r w:rsidR="007E1B74" w:rsidRPr="00900E2E">
        <w:rPr>
          <w:rFonts w:ascii="Book Antiqua" w:eastAsia="宋体" w:hAnsi="Book Antiqua" w:hint="eastAsia"/>
          <w:color w:val="000000" w:themeColor="text1"/>
          <w:sz w:val="24"/>
          <w:szCs w:val="24"/>
          <w:lang w:eastAsia="zh-CN"/>
        </w:rPr>
        <w:t xml:space="preserve"> = </w:t>
      </w:r>
      <w:r w:rsidRPr="00900E2E">
        <w:rPr>
          <w:rFonts w:ascii="Book Antiqua" w:hAnsi="Book Antiqua"/>
          <w:color w:val="000000" w:themeColor="text1"/>
          <w:sz w:val="24"/>
          <w:szCs w:val="24"/>
        </w:rPr>
        <w:t>15.4; 95%</w:t>
      </w:r>
      <w:r w:rsidR="007E1B74" w:rsidRPr="00900E2E">
        <w:rPr>
          <w:rFonts w:ascii="Book Antiqua" w:eastAsia="宋体" w:hAnsi="Book Antiqua" w:hint="eastAsia"/>
          <w:color w:val="000000" w:themeColor="text1"/>
          <w:sz w:val="24"/>
          <w:szCs w:val="24"/>
          <w:lang w:eastAsia="zh-CN"/>
        </w:rPr>
        <w:t>CI:</w:t>
      </w:r>
      <w:r w:rsidRPr="00900E2E">
        <w:rPr>
          <w:rFonts w:ascii="Book Antiqua" w:hAnsi="Book Antiqua"/>
          <w:color w:val="000000" w:themeColor="text1"/>
          <w:sz w:val="24"/>
          <w:szCs w:val="24"/>
        </w:rPr>
        <w:t xml:space="preserve"> 1.8–132.5; </w:t>
      </w:r>
      <w:r w:rsidR="007E1B74" w:rsidRPr="00900E2E">
        <w:rPr>
          <w:rFonts w:ascii="Book Antiqua" w:hAnsi="Book Antiqua"/>
          <w:i/>
          <w:color w:val="000000" w:themeColor="text1"/>
          <w:sz w:val="24"/>
          <w:szCs w:val="24"/>
        </w:rPr>
        <w:t>P =</w:t>
      </w:r>
      <w:r w:rsidRPr="00900E2E">
        <w:rPr>
          <w:rFonts w:ascii="Book Antiqua" w:hAnsi="Book Antiqua"/>
          <w:color w:val="000000" w:themeColor="text1"/>
          <w:sz w:val="24"/>
          <w:szCs w:val="24"/>
        </w:rPr>
        <w:t xml:space="preserve"> 0.012). The 5-year cumulative incidences of HCC development were 13.7% and 0.5% in patients with high and low AKR1B10 expression, respectively (</w:t>
      </w:r>
      <w:r w:rsidR="007E1B74" w:rsidRPr="00900E2E">
        <w:rPr>
          <w:rFonts w:ascii="Book Antiqua" w:hAnsi="Book Antiqua"/>
          <w:i/>
          <w:color w:val="000000" w:themeColor="text1"/>
          <w:sz w:val="24"/>
          <w:szCs w:val="24"/>
        </w:rPr>
        <w:t>P &lt;</w:t>
      </w:r>
      <w:r w:rsidRPr="00900E2E">
        <w:rPr>
          <w:rFonts w:ascii="Book Antiqua" w:hAnsi="Book Antiqua"/>
          <w:color w:val="000000" w:themeColor="text1"/>
          <w:sz w:val="24"/>
          <w:szCs w:val="24"/>
        </w:rPr>
        <w:t xml:space="preserve"> 0.001). During the follow-up period after viral eradication, patients expressing high levels of AKR1B10 expressed markedly higher levels of alanine aminotransferase and α-fetoprotein than did patients exhibiting low AKR1B10 expression.</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CONCLUSION:</w:t>
      </w:r>
      <w:r w:rsidRPr="00900E2E">
        <w:rPr>
          <w:rFonts w:ascii="Book Antiqua" w:hAnsi="Book Antiqua"/>
          <w:color w:val="000000" w:themeColor="text1"/>
          <w:sz w:val="24"/>
          <w:szCs w:val="24"/>
        </w:rPr>
        <w:t xml:space="preserve"> Chronic hepatitis C patients expressing high levels of hepatic AKR1B10 had an increased risk of HCC development even after SVR.</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Key words:</w:t>
      </w:r>
      <w:r w:rsidRPr="00900E2E">
        <w:rPr>
          <w:rFonts w:ascii="Book Antiqua" w:hAnsi="Book Antiqua"/>
          <w:color w:val="000000" w:themeColor="text1"/>
          <w:sz w:val="24"/>
          <w:szCs w:val="24"/>
        </w:rPr>
        <w:t xml:space="preserve"> Human AKR1B10 protein; Hepatocellular carcinoma; Chronic hepatitis C; Immunohistochemistry; Risk factor; Sustained virological response</w:t>
      </w:r>
    </w:p>
    <w:p w:rsidR="00404C55" w:rsidRPr="00900E2E" w:rsidRDefault="00404C55" w:rsidP="00C805C6">
      <w:pPr>
        <w:adjustRightInd w:val="0"/>
        <w:snapToGrid w:val="0"/>
        <w:spacing w:line="360" w:lineRule="auto"/>
        <w:rPr>
          <w:rFonts w:ascii="Book Antiqua" w:eastAsia="宋体" w:hAnsi="Book Antiqua"/>
          <w:color w:val="000000" w:themeColor="text1"/>
          <w:sz w:val="24"/>
          <w:szCs w:val="24"/>
          <w:lang w:eastAsia="zh-CN"/>
        </w:rPr>
      </w:pPr>
    </w:p>
    <w:p w:rsidR="007E1B74" w:rsidRPr="00900E2E" w:rsidRDefault="007E1B74" w:rsidP="00C805C6">
      <w:pPr>
        <w:autoSpaceDE w:val="0"/>
        <w:autoSpaceDN w:val="0"/>
        <w:adjustRightInd w:val="0"/>
        <w:snapToGrid w:val="0"/>
        <w:spacing w:line="360" w:lineRule="auto"/>
        <w:rPr>
          <w:rFonts w:ascii="Book Antiqua" w:hAnsi="Book Antiqua" w:cs="Arial Unicode MS"/>
          <w:color w:val="000000" w:themeColor="text1"/>
          <w:sz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900E2E">
        <w:rPr>
          <w:rFonts w:ascii="Book Antiqua" w:hAnsi="Book Antiqua"/>
          <w:b/>
          <w:color w:val="000000" w:themeColor="text1"/>
          <w:sz w:val="24"/>
          <w:lang w:val="en-GB"/>
        </w:rPr>
        <w:t xml:space="preserve">© </w:t>
      </w:r>
      <w:r w:rsidRPr="00900E2E">
        <w:rPr>
          <w:rFonts w:ascii="Book Antiqua" w:eastAsia="AdvTimes" w:hAnsi="Book Antiqua" w:cs="AdvTimes"/>
          <w:b/>
          <w:color w:val="000000" w:themeColor="text1"/>
          <w:sz w:val="24"/>
        </w:rPr>
        <w:t>The Author(s) 201</w:t>
      </w:r>
      <w:r w:rsidRPr="00900E2E">
        <w:rPr>
          <w:rFonts w:ascii="Book Antiqua" w:hAnsi="Book Antiqua" w:cs="AdvTimes" w:hint="eastAsia"/>
          <w:b/>
          <w:color w:val="000000" w:themeColor="text1"/>
          <w:sz w:val="24"/>
        </w:rPr>
        <w:t>6</w:t>
      </w:r>
      <w:r w:rsidRPr="00900E2E">
        <w:rPr>
          <w:rFonts w:ascii="Book Antiqua" w:eastAsia="AdvTimes" w:hAnsi="Book Antiqua" w:cs="AdvTimes"/>
          <w:b/>
          <w:color w:val="000000" w:themeColor="text1"/>
          <w:sz w:val="24"/>
        </w:rPr>
        <w:t>.</w:t>
      </w:r>
      <w:r w:rsidRPr="00900E2E">
        <w:rPr>
          <w:rFonts w:ascii="Book Antiqua" w:eastAsia="AdvTimes" w:hAnsi="Book Antiqua" w:cs="AdvTimes"/>
          <w:color w:val="000000" w:themeColor="text1"/>
          <w:sz w:val="24"/>
        </w:rPr>
        <w:t xml:space="preserve"> Published by </w:t>
      </w:r>
      <w:r w:rsidRPr="00900E2E">
        <w:rPr>
          <w:rFonts w:ascii="Book Antiqua" w:hAnsi="Book Antiqua" w:cs="Arial Unicode MS"/>
          <w:color w:val="000000" w:themeColor="text1"/>
          <w:sz w:val="24"/>
          <w:lang w:val="en-GB"/>
        </w:rPr>
        <w:t>Baishideng Publishing Group Inc.</w:t>
      </w:r>
      <w:r w:rsidRPr="00900E2E">
        <w:rPr>
          <w:rFonts w:ascii="Book Antiqua" w:hAnsi="Book Antiqua" w:cs="Arial Unicode MS"/>
          <w:color w:val="000000" w:themeColor="text1"/>
          <w:sz w:val="24"/>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7E1B74" w:rsidRPr="00900E2E" w:rsidRDefault="007E1B74" w:rsidP="00C805C6">
      <w:pPr>
        <w:adjustRightInd w:val="0"/>
        <w:snapToGrid w:val="0"/>
        <w:spacing w:line="360" w:lineRule="auto"/>
        <w:rPr>
          <w:rFonts w:ascii="Book Antiqua" w:eastAsia="宋体" w:hAnsi="Book Antiqua"/>
          <w:color w:val="000000" w:themeColor="text1"/>
          <w:sz w:val="24"/>
          <w:szCs w:val="24"/>
          <w:lang w:eastAsia="zh-CN"/>
        </w:rPr>
      </w:pP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Core tip:</w:t>
      </w:r>
      <w:r w:rsidRPr="00900E2E">
        <w:rPr>
          <w:rFonts w:ascii="Book Antiqua" w:hAnsi="Book Antiqua"/>
          <w:color w:val="000000" w:themeColor="text1"/>
          <w:sz w:val="24"/>
          <w:szCs w:val="24"/>
        </w:rPr>
        <w:t xml:space="preserve"> </w:t>
      </w:r>
      <w:r w:rsidR="008F1EB5" w:rsidRPr="00900E2E">
        <w:rPr>
          <w:rFonts w:ascii="Book Antiqua" w:hAnsi="Book Antiqua"/>
          <w:color w:val="000000" w:themeColor="text1"/>
          <w:sz w:val="24"/>
          <w:szCs w:val="24"/>
        </w:rPr>
        <w:t>Expression of a</w:t>
      </w:r>
      <w:r w:rsidR="008E40A5" w:rsidRPr="00900E2E">
        <w:rPr>
          <w:rFonts w:ascii="Book Antiqua" w:hAnsi="Book Antiqua"/>
          <w:color w:val="000000" w:themeColor="text1"/>
          <w:sz w:val="24"/>
          <w:szCs w:val="24"/>
        </w:rPr>
        <w:t xml:space="preserve"> cancer-related o</w:t>
      </w:r>
      <w:r w:rsidR="004F3DCB" w:rsidRPr="00900E2E">
        <w:rPr>
          <w:rFonts w:ascii="Book Antiqua" w:hAnsi="Book Antiqua"/>
          <w:color w:val="000000" w:themeColor="text1"/>
          <w:sz w:val="24"/>
          <w:szCs w:val="24"/>
        </w:rPr>
        <w:t>xidoreductase, a</w:t>
      </w:r>
      <w:r w:rsidRPr="00900E2E">
        <w:rPr>
          <w:rFonts w:ascii="Book Antiqua" w:hAnsi="Book Antiqua"/>
          <w:color w:val="000000" w:themeColor="text1"/>
          <w:sz w:val="24"/>
          <w:szCs w:val="24"/>
        </w:rPr>
        <w:t xml:space="preserve">ldo-keto reductase family 1 member B10 (AKR1B10) was upregulated </w:t>
      </w:r>
      <w:r w:rsidR="008F1EB5" w:rsidRPr="00900E2E">
        <w:rPr>
          <w:rFonts w:ascii="Book Antiqua" w:hAnsi="Book Antiqua"/>
          <w:color w:val="000000" w:themeColor="text1"/>
          <w:sz w:val="24"/>
          <w:szCs w:val="24"/>
        </w:rPr>
        <w:t xml:space="preserve">in the liver </w:t>
      </w:r>
      <w:r w:rsidRPr="00900E2E">
        <w:rPr>
          <w:rFonts w:ascii="Book Antiqua" w:hAnsi="Book Antiqua"/>
          <w:color w:val="000000" w:themeColor="text1"/>
          <w:sz w:val="24"/>
          <w:szCs w:val="24"/>
        </w:rPr>
        <w:t>in patients with chronic hepatitis C</w:t>
      </w:r>
      <w:r w:rsidR="004F3DCB" w:rsidRPr="00900E2E">
        <w:rPr>
          <w:rFonts w:ascii="Book Antiqua" w:hAnsi="Book Antiqua"/>
          <w:color w:val="000000" w:themeColor="text1"/>
          <w:sz w:val="24"/>
          <w:szCs w:val="24"/>
        </w:rPr>
        <w:t xml:space="preserve"> (CHC)</w:t>
      </w:r>
      <w:r w:rsidRPr="00900E2E">
        <w:rPr>
          <w:rFonts w:ascii="Book Antiqua" w:hAnsi="Book Antiqua"/>
          <w:color w:val="000000" w:themeColor="text1"/>
          <w:sz w:val="24"/>
          <w:szCs w:val="24"/>
        </w:rPr>
        <w:t xml:space="preserve">. High AKR1B10 expression was associated in a statistically significant manner with the risk of hepatocellular carcinoma (HCC) development even after sustained virological response (SVR) was achieved through interferon-based antiviral therapy. </w:t>
      </w:r>
      <w:r w:rsidR="004F3DCB" w:rsidRPr="00900E2E">
        <w:rPr>
          <w:rFonts w:ascii="Book Antiqua" w:hAnsi="Book Antiqua"/>
          <w:color w:val="000000" w:themeColor="text1"/>
          <w:sz w:val="24"/>
          <w:szCs w:val="24"/>
        </w:rPr>
        <w:t>Pretreatment AKR1B10 expression of 8% was associated with a &gt;</w:t>
      </w:r>
      <w:r w:rsidR="007E1B74" w:rsidRPr="00900E2E">
        <w:rPr>
          <w:rFonts w:ascii="Book Antiqua" w:eastAsia="宋体" w:hAnsi="Book Antiqua" w:hint="eastAsia"/>
          <w:color w:val="000000" w:themeColor="text1"/>
          <w:sz w:val="24"/>
          <w:szCs w:val="24"/>
          <w:lang w:eastAsia="zh-CN"/>
        </w:rPr>
        <w:t xml:space="preserve"> </w:t>
      </w:r>
      <w:r w:rsidR="004F3DCB" w:rsidRPr="00900E2E">
        <w:rPr>
          <w:rFonts w:ascii="Book Antiqua" w:hAnsi="Book Antiqua"/>
          <w:color w:val="000000" w:themeColor="text1"/>
          <w:sz w:val="24"/>
          <w:szCs w:val="24"/>
        </w:rPr>
        <w:t xml:space="preserve">15-fold-increased risk of HCC development. </w:t>
      </w:r>
      <w:r w:rsidRPr="00900E2E">
        <w:rPr>
          <w:rFonts w:ascii="Book Antiqua" w:hAnsi="Book Antiqua"/>
          <w:color w:val="000000" w:themeColor="text1"/>
          <w:sz w:val="24"/>
          <w:szCs w:val="24"/>
        </w:rPr>
        <w:t xml:space="preserve">Thus, AKR1B10 is </w:t>
      </w:r>
      <w:r w:rsidR="004F3DCB" w:rsidRPr="00900E2E">
        <w:rPr>
          <w:rFonts w:ascii="Book Antiqua" w:hAnsi="Book Antiqua"/>
          <w:color w:val="000000" w:themeColor="text1"/>
          <w:sz w:val="24"/>
          <w:szCs w:val="24"/>
        </w:rPr>
        <w:t xml:space="preserve">not only a cancer biomarker but also </w:t>
      </w:r>
      <w:r w:rsidRPr="00900E2E">
        <w:rPr>
          <w:rFonts w:ascii="Book Antiqua" w:hAnsi="Book Antiqua"/>
          <w:color w:val="000000" w:themeColor="text1"/>
          <w:sz w:val="24"/>
          <w:szCs w:val="24"/>
        </w:rPr>
        <w:t xml:space="preserve">a novel </w:t>
      </w:r>
      <w:r w:rsidR="004F3DCB" w:rsidRPr="00900E2E">
        <w:rPr>
          <w:rFonts w:ascii="Book Antiqua" w:hAnsi="Book Antiqua"/>
          <w:color w:val="000000" w:themeColor="text1"/>
          <w:sz w:val="24"/>
          <w:szCs w:val="24"/>
        </w:rPr>
        <w:t xml:space="preserve">predictive </w:t>
      </w:r>
      <w:r w:rsidRPr="00900E2E">
        <w:rPr>
          <w:rFonts w:ascii="Book Antiqua" w:hAnsi="Book Antiqua"/>
          <w:color w:val="000000" w:themeColor="text1"/>
          <w:sz w:val="24"/>
          <w:szCs w:val="24"/>
        </w:rPr>
        <w:t>marker for asse</w:t>
      </w:r>
      <w:r w:rsidR="004F3DCB" w:rsidRPr="00900E2E">
        <w:rPr>
          <w:rFonts w:ascii="Book Antiqua" w:hAnsi="Book Antiqua"/>
          <w:color w:val="000000" w:themeColor="text1"/>
          <w:sz w:val="24"/>
          <w:szCs w:val="24"/>
        </w:rPr>
        <w:t>ssing the risk of HCC development in CHC patients who achieved SVR.</w:t>
      </w:r>
      <w:r w:rsidRPr="00900E2E">
        <w:rPr>
          <w:rFonts w:ascii="Book Antiqua" w:hAnsi="Book Antiqua"/>
          <w:color w:val="000000" w:themeColor="text1"/>
          <w:sz w:val="24"/>
          <w:szCs w:val="24"/>
        </w:rPr>
        <w:t xml:space="preserve"> </w:t>
      </w:r>
    </w:p>
    <w:p w:rsidR="007E1B74" w:rsidRPr="00900E2E" w:rsidRDefault="007E1B74" w:rsidP="00C805C6">
      <w:pPr>
        <w:widowControl/>
        <w:adjustRightInd w:val="0"/>
        <w:snapToGrid w:val="0"/>
        <w:spacing w:line="360" w:lineRule="auto"/>
        <w:jc w:val="left"/>
        <w:rPr>
          <w:rFonts w:ascii="Book Antiqua" w:eastAsia="宋体" w:hAnsi="Book Antiqua"/>
          <w:color w:val="000000" w:themeColor="text1"/>
          <w:sz w:val="24"/>
          <w:szCs w:val="24"/>
          <w:lang w:eastAsia="zh-CN"/>
        </w:rPr>
      </w:pPr>
    </w:p>
    <w:p w:rsidR="007E1B74" w:rsidRPr="00900E2E" w:rsidRDefault="007E1B74" w:rsidP="00C805C6">
      <w:pPr>
        <w:adjustRightInd w:val="0"/>
        <w:snapToGrid w:val="0"/>
        <w:spacing w:line="360" w:lineRule="auto"/>
        <w:jc w:val="left"/>
        <w:rPr>
          <w:rFonts w:ascii="Book Antiqua" w:eastAsia="宋体" w:hAnsi="Book Antiqua"/>
          <w:color w:val="000000" w:themeColor="text1"/>
          <w:sz w:val="24"/>
          <w:lang w:eastAsia="zh-CN"/>
        </w:rPr>
      </w:pPr>
      <w:r w:rsidRPr="00900E2E">
        <w:rPr>
          <w:rFonts w:ascii="Book Antiqua" w:hAnsi="Book Antiqua"/>
          <w:color w:val="000000" w:themeColor="text1"/>
          <w:sz w:val="24"/>
          <w:szCs w:val="24"/>
        </w:rPr>
        <w:t>Murata</w:t>
      </w:r>
      <w:r w:rsidRPr="00900E2E">
        <w:rPr>
          <w:rFonts w:ascii="Book Antiqua" w:eastAsia="宋体" w:hAnsi="Book Antiqua" w:hint="eastAsia"/>
          <w:color w:val="000000" w:themeColor="text1"/>
          <w:sz w:val="24"/>
          <w:szCs w:val="24"/>
          <w:lang w:eastAsia="zh-CN"/>
        </w:rPr>
        <w:t xml:space="preserve"> A</w:t>
      </w:r>
      <w:r w:rsidRPr="00900E2E">
        <w:rPr>
          <w:rFonts w:ascii="Book Antiqua" w:hAnsi="Book Antiqua"/>
          <w:color w:val="000000" w:themeColor="text1"/>
          <w:sz w:val="24"/>
          <w:szCs w:val="24"/>
        </w:rPr>
        <w:t>, Genda</w:t>
      </w:r>
      <w:r w:rsidRPr="00900E2E">
        <w:rPr>
          <w:rFonts w:ascii="Book Antiqua" w:eastAsia="宋体" w:hAnsi="Book Antiqua" w:hint="eastAsia"/>
          <w:color w:val="000000" w:themeColor="text1"/>
          <w:sz w:val="24"/>
          <w:szCs w:val="24"/>
          <w:lang w:eastAsia="zh-CN"/>
        </w:rPr>
        <w:t xml:space="preserve"> T</w:t>
      </w:r>
      <w:r w:rsidRPr="00900E2E">
        <w:rPr>
          <w:rFonts w:ascii="Book Antiqua" w:hAnsi="Book Antiqua"/>
          <w:color w:val="000000" w:themeColor="text1"/>
          <w:sz w:val="24"/>
          <w:szCs w:val="24"/>
        </w:rPr>
        <w:t>, Ichida</w:t>
      </w:r>
      <w:r w:rsidRPr="00900E2E">
        <w:rPr>
          <w:rFonts w:ascii="Book Antiqua" w:eastAsia="宋体" w:hAnsi="Book Antiqua" w:hint="eastAsia"/>
          <w:color w:val="000000" w:themeColor="text1"/>
          <w:sz w:val="24"/>
          <w:szCs w:val="24"/>
          <w:lang w:eastAsia="zh-CN"/>
        </w:rPr>
        <w:t xml:space="preserve"> T</w:t>
      </w:r>
      <w:r w:rsidRPr="00900E2E">
        <w:rPr>
          <w:rFonts w:ascii="Book Antiqua" w:hAnsi="Book Antiqua"/>
          <w:color w:val="000000" w:themeColor="text1"/>
          <w:sz w:val="24"/>
          <w:szCs w:val="24"/>
        </w:rPr>
        <w:t>, Amano</w:t>
      </w:r>
      <w:r w:rsidRPr="00900E2E">
        <w:rPr>
          <w:rFonts w:ascii="Book Antiqua" w:eastAsia="宋体" w:hAnsi="Book Antiqua" w:hint="eastAsia"/>
          <w:color w:val="000000" w:themeColor="text1"/>
          <w:sz w:val="24"/>
          <w:szCs w:val="24"/>
          <w:lang w:eastAsia="zh-CN"/>
        </w:rPr>
        <w:t xml:space="preserve"> N</w:t>
      </w:r>
      <w:r w:rsidRPr="00900E2E">
        <w:rPr>
          <w:rFonts w:ascii="Book Antiqua" w:hAnsi="Book Antiqua"/>
          <w:color w:val="000000" w:themeColor="text1"/>
          <w:sz w:val="24"/>
          <w:szCs w:val="24"/>
        </w:rPr>
        <w:t>, Sato</w:t>
      </w:r>
      <w:r w:rsidRPr="00900E2E">
        <w:rPr>
          <w:rFonts w:ascii="Book Antiqua" w:eastAsia="宋体" w:hAnsi="Book Antiqua" w:hint="eastAsia"/>
          <w:color w:val="000000" w:themeColor="text1"/>
          <w:sz w:val="24"/>
          <w:szCs w:val="24"/>
          <w:lang w:eastAsia="zh-CN"/>
        </w:rPr>
        <w:t xml:space="preserve"> S</w:t>
      </w:r>
      <w:r w:rsidRPr="00900E2E">
        <w:rPr>
          <w:rFonts w:ascii="Book Antiqua" w:hAnsi="Book Antiqua"/>
          <w:color w:val="000000" w:themeColor="text1"/>
          <w:sz w:val="24"/>
          <w:szCs w:val="24"/>
        </w:rPr>
        <w:t>, Tsuzura</w:t>
      </w:r>
      <w:r w:rsidRPr="00900E2E">
        <w:rPr>
          <w:rFonts w:ascii="Book Antiqua" w:eastAsia="宋体" w:hAnsi="Book Antiqua" w:hint="eastAsia"/>
          <w:color w:val="000000" w:themeColor="text1"/>
          <w:sz w:val="24"/>
          <w:szCs w:val="24"/>
          <w:lang w:eastAsia="zh-CN"/>
        </w:rPr>
        <w:t xml:space="preserve"> H</w:t>
      </w:r>
      <w:r w:rsidRPr="00900E2E">
        <w:rPr>
          <w:rFonts w:ascii="Book Antiqua" w:hAnsi="Book Antiqua"/>
          <w:color w:val="000000" w:themeColor="text1"/>
          <w:sz w:val="24"/>
          <w:szCs w:val="24"/>
        </w:rPr>
        <w:t>, Sato</w:t>
      </w:r>
      <w:r w:rsidRPr="00900E2E">
        <w:rPr>
          <w:rFonts w:ascii="Book Antiqua" w:eastAsia="宋体" w:hAnsi="Book Antiqua" w:hint="eastAsia"/>
          <w:color w:val="000000" w:themeColor="text1"/>
          <w:sz w:val="24"/>
          <w:szCs w:val="24"/>
          <w:lang w:eastAsia="zh-CN"/>
        </w:rPr>
        <w:t xml:space="preserve"> S</w:t>
      </w:r>
      <w:r w:rsidRPr="00900E2E">
        <w:rPr>
          <w:rFonts w:ascii="Book Antiqua" w:hAnsi="Book Antiqua"/>
          <w:color w:val="000000" w:themeColor="text1"/>
          <w:sz w:val="24"/>
          <w:szCs w:val="24"/>
        </w:rPr>
        <w:t>, Narita</w:t>
      </w:r>
      <w:r w:rsidRPr="00900E2E">
        <w:rPr>
          <w:rFonts w:ascii="Book Antiqua" w:eastAsia="宋体" w:hAnsi="Book Antiqua" w:hint="eastAsia"/>
          <w:color w:val="000000" w:themeColor="text1"/>
          <w:sz w:val="24"/>
          <w:szCs w:val="24"/>
          <w:lang w:eastAsia="zh-CN"/>
        </w:rPr>
        <w:t xml:space="preserve"> Y</w:t>
      </w:r>
      <w:r w:rsidRPr="00900E2E">
        <w:rPr>
          <w:rFonts w:ascii="Book Antiqua" w:hAnsi="Book Antiqua"/>
          <w:color w:val="000000" w:themeColor="text1"/>
          <w:sz w:val="24"/>
          <w:szCs w:val="24"/>
        </w:rPr>
        <w:t>, Kanemitsu</w:t>
      </w:r>
      <w:r w:rsidRPr="00900E2E">
        <w:rPr>
          <w:rFonts w:ascii="Book Antiqua" w:eastAsia="宋体" w:hAnsi="Book Antiqua" w:hint="eastAsia"/>
          <w:color w:val="000000" w:themeColor="text1"/>
          <w:sz w:val="24"/>
          <w:szCs w:val="24"/>
          <w:lang w:eastAsia="zh-CN"/>
        </w:rPr>
        <w:t xml:space="preserve"> Y</w:t>
      </w:r>
      <w:r w:rsidRPr="00900E2E">
        <w:rPr>
          <w:rFonts w:ascii="Book Antiqua" w:hAnsi="Book Antiqua"/>
          <w:color w:val="000000" w:themeColor="text1"/>
          <w:sz w:val="24"/>
          <w:szCs w:val="24"/>
        </w:rPr>
        <w:t>, Shimada</w:t>
      </w:r>
      <w:r w:rsidRPr="00900E2E">
        <w:rPr>
          <w:rFonts w:ascii="Book Antiqua" w:eastAsia="宋体" w:hAnsi="Book Antiqua" w:hint="eastAsia"/>
          <w:color w:val="000000" w:themeColor="text1"/>
          <w:sz w:val="24"/>
          <w:szCs w:val="24"/>
          <w:lang w:eastAsia="zh-CN"/>
        </w:rPr>
        <w:t xml:space="preserve"> Y</w:t>
      </w:r>
      <w:r w:rsidRPr="00900E2E">
        <w:rPr>
          <w:rFonts w:ascii="Book Antiqua" w:hAnsi="Book Antiqua"/>
          <w:color w:val="000000" w:themeColor="text1"/>
          <w:sz w:val="24"/>
          <w:szCs w:val="24"/>
        </w:rPr>
        <w:t>, Hirano</w:t>
      </w:r>
      <w:r w:rsidRPr="00900E2E">
        <w:rPr>
          <w:rFonts w:ascii="Book Antiqua" w:eastAsia="宋体" w:hAnsi="Book Antiqua" w:hint="eastAsia"/>
          <w:color w:val="000000" w:themeColor="text1"/>
          <w:sz w:val="24"/>
          <w:szCs w:val="24"/>
          <w:lang w:eastAsia="zh-CN"/>
        </w:rPr>
        <w:t xml:space="preserve"> K</w:t>
      </w:r>
      <w:r w:rsidRPr="00900E2E">
        <w:rPr>
          <w:rFonts w:ascii="Book Antiqua" w:hAnsi="Book Antiqua"/>
          <w:color w:val="000000" w:themeColor="text1"/>
          <w:sz w:val="24"/>
          <w:szCs w:val="24"/>
        </w:rPr>
        <w:t>, Iijima</w:t>
      </w:r>
      <w:r w:rsidRPr="00900E2E">
        <w:rPr>
          <w:rFonts w:ascii="Book Antiqua" w:eastAsia="宋体" w:hAnsi="Book Antiqua" w:hint="eastAsia"/>
          <w:color w:val="000000" w:themeColor="text1"/>
          <w:sz w:val="24"/>
          <w:szCs w:val="24"/>
          <w:lang w:eastAsia="zh-CN"/>
        </w:rPr>
        <w:t xml:space="preserve"> K</w:t>
      </w:r>
      <w:r w:rsidRPr="00900E2E">
        <w:rPr>
          <w:rFonts w:ascii="Book Antiqua" w:hAnsi="Book Antiqua"/>
          <w:color w:val="000000" w:themeColor="text1"/>
          <w:sz w:val="24"/>
          <w:szCs w:val="24"/>
        </w:rPr>
        <w:t>, Wada</w:t>
      </w:r>
      <w:r w:rsidRPr="00900E2E">
        <w:rPr>
          <w:rFonts w:ascii="Book Antiqua" w:eastAsia="宋体" w:hAnsi="Book Antiqua" w:hint="eastAsia"/>
          <w:color w:val="000000" w:themeColor="text1"/>
          <w:sz w:val="24"/>
          <w:szCs w:val="24"/>
          <w:lang w:eastAsia="zh-CN"/>
        </w:rPr>
        <w:t xml:space="preserve"> R</w:t>
      </w:r>
      <w:r w:rsidRPr="00900E2E">
        <w:rPr>
          <w:rFonts w:ascii="Book Antiqua" w:hAnsi="Book Antiqua"/>
          <w:color w:val="000000" w:themeColor="text1"/>
          <w:sz w:val="24"/>
          <w:szCs w:val="24"/>
        </w:rPr>
        <w:t>, Nagahara</w:t>
      </w:r>
      <w:r w:rsidRPr="00900E2E">
        <w:rPr>
          <w:rFonts w:ascii="Book Antiqua" w:eastAsia="宋体" w:hAnsi="Book Antiqua" w:hint="eastAsia"/>
          <w:color w:val="000000" w:themeColor="text1"/>
          <w:sz w:val="24"/>
          <w:szCs w:val="24"/>
          <w:lang w:eastAsia="zh-CN"/>
        </w:rPr>
        <w:t xml:space="preserve"> A</w:t>
      </w:r>
      <w:r w:rsidRPr="00900E2E">
        <w:rPr>
          <w:rFonts w:ascii="Book Antiqua" w:hAnsi="Book Antiqua"/>
          <w:color w:val="000000" w:themeColor="text1"/>
          <w:sz w:val="24"/>
          <w:szCs w:val="24"/>
        </w:rPr>
        <w:t>, Watanabe</w:t>
      </w:r>
      <w:r w:rsidRPr="00900E2E">
        <w:rPr>
          <w:rFonts w:ascii="Book Antiqua" w:eastAsia="宋体" w:hAnsi="Book Antiqua" w:hint="eastAsia"/>
          <w:color w:val="000000" w:themeColor="text1"/>
          <w:sz w:val="24"/>
          <w:szCs w:val="24"/>
          <w:lang w:eastAsia="zh-CN"/>
        </w:rPr>
        <w:t xml:space="preserve"> S. </w:t>
      </w:r>
      <w:r w:rsidRPr="00900E2E">
        <w:rPr>
          <w:rFonts w:ascii="Book Antiqua" w:hAnsi="Book Antiqua"/>
          <w:color w:val="000000" w:themeColor="text1"/>
          <w:sz w:val="24"/>
          <w:szCs w:val="24"/>
        </w:rPr>
        <w:t>Pretreatment AKR1B10 expression predicts the risk of hepatocellular carcinoma development after hepatitis C virus eradication</w:t>
      </w:r>
      <w:r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i/>
          <w:color w:val="000000" w:themeColor="text1"/>
          <w:sz w:val="24"/>
        </w:rPr>
        <w:t>World J Gastroenterol</w:t>
      </w:r>
      <w:r w:rsidRPr="00900E2E">
        <w:rPr>
          <w:rFonts w:ascii="Book Antiqua" w:hAnsi="Book Antiqua"/>
          <w:color w:val="000000" w:themeColor="text1"/>
          <w:sz w:val="24"/>
        </w:rPr>
        <w:t xml:space="preserve"> 201</w:t>
      </w:r>
      <w:r w:rsidRPr="00900E2E">
        <w:rPr>
          <w:rFonts w:ascii="Book Antiqua" w:hAnsi="Book Antiqua" w:hint="eastAsia"/>
          <w:color w:val="000000" w:themeColor="text1"/>
          <w:sz w:val="24"/>
        </w:rPr>
        <w:t>6</w:t>
      </w:r>
      <w:r w:rsidRPr="00900E2E">
        <w:rPr>
          <w:rFonts w:ascii="Book Antiqua" w:hAnsi="Book Antiqua"/>
          <w:color w:val="000000" w:themeColor="text1"/>
          <w:sz w:val="24"/>
        </w:rPr>
        <w:t>; In press</w:t>
      </w:r>
    </w:p>
    <w:p w:rsidR="00C8397D" w:rsidRPr="00900E2E" w:rsidRDefault="00C8397D" w:rsidP="00C805C6">
      <w:pPr>
        <w:widowControl/>
        <w:adjustRightInd w:val="0"/>
        <w:snapToGrid w:val="0"/>
        <w:spacing w:line="360" w:lineRule="auto"/>
        <w:jc w:val="left"/>
        <w:rPr>
          <w:rFonts w:ascii="Book Antiqua" w:hAnsi="Book Antiqua"/>
          <w:color w:val="000000" w:themeColor="text1"/>
          <w:sz w:val="24"/>
          <w:szCs w:val="24"/>
        </w:rPr>
      </w:pPr>
      <w:r w:rsidRPr="00900E2E">
        <w:rPr>
          <w:rFonts w:ascii="Book Antiqua" w:hAnsi="Book Antiqua"/>
          <w:color w:val="000000" w:themeColor="text1"/>
          <w:sz w:val="24"/>
          <w:szCs w:val="24"/>
        </w:rPr>
        <w:br w:type="page"/>
      </w:r>
    </w:p>
    <w:p w:rsidR="00404C55" w:rsidRPr="00900E2E" w:rsidRDefault="00404C55" w:rsidP="00C805C6">
      <w:pPr>
        <w:adjustRightInd w:val="0"/>
        <w:snapToGrid w:val="0"/>
        <w:spacing w:line="360" w:lineRule="auto"/>
        <w:rPr>
          <w:rFonts w:ascii="Book Antiqua" w:hAnsi="Book Antiqua"/>
          <w:b/>
          <w:color w:val="000000" w:themeColor="text1"/>
          <w:sz w:val="24"/>
          <w:szCs w:val="24"/>
        </w:rPr>
      </w:pPr>
      <w:r w:rsidRPr="00900E2E">
        <w:rPr>
          <w:rFonts w:ascii="Book Antiqua" w:hAnsi="Book Antiqua"/>
          <w:b/>
          <w:color w:val="000000" w:themeColor="text1"/>
          <w:sz w:val="24"/>
          <w:szCs w:val="24"/>
        </w:rPr>
        <w:lastRenderedPageBreak/>
        <w:t>INTRODUCTION</w:t>
      </w: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Persistent hepatitis C virus (HCV) infection is one of the major causes of chronic liver disease leading to the development of hepatocellular carcinoma (HCC), which is the fifth most common cancer and the third most common cause of cancer-related death worldwide</w:t>
      </w:r>
      <w:r w:rsidRPr="00900E2E">
        <w:rPr>
          <w:rFonts w:ascii="Book Antiqua" w:hAnsi="Book Antiqua"/>
          <w:color w:val="000000" w:themeColor="text1"/>
          <w:sz w:val="24"/>
          <w:szCs w:val="24"/>
          <w:vertAlign w:val="superscript"/>
        </w:rPr>
        <w:t>[1]</w:t>
      </w:r>
      <w:r w:rsidRPr="00900E2E">
        <w:rPr>
          <w:rFonts w:ascii="Book Antiqua" w:hAnsi="Book Antiqua"/>
          <w:color w:val="000000" w:themeColor="text1"/>
          <w:sz w:val="24"/>
          <w:szCs w:val="24"/>
        </w:rPr>
        <w:t>. HCV is responsible for 27%–75% of the HCC cases in Europe and U</w:t>
      </w:r>
      <w:r w:rsidR="007E1B74" w:rsidRPr="00900E2E">
        <w:rPr>
          <w:rFonts w:ascii="Book Antiqua" w:eastAsia="宋体" w:hAnsi="Book Antiqua" w:hint="eastAsia"/>
          <w:color w:val="000000" w:themeColor="text1"/>
          <w:sz w:val="24"/>
          <w:szCs w:val="24"/>
          <w:lang w:eastAsia="zh-CN"/>
        </w:rPr>
        <w:t>nited States</w:t>
      </w:r>
      <w:r w:rsidRPr="00900E2E">
        <w:rPr>
          <w:rFonts w:ascii="Book Antiqua" w:hAnsi="Book Antiqua"/>
          <w:color w:val="000000" w:themeColor="text1"/>
          <w:sz w:val="24"/>
          <w:szCs w:val="24"/>
        </w:rPr>
        <w:t xml:space="preserve"> and &gt;</w:t>
      </w:r>
      <w:r w:rsidR="007E1B74"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color w:val="000000" w:themeColor="text1"/>
          <w:sz w:val="24"/>
          <w:szCs w:val="24"/>
        </w:rPr>
        <w:t>80% of the cases in Japan</w:t>
      </w:r>
      <w:r w:rsidRPr="00900E2E">
        <w:rPr>
          <w:rFonts w:ascii="Book Antiqua" w:hAnsi="Book Antiqua"/>
          <w:color w:val="000000" w:themeColor="text1"/>
          <w:sz w:val="24"/>
          <w:szCs w:val="24"/>
          <w:vertAlign w:val="superscript"/>
        </w:rPr>
        <w:t>[2,3]</w:t>
      </w:r>
      <w:r w:rsidRPr="00900E2E">
        <w:rPr>
          <w:rFonts w:ascii="Book Antiqua" w:hAnsi="Book Antiqua"/>
          <w:color w:val="000000" w:themeColor="text1"/>
          <w:sz w:val="24"/>
          <w:szCs w:val="24"/>
        </w:rPr>
        <w:t>. Notably, HCV-positive patients present a 20-fold higher risk of developing HCC than do HCV-negative patients</w:t>
      </w:r>
      <w:r w:rsidRPr="00900E2E">
        <w:rPr>
          <w:rFonts w:ascii="Book Antiqua" w:hAnsi="Book Antiqua"/>
          <w:color w:val="000000" w:themeColor="text1"/>
          <w:sz w:val="24"/>
          <w:szCs w:val="24"/>
          <w:vertAlign w:val="superscript"/>
        </w:rPr>
        <w:t>[4]</w:t>
      </w:r>
      <w:r w:rsidRPr="00900E2E">
        <w:rPr>
          <w:rFonts w:ascii="Book Antiqua" w:hAnsi="Book Antiqua"/>
          <w:color w:val="000000" w:themeColor="text1"/>
          <w:sz w:val="24"/>
          <w:szCs w:val="24"/>
        </w:rPr>
        <w:t>, which indicates a major carcinogenic role for persistent HCV infection. Given this association, chronic hepatitis C patients are frequently treated with interferon-based antiviral therapy, because the treatment not only eradicates HCV but also reduces the rate of HCC development. Interferon therapy most effectively lowers the risk of developing HCC in patients who achieve a sustained virological response (SVR)</w:t>
      </w:r>
      <w:r w:rsidRPr="00900E2E">
        <w:rPr>
          <w:rFonts w:ascii="Book Antiqua" w:hAnsi="Book Antiqua"/>
          <w:color w:val="000000" w:themeColor="text1"/>
          <w:sz w:val="24"/>
          <w:szCs w:val="24"/>
          <w:vertAlign w:val="superscript"/>
        </w:rPr>
        <w:t>[5-7]</w:t>
      </w:r>
      <w:r w:rsidRPr="00900E2E">
        <w:rPr>
          <w:rFonts w:ascii="Book Antiqua" w:hAnsi="Book Antiqua"/>
          <w:color w:val="000000" w:themeColor="text1"/>
          <w:sz w:val="24"/>
          <w:szCs w:val="24"/>
        </w:rPr>
        <w:t>, and the recent emergence of direct-acting antiviral drugs (DAAs) against HCV has drastically increased the SVR rate of antiviral therapy</w:t>
      </w:r>
      <w:r w:rsidRPr="00900E2E">
        <w:rPr>
          <w:rFonts w:ascii="Book Antiqua" w:hAnsi="Book Antiqua"/>
          <w:color w:val="000000" w:themeColor="text1"/>
          <w:sz w:val="24"/>
          <w:szCs w:val="24"/>
          <w:vertAlign w:val="superscript"/>
        </w:rPr>
        <w:t>[8,9]</w:t>
      </w:r>
      <w:r w:rsidRPr="00900E2E">
        <w:rPr>
          <w:rFonts w:ascii="Book Antiqua" w:hAnsi="Book Antiqua"/>
          <w:color w:val="000000" w:themeColor="text1"/>
          <w:sz w:val="24"/>
          <w:szCs w:val="24"/>
        </w:rPr>
        <w:t>. However, the risk of HCC development persists after interferon therapy even in patients who achieve SVR</w:t>
      </w:r>
      <w:r w:rsidRPr="00900E2E">
        <w:rPr>
          <w:rFonts w:ascii="Book Antiqua" w:hAnsi="Book Antiqua"/>
          <w:color w:val="000000" w:themeColor="text1"/>
          <w:sz w:val="24"/>
          <w:szCs w:val="24"/>
          <w:vertAlign w:val="superscript"/>
        </w:rPr>
        <w:t>[10]</w:t>
      </w:r>
      <w:r w:rsidRPr="00900E2E">
        <w:rPr>
          <w:rFonts w:ascii="Book Antiqua" w:hAnsi="Book Antiqua"/>
          <w:color w:val="000000" w:themeColor="text1"/>
          <w:sz w:val="24"/>
          <w:szCs w:val="24"/>
        </w:rPr>
        <w:t>. Because assessment of the risk of developing HCC is clinically important in the management of patients with chronic hepatitis C, the requirement of predictors for HCC development in patients who achieve SVR is now increasing.</w:t>
      </w:r>
    </w:p>
    <w:p w:rsidR="00404C55" w:rsidRPr="00900E2E" w:rsidRDefault="00404C55" w:rsidP="00C805C6">
      <w:pPr>
        <w:adjustRightInd w:val="0"/>
        <w:snapToGrid w:val="0"/>
        <w:spacing w:line="360" w:lineRule="auto"/>
        <w:ind w:firstLine="840"/>
        <w:rPr>
          <w:rFonts w:ascii="Book Antiqua" w:hAnsi="Book Antiqua"/>
          <w:color w:val="000000" w:themeColor="text1"/>
          <w:sz w:val="24"/>
          <w:szCs w:val="24"/>
        </w:rPr>
      </w:pPr>
      <w:r w:rsidRPr="00900E2E">
        <w:rPr>
          <w:rFonts w:ascii="Book Antiqua" w:hAnsi="Book Antiqua"/>
          <w:color w:val="000000" w:themeColor="text1"/>
          <w:sz w:val="24"/>
          <w:szCs w:val="24"/>
        </w:rPr>
        <w:t>Aldo-keto reductase family 1 member B10 (AKR1B10), a cancer-related oxidoreductase, was originally identified as a gene whose expression was upregulated in human HCC but was low in normal liver tissues</w:t>
      </w:r>
      <w:r w:rsidRPr="00900E2E">
        <w:rPr>
          <w:rFonts w:ascii="Book Antiqua" w:hAnsi="Book Antiqua"/>
          <w:color w:val="000000" w:themeColor="text1"/>
          <w:sz w:val="24"/>
          <w:szCs w:val="24"/>
          <w:vertAlign w:val="superscript"/>
        </w:rPr>
        <w:t>[11,12]</w:t>
      </w:r>
      <w:r w:rsidRPr="00900E2E">
        <w:rPr>
          <w:rFonts w:ascii="Book Antiqua" w:hAnsi="Book Antiqua"/>
          <w:color w:val="000000" w:themeColor="text1"/>
          <w:sz w:val="24"/>
          <w:szCs w:val="24"/>
        </w:rPr>
        <w:t>. Recently, AKR1B10 upregulation was observed in several studies in certain chronic liver diseases such as chronic hepatitis B and C and steatohepatitis</w:t>
      </w:r>
      <w:r w:rsidRPr="00900E2E">
        <w:rPr>
          <w:rFonts w:ascii="Book Antiqua" w:hAnsi="Book Antiqua"/>
          <w:color w:val="000000" w:themeColor="text1"/>
          <w:sz w:val="24"/>
          <w:szCs w:val="24"/>
          <w:vertAlign w:val="superscript"/>
        </w:rPr>
        <w:t>[13-16]</w:t>
      </w:r>
      <w:r w:rsidRPr="00900E2E">
        <w:rPr>
          <w:rFonts w:ascii="Book Antiqua" w:hAnsi="Book Antiqua"/>
          <w:color w:val="000000" w:themeColor="text1"/>
          <w:sz w:val="24"/>
          <w:szCs w:val="24"/>
        </w:rPr>
        <w:t>, which are widely recognized to represent a precancerous condition of HCC. AKR1B10 was upregulated in a stepwise manner from the surrounding liver tissues, which showed chronic hepatitis or cirrhosis, to HCC</w:t>
      </w:r>
      <w:r w:rsidRPr="00900E2E">
        <w:rPr>
          <w:rFonts w:ascii="Book Antiqua" w:hAnsi="Book Antiqua"/>
          <w:color w:val="000000" w:themeColor="text1"/>
          <w:sz w:val="24"/>
          <w:szCs w:val="24"/>
          <w:vertAlign w:val="superscript"/>
        </w:rPr>
        <w:t>[17]</w:t>
      </w:r>
      <w:r w:rsidRPr="00900E2E">
        <w:rPr>
          <w:rFonts w:ascii="Book Antiqua" w:hAnsi="Book Antiqua"/>
          <w:color w:val="000000" w:themeColor="text1"/>
          <w:sz w:val="24"/>
          <w:szCs w:val="24"/>
        </w:rPr>
        <w:t xml:space="preserve">, and AKR1B10 upregulation was also demonstrated to be associated in a statistically significant </w:t>
      </w:r>
      <w:r w:rsidRPr="00900E2E">
        <w:rPr>
          <w:rFonts w:ascii="Book Antiqua" w:hAnsi="Book Antiqua"/>
          <w:color w:val="000000" w:themeColor="text1"/>
          <w:sz w:val="24"/>
          <w:szCs w:val="24"/>
        </w:rPr>
        <w:lastRenderedPageBreak/>
        <w:t>manner with the risk of HCC development in chronic hepatitis B and C</w:t>
      </w:r>
      <w:r w:rsidRPr="00900E2E">
        <w:rPr>
          <w:rFonts w:ascii="Book Antiqua" w:hAnsi="Book Antiqua"/>
          <w:color w:val="000000" w:themeColor="text1"/>
          <w:sz w:val="24"/>
          <w:szCs w:val="24"/>
          <w:vertAlign w:val="superscript"/>
        </w:rPr>
        <w:t>[13,15]</w:t>
      </w:r>
      <w:r w:rsidRPr="00900E2E">
        <w:rPr>
          <w:rFonts w:ascii="Book Antiqua" w:hAnsi="Book Antiqua"/>
          <w:color w:val="000000" w:themeColor="text1"/>
          <w:sz w:val="24"/>
          <w:szCs w:val="24"/>
        </w:rPr>
        <w:t>. Furthermore, the results of in vitro and in vivo experiments demonstrated the involvement of AKR1B10 in cancer-cell proliferation</w:t>
      </w:r>
      <w:r w:rsidRPr="00900E2E">
        <w:rPr>
          <w:rFonts w:ascii="Book Antiqua" w:hAnsi="Book Antiqua"/>
          <w:color w:val="000000" w:themeColor="text1"/>
          <w:sz w:val="24"/>
          <w:szCs w:val="24"/>
          <w:vertAlign w:val="superscript"/>
        </w:rPr>
        <w:t>[18,19]</w:t>
      </w:r>
      <w:r w:rsidRPr="00900E2E">
        <w:rPr>
          <w:rFonts w:ascii="Book Antiqua" w:hAnsi="Book Antiqua"/>
          <w:color w:val="000000" w:themeColor="text1"/>
          <w:sz w:val="24"/>
          <w:szCs w:val="24"/>
        </w:rPr>
        <w:t>.</w:t>
      </w:r>
    </w:p>
    <w:p w:rsidR="00404C55" w:rsidRPr="00900E2E" w:rsidRDefault="00404C55" w:rsidP="00C805C6">
      <w:pPr>
        <w:adjustRightInd w:val="0"/>
        <w:snapToGrid w:val="0"/>
        <w:spacing w:line="360" w:lineRule="auto"/>
        <w:ind w:firstLine="840"/>
        <w:rPr>
          <w:rFonts w:ascii="Book Antiqua" w:hAnsi="Book Antiqua"/>
          <w:color w:val="000000" w:themeColor="text1"/>
          <w:sz w:val="24"/>
          <w:szCs w:val="24"/>
        </w:rPr>
      </w:pPr>
      <w:r w:rsidRPr="00900E2E">
        <w:rPr>
          <w:rFonts w:ascii="Book Antiqua" w:hAnsi="Book Antiqua"/>
          <w:color w:val="000000" w:themeColor="text1"/>
          <w:sz w:val="24"/>
          <w:szCs w:val="24"/>
        </w:rPr>
        <w:t>The aforementioned findings collectively support the view that AKR1B10 upregulation is involved in the early stages of hepatocarcinogenesis. We further hypothesized that in patients in whom AKR1B10 is upregulated in the liver, the carcinogenic process has already progressed, and that these patients face a high risk of HCC even after successful viral eradication. If this is the case, then AKR1B10 expression could serve as a useful predictive marker for HCC development in chronic hepatitis C patients who achieve SVR. Thus, in this study, our aim was to clarify the association between pretreatment AKR1B10 expression and HCC development after SVR in patients with chronic hepatitis C.</w:t>
      </w:r>
    </w:p>
    <w:p w:rsidR="006F7078" w:rsidRPr="00900E2E" w:rsidRDefault="006F7078" w:rsidP="00C805C6">
      <w:pPr>
        <w:adjustRightInd w:val="0"/>
        <w:snapToGrid w:val="0"/>
        <w:spacing w:line="360" w:lineRule="auto"/>
        <w:rPr>
          <w:rFonts w:ascii="Book Antiqua" w:eastAsia="宋体" w:hAnsi="Book Antiqua"/>
          <w:color w:val="000000" w:themeColor="text1"/>
          <w:sz w:val="24"/>
          <w:szCs w:val="24"/>
          <w:lang w:eastAsia="zh-CN"/>
        </w:rPr>
      </w:pPr>
    </w:p>
    <w:p w:rsidR="00404C55" w:rsidRPr="00900E2E" w:rsidRDefault="00404C55" w:rsidP="00C805C6">
      <w:pPr>
        <w:adjustRightInd w:val="0"/>
        <w:snapToGrid w:val="0"/>
        <w:spacing w:line="360" w:lineRule="auto"/>
        <w:rPr>
          <w:rFonts w:ascii="Book Antiqua" w:hAnsi="Book Antiqua"/>
          <w:b/>
          <w:color w:val="000000" w:themeColor="text1"/>
          <w:sz w:val="24"/>
          <w:szCs w:val="24"/>
        </w:rPr>
      </w:pPr>
      <w:r w:rsidRPr="00900E2E">
        <w:rPr>
          <w:rFonts w:ascii="Book Antiqua" w:hAnsi="Book Antiqua"/>
          <w:b/>
          <w:color w:val="000000" w:themeColor="text1"/>
          <w:sz w:val="24"/>
          <w:szCs w:val="24"/>
        </w:rPr>
        <w:t>MATERIALS AND METHODS</w:t>
      </w:r>
    </w:p>
    <w:p w:rsidR="00404C55" w:rsidRPr="00900E2E" w:rsidRDefault="00404C55" w:rsidP="00C805C6">
      <w:pPr>
        <w:adjustRightInd w:val="0"/>
        <w:snapToGrid w:val="0"/>
        <w:spacing w:line="360" w:lineRule="auto"/>
        <w:rPr>
          <w:rFonts w:ascii="Book Antiqua" w:hAnsi="Book Antiqua"/>
          <w:b/>
          <w:i/>
          <w:color w:val="000000" w:themeColor="text1"/>
          <w:sz w:val="24"/>
          <w:szCs w:val="24"/>
        </w:rPr>
      </w:pPr>
      <w:r w:rsidRPr="00900E2E">
        <w:rPr>
          <w:rFonts w:ascii="Book Antiqua" w:hAnsi="Book Antiqua"/>
          <w:b/>
          <w:i/>
          <w:color w:val="000000" w:themeColor="text1"/>
          <w:sz w:val="24"/>
          <w:szCs w:val="24"/>
        </w:rPr>
        <w:t>Patients</w:t>
      </w: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Between March 2004 and August 2014, a total of 605 patients with chronic HCV infection underwent interferon-based antiviral therapy at Juntendo University Shizuoka Hospital. Of the 605 patients, 401 achieved SVR, and these patients were considered for enrollment in this retrospective study. Chronic HCV infection was diagnosed based on continuous positivity for serum HCV RNA detected using reverse-transcription PCR. Exclusion criteria for this study were the following: (1) absence of liver biopsy within 6 months before treatment; (2) positivity for hepatitis B surface antigen or HIV; (3) evidence of other chronic liver diseases (autoimmune hepatitis, primary biliary cirrhosis, hemochromatosis, and Wilson’s disease); (4) presence of HCC or any suspicious lesions detected through ultrasonography, dynamic computed tomography, or magnetic resonance imaging at enrollment; (5) history of previous treatment for HCC and liver transplantation; (6) a follow-up period of &lt;</w:t>
      </w:r>
      <w:r w:rsidR="007E1B74"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color w:val="000000" w:themeColor="text1"/>
          <w:sz w:val="24"/>
          <w:szCs w:val="24"/>
        </w:rPr>
        <w:t xml:space="preserve">1.0 year after the end </w:t>
      </w:r>
      <w:r w:rsidRPr="00900E2E">
        <w:rPr>
          <w:rFonts w:ascii="Book Antiqua" w:hAnsi="Book Antiqua"/>
          <w:color w:val="000000" w:themeColor="text1"/>
          <w:sz w:val="24"/>
          <w:szCs w:val="24"/>
        </w:rPr>
        <w:lastRenderedPageBreak/>
        <w:t>of treatment (EOT); and (7) development of HCC at &lt;</w:t>
      </w:r>
      <w:r w:rsidR="007E1B74"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color w:val="000000" w:themeColor="text1"/>
          <w:sz w:val="24"/>
          <w:szCs w:val="24"/>
        </w:rPr>
        <w:t>1.0 year after the EOT</w:t>
      </w:r>
      <w:r w:rsidR="006854CA" w:rsidRPr="00900E2E">
        <w:rPr>
          <w:rFonts w:ascii="Book Antiqua" w:hAnsi="Book Antiqua"/>
          <w:color w:val="000000" w:themeColor="text1"/>
          <w:sz w:val="24"/>
          <w:szCs w:val="24"/>
        </w:rPr>
        <w:t xml:space="preserve">, because HCC developed within 1.0 year might </w:t>
      </w:r>
      <w:r w:rsidR="00C62CC8" w:rsidRPr="00900E2E">
        <w:rPr>
          <w:rFonts w:ascii="Book Antiqua" w:hAnsi="Book Antiqua"/>
          <w:color w:val="000000" w:themeColor="text1"/>
          <w:sz w:val="24"/>
          <w:szCs w:val="24"/>
        </w:rPr>
        <w:t xml:space="preserve">have </w:t>
      </w:r>
      <w:r w:rsidR="006854CA" w:rsidRPr="00900E2E">
        <w:rPr>
          <w:rFonts w:ascii="Book Antiqua" w:hAnsi="Book Antiqua"/>
          <w:color w:val="000000" w:themeColor="text1"/>
          <w:sz w:val="24"/>
          <w:szCs w:val="24"/>
        </w:rPr>
        <w:t>exist</w:t>
      </w:r>
      <w:r w:rsidR="00C62CC8" w:rsidRPr="00900E2E">
        <w:rPr>
          <w:rFonts w:ascii="Book Antiqua" w:hAnsi="Book Antiqua"/>
          <w:color w:val="000000" w:themeColor="text1"/>
          <w:sz w:val="24"/>
          <w:szCs w:val="24"/>
        </w:rPr>
        <w:t>ed</w:t>
      </w:r>
      <w:r w:rsidR="006854CA" w:rsidRPr="00900E2E">
        <w:rPr>
          <w:rFonts w:ascii="Book Antiqua" w:hAnsi="Book Antiqua"/>
          <w:color w:val="000000" w:themeColor="text1"/>
          <w:sz w:val="24"/>
          <w:szCs w:val="24"/>
        </w:rPr>
        <w:t xml:space="preserve"> before treatment. </w:t>
      </w:r>
      <w:r w:rsidRPr="00900E2E">
        <w:rPr>
          <w:rFonts w:ascii="Book Antiqua" w:hAnsi="Book Antiqua"/>
          <w:color w:val="000000" w:themeColor="text1"/>
          <w:sz w:val="24"/>
          <w:szCs w:val="24"/>
        </w:rPr>
        <w:t>Based on these criteria, a total of 303 patients were finally enrolled in this study. Control normal liver tissues presenting no aberrant histological features were obtained from surgically resected specimens from 8 patients with liver metastasis from colorectal cancer.</w:t>
      </w:r>
    </w:p>
    <w:p w:rsidR="00404C55" w:rsidRPr="00900E2E" w:rsidRDefault="00404C55" w:rsidP="00C805C6">
      <w:pPr>
        <w:adjustRightInd w:val="0"/>
        <w:snapToGrid w:val="0"/>
        <w:spacing w:line="360" w:lineRule="auto"/>
        <w:ind w:firstLine="840"/>
        <w:rPr>
          <w:rFonts w:ascii="Book Antiqua" w:hAnsi="Book Antiqua"/>
          <w:color w:val="000000" w:themeColor="text1"/>
          <w:sz w:val="24"/>
          <w:szCs w:val="24"/>
        </w:rPr>
      </w:pPr>
      <w:r w:rsidRPr="00900E2E">
        <w:rPr>
          <w:rFonts w:ascii="Book Antiqua" w:hAnsi="Book Antiqua"/>
          <w:color w:val="000000" w:themeColor="text1"/>
          <w:sz w:val="24"/>
          <w:szCs w:val="24"/>
        </w:rPr>
        <w:t>This study was approved by the Ethics Committee of Juntendo University Shizuoka Hospital and performed in accordance with the Helsinki Declaration (as revised in Brazil, 2013). Written informed consent was obtained from all patients.</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b/>
          <w:i/>
          <w:color w:val="000000" w:themeColor="text1"/>
          <w:sz w:val="24"/>
          <w:szCs w:val="24"/>
        </w:rPr>
      </w:pPr>
      <w:r w:rsidRPr="00900E2E">
        <w:rPr>
          <w:rFonts w:ascii="Book Antiqua" w:hAnsi="Book Antiqua"/>
          <w:b/>
          <w:i/>
          <w:color w:val="000000" w:themeColor="text1"/>
          <w:sz w:val="24"/>
          <w:szCs w:val="24"/>
        </w:rPr>
        <w:t>Laboratory investigations and liver histology</w:t>
      </w: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HCV was genotyped by performing PCR with the HCV Genotype Primer Kit (Institute of Immunology Co., Ltd., Tokyo, Japan) and classified into genotype 1, genotype 2, or other genotypes according to Simmonds’ classification system. Serum HCV viral load was determined with a Cobas Amplicor HCV monitor v2.0 by using the 10-fold-dilution method (Roche Diagnostics, Branchburg, NJ, U</w:t>
      </w:r>
      <w:r w:rsidR="007E1B74" w:rsidRPr="00900E2E">
        <w:rPr>
          <w:rFonts w:ascii="Book Antiqua" w:eastAsia="宋体" w:hAnsi="Book Antiqua" w:hint="eastAsia"/>
          <w:color w:val="000000" w:themeColor="text1"/>
          <w:sz w:val="24"/>
          <w:szCs w:val="24"/>
          <w:lang w:eastAsia="zh-CN"/>
        </w:rPr>
        <w:t>nited States</w:t>
      </w:r>
      <w:r w:rsidRPr="00900E2E">
        <w:rPr>
          <w:rFonts w:ascii="Book Antiqua" w:hAnsi="Book Antiqua"/>
          <w:color w:val="000000" w:themeColor="text1"/>
          <w:sz w:val="24"/>
          <w:szCs w:val="24"/>
        </w:rPr>
        <w:t>). Patients who were nega</w:t>
      </w:r>
      <w:r w:rsidR="007E1B74" w:rsidRPr="00900E2E">
        <w:rPr>
          <w:rFonts w:ascii="Book Antiqua" w:hAnsi="Book Antiqua"/>
          <w:color w:val="000000" w:themeColor="text1"/>
          <w:sz w:val="24"/>
          <w:szCs w:val="24"/>
        </w:rPr>
        <w:t>tive for serum HCV RNA at 24 wk</w:t>
      </w:r>
      <w:r w:rsidRPr="00900E2E">
        <w:rPr>
          <w:rFonts w:ascii="Book Antiqua" w:hAnsi="Book Antiqua"/>
          <w:color w:val="000000" w:themeColor="text1"/>
          <w:sz w:val="24"/>
          <w:szCs w:val="24"/>
        </w:rPr>
        <w:t xml:space="preserve"> after the EOT were defined as having achieved SVR. The following laboratory data were collected immedia</w:t>
      </w:r>
      <w:r w:rsidR="007E1B74" w:rsidRPr="00900E2E">
        <w:rPr>
          <w:rFonts w:ascii="Book Antiqua" w:hAnsi="Book Antiqua"/>
          <w:color w:val="000000" w:themeColor="text1"/>
          <w:sz w:val="24"/>
          <w:szCs w:val="24"/>
        </w:rPr>
        <w:t>tely before treatment, at 24 wk</w:t>
      </w:r>
      <w:r w:rsidRPr="00900E2E">
        <w:rPr>
          <w:rFonts w:ascii="Book Antiqua" w:hAnsi="Book Antiqua"/>
          <w:color w:val="000000" w:themeColor="text1"/>
          <w:sz w:val="24"/>
          <w:szCs w:val="24"/>
        </w:rPr>
        <w:t xml:space="preserve"> after the EOT, and at every follow-up visit after SVR: complete blood count and levels of albumin, alanine aminotransferase (ALT), γ-glutamyl transpeptidase (GGT), α-fetoprotein (AFP), and des-γ-carboxy prothrombin. Histological staging and grading were evaluated by a pathologist, who was blinded to the patients’ clinical information, according to the Metavir classification system</w:t>
      </w:r>
      <w:r w:rsidRPr="00900E2E">
        <w:rPr>
          <w:rFonts w:ascii="Book Antiqua" w:hAnsi="Book Antiqua"/>
          <w:color w:val="000000" w:themeColor="text1"/>
          <w:sz w:val="24"/>
          <w:szCs w:val="24"/>
          <w:vertAlign w:val="superscript"/>
        </w:rPr>
        <w:t>[20]</w:t>
      </w:r>
      <w:r w:rsidRPr="00900E2E">
        <w:rPr>
          <w:rFonts w:ascii="Book Antiqua" w:hAnsi="Book Antiqua"/>
          <w:color w:val="000000" w:themeColor="text1"/>
          <w:sz w:val="24"/>
          <w:szCs w:val="24"/>
        </w:rPr>
        <w:t>.</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b/>
          <w:i/>
          <w:color w:val="000000" w:themeColor="text1"/>
          <w:sz w:val="24"/>
          <w:szCs w:val="24"/>
        </w:rPr>
      </w:pPr>
      <w:r w:rsidRPr="00900E2E">
        <w:rPr>
          <w:rFonts w:ascii="Book Antiqua" w:hAnsi="Book Antiqua"/>
          <w:b/>
          <w:i/>
          <w:color w:val="000000" w:themeColor="text1"/>
          <w:sz w:val="24"/>
          <w:szCs w:val="24"/>
        </w:rPr>
        <w:t>Patient follow-up</w:t>
      </w: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 xml:space="preserve">Each patient was examined for serum tumor markers and HCC by performing ultrasonography at least once every 6 months after SVR. The absence of serum </w:t>
      </w:r>
      <w:r w:rsidRPr="00900E2E">
        <w:rPr>
          <w:rFonts w:ascii="Book Antiqua" w:hAnsi="Book Antiqua"/>
          <w:color w:val="000000" w:themeColor="text1"/>
          <w:sz w:val="24"/>
          <w:szCs w:val="24"/>
        </w:rPr>
        <w:lastRenderedPageBreak/>
        <w:t>HCV RNA was annually reconfirmed. HCC was diagnosed predominantly through imaging studies, including dynamic computed tomography and magnetic resonance imaging. When the hepatic nodule did not show typical imaging features, diagnosis was confirmed by means of fine-needle aspiration biopsy followed by histological examination. Patient follow-up ended on March 31, 2016.</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b/>
          <w:i/>
          <w:color w:val="000000" w:themeColor="text1"/>
          <w:sz w:val="24"/>
          <w:szCs w:val="24"/>
        </w:rPr>
      </w:pPr>
      <w:r w:rsidRPr="00900E2E">
        <w:rPr>
          <w:rFonts w:ascii="Book Antiqua" w:hAnsi="Book Antiqua"/>
          <w:b/>
          <w:i/>
          <w:color w:val="000000" w:themeColor="text1"/>
          <w:sz w:val="24"/>
          <w:szCs w:val="24"/>
        </w:rPr>
        <w:t>AKR1B10 immunohistochemistry</w:t>
      </w: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Immunohistochemical analysis of AKR1B10 was performed as described previously with certain modifications</w:t>
      </w:r>
      <w:r w:rsidRPr="00900E2E">
        <w:rPr>
          <w:rFonts w:ascii="Book Antiqua" w:hAnsi="Book Antiqua"/>
          <w:color w:val="000000" w:themeColor="text1"/>
          <w:sz w:val="24"/>
          <w:szCs w:val="24"/>
          <w:vertAlign w:val="superscript"/>
        </w:rPr>
        <w:t>[14,21]</w:t>
      </w:r>
      <w:r w:rsidRPr="00900E2E">
        <w:rPr>
          <w:rFonts w:ascii="Book Antiqua" w:hAnsi="Book Antiqua"/>
          <w:color w:val="000000" w:themeColor="text1"/>
          <w:sz w:val="24"/>
          <w:szCs w:val="24"/>
        </w:rPr>
        <w:t>. Briefly, deparaffinized and rehydrated sections were processed by performing heat-induced antigen retrieval in 0.1 mol/L citrate buffer at pH 6.0. After blocking endogenous peroxidase activity, sections were incubated with a mouse monoclonal antibody against AKR1B10 (1:100, Ab 57547; Abcam, Cambridge, U</w:t>
      </w:r>
      <w:r w:rsidR="007E1B74" w:rsidRPr="00900E2E">
        <w:rPr>
          <w:rFonts w:ascii="Book Antiqua" w:eastAsia="宋体" w:hAnsi="Book Antiqua" w:hint="eastAsia"/>
          <w:color w:val="000000" w:themeColor="text1"/>
          <w:sz w:val="24"/>
          <w:szCs w:val="24"/>
          <w:lang w:eastAsia="zh-CN"/>
        </w:rPr>
        <w:t>nited Kingdom</w:t>
      </w:r>
      <w:r w:rsidRPr="00900E2E">
        <w:rPr>
          <w:rFonts w:ascii="Book Antiqua" w:hAnsi="Book Antiqua"/>
          <w:color w:val="000000" w:themeColor="text1"/>
          <w:sz w:val="24"/>
          <w:szCs w:val="24"/>
        </w:rPr>
        <w:t>) at room temperature, and then with a biotinylated secondary antibody (Ventana iVIEW DAB Universal Kit; Ventana Medical Systems Inc., Tucson, AZ, U</w:t>
      </w:r>
      <w:r w:rsidR="007E1B74" w:rsidRPr="00900E2E">
        <w:rPr>
          <w:rFonts w:ascii="Book Antiqua" w:eastAsia="宋体" w:hAnsi="Book Antiqua" w:hint="eastAsia"/>
          <w:color w:val="000000" w:themeColor="text1"/>
          <w:sz w:val="24"/>
          <w:szCs w:val="24"/>
          <w:lang w:eastAsia="zh-CN"/>
        </w:rPr>
        <w:t>nited States</w:t>
      </w:r>
      <w:r w:rsidRPr="00900E2E">
        <w:rPr>
          <w:rFonts w:ascii="Book Antiqua" w:hAnsi="Book Antiqua"/>
          <w:color w:val="000000" w:themeColor="text1"/>
          <w:sz w:val="24"/>
          <w:szCs w:val="24"/>
        </w:rPr>
        <w:t>). Staining was visualized using 3,3’-diaminobenzidine tetrahydrochloride, and sections were counterstained with hematoxylin and eosin. AKR1B10 immunostaining was identified based on positive cytoplasmic staining and was quantified as the average percentage of AKR1B10-positive areas in 2 independent fields of hepatic parenchyma at 100</w:t>
      </w:r>
      <w:r w:rsidR="009E6C0E"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color w:val="000000" w:themeColor="text1"/>
          <w:sz w:val="24"/>
          <w:szCs w:val="24"/>
        </w:rPr>
        <w:t>× magnification by using Lumina Vision 2.4 Bio-imaging software (Mitani Corporation, Tokyo, Japan). The average percentage of AKR1B10-positive areas was rounded to the integer by discarding fractions that were &lt;</w:t>
      </w:r>
      <w:r w:rsidR="009E6C0E"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color w:val="000000" w:themeColor="text1"/>
          <w:sz w:val="24"/>
          <w:szCs w:val="24"/>
        </w:rPr>
        <w:t>1%.</w:t>
      </w:r>
      <w:r w:rsidR="005C456E" w:rsidRPr="00900E2E">
        <w:rPr>
          <w:rFonts w:ascii="Book Antiqua" w:hAnsi="Book Antiqua"/>
          <w:color w:val="000000" w:themeColor="text1"/>
          <w:sz w:val="24"/>
          <w:szCs w:val="24"/>
        </w:rPr>
        <w:t xml:space="preserve"> </w:t>
      </w:r>
      <w:r w:rsidR="00C62CC8" w:rsidRPr="00900E2E">
        <w:rPr>
          <w:rFonts w:ascii="Book Antiqua" w:hAnsi="Book Antiqua"/>
          <w:color w:val="000000" w:themeColor="text1"/>
          <w:sz w:val="24"/>
          <w:szCs w:val="24"/>
        </w:rPr>
        <w:t>Previous studies have established that the levels of</w:t>
      </w:r>
      <w:r w:rsidR="005C456E" w:rsidRPr="00900E2E">
        <w:rPr>
          <w:rFonts w:ascii="Book Antiqua" w:hAnsi="Book Antiqua"/>
          <w:color w:val="000000" w:themeColor="text1"/>
          <w:sz w:val="24"/>
          <w:szCs w:val="24"/>
        </w:rPr>
        <w:t xml:space="preserve"> AKR1B10 </w:t>
      </w:r>
      <w:r w:rsidR="00824ABA" w:rsidRPr="00900E2E">
        <w:rPr>
          <w:rFonts w:ascii="Book Antiqua" w:hAnsi="Book Antiqua"/>
          <w:color w:val="000000" w:themeColor="text1"/>
          <w:sz w:val="24"/>
          <w:szCs w:val="24"/>
        </w:rPr>
        <w:t>immunoreactivity</w:t>
      </w:r>
      <w:r w:rsidR="005C456E" w:rsidRPr="00900E2E">
        <w:rPr>
          <w:rFonts w:ascii="Book Antiqua" w:hAnsi="Book Antiqua"/>
          <w:color w:val="000000" w:themeColor="text1"/>
          <w:sz w:val="24"/>
          <w:szCs w:val="24"/>
        </w:rPr>
        <w:t xml:space="preserve"> and its mRNA levels </w:t>
      </w:r>
      <w:r w:rsidR="00C62CC8" w:rsidRPr="00900E2E">
        <w:rPr>
          <w:rFonts w:ascii="Book Antiqua" w:hAnsi="Book Antiqua"/>
          <w:color w:val="000000" w:themeColor="text1"/>
          <w:sz w:val="24"/>
          <w:szCs w:val="24"/>
        </w:rPr>
        <w:t>are well correlated</w:t>
      </w:r>
      <w:r w:rsidR="00103794" w:rsidRPr="00900E2E">
        <w:rPr>
          <w:rFonts w:ascii="Book Antiqua" w:hAnsi="Book Antiqua"/>
          <w:color w:val="000000" w:themeColor="text1"/>
          <w:sz w:val="24"/>
          <w:szCs w:val="24"/>
          <w:vertAlign w:val="superscript"/>
        </w:rPr>
        <w:t>14,15]</w:t>
      </w:r>
      <w:r w:rsidR="005C456E" w:rsidRPr="00900E2E">
        <w:rPr>
          <w:rFonts w:ascii="Book Antiqua" w:hAnsi="Book Antiqua"/>
          <w:color w:val="000000" w:themeColor="text1"/>
          <w:sz w:val="24"/>
          <w:szCs w:val="24"/>
        </w:rPr>
        <w:t>.</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b/>
          <w:i/>
          <w:color w:val="000000" w:themeColor="text1"/>
          <w:sz w:val="24"/>
          <w:szCs w:val="24"/>
        </w:rPr>
      </w:pPr>
      <w:r w:rsidRPr="00900E2E">
        <w:rPr>
          <w:rFonts w:ascii="Book Antiqua" w:hAnsi="Book Antiqua"/>
          <w:b/>
          <w:i/>
          <w:color w:val="000000" w:themeColor="text1"/>
          <w:sz w:val="24"/>
          <w:szCs w:val="24"/>
        </w:rPr>
        <w:t>Statistical analyses</w:t>
      </w: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 xml:space="preserve">All statistical analyses were performed using PASW Statistics 18 (IBM SPSS, </w:t>
      </w:r>
      <w:r w:rsidRPr="00900E2E">
        <w:rPr>
          <w:rFonts w:ascii="Book Antiqua" w:hAnsi="Book Antiqua"/>
          <w:color w:val="000000" w:themeColor="text1"/>
          <w:sz w:val="24"/>
          <w:szCs w:val="24"/>
        </w:rPr>
        <w:lastRenderedPageBreak/>
        <w:t>Chicago, IL, U</w:t>
      </w:r>
      <w:r w:rsidR="009E6C0E" w:rsidRPr="00900E2E">
        <w:rPr>
          <w:rFonts w:ascii="Book Antiqua" w:eastAsia="宋体" w:hAnsi="Book Antiqua" w:hint="eastAsia"/>
          <w:color w:val="000000" w:themeColor="text1"/>
          <w:sz w:val="24"/>
          <w:szCs w:val="24"/>
          <w:lang w:eastAsia="zh-CN"/>
        </w:rPr>
        <w:t>nited States</w:t>
      </w:r>
      <w:r w:rsidRPr="00900E2E">
        <w:rPr>
          <w:rFonts w:ascii="Book Antiqua" w:hAnsi="Book Antiqua"/>
          <w:color w:val="000000" w:themeColor="text1"/>
          <w:sz w:val="24"/>
          <w:szCs w:val="24"/>
        </w:rPr>
        <w:t xml:space="preserve">). The Mann–Whitney </w:t>
      </w:r>
      <w:r w:rsidRPr="00900E2E">
        <w:rPr>
          <w:rFonts w:ascii="Book Antiqua" w:hAnsi="Book Antiqua"/>
          <w:i/>
          <w:color w:val="000000" w:themeColor="text1"/>
          <w:sz w:val="24"/>
          <w:szCs w:val="24"/>
        </w:rPr>
        <w:t>U</w:t>
      </w:r>
      <w:r w:rsidRPr="00900E2E">
        <w:rPr>
          <w:rFonts w:ascii="Book Antiqua" w:hAnsi="Book Antiqua"/>
          <w:color w:val="000000" w:themeColor="text1"/>
          <w:sz w:val="24"/>
          <w:szCs w:val="24"/>
        </w:rPr>
        <w:t xml:space="preserve"> test was used for continuous variables and the corrected </w:t>
      </w:r>
      <w:r w:rsidR="009C58F4" w:rsidRPr="00900E2E">
        <w:rPr>
          <w:rFonts w:ascii="Symbol" w:hAnsi="Symbol"/>
          <w:i/>
          <w:color w:val="000000" w:themeColor="text1"/>
          <w:kern w:val="0"/>
          <w:sz w:val="24"/>
          <w:szCs w:val="24"/>
        </w:rPr>
        <w:t></w:t>
      </w:r>
      <w:r w:rsidR="009C58F4" w:rsidRPr="00900E2E">
        <w:rPr>
          <w:rFonts w:ascii="Book Antiqua" w:hAnsi="Book Antiqua" w:hint="eastAsia"/>
          <w:color w:val="000000" w:themeColor="text1"/>
          <w:sz w:val="24"/>
          <w:szCs w:val="24"/>
          <w:vertAlign w:val="superscript"/>
        </w:rPr>
        <w:t>2</w:t>
      </w:r>
      <w:r w:rsidRPr="00900E2E">
        <w:rPr>
          <w:rFonts w:ascii="Book Antiqua" w:hAnsi="Book Antiqua"/>
          <w:color w:val="000000" w:themeColor="text1"/>
          <w:sz w:val="24"/>
          <w:szCs w:val="24"/>
        </w:rPr>
        <w:t xml:space="preserve"> method was used for categorical variables. Univariate and multivariate Cox proportional hazard models were used to evaluate factors that were significantly associated with HCC development. The Kaplan-Meier method was used to analyze the cumulative incidence of HCC development, and differences were tested using the log-rank test. The hazard ratio (HR) and 95% confidence interval (CI) were calculated. </w:t>
      </w:r>
      <w:r w:rsidR="007E1B74" w:rsidRPr="00900E2E">
        <w:rPr>
          <w:rFonts w:ascii="Book Antiqua" w:hAnsi="Book Antiqua"/>
          <w:i/>
          <w:color w:val="000000" w:themeColor="text1"/>
          <w:sz w:val="24"/>
          <w:szCs w:val="24"/>
        </w:rPr>
        <w:t>P &lt;</w:t>
      </w:r>
      <w:r w:rsidRPr="00900E2E">
        <w:rPr>
          <w:rFonts w:ascii="Book Antiqua" w:hAnsi="Book Antiqua"/>
          <w:color w:val="000000" w:themeColor="text1"/>
          <w:sz w:val="24"/>
          <w:szCs w:val="24"/>
        </w:rPr>
        <w:t xml:space="preserve"> 0.05 was considered statistically significant.</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b/>
          <w:color w:val="000000" w:themeColor="text1"/>
          <w:sz w:val="24"/>
          <w:szCs w:val="24"/>
        </w:rPr>
      </w:pPr>
      <w:r w:rsidRPr="00900E2E">
        <w:rPr>
          <w:rFonts w:ascii="Book Antiqua" w:hAnsi="Book Antiqua"/>
          <w:b/>
          <w:color w:val="000000" w:themeColor="text1"/>
          <w:sz w:val="24"/>
          <w:szCs w:val="24"/>
        </w:rPr>
        <w:t>RESULTS</w:t>
      </w:r>
    </w:p>
    <w:p w:rsidR="00404C55" w:rsidRPr="00900E2E" w:rsidRDefault="00404C55" w:rsidP="00C805C6">
      <w:pPr>
        <w:adjustRightInd w:val="0"/>
        <w:snapToGrid w:val="0"/>
        <w:spacing w:line="360" w:lineRule="auto"/>
        <w:rPr>
          <w:rFonts w:ascii="Book Antiqua" w:hAnsi="Book Antiqua"/>
          <w:b/>
          <w:i/>
          <w:color w:val="000000" w:themeColor="text1"/>
          <w:sz w:val="24"/>
          <w:szCs w:val="24"/>
        </w:rPr>
      </w:pPr>
      <w:r w:rsidRPr="00900E2E">
        <w:rPr>
          <w:rFonts w:ascii="Book Antiqua" w:hAnsi="Book Antiqua"/>
          <w:b/>
          <w:i/>
          <w:color w:val="000000" w:themeColor="text1"/>
          <w:sz w:val="24"/>
          <w:szCs w:val="24"/>
        </w:rPr>
        <w:t>Patients’ characteristics and HCC development after SVR</w:t>
      </w: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The demographic, biochemical, and pathological characteristics of the 303 patients enrolled in this study are summarized in Table 1. Of the 303 patients, 260 received pegylated interferon plus ribavirin combination therapy for 24–72 weeks, and 43 patients received protease inhibitor treatment (22 telaprevir, 10 simeprevir, and 11 faldaprevir) together with pegylated inte</w:t>
      </w:r>
      <w:r w:rsidR="009C58F4" w:rsidRPr="00900E2E">
        <w:rPr>
          <w:rFonts w:ascii="Book Antiqua" w:hAnsi="Book Antiqua"/>
          <w:color w:val="000000" w:themeColor="text1"/>
          <w:sz w:val="24"/>
          <w:szCs w:val="24"/>
        </w:rPr>
        <w:t>rferon plus ribavirin for 24 wk</w:t>
      </w:r>
      <w:r w:rsidRPr="00900E2E">
        <w:rPr>
          <w:rFonts w:ascii="Book Antiqua" w:hAnsi="Book Antiqua"/>
          <w:color w:val="000000" w:themeColor="text1"/>
          <w:sz w:val="24"/>
          <w:szCs w:val="24"/>
        </w:rPr>
        <w:t>. During a median follow-up of 3.6 years (range, 1.0–10.0 years), 8 patients (2.6%) developed HCC. The estimated cumulative incidences of HCC were 1.2% and 3.7% at 3 and 5 years, respectively (Figure 1). As compared with patients who did not develop HCC, the patients who developed HCC more frequently presented the complication of diabetes mellitus (</w:t>
      </w:r>
      <w:r w:rsidR="007E1B74" w:rsidRPr="00900E2E">
        <w:rPr>
          <w:rFonts w:ascii="Book Antiqua" w:hAnsi="Book Antiqua"/>
          <w:i/>
          <w:color w:val="000000" w:themeColor="text1"/>
          <w:sz w:val="24"/>
          <w:szCs w:val="24"/>
        </w:rPr>
        <w:t>P =</w:t>
      </w:r>
      <w:r w:rsidRPr="00900E2E">
        <w:rPr>
          <w:rFonts w:ascii="Book Antiqua" w:hAnsi="Book Antiqua"/>
          <w:color w:val="000000" w:themeColor="text1"/>
          <w:sz w:val="24"/>
          <w:szCs w:val="24"/>
        </w:rPr>
        <w:t xml:space="preserve"> 0.019) and exhibited a higher degree of hepatic fibrosis (</w:t>
      </w:r>
      <w:r w:rsidR="007E1B74" w:rsidRPr="00900E2E">
        <w:rPr>
          <w:rFonts w:ascii="Book Antiqua" w:hAnsi="Book Antiqua"/>
          <w:i/>
          <w:color w:val="000000" w:themeColor="text1"/>
          <w:sz w:val="24"/>
          <w:szCs w:val="24"/>
        </w:rPr>
        <w:t>P &lt;</w:t>
      </w:r>
      <w:r w:rsidRPr="00900E2E">
        <w:rPr>
          <w:rFonts w:ascii="Book Antiqua" w:hAnsi="Book Antiqua"/>
          <w:color w:val="000000" w:themeColor="text1"/>
          <w:sz w:val="24"/>
          <w:szCs w:val="24"/>
        </w:rPr>
        <w:t xml:space="preserve"> 0.001), lower albumin levels (</w:t>
      </w:r>
      <w:r w:rsidR="007E1B74" w:rsidRPr="00900E2E">
        <w:rPr>
          <w:rFonts w:ascii="Book Antiqua" w:hAnsi="Book Antiqua"/>
          <w:i/>
          <w:color w:val="000000" w:themeColor="text1"/>
          <w:sz w:val="24"/>
          <w:szCs w:val="24"/>
        </w:rPr>
        <w:t>P =</w:t>
      </w:r>
      <w:r w:rsidRPr="00900E2E">
        <w:rPr>
          <w:rFonts w:ascii="Book Antiqua" w:hAnsi="Book Antiqua"/>
          <w:color w:val="000000" w:themeColor="text1"/>
          <w:sz w:val="24"/>
          <w:szCs w:val="24"/>
        </w:rPr>
        <w:t xml:space="preserve"> 0.032), higher ALT levels (</w:t>
      </w:r>
      <w:r w:rsidR="007E1B74" w:rsidRPr="00900E2E">
        <w:rPr>
          <w:rFonts w:ascii="Book Antiqua" w:hAnsi="Book Antiqua"/>
          <w:i/>
          <w:color w:val="000000" w:themeColor="text1"/>
          <w:sz w:val="24"/>
          <w:szCs w:val="24"/>
        </w:rPr>
        <w:t>P =</w:t>
      </w:r>
      <w:r w:rsidRPr="00900E2E">
        <w:rPr>
          <w:rFonts w:ascii="Book Antiqua" w:hAnsi="Book Antiqua"/>
          <w:color w:val="000000" w:themeColor="text1"/>
          <w:sz w:val="24"/>
          <w:szCs w:val="24"/>
        </w:rPr>
        <w:t xml:space="preserve"> 0.017), lower platelet counts (</w:t>
      </w:r>
      <w:r w:rsidR="007E1B74" w:rsidRPr="00900E2E">
        <w:rPr>
          <w:rFonts w:ascii="Book Antiqua" w:hAnsi="Book Antiqua"/>
          <w:i/>
          <w:color w:val="000000" w:themeColor="text1"/>
          <w:sz w:val="24"/>
          <w:szCs w:val="24"/>
        </w:rPr>
        <w:t>P =</w:t>
      </w:r>
      <w:r w:rsidRPr="00900E2E">
        <w:rPr>
          <w:rFonts w:ascii="Book Antiqua" w:hAnsi="Book Antiqua"/>
          <w:color w:val="000000" w:themeColor="text1"/>
          <w:sz w:val="24"/>
          <w:szCs w:val="24"/>
        </w:rPr>
        <w:t xml:space="preserve"> 0.006), and higher AFP levels (</w:t>
      </w:r>
      <w:r w:rsidR="007E1B74" w:rsidRPr="00900E2E">
        <w:rPr>
          <w:rFonts w:ascii="Book Antiqua" w:hAnsi="Book Antiqua"/>
          <w:i/>
          <w:color w:val="000000" w:themeColor="text1"/>
          <w:sz w:val="24"/>
          <w:szCs w:val="24"/>
        </w:rPr>
        <w:t>P =</w:t>
      </w:r>
      <w:r w:rsidRPr="00900E2E">
        <w:rPr>
          <w:rFonts w:ascii="Book Antiqua" w:hAnsi="Book Antiqua"/>
          <w:color w:val="000000" w:themeColor="text1"/>
          <w:sz w:val="24"/>
          <w:szCs w:val="24"/>
        </w:rPr>
        <w:t xml:space="preserve"> 0.002) (Table 1).</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b/>
          <w:i/>
          <w:color w:val="000000" w:themeColor="text1"/>
          <w:sz w:val="24"/>
          <w:szCs w:val="24"/>
        </w:rPr>
      </w:pPr>
      <w:r w:rsidRPr="00900E2E">
        <w:rPr>
          <w:rFonts w:ascii="Book Antiqua" w:hAnsi="Book Antiqua"/>
          <w:b/>
          <w:i/>
          <w:color w:val="000000" w:themeColor="text1"/>
          <w:sz w:val="24"/>
          <w:szCs w:val="24"/>
        </w:rPr>
        <w:t>Baseline AKR1B10 expression in the liver</w:t>
      </w:r>
    </w:p>
    <w:p w:rsidR="00404C55" w:rsidRPr="00900E2E" w:rsidRDefault="001C3B7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Figure 2 shows representative immunohistochemical staining of AKR1B10 in liver tissues</w:t>
      </w:r>
      <w:r w:rsidR="00404C55" w:rsidRPr="00900E2E">
        <w:rPr>
          <w:rFonts w:ascii="Book Antiqua" w:hAnsi="Book Antiqua"/>
          <w:color w:val="000000" w:themeColor="text1"/>
          <w:sz w:val="24"/>
          <w:szCs w:val="24"/>
        </w:rPr>
        <w:t xml:space="preserve">. In normal liver tissues, distinct positive staining for AKR1B10 was observed in bile-duct epithelia, but AKR1B10 immunoreactivity was </w:t>
      </w:r>
      <w:r w:rsidR="00C62CC8" w:rsidRPr="00900E2E">
        <w:rPr>
          <w:rFonts w:ascii="Book Antiqua" w:hAnsi="Book Antiqua"/>
          <w:color w:val="000000" w:themeColor="text1"/>
          <w:sz w:val="24"/>
          <w:szCs w:val="24"/>
        </w:rPr>
        <w:t xml:space="preserve">either </w:t>
      </w:r>
      <w:r w:rsidR="00404C55" w:rsidRPr="00900E2E">
        <w:rPr>
          <w:rFonts w:ascii="Book Antiqua" w:hAnsi="Book Antiqua"/>
          <w:color w:val="000000" w:themeColor="text1"/>
          <w:sz w:val="24"/>
          <w:szCs w:val="24"/>
        </w:rPr>
        <w:lastRenderedPageBreak/>
        <w:t xml:space="preserve">undetectable in </w:t>
      </w:r>
      <w:r w:rsidR="00C62CC8" w:rsidRPr="00900E2E">
        <w:rPr>
          <w:rFonts w:ascii="Book Antiqua" w:hAnsi="Book Antiqua"/>
          <w:color w:val="000000" w:themeColor="text1"/>
          <w:sz w:val="24"/>
          <w:szCs w:val="24"/>
        </w:rPr>
        <w:t xml:space="preserve">the </w:t>
      </w:r>
      <w:r w:rsidR="00404C55" w:rsidRPr="00900E2E">
        <w:rPr>
          <w:rFonts w:ascii="Book Antiqua" w:hAnsi="Book Antiqua"/>
          <w:color w:val="000000" w:themeColor="text1"/>
          <w:sz w:val="24"/>
          <w:szCs w:val="24"/>
        </w:rPr>
        <w:t xml:space="preserve">hepatic parenchyma, or faint immunoreactivity was observed in a few hepatocytes (Figure 2A and B). In some of the patients with chronic hepatitis C, AKR1B10 immunoreactivity in the liver was similar to that in control normal liver tissues: positive in bile-duct epithelia and negative in </w:t>
      </w:r>
      <w:r w:rsidR="00C62CC8" w:rsidRPr="00900E2E">
        <w:rPr>
          <w:rFonts w:ascii="Book Antiqua" w:hAnsi="Book Antiqua"/>
          <w:color w:val="000000" w:themeColor="text1"/>
          <w:sz w:val="24"/>
          <w:szCs w:val="24"/>
        </w:rPr>
        <w:t xml:space="preserve">the </w:t>
      </w:r>
      <w:r w:rsidR="00404C55" w:rsidRPr="00900E2E">
        <w:rPr>
          <w:rFonts w:ascii="Book Antiqua" w:hAnsi="Book Antiqua"/>
          <w:color w:val="000000" w:themeColor="text1"/>
          <w:sz w:val="24"/>
          <w:szCs w:val="24"/>
        </w:rPr>
        <w:t>hepatic parenchyma (Figure 2C and D). However, other patients showed prominent nucleocytoplasmic AKR1B10 immunoreactivity in scattered or clustered hepatocytes in the hepatic parenchyma (Figure 2E and F). Quantification of the AKR1B10-positive areas in the hepatic parenchyma revealed that none of the normal liver tissue</w:t>
      </w:r>
      <w:r w:rsidR="00195F87" w:rsidRPr="00900E2E">
        <w:rPr>
          <w:rFonts w:ascii="Book Antiqua" w:hAnsi="Book Antiqua"/>
          <w:color w:val="000000" w:themeColor="text1"/>
          <w:sz w:val="24"/>
          <w:szCs w:val="24"/>
        </w:rPr>
        <w:t>s showed AKR1B10 expression</w:t>
      </w:r>
      <w:r w:rsidR="00404C55" w:rsidRPr="00900E2E">
        <w:rPr>
          <w:rFonts w:ascii="Book Antiqua" w:hAnsi="Book Antiqua"/>
          <w:color w:val="000000" w:themeColor="text1"/>
          <w:sz w:val="24"/>
          <w:szCs w:val="24"/>
        </w:rPr>
        <w:t>. Similarly, 153 patients (50.5%) presented scarce AKR1B10 expression</w:t>
      </w:r>
      <w:r w:rsidR="00195F87" w:rsidRPr="00900E2E">
        <w:rPr>
          <w:rFonts w:ascii="Book Antiqua" w:hAnsi="Book Antiqua"/>
          <w:color w:val="000000" w:themeColor="text1"/>
          <w:sz w:val="24"/>
          <w:szCs w:val="24"/>
        </w:rPr>
        <w:t>,</w:t>
      </w:r>
      <w:r w:rsidR="00404C55" w:rsidRPr="00900E2E">
        <w:rPr>
          <w:rFonts w:ascii="Book Antiqua" w:hAnsi="Book Antiqua"/>
          <w:color w:val="000000" w:themeColor="text1"/>
          <w:sz w:val="24"/>
          <w:szCs w:val="24"/>
        </w:rPr>
        <w:t xml:space="preserve"> </w:t>
      </w:r>
      <w:r w:rsidR="00C62CC8" w:rsidRPr="00900E2E">
        <w:rPr>
          <w:rFonts w:ascii="Book Antiqua" w:hAnsi="Book Antiqua"/>
          <w:color w:val="000000" w:themeColor="text1"/>
          <w:sz w:val="24"/>
          <w:szCs w:val="24"/>
        </w:rPr>
        <w:t>and their</w:t>
      </w:r>
      <w:r w:rsidR="00195F87" w:rsidRPr="00900E2E">
        <w:rPr>
          <w:rFonts w:ascii="Book Antiqua" w:hAnsi="Book Antiqua"/>
          <w:color w:val="000000" w:themeColor="text1"/>
          <w:sz w:val="24"/>
          <w:szCs w:val="24"/>
        </w:rPr>
        <w:t xml:space="preserve"> AKR1B10 positive staining area was</w:t>
      </w:r>
      <w:r w:rsidR="00195F87" w:rsidRPr="00900E2E">
        <w:rPr>
          <w:rFonts w:ascii="Book Antiqua" w:hAnsi="Book Antiqua" w:hint="eastAsia"/>
          <w:color w:val="000000" w:themeColor="text1"/>
          <w:sz w:val="24"/>
          <w:szCs w:val="24"/>
        </w:rPr>
        <w:t xml:space="preserve"> </w:t>
      </w:r>
      <w:r w:rsidR="00C62CC8" w:rsidRPr="00900E2E">
        <w:rPr>
          <w:rFonts w:ascii="Book Antiqua" w:hAnsi="Book Antiqua"/>
          <w:color w:val="000000" w:themeColor="text1"/>
          <w:sz w:val="24"/>
          <w:szCs w:val="24"/>
        </w:rPr>
        <w:t>quantified as</w:t>
      </w:r>
      <w:r w:rsidR="00195F87" w:rsidRPr="00900E2E">
        <w:rPr>
          <w:rFonts w:ascii="Book Antiqua" w:hAnsi="Book Antiqua"/>
          <w:color w:val="000000" w:themeColor="text1"/>
          <w:sz w:val="24"/>
          <w:szCs w:val="24"/>
        </w:rPr>
        <w:t xml:space="preserve"> 0%.</w:t>
      </w:r>
      <w:r w:rsidR="00404C55" w:rsidRPr="00900E2E">
        <w:rPr>
          <w:rFonts w:ascii="Book Antiqua" w:hAnsi="Book Antiqua"/>
          <w:color w:val="000000" w:themeColor="text1"/>
          <w:sz w:val="24"/>
          <w:szCs w:val="24"/>
        </w:rPr>
        <w:t xml:space="preserve"> By contrast, the remaining 150 patients (49.5%) presented various degrees of AKR1B10 expression in the liver parenchyma, with </w:t>
      </w:r>
      <w:r w:rsidR="00C62CC8" w:rsidRPr="00900E2E">
        <w:rPr>
          <w:rFonts w:ascii="Book Antiqua" w:hAnsi="Book Antiqua"/>
          <w:color w:val="000000" w:themeColor="text1"/>
          <w:sz w:val="24"/>
          <w:szCs w:val="24"/>
        </w:rPr>
        <w:t xml:space="preserve">the </w:t>
      </w:r>
      <w:r w:rsidR="00404C55" w:rsidRPr="00900E2E">
        <w:rPr>
          <w:rFonts w:ascii="Book Antiqua" w:hAnsi="Book Antiqua"/>
          <w:color w:val="000000" w:themeColor="text1"/>
          <w:sz w:val="24"/>
          <w:szCs w:val="24"/>
        </w:rPr>
        <w:t xml:space="preserve">maximal AKR1B10 expression </w:t>
      </w:r>
      <w:r w:rsidR="00C62CC8" w:rsidRPr="00900E2E">
        <w:rPr>
          <w:rFonts w:ascii="Book Antiqua" w:hAnsi="Book Antiqua"/>
          <w:color w:val="000000" w:themeColor="text1"/>
          <w:sz w:val="24"/>
          <w:szCs w:val="24"/>
        </w:rPr>
        <w:t xml:space="preserve">area </w:t>
      </w:r>
      <w:r w:rsidR="00404C55" w:rsidRPr="00900E2E">
        <w:rPr>
          <w:rFonts w:ascii="Book Antiqua" w:hAnsi="Book Antiqua"/>
          <w:color w:val="000000" w:themeColor="text1"/>
          <w:sz w:val="24"/>
          <w:szCs w:val="24"/>
        </w:rPr>
        <w:t>reaching 73% (Figure 3). The median AKR1B10-positive area in patients who developed HCC and did not develop HCC was 15% (range, 0%–60%) and 0% (range, 0%–73%), respectively, and this difference was statistically significant (</w:t>
      </w:r>
      <w:r w:rsidR="007E1B74" w:rsidRPr="00900E2E">
        <w:rPr>
          <w:rFonts w:ascii="Book Antiqua" w:hAnsi="Book Antiqua"/>
          <w:i/>
          <w:color w:val="000000" w:themeColor="text1"/>
          <w:sz w:val="24"/>
          <w:szCs w:val="24"/>
        </w:rPr>
        <w:t>P =</w:t>
      </w:r>
      <w:r w:rsidR="00404C55" w:rsidRPr="00900E2E">
        <w:rPr>
          <w:rFonts w:ascii="Book Antiqua" w:hAnsi="Book Antiqua"/>
          <w:color w:val="000000" w:themeColor="text1"/>
          <w:sz w:val="24"/>
          <w:szCs w:val="24"/>
        </w:rPr>
        <w:t xml:space="preserve"> 0.002).</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b/>
          <w:i/>
          <w:color w:val="000000" w:themeColor="text1"/>
          <w:sz w:val="24"/>
          <w:szCs w:val="24"/>
        </w:rPr>
      </w:pPr>
      <w:r w:rsidRPr="00900E2E">
        <w:rPr>
          <w:rFonts w:ascii="Book Antiqua" w:hAnsi="Book Antiqua"/>
          <w:b/>
          <w:i/>
          <w:color w:val="000000" w:themeColor="text1"/>
          <w:sz w:val="24"/>
          <w:szCs w:val="24"/>
        </w:rPr>
        <w:t>Baseline AKR1B10 expression and risk of HCC development after SVR</w:t>
      </w: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The results of univariate Cox logistic regression analysis identified 6 baseline variables that were significantly associated with HCC development after SVR: complication of diabetes mellitus, advanced fibrosis stage, low serum albumin levels and platelet counts, elevated serum AFP, and increased AKR1B10 expression. Multivariate Cox logistic regression analysis revealed that only high AKR1B10 expression was an independent risk factor for HCC development after SVR (Table 2). The area under the receiver operator characteristics curve analysis further revealed that an AKR1B10 expression level of 8% was the cutoff value for HCC development. The sensitivity and specificity for AKR1B10 expression of ≥</w:t>
      </w:r>
      <w:r w:rsidR="009C58F4"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color w:val="000000" w:themeColor="text1"/>
          <w:sz w:val="24"/>
          <w:szCs w:val="24"/>
        </w:rPr>
        <w:t xml:space="preserve">8% were 0.750 and 0.766, respectively. The positive and negative </w:t>
      </w:r>
      <w:r w:rsidRPr="00900E2E">
        <w:rPr>
          <w:rFonts w:ascii="Book Antiqua" w:hAnsi="Book Antiqua"/>
          <w:color w:val="000000" w:themeColor="text1"/>
          <w:sz w:val="24"/>
          <w:szCs w:val="24"/>
        </w:rPr>
        <w:lastRenderedPageBreak/>
        <w:t>predictive values were 0.080 and 0.991, respectively. The results of multivariate Cox logistic regression analysis indicated that the adjusted HR of high AKR1B10 expression (≥</w:t>
      </w:r>
      <w:r w:rsidR="009C58F4"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color w:val="000000" w:themeColor="text1"/>
          <w:sz w:val="24"/>
          <w:szCs w:val="24"/>
        </w:rPr>
        <w:t>8%) for HCC development was 15.4 (95%CI</w:t>
      </w:r>
      <w:r w:rsidR="009C58F4" w:rsidRPr="00900E2E">
        <w:rPr>
          <w:rFonts w:ascii="Book Antiqua" w:eastAsia="宋体" w:hAnsi="Book Antiqua" w:hint="eastAsia"/>
          <w:color w:val="000000" w:themeColor="text1"/>
          <w:sz w:val="24"/>
          <w:szCs w:val="24"/>
          <w:lang w:eastAsia="zh-CN"/>
        </w:rPr>
        <w:t>:</w:t>
      </w:r>
      <w:r w:rsidRPr="00900E2E">
        <w:rPr>
          <w:rFonts w:ascii="Book Antiqua" w:hAnsi="Book Antiqua"/>
          <w:color w:val="000000" w:themeColor="text1"/>
          <w:sz w:val="24"/>
          <w:szCs w:val="24"/>
        </w:rPr>
        <w:t xml:space="preserve"> 1.8–132.5; </w:t>
      </w:r>
      <w:r w:rsidR="007E1B74" w:rsidRPr="00900E2E">
        <w:rPr>
          <w:rFonts w:ascii="Book Antiqua" w:hAnsi="Book Antiqua"/>
          <w:i/>
          <w:color w:val="000000" w:themeColor="text1"/>
          <w:sz w:val="24"/>
          <w:szCs w:val="24"/>
        </w:rPr>
        <w:t>P =</w:t>
      </w:r>
      <w:r w:rsidRPr="00900E2E">
        <w:rPr>
          <w:rFonts w:ascii="Book Antiqua" w:hAnsi="Book Antiqua"/>
          <w:color w:val="000000" w:themeColor="text1"/>
          <w:sz w:val="24"/>
          <w:szCs w:val="24"/>
        </w:rPr>
        <w:t xml:space="preserve"> 0.012). Kaplan-Meier plot analysis revealed that the 3- and 5-year cumulative incidence rates of HCC development in patients with high AKR1B10 expression were 3.4% and 13.7%, respectively, whereas those in patients with low AKR1B10 expression (&lt;</w:t>
      </w:r>
      <w:r w:rsidR="009C58F4"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color w:val="000000" w:themeColor="text1"/>
          <w:sz w:val="24"/>
          <w:szCs w:val="24"/>
        </w:rPr>
        <w:t>8%) were 0.5% and 0.5%, respectively (</w:t>
      </w:r>
      <w:r w:rsidR="007E1B74" w:rsidRPr="00900E2E">
        <w:rPr>
          <w:rFonts w:ascii="Book Antiqua" w:hAnsi="Book Antiqua"/>
          <w:i/>
          <w:color w:val="000000" w:themeColor="text1"/>
          <w:sz w:val="24"/>
          <w:szCs w:val="24"/>
        </w:rPr>
        <w:t>P &lt;</w:t>
      </w:r>
      <w:r w:rsidRPr="00900E2E">
        <w:rPr>
          <w:rFonts w:ascii="Book Antiqua" w:hAnsi="Book Antiqua"/>
          <w:color w:val="000000" w:themeColor="text1"/>
          <w:sz w:val="24"/>
          <w:szCs w:val="24"/>
        </w:rPr>
        <w:t xml:space="preserve"> 0.001; Figure 4). Only 2 patients expressing low levels of AKR1B10 developed HCC: one patient showed an AKR1B10 expression level of 7%, and developed HCC at 1.8 years, whereas the other did not show AKR1B10 expression (0%),</w:t>
      </w:r>
      <w:r w:rsidR="001B020D" w:rsidRPr="00900E2E">
        <w:rPr>
          <w:rFonts w:ascii="Book Antiqua" w:hAnsi="Book Antiqua"/>
          <w:color w:val="000000" w:themeColor="text1"/>
          <w:sz w:val="24"/>
          <w:szCs w:val="24"/>
        </w:rPr>
        <w:t xml:space="preserve"> and developed HCC at 9.0 years (Table 3).</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b/>
          <w:i/>
          <w:color w:val="000000" w:themeColor="text1"/>
          <w:sz w:val="24"/>
          <w:szCs w:val="24"/>
        </w:rPr>
      </w:pPr>
      <w:r w:rsidRPr="00900E2E">
        <w:rPr>
          <w:rFonts w:ascii="Book Antiqua" w:hAnsi="Book Antiqua"/>
          <w:b/>
          <w:i/>
          <w:color w:val="000000" w:themeColor="text1"/>
          <w:sz w:val="24"/>
          <w:szCs w:val="24"/>
        </w:rPr>
        <w:t>Changes in biochemical-test results after SVR and baseline AKR1B10 expression</w:t>
      </w:r>
    </w:p>
    <w:p w:rsidR="00404C55"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 xml:space="preserve">Serum aminotransferase levels are sensitive indicators of necroinflammatory activity in the liver, and an elevation of serum AFP levels without HCC is also related to liver-cell damage. To investigate sustained liver-cell damage after HCV eradication, we evaluated whether serum ALT and AFP levels were altered after SVR, and whether baseline AKR1B10 expression was associated with such changes. At 6 months after the EOT, the ALT levels were markedly decreased (median: 52 IU/L at baseline, 16 IU/L at 6 mo; </w:t>
      </w:r>
      <w:r w:rsidR="007E1B74" w:rsidRPr="00900E2E">
        <w:rPr>
          <w:rFonts w:ascii="Book Antiqua" w:hAnsi="Book Antiqua"/>
          <w:i/>
          <w:color w:val="000000" w:themeColor="text1"/>
          <w:sz w:val="24"/>
          <w:szCs w:val="24"/>
        </w:rPr>
        <w:t>P =</w:t>
      </w:r>
      <w:r w:rsidRPr="00900E2E">
        <w:rPr>
          <w:rFonts w:ascii="Book Antiqua" w:hAnsi="Book Antiqua"/>
          <w:color w:val="000000" w:themeColor="text1"/>
          <w:sz w:val="24"/>
          <w:szCs w:val="24"/>
        </w:rPr>
        <w:t xml:space="preserve"> 0.001), and 264 (87.1%) patients achieved ALT normalization (defined as ALT ≤ 30 IU/mL). AFP levels also showed a notable decrease (median: 5 ng/mL at baseline, 3 ng/mL at 6 mo; </w:t>
      </w:r>
      <w:r w:rsidR="007E1B74" w:rsidRPr="00900E2E">
        <w:rPr>
          <w:rFonts w:ascii="Book Antiqua" w:hAnsi="Book Antiqua"/>
          <w:i/>
          <w:color w:val="000000" w:themeColor="text1"/>
          <w:sz w:val="24"/>
          <w:szCs w:val="24"/>
        </w:rPr>
        <w:t>P &lt;</w:t>
      </w:r>
      <w:r w:rsidRPr="00900E2E">
        <w:rPr>
          <w:rFonts w:ascii="Book Antiqua" w:hAnsi="Book Antiqua"/>
          <w:color w:val="000000" w:themeColor="text1"/>
          <w:sz w:val="24"/>
          <w:szCs w:val="24"/>
        </w:rPr>
        <w:t xml:space="preserve"> 0.001), and 260 (85.8%) patients achieved an AFP level of ≤</w:t>
      </w:r>
      <w:r w:rsidR="009C58F4"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color w:val="000000" w:themeColor="text1"/>
          <w:sz w:val="24"/>
          <w:szCs w:val="24"/>
        </w:rPr>
        <w:t>5 ng/mL. As compared with the low-AKR1B10 group (</w:t>
      </w:r>
      <w:r w:rsidR="009C58F4" w:rsidRPr="00900E2E">
        <w:rPr>
          <w:rFonts w:ascii="Book Antiqua" w:hAnsi="Book Antiqua"/>
          <w:i/>
          <w:color w:val="000000" w:themeColor="text1"/>
          <w:sz w:val="24"/>
          <w:szCs w:val="24"/>
        </w:rPr>
        <w:t>n =</w:t>
      </w:r>
      <w:r w:rsidRPr="00900E2E">
        <w:rPr>
          <w:rFonts w:ascii="Book Antiqua" w:hAnsi="Book Antiqua"/>
          <w:color w:val="000000" w:themeColor="text1"/>
          <w:sz w:val="24"/>
          <w:szCs w:val="24"/>
        </w:rPr>
        <w:t xml:space="preserve"> 228), the high-AKR1B10 group (</w:t>
      </w:r>
      <w:r w:rsidR="009C58F4" w:rsidRPr="00900E2E">
        <w:rPr>
          <w:rFonts w:ascii="Book Antiqua" w:hAnsi="Book Antiqua"/>
          <w:i/>
          <w:color w:val="000000" w:themeColor="text1"/>
          <w:sz w:val="24"/>
          <w:szCs w:val="24"/>
        </w:rPr>
        <w:t>n =</w:t>
      </w:r>
      <w:r w:rsidRPr="00900E2E">
        <w:rPr>
          <w:rFonts w:ascii="Book Antiqua" w:hAnsi="Book Antiqua"/>
          <w:color w:val="000000" w:themeColor="text1"/>
          <w:sz w:val="24"/>
          <w:szCs w:val="24"/>
        </w:rPr>
        <w:t xml:space="preserve"> 75) showed considerably higher levels of ALT (median: 15 </w:t>
      </w:r>
      <w:r w:rsidR="009C58F4" w:rsidRPr="00900E2E">
        <w:rPr>
          <w:rFonts w:ascii="Book Antiqua" w:hAnsi="Book Antiqua"/>
          <w:color w:val="000000" w:themeColor="text1"/>
          <w:sz w:val="24"/>
          <w:szCs w:val="24"/>
        </w:rPr>
        <w:t>IU/L</w:t>
      </w:r>
      <w:r w:rsidR="009C58F4" w:rsidRPr="00900E2E">
        <w:rPr>
          <w:rFonts w:ascii="Book Antiqua" w:hAnsi="Book Antiqua"/>
          <w:i/>
          <w:color w:val="000000" w:themeColor="text1"/>
          <w:sz w:val="24"/>
          <w:szCs w:val="24"/>
        </w:rPr>
        <w:t xml:space="preserve"> vs</w:t>
      </w:r>
      <w:r w:rsidRPr="00900E2E">
        <w:rPr>
          <w:rFonts w:ascii="Book Antiqua" w:hAnsi="Book Antiqua"/>
          <w:color w:val="000000" w:themeColor="text1"/>
          <w:sz w:val="24"/>
          <w:szCs w:val="24"/>
        </w:rPr>
        <w:t xml:space="preserve"> 22 IU/L; </w:t>
      </w:r>
      <w:r w:rsidR="007E1B74" w:rsidRPr="00900E2E">
        <w:rPr>
          <w:rFonts w:ascii="Book Antiqua" w:hAnsi="Book Antiqua"/>
          <w:i/>
          <w:color w:val="000000" w:themeColor="text1"/>
          <w:sz w:val="24"/>
          <w:szCs w:val="24"/>
        </w:rPr>
        <w:t>P &lt;</w:t>
      </w:r>
      <w:r w:rsidRPr="00900E2E">
        <w:rPr>
          <w:rFonts w:ascii="Book Antiqua" w:hAnsi="Book Antiqua"/>
          <w:color w:val="000000" w:themeColor="text1"/>
          <w:sz w:val="24"/>
          <w:szCs w:val="24"/>
        </w:rPr>
        <w:t xml:space="preserve"> 0.001) and AFP (median: 3 </w:t>
      </w:r>
      <w:r w:rsidR="009C58F4" w:rsidRPr="00900E2E">
        <w:rPr>
          <w:rFonts w:ascii="Book Antiqua" w:hAnsi="Book Antiqua"/>
          <w:color w:val="000000" w:themeColor="text1"/>
          <w:sz w:val="24"/>
          <w:szCs w:val="24"/>
        </w:rPr>
        <w:t>ng/mL</w:t>
      </w:r>
      <w:r w:rsidR="009C58F4" w:rsidRPr="00900E2E">
        <w:rPr>
          <w:rFonts w:ascii="Book Antiqua" w:hAnsi="Book Antiqua"/>
          <w:i/>
          <w:color w:val="000000" w:themeColor="text1"/>
          <w:sz w:val="24"/>
          <w:szCs w:val="24"/>
        </w:rPr>
        <w:t xml:space="preserve"> vs</w:t>
      </w:r>
      <w:r w:rsidRPr="00900E2E">
        <w:rPr>
          <w:rFonts w:ascii="Book Antiqua" w:hAnsi="Book Antiqua"/>
          <w:color w:val="000000" w:themeColor="text1"/>
          <w:sz w:val="24"/>
          <w:szCs w:val="24"/>
        </w:rPr>
        <w:t xml:space="preserve"> 4 ng/mL; </w:t>
      </w:r>
      <w:r w:rsidR="007E1B74" w:rsidRPr="00900E2E">
        <w:rPr>
          <w:rFonts w:ascii="Book Antiqua" w:hAnsi="Book Antiqua"/>
          <w:i/>
          <w:color w:val="000000" w:themeColor="text1"/>
          <w:sz w:val="24"/>
          <w:szCs w:val="24"/>
        </w:rPr>
        <w:t>P &lt;</w:t>
      </w:r>
      <w:r w:rsidR="009C58F4" w:rsidRPr="00900E2E">
        <w:rPr>
          <w:rFonts w:ascii="Book Antiqua" w:hAnsi="Book Antiqua"/>
          <w:color w:val="000000" w:themeColor="text1"/>
          <w:sz w:val="24"/>
          <w:szCs w:val="24"/>
        </w:rPr>
        <w:t xml:space="preserve"> 0.001) at 24 wk</w:t>
      </w:r>
      <w:r w:rsidRPr="00900E2E">
        <w:rPr>
          <w:rFonts w:ascii="Book Antiqua" w:hAnsi="Book Antiqua"/>
          <w:color w:val="000000" w:themeColor="text1"/>
          <w:sz w:val="24"/>
          <w:szCs w:val="24"/>
        </w:rPr>
        <w:t xml:space="preserve"> after the EOT (Figure 5).</w:t>
      </w:r>
    </w:p>
    <w:p w:rsidR="00404C55" w:rsidRPr="00900E2E" w:rsidRDefault="00404C55" w:rsidP="00C805C6">
      <w:pPr>
        <w:adjustRightInd w:val="0"/>
        <w:snapToGrid w:val="0"/>
        <w:spacing w:line="360" w:lineRule="auto"/>
        <w:rPr>
          <w:rFonts w:ascii="Book Antiqua" w:hAnsi="Book Antiqua"/>
          <w:color w:val="000000" w:themeColor="text1"/>
          <w:sz w:val="24"/>
          <w:szCs w:val="24"/>
        </w:rPr>
      </w:pPr>
    </w:p>
    <w:p w:rsidR="00404C55" w:rsidRPr="00900E2E" w:rsidRDefault="00404C55" w:rsidP="00C805C6">
      <w:pPr>
        <w:adjustRightInd w:val="0"/>
        <w:snapToGrid w:val="0"/>
        <w:spacing w:line="360" w:lineRule="auto"/>
        <w:rPr>
          <w:rFonts w:ascii="Book Antiqua" w:hAnsi="Book Antiqua"/>
          <w:b/>
          <w:color w:val="000000" w:themeColor="text1"/>
          <w:sz w:val="24"/>
          <w:szCs w:val="24"/>
        </w:rPr>
      </w:pPr>
      <w:r w:rsidRPr="00900E2E">
        <w:rPr>
          <w:rFonts w:ascii="Book Antiqua" w:hAnsi="Book Antiqua"/>
          <w:b/>
          <w:color w:val="000000" w:themeColor="text1"/>
          <w:sz w:val="24"/>
          <w:szCs w:val="24"/>
        </w:rPr>
        <w:lastRenderedPageBreak/>
        <w:t>DISCUSSION</w:t>
      </w:r>
    </w:p>
    <w:p w:rsidR="000C0D22" w:rsidRPr="00900E2E" w:rsidRDefault="00404C5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In this study, the incidence of HCC development was 3.7% at 5 years after SVR. This low incidence is comparable to that presented in recent reports (1.2%–5.8%)</w:t>
      </w:r>
      <w:r w:rsidRPr="00900E2E">
        <w:rPr>
          <w:rFonts w:ascii="Book Antiqua" w:hAnsi="Book Antiqua"/>
          <w:color w:val="000000" w:themeColor="text1"/>
          <w:sz w:val="24"/>
          <w:szCs w:val="24"/>
          <w:vertAlign w:val="superscript"/>
        </w:rPr>
        <w:t>[22-25]</w:t>
      </w:r>
      <w:r w:rsidRPr="00900E2E">
        <w:rPr>
          <w:rFonts w:ascii="Book Antiqua" w:hAnsi="Book Antiqua"/>
          <w:color w:val="000000" w:themeColor="text1"/>
          <w:sz w:val="24"/>
          <w:szCs w:val="24"/>
        </w:rPr>
        <w:t>, and this is considered to confirm the relationship between SVR achievement and a reduced risk of subsequent HCC</w:t>
      </w:r>
      <w:r w:rsidRPr="00900E2E">
        <w:rPr>
          <w:rFonts w:ascii="Book Antiqua" w:hAnsi="Book Antiqua"/>
          <w:color w:val="000000" w:themeColor="text1"/>
          <w:sz w:val="24"/>
          <w:szCs w:val="24"/>
          <w:vertAlign w:val="superscript"/>
        </w:rPr>
        <w:t>[26]</w:t>
      </w:r>
      <w:r w:rsidRPr="00900E2E">
        <w:rPr>
          <w:rFonts w:ascii="Book Antiqua" w:hAnsi="Book Antiqua"/>
          <w:color w:val="000000" w:themeColor="text1"/>
          <w:sz w:val="24"/>
          <w:szCs w:val="24"/>
        </w:rPr>
        <w:t>. Approval of various DAAs, including protease inhibitors, has enabled most patients receiving the therapy to achieve SVR</w:t>
      </w:r>
      <w:r w:rsidRPr="00900E2E">
        <w:rPr>
          <w:rFonts w:ascii="Book Antiqua" w:hAnsi="Book Antiqua"/>
          <w:color w:val="000000" w:themeColor="text1"/>
          <w:sz w:val="24"/>
          <w:szCs w:val="24"/>
          <w:vertAlign w:val="superscript"/>
        </w:rPr>
        <w:t>[8,9]</w:t>
      </w:r>
      <w:r w:rsidRPr="00900E2E">
        <w:rPr>
          <w:rFonts w:ascii="Book Antiqua" w:hAnsi="Book Antiqua"/>
          <w:color w:val="000000" w:themeColor="text1"/>
          <w:sz w:val="24"/>
          <w:szCs w:val="24"/>
        </w:rPr>
        <w:t xml:space="preserve">, and the safety of </w:t>
      </w:r>
      <w:r w:rsidR="00C62CC8" w:rsidRPr="00900E2E">
        <w:rPr>
          <w:rFonts w:ascii="Book Antiqua" w:hAnsi="Book Antiqua"/>
          <w:color w:val="000000" w:themeColor="text1"/>
          <w:sz w:val="24"/>
          <w:szCs w:val="24"/>
        </w:rPr>
        <w:t xml:space="preserve">the </w:t>
      </w:r>
      <w:r w:rsidRPr="00900E2E">
        <w:rPr>
          <w:rFonts w:ascii="Book Antiqua" w:hAnsi="Book Antiqua"/>
          <w:color w:val="000000" w:themeColor="text1"/>
          <w:sz w:val="24"/>
          <w:szCs w:val="24"/>
        </w:rPr>
        <w:t>all-oral combination therapy of DAAs could increase the number of patients receiving antiviral therapy</w:t>
      </w:r>
      <w:r w:rsidRPr="00900E2E">
        <w:rPr>
          <w:rFonts w:ascii="Book Antiqua" w:hAnsi="Book Antiqua"/>
          <w:color w:val="000000" w:themeColor="text1"/>
          <w:sz w:val="24"/>
          <w:szCs w:val="24"/>
          <w:vertAlign w:val="superscript"/>
        </w:rPr>
        <w:t>[27,28]</w:t>
      </w:r>
      <w:r w:rsidRPr="00900E2E">
        <w:rPr>
          <w:rFonts w:ascii="Book Antiqua" w:hAnsi="Book Antiqua"/>
          <w:color w:val="000000" w:themeColor="text1"/>
          <w:sz w:val="24"/>
          <w:szCs w:val="24"/>
        </w:rPr>
        <w:t xml:space="preserve">. Consequently, the number of SVR patients is now increasing drastically, and thus predictors of HCC development after SVR are becoming increasingly important. </w:t>
      </w:r>
    </w:p>
    <w:p w:rsidR="00646D8A" w:rsidRPr="00900E2E" w:rsidRDefault="00103794" w:rsidP="00C805C6">
      <w:pPr>
        <w:adjustRightInd w:val="0"/>
        <w:snapToGrid w:val="0"/>
        <w:spacing w:line="360" w:lineRule="auto"/>
        <w:ind w:firstLine="840"/>
        <w:rPr>
          <w:rFonts w:ascii="Book Antiqua" w:hAnsi="Book Antiqua"/>
          <w:color w:val="000000" w:themeColor="text1"/>
          <w:sz w:val="24"/>
          <w:szCs w:val="24"/>
        </w:rPr>
      </w:pPr>
      <w:r w:rsidRPr="00900E2E">
        <w:rPr>
          <w:rFonts w:ascii="Book Antiqua" w:hAnsi="Book Antiqua"/>
          <w:color w:val="000000" w:themeColor="text1"/>
          <w:sz w:val="24"/>
          <w:szCs w:val="24"/>
        </w:rPr>
        <w:t xml:space="preserve">To date, several factors have been reported to predict the risk of HCC development in patients with chronic hepatitis C, such as older age, male gender, </w:t>
      </w:r>
      <w:r w:rsidR="00C8055C" w:rsidRPr="00900E2E">
        <w:rPr>
          <w:rFonts w:ascii="Book Antiqua" w:hAnsi="Book Antiqua"/>
          <w:color w:val="000000" w:themeColor="text1"/>
          <w:sz w:val="24"/>
          <w:szCs w:val="24"/>
        </w:rPr>
        <w:t>alcohol intake</w:t>
      </w:r>
      <w:r w:rsidR="001B020D" w:rsidRPr="00900E2E">
        <w:rPr>
          <w:rFonts w:ascii="Book Antiqua" w:hAnsi="Book Antiqua"/>
          <w:color w:val="000000" w:themeColor="text1"/>
          <w:sz w:val="24"/>
          <w:szCs w:val="24"/>
        </w:rPr>
        <w:t>,</w:t>
      </w:r>
      <w:r w:rsidRPr="00900E2E">
        <w:rPr>
          <w:rFonts w:ascii="Book Antiqua" w:hAnsi="Book Antiqua"/>
          <w:color w:val="000000" w:themeColor="text1"/>
          <w:sz w:val="24"/>
          <w:szCs w:val="24"/>
        </w:rPr>
        <w:t xml:space="preserve"> </w:t>
      </w:r>
      <w:r w:rsidR="007E444B" w:rsidRPr="00900E2E">
        <w:rPr>
          <w:rFonts w:ascii="Book Antiqua" w:hAnsi="Book Antiqua"/>
          <w:color w:val="000000" w:themeColor="text1"/>
          <w:sz w:val="24"/>
          <w:szCs w:val="24"/>
        </w:rPr>
        <w:t xml:space="preserve">and </w:t>
      </w:r>
      <w:r w:rsidRPr="00900E2E">
        <w:rPr>
          <w:rFonts w:ascii="Book Antiqua" w:hAnsi="Book Antiqua"/>
          <w:color w:val="000000" w:themeColor="text1"/>
          <w:sz w:val="24"/>
          <w:szCs w:val="24"/>
        </w:rPr>
        <w:t>hepatic fibrosis</w:t>
      </w:r>
      <w:r w:rsidR="00C8055C" w:rsidRPr="00900E2E">
        <w:rPr>
          <w:rFonts w:ascii="Book Antiqua" w:hAnsi="Book Antiqua"/>
          <w:color w:val="000000" w:themeColor="text1"/>
          <w:sz w:val="24"/>
          <w:szCs w:val="24"/>
          <w:vertAlign w:val="superscript"/>
        </w:rPr>
        <w:t>[2]</w:t>
      </w:r>
      <w:r w:rsidRPr="00900E2E">
        <w:rPr>
          <w:rFonts w:ascii="Book Antiqua" w:hAnsi="Book Antiqua"/>
          <w:color w:val="000000" w:themeColor="text1"/>
          <w:sz w:val="24"/>
          <w:szCs w:val="24"/>
        </w:rPr>
        <w:t xml:space="preserve">. </w:t>
      </w:r>
      <w:r w:rsidR="004D20C7" w:rsidRPr="00900E2E">
        <w:rPr>
          <w:rFonts w:ascii="Book Antiqua" w:hAnsi="Book Antiqua"/>
          <w:color w:val="000000" w:themeColor="text1"/>
          <w:sz w:val="24"/>
          <w:szCs w:val="24"/>
        </w:rPr>
        <w:t>Before DAA became available, G</w:t>
      </w:r>
      <w:r w:rsidR="00DE2C81" w:rsidRPr="00900E2E">
        <w:rPr>
          <w:rFonts w:ascii="Book Antiqua" w:hAnsi="Book Antiqua"/>
          <w:color w:val="000000" w:themeColor="text1"/>
          <w:sz w:val="24"/>
          <w:szCs w:val="24"/>
        </w:rPr>
        <w:t xml:space="preserve">enotype 1 infection </w:t>
      </w:r>
      <w:r w:rsidR="004D20C7" w:rsidRPr="00900E2E">
        <w:rPr>
          <w:rFonts w:ascii="Book Antiqua" w:hAnsi="Book Antiqua"/>
          <w:color w:val="000000" w:themeColor="text1"/>
          <w:sz w:val="24"/>
          <w:szCs w:val="24"/>
        </w:rPr>
        <w:t xml:space="preserve">was refractory to treatment, and </w:t>
      </w:r>
      <w:r w:rsidR="007E444B" w:rsidRPr="00900E2E">
        <w:rPr>
          <w:rFonts w:ascii="Book Antiqua" w:hAnsi="Book Antiqua"/>
          <w:color w:val="000000" w:themeColor="text1"/>
          <w:sz w:val="24"/>
          <w:szCs w:val="24"/>
        </w:rPr>
        <w:t>may have</w:t>
      </w:r>
      <w:r w:rsidR="004D20C7" w:rsidRPr="00900E2E">
        <w:rPr>
          <w:rFonts w:ascii="Book Antiqua" w:hAnsi="Book Antiqua"/>
          <w:color w:val="000000" w:themeColor="text1"/>
          <w:sz w:val="24"/>
          <w:szCs w:val="24"/>
        </w:rPr>
        <w:t xml:space="preserve"> be</w:t>
      </w:r>
      <w:r w:rsidR="007E444B" w:rsidRPr="00900E2E">
        <w:rPr>
          <w:rFonts w:ascii="Book Antiqua" w:hAnsi="Book Antiqua"/>
          <w:color w:val="000000" w:themeColor="text1"/>
          <w:sz w:val="24"/>
          <w:szCs w:val="24"/>
        </w:rPr>
        <w:t>en</w:t>
      </w:r>
      <w:r w:rsidR="004D20C7" w:rsidRPr="00900E2E">
        <w:rPr>
          <w:rFonts w:ascii="Book Antiqua" w:hAnsi="Book Antiqua"/>
          <w:color w:val="000000" w:themeColor="text1"/>
          <w:sz w:val="24"/>
          <w:szCs w:val="24"/>
        </w:rPr>
        <w:t xml:space="preserve"> correlated with risk of HCC. </w:t>
      </w:r>
      <w:r w:rsidR="007E444B" w:rsidRPr="00900E2E">
        <w:rPr>
          <w:rFonts w:ascii="Book Antiqua" w:hAnsi="Book Antiqua"/>
          <w:color w:val="000000" w:themeColor="text1"/>
          <w:sz w:val="24"/>
          <w:szCs w:val="24"/>
        </w:rPr>
        <w:t>The presence</w:t>
      </w:r>
      <w:r w:rsidRPr="00900E2E">
        <w:rPr>
          <w:rFonts w:ascii="Book Antiqua" w:hAnsi="Book Antiqua"/>
          <w:color w:val="000000" w:themeColor="text1"/>
          <w:sz w:val="24"/>
          <w:szCs w:val="24"/>
        </w:rPr>
        <w:t xml:space="preserve"> of advanced hepatic fibrosis </w:t>
      </w:r>
      <w:r w:rsidR="007E444B" w:rsidRPr="00900E2E">
        <w:rPr>
          <w:rFonts w:ascii="Book Antiqua" w:hAnsi="Book Antiqua"/>
          <w:color w:val="000000" w:themeColor="text1"/>
          <w:sz w:val="24"/>
          <w:szCs w:val="24"/>
        </w:rPr>
        <w:t xml:space="preserve">prior to treatment is </w:t>
      </w:r>
      <w:r w:rsidR="00DE2C81" w:rsidRPr="00900E2E">
        <w:rPr>
          <w:rFonts w:ascii="Book Antiqua" w:hAnsi="Book Antiqua"/>
          <w:color w:val="000000" w:themeColor="text1"/>
          <w:sz w:val="24"/>
          <w:szCs w:val="24"/>
        </w:rPr>
        <w:t xml:space="preserve">recognized as a significant risk </w:t>
      </w:r>
      <w:r w:rsidR="007E444B" w:rsidRPr="00900E2E">
        <w:rPr>
          <w:rFonts w:ascii="Book Antiqua" w:hAnsi="Book Antiqua"/>
          <w:color w:val="000000" w:themeColor="text1"/>
          <w:sz w:val="24"/>
          <w:szCs w:val="24"/>
        </w:rPr>
        <w:t xml:space="preserve">factor </w:t>
      </w:r>
      <w:r w:rsidR="00DE2C81" w:rsidRPr="00900E2E">
        <w:rPr>
          <w:rFonts w:ascii="Book Antiqua" w:hAnsi="Book Antiqua"/>
          <w:color w:val="000000" w:themeColor="text1"/>
          <w:sz w:val="24"/>
          <w:szCs w:val="24"/>
        </w:rPr>
        <w:t xml:space="preserve">for HCC </w:t>
      </w:r>
      <w:r w:rsidR="004D20C7" w:rsidRPr="00900E2E">
        <w:rPr>
          <w:rFonts w:ascii="Book Antiqua" w:hAnsi="Book Antiqua"/>
          <w:color w:val="000000" w:themeColor="text1"/>
          <w:sz w:val="24"/>
          <w:szCs w:val="24"/>
        </w:rPr>
        <w:t>development after achieving SVR, h</w:t>
      </w:r>
      <w:r w:rsidR="00DE2C81" w:rsidRPr="00900E2E">
        <w:rPr>
          <w:rFonts w:ascii="Book Antiqua" w:hAnsi="Book Antiqua"/>
          <w:color w:val="000000" w:themeColor="text1"/>
          <w:sz w:val="24"/>
          <w:szCs w:val="24"/>
        </w:rPr>
        <w:t>owever, not all patients with adv</w:t>
      </w:r>
      <w:r w:rsidR="007E444B" w:rsidRPr="00900E2E">
        <w:rPr>
          <w:rFonts w:ascii="Book Antiqua" w:hAnsi="Book Antiqua"/>
          <w:color w:val="000000" w:themeColor="text1"/>
          <w:sz w:val="24"/>
          <w:szCs w:val="24"/>
        </w:rPr>
        <w:t>anced hepatic fibrosis develop</w:t>
      </w:r>
      <w:r w:rsidR="00DE2C81" w:rsidRPr="00900E2E">
        <w:rPr>
          <w:rFonts w:ascii="Book Antiqua" w:hAnsi="Book Antiqua"/>
          <w:color w:val="000000" w:themeColor="text1"/>
          <w:sz w:val="24"/>
          <w:szCs w:val="24"/>
        </w:rPr>
        <w:t xml:space="preserve"> HCC</w:t>
      </w:r>
      <w:r w:rsidR="00C8055C" w:rsidRPr="00900E2E">
        <w:rPr>
          <w:rFonts w:ascii="Book Antiqua" w:hAnsi="Book Antiqua"/>
          <w:color w:val="000000" w:themeColor="text1"/>
          <w:sz w:val="24"/>
          <w:szCs w:val="24"/>
          <w:vertAlign w:val="superscript"/>
        </w:rPr>
        <w:t>[29]</w:t>
      </w:r>
      <w:r w:rsidR="00DE2C81" w:rsidRPr="00900E2E">
        <w:rPr>
          <w:rFonts w:ascii="Book Antiqua" w:hAnsi="Book Antiqua"/>
          <w:color w:val="000000" w:themeColor="text1"/>
          <w:sz w:val="24"/>
          <w:szCs w:val="24"/>
        </w:rPr>
        <w:t>.</w:t>
      </w:r>
      <w:r w:rsidRPr="00900E2E">
        <w:rPr>
          <w:rFonts w:ascii="Book Antiqua" w:hAnsi="Book Antiqua"/>
          <w:color w:val="000000" w:themeColor="text1"/>
          <w:sz w:val="24"/>
          <w:szCs w:val="24"/>
        </w:rPr>
        <w:t xml:space="preserve"> </w:t>
      </w:r>
      <w:r w:rsidR="000C0D22" w:rsidRPr="00900E2E">
        <w:rPr>
          <w:rFonts w:ascii="Book Antiqua" w:hAnsi="Book Antiqua"/>
          <w:color w:val="000000" w:themeColor="text1"/>
          <w:sz w:val="24"/>
          <w:szCs w:val="24"/>
        </w:rPr>
        <w:t xml:space="preserve">In the present study, our main </w:t>
      </w:r>
      <w:r w:rsidR="007E444B" w:rsidRPr="00900E2E">
        <w:rPr>
          <w:rFonts w:ascii="Book Antiqua" w:hAnsi="Book Antiqua"/>
          <w:color w:val="000000" w:themeColor="text1"/>
          <w:sz w:val="24"/>
          <w:szCs w:val="24"/>
        </w:rPr>
        <w:t>finding is that</w:t>
      </w:r>
      <w:r w:rsidR="000C0D22" w:rsidRPr="00900E2E">
        <w:rPr>
          <w:rFonts w:ascii="Book Antiqua" w:hAnsi="Book Antiqua"/>
          <w:color w:val="000000" w:themeColor="text1"/>
          <w:sz w:val="24"/>
          <w:szCs w:val="24"/>
        </w:rPr>
        <w:t xml:space="preserve"> high AKR1B10 expression in the liver </w:t>
      </w:r>
      <w:r w:rsidR="007E444B" w:rsidRPr="00900E2E">
        <w:rPr>
          <w:rFonts w:ascii="Book Antiqua" w:hAnsi="Book Antiqua"/>
          <w:color w:val="000000" w:themeColor="text1"/>
          <w:sz w:val="24"/>
          <w:szCs w:val="24"/>
        </w:rPr>
        <w:t>is</w:t>
      </w:r>
      <w:r w:rsidR="000C0D22" w:rsidRPr="00900E2E">
        <w:rPr>
          <w:rFonts w:ascii="Book Antiqua" w:hAnsi="Book Antiqua"/>
          <w:color w:val="000000" w:themeColor="text1"/>
          <w:sz w:val="24"/>
          <w:szCs w:val="24"/>
        </w:rPr>
        <w:t xml:space="preserve"> </w:t>
      </w:r>
      <w:r w:rsidR="00404C55" w:rsidRPr="00900E2E">
        <w:rPr>
          <w:rFonts w:ascii="Book Antiqua" w:hAnsi="Book Antiqua"/>
          <w:color w:val="000000" w:themeColor="text1"/>
          <w:sz w:val="24"/>
          <w:szCs w:val="24"/>
        </w:rPr>
        <w:t xml:space="preserve">an independent predictor for HCC development </w:t>
      </w:r>
      <w:r w:rsidR="000C0D22" w:rsidRPr="00900E2E">
        <w:rPr>
          <w:rFonts w:ascii="Book Antiqua" w:hAnsi="Book Antiqua"/>
          <w:color w:val="000000" w:themeColor="text1"/>
          <w:sz w:val="24"/>
          <w:szCs w:val="24"/>
        </w:rPr>
        <w:t xml:space="preserve">even </w:t>
      </w:r>
      <w:r w:rsidR="00404C55" w:rsidRPr="00900E2E">
        <w:rPr>
          <w:rFonts w:ascii="Book Antiqua" w:hAnsi="Book Antiqua"/>
          <w:color w:val="000000" w:themeColor="text1"/>
          <w:sz w:val="24"/>
          <w:szCs w:val="24"/>
        </w:rPr>
        <w:t xml:space="preserve">after </w:t>
      </w:r>
      <w:r w:rsidR="000C0D22" w:rsidRPr="00900E2E">
        <w:rPr>
          <w:rFonts w:ascii="Book Antiqua" w:hAnsi="Book Antiqua"/>
          <w:color w:val="000000" w:themeColor="text1"/>
          <w:sz w:val="24"/>
          <w:szCs w:val="24"/>
        </w:rPr>
        <w:t xml:space="preserve">achieving </w:t>
      </w:r>
      <w:r w:rsidR="00404C55" w:rsidRPr="00900E2E">
        <w:rPr>
          <w:rFonts w:ascii="Book Antiqua" w:hAnsi="Book Antiqua"/>
          <w:color w:val="000000" w:themeColor="text1"/>
          <w:sz w:val="24"/>
          <w:szCs w:val="24"/>
        </w:rPr>
        <w:t>SVR. The adjusted HR demonstrated that a pretreatment AKR1B10 expression of ≥</w:t>
      </w:r>
      <w:r w:rsidR="009C58F4" w:rsidRPr="00900E2E">
        <w:rPr>
          <w:rFonts w:ascii="Book Antiqua" w:eastAsia="宋体" w:hAnsi="Book Antiqua" w:hint="eastAsia"/>
          <w:color w:val="000000" w:themeColor="text1"/>
          <w:sz w:val="24"/>
          <w:szCs w:val="24"/>
          <w:lang w:eastAsia="zh-CN"/>
        </w:rPr>
        <w:t xml:space="preserve"> </w:t>
      </w:r>
      <w:r w:rsidR="00404C55" w:rsidRPr="00900E2E">
        <w:rPr>
          <w:rFonts w:ascii="Book Antiqua" w:hAnsi="Book Antiqua"/>
          <w:color w:val="000000" w:themeColor="text1"/>
          <w:sz w:val="24"/>
          <w:szCs w:val="24"/>
        </w:rPr>
        <w:t>8% was associated with a &gt;</w:t>
      </w:r>
      <w:r w:rsidR="009C58F4" w:rsidRPr="00900E2E">
        <w:rPr>
          <w:rFonts w:ascii="Book Antiqua" w:eastAsia="宋体" w:hAnsi="Book Antiqua" w:hint="eastAsia"/>
          <w:color w:val="000000" w:themeColor="text1"/>
          <w:sz w:val="24"/>
          <w:szCs w:val="24"/>
          <w:lang w:eastAsia="zh-CN"/>
        </w:rPr>
        <w:t xml:space="preserve"> </w:t>
      </w:r>
      <w:r w:rsidR="00404C55" w:rsidRPr="00900E2E">
        <w:rPr>
          <w:rFonts w:ascii="Book Antiqua" w:hAnsi="Book Antiqua"/>
          <w:color w:val="000000" w:themeColor="text1"/>
          <w:sz w:val="24"/>
          <w:szCs w:val="24"/>
        </w:rPr>
        <w:t>15-fold-increased risk of HCC development after achieving SVR. Although the positive predictive value of AKR1B10 expression of ≥</w:t>
      </w:r>
      <w:r w:rsidR="009C58F4" w:rsidRPr="00900E2E">
        <w:rPr>
          <w:rFonts w:ascii="Book Antiqua" w:eastAsia="宋体" w:hAnsi="Book Antiqua" w:hint="eastAsia"/>
          <w:color w:val="000000" w:themeColor="text1"/>
          <w:sz w:val="24"/>
          <w:szCs w:val="24"/>
          <w:lang w:eastAsia="zh-CN"/>
        </w:rPr>
        <w:t xml:space="preserve"> </w:t>
      </w:r>
      <w:r w:rsidR="00404C55" w:rsidRPr="00900E2E">
        <w:rPr>
          <w:rFonts w:ascii="Book Antiqua" w:hAnsi="Book Antiqua"/>
          <w:color w:val="000000" w:themeColor="text1"/>
          <w:sz w:val="24"/>
          <w:szCs w:val="24"/>
        </w:rPr>
        <w:t>8% was only 0.080, the negative predictive value was extremely high: 0.991; this result suggests that the risk of HCC development was extremely low in patients showing an AKR1B10 expression of &lt;</w:t>
      </w:r>
      <w:r w:rsidR="009C58F4" w:rsidRPr="00900E2E">
        <w:rPr>
          <w:rFonts w:ascii="Book Antiqua" w:eastAsia="宋体" w:hAnsi="Book Antiqua" w:hint="eastAsia"/>
          <w:color w:val="000000" w:themeColor="text1"/>
          <w:sz w:val="24"/>
          <w:szCs w:val="24"/>
          <w:lang w:eastAsia="zh-CN"/>
        </w:rPr>
        <w:t xml:space="preserve"> </w:t>
      </w:r>
      <w:r w:rsidR="00404C55" w:rsidRPr="00900E2E">
        <w:rPr>
          <w:rFonts w:ascii="Book Antiqua" w:hAnsi="Book Antiqua"/>
          <w:color w:val="000000" w:themeColor="text1"/>
          <w:sz w:val="24"/>
          <w:szCs w:val="24"/>
        </w:rPr>
        <w:t>8%. Based on the assessment of baseline AKR1B10 expression, very-low-risk patients could be selected from the growing number of SVR patients, and thus an inefficient surveillance examination for HCC could be avoided.</w:t>
      </w:r>
      <w:r w:rsidR="00C27D48" w:rsidRPr="00900E2E">
        <w:rPr>
          <w:rFonts w:ascii="Book Antiqua" w:hAnsi="Book Antiqua"/>
          <w:color w:val="000000" w:themeColor="text1"/>
          <w:sz w:val="24"/>
          <w:szCs w:val="24"/>
        </w:rPr>
        <w:t xml:space="preserve"> </w:t>
      </w:r>
    </w:p>
    <w:p w:rsidR="00404C55" w:rsidRPr="00900E2E" w:rsidRDefault="00824ABA" w:rsidP="00C805C6">
      <w:pPr>
        <w:adjustRightInd w:val="0"/>
        <w:snapToGrid w:val="0"/>
        <w:spacing w:line="360" w:lineRule="auto"/>
        <w:ind w:firstLine="840"/>
        <w:rPr>
          <w:rFonts w:ascii="Book Antiqua" w:hAnsi="Book Antiqua"/>
          <w:color w:val="000000" w:themeColor="text1"/>
          <w:sz w:val="24"/>
          <w:szCs w:val="24"/>
        </w:rPr>
      </w:pPr>
      <w:r w:rsidRPr="00900E2E">
        <w:rPr>
          <w:rFonts w:ascii="Book Antiqua" w:hAnsi="Book Antiqua"/>
          <w:color w:val="000000" w:themeColor="text1"/>
          <w:sz w:val="24"/>
          <w:szCs w:val="24"/>
        </w:rPr>
        <w:lastRenderedPageBreak/>
        <w:t xml:space="preserve">The previous study also demonstrated </w:t>
      </w:r>
      <w:r w:rsidR="00B068E2" w:rsidRPr="00900E2E">
        <w:rPr>
          <w:rFonts w:ascii="Book Antiqua" w:hAnsi="Book Antiqua"/>
          <w:color w:val="000000" w:themeColor="text1"/>
          <w:sz w:val="24"/>
          <w:szCs w:val="24"/>
        </w:rPr>
        <w:t xml:space="preserve">that </w:t>
      </w:r>
      <w:r w:rsidRPr="00900E2E">
        <w:rPr>
          <w:rFonts w:ascii="Book Antiqua" w:hAnsi="Book Antiqua"/>
          <w:color w:val="000000" w:themeColor="text1"/>
          <w:sz w:val="24"/>
          <w:szCs w:val="24"/>
        </w:rPr>
        <w:t xml:space="preserve">high AKR1B10 expression was a significant predictor of HCC development in patients with chronic hepatitis C. </w:t>
      </w:r>
      <w:r w:rsidR="005B4A38" w:rsidRPr="00900E2E">
        <w:rPr>
          <w:rFonts w:ascii="Book Antiqua" w:hAnsi="Book Antiqua"/>
          <w:color w:val="000000" w:themeColor="text1"/>
          <w:sz w:val="24"/>
          <w:szCs w:val="24"/>
        </w:rPr>
        <w:t>Interestingly</w:t>
      </w:r>
      <w:r w:rsidR="00C27D48" w:rsidRPr="00900E2E">
        <w:rPr>
          <w:rFonts w:ascii="Book Antiqua" w:hAnsi="Book Antiqua"/>
          <w:color w:val="000000" w:themeColor="text1"/>
          <w:sz w:val="24"/>
          <w:szCs w:val="24"/>
        </w:rPr>
        <w:t xml:space="preserve">, the </w:t>
      </w:r>
      <w:r w:rsidR="00AD0443" w:rsidRPr="00900E2E">
        <w:rPr>
          <w:rFonts w:ascii="Book Antiqua" w:hAnsi="Book Antiqua"/>
          <w:color w:val="000000" w:themeColor="text1"/>
          <w:sz w:val="24"/>
          <w:szCs w:val="24"/>
        </w:rPr>
        <w:t>ROC analysis-determined</w:t>
      </w:r>
      <w:r w:rsidR="00C27D48" w:rsidRPr="00900E2E">
        <w:rPr>
          <w:rFonts w:ascii="Book Antiqua" w:hAnsi="Book Antiqua"/>
          <w:color w:val="000000" w:themeColor="text1"/>
          <w:sz w:val="24"/>
          <w:szCs w:val="24"/>
        </w:rPr>
        <w:t xml:space="preserve"> AKR1B10 cut-off value in the present study (8%) was higher than that in the previous report (6%)</w:t>
      </w:r>
      <w:r w:rsidR="00C27D48" w:rsidRPr="00900E2E">
        <w:rPr>
          <w:rFonts w:ascii="Book Antiqua" w:hAnsi="Book Antiqua"/>
          <w:color w:val="000000" w:themeColor="text1"/>
          <w:sz w:val="24"/>
          <w:szCs w:val="24"/>
          <w:vertAlign w:val="superscript"/>
        </w:rPr>
        <w:t>[14]</w:t>
      </w:r>
      <w:r w:rsidR="00C27D48" w:rsidRPr="00900E2E">
        <w:rPr>
          <w:rFonts w:ascii="Book Antiqua" w:hAnsi="Book Antiqua"/>
          <w:color w:val="000000" w:themeColor="text1"/>
          <w:sz w:val="24"/>
          <w:szCs w:val="24"/>
        </w:rPr>
        <w:t xml:space="preserve">. </w:t>
      </w:r>
      <w:r w:rsidR="0028608A" w:rsidRPr="00900E2E">
        <w:rPr>
          <w:rFonts w:ascii="Book Antiqua" w:hAnsi="Book Antiqua"/>
          <w:color w:val="000000" w:themeColor="text1"/>
          <w:sz w:val="24"/>
          <w:szCs w:val="24"/>
        </w:rPr>
        <w:t xml:space="preserve">A fundamental difference between </w:t>
      </w:r>
      <w:r w:rsidR="0028608A" w:rsidRPr="00900E2E">
        <w:rPr>
          <w:rFonts w:ascii="Book Antiqua" w:hAnsi="Book Antiqua" w:hint="eastAsia"/>
          <w:color w:val="000000" w:themeColor="text1"/>
          <w:sz w:val="24"/>
          <w:szCs w:val="24"/>
        </w:rPr>
        <w:t>the</w:t>
      </w:r>
      <w:r w:rsidR="0028608A" w:rsidRPr="00900E2E">
        <w:rPr>
          <w:rFonts w:ascii="Book Antiqua" w:hAnsi="Book Antiqua"/>
          <w:color w:val="000000" w:themeColor="text1"/>
          <w:sz w:val="24"/>
          <w:szCs w:val="24"/>
        </w:rPr>
        <w:t xml:space="preserve">se studies was </w:t>
      </w:r>
      <w:r w:rsidR="007E444B" w:rsidRPr="00900E2E">
        <w:rPr>
          <w:rFonts w:ascii="Book Antiqua" w:hAnsi="Book Antiqua"/>
          <w:color w:val="000000" w:themeColor="text1"/>
          <w:sz w:val="24"/>
          <w:szCs w:val="24"/>
        </w:rPr>
        <w:t xml:space="preserve">that the previous study included 42% </w:t>
      </w:r>
      <w:r w:rsidR="00F227FE" w:rsidRPr="00900E2E">
        <w:rPr>
          <w:rFonts w:ascii="Book Antiqua" w:hAnsi="Book Antiqua"/>
          <w:color w:val="000000" w:themeColor="text1"/>
          <w:sz w:val="24"/>
          <w:szCs w:val="24"/>
        </w:rPr>
        <w:t>non-SVR patients in the study cohort</w:t>
      </w:r>
      <w:r w:rsidR="007E444B" w:rsidRPr="00900E2E">
        <w:rPr>
          <w:rFonts w:ascii="Book Antiqua" w:hAnsi="Book Antiqua"/>
          <w:color w:val="000000" w:themeColor="text1"/>
          <w:sz w:val="24"/>
          <w:szCs w:val="24"/>
        </w:rPr>
        <w:t xml:space="preserve"> while the present study included only SVR patients.</w:t>
      </w:r>
      <w:r w:rsidR="00E637E4" w:rsidRPr="00900E2E">
        <w:rPr>
          <w:rFonts w:ascii="Book Antiqua" w:hAnsi="Book Antiqua"/>
          <w:color w:val="000000" w:themeColor="text1"/>
          <w:sz w:val="24"/>
          <w:szCs w:val="24"/>
        </w:rPr>
        <w:t xml:space="preserve"> </w:t>
      </w:r>
      <w:r w:rsidR="005B4A38" w:rsidRPr="00900E2E">
        <w:rPr>
          <w:rFonts w:ascii="Book Antiqua" w:hAnsi="Book Antiqua"/>
          <w:color w:val="000000" w:themeColor="text1"/>
          <w:sz w:val="24"/>
          <w:szCs w:val="24"/>
        </w:rPr>
        <w:t xml:space="preserve">The difference </w:t>
      </w:r>
      <w:r w:rsidR="007E444B" w:rsidRPr="00900E2E">
        <w:rPr>
          <w:rFonts w:ascii="Book Antiqua" w:hAnsi="Book Antiqua"/>
          <w:color w:val="000000" w:themeColor="text1"/>
          <w:sz w:val="24"/>
          <w:szCs w:val="24"/>
        </w:rPr>
        <w:t>in the</w:t>
      </w:r>
      <w:r w:rsidR="005B4A38" w:rsidRPr="00900E2E">
        <w:rPr>
          <w:rFonts w:ascii="Book Antiqua" w:hAnsi="Book Antiqua"/>
          <w:color w:val="000000" w:themeColor="text1"/>
          <w:sz w:val="24"/>
          <w:szCs w:val="24"/>
        </w:rPr>
        <w:t xml:space="preserve"> AKR1B10 cut-off value</w:t>
      </w:r>
      <w:r w:rsidR="007E444B" w:rsidRPr="00900E2E">
        <w:rPr>
          <w:rFonts w:ascii="Book Antiqua" w:hAnsi="Book Antiqua"/>
          <w:color w:val="000000" w:themeColor="text1"/>
          <w:sz w:val="24"/>
          <w:szCs w:val="24"/>
        </w:rPr>
        <w:t>s</w:t>
      </w:r>
      <w:r w:rsidR="005B4A38" w:rsidRPr="00900E2E">
        <w:rPr>
          <w:rFonts w:ascii="Book Antiqua" w:hAnsi="Book Antiqua"/>
          <w:color w:val="000000" w:themeColor="text1"/>
          <w:sz w:val="24"/>
          <w:szCs w:val="24"/>
        </w:rPr>
        <w:t xml:space="preserve"> might indicate the</w:t>
      </w:r>
      <w:r w:rsidR="00B068E2" w:rsidRPr="00900E2E">
        <w:rPr>
          <w:rFonts w:ascii="Book Antiqua" w:hAnsi="Book Antiqua"/>
          <w:color w:val="000000" w:themeColor="text1"/>
          <w:sz w:val="24"/>
          <w:szCs w:val="24"/>
        </w:rPr>
        <w:t xml:space="preserve"> impact of SVR achievement on </w:t>
      </w:r>
      <w:r w:rsidR="007E444B" w:rsidRPr="00900E2E">
        <w:rPr>
          <w:rFonts w:ascii="Book Antiqua" w:hAnsi="Book Antiqua"/>
          <w:color w:val="000000" w:themeColor="text1"/>
          <w:sz w:val="24"/>
          <w:szCs w:val="24"/>
        </w:rPr>
        <w:t xml:space="preserve">the </w:t>
      </w:r>
      <w:r w:rsidR="00B068E2" w:rsidRPr="00900E2E">
        <w:rPr>
          <w:rFonts w:ascii="Book Antiqua" w:hAnsi="Book Antiqua"/>
          <w:color w:val="000000" w:themeColor="text1"/>
          <w:sz w:val="24"/>
          <w:szCs w:val="24"/>
        </w:rPr>
        <w:t>subsequent change</w:t>
      </w:r>
      <w:r w:rsidR="007E444B" w:rsidRPr="00900E2E">
        <w:rPr>
          <w:rFonts w:ascii="Book Antiqua" w:hAnsi="Book Antiqua"/>
          <w:color w:val="000000" w:themeColor="text1"/>
          <w:sz w:val="24"/>
          <w:szCs w:val="24"/>
        </w:rPr>
        <w:t>s in</w:t>
      </w:r>
      <w:r w:rsidR="00B068E2" w:rsidRPr="00900E2E">
        <w:rPr>
          <w:rFonts w:ascii="Book Antiqua" w:hAnsi="Book Antiqua"/>
          <w:color w:val="000000" w:themeColor="text1"/>
          <w:sz w:val="24"/>
          <w:szCs w:val="24"/>
        </w:rPr>
        <w:t xml:space="preserve"> </w:t>
      </w:r>
      <w:r w:rsidR="00AD0443" w:rsidRPr="00900E2E">
        <w:rPr>
          <w:rFonts w:ascii="Book Antiqua" w:hAnsi="Book Antiqua"/>
          <w:color w:val="000000" w:themeColor="text1"/>
          <w:sz w:val="24"/>
          <w:szCs w:val="24"/>
        </w:rPr>
        <w:t>AKR1B10</w:t>
      </w:r>
      <w:r w:rsidR="00EF1C5C" w:rsidRPr="00900E2E">
        <w:rPr>
          <w:rFonts w:ascii="Book Antiqua" w:hAnsi="Book Antiqua"/>
          <w:color w:val="000000" w:themeColor="text1"/>
          <w:sz w:val="24"/>
          <w:szCs w:val="24"/>
        </w:rPr>
        <w:t xml:space="preserve"> expression</w:t>
      </w:r>
      <w:r w:rsidR="00B068E2" w:rsidRPr="00900E2E">
        <w:rPr>
          <w:rFonts w:ascii="Book Antiqua" w:hAnsi="Book Antiqua"/>
          <w:color w:val="000000" w:themeColor="text1"/>
          <w:sz w:val="24"/>
          <w:szCs w:val="24"/>
        </w:rPr>
        <w:t>. However</w:t>
      </w:r>
      <w:r w:rsidR="0028608A" w:rsidRPr="00900E2E">
        <w:rPr>
          <w:rFonts w:ascii="Book Antiqua" w:hAnsi="Book Antiqua"/>
          <w:color w:val="000000" w:themeColor="text1"/>
          <w:sz w:val="24"/>
          <w:szCs w:val="24"/>
        </w:rPr>
        <w:t xml:space="preserve">, </w:t>
      </w:r>
      <w:r w:rsidR="007E444B" w:rsidRPr="00900E2E">
        <w:rPr>
          <w:rFonts w:ascii="Book Antiqua" w:hAnsi="Book Antiqua"/>
          <w:color w:val="000000" w:themeColor="text1"/>
          <w:sz w:val="24"/>
          <w:szCs w:val="24"/>
        </w:rPr>
        <w:t>confirming this would be difficult since</w:t>
      </w:r>
      <w:r w:rsidR="00E637E4" w:rsidRPr="00900E2E">
        <w:rPr>
          <w:rFonts w:ascii="Book Antiqua" w:hAnsi="Book Antiqua"/>
          <w:color w:val="000000" w:themeColor="text1"/>
          <w:sz w:val="24"/>
          <w:szCs w:val="24"/>
        </w:rPr>
        <w:t xml:space="preserve"> liver biopsy </w:t>
      </w:r>
      <w:r w:rsidR="007E444B" w:rsidRPr="00900E2E">
        <w:rPr>
          <w:rFonts w:ascii="Book Antiqua" w:hAnsi="Book Antiqua"/>
          <w:color w:val="000000" w:themeColor="text1"/>
          <w:sz w:val="24"/>
          <w:szCs w:val="24"/>
        </w:rPr>
        <w:t xml:space="preserve">samples from patients who have completed </w:t>
      </w:r>
      <w:r w:rsidR="00E637E4" w:rsidRPr="00900E2E">
        <w:rPr>
          <w:rFonts w:ascii="Book Antiqua" w:hAnsi="Book Antiqua"/>
          <w:color w:val="000000" w:themeColor="text1"/>
          <w:sz w:val="24"/>
          <w:szCs w:val="24"/>
        </w:rPr>
        <w:t>treatment</w:t>
      </w:r>
      <w:r w:rsidR="007E444B" w:rsidRPr="00900E2E">
        <w:rPr>
          <w:rFonts w:ascii="Book Antiqua" w:hAnsi="Book Antiqua"/>
          <w:color w:val="000000" w:themeColor="text1"/>
          <w:sz w:val="24"/>
          <w:szCs w:val="24"/>
        </w:rPr>
        <w:t xml:space="preserve"> are rarely available</w:t>
      </w:r>
      <w:r w:rsidR="00E637E4" w:rsidRPr="00900E2E">
        <w:rPr>
          <w:rFonts w:ascii="Book Antiqua" w:hAnsi="Book Antiqua"/>
          <w:color w:val="000000" w:themeColor="text1"/>
          <w:sz w:val="24"/>
          <w:szCs w:val="24"/>
        </w:rPr>
        <w:t xml:space="preserve"> </w:t>
      </w:r>
    </w:p>
    <w:p w:rsidR="00404C55" w:rsidRPr="00900E2E" w:rsidRDefault="00404C55" w:rsidP="00C805C6">
      <w:pPr>
        <w:adjustRightInd w:val="0"/>
        <w:snapToGrid w:val="0"/>
        <w:spacing w:line="360" w:lineRule="auto"/>
        <w:ind w:firstLine="840"/>
        <w:rPr>
          <w:rFonts w:ascii="Book Antiqua" w:hAnsi="Book Antiqua"/>
          <w:color w:val="000000" w:themeColor="text1"/>
          <w:sz w:val="24"/>
          <w:szCs w:val="24"/>
        </w:rPr>
      </w:pPr>
      <w:r w:rsidRPr="00900E2E">
        <w:rPr>
          <w:rFonts w:ascii="Book Antiqua" w:hAnsi="Book Antiqua"/>
          <w:color w:val="000000" w:themeColor="text1"/>
          <w:sz w:val="24"/>
          <w:szCs w:val="24"/>
        </w:rPr>
        <w:t>AKR1B10 emerged as a cancer biomarker because it is overexpressed in several cancers; however, the biological function of AKR1B10 and its potential involvement in carcinogenesis remain incompletely understood and are receiving increased attention. Because AKR1B10 is an efficient retinal reductase, the molecule is considered to inhibit retinoic acid signaling, which maintains epithelial cell differentiation</w:t>
      </w:r>
      <w:r w:rsidR="001B020D" w:rsidRPr="00900E2E">
        <w:rPr>
          <w:rFonts w:ascii="Book Antiqua" w:hAnsi="Book Antiqua"/>
          <w:color w:val="000000" w:themeColor="text1"/>
          <w:sz w:val="24"/>
          <w:szCs w:val="24"/>
          <w:vertAlign w:val="superscript"/>
        </w:rPr>
        <w:t>[30,31</w:t>
      </w:r>
      <w:r w:rsidRPr="00900E2E">
        <w:rPr>
          <w:rFonts w:ascii="Book Antiqua" w:hAnsi="Book Antiqua"/>
          <w:color w:val="000000" w:themeColor="text1"/>
          <w:sz w:val="24"/>
          <w:szCs w:val="24"/>
          <w:vertAlign w:val="superscript"/>
        </w:rPr>
        <w:t>]</w:t>
      </w:r>
      <w:r w:rsidRPr="00900E2E">
        <w:rPr>
          <w:rFonts w:ascii="Book Antiqua" w:hAnsi="Book Antiqua"/>
          <w:color w:val="000000" w:themeColor="text1"/>
          <w:sz w:val="24"/>
          <w:szCs w:val="24"/>
        </w:rPr>
        <w:t>. Therefore, AKR1B10 upregulation has been hypothesized to play a pivotal role in promoting premature or neoplastic phenotypes in cancer cells</w:t>
      </w:r>
      <w:r w:rsidR="001B020D" w:rsidRPr="00900E2E">
        <w:rPr>
          <w:rFonts w:ascii="Book Antiqua" w:hAnsi="Book Antiqua"/>
          <w:color w:val="000000" w:themeColor="text1"/>
          <w:sz w:val="24"/>
          <w:szCs w:val="24"/>
          <w:vertAlign w:val="superscript"/>
        </w:rPr>
        <w:t>[32,33</w:t>
      </w:r>
      <w:r w:rsidRPr="00900E2E">
        <w:rPr>
          <w:rFonts w:ascii="Book Antiqua" w:hAnsi="Book Antiqua"/>
          <w:color w:val="000000" w:themeColor="text1"/>
          <w:sz w:val="24"/>
          <w:szCs w:val="24"/>
          <w:vertAlign w:val="superscript"/>
        </w:rPr>
        <w:t>]</w:t>
      </w:r>
      <w:r w:rsidRPr="00900E2E">
        <w:rPr>
          <w:rFonts w:ascii="Book Antiqua" w:hAnsi="Book Antiqua"/>
          <w:color w:val="000000" w:themeColor="text1"/>
          <w:sz w:val="24"/>
          <w:szCs w:val="24"/>
        </w:rPr>
        <w:t>. In the case of human HCC, AKR1B10 upregulation was mainly observed in early-stage well-differentiated HCC and was considered to represent an early event in the hepatocarcinogenesis process</w:t>
      </w:r>
      <w:r w:rsidR="001B020D" w:rsidRPr="00900E2E">
        <w:rPr>
          <w:rFonts w:ascii="Book Antiqua" w:hAnsi="Book Antiqua"/>
          <w:color w:val="000000" w:themeColor="text1"/>
          <w:sz w:val="24"/>
          <w:szCs w:val="24"/>
          <w:vertAlign w:val="superscript"/>
        </w:rPr>
        <w:t>[17,34</w:t>
      </w:r>
      <w:r w:rsidRPr="00900E2E">
        <w:rPr>
          <w:rFonts w:ascii="Book Antiqua" w:hAnsi="Book Antiqua"/>
          <w:color w:val="000000" w:themeColor="text1"/>
          <w:sz w:val="24"/>
          <w:szCs w:val="24"/>
          <w:vertAlign w:val="superscript"/>
        </w:rPr>
        <w:t>]</w:t>
      </w:r>
      <w:r w:rsidRPr="00900E2E">
        <w:rPr>
          <w:rFonts w:ascii="Book Antiqua" w:hAnsi="Book Antiqua"/>
          <w:color w:val="000000" w:themeColor="text1"/>
          <w:sz w:val="24"/>
          <w:szCs w:val="24"/>
        </w:rPr>
        <w:t>. Here, AKR1B10 upregulation occurred in patients with chronic hepatitis C, a preneoplastic condition of HCC, and reflected the risk of HCC development even after HCV eradication. Collectively, these data and those from previous studies suggest the involvement of AKR1B10 upregulation in the very early stages of hepatocarcinogenesis. In the patients in whom AKR1B10 was upregulated before treatment, the carcinogenic process might have already progressed, and in these patients, a high risk of HCC might remain even after successful viral eradication.</w:t>
      </w:r>
    </w:p>
    <w:p w:rsidR="00404C55" w:rsidRPr="00900E2E" w:rsidRDefault="00404C55" w:rsidP="00C805C6">
      <w:pPr>
        <w:adjustRightInd w:val="0"/>
        <w:snapToGrid w:val="0"/>
        <w:spacing w:line="360" w:lineRule="auto"/>
        <w:ind w:firstLine="840"/>
        <w:rPr>
          <w:rFonts w:ascii="Book Antiqua" w:hAnsi="Book Antiqua"/>
          <w:color w:val="000000" w:themeColor="text1"/>
          <w:sz w:val="24"/>
          <w:szCs w:val="24"/>
        </w:rPr>
      </w:pPr>
      <w:r w:rsidRPr="00900E2E">
        <w:rPr>
          <w:rFonts w:ascii="Book Antiqua" w:hAnsi="Book Antiqua"/>
          <w:color w:val="000000" w:themeColor="text1"/>
          <w:sz w:val="24"/>
          <w:szCs w:val="24"/>
        </w:rPr>
        <w:t xml:space="preserve">We also found that baseline AKR1B10 expression was related with ALT </w:t>
      </w:r>
      <w:r w:rsidRPr="00900E2E">
        <w:rPr>
          <w:rFonts w:ascii="Book Antiqua" w:hAnsi="Book Antiqua"/>
          <w:color w:val="000000" w:themeColor="text1"/>
          <w:sz w:val="24"/>
          <w:szCs w:val="24"/>
        </w:rPr>
        <w:lastRenderedPageBreak/>
        <w:t>and AFP levels after SVR, both of which were identified as predictors of HCC development in several previous studies</w:t>
      </w:r>
      <w:r w:rsidR="001B020D" w:rsidRPr="00900E2E">
        <w:rPr>
          <w:rFonts w:ascii="Book Antiqua" w:hAnsi="Book Antiqua"/>
          <w:color w:val="000000" w:themeColor="text1"/>
          <w:sz w:val="24"/>
          <w:szCs w:val="24"/>
          <w:vertAlign w:val="superscript"/>
        </w:rPr>
        <w:t>[35,36</w:t>
      </w:r>
      <w:r w:rsidRPr="00900E2E">
        <w:rPr>
          <w:rFonts w:ascii="Book Antiqua" w:hAnsi="Book Antiqua"/>
          <w:color w:val="000000" w:themeColor="text1"/>
          <w:sz w:val="24"/>
          <w:szCs w:val="24"/>
          <w:vertAlign w:val="superscript"/>
        </w:rPr>
        <w:t>]</w:t>
      </w:r>
      <w:r w:rsidRPr="00900E2E">
        <w:rPr>
          <w:rFonts w:ascii="Book Antiqua" w:hAnsi="Book Antiqua"/>
          <w:color w:val="000000" w:themeColor="text1"/>
          <w:sz w:val="24"/>
          <w:szCs w:val="24"/>
        </w:rPr>
        <w:t>. However, why ALT and AFP levels show sustained elevation even after HCV eradication is unknown. Intriguingly, baseline AKR1B10 expression was also associated with ALT levels in chronic hepatitis B patients who received successful antiviral therapy</w:t>
      </w:r>
      <w:r w:rsidRPr="00900E2E">
        <w:rPr>
          <w:rFonts w:ascii="Book Antiqua" w:hAnsi="Book Antiqua"/>
          <w:color w:val="000000" w:themeColor="text1"/>
          <w:sz w:val="24"/>
          <w:szCs w:val="24"/>
          <w:vertAlign w:val="superscript"/>
        </w:rPr>
        <w:t>[13]</w:t>
      </w:r>
      <w:r w:rsidRPr="00900E2E">
        <w:rPr>
          <w:rFonts w:ascii="Book Antiqua" w:hAnsi="Book Antiqua"/>
          <w:color w:val="000000" w:themeColor="text1"/>
          <w:sz w:val="24"/>
          <w:szCs w:val="24"/>
        </w:rPr>
        <w:t>. However, viral infection per se is unlikely to cause the sustained elevation of ALT and AFP after antiviral therapy: Recently, AKR1B10 expression was shown to be regulated by the transcription factor nuclear factor erythroid 2-related factor 2</w:t>
      </w:r>
      <w:r w:rsidR="001B020D" w:rsidRPr="00900E2E">
        <w:rPr>
          <w:rFonts w:ascii="Book Antiqua" w:hAnsi="Book Antiqua"/>
          <w:color w:val="000000" w:themeColor="text1"/>
          <w:sz w:val="24"/>
          <w:szCs w:val="24"/>
          <w:vertAlign w:val="superscript"/>
        </w:rPr>
        <w:t>[37</w:t>
      </w:r>
      <w:r w:rsidRPr="00900E2E">
        <w:rPr>
          <w:rFonts w:ascii="Book Antiqua" w:hAnsi="Book Antiqua"/>
          <w:color w:val="000000" w:themeColor="text1"/>
          <w:sz w:val="24"/>
          <w:szCs w:val="24"/>
          <w:vertAlign w:val="superscript"/>
        </w:rPr>
        <w:t>]</w:t>
      </w:r>
      <w:r w:rsidRPr="00900E2E">
        <w:rPr>
          <w:rFonts w:ascii="Book Antiqua" w:hAnsi="Book Antiqua"/>
          <w:color w:val="000000" w:themeColor="text1"/>
          <w:sz w:val="24"/>
          <w:szCs w:val="24"/>
        </w:rPr>
        <w:t>, which plays a pivotal role in the adaptive response to oxidative stress. Oxidative stress is a feature of steatohepatitis, and hepatic oxidative-stress markers have been correlated with the severity of hepatic necroinflammation</w:t>
      </w:r>
      <w:r w:rsidR="001B020D" w:rsidRPr="00900E2E">
        <w:rPr>
          <w:rFonts w:ascii="Book Antiqua" w:hAnsi="Book Antiqua"/>
          <w:color w:val="000000" w:themeColor="text1"/>
          <w:sz w:val="24"/>
          <w:szCs w:val="24"/>
          <w:vertAlign w:val="superscript"/>
        </w:rPr>
        <w:t>[38-40</w:t>
      </w:r>
      <w:r w:rsidRPr="00900E2E">
        <w:rPr>
          <w:rFonts w:ascii="Book Antiqua" w:hAnsi="Book Antiqua"/>
          <w:color w:val="000000" w:themeColor="text1"/>
          <w:sz w:val="24"/>
          <w:szCs w:val="24"/>
          <w:vertAlign w:val="superscript"/>
        </w:rPr>
        <w:t>]</w:t>
      </w:r>
      <w:r w:rsidRPr="00900E2E">
        <w:rPr>
          <w:rFonts w:ascii="Book Antiqua" w:hAnsi="Book Antiqua"/>
          <w:color w:val="000000" w:themeColor="text1"/>
          <w:sz w:val="24"/>
          <w:szCs w:val="24"/>
        </w:rPr>
        <w:t>. Furthermore, AKR1B10 was identified as an upregulated gene in steatohepatits</w:t>
      </w:r>
      <w:r w:rsidRPr="00900E2E">
        <w:rPr>
          <w:rFonts w:ascii="Book Antiqua" w:hAnsi="Book Antiqua"/>
          <w:color w:val="000000" w:themeColor="text1"/>
          <w:sz w:val="24"/>
          <w:szCs w:val="24"/>
          <w:vertAlign w:val="superscript"/>
        </w:rPr>
        <w:t>[16]</w:t>
      </w:r>
      <w:r w:rsidRPr="00900E2E">
        <w:rPr>
          <w:rFonts w:ascii="Book Antiqua" w:hAnsi="Book Antiqua"/>
          <w:color w:val="000000" w:themeColor="text1"/>
          <w:sz w:val="24"/>
          <w:szCs w:val="24"/>
        </w:rPr>
        <w:t>. Given these findings, we suggest that oxidative stress might affect baseline AKR1B10 expression, sustain ALT and AFP elevation, and further HCC development after SVR.</w:t>
      </w:r>
    </w:p>
    <w:p w:rsidR="00404C55" w:rsidRPr="00900E2E" w:rsidRDefault="00404C55" w:rsidP="00C805C6">
      <w:pPr>
        <w:adjustRightInd w:val="0"/>
        <w:snapToGrid w:val="0"/>
        <w:spacing w:line="360" w:lineRule="auto"/>
        <w:ind w:firstLine="840"/>
        <w:rPr>
          <w:rFonts w:ascii="Book Antiqua" w:hAnsi="Book Antiqua"/>
          <w:color w:val="000000" w:themeColor="text1"/>
          <w:sz w:val="24"/>
          <w:szCs w:val="24"/>
        </w:rPr>
      </w:pPr>
      <w:r w:rsidRPr="00900E2E">
        <w:rPr>
          <w:rFonts w:ascii="Book Antiqua" w:hAnsi="Book Antiqua"/>
          <w:color w:val="000000" w:themeColor="text1"/>
          <w:sz w:val="24"/>
          <w:szCs w:val="24"/>
        </w:rPr>
        <w:t xml:space="preserve">The main limitations of this study were its monocentric aspect and retrospective nature. </w:t>
      </w:r>
      <w:r w:rsidR="007E444B" w:rsidRPr="00900E2E">
        <w:rPr>
          <w:rFonts w:ascii="Book Antiqua" w:hAnsi="Book Antiqua"/>
          <w:color w:val="000000" w:themeColor="text1"/>
          <w:sz w:val="24"/>
          <w:szCs w:val="24"/>
        </w:rPr>
        <w:t>The number of c</w:t>
      </w:r>
      <w:r w:rsidR="00B7398C" w:rsidRPr="00900E2E">
        <w:rPr>
          <w:rFonts w:ascii="Book Antiqua" w:hAnsi="Book Antiqua"/>
          <w:color w:val="000000" w:themeColor="text1"/>
          <w:sz w:val="24"/>
          <w:szCs w:val="24"/>
        </w:rPr>
        <w:t xml:space="preserve">ases of HCC development was very small because the incidence of HCC development after SVR was generally low. </w:t>
      </w:r>
      <w:r w:rsidRPr="00900E2E">
        <w:rPr>
          <w:rFonts w:ascii="Book Antiqua" w:hAnsi="Book Antiqua"/>
          <w:color w:val="000000" w:themeColor="text1"/>
          <w:sz w:val="24"/>
          <w:szCs w:val="24"/>
        </w:rPr>
        <w:t xml:space="preserve">A future multicenter prospective analysis will be required to validate the association between AKR1B10 expression and </w:t>
      </w:r>
      <w:r w:rsidR="007E444B" w:rsidRPr="00900E2E">
        <w:rPr>
          <w:rFonts w:ascii="Book Antiqua" w:hAnsi="Book Antiqua"/>
          <w:color w:val="000000" w:themeColor="text1"/>
          <w:sz w:val="24"/>
          <w:szCs w:val="24"/>
        </w:rPr>
        <w:t xml:space="preserve">the </w:t>
      </w:r>
      <w:r w:rsidRPr="00900E2E">
        <w:rPr>
          <w:rFonts w:ascii="Book Antiqua" w:hAnsi="Book Antiqua"/>
          <w:color w:val="000000" w:themeColor="text1"/>
          <w:sz w:val="24"/>
          <w:szCs w:val="24"/>
        </w:rPr>
        <w:t>risk of HCC development in patients with chronic hepatitis C who achieve HCV eradication.</w:t>
      </w:r>
    </w:p>
    <w:p w:rsidR="009C58F4" w:rsidRPr="00900E2E" w:rsidRDefault="00404C55" w:rsidP="00C805C6">
      <w:pPr>
        <w:adjustRightInd w:val="0"/>
        <w:snapToGrid w:val="0"/>
        <w:spacing w:line="360" w:lineRule="auto"/>
        <w:ind w:firstLine="840"/>
        <w:rPr>
          <w:rFonts w:ascii="Book Antiqua" w:eastAsia="宋体" w:hAnsi="Book Antiqua"/>
          <w:color w:val="000000" w:themeColor="text1"/>
          <w:sz w:val="24"/>
          <w:szCs w:val="24"/>
          <w:lang w:eastAsia="zh-CN"/>
        </w:rPr>
      </w:pPr>
      <w:r w:rsidRPr="00900E2E">
        <w:rPr>
          <w:rFonts w:ascii="Book Antiqua" w:hAnsi="Book Antiqua"/>
          <w:color w:val="000000" w:themeColor="text1"/>
          <w:sz w:val="24"/>
          <w:szCs w:val="24"/>
        </w:rPr>
        <w:t>In conclusion, AKR1B10 upregulation is a major risk factor for HCC development in chronic hepatitis C patients who achieve SVR. Our findings not only identify AKR1B10 as a novel predictive marker of HCC, but also provide a new insight regarding AKR1B10 involvement in the molecular mechanism of hepatocarcinogenesis and suggest that AKR1B10 could serve as a novel therapeutic target for HCC prevention.</w:t>
      </w:r>
    </w:p>
    <w:p w:rsidR="00D55B2B" w:rsidRDefault="00D55B2B" w:rsidP="00C805C6">
      <w:pPr>
        <w:autoSpaceDE w:val="0"/>
        <w:autoSpaceDN w:val="0"/>
        <w:adjustRightInd w:val="0"/>
        <w:snapToGrid w:val="0"/>
        <w:spacing w:line="360" w:lineRule="auto"/>
        <w:rPr>
          <w:rFonts w:ascii="Book Antiqua" w:eastAsia="宋体" w:hAnsi="Book Antiqua"/>
          <w:b/>
          <w:caps/>
          <w:color w:val="000000" w:themeColor="text1"/>
          <w:sz w:val="24"/>
          <w:lang w:eastAsia="zh-CN"/>
        </w:rPr>
      </w:pPr>
    </w:p>
    <w:p w:rsidR="009C58F4" w:rsidRPr="00D55B2B" w:rsidRDefault="009C58F4" w:rsidP="00C805C6">
      <w:pPr>
        <w:autoSpaceDE w:val="0"/>
        <w:autoSpaceDN w:val="0"/>
        <w:adjustRightInd w:val="0"/>
        <w:snapToGrid w:val="0"/>
        <w:spacing w:line="360" w:lineRule="auto"/>
        <w:rPr>
          <w:rFonts w:ascii="Book Antiqua" w:eastAsia="宋体" w:hAnsi="Book Antiqua"/>
          <w:b/>
          <w:caps/>
          <w:color w:val="000000" w:themeColor="text1"/>
          <w:sz w:val="24"/>
          <w:lang w:eastAsia="zh-CN"/>
        </w:rPr>
      </w:pPr>
      <w:r w:rsidRPr="00D55B2B">
        <w:rPr>
          <w:rFonts w:ascii="Book Antiqua" w:hAnsi="Book Antiqua"/>
          <w:b/>
          <w:caps/>
          <w:color w:val="000000" w:themeColor="text1"/>
          <w:sz w:val="24"/>
        </w:rPr>
        <w:t>comments</w:t>
      </w:r>
    </w:p>
    <w:p w:rsidR="00D55B2B" w:rsidRPr="00D55B2B" w:rsidRDefault="00D55B2B" w:rsidP="00C805C6">
      <w:pPr>
        <w:widowControl/>
        <w:adjustRightInd w:val="0"/>
        <w:snapToGrid w:val="0"/>
        <w:spacing w:line="360" w:lineRule="auto"/>
        <w:rPr>
          <w:rFonts w:ascii="Book Antiqua" w:eastAsia="宋体" w:hAnsi="Book Antiqua" w:cs="宋体"/>
          <w:kern w:val="0"/>
          <w:sz w:val="24"/>
          <w:szCs w:val="24"/>
          <w:lang w:eastAsia="zh-CN"/>
        </w:rPr>
      </w:pPr>
      <w:r w:rsidRPr="00D55B2B">
        <w:rPr>
          <w:rFonts w:ascii="Book Antiqua" w:eastAsia="宋体" w:hAnsi="Book Antiqua" w:cs="Arial"/>
          <w:b/>
          <w:bCs/>
          <w:i/>
          <w:iCs/>
          <w:kern w:val="0"/>
          <w:sz w:val="24"/>
          <w:szCs w:val="24"/>
          <w:lang w:eastAsia="zh-CN"/>
        </w:rPr>
        <w:lastRenderedPageBreak/>
        <w:t>Background</w:t>
      </w:r>
    </w:p>
    <w:p w:rsidR="00D55B2B" w:rsidRPr="00D55B2B" w:rsidRDefault="00D55B2B" w:rsidP="00C805C6">
      <w:pPr>
        <w:widowControl/>
        <w:adjustRightInd w:val="0"/>
        <w:snapToGrid w:val="0"/>
        <w:spacing w:line="360" w:lineRule="auto"/>
        <w:rPr>
          <w:rFonts w:ascii="Book Antiqua" w:eastAsia="宋体" w:hAnsi="Book Antiqua" w:cs="宋体"/>
          <w:kern w:val="0"/>
          <w:sz w:val="24"/>
          <w:szCs w:val="24"/>
          <w:lang w:eastAsia="zh-CN"/>
        </w:rPr>
      </w:pPr>
      <w:r w:rsidRPr="00D55B2B">
        <w:rPr>
          <w:rFonts w:ascii="Book Antiqua" w:eastAsia="宋体" w:hAnsi="Book Antiqua" w:cs="Arial"/>
          <w:kern w:val="0"/>
          <w:sz w:val="24"/>
          <w:szCs w:val="24"/>
          <w:lang w:eastAsia="zh-CN"/>
        </w:rPr>
        <w:t xml:space="preserve">Persistent </w:t>
      </w:r>
      <w:r w:rsidRPr="00900E2E">
        <w:rPr>
          <w:rFonts w:ascii="Book Antiqua" w:hAnsi="Book Antiqua"/>
          <w:color w:val="000000" w:themeColor="text1"/>
          <w:sz w:val="24"/>
          <w:szCs w:val="24"/>
        </w:rPr>
        <w:t xml:space="preserve">hepatitis C virus (HCV) </w:t>
      </w:r>
      <w:r w:rsidRPr="00D55B2B">
        <w:rPr>
          <w:rFonts w:ascii="Book Antiqua" w:eastAsia="宋体" w:hAnsi="Book Antiqua" w:cs="Arial"/>
          <w:kern w:val="0"/>
          <w:sz w:val="24"/>
          <w:szCs w:val="24"/>
          <w:lang w:eastAsia="zh-CN"/>
        </w:rPr>
        <w:t xml:space="preserve">infection is a major cause of chronic liver disease leading to </w:t>
      </w:r>
      <w:r w:rsidRPr="00900E2E">
        <w:rPr>
          <w:rFonts w:ascii="Book Antiqua" w:hAnsi="Book Antiqua"/>
          <w:color w:val="000000" w:themeColor="text1"/>
          <w:sz w:val="24"/>
          <w:szCs w:val="24"/>
        </w:rPr>
        <w:t xml:space="preserve">hepatocellular carcinoma (HCC) </w:t>
      </w:r>
      <w:r w:rsidRPr="00D55B2B">
        <w:rPr>
          <w:rFonts w:ascii="Book Antiqua" w:eastAsia="宋体" w:hAnsi="Book Antiqua" w:cs="Arial"/>
          <w:kern w:val="0"/>
          <w:sz w:val="24"/>
          <w:szCs w:val="24"/>
          <w:lang w:eastAsia="zh-CN"/>
        </w:rPr>
        <w:t>development. Patients with chronic hepatitis C are frequently treated with interferon-based antiviral therapy, which most effectively lowers the risk of developing HCC in patients who achieve sustained virological response (SVR), and the use of direct-acting antiviral drugs against HCV has drastically increased the SVR rate of the therapy. However, the risk of HCC development persists after interferon therapy even in patients who achieve SVR. Therefore, the identification of predictors of HCC development after SVR is becoming increasingly important.</w:t>
      </w:r>
    </w:p>
    <w:p w:rsidR="00D55B2B" w:rsidRDefault="00D55B2B" w:rsidP="00C805C6">
      <w:pPr>
        <w:widowControl/>
        <w:adjustRightInd w:val="0"/>
        <w:snapToGrid w:val="0"/>
        <w:spacing w:line="360" w:lineRule="auto"/>
        <w:rPr>
          <w:rFonts w:ascii="Book Antiqua" w:eastAsia="宋体" w:hAnsi="Book Antiqua" w:cs="Arial"/>
          <w:b/>
          <w:bCs/>
          <w:i/>
          <w:iCs/>
          <w:kern w:val="0"/>
          <w:sz w:val="24"/>
          <w:szCs w:val="24"/>
          <w:lang w:eastAsia="zh-CN"/>
        </w:rPr>
      </w:pPr>
    </w:p>
    <w:p w:rsidR="00D55B2B" w:rsidRPr="00D55B2B" w:rsidRDefault="00D55B2B" w:rsidP="00C805C6">
      <w:pPr>
        <w:widowControl/>
        <w:adjustRightInd w:val="0"/>
        <w:snapToGrid w:val="0"/>
        <w:spacing w:line="360" w:lineRule="auto"/>
        <w:rPr>
          <w:rFonts w:ascii="Book Antiqua" w:eastAsia="宋体" w:hAnsi="Book Antiqua" w:cs="宋体"/>
          <w:kern w:val="0"/>
          <w:sz w:val="24"/>
          <w:szCs w:val="24"/>
          <w:lang w:eastAsia="zh-CN"/>
        </w:rPr>
      </w:pPr>
      <w:r w:rsidRPr="00D55B2B">
        <w:rPr>
          <w:rFonts w:ascii="Book Antiqua" w:eastAsia="宋体" w:hAnsi="Book Antiqua" w:cs="Arial"/>
          <w:b/>
          <w:bCs/>
          <w:i/>
          <w:iCs/>
          <w:kern w:val="0"/>
          <w:sz w:val="24"/>
          <w:szCs w:val="24"/>
          <w:lang w:eastAsia="zh-CN"/>
        </w:rPr>
        <w:t>Research frontiers</w:t>
      </w:r>
    </w:p>
    <w:p w:rsidR="00D55B2B" w:rsidRDefault="00D55B2B" w:rsidP="00C805C6">
      <w:pPr>
        <w:widowControl/>
        <w:adjustRightInd w:val="0"/>
        <w:snapToGrid w:val="0"/>
        <w:spacing w:line="360" w:lineRule="auto"/>
        <w:rPr>
          <w:rFonts w:ascii="Book Antiqua" w:eastAsia="宋体" w:hAnsi="Book Antiqua" w:cs="Arial"/>
          <w:kern w:val="0"/>
          <w:sz w:val="24"/>
          <w:szCs w:val="24"/>
          <w:lang w:eastAsia="zh-CN"/>
        </w:rPr>
      </w:pPr>
      <w:r w:rsidRPr="00D55B2B">
        <w:rPr>
          <w:rFonts w:ascii="Book Antiqua" w:eastAsia="宋体" w:hAnsi="Book Antiqua" w:cs="Arial"/>
          <w:kern w:val="0"/>
          <w:sz w:val="24"/>
          <w:szCs w:val="24"/>
          <w:lang w:eastAsia="zh-CN"/>
        </w:rPr>
        <w:t>The efficiency of surveillance examinations for HCC can be enhanced if we can identify reliable predictors of HCC development after HCV eradication.</w:t>
      </w:r>
    </w:p>
    <w:p w:rsidR="00D55B2B" w:rsidRPr="00D55B2B" w:rsidRDefault="00D55B2B" w:rsidP="00C805C6">
      <w:pPr>
        <w:widowControl/>
        <w:adjustRightInd w:val="0"/>
        <w:snapToGrid w:val="0"/>
        <w:spacing w:line="360" w:lineRule="auto"/>
        <w:rPr>
          <w:rFonts w:ascii="Book Antiqua" w:eastAsia="宋体" w:hAnsi="Book Antiqua" w:cs="宋体"/>
          <w:kern w:val="0"/>
          <w:sz w:val="24"/>
          <w:szCs w:val="24"/>
          <w:lang w:eastAsia="zh-CN"/>
        </w:rPr>
      </w:pPr>
    </w:p>
    <w:p w:rsidR="00D55B2B" w:rsidRPr="00D55B2B" w:rsidRDefault="00D55B2B" w:rsidP="00C805C6">
      <w:pPr>
        <w:widowControl/>
        <w:adjustRightInd w:val="0"/>
        <w:snapToGrid w:val="0"/>
        <w:spacing w:line="360" w:lineRule="auto"/>
        <w:rPr>
          <w:rFonts w:ascii="Book Antiqua" w:eastAsia="宋体" w:hAnsi="Book Antiqua" w:cs="宋体"/>
          <w:kern w:val="0"/>
          <w:sz w:val="24"/>
          <w:szCs w:val="24"/>
          <w:lang w:eastAsia="zh-CN"/>
        </w:rPr>
      </w:pPr>
      <w:r w:rsidRPr="00D55B2B">
        <w:rPr>
          <w:rFonts w:ascii="Book Antiqua" w:eastAsia="宋体" w:hAnsi="Book Antiqua" w:cs="Arial"/>
          <w:b/>
          <w:bCs/>
          <w:i/>
          <w:iCs/>
          <w:kern w:val="0"/>
          <w:sz w:val="24"/>
          <w:szCs w:val="24"/>
          <w:lang w:eastAsia="zh-CN"/>
        </w:rPr>
        <w:t>Innovations and breakthroughs</w:t>
      </w:r>
    </w:p>
    <w:p w:rsidR="00D55B2B" w:rsidRDefault="00D55B2B" w:rsidP="00C805C6">
      <w:pPr>
        <w:widowControl/>
        <w:adjustRightInd w:val="0"/>
        <w:snapToGrid w:val="0"/>
        <w:spacing w:line="360" w:lineRule="auto"/>
        <w:rPr>
          <w:rFonts w:ascii="Book Antiqua" w:eastAsia="宋体" w:hAnsi="Book Antiqua" w:cs="Arial"/>
          <w:kern w:val="0"/>
          <w:sz w:val="24"/>
          <w:szCs w:val="24"/>
          <w:lang w:eastAsia="zh-CN"/>
        </w:rPr>
      </w:pPr>
      <w:r w:rsidRPr="00D55B2B">
        <w:rPr>
          <w:rFonts w:ascii="Book Antiqua" w:eastAsia="宋体" w:hAnsi="Book Antiqua" w:cs="Arial"/>
          <w:kern w:val="0"/>
          <w:sz w:val="24"/>
          <w:szCs w:val="24"/>
          <w:lang w:eastAsia="zh-CN"/>
        </w:rPr>
        <w:t xml:space="preserve">In almost half of the chronic hepatitis C patients enrolled in this study, </w:t>
      </w:r>
      <w:r w:rsidR="002E108E" w:rsidRPr="00900E2E">
        <w:rPr>
          <w:rFonts w:ascii="Book Antiqua" w:hAnsi="Book Antiqua"/>
          <w:color w:val="000000" w:themeColor="text1"/>
          <w:sz w:val="24"/>
          <w:szCs w:val="24"/>
        </w:rPr>
        <w:t>aldo-keto reductase family 1 member B10 (AKR1B10)</w:t>
      </w:r>
      <w:r w:rsidR="002E108E">
        <w:rPr>
          <w:rFonts w:ascii="Book Antiqua" w:eastAsia="宋体" w:hAnsi="Book Antiqua" w:hint="eastAsia"/>
          <w:color w:val="000000" w:themeColor="text1"/>
          <w:sz w:val="24"/>
          <w:szCs w:val="24"/>
          <w:lang w:eastAsia="zh-CN"/>
        </w:rPr>
        <w:t xml:space="preserve"> </w:t>
      </w:r>
      <w:r w:rsidRPr="00D55B2B">
        <w:rPr>
          <w:rFonts w:ascii="Book Antiqua" w:eastAsia="宋体" w:hAnsi="Book Antiqua" w:cs="Arial"/>
          <w:kern w:val="0"/>
          <w:sz w:val="24"/>
          <w:szCs w:val="24"/>
          <w:lang w:eastAsia="zh-CN"/>
        </w:rPr>
        <w:t>was expressed in the liver, and high expression of AKR1B10 was found to be an independent risk factor for HCC development after SVR. Moreover, baseline AKR1B10 expression was correlated with the levels of two liver-damage markers after SVR.</w:t>
      </w:r>
    </w:p>
    <w:p w:rsidR="00D55B2B" w:rsidRPr="00D55B2B" w:rsidRDefault="00D55B2B" w:rsidP="00C805C6">
      <w:pPr>
        <w:widowControl/>
        <w:adjustRightInd w:val="0"/>
        <w:snapToGrid w:val="0"/>
        <w:spacing w:line="360" w:lineRule="auto"/>
        <w:rPr>
          <w:rFonts w:ascii="Book Antiqua" w:eastAsia="宋体" w:hAnsi="Book Antiqua" w:cs="宋体"/>
          <w:kern w:val="0"/>
          <w:sz w:val="24"/>
          <w:szCs w:val="24"/>
          <w:lang w:eastAsia="zh-CN"/>
        </w:rPr>
      </w:pPr>
    </w:p>
    <w:p w:rsidR="00D55B2B" w:rsidRPr="00D55B2B" w:rsidRDefault="00D55B2B" w:rsidP="00C805C6">
      <w:pPr>
        <w:widowControl/>
        <w:adjustRightInd w:val="0"/>
        <w:snapToGrid w:val="0"/>
        <w:spacing w:line="360" w:lineRule="auto"/>
        <w:rPr>
          <w:rFonts w:ascii="Book Antiqua" w:eastAsia="宋体" w:hAnsi="Book Antiqua" w:cs="宋体"/>
          <w:kern w:val="0"/>
          <w:sz w:val="24"/>
          <w:szCs w:val="24"/>
          <w:lang w:eastAsia="zh-CN"/>
        </w:rPr>
      </w:pPr>
      <w:r w:rsidRPr="00D55B2B">
        <w:rPr>
          <w:rFonts w:ascii="Book Antiqua" w:eastAsia="宋体" w:hAnsi="Book Antiqua" w:cs="Arial"/>
          <w:b/>
          <w:bCs/>
          <w:i/>
          <w:iCs/>
          <w:kern w:val="0"/>
          <w:sz w:val="24"/>
          <w:szCs w:val="24"/>
          <w:lang w:eastAsia="zh-CN"/>
        </w:rPr>
        <w:t>Applications</w:t>
      </w:r>
    </w:p>
    <w:p w:rsidR="00D55B2B" w:rsidRDefault="00D55B2B" w:rsidP="00C805C6">
      <w:pPr>
        <w:widowControl/>
        <w:adjustRightInd w:val="0"/>
        <w:snapToGrid w:val="0"/>
        <w:spacing w:line="360" w:lineRule="auto"/>
        <w:rPr>
          <w:rFonts w:ascii="Book Antiqua" w:eastAsia="宋体" w:hAnsi="Book Antiqua" w:cs="Arial"/>
          <w:kern w:val="0"/>
          <w:sz w:val="24"/>
          <w:szCs w:val="24"/>
          <w:lang w:eastAsia="zh-CN"/>
        </w:rPr>
      </w:pPr>
      <w:r w:rsidRPr="00D55B2B">
        <w:rPr>
          <w:rFonts w:ascii="Book Antiqua" w:eastAsia="宋体" w:hAnsi="Book Antiqua" w:cs="Arial"/>
          <w:kern w:val="0"/>
          <w:sz w:val="24"/>
          <w:szCs w:val="24"/>
          <w:lang w:eastAsia="zh-CN"/>
        </w:rPr>
        <w:t>The results of this study identify AKR1B10 as a novel predictive marker of HCC development. Furthermore, the findings suggest that AKR1B10 functions in the early stages of hepatocarcinogenesis, which raises the possibility that AKR1B10 could serve as a therapeutic target for HCC prevention.</w:t>
      </w:r>
    </w:p>
    <w:p w:rsidR="00D55B2B" w:rsidRPr="00D55B2B" w:rsidRDefault="00D55B2B" w:rsidP="00C805C6">
      <w:pPr>
        <w:widowControl/>
        <w:adjustRightInd w:val="0"/>
        <w:snapToGrid w:val="0"/>
        <w:spacing w:line="360" w:lineRule="auto"/>
        <w:jc w:val="left"/>
        <w:rPr>
          <w:rFonts w:ascii="宋体" w:eastAsia="宋体" w:hAnsi="宋体" w:cs="宋体"/>
          <w:kern w:val="0"/>
          <w:sz w:val="24"/>
          <w:szCs w:val="24"/>
          <w:lang w:eastAsia="zh-CN"/>
        </w:rPr>
      </w:pPr>
    </w:p>
    <w:p w:rsidR="00D55B2B" w:rsidRPr="00D55B2B" w:rsidRDefault="00D55B2B" w:rsidP="00C805C6">
      <w:pPr>
        <w:autoSpaceDE w:val="0"/>
        <w:autoSpaceDN w:val="0"/>
        <w:adjustRightInd w:val="0"/>
        <w:snapToGrid w:val="0"/>
        <w:spacing w:line="360" w:lineRule="auto"/>
        <w:rPr>
          <w:rFonts w:ascii="Book Antiqua" w:eastAsia="宋体" w:hAnsi="Book Antiqua"/>
          <w:b/>
          <w:i/>
          <w:caps/>
          <w:color w:val="000000" w:themeColor="text1"/>
          <w:sz w:val="24"/>
          <w:lang w:eastAsia="zh-CN"/>
        </w:rPr>
      </w:pPr>
      <w:r w:rsidRPr="00D55B2B">
        <w:rPr>
          <w:rFonts w:ascii="Book Antiqua" w:eastAsia="宋体" w:hAnsi="Book Antiqua" w:hint="eastAsia"/>
          <w:b/>
          <w:i/>
          <w:caps/>
          <w:color w:val="000000" w:themeColor="text1"/>
          <w:sz w:val="24"/>
          <w:lang w:eastAsia="zh-CN"/>
        </w:rPr>
        <w:t>P</w:t>
      </w:r>
      <w:r w:rsidRPr="00D55B2B">
        <w:rPr>
          <w:rFonts w:ascii="Book Antiqua" w:eastAsia="宋体" w:hAnsi="Book Antiqua"/>
          <w:b/>
          <w:i/>
          <w:color w:val="000000" w:themeColor="text1"/>
          <w:sz w:val="24"/>
          <w:lang w:eastAsia="zh-CN"/>
        </w:rPr>
        <w:t>eer-review</w:t>
      </w:r>
    </w:p>
    <w:p w:rsidR="00D55B2B" w:rsidRPr="002E108E" w:rsidRDefault="002E108E" w:rsidP="00C805C6">
      <w:pPr>
        <w:autoSpaceDE w:val="0"/>
        <w:autoSpaceDN w:val="0"/>
        <w:adjustRightInd w:val="0"/>
        <w:snapToGrid w:val="0"/>
        <w:spacing w:line="360" w:lineRule="auto"/>
        <w:rPr>
          <w:rFonts w:ascii="Book Antiqua" w:eastAsia="宋体" w:hAnsi="Book Antiqua"/>
          <w:caps/>
          <w:color w:val="000000" w:themeColor="text1"/>
          <w:sz w:val="24"/>
          <w:lang w:eastAsia="zh-CN"/>
        </w:rPr>
      </w:pPr>
      <w:r w:rsidRPr="002E108E">
        <w:rPr>
          <w:rFonts w:ascii="Book Antiqua" w:eastAsia="宋体" w:hAnsi="Book Antiqua"/>
          <w:color w:val="000000" w:themeColor="text1"/>
          <w:sz w:val="24"/>
          <w:lang w:eastAsia="zh-CN"/>
        </w:rPr>
        <w:lastRenderedPageBreak/>
        <w:t xml:space="preserve">Authors investigated the association between </w:t>
      </w:r>
      <w:r w:rsidRPr="002E108E">
        <w:rPr>
          <w:rFonts w:ascii="Book Antiqua" w:eastAsia="宋体" w:hAnsi="Book Antiqua"/>
          <w:caps/>
          <w:color w:val="000000" w:themeColor="text1"/>
          <w:sz w:val="24"/>
          <w:lang w:eastAsia="zh-CN"/>
        </w:rPr>
        <w:t>akr1b10</w:t>
      </w:r>
      <w:r w:rsidRPr="002E108E">
        <w:rPr>
          <w:rFonts w:ascii="Book Antiqua" w:eastAsia="宋体" w:hAnsi="Book Antiqua"/>
          <w:color w:val="000000" w:themeColor="text1"/>
          <w:sz w:val="24"/>
          <w:lang w:eastAsia="zh-CN"/>
        </w:rPr>
        <w:t xml:space="preserve"> expression and hepatocarcinogenesis after </w:t>
      </w:r>
      <w:r>
        <w:rPr>
          <w:rFonts w:ascii="Book Antiqua" w:eastAsia="宋体" w:hAnsi="Book Antiqua" w:hint="eastAsia"/>
          <w:color w:val="000000" w:themeColor="text1"/>
          <w:sz w:val="24"/>
          <w:lang w:eastAsia="zh-CN"/>
        </w:rPr>
        <w:t>HCV</w:t>
      </w:r>
      <w:r w:rsidRPr="002E108E">
        <w:rPr>
          <w:rFonts w:ascii="Book Antiqua" w:eastAsia="宋体" w:hAnsi="Book Antiqua"/>
          <w:color w:val="000000" w:themeColor="text1"/>
          <w:sz w:val="24"/>
          <w:lang w:eastAsia="zh-CN"/>
        </w:rPr>
        <w:t xml:space="preserve"> eradication. They studied 303 chronic hepatitis c patients who had achieved </w:t>
      </w:r>
      <w:r w:rsidRPr="002E108E">
        <w:rPr>
          <w:rFonts w:ascii="Book Antiqua" w:eastAsia="宋体" w:hAnsi="Book Antiqua"/>
          <w:caps/>
          <w:color w:val="000000" w:themeColor="text1"/>
          <w:sz w:val="24"/>
          <w:lang w:eastAsia="zh-CN"/>
        </w:rPr>
        <w:t>svr</w:t>
      </w:r>
      <w:r w:rsidRPr="002E108E">
        <w:rPr>
          <w:rFonts w:ascii="Book Antiqua" w:eastAsia="宋体" w:hAnsi="Book Antiqua"/>
          <w:color w:val="000000" w:themeColor="text1"/>
          <w:sz w:val="24"/>
          <w:lang w:eastAsia="zh-CN"/>
        </w:rPr>
        <w:t xml:space="preserve">. This manuscript contains some interesting topics for prediction of </w:t>
      </w:r>
      <w:r w:rsidRPr="002E108E">
        <w:rPr>
          <w:rFonts w:ascii="Book Antiqua" w:eastAsia="宋体" w:hAnsi="Book Antiqua"/>
          <w:caps/>
          <w:color w:val="000000" w:themeColor="text1"/>
          <w:sz w:val="24"/>
          <w:lang w:eastAsia="zh-CN"/>
        </w:rPr>
        <w:t>hcc</w:t>
      </w:r>
      <w:r w:rsidRPr="002E108E">
        <w:rPr>
          <w:rFonts w:ascii="Book Antiqua" w:eastAsia="宋体" w:hAnsi="Book Antiqua"/>
          <w:color w:val="000000" w:themeColor="text1"/>
          <w:sz w:val="24"/>
          <w:lang w:eastAsia="zh-CN"/>
        </w:rPr>
        <w:t xml:space="preserve"> development after </w:t>
      </w:r>
      <w:r w:rsidRPr="002E108E">
        <w:rPr>
          <w:rFonts w:ascii="Book Antiqua" w:eastAsia="宋体" w:hAnsi="Book Antiqua"/>
          <w:caps/>
          <w:color w:val="000000" w:themeColor="text1"/>
          <w:sz w:val="24"/>
          <w:lang w:eastAsia="zh-CN"/>
        </w:rPr>
        <w:t>svr</w:t>
      </w:r>
      <w:r w:rsidRPr="002E108E">
        <w:rPr>
          <w:rFonts w:ascii="Book Antiqua" w:eastAsia="宋体" w:hAnsi="Book Antiqua"/>
          <w:color w:val="000000" w:themeColor="text1"/>
          <w:sz w:val="24"/>
          <w:lang w:eastAsia="zh-CN"/>
        </w:rPr>
        <w:t>.</w:t>
      </w:r>
    </w:p>
    <w:p w:rsidR="009C58F4" w:rsidRPr="00900E2E" w:rsidRDefault="009C58F4" w:rsidP="00C805C6">
      <w:pPr>
        <w:adjustRightInd w:val="0"/>
        <w:snapToGrid w:val="0"/>
        <w:spacing w:line="360" w:lineRule="auto"/>
        <w:rPr>
          <w:rFonts w:ascii="Book Antiqua" w:eastAsia="宋体" w:hAnsi="Book Antiqua"/>
          <w:color w:val="000000" w:themeColor="text1"/>
          <w:sz w:val="24"/>
          <w:szCs w:val="24"/>
          <w:lang w:eastAsia="zh-CN"/>
        </w:rPr>
      </w:pPr>
      <w:r w:rsidRPr="00900E2E">
        <w:rPr>
          <w:rFonts w:ascii="Book Antiqua" w:eastAsia="宋体" w:hAnsi="Book Antiqua"/>
          <w:color w:val="000000" w:themeColor="text1"/>
          <w:sz w:val="24"/>
          <w:szCs w:val="24"/>
          <w:lang w:eastAsia="zh-CN"/>
        </w:rPr>
        <w:br w:type="page"/>
      </w:r>
    </w:p>
    <w:p w:rsidR="00404C55" w:rsidRPr="00900E2E" w:rsidRDefault="00404C55" w:rsidP="00C805C6">
      <w:pPr>
        <w:widowControl/>
        <w:adjustRightInd w:val="0"/>
        <w:snapToGrid w:val="0"/>
        <w:spacing w:line="360" w:lineRule="auto"/>
        <w:jc w:val="left"/>
        <w:rPr>
          <w:rFonts w:ascii="Book Antiqua" w:eastAsia="宋体" w:hAnsi="Book Antiqua"/>
          <w:b/>
          <w:color w:val="000000" w:themeColor="text1"/>
          <w:sz w:val="24"/>
          <w:szCs w:val="24"/>
          <w:lang w:eastAsia="zh-CN"/>
        </w:rPr>
      </w:pPr>
      <w:r w:rsidRPr="00900E2E">
        <w:rPr>
          <w:rFonts w:ascii="Book Antiqua" w:hAnsi="Book Antiqua"/>
          <w:b/>
          <w:color w:val="000000" w:themeColor="text1"/>
          <w:sz w:val="24"/>
          <w:szCs w:val="24"/>
        </w:rPr>
        <w:lastRenderedPageBreak/>
        <w:t>REFERENCES</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1</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El-Serag HB</w:t>
      </w:r>
      <w:r w:rsidRPr="003962AC">
        <w:rPr>
          <w:rFonts w:ascii="Book Antiqua" w:eastAsia="宋体" w:hAnsi="Book Antiqua" w:cs="宋体"/>
          <w:color w:val="000000" w:themeColor="text1"/>
          <w:kern w:val="0"/>
          <w:sz w:val="24"/>
          <w:szCs w:val="24"/>
        </w:rPr>
        <w:t>, Rudolph KL. Hepatocellular carcinoma: epidemiology and molecular carcinogenesis.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Gastroenterology</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2007;</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132</w:t>
      </w:r>
      <w:r w:rsidRPr="003962AC">
        <w:rPr>
          <w:rFonts w:ascii="Book Antiqua" w:eastAsia="宋体" w:hAnsi="Book Antiqua" w:cs="宋体"/>
          <w:color w:val="000000" w:themeColor="text1"/>
          <w:kern w:val="0"/>
          <w:sz w:val="24"/>
          <w:szCs w:val="24"/>
        </w:rPr>
        <w:t>: 2557-2576 [PMID: 17570226 DOI: 10.1053/j.gastro.2007.04.061]</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2</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Fattovich G</w:t>
      </w:r>
      <w:r w:rsidRPr="003962AC">
        <w:rPr>
          <w:rFonts w:ascii="Book Antiqua" w:eastAsia="宋体" w:hAnsi="Book Antiqua" w:cs="宋体"/>
          <w:color w:val="000000" w:themeColor="text1"/>
          <w:kern w:val="0"/>
          <w:sz w:val="24"/>
          <w:szCs w:val="24"/>
        </w:rPr>
        <w:t>, Stroffolini T, Zagni I, Donato F. Hepatocellular carcinoma in cirrhosis: incidence and risk factors.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Gastroenterology</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2004;</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127</w:t>
      </w:r>
      <w:r w:rsidRPr="003962AC">
        <w:rPr>
          <w:rFonts w:ascii="Book Antiqua" w:eastAsia="宋体" w:hAnsi="Book Antiqua" w:cs="宋体"/>
          <w:color w:val="000000" w:themeColor="text1"/>
          <w:kern w:val="0"/>
          <w:sz w:val="24"/>
          <w:szCs w:val="24"/>
        </w:rPr>
        <w:t>: S35-S50 [PMID: 15508101 DOI: 10.1053/j.gastro.2004.09.014]</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3</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Kiyosawa K</w:t>
      </w:r>
      <w:r w:rsidRPr="003962AC">
        <w:rPr>
          <w:rFonts w:ascii="Book Antiqua" w:eastAsia="宋体" w:hAnsi="Book Antiqua" w:cs="宋体"/>
          <w:color w:val="000000" w:themeColor="text1"/>
          <w:kern w:val="0"/>
          <w:sz w:val="24"/>
          <w:szCs w:val="24"/>
        </w:rPr>
        <w:t>, Umemura T, Ichijo T, Matsumoto A, Yoshizawa K, Gad A, Tanaka E. Hepatocellular carcinoma: recent trends in Japan.</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Gastroenterology</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2004;</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127</w:t>
      </w:r>
      <w:r w:rsidRPr="003962AC">
        <w:rPr>
          <w:rFonts w:ascii="Book Antiqua" w:eastAsia="宋体" w:hAnsi="Book Antiqua" w:cs="宋体"/>
          <w:color w:val="000000" w:themeColor="text1"/>
          <w:kern w:val="0"/>
          <w:sz w:val="24"/>
          <w:szCs w:val="24"/>
        </w:rPr>
        <w:t>: S17-S26 [PMID: 15508082 DOI: 10.1053/j.gastro.2004.09.012]</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4</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Sun CA</w:t>
      </w:r>
      <w:r w:rsidRPr="003962AC">
        <w:rPr>
          <w:rFonts w:ascii="Book Antiqua" w:eastAsia="宋体" w:hAnsi="Book Antiqua" w:cs="宋体"/>
          <w:color w:val="000000" w:themeColor="text1"/>
          <w:kern w:val="0"/>
          <w:sz w:val="24"/>
          <w:szCs w:val="24"/>
        </w:rPr>
        <w:t>, Wu DM, Lin CC, Lu SN, You SL, Wang LY, Wu MH, Chen CJ. Incidence and cofactors of hepatitis C virus-related hepatocellular carcinoma: a prospective study of 12,008 men in Taiwan.</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Am J Epidemiol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2003;</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157</w:t>
      </w:r>
      <w:r w:rsidRPr="003962AC">
        <w:rPr>
          <w:rFonts w:ascii="Book Antiqua" w:eastAsia="宋体" w:hAnsi="Book Antiqua" w:cs="宋体"/>
          <w:color w:val="000000" w:themeColor="text1"/>
          <w:kern w:val="0"/>
          <w:sz w:val="24"/>
          <w:szCs w:val="24"/>
        </w:rPr>
        <w:t>: 674-682 [PMID: 12697571 DOI: 10.1093/aje/kwg041]</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5</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Cammà C</w:t>
      </w:r>
      <w:r w:rsidRPr="003962AC">
        <w:rPr>
          <w:rFonts w:ascii="Book Antiqua" w:eastAsia="宋体" w:hAnsi="Book Antiqua" w:cs="宋体"/>
          <w:color w:val="000000" w:themeColor="text1"/>
          <w:kern w:val="0"/>
          <w:sz w:val="24"/>
          <w:szCs w:val="24"/>
        </w:rPr>
        <w:t>, Giunta M, Andreone P, Craxì A. Interferon and prevention of hepatocellular carcinoma in viral cirrhosis: an evidence-based approach.</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J Hepatol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2001;</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34</w:t>
      </w:r>
      <w:r w:rsidRPr="003962AC">
        <w:rPr>
          <w:rFonts w:ascii="Book Antiqua" w:eastAsia="宋体" w:hAnsi="Book Antiqua" w:cs="宋体"/>
          <w:color w:val="000000" w:themeColor="text1"/>
          <w:kern w:val="0"/>
          <w:sz w:val="24"/>
          <w:szCs w:val="24"/>
        </w:rPr>
        <w:t>: 593-602 [PMID: 11394661 DOI: 10.1016/S0168-8278(01)00005-8]</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6</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Papatheodoridis GV</w:t>
      </w:r>
      <w:r w:rsidRPr="003962AC">
        <w:rPr>
          <w:rFonts w:ascii="Book Antiqua" w:eastAsia="宋体" w:hAnsi="Book Antiqua" w:cs="宋体"/>
          <w:color w:val="000000" w:themeColor="text1"/>
          <w:kern w:val="0"/>
          <w:sz w:val="24"/>
          <w:szCs w:val="24"/>
        </w:rPr>
        <w:t>, Papadimitropoulos VC, Hadziyannis SJ. Effect of interferon therapy on the development of hepatocellular carcinoma in patients with hepatitis C virus-related cirrhosis: a meta-analysis.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Aliment Pharmacol Ther</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2001;</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15</w:t>
      </w:r>
      <w:r w:rsidRPr="003962AC">
        <w:rPr>
          <w:rFonts w:ascii="Book Antiqua" w:eastAsia="宋体" w:hAnsi="Book Antiqua" w:cs="宋体"/>
          <w:color w:val="000000" w:themeColor="text1"/>
          <w:kern w:val="0"/>
          <w:sz w:val="24"/>
          <w:szCs w:val="24"/>
        </w:rPr>
        <w:t>: 689-698 [PMID: 11328263 DOI: 10.1046/j.1365-2036.2001.00979.x]</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7</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Shiratori Y</w:t>
      </w:r>
      <w:r w:rsidRPr="003962AC">
        <w:rPr>
          <w:rFonts w:ascii="Book Antiqua" w:eastAsia="宋体" w:hAnsi="Book Antiqua" w:cs="宋体"/>
          <w:color w:val="000000" w:themeColor="text1"/>
          <w:kern w:val="0"/>
          <w:sz w:val="24"/>
          <w:szCs w:val="24"/>
        </w:rPr>
        <w:t>, Ito Y, Yokosuka O, Imazeki F, Nakata R, Tanaka N, Arakawa Y, Hashimoto E, Hirota K, Yoshida H, Ohashi Y, Omata M</w:t>
      </w:r>
      <w:r w:rsidRPr="00900E2E">
        <w:rPr>
          <w:rFonts w:ascii="Book Antiqua" w:eastAsia="宋体" w:hAnsi="Book Antiqua" w:cs="宋体"/>
          <w:color w:val="000000" w:themeColor="text1"/>
          <w:kern w:val="0"/>
          <w:sz w:val="24"/>
          <w:szCs w:val="24"/>
        </w:rPr>
        <w:t>; Tokyo-Chiba Hepatitis Research Group.</w:t>
      </w:r>
      <w:r w:rsidRPr="003962AC">
        <w:rPr>
          <w:rFonts w:ascii="Book Antiqua" w:eastAsia="宋体" w:hAnsi="Book Antiqua" w:cs="宋体"/>
          <w:color w:val="000000" w:themeColor="text1"/>
          <w:kern w:val="0"/>
          <w:sz w:val="24"/>
          <w:szCs w:val="24"/>
        </w:rPr>
        <w:t xml:space="preserve"> Antiviral therapy for cirrhotic hepatitis C: association with reduced hepatocellular carcinoma development and improved survival.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Ann Intern Med</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2005;</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142</w:t>
      </w:r>
      <w:r w:rsidRPr="003962AC">
        <w:rPr>
          <w:rFonts w:ascii="Book Antiqua" w:eastAsia="宋体" w:hAnsi="Book Antiqua" w:cs="宋体"/>
          <w:color w:val="000000" w:themeColor="text1"/>
          <w:kern w:val="0"/>
          <w:sz w:val="24"/>
          <w:szCs w:val="24"/>
        </w:rPr>
        <w:t>: 105-114 [PMID: 15657158 DOI: 10.7326/0003-4819-142-2-200501180-00009]</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lastRenderedPageBreak/>
        <w:t>8</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Hayashi N</w:t>
      </w:r>
      <w:r w:rsidRPr="003962AC">
        <w:rPr>
          <w:rFonts w:ascii="Book Antiqua" w:eastAsia="宋体" w:hAnsi="Book Antiqua" w:cs="宋体"/>
          <w:color w:val="000000" w:themeColor="text1"/>
          <w:kern w:val="0"/>
          <w:sz w:val="24"/>
          <w:szCs w:val="24"/>
        </w:rPr>
        <w:t>, Okanoue T, Tsubouchi H, Toyota J, Chayama K, Kumada H. Efficacy and safety of telaprevir, a new protease inhibitor, for difficult-to-treat patients with genotype 1 chronic hepatitis C.</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J Viral Hepat</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2012;</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19</w:t>
      </w:r>
      <w:r w:rsidRPr="003962AC">
        <w:rPr>
          <w:rFonts w:ascii="Book Antiqua" w:eastAsia="宋体" w:hAnsi="Book Antiqua" w:cs="宋体"/>
          <w:color w:val="000000" w:themeColor="text1"/>
          <w:kern w:val="0"/>
          <w:sz w:val="24"/>
          <w:szCs w:val="24"/>
        </w:rPr>
        <w:t>: e134-e142 [PMID: 22239511 DOI: 10.1111/j.1365-2893.2011.01528.x]</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9</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Hayashi N</w:t>
      </w:r>
      <w:r w:rsidRPr="003962AC">
        <w:rPr>
          <w:rFonts w:ascii="Book Antiqua" w:eastAsia="宋体" w:hAnsi="Book Antiqua" w:cs="宋体"/>
          <w:color w:val="000000" w:themeColor="text1"/>
          <w:kern w:val="0"/>
          <w:sz w:val="24"/>
          <w:szCs w:val="24"/>
        </w:rPr>
        <w:t>, Izumi N, Kumada H, Okanoue T, Tsubouchi H, Yatsuhashi H, Kato M, Ki R, Komada Y, Seto C, Goto S. Simeprevir with peginterferon/ribavirin for treatment-naïve hepatitis C genotype 1 patients in Japan: CONCERTO-1, a phase III trial.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J Hepatol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2014;</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61</w:t>
      </w:r>
      <w:r w:rsidRPr="003962AC">
        <w:rPr>
          <w:rFonts w:ascii="Book Antiqua" w:eastAsia="宋体" w:hAnsi="Book Antiqua" w:cs="宋体"/>
          <w:color w:val="000000" w:themeColor="text1"/>
          <w:kern w:val="0"/>
          <w:sz w:val="24"/>
          <w:szCs w:val="24"/>
        </w:rPr>
        <w:t>: 219-227 [PMID: 24727123 DOI: 10.1016/j.jhep.2014.04.004]</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10</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Morgan TR</w:t>
      </w:r>
      <w:r w:rsidRPr="003962AC">
        <w:rPr>
          <w:rFonts w:ascii="Book Antiqua" w:eastAsia="宋体" w:hAnsi="Book Antiqua" w:cs="宋体"/>
          <w:color w:val="000000" w:themeColor="text1"/>
          <w:kern w:val="0"/>
          <w:sz w:val="24"/>
          <w:szCs w:val="24"/>
        </w:rPr>
        <w:t>, Ghany MG, Kim HY, Snow KK, Shiffman ML, De Santo JL, Lee WM, Di Bisceglie AM, Bonkovsky HL, Dienstag JL, Morishima C, Lindsay KL, Lok AS. Outcome of sustained virological responders with histologically advanced chronic hepatitis C.</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Hepatology</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2010;</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52</w:t>
      </w:r>
      <w:r w:rsidRPr="003962AC">
        <w:rPr>
          <w:rFonts w:ascii="Book Antiqua" w:eastAsia="宋体" w:hAnsi="Book Antiqua" w:cs="宋体"/>
          <w:color w:val="000000" w:themeColor="text1"/>
          <w:kern w:val="0"/>
          <w:sz w:val="24"/>
          <w:szCs w:val="24"/>
        </w:rPr>
        <w:t>: 833-844 [PMID: 20564351 DOI: 10.1002/hep.23744]</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11</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Scuric Z</w:t>
      </w:r>
      <w:r w:rsidRPr="003962AC">
        <w:rPr>
          <w:rFonts w:ascii="Book Antiqua" w:eastAsia="宋体" w:hAnsi="Book Antiqua" w:cs="宋体"/>
          <w:color w:val="000000" w:themeColor="text1"/>
          <w:kern w:val="0"/>
          <w:sz w:val="24"/>
          <w:szCs w:val="24"/>
        </w:rPr>
        <w:t>, Stain SC, Anderson WF, Hwang JJ. New member of aldose reductase family proteins overexpressed in human hepatocellular carcinoma.</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Hepatology</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1998;</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27</w:t>
      </w:r>
      <w:r w:rsidRPr="003962AC">
        <w:rPr>
          <w:rFonts w:ascii="Book Antiqua" w:eastAsia="宋体" w:hAnsi="Book Antiqua" w:cs="宋体"/>
          <w:color w:val="000000" w:themeColor="text1"/>
          <w:kern w:val="0"/>
          <w:sz w:val="24"/>
          <w:szCs w:val="24"/>
        </w:rPr>
        <w:t>: 943-950 [PMID: 9537432 DOI: 10.1002/hep.510270408]</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12</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Cao D</w:t>
      </w:r>
      <w:r w:rsidRPr="003962AC">
        <w:rPr>
          <w:rFonts w:ascii="Book Antiqua" w:eastAsia="宋体" w:hAnsi="Book Antiqua" w:cs="宋体"/>
          <w:color w:val="000000" w:themeColor="text1"/>
          <w:kern w:val="0"/>
          <w:sz w:val="24"/>
          <w:szCs w:val="24"/>
        </w:rPr>
        <w:t>, Fan ST, Chung SS. Identification and characterization of a novel human aldose reductase-like gene.</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J Biol Chem</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1998;</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273</w:t>
      </w:r>
      <w:r w:rsidRPr="003962AC">
        <w:rPr>
          <w:rFonts w:ascii="Book Antiqua" w:eastAsia="宋体" w:hAnsi="Book Antiqua" w:cs="宋体"/>
          <w:color w:val="000000" w:themeColor="text1"/>
          <w:kern w:val="0"/>
          <w:sz w:val="24"/>
          <w:szCs w:val="24"/>
        </w:rPr>
        <w:t>: 11429-11435 [PMID: 9565553 DOI: 10.1074/jbc.273.19.11429]</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 xml:space="preserve">13 </w:t>
      </w:r>
      <w:r w:rsidRPr="00900E2E">
        <w:rPr>
          <w:rFonts w:ascii="Book Antiqua" w:eastAsia="宋体" w:hAnsi="Book Antiqua" w:cs="宋体"/>
          <w:b/>
          <w:color w:val="000000" w:themeColor="text1"/>
          <w:kern w:val="0"/>
          <w:sz w:val="24"/>
          <w:szCs w:val="24"/>
        </w:rPr>
        <w:t>Mori M</w:t>
      </w:r>
      <w:r w:rsidRPr="00900E2E">
        <w:rPr>
          <w:rFonts w:ascii="Book Antiqua" w:eastAsia="宋体" w:hAnsi="Book Antiqua" w:cs="宋体"/>
          <w:color w:val="000000" w:themeColor="text1"/>
          <w:kern w:val="0"/>
          <w:sz w:val="24"/>
          <w:szCs w:val="24"/>
        </w:rPr>
        <w:t>, Genda T, Ichida T, Murata A, Kamei M, Tsuzura H, Sato S, Narita Y, Kanemitsu Y, Ishikawa S, Kikuchi T, Shimada Y, Hirano K, Iijima K, Sugimoto K, Wada R, Nagahara A, Watanabe S</w:t>
      </w:r>
      <w:r w:rsidRPr="003962AC">
        <w:rPr>
          <w:rFonts w:ascii="Book Antiqua" w:eastAsia="宋体" w:hAnsi="Book Antiqua" w:cs="宋体"/>
          <w:color w:val="000000" w:themeColor="text1"/>
          <w:kern w:val="0"/>
          <w:sz w:val="24"/>
          <w:szCs w:val="24"/>
        </w:rPr>
        <w:t>. Aldo-keto reductase family 1 member B10 is associated with hepatitis B virus-related hepatocellular carcinoma risk.</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Hepatol Res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2016;</w:t>
      </w:r>
      <w:r w:rsidRPr="00900E2E">
        <w:rPr>
          <w:rFonts w:ascii="Book Antiqua" w:eastAsia="宋体" w:hAnsi="Book Antiqua" w:cs="宋体"/>
          <w:color w:val="000000" w:themeColor="text1"/>
          <w:kern w:val="0"/>
          <w:sz w:val="24"/>
          <w:szCs w:val="24"/>
        </w:rPr>
        <w:t xml:space="preserve"> Epub ahead of print</w:t>
      </w:r>
      <w:r w:rsidRPr="003962AC">
        <w:rPr>
          <w:rFonts w:ascii="Book Antiqua" w:eastAsia="宋体" w:hAnsi="Book Antiqua" w:cs="宋体"/>
          <w:color w:val="000000" w:themeColor="text1"/>
          <w:kern w:val="0"/>
          <w:sz w:val="24"/>
          <w:szCs w:val="24"/>
        </w:rPr>
        <w:t xml:space="preserve"> [PMID: 27084455 DOI: 10.1111/hepr.12725]</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14</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Sato S</w:t>
      </w:r>
      <w:r w:rsidRPr="003962AC">
        <w:rPr>
          <w:rFonts w:ascii="Book Antiqua" w:eastAsia="宋体" w:hAnsi="Book Antiqua" w:cs="宋体"/>
          <w:color w:val="000000" w:themeColor="text1"/>
          <w:kern w:val="0"/>
          <w:sz w:val="24"/>
          <w:szCs w:val="24"/>
        </w:rPr>
        <w:t xml:space="preserve">, Genda T, Hirano K, Tsuzura H, Narita Y, Kanemitsu Y, Kikuchi T, Iijima K, Wada R, Ichida T. Up-regulated aldo-keto reductase family 1 member </w:t>
      </w:r>
      <w:r w:rsidRPr="003962AC">
        <w:rPr>
          <w:rFonts w:ascii="Book Antiqua" w:eastAsia="宋体" w:hAnsi="Book Antiqua" w:cs="宋体"/>
          <w:color w:val="000000" w:themeColor="text1"/>
          <w:kern w:val="0"/>
          <w:sz w:val="24"/>
          <w:szCs w:val="24"/>
        </w:rPr>
        <w:lastRenderedPageBreak/>
        <w:t>B10 in chronic hepatitis C: association with serum alpha-fetoprotein and hepatocellular carcinoma.</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Liver Int</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2012;</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32</w:t>
      </w:r>
      <w:r w:rsidRPr="003962AC">
        <w:rPr>
          <w:rFonts w:ascii="Book Antiqua" w:eastAsia="宋体" w:hAnsi="Book Antiqua" w:cs="宋体"/>
          <w:color w:val="000000" w:themeColor="text1"/>
          <w:kern w:val="0"/>
          <w:sz w:val="24"/>
          <w:szCs w:val="24"/>
        </w:rPr>
        <w:t>: 1382-1390 [PMID: 22681639 DOI: 10.1111/j.1478-3231.2012.02827.x]</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 xml:space="preserve">15 </w:t>
      </w:r>
      <w:r w:rsidRPr="00900E2E">
        <w:rPr>
          <w:rFonts w:ascii="Book Antiqua" w:eastAsia="宋体" w:hAnsi="Book Antiqua" w:cs="宋体"/>
          <w:b/>
          <w:color w:val="000000" w:themeColor="text1"/>
          <w:kern w:val="0"/>
          <w:sz w:val="24"/>
          <w:szCs w:val="24"/>
        </w:rPr>
        <w:t>Sato S</w:t>
      </w:r>
      <w:r w:rsidRPr="00900E2E">
        <w:rPr>
          <w:rFonts w:ascii="Book Antiqua" w:eastAsia="宋体" w:hAnsi="Book Antiqua" w:cs="宋体"/>
          <w:color w:val="000000" w:themeColor="text1"/>
          <w:kern w:val="0"/>
          <w:sz w:val="24"/>
          <w:szCs w:val="24"/>
        </w:rPr>
        <w:t>, Genda T, Ichida T, Murata A, Tsuzura H, Narita Y, Kanemitsu Y, Ishikawa S, Kikuchi T, Mori M, Hirano K, Iijima K, Wada R, Nagahara A, Watanabe S</w:t>
      </w:r>
      <w:r w:rsidRPr="003962AC">
        <w:rPr>
          <w:rFonts w:ascii="Book Antiqua" w:eastAsia="宋体" w:hAnsi="Book Antiqua" w:cs="宋体"/>
          <w:color w:val="000000" w:themeColor="text1"/>
          <w:kern w:val="0"/>
          <w:sz w:val="24"/>
          <w:szCs w:val="24"/>
        </w:rPr>
        <w:t>. Impact of aldo-keto reductase family 1 member B10 on the risk of hepatitis C virus-related hepatocellular carcinoma.</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J Gastroenterol Hepatol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2016;</w:t>
      </w:r>
      <w:r w:rsidRPr="00900E2E">
        <w:rPr>
          <w:rFonts w:ascii="Book Antiqua" w:eastAsia="宋体" w:hAnsi="Book Antiqua" w:cs="宋体"/>
          <w:color w:val="000000" w:themeColor="text1"/>
          <w:kern w:val="0"/>
          <w:sz w:val="24"/>
          <w:szCs w:val="24"/>
        </w:rPr>
        <w:t xml:space="preserve"> Epub ahead of print</w:t>
      </w:r>
      <w:r w:rsidRPr="003962AC">
        <w:rPr>
          <w:rFonts w:ascii="Book Antiqua" w:eastAsia="宋体" w:hAnsi="Book Antiqua" w:cs="宋体"/>
          <w:color w:val="000000" w:themeColor="text1"/>
          <w:kern w:val="0"/>
          <w:sz w:val="24"/>
          <w:szCs w:val="24"/>
        </w:rPr>
        <w:t xml:space="preserve"> [PMID: 26758591 DOI: 10.1111/jgh.13295]</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16</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Starmann J</w:t>
      </w:r>
      <w:r w:rsidRPr="003962AC">
        <w:rPr>
          <w:rFonts w:ascii="Book Antiqua" w:eastAsia="宋体" w:hAnsi="Book Antiqua" w:cs="宋体"/>
          <w:color w:val="000000" w:themeColor="text1"/>
          <w:kern w:val="0"/>
          <w:sz w:val="24"/>
          <w:szCs w:val="24"/>
        </w:rPr>
        <w:t>, Fälth M, Spindelböck W, Lanz KL, Lackner C, Zatloukal K, Trauner M, Sültmann H. Gene expression profiling unravels cancer-related hepatic molecular signatures in steatohepatitis but not in steatosis.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PLoS One</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2012;</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7</w:t>
      </w:r>
      <w:r w:rsidRPr="003962AC">
        <w:rPr>
          <w:rFonts w:ascii="Book Antiqua" w:eastAsia="宋体" w:hAnsi="Book Antiqua" w:cs="宋体"/>
          <w:color w:val="000000" w:themeColor="text1"/>
          <w:kern w:val="0"/>
          <w:sz w:val="24"/>
          <w:szCs w:val="24"/>
        </w:rPr>
        <w:t>: e46584 [PMID: 23071592 DOI: 10.1371/journal.pone.0046584]</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17</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Tsuzura H</w:t>
      </w:r>
      <w:r w:rsidRPr="003962AC">
        <w:rPr>
          <w:rFonts w:ascii="Book Antiqua" w:eastAsia="宋体" w:hAnsi="Book Antiqua" w:cs="宋体"/>
          <w:color w:val="000000" w:themeColor="text1"/>
          <w:kern w:val="0"/>
          <w:sz w:val="24"/>
          <w:szCs w:val="24"/>
        </w:rPr>
        <w:t>, Genda T, Sato S, Murata A, Kanemitsu Y, Narita Y, Ishikawa S, Kikuchi T, Mori M, Hirano K, Iijima K, Wada R, Ichida T. Expression of aldo-keto reductase family 1 member b10 in the early stages of human hepatocarcinogenesis.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Int J Mol Sci</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2014;</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15</w:t>
      </w:r>
      <w:r w:rsidRPr="003962AC">
        <w:rPr>
          <w:rFonts w:ascii="Book Antiqua" w:eastAsia="宋体" w:hAnsi="Book Antiqua" w:cs="宋体"/>
          <w:color w:val="000000" w:themeColor="text1"/>
          <w:kern w:val="0"/>
          <w:sz w:val="24"/>
          <w:szCs w:val="24"/>
        </w:rPr>
        <w:t>: 6556-6568 [PMID: 24747592 DOI: 10.3390/ijms15046556]</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18</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Yan R</w:t>
      </w:r>
      <w:r w:rsidRPr="003962AC">
        <w:rPr>
          <w:rFonts w:ascii="Book Antiqua" w:eastAsia="宋体" w:hAnsi="Book Antiqua" w:cs="宋体"/>
          <w:color w:val="000000" w:themeColor="text1"/>
          <w:kern w:val="0"/>
          <w:sz w:val="24"/>
          <w:szCs w:val="24"/>
        </w:rPr>
        <w:t>, Zu X, Ma J, Liu Z, Adeyanju M, Cao D. Aldo-keto reductase family 1 B10 gene silencing results in growth inhibition of colorectal cancer cells: Implication for cancer intervention.</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Int J Cancer</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2007;</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121</w:t>
      </w:r>
      <w:r w:rsidRPr="003962AC">
        <w:rPr>
          <w:rFonts w:ascii="Book Antiqua" w:eastAsia="宋体" w:hAnsi="Book Antiqua" w:cs="宋体"/>
          <w:color w:val="000000" w:themeColor="text1"/>
          <w:kern w:val="0"/>
          <w:sz w:val="24"/>
          <w:szCs w:val="24"/>
        </w:rPr>
        <w:t>: 2301-2306 [PMID: 17597105 DOI: 10.1002/ijc.22933]</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19</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Satow R</w:t>
      </w:r>
      <w:r w:rsidRPr="003962AC">
        <w:rPr>
          <w:rFonts w:ascii="Book Antiqua" w:eastAsia="宋体" w:hAnsi="Book Antiqua" w:cs="宋体"/>
          <w:color w:val="000000" w:themeColor="text1"/>
          <w:kern w:val="0"/>
          <w:sz w:val="24"/>
          <w:szCs w:val="24"/>
        </w:rPr>
        <w:t>, Shitashige M, Kanai Y, Takeshita F, Ojima H, Jigami T, Honda K, Kosuge T, Ochiya T, Hirohashi S, Yamada T. Combined functional genome survey of therapeutic targets for hepatocellular carcinoma.</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Clin Cancer Res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2010;</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16</w:t>
      </w:r>
      <w:r w:rsidRPr="003962AC">
        <w:rPr>
          <w:rFonts w:ascii="Book Antiqua" w:eastAsia="宋体" w:hAnsi="Book Antiqua" w:cs="宋体"/>
          <w:color w:val="000000" w:themeColor="text1"/>
          <w:kern w:val="0"/>
          <w:sz w:val="24"/>
          <w:szCs w:val="24"/>
        </w:rPr>
        <w:t>: 2518-2528 [PMID: 20388846 DOI: 10.1158/1078-0432.CCR-09-2214]</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20</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Bedossa P</w:t>
      </w:r>
      <w:r w:rsidRPr="003962AC">
        <w:rPr>
          <w:rFonts w:ascii="Book Antiqua" w:eastAsia="宋体" w:hAnsi="Book Antiqua" w:cs="宋体"/>
          <w:color w:val="000000" w:themeColor="text1"/>
          <w:kern w:val="0"/>
          <w:sz w:val="24"/>
          <w:szCs w:val="24"/>
        </w:rPr>
        <w:t>, Poynard T</w:t>
      </w:r>
      <w:r w:rsidRPr="00900E2E">
        <w:rPr>
          <w:rFonts w:ascii="Book Antiqua" w:eastAsia="宋体" w:hAnsi="Book Antiqua" w:cs="宋体"/>
          <w:color w:val="000000" w:themeColor="text1"/>
          <w:kern w:val="0"/>
          <w:sz w:val="24"/>
          <w:szCs w:val="24"/>
        </w:rPr>
        <w:t>; for the METAVIR Cooperative Study Group.</w:t>
      </w:r>
      <w:r w:rsidRPr="003962AC">
        <w:rPr>
          <w:rFonts w:ascii="Book Antiqua" w:eastAsia="宋体" w:hAnsi="Book Antiqua" w:cs="宋体"/>
          <w:color w:val="000000" w:themeColor="text1"/>
          <w:kern w:val="0"/>
          <w:sz w:val="24"/>
          <w:szCs w:val="24"/>
        </w:rPr>
        <w:t xml:space="preserve"> An algorithm for the grading of activity in chronic hepatitis C. The METAVIR Cooperative Study Group.</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Hepatology</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1996;</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24</w:t>
      </w:r>
      <w:r w:rsidRPr="003962AC">
        <w:rPr>
          <w:rFonts w:ascii="Book Antiqua" w:eastAsia="宋体" w:hAnsi="Book Antiqua" w:cs="宋体"/>
          <w:color w:val="000000" w:themeColor="text1"/>
          <w:kern w:val="0"/>
          <w:sz w:val="24"/>
          <w:szCs w:val="24"/>
        </w:rPr>
        <w:t>: 289-293 [PMID: 8690394 DOI: 10.1002/hep.510240201]</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lastRenderedPageBreak/>
        <w:t>21</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Heringlake S</w:t>
      </w:r>
      <w:r w:rsidRPr="003962AC">
        <w:rPr>
          <w:rFonts w:ascii="Book Antiqua" w:eastAsia="宋体" w:hAnsi="Book Antiqua" w:cs="宋体"/>
          <w:color w:val="000000" w:themeColor="text1"/>
          <w:kern w:val="0"/>
          <w:sz w:val="24"/>
          <w:szCs w:val="24"/>
        </w:rPr>
        <w:t>, Hofdmann M, Fiebeler A, Manns MP, Schmiegel W, Tannapfel A. Identification and expression analysis of the aldo-ketoreductase1-B10 gene in primary malignant liver tumours.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J Hepatol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2010;</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52</w:t>
      </w:r>
      <w:r w:rsidRPr="003962AC">
        <w:rPr>
          <w:rFonts w:ascii="Book Antiqua" w:eastAsia="宋体" w:hAnsi="Book Antiqua" w:cs="宋体"/>
          <w:color w:val="000000" w:themeColor="text1"/>
          <w:kern w:val="0"/>
          <w:sz w:val="24"/>
          <w:szCs w:val="24"/>
        </w:rPr>
        <w:t>: 220-227 [PMID: 20036025 DOI: 10.1016/j.jhep.2009.11.005]</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22</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Ogawa E</w:t>
      </w:r>
      <w:r w:rsidRPr="003962AC">
        <w:rPr>
          <w:rFonts w:ascii="Book Antiqua" w:eastAsia="宋体" w:hAnsi="Book Antiqua" w:cs="宋体"/>
          <w:color w:val="000000" w:themeColor="text1"/>
          <w:kern w:val="0"/>
          <w:sz w:val="24"/>
          <w:szCs w:val="24"/>
        </w:rPr>
        <w:t>, Furusyo N, Kajiwara E, Takahashi K, Nomura H, Maruyama T, Tanabe Y, Satoh T, Nakamuta M, Kotoh K, Azuma K, Dohmen K, Shimoda S, Hayashi J</w:t>
      </w:r>
      <w:r w:rsidRPr="00900E2E">
        <w:rPr>
          <w:rFonts w:ascii="Book Antiqua" w:eastAsia="宋体" w:hAnsi="Book Antiqua" w:cs="宋体"/>
          <w:color w:val="000000" w:themeColor="text1"/>
          <w:kern w:val="0"/>
          <w:sz w:val="24"/>
          <w:szCs w:val="24"/>
        </w:rPr>
        <w:t>; Kyushu University Liver Disease Study (KULDS) Group.</w:t>
      </w:r>
      <w:r w:rsidRPr="003962AC">
        <w:rPr>
          <w:rFonts w:ascii="Book Antiqua" w:eastAsia="宋体" w:hAnsi="Book Antiqua" w:cs="宋体"/>
          <w:color w:val="000000" w:themeColor="text1"/>
          <w:kern w:val="0"/>
          <w:sz w:val="24"/>
          <w:szCs w:val="24"/>
        </w:rPr>
        <w:t xml:space="preserve"> Efficacy of pegylated interferon alpha-2b and ribavirin treatment on the risk of hepatocellular carcinoma in patients with chronic hepatitis C: a prospective, multicenter study.</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J Hepatol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2013;</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58</w:t>
      </w:r>
      <w:r w:rsidRPr="003962AC">
        <w:rPr>
          <w:rFonts w:ascii="Book Antiqua" w:eastAsia="宋体" w:hAnsi="Book Antiqua" w:cs="宋体"/>
          <w:color w:val="000000" w:themeColor="text1"/>
          <w:kern w:val="0"/>
          <w:sz w:val="24"/>
          <w:szCs w:val="24"/>
        </w:rPr>
        <w:t>: 495-501 [PMID: 23099187 DOI: 10.1016/j.jhep.2012.10.017]</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23</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Huang CF</w:t>
      </w:r>
      <w:r w:rsidRPr="003962AC">
        <w:rPr>
          <w:rFonts w:ascii="Book Antiqua" w:eastAsia="宋体" w:hAnsi="Book Antiqua" w:cs="宋体"/>
          <w:color w:val="000000" w:themeColor="text1"/>
          <w:kern w:val="0"/>
          <w:sz w:val="24"/>
          <w:szCs w:val="24"/>
        </w:rPr>
        <w:t>, Yeh ML, Tsai PC, Hsieh MH, Yang HL, Hsieh MY, Yang JF, Lin ZY, Chen SC, Wang LY, Dai CY, Huang JF, Chuang WL, Yu ML. Baseline gamma-glutamyl transferase levels strongly correlate with hepatocellular carcinoma development in non-cirrhotic patients with successful hepatitis C virus eradication.</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J Hepatol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2014;</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61</w:t>
      </w:r>
      <w:r w:rsidRPr="003962AC">
        <w:rPr>
          <w:rFonts w:ascii="Book Antiqua" w:eastAsia="宋体" w:hAnsi="Book Antiqua" w:cs="宋体"/>
          <w:color w:val="000000" w:themeColor="text1"/>
          <w:kern w:val="0"/>
          <w:sz w:val="24"/>
          <w:szCs w:val="24"/>
        </w:rPr>
        <w:t>: 67-74 [PMID: 24613362 DOI: 10.1016/j.jhep.2014.02.022]</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24</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Yamashita N</w:t>
      </w:r>
      <w:r w:rsidRPr="003962AC">
        <w:rPr>
          <w:rFonts w:ascii="Book Antiqua" w:eastAsia="宋体" w:hAnsi="Book Antiqua" w:cs="宋体"/>
          <w:color w:val="000000" w:themeColor="text1"/>
          <w:kern w:val="0"/>
          <w:sz w:val="24"/>
          <w:szCs w:val="24"/>
        </w:rPr>
        <w:t>, Ohho A, Yamasaki A, Kurokawa M, Kotoh K, Kajiwara E. Hepatocarcinogenesis in chronic hepatitis C patients achieving a sustained virological response to interferon: significance of lifelong periodic cancer screening for improving outcomes.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J Gastroenterol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2014;</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49</w:t>
      </w:r>
      <w:r w:rsidRPr="003962AC">
        <w:rPr>
          <w:rFonts w:ascii="Book Antiqua" w:eastAsia="宋体" w:hAnsi="Book Antiqua" w:cs="宋体"/>
          <w:color w:val="000000" w:themeColor="text1"/>
          <w:kern w:val="0"/>
          <w:sz w:val="24"/>
          <w:szCs w:val="24"/>
        </w:rPr>
        <w:t>: 1504-1513 [PMID: 24317936 DOI: 10.1007/s00535-013-0921-z]</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25</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Toyoda H</w:t>
      </w:r>
      <w:r w:rsidRPr="003962AC">
        <w:rPr>
          <w:rFonts w:ascii="Book Antiqua" w:eastAsia="宋体" w:hAnsi="Book Antiqua" w:cs="宋体"/>
          <w:color w:val="000000" w:themeColor="text1"/>
          <w:kern w:val="0"/>
          <w:sz w:val="24"/>
          <w:szCs w:val="24"/>
        </w:rPr>
        <w:t>, Kumada T, Tada T, Kiriyama S, Tanikawa M, Hisanaga Y, Kanamori A, Kitabatake S, Ito T. Risk factors of hepatocellular carcinoma development in non-cirrhotic patients with sustained virologic response for chronic hepatitis C virus infection.</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J Gastroenterol Hepatol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2015;</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30</w:t>
      </w:r>
      <w:r w:rsidRPr="003962AC">
        <w:rPr>
          <w:rFonts w:ascii="Book Antiqua" w:eastAsia="宋体" w:hAnsi="Book Antiqua" w:cs="宋体"/>
          <w:color w:val="000000" w:themeColor="text1"/>
          <w:kern w:val="0"/>
          <w:sz w:val="24"/>
          <w:szCs w:val="24"/>
        </w:rPr>
        <w:t>: 1183-1189 [PMID: 25678094 DOI: 10.1111/jgh.12915]</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26</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Morgan RL</w:t>
      </w:r>
      <w:r w:rsidRPr="003962AC">
        <w:rPr>
          <w:rFonts w:ascii="Book Antiqua" w:eastAsia="宋体" w:hAnsi="Book Antiqua" w:cs="宋体"/>
          <w:color w:val="000000" w:themeColor="text1"/>
          <w:kern w:val="0"/>
          <w:sz w:val="24"/>
          <w:szCs w:val="24"/>
        </w:rPr>
        <w:t xml:space="preserve">, Baack B, Smith BD, Yartel A, Pitasi M, Falck-Ytter Y. Eradication of hepatitis C virus infection and the development of hepatocellular carcinoma: </w:t>
      </w:r>
      <w:r w:rsidRPr="003962AC">
        <w:rPr>
          <w:rFonts w:ascii="Book Antiqua" w:eastAsia="宋体" w:hAnsi="Book Antiqua" w:cs="宋体"/>
          <w:color w:val="000000" w:themeColor="text1"/>
          <w:kern w:val="0"/>
          <w:sz w:val="24"/>
          <w:szCs w:val="24"/>
        </w:rPr>
        <w:lastRenderedPageBreak/>
        <w:t>a meta-analysis of observational studies.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Ann Intern Med</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2013;</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158</w:t>
      </w:r>
      <w:r w:rsidRPr="003962AC">
        <w:rPr>
          <w:rFonts w:ascii="Book Antiqua" w:eastAsia="宋体" w:hAnsi="Book Antiqua" w:cs="宋体"/>
          <w:color w:val="000000" w:themeColor="text1"/>
          <w:kern w:val="0"/>
          <w:sz w:val="24"/>
          <w:szCs w:val="24"/>
        </w:rPr>
        <w:t>: 329-337 [PMID: 23460056 DOI: 10.7326/0003-4819-158-5-201303050-00005]</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27</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Kumada H</w:t>
      </w:r>
      <w:r w:rsidRPr="003962AC">
        <w:rPr>
          <w:rFonts w:ascii="Book Antiqua" w:eastAsia="宋体" w:hAnsi="Book Antiqua" w:cs="宋体"/>
          <w:color w:val="000000" w:themeColor="text1"/>
          <w:kern w:val="0"/>
          <w:sz w:val="24"/>
          <w:szCs w:val="24"/>
        </w:rPr>
        <w:t>, Suzuki Y, Ikeda K, Toyota J, Karino Y, Chayama K, Kawakami Y, Ido A, Yamamoto K, Takaguchi K, Izumi N, Koike K, Takehara T, Kawada N, Sata M, Miyagoshi H, Eley T, McPhee F, Damokosh A, Ishikawa H, Hughes E. Daclatasvir plus asunaprevir for chronic HCV genotype 1b infection.</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Hepatology</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2014;</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59</w:t>
      </w:r>
      <w:r w:rsidRPr="003962AC">
        <w:rPr>
          <w:rFonts w:ascii="Book Antiqua" w:eastAsia="宋体" w:hAnsi="Book Antiqua" w:cs="宋体"/>
          <w:color w:val="000000" w:themeColor="text1"/>
          <w:kern w:val="0"/>
          <w:sz w:val="24"/>
          <w:szCs w:val="24"/>
        </w:rPr>
        <w:t>: 2083-2091 [PMID: 24604476 DOI: 10.1002/hep.27113]</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28</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Mizokami M</w:t>
      </w:r>
      <w:r w:rsidRPr="003962AC">
        <w:rPr>
          <w:rFonts w:ascii="Book Antiqua" w:eastAsia="宋体" w:hAnsi="Book Antiqua" w:cs="宋体"/>
          <w:color w:val="000000" w:themeColor="text1"/>
          <w:kern w:val="0"/>
          <w:sz w:val="24"/>
          <w:szCs w:val="24"/>
        </w:rPr>
        <w:t>, Yokosuka O, Takehara T, Sakamoto N, Korenaga M, Mochizuki H, Nakane K, Enomoto H, Ikeda F, Yanase M, Toyoda H, Genda T, Umemura T, Yatsuhashi H, Ide T, Toda N, Nirei K, Ueno Y, Nishigaki Y, Betular J, Gao B, Ishizaki A, Omote M, Mo H, Garrison K, Pang PS, Knox SJ, Symonds WT, McHutchison JG, Izumi N, Omata M. Ledipasvir and sofosbuvir fixed-dose combination with and without ribavirin for 12 weeks in treatment-naive and previously treated Japanese patients with genotype 1 hepatitis C: an open-label, randomised, phase 3 trial.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Lancet Infect Dis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2015;</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15</w:t>
      </w:r>
      <w:r w:rsidRPr="003962AC">
        <w:rPr>
          <w:rFonts w:ascii="Book Antiqua" w:eastAsia="宋体" w:hAnsi="Book Antiqua" w:cs="宋体"/>
          <w:color w:val="000000" w:themeColor="text1"/>
          <w:kern w:val="0"/>
          <w:sz w:val="24"/>
          <w:szCs w:val="24"/>
        </w:rPr>
        <w:t>: 645-653 [PMID: 25863559 DOI: 10.1016/S1473-3099(15)70099-X]</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29</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Yoshida H</w:t>
      </w:r>
      <w:r w:rsidRPr="003962AC">
        <w:rPr>
          <w:rFonts w:ascii="Book Antiqua" w:eastAsia="宋体" w:hAnsi="Book Antiqua" w:cs="宋体"/>
          <w:color w:val="000000" w:themeColor="text1"/>
          <w:kern w:val="0"/>
          <w:sz w:val="24"/>
          <w:szCs w:val="24"/>
        </w:rPr>
        <w:t>, Shiratori Y, Moriyama M, Arakawa Y, Ide T, Sata M, Inoue O, Yano M, Tanaka M, Fujiyama S, Nishiguchi S, Kuroki T, Imazeki F, Yokosuka O, Kinoyama S, Yamada G, Omata M. Interferon therapy reduces the risk for hepatocellular carcinoma: national surveillance program of cirrhotic and noncirrhotic patients with chronic hepatitis C in Japan. IHIT Study Group. Inhibition of Hepatocarcinogenesis by Interferon Therapy.</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Ann Intern Med</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1999;</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131</w:t>
      </w:r>
      <w:r w:rsidRPr="003962AC">
        <w:rPr>
          <w:rFonts w:ascii="Book Antiqua" w:eastAsia="宋体" w:hAnsi="Book Antiqua" w:cs="宋体"/>
          <w:color w:val="000000" w:themeColor="text1"/>
          <w:kern w:val="0"/>
          <w:sz w:val="24"/>
          <w:szCs w:val="24"/>
        </w:rPr>
        <w:t>: 174-181 [PMID: 10428733 DOI: 10.7326/0003-4819-131-3-199908030-00003]</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30</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Crosas B</w:t>
      </w:r>
      <w:r w:rsidRPr="003962AC">
        <w:rPr>
          <w:rFonts w:ascii="Book Antiqua" w:eastAsia="宋体" w:hAnsi="Book Antiqua" w:cs="宋体"/>
          <w:color w:val="000000" w:themeColor="text1"/>
          <w:kern w:val="0"/>
          <w:sz w:val="24"/>
          <w:szCs w:val="24"/>
        </w:rPr>
        <w:t>, Hyndman DJ, Gallego O, Martras S, Parés X, Flynn TG, Farrés J. Human aldose reductase and human small intestine aldose reductase are efficient retinal reductases: consequences for retinoid metabolism.</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Biochem J</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2003;</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373</w:t>
      </w:r>
      <w:r w:rsidRPr="003962AC">
        <w:rPr>
          <w:rFonts w:ascii="Book Antiqua" w:eastAsia="宋体" w:hAnsi="Book Antiqua" w:cs="宋体"/>
          <w:color w:val="000000" w:themeColor="text1"/>
          <w:kern w:val="0"/>
          <w:sz w:val="24"/>
          <w:szCs w:val="24"/>
        </w:rPr>
        <w:t>: 973-979 [PMID: 12732097 DOI: 10.1042/bj20021818]</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lastRenderedPageBreak/>
        <w:t>31</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Gallego O</w:t>
      </w:r>
      <w:r w:rsidRPr="003962AC">
        <w:rPr>
          <w:rFonts w:ascii="Book Antiqua" w:eastAsia="宋体" w:hAnsi="Book Antiqua" w:cs="宋体"/>
          <w:color w:val="000000" w:themeColor="text1"/>
          <w:kern w:val="0"/>
          <w:sz w:val="24"/>
          <w:szCs w:val="24"/>
        </w:rPr>
        <w:t>, Ruiz FX, Ardèvol A, Domínguez M, Alvarez R, de Lera AR, Rovira C, Farrés J, Fita I, Parés X. Structural basis for the high all-trans-retinaldehyde reductase activity of the tumor marker AKR1B10.</w:t>
      </w:r>
      <w:r w:rsidRPr="00900E2E">
        <w:rPr>
          <w:rFonts w:ascii="Book Antiqua" w:eastAsia="宋体" w:hAnsi="Book Antiqua" w:cs="宋体"/>
          <w:color w:val="000000" w:themeColor="text1"/>
          <w:kern w:val="0"/>
          <w:sz w:val="24"/>
          <w:szCs w:val="24"/>
        </w:rPr>
        <w:t> </w:t>
      </w:r>
      <w:r w:rsidRPr="00900E2E">
        <w:rPr>
          <w:rFonts w:ascii="Book Antiqua" w:eastAsia="宋体" w:hAnsi="Book Antiqua" w:cs="宋体"/>
          <w:i/>
          <w:iCs/>
          <w:color w:val="000000" w:themeColor="text1"/>
          <w:kern w:val="0"/>
          <w:sz w:val="24"/>
          <w:szCs w:val="24"/>
        </w:rPr>
        <w:t>Proc Natl Acad Sci US</w:t>
      </w:r>
      <w:r w:rsidRPr="003962AC">
        <w:rPr>
          <w:rFonts w:ascii="Book Antiqua" w:eastAsia="宋体" w:hAnsi="Book Antiqua" w:cs="宋体"/>
          <w:i/>
          <w:iCs/>
          <w:color w:val="000000" w:themeColor="text1"/>
          <w:kern w:val="0"/>
          <w:sz w:val="24"/>
          <w:szCs w:val="24"/>
        </w:rPr>
        <w:t>A</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2007;</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104</w:t>
      </w:r>
      <w:r w:rsidRPr="003962AC">
        <w:rPr>
          <w:rFonts w:ascii="Book Antiqua" w:eastAsia="宋体" w:hAnsi="Book Antiqua" w:cs="宋体"/>
          <w:color w:val="000000" w:themeColor="text1"/>
          <w:kern w:val="0"/>
          <w:sz w:val="24"/>
          <w:szCs w:val="24"/>
        </w:rPr>
        <w:t>: 20764-20769 [PMID: 18087047 DOI: 10.1073/pnas.0705659105]</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32</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Penning TM</w:t>
      </w:r>
      <w:r w:rsidRPr="003962AC">
        <w:rPr>
          <w:rFonts w:ascii="Book Antiqua" w:eastAsia="宋体" w:hAnsi="Book Antiqua" w:cs="宋体"/>
          <w:color w:val="000000" w:themeColor="text1"/>
          <w:kern w:val="0"/>
          <w:sz w:val="24"/>
          <w:szCs w:val="24"/>
        </w:rPr>
        <w:t>. AKR1B10: a new diagnostic marker of non-small cell lung carcinoma in smokers.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Clin Cancer Res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2005;</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11</w:t>
      </w:r>
      <w:r w:rsidRPr="003962AC">
        <w:rPr>
          <w:rFonts w:ascii="Book Antiqua" w:eastAsia="宋体" w:hAnsi="Book Antiqua" w:cs="宋体"/>
          <w:color w:val="000000" w:themeColor="text1"/>
          <w:kern w:val="0"/>
          <w:sz w:val="24"/>
          <w:szCs w:val="24"/>
        </w:rPr>
        <w:t>: 1687-1690 [PMID: 15755988 DOI: 10.1158/1078-0432.CCR-05-0071]</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33</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Ruiz FX</w:t>
      </w:r>
      <w:r w:rsidRPr="003962AC">
        <w:rPr>
          <w:rFonts w:ascii="Book Antiqua" w:eastAsia="宋体" w:hAnsi="Book Antiqua" w:cs="宋体"/>
          <w:color w:val="000000" w:themeColor="text1"/>
          <w:kern w:val="0"/>
          <w:sz w:val="24"/>
          <w:szCs w:val="24"/>
        </w:rPr>
        <w:t>, Porté S, Parés X, Farrés J. Biological role of aldo-keto reductases in retinoic Acid biosynthesis and signaling.</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Front Pharmacol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2012;</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3</w:t>
      </w:r>
      <w:r w:rsidRPr="003962AC">
        <w:rPr>
          <w:rFonts w:ascii="Book Antiqua" w:eastAsia="宋体" w:hAnsi="Book Antiqua" w:cs="宋体"/>
          <w:color w:val="000000" w:themeColor="text1"/>
          <w:kern w:val="0"/>
          <w:sz w:val="24"/>
          <w:szCs w:val="24"/>
        </w:rPr>
        <w:t>: 58 [PMID: 22529810 DOI: 10.3389/fphar.2012.00058]</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34</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Teramoto R</w:t>
      </w:r>
      <w:r w:rsidRPr="003962AC">
        <w:rPr>
          <w:rFonts w:ascii="Book Antiqua" w:eastAsia="宋体" w:hAnsi="Book Antiqua" w:cs="宋体"/>
          <w:color w:val="000000" w:themeColor="text1"/>
          <w:kern w:val="0"/>
          <w:sz w:val="24"/>
          <w:szCs w:val="24"/>
        </w:rPr>
        <w:t>, Minagawa H, Honda M, Miyazaki K, Tabuse Y, Kamijo K, Ueda T, Kaneko S. Protein expression profile characteristic to hepatocellular carcinoma revealed by 2D-DIGE with supervised learning.</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Biochim Biophys Acta</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2008;</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1784</w:t>
      </w:r>
      <w:r w:rsidRPr="003962AC">
        <w:rPr>
          <w:rFonts w:ascii="Book Antiqua" w:eastAsia="宋体" w:hAnsi="Book Antiqua" w:cs="宋体"/>
          <w:color w:val="000000" w:themeColor="text1"/>
          <w:kern w:val="0"/>
          <w:sz w:val="24"/>
          <w:szCs w:val="24"/>
        </w:rPr>
        <w:t>: 764-772 [PMID: 18359300 DOI: 10.1016/j.bbapap.2008.02.011]</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35</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Osaki Y</w:t>
      </w:r>
      <w:r w:rsidRPr="003962AC">
        <w:rPr>
          <w:rFonts w:ascii="Book Antiqua" w:eastAsia="宋体" w:hAnsi="Book Antiqua" w:cs="宋体"/>
          <w:color w:val="000000" w:themeColor="text1"/>
          <w:kern w:val="0"/>
          <w:sz w:val="24"/>
          <w:szCs w:val="24"/>
        </w:rPr>
        <w:t>, Ueda Y, Marusawa H, Nakajima J, Kimura T, Kita R, Nishikawa H, Saito S, Henmi S, Sakamoto A, Eso Y, Chiba T. Decrease in alpha-fetoprotein levels predicts reduced incidence of hepatocellular carcinoma in patients with hepatitis C virus infection receiving interferon therapy: a single center study.</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J Gastroenterol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2012;</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47</w:t>
      </w:r>
      <w:r w:rsidRPr="003962AC">
        <w:rPr>
          <w:rFonts w:ascii="Book Antiqua" w:eastAsia="宋体" w:hAnsi="Book Antiqua" w:cs="宋体"/>
          <w:color w:val="000000" w:themeColor="text1"/>
          <w:kern w:val="0"/>
          <w:sz w:val="24"/>
          <w:szCs w:val="24"/>
        </w:rPr>
        <w:t>: 444-451 [PMID: 22105231 DOI: 10.1007/s00535-011-0505-8]</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36</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Asahina Y</w:t>
      </w:r>
      <w:r w:rsidRPr="003962AC">
        <w:rPr>
          <w:rFonts w:ascii="Book Antiqua" w:eastAsia="宋体" w:hAnsi="Book Antiqua" w:cs="宋体"/>
          <w:color w:val="000000" w:themeColor="text1"/>
          <w:kern w:val="0"/>
          <w:sz w:val="24"/>
          <w:szCs w:val="24"/>
        </w:rPr>
        <w:t>, Tsuchiya K, Nishimura T, Muraoka M, Suzuki Y, Tamaki N, Yasui Y, Hosokawa T, Ueda K, Nakanishi H, Itakura J, Takahashi Y, Kurosaki M, Enomoto N, Nakagawa M, Kakinuma S, Watanabe M, Izumi N. α-fetoprotein levels after interferon therapy and risk of hepatocarcinogenesis in chronic hepatitis C.</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Hepatology</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2013;</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58</w:t>
      </w:r>
      <w:r w:rsidRPr="003962AC">
        <w:rPr>
          <w:rFonts w:ascii="Book Antiqua" w:eastAsia="宋体" w:hAnsi="Book Antiqua" w:cs="宋体"/>
          <w:color w:val="000000" w:themeColor="text1"/>
          <w:kern w:val="0"/>
          <w:sz w:val="24"/>
          <w:szCs w:val="24"/>
        </w:rPr>
        <w:t>: 1253-1262 [PMID: 23564522 DOI: 10.1002/hep.26442]</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37</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Nishinaka T</w:t>
      </w:r>
      <w:r w:rsidRPr="003962AC">
        <w:rPr>
          <w:rFonts w:ascii="Book Antiqua" w:eastAsia="宋体" w:hAnsi="Book Antiqua" w:cs="宋体"/>
          <w:color w:val="000000" w:themeColor="text1"/>
          <w:kern w:val="0"/>
          <w:sz w:val="24"/>
          <w:szCs w:val="24"/>
        </w:rPr>
        <w:t xml:space="preserve">, Miura T, Okumura M, Nakao F, Nakamura H, Terada T. Regulation of aldo-keto reductase AKR1B10 gene expression: involvement of </w:t>
      </w:r>
      <w:r w:rsidRPr="003962AC">
        <w:rPr>
          <w:rFonts w:ascii="Book Antiqua" w:eastAsia="宋体" w:hAnsi="Book Antiqua" w:cs="宋体"/>
          <w:color w:val="000000" w:themeColor="text1"/>
          <w:kern w:val="0"/>
          <w:sz w:val="24"/>
          <w:szCs w:val="24"/>
        </w:rPr>
        <w:lastRenderedPageBreak/>
        <w:t>transcription factor Nrf2.</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Chem Biol Interact</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2011;</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191</w:t>
      </w:r>
      <w:r w:rsidRPr="003962AC">
        <w:rPr>
          <w:rFonts w:ascii="Book Antiqua" w:eastAsia="宋体" w:hAnsi="Book Antiqua" w:cs="宋体"/>
          <w:color w:val="000000" w:themeColor="text1"/>
          <w:kern w:val="0"/>
          <w:sz w:val="24"/>
          <w:szCs w:val="24"/>
        </w:rPr>
        <w:t>: 185-191 [PMID: 21277289 DOI: 10.1016/j.cbi.2011.01.026]</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38</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Gambino R</w:t>
      </w:r>
      <w:r w:rsidRPr="003962AC">
        <w:rPr>
          <w:rFonts w:ascii="Book Antiqua" w:eastAsia="宋体" w:hAnsi="Book Antiqua" w:cs="宋体"/>
          <w:color w:val="000000" w:themeColor="text1"/>
          <w:kern w:val="0"/>
          <w:sz w:val="24"/>
          <w:szCs w:val="24"/>
        </w:rPr>
        <w:t>, Musso G, Cassader M. Redox balance in the pathogenesis of nonalcoholic fatty liver disease: mechanisms and therapeutic opportunities.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Antioxid Redox Signal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2011;</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15</w:t>
      </w:r>
      <w:r w:rsidRPr="003962AC">
        <w:rPr>
          <w:rFonts w:ascii="Book Antiqua" w:eastAsia="宋体" w:hAnsi="Book Antiqua" w:cs="宋体"/>
          <w:color w:val="000000" w:themeColor="text1"/>
          <w:kern w:val="0"/>
          <w:sz w:val="24"/>
          <w:szCs w:val="24"/>
        </w:rPr>
        <w:t>: 1325-1365 [PMID: 20969475 DOI: 10.1089/ars.2009.3058]</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39</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Seki S</w:t>
      </w:r>
      <w:r w:rsidRPr="003962AC">
        <w:rPr>
          <w:rFonts w:ascii="Book Antiqua" w:eastAsia="宋体" w:hAnsi="Book Antiqua" w:cs="宋体"/>
          <w:color w:val="000000" w:themeColor="text1"/>
          <w:kern w:val="0"/>
          <w:sz w:val="24"/>
          <w:szCs w:val="24"/>
        </w:rPr>
        <w:t>, Kitada T, Yamada T, Sakaguchi H, Nakatani K, Wakasa K. In situ detection of lipid peroxidation and oxidative DNA damage in non-alcoholic fatty liver diseases.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J Hepatol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2002;</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37</w:t>
      </w:r>
      <w:r w:rsidRPr="003962AC">
        <w:rPr>
          <w:rFonts w:ascii="Book Antiqua" w:eastAsia="宋体" w:hAnsi="Book Antiqua" w:cs="宋体"/>
          <w:color w:val="000000" w:themeColor="text1"/>
          <w:kern w:val="0"/>
          <w:sz w:val="24"/>
          <w:szCs w:val="24"/>
        </w:rPr>
        <w:t>: 56-62 [PMID: 12076862 DOI: 10.1016/S0168-8278(02)00073-9]</w:t>
      </w:r>
    </w:p>
    <w:p w:rsidR="00092DCD" w:rsidRPr="003962AC" w:rsidRDefault="00092DCD" w:rsidP="00C805C6">
      <w:pPr>
        <w:widowControl/>
        <w:adjustRightInd w:val="0"/>
        <w:snapToGrid w:val="0"/>
        <w:spacing w:line="360" w:lineRule="auto"/>
        <w:rPr>
          <w:rFonts w:ascii="Book Antiqua" w:eastAsia="宋体" w:hAnsi="Book Antiqua" w:cs="宋体"/>
          <w:color w:val="000000" w:themeColor="text1"/>
          <w:kern w:val="0"/>
          <w:sz w:val="24"/>
          <w:szCs w:val="24"/>
        </w:rPr>
      </w:pPr>
      <w:r w:rsidRPr="003962AC">
        <w:rPr>
          <w:rFonts w:ascii="Book Antiqua" w:eastAsia="宋体" w:hAnsi="Book Antiqua" w:cs="宋体"/>
          <w:color w:val="000000" w:themeColor="text1"/>
          <w:kern w:val="0"/>
          <w:sz w:val="24"/>
          <w:szCs w:val="24"/>
        </w:rPr>
        <w:t>40</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Chalasani N</w:t>
      </w:r>
      <w:r w:rsidRPr="003962AC">
        <w:rPr>
          <w:rFonts w:ascii="Book Antiqua" w:eastAsia="宋体" w:hAnsi="Book Antiqua" w:cs="宋体"/>
          <w:color w:val="000000" w:themeColor="text1"/>
          <w:kern w:val="0"/>
          <w:sz w:val="24"/>
          <w:szCs w:val="24"/>
        </w:rPr>
        <w:t>, Deeg MA, Crabb DW. Systemic levels of lipid peroxidation and its metabolic and dietary correlates in patients with nonalcoholic steatohepatitis.</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i/>
          <w:iCs/>
          <w:color w:val="000000" w:themeColor="text1"/>
          <w:kern w:val="0"/>
          <w:sz w:val="24"/>
          <w:szCs w:val="24"/>
        </w:rPr>
        <w:t>Am J Gastroenterol</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color w:val="000000" w:themeColor="text1"/>
          <w:kern w:val="0"/>
          <w:sz w:val="24"/>
          <w:szCs w:val="24"/>
        </w:rPr>
        <w:t>2004;</w:t>
      </w:r>
      <w:r w:rsidRPr="00900E2E">
        <w:rPr>
          <w:rFonts w:ascii="Book Antiqua" w:eastAsia="宋体" w:hAnsi="Book Antiqua" w:cs="宋体"/>
          <w:color w:val="000000" w:themeColor="text1"/>
          <w:kern w:val="0"/>
          <w:sz w:val="24"/>
          <w:szCs w:val="24"/>
        </w:rPr>
        <w:t> </w:t>
      </w:r>
      <w:r w:rsidRPr="003962AC">
        <w:rPr>
          <w:rFonts w:ascii="Book Antiqua" w:eastAsia="宋体" w:hAnsi="Book Antiqua" w:cs="宋体"/>
          <w:b/>
          <w:bCs/>
          <w:color w:val="000000" w:themeColor="text1"/>
          <w:kern w:val="0"/>
          <w:sz w:val="24"/>
          <w:szCs w:val="24"/>
        </w:rPr>
        <w:t>99</w:t>
      </w:r>
      <w:r w:rsidRPr="003962AC">
        <w:rPr>
          <w:rFonts w:ascii="Book Antiqua" w:eastAsia="宋体" w:hAnsi="Book Antiqua" w:cs="宋体"/>
          <w:color w:val="000000" w:themeColor="text1"/>
          <w:kern w:val="0"/>
          <w:sz w:val="24"/>
          <w:szCs w:val="24"/>
        </w:rPr>
        <w:t>: 1497-1502 [PMID: 15307867 DOI: 10.1111/j.1572-0241.2004.30159.x]</w:t>
      </w:r>
    </w:p>
    <w:p w:rsidR="00092DCD" w:rsidRPr="00900E2E" w:rsidRDefault="00092DCD" w:rsidP="00C805C6">
      <w:pPr>
        <w:adjustRightInd w:val="0"/>
        <w:snapToGrid w:val="0"/>
        <w:spacing w:line="360" w:lineRule="auto"/>
        <w:rPr>
          <w:rFonts w:ascii="Book Antiqua" w:hAnsi="Book Antiqua" w:cs="Times New Roman"/>
          <w:color w:val="000000" w:themeColor="text1"/>
          <w:sz w:val="24"/>
          <w:szCs w:val="24"/>
        </w:rPr>
      </w:pPr>
    </w:p>
    <w:p w:rsidR="00092DCD" w:rsidRPr="00900E2E" w:rsidRDefault="00092DCD" w:rsidP="00C805C6">
      <w:pPr>
        <w:adjustRightInd w:val="0"/>
        <w:snapToGrid w:val="0"/>
        <w:spacing w:line="360" w:lineRule="auto"/>
        <w:jc w:val="right"/>
        <w:rPr>
          <w:rFonts w:ascii="Book Antiqua" w:hAnsi="Book Antiqua"/>
          <w:b/>
          <w:bCs/>
          <w:color w:val="000000" w:themeColor="text1"/>
          <w:sz w:val="24"/>
        </w:rPr>
      </w:pPr>
      <w:r w:rsidRPr="00900E2E">
        <w:rPr>
          <w:rFonts w:ascii="Book Antiqua" w:hAnsi="Book Antiqua"/>
          <w:b/>
          <w:bCs/>
          <w:color w:val="000000" w:themeColor="text1"/>
          <w:sz w:val="24"/>
        </w:rPr>
        <w:t xml:space="preserve">P-Reviewer: </w:t>
      </w:r>
      <w:r w:rsidRPr="00900E2E">
        <w:rPr>
          <w:rFonts w:ascii="Book Antiqua" w:hAnsi="Book Antiqua"/>
          <w:bCs/>
          <w:color w:val="000000" w:themeColor="text1"/>
          <w:sz w:val="24"/>
        </w:rPr>
        <w:t>Cerwenka</w:t>
      </w:r>
      <w:r w:rsidRPr="00900E2E">
        <w:rPr>
          <w:rFonts w:ascii="Book Antiqua" w:eastAsia="宋体" w:hAnsi="Book Antiqua" w:hint="eastAsia"/>
          <w:bCs/>
          <w:color w:val="000000" w:themeColor="text1"/>
          <w:sz w:val="24"/>
          <w:lang w:eastAsia="zh-CN"/>
        </w:rPr>
        <w:t xml:space="preserve"> HR,</w:t>
      </w:r>
      <w:r w:rsidRPr="00900E2E">
        <w:rPr>
          <w:rFonts w:ascii="Book Antiqua" w:hAnsi="Book Antiqua" w:hint="eastAsia"/>
          <w:bCs/>
          <w:color w:val="000000" w:themeColor="text1"/>
          <w:sz w:val="24"/>
        </w:rPr>
        <w:t xml:space="preserve"> </w:t>
      </w:r>
      <w:r w:rsidRPr="00900E2E">
        <w:rPr>
          <w:rFonts w:ascii="Book Antiqua" w:hAnsi="Book Antiqua"/>
          <w:bCs/>
          <w:color w:val="000000" w:themeColor="text1"/>
          <w:sz w:val="24"/>
        </w:rPr>
        <w:t>Kakizaki</w:t>
      </w:r>
      <w:r w:rsidRPr="00900E2E">
        <w:rPr>
          <w:rFonts w:ascii="Book Antiqua" w:eastAsia="宋体" w:hAnsi="Book Antiqua" w:hint="eastAsia"/>
          <w:bCs/>
          <w:color w:val="000000" w:themeColor="text1"/>
          <w:sz w:val="24"/>
          <w:lang w:eastAsia="zh-CN"/>
        </w:rPr>
        <w:t xml:space="preserve"> S,</w:t>
      </w:r>
      <w:r w:rsidRPr="00900E2E">
        <w:rPr>
          <w:rFonts w:ascii="Book Antiqua" w:hAnsi="Book Antiqua" w:hint="eastAsia"/>
          <w:bCs/>
          <w:color w:val="000000" w:themeColor="text1"/>
          <w:sz w:val="24"/>
        </w:rPr>
        <w:t xml:space="preserve"> </w:t>
      </w:r>
      <w:r w:rsidRPr="00900E2E">
        <w:rPr>
          <w:rFonts w:ascii="Book Antiqua" w:hAnsi="Book Antiqua"/>
          <w:bCs/>
          <w:color w:val="000000" w:themeColor="text1"/>
          <w:sz w:val="24"/>
        </w:rPr>
        <w:t>Mendez-Sanchez</w:t>
      </w:r>
      <w:r w:rsidRPr="00900E2E">
        <w:rPr>
          <w:rFonts w:ascii="Book Antiqua" w:eastAsia="宋体" w:hAnsi="Book Antiqua" w:hint="eastAsia"/>
          <w:bCs/>
          <w:color w:val="000000" w:themeColor="text1"/>
          <w:sz w:val="24"/>
          <w:lang w:eastAsia="zh-CN"/>
        </w:rPr>
        <w:t xml:space="preserve"> N</w:t>
      </w:r>
      <w:r w:rsidRPr="00900E2E">
        <w:rPr>
          <w:rFonts w:ascii="Book Antiqua" w:eastAsia="宋体" w:hAnsi="Book Antiqua" w:hint="eastAsia"/>
          <w:b/>
          <w:bCs/>
          <w:color w:val="000000" w:themeColor="text1"/>
          <w:sz w:val="24"/>
          <w:lang w:eastAsia="zh-CN"/>
        </w:rPr>
        <w:t xml:space="preserve"> </w:t>
      </w:r>
      <w:r w:rsidRPr="00900E2E">
        <w:rPr>
          <w:rFonts w:ascii="Book Antiqua" w:hAnsi="Book Antiqua"/>
          <w:b/>
          <w:bCs/>
          <w:color w:val="000000" w:themeColor="text1"/>
          <w:sz w:val="24"/>
        </w:rPr>
        <w:t>S-Editor:</w:t>
      </w:r>
      <w:r w:rsidRPr="00900E2E">
        <w:rPr>
          <w:rFonts w:ascii="Book Antiqua" w:hAnsi="Book Antiqua"/>
          <w:color w:val="000000" w:themeColor="text1"/>
          <w:sz w:val="24"/>
        </w:rPr>
        <w:t xml:space="preserve"> </w:t>
      </w:r>
      <w:r w:rsidRPr="00900E2E">
        <w:rPr>
          <w:rFonts w:ascii="Book Antiqua" w:hAnsi="Book Antiqua" w:hint="eastAsia"/>
          <w:color w:val="000000" w:themeColor="text1"/>
          <w:sz w:val="24"/>
        </w:rPr>
        <w:t xml:space="preserve">Ma YJ </w:t>
      </w:r>
      <w:r w:rsidRPr="00900E2E">
        <w:rPr>
          <w:rFonts w:ascii="Book Antiqua" w:hAnsi="Book Antiqua"/>
          <w:b/>
          <w:bCs/>
          <w:color w:val="000000" w:themeColor="text1"/>
          <w:sz w:val="24"/>
        </w:rPr>
        <w:t>L-Editor:</w:t>
      </w:r>
      <w:r w:rsidRPr="00900E2E">
        <w:rPr>
          <w:rFonts w:ascii="Book Antiqua" w:hAnsi="Book Antiqua"/>
          <w:color w:val="000000" w:themeColor="text1"/>
          <w:sz w:val="24"/>
        </w:rPr>
        <w:t xml:space="preserve"> </w:t>
      </w:r>
      <w:r w:rsidRPr="00900E2E">
        <w:rPr>
          <w:rFonts w:ascii="Book Antiqua" w:hAnsi="Book Antiqua" w:hint="eastAsia"/>
          <w:color w:val="000000" w:themeColor="text1"/>
          <w:sz w:val="24"/>
        </w:rPr>
        <w:t xml:space="preserve"> </w:t>
      </w:r>
      <w:r w:rsidRPr="00900E2E">
        <w:rPr>
          <w:rFonts w:ascii="Book Antiqua" w:hAnsi="Book Antiqua"/>
          <w:color w:val="000000" w:themeColor="text1"/>
          <w:sz w:val="24"/>
        </w:rPr>
        <w:t xml:space="preserve"> </w:t>
      </w:r>
      <w:r w:rsidRPr="00900E2E">
        <w:rPr>
          <w:rFonts w:ascii="Book Antiqua" w:hAnsi="Book Antiqua"/>
          <w:b/>
          <w:bCs/>
          <w:color w:val="000000" w:themeColor="text1"/>
          <w:sz w:val="24"/>
        </w:rPr>
        <w:t>E-Editor:</w:t>
      </w:r>
    </w:p>
    <w:p w:rsidR="00582238" w:rsidRDefault="00582238" w:rsidP="00582238">
      <w:pPr>
        <w:widowControl/>
        <w:shd w:val="clear" w:color="auto" w:fill="FFFFFF"/>
        <w:spacing w:line="360" w:lineRule="auto"/>
        <w:rPr>
          <w:rFonts w:ascii="Book Antiqua" w:eastAsia="宋体" w:hAnsi="Book Antiqua"/>
          <w:b/>
          <w:color w:val="000000" w:themeColor="text1"/>
          <w:sz w:val="24"/>
          <w:szCs w:val="24"/>
          <w:lang w:eastAsia="zh-CN"/>
        </w:rPr>
      </w:pPr>
    </w:p>
    <w:p w:rsidR="004173EC" w:rsidRPr="007D68A7" w:rsidRDefault="004173EC" w:rsidP="004173EC">
      <w:pPr>
        <w:widowControl/>
        <w:shd w:val="clear" w:color="auto" w:fill="FFFFFF"/>
        <w:spacing w:line="360" w:lineRule="auto"/>
        <w:rPr>
          <w:rFonts w:ascii="Book Antiqua" w:eastAsia="宋体" w:hAnsi="Book Antiqua" w:cs="Helvetica"/>
          <w:color w:val="000000" w:themeColor="text1"/>
          <w:kern w:val="0"/>
          <w:sz w:val="24"/>
          <w:szCs w:val="24"/>
        </w:rPr>
      </w:pPr>
      <w:r>
        <w:rPr>
          <w:rFonts w:ascii="Book Antiqua" w:eastAsia="宋体" w:hAnsi="Book Antiqua" w:cs="Helvetica"/>
          <w:b/>
          <w:color w:val="000000" w:themeColor="text1"/>
          <w:kern w:val="0"/>
          <w:sz w:val="24"/>
          <w:szCs w:val="24"/>
        </w:rPr>
        <w:t>Specialty Type:</w:t>
      </w:r>
      <w:r>
        <w:rPr>
          <w:rFonts w:ascii="Book Antiqua" w:eastAsia="宋体" w:hAnsi="Book Antiqua" w:cs="Helvetica" w:hint="eastAsia"/>
          <w:b/>
          <w:color w:val="000000" w:themeColor="text1"/>
          <w:kern w:val="0"/>
          <w:sz w:val="24"/>
          <w:szCs w:val="24"/>
        </w:rPr>
        <w:t xml:space="preserve"> </w:t>
      </w:r>
      <w:r w:rsidRPr="003E2C02">
        <w:rPr>
          <w:rFonts w:ascii="Book Antiqua" w:eastAsia="宋体" w:hAnsi="Book Antiqua" w:cs="Helvetica"/>
          <w:color w:val="000000" w:themeColor="text1"/>
          <w:kern w:val="0"/>
          <w:sz w:val="24"/>
          <w:szCs w:val="24"/>
        </w:rPr>
        <w:t>Gastroenterology and Hepatology</w:t>
      </w:r>
    </w:p>
    <w:p w:rsidR="004173EC" w:rsidRDefault="004173EC" w:rsidP="004173EC">
      <w:pPr>
        <w:widowControl/>
        <w:shd w:val="clear" w:color="auto" w:fill="FFFFFF"/>
        <w:spacing w:line="360" w:lineRule="auto"/>
        <w:rPr>
          <w:rFonts w:ascii="Book Antiqua" w:eastAsia="宋体" w:hAnsi="Book Antiqua" w:cs="Helvetica" w:hint="eastAsia"/>
          <w:b/>
          <w:color w:val="000000" w:themeColor="text1"/>
          <w:kern w:val="0"/>
          <w:sz w:val="24"/>
          <w:szCs w:val="24"/>
          <w:lang w:eastAsia="zh-CN"/>
        </w:rPr>
      </w:pPr>
      <w:r w:rsidRPr="00FA3CD8">
        <w:rPr>
          <w:rFonts w:ascii="Book Antiqua" w:eastAsia="宋体" w:hAnsi="Book Antiqua" w:cs="Helvetica"/>
          <w:b/>
          <w:color w:val="000000" w:themeColor="text1"/>
          <w:kern w:val="0"/>
          <w:sz w:val="24"/>
          <w:szCs w:val="24"/>
        </w:rPr>
        <w:t>Country of Origin:</w:t>
      </w:r>
      <w:r>
        <w:rPr>
          <w:rFonts w:ascii="Book Antiqua" w:eastAsia="宋体" w:hAnsi="Book Antiqua" w:cs="Helvetica" w:hint="eastAsia"/>
          <w:b/>
          <w:color w:val="000000" w:themeColor="text1"/>
          <w:kern w:val="0"/>
          <w:sz w:val="24"/>
          <w:szCs w:val="24"/>
        </w:rPr>
        <w:t xml:space="preserve"> </w:t>
      </w:r>
      <w:r w:rsidRPr="005C6D30">
        <w:rPr>
          <w:rFonts w:ascii="Book Antiqua" w:hAnsi="Book Antiqua" w:cs="Times New Roman"/>
          <w:color w:val="000000"/>
          <w:sz w:val="24"/>
          <w:szCs w:val="24"/>
        </w:rPr>
        <w:t>Japan</w:t>
      </w:r>
      <w:r w:rsidRPr="003C1D7C">
        <w:rPr>
          <w:rFonts w:ascii="Book Antiqua" w:eastAsia="宋体" w:hAnsi="Book Antiqua" w:cs="Helvetica"/>
          <w:b/>
          <w:color w:val="000000" w:themeColor="text1"/>
          <w:kern w:val="0"/>
          <w:sz w:val="24"/>
          <w:szCs w:val="24"/>
        </w:rPr>
        <w:t xml:space="preserve"> </w:t>
      </w:r>
      <w:bookmarkStart w:id="139" w:name="_GoBack"/>
      <w:bookmarkEnd w:id="139"/>
    </w:p>
    <w:p w:rsidR="00582238" w:rsidRPr="003C1D7C" w:rsidRDefault="00582238" w:rsidP="004173EC">
      <w:pPr>
        <w:widowControl/>
        <w:shd w:val="clear" w:color="auto" w:fill="FFFFFF"/>
        <w:spacing w:line="360" w:lineRule="auto"/>
        <w:rPr>
          <w:rFonts w:ascii="Book Antiqua" w:eastAsia="宋体" w:hAnsi="Book Antiqua" w:cs="Helvetica"/>
          <w:b/>
          <w:color w:val="000000" w:themeColor="text1"/>
          <w:kern w:val="0"/>
          <w:sz w:val="24"/>
          <w:szCs w:val="24"/>
        </w:rPr>
      </w:pPr>
      <w:r w:rsidRPr="003C1D7C">
        <w:rPr>
          <w:rFonts w:ascii="Book Antiqua" w:eastAsia="宋体" w:hAnsi="Book Antiqua" w:cs="Helvetica"/>
          <w:b/>
          <w:color w:val="000000" w:themeColor="text1"/>
          <w:kern w:val="0"/>
          <w:sz w:val="24"/>
          <w:szCs w:val="24"/>
        </w:rPr>
        <w:t>Peer-Review Report Classification</w:t>
      </w:r>
    </w:p>
    <w:p w:rsidR="00582238" w:rsidRPr="003C1D7C" w:rsidRDefault="00582238" w:rsidP="00582238">
      <w:pPr>
        <w:widowControl/>
        <w:shd w:val="clear" w:color="auto" w:fill="FFFFFF"/>
        <w:spacing w:line="360" w:lineRule="auto"/>
        <w:rPr>
          <w:rFonts w:ascii="Book Antiqua" w:eastAsia="宋体" w:hAnsi="Book Antiqua" w:cs="Helvetica"/>
          <w:color w:val="000000" w:themeColor="text1"/>
          <w:kern w:val="0"/>
          <w:sz w:val="24"/>
          <w:szCs w:val="24"/>
        </w:rPr>
      </w:pPr>
      <w:r w:rsidRPr="003C1D7C">
        <w:rPr>
          <w:rFonts w:ascii="Book Antiqua" w:eastAsia="宋体" w:hAnsi="Book Antiqua" w:cs="Helvetica"/>
          <w:color w:val="000000" w:themeColor="text1"/>
          <w:kern w:val="0"/>
          <w:sz w:val="24"/>
          <w:szCs w:val="24"/>
        </w:rPr>
        <w:t>Grade A (Excellent): 0</w:t>
      </w:r>
    </w:p>
    <w:p w:rsidR="00582238" w:rsidRPr="003C1D7C" w:rsidRDefault="00582238" w:rsidP="00582238">
      <w:pPr>
        <w:widowControl/>
        <w:shd w:val="clear" w:color="auto" w:fill="FFFFFF"/>
        <w:spacing w:line="360" w:lineRule="auto"/>
        <w:rPr>
          <w:rFonts w:ascii="Book Antiqua" w:eastAsia="宋体" w:hAnsi="Book Antiqua" w:cs="Helvetica"/>
          <w:color w:val="000000" w:themeColor="text1"/>
          <w:kern w:val="0"/>
          <w:sz w:val="24"/>
          <w:szCs w:val="24"/>
          <w:lang w:eastAsia="zh-CN"/>
        </w:rPr>
      </w:pPr>
      <w:r w:rsidRPr="003C1D7C">
        <w:rPr>
          <w:rFonts w:ascii="Book Antiqua" w:eastAsia="宋体" w:hAnsi="Book Antiqua" w:cs="Helvetica"/>
          <w:color w:val="000000" w:themeColor="text1"/>
          <w:kern w:val="0"/>
          <w:sz w:val="24"/>
          <w:szCs w:val="24"/>
        </w:rPr>
        <w:t xml:space="preserve">Grade B (Very good): </w:t>
      </w:r>
      <w:r>
        <w:rPr>
          <w:rFonts w:ascii="Book Antiqua" w:eastAsia="宋体" w:hAnsi="Book Antiqua" w:cs="Helvetica" w:hint="eastAsia"/>
          <w:color w:val="000000" w:themeColor="text1"/>
          <w:kern w:val="0"/>
          <w:sz w:val="24"/>
          <w:szCs w:val="24"/>
          <w:lang w:eastAsia="zh-CN"/>
        </w:rPr>
        <w:t>B</w:t>
      </w:r>
    </w:p>
    <w:p w:rsidR="00582238" w:rsidRPr="003C1D7C" w:rsidRDefault="00582238" w:rsidP="00582238">
      <w:pPr>
        <w:widowControl/>
        <w:shd w:val="clear" w:color="auto" w:fill="FFFFFF"/>
        <w:spacing w:line="360" w:lineRule="auto"/>
        <w:rPr>
          <w:rFonts w:ascii="Book Antiqua" w:eastAsia="宋体" w:hAnsi="Book Antiqua" w:cs="Helvetica"/>
          <w:color w:val="000000" w:themeColor="text1"/>
          <w:kern w:val="0"/>
          <w:sz w:val="24"/>
          <w:szCs w:val="24"/>
          <w:lang w:eastAsia="zh-CN"/>
        </w:rPr>
      </w:pPr>
      <w:r w:rsidRPr="003C1D7C">
        <w:rPr>
          <w:rFonts w:ascii="Book Antiqua" w:eastAsia="宋体" w:hAnsi="Book Antiqua" w:cs="Helvetica"/>
          <w:color w:val="000000" w:themeColor="text1"/>
          <w:kern w:val="0"/>
          <w:sz w:val="24"/>
          <w:szCs w:val="24"/>
        </w:rPr>
        <w:t xml:space="preserve">Grade C (Good): </w:t>
      </w:r>
      <w:r>
        <w:rPr>
          <w:rFonts w:ascii="Book Antiqua" w:eastAsia="宋体" w:hAnsi="Book Antiqua" w:cs="Helvetica" w:hint="eastAsia"/>
          <w:color w:val="000000" w:themeColor="text1"/>
          <w:kern w:val="0"/>
          <w:sz w:val="24"/>
          <w:szCs w:val="24"/>
          <w:lang w:eastAsia="zh-CN"/>
        </w:rPr>
        <w:t>C, C</w:t>
      </w:r>
    </w:p>
    <w:p w:rsidR="00582238" w:rsidRPr="003C1D7C" w:rsidRDefault="00582238" w:rsidP="00582238">
      <w:pPr>
        <w:widowControl/>
        <w:shd w:val="clear" w:color="auto" w:fill="FFFFFF"/>
        <w:spacing w:line="360" w:lineRule="auto"/>
        <w:rPr>
          <w:rFonts w:ascii="Book Antiqua" w:eastAsia="宋体" w:hAnsi="Book Antiqua" w:cs="Helvetica"/>
          <w:color w:val="000000" w:themeColor="text1"/>
          <w:kern w:val="0"/>
          <w:sz w:val="24"/>
          <w:szCs w:val="24"/>
        </w:rPr>
      </w:pPr>
      <w:r w:rsidRPr="003C1D7C">
        <w:rPr>
          <w:rFonts w:ascii="Book Antiqua" w:eastAsia="宋体" w:hAnsi="Book Antiqua" w:cs="Helvetica"/>
          <w:color w:val="000000" w:themeColor="text1"/>
          <w:kern w:val="0"/>
          <w:sz w:val="24"/>
          <w:szCs w:val="24"/>
        </w:rPr>
        <w:t>Grade D (Fair): 0</w:t>
      </w:r>
    </w:p>
    <w:p w:rsidR="00582238" w:rsidRPr="003C1D7C" w:rsidRDefault="00582238" w:rsidP="00582238">
      <w:pPr>
        <w:widowControl/>
        <w:shd w:val="clear" w:color="auto" w:fill="FFFFFF"/>
        <w:spacing w:line="360" w:lineRule="auto"/>
        <w:rPr>
          <w:color w:val="000000" w:themeColor="text1"/>
        </w:rPr>
      </w:pPr>
      <w:r w:rsidRPr="003C1D7C">
        <w:rPr>
          <w:rFonts w:ascii="Book Antiqua" w:eastAsia="宋体" w:hAnsi="Book Antiqua" w:cs="Helvetica"/>
          <w:color w:val="000000" w:themeColor="text1"/>
          <w:kern w:val="0"/>
          <w:sz w:val="24"/>
          <w:szCs w:val="24"/>
        </w:rPr>
        <w:t>Grade E (Poor): 0</w:t>
      </w:r>
    </w:p>
    <w:p w:rsidR="00092DCD" w:rsidRPr="00582238" w:rsidRDefault="00092DCD" w:rsidP="00C805C6">
      <w:pPr>
        <w:widowControl/>
        <w:adjustRightInd w:val="0"/>
        <w:snapToGrid w:val="0"/>
        <w:spacing w:line="360" w:lineRule="auto"/>
        <w:jc w:val="left"/>
        <w:rPr>
          <w:rFonts w:ascii="Book Antiqua" w:eastAsia="宋体" w:hAnsi="Book Antiqua"/>
          <w:b/>
          <w:color w:val="000000" w:themeColor="text1"/>
          <w:sz w:val="24"/>
          <w:szCs w:val="24"/>
          <w:lang w:eastAsia="zh-CN"/>
        </w:rPr>
      </w:pPr>
    </w:p>
    <w:p w:rsidR="00092DCD" w:rsidRPr="00900E2E" w:rsidRDefault="00092DCD" w:rsidP="00C805C6">
      <w:pPr>
        <w:adjustRightInd w:val="0"/>
        <w:snapToGrid w:val="0"/>
        <w:spacing w:line="360" w:lineRule="auto"/>
        <w:rPr>
          <w:rFonts w:ascii="Book Antiqua" w:eastAsia="宋体" w:hAnsi="Book Antiqua"/>
          <w:b/>
          <w:color w:val="000000" w:themeColor="text1"/>
          <w:sz w:val="24"/>
          <w:szCs w:val="24"/>
          <w:lang w:eastAsia="zh-CN"/>
        </w:rPr>
      </w:pPr>
      <w:r w:rsidRPr="00900E2E">
        <w:rPr>
          <w:rFonts w:ascii="Book Antiqua" w:eastAsia="宋体" w:hAnsi="Book Antiqua"/>
          <w:b/>
          <w:noProof/>
          <w:color w:val="000000" w:themeColor="text1"/>
          <w:sz w:val="24"/>
          <w:szCs w:val="24"/>
          <w:lang w:eastAsia="zh-CN"/>
        </w:rPr>
        <w:lastRenderedPageBreak/>
        <w:drawing>
          <wp:inline distT="0" distB="0" distL="0" distR="0" wp14:anchorId="52330F13" wp14:editId="0BD61B1B">
            <wp:extent cx="5400040" cy="3036890"/>
            <wp:effectExtent l="0" t="0" r="0" b="0"/>
            <wp:docPr id="1" name="图片 1" descr="E:\Question\27286\27286\27286-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tion\27286\27286\27286-Figures\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36890"/>
                    </a:xfrm>
                    <a:prstGeom prst="rect">
                      <a:avLst/>
                    </a:prstGeom>
                    <a:noFill/>
                    <a:ln>
                      <a:noFill/>
                    </a:ln>
                  </pic:spPr>
                </pic:pic>
              </a:graphicData>
            </a:graphic>
          </wp:inline>
        </w:drawing>
      </w:r>
    </w:p>
    <w:p w:rsidR="00404C55" w:rsidRPr="00900E2E" w:rsidRDefault="00404C55" w:rsidP="00C805C6">
      <w:pPr>
        <w:adjustRightInd w:val="0"/>
        <w:snapToGrid w:val="0"/>
        <w:spacing w:line="360" w:lineRule="auto"/>
        <w:rPr>
          <w:rFonts w:ascii="Book Antiqua" w:eastAsia="宋体" w:hAnsi="Book Antiqua"/>
          <w:b/>
          <w:color w:val="000000" w:themeColor="text1"/>
          <w:sz w:val="24"/>
          <w:szCs w:val="24"/>
          <w:lang w:eastAsia="zh-CN"/>
        </w:rPr>
      </w:pPr>
      <w:r w:rsidRPr="00900E2E">
        <w:rPr>
          <w:rFonts w:ascii="Book Antiqua" w:hAnsi="Book Antiqua"/>
          <w:b/>
          <w:color w:val="000000" w:themeColor="text1"/>
          <w:sz w:val="24"/>
          <w:szCs w:val="24"/>
        </w:rPr>
        <w:t xml:space="preserve">Figure 1 Cumulative incidence of </w:t>
      </w:r>
      <w:r w:rsidR="00092DCD" w:rsidRPr="00900E2E">
        <w:rPr>
          <w:rFonts w:ascii="Book Antiqua" w:hAnsi="Book Antiqua"/>
          <w:b/>
          <w:color w:val="000000" w:themeColor="text1"/>
          <w:sz w:val="24"/>
          <w:szCs w:val="24"/>
        </w:rPr>
        <w:t xml:space="preserve">hepatocellular carcinoma </w:t>
      </w:r>
      <w:r w:rsidRPr="00900E2E">
        <w:rPr>
          <w:rFonts w:ascii="Book Antiqua" w:hAnsi="Book Antiqua"/>
          <w:b/>
          <w:color w:val="000000" w:themeColor="text1"/>
          <w:sz w:val="24"/>
          <w:szCs w:val="24"/>
        </w:rPr>
        <w:t xml:space="preserve">development after </w:t>
      </w:r>
      <w:r w:rsidR="00092DCD" w:rsidRPr="00900E2E">
        <w:rPr>
          <w:rFonts w:ascii="Book Antiqua" w:hAnsi="Book Antiqua"/>
          <w:b/>
          <w:color w:val="000000" w:themeColor="text1"/>
          <w:sz w:val="24"/>
          <w:szCs w:val="24"/>
        </w:rPr>
        <w:t>sustained virological response</w:t>
      </w:r>
      <w:r w:rsidRPr="00900E2E">
        <w:rPr>
          <w:rFonts w:ascii="Book Antiqua" w:hAnsi="Book Antiqua"/>
          <w:b/>
          <w:color w:val="000000" w:themeColor="text1"/>
          <w:sz w:val="24"/>
          <w:szCs w:val="24"/>
        </w:rPr>
        <w:t>.</w:t>
      </w:r>
    </w:p>
    <w:p w:rsidR="00092DCD" w:rsidRPr="00900E2E" w:rsidRDefault="00092DCD" w:rsidP="00C805C6">
      <w:pPr>
        <w:adjustRightInd w:val="0"/>
        <w:snapToGrid w:val="0"/>
        <w:spacing w:line="360" w:lineRule="auto"/>
        <w:rPr>
          <w:rFonts w:ascii="Book Antiqua" w:eastAsia="宋体" w:hAnsi="Book Antiqua"/>
          <w:b/>
          <w:color w:val="000000" w:themeColor="text1"/>
          <w:sz w:val="24"/>
          <w:szCs w:val="24"/>
          <w:lang w:eastAsia="zh-CN"/>
        </w:rPr>
      </w:pPr>
      <w:r w:rsidRPr="00900E2E">
        <w:rPr>
          <w:rFonts w:ascii="Book Antiqua" w:eastAsia="宋体" w:hAnsi="Book Antiqua"/>
          <w:b/>
          <w:color w:val="000000" w:themeColor="text1"/>
          <w:sz w:val="24"/>
          <w:szCs w:val="24"/>
          <w:lang w:eastAsia="zh-CN"/>
        </w:rPr>
        <w:br w:type="page"/>
      </w:r>
    </w:p>
    <w:p w:rsidR="00092DCD" w:rsidRPr="00900E2E" w:rsidRDefault="00092DCD" w:rsidP="00C805C6">
      <w:pPr>
        <w:adjustRightInd w:val="0"/>
        <w:snapToGrid w:val="0"/>
        <w:spacing w:line="360" w:lineRule="auto"/>
        <w:rPr>
          <w:rFonts w:ascii="Book Antiqua" w:eastAsia="宋体" w:hAnsi="Book Antiqua"/>
          <w:b/>
          <w:color w:val="000000" w:themeColor="text1"/>
          <w:sz w:val="24"/>
          <w:szCs w:val="24"/>
          <w:lang w:eastAsia="zh-CN"/>
        </w:rPr>
      </w:pPr>
      <w:r w:rsidRPr="00900E2E">
        <w:rPr>
          <w:rFonts w:ascii="Book Antiqua" w:eastAsia="宋体" w:hAnsi="Book Antiqua"/>
          <w:b/>
          <w:noProof/>
          <w:color w:val="000000" w:themeColor="text1"/>
          <w:sz w:val="24"/>
          <w:szCs w:val="24"/>
          <w:lang w:eastAsia="zh-CN"/>
        </w:rPr>
        <w:lastRenderedPageBreak/>
        <w:drawing>
          <wp:inline distT="0" distB="0" distL="0" distR="0" wp14:anchorId="2FDA8E10" wp14:editId="6E88B894">
            <wp:extent cx="5400040" cy="3036890"/>
            <wp:effectExtent l="0" t="0" r="0" b="0"/>
            <wp:docPr id="2" name="图片 2" descr="E:\Question\27286\27286\27286-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estion\27286\27286\27286-Figures\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36890"/>
                    </a:xfrm>
                    <a:prstGeom prst="rect">
                      <a:avLst/>
                    </a:prstGeom>
                    <a:noFill/>
                    <a:ln>
                      <a:noFill/>
                    </a:ln>
                  </pic:spPr>
                </pic:pic>
              </a:graphicData>
            </a:graphic>
          </wp:inline>
        </w:drawing>
      </w:r>
    </w:p>
    <w:p w:rsidR="00092DCD" w:rsidRPr="00900E2E" w:rsidRDefault="00404C55" w:rsidP="00C805C6">
      <w:pPr>
        <w:widowControl/>
        <w:adjustRightInd w:val="0"/>
        <w:snapToGrid w:val="0"/>
        <w:spacing w:line="360" w:lineRule="auto"/>
        <w:rPr>
          <w:rFonts w:ascii="Book Antiqua" w:hAnsi="Book Antiqua"/>
          <w:color w:val="000000" w:themeColor="text1"/>
          <w:sz w:val="24"/>
          <w:szCs w:val="24"/>
        </w:rPr>
      </w:pPr>
      <w:r w:rsidRPr="00900E2E">
        <w:rPr>
          <w:rFonts w:ascii="Book Antiqua" w:hAnsi="Book Antiqua"/>
          <w:b/>
          <w:color w:val="000000" w:themeColor="text1"/>
          <w:sz w:val="24"/>
          <w:szCs w:val="24"/>
        </w:rPr>
        <w:t xml:space="preserve">Figure 2 Representative AKR1B10 immunohistochemical staining of specimens. </w:t>
      </w:r>
      <w:r w:rsidRPr="00900E2E">
        <w:rPr>
          <w:rFonts w:ascii="Book Antiqua" w:hAnsi="Book Antiqua"/>
          <w:color w:val="000000" w:themeColor="text1"/>
          <w:sz w:val="24"/>
          <w:szCs w:val="24"/>
        </w:rPr>
        <w:t>Normal liver tissue (A, B) and tissue from patients with chronic hepatitis C (C-F). Hematoxylin and eosin staining (A, C, E) and AKR1B10 immunostaining (B, D, F). Positive control, bile-duct epitheliu</w:t>
      </w:r>
      <w:r w:rsidR="00BB402B" w:rsidRPr="00900E2E">
        <w:rPr>
          <w:rFonts w:ascii="Book Antiqua" w:hAnsi="Book Antiqua"/>
          <w:color w:val="000000" w:themeColor="text1"/>
          <w:sz w:val="24"/>
          <w:szCs w:val="24"/>
        </w:rPr>
        <w:t>m; original magnification, 4</w:t>
      </w:r>
      <w:r w:rsidRPr="00900E2E">
        <w:rPr>
          <w:rFonts w:ascii="Book Antiqua" w:hAnsi="Book Antiqua"/>
          <w:color w:val="000000" w:themeColor="text1"/>
          <w:sz w:val="24"/>
          <w:szCs w:val="24"/>
        </w:rPr>
        <w:t>0</w:t>
      </w:r>
      <w:r w:rsidR="00092DCD"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color w:val="000000" w:themeColor="text1"/>
          <w:sz w:val="24"/>
          <w:szCs w:val="24"/>
        </w:rPr>
        <w:t>×.</w:t>
      </w:r>
      <w:r w:rsidR="00092DCD" w:rsidRPr="00900E2E">
        <w:rPr>
          <w:rFonts w:ascii="Book Antiqua" w:hAnsi="Book Antiqua"/>
          <w:color w:val="000000" w:themeColor="text1"/>
          <w:sz w:val="24"/>
          <w:szCs w:val="24"/>
        </w:rPr>
        <w:br w:type="page"/>
      </w:r>
    </w:p>
    <w:p w:rsidR="00404C55" w:rsidRPr="00900E2E" w:rsidRDefault="00092DCD" w:rsidP="00C805C6">
      <w:pPr>
        <w:widowControl/>
        <w:adjustRightInd w:val="0"/>
        <w:snapToGrid w:val="0"/>
        <w:spacing w:line="360" w:lineRule="auto"/>
        <w:rPr>
          <w:rFonts w:ascii="Book Antiqua" w:hAnsi="Book Antiqua"/>
          <w:color w:val="000000" w:themeColor="text1"/>
          <w:sz w:val="24"/>
          <w:szCs w:val="24"/>
        </w:rPr>
      </w:pPr>
      <w:r w:rsidRPr="00900E2E">
        <w:rPr>
          <w:rFonts w:ascii="Book Antiqua" w:hAnsi="Book Antiqua"/>
          <w:noProof/>
          <w:color w:val="000000" w:themeColor="text1"/>
          <w:sz w:val="24"/>
          <w:szCs w:val="24"/>
          <w:lang w:eastAsia="zh-CN"/>
        </w:rPr>
        <w:lastRenderedPageBreak/>
        <w:drawing>
          <wp:inline distT="0" distB="0" distL="0" distR="0" wp14:anchorId="0E1DEB86" wp14:editId="2CE11A6B">
            <wp:extent cx="5400040" cy="3036890"/>
            <wp:effectExtent l="0" t="0" r="0" b="0"/>
            <wp:docPr id="3" name="图片 3" descr="E:\Question\27286\27286\27286-Figur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estion\27286\27286\27286-Figures\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36890"/>
                    </a:xfrm>
                    <a:prstGeom prst="rect">
                      <a:avLst/>
                    </a:prstGeom>
                    <a:noFill/>
                    <a:ln>
                      <a:noFill/>
                    </a:ln>
                  </pic:spPr>
                </pic:pic>
              </a:graphicData>
            </a:graphic>
          </wp:inline>
        </w:drawing>
      </w:r>
    </w:p>
    <w:p w:rsidR="00092DCD" w:rsidRPr="00900E2E" w:rsidRDefault="00404C55" w:rsidP="00C805C6">
      <w:pPr>
        <w:widowControl/>
        <w:adjustRightInd w:val="0"/>
        <w:snapToGrid w:val="0"/>
        <w:spacing w:line="360" w:lineRule="auto"/>
        <w:jc w:val="left"/>
        <w:rPr>
          <w:rFonts w:ascii="Book Antiqua" w:hAnsi="Book Antiqua"/>
          <w:b/>
          <w:color w:val="000000" w:themeColor="text1"/>
          <w:sz w:val="24"/>
          <w:szCs w:val="24"/>
        </w:rPr>
      </w:pPr>
      <w:r w:rsidRPr="00900E2E">
        <w:rPr>
          <w:rFonts w:ascii="Book Antiqua" w:hAnsi="Book Antiqua"/>
          <w:b/>
          <w:color w:val="000000" w:themeColor="text1"/>
          <w:sz w:val="24"/>
          <w:szCs w:val="24"/>
        </w:rPr>
        <w:t xml:space="preserve">Figure 3 Distribution of AKR1B10 expression levels in the study cohort. Filled and dotted patterns indicate patients with and without </w:t>
      </w:r>
      <w:r w:rsidR="00092DCD" w:rsidRPr="00900E2E">
        <w:rPr>
          <w:rFonts w:ascii="Book Antiqua" w:hAnsi="Book Antiqua"/>
          <w:b/>
          <w:color w:val="000000" w:themeColor="text1"/>
          <w:sz w:val="24"/>
          <w:szCs w:val="24"/>
        </w:rPr>
        <w:t xml:space="preserve">hepatocellular carcinoma </w:t>
      </w:r>
      <w:r w:rsidRPr="00900E2E">
        <w:rPr>
          <w:rFonts w:ascii="Book Antiqua" w:hAnsi="Book Antiqua"/>
          <w:b/>
          <w:color w:val="000000" w:themeColor="text1"/>
          <w:sz w:val="24"/>
          <w:szCs w:val="24"/>
        </w:rPr>
        <w:t>development, respectively.</w:t>
      </w:r>
      <w:r w:rsidR="00092DCD" w:rsidRPr="00900E2E">
        <w:rPr>
          <w:rFonts w:ascii="Book Antiqua" w:hAnsi="Book Antiqua"/>
          <w:b/>
          <w:color w:val="000000" w:themeColor="text1"/>
          <w:sz w:val="24"/>
          <w:szCs w:val="24"/>
        </w:rPr>
        <w:br w:type="page"/>
      </w:r>
    </w:p>
    <w:p w:rsidR="00404C55" w:rsidRPr="00900E2E" w:rsidRDefault="00092DCD" w:rsidP="00C805C6">
      <w:pPr>
        <w:widowControl/>
        <w:adjustRightInd w:val="0"/>
        <w:snapToGrid w:val="0"/>
        <w:spacing w:line="360" w:lineRule="auto"/>
        <w:jc w:val="left"/>
        <w:rPr>
          <w:rFonts w:ascii="Book Antiqua" w:hAnsi="Book Antiqua"/>
          <w:b/>
          <w:color w:val="000000" w:themeColor="text1"/>
          <w:sz w:val="24"/>
          <w:szCs w:val="24"/>
        </w:rPr>
      </w:pPr>
      <w:r w:rsidRPr="00900E2E">
        <w:rPr>
          <w:rFonts w:ascii="Book Antiqua" w:hAnsi="Book Antiqua"/>
          <w:b/>
          <w:noProof/>
          <w:color w:val="000000" w:themeColor="text1"/>
          <w:sz w:val="24"/>
          <w:szCs w:val="24"/>
          <w:lang w:eastAsia="zh-CN"/>
        </w:rPr>
        <w:lastRenderedPageBreak/>
        <w:drawing>
          <wp:inline distT="0" distB="0" distL="0" distR="0" wp14:anchorId="52BF5130" wp14:editId="109A81DF">
            <wp:extent cx="5400040" cy="3036890"/>
            <wp:effectExtent l="0" t="0" r="0" b="0"/>
            <wp:docPr id="4" name="图片 4" descr="E:\Question\27286\27286\27286-Figure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estion\27286\27286\27286-Figures\Figure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036890"/>
                    </a:xfrm>
                    <a:prstGeom prst="rect">
                      <a:avLst/>
                    </a:prstGeom>
                    <a:noFill/>
                    <a:ln>
                      <a:noFill/>
                    </a:ln>
                  </pic:spPr>
                </pic:pic>
              </a:graphicData>
            </a:graphic>
          </wp:inline>
        </w:drawing>
      </w:r>
    </w:p>
    <w:p w:rsidR="00404C55" w:rsidRPr="00900E2E" w:rsidRDefault="00404C55" w:rsidP="00C805C6">
      <w:pPr>
        <w:widowControl/>
        <w:adjustRightInd w:val="0"/>
        <w:snapToGrid w:val="0"/>
        <w:spacing w:line="360" w:lineRule="auto"/>
        <w:jc w:val="left"/>
        <w:rPr>
          <w:rFonts w:ascii="Book Antiqua" w:eastAsia="宋体" w:hAnsi="Book Antiqua"/>
          <w:b/>
          <w:color w:val="000000" w:themeColor="text1"/>
          <w:sz w:val="24"/>
          <w:szCs w:val="24"/>
          <w:lang w:eastAsia="zh-CN"/>
        </w:rPr>
      </w:pPr>
      <w:r w:rsidRPr="00900E2E">
        <w:rPr>
          <w:rFonts w:ascii="Book Antiqua" w:hAnsi="Book Antiqua"/>
          <w:b/>
          <w:color w:val="000000" w:themeColor="text1"/>
          <w:sz w:val="24"/>
          <w:szCs w:val="24"/>
        </w:rPr>
        <w:t xml:space="preserve">Figure 4 Cumulative incidence of </w:t>
      </w:r>
      <w:r w:rsidR="00092DCD" w:rsidRPr="00900E2E">
        <w:rPr>
          <w:rFonts w:ascii="Book Antiqua" w:hAnsi="Book Antiqua"/>
          <w:b/>
          <w:color w:val="000000" w:themeColor="text1"/>
          <w:sz w:val="24"/>
          <w:szCs w:val="24"/>
        </w:rPr>
        <w:t xml:space="preserve">hepatocellular carcinoma </w:t>
      </w:r>
      <w:r w:rsidRPr="00900E2E">
        <w:rPr>
          <w:rFonts w:ascii="Book Antiqua" w:hAnsi="Book Antiqua"/>
          <w:b/>
          <w:color w:val="000000" w:themeColor="text1"/>
          <w:sz w:val="24"/>
          <w:szCs w:val="24"/>
        </w:rPr>
        <w:t xml:space="preserve">development after </w:t>
      </w:r>
      <w:r w:rsidR="00092DCD" w:rsidRPr="00900E2E">
        <w:rPr>
          <w:rFonts w:ascii="Book Antiqua" w:hAnsi="Book Antiqua"/>
          <w:b/>
          <w:color w:val="000000" w:themeColor="text1"/>
          <w:sz w:val="24"/>
          <w:szCs w:val="24"/>
        </w:rPr>
        <w:t>sustained virological response</w:t>
      </w:r>
      <w:r w:rsidRPr="00900E2E">
        <w:rPr>
          <w:rFonts w:ascii="Book Antiqua" w:hAnsi="Book Antiqua"/>
          <w:b/>
          <w:color w:val="000000" w:themeColor="text1"/>
          <w:sz w:val="24"/>
          <w:szCs w:val="24"/>
        </w:rPr>
        <w:t>, shown according to AKR1B10 expression level.</w:t>
      </w:r>
    </w:p>
    <w:p w:rsidR="00092DCD" w:rsidRPr="00900E2E" w:rsidRDefault="00092DCD" w:rsidP="00C805C6">
      <w:pPr>
        <w:widowControl/>
        <w:adjustRightInd w:val="0"/>
        <w:snapToGrid w:val="0"/>
        <w:spacing w:line="360" w:lineRule="auto"/>
        <w:jc w:val="left"/>
        <w:rPr>
          <w:rFonts w:ascii="Book Antiqua" w:eastAsia="宋体" w:hAnsi="Book Antiqua"/>
          <w:b/>
          <w:color w:val="000000" w:themeColor="text1"/>
          <w:sz w:val="24"/>
          <w:szCs w:val="24"/>
          <w:lang w:eastAsia="zh-CN"/>
        </w:rPr>
      </w:pPr>
      <w:r w:rsidRPr="00900E2E">
        <w:rPr>
          <w:rFonts w:ascii="Book Antiqua" w:eastAsia="宋体" w:hAnsi="Book Antiqua"/>
          <w:b/>
          <w:color w:val="000000" w:themeColor="text1"/>
          <w:sz w:val="24"/>
          <w:szCs w:val="24"/>
          <w:lang w:eastAsia="zh-CN"/>
        </w:rPr>
        <w:br w:type="page"/>
      </w:r>
    </w:p>
    <w:p w:rsidR="00092DCD" w:rsidRPr="00900E2E" w:rsidRDefault="00092DCD" w:rsidP="00C805C6">
      <w:pPr>
        <w:widowControl/>
        <w:adjustRightInd w:val="0"/>
        <w:snapToGrid w:val="0"/>
        <w:spacing w:line="360" w:lineRule="auto"/>
        <w:jc w:val="left"/>
        <w:rPr>
          <w:rFonts w:ascii="Book Antiqua" w:eastAsia="宋体" w:hAnsi="Book Antiqua"/>
          <w:b/>
          <w:color w:val="000000" w:themeColor="text1"/>
          <w:sz w:val="24"/>
          <w:szCs w:val="24"/>
          <w:lang w:eastAsia="zh-CN"/>
        </w:rPr>
      </w:pPr>
      <w:r w:rsidRPr="00900E2E">
        <w:rPr>
          <w:rFonts w:ascii="Book Antiqua" w:eastAsia="宋体" w:hAnsi="Book Antiqua"/>
          <w:b/>
          <w:noProof/>
          <w:color w:val="000000" w:themeColor="text1"/>
          <w:sz w:val="24"/>
          <w:szCs w:val="24"/>
          <w:lang w:eastAsia="zh-CN"/>
        </w:rPr>
        <w:lastRenderedPageBreak/>
        <mc:AlternateContent>
          <mc:Choice Requires="wps">
            <w:drawing>
              <wp:anchor distT="0" distB="0" distL="114300" distR="114300" simplePos="0" relativeHeight="251661312" behindDoc="0" locked="0" layoutInCell="1" allowOverlap="1" wp14:anchorId="1274FCEA" wp14:editId="2D1759A0">
                <wp:simplePos x="0" y="0"/>
                <wp:positionH relativeFrom="column">
                  <wp:posOffset>3596005</wp:posOffset>
                </wp:positionH>
                <wp:positionV relativeFrom="paragraph">
                  <wp:posOffset>577215</wp:posOffset>
                </wp:positionV>
                <wp:extent cx="634365" cy="264795"/>
                <wp:effectExtent l="0" t="0" r="13335" b="20955"/>
                <wp:wrapNone/>
                <wp:docPr id="7" name="文本框 7"/>
                <wp:cNvGraphicFramePr/>
                <a:graphic xmlns:a="http://schemas.openxmlformats.org/drawingml/2006/main">
                  <a:graphicData uri="http://schemas.microsoft.com/office/word/2010/wordprocessingShape">
                    <wps:wsp>
                      <wps:cNvSpPr txBox="1"/>
                      <wps:spPr>
                        <a:xfrm>
                          <a:off x="0" y="0"/>
                          <a:ext cx="634365" cy="264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DCD" w:rsidRPr="00092DCD" w:rsidRDefault="00092DCD" w:rsidP="00092DCD">
                            <w:pPr>
                              <w:rPr>
                                <w:rFonts w:eastAsia="宋体"/>
                                <w:sz w:val="15"/>
                                <w:szCs w:val="15"/>
                                <w:lang w:eastAsia="zh-CN"/>
                              </w:rPr>
                            </w:pPr>
                            <w:r w:rsidRPr="00092DCD">
                              <w:rPr>
                                <w:rFonts w:eastAsia="宋体" w:hint="eastAsia"/>
                                <w:sz w:val="15"/>
                                <w:szCs w:val="15"/>
                                <w:vertAlign w:val="superscript"/>
                                <w:lang w:eastAsia="zh-CN"/>
                              </w:rPr>
                              <w:t>1</w:t>
                            </w:r>
                            <w:r w:rsidRPr="00092DCD">
                              <w:rPr>
                                <w:rFonts w:eastAsia="宋体" w:hint="eastAsia"/>
                                <w:i/>
                                <w:caps/>
                                <w:sz w:val="15"/>
                                <w:szCs w:val="15"/>
                                <w:lang w:eastAsia="zh-CN"/>
                              </w:rPr>
                              <w:t>p</w:t>
                            </w:r>
                            <w:r w:rsidRPr="00092DCD">
                              <w:rPr>
                                <w:rFonts w:eastAsia="宋体" w:hint="eastAsia"/>
                                <w:caps/>
                                <w:sz w:val="15"/>
                                <w:szCs w:val="15"/>
                                <w:lang w:eastAsia="zh-CN"/>
                              </w:rPr>
                              <w:t xml:space="preserve"> &lt; 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74FCEA" id="_x0000_t202" coordsize="21600,21600" o:spt="202" path="m,l,21600r21600,l21600,xe">
                <v:stroke joinstyle="miter"/>
                <v:path gradientshapeok="t" o:connecttype="rect"/>
              </v:shapetype>
              <v:shape id="文本框 7" o:spid="_x0000_s1026" type="#_x0000_t202" style="position:absolute;margin-left:283.15pt;margin-top:45.45pt;width:49.9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" fillcolor="white [3201]" strokeweight=".5pt">
                <v:textbox>
                  <w:txbxContent>
                    <w:p w:rsidR="00092DCD" w:rsidRPr="00092DCD" w:rsidRDefault="00092DCD" w:rsidP="00092DCD">
                      <w:pPr>
                        <w:rPr>
                          <w:rFonts w:eastAsia="SimSun"/>
                          <w:sz w:val="15"/>
                          <w:szCs w:val="15"/>
                          <w:lang w:eastAsia="zh-CN"/>
                        </w:rPr>
                      </w:pPr>
                      <w:r w:rsidRPr="00092DCD">
                        <w:rPr>
                          <w:rFonts w:eastAsia="SimSun" w:hint="eastAsia"/>
                          <w:sz w:val="15"/>
                          <w:szCs w:val="15"/>
                          <w:vertAlign w:val="superscript"/>
                          <w:lang w:eastAsia="zh-CN"/>
                        </w:rPr>
                        <w:t>1</w:t>
                      </w:r>
                      <w:r w:rsidRPr="00092DCD">
                        <w:rPr>
                          <w:rFonts w:eastAsia="SimSun" w:hint="eastAsia"/>
                          <w:i/>
                          <w:caps/>
                          <w:sz w:val="15"/>
                          <w:szCs w:val="15"/>
                          <w:lang w:eastAsia="zh-CN"/>
                        </w:rPr>
                        <w:t>p</w:t>
                      </w:r>
                      <w:r w:rsidRPr="00092DCD">
                        <w:rPr>
                          <w:rFonts w:eastAsia="SimSun" w:hint="eastAsia"/>
                          <w:caps/>
                          <w:sz w:val="15"/>
                          <w:szCs w:val="15"/>
                          <w:lang w:eastAsia="zh-CN"/>
                        </w:rPr>
                        <w:t xml:space="preserve"> &lt; 0.001</w:t>
                      </w:r>
                    </w:p>
                  </w:txbxContent>
                </v:textbox>
              </v:shape>
            </w:pict>
          </mc:Fallback>
        </mc:AlternateContent>
      </w:r>
      <w:r w:rsidRPr="00900E2E">
        <w:rPr>
          <w:rFonts w:ascii="Book Antiqua" w:eastAsia="宋体" w:hAnsi="Book Antiqua"/>
          <w:b/>
          <w:noProof/>
          <w:color w:val="000000" w:themeColor="text1"/>
          <w:sz w:val="24"/>
          <w:szCs w:val="24"/>
          <w:lang w:eastAsia="zh-CN"/>
        </w:rPr>
        <mc:AlternateContent>
          <mc:Choice Requires="wps">
            <w:drawing>
              <wp:anchor distT="0" distB="0" distL="114300" distR="114300" simplePos="0" relativeHeight="251659264" behindDoc="0" locked="0" layoutInCell="1" allowOverlap="1" wp14:anchorId="73D626F0" wp14:editId="79A0C0E4">
                <wp:simplePos x="0" y="0"/>
                <wp:positionH relativeFrom="column">
                  <wp:posOffset>1178569</wp:posOffset>
                </wp:positionH>
                <wp:positionV relativeFrom="paragraph">
                  <wp:posOffset>541029</wp:posOffset>
                </wp:positionV>
                <wp:extent cx="634621" cy="265089"/>
                <wp:effectExtent l="0" t="0" r="13335" b="20955"/>
                <wp:wrapNone/>
                <wp:docPr id="6" name="文本框 6"/>
                <wp:cNvGraphicFramePr/>
                <a:graphic xmlns:a="http://schemas.openxmlformats.org/drawingml/2006/main">
                  <a:graphicData uri="http://schemas.microsoft.com/office/word/2010/wordprocessingShape">
                    <wps:wsp>
                      <wps:cNvSpPr txBox="1"/>
                      <wps:spPr>
                        <a:xfrm>
                          <a:off x="0" y="0"/>
                          <a:ext cx="634621" cy="265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DCD" w:rsidRPr="00092DCD" w:rsidRDefault="00092DCD">
                            <w:pPr>
                              <w:rPr>
                                <w:rFonts w:eastAsia="宋体"/>
                                <w:sz w:val="15"/>
                                <w:szCs w:val="15"/>
                                <w:lang w:eastAsia="zh-CN"/>
                              </w:rPr>
                            </w:pPr>
                            <w:r w:rsidRPr="00092DCD">
                              <w:rPr>
                                <w:rFonts w:eastAsia="宋体" w:hint="eastAsia"/>
                                <w:sz w:val="15"/>
                                <w:szCs w:val="15"/>
                                <w:vertAlign w:val="superscript"/>
                                <w:lang w:eastAsia="zh-CN"/>
                              </w:rPr>
                              <w:t>1</w:t>
                            </w:r>
                            <w:r w:rsidRPr="00092DCD">
                              <w:rPr>
                                <w:rFonts w:eastAsia="宋体" w:hint="eastAsia"/>
                                <w:i/>
                                <w:caps/>
                                <w:sz w:val="15"/>
                                <w:szCs w:val="15"/>
                                <w:lang w:eastAsia="zh-CN"/>
                              </w:rPr>
                              <w:t>p</w:t>
                            </w:r>
                            <w:r w:rsidRPr="00092DCD">
                              <w:rPr>
                                <w:rFonts w:eastAsia="宋体" w:hint="eastAsia"/>
                                <w:caps/>
                                <w:sz w:val="15"/>
                                <w:szCs w:val="15"/>
                                <w:lang w:eastAsia="zh-CN"/>
                              </w:rPr>
                              <w:t xml:space="preserve"> &lt; 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D626F0" id="文本框 6" o:spid="_x0000_s1027" type="#_x0000_t202" style="position:absolute;margin-left:92.8pt;margin-top:42.6pt;width:49.9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" fillcolor="white [3201]" strokeweight=".5pt">
                <v:textbox>
                  <w:txbxContent>
                    <w:p w:rsidR="00092DCD" w:rsidRPr="00092DCD" w:rsidRDefault="00092DCD">
                      <w:pPr>
                        <w:rPr>
                          <w:rFonts w:eastAsia="SimSun"/>
                          <w:sz w:val="15"/>
                          <w:szCs w:val="15"/>
                          <w:lang w:eastAsia="zh-CN"/>
                        </w:rPr>
                      </w:pPr>
                      <w:r w:rsidRPr="00092DCD">
                        <w:rPr>
                          <w:rFonts w:eastAsia="SimSun" w:hint="eastAsia"/>
                          <w:sz w:val="15"/>
                          <w:szCs w:val="15"/>
                          <w:vertAlign w:val="superscript"/>
                          <w:lang w:eastAsia="zh-CN"/>
                        </w:rPr>
                        <w:t>1</w:t>
                      </w:r>
                      <w:r w:rsidRPr="00092DCD">
                        <w:rPr>
                          <w:rFonts w:eastAsia="SimSun" w:hint="eastAsia"/>
                          <w:i/>
                          <w:caps/>
                          <w:sz w:val="15"/>
                          <w:szCs w:val="15"/>
                          <w:lang w:eastAsia="zh-CN"/>
                        </w:rPr>
                        <w:t>p</w:t>
                      </w:r>
                      <w:r w:rsidRPr="00092DCD">
                        <w:rPr>
                          <w:rFonts w:eastAsia="SimSun" w:hint="eastAsia"/>
                          <w:caps/>
                          <w:sz w:val="15"/>
                          <w:szCs w:val="15"/>
                          <w:lang w:eastAsia="zh-CN"/>
                        </w:rPr>
                        <w:t xml:space="preserve"> &lt; 0.001</w:t>
                      </w:r>
                    </w:p>
                  </w:txbxContent>
                </v:textbox>
              </v:shape>
            </w:pict>
          </mc:Fallback>
        </mc:AlternateContent>
      </w:r>
      <w:r w:rsidRPr="00900E2E">
        <w:rPr>
          <w:rFonts w:ascii="Book Antiqua" w:eastAsia="宋体" w:hAnsi="Book Antiqua"/>
          <w:b/>
          <w:noProof/>
          <w:color w:val="000000" w:themeColor="text1"/>
          <w:sz w:val="24"/>
          <w:szCs w:val="24"/>
          <w:lang w:eastAsia="zh-CN"/>
        </w:rPr>
        <w:drawing>
          <wp:inline distT="0" distB="0" distL="0" distR="0" wp14:anchorId="2714E6D6" wp14:editId="67E86AE5">
            <wp:extent cx="5400040" cy="3036890"/>
            <wp:effectExtent l="0" t="0" r="0" b="0"/>
            <wp:docPr id="5" name="图片 5" descr="E:\Question\27286\27286\27286-Figures\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estion\27286\27286\27286-Figures\Figure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036890"/>
                    </a:xfrm>
                    <a:prstGeom prst="rect">
                      <a:avLst/>
                    </a:prstGeom>
                    <a:noFill/>
                    <a:ln>
                      <a:noFill/>
                    </a:ln>
                  </pic:spPr>
                </pic:pic>
              </a:graphicData>
            </a:graphic>
          </wp:inline>
        </w:drawing>
      </w:r>
    </w:p>
    <w:p w:rsidR="005065E0" w:rsidRPr="00900E2E" w:rsidRDefault="00404C55" w:rsidP="00C805C6">
      <w:pPr>
        <w:widowControl/>
        <w:adjustRightInd w:val="0"/>
        <w:snapToGrid w:val="0"/>
        <w:spacing w:line="360" w:lineRule="auto"/>
        <w:jc w:val="left"/>
        <w:rPr>
          <w:rFonts w:ascii="Book Antiqua" w:hAnsi="Book Antiqua"/>
          <w:color w:val="000000" w:themeColor="text1"/>
          <w:sz w:val="24"/>
          <w:szCs w:val="24"/>
        </w:rPr>
      </w:pPr>
      <w:r w:rsidRPr="00900E2E">
        <w:rPr>
          <w:rFonts w:ascii="Book Antiqua" w:hAnsi="Book Antiqua"/>
          <w:b/>
          <w:color w:val="000000" w:themeColor="text1"/>
          <w:sz w:val="24"/>
          <w:szCs w:val="24"/>
        </w:rPr>
        <w:t xml:space="preserve">Figure 5 Relationships between baseline AKR1B10 expression levels and </w:t>
      </w:r>
      <w:r w:rsidR="00092DCD" w:rsidRPr="00900E2E">
        <w:rPr>
          <w:rFonts w:ascii="Book Antiqua" w:hAnsi="Book Antiqua"/>
          <w:b/>
          <w:color w:val="000000" w:themeColor="text1"/>
          <w:sz w:val="24"/>
          <w:szCs w:val="24"/>
        </w:rPr>
        <w:t xml:space="preserve">alanine aminotransferase </w:t>
      </w:r>
      <w:r w:rsidRPr="00900E2E">
        <w:rPr>
          <w:rFonts w:ascii="Book Antiqua" w:hAnsi="Book Antiqua"/>
          <w:b/>
          <w:color w:val="000000" w:themeColor="text1"/>
          <w:sz w:val="24"/>
          <w:szCs w:val="24"/>
        </w:rPr>
        <w:t>and</w:t>
      </w:r>
      <w:r w:rsidR="00092DCD" w:rsidRPr="00900E2E">
        <w:rPr>
          <w:rFonts w:ascii="Book Antiqua" w:hAnsi="Book Antiqua"/>
          <w:b/>
          <w:color w:val="000000" w:themeColor="text1"/>
          <w:sz w:val="24"/>
          <w:szCs w:val="24"/>
        </w:rPr>
        <w:t xml:space="preserve">α-fetoprotein </w:t>
      </w:r>
      <w:r w:rsidRPr="00900E2E">
        <w:rPr>
          <w:rFonts w:ascii="Book Antiqua" w:hAnsi="Book Antiqua"/>
          <w:b/>
          <w:color w:val="000000" w:themeColor="text1"/>
          <w:sz w:val="24"/>
          <w:szCs w:val="24"/>
        </w:rPr>
        <w:t xml:space="preserve">levels after </w:t>
      </w:r>
      <w:r w:rsidR="00092DCD" w:rsidRPr="00900E2E">
        <w:rPr>
          <w:rFonts w:ascii="Book Antiqua" w:hAnsi="Book Antiqua"/>
          <w:b/>
          <w:color w:val="000000" w:themeColor="text1"/>
          <w:sz w:val="24"/>
          <w:szCs w:val="24"/>
        </w:rPr>
        <w:t>sustained virological response</w:t>
      </w:r>
      <w:r w:rsidRPr="00900E2E">
        <w:rPr>
          <w:rFonts w:ascii="Book Antiqua" w:hAnsi="Book Antiqua"/>
          <w:b/>
          <w:color w:val="000000" w:themeColor="text1"/>
          <w:sz w:val="24"/>
          <w:szCs w:val="24"/>
        </w:rPr>
        <w:t xml:space="preserve">. </w:t>
      </w:r>
      <w:r w:rsidR="00092DCD" w:rsidRPr="00900E2E">
        <w:rPr>
          <w:rFonts w:ascii="Book Antiqua" w:eastAsia="宋体" w:hAnsi="Book Antiqua" w:hint="eastAsia"/>
          <w:color w:val="000000" w:themeColor="text1"/>
          <w:sz w:val="24"/>
          <w:szCs w:val="24"/>
          <w:vertAlign w:val="superscript"/>
          <w:lang w:eastAsia="zh-CN"/>
        </w:rPr>
        <w:t>1</w:t>
      </w:r>
      <w:r w:rsidRPr="00900E2E">
        <w:rPr>
          <w:rFonts w:ascii="Book Antiqua" w:hAnsi="Book Antiqua"/>
          <w:color w:val="000000" w:themeColor="text1"/>
          <w:sz w:val="24"/>
          <w:szCs w:val="24"/>
        </w:rPr>
        <w:t xml:space="preserve">Mann–Whitney </w:t>
      </w:r>
      <w:r w:rsidRPr="00900E2E">
        <w:rPr>
          <w:rFonts w:ascii="Book Antiqua" w:hAnsi="Book Antiqua"/>
          <w:i/>
          <w:color w:val="000000" w:themeColor="text1"/>
          <w:sz w:val="24"/>
          <w:szCs w:val="24"/>
        </w:rPr>
        <w:t xml:space="preserve">U </w:t>
      </w:r>
      <w:r w:rsidRPr="00900E2E">
        <w:rPr>
          <w:rFonts w:ascii="Book Antiqua" w:hAnsi="Book Antiqua"/>
          <w:color w:val="000000" w:themeColor="text1"/>
          <w:sz w:val="24"/>
          <w:szCs w:val="24"/>
        </w:rPr>
        <w:t>test.</w:t>
      </w:r>
    </w:p>
    <w:p w:rsidR="00594215" w:rsidRPr="00900E2E" w:rsidRDefault="00594215" w:rsidP="00C805C6">
      <w:pPr>
        <w:widowControl/>
        <w:adjustRightInd w:val="0"/>
        <w:snapToGrid w:val="0"/>
        <w:spacing w:line="360" w:lineRule="auto"/>
        <w:jc w:val="left"/>
        <w:rPr>
          <w:rFonts w:ascii="Book Antiqua" w:hAnsi="Book Antiqua"/>
          <w:color w:val="000000" w:themeColor="text1"/>
          <w:sz w:val="24"/>
          <w:szCs w:val="24"/>
        </w:rPr>
      </w:pPr>
      <w:r w:rsidRPr="00900E2E">
        <w:rPr>
          <w:rFonts w:ascii="Book Antiqua" w:hAnsi="Book Antiqua"/>
          <w:color w:val="000000" w:themeColor="text1"/>
          <w:sz w:val="24"/>
          <w:szCs w:val="24"/>
        </w:rPr>
        <w:br w:type="page"/>
      </w:r>
    </w:p>
    <w:p w:rsidR="00594215" w:rsidRPr="00900E2E" w:rsidRDefault="00594215" w:rsidP="00C805C6">
      <w:pPr>
        <w:adjustRightInd w:val="0"/>
        <w:snapToGrid w:val="0"/>
        <w:spacing w:line="360" w:lineRule="auto"/>
        <w:rPr>
          <w:rFonts w:ascii="Book Antiqua" w:eastAsia="宋体" w:hAnsi="Book Antiqua" w:cs="Times New Roman"/>
          <w:color w:val="000000" w:themeColor="text1"/>
          <w:sz w:val="24"/>
          <w:szCs w:val="24"/>
          <w:lang w:eastAsia="zh-CN"/>
        </w:rPr>
      </w:pPr>
      <w:r w:rsidRPr="00900E2E">
        <w:rPr>
          <w:rFonts w:ascii="Book Antiqua" w:hAnsi="Book Antiqua" w:cs="Times New Roman"/>
          <w:b/>
          <w:color w:val="000000" w:themeColor="text1"/>
          <w:sz w:val="24"/>
          <w:szCs w:val="24"/>
        </w:rPr>
        <w:lastRenderedPageBreak/>
        <w:t>Table 1 Baseline characteristics of patients enrolled in the study</w:t>
      </w:r>
      <w:r w:rsidR="00092DCD" w:rsidRPr="00900E2E">
        <w:rPr>
          <w:rFonts w:ascii="Book Antiqua" w:eastAsia="宋体" w:hAnsi="Book Antiqua" w:cs="Times New Roman" w:hint="eastAsia"/>
          <w:b/>
          <w:color w:val="000000" w:themeColor="text1"/>
          <w:sz w:val="24"/>
          <w:szCs w:val="24"/>
          <w:lang w:eastAsia="zh-CN"/>
        </w:rPr>
        <w:t xml:space="preserve"> </w:t>
      </w:r>
      <w:r w:rsidR="00092DCD" w:rsidRPr="00900E2E">
        <w:rPr>
          <w:rFonts w:ascii="Book Antiqua" w:eastAsia="宋体" w:hAnsi="Book Antiqua" w:cs="Times New Roman" w:hint="eastAsia"/>
          <w:b/>
          <w:i/>
          <w:color w:val="000000" w:themeColor="text1"/>
          <w:sz w:val="24"/>
          <w:szCs w:val="24"/>
          <w:lang w:eastAsia="zh-CN"/>
        </w:rPr>
        <w:t>n</w:t>
      </w:r>
      <w:r w:rsidR="00092DCD" w:rsidRPr="00900E2E">
        <w:rPr>
          <w:rFonts w:ascii="Book Antiqua" w:eastAsia="宋体" w:hAnsi="Book Antiqua" w:cs="Times New Roman" w:hint="eastAsia"/>
          <w:b/>
          <w:color w:val="000000" w:themeColor="text1"/>
          <w:sz w:val="24"/>
          <w:szCs w:val="24"/>
          <w:lang w:eastAsia="zh-CN"/>
        </w:rPr>
        <w:t xml:space="preserve"> (%)</w:t>
      </w:r>
    </w:p>
    <w:tbl>
      <w:tblPr>
        <w:tblW w:w="5000" w:type="pct"/>
        <w:tblCellMar>
          <w:left w:w="0" w:type="dxa"/>
          <w:right w:w="0" w:type="dxa"/>
        </w:tblCellMar>
        <w:tblLook w:val="0600" w:firstRow="0" w:lastRow="0" w:firstColumn="0" w:lastColumn="0" w:noHBand="1" w:noVBand="1"/>
      </w:tblPr>
      <w:tblGrid>
        <w:gridCol w:w="2415"/>
        <w:gridCol w:w="1704"/>
        <w:gridCol w:w="1704"/>
        <w:gridCol w:w="1704"/>
        <w:gridCol w:w="992"/>
      </w:tblGrid>
      <w:tr w:rsidR="00900E2E" w:rsidRPr="00900E2E" w:rsidTr="00092DCD">
        <w:trPr>
          <w:trHeight w:val="628"/>
        </w:trPr>
        <w:tc>
          <w:tcPr>
            <w:tcW w:w="1417"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center"/>
              <w:rPr>
                <w:rFonts w:ascii="Book Antiqua" w:hAnsi="Book Antiqua" w:cs="Times New Roman"/>
                <w:b/>
                <w:bCs/>
                <w:color w:val="000000" w:themeColor="text1"/>
                <w:sz w:val="24"/>
                <w:szCs w:val="24"/>
              </w:rPr>
            </w:pPr>
            <w:r w:rsidRPr="00900E2E">
              <w:rPr>
                <w:rFonts w:ascii="Book Antiqua" w:hAnsi="Book Antiqua" w:cs="Times New Roman"/>
                <w:b/>
                <w:bCs/>
                <w:color w:val="000000" w:themeColor="text1"/>
                <w:sz w:val="24"/>
                <w:szCs w:val="24"/>
              </w:rPr>
              <w:t>Characteristics</w:t>
            </w:r>
          </w:p>
        </w:tc>
        <w:tc>
          <w:tcPr>
            <w:tcW w:w="1000"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center"/>
              <w:rPr>
                <w:rFonts w:ascii="Book Antiqua" w:hAnsi="Book Antiqua" w:cs="Times New Roman"/>
                <w:b/>
                <w:color w:val="000000" w:themeColor="text1"/>
                <w:sz w:val="24"/>
                <w:szCs w:val="24"/>
              </w:rPr>
            </w:pPr>
            <w:r w:rsidRPr="00900E2E">
              <w:rPr>
                <w:rFonts w:ascii="Book Antiqua" w:hAnsi="Book Antiqua" w:cs="Times New Roman"/>
                <w:b/>
                <w:color w:val="000000" w:themeColor="text1"/>
                <w:sz w:val="24"/>
                <w:szCs w:val="24"/>
              </w:rPr>
              <w:t>All patients</w:t>
            </w:r>
          </w:p>
          <w:p w:rsidR="00594215" w:rsidRPr="00900E2E" w:rsidRDefault="00594215" w:rsidP="00C805C6">
            <w:pPr>
              <w:adjustRightInd w:val="0"/>
              <w:snapToGrid w:val="0"/>
              <w:spacing w:line="360" w:lineRule="auto"/>
              <w:jc w:val="center"/>
              <w:rPr>
                <w:rFonts w:ascii="Book Antiqua" w:hAnsi="Book Antiqua" w:cs="Times New Roman"/>
                <w:b/>
                <w:color w:val="000000" w:themeColor="text1"/>
                <w:sz w:val="24"/>
                <w:szCs w:val="24"/>
              </w:rPr>
            </w:pPr>
            <w:r w:rsidRPr="00900E2E">
              <w:rPr>
                <w:rFonts w:ascii="Book Antiqua" w:hAnsi="Book Antiqua" w:cs="Times New Roman"/>
                <w:b/>
                <w:color w:val="000000" w:themeColor="text1"/>
                <w:sz w:val="24"/>
                <w:szCs w:val="24"/>
              </w:rPr>
              <w:t>(</w:t>
            </w:r>
            <w:r w:rsidR="009C58F4" w:rsidRPr="00900E2E">
              <w:rPr>
                <w:rFonts w:ascii="Book Antiqua" w:hAnsi="Book Antiqua" w:cs="Times New Roman"/>
                <w:b/>
                <w:i/>
                <w:color w:val="000000" w:themeColor="text1"/>
                <w:sz w:val="24"/>
                <w:szCs w:val="24"/>
              </w:rPr>
              <w:t>n =</w:t>
            </w:r>
            <w:r w:rsidRPr="00900E2E">
              <w:rPr>
                <w:rFonts w:ascii="Book Antiqua" w:hAnsi="Book Antiqua" w:cs="Times New Roman"/>
                <w:b/>
                <w:color w:val="000000" w:themeColor="text1"/>
                <w:sz w:val="24"/>
                <w:szCs w:val="24"/>
              </w:rPr>
              <w:t xml:space="preserve"> 303)</w:t>
            </w:r>
          </w:p>
        </w:tc>
        <w:tc>
          <w:tcPr>
            <w:tcW w:w="1000" w:type="pct"/>
            <w:tcBorders>
              <w:top w:val="single" w:sz="8" w:space="0" w:color="000000"/>
              <w:left w:val="nil"/>
              <w:bottom w:val="single" w:sz="8" w:space="0" w:color="000000"/>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b/>
                <w:color w:val="000000" w:themeColor="text1"/>
                <w:sz w:val="24"/>
                <w:szCs w:val="24"/>
              </w:rPr>
            </w:pPr>
            <w:r w:rsidRPr="00900E2E">
              <w:rPr>
                <w:rFonts w:ascii="Book Antiqua" w:hAnsi="Book Antiqua" w:cs="Times New Roman"/>
                <w:b/>
                <w:color w:val="000000" w:themeColor="text1"/>
                <w:sz w:val="24"/>
                <w:szCs w:val="24"/>
              </w:rPr>
              <w:t>With HCC development</w:t>
            </w:r>
          </w:p>
          <w:p w:rsidR="00594215" w:rsidRPr="00900E2E" w:rsidRDefault="00594215" w:rsidP="00C805C6">
            <w:pPr>
              <w:adjustRightInd w:val="0"/>
              <w:snapToGrid w:val="0"/>
              <w:spacing w:line="360" w:lineRule="auto"/>
              <w:jc w:val="center"/>
              <w:rPr>
                <w:rFonts w:ascii="Book Antiqua" w:hAnsi="Book Antiqua" w:cs="Times New Roman"/>
                <w:b/>
                <w:color w:val="000000" w:themeColor="text1"/>
                <w:sz w:val="24"/>
                <w:szCs w:val="24"/>
              </w:rPr>
            </w:pPr>
            <w:r w:rsidRPr="00900E2E">
              <w:rPr>
                <w:rFonts w:ascii="Book Antiqua" w:hAnsi="Book Antiqua" w:cs="Times New Roman"/>
                <w:b/>
                <w:color w:val="000000" w:themeColor="text1"/>
                <w:sz w:val="24"/>
                <w:szCs w:val="24"/>
              </w:rPr>
              <w:t>(</w:t>
            </w:r>
            <w:r w:rsidR="009C58F4" w:rsidRPr="00900E2E">
              <w:rPr>
                <w:rFonts w:ascii="Book Antiqua" w:hAnsi="Book Antiqua" w:cs="Times New Roman"/>
                <w:b/>
                <w:i/>
                <w:color w:val="000000" w:themeColor="text1"/>
                <w:sz w:val="24"/>
                <w:szCs w:val="24"/>
              </w:rPr>
              <w:t>n =</w:t>
            </w:r>
            <w:r w:rsidRPr="00900E2E">
              <w:rPr>
                <w:rFonts w:ascii="Book Antiqua" w:hAnsi="Book Antiqua" w:cs="Times New Roman"/>
                <w:b/>
                <w:color w:val="000000" w:themeColor="text1"/>
                <w:sz w:val="24"/>
                <w:szCs w:val="24"/>
              </w:rPr>
              <w:t xml:space="preserve"> 8)</w:t>
            </w:r>
          </w:p>
        </w:tc>
        <w:tc>
          <w:tcPr>
            <w:tcW w:w="1000" w:type="pct"/>
            <w:tcBorders>
              <w:top w:val="single" w:sz="8" w:space="0" w:color="000000"/>
              <w:left w:val="nil"/>
              <w:bottom w:val="single" w:sz="8" w:space="0" w:color="000000"/>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b/>
                <w:color w:val="000000" w:themeColor="text1"/>
                <w:sz w:val="24"/>
                <w:szCs w:val="24"/>
              </w:rPr>
            </w:pPr>
            <w:r w:rsidRPr="00900E2E">
              <w:rPr>
                <w:rFonts w:ascii="Book Antiqua" w:hAnsi="Book Antiqua" w:cs="Times New Roman"/>
                <w:b/>
                <w:color w:val="000000" w:themeColor="text1"/>
                <w:sz w:val="24"/>
                <w:szCs w:val="24"/>
              </w:rPr>
              <w:t>Without HCC development</w:t>
            </w:r>
          </w:p>
          <w:p w:rsidR="00594215" w:rsidRPr="00900E2E" w:rsidRDefault="00594215" w:rsidP="00C805C6">
            <w:pPr>
              <w:adjustRightInd w:val="0"/>
              <w:snapToGrid w:val="0"/>
              <w:spacing w:line="360" w:lineRule="auto"/>
              <w:jc w:val="center"/>
              <w:rPr>
                <w:rFonts w:ascii="Book Antiqua" w:hAnsi="Book Antiqua" w:cs="Times New Roman"/>
                <w:b/>
                <w:color w:val="000000" w:themeColor="text1"/>
                <w:sz w:val="24"/>
                <w:szCs w:val="24"/>
              </w:rPr>
            </w:pPr>
            <w:r w:rsidRPr="00900E2E">
              <w:rPr>
                <w:rFonts w:ascii="Book Antiqua" w:hAnsi="Book Antiqua" w:cs="Times New Roman"/>
                <w:b/>
                <w:color w:val="000000" w:themeColor="text1"/>
                <w:sz w:val="24"/>
                <w:szCs w:val="24"/>
              </w:rPr>
              <w:t>(</w:t>
            </w:r>
            <w:r w:rsidR="009C58F4" w:rsidRPr="00900E2E">
              <w:rPr>
                <w:rFonts w:ascii="Book Antiqua" w:hAnsi="Book Antiqua" w:cs="Times New Roman"/>
                <w:b/>
                <w:i/>
                <w:color w:val="000000" w:themeColor="text1"/>
                <w:sz w:val="24"/>
                <w:szCs w:val="24"/>
              </w:rPr>
              <w:t>n =</w:t>
            </w:r>
            <w:r w:rsidRPr="00900E2E">
              <w:rPr>
                <w:rFonts w:ascii="Book Antiqua" w:hAnsi="Book Antiqua" w:cs="Times New Roman"/>
                <w:b/>
                <w:color w:val="000000" w:themeColor="text1"/>
                <w:sz w:val="24"/>
                <w:szCs w:val="24"/>
              </w:rPr>
              <w:t xml:space="preserve"> 295)</w:t>
            </w:r>
          </w:p>
        </w:tc>
        <w:tc>
          <w:tcPr>
            <w:tcW w:w="582" w:type="pct"/>
            <w:tcBorders>
              <w:top w:val="single" w:sz="8" w:space="0" w:color="000000"/>
              <w:left w:val="nil"/>
              <w:bottom w:val="single" w:sz="8" w:space="0" w:color="000000"/>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b/>
                <w:color w:val="000000" w:themeColor="text1"/>
                <w:sz w:val="24"/>
                <w:szCs w:val="24"/>
              </w:rPr>
            </w:pPr>
            <w:r w:rsidRPr="00900E2E">
              <w:rPr>
                <w:rFonts w:ascii="Book Antiqua" w:hAnsi="Book Antiqua" w:cs="Times New Roman"/>
                <w:b/>
                <w:i/>
                <w:color w:val="000000" w:themeColor="text1"/>
                <w:sz w:val="24"/>
                <w:szCs w:val="24"/>
              </w:rPr>
              <w:t>P</w:t>
            </w:r>
            <w:r w:rsidRPr="00900E2E">
              <w:rPr>
                <w:rFonts w:ascii="Book Antiqua" w:hAnsi="Book Antiqua" w:cs="Times New Roman"/>
                <w:b/>
                <w:color w:val="000000" w:themeColor="text1"/>
                <w:sz w:val="24"/>
                <w:szCs w:val="24"/>
              </w:rPr>
              <w:t>- value</w:t>
            </w:r>
          </w:p>
        </w:tc>
      </w:tr>
      <w:tr w:rsidR="00900E2E" w:rsidRPr="00900E2E" w:rsidTr="00092DCD">
        <w:trPr>
          <w:trHeight w:val="628"/>
        </w:trPr>
        <w:tc>
          <w:tcPr>
            <w:tcW w:w="1417" w:type="pct"/>
            <w:tcBorders>
              <w:left w:val="nil"/>
              <w:bottom w:val="nil"/>
              <w:right w:val="nil"/>
            </w:tcBorders>
            <w:shd w:val="clear" w:color="auto" w:fill="auto"/>
            <w:tcMar>
              <w:top w:w="15" w:type="dxa"/>
              <w:left w:w="15" w:type="dxa"/>
              <w:bottom w:w="0" w:type="dxa"/>
              <w:right w:w="15" w:type="dxa"/>
            </w:tcMar>
            <w:vAlign w:val="center"/>
            <w:hideMark/>
          </w:tcPr>
          <w:p w:rsidR="00594215" w:rsidRPr="00900E2E" w:rsidRDefault="00092DCD"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Age, yr</w:t>
            </w:r>
            <w:r w:rsidR="00594215" w:rsidRPr="00900E2E">
              <w:rPr>
                <w:rFonts w:ascii="Book Antiqua" w:hAnsi="Book Antiqua"/>
                <w:color w:val="000000" w:themeColor="text1"/>
                <w:sz w:val="24"/>
                <w:szCs w:val="24"/>
                <w:vertAlign w:val="superscript"/>
              </w:rPr>
              <w:t xml:space="preserve"> </w:t>
            </w:r>
          </w:p>
        </w:tc>
        <w:tc>
          <w:tcPr>
            <w:tcW w:w="1000" w:type="pct"/>
            <w:tcBorders>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57 (20–85)</w:t>
            </w:r>
          </w:p>
        </w:tc>
        <w:tc>
          <w:tcPr>
            <w:tcW w:w="1000" w:type="pct"/>
            <w:tcBorders>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62 (49–71)</w:t>
            </w:r>
          </w:p>
        </w:tc>
        <w:tc>
          <w:tcPr>
            <w:tcW w:w="1000" w:type="pct"/>
            <w:tcBorders>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57 (20–85)</w:t>
            </w:r>
          </w:p>
        </w:tc>
        <w:tc>
          <w:tcPr>
            <w:tcW w:w="582" w:type="pct"/>
            <w:tcBorders>
              <w:left w:val="nil"/>
              <w:bottom w:val="nil"/>
              <w:right w:val="nil"/>
            </w:tcBorders>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0.198</w:t>
            </w:r>
            <w:r w:rsidR="00092DCD" w:rsidRPr="00900E2E">
              <w:rPr>
                <w:rFonts w:ascii="Book Antiqua" w:hAnsi="Book Antiqua"/>
                <w:color w:val="000000" w:themeColor="text1"/>
                <w:sz w:val="24"/>
                <w:szCs w:val="24"/>
                <w:vertAlign w:val="superscript"/>
              </w:rPr>
              <w:t>2</w:t>
            </w:r>
          </w:p>
        </w:tc>
      </w:tr>
      <w:tr w:rsidR="00900E2E" w:rsidRPr="00900E2E" w:rsidTr="00092DCD">
        <w:trPr>
          <w:trHeight w:val="628"/>
        </w:trPr>
        <w:tc>
          <w:tcPr>
            <w:tcW w:w="1417" w:type="pct"/>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Males</w:t>
            </w:r>
          </w:p>
        </w:tc>
        <w:tc>
          <w:tcPr>
            <w:tcW w:w="1000" w:type="pct"/>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182 (60.0)</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6 (75.0)</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176 (59.7)</w:t>
            </w:r>
          </w:p>
        </w:tc>
        <w:tc>
          <w:tcPr>
            <w:tcW w:w="582" w:type="pct"/>
            <w:tcBorders>
              <w:top w:val="nil"/>
              <w:left w:val="nil"/>
              <w:bottom w:val="nil"/>
              <w:right w:val="nil"/>
            </w:tcBorders>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0.484</w:t>
            </w:r>
            <w:r w:rsidR="00092DCD" w:rsidRPr="00900E2E">
              <w:rPr>
                <w:rFonts w:ascii="Book Antiqua" w:hAnsi="Book Antiqua"/>
                <w:color w:val="000000" w:themeColor="text1"/>
                <w:sz w:val="24"/>
                <w:szCs w:val="24"/>
                <w:vertAlign w:val="superscript"/>
              </w:rPr>
              <w:t>3</w:t>
            </w:r>
          </w:p>
        </w:tc>
      </w:tr>
      <w:tr w:rsidR="00900E2E" w:rsidRPr="00900E2E" w:rsidTr="00092DCD">
        <w:trPr>
          <w:trHeight w:val="628"/>
        </w:trPr>
        <w:tc>
          <w:tcPr>
            <w:tcW w:w="1417" w:type="pct"/>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BMI (kg/m</w:t>
            </w:r>
            <w:r w:rsidRPr="00900E2E">
              <w:rPr>
                <w:rFonts w:ascii="Book Antiqua" w:hAnsi="Book Antiqua" w:cs="Times New Roman"/>
                <w:bCs/>
                <w:color w:val="000000" w:themeColor="text1"/>
                <w:sz w:val="24"/>
                <w:szCs w:val="24"/>
                <w:vertAlign w:val="superscript"/>
              </w:rPr>
              <w:t>2</w:t>
            </w:r>
            <w:r w:rsidRPr="00900E2E">
              <w:rPr>
                <w:rFonts w:ascii="Book Antiqua" w:hAnsi="Book Antiqua" w:cs="Times New Roman"/>
                <w:bCs/>
                <w:color w:val="000000" w:themeColor="text1"/>
                <w:sz w:val="24"/>
                <w:szCs w:val="24"/>
              </w:rPr>
              <w:t>)</w:t>
            </w:r>
            <w:r w:rsidRPr="00900E2E">
              <w:rPr>
                <w:rFonts w:ascii="Book Antiqua" w:hAnsi="Book Antiqua"/>
                <w:color w:val="000000" w:themeColor="text1"/>
                <w:sz w:val="24"/>
                <w:szCs w:val="24"/>
                <w:vertAlign w:val="superscript"/>
              </w:rPr>
              <w:t xml:space="preserve"> </w:t>
            </w:r>
          </w:p>
        </w:tc>
        <w:tc>
          <w:tcPr>
            <w:tcW w:w="1000" w:type="pct"/>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23.3 (15.3–39.5)</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23.8 (20.2–26.5)</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23.4 (15.3–39.5)</w:t>
            </w:r>
          </w:p>
        </w:tc>
        <w:tc>
          <w:tcPr>
            <w:tcW w:w="582" w:type="pct"/>
            <w:tcBorders>
              <w:top w:val="nil"/>
              <w:left w:val="nil"/>
              <w:bottom w:val="nil"/>
              <w:right w:val="nil"/>
            </w:tcBorders>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0.860</w:t>
            </w:r>
            <w:r w:rsidR="00092DCD" w:rsidRPr="00900E2E">
              <w:rPr>
                <w:rFonts w:ascii="Book Antiqua" w:hAnsi="Book Antiqua"/>
                <w:color w:val="000000" w:themeColor="text1"/>
                <w:sz w:val="24"/>
                <w:szCs w:val="24"/>
                <w:vertAlign w:val="superscript"/>
              </w:rPr>
              <w:t>2</w:t>
            </w:r>
          </w:p>
        </w:tc>
      </w:tr>
      <w:tr w:rsidR="00900E2E" w:rsidRPr="00900E2E" w:rsidTr="00092DCD">
        <w:trPr>
          <w:trHeight w:val="628"/>
        </w:trPr>
        <w:tc>
          <w:tcPr>
            <w:tcW w:w="1417" w:type="pct"/>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 xml:space="preserve">Habitual drinker, </w:t>
            </w:r>
            <w:r w:rsidRPr="00900E2E">
              <w:rPr>
                <w:rFonts w:ascii="Book Antiqua" w:hAnsi="Book Antiqua" w:cs="Times New Roman"/>
                <w:bCs/>
                <w:i/>
                <w:color w:val="000000" w:themeColor="text1"/>
                <w:sz w:val="24"/>
                <w:szCs w:val="24"/>
              </w:rPr>
              <w:t>n</w:t>
            </w:r>
            <w:r w:rsidRPr="00900E2E">
              <w:rPr>
                <w:rFonts w:ascii="Book Antiqua" w:hAnsi="Book Antiqua" w:cs="Times New Roman"/>
                <w:bCs/>
                <w:color w:val="000000" w:themeColor="text1"/>
                <w:sz w:val="24"/>
                <w:szCs w:val="24"/>
              </w:rPr>
              <w:t xml:space="preserve"> (%)</w:t>
            </w:r>
          </w:p>
        </w:tc>
        <w:tc>
          <w:tcPr>
            <w:tcW w:w="1000" w:type="pct"/>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75 (24.8)</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2 (25.0)</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73 (24.7)</w:t>
            </w:r>
          </w:p>
        </w:tc>
        <w:tc>
          <w:tcPr>
            <w:tcW w:w="582"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1.000</w:t>
            </w:r>
            <w:r w:rsidR="00092DCD" w:rsidRPr="00900E2E">
              <w:rPr>
                <w:rFonts w:ascii="Book Antiqua" w:hAnsi="Book Antiqua"/>
                <w:color w:val="000000" w:themeColor="text1"/>
                <w:sz w:val="24"/>
                <w:szCs w:val="24"/>
                <w:vertAlign w:val="superscript"/>
              </w:rPr>
              <w:t>3</w:t>
            </w:r>
          </w:p>
        </w:tc>
      </w:tr>
      <w:tr w:rsidR="00900E2E" w:rsidRPr="00900E2E" w:rsidTr="00092DCD">
        <w:trPr>
          <w:trHeight w:val="628"/>
        </w:trPr>
        <w:tc>
          <w:tcPr>
            <w:tcW w:w="1417"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092DCD" w:rsidP="00C805C6">
            <w:pPr>
              <w:adjustRightInd w:val="0"/>
              <w:snapToGrid w:val="0"/>
              <w:spacing w:line="360" w:lineRule="auto"/>
              <w:jc w:val="left"/>
              <w:rPr>
                <w:rFonts w:ascii="Book Antiqua" w:hAnsi="Book Antiqua" w:cs="Times New Roman"/>
                <w:bCs/>
                <w:color w:val="000000" w:themeColor="text1"/>
                <w:sz w:val="24"/>
                <w:szCs w:val="24"/>
              </w:rPr>
            </w:pPr>
            <w:r w:rsidRPr="00900E2E">
              <w:rPr>
                <w:rFonts w:ascii="Book Antiqua" w:hAnsi="Book Antiqua" w:cs="Times New Roman"/>
                <w:bCs/>
                <w:color w:val="000000" w:themeColor="text1"/>
                <w:sz w:val="24"/>
                <w:szCs w:val="24"/>
              </w:rPr>
              <w:t>Diabetes mellitus</w:t>
            </w:r>
            <w:r w:rsidRPr="00900E2E">
              <w:rPr>
                <w:rFonts w:ascii="Book Antiqua" w:hAnsi="Book Antiqua"/>
                <w:color w:val="000000" w:themeColor="text1"/>
                <w:sz w:val="24"/>
                <w:szCs w:val="24"/>
                <w:vertAlign w:val="superscript"/>
              </w:rPr>
              <w:t>1</w:t>
            </w:r>
          </w:p>
        </w:tc>
        <w:tc>
          <w:tcPr>
            <w:tcW w:w="1000"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25 (8.3)</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3 (37.5)</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22 (7.5)</w:t>
            </w:r>
          </w:p>
        </w:tc>
        <w:tc>
          <w:tcPr>
            <w:tcW w:w="582"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0.019</w:t>
            </w:r>
            <w:r w:rsidR="00092DCD" w:rsidRPr="00900E2E">
              <w:rPr>
                <w:rFonts w:ascii="Book Antiqua" w:hAnsi="Book Antiqua"/>
                <w:color w:val="000000" w:themeColor="text1"/>
                <w:sz w:val="24"/>
                <w:szCs w:val="24"/>
                <w:vertAlign w:val="superscript"/>
              </w:rPr>
              <w:t>3</w:t>
            </w:r>
          </w:p>
        </w:tc>
      </w:tr>
      <w:tr w:rsidR="00900E2E" w:rsidRPr="00900E2E" w:rsidTr="00092DCD">
        <w:trPr>
          <w:trHeight w:val="628"/>
        </w:trPr>
        <w:tc>
          <w:tcPr>
            <w:tcW w:w="1417"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HCV-RNA (logIU/mL)</w:t>
            </w:r>
            <w:r w:rsidRPr="00900E2E">
              <w:rPr>
                <w:rFonts w:ascii="Book Antiqua" w:hAnsi="Book Antiqua"/>
                <w:color w:val="000000" w:themeColor="text1"/>
                <w:sz w:val="24"/>
                <w:szCs w:val="24"/>
                <w:vertAlign w:val="superscript"/>
              </w:rPr>
              <w:t xml:space="preserve"> </w:t>
            </w:r>
            <w:r w:rsidR="00092DCD" w:rsidRPr="00900E2E">
              <w:rPr>
                <w:rFonts w:ascii="Book Antiqua" w:hAnsi="Book Antiqua"/>
                <w:color w:val="000000" w:themeColor="text1"/>
                <w:sz w:val="24"/>
                <w:szCs w:val="24"/>
                <w:vertAlign w:val="superscript"/>
              </w:rPr>
              <w:t>1</w:t>
            </w:r>
            <w:r w:rsidRPr="00900E2E">
              <w:rPr>
                <w:rFonts w:ascii="Book Antiqua" w:hAnsi="Book Antiqua"/>
                <w:color w:val="000000" w:themeColor="text1"/>
                <w:sz w:val="24"/>
                <w:szCs w:val="24"/>
                <w:vertAlign w:val="superscript"/>
              </w:rPr>
              <w:t xml:space="preserve"> </w:t>
            </w:r>
          </w:p>
        </w:tc>
        <w:tc>
          <w:tcPr>
            <w:tcW w:w="1000"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6.2 (1.2–7.6)</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5.7 (5.0–6.7)</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6.2 (1.2–7.6)</w:t>
            </w:r>
          </w:p>
        </w:tc>
        <w:tc>
          <w:tcPr>
            <w:tcW w:w="582"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0.246</w:t>
            </w:r>
            <w:r w:rsidR="00092DCD" w:rsidRPr="00900E2E">
              <w:rPr>
                <w:rFonts w:ascii="Book Antiqua" w:hAnsi="Book Antiqua"/>
                <w:color w:val="000000" w:themeColor="text1"/>
                <w:sz w:val="24"/>
                <w:szCs w:val="24"/>
                <w:vertAlign w:val="superscript"/>
              </w:rPr>
              <w:t>2</w:t>
            </w:r>
          </w:p>
        </w:tc>
      </w:tr>
      <w:tr w:rsidR="00900E2E" w:rsidRPr="00900E2E" w:rsidTr="00092DCD">
        <w:trPr>
          <w:trHeight w:val="628"/>
        </w:trPr>
        <w:tc>
          <w:tcPr>
            <w:tcW w:w="1417"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HCV genotype 1</w:t>
            </w:r>
          </w:p>
        </w:tc>
        <w:tc>
          <w:tcPr>
            <w:tcW w:w="1000"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152 (50.2)</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6 (75.0)</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146 (49.5)</w:t>
            </w:r>
          </w:p>
        </w:tc>
        <w:tc>
          <w:tcPr>
            <w:tcW w:w="582"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0.283</w:t>
            </w:r>
            <w:r w:rsidR="00092DCD" w:rsidRPr="00900E2E">
              <w:rPr>
                <w:rFonts w:ascii="Book Antiqua" w:hAnsi="Book Antiqua"/>
                <w:color w:val="000000" w:themeColor="text1"/>
                <w:sz w:val="24"/>
                <w:szCs w:val="24"/>
                <w:vertAlign w:val="superscript"/>
              </w:rPr>
              <w:t>3</w:t>
            </w:r>
          </w:p>
        </w:tc>
      </w:tr>
      <w:tr w:rsidR="00900E2E" w:rsidRPr="00900E2E" w:rsidTr="00092DCD">
        <w:trPr>
          <w:trHeight w:val="628"/>
        </w:trPr>
        <w:tc>
          <w:tcPr>
            <w:tcW w:w="1417"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left"/>
              <w:rPr>
                <w:rFonts w:ascii="Book Antiqua" w:hAnsi="Book Antiqua" w:cs="Times New Roman"/>
                <w:bCs/>
                <w:color w:val="000000" w:themeColor="text1"/>
                <w:sz w:val="24"/>
                <w:szCs w:val="24"/>
              </w:rPr>
            </w:pPr>
            <w:r w:rsidRPr="00900E2E">
              <w:rPr>
                <w:rFonts w:ascii="Book Antiqua" w:hAnsi="Book Antiqua" w:cs="Times New Roman"/>
                <w:bCs/>
                <w:color w:val="000000" w:themeColor="text1"/>
                <w:sz w:val="24"/>
                <w:szCs w:val="24"/>
              </w:rPr>
              <w:t>Stage of fibrosis F3-F4</w:t>
            </w:r>
          </w:p>
        </w:tc>
        <w:tc>
          <w:tcPr>
            <w:tcW w:w="1000"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47 (15.5)</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6 (75.0)</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41 (13.9)</w:t>
            </w:r>
          </w:p>
        </w:tc>
        <w:tc>
          <w:tcPr>
            <w:tcW w:w="582"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&lt;0.001</w:t>
            </w:r>
            <w:r w:rsidR="00092DCD" w:rsidRPr="00900E2E">
              <w:rPr>
                <w:rFonts w:ascii="Book Antiqua" w:hAnsi="Book Antiqua"/>
                <w:color w:val="000000" w:themeColor="text1"/>
                <w:sz w:val="24"/>
                <w:szCs w:val="24"/>
                <w:vertAlign w:val="superscript"/>
              </w:rPr>
              <w:t>3</w:t>
            </w:r>
          </w:p>
        </w:tc>
      </w:tr>
      <w:tr w:rsidR="00900E2E" w:rsidRPr="00900E2E" w:rsidTr="00092DCD">
        <w:trPr>
          <w:trHeight w:val="628"/>
        </w:trPr>
        <w:tc>
          <w:tcPr>
            <w:tcW w:w="1417"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092DCD" w:rsidP="00C805C6">
            <w:pPr>
              <w:adjustRightInd w:val="0"/>
              <w:snapToGrid w:val="0"/>
              <w:spacing w:line="360" w:lineRule="auto"/>
              <w:jc w:val="left"/>
              <w:rPr>
                <w:rFonts w:ascii="Book Antiqua" w:eastAsia="宋体" w:hAnsi="Book Antiqua" w:cs="Times New Roman"/>
                <w:bCs/>
                <w:color w:val="000000" w:themeColor="text1"/>
                <w:sz w:val="24"/>
                <w:szCs w:val="24"/>
                <w:lang w:eastAsia="zh-CN"/>
              </w:rPr>
            </w:pPr>
            <w:r w:rsidRPr="00900E2E">
              <w:rPr>
                <w:rFonts w:ascii="Book Antiqua" w:hAnsi="Book Antiqua" w:cs="Times New Roman"/>
                <w:bCs/>
                <w:color w:val="000000" w:themeColor="text1"/>
                <w:sz w:val="24"/>
                <w:szCs w:val="24"/>
              </w:rPr>
              <w:t>Grade of inflammation A2-A3</w:t>
            </w:r>
          </w:p>
        </w:tc>
        <w:tc>
          <w:tcPr>
            <w:tcW w:w="1000"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208 (68.6)</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8 (100.0)</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200 (67.8)</w:t>
            </w:r>
          </w:p>
        </w:tc>
        <w:tc>
          <w:tcPr>
            <w:tcW w:w="582"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0.060</w:t>
            </w:r>
            <w:r w:rsidR="00092DCD" w:rsidRPr="00900E2E">
              <w:rPr>
                <w:rFonts w:ascii="Book Antiqua" w:hAnsi="Book Antiqua"/>
                <w:color w:val="000000" w:themeColor="text1"/>
                <w:sz w:val="24"/>
                <w:szCs w:val="24"/>
                <w:vertAlign w:val="superscript"/>
              </w:rPr>
              <w:t>3</w:t>
            </w:r>
          </w:p>
        </w:tc>
      </w:tr>
      <w:tr w:rsidR="00900E2E" w:rsidRPr="00900E2E" w:rsidTr="00092DCD">
        <w:trPr>
          <w:trHeight w:val="628"/>
        </w:trPr>
        <w:tc>
          <w:tcPr>
            <w:tcW w:w="1417" w:type="pct"/>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Albumin (g/dL)</w:t>
            </w:r>
            <w:r w:rsidRPr="00900E2E">
              <w:rPr>
                <w:rFonts w:ascii="Book Antiqua" w:hAnsi="Book Antiqua"/>
                <w:color w:val="000000" w:themeColor="text1"/>
                <w:sz w:val="24"/>
                <w:szCs w:val="24"/>
                <w:vertAlign w:val="superscript"/>
              </w:rPr>
              <w:t xml:space="preserve"> </w:t>
            </w:r>
          </w:p>
        </w:tc>
        <w:tc>
          <w:tcPr>
            <w:tcW w:w="1000" w:type="pct"/>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4.2 (3.3–4.8)</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3.9 (3.3–4.4)</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4.2 (3.3–4.7)</w:t>
            </w:r>
          </w:p>
        </w:tc>
        <w:tc>
          <w:tcPr>
            <w:tcW w:w="582" w:type="pct"/>
            <w:tcBorders>
              <w:top w:val="nil"/>
              <w:left w:val="nil"/>
              <w:bottom w:val="nil"/>
              <w:right w:val="nil"/>
            </w:tcBorders>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0.032</w:t>
            </w:r>
            <w:r w:rsidR="00092DCD" w:rsidRPr="00900E2E">
              <w:rPr>
                <w:rFonts w:ascii="Book Antiqua" w:hAnsi="Book Antiqua"/>
                <w:color w:val="000000" w:themeColor="text1"/>
                <w:sz w:val="24"/>
                <w:szCs w:val="24"/>
                <w:vertAlign w:val="superscript"/>
              </w:rPr>
              <w:t>2</w:t>
            </w:r>
          </w:p>
        </w:tc>
      </w:tr>
      <w:tr w:rsidR="00900E2E" w:rsidRPr="00900E2E" w:rsidTr="00092DCD">
        <w:trPr>
          <w:trHeight w:val="628"/>
        </w:trPr>
        <w:tc>
          <w:tcPr>
            <w:tcW w:w="1417" w:type="pct"/>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ALT (IU/L)</w:t>
            </w:r>
            <w:r w:rsidRPr="00900E2E">
              <w:rPr>
                <w:rFonts w:ascii="Book Antiqua" w:hAnsi="Book Antiqua"/>
                <w:color w:val="000000" w:themeColor="text1"/>
                <w:sz w:val="24"/>
                <w:szCs w:val="24"/>
                <w:vertAlign w:val="superscript"/>
              </w:rPr>
              <w:t xml:space="preserve"> </w:t>
            </w:r>
          </w:p>
        </w:tc>
        <w:tc>
          <w:tcPr>
            <w:tcW w:w="1000" w:type="pct"/>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52 (11–699)</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146 (31–209)</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52 (11–699)</w:t>
            </w:r>
          </w:p>
        </w:tc>
        <w:tc>
          <w:tcPr>
            <w:tcW w:w="582" w:type="pct"/>
            <w:tcBorders>
              <w:top w:val="nil"/>
              <w:left w:val="nil"/>
              <w:bottom w:val="nil"/>
              <w:right w:val="nil"/>
            </w:tcBorders>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0.017</w:t>
            </w:r>
            <w:r w:rsidR="00092DCD" w:rsidRPr="00900E2E">
              <w:rPr>
                <w:rFonts w:ascii="Book Antiqua" w:hAnsi="Book Antiqua"/>
                <w:color w:val="000000" w:themeColor="text1"/>
                <w:sz w:val="24"/>
                <w:szCs w:val="24"/>
                <w:vertAlign w:val="superscript"/>
              </w:rPr>
              <w:t>2</w:t>
            </w:r>
          </w:p>
        </w:tc>
      </w:tr>
      <w:tr w:rsidR="00900E2E" w:rsidRPr="00900E2E" w:rsidTr="00092DCD">
        <w:trPr>
          <w:trHeight w:val="628"/>
        </w:trPr>
        <w:tc>
          <w:tcPr>
            <w:tcW w:w="1417"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Platelet count (×10</w:t>
            </w:r>
            <w:r w:rsidRPr="00900E2E">
              <w:rPr>
                <w:rFonts w:ascii="Book Antiqua" w:hAnsi="Book Antiqua" w:cs="Times New Roman"/>
                <w:bCs/>
                <w:color w:val="000000" w:themeColor="text1"/>
                <w:sz w:val="24"/>
                <w:szCs w:val="24"/>
                <w:vertAlign w:val="superscript"/>
              </w:rPr>
              <w:t>4</w:t>
            </w:r>
            <w:r w:rsidRPr="00900E2E">
              <w:rPr>
                <w:rFonts w:ascii="Book Antiqua" w:hAnsi="Book Antiqua" w:cs="Times New Roman"/>
                <w:bCs/>
                <w:color w:val="000000" w:themeColor="text1"/>
                <w:sz w:val="24"/>
                <w:szCs w:val="24"/>
              </w:rPr>
              <w:t>/μL)</w:t>
            </w:r>
            <w:r w:rsidRPr="00900E2E">
              <w:rPr>
                <w:rFonts w:ascii="Book Antiqua" w:hAnsi="Book Antiqua"/>
                <w:color w:val="000000" w:themeColor="text1"/>
                <w:sz w:val="24"/>
                <w:szCs w:val="24"/>
                <w:vertAlign w:val="superscript"/>
              </w:rPr>
              <w:t xml:space="preserve"> </w:t>
            </w:r>
          </w:p>
        </w:tc>
        <w:tc>
          <w:tcPr>
            <w:tcW w:w="1000"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17.5 (5.6–39.6)</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10.3 (7.9–19.3)</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17.6 (5.6–31.9)</w:t>
            </w:r>
          </w:p>
        </w:tc>
        <w:tc>
          <w:tcPr>
            <w:tcW w:w="582"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0.006</w:t>
            </w:r>
            <w:r w:rsidR="00092DCD" w:rsidRPr="00900E2E">
              <w:rPr>
                <w:rFonts w:ascii="Book Antiqua" w:hAnsi="Book Antiqua"/>
                <w:color w:val="000000" w:themeColor="text1"/>
                <w:sz w:val="24"/>
                <w:szCs w:val="24"/>
                <w:vertAlign w:val="superscript"/>
              </w:rPr>
              <w:t>2</w:t>
            </w:r>
          </w:p>
        </w:tc>
      </w:tr>
      <w:tr w:rsidR="00900E2E" w:rsidRPr="00900E2E" w:rsidTr="00092DCD">
        <w:trPr>
          <w:trHeight w:val="628"/>
        </w:trPr>
        <w:tc>
          <w:tcPr>
            <w:tcW w:w="1417"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left"/>
              <w:rPr>
                <w:rFonts w:ascii="Book Antiqua" w:hAnsi="Book Antiqua" w:cs="Times New Roman"/>
                <w:bCs/>
                <w:color w:val="000000" w:themeColor="text1"/>
                <w:sz w:val="24"/>
                <w:szCs w:val="24"/>
              </w:rPr>
            </w:pPr>
            <w:r w:rsidRPr="00900E2E">
              <w:rPr>
                <w:rFonts w:ascii="Book Antiqua" w:hAnsi="Book Antiqua" w:cs="Times New Roman"/>
                <w:bCs/>
                <w:color w:val="000000" w:themeColor="text1"/>
                <w:sz w:val="24"/>
                <w:szCs w:val="24"/>
              </w:rPr>
              <w:t>GGT (IU/L)</w:t>
            </w:r>
            <w:r w:rsidRPr="00900E2E">
              <w:rPr>
                <w:rFonts w:ascii="Book Antiqua" w:hAnsi="Book Antiqua"/>
                <w:color w:val="000000" w:themeColor="text1"/>
                <w:sz w:val="24"/>
                <w:szCs w:val="24"/>
                <w:vertAlign w:val="superscript"/>
              </w:rPr>
              <w:t xml:space="preserve"> </w:t>
            </w:r>
          </w:p>
        </w:tc>
        <w:tc>
          <w:tcPr>
            <w:tcW w:w="1000" w:type="pct"/>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37 (9–517)</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66 (28–161)</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36 (9–517)</w:t>
            </w:r>
          </w:p>
        </w:tc>
        <w:tc>
          <w:tcPr>
            <w:tcW w:w="582" w:type="pct"/>
            <w:tcBorders>
              <w:top w:val="nil"/>
              <w:left w:val="nil"/>
              <w:bottom w:val="nil"/>
              <w:right w:val="nil"/>
            </w:tcBorders>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0.053</w:t>
            </w:r>
            <w:r w:rsidR="00092DCD" w:rsidRPr="00900E2E">
              <w:rPr>
                <w:rFonts w:ascii="Book Antiqua" w:hAnsi="Book Antiqua"/>
                <w:color w:val="000000" w:themeColor="text1"/>
                <w:sz w:val="24"/>
                <w:szCs w:val="24"/>
                <w:vertAlign w:val="superscript"/>
              </w:rPr>
              <w:t>2</w:t>
            </w:r>
          </w:p>
        </w:tc>
      </w:tr>
      <w:tr w:rsidR="00900E2E" w:rsidRPr="00900E2E" w:rsidTr="00092DCD">
        <w:trPr>
          <w:trHeight w:val="628"/>
        </w:trPr>
        <w:tc>
          <w:tcPr>
            <w:tcW w:w="1417" w:type="pct"/>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AFP (ng/mL)</w:t>
            </w:r>
            <w:r w:rsidRPr="00900E2E">
              <w:rPr>
                <w:rFonts w:ascii="Book Antiqua" w:hAnsi="Book Antiqua"/>
                <w:color w:val="000000" w:themeColor="text1"/>
                <w:sz w:val="24"/>
                <w:szCs w:val="24"/>
                <w:vertAlign w:val="superscript"/>
              </w:rPr>
              <w:t xml:space="preserve"> </w:t>
            </w:r>
            <w:r w:rsidR="00092DCD" w:rsidRPr="00900E2E">
              <w:rPr>
                <w:rFonts w:ascii="Book Antiqua" w:hAnsi="Book Antiqua"/>
                <w:color w:val="000000" w:themeColor="text1"/>
                <w:sz w:val="24"/>
                <w:szCs w:val="24"/>
                <w:vertAlign w:val="superscript"/>
              </w:rPr>
              <w:t>1</w:t>
            </w:r>
            <w:r w:rsidRPr="00900E2E">
              <w:rPr>
                <w:rFonts w:ascii="Book Antiqua" w:hAnsi="Book Antiqua" w:cs="Times New Roman"/>
                <w:color w:val="000000" w:themeColor="text1"/>
                <w:sz w:val="24"/>
                <w:szCs w:val="24"/>
              </w:rPr>
              <w:t xml:space="preserve"> </w:t>
            </w:r>
          </w:p>
        </w:tc>
        <w:tc>
          <w:tcPr>
            <w:tcW w:w="1000" w:type="pct"/>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5 (1–1380)</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11 (5–870)</w:t>
            </w:r>
          </w:p>
        </w:tc>
        <w:tc>
          <w:tcPr>
            <w:tcW w:w="1000" w:type="pct"/>
            <w:tcBorders>
              <w:top w:val="nil"/>
              <w:left w:val="nil"/>
              <w:bottom w:val="nil"/>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5 (1–1380)</w:t>
            </w:r>
          </w:p>
        </w:tc>
        <w:tc>
          <w:tcPr>
            <w:tcW w:w="582" w:type="pct"/>
            <w:tcBorders>
              <w:top w:val="nil"/>
              <w:left w:val="nil"/>
              <w:bottom w:val="nil"/>
              <w:right w:val="nil"/>
            </w:tcBorders>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0.002</w:t>
            </w:r>
            <w:r w:rsidR="00092DCD" w:rsidRPr="00900E2E">
              <w:rPr>
                <w:rFonts w:ascii="Book Antiqua" w:hAnsi="Book Antiqua"/>
                <w:color w:val="000000" w:themeColor="text1"/>
                <w:sz w:val="24"/>
                <w:szCs w:val="24"/>
                <w:vertAlign w:val="superscript"/>
              </w:rPr>
              <w:t>2</w:t>
            </w:r>
          </w:p>
        </w:tc>
      </w:tr>
      <w:tr w:rsidR="00900E2E" w:rsidRPr="00900E2E" w:rsidTr="00092DCD">
        <w:trPr>
          <w:trHeight w:val="628"/>
        </w:trPr>
        <w:tc>
          <w:tcPr>
            <w:tcW w:w="1417" w:type="pct"/>
            <w:tcBorders>
              <w:left w:val="nil"/>
              <w:bottom w:val="single" w:sz="4" w:space="0" w:color="auto"/>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left"/>
              <w:rPr>
                <w:rFonts w:ascii="Book Antiqua" w:hAnsi="Book Antiqua" w:cs="Times New Roman"/>
                <w:bCs/>
                <w:color w:val="000000" w:themeColor="text1"/>
                <w:sz w:val="24"/>
                <w:szCs w:val="24"/>
              </w:rPr>
            </w:pPr>
            <w:r w:rsidRPr="00900E2E">
              <w:rPr>
                <w:rFonts w:ascii="Book Antiqua" w:hAnsi="Book Antiqua" w:cs="Times New Roman"/>
                <w:bCs/>
                <w:color w:val="000000" w:themeColor="text1"/>
                <w:sz w:val="24"/>
                <w:szCs w:val="24"/>
              </w:rPr>
              <w:t>PI use</w:t>
            </w:r>
          </w:p>
        </w:tc>
        <w:tc>
          <w:tcPr>
            <w:tcW w:w="1000" w:type="pct"/>
            <w:tcBorders>
              <w:left w:val="nil"/>
              <w:bottom w:val="single" w:sz="4" w:space="0" w:color="auto"/>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43 (14.2)</w:t>
            </w:r>
          </w:p>
        </w:tc>
        <w:tc>
          <w:tcPr>
            <w:tcW w:w="1000" w:type="pct"/>
            <w:tcBorders>
              <w:left w:val="nil"/>
              <w:bottom w:val="single" w:sz="4" w:space="0" w:color="auto"/>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 (12.5)</w:t>
            </w:r>
          </w:p>
        </w:tc>
        <w:tc>
          <w:tcPr>
            <w:tcW w:w="1000" w:type="pct"/>
            <w:tcBorders>
              <w:left w:val="nil"/>
              <w:bottom w:val="single" w:sz="4" w:space="0" w:color="auto"/>
              <w:right w:val="nil"/>
            </w:tcBorders>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42 (14.2)</w:t>
            </w:r>
          </w:p>
        </w:tc>
        <w:tc>
          <w:tcPr>
            <w:tcW w:w="582" w:type="pct"/>
            <w:tcBorders>
              <w:left w:val="nil"/>
              <w:bottom w:val="single" w:sz="4" w:space="0" w:color="auto"/>
              <w:right w:val="nil"/>
            </w:tcBorders>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1.000</w:t>
            </w:r>
            <w:r w:rsidR="00092DCD" w:rsidRPr="00900E2E">
              <w:rPr>
                <w:rFonts w:ascii="Book Antiqua" w:hAnsi="Book Antiqua"/>
                <w:color w:val="000000" w:themeColor="text1"/>
                <w:sz w:val="24"/>
                <w:szCs w:val="24"/>
                <w:vertAlign w:val="superscript"/>
              </w:rPr>
              <w:t>2</w:t>
            </w:r>
          </w:p>
        </w:tc>
      </w:tr>
    </w:tbl>
    <w:p w:rsidR="00594215" w:rsidRPr="00900E2E" w:rsidRDefault="00092DCD" w:rsidP="00C805C6">
      <w:pPr>
        <w:autoSpaceDE w:val="0"/>
        <w:autoSpaceDN w:val="0"/>
        <w:adjustRightInd w:val="0"/>
        <w:snapToGrid w:val="0"/>
        <w:spacing w:line="360" w:lineRule="auto"/>
        <w:rPr>
          <w:rFonts w:ascii="Book Antiqua" w:eastAsia="宋体" w:hAnsi="Book Antiqua"/>
          <w:color w:val="000000" w:themeColor="text1"/>
          <w:sz w:val="24"/>
          <w:szCs w:val="24"/>
          <w:lang w:eastAsia="zh-CN"/>
        </w:rPr>
      </w:pPr>
      <w:r w:rsidRPr="00900E2E">
        <w:rPr>
          <w:rFonts w:ascii="Book Antiqua" w:hAnsi="Book Antiqua"/>
          <w:color w:val="000000" w:themeColor="text1"/>
          <w:sz w:val="24"/>
          <w:szCs w:val="24"/>
          <w:vertAlign w:val="superscript"/>
        </w:rPr>
        <w:t>1</w:t>
      </w:r>
      <w:r w:rsidRPr="00900E2E">
        <w:rPr>
          <w:rFonts w:ascii="Book Antiqua" w:hAnsi="Book Antiqua"/>
          <w:color w:val="000000" w:themeColor="text1"/>
          <w:sz w:val="24"/>
          <w:szCs w:val="24"/>
        </w:rPr>
        <w:t>Data not available for all patients</w:t>
      </w:r>
      <w:r w:rsidRPr="00900E2E">
        <w:rPr>
          <w:rFonts w:ascii="Book Antiqua" w:eastAsia="宋体" w:hAnsi="Book Antiqua" w:hint="eastAsia"/>
          <w:color w:val="000000" w:themeColor="text1"/>
          <w:sz w:val="24"/>
          <w:szCs w:val="24"/>
          <w:lang w:eastAsia="zh-CN"/>
        </w:rPr>
        <w:t>;</w:t>
      </w:r>
      <w:r w:rsidRPr="00900E2E">
        <w:rPr>
          <w:rFonts w:ascii="Book Antiqua" w:hAnsi="Book Antiqua"/>
          <w:color w:val="000000" w:themeColor="text1"/>
          <w:sz w:val="24"/>
          <w:szCs w:val="24"/>
        </w:rPr>
        <w:t xml:space="preserve"> </w:t>
      </w:r>
      <w:r w:rsidRPr="00900E2E">
        <w:rPr>
          <w:rFonts w:ascii="Book Antiqua" w:hAnsi="Book Antiqua"/>
          <w:color w:val="000000" w:themeColor="text1"/>
          <w:sz w:val="24"/>
          <w:szCs w:val="24"/>
          <w:vertAlign w:val="superscript"/>
        </w:rPr>
        <w:t>2</w:t>
      </w:r>
      <w:r w:rsidRPr="00900E2E">
        <w:rPr>
          <w:rFonts w:ascii="Book Antiqua" w:hAnsi="Book Antiqua"/>
          <w:color w:val="000000" w:themeColor="text1"/>
          <w:sz w:val="24"/>
          <w:szCs w:val="24"/>
        </w:rPr>
        <w:t>Mann Whitney-</w:t>
      </w:r>
      <w:r w:rsidRPr="00900E2E">
        <w:rPr>
          <w:rFonts w:ascii="Book Antiqua" w:hAnsi="Book Antiqua"/>
          <w:i/>
          <w:color w:val="000000" w:themeColor="text1"/>
          <w:sz w:val="24"/>
          <w:szCs w:val="24"/>
        </w:rPr>
        <w:t>U</w:t>
      </w:r>
      <w:r w:rsidRPr="00900E2E">
        <w:rPr>
          <w:rFonts w:ascii="Book Antiqua" w:hAnsi="Book Antiqua"/>
          <w:color w:val="000000" w:themeColor="text1"/>
          <w:sz w:val="24"/>
          <w:szCs w:val="24"/>
        </w:rPr>
        <w:t xml:space="preserve"> test</w:t>
      </w:r>
      <w:r w:rsidRPr="00900E2E">
        <w:rPr>
          <w:rFonts w:ascii="Book Antiqua" w:eastAsia="宋体" w:hAnsi="Book Antiqua" w:hint="eastAsia"/>
          <w:color w:val="000000" w:themeColor="text1"/>
          <w:sz w:val="24"/>
          <w:szCs w:val="24"/>
          <w:lang w:eastAsia="zh-CN"/>
        </w:rPr>
        <w:t>;</w:t>
      </w:r>
      <w:r w:rsidRPr="00900E2E">
        <w:rPr>
          <w:rFonts w:ascii="Book Antiqua" w:hAnsi="Book Antiqua"/>
          <w:color w:val="000000" w:themeColor="text1"/>
          <w:sz w:val="24"/>
          <w:szCs w:val="24"/>
        </w:rPr>
        <w:t xml:space="preserve"> </w:t>
      </w:r>
      <w:r w:rsidRPr="00900E2E">
        <w:rPr>
          <w:rFonts w:ascii="Book Antiqua" w:hAnsi="Book Antiqua"/>
          <w:color w:val="000000" w:themeColor="text1"/>
          <w:sz w:val="24"/>
          <w:szCs w:val="24"/>
          <w:vertAlign w:val="superscript"/>
        </w:rPr>
        <w:t>3</w:t>
      </w:r>
      <w:r w:rsidRPr="00900E2E">
        <w:rPr>
          <w:rFonts w:ascii="Symbol" w:hAnsi="Symbol"/>
          <w:i/>
          <w:color w:val="000000" w:themeColor="text1"/>
          <w:kern w:val="0"/>
          <w:sz w:val="24"/>
          <w:szCs w:val="24"/>
        </w:rPr>
        <w:t></w:t>
      </w:r>
      <w:r w:rsidRPr="00900E2E">
        <w:rPr>
          <w:rFonts w:ascii="Book Antiqua" w:hAnsi="Book Antiqua" w:hint="eastAsia"/>
          <w:color w:val="000000" w:themeColor="text1"/>
          <w:sz w:val="24"/>
          <w:szCs w:val="24"/>
          <w:vertAlign w:val="superscript"/>
        </w:rPr>
        <w:t>2</w:t>
      </w:r>
      <w:r w:rsidRPr="00900E2E">
        <w:rPr>
          <w:rFonts w:ascii="Book Antiqua" w:hAnsi="Book Antiqua"/>
          <w:color w:val="000000" w:themeColor="text1"/>
          <w:sz w:val="24"/>
          <w:szCs w:val="24"/>
        </w:rPr>
        <w:t xml:space="preserve"> test.</w:t>
      </w:r>
      <w:r w:rsidRPr="00900E2E">
        <w:rPr>
          <w:rFonts w:ascii="Book Antiqua" w:eastAsia="宋体" w:hAnsi="Book Antiqua" w:hint="eastAsia"/>
          <w:color w:val="000000" w:themeColor="text1"/>
          <w:sz w:val="24"/>
          <w:szCs w:val="24"/>
          <w:lang w:eastAsia="zh-CN"/>
        </w:rPr>
        <w:t xml:space="preserve"> </w:t>
      </w:r>
      <w:r w:rsidR="00594215" w:rsidRPr="00900E2E">
        <w:rPr>
          <w:rFonts w:ascii="Book Antiqua" w:hAnsi="Book Antiqua"/>
          <w:color w:val="000000" w:themeColor="text1"/>
          <w:sz w:val="24"/>
          <w:szCs w:val="24"/>
        </w:rPr>
        <w:t xml:space="preserve">Data are </w:t>
      </w:r>
      <w:r w:rsidR="00594215" w:rsidRPr="00900E2E">
        <w:rPr>
          <w:rFonts w:ascii="Book Antiqua" w:hAnsi="Book Antiqua"/>
          <w:color w:val="000000" w:themeColor="text1"/>
          <w:sz w:val="24"/>
          <w:szCs w:val="24"/>
        </w:rPr>
        <w:lastRenderedPageBreak/>
        <w:t>expressed as medians (range) or numbers (%).</w:t>
      </w:r>
      <w:r w:rsidRPr="00900E2E">
        <w:rPr>
          <w:rFonts w:ascii="Book Antiqua" w:eastAsia="宋体" w:hAnsi="Book Antiqua" w:hint="eastAsia"/>
          <w:color w:val="000000" w:themeColor="text1"/>
          <w:sz w:val="24"/>
          <w:szCs w:val="24"/>
          <w:lang w:eastAsia="zh-CN"/>
        </w:rPr>
        <w:t xml:space="preserve"> </w:t>
      </w:r>
      <w:r w:rsidR="00594215" w:rsidRPr="00900E2E">
        <w:rPr>
          <w:rFonts w:ascii="Book Antiqua" w:hAnsi="Book Antiqua"/>
          <w:i/>
          <w:color w:val="000000" w:themeColor="text1"/>
          <w:sz w:val="24"/>
          <w:szCs w:val="24"/>
        </w:rPr>
        <w:t>P</w:t>
      </w:r>
      <w:r w:rsidR="00594215" w:rsidRPr="00900E2E">
        <w:rPr>
          <w:rFonts w:ascii="Book Antiqua" w:hAnsi="Book Antiqua"/>
          <w:color w:val="000000" w:themeColor="text1"/>
          <w:sz w:val="24"/>
          <w:szCs w:val="24"/>
        </w:rPr>
        <w:t>-values are for comparisons between patients with and without HCC development.</w:t>
      </w:r>
      <w:r w:rsidRPr="00900E2E">
        <w:rPr>
          <w:rFonts w:ascii="Book Antiqua" w:eastAsia="宋体" w:hAnsi="Book Antiqua" w:hint="eastAsia"/>
          <w:color w:val="000000" w:themeColor="text1"/>
          <w:sz w:val="24"/>
          <w:szCs w:val="24"/>
          <w:lang w:eastAsia="zh-CN"/>
        </w:rPr>
        <w:t xml:space="preserve"> </w:t>
      </w:r>
      <w:r w:rsidR="00594215" w:rsidRPr="00900E2E">
        <w:rPr>
          <w:rFonts w:ascii="Book Antiqua" w:hAnsi="Book Antiqua"/>
          <w:color w:val="000000" w:themeColor="text1"/>
          <w:sz w:val="24"/>
          <w:szCs w:val="24"/>
        </w:rPr>
        <w:t>AFP</w:t>
      </w:r>
      <w:r w:rsidRPr="00900E2E">
        <w:rPr>
          <w:rFonts w:ascii="Book Antiqua" w:eastAsia="宋体" w:hAnsi="Book Antiqua" w:hint="eastAsia"/>
          <w:color w:val="000000" w:themeColor="text1"/>
          <w:sz w:val="24"/>
          <w:szCs w:val="24"/>
          <w:lang w:eastAsia="zh-CN"/>
        </w:rPr>
        <w:t xml:space="preserve">: </w:t>
      </w:r>
      <w:r w:rsidR="00594215" w:rsidRPr="00900E2E">
        <w:rPr>
          <w:rFonts w:ascii="Book Antiqua" w:hAnsi="Book Antiqua"/>
          <w:color w:val="000000" w:themeColor="text1"/>
          <w:sz w:val="24"/>
          <w:szCs w:val="24"/>
        </w:rPr>
        <w:t>α-fetoprotein; ALT</w:t>
      </w:r>
      <w:r w:rsidRPr="00900E2E">
        <w:rPr>
          <w:rFonts w:ascii="Book Antiqua" w:eastAsia="宋体" w:hAnsi="Book Antiqua" w:hint="eastAsia"/>
          <w:color w:val="000000" w:themeColor="text1"/>
          <w:sz w:val="24"/>
          <w:szCs w:val="24"/>
          <w:lang w:eastAsia="zh-CN"/>
        </w:rPr>
        <w:t>:</w:t>
      </w:r>
      <w:r w:rsidR="00594215" w:rsidRPr="00900E2E">
        <w:rPr>
          <w:rFonts w:ascii="Book Antiqua" w:hAnsi="Book Antiqua"/>
          <w:color w:val="000000" w:themeColor="text1"/>
          <w:sz w:val="24"/>
          <w:szCs w:val="24"/>
        </w:rPr>
        <w:t xml:space="preserve"> </w:t>
      </w:r>
      <w:r w:rsidRPr="00900E2E">
        <w:rPr>
          <w:rFonts w:ascii="Book Antiqua" w:hAnsi="Book Antiqua"/>
          <w:color w:val="000000" w:themeColor="text1"/>
          <w:sz w:val="24"/>
          <w:szCs w:val="24"/>
        </w:rPr>
        <w:t xml:space="preserve">Alanine </w:t>
      </w:r>
      <w:r w:rsidR="00594215" w:rsidRPr="00900E2E">
        <w:rPr>
          <w:rFonts w:ascii="Book Antiqua" w:hAnsi="Book Antiqua"/>
          <w:color w:val="000000" w:themeColor="text1"/>
          <w:sz w:val="24"/>
          <w:szCs w:val="24"/>
        </w:rPr>
        <w:t>aminotransferase; BMI</w:t>
      </w:r>
      <w:r w:rsidRPr="00900E2E">
        <w:rPr>
          <w:rFonts w:ascii="Book Antiqua" w:eastAsia="宋体" w:hAnsi="Book Antiqua" w:hint="eastAsia"/>
          <w:color w:val="000000" w:themeColor="text1"/>
          <w:sz w:val="24"/>
          <w:szCs w:val="24"/>
          <w:lang w:eastAsia="zh-CN"/>
        </w:rPr>
        <w:t>:</w:t>
      </w:r>
      <w:r w:rsidR="00594215" w:rsidRPr="00900E2E">
        <w:rPr>
          <w:rFonts w:ascii="Book Antiqua" w:hAnsi="Book Antiqua"/>
          <w:color w:val="000000" w:themeColor="text1"/>
          <w:sz w:val="24"/>
          <w:szCs w:val="24"/>
        </w:rPr>
        <w:t xml:space="preserve"> </w:t>
      </w:r>
      <w:r w:rsidRPr="00900E2E">
        <w:rPr>
          <w:rFonts w:ascii="Book Antiqua" w:hAnsi="Book Antiqua"/>
          <w:color w:val="000000" w:themeColor="text1"/>
          <w:sz w:val="24"/>
          <w:szCs w:val="24"/>
        </w:rPr>
        <w:t xml:space="preserve">Body </w:t>
      </w:r>
      <w:r w:rsidR="00594215" w:rsidRPr="00900E2E">
        <w:rPr>
          <w:rFonts w:ascii="Book Antiqua" w:hAnsi="Book Antiqua"/>
          <w:color w:val="000000" w:themeColor="text1"/>
          <w:sz w:val="24"/>
          <w:szCs w:val="24"/>
        </w:rPr>
        <w:t>mass index; GGT</w:t>
      </w:r>
      <w:r w:rsidRPr="00900E2E">
        <w:rPr>
          <w:rFonts w:ascii="Book Antiqua" w:eastAsia="宋体" w:hAnsi="Book Antiqua" w:hint="eastAsia"/>
          <w:color w:val="000000" w:themeColor="text1"/>
          <w:sz w:val="24"/>
          <w:szCs w:val="24"/>
          <w:lang w:eastAsia="zh-CN"/>
        </w:rPr>
        <w:t>:</w:t>
      </w:r>
      <w:r w:rsidR="00594215" w:rsidRPr="00900E2E">
        <w:rPr>
          <w:rFonts w:ascii="Book Antiqua" w:hAnsi="Book Antiqua"/>
          <w:color w:val="000000" w:themeColor="text1"/>
          <w:sz w:val="24"/>
          <w:szCs w:val="24"/>
        </w:rPr>
        <w:t xml:space="preserve"> γ-glutamyl transpeptidase; HCV</w:t>
      </w:r>
      <w:r w:rsidRPr="00900E2E">
        <w:rPr>
          <w:rFonts w:ascii="Book Antiqua" w:eastAsia="宋体" w:hAnsi="Book Antiqua" w:hint="eastAsia"/>
          <w:color w:val="000000" w:themeColor="text1"/>
          <w:sz w:val="24"/>
          <w:szCs w:val="24"/>
          <w:lang w:eastAsia="zh-CN"/>
        </w:rPr>
        <w:t>:</w:t>
      </w:r>
      <w:r w:rsidR="00594215" w:rsidRPr="00900E2E">
        <w:rPr>
          <w:rFonts w:ascii="Book Antiqua" w:hAnsi="Book Antiqua"/>
          <w:color w:val="000000" w:themeColor="text1"/>
          <w:sz w:val="24"/>
          <w:szCs w:val="24"/>
        </w:rPr>
        <w:t xml:space="preserve"> </w:t>
      </w:r>
      <w:r w:rsidRPr="00900E2E">
        <w:rPr>
          <w:rFonts w:ascii="Book Antiqua" w:hAnsi="Book Antiqua"/>
          <w:color w:val="000000" w:themeColor="text1"/>
          <w:sz w:val="24"/>
          <w:szCs w:val="24"/>
        </w:rPr>
        <w:t xml:space="preserve">Hepatitis </w:t>
      </w:r>
      <w:r w:rsidR="00594215" w:rsidRPr="00900E2E">
        <w:rPr>
          <w:rFonts w:ascii="Book Antiqua" w:hAnsi="Book Antiqua"/>
          <w:color w:val="000000" w:themeColor="text1"/>
          <w:sz w:val="24"/>
          <w:szCs w:val="24"/>
        </w:rPr>
        <w:t>C virus</w:t>
      </w:r>
      <w:r w:rsidRPr="00900E2E">
        <w:rPr>
          <w:rFonts w:ascii="Book Antiqua" w:eastAsia="宋体" w:hAnsi="Book Antiqua" w:hint="eastAsia"/>
          <w:color w:val="000000" w:themeColor="text1"/>
          <w:sz w:val="24"/>
          <w:szCs w:val="24"/>
          <w:lang w:eastAsia="zh-CN"/>
        </w:rPr>
        <w:t>;</w:t>
      </w:r>
      <w:r w:rsidR="00594215" w:rsidRPr="00900E2E">
        <w:rPr>
          <w:rFonts w:ascii="Book Antiqua" w:hAnsi="Book Antiqua"/>
          <w:color w:val="000000" w:themeColor="text1"/>
          <w:sz w:val="24"/>
          <w:szCs w:val="24"/>
        </w:rPr>
        <w:t xml:space="preserve"> PI</w:t>
      </w:r>
      <w:r w:rsidRPr="00900E2E">
        <w:rPr>
          <w:rFonts w:ascii="Book Antiqua" w:eastAsia="宋体" w:hAnsi="Book Antiqua" w:hint="eastAsia"/>
          <w:color w:val="000000" w:themeColor="text1"/>
          <w:sz w:val="24"/>
          <w:szCs w:val="24"/>
          <w:lang w:eastAsia="zh-CN"/>
        </w:rPr>
        <w:t>:</w:t>
      </w:r>
      <w:r w:rsidR="00594215" w:rsidRPr="00900E2E">
        <w:rPr>
          <w:rFonts w:ascii="Book Antiqua" w:hAnsi="Book Antiqua"/>
          <w:color w:val="000000" w:themeColor="text1"/>
          <w:sz w:val="24"/>
          <w:szCs w:val="24"/>
        </w:rPr>
        <w:t xml:space="preserve"> </w:t>
      </w:r>
      <w:r w:rsidRPr="00900E2E">
        <w:rPr>
          <w:rFonts w:ascii="Book Antiqua" w:hAnsi="Book Antiqua"/>
          <w:color w:val="000000" w:themeColor="text1"/>
          <w:sz w:val="24"/>
          <w:szCs w:val="24"/>
        </w:rPr>
        <w:t xml:space="preserve">Protease </w:t>
      </w:r>
      <w:r w:rsidR="00594215" w:rsidRPr="00900E2E">
        <w:rPr>
          <w:rFonts w:ascii="Book Antiqua" w:hAnsi="Book Antiqua"/>
          <w:color w:val="000000" w:themeColor="text1"/>
          <w:sz w:val="24"/>
          <w:szCs w:val="24"/>
        </w:rPr>
        <w:t>inhibitor.</w:t>
      </w:r>
    </w:p>
    <w:p w:rsidR="00594215" w:rsidRPr="00900E2E" w:rsidRDefault="00594215" w:rsidP="00C805C6">
      <w:pPr>
        <w:adjustRightInd w:val="0"/>
        <w:snapToGrid w:val="0"/>
        <w:spacing w:line="360" w:lineRule="auto"/>
        <w:rPr>
          <w:rFonts w:ascii="Times New Roman" w:hAnsi="Times New Roman"/>
          <w:color w:val="000000" w:themeColor="text1"/>
          <w:sz w:val="22"/>
        </w:rPr>
      </w:pPr>
    </w:p>
    <w:p w:rsidR="00594215" w:rsidRPr="00900E2E" w:rsidRDefault="00594215" w:rsidP="00C805C6">
      <w:pPr>
        <w:widowControl/>
        <w:adjustRightInd w:val="0"/>
        <w:snapToGrid w:val="0"/>
        <w:spacing w:line="360" w:lineRule="auto"/>
        <w:jc w:val="left"/>
        <w:rPr>
          <w:rFonts w:ascii="Times New Roman" w:hAnsi="Times New Roman" w:cs="Times New Roman"/>
          <w:color w:val="000000" w:themeColor="text1"/>
          <w:sz w:val="22"/>
        </w:rPr>
      </w:pPr>
      <w:r w:rsidRPr="00900E2E">
        <w:rPr>
          <w:rFonts w:ascii="Times New Roman" w:hAnsi="Times New Roman" w:cs="Times New Roman"/>
          <w:color w:val="000000" w:themeColor="text1"/>
          <w:sz w:val="22"/>
        </w:rPr>
        <w:br w:type="page"/>
      </w:r>
    </w:p>
    <w:p w:rsidR="00594215" w:rsidRPr="00900E2E" w:rsidRDefault="00594215" w:rsidP="00C805C6">
      <w:pPr>
        <w:adjustRightInd w:val="0"/>
        <w:snapToGrid w:val="0"/>
        <w:spacing w:line="360" w:lineRule="auto"/>
        <w:rPr>
          <w:rFonts w:ascii="Book Antiqua" w:hAnsi="Book Antiqua" w:cs="Times New Roman"/>
          <w:color w:val="000000" w:themeColor="text1"/>
          <w:sz w:val="24"/>
          <w:szCs w:val="24"/>
        </w:rPr>
      </w:pPr>
      <w:r w:rsidRPr="00900E2E">
        <w:rPr>
          <w:rFonts w:ascii="Book Antiqua" w:hAnsi="Book Antiqua" w:cs="Times New Roman"/>
          <w:b/>
          <w:bCs/>
          <w:iCs/>
          <w:color w:val="000000" w:themeColor="text1"/>
          <w:sz w:val="24"/>
          <w:szCs w:val="24"/>
        </w:rPr>
        <w:lastRenderedPageBreak/>
        <w:t>Table 2 Univariate and multivariate analyses for factors associated with hepatocellular carcinoma development</w:t>
      </w:r>
    </w:p>
    <w:tbl>
      <w:tblPr>
        <w:tblW w:w="8364" w:type="dxa"/>
        <w:tblCellMar>
          <w:left w:w="0" w:type="dxa"/>
          <w:right w:w="0" w:type="dxa"/>
        </w:tblCellMar>
        <w:tblLook w:val="0600" w:firstRow="0" w:lastRow="0" w:firstColumn="0" w:lastColumn="0" w:noHBand="1" w:noVBand="1"/>
      </w:tblPr>
      <w:tblGrid>
        <w:gridCol w:w="3402"/>
        <w:gridCol w:w="3119"/>
        <w:gridCol w:w="1843"/>
      </w:tblGrid>
      <w:tr w:rsidR="00900E2E" w:rsidRPr="00900E2E" w:rsidTr="00594215">
        <w:trPr>
          <w:trHeight w:val="577"/>
        </w:trPr>
        <w:tc>
          <w:tcPr>
            <w:tcW w:w="3402" w:type="dxa"/>
            <w:tcBorders>
              <w:top w:val="single" w:sz="4" w:space="0" w:color="auto"/>
              <w:left w:val="nil"/>
              <w:bottom w:val="single" w:sz="8" w:space="0" w:color="000000"/>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b/>
                <w:color w:val="000000" w:themeColor="text1"/>
                <w:sz w:val="24"/>
                <w:szCs w:val="24"/>
              </w:rPr>
            </w:pPr>
            <w:r w:rsidRPr="00900E2E">
              <w:rPr>
                <w:rFonts w:ascii="Book Antiqua" w:hAnsi="Book Antiqua" w:cs="Times New Roman"/>
                <w:b/>
                <w:color w:val="000000" w:themeColor="text1"/>
                <w:sz w:val="24"/>
                <w:szCs w:val="24"/>
              </w:rPr>
              <w:t>Variables</w:t>
            </w:r>
          </w:p>
        </w:tc>
        <w:tc>
          <w:tcPr>
            <w:tcW w:w="311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b/>
                <w:bCs/>
                <w:color w:val="000000" w:themeColor="text1"/>
                <w:sz w:val="24"/>
                <w:szCs w:val="24"/>
              </w:rPr>
              <w:t>H</w:t>
            </w:r>
            <w:r w:rsidR="00900E2E" w:rsidRPr="00900E2E">
              <w:rPr>
                <w:rFonts w:ascii="Book Antiqua" w:eastAsia="宋体" w:hAnsi="Book Antiqua" w:cs="Times New Roman" w:hint="eastAsia"/>
                <w:b/>
                <w:bCs/>
                <w:color w:val="000000" w:themeColor="text1"/>
                <w:sz w:val="24"/>
                <w:szCs w:val="24"/>
                <w:lang w:eastAsia="zh-CN"/>
              </w:rPr>
              <w:t>R</w:t>
            </w:r>
            <w:r w:rsidRPr="00900E2E">
              <w:rPr>
                <w:rFonts w:ascii="Book Antiqua" w:hAnsi="Book Antiqua" w:cs="Times New Roman"/>
                <w:b/>
                <w:bCs/>
                <w:color w:val="000000" w:themeColor="text1"/>
                <w:sz w:val="24"/>
                <w:szCs w:val="24"/>
              </w:rPr>
              <w:t xml:space="preserve"> (95%CI)</w:t>
            </w:r>
          </w:p>
        </w:tc>
        <w:tc>
          <w:tcPr>
            <w:tcW w:w="184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b/>
                <w:bCs/>
                <w:i/>
                <w:color w:val="000000" w:themeColor="text1"/>
                <w:sz w:val="24"/>
                <w:szCs w:val="24"/>
              </w:rPr>
              <w:t>P</w:t>
            </w:r>
            <w:r w:rsidRPr="00900E2E">
              <w:rPr>
                <w:rFonts w:ascii="Book Antiqua" w:hAnsi="Book Antiqua" w:cs="Times New Roman"/>
                <w:b/>
                <w:bCs/>
                <w:color w:val="000000" w:themeColor="text1"/>
                <w:sz w:val="24"/>
                <w:szCs w:val="24"/>
              </w:rPr>
              <w:t>-value</w:t>
            </w:r>
          </w:p>
        </w:tc>
      </w:tr>
      <w:tr w:rsidR="00900E2E" w:rsidRPr="00900E2E" w:rsidTr="00594215">
        <w:trPr>
          <w:trHeight w:val="577"/>
        </w:trPr>
        <w:tc>
          <w:tcPr>
            <w:tcW w:w="3402" w:type="dxa"/>
            <w:tcBorders>
              <w:top w:val="single" w:sz="8" w:space="0" w:color="000000"/>
              <w:left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left"/>
              <w:rPr>
                <w:rFonts w:ascii="Book Antiqua" w:hAnsi="Book Antiqua" w:cs="Times New Roman"/>
                <w:b/>
                <w:color w:val="000000" w:themeColor="text1"/>
                <w:sz w:val="24"/>
                <w:szCs w:val="24"/>
              </w:rPr>
            </w:pPr>
            <w:r w:rsidRPr="00900E2E">
              <w:rPr>
                <w:rFonts w:ascii="Book Antiqua" w:hAnsi="Book Antiqua" w:cs="Times New Roman"/>
                <w:b/>
                <w:color w:val="000000" w:themeColor="text1"/>
                <w:sz w:val="24"/>
                <w:szCs w:val="24"/>
              </w:rPr>
              <w:t>Univariate analysis</w:t>
            </w:r>
          </w:p>
        </w:tc>
        <w:tc>
          <w:tcPr>
            <w:tcW w:w="3119" w:type="dxa"/>
            <w:tcBorders>
              <w:top w:val="single" w:sz="8" w:space="0" w:color="000000"/>
              <w:left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left"/>
              <w:rPr>
                <w:rFonts w:ascii="Book Antiqua" w:hAnsi="Book Antiqua" w:cs="Times New Roman"/>
                <w:b/>
                <w:bCs/>
                <w:color w:val="000000" w:themeColor="text1"/>
                <w:sz w:val="24"/>
                <w:szCs w:val="24"/>
              </w:rPr>
            </w:pPr>
          </w:p>
        </w:tc>
        <w:tc>
          <w:tcPr>
            <w:tcW w:w="1843" w:type="dxa"/>
            <w:tcBorders>
              <w:top w:val="single" w:sz="8" w:space="0" w:color="000000"/>
              <w:left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jc w:val="center"/>
              <w:rPr>
                <w:rFonts w:ascii="Book Antiqua" w:hAnsi="Book Antiqua" w:cs="Times New Roman"/>
                <w:b/>
                <w:bCs/>
                <w:color w:val="000000" w:themeColor="text1"/>
                <w:sz w:val="24"/>
                <w:szCs w:val="24"/>
              </w:rPr>
            </w:pPr>
          </w:p>
        </w:tc>
      </w:tr>
      <w:tr w:rsidR="00900E2E" w:rsidRPr="00900E2E" w:rsidTr="00594215">
        <w:trPr>
          <w:trHeight w:val="596"/>
        </w:trPr>
        <w:tc>
          <w:tcPr>
            <w:tcW w:w="3402" w:type="dxa"/>
            <w:tcBorders>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Age (by each year)</w:t>
            </w:r>
          </w:p>
        </w:tc>
        <w:tc>
          <w:tcPr>
            <w:tcW w:w="3119" w:type="dxa"/>
            <w:tcBorders>
              <w:left w:val="nil"/>
              <w:bottom w:val="nil"/>
              <w:right w:val="nil"/>
            </w:tcBorders>
            <w:shd w:val="clear" w:color="auto" w:fill="auto"/>
            <w:tcMar>
              <w:top w:w="10" w:type="dxa"/>
              <w:left w:w="10" w:type="dxa"/>
              <w:bottom w:w="0" w:type="dxa"/>
              <w:right w:w="10"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1.04 (0.31–1.11)</w:t>
            </w:r>
          </w:p>
        </w:tc>
        <w:tc>
          <w:tcPr>
            <w:tcW w:w="1843" w:type="dxa"/>
            <w:tcBorders>
              <w:left w:val="nil"/>
              <w:bottom w:val="nil"/>
              <w:right w:val="nil"/>
            </w:tcBorders>
            <w:shd w:val="clear" w:color="auto" w:fill="auto"/>
            <w:tcMar>
              <w:top w:w="10" w:type="dxa"/>
              <w:left w:w="10" w:type="dxa"/>
              <w:bottom w:w="0" w:type="dxa"/>
              <w:right w:w="10"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0.347</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Male sex</w:t>
            </w:r>
          </w:p>
        </w:tc>
        <w:tc>
          <w:tcPr>
            <w:tcW w:w="3119" w:type="dxa"/>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1.61 (0.32–8.04)</w:t>
            </w:r>
          </w:p>
        </w:tc>
        <w:tc>
          <w:tcPr>
            <w:tcW w:w="1843" w:type="dxa"/>
            <w:tcBorders>
              <w:top w:val="nil"/>
              <w:left w:val="nil"/>
              <w:bottom w:val="nil"/>
              <w:right w:val="nil"/>
            </w:tcBorders>
            <w:shd w:val="clear" w:color="auto" w:fill="auto"/>
            <w:tcMar>
              <w:top w:w="10" w:type="dxa"/>
              <w:left w:w="10" w:type="dxa"/>
              <w:bottom w:w="0" w:type="dxa"/>
              <w:right w:w="10"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0.564</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BMI (by each kg/m</w:t>
            </w:r>
            <w:r w:rsidRPr="00900E2E">
              <w:rPr>
                <w:rFonts w:ascii="Book Antiqua" w:hAnsi="Book Antiqua" w:cs="Times New Roman"/>
                <w:bCs/>
                <w:color w:val="000000" w:themeColor="text1"/>
                <w:sz w:val="24"/>
                <w:szCs w:val="24"/>
                <w:vertAlign w:val="superscript"/>
              </w:rPr>
              <w:t>2</w:t>
            </w:r>
            <w:r w:rsidRPr="00900E2E">
              <w:rPr>
                <w:rFonts w:ascii="Book Antiqua" w:hAnsi="Book Antiqua" w:cs="Times New Roman"/>
                <w:bCs/>
                <w:color w:val="000000" w:themeColor="text1"/>
                <w:sz w:val="24"/>
                <w:szCs w:val="24"/>
              </w:rPr>
              <w:t>)</w:t>
            </w:r>
          </w:p>
        </w:tc>
        <w:tc>
          <w:tcPr>
            <w:tcW w:w="3119" w:type="dxa"/>
            <w:tcBorders>
              <w:top w:val="nil"/>
              <w:left w:val="nil"/>
              <w:bottom w:val="nil"/>
              <w:right w:val="nil"/>
            </w:tcBorders>
            <w:shd w:val="clear" w:color="auto" w:fill="auto"/>
            <w:tcMar>
              <w:top w:w="10" w:type="dxa"/>
              <w:left w:w="10" w:type="dxa"/>
              <w:bottom w:w="0" w:type="dxa"/>
              <w:right w:w="10"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1.00 (0.80–1.25)</w:t>
            </w:r>
          </w:p>
        </w:tc>
        <w:tc>
          <w:tcPr>
            <w:tcW w:w="1843" w:type="dxa"/>
            <w:tcBorders>
              <w:top w:val="nil"/>
              <w:left w:val="nil"/>
              <w:bottom w:val="nil"/>
              <w:right w:val="nil"/>
            </w:tcBorders>
            <w:shd w:val="clear" w:color="auto" w:fill="auto"/>
            <w:tcMar>
              <w:top w:w="10" w:type="dxa"/>
              <w:left w:w="10" w:type="dxa"/>
              <w:bottom w:w="0" w:type="dxa"/>
              <w:right w:w="10"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0.982</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Habitual drinker</w:t>
            </w:r>
          </w:p>
        </w:tc>
        <w:tc>
          <w:tcPr>
            <w:tcW w:w="3119" w:type="dxa"/>
            <w:tcBorders>
              <w:top w:val="nil"/>
              <w:left w:val="nil"/>
              <w:bottom w:val="nil"/>
              <w:right w:val="nil"/>
            </w:tcBorders>
            <w:shd w:val="clear" w:color="auto" w:fill="auto"/>
            <w:tcMar>
              <w:top w:w="10" w:type="dxa"/>
              <w:left w:w="10" w:type="dxa"/>
              <w:bottom w:w="0" w:type="dxa"/>
              <w:right w:w="10"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1.26 (0.25–6.27)</w:t>
            </w:r>
          </w:p>
        </w:tc>
        <w:tc>
          <w:tcPr>
            <w:tcW w:w="1843" w:type="dxa"/>
            <w:tcBorders>
              <w:top w:val="nil"/>
              <w:left w:val="nil"/>
              <w:bottom w:val="nil"/>
              <w:right w:val="nil"/>
            </w:tcBorders>
            <w:shd w:val="clear" w:color="auto" w:fill="auto"/>
            <w:tcMar>
              <w:top w:w="10" w:type="dxa"/>
              <w:left w:w="10" w:type="dxa"/>
              <w:bottom w:w="0" w:type="dxa"/>
              <w:right w:w="10"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0.775</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rPr>
                <w:rFonts w:ascii="Book Antiqua" w:hAnsi="Book Antiqua" w:cs="Times New Roman"/>
                <w:bCs/>
                <w:color w:val="000000" w:themeColor="text1"/>
                <w:sz w:val="24"/>
                <w:szCs w:val="24"/>
              </w:rPr>
            </w:pPr>
            <w:r w:rsidRPr="00900E2E">
              <w:rPr>
                <w:rFonts w:ascii="Book Antiqua" w:hAnsi="Book Antiqua" w:cs="Times New Roman"/>
                <w:bCs/>
                <w:color w:val="000000" w:themeColor="text1"/>
                <w:sz w:val="24"/>
                <w:szCs w:val="24"/>
              </w:rPr>
              <w:t>Diabetes mellitus</w:t>
            </w:r>
          </w:p>
        </w:tc>
        <w:tc>
          <w:tcPr>
            <w:tcW w:w="3119"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5.58 (1.19–26.21)</w:t>
            </w:r>
          </w:p>
        </w:tc>
        <w:tc>
          <w:tcPr>
            <w:tcW w:w="1843"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0.030</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rPr>
                <w:rFonts w:ascii="Book Antiqua" w:hAnsi="Book Antiqua" w:cs="Times New Roman"/>
                <w:bCs/>
                <w:color w:val="000000" w:themeColor="text1"/>
                <w:sz w:val="24"/>
                <w:szCs w:val="24"/>
              </w:rPr>
            </w:pPr>
            <w:r w:rsidRPr="00900E2E">
              <w:rPr>
                <w:rFonts w:ascii="Book Antiqua" w:hAnsi="Book Antiqua" w:cs="Times New Roman"/>
                <w:bCs/>
                <w:color w:val="000000" w:themeColor="text1"/>
                <w:sz w:val="24"/>
                <w:szCs w:val="24"/>
              </w:rPr>
              <w:t>HCV-RNA (by each logIU/mL)</w:t>
            </w:r>
          </w:p>
        </w:tc>
        <w:tc>
          <w:tcPr>
            <w:tcW w:w="3119"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0.87 (0.44</w:t>
            </w:r>
            <w:r w:rsidRPr="00900E2E">
              <w:rPr>
                <w:rFonts w:ascii="Book Antiqua" w:hAnsi="Book Antiqua" w:cs="Times New Roman"/>
                <w:color w:val="000000" w:themeColor="text1"/>
                <w:sz w:val="24"/>
                <w:szCs w:val="24"/>
              </w:rPr>
              <w:t>－</w:t>
            </w:r>
            <w:r w:rsidRPr="00900E2E">
              <w:rPr>
                <w:rFonts w:ascii="Book Antiqua" w:hAnsi="Book Antiqua" w:cs="Times New Roman"/>
                <w:color w:val="000000" w:themeColor="text1"/>
                <w:sz w:val="24"/>
                <w:szCs w:val="24"/>
              </w:rPr>
              <w:t>1.72)</w:t>
            </w:r>
          </w:p>
        </w:tc>
        <w:tc>
          <w:tcPr>
            <w:tcW w:w="1843"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0.696</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rPr>
                <w:rFonts w:ascii="Book Antiqua" w:hAnsi="Book Antiqua" w:cs="Times New Roman"/>
                <w:bCs/>
                <w:color w:val="000000" w:themeColor="text1"/>
                <w:sz w:val="24"/>
                <w:szCs w:val="24"/>
              </w:rPr>
            </w:pPr>
            <w:r w:rsidRPr="00900E2E">
              <w:rPr>
                <w:rFonts w:ascii="Book Antiqua" w:hAnsi="Book Antiqua" w:cs="Times New Roman"/>
                <w:bCs/>
                <w:color w:val="000000" w:themeColor="text1"/>
                <w:sz w:val="24"/>
                <w:szCs w:val="24"/>
              </w:rPr>
              <w:t>HCV genotype 1</w:t>
            </w:r>
          </w:p>
        </w:tc>
        <w:tc>
          <w:tcPr>
            <w:tcW w:w="3119"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2.90 (0.58–14.35)</w:t>
            </w:r>
          </w:p>
        </w:tc>
        <w:tc>
          <w:tcPr>
            <w:tcW w:w="1843"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0.195</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rPr>
                <w:rFonts w:ascii="Book Antiqua" w:hAnsi="Book Antiqua" w:cs="Times New Roman"/>
                <w:bCs/>
                <w:color w:val="000000" w:themeColor="text1"/>
                <w:sz w:val="24"/>
                <w:szCs w:val="24"/>
              </w:rPr>
            </w:pPr>
            <w:r w:rsidRPr="00900E2E">
              <w:rPr>
                <w:rFonts w:ascii="Book Antiqua" w:hAnsi="Book Antiqua" w:cs="Times New Roman"/>
                <w:bCs/>
                <w:color w:val="000000" w:themeColor="text1"/>
                <w:sz w:val="24"/>
                <w:szCs w:val="24"/>
              </w:rPr>
              <w:t>Stage of fibrosis</w:t>
            </w:r>
          </w:p>
        </w:tc>
        <w:tc>
          <w:tcPr>
            <w:tcW w:w="3119"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3.59 (1.68–7.68)</w:t>
            </w:r>
          </w:p>
        </w:tc>
        <w:tc>
          <w:tcPr>
            <w:tcW w:w="1843"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0.001</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rPr>
                <w:rFonts w:ascii="Book Antiqua" w:hAnsi="Book Antiqua" w:cs="Times New Roman"/>
                <w:bCs/>
                <w:color w:val="000000" w:themeColor="text1"/>
                <w:sz w:val="24"/>
                <w:szCs w:val="24"/>
              </w:rPr>
            </w:pPr>
            <w:r w:rsidRPr="00900E2E">
              <w:rPr>
                <w:rFonts w:ascii="Book Antiqua" w:hAnsi="Book Antiqua" w:cs="Times New Roman"/>
                <w:bCs/>
                <w:color w:val="000000" w:themeColor="text1"/>
                <w:sz w:val="24"/>
                <w:szCs w:val="24"/>
              </w:rPr>
              <w:t>Grade of inflammation</w:t>
            </w:r>
          </w:p>
        </w:tc>
        <w:tc>
          <w:tcPr>
            <w:tcW w:w="3119"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4.32 (1.02–18.40)</w:t>
            </w:r>
          </w:p>
        </w:tc>
        <w:tc>
          <w:tcPr>
            <w:tcW w:w="1843"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0.048</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Albumin (by each g/dL)</w:t>
            </w:r>
          </w:p>
        </w:tc>
        <w:tc>
          <w:tcPr>
            <w:tcW w:w="3119"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0.03 (0.00–0.29)</w:t>
            </w:r>
          </w:p>
        </w:tc>
        <w:tc>
          <w:tcPr>
            <w:tcW w:w="1843"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0.003</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ALT (by each IU/L)</w:t>
            </w:r>
          </w:p>
        </w:tc>
        <w:tc>
          <w:tcPr>
            <w:tcW w:w="3119"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1.00 (1.00–1.01)</w:t>
            </w:r>
          </w:p>
        </w:tc>
        <w:tc>
          <w:tcPr>
            <w:tcW w:w="1843"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0.196</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Platelet count (by each 10</w:t>
            </w:r>
            <w:r w:rsidRPr="00900E2E">
              <w:rPr>
                <w:rFonts w:ascii="Book Antiqua" w:hAnsi="Book Antiqua" w:cs="Times New Roman"/>
                <w:bCs/>
                <w:color w:val="000000" w:themeColor="text1"/>
                <w:sz w:val="24"/>
                <w:szCs w:val="24"/>
                <w:vertAlign w:val="superscript"/>
              </w:rPr>
              <w:t>4</w:t>
            </w:r>
            <w:r w:rsidRPr="00900E2E">
              <w:rPr>
                <w:rFonts w:ascii="Book Antiqua" w:hAnsi="Book Antiqua" w:cs="Times New Roman"/>
                <w:bCs/>
                <w:color w:val="000000" w:themeColor="text1"/>
                <w:sz w:val="24"/>
                <w:szCs w:val="24"/>
              </w:rPr>
              <w:t xml:space="preserve"> /</w:t>
            </w:r>
            <w:r w:rsidRPr="00900E2E">
              <w:rPr>
                <w:rFonts w:ascii="Symbol" w:hAnsi="Symbol" w:cs="Times New Roman"/>
                <w:bCs/>
                <w:color w:val="000000" w:themeColor="text1"/>
                <w:sz w:val="24"/>
                <w:szCs w:val="24"/>
              </w:rPr>
              <w:t></w:t>
            </w:r>
            <w:r w:rsidRPr="00900E2E">
              <w:rPr>
                <w:rFonts w:ascii="Book Antiqua" w:hAnsi="Book Antiqua" w:cs="Times New Roman"/>
                <w:bCs/>
                <w:color w:val="000000" w:themeColor="text1"/>
                <w:sz w:val="24"/>
                <w:szCs w:val="24"/>
              </w:rPr>
              <w:t>L)</w:t>
            </w:r>
          </w:p>
        </w:tc>
        <w:tc>
          <w:tcPr>
            <w:tcW w:w="3119"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0.75 (0.63–0.90)</w:t>
            </w:r>
          </w:p>
        </w:tc>
        <w:tc>
          <w:tcPr>
            <w:tcW w:w="1843"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0.002</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GGT (by each IU/L)</w:t>
            </w:r>
          </w:p>
        </w:tc>
        <w:tc>
          <w:tcPr>
            <w:tcW w:w="3119"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1.00 (1.00–1.01)</w:t>
            </w:r>
          </w:p>
        </w:tc>
        <w:tc>
          <w:tcPr>
            <w:tcW w:w="1843"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0.452</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AFP (by each ng/mL)</w:t>
            </w:r>
          </w:p>
        </w:tc>
        <w:tc>
          <w:tcPr>
            <w:tcW w:w="3119"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1.00 (1.00–1.00)</w:t>
            </w:r>
          </w:p>
        </w:tc>
        <w:tc>
          <w:tcPr>
            <w:tcW w:w="1843" w:type="dxa"/>
            <w:tcBorders>
              <w:top w:val="nil"/>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0.033</w:t>
            </w:r>
          </w:p>
        </w:tc>
      </w:tr>
      <w:tr w:rsidR="00900E2E" w:rsidRPr="00900E2E" w:rsidTr="00594215">
        <w:trPr>
          <w:trHeight w:val="596"/>
        </w:trPr>
        <w:tc>
          <w:tcPr>
            <w:tcW w:w="3402" w:type="dxa"/>
            <w:tcBorders>
              <w:top w:val="nil"/>
              <w:left w:val="nil"/>
              <w:bottom w:val="nil"/>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PI use</w:t>
            </w:r>
          </w:p>
        </w:tc>
        <w:tc>
          <w:tcPr>
            <w:tcW w:w="3119" w:type="dxa"/>
            <w:tcBorders>
              <w:top w:val="nil"/>
              <w:left w:val="nil"/>
              <w:bottom w:val="nil"/>
              <w:right w:val="nil"/>
            </w:tcBorders>
            <w:shd w:val="clear" w:color="auto" w:fill="auto"/>
            <w:tcMar>
              <w:top w:w="10" w:type="dxa"/>
              <w:left w:w="10" w:type="dxa"/>
              <w:bottom w:w="0" w:type="dxa"/>
              <w:right w:w="10"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2.93 (0.31–27.70)</w:t>
            </w:r>
          </w:p>
        </w:tc>
        <w:tc>
          <w:tcPr>
            <w:tcW w:w="1843" w:type="dxa"/>
            <w:tcBorders>
              <w:top w:val="nil"/>
              <w:left w:val="nil"/>
              <w:bottom w:val="nil"/>
              <w:right w:val="nil"/>
            </w:tcBorders>
            <w:shd w:val="clear" w:color="auto" w:fill="auto"/>
            <w:tcMar>
              <w:top w:w="10" w:type="dxa"/>
              <w:left w:w="10" w:type="dxa"/>
              <w:bottom w:w="0" w:type="dxa"/>
              <w:right w:w="10"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0.347</w:t>
            </w:r>
          </w:p>
        </w:tc>
      </w:tr>
      <w:tr w:rsidR="00900E2E" w:rsidRPr="00900E2E" w:rsidTr="00594215">
        <w:trPr>
          <w:trHeight w:val="596"/>
        </w:trPr>
        <w:tc>
          <w:tcPr>
            <w:tcW w:w="340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594215" w:rsidRPr="00900E2E" w:rsidRDefault="00594215" w:rsidP="00C805C6">
            <w:pPr>
              <w:adjustRightInd w:val="0"/>
              <w:snapToGrid w:val="0"/>
              <w:spacing w:line="360" w:lineRule="auto"/>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AKR1B10 (by each %)</w:t>
            </w:r>
          </w:p>
        </w:tc>
        <w:tc>
          <w:tcPr>
            <w:tcW w:w="3119" w:type="dxa"/>
            <w:tcBorders>
              <w:top w:val="nil"/>
              <w:left w:val="nil"/>
              <w:bottom w:val="single" w:sz="4" w:space="0" w:color="auto"/>
              <w:right w:val="nil"/>
            </w:tcBorders>
            <w:shd w:val="clear" w:color="auto" w:fill="auto"/>
            <w:tcMar>
              <w:top w:w="10" w:type="dxa"/>
              <w:left w:w="10" w:type="dxa"/>
              <w:bottom w:w="0" w:type="dxa"/>
              <w:right w:w="10" w:type="dxa"/>
            </w:tcMar>
            <w:vAlign w:val="center"/>
            <w:hideMark/>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1.06 (1.03–1.10)</w:t>
            </w:r>
          </w:p>
        </w:tc>
        <w:tc>
          <w:tcPr>
            <w:tcW w:w="1843" w:type="dxa"/>
            <w:tcBorders>
              <w:top w:val="nil"/>
              <w:left w:val="nil"/>
              <w:bottom w:val="single" w:sz="4" w:space="0" w:color="auto"/>
              <w:right w:val="nil"/>
            </w:tcBorders>
            <w:shd w:val="clear" w:color="auto" w:fill="auto"/>
            <w:tcMar>
              <w:top w:w="10" w:type="dxa"/>
              <w:left w:w="10" w:type="dxa"/>
              <w:bottom w:w="0" w:type="dxa"/>
              <w:right w:w="10" w:type="dxa"/>
            </w:tcMar>
            <w:vAlign w:val="center"/>
            <w:hideMark/>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&lt;</w:t>
            </w:r>
            <w:r w:rsidR="00900E2E" w:rsidRPr="00900E2E">
              <w:rPr>
                <w:rFonts w:ascii="Book Antiqua" w:eastAsia="宋体" w:hAnsi="Book Antiqua" w:cs="Times New Roman" w:hint="eastAsia"/>
                <w:color w:val="000000" w:themeColor="text1"/>
                <w:sz w:val="24"/>
                <w:szCs w:val="24"/>
                <w:lang w:eastAsia="zh-CN"/>
              </w:rPr>
              <w:t xml:space="preserve"> </w:t>
            </w:r>
            <w:r w:rsidRPr="00900E2E">
              <w:rPr>
                <w:rFonts w:ascii="Book Antiqua" w:hAnsi="Book Antiqua" w:cs="Times New Roman"/>
                <w:color w:val="000000" w:themeColor="text1"/>
                <w:sz w:val="24"/>
                <w:szCs w:val="24"/>
              </w:rPr>
              <w:t>0.001</w:t>
            </w:r>
          </w:p>
        </w:tc>
      </w:tr>
      <w:tr w:rsidR="00900E2E" w:rsidRPr="00900E2E" w:rsidTr="00594215">
        <w:trPr>
          <w:trHeight w:val="596"/>
        </w:trPr>
        <w:tc>
          <w:tcPr>
            <w:tcW w:w="3402" w:type="dxa"/>
            <w:tcBorders>
              <w:top w:val="single" w:sz="4" w:space="0" w:color="auto"/>
              <w:left w:val="nil"/>
              <w:bottom w:val="nil"/>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rPr>
                <w:rFonts w:ascii="Book Antiqua" w:hAnsi="Book Antiqua" w:cs="Times New Roman"/>
                <w:b/>
                <w:bCs/>
                <w:color w:val="000000" w:themeColor="text1"/>
                <w:sz w:val="24"/>
                <w:szCs w:val="24"/>
              </w:rPr>
            </w:pPr>
            <w:r w:rsidRPr="00900E2E">
              <w:rPr>
                <w:rFonts w:ascii="Book Antiqua" w:hAnsi="Book Antiqua" w:cs="Times New Roman"/>
                <w:b/>
                <w:bCs/>
                <w:color w:val="000000" w:themeColor="text1"/>
                <w:sz w:val="24"/>
                <w:szCs w:val="24"/>
              </w:rPr>
              <w:t>Multivariate analysis</w:t>
            </w:r>
          </w:p>
        </w:tc>
        <w:tc>
          <w:tcPr>
            <w:tcW w:w="3119" w:type="dxa"/>
            <w:tcBorders>
              <w:top w:val="single" w:sz="4" w:space="0" w:color="auto"/>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p>
        </w:tc>
        <w:tc>
          <w:tcPr>
            <w:tcW w:w="1843" w:type="dxa"/>
            <w:tcBorders>
              <w:top w:val="single" w:sz="4" w:space="0" w:color="auto"/>
              <w:left w:val="nil"/>
              <w:bottom w:val="nil"/>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p>
        </w:tc>
      </w:tr>
      <w:tr w:rsidR="00900E2E" w:rsidRPr="00900E2E" w:rsidTr="00594215">
        <w:trPr>
          <w:trHeight w:val="596"/>
        </w:trPr>
        <w:tc>
          <w:tcPr>
            <w:tcW w:w="3402" w:type="dxa"/>
            <w:tcBorders>
              <w:top w:val="nil"/>
              <w:left w:val="nil"/>
              <w:bottom w:val="single" w:sz="8" w:space="0" w:color="000000"/>
              <w:right w:val="nil"/>
            </w:tcBorders>
            <w:shd w:val="clear" w:color="auto" w:fill="auto"/>
            <w:tcMar>
              <w:top w:w="15" w:type="dxa"/>
              <w:left w:w="15" w:type="dxa"/>
              <w:bottom w:w="0" w:type="dxa"/>
              <w:right w:w="15" w:type="dxa"/>
            </w:tcMar>
            <w:vAlign w:val="center"/>
          </w:tcPr>
          <w:p w:rsidR="00594215" w:rsidRPr="00900E2E" w:rsidRDefault="00594215" w:rsidP="00C805C6">
            <w:pPr>
              <w:adjustRightInd w:val="0"/>
              <w:snapToGrid w:val="0"/>
              <w:spacing w:line="360" w:lineRule="auto"/>
              <w:rPr>
                <w:rFonts w:ascii="Book Antiqua" w:hAnsi="Book Antiqua" w:cs="Times New Roman"/>
                <w:color w:val="000000" w:themeColor="text1"/>
                <w:sz w:val="24"/>
                <w:szCs w:val="24"/>
              </w:rPr>
            </w:pPr>
            <w:r w:rsidRPr="00900E2E">
              <w:rPr>
                <w:rFonts w:ascii="Book Antiqua" w:hAnsi="Book Antiqua" w:cs="Times New Roman"/>
                <w:bCs/>
                <w:color w:val="000000" w:themeColor="text1"/>
                <w:sz w:val="24"/>
                <w:szCs w:val="24"/>
              </w:rPr>
              <w:t>AKR1B10 (by each %)</w:t>
            </w:r>
          </w:p>
        </w:tc>
        <w:tc>
          <w:tcPr>
            <w:tcW w:w="3119" w:type="dxa"/>
            <w:tcBorders>
              <w:top w:val="nil"/>
              <w:left w:val="nil"/>
              <w:bottom w:val="single" w:sz="8" w:space="0" w:color="000000"/>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left"/>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1.04 (1.03–1.10)</w:t>
            </w:r>
          </w:p>
        </w:tc>
        <w:tc>
          <w:tcPr>
            <w:tcW w:w="1843" w:type="dxa"/>
            <w:tcBorders>
              <w:top w:val="nil"/>
              <w:left w:val="nil"/>
              <w:bottom w:val="single" w:sz="8" w:space="0" w:color="000000"/>
              <w:right w:val="nil"/>
            </w:tcBorders>
            <w:shd w:val="clear" w:color="auto" w:fill="auto"/>
            <w:tcMar>
              <w:top w:w="10" w:type="dxa"/>
              <w:left w:w="10" w:type="dxa"/>
              <w:bottom w:w="0" w:type="dxa"/>
              <w:right w:w="10" w:type="dxa"/>
            </w:tcMar>
            <w:vAlign w:val="center"/>
          </w:tcPr>
          <w:p w:rsidR="00594215" w:rsidRPr="00900E2E" w:rsidRDefault="00594215" w:rsidP="00C805C6">
            <w:pPr>
              <w:adjustRightInd w:val="0"/>
              <w:snapToGrid w:val="0"/>
              <w:spacing w:line="360" w:lineRule="auto"/>
              <w:jc w:val="center"/>
              <w:rPr>
                <w:rFonts w:ascii="Book Antiqua" w:hAnsi="Book Antiqua" w:cs="Times New Roman"/>
                <w:color w:val="000000" w:themeColor="text1"/>
                <w:sz w:val="24"/>
                <w:szCs w:val="24"/>
              </w:rPr>
            </w:pPr>
            <w:r w:rsidRPr="00900E2E">
              <w:rPr>
                <w:rFonts w:ascii="Book Antiqua" w:hAnsi="Book Antiqua" w:cs="Times New Roman"/>
                <w:color w:val="000000" w:themeColor="text1"/>
                <w:sz w:val="24"/>
                <w:szCs w:val="24"/>
              </w:rPr>
              <w:t>0.001</w:t>
            </w:r>
          </w:p>
        </w:tc>
      </w:tr>
    </w:tbl>
    <w:p w:rsidR="00594215" w:rsidRPr="00900E2E" w:rsidRDefault="00594215"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lastRenderedPageBreak/>
        <w:t>AFP</w:t>
      </w:r>
      <w:r w:rsidR="00900E2E" w:rsidRPr="00900E2E">
        <w:rPr>
          <w:rFonts w:ascii="Book Antiqua" w:eastAsia="宋体" w:hAnsi="Book Antiqua" w:hint="eastAsia"/>
          <w:color w:val="000000" w:themeColor="text1"/>
          <w:sz w:val="24"/>
          <w:szCs w:val="24"/>
          <w:lang w:eastAsia="zh-CN"/>
        </w:rPr>
        <w:t>:</w:t>
      </w:r>
      <w:r w:rsidRPr="00900E2E">
        <w:rPr>
          <w:rFonts w:ascii="Book Antiqua" w:hAnsi="Book Antiqua"/>
          <w:color w:val="000000" w:themeColor="text1"/>
          <w:sz w:val="24"/>
          <w:szCs w:val="24"/>
        </w:rPr>
        <w:t xml:space="preserve"> α-fetoprotein; AKR1B10</w:t>
      </w:r>
      <w:r w:rsidR="00900E2E" w:rsidRPr="00900E2E">
        <w:rPr>
          <w:rFonts w:ascii="Book Antiqua" w:eastAsia="宋体" w:hAnsi="Book Antiqua" w:hint="eastAsia"/>
          <w:color w:val="000000" w:themeColor="text1"/>
          <w:sz w:val="24"/>
          <w:szCs w:val="24"/>
          <w:lang w:eastAsia="zh-CN"/>
        </w:rPr>
        <w:t>:</w:t>
      </w:r>
      <w:r w:rsidRPr="00900E2E">
        <w:rPr>
          <w:rFonts w:ascii="Book Antiqua" w:hAnsi="Book Antiqua"/>
          <w:color w:val="000000" w:themeColor="text1"/>
          <w:sz w:val="24"/>
          <w:szCs w:val="24"/>
        </w:rPr>
        <w:t xml:space="preserve"> </w:t>
      </w:r>
      <w:r w:rsidR="00900E2E" w:rsidRPr="00900E2E">
        <w:rPr>
          <w:rFonts w:ascii="Book Antiqua" w:hAnsi="Book Antiqua"/>
          <w:color w:val="000000" w:themeColor="text1"/>
          <w:sz w:val="24"/>
          <w:szCs w:val="24"/>
        </w:rPr>
        <w:t>Aldo</w:t>
      </w:r>
      <w:r w:rsidRPr="00900E2E">
        <w:rPr>
          <w:rFonts w:ascii="Book Antiqua" w:hAnsi="Book Antiqua"/>
          <w:color w:val="000000" w:themeColor="text1"/>
          <w:sz w:val="24"/>
          <w:szCs w:val="24"/>
        </w:rPr>
        <w:t>-keto reductase family1 member B10; ALT</w:t>
      </w:r>
      <w:r w:rsidR="00900E2E" w:rsidRPr="00900E2E">
        <w:rPr>
          <w:rFonts w:ascii="Book Antiqua" w:eastAsia="宋体" w:hAnsi="Book Antiqua" w:hint="eastAsia"/>
          <w:color w:val="000000" w:themeColor="text1"/>
          <w:sz w:val="24"/>
          <w:szCs w:val="24"/>
          <w:lang w:eastAsia="zh-CN"/>
        </w:rPr>
        <w:t>:</w:t>
      </w:r>
      <w:r w:rsidRPr="00900E2E">
        <w:rPr>
          <w:rFonts w:ascii="Book Antiqua" w:hAnsi="Book Antiqua"/>
          <w:color w:val="000000" w:themeColor="text1"/>
          <w:sz w:val="24"/>
          <w:szCs w:val="24"/>
        </w:rPr>
        <w:t xml:space="preserve"> </w:t>
      </w:r>
      <w:r w:rsidR="00900E2E" w:rsidRPr="00900E2E">
        <w:rPr>
          <w:rFonts w:ascii="Book Antiqua" w:hAnsi="Book Antiqua"/>
          <w:color w:val="000000" w:themeColor="text1"/>
          <w:sz w:val="24"/>
          <w:szCs w:val="24"/>
        </w:rPr>
        <w:t xml:space="preserve">Alanine </w:t>
      </w:r>
      <w:r w:rsidRPr="00900E2E">
        <w:rPr>
          <w:rFonts w:ascii="Book Antiqua" w:hAnsi="Book Antiqua"/>
          <w:color w:val="000000" w:themeColor="text1"/>
          <w:sz w:val="24"/>
          <w:szCs w:val="24"/>
        </w:rPr>
        <w:t>aminotransferase; BMI</w:t>
      </w:r>
      <w:r w:rsidR="00900E2E" w:rsidRPr="00900E2E">
        <w:rPr>
          <w:rFonts w:ascii="Book Antiqua" w:eastAsia="宋体" w:hAnsi="Book Antiqua" w:hint="eastAsia"/>
          <w:color w:val="000000" w:themeColor="text1"/>
          <w:sz w:val="24"/>
          <w:szCs w:val="24"/>
          <w:lang w:eastAsia="zh-CN"/>
        </w:rPr>
        <w:t>:</w:t>
      </w:r>
      <w:r w:rsidRPr="00900E2E">
        <w:rPr>
          <w:rFonts w:ascii="Book Antiqua" w:hAnsi="Book Antiqua"/>
          <w:color w:val="000000" w:themeColor="text1"/>
          <w:sz w:val="24"/>
          <w:szCs w:val="24"/>
        </w:rPr>
        <w:t xml:space="preserve"> </w:t>
      </w:r>
      <w:r w:rsidR="00900E2E" w:rsidRPr="00900E2E">
        <w:rPr>
          <w:rFonts w:ascii="Book Antiqua" w:hAnsi="Book Antiqua"/>
          <w:color w:val="000000" w:themeColor="text1"/>
          <w:sz w:val="24"/>
          <w:szCs w:val="24"/>
        </w:rPr>
        <w:t xml:space="preserve">Body </w:t>
      </w:r>
      <w:r w:rsidRPr="00900E2E">
        <w:rPr>
          <w:rFonts w:ascii="Book Antiqua" w:hAnsi="Book Antiqua"/>
          <w:color w:val="000000" w:themeColor="text1"/>
          <w:sz w:val="24"/>
          <w:szCs w:val="24"/>
        </w:rPr>
        <w:t>mass index; GGT</w:t>
      </w:r>
      <w:r w:rsidR="00900E2E" w:rsidRPr="00900E2E">
        <w:rPr>
          <w:rFonts w:ascii="Book Antiqua" w:eastAsia="宋体" w:hAnsi="Book Antiqua" w:hint="eastAsia"/>
          <w:color w:val="000000" w:themeColor="text1"/>
          <w:sz w:val="24"/>
          <w:szCs w:val="24"/>
          <w:lang w:eastAsia="zh-CN"/>
        </w:rPr>
        <w:t>:</w:t>
      </w:r>
      <w:r w:rsidRPr="00900E2E">
        <w:rPr>
          <w:rFonts w:ascii="Book Antiqua" w:hAnsi="Book Antiqua"/>
          <w:color w:val="000000" w:themeColor="text1"/>
          <w:sz w:val="24"/>
          <w:szCs w:val="24"/>
        </w:rPr>
        <w:t xml:space="preserve"> γ-glutamyl transpeptidase; HCV</w:t>
      </w:r>
      <w:r w:rsidR="00900E2E" w:rsidRPr="00900E2E">
        <w:rPr>
          <w:rFonts w:ascii="Book Antiqua" w:eastAsia="宋体" w:hAnsi="Book Antiqua" w:hint="eastAsia"/>
          <w:color w:val="000000" w:themeColor="text1"/>
          <w:sz w:val="24"/>
          <w:szCs w:val="24"/>
          <w:lang w:eastAsia="zh-CN"/>
        </w:rPr>
        <w:t>:</w:t>
      </w:r>
      <w:r w:rsidRPr="00900E2E">
        <w:rPr>
          <w:rFonts w:ascii="Book Antiqua" w:hAnsi="Book Antiqua"/>
          <w:color w:val="000000" w:themeColor="text1"/>
          <w:sz w:val="24"/>
          <w:szCs w:val="24"/>
        </w:rPr>
        <w:t xml:space="preserve"> </w:t>
      </w:r>
      <w:r w:rsidR="00900E2E" w:rsidRPr="00900E2E">
        <w:rPr>
          <w:rFonts w:ascii="Book Antiqua" w:hAnsi="Book Antiqua"/>
          <w:color w:val="000000" w:themeColor="text1"/>
          <w:sz w:val="24"/>
          <w:szCs w:val="24"/>
        </w:rPr>
        <w:t xml:space="preserve">Hepatitis </w:t>
      </w:r>
      <w:r w:rsidRPr="00900E2E">
        <w:rPr>
          <w:rFonts w:ascii="Book Antiqua" w:hAnsi="Book Antiqua"/>
          <w:color w:val="000000" w:themeColor="text1"/>
          <w:sz w:val="24"/>
          <w:szCs w:val="24"/>
        </w:rPr>
        <w:t>C virus; PI</w:t>
      </w:r>
      <w:r w:rsidR="00900E2E" w:rsidRPr="00900E2E">
        <w:rPr>
          <w:rFonts w:ascii="Book Antiqua" w:eastAsia="宋体" w:hAnsi="Book Antiqua" w:hint="eastAsia"/>
          <w:color w:val="000000" w:themeColor="text1"/>
          <w:sz w:val="24"/>
          <w:szCs w:val="24"/>
          <w:lang w:eastAsia="zh-CN"/>
        </w:rPr>
        <w:t>:</w:t>
      </w:r>
      <w:r w:rsidRPr="00900E2E">
        <w:rPr>
          <w:rFonts w:ascii="Book Antiqua" w:hAnsi="Book Antiqua"/>
          <w:color w:val="000000" w:themeColor="text1"/>
          <w:sz w:val="24"/>
          <w:szCs w:val="24"/>
        </w:rPr>
        <w:t xml:space="preserve"> </w:t>
      </w:r>
      <w:r w:rsidR="00900E2E" w:rsidRPr="00900E2E">
        <w:rPr>
          <w:rFonts w:ascii="Book Antiqua" w:hAnsi="Book Antiqua"/>
          <w:color w:val="000000" w:themeColor="text1"/>
          <w:sz w:val="24"/>
          <w:szCs w:val="24"/>
        </w:rPr>
        <w:t xml:space="preserve">Protease </w:t>
      </w:r>
      <w:r w:rsidRPr="00900E2E">
        <w:rPr>
          <w:rFonts w:ascii="Book Antiqua" w:hAnsi="Book Antiqua"/>
          <w:color w:val="000000" w:themeColor="text1"/>
          <w:sz w:val="24"/>
          <w:szCs w:val="24"/>
        </w:rPr>
        <w:t>inhibitor.</w:t>
      </w:r>
    </w:p>
    <w:p w:rsidR="004A48B3" w:rsidRPr="00900E2E" w:rsidRDefault="004A48B3" w:rsidP="00C805C6">
      <w:pPr>
        <w:widowControl/>
        <w:adjustRightInd w:val="0"/>
        <w:snapToGrid w:val="0"/>
        <w:spacing w:line="360" w:lineRule="auto"/>
        <w:jc w:val="left"/>
        <w:rPr>
          <w:rFonts w:ascii="Book Antiqua" w:hAnsi="Book Antiqua"/>
          <w:color w:val="000000" w:themeColor="text1"/>
          <w:sz w:val="24"/>
          <w:szCs w:val="24"/>
        </w:rPr>
      </w:pPr>
      <w:r w:rsidRPr="00900E2E">
        <w:rPr>
          <w:rFonts w:ascii="Book Antiqua" w:hAnsi="Book Antiqua"/>
          <w:color w:val="000000" w:themeColor="text1"/>
          <w:sz w:val="24"/>
          <w:szCs w:val="24"/>
        </w:rPr>
        <w:br w:type="page"/>
      </w:r>
    </w:p>
    <w:p w:rsidR="00594215" w:rsidRPr="00900E2E" w:rsidRDefault="004A48B3" w:rsidP="00C805C6">
      <w:pPr>
        <w:adjustRightInd w:val="0"/>
        <w:snapToGrid w:val="0"/>
        <w:spacing w:line="360" w:lineRule="auto"/>
        <w:rPr>
          <w:rFonts w:ascii="Book Antiqua" w:hAnsi="Book Antiqua"/>
          <w:b/>
          <w:color w:val="000000" w:themeColor="text1"/>
          <w:sz w:val="24"/>
          <w:szCs w:val="24"/>
        </w:rPr>
      </w:pPr>
      <w:r w:rsidRPr="00900E2E">
        <w:rPr>
          <w:rFonts w:ascii="Book Antiqua" w:hAnsi="Book Antiqua" w:hint="eastAsia"/>
          <w:b/>
          <w:color w:val="000000" w:themeColor="text1"/>
          <w:sz w:val="24"/>
          <w:szCs w:val="24"/>
        </w:rPr>
        <w:lastRenderedPageBreak/>
        <w:t>Table 3</w:t>
      </w:r>
      <w:r w:rsidRPr="00900E2E">
        <w:rPr>
          <w:rFonts w:ascii="Book Antiqua" w:hAnsi="Book Antiqua"/>
          <w:b/>
          <w:color w:val="000000" w:themeColor="text1"/>
          <w:sz w:val="24"/>
          <w:szCs w:val="24"/>
        </w:rPr>
        <w:t xml:space="preserve"> Characteristics of </w:t>
      </w:r>
      <w:r w:rsidR="007E444B" w:rsidRPr="00900E2E">
        <w:rPr>
          <w:rFonts w:ascii="Book Antiqua" w:hAnsi="Book Antiqua"/>
          <w:b/>
          <w:color w:val="000000" w:themeColor="text1"/>
          <w:sz w:val="24"/>
          <w:szCs w:val="24"/>
        </w:rPr>
        <w:t xml:space="preserve">the </w:t>
      </w:r>
      <w:r w:rsidRPr="00900E2E">
        <w:rPr>
          <w:rFonts w:ascii="Book Antiqua" w:hAnsi="Book Antiqua"/>
          <w:b/>
          <w:color w:val="000000" w:themeColor="text1"/>
          <w:sz w:val="24"/>
          <w:szCs w:val="24"/>
        </w:rPr>
        <w:t xml:space="preserve">8 patients with </w:t>
      </w:r>
      <w:r w:rsidR="00900E2E" w:rsidRPr="00900E2E">
        <w:rPr>
          <w:rFonts w:ascii="Book Antiqua" w:hAnsi="Book Antiqua"/>
          <w:b/>
          <w:color w:val="000000" w:themeColor="text1"/>
          <w:sz w:val="24"/>
          <w:szCs w:val="24"/>
        </w:rPr>
        <w:t xml:space="preserve">hepatocellular carcinoma </w:t>
      </w:r>
      <w:r w:rsidRPr="00900E2E">
        <w:rPr>
          <w:rFonts w:ascii="Book Antiqua" w:hAnsi="Book Antiqua"/>
          <w:b/>
          <w:color w:val="000000" w:themeColor="text1"/>
          <w:sz w:val="24"/>
          <w:szCs w:val="24"/>
        </w:rPr>
        <w:t>development</w:t>
      </w:r>
    </w:p>
    <w:tbl>
      <w:tblPr>
        <w:tblStyle w:val="a4"/>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92"/>
        <w:gridCol w:w="709"/>
        <w:gridCol w:w="1134"/>
        <w:gridCol w:w="283"/>
        <w:gridCol w:w="284"/>
        <w:gridCol w:w="1276"/>
        <w:gridCol w:w="992"/>
        <w:gridCol w:w="1559"/>
        <w:gridCol w:w="981"/>
      </w:tblGrid>
      <w:tr w:rsidR="00900E2E" w:rsidRPr="00900E2E" w:rsidTr="007E444B">
        <w:tc>
          <w:tcPr>
            <w:tcW w:w="284" w:type="dxa"/>
            <w:tcBorders>
              <w:top w:val="single" w:sz="4" w:space="0" w:color="auto"/>
              <w:bottom w:val="single" w:sz="4" w:space="0" w:color="auto"/>
            </w:tcBorders>
          </w:tcPr>
          <w:p w:rsidR="00744A6C" w:rsidRPr="00900E2E" w:rsidRDefault="00744A6C" w:rsidP="00C805C6">
            <w:pPr>
              <w:adjustRightInd w:val="0"/>
              <w:snapToGrid w:val="0"/>
              <w:spacing w:line="360" w:lineRule="auto"/>
              <w:rPr>
                <w:rFonts w:ascii="Book Antiqua" w:hAnsi="Book Antiqua"/>
                <w:color w:val="000000" w:themeColor="text1"/>
                <w:sz w:val="24"/>
                <w:szCs w:val="24"/>
              </w:rPr>
            </w:pPr>
          </w:p>
        </w:tc>
        <w:tc>
          <w:tcPr>
            <w:tcW w:w="992" w:type="dxa"/>
            <w:tcBorders>
              <w:top w:val="single" w:sz="4" w:space="0" w:color="auto"/>
              <w:bottom w:val="single" w:sz="4" w:space="0" w:color="auto"/>
            </w:tcBorders>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Age</w:t>
            </w:r>
          </w:p>
          <w:p w:rsidR="0086743F" w:rsidRPr="00900E2E" w:rsidRDefault="00900E2E"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color w:val="000000" w:themeColor="text1"/>
                <w:sz w:val="24"/>
                <w:szCs w:val="24"/>
              </w:rPr>
              <w:t>(y</w:t>
            </w:r>
            <w:r w:rsidR="0086743F" w:rsidRPr="00900E2E">
              <w:rPr>
                <w:rFonts w:ascii="Book Antiqua" w:hAnsi="Book Antiqua"/>
                <w:color w:val="000000" w:themeColor="text1"/>
                <w:sz w:val="24"/>
                <w:szCs w:val="24"/>
              </w:rPr>
              <w:t>r)</w:t>
            </w:r>
          </w:p>
        </w:tc>
        <w:tc>
          <w:tcPr>
            <w:tcW w:w="709" w:type="dxa"/>
            <w:tcBorders>
              <w:top w:val="single" w:sz="4" w:space="0" w:color="auto"/>
              <w:bottom w:val="single" w:sz="4" w:space="0" w:color="auto"/>
            </w:tcBorders>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Sex</w:t>
            </w:r>
          </w:p>
        </w:tc>
        <w:tc>
          <w:tcPr>
            <w:tcW w:w="1134" w:type="dxa"/>
            <w:tcBorders>
              <w:top w:val="single" w:sz="4" w:space="0" w:color="auto"/>
              <w:bottom w:val="single" w:sz="4" w:space="0" w:color="auto"/>
            </w:tcBorders>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In</w:t>
            </w:r>
            <w:r w:rsidRPr="00900E2E">
              <w:rPr>
                <w:rFonts w:ascii="Book Antiqua" w:hAnsi="Book Antiqua"/>
                <w:color w:val="000000" w:themeColor="text1"/>
                <w:sz w:val="24"/>
                <w:szCs w:val="24"/>
              </w:rPr>
              <w:t>terval</w:t>
            </w:r>
          </w:p>
          <w:p w:rsidR="00744A6C" w:rsidRPr="00900E2E" w:rsidRDefault="00900E2E"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color w:val="000000" w:themeColor="text1"/>
                <w:sz w:val="24"/>
                <w:szCs w:val="24"/>
              </w:rPr>
              <w:t>(y</w:t>
            </w:r>
            <w:r w:rsidR="00744A6C" w:rsidRPr="00900E2E">
              <w:rPr>
                <w:rFonts w:ascii="Book Antiqua" w:hAnsi="Book Antiqua"/>
                <w:color w:val="000000" w:themeColor="text1"/>
                <w:sz w:val="24"/>
                <w:szCs w:val="24"/>
              </w:rPr>
              <w:t>r)</w:t>
            </w:r>
          </w:p>
        </w:tc>
        <w:tc>
          <w:tcPr>
            <w:tcW w:w="283" w:type="dxa"/>
            <w:tcBorders>
              <w:top w:val="single" w:sz="4" w:space="0" w:color="auto"/>
              <w:bottom w:val="single" w:sz="4" w:space="0" w:color="auto"/>
            </w:tcBorders>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color w:val="000000" w:themeColor="text1"/>
                <w:sz w:val="24"/>
                <w:szCs w:val="24"/>
              </w:rPr>
              <w:t>F</w:t>
            </w:r>
          </w:p>
        </w:tc>
        <w:tc>
          <w:tcPr>
            <w:tcW w:w="284" w:type="dxa"/>
            <w:tcBorders>
              <w:top w:val="single" w:sz="4" w:space="0" w:color="auto"/>
              <w:bottom w:val="single" w:sz="4" w:space="0" w:color="auto"/>
            </w:tcBorders>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color w:val="000000" w:themeColor="text1"/>
                <w:sz w:val="24"/>
                <w:szCs w:val="24"/>
              </w:rPr>
              <w:t>A</w:t>
            </w:r>
          </w:p>
        </w:tc>
        <w:tc>
          <w:tcPr>
            <w:tcW w:w="1276" w:type="dxa"/>
            <w:tcBorders>
              <w:top w:val="single" w:sz="4" w:space="0" w:color="auto"/>
              <w:bottom w:val="single" w:sz="4" w:space="0" w:color="auto"/>
            </w:tcBorders>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A</w:t>
            </w:r>
            <w:r w:rsidRPr="00900E2E">
              <w:rPr>
                <w:rFonts w:ascii="Book Antiqua" w:hAnsi="Book Antiqua"/>
                <w:color w:val="000000" w:themeColor="text1"/>
                <w:sz w:val="24"/>
                <w:szCs w:val="24"/>
              </w:rPr>
              <w:t>lbumin</w:t>
            </w:r>
          </w:p>
          <w:p w:rsidR="0086743F" w:rsidRPr="00900E2E" w:rsidRDefault="0086743F"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color w:val="000000" w:themeColor="text1"/>
                <w:sz w:val="24"/>
                <w:szCs w:val="24"/>
              </w:rPr>
              <w:t>(g/dL)</w:t>
            </w:r>
          </w:p>
        </w:tc>
        <w:tc>
          <w:tcPr>
            <w:tcW w:w="992" w:type="dxa"/>
            <w:tcBorders>
              <w:top w:val="single" w:sz="4" w:space="0" w:color="auto"/>
              <w:bottom w:val="single" w:sz="4" w:space="0" w:color="auto"/>
            </w:tcBorders>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ALT</w:t>
            </w:r>
          </w:p>
          <w:p w:rsidR="0086743F" w:rsidRPr="00900E2E" w:rsidRDefault="0086743F"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color w:val="000000" w:themeColor="text1"/>
                <w:sz w:val="24"/>
                <w:szCs w:val="24"/>
              </w:rPr>
              <w:t>(IU/L)</w:t>
            </w:r>
          </w:p>
        </w:tc>
        <w:tc>
          <w:tcPr>
            <w:tcW w:w="1559" w:type="dxa"/>
            <w:tcBorders>
              <w:top w:val="single" w:sz="4" w:space="0" w:color="auto"/>
              <w:bottom w:val="single" w:sz="4" w:space="0" w:color="auto"/>
            </w:tcBorders>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Pl</w:t>
            </w:r>
            <w:r w:rsidRPr="00900E2E">
              <w:rPr>
                <w:rFonts w:ascii="Book Antiqua" w:hAnsi="Book Antiqua"/>
                <w:color w:val="000000" w:themeColor="text1"/>
                <w:sz w:val="24"/>
                <w:szCs w:val="24"/>
              </w:rPr>
              <w:t>a</w:t>
            </w:r>
            <w:r w:rsidRPr="00900E2E">
              <w:rPr>
                <w:rFonts w:ascii="Book Antiqua" w:hAnsi="Book Antiqua" w:hint="eastAsia"/>
                <w:color w:val="000000" w:themeColor="text1"/>
                <w:sz w:val="24"/>
                <w:szCs w:val="24"/>
              </w:rPr>
              <w:t>t</w:t>
            </w:r>
            <w:r w:rsidRPr="00900E2E">
              <w:rPr>
                <w:rFonts w:ascii="Book Antiqua" w:hAnsi="Book Antiqua"/>
                <w:color w:val="000000" w:themeColor="text1"/>
                <w:sz w:val="24"/>
                <w:szCs w:val="24"/>
              </w:rPr>
              <w:t>elet count</w:t>
            </w:r>
          </w:p>
          <w:p w:rsidR="0086743F" w:rsidRPr="00900E2E" w:rsidRDefault="0086743F"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color w:val="000000" w:themeColor="text1"/>
                <w:sz w:val="24"/>
                <w:szCs w:val="24"/>
              </w:rPr>
              <w:t>(</w:t>
            </w:r>
            <w:r w:rsidRPr="00900E2E">
              <w:rPr>
                <w:rFonts w:ascii="Book Antiqua" w:hAnsi="Book Antiqua" w:hint="eastAsia"/>
                <w:color w:val="000000" w:themeColor="text1"/>
                <w:sz w:val="24"/>
                <w:szCs w:val="24"/>
              </w:rPr>
              <w:t>×</w:t>
            </w:r>
            <w:r w:rsidR="00900E2E" w:rsidRPr="00900E2E">
              <w:rPr>
                <w:rFonts w:ascii="Book Antiqua" w:eastAsia="宋体" w:hAnsi="Book Antiqua" w:hint="eastAsia"/>
                <w:color w:val="000000" w:themeColor="text1"/>
                <w:sz w:val="24"/>
                <w:szCs w:val="24"/>
                <w:lang w:eastAsia="zh-CN"/>
              </w:rPr>
              <w:t xml:space="preserve"> </w:t>
            </w:r>
            <w:r w:rsidRPr="00900E2E">
              <w:rPr>
                <w:rFonts w:ascii="Book Antiqua" w:hAnsi="Book Antiqua" w:hint="eastAsia"/>
                <w:color w:val="000000" w:themeColor="text1"/>
                <w:sz w:val="24"/>
                <w:szCs w:val="24"/>
              </w:rPr>
              <w:t>10</w:t>
            </w:r>
            <w:r w:rsidRPr="00900E2E">
              <w:rPr>
                <w:rFonts w:ascii="Book Antiqua" w:hAnsi="Book Antiqua" w:hint="eastAsia"/>
                <w:color w:val="000000" w:themeColor="text1"/>
                <w:sz w:val="24"/>
                <w:szCs w:val="24"/>
                <w:vertAlign w:val="superscript"/>
              </w:rPr>
              <w:t>4</w:t>
            </w:r>
            <w:r w:rsidRPr="00900E2E">
              <w:rPr>
                <w:rFonts w:ascii="Book Antiqua" w:hAnsi="Book Antiqua" w:hint="eastAsia"/>
                <w:color w:val="000000" w:themeColor="text1"/>
                <w:sz w:val="24"/>
                <w:szCs w:val="24"/>
              </w:rPr>
              <w:t>/mL)</w:t>
            </w:r>
          </w:p>
        </w:tc>
        <w:tc>
          <w:tcPr>
            <w:tcW w:w="981" w:type="dxa"/>
            <w:tcBorders>
              <w:top w:val="single" w:sz="4" w:space="0" w:color="auto"/>
              <w:bottom w:val="single" w:sz="4" w:space="0" w:color="auto"/>
            </w:tcBorders>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AKR1B1</w:t>
            </w:r>
            <w:r w:rsidRPr="00900E2E">
              <w:rPr>
                <w:rFonts w:ascii="Book Antiqua" w:hAnsi="Book Antiqua"/>
                <w:color w:val="000000" w:themeColor="text1"/>
                <w:sz w:val="24"/>
                <w:szCs w:val="24"/>
              </w:rPr>
              <w:t>0</w:t>
            </w:r>
          </w:p>
          <w:p w:rsidR="00206028" w:rsidRPr="00900E2E" w:rsidRDefault="00206028"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color w:val="000000" w:themeColor="text1"/>
                <w:sz w:val="24"/>
                <w:szCs w:val="24"/>
              </w:rPr>
              <w:t>(%)</w:t>
            </w:r>
          </w:p>
        </w:tc>
      </w:tr>
      <w:tr w:rsidR="00900E2E" w:rsidRPr="00900E2E" w:rsidTr="007E444B">
        <w:tc>
          <w:tcPr>
            <w:tcW w:w="284" w:type="dxa"/>
            <w:tcBorders>
              <w:top w:val="single" w:sz="4" w:space="0" w:color="auto"/>
            </w:tcBorders>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1</w:t>
            </w:r>
          </w:p>
        </w:tc>
        <w:tc>
          <w:tcPr>
            <w:tcW w:w="992" w:type="dxa"/>
            <w:tcBorders>
              <w:top w:val="single" w:sz="4" w:space="0" w:color="auto"/>
            </w:tcBorders>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62</w:t>
            </w:r>
          </w:p>
        </w:tc>
        <w:tc>
          <w:tcPr>
            <w:tcW w:w="709" w:type="dxa"/>
            <w:tcBorders>
              <w:top w:val="single" w:sz="4" w:space="0" w:color="auto"/>
            </w:tcBorders>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F</w:t>
            </w:r>
          </w:p>
        </w:tc>
        <w:tc>
          <w:tcPr>
            <w:tcW w:w="1134" w:type="dxa"/>
            <w:tcBorders>
              <w:top w:val="single" w:sz="4" w:space="0" w:color="auto"/>
            </w:tcBorders>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1.0</w:t>
            </w:r>
          </w:p>
        </w:tc>
        <w:tc>
          <w:tcPr>
            <w:tcW w:w="283" w:type="dxa"/>
            <w:tcBorders>
              <w:top w:val="single" w:sz="4" w:space="0" w:color="auto"/>
            </w:tcBorders>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2</w:t>
            </w:r>
          </w:p>
        </w:tc>
        <w:tc>
          <w:tcPr>
            <w:tcW w:w="284" w:type="dxa"/>
            <w:tcBorders>
              <w:top w:val="single" w:sz="4" w:space="0" w:color="auto"/>
            </w:tcBorders>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2</w:t>
            </w:r>
          </w:p>
        </w:tc>
        <w:tc>
          <w:tcPr>
            <w:tcW w:w="1276" w:type="dxa"/>
            <w:tcBorders>
              <w:top w:val="single" w:sz="4" w:space="0" w:color="auto"/>
            </w:tcBorders>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4</w:t>
            </w:r>
          </w:p>
        </w:tc>
        <w:tc>
          <w:tcPr>
            <w:tcW w:w="992" w:type="dxa"/>
            <w:tcBorders>
              <w:top w:val="single" w:sz="4" w:space="0" w:color="auto"/>
            </w:tcBorders>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199</w:t>
            </w:r>
          </w:p>
        </w:tc>
        <w:tc>
          <w:tcPr>
            <w:tcW w:w="1559" w:type="dxa"/>
            <w:tcBorders>
              <w:top w:val="single" w:sz="4" w:space="0" w:color="auto"/>
            </w:tcBorders>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10.3</w:t>
            </w:r>
          </w:p>
        </w:tc>
        <w:tc>
          <w:tcPr>
            <w:tcW w:w="981" w:type="dxa"/>
            <w:tcBorders>
              <w:top w:val="single" w:sz="4" w:space="0" w:color="auto"/>
            </w:tcBorders>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60</w:t>
            </w:r>
          </w:p>
        </w:tc>
      </w:tr>
      <w:tr w:rsidR="00900E2E" w:rsidRPr="00900E2E" w:rsidTr="007E444B">
        <w:tc>
          <w:tcPr>
            <w:tcW w:w="284" w:type="dxa"/>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2</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69</w:t>
            </w:r>
          </w:p>
        </w:tc>
        <w:tc>
          <w:tcPr>
            <w:tcW w:w="70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F</w:t>
            </w:r>
          </w:p>
        </w:tc>
        <w:tc>
          <w:tcPr>
            <w:tcW w:w="113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1.8</w:t>
            </w:r>
          </w:p>
        </w:tc>
        <w:tc>
          <w:tcPr>
            <w:tcW w:w="283"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3</w:t>
            </w:r>
          </w:p>
        </w:tc>
        <w:tc>
          <w:tcPr>
            <w:tcW w:w="28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2</w:t>
            </w:r>
          </w:p>
        </w:tc>
        <w:tc>
          <w:tcPr>
            <w:tcW w:w="1276"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3.3</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60</w:t>
            </w:r>
          </w:p>
        </w:tc>
        <w:tc>
          <w:tcPr>
            <w:tcW w:w="155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9.9</w:t>
            </w:r>
          </w:p>
        </w:tc>
        <w:tc>
          <w:tcPr>
            <w:tcW w:w="981"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7</w:t>
            </w:r>
          </w:p>
        </w:tc>
      </w:tr>
      <w:tr w:rsidR="00900E2E" w:rsidRPr="00900E2E" w:rsidTr="007E444B">
        <w:tc>
          <w:tcPr>
            <w:tcW w:w="284" w:type="dxa"/>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3</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61</w:t>
            </w:r>
          </w:p>
        </w:tc>
        <w:tc>
          <w:tcPr>
            <w:tcW w:w="70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M</w:t>
            </w:r>
          </w:p>
        </w:tc>
        <w:tc>
          <w:tcPr>
            <w:tcW w:w="113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2.8</w:t>
            </w:r>
          </w:p>
        </w:tc>
        <w:tc>
          <w:tcPr>
            <w:tcW w:w="283"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2</w:t>
            </w:r>
          </w:p>
        </w:tc>
        <w:tc>
          <w:tcPr>
            <w:tcW w:w="28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2</w:t>
            </w:r>
          </w:p>
        </w:tc>
        <w:tc>
          <w:tcPr>
            <w:tcW w:w="1276"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4.4</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135</w:t>
            </w:r>
          </w:p>
        </w:tc>
        <w:tc>
          <w:tcPr>
            <w:tcW w:w="155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10.3</w:t>
            </w:r>
          </w:p>
        </w:tc>
        <w:tc>
          <w:tcPr>
            <w:tcW w:w="981"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13</w:t>
            </w:r>
          </w:p>
        </w:tc>
      </w:tr>
      <w:tr w:rsidR="00900E2E" w:rsidRPr="00900E2E" w:rsidTr="007E444B">
        <w:tc>
          <w:tcPr>
            <w:tcW w:w="284" w:type="dxa"/>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4</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65</w:t>
            </w:r>
          </w:p>
        </w:tc>
        <w:tc>
          <w:tcPr>
            <w:tcW w:w="70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M</w:t>
            </w:r>
          </w:p>
        </w:tc>
        <w:tc>
          <w:tcPr>
            <w:tcW w:w="113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3.8</w:t>
            </w:r>
          </w:p>
        </w:tc>
        <w:tc>
          <w:tcPr>
            <w:tcW w:w="283"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4</w:t>
            </w:r>
          </w:p>
        </w:tc>
        <w:tc>
          <w:tcPr>
            <w:tcW w:w="28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3</w:t>
            </w:r>
          </w:p>
        </w:tc>
        <w:tc>
          <w:tcPr>
            <w:tcW w:w="1276"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3.4</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88</w:t>
            </w:r>
          </w:p>
        </w:tc>
        <w:tc>
          <w:tcPr>
            <w:tcW w:w="155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9</w:t>
            </w:r>
          </w:p>
        </w:tc>
        <w:tc>
          <w:tcPr>
            <w:tcW w:w="981"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52</w:t>
            </w:r>
          </w:p>
        </w:tc>
      </w:tr>
      <w:tr w:rsidR="00900E2E" w:rsidRPr="00900E2E" w:rsidTr="007E444B">
        <w:tc>
          <w:tcPr>
            <w:tcW w:w="284" w:type="dxa"/>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5</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49</w:t>
            </w:r>
          </w:p>
        </w:tc>
        <w:tc>
          <w:tcPr>
            <w:tcW w:w="70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M</w:t>
            </w:r>
          </w:p>
        </w:tc>
        <w:tc>
          <w:tcPr>
            <w:tcW w:w="113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4.3</w:t>
            </w:r>
          </w:p>
        </w:tc>
        <w:tc>
          <w:tcPr>
            <w:tcW w:w="283"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3</w:t>
            </w:r>
          </w:p>
        </w:tc>
        <w:tc>
          <w:tcPr>
            <w:tcW w:w="28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2</w:t>
            </w:r>
          </w:p>
        </w:tc>
        <w:tc>
          <w:tcPr>
            <w:tcW w:w="1276"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3.8</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209</w:t>
            </w:r>
          </w:p>
        </w:tc>
        <w:tc>
          <w:tcPr>
            <w:tcW w:w="155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7.9</w:t>
            </w:r>
          </w:p>
        </w:tc>
        <w:tc>
          <w:tcPr>
            <w:tcW w:w="981"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38</w:t>
            </w:r>
          </w:p>
        </w:tc>
      </w:tr>
      <w:tr w:rsidR="00900E2E" w:rsidRPr="00900E2E" w:rsidTr="007E444B">
        <w:tc>
          <w:tcPr>
            <w:tcW w:w="284" w:type="dxa"/>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6</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56</w:t>
            </w:r>
          </w:p>
        </w:tc>
        <w:tc>
          <w:tcPr>
            <w:tcW w:w="70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M</w:t>
            </w:r>
          </w:p>
        </w:tc>
        <w:tc>
          <w:tcPr>
            <w:tcW w:w="113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4.9</w:t>
            </w:r>
          </w:p>
        </w:tc>
        <w:tc>
          <w:tcPr>
            <w:tcW w:w="283"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3</w:t>
            </w:r>
          </w:p>
        </w:tc>
        <w:tc>
          <w:tcPr>
            <w:tcW w:w="28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2</w:t>
            </w:r>
          </w:p>
        </w:tc>
        <w:tc>
          <w:tcPr>
            <w:tcW w:w="1276"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4.2</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156</w:t>
            </w:r>
          </w:p>
        </w:tc>
        <w:tc>
          <w:tcPr>
            <w:tcW w:w="155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19.3</w:t>
            </w:r>
          </w:p>
        </w:tc>
        <w:tc>
          <w:tcPr>
            <w:tcW w:w="981"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9</w:t>
            </w:r>
          </w:p>
        </w:tc>
      </w:tr>
      <w:tr w:rsidR="00900E2E" w:rsidRPr="00900E2E" w:rsidTr="007E444B">
        <w:tc>
          <w:tcPr>
            <w:tcW w:w="284" w:type="dxa"/>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7</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57</w:t>
            </w:r>
          </w:p>
        </w:tc>
        <w:tc>
          <w:tcPr>
            <w:tcW w:w="70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M</w:t>
            </w:r>
          </w:p>
        </w:tc>
        <w:tc>
          <w:tcPr>
            <w:tcW w:w="113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5.8</w:t>
            </w:r>
          </w:p>
        </w:tc>
        <w:tc>
          <w:tcPr>
            <w:tcW w:w="283"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3</w:t>
            </w:r>
          </w:p>
        </w:tc>
        <w:tc>
          <w:tcPr>
            <w:tcW w:w="28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2</w:t>
            </w:r>
          </w:p>
        </w:tc>
        <w:tc>
          <w:tcPr>
            <w:tcW w:w="1276"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4.2</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157</w:t>
            </w:r>
          </w:p>
        </w:tc>
        <w:tc>
          <w:tcPr>
            <w:tcW w:w="155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14.7</w:t>
            </w:r>
          </w:p>
        </w:tc>
        <w:tc>
          <w:tcPr>
            <w:tcW w:w="981"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16</w:t>
            </w:r>
          </w:p>
        </w:tc>
      </w:tr>
      <w:tr w:rsidR="00900E2E" w:rsidRPr="00900E2E" w:rsidTr="007E444B">
        <w:tc>
          <w:tcPr>
            <w:tcW w:w="284" w:type="dxa"/>
            <w:vAlign w:val="center"/>
          </w:tcPr>
          <w:p w:rsidR="00744A6C" w:rsidRPr="00900E2E" w:rsidRDefault="00744A6C" w:rsidP="00C805C6">
            <w:pPr>
              <w:adjustRightInd w:val="0"/>
              <w:snapToGrid w:val="0"/>
              <w:spacing w:line="360" w:lineRule="auto"/>
              <w:jc w:val="center"/>
              <w:rPr>
                <w:rFonts w:ascii="Book Antiqua" w:hAnsi="Book Antiqua"/>
                <w:color w:val="000000" w:themeColor="text1"/>
                <w:sz w:val="24"/>
                <w:szCs w:val="24"/>
              </w:rPr>
            </w:pPr>
            <w:r w:rsidRPr="00900E2E">
              <w:rPr>
                <w:rFonts w:ascii="Book Antiqua" w:hAnsi="Book Antiqua" w:hint="eastAsia"/>
                <w:color w:val="000000" w:themeColor="text1"/>
                <w:sz w:val="24"/>
                <w:szCs w:val="24"/>
              </w:rPr>
              <w:t>8</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71</w:t>
            </w:r>
          </w:p>
        </w:tc>
        <w:tc>
          <w:tcPr>
            <w:tcW w:w="70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M</w:t>
            </w:r>
          </w:p>
        </w:tc>
        <w:tc>
          <w:tcPr>
            <w:tcW w:w="113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9.0</w:t>
            </w:r>
          </w:p>
        </w:tc>
        <w:tc>
          <w:tcPr>
            <w:tcW w:w="283"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3</w:t>
            </w:r>
          </w:p>
        </w:tc>
        <w:tc>
          <w:tcPr>
            <w:tcW w:w="284"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2</w:t>
            </w:r>
          </w:p>
        </w:tc>
        <w:tc>
          <w:tcPr>
            <w:tcW w:w="1276"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3.7</w:t>
            </w:r>
          </w:p>
        </w:tc>
        <w:tc>
          <w:tcPr>
            <w:tcW w:w="992"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31</w:t>
            </w:r>
          </w:p>
        </w:tc>
        <w:tc>
          <w:tcPr>
            <w:tcW w:w="1559"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17.9</w:t>
            </w:r>
          </w:p>
        </w:tc>
        <w:tc>
          <w:tcPr>
            <w:tcW w:w="981" w:type="dxa"/>
            <w:vAlign w:val="center"/>
          </w:tcPr>
          <w:p w:rsidR="00744A6C" w:rsidRPr="00900E2E" w:rsidRDefault="00744A6C" w:rsidP="00C805C6">
            <w:pPr>
              <w:adjustRightInd w:val="0"/>
              <w:snapToGrid w:val="0"/>
              <w:spacing w:line="360" w:lineRule="auto"/>
              <w:jc w:val="center"/>
              <w:rPr>
                <w:color w:val="000000" w:themeColor="text1"/>
              </w:rPr>
            </w:pPr>
            <w:r w:rsidRPr="00900E2E">
              <w:rPr>
                <w:color w:val="000000" w:themeColor="text1"/>
              </w:rPr>
              <w:t>0</w:t>
            </w:r>
          </w:p>
        </w:tc>
      </w:tr>
    </w:tbl>
    <w:p w:rsidR="001B020D" w:rsidRPr="00900E2E" w:rsidRDefault="001B020D" w:rsidP="00C805C6">
      <w:pPr>
        <w:adjustRightInd w:val="0"/>
        <w:snapToGrid w:val="0"/>
        <w:spacing w:line="360" w:lineRule="auto"/>
        <w:rPr>
          <w:rFonts w:ascii="Book Antiqua" w:hAnsi="Book Antiqua"/>
          <w:color w:val="000000" w:themeColor="text1"/>
          <w:sz w:val="24"/>
          <w:szCs w:val="24"/>
        </w:rPr>
      </w:pPr>
      <w:r w:rsidRPr="00900E2E">
        <w:rPr>
          <w:rFonts w:ascii="Book Antiqua" w:hAnsi="Book Antiqua"/>
          <w:color w:val="000000" w:themeColor="text1"/>
          <w:sz w:val="24"/>
          <w:szCs w:val="24"/>
        </w:rPr>
        <w:t>AKR1B10</w:t>
      </w:r>
      <w:r w:rsidR="00900E2E" w:rsidRPr="00900E2E">
        <w:rPr>
          <w:rFonts w:ascii="Book Antiqua" w:eastAsia="宋体" w:hAnsi="Book Antiqua" w:hint="eastAsia"/>
          <w:color w:val="000000" w:themeColor="text1"/>
          <w:sz w:val="24"/>
          <w:szCs w:val="24"/>
          <w:lang w:eastAsia="zh-CN"/>
        </w:rPr>
        <w:t>:</w:t>
      </w:r>
      <w:r w:rsidRPr="00900E2E">
        <w:rPr>
          <w:rFonts w:ascii="Book Antiqua" w:hAnsi="Book Antiqua"/>
          <w:color w:val="000000" w:themeColor="text1"/>
          <w:sz w:val="24"/>
          <w:szCs w:val="24"/>
        </w:rPr>
        <w:t xml:space="preserve"> </w:t>
      </w:r>
      <w:r w:rsidRPr="00900E2E">
        <w:rPr>
          <w:rFonts w:ascii="Book Antiqua" w:hAnsi="Book Antiqua"/>
          <w:caps/>
          <w:color w:val="000000" w:themeColor="text1"/>
          <w:sz w:val="24"/>
          <w:szCs w:val="24"/>
        </w:rPr>
        <w:t>a</w:t>
      </w:r>
      <w:r w:rsidRPr="00900E2E">
        <w:rPr>
          <w:rFonts w:ascii="Book Antiqua" w:hAnsi="Book Antiqua"/>
          <w:color w:val="000000" w:themeColor="text1"/>
          <w:sz w:val="24"/>
          <w:szCs w:val="24"/>
        </w:rPr>
        <w:t>ldo-keto reductase family1 member B10; ALT</w:t>
      </w:r>
      <w:r w:rsidR="00900E2E" w:rsidRPr="00900E2E">
        <w:rPr>
          <w:rFonts w:ascii="Book Antiqua" w:eastAsia="宋体" w:hAnsi="Book Antiqua" w:hint="eastAsia"/>
          <w:color w:val="000000" w:themeColor="text1"/>
          <w:sz w:val="24"/>
          <w:szCs w:val="24"/>
          <w:lang w:eastAsia="zh-CN"/>
        </w:rPr>
        <w:t>:</w:t>
      </w:r>
      <w:r w:rsidRPr="00900E2E">
        <w:rPr>
          <w:rFonts w:ascii="Book Antiqua" w:hAnsi="Book Antiqua"/>
          <w:color w:val="000000" w:themeColor="text1"/>
          <w:sz w:val="24"/>
          <w:szCs w:val="24"/>
        </w:rPr>
        <w:t xml:space="preserve"> </w:t>
      </w:r>
      <w:r w:rsidR="00900E2E" w:rsidRPr="00900E2E">
        <w:rPr>
          <w:rFonts w:ascii="Book Antiqua" w:hAnsi="Book Antiqua"/>
          <w:color w:val="000000" w:themeColor="text1"/>
          <w:sz w:val="24"/>
          <w:szCs w:val="24"/>
        </w:rPr>
        <w:t xml:space="preserve">Alanine </w:t>
      </w:r>
      <w:r w:rsidRPr="00900E2E">
        <w:rPr>
          <w:rFonts w:ascii="Book Antiqua" w:hAnsi="Book Antiqua"/>
          <w:color w:val="000000" w:themeColor="text1"/>
          <w:sz w:val="24"/>
          <w:szCs w:val="24"/>
        </w:rPr>
        <w:t>aminotransferase; HCC</w:t>
      </w:r>
      <w:r w:rsidR="00900E2E" w:rsidRPr="00900E2E">
        <w:rPr>
          <w:rFonts w:ascii="Book Antiqua" w:eastAsia="宋体" w:hAnsi="Book Antiqua" w:hint="eastAsia"/>
          <w:color w:val="000000" w:themeColor="text1"/>
          <w:sz w:val="24"/>
          <w:szCs w:val="24"/>
          <w:lang w:eastAsia="zh-CN"/>
        </w:rPr>
        <w:t>:</w:t>
      </w:r>
      <w:r w:rsidRPr="00900E2E">
        <w:rPr>
          <w:rFonts w:ascii="Book Antiqua" w:hAnsi="Book Antiqua"/>
          <w:color w:val="000000" w:themeColor="text1"/>
          <w:sz w:val="24"/>
          <w:szCs w:val="24"/>
        </w:rPr>
        <w:t xml:space="preserve"> </w:t>
      </w:r>
      <w:r w:rsidR="00900E2E" w:rsidRPr="00900E2E">
        <w:rPr>
          <w:rFonts w:ascii="Book Antiqua" w:hAnsi="Book Antiqua"/>
          <w:color w:val="000000" w:themeColor="text1"/>
          <w:sz w:val="24"/>
          <w:szCs w:val="24"/>
        </w:rPr>
        <w:t xml:space="preserve">Hepatocellular </w:t>
      </w:r>
      <w:r w:rsidRPr="00900E2E">
        <w:rPr>
          <w:rFonts w:ascii="Book Antiqua" w:hAnsi="Book Antiqua"/>
          <w:color w:val="000000" w:themeColor="text1"/>
          <w:sz w:val="24"/>
          <w:szCs w:val="24"/>
        </w:rPr>
        <w:t>carcinoma.</w:t>
      </w:r>
    </w:p>
    <w:p w:rsidR="004A48B3" w:rsidRPr="00900E2E" w:rsidRDefault="004A48B3" w:rsidP="00C805C6">
      <w:pPr>
        <w:adjustRightInd w:val="0"/>
        <w:snapToGrid w:val="0"/>
        <w:spacing w:line="360" w:lineRule="auto"/>
        <w:rPr>
          <w:rFonts w:ascii="Book Antiqua" w:hAnsi="Book Antiqua"/>
          <w:color w:val="000000" w:themeColor="text1"/>
          <w:sz w:val="24"/>
          <w:szCs w:val="24"/>
        </w:rPr>
      </w:pPr>
    </w:p>
    <w:sectPr w:rsidR="004A48B3" w:rsidRPr="00900E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7D" w:rsidRDefault="0010467D" w:rsidP="00824ABA">
      <w:r>
        <w:separator/>
      </w:r>
    </w:p>
  </w:endnote>
  <w:endnote w:type="continuationSeparator" w:id="0">
    <w:p w:rsidR="0010467D" w:rsidRDefault="0010467D" w:rsidP="0082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7D" w:rsidRDefault="0010467D" w:rsidP="00824ABA">
      <w:r>
        <w:separator/>
      </w:r>
    </w:p>
  </w:footnote>
  <w:footnote w:type="continuationSeparator" w:id="0">
    <w:p w:rsidR="0010467D" w:rsidRDefault="0010467D" w:rsidP="00824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5463"/>
    <w:multiLevelType w:val="hybridMultilevel"/>
    <w:tmpl w:val="62C0C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55"/>
    <w:rsid w:val="00023FC7"/>
    <w:rsid w:val="0007052A"/>
    <w:rsid w:val="00092DCD"/>
    <w:rsid w:val="000C0D22"/>
    <w:rsid w:val="000F4589"/>
    <w:rsid w:val="00103794"/>
    <w:rsid w:val="0010467D"/>
    <w:rsid w:val="001212C4"/>
    <w:rsid w:val="001356AD"/>
    <w:rsid w:val="00195F87"/>
    <w:rsid w:val="001974B9"/>
    <w:rsid w:val="001B020D"/>
    <w:rsid w:val="001B7051"/>
    <w:rsid w:val="001C0517"/>
    <w:rsid w:val="001C3B75"/>
    <w:rsid w:val="00206028"/>
    <w:rsid w:val="0028608A"/>
    <w:rsid w:val="002A6DA9"/>
    <w:rsid w:val="002E108E"/>
    <w:rsid w:val="003D6F02"/>
    <w:rsid w:val="00404C55"/>
    <w:rsid w:val="004173EC"/>
    <w:rsid w:val="004222D3"/>
    <w:rsid w:val="004430BA"/>
    <w:rsid w:val="004A48B3"/>
    <w:rsid w:val="004D20C7"/>
    <w:rsid w:val="004F2F53"/>
    <w:rsid w:val="004F3DCB"/>
    <w:rsid w:val="005048B6"/>
    <w:rsid w:val="0050611D"/>
    <w:rsid w:val="005065E0"/>
    <w:rsid w:val="00531A3E"/>
    <w:rsid w:val="00582238"/>
    <w:rsid w:val="00583E60"/>
    <w:rsid w:val="00594215"/>
    <w:rsid w:val="005B4A38"/>
    <w:rsid w:val="005B5C11"/>
    <w:rsid w:val="005C456E"/>
    <w:rsid w:val="005C5AFF"/>
    <w:rsid w:val="006403B4"/>
    <w:rsid w:val="00646D8A"/>
    <w:rsid w:val="00663F57"/>
    <w:rsid w:val="006854CA"/>
    <w:rsid w:val="006F7078"/>
    <w:rsid w:val="00744A6C"/>
    <w:rsid w:val="0076343C"/>
    <w:rsid w:val="00782BB4"/>
    <w:rsid w:val="00797576"/>
    <w:rsid w:val="007E1B74"/>
    <w:rsid w:val="007E444B"/>
    <w:rsid w:val="00800BEB"/>
    <w:rsid w:val="00805E75"/>
    <w:rsid w:val="00824ABA"/>
    <w:rsid w:val="0086743F"/>
    <w:rsid w:val="008B1EBB"/>
    <w:rsid w:val="008E40A5"/>
    <w:rsid w:val="008F1EB5"/>
    <w:rsid w:val="00900E2E"/>
    <w:rsid w:val="00915047"/>
    <w:rsid w:val="00952DB7"/>
    <w:rsid w:val="00955EDC"/>
    <w:rsid w:val="00965D57"/>
    <w:rsid w:val="009B5990"/>
    <w:rsid w:val="009C58F4"/>
    <w:rsid w:val="009E6C0E"/>
    <w:rsid w:val="00A55F05"/>
    <w:rsid w:val="00A752A5"/>
    <w:rsid w:val="00AD0443"/>
    <w:rsid w:val="00B068E2"/>
    <w:rsid w:val="00B7398C"/>
    <w:rsid w:val="00B75BD6"/>
    <w:rsid w:val="00BB402B"/>
    <w:rsid w:val="00C27D48"/>
    <w:rsid w:val="00C62CC8"/>
    <w:rsid w:val="00C8055C"/>
    <w:rsid w:val="00C805C6"/>
    <w:rsid w:val="00C8397D"/>
    <w:rsid w:val="00D21F2F"/>
    <w:rsid w:val="00D53FB5"/>
    <w:rsid w:val="00D55B2B"/>
    <w:rsid w:val="00DC706C"/>
    <w:rsid w:val="00DD500F"/>
    <w:rsid w:val="00DE2C81"/>
    <w:rsid w:val="00DF4C0A"/>
    <w:rsid w:val="00E637E4"/>
    <w:rsid w:val="00E66387"/>
    <w:rsid w:val="00EF1C5C"/>
    <w:rsid w:val="00F227FE"/>
    <w:rsid w:val="00F7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8055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C51"/>
    <w:pPr>
      <w:ind w:leftChars="400" w:left="840"/>
    </w:pPr>
  </w:style>
  <w:style w:type="table" w:styleId="a4">
    <w:name w:val="Table Grid"/>
    <w:basedOn w:val="a1"/>
    <w:uiPriority w:val="39"/>
    <w:rsid w:val="004A4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24ABA"/>
    <w:pPr>
      <w:tabs>
        <w:tab w:val="center" w:pos="4252"/>
        <w:tab w:val="right" w:pos="8504"/>
      </w:tabs>
      <w:snapToGrid w:val="0"/>
    </w:pPr>
  </w:style>
  <w:style w:type="character" w:customStyle="1" w:styleId="Char">
    <w:name w:val="页眉 Char"/>
    <w:basedOn w:val="a0"/>
    <w:link w:val="a5"/>
    <w:uiPriority w:val="99"/>
    <w:rsid w:val="00824ABA"/>
  </w:style>
  <w:style w:type="paragraph" w:styleId="a6">
    <w:name w:val="footer"/>
    <w:basedOn w:val="a"/>
    <w:link w:val="Char0"/>
    <w:uiPriority w:val="99"/>
    <w:unhideWhenUsed/>
    <w:rsid w:val="00824ABA"/>
    <w:pPr>
      <w:tabs>
        <w:tab w:val="center" w:pos="4252"/>
        <w:tab w:val="right" w:pos="8504"/>
      </w:tabs>
      <w:snapToGrid w:val="0"/>
    </w:pPr>
  </w:style>
  <w:style w:type="character" w:customStyle="1" w:styleId="Char0">
    <w:name w:val="页脚 Char"/>
    <w:basedOn w:val="a0"/>
    <w:link w:val="a6"/>
    <w:uiPriority w:val="99"/>
    <w:rsid w:val="00824ABA"/>
  </w:style>
  <w:style w:type="character" w:customStyle="1" w:styleId="1Char">
    <w:name w:val="标题 1 Char"/>
    <w:basedOn w:val="a0"/>
    <w:link w:val="1"/>
    <w:uiPriority w:val="9"/>
    <w:rsid w:val="00C8055C"/>
    <w:rPr>
      <w:rFonts w:asciiTheme="majorHAnsi" w:eastAsiaTheme="majorEastAsia" w:hAnsiTheme="majorHAnsi" w:cstheme="majorBidi"/>
      <w:sz w:val="24"/>
      <w:szCs w:val="24"/>
    </w:rPr>
  </w:style>
  <w:style w:type="character" w:styleId="a7">
    <w:name w:val="Hyperlink"/>
    <w:basedOn w:val="a0"/>
    <w:uiPriority w:val="99"/>
    <w:unhideWhenUsed/>
    <w:rsid w:val="00C8055C"/>
    <w:rPr>
      <w:color w:val="0563C1" w:themeColor="hyperlink"/>
      <w:u w:val="single"/>
    </w:rPr>
  </w:style>
  <w:style w:type="character" w:styleId="a8">
    <w:name w:val="annotation reference"/>
    <w:uiPriority w:val="99"/>
    <w:rsid w:val="009C58F4"/>
    <w:rPr>
      <w:sz w:val="21"/>
      <w:szCs w:val="21"/>
    </w:rPr>
  </w:style>
  <w:style w:type="paragraph" w:styleId="a9">
    <w:name w:val="annotation text"/>
    <w:basedOn w:val="a"/>
    <w:link w:val="Char1"/>
    <w:uiPriority w:val="99"/>
    <w:rsid w:val="009C58F4"/>
    <w:pPr>
      <w:jc w:val="left"/>
    </w:pPr>
    <w:rPr>
      <w:rFonts w:ascii="Times New Roman" w:eastAsia="宋体" w:hAnsi="Times New Roman" w:cs="Times New Roman"/>
      <w:szCs w:val="24"/>
      <w:lang w:eastAsia="zh-CN"/>
    </w:rPr>
  </w:style>
  <w:style w:type="character" w:customStyle="1" w:styleId="Char1">
    <w:name w:val="批注文字 Char"/>
    <w:basedOn w:val="a0"/>
    <w:link w:val="a9"/>
    <w:uiPriority w:val="99"/>
    <w:rsid w:val="009C58F4"/>
    <w:rPr>
      <w:rFonts w:ascii="Times New Roman" w:eastAsia="宋体" w:hAnsi="Times New Roman" w:cs="Times New Roman"/>
      <w:szCs w:val="24"/>
      <w:lang w:eastAsia="zh-CN"/>
    </w:rPr>
  </w:style>
  <w:style w:type="paragraph" w:styleId="aa">
    <w:name w:val="Balloon Text"/>
    <w:basedOn w:val="a"/>
    <w:link w:val="Char2"/>
    <w:uiPriority w:val="99"/>
    <w:semiHidden/>
    <w:unhideWhenUsed/>
    <w:rsid w:val="009C58F4"/>
    <w:rPr>
      <w:sz w:val="18"/>
      <w:szCs w:val="18"/>
    </w:rPr>
  </w:style>
  <w:style w:type="character" w:customStyle="1" w:styleId="Char2">
    <w:name w:val="批注框文本 Char"/>
    <w:basedOn w:val="a0"/>
    <w:link w:val="aa"/>
    <w:uiPriority w:val="99"/>
    <w:semiHidden/>
    <w:rsid w:val="009C58F4"/>
    <w:rPr>
      <w:sz w:val="18"/>
      <w:szCs w:val="18"/>
    </w:rPr>
  </w:style>
  <w:style w:type="paragraph" w:styleId="ab">
    <w:name w:val="Revision"/>
    <w:hidden/>
    <w:uiPriority w:val="99"/>
    <w:semiHidden/>
    <w:rsid w:val="00900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8055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C51"/>
    <w:pPr>
      <w:ind w:leftChars="400" w:left="840"/>
    </w:pPr>
  </w:style>
  <w:style w:type="table" w:styleId="a4">
    <w:name w:val="Table Grid"/>
    <w:basedOn w:val="a1"/>
    <w:uiPriority w:val="39"/>
    <w:rsid w:val="004A4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24ABA"/>
    <w:pPr>
      <w:tabs>
        <w:tab w:val="center" w:pos="4252"/>
        <w:tab w:val="right" w:pos="8504"/>
      </w:tabs>
      <w:snapToGrid w:val="0"/>
    </w:pPr>
  </w:style>
  <w:style w:type="character" w:customStyle="1" w:styleId="Char">
    <w:name w:val="页眉 Char"/>
    <w:basedOn w:val="a0"/>
    <w:link w:val="a5"/>
    <w:uiPriority w:val="99"/>
    <w:rsid w:val="00824ABA"/>
  </w:style>
  <w:style w:type="paragraph" w:styleId="a6">
    <w:name w:val="footer"/>
    <w:basedOn w:val="a"/>
    <w:link w:val="Char0"/>
    <w:uiPriority w:val="99"/>
    <w:unhideWhenUsed/>
    <w:rsid w:val="00824ABA"/>
    <w:pPr>
      <w:tabs>
        <w:tab w:val="center" w:pos="4252"/>
        <w:tab w:val="right" w:pos="8504"/>
      </w:tabs>
      <w:snapToGrid w:val="0"/>
    </w:pPr>
  </w:style>
  <w:style w:type="character" w:customStyle="1" w:styleId="Char0">
    <w:name w:val="页脚 Char"/>
    <w:basedOn w:val="a0"/>
    <w:link w:val="a6"/>
    <w:uiPriority w:val="99"/>
    <w:rsid w:val="00824ABA"/>
  </w:style>
  <w:style w:type="character" w:customStyle="1" w:styleId="1Char">
    <w:name w:val="标题 1 Char"/>
    <w:basedOn w:val="a0"/>
    <w:link w:val="1"/>
    <w:uiPriority w:val="9"/>
    <w:rsid w:val="00C8055C"/>
    <w:rPr>
      <w:rFonts w:asciiTheme="majorHAnsi" w:eastAsiaTheme="majorEastAsia" w:hAnsiTheme="majorHAnsi" w:cstheme="majorBidi"/>
      <w:sz w:val="24"/>
      <w:szCs w:val="24"/>
    </w:rPr>
  </w:style>
  <w:style w:type="character" w:styleId="a7">
    <w:name w:val="Hyperlink"/>
    <w:basedOn w:val="a0"/>
    <w:uiPriority w:val="99"/>
    <w:unhideWhenUsed/>
    <w:rsid w:val="00C8055C"/>
    <w:rPr>
      <w:color w:val="0563C1" w:themeColor="hyperlink"/>
      <w:u w:val="single"/>
    </w:rPr>
  </w:style>
  <w:style w:type="character" w:styleId="a8">
    <w:name w:val="annotation reference"/>
    <w:uiPriority w:val="99"/>
    <w:rsid w:val="009C58F4"/>
    <w:rPr>
      <w:sz w:val="21"/>
      <w:szCs w:val="21"/>
    </w:rPr>
  </w:style>
  <w:style w:type="paragraph" w:styleId="a9">
    <w:name w:val="annotation text"/>
    <w:basedOn w:val="a"/>
    <w:link w:val="Char1"/>
    <w:uiPriority w:val="99"/>
    <w:rsid w:val="009C58F4"/>
    <w:pPr>
      <w:jc w:val="left"/>
    </w:pPr>
    <w:rPr>
      <w:rFonts w:ascii="Times New Roman" w:eastAsia="宋体" w:hAnsi="Times New Roman" w:cs="Times New Roman"/>
      <w:szCs w:val="24"/>
      <w:lang w:eastAsia="zh-CN"/>
    </w:rPr>
  </w:style>
  <w:style w:type="character" w:customStyle="1" w:styleId="Char1">
    <w:name w:val="批注文字 Char"/>
    <w:basedOn w:val="a0"/>
    <w:link w:val="a9"/>
    <w:uiPriority w:val="99"/>
    <w:rsid w:val="009C58F4"/>
    <w:rPr>
      <w:rFonts w:ascii="Times New Roman" w:eastAsia="宋体" w:hAnsi="Times New Roman" w:cs="Times New Roman"/>
      <w:szCs w:val="24"/>
      <w:lang w:eastAsia="zh-CN"/>
    </w:rPr>
  </w:style>
  <w:style w:type="paragraph" w:styleId="aa">
    <w:name w:val="Balloon Text"/>
    <w:basedOn w:val="a"/>
    <w:link w:val="Char2"/>
    <w:uiPriority w:val="99"/>
    <w:semiHidden/>
    <w:unhideWhenUsed/>
    <w:rsid w:val="009C58F4"/>
    <w:rPr>
      <w:sz w:val="18"/>
      <w:szCs w:val="18"/>
    </w:rPr>
  </w:style>
  <w:style w:type="character" w:customStyle="1" w:styleId="Char2">
    <w:name w:val="批注框文本 Char"/>
    <w:basedOn w:val="a0"/>
    <w:link w:val="aa"/>
    <w:uiPriority w:val="99"/>
    <w:semiHidden/>
    <w:rsid w:val="009C58F4"/>
    <w:rPr>
      <w:sz w:val="18"/>
      <w:szCs w:val="18"/>
    </w:rPr>
  </w:style>
  <w:style w:type="paragraph" w:styleId="ab">
    <w:name w:val="Revision"/>
    <w:hidden/>
    <w:uiPriority w:val="99"/>
    <w:semiHidden/>
    <w:rsid w:val="0090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2934">
      <w:bodyDiv w:val="1"/>
      <w:marLeft w:val="0"/>
      <w:marRight w:val="0"/>
      <w:marTop w:val="0"/>
      <w:marBottom w:val="0"/>
      <w:divBdr>
        <w:top w:val="none" w:sz="0" w:space="0" w:color="auto"/>
        <w:left w:val="none" w:sz="0" w:space="0" w:color="auto"/>
        <w:bottom w:val="none" w:sz="0" w:space="0" w:color="auto"/>
        <w:right w:val="none" w:sz="0" w:space="0" w:color="auto"/>
      </w:divBdr>
    </w:div>
    <w:div w:id="1367222381">
      <w:bodyDiv w:val="1"/>
      <w:marLeft w:val="0"/>
      <w:marRight w:val="0"/>
      <w:marTop w:val="0"/>
      <w:marBottom w:val="0"/>
      <w:divBdr>
        <w:top w:val="none" w:sz="0" w:space="0" w:color="auto"/>
        <w:left w:val="none" w:sz="0" w:space="0" w:color="auto"/>
        <w:bottom w:val="none" w:sz="0" w:space="0" w:color="auto"/>
        <w:right w:val="none" w:sz="0" w:space="0" w:color="auto"/>
      </w:divBdr>
      <w:divsChild>
        <w:div w:id="187931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6596</Words>
  <Characters>37602</Characters>
  <Application>Microsoft Office Word</Application>
  <DocSecurity>0</DocSecurity>
  <Lines>313</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Takuya Genda</dc:creator>
  <cp:keywords/>
  <dc:description/>
  <cp:lastModifiedBy>Ma, Ya-Juan (BPG)</cp:lastModifiedBy>
  <cp:revision>3</cp:revision>
  <dcterms:created xsi:type="dcterms:W3CDTF">2016-07-31T21:58:00Z</dcterms:created>
  <dcterms:modified xsi:type="dcterms:W3CDTF">2016-08-01T05:29:00Z</dcterms:modified>
</cp:coreProperties>
</file>