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C81" w:rsidRPr="00A01B2C" w:rsidRDefault="008A2C81" w:rsidP="006D687B">
      <w:pPr>
        <w:pStyle w:val="1"/>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r w:rsidRPr="00A01B2C">
        <w:rPr>
          <w:rFonts w:ascii="Book Antiqua" w:hAnsi="Book Antiqua" w:cs="Times New Roman"/>
          <w:b/>
          <w:color w:val="auto"/>
          <w:sz w:val="24"/>
          <w:szCs w:val="24"/>
          <w:lang w:val="en-US" w:eastAsia="zh-CN"/>
        </w:rPr>
        <w:t xml:space="preserve">Name of </w:t>
      </w:r>
      <w:r w:rsidRPr="00A01B2C">
        <w:rPr>
          <w:rFonts w:ascii="Book Antiqua" w:hAnsi="Book Antiqua" w:cs="Times New Roman"/>
          <w:b/>
          <w:caps/>
          <w:color w:val="auto"/>
          <w:sz w:val="24"/>
          <w:szCs w:val="24"/>
          <w:lang w:val="en-US" w:eastAsia="zh-CN"/>
        </w:rPr>
        <w:t>j</w:t>
      </w:r>
      <w:r w:rsidRPr="00A01B2C">
        <w:rPr>
          <w:rFonts w:ascii="Book Antiqua" w:hAnsi="Book Antiqua" w:cs="Times New Roman"/>
          <w:b/>
          <w:color w:val="auto"/>
          <w:sz w:val="24"/>
          <w:szCs w:val="24"/>
          <w:lang w:val="en-US" w:eastAsia="zh-CN"/>
        </w:rPr>
        <w:t xml:space="preserve">ournal: </w:t>
      </w:r>
      <w:bookmarkStart w:id="4" w:name="OLE_LINK718"/>
      <w:bookmarkStart w:id="5" w:name="OLE_LINK719"/>
      <w:r w:rsidRPr="00A01B2C">
        <w:rPr>
          <w:rFonts w:ascii="Book Antiqua" w:hAnsi="Book Antiqua" w:cs="Times New Roman"/>
          <w:b/>
          <w:i/>
          <w:color w:val="auto"/>
          <w:sz w:val="24"/>
          <w:szCs w:val="24"/>
          <w:lang w:val="en-US" w:eastAsia="zh-CN"/>
        </w:rPr>
        <w:t>World Journal of Gastroenterology</w:t>
      </w:r>
      <w:bookmarkEnd w:id="4"/>
      <w:bookmarkEnd w:id="5"/>
    </w:p>
    <w:p w:rsidR="008A2C81" w:rsidRPr="00A01B2C" w:rsidRDefault="008A2C81" w:rsidP="006D687B">
      <w:pPr>
        <w:pStyle w:val="1"/>
        <w:snapToGrid w:val="0"/>
        <w:spacing w:line="360" w:lineRule="auto"/>
        <w:jc w:val="both"/>
        <w:rPr>
          <w:rFonts w:ascii="Book Antiqua" w:hAnsi="Book Antiqua" w:cs="Times New Roman"/>
          <w:b/>
          <w:i/>
          <w:color w:val="auto"/>
          <w:sz w:val="24"/>
          <w:szCs w:val="24"/>
          <w:lang w:val="en-US" w:eastAsia="zh-CN"/>
        </w:rPr>
      </w:pPr>
      <w:bookmarkStart w:id="6" w:name="OLE_LINK485"/>
      <w:bookmarkStart w:id="7" w:name="OLE_LINK486"/>
      <w:bookmarkStart w:id="8" w:name="OLE_LINK661"/>
      <w:bookmarkStart w:id="9" w:name="OLE_LINK768"/>
      <w:bookmarkStart w:id="10" w:name="OLE_LINK514"/>
      <w:bookmarkStart w:id="11" w:name="OLE_LINK515"/>
      <w:r w:rsidRPr="00A01B2C">
        <w:rPr>
          <w:rFonts w:ascii="Book Antiqua" w:hAnsi="Book Antiqua" w:cs="Times New Roman"/>
          <w:b/>
          <w:color w:val="auto"/>
          <w:sz w:val="24"/>
          <w:szCs w:val="24"/>
          <w:lang w:eastAsia="zh-CN"/>
        </w:rPr>
        <w:t>ESPS Manuscript NO:</w:t>
      </w:r>
      <w:bookmarkEnd w:id="6"/>
      <w:bookmarkEnd w:id="7"/>
      <w:bookmarkEnd w:id="8"/>
      <w:bookmarkEnd w:id="9"/>
      <w:r w:rsidRPr="00A01B2C">
        <w:rPr>
          <w:rFonts w:ascii="Book Antiqua" w:hAnsi="Book Antiqua" w:cs="Times New Roman"/>
          <w:b/>
          <w:color w:val="auto"/>
          <w:sz w:val="24"/>
          <w:szCs w:val="24"/>
          <w:lang w:eastAsia="zh-CN"/>
        </w:rPr>
        <w:t xml:space="preserve"> </w:t>
      </w:r>
      <w:r w:rsidR="001E23C7" w:rsidRPr="00A01B2C">
        <w:rPr>
          <w:rFonts w:ascii="Book Antiqua" w:hAnsi="Book Antiqua" w:cs="Times New Roman"/>
          <w:b/>
          <w:color w:val="auto"/>
          <w:sz w:val="24"/>
          <w:szCs w:val="24"/>
          <w:lang w:eastAsia="zh-CN"/>
        </w:rPr>
        <w:t>27599</w:t>
      </w:r>
    </w:p>
    <w:bookmarkEnd w:id="10"/>
    <w:bookmarkEnd w:id="11"/>
    <w:p w:rsidR="00512FAB" w:rsidRPr="00A01B2C" w:rsidRDefault="008A2C81" w:rsidP="006D687B">
      <w:pPr>
        <w:snapToGrid w:val="0"/>
        <w:spacing w:after="0" w:line="360" w:lineRule="auto"/>
        <w:jc w:val="both"/>
        <w:rPr>
          <w:rFonts w:ascii="Book Antiqua" w:eastAsia="SimSun" w:hAnsi="Book Antiqua"/>
          <w:b/>
          <w:sz w:val="24"/>
          <w:szCs w:val="24"/>
          <w:lang w:val="en-US" w:eastAsia="zh-CN"/>
        </w:rPr>
      </w:pPr>
      <w:r w:rsidRPr="00A01B2C">
        <w:rPr>
          <w:rFonts w:ascii="Book Antiqua" w:eastAsia="SimSun" w:hAnsi="Book Antiqua"/>
          <w:b/>
          <w:sz w:val="24"/>
          <w:szCs w:val="24"/>
          <w:lang w:val="en-US"/>
        </w:rPr>
        <w:t xml:space="preserve">Manuscript </w:t>
      </w:r>
      <w:r w:rsidRPr="00A01B2C">
        <w:rPr>
          <w:rFonts w:ascii="Book Antiqua" w:eastAsia="SimSun" w:hAnsi="Book Antiqua"/>
          <w:b/>
          <w:caps/>
          <w:sz w:val="24"/>
          <w:szCs w:val="24"/>
          <w:lang w:val="en-US"/>
        </w:rPr>
        <w:t>t</w:t>
      </w:r>
      <w:r w:rsidRPr="00A01B2C">
        <w:rPr>
          <w:rFonts w:ascii="Book Antiqua" w:eastAsia="SimSun" w:hAnsi="Book Antiqua"/>
          <w:b/>
          <w:sz w:val="24"/>
          <w:szCs w:val="24"/>
          <w:lang w:val="en-US"/>
        </w:rPr>
        <w:t>ype:</w:t>
      </w:r>
      <w:bookmarkEnd w:id="0"/>
      <w:bookmarkEnd w:id="1"/>
      <w:bookmarkEnd w:id="2"/>
      <w:bookmarkEnd w:id="3"/>
      <w:r w:rsidR="001E23C7" w:rsidRPr="00A01B2C">
        <w:rPr>
          <w:rFonts w:ascii="Book Antiqua" w:eastAsia="SimSun" w:hAnsi="Book Antiqua"/>
          <w:b/>
          <w:sz w:val="24"/>
          <w:szCs w:val="24"/>
          <w:lang w:val="en-US"/>
        </w:rPr>
        <w:t xml:space="preserve"> </w:t>
      </w:r>
      <w:r w:rsidR="00512FAB" w:rsidRPr="00A01B2C">
        <w:rPr>
          <w:rFonts w:ascii="Book Antiqua" w:eastAsia="SimSun" w:hAnsi="Book Antiqua"/>
          <w:b/>
          <w:sz w:val="24"/>
          <w:szCs w:val="24"/>
          <w:lang w:val="en-US"/>
        </w:rPr>
        <w:t>ORIGINAL ARTICLE</w:t>
      </w:r>
    </w:p>
    <w:p w:rsidR="00512FAB" w:rsidRPr="00A01B2C" w:rsidRDefault="00512FAB" w:rsidP="006D687B">
      <w:pPr>
        <w:snapToGrid w:val="0"/>
        <w:spacing w:after="0" w:line="360" w:lineRule="auto"/>
        <w:jc w:val="both"/>
        <w:rPr>
          <w:rFonts w:ascii="Book Antiqua" w:hAnsi="Book Antiqua" w:cs="Book Antiqua"/>
          <w:i/>
          <w:iCs/>
          <w:sz w:val="24"/>
          <w:szCs w:val="24"/>
          <w:lang w:val="en-US" w:eastAsia="zh-CN"/>
        </w:rPr>
      </w:pPr>
    </w:p>
    <w:p w:rsidR="00512FAB" w:rsidRPr="00A01B2C" w:rsidRDefault="001E23C7" w:rsidP="006D687B">
      <w:pPr>
        <w:snapToGrid w:val="0"/>
        <w:spacing w:after="0" w:line="360" w:lineRule="auto"/>
        <w:jc w:val="both"/>
        <w:rPr>
          <w:rFonts w:ascii="Book Antiqua" w:hAnsi="Book Antiqua" w:cs="Tahoma"/>
          <w:b/>
          <w:bCs/>
          <w:sz w:val="24"/>
          <w:szCs w:val="24"/>
          <w:lang w:val="en-US" w:eastAsia="zh-CN"/>
        </w:rPr>
      </w:pPr>
      <w:r w:rsidRPr="00A01B2C">
        <w:rPr>
          <w:rFonts w:ascii="Book Antiqua" w:hAnsi="Book Antiqua" w:cs="Book Antiqua"/>
          <w:b/>
          <w:i/>
          <w:iCs/>
          <w:sz w:val="24"/>
          <w:szCs w:val="24"/>
          <w:lang w:val="en-US"/>
        </w:rPr>
        <w:t>Prospective Study</w:t>
      </w:r>
    </w:p>
    <w:p w:rsidR="00E62C1B" w:rsidRPr="00A01B2C" w:rsidRDefault="00B960BC" w:rsidP="006D687B">
      <w:pPr>
        <w:snapToGrid w:val="0"/>
        <w:spacing w:after="0" w:line="360" w:lineRule="auto"/>
        <w:jc w:val="both"/>
        <w:rPr>
          <w:rFonts w:ascii="Book Antiqua" w:hAnsi="Book Antiqua" w:cs="Tahoma"/>
          <w:b/>
          <w:sz w:val="24"/>
          <w:szCs w:val="24"/>
          <w:lang w:val="en-US" w:eastAsia="zh-CN"/>
        </w:rPr>
      </w:pPr>
      <w:bookmarkStart w:id="12" w:name="OLE_LINK3"/>
      <w:bookmarkStart w:id="13" w:name="OLE_LINK4"/>
      <w:r w:rsidRPr="00A01B2C">
        <w:rPr>
          <w:rFonts w:ascii="Book Antiqua" w:hAnsi="Book Antiqua" w:cs="Tahoma"/>
          <w:b/>
          <w:bCs/>
          <w:sz w:val="24"/>
          <w:szCs w:val="24"/>
          <w:lang w:val="en-US"/>
        </w:rPr>
        <w:t>O</w:t>
      </w:r>
      <w:r w:rsidR="008A2C81" w:rsidRPr="00A01B2C">
        <w:rPr>
          <w:rFonts w:ascii="Book Antiqua" w:hAnsi="Book Antiqua" w:cs="Tahoma"/>
          <w:b/>
          <w:bCs/>
          <w:sz w:val="24"/>
          <w:szCs w:val="24"/>
          <w:lang w:val="en-US"/>
        </w:rPr>
        <w:t xml:space="preserve">ropharyngeal </w:t>
      </w:r>
      <w:r w:rsidR="00990BAE" w:rsidRPr="00A01B2C">
        <w:rPr>
          <w:rFonts w:ascii="Book Antiqua" w:hAnsi="Book Antiqua" w:cs="Tahoma"/>
          <w:b/>
          <w:bCs/>
          <w:sz w:val="24"/>
          <w:szCs w:val="24"/>
          <w:lang w:val="en-US"/>
        </w:rPr>
        <w:t>a</w:t>
      </w:r>
      <w:r w:rsidR="008A2C81" w:rsidRPr="00A01B2C">
        <w:rPr>
          <w:rFonts w:ascii="Book Antiqua" w:hAnsi="Book Antiqua" w:cs="Tahoma"/>
          <w:b/>
          <w:bCs/>
          <w:sz w:val="24"/>
          <w:szCs w:val="24"/>
          <w:lang w:val="en-US"/>
        </w:rPr>
        <w:t xml:space="preserve">cid </w:t>
      </w:r>
      <w:r w:rsidR="00990BAE" w:rsidRPr="00A01B2C">
        <w:rPr>
          <w:rFonts w:ascii="Book Antiqua" w:hAnsi="Book Antiqua" w:cs="Tahoma"/>
          <w:b/>
          <w:bCs/>
          <w:sz w:val="24"/>
          <w:szCs w:val="24"/>
          <w:lang w:val="en-US"/>
        </w:rPr>
        <w:t>r</w:t>
      </w:r>
      <w:r w:rsidR="008A2C81" w:rsidRPr="00A01B2C">
        <w:rPr>
          <w:rFonts w:ascii="Book Antiqua" w:hAnsi="Book Antiqua" w:cs="Tahoma"/>
          <w:b/>
          <w:bCs/>
          <w:sz w:val="24"/>
          <w:szCs w:val="24"/>
          <w:lang w:val="en-US"/>
        </w:rPr>
        <w:t xml:space="preserve">eflux </w:t>
      </w:r>
      <w:r w:rsidR="00990BAE" w:rsidRPr="00A01B2C">
        <w:rPr>
          <w:rFonts w:ascii="Book Antiqua" w:hAnsi="Book Antiqua" w:cs="Tahoma"/>
          <w:b/>
          <w:bCs/>
          <w:sz w:val="24"/>
          <w:szCs w:val="24"/>
          <w:lang w:val="en-US"/>
        </w:rPr>
        <w:t>a</w:t>
      </w:r>
      <w:r w:rsidR="008A2C81" w:rsidRPr="00A01B2C">
        <w:rPr>
          <w:rFonts w:ascii="Book Antiqua" w:hAnsi="Book Antiqua" w:cs="Tahoma"/>
          <w:b/>
          <w:bCs/>
          <w:sz w:val="24"/>
          <w:szCs w:val="24"/>
          <w:lang w:val="en-US"/>
        </w:rPr>
        <w:t xml:space="preserve">nd </w:t>
      </w:r>
      <w:r w:rsidR="00990BAE" w:rsidRPr="00A01B2C">
        <w:rPr>
          <w:rFonts w:ascii="Book Antiqua" w:hAnsi="Book Antiqua" w:cs="Tahoma"/>
          <w:b/>
          <w:bCs/>
          <w:sz w:val="24"/>
          <w:szCs w:val="24"/>
          <w:lang w:val="en-US"/>
        </w:rPr>
        <w:t>m</w:t>
      </w:r>
      <w:r w:rsidR="008A2C81" w:rsidRPr="00A01B2C">
        <w:rPr>
          <w:rFonts w:ascii="Book Antiqua" w:hAnsi="Book Antiqua" w:cs="Tahoma"/>
          <w:b/>
          <w:bCs/>
          <w:sz w:val="24"/>
          <w:szCs w:val="24"/>
          <w:lang w:val="en-US"/>
        </w:rPr>
        <w:t xml:space="preserve">otility </w:t>
      </w:r>
      <w:r w:rsidR="00990BAE" w:rsidRPr="00A01B2C">
        <w:rPr>
          <w:rFonts w:ascii="Book Antiqua" w:hAnsi="Book Antiqua" w:cs="Tahoma"/>
          <w:b/>
          <w:bCs/>
          <w:sz w:val="24"/>
          <w:szCs w:val="24"/>
          <w:lang w:val="en-US"/>
        </w:rPr>
        <w:t>a</w:t>
      </w:r>
      <w:r w:rsidR="008A2C81" w:rsidRPr="00A01B2C">
        <w:rPr>
          <w:rFonts w:ascii="Book Antiqua" w:hAnsi="Book Antiqua" w:cs="Tahoma"/>
          <w:b/>
          <w:bCs/>
          <w:sz w:val="24"/>
          <w:szCs w:val="24"/>
          <w:lang w:val="en-US"/>
        </w:rPr>
        <w:t xml:space="preserve">bnormalities </w:t>
      </w:r>
      <w:r w:rsidR="00990BAE" w:rsidRPr="00A01B2C">
        <w:rPr>
          <w:rFonts w:ascii="Book Antiqua" w:hAnsi="Book Antiqua" w:cs="Tahoma"/>
          <w:b/>
          <w:bCs/>
          <w:sz w:val="24"/>
          <w:szCs w:val="24"/>
          <w:lang w:val="en-US"/>
        </w:rPr>
        <w:t>o</w:t>
      </w:r>
      <w:r w:rsidR="008A2C81" w:rsidRPr="00A01B2C">
        <w:rPr>
          <w:rFonts w:ascii="Book Antiqua" w:hAnsi="Book Antiqua" w:cs="Tahoma"/>
          <w:b/>
          <w:bCs/>
          <w:sz w:val="24"/>
          <w:szCs w:val="24"/>
          <w:lang w:val="en-US"/>
        </w:rPr>
        <w:t xml:space="preserve">f </w:t>
      </w:r>
      <w:r w:rsidR="00990BAE" w:rsidRPr="00A01B2C">
        <w:rPr>
          <w:rFonts w:ascii="Book Antiqua" w:hAnsi="Book Antiqua" w:cs="Tahoma"/>
          <w:b/>
          <w:bCs/>
          <w:sz w:val="24"/>
          <w:szCs w:val="24"/>
          <w:lang w:val="en-US"/>
        </w:rPr>
        <w:t>t</w:t>
      </w:r>
      <w:r w:rsidR="008A2C81" w:rsidRPr="00A01B2C">
        <w:rPr>
          <w:rFonts w:ascii="Book Antiqua" w:hAnsi="Book Antiqua" w:cs="Tahoma"/>
          <w:b/>
          <w:bCs/>
          <w:sz w:val="24"/>
          <w:szCs w:val="24"/>
          <w:lang w:val="en-US"/>
        </w:rPr>
        <w:t xml:space="preserve">he </w:t>
      </w:r>
      <w:r w:rsidR="00990BAE" w:rsidRPr="00A01B2C">
        <w:rPr>
          <w:rFonts w:ascii="Book Antiqua" w:hAnsi="Book Antiqua" w:cs="Tahoma"/>
          <w:b/>
          <w:bCs/>
          <w:sz w:val="24"/>
          <w:szCs w:val="24"/>
          <w:lang w:val="en-US"/>
        </w:rPr>
        <w:t>p</w:t>
      </w:r>
      <w:r w:rsidR="008A2C81" w:rsidRPr="00A01B2C">
        <w:rPr>
          <w:rFonts w:ascii="Book Antiqua" w:hAnsi="Book Antiqua" w:cs="Tahoma"/>
          <w:b/>
          <w:bCs/>
          <w:sz w:val="24"/>
          <w:szCs w:val="24"/>
          <w:lang w:val="en-US"/>
        </w:rPr>
        <w:t xml:space="preserve">roximal </w:t>
      </w:r>
      <w:r w:rsidR="00990BAE" w:rsidRPr="00A01B2C">
        <w:rPr>
          <w:rFonts w:ascii="Book Antiqua" w:hAnsi="Book Antiqua" w:cs="Tahoma"/>
          <w:b/>
          <w:bCs/>
          <w:sz w:val="24"/>
          <w:szCs w:val="24"/>
          <w:lang w:val="en-US"/>
        </w:rPr>
        <w:t>e</w:t>
      </w:r>
      <w:r w:rsidR="008A2C81" w:rsidRPr="00A01B2C">
        <w:rPr>
          <w:rFonts w:ascii="Book Antiqua" w:hAnsi="Book Antiqua" w:cs="Tahoma"/>
          <w:b/>
          <w:bCs/>
          <w:sz w:val="24"/>
          <w:szCs w:val="24"/>
          <w:lang w:val="en-US"/>
        </w:rPr>
        <w:t xml:space="preserve">sophagus </w:t>
      </w:r>
    </w:p>
    <w:bookmarkEnd w:id="12"/>
    <w:bookmarkEnd w:id="13"/>
    <w:p w:rsidR="00512FAB" w:rsidRPr="001B5AC2" w:rsidRDefault="00512FAB" w:rsidP="006D687B">
      <w:pPr>
        <w:snapToGrid w:val="0"/>
        <w:spacing w:after="0" w:line="360" w:lineRule="auto"/>
        <w:jc w:val="both"/>
        <w:rPr>
          <w:rFonts w:ascii="Book Antiqua" w:hAnsi="Book Antiqua" w:cs="Tahoma"/>
          <w:b/>
          <w:sz w:val="24"/>
          <w:szCs w:val="24"/>
          <w:lang w:val="en-US" w:eastAsia="zh-CN"/>
        </w:rPr>
      </w:pPr>
    </w:p>
    <w:p w:rsidR="006B4EDB" w:rsidRPr="001B5AC2" w:rsidRDefault="00512FAB" w:rsidP="006D687B">
      <w:pPr>
        <w:snapToGrid w:val="0"/>
        <w:spacing w:after="0" w:line="360" w:lineRule="auto"/>
        <w:jc w:val="both"/>
        <w:rPr>
          <w:rFonts w:ascii="Book Antiqua" w:hAnsi="Book Antiqua" w:cs="Tahoma"/>
          <w:b/>
          <w:sz w:val="24"/>
          <w:szCs w:val="24"/>
          <w:lang w:val="en-US" w:eastAsia="zh-CN"/>
        </w:rPr>
      </w:pPr>
      <w:r w:rsidRPr="001B5AC2">
        <w:rPr>
          <w:rFonts w:ascii="Book Antiqua" w:eastAsia="Times New Roman" w:hAnsi="Book Antiqua" w:cs="Tahoma"/>
          <w:sz w:val="24"/>
          <w:szCs w:val="24"/>
          <w:lang w:val="en-US" w:eastAsia="it-IT"/>
        </w:rPr>
        <w:t>Passaretti</w:t>
      </w:r>
      <w:r w:rsidRPr="001B5AC2">
        <w:rPr>
          <w:rFonts w:ascii="Book Antiqua" w:hAnsi="Book Antiqua" w:cs="Tahoma" w:hint="eastAsia"/>
          <w:b/>
          <w:sz w:val="24"/>
          <w:szCs w:val="24"/>
          <w:lang w:val="en-US" w:eastAsia="zh-CN"/>
        </w:rPr>
        <w:t xml:space="preserve"> </w:t>
      </w:r>
      <w:r w:rsidRPr="001B5AC2">
        <w:rPr>
          <w:rFonts w:ascii="Book Antiqua" w:eastAsia="Times New Roman" w:hAnsi="Book Antiqua" w:cs="Tahoma"/>
          <w:sz w:val="24"/>
          <w:szCs w:val="24"/>
          <w:lang w:val="en-US" w:eastAsia="it-IT"/>
        </w:rPr>
        <w:t>S</w:t>
      </w:r>
      <w:r w:rsidRPr="001B5AC2">
        <w:rPr>
          <w:rFonts w:ascii="Book Antiqua" w:hAnsi="Book Antiqua" w:cs="Tahoma" w:hint="eastAsia"/>
          <w:sz w:val="24"/>
          <w:szCs w:val="24"/>
          <w:lang w:val="en-US" w:eastAsia="zh-CN"/>
        </w:rPr>
        <w:t xml:space="preserve"> </w:t>
      </w:r>
      <w:r w:rsidRPr="001B5AC2">
        <w:rPr>
          <w:rFonts w:ascii="Book Antiqua" w:hAnsi="Book Antiqua" w:cs="Tahoma" w:hint="eastAsia"/>
          <w:i/>
          <w:sz w:val="24"/>
          <w:szCs w:val="24"/>
          <w:lang w:val="en-US" w:eastAsia="zh-CN"/>
        </w:rPr>
        <w:t>et al</w:t>
      </w:r>
      <w:r w:rsidRPr="001B5AC2">
        <w:rPr>
          <w:rFonts w:ascii="Book Antiqua" w:hAnsi="Book Antiqua" w:cs="Tahoma" w:hint="eastAsia"/>
          <w:sz w:val="24"/>
          <w:szCs w:val="24"/>
          <w:lang w:val="en-US" w:eastAsia="zh-CN"/>
        </w:rPr>
        <w:t>.</w:t>
      </w:r>
      <w:r w:rsidRPr="001B5AC2">
        <w:rPr>
          <w:rFonts w:ascii="Book Antiqua" w:hAnsi="Book Antiqua" w:cs="Tahoma" w:hint="eastAsia"/>
          <w:b/>
          <w:sz w:val="24"/>
          <w:szCs w:val="24"/>
          <w:lang w:val="en-US" w:eastAsia="zh-CN"/>
        </w:rPr>
        <w:t xml:space="preserve"> </w:t>
      </w:r>
      <w:r w:rsidR="00521D74" w:rsidRPr="001B5AC2">
        <w:rPr>
          <w:rFonts w:ascii="Book Antiqua" w:hAnsi="Book Antiqua" w:cs="Tahoma"/>
          <w:sz w:val="24"/>
          <w:szCs w:val="24"/>
          <w:lang w:val="en-US"/>
        </w:rPr>
        <w:t>Pharyngeal reflux and e</w:t>
      </w:r>
      <w:r w:rsidRPr="001B5AC2">
        <w:rPr>
          <w:rFonts w:ascii="Book Antiqua" w:hAnsi="Book Antiqua" w:cs="Tahoma"/>
          <w:sz w:val="24"/>
          <w:szCs w:val="24"/>
          <w:lang w:val="en-US"/>
        </w:rPr>
        <w:t>sophageal motility</w:t>
      </w:r>
    </w:p>
    <w:p w:rsidR="00512FAB" w:rsidRPr="001B5AC2" w:rsidRDefault="00512FAB" w:rsidP="006D687B">
      <w:pPr>
        <w:snapToGrid w:val="0"/>
        <w:spacing w:after="0" w:line="360" w:lineRule="auto"/>
        <w:jc w:val="both"/>
        <w:rPr>
          <w:rFonts w:ascii="Book Antiqua" w:hAnsi="Book Antiqua" w:cs="Tahoma"/>
          <w:sz w:val="24"/>
          <w:szCs w:val="24"/>
          <w:lang w:val="en-US" w:eastAsia="zh-CN"/>
        </w:rPr>
      </w:pPr>
    </w:p>
    <w:p w:rsidR="006B4EDB" w:rsidRPr="00A01B2C" w:rsidRDefault="006B4EDB" w:rsidP="006D687B">
      <w:pPr>
        <w:snapToGrid w:val="0"/>
        <w:spacing w:after="0" w:line="360" w:lineRule="auto"/>
        <w:jc w:val="both"/>
        <w:rPr>
          <w:rFonts w:ascii="Book Antiqua" w:eastAsia="Times New Roman" w:hAnsi="Book Antiqua" w:cs="Tahoma"/>
          <w:b/>
          <w:sz w:val="24"/>
          <w:szCs w:val="24"/>
          <w:lang w:eastAsia="it-IT"/>
        </w:rPr>
      </w:pPr>
      <w:r w:rsidRPr="00A01B2C">
        <w:rPr>
          <w:rFonts w:ascii="Book Antiqua" w:eastAsia="Times New Roman" w:hAnsi="Book Antiqua" w:cs="Tahoma"/>
          <w:b/>
          <w:sz w:val="24"/>
          <w:szCs w:val="24"/>
          <w:lang w:eastAsia="it-IT"/>
        </w:rPr>
        <w:t>Sandro Passaretti, Giorgia Mazzoleni, Cristian Vailati, Pier Alberto Testoni</w:t>
      </w:r>
    </w:p>
    <w:p w:rsidR="00512FAB" w:rsidRPr="001B5AC2" w:rsidRDefault="00512FAB" w:rsidP="006D687B">
      <w:pPr>
        <w:snapToGrid w:val="0"/>
        <w:spacing w:after="0" w:line="360" w:lineRule="auto"/>
        <w:jc w:val="both"/>
        <w:rPr>
          <w:rFonts w:ascii="Book Antiqua" w:hAnsi="Book Antiqua" w:cs="Tahoma"/>
          <w:sz w:val="24"/>
          <w:szCs w:val="24"/>
          <w:lang w:eastAsia="zh-CN"/>
        </w:rPr>
      </w:pPr>
    </w:p>
    <w:p w:rsidR="00FE0DE2" w:rsidRPr="00A01B2C" w:rsidRDefault="00512FAB" w:rsidP="006D687B">
      <w:pPr>
        <w:snapToGrid w:val="0"/>
        <w:spacing w:after="0" w:line="360" w:lineRule="auto"/>
        <w:jc w:val="both"/>
        <w:rPr>
          <w:rFonts w:ascii="Book Antiqua" w:hAnsi="Book Antiqua" w:cs="Tahoma"/>
          <w:b/>
          <w:sz w:val="24"/>
          <w:szCs w:val="24"/>
          <w:lang w:eastAsia="zh-CN"/>
        </w:rPr>
      </w:pPr>
      <w:r w:rsidRPr="00A01B2C">
        <w:rPr>
          <w:rFonts w:ascii="Book Antiqua" w:eastAsia="Times New Roman" w:hAnsi="Book Antiqua" w:cs="Tahoma"/>
          <w:b/>
          <w:sz w:val="24"/>
          <w:szCs w:val="24"/>
          <w:lang w:eastAsia="it-IT"/>
        </w:rPr>
        <w:t>Sandro Passaretti, Giorgia Mazzoleni, Cristian Vailati, Pier Alberto Testoni</w:t>
      </w:r>
      <w:r w:rsidRPr="00A01B2C">
        <w:rPr>
          <w:rFonts w:ascii="Book Antiqua" w:hAnsi="Book Antiqua" w:cs="Tahoma" w:hint="eastAsia"/>
          <w:b/>
          <w:sz w:val="24"/>
          <w:szCs w:val="24"/>
          <w:lang w:eastAsia="zh-CN"/>
        </w:rPr>
        <w:t xml:space="preserve">, </w:t>
      </w:r>
      <w:r w:rsidR="006B4EDB" w:rsidRPr="001B5AC2">
        <w:rPr>
          <w:rFonts w:ascii="Book Antiqua" w:eastAsia="Times New Roman" w:hAnsi="Book Antiqua" w:cs="Tahoma"/>
          <w:sz w:val="24"/>
          <w:szCs w:val="24"/>
          <w:lang w:eastAsia="it-IT"/>
        </w:rPr>
        <w:t>Gastroenterology and Gastrointestinal Endoscopy Division, IRCCS San Raffaele Scientific Institute</w:t>
      </w:r>
      <w:r w:rsidRPr="001B5AC2">
        <w:rPr>
          <w:rFonts w:ascii="Book Antiqua" w:hAnsi="Book Antiqua" w:cs="Tahoma" w:hint="eastAsia"/>
          <w:sz w:val="24"/>
          <w:szCs w:val="24"/>
          <w:lang w:eastAsia="zh-CN"/>
        </w:rPr>
        <w:t xml:space="preserve">, </w:t>
      </w:r>
      <w:r w:rsidR="006B4EDB" w:rsidRPr="001B5AC2">
        <w:rPr>
          <w:rFonts w:ascii="Book Antiqua" w:eastAsia="Times New Roman" w:hAnsi="Book Antiqua" w:cs="Tahoma"/>
          <w:sz w:val="24"/>
          <w:szCs w:val="24"/>
          <w:lang w:eastAsia="it-IT"/>
        </w:rPr>
        <w:t xml:space="preserve">Vita-Salute San Raffaele University, </w:t>
      </w:r>
      <w:r w:rsidR="00E62C1B" w:rsidRPr="001B5AC2">
        <w:rPr>
          <w:rFonts w:ascii="Book Antiqua" w:eastAsia="Times New Roman" w:hAnsi="Book Antiqua" w:cs="Tahoma"/>
          <w:sz w:val="24"/>
          <w:szCs w:val="24"/>
          <w:lang w:eastAsia="it-IT"/>
        </w:rPr>
        <w:t>20132</w:t>
      </w:r>
      <w:r w:rsidR="00586786" w:rsidRPr="001B5AC2">
        <w:rPr>
          <w:rFonts w:ascii="Book Antiqua" w:eastAsia="Times New Roman" w:hAnsi="Book Antiqua" w:cs="Tahoma"/>
          <w:sz w:val="24"/>
          <w:szCs w:val="24"/>
          <w:lang w:eastAsia="it-IT"/>
        </w:rPr>
        <w:t xml:space="preserve"> </w:t>
      </w:r>
      <w:r w:rsidR="006B4EDB" w:rsidRPr="001B5AC2">
        <w:rPr>
          <w:rFonts w:ascii="Book Antiqua" w:eastAsia="Times New Roman" w:hAnsi="Book Antiqua" w:cs="Tahoma"/>
          <w:sz w:val="24"/>
          <w:szCs w:val="24"/>
          <w:lang w:eastAsia="it-IT"/>
        </w:rPr>
        <w:t>Milan, Italy</w:t>
      </w:r>
    </w:p>
    <w:p w:rsidR="006B4EDB" w:rsidRPr="001B5AC2" w:rsidRDefault="006B4EDB" w:rsidP="006D687B">
      <w:pPr>
        <w:snapToGrid w:val="0"/>
        <w:spacing w:after="0" w:line="360" w:lineRule="auto"/>
        <w:jc w:val="both"/>
        <w:rPr>
          <w:rFonts w:ascii="Book Antiqua" w:eastAsia="Times New Roman" w:hAnsi="Book Antiqua" w:cs="Tahoma"/>
          <w:sz w:val="24"/>
          <w:szCs w:val="24"/>
          <w:lang w:eastAsia="it-IT"/>
        </w:rPr>
      </w:pPr>
    </w:p>
    <w:p w:rsidR="00556D02" w:rsidRPr="00A01B2C" w:rsidRDefault="00556D02" w:rsidP="006D687B">
      <w:pPr>
        <w:autoSpaceDE w:val="0"/>
        <w:autoSpaceDN w:val="0"/>
        <w:adjustRightInd w:val="0"/>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b/>
          <w:sz w:val="24"/>
          <w:szCs w:val="24"/>
          <w:lang w:val="en-US" w:eastAsia="it-IT"/>
        </w:rPr>
        <w:t>Author</w:t>
      </w:r>
      <w:r w:rsidR="00512FAB" w:rsidRPr="00A01B2C">
        <w:rPr>
          <w:rFonts w:ascii="Book Antiqua" w:hAnsi="Book Antiqua" w:cs="Tahoma" w:hint="eastAsia"/>
          <w:b/>
          <w:sz w:val="24"/>
          <w:szCs w:val="24"/>
          <w:lang w:val="en-US" w:eastAsia="zh-CN"/>
        </w:rPr>
        <w:t xml:space="preserve"> </w:t>
      </w:r>
      <w:r w:rsidRPr="00A01B2C">
        <w:rPr>
          <w:rFonts w:ascii="Book Antiqua" w:eastAsia="Times New Roman" w:hAnsi="Book Antiqua" w:cs="Tahoma"/>
          <w:b/>
          <w:sz w:val="24"/>
          <w:szCs w:val="24"/>
          <w:lang w:val="en-US" w:eastAsia="it-IT"/>
        </w:rPr>
        <w:t>contributions:</w:t>
      </w:r>
      <w:r w:rsidRPr="00A01B2C">
        <w:rPr>
          <w:rFonts w:ascii="Book Antiqua" w:eastAsia="Times New Roman" w:hAnsi="Book Antiqua" w:cs="Tahoma"/>
          <w:sz w:val="24"/>
          <w:szCs w:val="24"/>
          <w:lang w:val="en-US" w:eastAsia="it-IT"/>
        </w:rPr>
        <w:t xml:space="preserve"> </w:t>
      </w:r>
      <w:r w:rsidR="00512FAB" w:rsidRPr="001B5AC2">
        <w:rPr>
          <w:rFonts w:ascii="Book Antiqua" w:eastAsia="Times New Roman" w:hAnsi="Book Antiqua" w:cs="Tahoma"/>
          <w:sz w:val="24"/>
          <w:szCs w:val="24"/>
          <w:lang w:val="en-US" w:eastAsia="it-IT"/>
        </w:rPr>
        <w:t>Passaretti</w:t>
      </w:r>
      <w:r w:rsidR="00512FAB"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S</w:t>
      </w:r>
      <w:r w:rsidR="00512FAB"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 xml:space="preserve">designed the study, analyzed manometric data and </w:t>
      </w:r>
      <w:r w:rsidR="00EC0714" w:rsidRPr="00A01B2C">
        <w:rPr>
          <w:rFonts w:ascii="Book Antiqua" w:eastAsia="Times New Roman" w:hAnsi="Book Antiqua" w:cs="Tahoma"/>
          <w:sz w:val="24"/>
          <w:szCs w:val="24"/>
          <w:lang w:val="en-US" w:eastAsia="it-IT"/>
        </w:rPr>
        <w:t xml:space="preserve">did the </w:t>
      </w:r>
      <w:r w:rsidRPr="00A01B2C">
        <w:rPr>
          <w:rFonts w:ascii="Book Antiqua" w:eastAsia="Times New Roman" w:hAnsi="Book Antiqua" w:cs="Tahoma"/>
          <w:sz w:val="24"/>
          <w:szCs w:val="24"/>
          <w:lang w:val="en-US" w:eastAsia="it-IT"/>
        </w:rPr>
        <w:t>statistical analysis</w:t>
      </w:r>
      <w:r w:rsidR="00512FAB" w:rsidRPr="00A01B2C">
        <w:rPr>
          <w:rFonts w:ascii="Book Antiqua" w:hAnsi="Book Antiqua" w:cs="Tahoma" w:hint="eastAsia"/>
          <w:sz w:val="24"/>
          <w:szCs w:val="24"/>
          <w:lang w:val="en-US" w:eastAsia="zh-CN"/>
        </w:rPr>
        <w:t>;</w:t>
      </w:r>
      <w:r w:rsidRPr="00A01B2C">
        <w:rPr>
          <w:rFonts w:ascii="Book Antiqua" w:eastAsia="Times New Roman" w:hAnsi="Book Antiqua" w:cs="Tahoma"/>
          <w:sz w:val="24"/>
          <w:szCs w:val="24"/>
          <w:lang w:val="en-US" w:eastAsia="it-IT"/>
        </w:rPr>
        <w:t xml:space="preserve"> </w:t>
      </w:r>
      <w:r w:rsidR="00512FAB" w:rsidRPr="001B5AC2">
        <w:rPr>
          <w:rFonts w:ascii="Book Antiqua" w:eastAsia="Times New Roman" w:hAnsi="Book Antiqua" w:cs="Tahoma"/>
          <w:sz w:val="24"/>
          <w:szCs w:val="24"/>
          <w:lang w:val="en-US" w:eastAsia="it-IT"/>
        </w:rPr>
        <w:t>Mazzoleni</w:t>
      </w:r>
      <w:r w:rsidR="00512FAB"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G</w:t>
      </w:r>
      <w:r w:rsidR="00512FAB" w:rsidRPr="00A01B2C">
        <w:rPr>
          <w:rFonts w:ascii="Book Antiqua" w:hAnsi="Book Antiqua" w:cs="Tahoma" w:hint="eastAsia"/>
          <w:sz w:val="24"/>
          <w:szCs w:val="24"/>
          <w:lang w:val="en-US" w:eastAsia="zh-CN"/>
        </w:rPr>
        <w:t xml:space="preserve"> </w:t>
      </w:r>
      <w:r w:rsidR="00EC0714" w:rsidRPr="00A01B2C">
        <w:rPr>
          <w:rFonts w:ascii="Book Antiqua" w:eastAsia="Times New Roman" w:hAnsi="Book Antiqua" w:cs="Tahoma"/>
          <w:sz w:val="24"/>
          <w:szCs w:val="24"/>
          <w:lang w:val="en-US" w:eastAsia="it-IT"/>
        </w:rPr>
        <w:t xml:space="preserve">did </w:t>
      </w:r>
      <w:r w:rsidRPr="00A01B2C">
        <w:rPr>
          <w:rFonts w:ascii="Book Antiqua" w:eastAsia="Times New Roman" w:hAnsi="Book Antiqua" w:cs="Tahoma"/>
          <w:sz w:val="24"/>
          <w:szCs w:val="24"/>
          <w:lang w:val="en-US" w:eastAsia="it-IT"/>
        </w:rPr>
        <w:t>exam</w:t>
      </w:r>
      <w:r w:rsidR="00EC0714" w:rsidRPr="00A01B2C">
        <w:rPr>
          <w:rFonts w:ascii="Book Antiqua" w:eastAsia="Times New Roman" w:hAnsi="Book Antiqua" w:cs="Tahoma"/>
          <w:sz w:val="24"/>
          <w:szCs w:val="24"/>
          <w:lang w:val="en-US" w:eastAsia="it-IT"/>
        </w:rPr>
        <w:t>inations</w:t>
      </w:r>
      <w:r w:rsidRPr="00A01B2C">
        <w:rPr>
          <w:rFonts w:ascii="Book Antiqua" w:eastAsia="Times New Roman" w:hAnsi="Book Antiqua" w:cs="Tahoma"/>
          <w:sz w:val="24"/>
          <w:szCs w:val="24"/>
          <w:lang w:val="en-US" w:eastAsia="it-IT"/>
        </w:rPr>
        <w:t xml:space="preserve">, analyzed pH-metric data and </w:t>
      </w:r>
      <w:r w:rsidR="00EC0714" w:rsidRPr="00A01B2C">
        <w:rPr>
          <w:rFonts w:ascii="Book Antiqua" w:eastAsia="Times New Roman" w:hAnsi="Book Antiqua" w:cs="Tahoma"/>
          <w:sz w:val="24"/>
          <w:szCs w:val="24"/>
          <w:lang w:val="en-US" w:eastAsia="it-IT"/>
        </w:rPr>
        <w:t xml:space="preserve">wrote </w:t>
      </w:r>
      <w:r w:rsidRPr="00A01B2C">
        <w:rPr>
          <w:rFonts w:ascii="Book Antiqua" w:eastAsia="Times New Roman" w:hAnsi="Book Antiqua" w:cs="Tahoma"/>
          <w:sz w:val="24"/>
          <w:szCs w:val="24"/>
          <w:lang w:val="en-US" w:eastAsia="it-IT"/>
        </w:rPr>
        <w:t xml:space="preserve">the </w:t>
      </w:r>
      <w:r w:rsidR="00EC0714" w:rsidRPr="00A01B2C">
        <w:rPr>
          <w:rFonts w:ascii="Book Antiqua" w:eastAsia="Times New Roman" w:hAnsi="Book Antiqua" w:cs="Tahoma"/>
          <w:sz w:val="24"/>
          <w:szCs w:val="24"/>
          <w:lang w:val="en-US" w:eastAsia="it-IT"/>
        </w:rPr>
        <w:t>paper</w:t>
      </w:r>
      <w:r w:rsidR="00512FAB" w:rsidRPr="00A01B2C">
        <w:rPr>
          <w:rFonts w:ascii="Book Antiqua" w:hAnsi="Book Antiqua" w:cs="Tahoma" w:hint="eastAsia"/>
          <w:sz w:val="24"/>
          <w:szCs w:val="24"/>
          <w:lang w:val="en-US" w:eastAsia="zh-CN"/>
        </w:rPr>
        <w:t xml:space="preserve">; </w:t>
      </w:r>
      <w:r w:rsidR="00512FAB" w:rsidRPr="001B5AC2">
        <w:rPr>
          <w:rFonts w:ascii="Book Antiqua" w:eastAsia="Times New Roman" w:hAnsi="Book Antiqua" w:cs="Tahoma"/>
          <w:sz w:val="24"/>
          <w:szCs w:val="24"/>
          <w:lang w:val="en-US" w:eastAsia="it-IT"/>
        </w:rPr>
        <w:t>Vailati</w:t>
      </w:r>
      <w:r w:rsidR="00512FAB"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C</w:t>
      </w:r>
      <w:r w:rsidR="00512FAB" w:rsidRPr="00A01B2C">
        <w:rPr>
          <w:rFonts w:ascii="Book Antiqua" w:hAnsi="Book Antiqua" w:cs="Tahoma" w:hint="eastAsia"/>
          <w:sz w:val="24"/>
          <w:szCs w:val="24"/>
          <w:lang w:val="en-US" w:eastAsia="zh-CN"/>
        </w:rPr>
        <w:t xml:space="preserve"> </w:t>
      </w:r>
      <w:r w:rsidR="00EC0714" w:rsidRPr="00A01B2C">
        <w:rPr>
          <w:rFonts w:ascii="Book Antiqua" w:eastAsia="Times New Roman" w:hAnsi="Book Antiqua" w:cs="Tahoma"/>
          <w:sz w:val="24"/>
          <w:szCs w:val="24"/>
          <w:lang w:val="en-US" w:eastAsia="it-IT"/>
        </w:rPr>
        <w:t xml:space="preserve">did examinations </w:t>
      </w:r>
      <w:r w:rsidRPr="00A01B2C">
        <w:rPr>
          <w:rFonts w:ascii="Book Antiqua" w:eastAsia="Times New Roman" w:hAnsi="Book Antiqua" w:cs="Tahoma"/>
          <w:sz w:val="24"/>
          <w:szCs w:val="24"/>
          <w:lang w:val="en-US" w:eastAsia="it-IT"/>
        </w:rPr>
        <w:t>and collected data</w:t>
      </w:r>
      <w:r w:rsidR="00512FAB" w:rsidRPr="00A01B2C">
        <w:rPr>
          <w:rFonts w:ascii="Book Antiqua" w:hAnsi="Book Antiqua" w:cs="Tahoma" w:hint="eastAsia"/>
          <w:sz w:val="24"/>
          <w:szCs w:val="24"/>
          <w:lang w:val="en-US" w:eastAsia="zh-CN"/>
        </w:rPr>
        <w:t>;</w:t>
      </w:r>
      <w:r w:rsidRPr="00A01B2C">
        <w:rPr>
          <w:rFonts w:ascii="Book Antiqua" w:eastAsia="Times New Roman" w:hAnsi="Book Antiqua" w:cs="Tahoma"/>
          <w:sz w:val="24"/>
          <w:szCs w:val="24"/>
          <w:lang w:val="en-US" w:eastAsia="it-IT"/>
        </w:rPr>
        <w:t xml:space="preserve"> </w:t>
      </w:r>
      <w:r w:rsidR="00512FAB" w:rsidRPr="001B5AC2">
        <w:rPr>
          <w:rFonts w:ascii="Book Antiqua" w:eastAsia="Times New Roman" w:hAnsi="Book Antiqua" w:cs="Tahoma"/>
          <w:sz w:val="24"/>
          <w:szCs w:val="24"/>
          <w:lang w:val="en-US" w:eastAsia="it-IT"/>
        </w:rPr>
        <w:t>Testoni</w:t>
      </w:r>
      <w:r w:rsidR="00512FAB"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PA</w:t>
      </w:r>
      <w:r w:rsidR="00512FAB"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revised the manuscript</w:t>
      </w:r>
      <w:r w:rsidR="00512FAB" w:rsidRPr="00A01B2C">
        <w:rPr>
          <w:rFonts w:ascii="Book Antiqua" w:hAnsi="Book Antiqua" w:cs="Tahoma" w:hint="eastAsia"/>
          <w:sz w:val="24"/>
          <w:szCs w:val="24"/>
          <w:lang w:val="en-US" w:eastAsia="zh-CN"/>
        </w:rPr>
        <w:t xml:space="preserve">; </w:t>
      </w:r>
      <w:r w:rsidR="00512FAB" w:rsidRPr="00A01B2C">
        <w:rPr>
          <w:rFonts w:ascii="Book Antiqua" w:eastAsia="Times New Roman" w:hAnsi="Book Antiqua" w:cs="Tahoma"/>
          <w:sz w:val="24"/>
          <w:szCs w:val="24"/>
          <w:lang w:val="en-US" w:eastAsia="it-IT"/>
        </w:rPr>
        <w:t>a</w:t>
      </w:r>
      <w:r w:rsidRPr="00A01B2C">
        <w:rPr>
          <w:rFonts w:ascii="Book Antiqua" w:eastAsia="Times New Roman" w:hAnsi="Book Antiqua" w:cs="Tahoma"/>
          <w:sz w:val="24"/>
          <w:szCs w:val="24"/>
          <w:lang w:val="en-US" w:eastAsia="it-IT"/>
        </w:rPr>
        <w:t>ll authors approved the final version.</w:t>
      </w:r>
    </w:p>
    <w:p w:rsidR="00E62C1B" w:rsidRPr="00A01B2C" w:rsidRDefault="00E62C1B" w:rsidP="006D687B">
      <w:pPr>
        <w:snapToGrid w:val="0"/>
        <w:spacing w:after="0" w:line="360" w:lineRule="auto"/>
        <w:jc w:val="both"/>
        <w:rPr>
          <w:rFonts w:ascii="Book Antiqua" w:hAnsi="Book Antiqua" w:cs="Tahoma"/>
          <w:sz w:val="24"/>
          <w:szCs w:val="24"/>
          <w:lang w:val="en-US" w:eastAsia="zh-CN"/>
        </w:rPr>
      </w:pPr>
    </w:p>
    <w:p w:rsidR="00907921" w:rsidRPr="00A01B2C" w:rsidRDefault="00E62C1B" w:rsidP="006D687B">
      <w:pPr>
        <w:snapToGrid w:val="0"/>
        <w:spacing w:after="0" w:line="360" w:lineRule="auto"/>
        <w:jc w:val="both"/>
        <w:rPr>
          <w:rFonts w:ascii="Book Antiqua" w:eastAsia="Times New Roman" w:hAnsi="Book Antiqua" w:cs="Tahoma"/>
          <w:sz w:val="24"/>
          <w:szCs w:val="24"/>
          <w:lang w:val="en-US" w:eastAsia="it-IT"/>
        </w:rPr>
      </w:pPr>
      <w:r w:rsidRPr="00A01B2C">
        <w:rPr>
          <w:rFonts w:ascii="Book Antiqua" w:hAnsi="Book Antiqua" w:cs="Times New Roman"/>
          <w:b/>
          <w:bCs/>
          <w:iCs/>
          <w:sz w:val="24"/>
          <w:szCs w:val="24"/>
          <w:lang w:val="en-US" w:eastAsia="zh-CN"/>
        </w:rPr>
        <w:t xml:space="preserve">Institutional review board statement: </w:t>
      </w:r>
      <w:r w:rsidR="00E25098" w:rsidRPr="00A01B2C">
        <w:rPr>
          <w:rFonts w:ascii="Book Antiqua" w:eastAsia="Times New Roman" w:hAnsi="Book Antiqua" w:cs="Tahoma"/>
          <w:sz w:val="24"/>
          <w:szCs w:val="24"/>
          <w:lang w:val="en-US" w:eastAsia="it-IT"/>
        </w:rPr>
        <w:t>The study was reviewed and approved by the medical ethics committee of San Raffaele Scientific Institute.</w:t>
      </w:r>
    </w:p>
    <w:p w:rsidR="00512FAB" w:rsidRPr="00A01B2C" w:rsidRDefault="00512FAB" w:rsidP="006D687B">
      <w:pPr>
        <w:snapToGrid w:val="0"/>
        <w:spacing w:after="0" w:line="360" w:lineRule="auto"/>
        <w:jc w:val="both"/>
        <w:rPr>
          <w:rFonts w:ascii="Book Antiqua" w:hAnsi="Book Antiqua" w:cs="Times New Roman"/>
          <w:b/>
          <w:bCs/>
          <w:iCs/>
          <w:sz w:val="24"/>
          <w:szCs w:val="24"/>
          <w:lang w:val="en-US" w:eastAsia="zh-CN"/>
        </w:rPr>
      </w:pPr>
    </w:p>
    <w:p w:rsidR="00C57A89" w:rsidRPr="00A01B2C" w:rsidRDefault="00E62C1B" w:rsidP="006D687B">
      <w:pPr>
        <w:snapToGrid w:val="0"/>
        <w:spacing w:after="0" w:line="360" w:lineRule="auto"/>
        <w:jc w:val="both"/>
        <w:rPr>
          <w:rFonts w:ascii="Book Antiqua" w:eastAsia="Times New Roman" w:hAnsi="Book Antiqua" w:cs="Tahoma"/>
          <w:sz w:val="24"/>
          <w:szCs w:val="24"/>
          <w:lang w:val="en-US" w:eastAsia="it-IT"/>
        </w:rPr>
      </w:pPr>
      <w:r w:rsidRPr="00A01B2C">
        <w:rPr>
          <w:rFonts w:ascii="Book Antiqua" w:hAnsi="Book Antiqua" w:cs="Times New Roman"/>
          <w:b/>
          <w:bCs/>
          <w:iCs/>
          <w:sz w:val="24"/>
          <w:szCs w:val="24"/>
          <w:lang w:val="en-US" w:eastAsia="zh-CN"/>
        </w:rPr>
        <w:t xml:space="preserve">Informed consent statement: </w:t>
      </w:r>
      <w:r w:rsidR="00C57A89" w:rsidRPr="00A01B2C">
        <w:rPr>
          <w:rFonts w:ascii="Book Antiqua" w:eastAsia="Times New Roman" w:hAnsi="Book Antiqua" w:cs="Tahoma"/>
          <w:sz w:val="24"/>
          <w:szCs w:val="24"/>
          <w:lang w:val="en-US" w:eastAsia="it-IT"/>
        </w:rPr>
        <w:t>All study participants provided informed written consent prior to enrollment.</w:t>
      </w:r>
    </w:p>
    <w:p w:rsidR="00512FAB" w:rsidRPr="00A01B2C" w:rsidRDefault="00512FAB" w:rsidP="006D687B">
      <w:pPr>
        <w:snapToGrid w:val="0"/>
        <w:spacing w:after="0" w:line="360" w:lineRule="auto"/>
        <w:jc w:val="both"/>
        <w:rPr>
          <w:rFonts w:ascii="Book Antiqua" w:hAnsi="Book Antiqua" w:cs="Times New Roman"/>
          <w:b/>
          <w:bCs/>
          <w:iCs/>
          <w:sz w:val="24"/>
          <w:szCs w:val="24"/>
          <w:lang w:val="en-US" w:eastAsia="zh-CN"/>
        </w:rPr>
      </w:pPr>
      <w:bookmarkStart w:id="14" w:name="OLE_LINK378"/>
      <w:bookmarkStart w:id="15" w:name="OLE_LINK43"/>
      <w:bookmarkStart w:id="16" w:name="OLE_LINK44"/>
      <w:bookmarkStart w:id="17" w:name="OLE_LINK130"/>
      <w:bookmarkStart w:id="18" w:name="OLE_LINK309"/>
      <w:bookmarkStart w:id="19" w:name="OLE_LINK740"/>
    </w:p>
    <w:p w:rsidR="00C57A89" w:rsidRPr="00A01B2C" w:rsidRDefault="00E62C1B" w:rsidP="006D687B">
      <w:pPr>
        <w:snapToGrid w:val="0"/>
        <w:spacing w:after="0" w:line="360" w:lineRule="auto"/>
        <w:jc w:val="both"/>
        <w:rPr>
          <w:rFonts w:ascii="Book Antiqua" w:eastAsia="Times New Roman" w:hAnsi="Book Antiqua" w:cs="Tahoma"/>
          <w:sz w:val="24"/>
          <w:szCs w:val="24"/>
          <w:lang w:val="en-US" w:eastAsia="it-IT"/>
        </w:rPr>
      </w:pPr>
      <w:r w:rsidRPr="00A01B2C">
        <w:rPr>
          <w:rFonts w:ascii="Book Antiqua" w:hAnsi="Book Antiqua" w:cs="Times New Roman"/>
          <w:b/>
          <w:bCs/>
          <w:iCs/>
          <w:sz w:val="24"/>
          <w:szCs w:val="24"/>
          <w:lang w:val="en-US" w:eastAsia="zh-CN"/>
        </w:rPr>
        <w:t>Conflict-of-interest statement</w:t>
      </w:r>
      <w:bookmarkEnd w:id="14"/>
      <w:r w:rsidRPr="00A01B2C">
        <w:rPr>
          <w:rFonts w:ascii="Book Antiqua" w:hAnsi="Book Antiqua" w:cs="Times New Roman"/>
          <w:b/>
          <w:bCs/>
          <w:iCs/>
          <w:sz w:val="24"/>
          <w:szCs w:val="24"/>
          <w:lang w:val="en-US" w:eastAsia="zh-CN"/>
        </w:rPr>
        <w:t>:</w:t>
      </w:r>
      <w:bookmarkEnd w:id="15"/>
      <w:bookmarkEnd w:id="16"/>
      <w:bookmarkEnd w:id="17"/>
      <w:bookmarkEnd w:id="18"/>
      <w:bookmarkEnd w:id="19"/>
      <w:r w:rsidRPr="00A01B2C">
        <w:rPr>
          <w:rFonts w:ascii="Book Antiqua" w:hAnsi="Book Antiqua" w:cs="Times New Roman"/>
          <w:b/>
          <w:bCs/>
          <w:iCs/>
          <w:sz w:val="24"/>
          <w:szCs w:val="24"/>
          <w:lang w:val="en-US" w:eastAsia="zh-CN"/>
        </w:rPr>
        <w:t xml:space="preserve"> </w:t>
      </w:r>
      <w:r w:rsidR="00C57A89" w:rsidRPr="00A01B2C">
        <w:rPr>
          <w:rFonts w:ascii="Book Antiqua" w:eastAsia="Times New Roman" w:hAnsi="Book Antiqua" w:cs="Tahoma"/>
          <w:sz w:val="24"/>
          <w:szCs w:val="24"/>
          <w:lang w:val="en-US" w:eastAsia="it-IT"/>
        </w:rPr>
        <w:t>All authors have no competing financial, professional or personal interests that might have influenced the performance or presentation of the study.</w:t>
      </w:r>
    </w:p>
    <w:p w:rsidR="00512FAB" w:rsidRPr="00A01B2C" w:rsidRDefault="00512FAB" w:rsidP="006D687B">
      <w:pPr>
        <w:snapToGrid w:val="0"/>
        <w:spacing w:after="0" w:line="360" w:lineRule="auto"/>
        <w:jc w:val="both"/>
        <w:rPr>
          <w:rFonts w:ascii="Book Antiqua" w:hAnsi="Book Antiqua" w:cs="Times New Roman"/>
          <w:b/>
          <w:bCs/>
          <w:iCs/>
          <w:sz w:val="24"/>
          <w:szCs w:val="24"/>
          <w:lang w:val="en-US" w:eastAsia="zh-CN"/>
        </w:rPr>
      </w:pPr>
    </w:p>
    <w:p w:rsidR="00907921" w:rsidRPr="00A01B2C" w:rsidRDefault="00E62C1B" w:rsidP="006D687B">
      <w:pPr>
        <w:snapToGrid w:val="0"/>
        <w:spacing w:after="0" w:line="360" w:lineRule="auto"/>
        <w:jc w:val="both"/>
        <w:rPr>
          <w:rFonts w:ascii="Book Antiqua" w:hAnsi="Book Antiqua" w:cs="Tahoma"/>
          <w:sz w:val="24"/>
          <w:szCs w:val="24"/>
          <w:lang w:val="en-US" w:eastAsia="zh-CN"/>
        </w:rPr>
      </w:pPr>
      <w:r w:rsidRPr="00A01B2C">
        <w:rPr>
          <w:rFonts w:ascii="Book Antiqua" w:hAnsi="Book Antiqua" w:cs="Times New Roman"/>
          <w:b/>
          <w:bCs/>
          <w:iCs/>
          <w:sz w:val="24"/>
          <w:szCs w:val="24"/>
          <w:lang w:val="en-US" w:eastAsia="zh-CN"/>
        </w:rPr>
        <w:t xml:space="preserve">Data sharing statement: </w:t>
      </w:r>
      <w:r w:rsidR="00F00FB1" w:rsidRPr="00A01B2C">
        <w:rPr>
          <w:rFonts w:ascii="Book Antiqua" w:eastAsia="Times New Roman" w:hAnsi="Book Antiqua" w:cs="Tahoma"/>
          <w:sz w:val="24"/>
          <w:szCs w:val="24"/>
          <w:lang w:val="en-US" w:eastAsia="it-IT"/>
        </w:rPr>
        <w:t>T</w:t>
      </w:r>
      <w:r w:rsidR="003D7F6E" w:rsidRPr="00A01B2C">
        <w:rPr>
          <w:rFonts w:ascii="Book Antiqua" w:eastAsia="Times New Roman" w:hAnsi="Book Antiqua" w:cs="Tahoma"/>
          <w:sz w:val="24"/>
          <w:szCs w:val="24"/>
          <w:lang w:val="en-US" w:eastAsia="it-IT"/>
        </w:rPr>
        <w:t>he t</w:t>
      </w:r>
      <w:r w:rsidR="00F00FB1" w:rsidRPr="00A01B2C">
        <w:rPr>
          <w:rFonts w:ascii="Book Antiqua" w:eastAsia="Times New Roman" w:hAnsi="Book Antiqua" w:cs="Tahoma"/>
          <w:sz w:val="24"/>
          <w:szCs w:val="24"/>
          <w:lang w:val="en-US" w:eastAsia="it-IT"/>
        </w:rPr>
        <w:t>echn</w:t>
      </w:r>
      <w:r w:rsidR="00F62151" w:rsidRPr="00A01B2C">
        <w:rPr>
          <w:rFonts w:ascii="Book Antiqua" w:eastAsia="Times New Roman" w:hAnsi="Book Antiqua" w:cs="Tahoma"/>
          <w:sz w:val="24"/>
          <w:szCs w:val="24"/>
          <w:lang w:val="en-US" w:eastAsia="it-IT"/>
        </w:rPr>
        <w:t>ical appendix, statistical code</w:t>
      </w:r>
      <w:r w:rsidR="00F00FB1" w:rsidRPr="00A01B2C">
        <w:rPr>
          <w:rFonts w:ascii="Book Antiqua" w:eastAsia="Times New Roman" w:hAnsi="Book Antiqua" w:cs="Tahoma"/>
          <w:sz w:val="24"/>
          <w:szCs w:val="24"/>
          <w:lang w:val="en-US" w:eastAsia="it-IT"/>
        </w:rPr>
        <w:t xml:space="preserve"> and dataset </w:t>
      </w:r>
      <w:r w:rsidR="003D7F6E" w:rsidRPr="00A01B2C">
        <w:rPr>
          <w:rFonts w:ascii="Book Antiqua" w:eastAsia="Times New Roman" w:hAnsi="Book Antiqua" w:cs="Tahoma"/>
          <w:sz w:val="24"/>
          <w:szCs w:val="24"/>
          <w:lang w:val="en-US" w:eastAsia="it-IT"/>
        </w:rPr>
        <w:t xml:space="preserve">are </w:t>
      </w:r>
      <w:r w:rsidR="00F00FB1" w:rsidRPr="00A01B2C">
        <w:rPr>
          <w:rFonts w:ascii="Book Antiqua" w:eastAsia="Times New Roman" w:hAnsi="Book Antiqua" w:cs="Tahoma"/>
          <w:sz w:val="24"/>
          <w:szCs w:val="24"/>
          <w:lang w:val="en-US" w:eastAsia="it-IT"/>
        </w:rPr>
        <w:t xml:space="preserve">available from the corresponding author at </w:t>
      </w:r>
      <w:r w:rsidR="00276436" w:rsidRPr="00A01B2C">
        <w:rPr>
          <w:rFonts w:ascii="Book Antiqua" w:eastAsia="Times New Roman" w:hAnsi="Book Antiqua" w:cs="Tahoma"/>
          <w:sz w:val="24"/>
          <w:szCs w:val="24"/>
          <w:lang w:val="en-US" w:eastAsia="it-IT"/>
        </w:rPr>
        <w:t xml:space="preserve">passaretti.sandro@hsr.it. </w:t>
      </w:r>
      <w:r w:rsidR="00F00FB1" w:rsidRPr="00A01B2C">
        <w:rPr>
          <w:rFonts w:ascii="Book Antiqua" w:eastAsia="Times New Roman" w:hAnsi="Book Antiqua" w:cs="Tahoma"/>
          <w:sz w:val="24"/>
          <w:szCs w:val="24"/>
          <w:lang w:val="en-US" w:eastAsia="it-IT"/>
        </w:rPr>
        <w:t>Participants gave informed consent for data sharing</w:t>
      </w:r>
      <w:r w:rsidR="008858AC" w:rsidRPr="00A01B2C">
        <w:rPr>
          <w:rFonts w:ascii="Book Antiqua" w:eastAsia="Times New Roman" w:hAnsi="Book Antiqua" w:cs="Tahoma"/>
          <w:sz w:val="24"/>
          <w:szCs w:val="24"/>
          <w:lang w:val="en-US" w:eastAsia="it-IT"/>
        </w:rPr>
        <w:t xml:space="preserve">. </w:t>
      </w:r>
      <w:r w:rsidR="00F62151" w:rsidRPr="00A01B2C">
        <w:rPr>
          <w:rFonts w:ascii="Book Antiqua" w:eastAsia="Times New Roman" w:hAnsi="Book Antiqua" w:cs="Tahoma"/>
          <w:sz w:val="24"/>
          <w:szCs w:val="24"/>
          <w:lang w:val="en-US" w:eastAsia="it-IT"/>
        </w:rPr>
        <w:t>No additional data are available.</w:t>
      </w:r>
    </w:p>
    <w:p w:rsidR="00512FAB" w:rsidRPr="00A01B2C" w:rsidRDefault="00512FAB" w:rsidP="006D687B">
      <w:pPr>
        <w:snapToGrid w:val="0"/>
        <w:spacing w:after="0" w:line="360" w:lineRule="auto"/>
        <w:jc w:val="both"/>
        <w:rPr>
          <w:rFonts w:ascii="Book Antiqua" w:hAnsi="Book Antiqua" w:cs="Tahoma"/>
          <w:sz w:val="24"/>
          <w:szCs w:val="24"/>
          <w:lang w:val="en-US" w:eastAsia="zh-CN"/>
        </w:rPr>
      </w:pPr>
    </w:p>
    <w:p w:rsidR="00512FAB" w:rsidRPr="00A01B2C" w:rsidRDefault="00512FAB" w:rsidP="006D687B">
      <w:pPr>
        <w:pStyle w:val="1"/>
        <w:snapToGrid w:val="0"/>
        <w:spacing w:line="360" w:lineRule="auto"/>
        <w:jc w:val="both"/>
        <w:rPr>
          <w:rFonts w:ascii="Book Antiqua" w:hAnsi="Book Antiqua" w:cs="Times New Roman"/>
          <w:bCs/>
          <w:color w:val="auto"/>
          <w:sz w:val="24"/>
          <w:lang w:val="en-US"/>
        </w:rPr>
      </w:pPr>
      <w:bookmarkStart w:id="20" w:name="OLE_LINK734"/>
      <w:bookmarkStart w:id="21" w:name="OLE_LINK441"/>
      <w:bookmarkStart w:id="22" w:name="OLE_LINK442"/>
      <w:bookmarkStart w:id="23" w:name="OLE_LINK1032"/>
      <w:bookmarkStart w:id="24" w:name="OLE_LINK1232"/>
      <w:bookmarkStart w:id="25" w:name="OLE_LINK559"/>
      <w:bookmarkStart w:id="26" w:name="OLE_LINK878"/>
      <w:bookmarkStart w:id="27" w:name="OLE_LINK879"/>
      <w:r w:rsidRPr="00A01B2C">
        <w:rPr>
          <w:rFonts w:ascii="Book Antiqua" w:hAnsi="Book Antiqua" w:cs="Times New Roman"/>
          <w:b/>
          <w:bCs/>
          <w:color w:val="auto"/>
          <w:sz w:val="24"/>
          <w:lang w:val="en-US"/>
        </w:rPr>
        <w:lastRenderedPageBreak/>
        <w:t>Open-Access:</w:t>
      </w:r>
      <w:r w:rsidRPr="00A01B2C">
        <w:rPr>
          <w:rFonts w:ascii="Book Antiqua" w:hAnsi="Book Antiqua" w:cs="Times New Roman"/>
          <w:bCs/>
          <w:color w:val="auto"/>
          <w:sz w:val="24"/>
          <w:lang w:val="en-US"/>
        </w:rPr>
        <w:t xml:space="preserve"> </w:t>
      </w:r>
      <w:bookmarkStart w:id="28" w:name="OLE_LINK479"/>
      <w:bookmarkStart w:id="29" w:name="OLE_LINK496"/>
      <w:bookmarkStart w:id="30" w:name="OLE_LINK506"/>
      <w:bookmarkStart w:id="31" w:name="OLE_LINK507"/>
      <w:r w:rsidRPr="00A01B2C">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A01B2C">
        <w:rPr>
          <w:rFonts w:ascii="Book Antiqua" w:hAnsi="Book Antiqua" w:cs="Times New Roman" w:hint="eastAsia"/>
          <w:bCs/>
          <w:color w:val="auto"/>
          <w:sz w:val="24"/>
          <w:lang w:val="en-US" w:eastAsia="zh-CN"/>
        </w:rPr>
        <w:t xml:space="preserve"> </w:t>
      </w:r>
      <w:r w:rsidRPr="00A01B2C">
        <w:rPr>
          <w:rFonts w:ascii="Book Antiqua" w:hAnsi="Book Antiqua" w:cs="Times New Roman"/>
          <w:bCs/>
          <w:color w:val="auto"/>
          <w:sz w:val="24"/>
          <w:lang w:val="en-US"/>
        </w:rPr>
        <w:t>in</w:t>
      </w:r>
      <w:r w:rsidRPr="00A01B2C">
        <w:rPr>
          <w:rFonts w:ascii="Book Antiqua" w:hAnsi="Book Antiqua" w:cs="Times New Roman" w:hint="eastAsia"/>
          <w:bCs/>
          <w:color w:val="auto"/>
          <w:sz w:val="24"/>
          <w:lang w:val="en-US" w:eastAsia="zh-CN"/>
        </w:rPr>
        <w:t xml:space="preserve"> </w:t>
      </w:r>
      <w:r w:rsidRPr="00A01B2C">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A01B2C">
          <w:rPr>
            <w:rStyle w:val="Hyperlink"/>
            <w:rFonts w:ascii="Book Antiqua" w:hAnsi="Book Antiqua" w:cs="Times New Roman"/>
            <w:color w:val="auto"/>
            <w:sz w:val="24"/>
            <w:lang w:val="en-US"/>
          </w:rPr>
          <w:t>http://creativecommons.org/licenses/by-nc/4.0/</w:t>
        </w:r>
      </w:hyperlink>
      <w:bookmarkEnd w:id="20"/>
      <w:bookmarkEnd w:id="28"/>
      <w:bookmarkEnd w:id="29"/>
      <w:bookmarkEnd w:id="30"/>
      <w:bookmarkEnd w:id="31"/>
    </w:p>
    <w:bookmarkEnd w:id="21"/>
    <w:bookmarkEnd w:id="22"/>
    <w:bookmarkEnd w:id="23"/>
    <w:bookmarkEnd w:id="24"/>
    <w:bookmarkEnd w:id="25"/>
    <w:p w:rsidR="00512FAB" w:rsidRPr="00A01B2C" w:rsidRDefault="00512FAB" w:rsidP="006D687B">
      <w:pPr>
        <w:pStyle w:val="1"/>
        <w:snapToGrid w:val="0"/>
        <w:spacing w:line="360" w:lineRule="auto"/>
        <w:jc w:val="both"/>
        <w:rPr>
          <w:rFonts w:ascii="Book Antiqua" w:hAnsi="Book Antiqua" w:cs="Times New Roman"/>
          <w:b/>
          <w:bCs/>
          <w:color w:val="auto"/>
          <w:sz w:val="24"/>
          <w:lang w:val="en-US" w:eastAsia="zh-CN"/>
        </w:rPr>
      </w:pPr>
    </w:p>
    <w:p w:rsidR="00512FAB" w:rsidRPr="00A01B2C" w:rsidRDefault="00512FAB" w:rsidP="006D687B">
      <w:pPr>
        <w:pStyle w:val="1"/>
        <w:snapToGrid w:val="0"/>
        <w:spacing w:line="360" w:lineRule="auto"/>
        <w:jc w:val="both"/>
        <w:rPr>
          <w:rFonts w:ascii="Book Antiqua" w:hAnsi="Book Antiqua" w:cs="Times New Roman"/>
          <w:b/>
          <w:bCs/>
          <w:color w:val="auto"/>
          <w:sz w:val="24"/>
          <w:lang w:val="en-US" w:eastAsia="zh-CN"/>
        </w:rPr>
      </w:pPr>
      <w:r w:rsidRPr="00A01B2C">
        <w:rPr>
          <w:rFonts w:ascii="Book Antiqua" w:hAnsi="Book Antiqua" w:cs="Times New Roman"/>
          <w:b/>
          <w:bCs/>
          <w:color w:val="auto"/>
          <w:sz w:val="24"/>
          <w:lang w:val="en-US"/>
        </w:rPr>
        <w:t>Manuscript source:</w:t>
      </w:r>
      <w:r w:rsidRPr="00A01B2C">
        <w:rPr>
          <w:rFonts w:ascii="Book Antiqua" w:hAnsi="Book Antiqua" w:cs="Times New Roman" w:hint="eastAsia"/>
          <w:b/>
          <w:bCs/>
          <w:color w:val="auto"/>
          <w:sz w:val="24"/>
          <w:lang w:val="en-US" w:eastAsia="zh-CN"/>
        </w:rPr>
        <w:t xml:space="preserve"> </w:t>
      </w:r>
      <w:r w:rsidRPr="00A01B2C">
        <w:rPr>
          <w:rFonts w:ascii="Book Antiqua" w:hAnsi="Book Antiqua" w:cs="Times New Roman"/>
          <w:bCs/>
          <w:color w:val="auto"/>
          <w:sz w:val="24"/>
          <w:lang w:val="en-US"/>
        </w:rPr>
        <w:t>Invited manuscript</w:t>
      </w:r>
    </w:p>
    <w:bookmarkEnd w:id="26"/>
    <w:bookmarkEnd w:id="27"/>
    <w:p w:rsidR="00512FAB" w:rsidRPr="00A01B2C" w:rsidRDefault="00512FAB" w:rsidP="006D687B">
      <w:pPr>
        <w:snapToGrid w:val="0"/>
        <w:spacing w:after="0" w:line="360" w:lineRule="auto"/>
        <w:jc w:val="both"/>
        <w:rPr>
          <w:rFonts w:ascii="Book Antiqua" w:hAnsi="Book Antiqua" w:cs="Tahoma"/>
          <w:sz w:val="24"/>
          <w:szCs w:val="24"/>
          <w:lang w:val="en-US" w:eastAsia="zh-CN"/>
        </w:rPr>
      </w:pPr>
    </w:p>
    <w:p w:rsidR="006B4EDB" w:rsidRPr="00A01B2C" w:rsidRDefault="006B4EDB" w:rsidP="006D687B">
      <w:pPr>
        <w:snapToGrid w:val="0"/>
        <w:spacing w:after="0" w:line="360" w:lineRule="auto"/>
        <w:jc w:val="both"/>
        <w:rPr>
          <w:rFonts w:ascii="Book Antiqua" w:hAnsi="Book Antiqua" w:cs="Tahoma"/>
          <w:b/>
          <w:sz w:val="24"/>
          <w:szCs w:val="24"/>
          <w:lang w:val="en-US" w:eastAsia="zh-CN"/>
        </w:rPr>
      </w:pPr>
      <w:r w:rsidRPr="00A01B2C">
        <w:rPr>
          <w:rFonts w:ascii="Book Antiqua" w:eastAsia="Times New Roman" w:hAnsi="Book Antiqua" w:cs="Tahoma"/>
          <w:b/>
          <w:sz w:val="24"/>
          <w:szCs w:val="24"/>
          <w:lang w:val="en-US" w:eastAsia="it-IT"/>
        </w:rPr>
        <w:t>Correspondence to:</w:t>
      </w:r>
      <w:r w:rsidR="00512FAB" w:rsidRPr="00A01B2C">
        <w:rPr>
          <w:rFonts w:ascii="Book Antiqua" w:hAnsi="Book Antiqua" w:cs="Tahoma" w:hint="eastAsia"/>
          <w:b/>
          <w:sz w:val="24"/>
          <w:szCs w:val="24"/>
          <w:lang w:val="en-US" w:eastAsia="zh-CN"/>
        </w:rPr>
        <w:t xml:space="preserve"> </w:t>
      </w:r>
      <w:r w:rsidR="00F00FB1" w:rsidRPr="00A01B2C">
        <w:rPr>
          <w:rFonts w:ascii="Book Antiqua" w:eastAsia="Times New Roman" w:hAnsi="Book Antiqua" w:cs="Tahoma"/>
          <w:b/>
          <w:sz w:val="24"/>
          <w:szCs w:val="24"/>
          <w:lang w:val="en-US" w:eastAsia="it-IT"/>
        </w:rPr>
        <w:t>Sandro Passaretti</w:t>
      </w:r>
      <w:r w:rsidRPr="00A01B2C">
        <w:rPr>
          <w:rFonts w:ascii="Book Antiqua" w:eastAsia="Times New Roman" w:hAnsi="Book Antiqua" w:cs="Tahoma"/>
          <w:b/>
          <w:sz w:val="24"/>
          <w:szCs w:val="24"/>
          <w:lang w:val="en-US" w:eastAsia="it-IT"/>
        </w:rPr>
        <w:t>, MD</w:t>
      </w:r>
      <w:r w:rsidR="00512FAB" w:rsidRPr="00A01B2C">
        <w:rPr>
          <w:rFonts w:ascii="Book Antiqua" w:hAnsi="Book Antiqua" w:cs="Tahoma" w:hint="eastAsia"/>
          <w:b/>
          <w:sz w:val="24"/>
          <w:szCs w:val="24"/>
          <w:lang w:val="en-US" w:eastAsia="zh-CN"/>
        </w:rPr>
        <w:t>,</w:t>
      </w:r>
      <w:r w:rsidR="00512FAB"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Gastroenterology and Gastrointestinal Endoscopy Division,</w:t>
      </w:r>
      <w:r w:rsidR="00512FAB" w:rsidRPr="00A01B2C">
        <w:rPr>
          <w:rFonts w:ascii="Book Antiqua" w:hAnsi="Book Antiqua" w:cs="Tahoma" w:hint="eastAsia"/>
          <w:b/>
          <w:sz w:val="24"/>
          <w:szCs w:val="24"/>
          <w:lang w:val="en-US" w:eastAsia="zh-CN"/>
        </w:rPr>
        <w:t xml:space="preserve"> </w:t>
      </w:r>
      <w:r w:rsidRPr="00A01B2C">
        <w:rPr>
          <w:rFonts w:ascii="Book Antiqua" w:eastAsia="Times New Roman" w:hAnsi="Book Antiqua" w:cs="Tahoma"/>
          <w:sz w:val="24"/>
          <w:szCs w:val="24"/>
          <w:lang w:val="en-US" w:eastAsia="it-IT"/>
        </w:rPr>
        <w:t>IRCCS San Raffaele Scientific Institute,</w:t>
      </w:r>
      <w:r w:rsidR="00512FAB" w:rsidRPr="00A01B2C">
        <w:rPr>
          <w:rFonts w:ascii="Book Antiqua" w:hAnsi="Book Antiqua" w:cs="Tahoma" w:hint="eastAsia"/>
          <w:b/>
          <w:sz w:val="24"/>
          <w:szCs w:val="24"/>
          <w:lang w:val="en-US" w:eastAsia="zh-CN"/>
        </w:rPr>
        <w:t xml:space="preserve"> </w:t>
      </w:r>
      <w:r w:rsidRPr="001B5AC2">
        <w:rPr>
          <w:rFonts w:ascii="Book Antiqua" w:eastAsia="Times New Roman" w:hAnsi="Book Antiqua" w:cs="Tahoma"/>
          <w:sz w:val="24"/>
          <w:szCs w:val="24"/>
          <w:lang w:val="en-US" w:eastAsia="it-IT"/>
        </w:rPr>
        <w:t>via Olgettina 60, 20132 Milan, Italy</w:t>
      </w:r>
      <w:r w:rsidR="00512FAB" w:rsidRPr="001B5AC2">
        <w:rPr>
          <w:rFonts w:ascii="Book Antiqua" w:hAnsi="Book Antiqua" w:cs="Tahoma" w:hint="eastAsia"/>
          <w:sz w:val="24"/>
          <w:szCs w:val="24"/>
          <w:lang w:val="en-US" w:eastAsia="zh-CN"/>
        </w:rPr>
        <w:t xml:space="preserve">. </w:t>
      </w:r>
      <w:hyperlink r:id="rId8" w:history="1">
        <w:r w:rsidR="00512FAB" w:rsidRPr="001B5AC2">
          <w:rPr>
            <w:rFonts w:ascii="Book Antiqua" w:eastAsia="Times New Roman" w:hAnsi="Book Antiqua" w:cs="Tahoma"/>
            <w:sz w:val="24"/>
            <w:szCs w:val="24"/>
            <w:lang w:val="en-US" w:eastAsia="it-IT"/>
          </w:rPr>
          <w:t>passaretti.sandro@hsr.it</w:t>
        </w:r>
      </w:hyperlink>
    </w:p>
    <w:p w:rsidR="00416D25" w:rsidRPr="00A01B2C" w:rsidRDefault="00416D25" w:rsidP="006D687B">
      <w:pPr>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b/>
          <w:caps/>
          <w:sz w:val="24"/>
          <w:szCs w:val="24"/>
          <w:lang w:val="en-US" w:eastAsia="it-IT"/>
        </w:rPr>
        <w:t>t</w:t>
      </w:r>
      <w:r w:rsidRPr="00A01B2C">
        <w:rPr>
          <w:rFonts w:ascii="Book Antiqua" w:eastAsia="Times New Roman" w:hAnsi="Book Antiqua" w:cs="Tahoma"/>
          <w:b/>
          <w:sz w:val="24"/>
          <w:szCs w:val="24"/>
          <w:lang w:val="en-US" w:eastAsia="it-IT"/>
        </w:rPr>
        <w:t xml:space="preserve">elephone: </w:t>
      </w:r>
      <w:r w:rsidRPr="00A01B2C">
        <w:rPr>
          <w:rFonts w:ascii="Book Antiqua" w:eastAsia="Times New Roman" w:hAnsi="Book Antiqua" w:cs="Tahoma"/>
          <w:sz w:val="24"/>
          <w:szCs w:val="24"/>
          <w:lang w:val="en-US" w:eastAsia="it-IT"/>
        </w:rPr>
        <w:t>+39</w:t>
      </w:r>
      <w:r w:rsidR="00640276"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02</w:t>
      </w:r>
      <w:r w:rsidR="00640276"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26432756</w:t>
      </w:r>
    </w:p>
    <w:p w:rsidR="008B3D26" w:rsidRPr="00A01B2C" w:rsidRDefault="00416D25" w:rsidP="006D687B">
      <w:pPr>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b/>
          <w:caps/>
          <w:sz w:val="24"/>
          <w:szCs w:val="24"/>
          <w:lang w:val="en-US" w:eastAsia="it-IT"/>
        </w:rPr>
        <w:t>f</w:t>
      </w:r>
      <w:r w:rsidRPr="00A01B2C">
        <w:rPr>
          <w:rFonts w:ascii="Book Antiqua" w:eastAsia="Times New Roman" w:hAnsi="Book Antiqua" w:cs="Tahoma"/>
          <w:b/>
          <w:sz w:val="24"/>
          <w:szCs w:val="24"/>
          <w:lang w:val="en-US" w:eastAsia="it-IT"/>
        </w:rPr>
        <w:t xml:space="preserve">ax: </w:t>
      </w:r>
      <w:r w:rsidRPr="00A01B2C">
        <w:rPr>
          <w:rFonts w:ascii="Book Antiqua" w:eastAsia="Times New Roman" w:hAnsi="Book Antiqua" w:cs="Tahoma"/>
          <w:sz w:val="24"/>
          <w:szCs w:val="24"/>
          <w:lang w:val="en-US" w:eastAsia="it-IT"/>
        </w:rPr>
        <w:t>+39</w:t>
      </w:r>
      <w:r w:rsidR="00640276"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02</w:t>
      </w:r>
      <w:r w:rsidR="00640276"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26432504</w:t>
      </w:r>
    </w:p>
    <w:p w:rsidR="008B3D26" w:rsidRPr="00A01B2C" w:rsidRDefault="008B3D26" w:rsidP="006D687B">
      <w:pPr>
        <w:snapToGrid w:val="0"/>
        <w:spacing w:after="0" w:line="360" w:lineRule="auto"/>
        <w:jc w:val="both"/>
        <w:rPr>
          <w:rFonts w:ascii="Book Antiqua" w:eastAsia="Times New Roman" w:hAnsi="Book Antiqua" w:cs="Tahoma"/>
          <w:sz w:val="24"/>
          <w:szCs w:val="24"/>
          <w:lang w:val="en-US" w:eastAsia="it-IT"/>
        </w:rPr>
      </w:pPr>
    </w:p>
    <w:p w:rsidR="00512FAB" w:rsidRPr="00A01B2C" w:rsidRDefault="00512FAB" w:rsidP="006D687B">
      <w:pPr>
        <w:snapToGrid w:val="0"/>
        <w:spacing w:after="0" w:line="360" w:lineRule="auto"/>
        <w:jc w:val="both"/>
        <w:rPr>
          <w:rFonts w:ascii="Book Antiqua" w:hAnsi="Book Antiqua" w:cs="Tahoma"/>
          <w:b/>
          <w:sz w:val="24"/>
          <w:szCs w:val="24"/>
          <w:lang w:val="en-US" w:eastAsia="zh-CN"/>
        </w:rPr>
      </w:pPr>
      <w:r w:rsidRPr="00A01B2C">
        <w:rPr>
          <w:rFonts w:ascii="Book Antiqua" w:eastAsia="Times New Roman" w:hAnsi="Book Antiqua" w:cs="Tahoma"/>
          <w:b/>
          <w:sz w:val="24"/>
          <w:szCs w:val="24"/>
          <w:lang w:val="en-US" w:eastAsia="it-IT"/>
        </w:rPr>
        <w:t>Received:</w:t>
      </w:r>
      <w:r w:rsidRPr="00A01B2C">
        <w:rPr>
          <w:rFonts w:ascii="Book Antiqua" w:eastAsia="Times New Roman" w:hAnsi="Book Antiqua" w:cs="Tahoma" w:hint="eastAsia"/>
          <w:sz w:val="24"/>
          <w:szCs w:val="24"/>
          <w:lang w:val="en-US" w:eastAsia="it-IT"/>
        </w:rPr>
        <w:t xml:space="preserve"> </w:t>
      </w:r>
      <w:r w:rsidRPr="00A01B2C">
        <w:rPr>
          <w:rFonts w:ascii="Book Antiqua" w:hAnsi="Book Antiqua" w:cs="Tahoma" w:hint="eastAsia"/>
          <w:sz w:val="24"/>
          <w:szCs w:val="24"/>
          <w:lang w:val="en-US" w:eastAsia="zh-CN"/>
        </w:rPr>
        <w:t>June 6, 2016</w:t>
      </w:r>
    </w:p>
    <w:p w:rsidR="00512FAB" w:rsidRPr="00A01B2C" w:rsidRDefault="00512FAB" w:rsidP="006D687B">
      <w:pPr>
        <w:snapToGrid w:val="0"/>
        <w:spacing w:after="0" w:line="360" w:lineRule="auto"/>
        <w:jc w:val="both"/>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t>Peer-review started:</w:t>
      </w:r>
      <w:r w:rsidRPr="00A01B2C">
        <w:rPr>
          <w:rFonts w:ascii="Book Antiqua" w:eastAsia="Times New Roman" w:hAnsi="Book Antiqua" w:cs="Tahoma" w:hint="eastAsia"/>
          <w:b/>
          <w:sz w:val="24"/>
          <w:szCs w:val="24"/>
          <w:lang w:val="en-US" w:eastAsia="it-IT"/>
        </w:rPr>
        <w:t xml:space="preserve"> </w:t>
      </w:r>
      <w:r w:rsidRPr="00A01B2C">
        <w:rPr>
          <w:rFonts w:ascii="Book Antiqua" w:hAnsi="Book Antiqua" w:cs="Tahoma" w:hint="eastAsia"/>
          <w:sz w:val="24"/>
          <w:szCs w:val="24"/>
          <w:lang w:val="en-US" w:eastAsia="zh-CN"/>
        </w:rPr>
        <w:t>June 11, 2016</w:t>
      </w:r>
    </w:p>
    <w:p w:rsidR="00512FAB" w:rsidRPr="00A01B2C" w:rsidRDefault="00512FAB" w:rsidP="006D687B">
      <w:pPr>
        <w:snapToGrid w:val="0"/>
        <w:spacing w:after="0" w:line="360" w:lineRule="auto"/>
        <w:jc w:val="both"/>
        <w:rPr>
          <w:rFonts w:ascii="Book Antiqua" w:hAnsi="Book Antiqua" w:cs="Tahoma"/>
          <w:b/>
          <w:sz w:val="24"/>
          <w:szCs w:val="24"/>
          <w:lang w:val="en-US" w:eastAsia="zh-CN"/>
        </w:rPr>
      </w:pPr>
      <w:r w:rsidRPr="00A01B2C">
        <w:rPr>
          <w:rFonts w:ascii="Book Antiqua" w:eastAsia="Times New Roman" w:hAnsi="Book Antiqua" w:cs="Tahoma"/>
          <w:b/>
          <w:sz w:val="24"/>
          <w:szCs w:val="24"/>
          <w:lang w:val="en-US" w:eastAsia="it-IT"/>
        </w:rPr>
        <w:t>First decision:</w:t>
      </w:r>
      <w:r w:rsidRPr="00A01B2C">
        <w:rPr>
          <w:rFonts w:ascii="Book Antiqua" w:eastAsia="Times New Roman" w:hAnsi="Book Antiqua" w:cs="Tahoma" w:hint="eastAsia"/>
          <w:sz w:val="24"/>
          <w:szCs w:val="24"/>
          <w:lang w:val="en-US" w:eastAsia="it-IT"/>
        </w:rPr>
        <w:t xml:space="preserve"> </w:t>
      </w:r>
      <w:r w:rsidRPr="00A01B2C">
        <w:rPr>
          <w:rFonts w:ascii="Book Antiqua" w:hAnsi="Book Antiqua" w:cs="Tahoma" w:hint="eastAsia"/>
          <w:sz w:val="24"/>
          <w:szCs w:val="24"/>
          <w:lang w:val="en-US" w:eastAsia="zh-CN"/>
        </w:rPr>
        <w:t>July 29, 2016</w:t>
      </w:r>
    </w:p>
    <w:p w:rsidR="00512FAB" w:rsidRPr="00A01B2C" w:rsidRDefault="00512FAB" w:rsidP="006D687B">
      <w:pPr>
        <w:snapToGrid w:val="0"/>
        <w:spacing w:after="0" w:line="360" w:lineRule="auto"/>
        <w:jc w:val="both"/>
        <w:rPr>
          <w:rFonts w:ascii="Book Antiqua" w:hAnsi="Book Antiqua" w:cs="Tahoma"/>
          <w:b/>
          <w:sz w:val="24"/>
          <w:szCs w:val="24"/>
          <w:lang w:val="en-US" w:eastAsia="zh-CN"/>
        </w:rPr>
      </w:pPr>
      <w:r w:rsidRPr="00A01B2C">
        <w:rPr>
          <w:rFonts w:ascii="Book Antiqua" w:eastAsia="Times New Roman" w:hAnsi="Book Antiqua" w:cs="Tahoma"/>
          <w:b/>
          <w:sz w:val="24"/>
          <w:szCs w:val="24"/>
          <w:lang w:val="en-US" w:eastAsia="it-IT"/>
        </w:rPr>
        <w:t>Revised:</w:t>
      </w:r>
      <w:r w:rsidRPr="00A01B2C">
        <w:rPr>
          <w:rFonts w:ascii="Book Antiqua" w:eastAsia="Times New Roman" w:hAnsi="Book Antiqua" w:cs="Tahoma" w:hint="eastAsia"/>
          <w:b/>
          <w:sz w:val="24"/>
          <w:szCs w:val="24"/>
          <w:lang w:val="en-US" w:eastAsia="it-IT"/>
        </w:rPr>
        <w:t xml:space="preserve"> </w:t>
      </w:r>
      <w:r w:rsidRPr="00A01B2C">
        <w:rPr>
          <w:rFonts w:ascii="Book Antiqua" w:hAnsi="Book Antiqua" w:cs="Tahoma" w:hint="eastAsia"/>
          <w:sz w:val="24"/>
          <w:szCs w:val="24"/>
          <w:lang w:val="en-US" w:eastAsia="zh-CN"/>
        </w:rPr>
        <w:t>August 29, 2016</w:t>
      </w:r>
    </w:p>
    <w:p w:rsidR="00512FAB" w:rsidRPr="00C31485" w:rsidRDefault="00512FAB" w:rsidP="00C31485">
      <w:pPr>
        <w:spacing w:line="360" w:lineRule="auto"/>
        <w:rPr>
          <w:rFonts w:ascii="Book Antiqua" w:hAnsi="Book Antiqua"/>
          <w:color w:val="000000"/>
          <w:sz w:val="24"/>
        </w:rPr>
      </w:pPr>
      <w:r w:rsidRPr="00A01B2C">
        <w:rPr>
          <w:rFonts w:ascii="Book Antiqua" w:eastAsia="Times New Roman" w:hAnsi="Book Antiqua" w:cs="Tahoma"/>
          <w:b/>
          <w:sz w:val="24"/>
          <w:szCs w:val="24"/>
          <w:lang w:val="en-US" w:eastAsia="it-IT"/>
        </w:rPr>
        <w:t>Accepted:</w:t>
      </w:r>
      <w:r w:rsidR="00C31485" w:rsidRPr="00C31485">
        <w:rPr>
          <w:rFonts w:ascii="Book Antiqua" w:hAnsi="Book Antiqua"/>
          <w:color w:val="000000"/>
          <w:sz w:val="24"/>
        </w:rPr>
        <w:t xml:space="preserve"> </w:t>
      </w:r>
      <w:r w:rsidR="00C31485">
        <w:rPr>
          <w:rFonts w:ascii="Book Antiqua" w:hAnsi="Book Antiqua"/>
          <w:color w:val="000000"/>
          <w:sz w:val="24"/>
        </w:rPr>
        <w:t>September 28, 2016</w:t>
      </w:r>
      <w:bookmarkStart w:id="32" w:name="_GoBack"/>
      <w:bookmarkEnd w:id="32"/>
    </w:p>
    <w:p w:rsidR="00512FAB" w:rsidRPr="00A01B2C" w:rsidRDefault="00512FAB" w:rsidP="006D687B">
      <w:pPr>
        <w:snapToGrid w:val="0"/>
        <w:spacing w:after="0" w:line="360" w:lineRule="auto"/>
        <w:jc w:val="both"/>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t>Article in press:</w:t>
      </w:r>
    </w:p>
    <w:p w:rsidR="008B3D26" w:rsidRPr="00A01B2C" w:rsidRDefault="00512FAB" w:rsidP="006D687B">
      <w:pPr>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b/>
          <w:sz w:val="24"/>
          <w:szCs w:val="24"/>
          <w:lang w:val="en-US" w:eastAsia="it-IT"/>
        </w:rPr>
        <w:t>Published online</w:t>
      </w:r>
      <w:r w:rsidRPr="00A01B2C">
        <w:rPr>
          <w:rFonts w:ascii="Book Antiqua" w:eastAsia="Times New Roman" w:hAnsi="Book Antiqua" w:cs="Tahoma" w:hint="eastAsia"/>
          <w:b/>
          <w:sz w:val="24"/>
          <w:szCs w:val="24"/>
          <w:lang w:val="en-US" w:eastAsia="it-IT"/>
        </w:rPr>
        <w:t>:</w:t>
      </w:r>
    </w:p>
    <w:p w:rsidR="008B3D26" w:rsidRPr="00A01B2C" w:rsidRDefault="008B3D26" w:rsidP="006D687B">
      <w:pPr>
        <w:snapToGrid w:val="0"/>
        <w:spacing w:after="0" w:line="360" w:lineRule="auto"/>
        <w:jc w:val="both"/>
        <w:rPr>
          <w:rFonts w:ascii="Book Antiqua" w:eastAsia="Times New Roman" w:hAnsi="Book Antiqua" w:cs="Tahoma"/>
          <w:sz w:val="24"/>
          <w:szCs w:val="24"/>
          <w:lang w:val="en-US" w:eastAsia="it-IT"/>
        </w:rPr>
      </w:pPr>
    </w:p>
    <w:p w:rsidR="00DC1EB8" w:rsidRPr="00A01B2C" w:rsidRDefault="00DC1EB8" w:rsidP="006D687B">
      <w:pPr>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br w:type="page"/>
      </w:r>
    </w:p>
    <w:p w:rsidR="00450D3C" w:rsidRPr="00A01B2C" w:rsidRDefault="00450D3C" w:rsidP="006D687B">
      <w:pPr>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b/>
          <w:sz w:val="24"/>
          <w:szCs w:val="24"/>
          <w:lang w:val="en-US" w:eastAsia="it-IT"/>
        </w:rPr>
        <w:lastRenderedPageBreak/>
        <w:t>A</w:t>
      </w:r>
      <w:r w:rsidR="008A2C81" w:rsidRPr="00A01B2C">
        <w:rPr>
          <w:rFonts w:ascii="Book Antiqua" w:eastAsia="Times New Roman" w:hAnsi="Book Antiqua" w:cs="Tahoma"/>
          <w:b/>
          <w:sz w:val="24"/>
          <w:szCs w:val="24"/>
          <w:lang w:val="en-US" w:eastAsia="it-IT"/>
        </w:rPr>
        <w:t>bstract</w:t>
      </w:r>
    </w:p>
    <w:p w:rsidR="00DC1EB8" w:rsidRPr="00A01B2C" w:rsidRDefault="00A15D9D" w:rsidP="006D687B">
      <w:pPr>
        <w:snapToGrid w:val="0"/>
        <w:spacing w:after="0" w:line="360" w:lineRule="auto"/>
        <w:jc w:val="both"/>
        <w:rPr>
          <w:rFonts w:ascii="Book Antiqua" w:hAnsi="Book Antiqua"/>
          <w:b/>
          <w:i/>
          <w:sz w:val="24"/>
          <w:szCs w:val="24"/>
          <w:lang w:val="en-US" w:eastAsia="zh-CN"/>
        </w:rPr>
      </w:pPr>
      <w:r w:rsidRPr="00A01B2C">
        <w:rPr>
          <w:rFonts w:ascii="Book Antiqua" w:hAnsi="Book Antiqua"/>
          <w:b/>
          <w:i/>
          <w:sz w:val="24"/>
          <w:szCs w:val="24"/>
          <w:lang w:val="en-US"/>
        </w:rPr>
        <w:t>AIM</w:t>
      </w:r>
    </w:p>
    <w:p w:rsidR="00450D3C" w:rsidRPr="00A01B2C" w:rsidRDefault="00186197" w:rsidP="006D687B">
      <w:pPr>
        <w:snapToGrid w:val="0"/>
        <w:spacing w:after="0" w:line="360" w:lineRule="auto"/>
        <w:jc w:val="both"/>
        <w:rPr>
          <w:rFonts w:ascii="Book Antiqua" w:eastAsia="Times New Roman" w:hAnsi="Book Antiqua" w:cs="Tahoma"/>
          <w:sz w:val="24"/>
          <w:szCs w:val="24"/>
          <w:lang w:val="pl-PL" w:eastAsia="it-IT"/>
        </w:rPr>
      </w:pPr>
      <w:r w:rsidRPr="00A01B2C">
        <w:rPr>
          <w:rFonts w:ascii="Book Antiqua" w:eastAsia="Times New Roman" w:hAnsi="Book Antiqua" w:cs="Tahoma"/>
          <w:sz w:val="24"/>
          <w:szCs w:val="24"/>
          <w:lang w:val="en-US" w:eastAsia="it-IT"/>
        </w:rPr>
        <w:t xml:space="preserve">To </w:t>
      </w:r>
      <w:r w:rsidR="00450D3C" w:rsidRPr="00A01B2C">
        <w:rPr>
          <w:rFonts w:ascii="Book Antiqua" w:eastAsia="Times New Roman" w:hAnsi="Book Antiqua" w:cs="Tahoma"/>
          <w:sz w:val="24"/>
          <w:szCs w:val="24"/>
          <w:lang w:val="en-US" w:eastAsia="it-IT"/>
        </w:rPr>
        <w:t xml:space="preserve">investigate the relationship between </w:t>
      </w:r>
      <w:r w:rsidR="0070442E" w:rsidRPr="00A01B2C">
        <w:rPr>
          <w:rFonts w:ascii="Book Antiqua" w:eastAsia="Times New Roman" w:hAnsi="Book Antiqua" w:cs="Tahoma"/>
          <w:sz w:val="24"/>
          <w:szCs w:val="24"/>
          <w:lang w:val="en-US" w:eastAsia="it-IT"/>
        </w:rPr>
        <w:t xml:space="preserve">pathological </w:t>
      </w:r>
      <w:r w:rsidR="00450D3C" w:rsidRPr="00A01B2C">
        <w:rPr>
          <w:rFonts w:ascii="Book Antiqua" w:eastAsia="Times New Roman" w:hAnsi="Book Antiqua" w:cs="Tahoma"/>
          <w:sz w:val="24"/>
          <w:szCs w:val="24"/>
          <w:lang w:val="en-US" w:eastAsia="it-IT"/>
        </w:rPr>
        <w:t xml:space="preserve">oropharyngeal (OP) </w:t>
      </w:r>
      <w:r w:rsidR="00025DA7" w:rsidRPr="00A01B2C">
        <w:rPr>
          <w:rFonts w:ascii="Book Antiqua" w:eastAsia="Times New Roman" w:hAnsi="Book Antiqua" w:cs="Tahoma"/>
          <w:sz w:val="24"/>
          <w:szCs w:val="24"/>
          <w:lang w:val="en-US" w:eastAsia="it-IT"/>
        </w:rPr>
        <w:t xml:space="preserve">acid </w:t>
      </w:r>
      <w:r w:rsidR="00EB07DE" w:rsidRPr="00A01B2C">
        <w:rPr>
          <w:rFonts w:ascii="Book Antiqua" w:eastAsia="Times New Roman" w:hAnsi="Book Antiqua" w:cs="Tahoma"/>
          <w:sz w:val="24"/>
          <w:szCs w:val="24"/>
          <w:lang w:val="en-US" w:eastAsia="it-IT"/>
        </w:rPr>
        <w:t>exposure</w:t>
      </w:r>
      <w:r w:rsidR="00450D3C" w:rsidRPr="00A01B2C">
        <w:rPr>
          <w:rFonts w:ascii="Book Antiqua" w:eastAsia="Times New Roman" w:hAnsi="Book Antiqua" w:cs="Tahoma"/>
          <w:sz w:val="24"/>
          <w:szCs w:val="24"/>
          <w:lang w:val="en-US" w:eastAsia="it-IT"/>
        </w:rPr>
        <w:t xml:space="preserve"> and esophageal motility in patients with extra-esophageal syndromes. </w:t>
      </w:r>
    </w:p>
    <w:p w:rsidR="008A2C81" w:rsidRPr="00A01B2C" w:rsidRDefault="008A2C81" w:rsidP="006D687B">
      <w:pPr>
        <w:snapToGrid w:val="0"/>
        <w:spacing w:after="0" w:line="360" w:lineRule="auto"/>
        <w:jc w:val="both"/>
        <w:rPr>
          <w:rFonts w:ascii="Book Antiqua" w:hAnsi="Book Antiqua" w:cs="Tahoma"/>
          <w:b/>
          <w:sz w:val="24"/>
          <w:szCs w:val="24"/>
          <w:lang w:val="en-US" w:eastAsia="zh-CN"/>
        </w:rPr>
      </w:pPr>
    </w:p>
    <w:p w:rsidR="00DC1EB8" w:rsidRPr="00A01B2C" w:rsidRDefault="00450D3C" w:rsidP="006D687B">
      <w:pPr>
        <w:snapToGrid w:val="0"/>
        <w:spacing w:after="0" w:line="360" w:lineRule="auto"/>
        <w:jc w:val="both"/>
        <w:rPr>
          <w:rFonts w:ascii="Book Antiqua" w:hAnsi="Book Antiqua" w:cs="Tahoma"/>
          <w:b/>
          <w:i/>
          <w:caps/>
          <w:sz w:val="24"/>
          <w:szCs w:val="24"/>
          <w:lang w:val="en-US" w:eastAsia="zh-CN"/>
        </w:rPr>
      </w:pPr>
      <w:r w:rsidRPr="00A01B2C">
        <w:rPr>
          <w:rFonts w:ascii="Book Antiqua" w:eastAsia="Times New Roman" w:hAnsi="Book Antiqua" w:cs="Tahoma"/>
          <w:b/>
          <w:i/>
          <w:caps/>
          <w:sz w:val="24"/>
          <w:szCs w:val="24"/>
          <w:lang w:val="en-US" w:eastAsia="it-IT"/>
        </w:rPr>
        <w:t>Methods</w:t>
      </w:r>
    </w:p>
    <w:p w:rsidR="00450D3C" w:rsidRPr="00A01B2C" w:rsidRDefault="00450D3C" w:rsidP="006D687B">
      <w:pPr>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 xml:space="preserve">In this prospective study </w:t>
      </w:r>
      <w:r w:rsidR="008933FF" w:rsidRPr="00A01B2C">
        <w:rPr>
          <w:rFonts w:ascii="Book Antiqua" w:eastAsia="Times New Roman" w:hAnsi="Book Antiqua" w:cs="Tahoma"/>
          <w:sz w:val="24"/>
          <w:szCs w:val="24"/>
          <w:lang w:val="en-US" w:eastAsia="it-IT"/>
        </w:rPr>
        <w:t xml:space="preserve">we enrolled consecutive </w:t>
      </w:r>
      <w:r w:rsidRPr="00A01B2C">
        <w:rPr>
          <w:rFonts w:ascii="Book Antiqua" w:eastAsia="Times New Roman" w:hAnsi="Book Antiqua" w:cs="Tahoma"/>
          <w:sz w:val="24"/>
          <w:szCs w:val="24"/>
          <w:lang w:val="en-US" w:eastAsia="it-IT"/>
        </w:rPr>
        <w:t>outpatients</w:t>
      </w:r>
      <w:r w:rsidR="00074433" w:rsidRPr="00A01B2C">
        <w:rPr>
          <w:rFonts w:ascii="Book Antiqua" w:eastAsia="Times New Roman" w:hAnsi="Book Antiqua" w:cs="Tahoma"/>
          <w:sz w:val="24"/>
          <w:szCs w:val="24"/>
          <w:lang w:val="en-US" w:eastAsia="it-IT"/>
        </w:rPr>
        <w:t xml:space="preserve"> with </w:t>
      </w:r>
      <w:r w:rsidR="00C666CC" w:rsidRPr="00A01B2C">
        <w:rPr>
          <w:rFonts w:ascii="Book Antiqua" w:eastAsia="Times New Roman" w:hAnsi="Book Antiqua" w:cs="Tahoma"/>
          <w:sz w:val="24"/>
          <w:szCs w:val="24"/>
          <w:lang w:val="en-US" w:eastAsia="it-IT"/>
        </w:rPr>
        <w:t>extra</w:t>
      </w:r>
      <w:r w:rsidR="004B1655" w:rsidRPr="00A01B2C">
        <w:rPr>
          <w:rFonts w:ascii="Book Antiqua" w:eastAsia="Times New Roman" w:hAnsi="Book Antiqua" w:cs="Tahoma"/>
          <w:sz w:val="24"/>
          <w:szCs w:val="24"/>
          <w:lang w:val="en-US" w:eastAsia="it-IT"/>
        </w:rPr>
        <w:t>-</w:t>
      </w:r>
      <w:r w:rsidR="00C666CC" w:rsidRPr="00A01B2C">
        <w:rPr>
          <w:rFonts w:ascii="Book Antiqua" w:eastAsia="Times New Roman" w:hAnsi="Book Antiqua" w:cs="Tahoma"/>
          <w:sz w:val="24"/>
          <w:szCs w:val="24"/>
          <w:lang w:val="en-US" w:eastAsia="it-IT"/>
        </w:rPr>
        <w:t xml:space="preserve">esophageal symptoms </w:t>
      </w:r>
      <w:r w:rsidR="006F71D9" w:rsidRPr="00A01B2C">
        <w:rPr>
          <w:rFonts w:ascii="Book Antiqua" w:eastAsia="Times New Roman" w:hAnsi="Book Antiqua" w:cs="Tahoma"/>
          <w:sz w:val="24"/>
          <w:szCs w:val="24"/>
          <w:lang w:val="en-US" w:eastAsia="it-IT"/>
        </w:rPr>
        <w:t xml:space="preserve">suspected </w:t>
      </w:r>
      <w:r w:rsidR="00C666CC" w:rsidRPr="00A01B2C">
        <w:rPr>
          <w:rFonts w:ascii="Book Antiqua" w:eastAsia="Times New Roman" w:hAnsi="Book Antiqua" w:cs="Tahoma"/>
          <w:sz w:val="24"/>
          <w:szCs w:val="24"/>
          <w:lang w:val="en-US" w:eastAsia="it-IT"/>
        </w:rPr>
        <w:t xml:space="preserve">to be related to </w:t>
      </w:r>
      <w:r w:rsidR="008933FF" w:rsidRPr="00A01B2C">
        <w:rPr>
          <w:rFonts w:ascii="Book Antiqua" w:eastAsia="Times New Roman" w:hAnsi="Book Antiqua" w:cs="Tahoma"/>
          <w:sz w:val="24"/>
          <w:szCs w:val="24"/>
          <w:lang w:val="en-US" w:eastAsia="it-IT"/>
        </w:rPr>
        <w:t>gastroesophageal reflux disease (</w:t>
      </w:r>
      <w:r w:rsidR="00074433" w:rsidRPr="00A01B2C">
        <w:rPr>
          <w:rFonts w:ascii="Book Antiqua" w:eastAsia="Times New Roman" w:hAnsi="Book Antiqua" w:cs="Tahoma"/>
          <w:sz w:val="24"/>
          <w:szCs w:val="24"/>
          <w:lang w:val="en-US" w:eastAsia="it-IT"/>
        </w:rPr>
        <w:t>GERD</w:t>
      </w:r>
      <w:r w:rsidR="00C666CC"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 </w:t>
      </w:r>
      <w:r w:rsidR="00C666CC" w:rsidRPr="00A01B2C">
        <w:rPr>
          <w:rFonts w:ascii="Book Antiqua" w:eastAsia="Times New Roman" w:hAnsi="Book Antiqua" w:cs="Tahoma"/>
          <w:sz w:val="24"/>
          <w:szCs w:val="24"/>
          <w:lang w:val="en-US" w:eastAsia="it-IT"/>
        </w:rPr>
        <w:t xml:space="preserve">We enrolled only patients with a reflux symptom index (RSI) </w:t>
      </w:r>
      <w:r w:rsidR="0022266B" w:rsidRPr="00A01B2C">
        <w:rPr>
          <w:rFonts w:ascii="Book Antiqua" w:eastAsia="Times New Roman" w:hAnsi="Book Antiqua" w:cs="Tahoma"/>
          <w:sz w:val="24"/>
          <w:szCs w:val="24"/>
          <w:lang w:val="en-US" w:eastAsia="it-IT"/>
        </w:rPr>
        <w:t>score-</w:t>
      </w:r>
      <w:r w:rsidR="00C666CC" w:rsidRPr="00A01B2C">
        <w:rPr>
          <w:rFonts w:ascii="Book Antiqua" w:eastAsia="Times New Roman" w:hAnsi="Book Antiqua" w:cs="Tahoma"/>
          <w:sz w:val="24"/>
          <w:szCs w:val="24"/>
          <w:lang w:val="en-US" w:eastAsia="it-IT"/>
        </w:rPr>
        <w:t xml:space="preserve">higher than 13 and with previous lung, allergy and ENT evaluations excluding other specific diagnoses. All patients </w:t>
      </w:r>
      <w:r w:rsidRPr="00A01B2C">
        <w:rPr>
          <w:rFonts w:ascii="Book Antiqua" w:eastAsia="Times New Roman" w:hAnsi="Book Antiqua" w:cs="Tahoma"/>
          <w:sz w:val="24"/>
          <w:szCs w:val="24"/>
          <w:lang w:val="en-US" w:eastAsia="it-IT"/>
        </w:rPr>
        <w:t xml:space="preserve">underwent </w:t>
      </w:r>
      <w:r w:rsidR="00105D99" w:rsidRPr="00A01B2C">
        <w:rPr>
          <w:rFonts w:ascii="Book Antiqua" w:eastAsia="Times New Roman" w:hAnsi="Book Antiqua" w:cs="Tahoma"/>
          <w:sz w:val="24"/>
          <w:szCs w:val="24"/>
          <w:lang w:val="en-US" w:eastAsia="it-IT"/>
        </w:rPr>
        <w:t xml:space="preserve">24-h OP pH-metry with </w:t>
      </w:r>
      <w:r w:rsidR="0022266B" w:rsidRPr="00A01B2C">
        <w:rPr>
          <w:rFonts w:ascii="Book Antiqua" w:eastAsia="Times New Roman" w:hAnsi="Book Antiqua" w:cs="Tahoma"/>
          <w:sz w:val="24"/>
          <w:szCs w:val="24"/>
          <w:lang w:val="en-US" w:eastAsia="it-IT"/>
        </w:rPr>
        <w:t>the D</w:t>
      </w:r>
      <w:r w:rsidR="00105D99" w:rsidRPr="00A01B2C">
        <w:rPr>
          <w:rFonts w:ascii="Book Antiqua" w:eastAsia="Times New Roman" w:hAnsi="Book Antiqua" w:cs="Tahoma"/>
          <w:sz w:val="24"/>
          <w:szCs w:val="24"/>
          <w:lang w:val="en-US" w:eastAsia="it-IT"/>
        </w:rPr>
        <w:t xml:space="preserve">x probe and </w:t>
      </w:r>
      <w:r w:rsidR="008933FF" w:rsidRPr="00A01B2C">
        <w:rPr>
          <w:rFonts w:ascii="Book Antiqua" w:eastAsia="Times New Roman" w:hAnsi="Book Antiqua" w:cs="Tahoma"/>
          <w:sz w:val="24"/>
          <w:szCs w:val="24"/>
          <w:lang w:val="en-US" w:eastAsia="it-IT"/>
        </w:rPr>
        <w:t xml:space="preserve">esophageal </w:t>
      </w:r>
      <w:r w:rsidRPr="00A01B2C">
        <w:rPr>
          <w:rFonts w:ascii="Book Antiqua" w:eastAsia="Times New Roman" w:hAnsi="Book Antiqua" w:cs="Tahoma"/>
          <w:sz w:val="24"/>
          <w:szCs w:val="24"/>
          <w:lang w:val="en-US" w:eastAsia="it-IT"/>
        </w:rPr>
        <w:t>high</w:t>
      </w:r>
      <w:r w:rsidR="00302503"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resolution </w:t>
      </w:r>
      <w:r w:rsidR="00105D99" w:rsidRPr="00A01B2C">
        <w:rPr>
          <w:rFonts w:ascii="Book Antiqua" w:eastAsia="Times New Roman" w:hAnsi="Book Antiqua" w:cs="Tahoma"/>
          <w:sz w:val="24"/>
          <w:szCs w:val="24"/>
          <w:lang w:val="en-US" w:eastAsia="it-IT"/>
        </w:rPr>
        <w:t>manometry (HRM)</w:t>
      </w:r>
      <w:r w:rsidRPr="00A01B2C">
        <w:rPr>
          <w:rFonts w:ascii="Book Antiqua" w:eastAsia="Times New Roman" w:hAnsi="Book Antiqua" w:cs="Tahoma"/>
          <w:sz w:val="24"/>
          <w:szCs w:val="24"/>
          <w:lang w:val="en-US" w:eastAsia="it-IT"/>
        </w:rPr>
        <w:t>.</w:t>
      </w:r>
      <w:r w:rsidR="00FE4B6C"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Patients were divided into two groups on the basis of a normal or pathological pH-me</w:t>
      </w:r>
      <w:r w:rsidR="007B32AA" w:rsidRPr="00A01B2C">
        <w:rPr>
          <w:rFonts w:ascii="Book Antiqua" w:eastAsia="Times New Roman" w:hAnsi="Book Antiqua" w:cs="Tahoma"/>
          <w:sz w:val="24"/>
          <w:szCs w:val="24"/>
          <w:lang w:val="en-US" w:eastAsia="it-IT"/>
        </w:rPr>
        <w:t xml:space="preserve">tric </w:t>
      </w:r>
      <w:r w:rsidR="0022266B" w:rsidRPr="00A01B2C">
        <w:rPr>
          <w:rFonts w:ascii="Book Antiqua" w:eastAsia="Times New Roman" w:hAnsi="Book Antiqua" w:cs="Tahoma"/>
          <w:sz w:val="24"/>
          <w:szCs w:val="24"/>
          <w:lang w:val="en-US" w:eastAsia="it-IT"/>
        </w:rPr>
        <w:t xml:space="preserve">finding </w:t>
      </w:r>
      <w:r w:rsidR="007B32AA" w:rsidRPr="00A01B2C">
        <w:rPr>
          <w:rFonts w:ascii="Book Antiqua" w:eastAsia="Times New Roman" w:hAnsi="Book Antiqua" w:cs="Tahoma"/>
          <w:sz w:val="24"/>
          <w:szCs w:val="24"/>
          <w:lang w:val="en-US" w:eastAsia="it-IT"/>
        </w:rPr>
        <w:t>(Ryan Score)</w:t>
      </w:r>
      <w:r w:rsidR="008933FF"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and all manometric characteristics</w:t>
      </w:r>
      <w:r w:rsidR="0022266B" w:rsidRPr="00A01B2C">
        <w:rPr>
          <w:rFonts w:ascii="Book Antiqua" w:eastAsia="Times New Roman" w:hAnsi="Book Antiqua" w:cs="Tahoma"/>
          <w:sz w:val="24"/>
          <w:szCs w:val="24"/>
          <w:lang w:val="en-US" w:eastAsia="it-IT"/>
        </w:rPr>
        <w:t xml:space="preserve"> of the two groups</w:t>
      </w:r>
      <w:r w:rsidRPr="00A01B2C">
        <w:rPr>
          <w:rFonts w:ascii="Book Antiqua" w:eastAsia="Times New Roman" w:hAnsi="Book Antiqua" w:cs="Tahoma"/>
          <w:sz w:val="24"/>
          <w:szCs w:val="24"/>
          <w:lang w:val="en-US" w:eastAsia="it-IT"/>
        </w:rPr>
        <w:t xml:space="preserve"> were compared.</w:t>
      </w:r>
    </w:p>
    <w:p w:rsidR="008A2C81" w:rsidRPr="00A01B2C" w:rsidRDefault="008A2C81" w:rsidP="006D687B">
      <w:pPr>
        <w:snapToGrid w:val="0"/>
        <w:spacing w:after="0" w:line="360" w:lineRule="auto"/>
        <w:jc w:val="both"/>
        <w:rPr>
          <w:rFonts w:ascii="Book Antiqua" w:hAnsi="Book Antiqua" w:cs="Tahoma"/>
          <w:b/>
          <w:sz w:val="24"/>
          <w:szCs w:val="24"/>
          <w:lang w:val="en-US" w:eastAsia="zh-CN"/>
        </w:rPr>
      </w:pPr>
    </w:p>
    <w:p w:rsidR="00DC1EB8" w:rsidRPr="00A01B2C" w:rsidRDefault="00450D3C" w:rsidP="006D687B">
      <w:pPr>
        <w:snapToGrid w:val="0"/>
        <w:spacing w:after="0" w:line="360" w:lineRule="auto"/>
        <w:jc w:val="both"/>
        <w:rPr>
          <w:rFonts w:ascii="Book Antiqua" w:hAnsi="Book Antiqua" w:cs="Tahoma"/>
          <w:b/>
          <w:i/>
          <w:caps/>
          <w:sz w:val="24"/>
          <w:szCs w:val="24"/>
          <w:lang w:val="en-US" w:eastAsia="zh-CN"/>
        </w:rPr>
      </w:pPr>
      <w:r w:rsidRPr="00A01B2C">
        <w:rPr>
          <w:rFonts w:ascii="Book Antiqua" w:eastAsia="Times New Roman" w:hAnsi="Book Antiqua" w:cs="Tahoma"/>
          <w:b/>
          <w:i/>
          <w:caps/>
          <w:sz w:val="24"/>
          <w:szCs w:val="24"/>
          <w:lang w:val="en-US" w:eastAsia="it-IT"/>
        </w:rPr>
        <w:t>Results</w:t>
      </w:r>
    </w:p>
    <w:p w:rsidR="004D24F7" w:rsidRPr="00A01B2C" w:rsidRDefault="008858AC" w:rsidP="006D687B">
      <w:pPr>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 xml:space="preserve">We examined </w:t>
      </w:r>
      <w:r w:rsidR="00C761C8" w:rsidRPr="00A01B2C">
        <w:rPr>
          <w:rFonts w:ascii="Book Antiqua" w:eastAsia="Times New Roman" w:hAnsi="Book Antiqua" w:cs="Tahoma"/>
          <w:sz w:val="24"/>
          <w:szCs w:val="24"/>
          <w:lang w:val="en-US" w:eastAsia="it-IT"/>
        </w:rPr>
        <w:t>135 patients with chronic extra</w:t>
      </w:r>
      <w:r w:rsidRPr="00A01B2C">
        <w:rPr>
          <w:rFonts w:ascii="Book Antiqua" w:eastAsia="Times New Roman" w:hAnsi="Book Antiqua" w:cs="Tahoma"/>
          <w:sz w:val="24"/>
          <w:szCs w:val="24"/>
          <w:lang w:val="en-US" w:eastAsia="it-IT"/>
        </w:rPr>
        <w:t>-</w:t>
      </w:r>
      <w:r w:rsidR="00C761C8" w:rsidRPr="00A01B2C">
        <w:rPr>
          <w:rFonts w:ascii="Book Antiqua" w:eastAsia="Times New Roman" w:hAnsi="Book Antiqua" w:cs="Tahoma"/>
          <w:sz w:val="24"/>
          <w:szCs w:val="24"/>
          <w:lang w:val="en-US" w:eastAsia="it-IT"/>
        </w:rPr>
        <w:t xml:space="preserve">esophageal syndromes. Fifty-one were considered eligible for the study. Of these, 42 decided to participate </w:t>
      </w:r>
      <w:r w:rsidRPr="00A01B2C">
        <w:rPr>
          <w:rFonts w:ascii="Book Antiqua" w:eastAsia="Times New Roman" w:hAnsi="Book Antiqua" w:cs="Tahoma"/>
          <w:sz w:val="24"/>
          <w:szCs w:val="24"/>
          <w:lang w:val="en-US" w:eastAsia="it-IT"/>
        </w:rPr>
        <w:t xml:space="preserve">in </w:t>
      </w:r>
      <w:r w:rsidR="00C761C8" w:rsidRPr="00A01B2C">
        <w:rPr>
          <w:rFonts w:ascii="Book Antiqua" w:eastAsia="Times New Roman" w:hAnsi="Book Antiqua" w:cs="Tahoma"/>
          <w:sz w:val="24"/>
          <w:szCs w:val="24"/>
          <w:lang w:val="en-US" w:eastAsia="it-IT"/>
        </w:rPr>
        <w:t>the protocol.</w:t>
      </w:r>
      <w:r w:rsidR="00FE4B6C" w:rsidRPr="00A01B2C">
        <w:rPr>
          <w:rFonts w:ascii="Book Antiqua" w:eastAsia="Times New Roman" w:hAnsi="Book Antiqua" w:cs="Tahoma"/>
          <w:sz w:val="24"/>
          <w:szCs w:val="24"/>
          <w:lang w:val="en-US" w:eastAsia="it-IT"/>
        </w:rPr>
        <w:t xml:space="preserve"> </w:t>
      </w:r>
      <w:r w:rsidR="00C761C8" w:rsidRPr="00A01B2C">
        <w:rPr>
          <w:rFonts w:ascii="Book Antiqua" w:eastAsia="Times New Roman" w:hAnsi="Book Antiqua" w:cs="Tahoma"/>
          <w:sz w:val="24"/>
          <w:szCs w:val="24"/>
          <w:lang w:val="en-US" w:eastAsia="it-IT"/>
        </w:rPr>
        <w:t xml:space="preserve">Patients were divided into two groups on the basis of normal or pathological OP acid exposure. All the </w:t>
      </w:r>
      <w:r w:rsidRPr="00A01B2C">
        <w:rPr>
          <w:rFonts w:ascii="Book Antiqua" w:eastAsia="Times New Roman" w:hAnsi="Book Antiqua" w:cs="Tahoma"/>
          <w:sz w:val="24"/>
          <w:szCs w:val="24"/>
          <w:lang w:val="en-US" w:eastAsia="it-IT"/>
        </w:rPr>
        <w:t xml:space="preserve">HRM </w:t>
      </w:r>
      <w:r w:rsidR="00C761C8" w:rsidRPr="00A01B2C">
        <w:rPr>
          <w:rFonts w:ascii="Book Antiqua" w:eastAsia="Times New Roman" w:hAnsi="Book Antiqua" w:cs="Tahoma"/>
          <w:sz w:val="24"/>
          <w:szCs w:val="24"/>
          <w:lang w:val="en-US" w:eastAsia="it-IT"/>
        </w:rPr>
        <w:t>parameters</w:t>
      </w:r>
      <w:r w:rsidR="00FE4B6C" w:rsidRPr="00A01B2C">
        <w:rPr>
          <w:rFonts w:ascii="Book Antiqua" w:hAnsi="Book Antiqua" w:cs="Tahoma" w:hint="eastAsia"/>
          <w:sz w:val="24"/>
          <w:szCs w:val="24"/>
          <w:lang w:val="en-US" w:eastAsia="zh-CN"/>
        </w:rPr>
        <w:t xml:space="preserve"> </w:t>
      </w:r>
      <w:r w:rsidR="00C761C8" w:rsidRPr="00A01B2C">
        <w:rPr>
          <w:rFonts w:ascii="Book Antiqua" w:eastAsia="Times New Roman" w:hAnsi="Book Antiqua" w:cs="Tahoma"/>
          <w:sz w:val="24"/>
          <w:szCs w:val="24"/>
          <w:lang w:val="en-US" w:eastAsia="it-IT"/>
        </w:rPr>
        <w:t>were compared</w:t>
      </w:r>
      <w:r w:rsidR="000A5ABF"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for </w:t>
      </w:r>
      <w:r w:rsidR="000A5ABF" w:rsidRPr="00A01B2C">
        <w:rPr>
          <w:rFonts w:ascii="Book Antiqua" w:eastAsia="Times New Roman" w:hAnsi="Book Antiqua" w:cs="Tahoma"/>
          <w:sz w:val="24"/>
          <w:szCs w:val="24"/>
          <w:lang w:val="en-US" w:eastAsia="it-IT"/>
        </w:rPr>
        <w:t>the two groups</w:t>
      </w:r>
      <w:r w:rsidR="00C761C8"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S</w:t>
      </w:r>
      <w:r w:rsidR="00C761C8" w:rsidRPr="00A01B2C">
        <w:rPr>
          <w:rFonts w:ascii="Book Antiqua" w:eastAsia="Times New Roman" w:hAnsi="Book Antiqua" w:cs="Tahoma"/>
          <w:sz w:val="24"/>
          <w:szCs w:val="24"/>
          <w:lang w:val="en-US" w:eastAsia="it-IT"/>
        </w:rPr>
        <w:t>ignificant differen</w:t>
      </w:r>
      <w:r w:rsidRPr="00A01B2C">
        <w:rPr>
          <w:rFonts w:ascii="Book Antiqua" w:eastAsia="Times New Roman" w:hAnsi="Book Antiqua" w:cs="Tahoma"/>
          <w:sz w:val="24"/>
          <w:szCs w:val="24"/>
          <w:lang w:val="en-US" w:eastAsia="it-IT"/>
        </w:rPr>
        <w:t xml:space="preserve">ces were found in </w:t>
      </w:r>
      <w:r w:rsidR="00C761C8" w:rsidRPr="00A01B2C">
        <w:rPr>
          <w:rFonts w:ascii="Book Antiqua" w:eastAsia="Times New Roman" w:hAnsi="Book Antiqua" w:cs="Tahoma"/>
          <w:sz w:val="24"/>
          <w:szCs w:val="24"/>
          <w:lang w:val="en-US" w:eastAsia="it-IT"/>
        </w:rPr>
        <w:t>the median</w:t>
      </w:r>
      <w:r w:rsidRPr="00A01B2C">
        <w:rPr>
          <w:rFonts w:ascii="Book Antiqua" w:eastAsia="Times New Roman" w:hAnsi="Book Antiqua" w:cs="Tahoma"/>
          <w:sz w:val="24"/>
          <w:szCs w:val="24"/>
          <w:lang w:val="en-US" w:eastAsia="it-IT"/>
        </w:rPr>
        <w:t xml:space="preserve"> upper esophageal sphincter (UES)</w:t>
      </w:r>
      <w:r w:rsidR="00C761C8" w:rsidRPr="00A01B2C">
        <w:rPr>
          <w:rFonts w:ascii="Book Antiqua" w:eastAsia="Times New Roman" w:hAnsi="Book Antiqua" w:cs="Tahoma"/>
          <w:sz w:val="24"/>
          <w:szCs w:val="24"/>
          <w:lang w:val="en-US" w:eastAsia="it-IT"/>
        </w:rPr>
        <w:t xml:space="preserve"> resting pressure </w:t>
      </w:r>
      <w:r w:rsidR="006A30ED" w:rsidRPr="00A01B2C">
        <w:rPr>
          <w:rFonts w:ascii="Book Antiqua" w:eastAsia="Times New Roman" w:hAnsi="Book Antiqua" w:cs="Tahoma"/>
          <w:sz w:val="24"/>
          <w:szCs w:val="24"/>
          <w:lang w:val="en-US" w:eastAsia="it-IT"/>
        </w:rPr>
        <w:t xml:space="preserve">(median 71 </w:t>
      </w:r>
      <w:r w:rsidR="00FE4B6C" w:rsidRPr="00A01B2C">
        <w:rPr>
          <w:rFonts w:ascii="Book Antiqua" w:eastAsia="Times New Roman" w:hAnsi="Book Antiqua" w:cs="Tahoma"/>
          <w:sz w:val="24"/>
          <w:szCs w:val="24"/>
          <w:lang w:val="en-US" w:eastAsia="it-IT"/>
        </w:rPr>
        <w:t xml:space="preserve">mmHg </w:t>
      </w:r>
      <w:r w:rsidR="006A30ED" w:rsidRPr="00A01B2C">
        <w:rPr>
          <w:rFonts w:ascii="Book Antiqua" w:eastAsia="Times New Roman" w:hAnsi="Book Antiqua" w:cs="Tahoma"/>
          <w:i/>
          <w:sz w:val="24"/>
          <w:szCs w:val="24"/>
          <w:lang w:val="en-US" w:eastAsia="it-IT"/>
        </w:rPr>
        <w:t>vs</w:t>
      </w:r>
      <w:r w:rsidR="00FE4B6C" w:rsidRPr="00A01B2C">
        <w:rPr>
          <w:rFonts w:ascii="Book Antiqua" w:hAnsi="Book Antiqua" w:cs="Tahoma" w:hint="eastAsia"/>
          <w:sz w:val="24"/>
          <w:szCs w:val="24"/>
          <w:lang w:val="en-US" w:eastAsia="zh-CN"/>
        </w:rPr>
        <w:t xml:space="preserve"> </w:t>
      </w:r>
      <w:r w:rsidR="006A30ED" w:rsidRPr="00A01B2C">
        <w:rPr>
          <w:rFonts w:ascii="Book Antiqua" w:eastAsia="Times New Roman" w:hAnsi="Book Antiqua" w:cs="Tahoma"/>
          <w:sz w:val="24"/>
          <w:szCs w:val="24"/>
          <w:lang w:val="en-US" w:eastAsia="it-IT"/>
        </w:rPr>
        <w:t xml:space="preserve">126 mmHg, </w:t>
      </w:r>
      <w:r w:rsidR="006A30ED" w:rsidRPr="00A01B2C">
        <w:rPr>
          <w:rFonts w:ascii="Book Antiqua" w:eastAsia="Times New Roman" w:hAnsi="Book Antiqua" w:cs="Tahoma"/>
          <w:i/>
          <w:caps/>
          <w:sz w:val="24"/>
          <w:szCs w:val="24"/>
          <w:lang w:val="en-US" w:eastAsia="it-IT"/>
        </w:rPr>
        <w:t>p</w:t>
      </w:r>
      <w:r w:rsidR="00FE4B6C" w:rsidRPr="00A01B2C">
        <w:rPr>
          <w:rFonts w:ascii="Book Antiqua" w:hAnsi="Book Antiqua" w:cs="Tahoma" w:hint="eastAsia"/>
          <w:i/>
          <w:caps/>
          <w:sz w:val="24"/>
          <w:szCs w:val="24"/>
          <w:lang w:val="en-US" w:eastAsia="zh-CN"/>
        </w:rPr>
        <w:t xml:space="preserve"> </w:t>
      </w:r>
      <w:r w:rsidR="006A30ED" w:rsidRPr="00A01B2C">
        <w:rPr>
          <w:rFonts w:ascii="Book Antiqua" w:eastAsia="Times New Roman" w:hAnsi="Book Antiqua" w:cs="Tahoma"/>
          <w:sz w:val="24"/>
          <w:szCs w:val="24"/>
          <w:lang w:val="en-US" w:eastAsia="it-IT"/>
        </w:rPr>
        <w:t>=</w:t>
      </w:r>
      <w:r w:rsidR="00FE4B6C" w:rsidRPr="00A01B2C">
        <w:rPr>
          <w:rFonts w:ascii="Book Antiqua" w:hAnsi="Book Antiqua" w:cs="Tahoma" w:hint="eastAsia"/>
          <w:sz w:val="24"/>
          <w:szCs w:val="24"/>
          <w:lang w:val="en-US" w:eastAsia="zh-CN"/>
        </w:rPr>
        <w:t xml:space="preserve"> </w:t>
      </w:r>
      <w:r w:rsidR="006A30ED" w:rsidRPr="00A01B2C">
        <w:rPr>
          <w:rFonts w:ascii="Book Antiqua" w:eastAsia="Times New Roman" w:hAnsi="Book Antiqua" w:cs="Tahoma"/>
          <w:sz w:val="24"/>
          <w:szCs w:val="24"/>
          <w:lang w:val="en-US" w:eastAsia="it-IT"/>
        </w:rPr>
        <w:t xml:space="preserve">0.004) </w:t>
      </w:r>
      <w:r w:rsidR="00C761C8" w:rsidRPr="00A01B2C">
        <w:rPr>
          <w:rFonts w:ascii="Book Antiqua" w:eastAsia="Times New Roman" w:hAnsi="Book Antiqua" w:cs="Tahoma"/>
          <w:sz w:val="24"/>
          <w:szCs w:val="24"/>
          <w:lang w:val="en-US" w:eastAsia="it-IT"/>
        </w:rPr>
        <w:t xml:space="preserve">and the median </w:t>
      </w:r>
      <w:r w:rsidRPr="00A01B2C">
        <w:rPr>
          <w:rFonts w:ascii="Book Antiqua" w:eastAsia="Times New Roman" w:hAnsi="Book Antiqua" w:cs="Tahoma"/>
          <w:sz w:val="24"/>
          <w:szCs w:val="24"/>
          <w:lang w:val="en-US" w:eastAsia="it-IT"/>
        </w:rPr>
        <w:t>proximal contractile integral (PCI)</w:t>
      </w:r>
      <w:r w:rsidR="006F0BEA" w:rsidRPr="00A01B2C">
        <w:rPr>
          <w:rFonts w:ascii="Book Antiqua" w:eastAsia="Times New Roman" w:hAnsi="Book Antiqua" w:cs="Tahoma"/>
          <w:sz w:val="24"/>
          <w:szCs w:val="24"/>
          <w:lang w:val="en-US" w:eastAsia="it-IT"/>
        </w:rPr>
        <w:t xml:space="preserve"> (median 215.5 </w:t>
      </w:r>
      <w:r w:rsidR="00FE4B6C" w:rsidRPr="00A01B2C">
        <w:rPr>
          <w:rFonts w:ascii="Book Antiqua" w:eastAsia="Times New Roman" w:hAnsi="Book Antiqua" w:cs="Tahoma"/>
          <w:sz w:val="24"/>
          <w:szCs w:val="24"/>
          <w:lang w:val="en-US" w:eastAsia="it-IT"/>
        </w:rPr>
        <w:t>cm*mmHg*s</w:t>
      </w:r>
      <w:r w:rsidR="00FE4B6C" w:rsidRPr="00A01B2C">
        <w:rPr>
          <w:rFonts w:ascii="Book Antiqua" w:eastAsia="Times New Roman" w:hAnsi="Book Antiqua" w:cs="Tahoma"/>
          <w:i/>
          <w:sz w:val="24"/>
          <w:szCs w:val="24"/>
          <w:lang w:val="en-US" w:eastAsia="it-IT"/>
        </w:rPr>
        <w:t xml:space="preserve"> </w:t>
      </w:r>
      <w:r w:rsidR="006F0BEA" w:rsidRPr="00A01B2C">
        <w:rPr>
          <w:rFonts w:ascii="Book Antiqua" w:eastAsia="Times New Roman" w:hAnsi="Book Antiqua" w:cs="Tahoma"/>
          <w:i/>
          <w:sz w:val="24"/>
          <w:szCs w:val="24"/>
          <w:lang w:val="en-US" w:eastAsia="it-IT"/>
        </w:rPr>
        <w:t>vs</w:t>
      </w:r>
      <w:r w:rsidR="00FE4B6C" w:rsidRPr="00A01B2C">
        <w:rPr>
          <w:rFonts w:ascii="Book Antiqua" w:hAnsi="Book Antiqua" w:cs="Tahoma" w:hint="eastAsia"/>
          <w:sz w:val="24"/>
          <w:szCs w:val="24"/>
          <w:lang w:val="en-US" w:eastAsia="zh-CN"/>
        </w:rPr>
        <w:t xml:space="preserve"> </w:t>
      </w:r>
      <w:r w:rsidR="006F0BEA" w:rsidRPr="00A01B2C">
        <w:rPr>
          <w:rFonts w:ascii="Book Antiqua" w:eastAsia="Times New Roman" w:hAnsi="Book Antiqua" w:cs="Tahoma"/>
          <w:sz w:val="24"/>
          <w:szCs w:val="24"/>
          <w:lang w:val="en-US" w:eastAsia="it-IT"/>
        </w:rPr>
        <w:t xml:space="preserve">313.5 cm*mmHg*s, </w:t>
      </w:r>
      <w:r w:rsidR="006F0BEA" w:rsidRPr="00A01B2C">
        <w:rPr>
          <w:rFonts w:ascii="Book Antiqua" w:eastAsia="Times New Roman" w:hAnsi="Book Antiqua" w:cs="Tahoma"/>
          <w:i/>
          <w:caps/>
          <w:sz w:val="24"/>
          <w:szCs w:val="24"/>
          <w:lang w:val="en-US" w:eastAsia="it-IT"/>
        </w:rPr>
        <w:t>p</w:t>
      </w:r>
      <w:r w:rsidR="00FE4B6C" w:rsidRPr="00A01B2C">
        <w:rPr>
          <w:rFonts w:ascii="Book Antiqua" w:hAnsi="Book Antiqua" w:cs="Tahoma" w:hint="eastAsia"/>
          <w:i/>
          <w:caps/>
          <w:sz w:val="24"/>
          <w:szCs w:val="24"/>
          <w:lang w:val="en-US" w:eastAsia="zh-CN"/>
        </w:rPr>
        <w:t xml:space="preserve"> </w:t>
      </w:r>
      <w:r w:rsidR="006F0BEA" w:rsidRPr="00A01B2C">
        <w:rPr>
          <w:rFonts w:ascii="Book Antiqua" w:eastAsia="Times New Roman" w:hAnsi="Book Antiqua" w:cs="Tahoma"/>
          <w:sz w:val="24"/>
          <w:szCs w:val="24"/>
          <w:lang w:val="en-US" w:eastAsia="it-IT"/>
        </w:rPr>
        <w:t>=</w:t>
      </w:r>
      <w:r w:rsidR="00FE4B6C" w:rsidRPr="00A01B2C">
        <w:rPr>
          <w:rFonts w:ascii="Book Antiqua" w:hAnsi="Book Antiqua" w:cs="Tahoma" w:hint="eastAsia"/>
          <w:sz w:val="24"/>
          <w:szCs w:val="24"/>
          <w:lang w:val="en-US" w:eastAsia="zh-CN"/>
        </w:rPr>
        <w:t xml:space="preserve"> </w:t>
      </w:r>
      <w:r w:rsidR="006F0BEA" w:rsidRPr="00A01B2C">
        <w:rPr>
          <w:rFonts w:ascii="Book Antiqua" w:eastAsia="Times New Roman" w:hAnsi="Book Antiqua" w:cs="Tahoma"/>
          <w:sz w:val="24"/>
          <w:szCs w:val="24"/>
          <w:lang w:val="en-US" w:eastAsia="it-IT"/>
        </w:rPr>
        <w:t>0.039)</w:t>
      </w:r>
      <w:r w:rsidR="004D24F7" w:rsidRPr="00A01B2C">
        <w:rPr>
          <w:rFonts w:ascii="Book Antiqua" w:eastAsia="Times New Roman" w:hAnsi="Book Antiqua" w:cs="Tahoma"/>
          <w:sz w:val="24"/>
          <w:szCs w:val="24"/>
          <w:lang w:val="en-US" w:eastAsia="it-IT"/>
        </w:rPr>
        <w:t>,</w:t>
      </w:r>
      <w:r w:rsidR="00C761C8" w:rsidRPr="00A01B2C">
        <w:rPr>
          <w:rFonts w:ascii="Book Antiqua" w:eastAsia="Times New Roman" w:hAnsi="Book Antiqua" w:cs="Tahoma"/>
          <w:sz w:val="24"/>
          <w:szCs w:val="24"/>
          <w:lang w:val="en-US" w:eastAsia="it-IT"/>
        </w:rPr>
        <w:t xml:space="preserve"> both</w:t>
      </w:r>
      <w:r w:rsidR="00FE4B6C"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 xml:space="preserve">being </w:t>
      </w:r>
      <w:r w:rsidR="00C761C8" w:rsidRPr="00A01B2C">
        <w:rPr>
          <w:rFonts w:ascii="Book Antiqua" w:eastAsia="Times New Roman" w:hAnsi="Book Antiqua" w:cs="Tahoma"/>
          <w:sz w:val="24"/>
          <w:szCs w:val="24"/>
          <w:lang w:val="en-US" w:eastAsia="it-IT"/>
        </w:rPr>
        <w:t>lower in the group with pathological OP acid exposure, and the number of contractions with</w:t>
      </w:r>
      <w:r w:rsidRPr="00A01B2C">
        <w:rPr>
          <w:rFonts w:ascii="Book Antiqua" w:eastAsia="Times New Roman" w:hAnsi="Book Antiqua" w:cs="Tahoma"/>
          <w:sz w:val="24"/>
          <w:szCs w:val="24"/>
          <w:lang w:val="en-US" w:eastAsia="it-IT"/>
        </w:rPr>
        <w:t xml:space="preserve"> small or large</w:t>
      </w:r>
      <w:r w:rsidR="00C761C8" w:rsidRPr="00A01B2C">
        <w:rPr>
          <w:rFonts w:ascii="Book Antiqua" w:eastAsia="Times New Roman" w:hAnsi="Book Antiqua" w:cs="Tahoma"/>
          <w:sz w:val="24"/>
          <w:szCs w:val="24"/>
          <w:lang w:val="en-US" w:eastAsia="it-IT"/>
        </w:rPr>
        <w:t xml:space="preserve"> breaks, </w:t>
      </w:r>
      <w:r w:rsidRPr="00A01B2C">
        <w:rPr>
          <w:rFonts w:ascii="Book Antiqua" w:eastAsia="Times New Roman" w:hAnsi="Book Antiqua" w:cs="Tahoma"/>
          <w:sz w:val="24"/>
          <w:szCs w:val="24"/>
          <w:lang w:val="en-US" w:eastAsia="it-IT"/>
        </w:rPr>
        <w:t xml:space="preserve">which were </w:t>
      </w:r>
      <w:r w:rsidR="00C761C8" w:rsidRPr="00A01B2C">
        <w:rPr>
          <w:rFonts w:ascii="Book Antiqua" w:eastAsia="Times New Roman" w:hAnsi="Book Antiqua" w:cs="Tahoma"/>
          <w:sz w:val="24"/>
          <w:szCs w:val="24"/>
          <w:lang w:val="en-US" w:eastAsia="it-IT"/>
        </w:rPr>
        <w:t>more frequent in the same group.</w:t>
      </w:r>
      <w:r w:rsidR="004D24F7" w:rsidRPr="00A01B2C">
        <w:rPr>
          <w:rFonts w:ascii="Book Antiqua" w:eastAsia="Times New Roman" w:hAnsi="Book Antiqua" w:cs="Tahoma"/>
          <w:sz w:val="24"/>
          <w:szCs w:val="24"/>
          <w:lang w:val="en-US" w:eastAsia="it-IT"/>
        </w:rPr>
        <w:t xml:space="preserve"> This group </w:t>
      </w:r>
      <w:r w:rsidRPr="00A01B2C">
        <w:rPr>
          <w:rFonts w:ascii="Book Antiqua" w:eastAsia="Times New Roman" w:hAnsi="Book Antiqua" w:cs="Tahoma"/>
          <w:sz w:val="24"/>
          <w:szCs w:val="24"/>
          <w:lang w:val="en-US" w:eastAsia="it-IT"/>
        </w:rPr>
        <w:t xml:space="preserve">also had a larger </w:t>
      </w:r>
      <w:r w:rsidR="004D24F7" w:rsidRPr="00A01B2C">
        <w:rPr>
          <w:rFonts w:ascii="Book Antiqua" w:eastAsia="Times New Roman" w:hAnsi="Book Antiqua" w:cs="Tahoma"/>
          <w:sz w:val="24"/>
          <w:szCs w:val="24"/>
          <w:lang w:val="en-US" w:eastAsia="it-IT"/>
        </w:rPr>
        <w:t xml:space="preserve">number of peristaltic contractions with breaks in the 20 mmHg isobaric contour (38.7% </w:t>
      </w:r>
      <w:r w:rsidR="004D24F7" w:rsidRPr="00A01B2C">
        <w:rPr>
          <w:rFonts w:ascii="Book Antiqua" w:eastAsia="Times New Roman" w:hAnsi="Book Antiqua" w:cs="Tahoma"/>
          <w:i/>
          <w:sz w:val="24"/>
          <w:szCs w:val="24"/>
          <w:lang w:val="en-US" w:eastAsia="it-IT"/>
        </w:rPr>
        <w:t>vs</w:t>
      </w:r>
      <w:r w:rsidR="00FE4B6C" w:rsidRPr="00A01B2C">
        <w:rPr>
          <w:rFonts w:ascii="Book Antiqua" w:hAnsi="Book Antiqua" w:cs="Tahoma" w:hint="eastAsia"/>
          <w:i/>
          <w:sz w:val="24"/>
          <w:szCs w:val="24"/>
          <w:lang w:val="en-US" w:eastAsia="zh-CN"/>
        </w:rPr>
        <w:t xml:space="preserve"> </w:t>
      </w:r>
      <w:r w:rsidR="004D24F7" w:rsidRPr="00A01B2C">
        <w:rPr>
          <w:rFonts w:ascii="Book Antiqua" w:eastAsia="Times New Roman" w:hAnsi="Book Antiqua" w:cs="Tahoma"/>
          <w:sz w:val="24"/>
          <w:szCs w:val="24"/>
          <w:lang w:val="en-US" w:eastAsia="it-IT"/>
        </w:rPr>
        <w:t xml:space="preserve">15.38%, </w:t>
      </w:r>
      <w:r w:rsidR="004D24F7" w:rsidRPr="00A01B2C">
        <w:rPr>
          <w:rFonts w:ascii="Book Antiqua" w:eastAsia="Times New Roman" w:hAnsi="Book Antiqua" w:cs="Tahoma"/>
          <w:i/>
          <w:caps/>
          <w:sz w:val="24"/>
          <w:szCs w:val="24"/>
          <w:lang w:val="en-US" w:eastAsia="it-IT"/>
        </w:rPr>
        <w:t>p</w:t>
      </w:r>
      <w:r w:rsidR="00FE4B6C" w:rsidRPr="00A01B2C">
        <w:rPr>
          <w:rFonts w:ascii="Book Antiqua" w:hAnsi="Book Antiqua" w:cs="Tahoma" w:hint="eastAsia"/>
          <w:i/>
          <w:caps/>
          <w:sz w:val="24"/>
          <w:szCs w:val="24"/>
          <w:lang w:val="en-US" w:eastAsia="zh-CN"/>
        </w:rPr>
        <w:t xml:space="preserve"> </w:t>
      </w:r>
      <w:r w:rsidR="004D24F7" w:rsidRPr="00A01B2C">
        <w:rPr>
          <w:rFonts w:ascii="Book Antiqua" w:eastAsia="Times New Roman" w:hAnsi="Book Antiqua" w:cs="Tahoma"/>
          <w:sz w:val="24"/>
          <w:szCs w:val="24"/>
          <w:lang w:val="en-US" w:eastAsia="it-IT"/>
        </w:rPr>
        <w:t>&lt;</w:t>
      </w:r>
      <w:r w:rsidR="00FE4B6C" w:rsidRPr="00A01B2C">
        <w:rPr>
          <w:rFonts w:ascii="Book Antiqua" w:hAnsi="Book Antiqua" w:cs="Tahoma" w:hint="eastAsia"/>
          <w:sz w:val="24"/>
          <w:szCs w:val="24"/>
          <w:lang w:val="en-US" w:eastAsia="zh-CN"/>
        </w:rPr>
        <w:t xml:space="preserve"> </w:t>
      </w:r>
      <w:r w:rsidR="004D24F7" w:rsidRPr="00A01B2C">
        <w:rPr>
          <w:rFonts w:ascii="Book Antiqua" w:eastAsia="Times New Roman" w:hAnsi="Book Antiqua" w:cs="Tahoma"/>
          <w:sz w:val="24"/>
          <w:szCs w:val="24"/>
          <w:lang w:val="en-US" w:eastAsia="it-IT"/>
        </w:rPr>
        <w:t>0.0001).</w:t>
      </w:r>
    </w:p>
    <w:p w:rsidR="00C761C8" w:rsidRPr="00A01B2C" w:rsidRDefault="00C761C8" w:rsidP="006D687B">
      <w:pPr>
        <w:snapToGrid w:val="0"/>
        <w:spacing w:after="0" w:line="360" w:lineRule="auto"/>
        <w:jc w:val="both"/>
        <w:rPr>
          <w:rFonts w:ascii="Book Antiqua" w:hAnsi="Book Antiqua" w:cs="Tahoma"/>
          <w:b/>
          <w:sz w:val="24"/>
          <w:szCs w:val="24"/>
          <w:lang w:val="en-US" w:eastAsia="zh-CN"/>
        </w:rPr>
      </w:pPr>
    </w:p>
    <w:p w:rsidR="00FE4B6C" w:rsidRPr="00A01B2C" w:rsidRDefault="00450D3C" w:rsidP="006D687B">
      <w:pPr>
        <w:snapToGrid w:val="0"/>
        <w:spacing w:after="0" w:line="360" w:lineRule="auto"/>
        <w:jc w:val="both"/>
        <w:rPr>
          <w:rFonts w:ascii="Book Antiqua" w:hAnsi="Book Antiqua" w:cs="Tahoma"/>
          <w:b/>
          <w:i/>
          <w:caps/>
          <w:sz w:val="24"/>
          <w:szCs w:val="24"/>
          <w:lang w:val="en-US" w:eastAsia="zh-CN"/>
        </w:rPr>
      </w:pPr>
      <w:r w:rsidRPr="00A01B2C">
        <w:rPr>
          <w:rFonts w:ascii="Book Antiqua" w:eastAsia="Times New Roman" w:hAnsi="Book Antiqua" w:cs="Tahoma"/>
          <w:b/>
          <w:i/>
          <w:caps/>
          <w:sz w:val="24"/>
          <w:szCs w:val="24"/>
          <w:lang w:val="en-US" w:eastAsia="it-IT"/>
        </w:rPr>
        <w:t>Conclusion</w:t>
      </w:r>
    </w:p>
    <w:p w:rsidR="009D47F5" w:rsidRPr="00A01B2C" w:rsidRDefault="008858AC" w:rsidP="006D687B">
      <w:pPr>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 xml:space="preserve">In </w:t>
      </w:r>
      <w:r w:rsidR="00450D3C" w:rsidRPr="00A01B2C">
        <w:rPr>
          <w:rFonts w:ascii="Book Antiqua" w:eastAsia="Times New Roman" w:hAnsi="Book Antiqua" w:cs="Tahoma"/>
          <w:sz w:val="24"/>
          <w:szCs w:val="24"/>
          <w:lang w:val="en-US" w:eastAsia="it-IT"/>
        </w:rPr>
        <w:t xml:space="preserve">patients with </w:t>
      </w:r>
      <w:r w:rsidR="006F55D3" w:rsidRPr="00A01B2C">
        <w:rPr>
          <w:rFonts w:ascii="Book Antiqua" w:eastAsia="Times New Roman" w:hAnsi="Book Antiqua" w:cs="Tahoma"/>
          <w:sz w:val="24"/>
          <w:szCs w:val="24"/>
          <w:lang w:val="en-US" w:eastAsia="it-IT"/>
        </w:rPr>
        <w:t xml:space="preserve">suspected </w:t>
      </w:r>
      <w:r w:rsidR="00450D3C" w:rsidRPr="00A01B2C">
        <w:rPr>
          <w:rFonts w:ascii="Book Antiqua" w:eastAsia="Times New Roman" w:hAnsi="Book Antiqua" w:cs="Tahoma"/>
          <w:sz w:val="24"/>
          <w:szCs w:val="24"/>
          <w:lang w:val="en-US" w:eastAsia="it-IT"/>
        </w:rPr>
        <w:t>GERD-related extra</w:t>
      </w:r>
      <w:r w:rsidRPr="00A01B2C">
        <w:rPr>
          <w:rFonts w:ascii="Book Antiqua" w:eastAsia="Times New Roman" w:hAnsi="Book Antiqua" w:cs="Tahoma"/>
          <w:sz w:val="24"/>
          <w:szCs w:val="24"/>
          <w:lang w:val="en-US" w:eastAsia="it-IT"/>
        </w:rPr>
        <w:t>-</w:t>
      </w:r>
      <w:r w:rsidR="00450D3C" w:rsidRPr="00A01B2C">
        <w:rPr>
          <w:rFonts w:ascii="Book Antiqua" w:eastAsia="Times New Roman" w:hAnsi="Book Antiqua" w:cs="Tahoma"/>
          <w:sz w:val="24"/>
          <w:szCs w:val="24"/>
          <w:lang w:val="en-US" w:eastAsia="it-IT"/>
        </w:rPr>
        <w:t xml:space="preserve">esophageal syndromes pathological OP </w:t>
      </w:r>
      <w:r w:rsidR="00F23EEB" w:rsidRPr="00A01B2C">
        <w:rPr>
          <w:rFonts w:ascii="Book Antiqua" w:eastAsia="Times New Roman" w:hAnsi="Book Antiqua" w:cs="Tahoma"/>
          <w:sz w:val="24"/>
          <w:szCs w:val="24"/>
          <w:lang w:val="en-US" w:eastAsia="it-IT"/>
        </w:rPr>
        <w:t xml:space="preserve">acid exposure </w:t>
      </w:r>
      <w:r w:rsidRPr="00A01B2C">
        <w:rPr>
          <w:rFonts w:ascii="Book Antiqua" w:eastAsia="Times New Roman" w:hAnsi="Book Antiqua" w:cs="Tahoma"/>
          <w:sz w:val="24"/>
          <w:szCs w:val="24"/>
          <w:lang w:val="en-US" w:eastAsia="it-IT"/>
        </w:rPr>
        <w:t>wa</w:t>
      </w:r>
      <w:r w:rsidR="00450D3C" w:rsidRPr="00A01B2C">
        <w:rPr>
          <w:rFonts w:ascii="Book Antiqua" w:eastAsia="Times New Roman" w:hAnsi="Book Antiqua" w:cs="Tahoma"/>
          <w:sz w:val="24"/>
          <w:szCs w:val="24"/>
          <w:lang w:val="en-US" w:eastAsia="it-IT"/>
        </w:rPr>
        <w:t xml:space="preserve">s associated with </w:t>
      </w:r>
      <w:r w:rsidR="00025DA7" w:rsidRPr="00A01B2C">
        <w:rPr>
          <w:rFonts w:ascii="Book Antiqua" w:eastAsia="Times New Roman" w:hAnsi="Book Antiqua" w:cs="Tahoma"/>
          <w:sz w:val="24"/>
          <w:szCs w:val="24"/>
          <w:lang w:val="en-US" w:eastAsia="it-IT"/>
        </w:rPr>
        <w:t>weaker</w:t>
      </w:r>
      <w:r w:rsidR="00450D3C" w:rsidRPr="00A01B2C">
        <w:rPr>
          <w:rFonts w:ascii="Book Antiqua" w:eastAsia="Times New Roman" w:hAnsi="Book Antiqua" w:cs="Tahoma"/>
          <w:sz w:val="24"/>
          <w:szCs w:val="24"/>
          <w:lang w:val="en-US" w:eastAsia="it-IT"/>
        </w:rPr>
        <w:t xml:space="preserve"> proximal esophageal motility. </w:t>
      </w:r>
    </w:p>
    <w:p w:rsidR="00556D02" w:rsidRPr="00A01B2C" w:rsidRDefault="00556D02" w:rsidP="006D687B">
      <w:pPr>
        <w:snapToGrid w:val="0"/>
        <w:spacing w:after="0" w:line="360" w:lineRule="auto"/>
        <w:jc w:val="both"/>
        <w:rPr>
          <w:rFonts w:ascii="Book Antiqua" w:eastAsia="Times New Roman" w:hAnsi="Book Antiqua" w:cs="Tahoma"/>
          <w:sz w:val="24"/>
          <w:szCs w:val="24"/>
          <w:lang w:val="en-US" w:eastAsia="it-IT"/>
        </w:rPr>
      </w:pPr>
    </w:p>
    <w:p w:rsidR="008B32EE" w:rsidRPr="00476D70" w:rsidRDefault="00450D3C" w:rsidP="006D687B">
      <w:pPr>
        <w:snapToGrid w:val="0"/>
        <w:spacing w:after="0" w:line="360" w:lineRule="auto"/>
        <w:jc w:val="both"/>
        <w:rPr>
          <w:rFonts w:ascii="Book Antiqua" w:hAnsi="Book Antiqua" w:cs="Tahoma"/>
          <w:sz w:val="24"/>
          <w:szCs w:val="24"/>
          <w:lang w:val="en-US" w:eastAsia="zh-CN"/>
        </w:rPr>
      </w:pPr>
      <w:r w:rsidRPr="00A01B2C">
        <w:rPr>
          <w:rFonts w:ascii="Book Antiqua" w:eastAsia="Times New Roman" w:hAnsi="Book Antiqua" w:cs="Tahoma"/>
          <w:b/>
          <w:sz w:val="24"/>
          <w:szCs w:val="24"/>
          <w:lang w:val="en-US" w:eastAsia="it-IT"/>
        </w:rPr>
        <w:lastRenderedPageBreak/>
        <w:t>Key</w:t>
      </w:r>
      <w:r w:rsidR="008A2C81" w:rsidRPr="00A01B2C">
        <w:rPr>
          <w:rFonts w:ascii="Book Antiqua" w:hAnsi="Book Antiqua" w:cs="Tahoma"/>
          <w:b/>
          <w:sz w:val="24"/>
          <w:szCs w:val="24"/>
          <w:lang w:val="en-US" w:eastAsia="zh-CN"/>
        </w:rPr>
        <w:t xml:space="preserve"> </w:t>
      </w:r>
      <w:r w:rsidRPr="00A01B2C">
        <w:rPr>
          <w:rFonts w:ascii="Book Antiqua" w:eastAsia="Times New Roman" w:hAnsi="Book Antiqua" w:cs="Tahoma"/>
          <w:b/>
          <w:sz w:val="24"/>
          <w:szCs w:val="24"/>
          <w:lang w:val="en-US" w:eastAsia="it-IT"/>
        </w:rPr>
        <w:t>words:</w:t>
      </w:r>
      <w:r w:rsidRPr="00A01B2C">
        <w:rPr>
          <w:rFonts w:ascii="Book Antiqua" w:eastAsia="Times New Roman" w:hAnsi="Book Antiqua" w:cs="Tahoma"/>
          <w:sz w:val="24"/>
          <w:szCs w:val="24"/>
          <w:lang w:val="en-US" w:eastAsia="it-IT"/>
        </w:rPr>
        <w:t xml:space="preserve"> </w:t>
      </w:r>
      <w:r w:rsidR="00D17AC3" w:rsidRPr="00A01B2C">
        <w:rPr>
          <w:rFonts w:ascii="Book Antiqua" w:eastAsia="Times New Roman" w:hAnsi="Book Antiqua" w:cs="Tahoma"/>
          <w:caps/>
          <w:sz w:val="24"/>
          <w:szCs w:val="24"/>
          <w:lang w:val="en-US" w:eastAsia="it-IT"/>
        </w:rPr>
        <w:t>e</w:t>
      </w:r>
      <w:r w:rsidR="00FE4B6C" w:rsidRPr="00A01B2C">
        <w:rPr>
          <w:rFonts w:ascii="Book Antiqua" w:eastAsia="Times New Roman" w:hAnsi="Book Antiqua" w:cs="Tahoma"/>
          <w:sz w:val="24"/>
          <w:szCs w:val="24"/>
          <w:lang w:val="en-US" w:eastAsia="it-IT"/>
        </w:rPr>
        <w:t>sophagus</w:t>
      </w:r>
      <w:r w:rsidR="008B32EE" w:rsidRPr="00A01B2C">
        <w:rPr>
          <w:rFonts w:ascii="Book Antiqua" w:eastAsia="Times New Roman" w:hAnsi="Book Antiqua" w:cs="Tahoma"/>
          <w:sz w:val="24"/>
          <w:szCs w:val="24"/>
          <w:lang w:val="en-US" w:eastAsia="it-IT"/>
        </w:rPr>
        <w:t xml:space="preserve">; </w:t>
      </w:r>
      <w:r w:rsidR="00D17AC3" w:rsidRPr="00A01B2C">
        <w:rPr>
          <w:rFonts w:ascii="Book Antiqua" w:eastAsia="Times New Roman" w:hAnsi="Book Antiqua" w:cs="Tahoma"/>
          <w:caps/>
          <w:sz w:val="24"/>
          <w:szCs w:val="24"/>
          <w:lang w:val="en-US" w:eastAsia="it-IT"/>
        </w:rPr>
        <w:t>M</w:t>
      </w:r>
      <w:r w:rsidR="00FE4B6C" w:rsidRPr="00A01B2C">
        <w:rPr>
          <w:rFonts w:ascii="Book Antiqua" w:eastAsia="Times New Roman" w:hAnsi="Book Antiqua" w:cs="Tahoma"/>
          <w:sz w:val="24"/>
          <w:szCs w:val="24"/>
          <w:lang w:val="en-US" w:eastAsia="it-IT"/>
        </w:rPr>
        <w:t>otility</w:t>
      </w:r>
      <w:r w:rsidR="003E1F37" w:rsidRPr="00A01B2C">
        <w:rPr>
          <w:rFonts w:ascii="Book Antiqua" w:eastAsia="Times New Roman" w:hAnsi="Book Antiqua" w:cs="Tahoma"/>
          <w:caps/>
          <w:sz w:val="24"/>
          <w:szCs w:val="24"/>
          <w:lang w:val="en-US" w:eastAsia="it-IT"/>
        </w:rPr>
        <w:t>;</w:t>
      </w:r>
      <w:r w:rsidR="00FE4B6C" w:rsidRPr="00A01B2C">
        <w:rPr>
          <w:rFonts w:ascii="Book Antiqua" w:hAnsi="Book Antiqua" w:cs="Tahoma" w:hint="eastAsia"/>
          <w:sz w:val="24"/>
          <w:szCs w:val="24"/>
          <w:lang w:val="en-US" w:eastAsia="zh-CN"/>
        </w:rPr>
        <w:t xml:space="preserve"> </w:t>
      </w:r>
      <w:r w:rsidR="00D17AC3" w:rsidRPr="00A01B2C">
        <w:rPr>
          <w:rFonts w:ascii="Book Antiqua" w:eastAsia="Times New Roman" w:hAnsi="Book Antiqua" w:cs="Tahoma"/>
          <w:caps/>
          <w:sz w:val="24"/>
          <w:szCs w:val="24"/>
          <w:lang w:val="en-US" w:eastAsia="it-IT"/>
        </w:rPr>
        <w:t>O</w:t>
      </w:r>
      <w:r w:rsidR="00FE4B6C" w:rsidRPr="00A01B2C">
        <w:rPr>
          <w:rFonts w:ascii="Book Antiqua" w:eastAsia="Times New Roman" w:hAnsi="Book Antiqua" w:cs="Tahoma"/>
          <w:sz w:val="24"/>
          <w:szCs w:val="24"/>
          <w:lang w:val="en-US" w:eastAsia="it-IT"/>
        </w:rPr>
        <w:t>ropharyngeal reflux</w:t>
      </w:r>
      <w:r w:rsidR="00777A2B" w:rsidRPr="00A01B2C">
        <w:rPr>
          <w:rFonts w:ascii="Book Antiqua" w:eastAsia="Times New Roman" w:hAnsi="Book Antiqua" w:cs="Tahoma"/>
          <w:sz w:val="24"/>
          <w:szCs w:val="24"/>
          <w:lang w:val="en-US" w:eastAsia="it-IT"/>
        </w:rPr>
        <w:t xml:space="preserve">; </w:t>
      </w:r>
      <w:r w:rsidR="00FE4B6C" w:rsidRPr="00A01B2C">
        <w:rPr>
          <w:rFonts w:ascii="Book Antiqua" w:eastAsia="Times New Roman" w:hAnsi="Book Antiqua" w:cs="Tahoma"/>
          <w:caps/>
          <w:sz w:val="24"/>
          <w:szCs w:val="24"/>
          <w:lang w:val="en-US" w:eastAsia="it-IT"/>
        </w:rPr>
        <w:t>g</w:t>
      </w:r>
      <w:r w:rsidR="00FE4B6C" w:rsidRPr="00A01B2C">
        <w:rPr>
          <w:rFonts w:ascii="Book Antiqua" w:eastAsia="Times New Roman" w:hAnsi="Book Antiqua" w:cs="Tahoma"/>
          <w:sz w:val="24"/>
          <w:szCs w:val="24"/>
          <w:lang w:val="en-US" w:eastAsia="it-IT"/>
        </w:rPr>
        <w:t>astroesophageal reflux disease</w:t>
      </w:r>
      <w:r w:rsidR="00D20C5A">
        <w:rPr>
          <w:rFonts w:ascii="Book Antiqua" w:eastAsia="Times New Roman" w:hAnsi="Book Antiqua" w:cs="Tahoma"/>
          <w:sz w:val="24"/>
          <w:szCs w:val="24"/>
          <w:lang w:val="en-US" w:eastAsia="it-IT"/>
        </w:rPr>
        <w:t>; High</w:t>
      </w:r>
      <w:r w:rsidR="00476D70">
        <w:rPr>
          <w:rFonts w:ascii="Book Antiqua" w:eastAsia="Times New Roman" w:hAnsi="Book Antiqua" w:cs="Tahoma"/>
          <w:sz w:val="24"/>
          <w:szCs w:val="24"/>
          <w:lang w:val="en-US" w:eastAsia="it-IT"/>
        </w:rPr>
        <w:t xml:space="preserve"> resolution manometry; pH-metry</w:t>
      </w:r>
    </w:p>
    <w:p w:rsidR="00984FC6" w:rsidRDefault="00984FC6" w:rsidP="006D687B">
      <w:pPr>
        <w:snapToGrid w:val="0"/>
        <w:spacing w:after="0" w:line="360" w:lineRule="auto"/>
        <w:jc w:val="both"/>
        <w:rPr>
          <w:rFonts w:ascii="Book Antiqua" w:hAnsi="Book Antiqua" w:cs="Tahoma"/>
          <w:sz w:val="24"/>
          <w:szCs w:val="24"/>
          <w:lang w:val="en-US" w:eastAsia="zh-CN"/>
        </w:rPr>
      </w:pPr>
    </w:p>
    <w:p w:rsidR="009138EE" w:rsidRPr="009138EE" w:rsidRDefault="009138EE" w:rsidP="009138EE">
      <w:pPr>
        <w:snapToGrid w:val="0"/>
        <w:spacing w:after="0" w:line="360" w:lineRule="auto"/>
        <w:jc w:val="both"/>
        <w:rPr>
          <w:rFonts w:ascii="Book Antiqua" w:hAnsi="Book Antiqua" w:cs="Tahoma"/>
          <w:sz w:val="24"/>
          <w:szCs w:val="24"/>
          <w:lang w:val="en-US" w:eastAsia="zh-CN"/>
        </w:rPr>
      </w:pPr>
      <w:bookmarkStart w:id="33" w:name="OLE_LINK363"/>
      <w:bookmarkStart w:id="34" w:name="OLE_LINK364"/>
      <w:bookmarkStart w:id="35" w:name="OLE_LINK359"/>
      <w:bookmarkStart w:id="36" w:name="OLE_LINK1037"/>
      <w:bookmarkStart w:id="37" w:name="OLE_LINK1195"/>
      <w:bookmarkStart w:id="38" w:name="OLE_LINK1140"/>
      <w:bookmarkStart w:id="39" w:name="OLE_LINK1062"/>
      <w:bookmarkStart w:id="40" w:name="OLE_LINK500"/>
      <w:bookmarkStart w:id="41" w:name="OLE_LINK916"/>
      <w:r w:rsidRPr="009138EE">
        <w:rPr>
          <w:rFonts w:ascii="Book Antiqua" w:hAnsi="Book Antiqua" w:cs="Tahoma" w:hint="eastAsia"/>
          <w:b/>
          <w:sz w:val="24"/>
          <w:szCs w:val="24"/>
          <w:lang w:val="en-US" w:eastAsia="zh-CN"/>
        </w:rPr>
        <w:t>©</w:t>
      </w:r>
      <w:r w:rsidRPr="009138EE">
        <w:rPr>
          <w:rFonts w:ascii="Book Antiqua" w:hAnsi="Book Antiqua" w:cs="Tahoma"/>
          <w:b/>
          <w:sz w:val="24"/>
          <w:szCs w:val="24"/>
          <w:lang w:val="en-US" w:eastAsia="zh-CN"/>
        </w:rPr>
        <w:t xml:space="preserve"> The Author(s) 201</w:t>
      </w:r>
      <w:r w:rsidRPr="009138EE">
        <w:rPr>
          <w:rFonts w:ascii="Book Antiqua" w:hAnsi="Book Antiqua" w:cs="Tahoma" w:hint="eastAsia"/>
          <w:b/>
          <w:sz w:val="24"/>
          <w:szCs w:val="24"/>
          <w:lang w:val="en-US" w:eastAsia="zh-CN"/>
        </w:rPr>
        <w:t>6</w:t>
      </w:r>
      <w:r w:rsidRPr="009138EE">
        <w:rPr>
          <w:rFonts w:ascii="Book Antiqua" w:hAnsi="Book Antiqua" w:cs="Tahoma"/>
          <w:b/>
          <w:sz w:val="24"/>
          <w:szCs w:val="24"/>
          <w:lang w:val="en-US" w:eastAsia="zh-CN"/>
        </w:rPr>
        <w:t>.</w:t>
      </w:r>
      <w:r w:rsidRPr="009138EE">
        <w:rPr>
          <w:rFonts w:ascii="Book Antiqua" w:hAnsi="Book Antiqua" w:cs="Tahoma"/>
          <w:sz w:val="24"/>
          <w:szCs w:val="24"/>
          <w:lang w:val="en-US" w:eastAsia="zh-CN"/>
        </w:rPr>
        <w:t xml:space="preserve"> Published by Baishideng Publishing Group Inc. All rights reserved.</w:t>
      </w:r>
    </w:p>
    <w:bookmarkEnd w:id="33"/>
    <w:bookmarkEnd w:id="34"/>
    <w:bookmarkEnd w:id="35"/>
    <w:bookmarkEnd w:id="36"/>
    <w:bookmarkEnd w:id="37"/>
    <w:bookmarkEnd w:id="38"/>
    <w:bookmarkEnd w:id="39"/>
    <w:bookmarkEnd w:id="40"/>
    <w:bookmarkEnd w:id="41"/>
    <w:p w:rsidR="009138EE" w:rsidRPr="009138EE" w:rsidRDefault="009138EE" w:rsidP="006D687B">
      <w:pPr>
        <w:snapToGrid w:val="0"/>
        <w:spacing w:after="0" w:line="360" w:lineRule="auto"/>
        <w:jc w:val="both"/>
        <w:rPr>
          <w:rFonts w:ascii="Book Antiqua" w:hAnsi="Book Antiqua" w:cs="Tahoma"/>
          <w:sz w:val="24"/>
          <w:szCs w:val="24"/>
          <w:lang w:val="en-US" w:eastAsia="zh-CN"/>
        </w:rPr>
      </w:pPr>
    </w:p>
    <w:p w:rsidR="00984FC6" w:rsidRPr="00A01B2C" w:rsidRDefault="00984FC6" w:rsidP="006D687B">
      <w:pPr>
        <w:pStyle w:val="BodyText2"/>
        <w:snapToGrid w:val="0"/>
        <w:spacing w:line="360" w:lineRule="auto"/>
        <w:rPr>
          <w:rFonts w:ascii="Book Antiqua" w:hAnsi="Book Antiqua"/>
        </w:rPr>
      </w:pPr>
      <w:r w:rsidRPr="00A01B2C">
        <w:rPr>
          <w:rFonts w:ascii="Book Antiqua" w:hAnsi="Book Antiqua"/>
          <w:b/>
        </w:rPr>
        <w:t xml:space="preserve">Core </w:t>
      </w:r>
      <w:r w:rsidR="00FE4B6C" w:rsidRPr="00A01B2C">
        <w:rPr>
          <w:rFonts w:ascii="Book Antiqua" w:hAnsi="Book Antiqua"/>
          <w:b/>
        </w:rPr>
        <w:t>t</w:t>
      </w:r>
      <w:r w:rsidRPr="00A01B2C">
        <w:rPr>
          <w:rFonts w:ascii="Book Antiqua" w:hAnsi="Book Antiqua"/>
          <w:b/>
        </w:rPr>
        <w:t>ip:</w:t>
      </w:r>
      <w:r w:rsidR="00FE4B6C" w:rsidRPr="00A01B2C">
        <w:rPr>
          <w:rFonts w:ascii="Book Antiqua" w:eastAsiaTheme="minorEastAsia" w:hAnsi="Book Antiqua" w:hint="eastAsia"/>
          <w:lang w:eastAsia="zh-CN"/>
        </w:rPr>
        <w:t xml:space="preserve"> </w:t>
      </w:r>
      <w:r w:rsidR="00A5531F" w:rsidRPr="00A01B2C">
        <w:rPr>
          <w:rFonts w:ascii="Book Antiqua" w:hAnsi="Book Antiqua"/>
        </w:rPr>
        <w:t>A</w:t>
      </w:r>
      <w:r w:rsidRPr="00A01B2C">
        <w:rPr>
          <w:rFonts w:ascii="Book Antiqua" w:hAnsi="Book Antiqua"/>
        </w:rPr>
        <w:t xml:space="preserve"> new oropharyngeal</w:t>
      </w:r>
      <w:r w:rsidR="00204BFD" w:rsidRPr="00A01B2C">
        <w:rPr>
          <w:rFonts w:ascii="Book Antiqua" w:hAnsi="Book Antiqua"/>
        </w:rPr>
        <w:t xml:space="preserve"> pH probe</w:t>
      </w:r>
      <w:r w:rsidR="00A5531F" w:rsidRPr="00A01B2C">
        <w:rPr>
          <w:rFonts w:ascii="Book Antiqua" w:hAnsi="Book Antiqua"/>
        </w:rPr>
        <w:t xml:space="preserve"> now available </w:t>
      </w:r>
      <w:r w:rsidRPr="00A01B2C">
        <w:rPr>
          <w:rFonts w:ascii="Book Antiqua" w:hAnsi="Book Antiqua"/>
        </w:rPr>
        <w:t>is more sensitive than traditional pH sensors for faithfully monitoring the pH of oropharyngeal reflux, and</w:t>
      </w:r>
      <w:r w:rsidR="00A5531F" w:rsidRPr="00A01B2C">
        <w:rPr>
          <w:rFonts w:ascii="Book Antiqua" w:hAnsi="Book Antiqua"/>
        </w:rPr>
        <w:t xml:space="preserve"> the latest</w:t>
      </w:r>
      <w:r w:rsidRPr="00A01B2C">
        <w:rPr>
          <w:rFonts w:ascii="Book Antiqua" w:hAnsi="Book Antiqua"/>
        </w:rPr>
        <w:t xml:space="preserve"> high-resolution esophageal manometry offers a major advance in defining esophageal motility abnormalities </w:t>
      </w:r>
      <w:r w:rsidR="00A5531F" w:rsidRPr="00A01B2C">
        <w:rPr>
          <w:rFonts w:ascii="Book Antiqua" w:hAnsi="Book Antiqua"/>
        </w:rPr>
        <w:t xml:space="preserve">compared to </w:t>
      </w:r>
      <w:r w:rsidRPr="00A01B2C">
        <w:rPr>
          <w:rFonts w:ascii="Book Antiqua" w:hAnsi="Book Antiqua"/>
        </w:rPr>
        <w:t xml:space="preserve">conventional manometry. This </w:t>
      </w:r>
      <w:r w:rsidR="003B120F" w:rsidRPr="00A01B2C">
        <w:rPr>
          <w:rFonts w:ascii="Book Antiqua" w:hAnsi="Book Antiqua"/>
        </w:rPr>
        <w:t>study compares</w:t>
      </w:r>
      <w:r w:rsidR="00A5531F" w:rsidRPr="00A01B2C">
        <w:rPr>
          <w:rFonts w:ascii="Book Antiqua" w:hAnsi="Book Antiqua"/>
        </w:rPr>
        <w:t xml:space="preserve"> these two techniques, </w:t>
      </w:r>
      <w:r w:rsidR="003B120F" w:rsidRPr="00A01B2C">
        <w:rPr>
          <w:rFonts w:ascii="Book Antiqua" w:hAnsi="Book Antiqua"/>
        </w:rPr>
        <w:t xml:space="preserve">for the first time, and </w:t>
      </w:r>
      <w:r w:rsidR="00A5531F" w:rsidRPr="00A01B2C">
        <w:rPr>
          <w:rFonts w:ascii="Book Antiqua" w:hAnsi="Book Antiqua"/>
        </w:rPr>
        <w:t xml:space="preserve">indicates </w:t>
      </w:r>
      <w:r w:rsidRPr="00A01B2C">
        <w:rPr>
          <w:rFonts w:ascii="Book Antiqua" w:hAnsi="Book Antiqua"/>
        </w:rPr>
        <w:t>that in patients with extra-esophageal syndromes pathological oropharyngeal acid exposure is associated with</w:t>
      </w:r>
      <w:r w:rsidR="003B120F" w:rsidRPr="00A01B2C">
        <w:rPr>
          <w:rFonts w:ascii="Book Antiqua" w:hAnsi="Book Antiqua"/>
        </w:rPr>
        <w:t xml:space="preserve"> weaker </w:t>
      </w:r>
      <w:r w:rsidRPr="00A01B2C">
        <w:rPr>
          <w:rFonts w:ascii="Book Antiqua" w:hAnsi="Book Antiqua"/>
        </w:rPr>
        <w:t xml:space="preserve">proximal esophageal motility. </w:t>
      </w:r>
    </w:p>
    <w:p w:rsidR="00F540CC" w:rsidRPr="00A01B2C" w:rsidRDefault="00F540CC" w:rsidP="006D687B">
      <w:pPr>
        <w:pStyle w:val="BodyText2"/>
        <w:snapToGrid w:val="0"/>
        <w:spacing w:line="360" w:lineRule="auto"/>
        <w:rPr>
          <w:rFonts w:ascii="Book Antiqua" w:eastAsiaTheme="minorEastAsia" w:hAnsi="Book Antiqua"/>
          <w:lang w:eastAsia="zh-CN"/>
        </w:rPr>
      </w:pPr>
    </w:p>
    <w:p w:rsidR="00FE4B6C" w:rsidRPr="00A01B2C" w:rsidRDefault="00FE4B6C" w:rsidP="006D687B">
      <w:pPr>
        <w:snapToGrid w:val="0"/>
        <w:spacing w:after="0" w:line="360" w:lineRule="auto"/>
        <w:jc w:val="both"/>
        <w:rPr>
          <w:rFonts w:ascii="Book Antiqua" w:hAnsi="Book Antiqua" w:cs="Tahoma"/>
          <w:sz w:val="24"/>
          <w:szCs w:val="24"/>
          <w:lang w:eastAsia="zh-CN"/>
        </w:rPr>
      </w:pPr>
      <w:r w:rsidRPr="00A01B2C">
        <w:rPr>
          <w:rFonts w:ascii="Book Antiqua" w:eastAsia="Times New Roman" w:hAnsi="Book Antiqua" w:cs="Tahoma"/>
          <w:sz w:val="24"/>
          <w:szCs w:val="24"/>
          <w:lang w:eastAsia="it-IT"/>
        </w:rPr>
        <w:t>Passaretti S, Mazzoleni G, Vailati C, Testoni PA</w:t>
      </w:r>
      <w:r w:rsidRPr="00A01B2C">
        <w:rPr>
          <w:rFonts w:ascii="Book Antiqua" w:hAnsi="Book Antiqua" w:cs="Tahoma" w:hint="eastAsia"/>
          <w:sz w:val="24"/>
          <w:szCs w:val="24"/>
          <w:lang w:eastAsia="zh-CN"/>
        </w:rPr>
        <w:t xml:space="preserve">. </w:t>
      </w:r>
      <w:r w:rsidRPr="00A01B2C">
        <w:rPr>
          <w:rFonts w:ascii="Book Antiqua" w:hAnsi="Book Antiqua" w:cs="Tahoma"/>
          <w:bCs/>
          <w:sz w:val="24"/>
          <w:szCs w:val="24"/>
          <w:lang w:val="en-US"/>
        </w:rPr>
        <w:t>Oropharyngeal acid reflux and motility abnormalities of the proximal esophagus</w:t>
      </w:r>
      <w:r w:rsidRPr="00A01B2C">
        <w:rPr>
          <w:rFonts w:ascii="Book Antiqua" w:hAnsi="Book Antiqua" w:cs="Tahoma" w:hint="eastAsia"/>
          <w:bCs/>
          <w:sz w:val="24"/>
          <w:szCs w:val="24"/>
          <w:lang w:val="en-US" w:eastAsia="zh-CN"/>
        </w:rPr>
        <w:t xml:space="preserve">. </w:t>
      </w:r>
      <w:r w:rsidRPr="00A01B2C">
        <w:rPr>
          <w:rFonts w:ascii="Book Antiqua" w:hAnsi="Book Antiqua" w:cs="Tahoma"/>
          <w:bCs/>
          <w:i/>
          <w:sz w:val="24"/>
          <w:szCs w:val="24"/>
          <w:lang w:val="en-US" w:eastAsia="zh-CN"/>
        </w:rPr>
        <w:t xml:space="preserve">World J Gastroenterol </w:t>
      </w:r>
      <w:r w:rsidRPr="00A01B2C">
        <w:rPr>
          <w:rFonts w:ascii="Book Antiqua" w:hAnsi="Book Antiqua" w:cs="Tahoma"/>
          <w:bCs/>
          <w:sz w:val="24"/>
          <w:szCs w:val="24"/>
          <w:lang w:val="en-US" w:eastAsia="zh-CN"/>
        </w:rPr>
        <w:t>201</w:t>
      </w:r>
      <w:r w:rsidRPr="00A01B2C">
        <w:rPr>
          <w:rFonts w:ascii="Book Antiqua" w:hAnsi="Book Antiqua" w:cs="Tahoma" w:hint="eastAsia"/>
          <w:bCs/>
          <w:sz w:val="24"/>
          <w:szCs w:val="24"/>
          <w:lang w:val="en-US" w:eastAsia="zh-CN"/>
        </w:rPr>
        <w:t>6</w:t>
      </w:r>
      <w:r w:rsidRPr="00A01B2C">
        <w:rPr>
          <w:rFonts w:ascii="Book Antiqua" w:hAnsi="Book Antiqua" w:cs="Tahoma"/>
          <w:bCs/>
          <w:sz w:val="24"/>
          <w:szCs w:val="24"/>
          <w:lang w:val="en-US" w:eastAsia="zh-CN"/>
        </w:rPr>
        <w:t>; In press</w:t>
      </w:r>
    </w:p>
    <w:p w:rsidR="00FE4B6C" w:rsidRPr="00A01B2C" w:rsidRDefault="00FE4B6C" w:rsidP="006D687B">
      <w:pPr>
        <w:pStyle w:val="BodyText2"/>
        <w:snapToGrid w:val="0"/>
        <w:spacing w:line="360" w:lineRule="auto"/>
        <w:rPr>
          <w:rFonts w:ascii="Book Antiqua" w:eastAsiaTheme="minorEastAsia" w:hAnsi="Book Antiqua"/>
          <w:lang w:val="it-IT" w:eastAsia="zh-CN"/>
        </w:rPr>
      </w:pPr>
    </w:p>
    <w:p w:rsidR="00FE4B6C" w:rsidRPr="00A01B2C" w:rsidRDefault="00FE4B6C" w:rsidP="006D687B">
      <w:pPr>
        <w:jc w:val="both"/>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br w:type="page"/>
      </w:r>
    </w:p>
    <w:p w:rsidR="00671133" w:rsidRPr="00A01B2C" w:rsidRDefault="00013317" w:rsidP="006D687B">
      <w:pPr>
        <w:snapToGrid w:val="0"/>
        <w:spacing w:after="0" w:line="360" w:lineRule="auto"/>
        <w:jc w:val="both"/>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lastRenderedPageBreak/>
        <w:t>I</w:t>
      </w:r>
      <w:r w:rsidR="00671133" w:rsidRPr="00A01B2C">
        <w:rPr>
          <w:rFonts w:ascii="Book Antiqua" w:eastAsia="Times New Roman" w:hAnsi="Book Antiqua" w:cs="Tahoma"/>
          <w:b/>
          <w:sz w:val="24"/>
          <w:szCs w:val="24"/>
          <w:lang w:val="en-US" w:eastAsia="it-IT"/>
        </w:rPr>
        <w:t>NTRODUCTION</w:t>
      </w:r>
    </w:p>
    <w:p w:rsidR="00C77FE1" w:rsidRPr="00A01B2C" w:rsidRDefault="00671133" w:rsidP="006D687B">
      <w:pPr>
        <w:autoSpaceDE w:val="0"/>
        <w:autoSpaceDN w:val="0"/>
        <w:adjustRightInd w:val="0"/>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Gastro-esophageal reflux disease (GERD) is very common in Western countries, with a prevalence of typical manifestations of 10</w:t>
      </w:r>
      <w:r w:rsidR="00FE4B6C"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-20%</w:t>
      </w:r>
      <w:r w:rsidR="00A15D9D" w:rsidRPr="00A01B2C">
        <w:rPr>
          <w:rFonts w:ascii="Book Antiqua" w:hAnsi="Book Antiqua" w:cs="Tahoma"/>
          <w:sz w:val="24"/>
          <w:szCs w:val="24"/>
          <w:vertAlign w:val="superscript"/>
          <w:lang w:val="en-US" w:eastAsia="zh-CN"/>
        </w:rPr>
        <w:t>[1]</w:t>
      </w:r>
      <w:r w:rsidRPr="00A01B2C">
        <w:rPr>
          <w:rFonts w:ascii="Book Antiqua" w:eastAsia="Times New Roman" w:hAnsi="Book Antiqua" w:cs="Tahoma"/>
          <w:sz w:val="24"/>
          <w:szCs w:val="24"/>
          <w:lang w:val="en-US" w:eastAsia="it-IT"/>
        </w:rPr>
        <w:t>.</w:t>
      </w:r>
      <w:r w:rsidR="00FE4B6C"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 xml:space="preserve">In the last few years, ear, nose and throat (ENT) specialists have increasingly attributed a range of atypical manifestations to GERD. In 2006 an international Consensus Group developed a global classification of GERD manifestations, </w:t>
      </w:r>
      <w:r w:rsidR="00665B21" w:rsidRPr="00A01B2C">
        <w:rPr>
          <w:rFonts w:ascii="Book Antiqua" w:eastAsia="Times New Roman" w:hAnsi="Book Antiqua" w:cs="Tahoma"/>
          <w:sz w:val="24"/>
          <w:szCs w:val="24"/>
          <w:lang w:val="en-US" w:eastAsia="it-IT"/>
        </w:rPr>
        <w:t xml:space="preserve">grouping </w:t>
      </w:r>
      <w:r w:rsidRPr="00A01B2C">
        <w:rPr>
          <w:rFonts w:ascii="Book Antiqua" w:eastAsia="Times New Roman" w:hAnsi="Book Antiqua" w:cs="Tahoma"/>
          <w:sz w:val="24"/>
          <w:szCs w:val="24"/>
          <w:lang w:val="en-US" w:eastAsia="it-IT"/>
        </w:rPr>
        <w:t>them as either esophageal or extra-esophageal syndromes</w:t>
      </w:r>
      <w:r w:rsidR="00C406D7" w:rsidRPr="00A01B2C">
        <w:rPr>
          <w:rFonts w:ascii="Book Antiqua" w:eastAsia="Times New Roman" w:hAnsi="Book Antiqua" w:cs="Tahoma"/>
          <w:sz w:val="24"/>
          <w:szCs w:val="24"/>
          <w:vertAlign w:val="superscript"/>
          <w:lang w:val="en-US" w:eastAsia="it-IT"/>
        </w:rPr>
        <w:t xml:space="preserve">[1] </w:t>
      </w:r>
      <w:r w:rsidRPr="00A01B2C">
        <w:rPr>
          <w:rFonts w:ascii="Book Antiqua" w:eastAsia="Times New Roman" w:hAnsi="Book Antiqua" w:cs="Tahoma"/>
          <w:sz w:val="24"/>
          <w:szCs w:val="24"/>
          <w:lang w:val="en-US" w:eastAsia="it-IT"/>
        </w:rPr>
        <w:t xml:space="preserve">. </w:t>
      </w:r>
    </w:p>
    <w:p w:rsidR="00C77FE1" w:rsidRPr="00A01B2C" w:rsidRDefault="00671133" w:rsidP="006D687B">
      <w:pPr>
        <w:autoSpaceDE w:val="0"/>
        <w:autoSpaceDN w:val="0"/>
        <w:adjustRightInd w:val="0"/>
        <w:snapToGrid w:val="0"/>
        <w:spacing w:after="0" w:line="360" w:lineRule="auto"/>
        <w:ind w:firstLineChars="100" w:firstLine="240"/>
        <w:jc w:val="both"/>
        <w:rPr>
          <w:rFonts w:ascii="Book Antiqua" w:hAnsi="Book Antiqua" w:cs="Tahoma"/>
          <w:sz w:val="24"/>
          <w:szCs w:val="24"/>
          <w:lang w:val="en-US" w:eastAsia="zh-CN"/>
        </w:rPr>
      </w:pPr>
      <w:r w:rsidRPr="00A01B2C">
        <w:rPr>
          <w:rFonts w:ascii="Book Antiqua" w:eastAsia="Times New Roman" w:hAnsi="Book Antiqua" w:cs="Tahoma"/>
          <w:sz w:val="24"/>
          <w:szCs w:val="24"/>
          <w:lang w:val="en-US" w:eastAsia="it-IT"/>
        </w:rPr>
        <w:t>It is hard to calculate the prevalence of extra-esophageal syndromes because of their multifactorial etiology and the difficulty of establishing a clear cause-effect relationship between reflux and symptoms</w:t>
      </w:r>
      <w:r w:rsidR="00504436" w:rsidRPr="00A01B2C">
        <w:rPr>
          <w:rFonts w:ascii="Book Antiqua" w:eastAsia="Times New Roman" w:hAnsi="Book Antiqua" w:cs="Tahoma"/>
          <w:sz w:val="24"/>
          <w:szCs w:val="24"/>
          <w:vertAlign w:val="superscript"/>
          <w:lang w:val="en-US" w:eastAsia="it-IT"/>
        </w:rPr>
        <w:t>[2]</w:t>
      </w:r>
      <w:r w:rsidRPr="00A01B2C">
        <w:rPr>
          <w:rFonts w:ascii="Book Antiqua" w:eastAsia="Times New Roman" w:hAnsi="Book Antiqua" w:cs="Tahoma"/>
          <w:sz w:val="24"/>
          <w:szCs w:val="24"/>
          <w:lang w:val="en-US" w:eastAsia="it-IT"/>
        </w:rPr>
        <w:t xml:space="preserve">. </w:t>
      </w:r>
      <w:r w:rsidR="00026C3B" w:rsidRPr="00A01B2C">
        <w:rPr>
          <w:rFonts w:ascii="Book Antiqua" w:eastAsia="Times New Roman" w:hAnsi="Book Antiqua" w:cs="Tahoma"/>
          <w:sz w:val="24"/>
          <w:szCs w:val="24"/>
          <w:lang w:val="en-US" w:eastAsia="it-IT"/>
        </w:rPr>
        <w:t>T</w:t>
      </w:r>
      <w:r w:rsidRPr="00A01B2C">
        <w:rPr>
          <w:rFonts w:ascii="Book Antiqua" w:eastAsia="Times New Roman" w:hAnsi="Book Antiqua" w:cs="Tahoma"/>
          <w:sz w:val="24"/>
          <w:szCs w:val="24"/>
          <w:lang w:val="en-US" w:eastAsia="it-IT"/>
        </w:rPr>
        <w:t>he ‘gold standard’ for determining a pathological</w:t>
      </w:r>
      <w:r w:rsidR="00B30A8A" w:rsidRPr="00A01B2C">
        <w:rPr>
          <w:rFonts w:ascii="Book Antiqua" w:eastAsia="Times New Roman" w:hAnsi="Book Antiqua" w:cs="Tahoma"/>
          <w:sz w:val="24"/>
          <w:szCs w:val="24"/>
          <w:lang w:val="en-US" w:eastAsia="it-IT"/>
        </w:rPr>
        <w:t xml:space="preserve"> gastro-esophageal reflux (GER), </w:t>
      </w:r>
      <w:r w:rsidRPr="00A01B2C">
        <w:rPr>
          <w:rFonts w:ascii="Book Antiqua" w:eastAsia="Times New Roman" w:hAnsi="Book Antiqua" w:cs="Tahoma"/>
          <w:sz w:val="24"/>
          <w:szCs w:val="24"/>
          <w:lang w:val="en-US" w:eastAsia="it-IT"/>
        </w:rPr>
        <w:t>24-h esophage</w:t>
      </w:r>
      <w:r w:rsidR="00BC4CF2" w:rsidRPr="00A01B2C">
        <w:rPr>
          <w:rFonts w:ascii="Book Antiqua" w:eastAsia="Times New Roman" w:hAnsi="Book Antiqua" w:cs="Tahoma"/>
          <w:sz w:val="24"/>
          <w:szCs w:val="24"/>
          <w:lang w:val="en-US" w:eastAsia="it-IT"/>
        </w:rPr>
        <w:t>a</w:t>
      </w:r>
      <w:r w:rsidRPr="00A01B2C">
        <w:rPr>
          <w:rFonts w:ascii="Book Antiqua" w:eastAsia="Times New Roman" w:hAnsi="Book Antiqua" w:cs="Tahoma"/>
          <w:sz w:val="24"/>
          <w:szCs w:val="24"/>
          <w:lang w:val="en-US" w:eastAsia="it-IT"/>
        </w:rPr>
        <w:t>l pH-</w:t>
      </w:r>
      <w:r w:rsidR="00BC4CF2" w:rsidRPr="00A01B2C">
        <w:rPr>
          <w:rFonts w:ascii="Book Antiqua" w:eastAsia="Times New Roman" w:hAnsi="Book Antiqua" w:cs="Tahoma"/>
          <w:sz w:val="24"/>
          <w:szCs w:val="24"/>
          <w:lang w:val="en-US" w:eastAsia="it-IT"/>
        </w:rPr>
        <w:t>impeda</w:t>
      </w:r>
      <w:r w:rsidRPr="00A01B2C">
        <w:rPr>
          <w:rFonts w:ascii="Book Antiqua" w:eastAsia="Times New Roman" w:hAnsi="Book Antiqua" w:cs="Tahoma"/>
          <w:sz w:val="24"/>
          <w:szCs w:val="24"/>
          <w:lang w:val="en-US" w:eastAsia="it-IT"/>
        </w:rPr>
        <w:t xml:space="preserve">nce, is not </w:t>
      </w:r>
      <w:r w:rsidR="001B6337" w:rsidRPr="00A01B2C">
        <w:rPr>
          <w:rFonts w:ascii="Book Antiqua" w:eastAsia="Times New Roman" w:hAnsi="Book Antiqua" w:cs="Tahoma"/>
          <w:sz w:val="24"/>
          <w:szCs w:val="24"/>
          <w:lang w:val="en-US" w:eastAsia="it-IT"/>
        </w:rPr>
        <w:t xml:space="preserve">totally </w:t>
      </w:r>
      <w:r w:rsidRPr="00A01B2C">
        <w:rPr>
          <w:rFonts w:ascii="Book Antiqua" w:eastAsia="Times New Roman" w:hAnsi="Book Antiqua" w:cs="Tahoma"/>
          <w:sz w:val="24"/>
          <w:szCs w:val="24"/>
          <w:lang w:val="en-US" w:eastAsia="it-IT"/>
        </w:rPr>
        <w:t xml:space="preserve">reliable for the diagnosis of laryngopharyngeal reflux (LPR) because the </w:t>
      </w:r>
      <w:r w:rsidR="00BC4CF2" w:rsidRPr="00A01B2C">
        <w:rPr>
          <w:rFonts w:ascii="Book Antiqua" w:eastAsia="Times New Roman" w:hAnsi="Book Antiqua" w:cs="Tahoma"/>
          <w:sz w:val="24"/>
          <w:szCs w:val="24"/>
          <w:lang w:val="en-US" w:eastAsia="it-IT"/>
        </w:rPr>
        <w:t>standard impeda</w:t>
      </w:r>
      <w:r w:rsidRPr="00A01B2C">
        <w:rPr>
          <w:rFonts w:ascii="Book Antiqua" w:eastAsia="Times New Roman" w:hAnsi="Book Antiqua" w:cs="Tahoma"/>
          <w:sz w:val="24"/>
          <w:szCs w:val="24"/>
          <w:lang w:val="en-US" w:eastAsia="it-IT"/>
        </w:rPr>
        <w:t>nce probes do not have channels reaching</w:t>
      </w:r>
      <w:r w:rsidR="00B30A8A" w:rsidRPr="00A01B2C">
        <w:rPr>
          <w:rFonts w:ascii="Book Antiqua" w:eastAsia="Times New Roman" w:hAnsi="Book Antiqua" w:cs="Tahoma"/>
          <w:sz w:val="24"/>
          <w:szCs w:val="24"/>
          <w:lang w:val="en-US" w:eastAsia="it-IT"/>
        </w:rPr>
        <w:t xml:space="preserve"> the</w:t>
      </w:r>
      <w:r w:rsidRPr="00A01B2C">
        <w:rPr>
          <w:rFonts w:ascii="Book Antiqua" w:eastAsia="Times New Roman" w:hAnsi="Book Antiqua" w:cs="Tahoma"/>
          <w:sz w:val="24"/>
          <w:szCs w:val="24"/>
          <w:lang w:val="en-US" w:eastAsia="it-IT"/>
        </w:rPr>
        <w:t xml:space="preserve"> upper esophageal sphincter (UES) and pharynx and traditional pH sensors are poorly reliable w</w:t>
      </w:r>
      <w:r w:rsidR="00492484" w:rsidRPr="00A01B2C">
        <w:rPr>
          <w:rFonts w:ascii="Book Antiqua" w:eastAsia="Times New Roman" w:hAnsi="Book Antiqua" w:cs="Tahoma"/>
          <w:sz w:val="24"/>
          <w:szCs w:val="24"/>
          <w:lang w:val="en-US" w:eastAsia="it-IT"/>
        </w:rPr>
        <w:t xml:space="preserve">hen positioned in </w:t>
      </w:r>
      <w:r w:rsidR="00B30A8A" w:rsidRPr="00A01B2C">
        <w:rPr>
          <w:rFonts w:ascii="Book Antiqua" w:eastAsia="Times New Roman" w:hAnsi="Book Antiqua" w:cs="Tahoma"/>
          <w:sz w:val="24"/>
          <w:szCs w:val="24"/>
          <w:lang w:val="en-US" w:eastAsia="it-IT"/>
        </w:rPr>
        <w:t xml:space="preserve">the </w:t>
      </w:r>
      <w:r w:rsidR="00FE4B6C" w:rsidRPr="00A01B2C">
        <w:rPr>
          <w:rFonts w:ascii="Book Antiqua" w:eastAsia="Times New Roman" w:hAnsi="Book Antiqua" w:cs="Tahoma"/>
          <w:sz w:val="24"/>
          <w:szCs w:val="24"/>
          <w:lang w:val="en-US" w:eastAsia="it-IT"/>
        </w:rPr>
        <w:t>hypopharynx</w:t>
      </w:r>
      <w:r w:rsidR="00BC07C7" w:rsidRPr="00A01B2C">
        <w:rPr>
          <w:rFonts w:ascii="Book Antiqua" w:eastAsia="Times New Roman" w:hAnsi="Book Antiqua" w:cs="Tahoma"/>
          <w:sz w:val="24"/>
          <w:szCs w:val="24"/>
          <w:vertAlign w:val="superscript"/>
          <w:lang w:val="en-US" w:eastAsia="it-IT"/>
        </w:rPr>
        <w:t>[3]</w:t>
      </w:r>
      <w:r w:rsidR="00FE4B6C" w:rsidRPr="00A01B2C">
        <w:rPr>
          <w:rFonts w:ascii="Book Antiqua" w:eastAsia="Times New Roman" w:hAnsi="Book Antiqua" w:cs="Tahoma"/>
          <w:sz w:val="24"/>
          <w:szCs w:val="24"/>
          <w:lang w:val="en-US" w:eastAsia="it-IT"/>
        </w:rPr>
        <w:t>.</w:t>
      </w:r>
    </w:p>
    <w:p w:rsidR="006C29DD" w:rsidRPr="00A01B2C" w:rsidRDefault="00BC4CF2" w:rsidP="006D687B">
      <w:pPr>
        <w:autoSpaceDE w:val="0"/>
        <w:autoSpaceDN w:val="0"/>
        <w:adjustRightInd w:val="0"/>
        <w:snapToGrid w:val="0"/>
        <w:spacing w:after="0" w:line="360" w:lineRule="auto"/>
        <w:ind w:firstLineChars="100" w:firstLine="240"/>
        <w:jc w:val="both"/>
        <w:rPr>
          <w:rFonts w:ascii="Book Antiqua" w:hAnsi="Book Antiqua" w:cs="Tahoma"/>
          <w:sz w:val="24"/>
          <w:szCs w:val="24"/>
          <w:lang w:val="en-US" w:eastAsia="zh-CN"/>
        </w:rPr>
      </w:pPr>
      <w:r w:rsidRPr="00A01B2C">
        <w:rPr>
          <w:rFonts w:ascii="Book Antiqua" w:eastAsia="Times New Roman" w:hAnsi="Book Antiqua" w:cs="Tahoma"/>
          <w:sz w:val="24"/>
          <w:szCs w:val="24"/>
          <w:lang w:val="en-US" w:eastAsia="it-IT"/>
        </w:rPr>
        <w:t>A new</w:t>
      </w:r>
      <w:r w:rsidR="00302503" w:rsidRPr="00A01B2C">
        <w:rPr>
          <w:rFonts w:ascii="Book Antiqua" w:hAnsi="Book Antiqua" w:cs="Tahoma" w:hint="eastAsia"/>
          <w:sz w:val="24"/>
          <w:szCs w:val="24"/>
          <w:lang w:val="en-US" w:eastAsia="zh-CN"/>
        </w:rPr>
        <w:t xml:space="preserve"> </w:t>
      </w:r>
      <w:r w:rsidR="00302503" w:rsidRPr="00A01B2C">
        <w:rPr>
          <w:rFonts w:ascii="Book Antiqua" w:eastAsia="Times New Roman" w:hAnsi="Book Antiqua" w:cs="Tahoma"/>
          <w:sz w:val="24"/>
          <w:szCs w:val="24"/>
          <w:lang w:val="en-US" w:eastAsia="it-IT"/>
        </w:rPr>
        <w:t>oropharyngeal (OP)</w:t>
      </w:r>
      <w:r w:rsidRPr="00A01B2C">
        <w:rPr>
          <w:rFonts w:ascii="Book Antiqua" w:eastAsia="Times New Roman" w:hAnsi="Book Antiqua" w:cs="Tahoma"/>
          <w:sz w:val="24"/>
          <w:szCs w:val="24"/>
          <w:lang w:val="en-US" w:eastAsia="it-IT"/>
        </w:rPr>
        <w:t xml:space="preserve"> pH probe, the Dx probe, is now available, and is more sensitive than traditional pH sensors for faithfully monitoring the pH </w:t>
      </w:r>
      <w:r w:rsidR="00013317" w:rsidRPr="00A01B2C">
        <w:rPr>
          <w:rFonts w:ascii="Book Antiqua" w:eastAsia="Times New Roman" w:hAnsi="Book Antiqua" w:cs="Tahoma"/>
          <w:sz w:val="24"/>
          <w:szCs w:val="24"/>
          <w:lang w:val="en-US" w:eastAsia="it-IT"/>
        </w:rPr>
        <w:t>in</w:t>
      </w:r>
      <w:r w:rsidRPr="00A01B2C">
        <w:rPr>
          <w:rFonts w:ascii="Book Antiqua" w:eastAsia="Times New Roman" w:hAnsi="Book Antiqua" w:cs="Tahoma"/>
          <w:sz w:val="24"/>
          <w:szCs w:val="24"/>
          <w:lang w:val="en-US" w:eastAsia="it-IT"/>
        </w:rPr>
        <w:t xml:space="preserve"> </w:t>
      </w:r>
      <w:r w:rsidR="00013317" w:rsidRPr="00A01B2C">
        <w:rPr>
          <w:rFonts w:ascii="Book Antiqua" w:eastAsia="Times New Roman" w:hAnsi="Book Antiqua" w:cs="Tahoma"/>
          <w:sz w:val="24"/>
          <w:szCs w:val="24"/>
          <w:lang w:val="en-US" w:eastAsia="it-IT"/>
        </w:rPr>
        <w:t>the oropharynx</w:t>
      </w:r>
      <w:r w:rsidR="00A15D9D" w:rsidRPr="00A01B2C">
        <w:rPr>
          <w:rFonts w:ascii="Book Antiqua" w:hAnsi="Book Antiqua" w:cs="Tahoma"/>
          <w:sz w:val="24"/>
          <w:szCs w:val="24"/>
          <w:vertAlign w:val="superscript"/>
          <w:lang w:val="en-US" w:eastAsia="zh-CN"/>
        </w:rPr>
        <w:t>[4-6]</w:t>
      </w:r>
      <w:r w:rsidRPr="00A01B2C">
        <w:rPr>
          <w:rFonts w:ascii="Book Antiqua" w:eastAsia="Times New Roman" w:hAnsi="Book Antiqua" w:cs="Tahoma"/>
          <w:sz w:val="24"/>
          <w:szCs w:val="24"/>
          <w:lang w:val="en-US" w:eastAsia="it-IT"/>
        </w:rPr>
        <w:t>.</w:t>
      </w:r>
      <w:r w:rsidR="001D1605" w:rsidRPr="00A01B2C">
        <w:rPr>
          <w:rFonts w:ascii="Book Antiqua" w:eastAsia="Times New Roman" w:hAnsi="Book Antiqua" w:cs="Tahoma"/>
          <w:sz w:val="24"/>
          <w:szCs w:val="24"/>
          <w:lang w:val="en-US" w:eastAsia="it-IT"/>
        </w:rPr>
        <w:t xml:space="preserve"> </w:t>
      </w:r>
      <w:r w:rsidR="00671133" w:rsidRPr="00A01B2C">
        <w:rPr>
          <w:rFonts w:ascii="Book Antiqua" w:eastAsia="Times New Roman" w:hAnsi="Book Antiqua" w:cs="Tahoma"/>
          <w:sz w:val="24"/>
          <w:szCs w:val="24"/>
          <w:lang w:val="en-US" w:eastAsia="it-IT"/>
        </w:rPr>
        <w:t xml:space="preserve">It is still not clear why in some patients the </w:t>
      </w:r>
      <w:r w:rsidR="00B30A8A" w:rsidRPr="00A01B2C">
        <w:rPr>
          <w:rFonts w:ascii="Book Antiqua" w:eastAsia="Times New Roman" w:hAnsi="Book Antiqua" w:cs="Tahoma"/>
          <w:sz w:val="24"/>
          <w:szCs w:val="24"/>
          <w:lang w:val="en-US" w:eastAsia="it-IT"/>
        </w:rPr>
        <w:t xml:space="preserve">GER </w:t>
      </w:r>
      <w:r w:rsidR="00671133" w:rsidRPr="00A01B2C">
        <w:rPr>
          <w:rFonts w:ascii="Book Antiqua" w:eastAsia="Times New Roman" w:hAnsi="Book Antiqua" w:cs="Tahoma"/>
          <w:sz w:val="24"/>
          <w:szCs w:val="24"/>
          <w:lang w:val="en-US" w:eastAsia="it-IT"/>
        </w:rPr>
        <w:t>is limited to the distal esophagus while in others it extends to the proximal esophagus and above the</w:t>
      </w:r>
      <w:r w:rsidR="00F81711" w:rsidRPr="00A01B2C">
        <w:rPr>
          <w:rFonts w:ascii="Book Antiqua" w:eastAsia="Times New Roman" w:hAnsi="Book Antiqua" w:cs="Tahoma"/>
          <w:sz w:val="24"/>
          <w:szCs w:val="24"/>
          <w:lang w:val="en-US" w:eastAsia="it-IT"/>
        </w:rPr>
        <w:t xml:space="preserve"> upper esophageal sphincter (UES)</w:t>
      </w:r>
      <w:r w:rsidR="00671133" w:rsidRPr="00A01B2C">
        <w:rPr>
          <w:rFonts w:ascii="Book Antiqua" w:eastAsia="Times New Roman" w:hAnsi="Book Antiqua" w:cs="Tahoma"/>
          <w:sz w:val="24"/>
          <w:szCs w:val="24"/>
          <w:lang w:val="en-US" w:eastAsia="it-IT"/>
        </w:rPr>
        <w:t xml:space="preserve">, </w:t>
      </w:r>
      <w:r w:rsidR="007B213A" w:rsidRPr="00A01B2C">
        <w:rPr>
          <w:rFonts w:ascii="Book Antiqua" w:eastAsia="Times New Roman" w:hAnsi="Book Antiqua" w:cs="Tahoma"/>
          <w:sz w:val="24"/>
          <w:szCs w:val="24"/>
          <w:lang w:val="en-US" w:eastAsia="it-IT"/>
        </w:rPr>
        <w:t xml:space="preserve">where it can </w:t>
      </w:r>
      <w:r w:rsidR="009C1DE7" w:rsidRPr="00A01B2C">
        <w:rPr>
          <w:rFonts w:ascii="Book Antiqua" w:eastAsia="Times New Roman" w:hAnsi="Book Antiqua" w:cs="Tahoma"/>
          <w:sz w:val="24"/>
          <w:szCs w:val="24"/>
          <w:lang w:val="en-US" w:eastAsia="it-IT"/>
        </w:rPr>
        <w:t>cause</w:t>
      </w:r>
      <w:r w:rsidR="00671133" w:rsidRPr="00A01B2C">
        <w:rPr>
          <w:rFonts w:ascii="Book Antiqua" w:eastAsia="Times New Roman" w:hAnsi="Book Antiqua" w:cs="Tahoma"/>
          <w:sz w:val="24"/>
          <w:szCs w:val="24"/>
          <w:lang w:val="en-US" w:eastAsia="it-IT"/>
        </w:rPr>
        <w:t xml:space="preserve"> extra-esophageal manifestations</w:t>
      </w:r>
      <w:r w:rsidR="009C1DE7" w:rsidRPr="00A01B2C">
        <w:rPr>
          <w:rFonts w:ascii="Book Antiqua" w:eastAsia="Times New Roman" w:hAnsi="Book Antiqua" w:cs="Tahoma"/>
          <w:sz w:val="24"/>
          <w:szCs w:val="24"/>
          <w:lang w:val="en-US" w:eastAsia="it-IT"/>
        </w:rPr>
        <w:t xml:space="preserve"> by a direct mechanism</w:t>
      </w:r>
      <w:r w:rsidR="00FE0DE2" w:rsidRPr="00A01B2C">
        <w:rPr>
          <w:rFonts w:ascii="Book Antiqua" w:eastAsia="Times New Roman" w:hAnsi="Book Antiqua" w:cs="Tahoma"/>
          <w:sz w:val="24"/>
          <w:szCs w:val="24"/>
          <w:vertAlign w:val="superscript"/>
          <w:lang w:val="en-US" w:eastAsia="it-IT"/>
        </w:rPr>
        <w:t>[</w:t>
      </w:r>
      <w:r w:rsidR="00E4107B" w:rsidRPr="00A01B2C">
        <w:rPr>
          <w:rFonts w:ascii="Book Antiqua" w:eastAsia="Times New Roman" w:hAnsi="Book Antiqua" w:cs="Tahoma"/>
          <w:sz w:val="24"/>
          <w:szCs w:val="24"/>
          <w:vertAlign w:val="superscript"/>
          <w:lang w:val="en-US" w:eastAsia="it-IT"/>
        </w:rPr>
        <w:t>7</w:t>
      </w:r>
      <w:r w:rsidR="00FE0DE2" w:rsidRPr="00A01B2C">
        <w:rPr>
          <w:rFonts w:ascii="Book Antiqua" w:eastAsia="Times New Roman" w:hAnsi="Book Antiqua" w:cs="Tahoma"/>
          <w:sz w:val="24"/>
          <w:szCs w:val="24"/>
          <w:vertAlign w:val="superscript"/>
          <w:lang w:val="en-US" w:eastAsia="it-IT"/>
        </w:rPr>
        <w:t>]</w:t>
      </w:r>
      <w:r w:rsidR="001B720C" w:rsidRPr="00A01B2C">
        <w:rPr>
          <w:rFonts w:ascii="Book Antiqua" w:eastAsia="Times New Roman" w:hAnsi="Book Antiqua" w:cs="Tahoma"/>
          <w:sz w:val="24"/>
          <w:szCs w:val="24"/>
          <w:lang w:val="en-US" w:eastAsia="it-IT"/>
        </w:rPr>
        <w:t xml:space="preserve">. </w:t>
      </w:r>
      <w:r w:rsidR="009C1DE7" w:rsidRPr="00A01B2C">
        <w:rPr>
          <w:rFonts w:ascii="Book Antiqua" w:eastAsia="Times New Roman" w:hAnsi="Book Antiqua" w:cs="Tahoma"/>
          <w:sz w:val="24"/>
          <w:szCs w:val="24"/>
          <w:lang w:val="en-US" w:eastAsia="it-IT"/>
        </w:rPr>
        <w:t>In order to assess</w:t>
      </w:r>
      <w:r w:rsidR="007252D6" w:rsidRPr="00A01B2C">
        <w:rPr>
          <w:rFonts w:ascii="Book Antiqua" w:eastAsia="Times New Roman" w:hAnsi="Book Antiqua" w:cs="Tahoma"/>
          <w:sz w:val="24"/>
          <w:szCs w:val="24"/>
          <w:lang w:val="en-US" w:eastAsia="it-IT"/>
        </w:rPr>
        <w:t xml:space="preserve"> whether</w:t>
      </w:r>
      <w:r w:rsidR="009C1DE7" w:rsidRPr="00A01B2C">
        <w:rPr>
          <w:rFonts w:ascii="Book Antiqua" w:eastAsia="Times New Roman" w:hAnsi="Book Antiqua" w:cs="Tahoma"/>
          <w:sz w:val="24"/>
          <w:szCs w:val="24"/>
          <w:lang w:val="en-US" w:eastAsia="it-IT"/>
        </w:rPr>
        <w:t xml:space="preserve"> eso</w:t>
      </w:r>
      <w:r w:rsidR="001B720C" w:rsidRPr="00A01B2C">
        <w:rPr>
          <w:rFonts w:ascii="Book Antiqua" w:eastAsia="Times New Roman" w:hAnsi="Book Antiqua" w:cs="Tahoma"/>
          <w:sz w:val="24"/>
          <w:szCs w:val="24"/>
          <w:lang w:val="en-US" w:eastAsia="it-IT"/>
        </w:rPr>
        <w:t>phageal motility play</w:t>
      </w:r>
      <w:r w:rsidR="007252D6" w:rsidRPr="00A01B2C">
        <w:rPr>
          <w:rFonts w:ascii="Book Antiqua" w:eastAsia="Times New Roman" w:hAnsi="Book Antiqua" w:cs="Tahoma"/>
          <w:sz w:val="24"/>
          <w:szCs w:val="24"/>
          <w:lang w:val="en-US" w:eastAsia="it-IT"/>
        </w:rPr>
        <w:t>s</w:t>
      </w:r>
      <w:r w:rsidR="001B720C" w:rsidRPr="00A01B2C">
        <w:rPr>
          <w:rFonts w:ascii="Book Antiqua" w:eastAsia="Times New Roman" w:hAnsi="Book Antiqua" w:cs="Tahoma"/>
          <w:sz w:val="24"/>
          <w:szCs w:val="24"/>
          <w:lang w:val="en-US" w:eastAsia="it-IT"/>
        </w:rPr>
        <w:t xml:space="preserve"> a ro</w:t>
      </w:r>
      <w:r w:rsidR="009C1DE7" w:rsidRPr="00A01B2C">
        <w:rPr>
          <w:rFonts w:ascii="Book Antiqua" w:eastAsia="Times New Roman" w:hAnsi="Book Antiqua" w:cs="Tahoma"/>
          <w:sz w:val="24"/>
          <w:szCs w:val="24"/>
          <w:lang w:val="en-US" w:eastAsia="it-IT"/>
        </w:rPr>
        <w:t>le in the proximal extension of reflux, v</w:t>
      </w:r>
      <w:r w:rsidR="00671133" w:rsidRPr="00A01B2C">
        <w:rPr>
          <w:rFonts w:ascii="Book Antiqua" w:eastAsia="Times New Roman" w:hAnsi="Book Antiqua" w:cs="Tahoma"/>
          <w:sz w:val="24"/>
          <w:szCs w:val="24"/>
          <w:lang w:val="en-US" w:eastAsia="it-IT"/>
        </w:rPr>
        <w:t xml:space="preserve">arious studies have examined patients with extra-esophageal symptoms </w:t>
      </w:r>
      <w:r w:rsidR="008F3F9C" w:rsidRPr="00A01B2C">
        <w:rPr>
          <w:rFonts w:ascii="Book Antiqua" w:eastAsia="Times New Roman" w:hAnsi="Book Antiqua" w:cs="Tahoma"/>
          <w:sz w:val="24"/>
          <w:szCs w:val="24"/>
          <w:lang w:val="en-US" w:eastAsia="it-IT"/>
        </w:rPr>
        <w:t>using</w:t>
      </w:r>
      <w:r w:rsidR="00671133" w:rsidRPr="00A01B2C">
        <w:rPr>
          <w:rFonts w:ascii="Book Antiqua" w:eastAsia="Times New Roman" w:hAnsi="Book Antiqua" w:cs="Tahoma"/>
          <w:sz w:val="24"/>
          <w:szCs w:val="24"/>
          <w:lang w:val="en-US" w:eastAsia="it-IT"/>
        </w:rPr>
        <w:t xml:space="preserve"> </w:t>
      </w:r>
      <w:r w:rsidR="008F3F9C" w:rsidRPr="00A01B2C">
        <w:rPr>
          <w:rFonts w:ascii="Book Antiqua" w:eastAsia="Times New Roman" w:hAnsi="Book Antiqua" w:cs="Tahoma"/>
          <w:sz w:val="24"/>
          <w:szCs w:val="24"/>
          <w:lang w:val="en-US" w:eastAsia="it-IT"/>
        </w:rPr>
        <w:t>24-h esophageal pH</w:t>
      </w:r>
      <w:r w:rsidR="00312D5B" w:rsidRPr="00A01B2C">
        <w:rPr>
          <w:rFonts w:ascii="Book Antiqua" w:eastAsia="Times New Roman" w:hAnsi="Book Antiqua" w:cs="Tahoma"/>
          <w:sz w:val="24"/>
          <w:szCs w:val="24"/>
          <w:lang w:val="en-US" w:eastAsia="it-IT"/>
        </w:rPr>
        <w:t>-</w:t>
      </w:r>
      <w:r w:rsidR="008F3F9C" w:rsidRPr="00A01B2C">
        <w:rPr>
          <w:rFonts w:ascii="Book Antiqua" w:eastAsia="Times New Roman" w:hAnsi="Book Antiqua" w:cs="Tahoma"/>
          <w:sz w:val="24"/>
          <w:szCs w:val="24"/>
          <w:lang w:val="en-US" w:eastAsia="it-IT"/>
        </w:rPr>
        <w:t>metry</w:t>
      </w:r>
      <w:r w:rsidR="00312D5B" w:rsidRPr="00A01B2C">
        <w:rPr>
          <w:rFonts w:ascii="Book Antiqua" w:eastAsia="Times New Roman" w:hAnsi="Book Antiqua" w:cs="Tahoma"/>
          <w:sz w:val="24"/>
          <w:szCs w:val="24"/>
          <w:lang w:val="en-US" w:eastAsia="it-IT"/>
        </w:rPr>
        <w:t xml:space="preserve"> (some </w:t>
      </w:r>
      <w:r w:rsidR="00600448" w:rsidRPr="00A01B2C">
        <w:rPr>
          <w:rFonts w:ascii="Book Antiqua" w:eastAsia="Times New Roman" w:hAnsi="Book Antiqua" w:cs="Tahoma"/>
          <w:sz w:val="24"/>
          <w:szCs w:val="24"/>
          <w:lang w:val="en-US" w:eastAsia="it-IT"/>
        </w:rPr>
        <w:t xml:space="preserve">also </w:t>
      </w:r>
      <w:r w:rsidR="00312D5B" w:rsidRPr="00A01B2C">
        <w:rPr>
          <w:rFonts w:ascii="Book Antiqua" w:eastAsia="Times New Roman" w:hAnsi="Book Antiqua" w:cs="Tahoma"/>
          <w:sz w:val="24"/>
          <w:szCs w:val="24"/>
          <w:lang w:val="en-US" w:eastAsia="it-IT"/>
        </w:rPr>
        <w:t>with a proximal pH-probe)</w:t>
      </w:r>
      <w:r w:rsidR="008F3F9C" w:rsidRPr="00A01B2C">
        <w:rPr>
          <w:rFonts w:ascii="Book Antiqua" w:eastAsia="Times New Roman" w:hAnsi="Book Antiqua" w:cs="Tahoma"/>
          <w:sz w:val="24"/>
          <w:szCs w:val="24"/>
          <w:lang w:val="en-US" w:eastAsia="it-IT"/>
        </w:rPr>
        <w:t xml:space="preserve"> </w:t>
      </w:r>
      <w:r w:rsidR="009C1DE7" w:rsidRPr="00A01B2C">
        <w:rPr>
          <w:rFonts w:ascii="Book Antiqua" w:eastAsia="Times New Roman" w:hAnsi="Book Antiqua" w:cs="Tahoma"/>
          <w:sz w:val="24"/>
          <w:szCs w:val="24"/>
          <w:lang w:val="en-US" w:eastAsia="it-IT"/>
        </w:rPr>
        <w:t xml:space="preserve">and </w:t>
      </w:r>
      <w:r w:rsidR="00600448" w:rsidRPr="00A01B2C">
        <w:rPr>
          <w:rFonts w:ascii="Book Antiqua" w:eastAsia="Times New Roman" w:hAnsi="Book Antiqua" w:cs="Tahoma"/>
          <w:sz w:val="24"/>
          <w:szCs w:val="24"/>
          <w:lang w:val="en-US" w:eastAsia="it-IT"/>
        </w:rPr>
        <w:t>conventional</w:t>
      </w:r>
      <w:r w:rsidR="009C1DE7" w:rsidRPr="00A01B2C">
        <w:rPr>
          <w:rFonts w:ascii="Book Antiqua" w:eastAsia="Times New Roman" w:hAnsi="Book Antiqua" w:cs="Tahoma"/>
          <w:sz w:val="24"/>
          <w:szCs w:val="24"/>
          <w:lang w:val="en-US" w:eastAsia="it-IT"/>
        </w:rPr>
        <w:t xml:space="preserve"> esophageal manometry, </w:t>
      </w:r>
      <w:r w:rsidR="00671133" w:rsidRPr="00A01B2C">
        <w:rPr>
          <w:rFonts w:ascii="Book Antiqua" w:eastAsia="Times New Roman" w:hAnsi="Book Antiqua" w:cs="Tahoma"/>
          <w:sz w:val="24"/>
          <w:szCs w:val="24"/>
          <w:lang w:val="en-US" w:eastAsia="it-IT"/>
        </w:rPr>
        <w:t>but results have been discordant</w:t>
      </w:r>
      <w:r w:rsidR="00A15D9D" w:rsidRPr="00A01B2C">
        <w:rPr>
          <w:rFonts w:ascii="Book Antiqua" w:hAnsi="Book Antiqua" w:cs="Tahoma"/>
          <w:sz w:val="24"/>
          <w:szCs w:val="24"/>
          <w:vertAlign w:val="superscript"/>
          <w:lang w:val="en-US" w:eastAsia="zh-CN"/>
        </w:rPr>
        <w:t>[8-11]</w:t>
      </w:r>
      <w:r w:rsidR="00671133" w:rsidRPr="00A01B2C">
        <w:rPr>
          <w:rFonts w:ascii="Book Antiqua" w:eastAsia="Times New Roman" w:hAnsi="Book Antiqua" w:cs="Tahoma"/>
          <w:sz w:val="24"/>
          <w:szCs w:val="24"/>
          <w:lang w:val="en-US" w:eastAsia="it-IT"/>
        </w:rPr>
        <w:t>.</w:t>
      </w:r>
      <w:r w:rsidR="00FE4B6C" w:rsidRPr="00A01B2C">
        <w:rPr>
          <w:rFonts w:ascii="Book Antiqua" w:eastAsia="Times New Roman" w:hAnsi="Book Antiqua" w:cs="Tahoma"/>
          <w:sz w:val="24"/>
          <w:szCs w:val="24"/>
          <w:lang w:val="en-US" w:eastAsia="it-IT"/>
        </w:rPr>
        <w:t xml:space="preserve"> </w:t>
      </w:r>
      <w:r w:rsidR="007252D6" w:rsidRPr="00A01B2C">
        <w:rPr>
          <w:rFonts w:ascii="Book Antiqua" w:eastAsia="Times New Roman" w:hAnsi="Book Antiqua" w:cs="Tahoma"/>
          <w:sz w:val="24"/>
          <w:szCs w:val="24"/>
          <w:lang w:val="en-US" w:eastAsia="it-IT"/>
        </w:rPr>
        <w:t>Es</w:t>
      </w:r>
      <w:r w:rsidR="007B213A" w:rsidRPr="00A01B2C">
        <w:rPr>
          <w:rFonts w:ascii="Book Antiqua" w:eastAsia="Times New Roman" w:hAnsi="Book Antiqua" w:cs="Tahoma"/>
          <w:sz w:val="24"/>
          <w:szCs w:val="24"/>
          <w:lang w:val="en-US" w:eastAsia="it-IT"/>
        </w:rPr>
        <w:t>ophageal h</w:t>
      </w:r>
      <w:r w:rsidR="00671133" w:rsidRPr="00A01B2C">
        <w:rPr>
          <w:rFonts w:ascii="Book Antiqua" w:eastAsia="Times New Roman" w:hAnsi="Book Antiqua" w:cs="Tahoma"/>
          <w:sz w:val="24"/>
          <w:szCs w:val="24"/>
          <w:lang w:val="en-US" w:eastAsia="it-IT"/>
        </w:rPr>
        <w:t>igh-</w:t>
      </w:r>
      <w:r w:rsidR="007252D6" w:rsidRPr="00A01B2C">
        <w:rPr>
          <w:rFonts w:ascii="Book Antiqua" w:eastAsia="Times New Roman" w:hAnsi="Book Antiqua" w:cs="Tahoma"/>
          <w:sz w:val="24"/>
          <w:szCs w:val="24"/>
          <w:lang w:val="en-US" w:eastAsia="it-IT"/>
        </w:rPr>
        <w:t xml:space="preserve">resolution manometry (HRM) records </w:t>
      </w:r>
      <w:r w:rsidR="00671133" w:rsidRPr="00A01B2C">
        <w:rPr>
          <w:rFonts w:ascii="Book Antiqua" w:eastAsia="Times New Roman" w:hAnsi="Book Antiqua" w:cs="Tahoma"/>
          <w:sz w:val="24"/>
          <w:szCs w:val="24"/>
          <w:lang w:val="en-US" w:eastAsia="it-IT"/>
        </w:rPr>
        <w:t>esophageal motility</w:t>
      </w:r>
      <w:r w:rsidR="007252D6" w:rsidRPr="00A01B2C">
        <w:rPr>
          <w:rFonts w:ascii="Book Antiqua" w:eastAsia="Times New Roman" w:hAnsi="Book Antiqua" w:cs="Tahoma"/>
          <w:sz w:val="24"/>
          <w:szCs w:val="24"/>
          <w:lang w:val="en-US" w:eastAsia="it-IT"/>
        </w:rPr>
        <w:t xml:space="preserve"> more reliably</w:t>
      </w:r>
      <w:r w:rsidR="00671133" w:rsidRPr="00A01B2C">
        <w:rPr>
          <w:rFonts w:ascii="Book Antiqua" w:eastAsia="Times New Roman" w:hAnsi="Book Antiqua" w:cs="Tahoma"/>
          <w:sz w:val="24"/>
          <w:szCs w:val="24"/>
          <w:lang w:val="en-US" w:eastAsia="it-IT"/>
        </w:rPr>
        <w:t xml:space="preserve"> </w:t>
      </w:r>
      <w:r w:rsidR="00302503" w:rsidRPr="00A01B2C">
        <w:rPr>
          <w:rFonts w:ascii="Book Antiqua" w:eastAsia="Times New Roman" w:hAnsi="Book Antiqua" w:cs="Tahoma"/>
          <w:sz w:val="24"/>
          <w:szCs w:val="24"/>
          <w:lang w:val="en-US" w:eastAsia="it-IT"/>
        </w:rPr>
        <w:t>than conventional manometry</w:t>
      </w:r>
      <w:r w:rsidR="00FE0DE2" w:rsidRPr="00A01B2C">
        <w:rPr>
          <w:rFonts w:ascii="Book Antiqua" w:eastAsia="Times New Roman" w:hAnsi="Book Antiqua" w:cs="Tahoma"/>
          <w:sz w:val="24"/>
          <w:szCs w:val="24"/>
          <w:vertAlign w:val="superscript"/>
          <w:lang w:val="en-US" w:eastAsia="it-IT"/>
        </w:rPr>
        <w:t>[</w:t>
      </w:r>
      <w:r w:rsidR="00B37AD4" w:rsidRPr="00A01B2C">
        <w:rPr>
          <w:rFonts w:ascii="Book Antiqua" w:eastAsia="Times New Roman" w:hAnsi="Book Antiqua" w:cs="Tahoma"/>
          <w:sz w:val="24"/>
          <w:szCs w:val="24"/>
          <w:vertAlign w:val="superscript"/>
          <w:lang w:val="en-US" w:eastAsia="it-IT"/>
        </w:rPr>
        <w:t>12</w:t>
      </w:r>
      <w:r w:rsidR="00FE0DE2" w:rsidRPr="00A01B2C">
        <w:rPr>
          <w:rFonts w:ascii="Book Antiqua" w:eastAsia="Times New Roman" w:hAnsi="Book Antiqua" w:cs="Tahoma"/>
          <w:sz w:val="24"/>
          <w:szCs w:val="24"/>
          <w:vertAlign w:val="superscript"/>
          <w:lang w:val="en-US" w:eastAsia="it-IT"/>
        </w:rPr>
        <w:t>]</w:t>
      </w:r>
      <w:r w:rsidR="00302503" w:rsidRPr="00A01B2C">
        <w:rPr>
          <w:rFonts w:ascii="Book Antiqua" w:eastAsia="Times New Roman" w:hAnsi="Book Antiqua" w:cs="Tahoma"/>
          <w:sz w:val="24"/>
          <w:szCs w:val="24"/>
          <w:lang w:val="en-US" w:eastAsia="it-IT"/>
        </w:rPr>
        <w:t>.</w:t>
      </w:r>
    </w:p>
    <w:p w:rsidR="00671133" w:rsidRPr="00A01B2C" w:rsidRDefault="00671133" w:rsidP="006D687B">
      <w:pPr>
        <w:autoSpaceDE w:val="0"/>
        <w:autoSpaceDN w:val="0"/>
        <w:adjustRightInd w:val="0"/>
        <w:snapToGrid w:val="0"/>
        <w:spacing w:after="0" w:line="360" w:lineRule="auto"/>
        <w:ind w:firstLineChars="100" w:firstLine="240"/>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 xml:space="preserve">The aim of this study in patients with extra-esophageal syndromes was to </w:t>
      </w:r>
      <w:r w:rsidR="00600448" w:rsidRPr="00A01B2C">
        <w:rPr>
          <w:rFonts w:ascii="Book Antiqua" w:eastAsia="Times New Roman" w:hAnsi="Book Antiqua" w:cs="Tahoma"/>
          <w:sz w:val="24"/>
          <w:szCs w:val="24"/>
          <w:lang w:val="en-US" w:eastAsia="it-IT"/>
        </w:rPr>
        <w:t>assess, for the firs</w:t>
      </w:r>
      <w:r w:rsidR="004F2B70" w:rsidRPr="00A01B2C">
        <w:rPr>
          <w:rFonts w:ascii="Book Antiqua" w:eastAsia="Times New Roman" w:hAnsi="Book Antiqua" w:cs="Tahoma"/>
          <w:sz w:val="24"/>
          <w:szCs w:val="24"/>
          <w:lang w:val="en-US" w:eastAsia="it-IT"/>
        </w:rPr>
        <w:t>t</w:t>
      </w:r>
      <w:r w:rsidR="00600448" w:rsidRPr="00A01B2C">
        <w:rPr>
          <w:rFonts w:ascii="Book Antiqua" w:eastAsia="Times New Roman" w:hAnsi="Book Antiqua" w:cs="Tahoma"/>
          <w:sz w:val="24"/>
          <w:szCs w:val="24"/>
          <w:lang w:val="en-US" w:eastAsia="it-IT"/>
        </w:rPr>
        <w:t xml:space="preserve"> time, </w:t>
      </w:r>
      <w:r w:rsidRPr="00A01B2C">
        <w:rPr>
          <w:rFonts w:ascii="Book Antiqua" w:eastAsia="Times New Roman" w:hAnsi="Book Antiqua" w:cs="Tahoma"/>
          <w:sz w:val="24"/>
          <w:szCs w:val="24"/>
          <w:lang w:val="en-US" w:eastAsia="it-IT"/>
        </w:rPr>
        <w:t xml:space="preserve">the relationship between pathological OP </w:t>
      </w:r>
      <w:r w:rsidR="001D3897" w:rsidRPr="00A01B2C">
        <w:rPr>
          <w:rFonts w:ascii="Book Antiqua" w:eastAsia="Times New Roman" w:hAnsi="Book Antiqua" w:cs="Tahoma"/>
          <w:sz w:val="24"/>
          <w:szCs w:val="24"/>
          <w:lang w:val="en-US" w:eastAsia="it-IT"/>
        </w:rPr>
        <w:t>acid exposure</w:t>
      </w:r>
      <w:r w:rsidRPr="00A01B2C">
        <w:rPr>
          <w:rFonts w:ascii="Book Antiqua" w:eastAsia="Times New Roman" w:hAnsi="Book Antiqua" w:cs="Tahoma"/>
          <w:sz w:val="24"/>
          <w:szCs w:val="24"/>
          <w:lang w:val="en-US" w:eastAsia="it-IT"/>
        </w:rPr>
        <w:t>, examined with the Dx probe, and esophageal motor characteristics, assessed by HRM.</w:t>
      </w:r>
    </w:p>
    <w:p w:rsidR="00F26279" w:rsidRPr="00A01B2C" w:rsidRDefault="00F26279" w:rsidP="006D687B">
      <w:pPr>
        <w:snapToGrid w:val="0"/>
        <w:spacing w:after="0" w:line="360" w:lineRule="auto"/>
        <w:jc w:val="both"/>
        <w:rPr>
          <w:rFonts w:ascii="Book Antiqua" w:eastAsia="Times New Roman" w:hAnsi="Book Antiqua" w:cs="Tahoma"/>
          <w:b/>
          <w:sz w:val="24"/>
          <w:szCs w:val="24"/>
          <w:lang w:val="en-US" w:eastAsia="it-IT"/>
        </w:rPr>
      </w:pPr>
    </w:p>
    <w:p w:rsidR="00F26279" w:rsidRPr="00A01B2C" w:rsidRDefault="00F26279" w:rsidP="006D687B">
      <w:pPr>
        <w:snapToGrid w:val="0"/>
        <w:spacing w:after="0" w:line="360" w:lineRule="auto"/>
        <w:jc w:val="both"/>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t>MATERIAL</w:t>
      </w:r>
      <w:r w:rsidR="00302503" w:rsidRPr="00A01B2C">
        <w:rPr>
          <w:rFonts w:ascii="Book Antiqua" w:hAnsi="Book Antiqua" w:cs="Tahoma" w:hint="eastAsia"/>
          <w:b/>
          <w:caps/>
          <w:sz w:val="24"/>
          <w:szCs w:val="24"/>
          <w:lang w:val="en-US" w:eastAsia="zh-CN"/>
        </w:rPr>
        <w:t>s</w:t>
      </w:r>
      <w:r w:rsidRPr="00A01B2C">
        <w:rPr>
          <w:rFonts w:ascii="Book Antiqua" w:eastAsia="Times New Roman" w:hAnsi="Book Antiqua" w:cs="Tahoma"/>
          <w:b/>
          <w:sz w:val="24"/>
          <w:szCs w:val="24"/>
          <w:lang w:val="en-US" w:eastAsia="it-IT"/>
        </w:rPr>
        <w:t xml:space="preserve"> AND METHODS</w:t>
      </w:r>
    </w:p>
    <w:p w:rsidR="00F26279" w:rsidRPr="00A01B2C" w:rsidRDefault="00F26279" w:rsidP="006D687B">
      <w:pPr>
        <w:snapToGrid w:val="0"/>
        <w:spacing w:after="0" w:line="360" w:lineRule="auto"/>
        <w:jc w:val="both"/>
        <w:rPr>
          <w:rFonts w:ascii="Book Antiqua" w:eastAsia="Times New Roman" w:hAnsi="Book Antiqua" w:cs="Tahoma"/>
          <w:b/>
          <w:i/>
          <w:sz w:val="24"/>
          <w:szCs w:val="24"/>
          <w:lang w:val="en-US" w:eastAsia="it-IT"/>
        </w:rPr>
      </w:pPr>
      <w:r w:rsidRPr="00A01B2C">
        <w:rPr>
          <w:rFonts w:ascii="Book Antiqua" w:eastAsia="Times New Roman" w:hAnsi="Book Antiqua" w:cs="Tahoma"/>
          <w:b/>
          <w:i/>
          <w:sz w:val="24"/>
          <w:szCs w:val="24"/>
          <w:lang w:val="en-US" w:eastAsia="it-IT"/>
        </w:rPr>
        <w:t>Patients and study design</w:t>
      </w:r>
    </w:p>
    <w:p w:rsidR="00D03D8C" w:rsidRPr="00A01B2C" w:rsidRDefault="00F26279" w:rsidP="006D687B">
      <w:pPr>
        <w:autoSpaceDE w:val="0"/>
        <w:autoSpaceDN w:val="0"/>
        <w:adjustRightInd w:val="0"/>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From October 2011 to March 2013 we prospectively enrolled consecutive patients referred to the gastroenterology outpatient unit of our tertiary center for chronic (&gt;</w:t>
      </w:r>
      <w:r w:rsidR="00302503"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6 mo) suspected GERD-related extra-esophageal syndromes</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vertAlign w:val="superscript"/>
          <w:lang w:val="en-US" w:eastAsia="it-IT"/>
        </w:rPr>
        <w:t>1</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xml:space="preserve">. </w:t>
      </w:r>
      <w:r w:rsidR="00060D55" w:rsidRPr="00A01B2C">
        <w:rPr>
          <w:rFonts w:ascii="Book Antiqua" w:eastAsia="Times New Roman" w:hAnsi="Book Antiqua" w:cs="Tahoma"/>
          <w:sz w:val="24"/>
          <w:szCs w:val="24"/>
          <w:lang w:val="en-US" w:eastAsia="it-IT"/>
        </w:rPr>
        <w:t xml:space="preserve">In order to increase the probability </w:t>
      </w:r>
      <w:r w:rsidR="004D2D15" w:rsidRPr="00A01B2C">
        <w:rPr>
          <w:rFonts w:ascii="Book Antiqua" w:eastAsia="Times New Roman" w:hAnsi="Book Antiqua" w:cs="Tahoma"/>
          <w:sz w:val="24"/>
          <w:szCs w:val="24"/>
          <w:lang w:val="en-US" w:eastAsia="it-IT"/>
        </w:rPr>
        <w:t>of</w:t>
      </w:r>
      <w:r w:rsidR="00060D55" w:rsidRPr="00A01B2C">
        <w:rPr>
          <w:rFonts w:ascii="Book Antiqua" w:eastAsia="Times New Roman" w:hAnsi="Book Antiqua" w:cs="Tahoma"/>
          <w:sz w:val="24"/>
          <w:szCs w:val="24"/>
          <w:lang w:val="en-US" w:eastAsia="it-IT"/>
        </w:rPr>
        <w:t xml:space="preserve"> </w:t>
      </w:r>
      <w:r w:rsidR="00060D55" w:rsidRPr="00A01B2C">
        <w:rPr>
          <w:rFonts w:ascii="Book Antiqua" w:eastAsia="Times New Roman" w:hAnsi="Book Antiqua" w:cs="Tahoma"/>
          <w:sz w:val="24"/>
          <w:szCs w:val="24"/>
          <w:lang w:val="en-US" w:eastAsia="it-IT"/>
        </w:rPr>
        <w:lastRenderedPageBreak/>
        <w:t>identify</w:t>
      </w:r>
      <w:r w:rsidR="004D2D15" w:rsidRPr="00A01B2C">
        <w:rPr>
          <w:rFonts w:ascii="Book Antiqua" w:eastAsia="Times New Roman" w:hAnsi="Book Antiqua" w:cs="Tahoma"/>
          <w:sz w:val="24"/>
          <w:szCs w:val="24"/>
          <w:lang w:val="en-US" w:eastAsia="it-IT"/>
        </w:rPr>
        <w:t>ing</w:t>
      </w:r>
      <w:r w:rsidR="00060D55" w:rsidRPr="00A01B2C">
        <w:rPr>
          <w:rFonts w:ascii="Book Antiqua" w:eastAsia="Times New Roman" w:hAnsi="Book Antiqua" w:cs="Tahoma"/>
          <w:sz w:val="24"/>
          <w:szCs w:val="24"/>
          <w:lang w:val="en-US" w:eastAsia="it-IT"/>
        </w:rPr>
        <w:t xml:space="preserve"> a subgroup of patient</w:t>
      </w:r>
      <w:r w:rsidR="004D2D15" w:rsidRPr="00A01B2C">
        <w:rPr>
          <w:rFonts w:ascii="Book Antiqua" w:eastAsia="Times New Roman" w:hAnsi="Book Antiqua" w:cs="Tahoma"/>
          <w:sz w:val="24"/>
          <w:szCs w:val="24"/>
          <w:lang w:val="en-US" w:eastAsia="it-IT"/>
        </w:rPr>
        <w:t>s in this population</w:t>
      </w:r>
      <w:r w:rsidR="00060D55" w:rsidRPr="00A01B2C">
        <w:rPr>
          <w:rFonts w:ascii="Book Antiqua" w:eastAsia="Times New Roman" w:hAnsi="Book Antiqua" w:cs="Tahoma"/>
          <w:sz w:val="24"/>
          <w:szCs w:val="24"/>
          <w:lang w:val="en-US" w:eastAsia="it-IT"/>
        </w:rPr>
        <w:t xml:space="preserve"> with pathological OP </w:t>
      </w:r>
      <w:r w:rsidR="003421D6" w:rsidRPr="00A01B2C">
        <w:rPr>
          <w:rFonts w:ascii="Book Antiqua" w:eastAsia="Times New Roman" w:hAnsi="Book Antiqua" w:cs="Tahoma"/>
          <w:sz w:val="24"/>
          <w:szCs w:val="24"/>
          <w:lang w:val="en-US" w:eastAsia="it-IT"/>
        </w:rPr>
        <w:t>acid exposure</w:t>
      </w:r>
      <w:r w:rsidR="00060D55" w:rsidRPr="00A01B2C">
        <w:rPr>
          <w:rFonts w:ascii="Book Antiqua" w:eastAsia="Times New Roman" w:hAnsi="Book Antiqua" w:cs="Tahoma"/>
          <w:sz w:val="24"/>
          <w:szCs w:val="24"/>
          <w:lang w:val="en-US" w:eastAsia="it-IT"/>
        </w:rPr>
        <w:t xml:space="preserve">, we enrolled </w:t>
      </w:r>
      <w:r w:rsidR="00FD21CE" w:rsidRPr="00A01B2C">
        <w:rPr>
          <w:rFonts w:ascii="Book Antiqua" w:eastAsia="Times New Roman" w:hAnsi="Book Antiqua" w:cs="Tahoma"/>
          <w:sz w:val="24"/>
          <w:szCs w:val="24"/>
          <w:lang w:val="en-US" w:eastAsia="it-IT"/>
        </w:rPr>
        <w:t>o</w:t>
      </w:r>
      <w:r w:rsidRPr="00A01B2C">
        <w:rPr>
          <w:rFonts w:ascii="Book Antiqua" w:eastAsia="Times New Roman" w:hAnsi="Book Antiqua" w:cs="Tahoma"/>
          <w:sz w:val="24"/>
          <w:szCs w:val="24"/>
          <w:lang w:val="en-US" w:eastAsia="it-IT"/>
        </w:rPr>
        <w:t xml:space="preserve">nly patients </w:t>
      </w:r>
      <w:r w:rsidR="00284901" w:rsidRPr="00A01B2C">
        <w:rPr>
          <w:rFonts w:ascii="Book Antiqua" w:eastAsia="Times New Roman" w:hAnsi="Book Antiqua" w:cs="Tahoma"/>
          <w:sz w:val="24"/>
          <w:szCs w:val="24"/>
          <w:lang w:val="en-US" w:eastAsia="it-IT"/>
        </w:rPr>
        <w:t xml:space="preserve">with a reflux symptom index (RSI) </w:t>
      </w:r>
      <w:r w:rsidR="004D2D15" w:rsidRPr="00A01B2C">
        <w:rPr>
          <w:rFonts w:ascii="Book Antiqua" w:eastAsia="Times New Roman" w:hAnsi="Book Antiqua" w:cs="Tahoma"/>
          <w:sz w:val="24"/>
          <w:szCs w:val="24"/>
          <w:lang w:val="en-US" w:eastAsia="it-IT"/>
        </w:rPr>
        <w:t xml:space="preserve">score </w:t>
      </w:r>
      <w:r w:rsidR="0039110C" w:rsidRPr="00A01B2C">
        <w:rPr>
          <w:rFonts w:ascii="Book Antiqua" w:eastAsia="Times New Roman" w:hAnsi="Book Antiqua" w:cs="Tahoma"/>
          <w:sz w:val="24"/>
          <w:szCs w:val="24"/>
          <w:lang w:val="en-US" w:eastAsia="it-IT"/>
        </w:rPr>
        <w:t>higher tha</w:t>
      </w:r>
      <w:r w:rsidR="00302503" w:rsidRPr="00A01B2C">
        <w:rPr>
          <w:rFonts w:ascii="Book Antiqua" w:eastAsia="Times New Roman" w:hAnsi="Book Antiqua" w:cs="Tahoma"/>
          <w:sz w:val="24"/>
          <w:szCs w:val="24"/>
          <w:lang w:val="en-US" w:eastAsia="it-IT"/>
        </w:rPr>
        <w:t>n 13</w:t>
      </w:r>
      <w:r w:rsidR="00FE0DE2" w:rsidRPr="00A01B2C">
        <w:rPr>
          <w:rFonts w:ascii="Book Antiqua" w:eastAsia="Times New Roman" w:hAnsi="Book Antiqua" w:cs="Tahoma"/>
          <w:sz w:val="24"/>
          <w:szCs w:val="24"/>
          <w:vertAlign w:val="superscript"/>
          <w:lang w:val="en-US" w:eastAsia="it-IT"/>
        </w:rPr>
        <w:t>[</w:t>
      </w:r>
      <w:r w:rsidR="007F7A89" w:rsidRPr="00A01B2C">
        <w:rPr>
          <w:rFonts w:ascii="Book Antiqua" w:eastAsia="Times New Roman" w:hAnsi="Book Antiqua" w:cs="Tahoma"/>
          <w:sz w:val="24"/>
          <w:szCs w:val="24"/>
          <w:vertAlign w:val="superscript"/>
          <w:lang w:val="en-US" w:eastAsia="it-IT"/>
        </w:rPr>
        <w:t>13,14</w:t>
      </w:r>
      <w:r w:rsidR="00FE0DE2" w:rsidRPr="00A01B2C">
        <w:rPr>
          <w:rFonts w:ascii="Book Antiqua" w:eastAsia="Times New Roman" w:hAnsi="Book Antiqua" w:cs="Tahoma"/>
          <w:sz w:val="24"/>
          <w:szCs w:val="24"/>
          <w:vertAlign w:val="superscript"/>
          <w:lang w:val="en-US" w:eastAsia="it-IT"/>
        </w:rPr>
        <w:t>]</w:t>
      </w:r>
      <w:r w:rsidR="00284901" w:rsidRPr="00A01B2C">
        <w:rPr>
          <w:rFonts w:ascii="Book Antiqua" w:eastAsia="Times New Roman" w:hAnsi="Book Antiqua" w:cs="Tahoma"/>
          <w:sz w:val="24"/>
          <w:szCs w:val="24"/>
          <w:lang w:val="en-US" w:eastAsia="it-IT"/>
        </w:rPr>
        <w:t xml:space="preserve"> and </w:t>
      </w:r>
      <w:r w:rsidRPr="00A01B2C">
        <w:rPr>
          <w:rFonts w:ascii="Book Antiqua" w:eastAsia="Times New Roman" w:hAnsi="Book Antiqua" w:cs="Tahoma"/>
          <w:sz w:val="24"/>
          <w:szCs w:val="24"/>
          <w:lang w:val="en-US" w:eastAsia="it-IT"/>
        </w:rPr>
        <w:t xml:space="preserve">with previous lung, allergy and ENT evaluations excluding </w:t>
      </w:r>
      <w:r w:rsidR="00284901" w:rsidRPr="00A01B2C">
        <w:rPr>
          <w:rFonts w:ascii="Book Antiqua" w:eastAsia="Times New Roman" w:hAnsi="Book Antiqua" w:cs="Tahoma"/>
          <w:sz w:val="24"/>
          <w:szCs w:val="24"/>
          <w:lang w:val="en-US" w:eastAsia="it-IT"/>
        </w:rPr>
        <w:t>other specific diagnoses</w:t>
      </w:r>
      <w:r w:rsidRPr="00A01B2C">
        <w:rPr>
          <w:rFonts w:ascii="Book Antiqua" w:eastAsia="Times New Roman" w:hAnsi="Book Antiqua" w:cs="Tahoma"/>
          <w:sz w:val="24"/>
          <w:szCs w:val="24"/>
          <w:lang w:val="en-US" w:eastAsia="it-IT"/>
        </w:rPr>
        <w:t xml:space="preserve">. </w:t>
      </w:r>
      <w:r w:rsidR="004D2D15" w:rsidRPr="00A01B2C">
        <w:rPr>
          <w:rFonts w:ascii="Book Antiqua" w:eastAsia="Times New Roman" w:hAnsi="Book Antiqua" w:cs="Tahoma"/>
          <w:sz w:val="24"/>
          <w:szCs w:val="24"/>
          <w:lang w:val="en-US" w:eastAsia="it-IT"/>
        </w:rPr>
        <w:t>Other e</w:t>
      </w:r>
      <w:r w:rsidRPr="00A01B2C">
        <w:rPr>
          <w:rFonts w:ascii="Book Antiqua" w:eastAsia="Times New Roman" w:hAnsi="Book Antiqua" w:cs="Tahoma"/>
          <w:sz w:val="24"/>
          <w:szCs w:val="24"/>
          <w:lang w:val="en-US" w:eastAsia="it-IT"/>
        </w:rPr>
        <w:t>xclusion criteria were:</w:t>
      </w:r>
      <w:r w:rsidR="00302503"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 xml:space="preserve">history of thoracic or gastric surgery, </w:t>
      </w:r>
      <w:r w:rsidR="00882F2B" w:rsidRPr="00A01B2C">
        <w:rPr>
          <w:rFonts w:ascii="Book Antiqua" w:eastAsia="Times New Roman" w:hAnsi="Book Antiqua" w:cs="Tahoma"/>
          <w:sz w:val="24"/>
          <w:szCs w:val="24"/>
          <w:lang w:val="en-US" w:eastAsia="it-IT"/>
        </w:rPr>
        <w:t>dysphagia and</w:t>
      </w:r>
      <w:r w:rsidRPr="00A01B2C">
        <w:rPr>
          <w:rFonts w:ascii="Book Antiqua" w:eastAsia="Times New Roman" w:hAnsi="Book Antiqua" w:cs="Tahoma"/>
          <w:sz w:val="24"/>
          <w:szCs w:val="24"/>
          <w:lang w:val="en-US" w:eastAsia="it-IT"/>
        </w:rPr>
        <w:t xml:space="preserve"> known</w:t>
      </w:r>
      <w:r w:rsidR="00992C1E" w:rsidRPr="00A01B2C">
        <w:rPr>
          <w:rFonts w:ascii="Book Antiqua" w:eastAsia="Times New Roman" w:hAnsi="Book Antiqua" w:cs="Tahoma"/>
          <w:sz w:val="24"/>
          <w:szCs w:val="24"/>
          <w:lang w:val="en-US" w:eastAsia="it-IT"/>
        </w:rPr>
        <w:t xml:space="preserve"> esophageal motility disorders</w:t>
      </w:r>
      <w:r w:rsidRPr="00A01B2C">
        <w:rPr>
          <w:rFonts w:ascii="Book Antiqua" w:eastAsia="Times New Roman" w:hAnsi="Book Antiqua" w:cs="Tahoma"/>
          <w:sz w:val="24"/>
          <w:szCs w:val="24"/>
          <w:lang w:val="en-US" w:eastAsia="it-IT"/>
        </w:rPr>
        <w:t>.</w:t>
      </w:r>
      <w:r w:rsidR="00F74633" w:rsidRPr="00A01B2C">
        <w:rPr>
          <w:rFonts w:ascii="Book Antiqua" w:eastAsia="Times New Roman" w:hAnsi="Book Antiqua" w:cs="Tahoma"/>
          <w:sz w:val="24"/>
          <w:szCs w:val="24"/>
          <w:lang w:val="en-US" w:eastAsia="it-IT"/>
        </w:rPr>
        <w:t xml:space="preserve"> All the patients underwent </w:t>
      </w:r>
      <w:r w:rsidR="00F56EC5" w:rsidRPr="00A01B2C">
        <w:rPr>
          <w:rFonts w:ascii="Book Antiqua" w:eastAsia="Times New Roman" w:hAnsi="Book Antiqua" w:cs="Tahoma"/>
          <w:sz w:val="24"/>
          <w:szCs w:val="24"/>
          <w:lang w:val="en-US" w:eastAsia="it-IT"/>
        </w:rPr>
        <w:t>24-h OP pH-monitoring with the Dx probe and esophageal HRM</w:t>
      </w:r>
      <w:r w:rsidR="00F74633" w:rsidRPr="00A01B2C">
        <w:rPr>
          <w:rFonts w:ascii="Book Antiqua" w:eastAsia="Times New Roman" w:hAnsi="Book Antiqua" w:cs="Tahoma"/>
          <w:sz w:val="24"/>
          <w:szCs w:val="24"/>
          <w:lang w:val="en-US" w:eastAsia="it-IT"/>
        </w:rPr>
        <w:t xml:space="preserve">. </w:t>
      </w:r>
      <w:r w:rsidR="00557AFA" w:rsidRPr="00A01B2C">
        <w:rPr>
          <w:rFonts w:ascii="Book Antiqua" w:eastAsia="Times New Roman" w:hAnsi="Book Antiqua" w:cs="Tahoma"/>
          <w:sz w:val="24"/>
          <w:szCs w:val="24"/>
          <w:lang w:val="en-US" w:eastAsia="it-IT"/>
        </w:rPr>
        <w:t xml:space="preserve">We </w:t>
      </w:r>
      <w:r w:rsidR="000E47CE" w:rsidRPr="00A01B2C">
        <w:rPr>
          <w:rFonts w:ascii="Book Antiqua" w:eastAsia="Times New Roman" w:hAnsi="Book Antiqua" w:cs="Tahoma"/>
          <w:sz w:val="24"/>
          <w:szCs w:val="24"/>
          <w:lang w:val="en-US" w:eastAsia="it-IT"/>
        </w:rPr>
        <w:t xml:space="preserve">compared all the esophageal motility parameters </w:t>
      </w:r>
      <w:r w:rsidR="00557AFA" w:rsidRPr="00A01B2C">
        <w:rPr>
          <w:rFonts w:ascii="Book Antiqua" w:eastAsia="Times New Roman" w:hAnsi="Book Antiqua" w:cs="Tahoma"/>
          <w:sz w:val="24"/>
          <w:szCs w:val="24"/>
          <w:lang w:val="en-US" w:eastAsia="it-IT"/>
        </w:rPr>
        <w:t xml:space="preserve">with </w:t>
      </w:r>
      <w:r w:rsidR="000E47CE" w:rsidRPr="00A01B2C">
        <w:rPr>
          <w:rFonts w:ascii="Book Antiqua" w:eastAsia="Times New Roman" w:hAnsi="Book Antiqua" w:cs="Tahoma"/>
          <w:sz w:val="24"/>
          <w:szCs w:val="24"/>
          <w:lang w:val="en-US" w:eastAsia="it-IT"/>
        </w:rPr>
        <w:t>the OP pH-metry</w:t>
      </w:r>
      <w:r w:rsidR="004D2D15" w:rsidRPr="00A01B2C">
        <w:rPr>
          <w:rFonts w:ascii="Book Antiqua" w:eastAsia="Times New Roman" w:hAnsi="Book Antiqua" w:cs="Tahoma"/>
          <w:sz w:val="24"/>
          <w:szCs w:val="24"/>
          <w:lang w:val="en-US" w:eastAsia="it-IT"/>
        </w:rPr>
        <w:t xml:space="preserve"> profile</w:t>
      </w:r>
      <w:r w:rsidR="000E47CE" w:rsidRPr="00A01B2C">
        <w:rPr>
          <w:rFonts w:ascii="Book Antiqua" w:eastAsia="Times New Roman" w:hAnsi="Book Antiqua" w:cs="Tahoma"/>
          <w:sz w:val="24"/>
          <w:szCs w:val="24"/>
          <w:lang w:val="en-US" w:eastAsia="it-IT"/>
        </w:rPr>
        <w:t xml:space="preserve">. </w:t>
      </w:r>
    </w:p>
    <w:p w:rsidR="00F74633" w:rsidRPr="00A01B2C" w:rsidRDefault="00F74633" w:rsidP="006D687B">
      <w:pPr>
        <w:autoSpaceDE w:val="0"/>
        <w:autoSpaceDN w:val="0"/>
        <w:adjustRightInd w:val="0"/>
        <w:snapToGrid w:val="0"/>
        <w:spacing w:after="0" w:line="360" w:lineRule="auto"/>
        <w:ind w:firstLineChars="100" w:firstLine="240"/>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The protocol was approved by the hospital’s medical ethics committee. Informed consent</w:t>
      </w:r>
      <w:r w:rsidR="00403904" w:rsidRPr="00A01B2C">
        <w:rPr>
          <w:rFonts w:ascii="Book Antiqua" w:eastAsia="Times New Roman" w:hAnsi="Book Antiqua" w:cs="Tahoma"/>
          <w:sz w:val="24"/>
          <w:szCs w:val="24"/>
          <w:lang w:val="en-US" w:eastAsia="it-IT"/>
        </w:rPr>
        <w:t xml:space="preserve"> was obtained</w:t>
      </w:r>
      <w:r w:rsidRPr="00A01B2C">
        <w:rPr>
          <w:rFonts w:ascii="Book Antiqua" w:eastAsia="Times New Roman" w:hAnsi="Book Antiqua" w:cs="Tahoma"/>
          <w:sz w:val="24"/>
          <w:szCs w:val="24"/>
          <w:lang w:val="en-US" w:eastAsia="it-IT"/>
        </w:rPr>
        <w:t xml:space="preserve"> for procedures and for data management for scientific purposes.</w:t>
      </w:r>
    </w:p>
    <w:p w:rsidR="00A15D9D" w:rsidRPr="00A01B2C" w:rsidRDefault="00A15D9D" w:rsidP="006D687B">
      <w:pPr>
        <w:snapToGrid w:val="0"/>
        <w:spacing w:after="0" w:line="360" w:lineRule="auto"/>
        <w:jc w:val="both"/>
        <w:rPr>
          <w:rFonts w:ascii="Book Antiqua" w:hAnsi="Book Antiqua" w:cs="Tahoma"/>
          <w:b/>
          <w:sz w:val="24"/>
          <w:szCs w:val="24"/>
          <w:lang w:val="en-US" w:eastAsia="zh-CN"/>
        </w:rPr>
      </w:pPr>
    </w:p>
    <w:p w:rsidR="00F74633" w:rsidRPr="00A01B2C" w:rsidRDefault="00F74633" w:rsidP="006D687B">
      <w:pPr>
        <w:snapToGrid w:val="0"/>
        <w:spacing w:after="0" w:line="360" w:lineRule="auto"/>
        <w:jc w:val="both"/>
        <w:rPr>
          <w:rFonts w:ascii="Book Antiqua" w:hAnsi="Book Antiqua" w:cs="Tahoma,Bold"/>
          <w:b/>
          <w:bCs/>
          <w:i/>
          <w:sz w:val="24"/>
          <w:szCs w:val="24"/>
          <w:lang w:val="en-US"/>
        </w:rPr>
      </w:pPr>
      <w:r w:rsidRPr="00A01B2C">
        <w:rPr>
          <w:rFonts w:ascii="Book Antiqua" w:eastAsia="Times New Roman" w:hAnsi="Book Antiqua" w:cs="Tahoma"/>
          <w:b/>
          <w:i/>
          <w:sz w:val="24"/>
          <w:szCs w:val="24"/>
          <w:lang w:val="en-US" w:eastAsia="it-IT"/>
        </w:rPr>
        <w:t>RSI</w:t>
      </w:r>
      <w:r w:rsidR="00302503" w:rsidRPr="00A01B2C">
        <w:rPr>
          <w:rFonts w:ascii="Book Antiqua" w:hAnsi="Book Antiqua" w:cs="Tahoma" w:hint="eastAsia"/>
          <w:b/>
          <w:i/>
          <w:sz w:val="24"/>
          <w:szCs w:val="24"/>
          <w:lang w:val="en-US" w:eastAsia="zh-CN"/>
        </w:rPr>
        <w:t xml:space="preserve"> </w:t>
      </w:r>
      <w:r w:rsidRPr="00A01B2C">
        <w:rPr>
          <w:rFonts w:ascii="Book Antiqua" w:eastAsia="Times New Roman" w:hAnsi="Book Antiqua" w:cs="Tahoma"/>
          <w:b/>
          <w:i/>
          <w:sz w:val="24"/>
          <w:szCs w:val="24"/>
          <w:lang w:val="en-US" w:eastAsia="it-IT"/>
        </w:rPr>
        <w:t>questionnaire</w:t>
      </w:r>
    </w:p>
    <w:p w:rsidR="00F74633" w:rsidRPr="00A01B2C" w:rsidRDefault="00F74633" w:rsidP="006D687B">
      <w:pPr>
        <w:autoSpaceDE w:val="0"/>
        <w:autoSpaceDN w:val="0"/>
        <w:adjustRightInd w:val="0"/>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The RSI is a self-administered nine-item questionnaire for symptoms assessment in</w:t>
      </w:r>
      <w:r w:rsidR="00FE4B6C" w:rsidRPr="00A01B2C">
        <w:rPr>
          <w:rFonts w:ascii="Book Antiqua" w:eastAsia="Times New Roman" w:hAnsi="Book Antiqua" w:cs="Tahoma"/>
          <w:sz w:val="24"/>
          <w:szCs w:val="24"/>
          <w:lang w:val="en-US" w:eastAsia="it-IT"/>
        </w:rPr>
        <w:t xml:space="preserve"> </w:t>
      </w:r>
      <w:r w:rsidR="000E47CE" w:rsidRPr="00A01B2C">
        <w:rPr>
          <w:rFonts w:ascii="Book Antiqua" w:eastAsia="Times New Roman" w:hAnsi="Book Antiqua" w:cs="Tahoma"/>
          <w:sz w:val="24"/>
          <w:szCs w:val="24"/>
          <w:lang w:val="en-US" w:eastAsia="it-IT"/>
        </w:rPr>
        <w:t>p</w:t>
      </w:r>
      <w:r w:rsidRPr="00A01B2C">
        <w:rPr>
          <w:rFonts w:ascii="Book Antiqua" w:eastAsia="Times New Roman" w:hAnsi="Book Antiqua" w:cs="Tahoma"/>
          <w:sz w:val="24"/>
          <w:szCs w:val="24"/>
          <w:lang w:val="en-US" w:eastAsia="it-IT"/>
        </w:rPr>
        <w:t>atients with suspected LPR. The score for each item ranges from 0 (no problem) to 5 (severe pro</w:t>
      </w:r>
      <w:r w:rsidR="00992C1E" w:rsidRPr="00A01B2C">
        <w:rPr>
          <w:rFonts w:ascii="Book Antiqua" w:eastAsia="Times New Roman" w:hAnsi="Book Antiqua" w:cs="Tahoma"/>
          <w:sz w:val="24"/>
          <w:szCs w:val="24"/>
          <w:lang w:val="en-US" w:eastAsia="it-IT"/>
        </w:rPr>
        <w:t xml:space="preserve">blem), up to a </w:t>
      </w:r>
      <w:r w:rsidR="00403904" w:rsidRPr="00A01B2C">
        <w:rPr>
          <w:rFonts w:ascii="Book Antiqua" w:eastAsia="Times New Roman" w:hAnsi="Book Antiqua" w:cs="Tahoma"/>
          <w:sz w:val="24"/>
          <w:szCs w:val="24"/>
          <w:lang w:val="en-US" w:eastAsia="it-IT"/>
        </w:rPr>
        <w:t xml:space="preserve">maximum </w:t>
      </w:r>
      <w:r w:rsidR="00302503" w:rsidRPr="00A01B2C">
        <w:rPr>
          <w:rFonts w:ascii="Book Antiqua" w:eastAsia="Times New Roman" w:hAnsi="Book Antiqua" w:cs="Tahoma"/>
          <w:sz w:val="24"/>
          <w:szCs w:val="24"/>
          <w:lang w:val="en-US" w:eastAsia="it-IT"/>
        </w:rPr>
        <w:t>of 45</w:t>
      </w:r>
      <w:r w:rsidR="00FE0DE2" w:rsidRPr="00A01B2C">
        <w:rPr>
          <w:rFonts w:ascii="Book Antiqua" w:eastAsia="Times New Roman" w:hAnsi="Book Antiqua" w:cs="Tahoma"/>
          <w:sz w:val="24"/>
          <w:szCs w:val="24"/>
          <w:vertAlign w:val="superscript"/>
          <w:lang w:val="en-US" w:eastAsia="it-IT"/>
        </w:rPr>
        <w:t>[</w:t>
      </w:r>
      <w:r w:rsidR="00992C1E" w:rsidRPr="00A01B2C">
        <w:rPr>
          <w:rFonts w:ascii="Book Antiqua" w:eastAsia="Times New Roman" w:hAnsi="Book Antiqua" w:cs="Tahoma"/>
          <w:sz w:val="24"/>
          <w:szCs w:val="24"/>
          <w:vertAlign w:val="superscript"/>
          <w:lang w:val="en-US" w:eastAsia="it-IT"/>
        </w:rPr>
        <w:t>13</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Schindler et al. developed the validated Italian form of the RSI, which is easily administered, highly reproducible, and ensures</w:t>
      </w:r>
      <w:r w:rsidR="00992C1E" w:rsidRPr="00A01B2C">
        <w:rPr>
          <w:rFonts w:ascii="Book Antiqua" w:eastAsia="Times New Roman" w:hAnsi="Book Antiqua" w:cs="Tahoma"/>
          <w:sz w:val="24"/>
          <w:szCs w:val="24"/>
          <w:lang w:val="en-US" w:eastAsia="it-IT"/>
        </w:rPr>
        <w:t xml:space="preserve"> excellent clinical validity</w:t>
      </w:r>
      <w:r w:rsidR="00FE0DE2" w:rsidRPr="00A01B2C">
        <w:rPr>
          <w:rFonts w:ascii="Book Antiqua" w:eastAsia="Times New Roman" w:hAnsi="Book Antiqua" w:cs="Tahoma"/>
          <w:sz w:val="24"/>
          <w:szCs w:val="24"/>
          <w:vertAlign w:val="superscript"/>
          <w:lang w:val="en-US" w:eastAsia="it-IT"/>
        </w:rPr>
        <w:t>[</w:t>
      </w:r>
      <w:r w:rsidR="00992C1E" w:rsidRPr="00A01B2C">
        <w:rPr>
          <w:rFonts w:ascii="Book Antiqua" w:eastAsia="Times New Roman" w:hAnsi="Book Antiqua" w:cs="Tahoma"/>
          <w:sz w:val="24"/>
          <w:szCs w:val="24"/>
          <w:vertAlign w:val="superscript"/>
          <w:lang w:val="en-US" w:eastAsia="it-IT"/>
        </w:rPr>
        <w:t>14</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w:t>
      </w:r>
    </w:p>
    <w:p w:rsidR="00A15D9D" w:rsidRPr="00A01B2C" w:rsidRDefault="00A15D9D" w:rsidP="006D687B">
      <w:pPr>
        <w:snapToGrid w:val="0"/>
        <w:spacing w:after="0" w:line="360" w:lineRule="auto"/>
        <w:jc w:val="both"/>
        <w:rPr>
          <w:rFonts w:ascii="Book Antiqua" w:hAnsi="Book Antiqua" w:cs="Tahoma"/>
          <w:b/>
          <w:sz w:val="24"/>
          <w:szCs w:val="24"/>
          <w:lang w:val="en-US" w:eastAsia="zh-CN"/>
        </w:rPr>
      </w:pPr>
    </w:p>
    <w:p w:rsidR="00F56EC5" w:rsidRPr="00A01B2C" w:rsidRDefault="00F56EC5" w:rsidP="006D687B">
      <w:pPr>
        <w:snapToGrid w:val="0"/>
        <w:spacing w:after="0" w:line="360" w:lineRule="auto"/>
        <w:jc w:val="both"/>
        <w:rPr>
          <w:rFonts w:ascii="Book Antiqua" w:eastAsia="Times New Roman" w:hAnsi="Book Antiqua" w:cs="Tahoma"/>
          <w:b/>
          <w:i/>
          <w:sz w:val="24"/>
          <w:szCs w:val="24"/>
          <w:lang w:val="en-US" w:eastAsia="it-IT"/>
        </w:rPr>
      </w:pPr>
      <w:r w:rsidRPr="00A01B2C">
        <w:rPr>
          <w:rFonts w:ascii="Book Antiqua" w:eastAsia="Times New Roman" w:hAnsi="Book Antiqua" w:cs="Tahoma"/>
          <w:b/>
          <w:i/>
          <w:sz w:val="24"/>
          <w:szCs w:val="24"/>
          <w:lang w:val="en-US" w:eastAsia="it-IT"/>
        </w:rPr>
        <w:t xml:space="preserve">Oropharyngeal pH-monitoring </w:t>
      </w:r>
    </w:p>
    <w:p w:rsidR="00F56EC5" w:rsidRPr="00A01B2C" w:rsidRDefault="00F56EC5" w:rsidP="006D687B">
      <w:pPr>
        <w:autoSpaceDE w:val="0"/>
        <w:autoSpaceDN w:val="0"/>
        <w:adjustRightInd w:val="0"/>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For OP pH-monitoring w</w:t>
      </w:r>
      <w:r w:rsidR="00403904" w:rsidRPr="00A01B2C">
        <w:rPr>
          <w:rFonts w:ascii="Book Antiqua" w:eastAsia="Times New Roman" w:hAnsi="Book Antiqua" w:cs="Tahoma"/>
          <w:sz w:val="24"/>
          <w:szCs w:val="24"/>
          <w:lang w:val="en-US" w:eastAsia="it-IT"/>
        </w:rPr>
        <w:t>e</w:t>
      </w:r>
      <w:r w:rsidRPr="00A01B2C">
        <w:rPr>
          <w:rFonts w:ascii="Book Antiqua" w:eastAsia="Times New Roman" w:hAnsi="Book Antiqua" w:cs="Tahoma"/>
          <w:sz w:val="24"/>
          <w:szCs w:val="24"/>
          <w:lang w:val="en-US" w:eastAsia="it-IT"/>
        </w:rPr>
        <w:t xml:space="preserve"> used the Dx-pH measurement system (Restech - Respiratory Technology Corporation, San Diego, C</w:t>
      </w:r>
      <w:r w:rsidR="00302503" w:rsidRPr="00A01B2C">
        <w:rPr>
          <w:rFonts w:ascii="Book Antiqua" w:hAnsi="Book Antiqua" w:cs="Tahoma" w:hint="eastAsia"/>
          <w:sz w:val="24"/>
          <w:szCs w:val="24"/>
          <w:lang w:val="en-US" w:eastAsia="zh-CN"/>
        </w:rPr>
        <w:t>A</w:t>
      </w:r>
      <w:r w:rsidRPr="00A01B2C">
        <w:rPr>
          <w:rFonts w:ascii="Book Antiqua" w:eastAsia="Times New Roman" w:hAnsi="Book Antiqua" w:cs="Tahoma"/>
          <w:sz w:val="24"/>
          <w:szCs w:val="24"/>
          <w:lang w:val="en-US" w:eastAsia="it-IT"/>
        </w:rPr>
        <w:t>, United States). The Dx sensor was calibrated in pH 7 and 4 buffer solutions before use.</w:t>
      </w:r>
      <w:r w:rsidR="00302503"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The probe was inserted transnasally and positioned so that the flashing light-emitting diode at its tip wa</w:t>
      </w:r>
      <w:r w:rsidR="00302503" w:rsidRPr="00A01B2C">
        <w:rPr>
          <w:rFonts w:ascii="Book Antiqua" w:eastAsia="Times New Roman" w:hAnsi="Book Antiqua" w:cs="Tahoma"/>
          <w:sz w:val="24"/>
          <w:szCs w:val="24"/>
          <w:lang w:val="en-US" w:eastAsia="it-IT"/>
        </w:rPr>
        <w:t>s 5-10 mm below the uvula</w:t>
      </w:r>
      <w:r w:rsidR="00FE0DE2" w:rsidRPr="00A01B2C">
        <w:rPr>
          <w:rFonts w:ascii="Book Antiqua" w:eastAsia="Times New Roman" w:hAnsi="Book Antiqua" w:cs="Tahoma"/>
          <w:sz w:val="24"/>
          <w:szCs w:val="24"/>
          <w:vertAlign w:val="superscript"/>
          <w:lang w:val="en-US" w:eastAsia="it-IT"/>
        </w:rPr>
        <w:t>[</w:t>
      </w:r>
      <w:r w:rsidR="00992C1E" w:rsidRPr="00A01B2C">
        <w:rPr>
          <w:rFonts w:ascii="Book Antiqua" w:eastAsia="Times New Roman" w:hAnsi="Book Antiqua" w:cs="Tahoma"/>
          <w:sz w:val="24"/>
          <w:szCs w:val="24"/>
          <w:vertAlign w:val="superscript"/>
          <w:lang w:val="en-US" w:eastAsia="it-IT"/>
        </w:rPr>
        <w:t>5</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Patients were asked to keep</w:t>
      </w:r>
      <w:r w:rsidR="00557AFA"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a diary during the recording period, indicating the time</w:t>
      </w:r>
      <w:r w:rsidR="00403904" w:rsidRPr="00A01B2C">
        <w:rPr>
          <w:rFonts w:ascii="Book Antiqua" w:eastAsia="Times New Roman" w:hAnsi="Book Antiqua" w:cs="Tahoma"/>
          <w:sz w:val="24"/>
          <w:szCs w:val="24"/>
          <w:lang w:val="en-US" w:eastAsia="it-IT"/>
        </w:rPr>
        <w:t>s</w:t>
      </w:r>
      <w:r w:rsidRPr="00A01B2C">
        <w:rPr>
          <w:rFonts w:ascii="Book Antiqua" w:eastAsia="Times New Roman" w:hAnsi="Book Antiqua" w:cs="Tahoma"/>
          <w:sz w:val="24"/>
          <w:szCs w:val="24"/>
          <w:lang w:val="en-US" w:eastAsia="it-IT"/>
        </w:rPr>
        <w:t xml:space="preserve"> they spent </w:t>
      </w:r>
      <w:r w:rsidR="000E47CE" w:rsidRPr="00A01B2C">
        <w:rPr>
          <w:rFonts w:ascii="Book Antiqua" w:eastAsia="Times New Roman" w:hAnsi="Book Antiqua" w:cs="Tahoma"/>
          <w:sz w:val="24"/>
          <w:szCs w:val="24"/>
          <w:lang w:val="en-US" w:eastAsia="it-IT"/>
        </w:rPr>
        <w:t>sleeping or orthostatic</w:t>
      </w:r>
      <w:r w:rsidRPr="00A01B2C">
        <w:rPr>
          <w:rFonts w:ascii="Book Antiqua" w:eastAsia="Times New Roman" w:hAnsi="Book Antiqua" w:cs="Tahoma"/>
          <w:sz w:val="24"/>
          <w:szCs w:val="24"/>
          <w:lang w:val="en-US" w:eastAsia="it-IT"/>
        </w:rPr>
        <w:t xml:space="preserve"> and the times when they ate or drank and brushed their teeth</w:t>
      </w:r>
      <w:r w:rsidR="00403904" w:rsidRPr="00A01B2C">
        <w:rPr>
          <w:rFonts w:ascii="Book Antiqua" w:eastAsia="Times New Roman" w:hAnsi="Book Antiqua" w:cs="Tahoma"/>
          <w:sz w:val="24"/>
          <w:szCs w:val="24"/>
          <w:lang w:val="en-US" w:eastAsia="it-IT"/>
        </w:rPr>
        <w:t xml:space="preserve">; these periods </w:t>
      </w:r>
      <w:r w:rsidRPr="00A01B2C">
        <w:rPr>
          <w:rFonts w:ascii="Book Antiqua" w:eastAsia="Times New Roman" w:hAnsi="Book Antiqua" w:cs="Tahoma"/>
          <w:sz w:val="24"/>
          <w:szCs w:val="24"/>
          <w:lang w:val="en-US" w:eastAsia="it-IT"/>
        </w:rPr>
        <w:t xml:space="preserve">were excluded from the analysis. After the 24-h recording the data were downloaded to a dedicated software program (DataView Lite V3, Respiratory Technology Corporation) and pH tracings were all assessed by a single operator (GM), who was blinded to the manometric results. Ryan Scores were calculated for the supine and upright positions; these composite scores use 5.0 and 5.5 pH thresholds respectively and combine three parameters: </w:t>
      </w:r>
      <w:r w:rsidR="00302503" w:rsidRPr="00A01B2C">
        <w:rPr>
          <w:rFonts w:ascii="Book Antiqua" w:hAnsi="Book Antiqua" w:cs="Tahoma" w:hint="eastAsia"/>
          <w:sz w:val="24"/>
          <w:szCs w:val="24"/>
          <w:lang w:val="en-US" w:eastAsia="zh-CN"/>
        </w:rPr>
        <w:t>(</w:t>
      </w:r>
      <w:r w:rsidRPr="00A01B2C">
        <w:rPr>
          <w:rFonts w:ascii="Book Antiqua" w:eastAsia="Times New Roman" w:hAnsi="Book Antiqua" w:cs="Tahoma"/>
          <w:sz w:val="24"/>
          <w:szCs w:val="24"/>
          <w:lang w:val="en-US" w:eastAsia="it-IT"/>
        </w:rPr>
        <w:t>1) the number of reflux episodes</w:t>
      </w:r>
      <w:r w:rsidR="00403904"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 </w:t>
      </w:r>
      <w:r w:rsidR="00302503" w:rsidRPr="00A01B2C">
        <w:rPr>
          <w:rFonts w:ascii="Book Antiqua" w:hAnsi="Book Antiqua" w:cs="Tahoma" w:hint="eastAsia"/>
          <w:sz w:val="24"/>
          <w:szCs w:val="24"/>
          <w:lang w:val="en-US" w:eastAsia="zh-CN"/>
        </w:rPr>
        <w:t>(</w:t>
      </w:r>
      <w:r w:rsidRPr="00A01B2C">
        <w:rPr>
          <w:rFonts w:ascii="Book Antiqua" w:eastAsia="Times New Roman" w:hAnsi="Book Antiqua" w:cs="Tahoma"/>
          <w:sz w:val="24"/>
          <w:szCs w:val="24"/>
          <w:lang w:val="en-US" w:eastAsia="it-IT"/>
        </w:rPr>
        <w:t>2) the duration of the longest episode</w:t>
      </w:r>
      <w:r w:rsidR="0039110C"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 </w:t>
      </w:r>
      <w:r w:rsidR="00302503" w:rsidRPr="00A01B2C">
        <w:rPr>
          <w:rFonts w:ascii="Book Antiqua" w:hAnsi="Book Antiqua" w:cs="Tahoma" w:hint="eastAsia"/>
          <w:sz w:val="24"/>
          <w:szCs w:val="24"/>
          <w:lang w:val="en-US" w:eastAsia="zh-CN"/>
        </w:rPr>
        <w:t>(</w:t>
      </w:r>
      <w:r w:rsidRPr="00A01B2C">
        <w:rPr>
          <w:rFonts w:ascii="Book Antiqua" w:eastAsia="Times New Roman" w:hAnsi="Book Antiqua" w:cs="Tahoma"/>
          <w:sz w:val="24"/>
          <w:szCs w:val="24"/>
          <w:lang w:val="en-US" w:eastAsia="it-IT"/>
        </w:rPr>
        <w:t>3) the percentage of time below the defined threshold.</w:t>
      </w:r>
      <w:r w:rsidR="00FE4B6C"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Scores higher than 9.41 in the upright position and/or higher than 6.81 in the supine position denoted pathological O</w:t>
      </w:r>
      <w:r w:rsidR="00992C1E" w:rsidRPr="00A01B2C">
        <w:rPr>
          <w:rFonts w:ascii="Book Antiqua" w:eastAsia="Times New Roman" w:hAnsi="Book Antiqua" w:cs="Tahoma"/>
          <w:sz w:val="24"/>
          <w:szCs w:val="24"/>
          <w:lang w:val="en-US" w:eastAsia="it-IT"/>
        </w:rPr>
        <w:t xml:space="preserve">P </w:t>
      </w:r>
      <w:r w:rsidR="00302503" w:rsidRPr="00A01B2C">
        <w:rPr>
          <w:rFonts w:ascii="Book Antiqua" w:eastAsia="Times New Roman" w:hAnsi="Book Antiqua" w:cs="Tahoma"/>
          <w:sz w:val="24"/>
          <w:szCs w:val="24"/>
          <w:lang w:val="en-US" w:eastAsia="it-IT"/>
        </w:rPr>
        <w:t>acid exposure</w:t>
      </w:r>
      <w:r w:rsidR="00FE0DE2" w:rsidRPr="00A01B2C">
        <w:rPr>
          <w:rFonts w:ascii="Book Antiqua" w:eastAsia="Times New Roman" w:hAnsi="Book Antiqua" w:cs="Tahoma"/>
          <w:sz w:val="24"/>
          <w:szCs w:val="24"/>
          <w:vertAlign w:val="superscript"/>
          <w:lang w:val="en-US" w:eastAsia="it-IT"/>
        </w:rPr>
        <w:t>[</w:t>
      </w:r>
      <w:r w:rsidR="00992C1E" w:rsidRPr="00A01B2C">
        <w:rPr>
          <w:rFonts w:ascii="Book Antiqua" w:eastAsia="Times New Roman" w:hAnsi="Book Antiqua" w:cs="Tahoma"/>
          <w:sz w:val="24"/>
          <w:szCs w:val="24"/>
          <w:vertAlign w:val="superscript"/>
          <w:lang w:val="en-US" w:eastAsia="it-IT"/>
        </w:rPr>
        <w:t>6</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w:t>
      </w:r>
    </w:p>
    <w:p w:rsidR="00A15D9D" w:rsidRPr="00A01B2C" w:rsidRDefault="00A15D9D" w:rsidP="006D687B">
      <w:pPr>
        <w:snapToGrid w:val="0"/>
        <w:spacing w:after="0" w:line="360" w:lineRule="auto"/>
        <w:jc w:val="both"/>
        <w:rPr>
          <w:rFonts w:ascii="Book Antiqua" w:hAnsi="Book Antiqua" w:cs="Tahoma"/>
          <w:b/>
          <w:sz w:val="24"/>
          <w:szCs w:val="24"/>
          <w:lang w:val="en-US" w:eastAsia="zh-CN"/>
        </w:rPr>
      </w:pPr>
    </w:p>
    <w:p w:rsidR="00F74633" w:rsidRPr="00A01B2C" w:rsidRDefault="00302503" w:rsidP="006D687B">
      <w:pPr>
        <w:snapToGrid w:val="0"/>
        <w:spacing w:after="0" w:line="360" w:lineRule="auto"/>
        <w:jc w:val="both"/>
        <w:rPr>
          <w:rFonts w:ascii="Book Antiqua" w:hAnsi="Book Antiqua" w:cs="Tahoma"/>
          <w:b/>
          <w:i/>
          <w:sz w:val="24"/>
          <w:szCs w:val="24"/>
          <w:lang w:val="en-US" w:eastAsia="zh-CN"/>
        </w:rPr>
      </w:pPr>
      <w:r w:rsidRPr="00A01B2C">
        <w:rPr>
          <w:rFonts w:ascii="Book Antiqua" w:eastAsia="Times New Roman" w:hAnsi="Book Antiqua" w:cs="Tahoma"/>
          <w:b/>
          <w:i/>
          <w:sz w:val="24"/>
          <w:szCs w:val="24"/>
          <w:lang w:val="en-US" w:eastAsia="it-IT"/>
        </w:rPr>
        <w:t>HRM</w:t>
      </w:r>
    </w:p>
    <w:p w:rsidR="00F40D45" w:rsidRPr="00A01B2C" w:rsidRDefault="00F74633" w:rsidP="006D687B">
      <w:pPr>
        <w:autoSpaceDE w:val="0"/>
        <w:autoSpaceDN w:val="0"/>
        <w:adjustRightInd w:val="0"/>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 xml:space="preserve">Manometric studies were </w:t>
      </w:r>
      <w:r w:rsidR="00403904" w:rsidRPr="00A01B2C">
        <w:rPr>
          <w:rFonts w:ascii="Book Antiqua" w:eastAsia="Times New Roman" w:hAnsi="Book Antiqua" w:cs="Tahoma"/>
          <w:sz w:val="24"/>
          <w:szCs w:val="24"/>
          <w:lang w:val="en-US" w:eastAsia="it-IT"/>
        </w:rPr>
        <w:t xml:space="preserve">done </w:t>
      </w:r>
      <w:r w:rsidRPr="00A01B2C">
        <w:rPr>
          <w:rFonts w:ascii="Book Antiqua" w:eastAsia="Times New Roman" w:hAnsi="Book Antiqua" w:cs="Tahoma"/>
          <w:sz w:val="24"/>
          <w:szCs w:val="24"/>
          <w:lang w:val="en-US" w:eastAsia="it-IT"/>
        </w:rPr>
        <w:t>using a system (Solar GI HRM, Medical</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Measurement System, The Netherlands) with a catheter with 36 circumferential</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solid-state pressure sensors spaced at 1-cm intervals (UniTip High Resolution</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Kateter 12F, Unisensor, Attikon, Switzerland). Patients fasted overnight then</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the catheter was placed transnasally, positioned to record from the</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hypopharynx to the stomach. The manometric protocol was done with patients</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supine and consisted of a 5-min period to assess basal sphincter pressures, and</w:t>
      </w:r>
      <w:r w:rsidR="00CC0643" w:rsidRPr="00A01B2C">
        <w:rPr>
          <w:rFonts w:ascii="Book Antiqua" w:eastAsia="Times New Roman" w:hAnsi="Book Antiqua" w:cs="Tahoma"/>
          <w:sz w:val="24"/>
          <w:szCs w:val="24"/>
          <w:lang w:val="en-US" w:eastAsia="it-IT"/>
        </w:rPr>
        <w:t xml:space="preserve"> </w:t>
      </w:r>
      <w:r w:rsidR="00393C8D" w:rsidRPr="00A01B2C">
        <w:rPr>
          <w:rFonts w:ascii="Book Antiqua" w:eastAsia="Times New Roman" w:hAnsi="Book Antiqua" w:cs="Tahoma"/>
          <w:sz w:val="24"/>
          <w:szCs w:val="24"/>
          <w:lang w:val="en-US" w:eastAsia="it-IT"/>
        </w:rPr>
        <w:t>ten</w:t>
      </w:r>
      <w:r w:rsidR="00302503" w:rsidRPr="00A01B2C">
        <w:rPr>
          <w:rFonts w:ascii="Book Antiqua" w:eastAsia="Times New Roman" w:hAnsi="Book Antiqua" w:cs="Tahoma"/>
          <w:sz w:val="24"/>
          <w:szCs w:val="24"/>
          <w:lang w:val="en-US" w:eastAsia="it-IT"/>
        </w:rPr>
        <w:t xml:space="preserve"> 5-mL water swallows</w:t>
      </w:r>
      <w:r w:rsidR="00FE0DE2" w:rsidRPr="00A01B2C">
        <w:rPr>
          <w:rFonts w:ascii="Book Antiqua" w:eastAsia="Times New Roman" w:hAnsi="Book Antiqua" w:cs="Tahoma"/>
          <w:sz w:val="24"/>
          <w:szCs w:val="24"/>
          <w:vertAlign w:val="superscript"/>
          <w:lang w:val="en-US" w:eastAsia="it-IT"/>
        </w:rPr>
        <w:t>[</w:t>
      </w:r>
      <w:r w:rsidR="00393C8D" w:rsidRPr="00A01B2C">
        <w:rPr>
          <w:rFonts w:ascii="Book Antiqua" w:eastAsia="Times New Roman" w:hAnsi="Book Antiqua" w:cs="Tahoma"/>
          <w:sz w:val="24"/>
          <w:szCs w:val="24"/>
          <w:vertAlign w:val="superscript"/>
          <w:lang w:val="en-US" w:eastAsia="it-IT"/>
        </w:rPr>
        <w:t>15</w:t>
      </w:r>
      <w:r w:rsidR="00302503" w:rsidRPr="00A01B2C">
        <w:rPr>
          <w:rFonts w:ascii="Book Antiqua" w:hAnsi="Book Antiqua" w:cs="Tahoma" w:hint="eastAsia"/>
          <w:sz w:val="24"/>
          <w:szCs w:val="24"/>
          <w:vertAlign w:val="superscript"/>
          <w:lang w:val="en-US" w:eastAsia="zh-CN"/>
        </w:rPr>
        <w:t>-</w:t>
      </w:r>
      <w:r w:rsidR="00393C8D" w:rsidRPr="00A01B2C">
        <w:rPr>
          <w:rFonts w:ascii="Book Antiqua" w:eastAsia="Times New Roman" w:hAnsi="Book Antiqua" w:cs="Tahoma"/>
          <w:sz w:val="24"/>
          <w:szCs w:val="24"/>
          <w:vertAlign w:val="superscript"/>
          <w:lang w:val="en-US" w:eastAsia="it-IT"/>
        </w:rPr>
        <w:t>17</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w:t>
      </w:r>
      <w:r w:rsidR="00FE4B6C"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Data were analyzed by a single operator (SP), who was blinded to the results of</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pH tracings, using a dedicated software program (Medical Measurement System</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Database Software,</w:t>
      </w:r>
      <w:r w:rsidR="00302503"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V8.23a, The Netherlands). All manometric parameters were</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calculated for each swallow and the contraction patterns were classified</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according to</w:t>
      </w:r>
      <w:r w:rsidR="002D72C6" w:rsidRPr="00A01B2C">
        <w:rPr>
          <w:rFonts w:ascii="Book Antiqua" w:eastAsia="Times New Roman" w:hAnsi="Book Antiqua" w:cs="Tahoma"/>
          <w:sz w:val="24"/>
          <w:szCs w:val="24"/>
          <w:lang w:val="en-US" w:eastAsia="it-IT"/>
        </w:rPr>
        <w:t xml:space="preserve"> </w:t>
      </w:r>
      <w:r w:rsidR="00302503" w:rsidRPr="00A01B2C">
        <w:rPr>
          <w:rFonts w:ascii="Book Antiqua" w:eastAsia="Times New Roman" w:hAnsi="Book Antiqua" w:cs="Tahoma"/>
          <w:sz w:val="24"/>
          <w:szCs w:val="24"/>
          <w:lang w:val="en-US" w:eastAsia="it-IT"/>
        </w:rPr>
        <w:t>the Chicago Classification v3.0</w:t>
      </w:r>
      <w:r w:rsidR="00FE0DE2" w:rsidRPr="00A01B2C">
        <w:rPr>
          <w:rFonts w:ascii="Book Antiqua" w:eastAsia="Times New Roman" w:hAnsi="Book Antiqua" w:cs="Tahoma"/>
          <w:sz w:val="24"/>
          <w:szCs w:val="24"/>
          <w:vertAlign w:val="superscript"/>
          <w:lang w:val="en-US" w:eastAsia="it-IT"/>
        </w:rPr>
        <w:t>[</w:t>
      </w:r>
      <w:r w:rsidR="00393C8D" w:rsidRPr="00A01B2C">
        <w:rPr>
          <w:rFonts w:ascii="Book Antiqua" w:eastAsia="Times New Roman" w:hAnsi="Book Antiqua" w:cs="Tahoma"/>
          <w:sz w:val="24"/>
          <w:szCs w:val="24"/>
          <w:vertAlign w:val="superscript"/>
          <w:lang w:val="en-US" w:eastAsia="it-IT"/>
        </w:rPr>
        <w:t>16</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The metrics analyzed</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included: sphincter</w:t>
      </w:r>
      <w:r w:rsidR="00403904" w:rsidRPr="00A01B2C">
        <w:rPr>
          <w:rFonts w:ascii="Book Antiqua" w:eastAsia="Times New Roman" w:hAnsi="Book Antiqua" w:cs="Tahoma"/>
          <w:sz w:val="24"/>
          <w:szCs w:val="24"/>
          <w:lang w:val="en-US" w:eastAsia="it-IT"/>
        </w:rPr>
        <w:t>s</w:t>
      </w:r>
      <w:r w:rsidRPr="00A01B2C">
        <w:rPr>
          <w:rFonts w:ascii="Book Antiqua" w:eastAsia="Times New Roman" w:hAnsi="Book Antiqua" w:cs="Tahoma"/>
          <w:sz w:val="24"/>
          <w:szCs w:val="24"/>
          <w:lang w:val="en-US" w:eastAsia="it-IT"/>
        </w:rPr>
        <w:t xml:space="preserve"> lengths and resting pressures, lower esophageal sphincter</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(LES) integrated relaxation pressure (IRP-4s) and distal contractile integral</w:t>
      </w:r>
      <w:r w:rsidR="00CC0643" w:rsidRPr="00A01B2C">
        <w:rPr>
          <w:rFonts w:ascii="Book Antiqua" w:eastAsia="Times New Roman" w:hAnsi="Book Antiqua" w:cs="Tahoma"/>
          <w:sz w:val="24"/>
          <w:szCs w:val="24"/>
          <w:lang w:val="en-US" w:eastAsia="it-IT"/>
        </w:rPr>
        <w:t xml:space="preserve"> </w:t>
      </w:r>
      <w:r w:rsidR="00302503" w:rsidRPr="00A01B2C">
        <w:rPr>
          <w:rFonts w:ascii="Book Antiqua" w:eastAsia="Times New Roman" w:hAnsi="Book Antiqua" w:cs="Tahoma"/>
          <w:sz w:val="24"/>
          <w:szCs w:val="24"/>
          <w:lang w:val="en-US" w:eastAsia="it-IT"/>
        </w:rPr>
        <w:t>(DCI), as previously defined</w:t>
      </w:r>
      <w:r w:rsidR="00FE0DE2" w:rsidRPr="00A01B2C">
        <w:rPr>
          <w:rFonts w:ascii="Book Antiqua" w:eastAsia="Times New Roman" w:hAnsi="Book Antiqua" w:cs="Tahoma"/>
          <w:sz w:val="24"/>
          <w:szCs w:val="24"/>
          <w:vertAlign w:val="superscript"/>
          <w:lang w:val="en-US" w:eastAsia="it-IT"/>
        </w:rPr>
        <w:t>[</w:t>
      </w:r>
      <w:r w:rsidR="00393C8D" w:rsidRPr="00A01B2C">
        <w:rPr>
          <w:rFonts w:ascii="Book Antiqua" w:eastAsia="Times New Roman" w:hAnsi="Book Antiqua" w:cs="Tahoma"/>
          <w:sz w:val="24"/>
          <w:szCs w:val="24"/>
          <w:vertAlign w:val="superscript"/>
          <w:lang w:val="en-US" w:eastAsia="it-IT"/>
        </w:rPr>
        <w:t>15</w:t>
      </w:r>
      <w:r w:rsidR="00302503" w:rsidRPr="00A01B2C">
        <w:rPr>
          <w:rFonts w:ascii="Book Antiqua" w:hAnsi="Book Antiqua" w:cs="Tahoma" w:hint="eastAsia"/>
          <w:sz w:val="24"/>
          <w:szCs w:val="24"/>
          <w:vertAlign w:val="superscript"/>
          <w:lang w:val="en-US" w:eastAsia="zh-CN"/>
        </w:rPr>
        <w:t>-</w:t>
      </w:r>
      <w:r w:rsidR="00393C8D" w:rsidRPr="00A01B2C">
        <w:rPr>
          <w:rFonts w:ascii="Book Antiqua" w:eastAsia="Times New Roman" w:hAnsi="Book Antiqua" w:cs="Tahoma"/>
          <w:sz w:val="24"/>
          <w:szCs w:val="24"/>
          <w:vertAlign w:val="superscript"/>
          <w:lang w:val="en-US" w:eastAsia="it-IT"/>
        </w:rPr>
        <w:t>17</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We also calculated the proximal contractile</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integral (PCI</w:t>
      </w:r>
      <w:r w:rsidR="00302503" w:rsidRPr="00A01B2C">
        <w:rPr>
          <w:rFonts w:ascii="Book Antiqua" w:hAnsi="Book Antiqua" w:cs="Tahoma" w:hint="eastAsia"/>
          <w:sz w:val="24"/>
          <w:szCs w:val="24"/>
          <w:lang w:val="en-US" w:eastAsia="zh-CN"/>
        </w:rPr>
        <w:t>,</w:t>
      </w:r>
      <w:r w:rsidR="00A60987"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Figure 1), applying the same algorithm as for the DCI, to quantify</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contractile pressure exceeding 20 mmHg for the region spanning from the</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lower border of the </w:t>
      </w:r>
      <w:r w:rsidR="00302503" w:rsidRPr="00A01B2C">
        <w:rPr>
          <w:rFonts w:ascii="Book Antiqua" w:eastAsia="Times New Roman" w:hAnsi="Book Antiqua" w:cs="Tahoma"/>
          <w:sz w:val="24"/>
          <w:szCs w:val="24"/>
          <w:lang w:val="en-US" w:eastAsia="it-IT"/>
        </w:rPr>
        <w:t>UES to the transition zone (TZ)</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vertAlign w:val="superscript"/>
          <w:lang w:val="en-US" w:eastAsia="it-IT"/>
        </w:rPr>
        <w:t>18</w:t>
      </w:r>
      <w:r w:rsidR="00302503" w:rsidRPr="00A01B2C">
        <w:rPr>
          <w:rFonts w:ascii="Book Antiqua" w:hAnsi="Book Antiqua" w:cs="Tahoma" w:hint="eastAsia"/>
          <w:sz w:val="24"/>
          <w:szCs w:val="24"/>
          <w:vertAlign w:val="superscript"/>
          <w:lang w:val="en-US" w:eastAsia="zh-CN"/>
        </w:rPr>
        <w:t>-</w:t>
      </w:r>
      <w:r w:rsidR="00393C8D" w:rsidRPr="00A01B2C">
        <w:rPr>
          <w:rFonts w:ascii="Book Antiqua" w:eastAsia="Times New Roman" w:hAnsi="Book Antiqua" w:cs="Tahoma"/>
          <w:sz w:val="24"/>
          <w:szCs w:val="24"/>
          <w:vertAlign w:val="superscript"/>
          <w:lang w:val="en-US" w:eastAsia="it-IT"/>
        </w:rPr>
        <w:t>20</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xml:space="preserve"> The individual</w:t>
      </w:r>
      <w:r w:rsidR="00CC064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swallow pattern</w:t>
      </w:r>
      <w:r w:rsidR="00403904" w:rsidRPr="00A01B2C">
        <w:rPr>
          <w:rFonts w:ascii="Book Antiqua" w:eastAsia="Times New Roman" w:hAnsi="Book Antiqua" w:cs="Tahoma"/>
          <w:sz w:val="24"/>
          <w:szCs w:val="24"/>
          <w:lang w:val="en-US" w:eastAsia="it-IT"/>
        </w:rPr>
        <w:t xml:space="preserve">s were </w:t>
      </w:r>
      <w:r w:rsidRPr="00A01B2C">
        <w:rPr>
          <w:rFonts w:ascii="Book Antiqua" w:eastAsia="Times New Roman" w:hAnsi="Book Antiqua" w:cs="Tahoma"/>
          <w:sz w:val="24"/>
          <w:szCs w:val="24"/>
          <w:lang w:val="en-US" w:eastAsia="it-IT"/>
        </w:rPr>
        <w:t>classified as peristaltic, premature (distal latency-DL &lt;</w:t>
      </w:r>
      <w:r w:rsidR="00302503"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4.5</w:t>
      </w:r>
      <w:r w:rsidR="00CC0643" w:rsidRPr="00A01B2C">
        <w:rPr>
          <w:rFonts w:ascii="Book Antiqua" w:eastAsia="Times New Roman" w:hAnsi="Book Antiqua" w:cs="Tahoma"/>
          <w:sz w:val="24"/>
          <w:szCs w:val="24"/>
          <w:lang w:val="en-US" w:eastAsia="it-IT"/>
        </w:rPr>
        <w:t xml:space="preserve"> </w:t>
      </w:r>
      <w:r w:rsidR="005A2906" w:rsidRPr="00A01B2C">
        <w:rPr>
          <w:rFonts w:ascii="Book Antiqua" w:eastAsia="Times New Roman" w:hAnsi="Book Antiqua" w:cs="Tahoma"/>
          <w:sz w:val="24"/>
          <w:szCs w:val="24"/>
          <w:lang w:val="en-US" w:eastAsia="it-IT"/>
        </w:rPr>
        <w:t>s</w:t>
      </w:r>
      <w:r w:rsidRPr="00A01B2C">
        <w:rPr>
          <w:rFonts w:ascii="Book Antiqua" w:eastAsia="Times New Roman" w:hAnsi="Book Antiqua" w:cs="Tahoma"/>
          <w:sz w:val="24"/>
          <w:szCs w:val="24"/>
          <w:lang w:val="en-US" w:eastAsia="it-IT"/>
        </w:rPr>
        <w:t xml:space="preserve">), </w:t>
      </w:r>
      <w:r w:rsidR="005A2906" w:rsidRPr="00A01B2C">
        <w:rPr>
          <w:rFonts w:ascii="Book Antiqua" w:eastAsia="Times New Roman" w:hAnsi="Book Antiqua" w:cs="Tahoma"/>
          <w:sz w:val="24"/>
          <w:szCs w:val="24"/>
          <w:lang w:val="en-US" w:eastAsia="it-IT"/>
        </w:rPr>
        <w:t>hypercontractile (DCI &gt;</w:t>
      </w:r>
      <w:r w:rsidR="0039110C" w:rsidRPr="00A01B2C">
        <w:rPr>
          <w:rFonts w:ascii="Book Antiqua" w:eastAsia="Times New Roman" w:hAnsi="Book Antiqua" w:cs="Tahoma"/>
          <w:sz w:val="24"/>
          <w:szCs w:val="24"/>
          <w:lang w:val="en-US" w:eastAsia="it-IT"/>
        </w:rPr>
        <w:t xml:space="preserve"> </w:t>
      </w:r>
      <w:r w:rsidR="005A2906" w:rsidRPr="00A01B2C">
        <w:rPr>
          <w:rFonts w:ascii="Book Antiqua" w:eastAsia="Times New Roman" w:hAnsi="Book Antiqua" w:cs="Tahoma"/>
          <w:sz w:val="24"/>
          <w:szCs w:val="24"/>
          <w:lang w:val="en-US" w:eastAsia="it-IT"/>
        </w:rPr>
        <w:t>8000 mmHg*s*cm), failed (DCI &lt;</w:t>
      </w:r>
      <w:r w:rsidR="00302503" w:rsidRPr="00A01B2C">
        <w:rPr>
          <w:rFonts w:ascii="Book Antiqua" w:hAnsi="Book Antiqua" w:cs="Tahoma" w:hint="eastAsia"/>
          <w:sz w:val="24"/>
          <w:szCs w:val="24"/>
          <w:lang w:val="en-US" w:eastAsia="zh-CN"/>
        </w:rPr>
        <w:t xml:space="preserve"> </w:t>
      </w:r>
      <w:r w:rsidR="005A2906" w:rsidRPr="00A01B2C">
        <w:rPr>
          <w:rFonts w:ascii="Book Antiqua" w:eastAsia="Times New Roman" w:hAnsi="Book Antiqua" w:cs="Tahoma"/>
          <w:sz w:val="24"/>
          <w:szCs w:val="24"/>
          <w:lang w:val="en-US" w:eastAsia="it-IT"/>
        </w:rPr>
        <w:t>100 mmHg*s*cm</w:t>
      </w:r>
      <w:r w:rsidRPr="00A01B2C">
        <w:rPr>
          <w:rFonts w:ascii="Book Antiqua" w:eastAsia="Times New Roman" w:hAnsi="Book Antiqua" w:cs="Tahoma"/>
          <w:sz w:val="24"/>
          <w:szCs w:val="24"/>
          <w:lang w:val="en-US" w:eastAsia="it-IT"/>
        </w:rPr>
        <w:t>)</w:t>
      </w:r>
      <w:r w:rsidR="005A2906"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 </w:t>
      </w:r>
      <w:r w:rsidR="005A2906" w:rsidRPr="00A01B2C">
        <w:rPr>
          <w:rFonts w:ascii="Book Antiqua" w:eastAsia="Times New Roman" w:hAnsi="Book Antiqua" w:cs="Tahoma"/>
          <w:sz w:val="24"/>
          <w:szCs w:val="24"/>
          <w:lang w:val="en-US" w:eastAsia="it-IT"/>
        </w:rPr>
        <w:t>weak (DCI &lt;</w:t>
      </w:r>
      <w:r w:rsidR="0039110C" w:rsidRPr="00A01B2C">
        <w:rPr>
          <w:rFonts w:ascii="Book Antiqua" w:eastAsia="Times New Roman" w:hAnsi="Book Antiqua" w:cs="Tahoma"/>
          <w:sz w:val="24"/>
          <w:szCs w:val="24"/>
          <w:lang w:val="en-US" w:eastAsia="it-IT"/>
        </w:rPr>
        <w:t xml:space="preserve"> </w:t>
      </w:r>
      <w:r w:rsidR="005A2906" w:rsidRPr="00A01B2C">
        <w:rPr>
          <w:rFonts w:ascii="Book Antiqua" w:eastAsia="Times New Roman" w:hAnsi="Book Antiqua" w:cs="Tahoma"/>
          <w:sz w:val="24"/>
          <w:szCs w:val="24"/>
          <w:lang w:val="en-US" w:eastAsia="it-IT"/>
        </w:rPr>
        <w:t xml:space="preserve">450 mmHg*s*cm), </w:t>
      </w:r>
      <w:r w:rsidRPr="00A01B2C">
        <w:rPr>
          <w:rFonts w:ascii="Book Antiqua" w:eastAsia="Times New Roman" w:hAnsi="Book Antiqua" w:cs="Tahoma"/>
          <w:sz w:val="24"/>
          <w:szCs w:val="24"/>
          <w:lang w:val="en-US" w:eastAsia="it-IT"/>
        </w:rPr>
        <w:t xml:space="preserve">and </w:t>
      </w:r>
      <w:r w:rsidR="005A2906" w:rsidRPr="00A01B2C">
        <w:rPr>
          <w:rFonts w:ascii="Book Antiqua" w:eastAsia="Times New Roman" w:hAnsi="Book Antiqua" w:cs="Tahoma"/>
          <w:sz w:val="24"/>
          <w:szCs w:val="24"/>
          <w:lang w:val="en-US" w:eastAsia="it-IT"/>
        </w:rPr>
        <w:t>fragmented</w:t>
      </w:r>
      <w:r w:rsidRPr="00A01B2C">
        <w:rPr>
          <w:rFonts w:ascii="Book Antiqua" w:eastAsia="Times New Roman" w:hAnsi="Book Antiqua" w:cs="Tahoma"/>
          <w:sz w:val="24"/>
          <w:szCs w:val="24"/>
          <w:lang w:val="en-US" w:eastAsia="it-IT"/>
        </w:rPr>
        <w:t xml:space="preserve"> contraction </w:t>
      </w:r>
      <w:r w:rsidR="00EF77B9" w:rsidRPr="00A01B2C">
        <w:rPr>
          <w:rFonts w:ascii="Book Antiqua" w:eastAsia="Times New Roman" w:hAnsi="Book Antiqua" w:cs="Tahoma"/>
          <w:sz w:val="24"/>
          <w:szCs w:val="24"/>
          <w:lang w:val="en-US" w:eastAsia="it-IT"/>
        </w:rPr>
        <w:t>(d</w:t>
      </w:r>
      <w:r w:rsidR="00D31825" w:rsidRPr="00A01B2C">
        <w:rPr>
          <w:rFonts w:ascii="Book Antiqua" w:eastAsia="Times New Roman" w:hAnsi="Book Antiqua" w:cs="Tahoma"/>
          <w:sz w:val="24"/>
          <w:szCs w:val="24"/>
          <w:lang w:val="en-US" w:eastAsia="it-IT"/>
        </w:rPr>
        <w:t>efect</w:t>
      </w:r>
      <w:r w:rsidR="00EF77B9" w:rsidRPr="00A01B2C">
        <w:rPr>
          <w:rFonts w:ascii="Book Antiqua" w:eastAsia="Times New Roman" w:hAnsi="Book Antiqua" w:cs="Tahoma"/>
          <w:sz w:val="24"/>
          <w:szCs w:val="24"/>
          <w:lang w:val="en-US" w:eastAsia="it-IT"/>
        </w:rPr>
        <w:t xml:space="preserve"> in the 20-mmHg isobaric contour of the peristaltic contraction &gt;</w:t>
      </w:r>
      <w:r w:rsidR="00302503" w:rsidRPr="00A01B2C">
        <w:rPr>
          <w:rFonts w:ascii="Book Antiqua" w:hAnsi="Book Antiqua" w:cs="Tahoma" w:hint="eastAsia"/>
          <w:sz w:val="24"/>
          <w:szCs w:val="24"/>
          <w:lang w:val="en-US" w:eastAsia="zh-CN"/>
        </w:rPr>
        <w:t xml:space="preserve"> </w:t>
      </w:r>
      <w:r w:rsidR="00EF77B9" w:rsidRPr="00A01B2C">
        <w:rPr>
          <w:rFonts w:ascii="Book Antiqua" w:eastAsia="Times New Roman" w:hAnsi="Book Antiqua" w:cs="Tahoma"/>
          <w:sz w:val="24"/>
          <w:szCs w:val="24"/>
          <w:lang w:val="en-US" w:eastAsia="it-IT"/>
        </w:rPr>
        <w:t>5 cm)</w:t>
      </w:r>
      <w:r w:rsidR="00FE0DE2" w:rsidRPr="00A01B2C">
        <w:rPr>
          <w:rFonts w:ascii="Book Antiqua" w:eastAsia="Times New Roman" w:hAnsi="Book Antiqua" w:cs="Tahoma"/>
          <w:sz w:val="24"/>
          <w:szCs w:val="24"/>
          <w:vertAlign w:val="superscript"/>
          <w:lang w:val="en-US" w:eastAsia="it-IT"/>
        </w:rPr>
        <w:t>[</w:t>
      </w:r>
      <w:r w:rsidR="00393C8D" w:rsidRPr="00A01B2C">
        <w:rPr>
          <w:rFonts w:ascii="Book Antiqua" w:eastAsia="Times New Roman" w:hAnsi="Book Antiqua" w:cs="Tahoma"/>
          <w:sz w:val="24"/>
          <w:szCs w:val="24"/>
          <w:vertAlign w:val="superscript"/>
          <w:lang w:val="en-US" w:eastAsia="it-IT"/>
        </w:rPr>
        <w:t>16</w:t>
      </w:r>
      <w:r w:rsidR="00FE0DE2" w:rsidRPr="00A01B2C">
        <w:rPr>
          <w:rFonts w:ascii="Book Antiqua" w:eastAsia="Times New Roman" w:hAnsi="Book Antiqua" w:cs="Tahoma"/>
          <w:sz w:val="24"/>
          <w:szCs w:val="24"/>
          <w:vertAlign w:val="superscript"/>
          <w:lang w:val="en-US" w:eastAsia="it-IT"/>
        </w:rPr>
        <w:t>]</w:t>
      </w:r>
      <w:r w:rsidR="00EF77B9" w:rsidRPr="00A01B2C">
        <w:rPr>
          <w:rFonts w:ascii="Book Antiqua" w:eastAsia="Times New Roman" w:hAnsi="Book Antiqua" w:cs="Tahoma"/>
          <w:sz w:val="24"/>
          <w:szCs w:val="24"/>
          <w:lang w:val="en-US" w:eastAsia="it-IT"/>
        </w:rPr>
        <w:t>. We also evaluate</w:t>
      </w:r>
      <w:r w:rsidR="00403904" w:rsidRPr="00A01B2C">
        <w:rPr>
          <w:rFonts w:ascii="Book Antiqua" w:eastAsia="Times New Roman" w:hAnsi="Book Antiqua" w:cs="Tahoma"/>
          <w:sz w:val="24"/>
          <w:szCs w:val="24"/>
          <w:lang w:val="en-US" w:eastAsia="it-IT"/>
        </w:rPr>
        <w:t>d</w:t>
      </w:r>
      <w:r w:rsidR="00EF77B9" w:rsidRPr="00A01B2C">
        <w:rPr>
          <w:rFonts w:ascii="Book Antiqua" w:eastAsia="Times New Roman" w:hAnsi="Book Antiqua" w:cs="Tahoma"/>
          <w:sz w:val="24"/>
          <w:szCs w:val="24"/>
          <w:lang w:val="en-US" w:eastAsia="it-IT"/>
        </w:rPr>
        <w:t xml:space="preserve">, according to Chicago Classification </w:t>
      </w:r>
      <w:r w:rsidR="00D31825" w:rsidRPr="00A01B2C">
        <w:rPr>
          <w:rFonts w:ascii="Book Antiqua" w:eastAsia="Times New Roman" w:hAnsi="Book Antiqua" w:cs="Tahoma"/>
          <w:sz w:val="24"/>
          <w:szCs w:val="24"/>
          <w:lang w:val="en-US" w:eastAsia="it-IT"/>
        </w:rPr>
        <w:t>v2.0</w:t>
      </w:r>
      <w:r w:rsidR="00393C8D" w:rsidRPr="00A01B2C">
        <w:rPr>
          <w:rFonts w:ascii="Book Antiqua" w:eastAsia="Times New Roman" w:hAnsi="Book Antiqua" w:cs="Tahoma"/>
          <w:sz w:val="24"/>
          <w:szCs w:val="24"/>
          <w:lang w:val="en-US" w:eastAsia="it-IT"/>
        </w:rPr>
        <w:t xml:space="preserve">, </w:t>
      </w:r>
      <w:r w:rsidR="00D31825" w:rsidRPr="00A01B2C">
        <w:rPr>
          <w:rFonts w:ascii="Book Antiqua" w:eastAsia="Times New Roman" w:hAnsi="Book Antiqua" w:cs="Tahoma"/>
          <w:sz w:val="24"/>
          <w:szCs w:val="24"/>
          <w:lang w:val="en-US" w:eastAsia="it-IT"/>
        </w:rPr>
        <w:t>contractions with small defects (between 2 and 5 cm long)</w:t>
      </w:r>
      <w:r w:rsidR="00FE0DE2" w:rsidRPr="00A01B2C">
        <w:rPr>
          <w:rFonts w:ascii="Book Antiqua" w:eastAsia="Times New Roman" w:hAnsi="Book Antiqua" w:cs="Tahoma"/>
          <w:sz w:val="24"/>
          <w:szCs w:val="24"/>
          <w:vertAlign w:val="superscript"/>
          <w:lang w:val="en-US" w:eastAsia="it-IT"/>
        </w:rPr>
        <w:t>[</w:t>
      </w:r>
      <w:r w:rsidR="00393C8D" w:rsidRPr="00A01B2C">
        <w:rPr>
          <w:rFonts w:ascii="Book Antiqua" w:eastAsia="Times New Roman" w:hAnsi="Book Antiqua" w:cs="Tahoma"/>
          <w:sz w:val="24"/>
          <w:szCs w:val="24"/>
          <w:vertAlign w:val="superscript"/>
          <w:lang w:val="en-US" w:eastAsia="it-IT"/>
        </w:rPr>
        <w:t>15</w:t>
      </w:r>
      <w:r w:rsidR="00FE0DE2" w:rsidRPr="00A01B2C">
        <w:rPr>
          <w:rFonts w:ascii="Book Antiqua" w:eastAsia="Times New Roman" w:hAnsi="Book Antiqua" w:cs="Tahoma"/>
          <w:sz w:val="24"/>
          <w:szCs w:val="24"/>
          <w:vertAlign w:val="superscript"/>
          <w:lang w:val="en-US" w:eastAsia="it-IT"/>
        </w:rPr>
        <w:t>]</w:t>
      </w:r>
      <w:r w:rsidR="00D31825" w:rsidRPr="00A01B2C">
        <w:rPr>
          <w:rFonts w:ascii="Book Antiqua" w:eastAsia="Times New Roman" w:hAnsi="Book Antiqua" w:cs="Tahoma"/>
          <w:sz w:val="24"/>
          <w:szCs w:val="24"/>
          <w:lang w:val="en-US" w:eastAsia="it-IT"/>
        </w:rPr>
        <w:t>.</w:t>
      </w:r>
    </w:p>
    <w:p w:rsidR="00A15D9D" w:rsidRPr="00A01B2C" w:rsidRDefault="00A15D9D" w:rsidP="006D687B">
      <w:pPr>
        <w:snapToGrid w:val="0"/>
        <w:spacing w:after="0" w:line="360" w:lineRule="auto"/>
        <w:jc w:val="both"/>
        <w:rPr>
          <w:rFonts w:ascii="Book Antiqua" w:hAnsi="Book Antiqua" w:cs="Tahoma"/>
          <w:b/>
          <w:sz w:val="24"/>
          <w:szCs w:val="24"/>
          <w:lang w:val="en-US" w:eastAsia="zh-CN"/>
        </w:rPr>
      </w:pPr>
    </w:p>
    <w:p w:rsidR="00F74633" w:rsidRPr="00A01B2C" w:rsidRDefault="00F74633" w:rsidP="006D687B">
      <w:pPr>
        <w:snapToGrid w:val="0"/>
        <w:spacing w:after="0" w:line="360" w:lineRule="auto"/>
        <w:jc w:val="both"/>
        <w:rPr>
          <w:rFonts w:ascii="Book Antiqua" w:eastAsia="Times New Roman" w:hAnsi="Book Antiqua" w:cs="Tahoma"/>
          <w:b/>
          <w:i/>
          <w:sz w:val="24"/>
          <w:szCs w:val="24"/>
          <w:lang w:val="en-US" w:eastAsia="it-IT"/>
        </w:rPr>
      </w:pPr>
      <w:r w:rsidRPr="00A01B2C">
        <w:rPr>
          <w:rFonts w:ascii="Book Antiqua" w:eastAsia="Times New Roman" w:hAnsi="Book Antiqua" w:cs="Tahoma"/>
          <w:b/>
          <w:i/>
          <w:sz w:val="24"/>
          <w:szCs w:val="24"/>
          <w:lang w:val="en-US" w:eastAsia="it-IT"/>
        </w:rPr>
        <w:t>Statistical analysis</w:t>
      </w:r>
    </w:p>
    <w:p w:rsidR="00F71AF6" w:rsidRPr="00A01B2C" w:rsidRDefault="00F74633" w:rsidP="006D687B">
      <w:pPr>
        <w:autoSpaceDE w:val="0"/>
        <w:autoSpaceDN w:val="0"/>
        <w:adjustRightInd w:val="0"/>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For demographic and clinical characteristics</w:t>
      </w:r>
      <w:r w:rsidR="00FE4B6C"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we used a parametric</w:t>
      </w:r>
      <w:r w:rsidR="001228F5"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analysis with Student’s t</w:t>
      </w:r>
      <w:r w:rsidR="00A13AD4" w:rsidRPr="00A01B2C">
        <w:rPr>
          <w:rFonts w:ascii="Book Antiqua" w:eastAsia="Times New Roman" w:hAnsi="Book Antiqua" w:cs="Tahoma"/>
          <w:sz w:val="24"/>
          <w:szCs w:val="24"/>
          <w:lang w:val="en-US" w:eastAsia="it-IT"/>
        </w:rPr>
        <w:t xml:space="preserve"> (Table 1) or Fisher’s exact test (Figure 2)</w:t>
      </w:r>
      <w:r w:rsidRPr="00A01B2C">
        <w:rPr>
          <w:rFonts w:ascii="Book Antiqua" w:eastAsia="Times New Roman" w:hAnsi="Book Antiqua" w:cs="Tahoma"/>
          <w:sz w:val="24"/>
          <w:szCs w:val="24"/>
          <w:lang w:val="en-US" w:eastAsia="it-IT"/>
        </w:rPr>
        <w:t xml:space="preserve"> to test the significance</w:t>
      </w:r>
      <w:r w:rsidR="00403904" w:rsidRPr="00A01B2C">
        <w:rPr>
          <w:rFonts w:ascii="Book Antiqua" w:eastAsia="Times New Roman" w:hAnsi="Book Antiqua" w:cs="Tahoma"/>
          <w:sz w:val="24"/>
          <w:szCs w:val="24"/>
          <w:lang w:val="en-US" w:eastAsia="it-IT"/>
        </w:rPr>
        <w:t xml:space="preserve"> of differences</w:t>
      </w:r>
      <w:r w:rsidRPr="00A01B2C">
        <w:rPr>
          <w:rFonts w:ascii="Book Antiqua" w:eastAsia="Times New Roman" w:hAnsi="Book Antiqua" w:cs="Tahoma"/>
          <w:sz w:val="24"/>
          <w:szCs w:val="24"/>
          <w:lang w:val="en-US" w:eastAsia="it-IT"/>
        </w:rPr>
        <w:t>. For metrics regarding</w:t>
      </w:r>
      <w:r w:rsidR="001228F5"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esophageal sphincters and the strength of esophageal contraction (Table 2)</w:t>
      </w:r>
      <w:r w:rsidR="001228F5"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first we tested the data distribution with the Kolmogorov-Smirnov test. As the</w:t>
      </w:r>
      <w:r w:rsidR="001228F5"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data were not normally distributed we used the median, 95% confidence</w:t>
      </w:r>
      <w:r w:rsidR="001228F5"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interval and Mann-Whitney U test for independent samples.</w:t>
      </w:r>
      <w:r w:rsidR="001228F5"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For the contraction patterns (Table 3) we used the chi-square test to analyze</w:t>
      </w:r>
      <w:r w:rsidR="001228F5"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the difference</w:t>
      </w:r>
      <w:r w:rsidR="00E76416" w:rsidRPr="00A01B2C">
        <w:rPr>
          <w:rFonts w:ascii="Book Antiqua" w:eastAsia="Times New Roman" w:hAnsi="Book Antiqua" w:cs="Tahoma"/>
          <w:sz w:val="24"/>
          <w:szCs w:val="24"/>
          <w:lang w:val="en-US" w:eastAsia="it-IT"/>
        </w:rPr>
        <w:t>s</w:t>
      </w:r>
      <w:r w:rsidRPr="00A01B2C">
        <w:rPr>
          <w:rFonts w:ascii="Book Antiqua" w:eastAsia="Times New Roman" w:hAnsi="Book Antiqua" w:cs="Tahoma"/>
          <w:sz w:val="24"/>
          <w:szCs w:val="24"/>
          <w:lang w:val="en-US" w:eastAsia="it-IT"/>
        </w:rPr>
        <w:t xml:space="preserve"> between the two groups</w:t>
      </w:r>
      <w:r w:rsidR="0039110C"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 considering all the subtypes of pattern.</w:t>
      </w:r>
      <w:r w:rsidR="001228F5"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As this test gave a significant result (chi-square 26.8, </w:t>
      </w:r>
      <w:r w:rsidRPr="00A01B2C">
        <w:rPr>
          <w:rFonts w:ascii="Book Antiqua" w:eastAsia="Times New Roman" w:hAnsi="Book Antiqua" w:cs="Tahoma"/>
          <w:i/>
          <w:caps/>
          <w:sz w:val="24"/>
          <w:szCs w:val="24"/>
          <w:lang w:val="en-US" w:eastAsia="it-IT"/>
        </w:rPr>
        <w:t>p</w:t>
      </w:r>
      <w:r w:rsidR="00302503" w:rsidRPr="00A01B2C">
        <w:rPr>
          <w:rFonts w:ascii="Book Antiqua" w:hAnsi="Book Antiqua" w:cs="Tahoma" w:hint="eastAsia"/>
          <w:i/>
          <w:caps/>
          <w:sz w:val="24"/>
          <w:szCs w:val="24"/>
          <w:lang w:val="en-US" w:eastAsia="zh-CN"/>
        </w:rPr>
        <w:t xml:space="preserve"> </w:t>
      </w:r>
      <w:r w:rsidRPr="00A01B2C">
        <w:rPr>
          <w:rFonts w:ascii="Book Antiqua" w:eastAsia="Times New Roman" w:hAnsi="Book Antiqua" w:cs="Tahoma"/>
          <w:sz w:val="24"/>
          <w:szCs w:val="24"/>
          <w:lang w:val="en-US" w:eastAsia="it-IT"/>
        </w:rPr>
        <w:t>=</w:t>
      </w:r>
      <w:r w:rsidR="00302503"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 xml:space="preserve">0.0001) we </w:t>
      </w:r>
      <w:r w:rsidR="00AC619F" w:rsidRPr="00A01B2C">
        <w:rPr>
          <w:rFonts w:ascii="Book Antiqua" w:eastAsia="Times New Roman" w:hAnsi="Book Antiqua" w:cs="Tahoma"/>
          <w:sz w:val="24"/>
          <w:szCs w:val="24"/>
          <w:lang w:val="en-US" w:eastAsia="it-IT"/>
        </w:rPr>
        <w:t xml:space="preserve">were </w:t>
      </w:r>
      <w:r w:rsidR="00AC619F" w:rsidRPr="00A01B2C">
        <w:rPr>
          <w:rFonts w:ascii="Book Antiqua" w:eastAsia="Times New Roman" w:hAnsi="Book Antiqua" w:cs="Tahoma"/>
          <w:sz w:val="24"/>
          <w:szCs w:val="24"/>
          <w:lang w:val="en-US" w:eastAsia="it-IT"/>
        </w:rPr>
        <w:lastRenderedPageBreak/>
        <w:t xml:space="preserve">authorized to </w:t>
      </w:r>
      <w:r w:rsidR="00E76416" w:rsidRPr="00A01B2C">
        <w:rPr>
          <w:rFonts w:ascii="Book Antiqua" w:eastAsia="Times New Roman" w:hAnsi="Book Antiqua" w:cs="Tahoma"/>
          <w:sz w:val="24"/>
          <w:szCs w:val="24"/>
          <w:lang w:val="en-US" w:eastAsia="it-IT"/>
        </w:rPr>
        <w:t xml:space="preserve">make </w:t>
      </w:r>
      <w:r w:rsidRPr="00A01B2C">
        <w:rPr>
          <w:rFonts w:ascii="Book Antiqua" w:eastAsia="Times New Roman" w:hAnsi="Book Antiqua" w:cs="Tahoma"/>
          <w:sz w:val="24"/>
          <w:szCs w:val="24"/>
          <w:lang w:val="en-US" w:eastAsia="it-IT"/>
        </w:rPr>
        <w:t>multiple comparisons between each subtype of contraction using Fisher’s exact</w:t>
      </w:r>
      <w:r w:rsidR="001228F5"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test. Probability &lt;</w:t>
      </w:r>
      <w:r w:rsidR="00302503"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5% was considered significant.</w:t>
      </w:r>
    </w:p>
    <w:p w:rsidR="0098714A" w:rsidRPr="00A01B2C" w:rsidRDefault="0098714A" w:rsidP="006D687B">
      <w:pPr>
        <w:autoSpaceDE w:val="0"/>
        <w:autoSpaceDN w:val="0"/>
        <w:adjustRightInd w:val="0"/>
        <w:snapToGrid w:val="0"/>
        <w:spacing w:after="0" w:line="360" w:lineRule="auto"/>
        <w:jc w:val="both"/>
        <w:rPr>
          <w:rFonts w:ascii="Book Antiqua" w:eastAsia="Times New Roman" w:hAnsi="Book Antiqua" w:cs="Tahoma"/>
          <w:sz w:val="24"/>
          <w:szCs w:val="24"/>
          <w:lang w:val="en-US" w:eastAsia="it-IT"/>
        </w:rPr>
      </w:pPr>
    </w:p>
    <w:p w:rsidR="00F74633" w:rsidRPr="00A01B2C" w:rsidRDefault="00F74633" w:rsidP="006D687B">
      <w:pPr>
        <w:snapToGrid w:val="0"/>
        <w:spacing w:after="0" w:line="360" w:lineRule="auto"/>
        <w:jc w:val="both"/>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t>RESULTS</w:t>
      </w:r>
    </w:p>
    <w:p w:rsidR="00C05BAB" w:rsidRPr="00A01B2C" w:rsidRDefault="009309BF" w:rsidP="006D687B">
      <w:pPr>
        <w:autoSpaceDE w:val="0"/>
        <w:autoSpaceDN w:val="0"/>
        <w:adjustRightInd w:val="0"/>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We</w:t>
      </w:r>
      <w:r w:rsidR="00F74633" w:rsidRPr="00A01B2C">
        <w:rPr>
          <w:rFonts w:ascii="Book Antiqua" w:eastAsia="Times New Roman" w:hAnsi="Book Antiqua" w:cs="Tahoma"/>
          <w:sz w:val="24"/>
          <w:szCs w:val="24"/>
          <w:lang w:val="en-US" w:eastAsia="it-IT"/>
        </w:rPr>
        <w:t xml:space="preserve"> evaluated 135 patients with chronic extra</w:t>
      </w:r>
      <w:r w:rsidR="0039110C" w:rsidRPr="00A01B2C">
        <w:rPr>
          <w:rFonts w:ascii="Book Antiqua" w:eastAsia="Times New Roman" w:hAnsi="Book Antiqua" w:cs="Tahoma"/>
          <w:sz w:val="24"/>
          <w:szCs w:val="24"/>
          <w:lang w:val="en-US" w:eastAsia="it-IT"/>
        </w:rPr>
        <w:t>-</w:t>
      </w:r>
      <w:r w:rsidR="00F74633" w:rsidRPr="00A01B2C">
        <w:rPr>
          <w:rFonts w:ascii="Book Antiqua" w:eastAsia="Times New Roman" w:hAnsi="Book Antiqua" w:cs="Tahoma"/>
          <w:sz w:val="24"/>
          <w:szCs w:val="24"/>
          <w:lang w:val="en-US" w:eastAsia="it-IT"/>
        </w:rPr>
        <w:t>esophageal</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syndromes. Fifty-one were considered elig</w:t>
      </w:r>
      <w:r w:rsidRPr="00A01B2C">
        <w:rPr>
          <w:rFonts w:ascii="Book Antiqua" w:eastAsia="Times New Roman" w:hAnsi="Book Antiqua" w:cs="Tahoma"/>
          <w:sz w:val="24"/>
          <w:szCs w:val="24"/>
          <w:lang w:val="en-US" w:eastAsia="it-IT"/>
        </w:rPr>
        <w:t>ible</w:t>
      </w:r>
      <w:r w:rsidR="00F74633" w:rsidRPr="00A01B2C">
        <w:rPr>
          <w:rFonts w:ascii="Book Antiqua" w:eastAsia="Times New Roman" w:hAnsi="Book Antiqua" w:cs="Tahoma"/>
          <w:sz w:val="24"/>
          <w:szCs w:val="24"/>
          <w:lang w:val="en-US" w:eastAsia="it-IT"/>
        </w:rPr>
        <w:t xml:space="preserve">. Of these, 42 decided to participate </w:t>
      </w:r>
      <w:r w:rsidRPr="00A01B2C">
        <w:rPr>
          <w:rFonts w:ascii="Book Antiqua" w:eastAsia="Times New Roman" w:hAnsi="Book Antiqua" w:cs="Tahoma"/>
          <w:sz w:val="24"/>
          <w:szCs w:val="24"/>
          <w:lang w:val="en-US" w:eastAsia="it-IT"/>
        </w:rPr>
        <w:t xml:space="preserve">in </w:t>
      </w:r>
      <w:r w:rsidR="00F74633" w:rsidRPr="00A01B2C">
        <w:rPr>
          <w:rFonts w:ascii="Book Antiqua" w:eastAsia="Times New Roman" w:hAnsi="Book Antiqua" w:cs="Tahoma"/>
          <w:sz w:val="24"/>
          <w:szCs w:val="24"/>
          <w:lang w:val="en-US" w:eastAsia="it-IT"/>
        </w:rPr>
        <w:t>the protocol</w:t>
      </w:r>
      <w:r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Figure 2 summarizes the</w:t>
      </w:r>
      <w:r w:rsidRPr="00A01B2C">
        <w:rPr>
          <w:rFonts w:ascii="Book Antiqua" w:eastAsia="Times New Roman" w:hAnsi="Book Antiqua" w:cs="Tahoma"/>
          <w:sz w:val="24"/>
          <w:szCs w:val="24"/>
          <w:lang w:val="en-US" w:eastAsia="it-IT"/>
        </w:rPr>
        <w:t>ir</w:t>
      </w:r>
      <w:r w:rsidR="00F74633" w:rsidRPr="00A01B2C">
        <w:rPr>
          <w:rFonts w:ascii="Book Antiqua" w:eastAsia="Times New Roman" w:hAnsi="Book Antiqua" w:cs="Tahoma"/>
          <w:sz w:val="24"/>
          <w:szCs w:val="24"/>
          <w:lang w:val="en-US" w:eastAsia="it-IT"/>
        </w:rPr>
        <w:t xml:space="preserve"> main clinical manifestations. </w:t>
      </w:r>
    </w:p>
    <w:p w:rsidR="0083680C" w:rsidRPr="00A01B2C" w:rsidRDefault="00C05BAB" w:rsidP="006D687B">
      <w:pPr>
        <w:autoSpaceDE w:val="0"/>
        <w:autoSpaceDN w:val="0"/>
        <w:adjustRightInd w:val="0"/>
        <w:snapToGrid w:val="0"/>
        <w:spacing w:after="0" w:line="360" w:lineRule="auto"/>
        <w:ind w:firstLineChars="100" w:firstLine="240"/>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 xml:space="preserve">Patients </w:t>
      </w:r>
      <w:r w:rsidR="00F74633" w:rsidRPr="00A01B2C">
        <w:rPr>
          <w:rFonts w:ascii="Book Antiqua" w:eastAsia="Times New Roman" w:hAnsi="Book Antiqua" w:cs="Tahoma"/>
          <w:sz w:val="24"/>
          <w:szCs w:val="24"/>
          <w:lang w:val="en-US" w:eastAsia="it-IT"/>
        </w:rPr>
        <w:t>were divided into two groups on the basis of a normal (OP pH–) or pathological</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(OP</w:t>
      </w:r>
      <w:r w:rsidR="00DA3E61" w:rsidRPr="00A01B2C">
        <w:rPr>
          <w:rFonts w:ascii="Book Antiqua" w:eastAsia="Times New Roman" w:hAnsi="Book Antiqua" w:cs="Tahoma"/>
          <w:sz w:val="24"/>
          <w:szCs w:val="24"/>
          <w:lang w:val="en-US" w:eastAsia="it-IT"/>
        </w:rPr>
        <w:t xml:space="preserve"> pH+) OP </w:t>
      </w:r>
      <w:r w:rsidR="001D3897" w:rsidRPr="00A01B2C">
        <w:rPr>
          <w:rFonts w:ascii="Book Antiqua" w:eastAsia="Times New Roman" w:hAnsi="Book Antiqua" w:cs="Tahoma"/>
          <w:sz w:val="24"/>
          <w:szCs w:val="24"/>
          <w:lang w:val="en-US" w:eastAsia="it-IT"/>
        </w:rPr>
        <w:t>acid exposure</w:t>
      </w:r>
      <w:r w:rsidR="00DA3E61" w:rsidRPr="00A01B2C">
        <w:rPr>
          <w:rFonts w:ascii="Book Antiqua" w:eastAsia="Times New Roman" w:hAnsi="Book Antiqua" w:cs="Tahoma"/>
          <w:sz w:val="24"/>
          <w:szCs w:val="24"/>
          <w:lang w:val="en-US" w:eastAsia="it-IT"/>
        </w:rPr>
        <w:t>. The</w:t>
      </w:r>
      <w:r w:rsidR="00F74633" w:rsidRPr="00A01B2C">
        <w:rPr>
          <w:rFonts w:ascii="Book Antiqua" w:eastAsia="Times New Roman" w:hAnsi="Book Antiqua" w:cs="Tahoma"/>
          <w:sz w:val="24"/>
          <w:szCs w:val="24"/>
          <w:lang w:val="en-US" w:eastAsia="it-IT"/>
        </w:rPr>
        <w:t xml:space="preserve"> clinical characteristics</w:t>
      </w:r>
      <w:r w:rsidR="00DA3E61" w:rsidRPr="00A01B2C">
        <w:rPr>
          <w:rFonts w:ascii="Book Antiqua" w:eastAsia="Times New Roman" w:hAnsi="Book Antiqua" w:cs="Tahoma"/>
          <w:sz w:val="24"/>
          <w:szCs w:val="24"/>
          <w:lang w:val="en-US" w:eastAsia="it-IT"/>
        </w:rPr>
        <w:t xml:space="preserve"> of the two groups</w:t>
      </w:r>
      <w:r w:rsidR="00F74633" w:rsidRPr="00A01B2C">
        <w:rPr>
          <w:rFonts w:ascii="Book Antiqua" w:eastAsia="Times New Roman" w:hAnsi="Book Antiqua" w:cs="Tahoma"/>
          <w:sz w:val="24"/>
          <w:szCs w:val="24"/>
          <w:lang w:val="en-US" w:eastAsia="it-IT"/>
        </w:rPr>
        <w:t xml:space="preserve"> did not significantly</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differ (Table 1</w:t>
      </w:r>
      <w:r w:rsidR="0029607A" w:rsidRPr="00A01B2C">
        <w:rPr>
          <w:rFonts w:ascii="Book Antiqua" w:eastAsia="Times New Roman" w:hAnsi="Book Antiqua" w:cs="Tahoma"/>
          <w:sz w:val="24"/>
          <w:szCs w:val="24"/>
          <w:lang w:val="en-US" w:eastAsia="it-IT"/>
        </w:rPr>
        <w:t xml:space="preserve"> and Figure 2</w:t>
      </w:r>
      <w:r w:rsidR="00F74633" w:rsidRPr="00A01B2C">
        <w:rPr>
          <w:rFonts w:ascii="Book Antiqua" w:eastAsia="Times New Roman" w:hAnsi="Book Antiqua" w:cs="Tahoma"/>
          <w:sz w:val="24"/>
          <w:szCs w:val="24"/>
          <w:lang w:val="en-US" w:eastAsia="it-IT"/>
        </w:rPr>
        <w:t>).</w:t>
      </w:r>
      <w:r w:rsidR="00FE4B6C"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 xml:space="preserve">All the </w:t>
      </w:r>
      <w:r w:rsidR="009309BF" w:rsidRPr="00A01B2C">
        <w:rPr>
          <w:rFonts w:ascii="Book Antiqua" w:eastAsia="Times New Roman" w:hAnsi="Book Antiqua" w:cs="Tahoma"/>
          <w:sz w:val="24"/>
          <w:szCs w:val="24"/>
          <w:lang w:val="en-US" w:eastAsia="it-IT"/>
        </w:rPr>
        <w:t xml:space="preserve">HRM </w:t>
      </w:r>
      <w:r w:rsidR="00F74633" w:rsidRPr="00A01B2C">
        <w:rPr>
          <w:rFonts w:ascii="Book Antiqua" w:eastAsia="Times New Roman" w:hAnsi="Book Antiqua" w:cs="Tahoma"/>
          <w:sz w:val="24"/>
          <w:szCs w:val="24"/>
          <w:lang w:val="en-US" w:eastAsia="it-IT"/>
        </w:rPr>
        <w:t>parameters</w:t>
      </w:r>
      <w:r w:rsidR="009309BF" w:rsidRPr="00A01B2C">
        <w:rPr>
          <w:rFonts w:ascii="Book Antiqua" w:eastAsia="Times New Roman" w:hAnsi="Book Antiqua" w:cs="Tahoma"/>
          <w:sz w:val="24"/>
          <w:szCs w:val="24"/>
          <w:lang w:val="en-US" w:eastAsia="it-IT"/>
        </w:rPr>
        <w:t xml:space="preserve"> </w:t>
      </w:r>
      <w:r w:rsidR="00992571" w:rsidRPr="00A01B2C">
        <w:rPr>
          <w:rFonts w:ascii="Book Antiqua" w:eastAsia="Times New Roman" w:hAnsi="Book Antiqua" w:cs="Tahoma"/>
          <w:sz w:val="24"/>
          <w:szCs w:val="24"/>
          <w:lang w:val="en-US" w:eastAsia="it-IT"/>
        </w:rPr>
        <w:t xml:space="preserve">for </w:t>
      </w:r>
      <w:r w:rsidR="00F74633" w:rsidRPr="00A01B2C">
        <w:rPr>
          <w:rFonts w:ascii="Book Antiqua" w:eastAsia="Times New Roman" w:hAnsi="Book Antiqua" w:cs="Tahoma"/>
          <w:sz w:val="24"/>
          <w:szCs w:val="24"/>
          <w:lang w:val="en-US" w:eastAsia="it-IT"/>
        </w:rPr>
        <w:t xml:space="preserve">the two groups </w:t>
      </w:r>
      <w:r w:rsidR="009309BF" w:rsidRPr="00A01B2C">
        <w:rPr>
          <w:rFonts w:ascii="Book Antiqua" w:eastAsia="Times New Roman" w:hAnsi="Book Antiqua" w:cs="Tahoma"/>
          <w:sz w:val="24"/>
          <w:szCs w:val="24"/>
          <w:lang w:val="en-US" w:eastAsia="it-IT"/>
        </w:rPr>
        <w:t xml:space="preserve">are </w:t>
      </w:r>
      <w:r w:rsidR="00F74633" w:rsidRPr="00A01B2C">
        <w:rPr>
          <w:rFonts w:ascii="Book Antiqua" w:eastAsia="Times New Roman" w:hAnsi="Book Antiqua" w:cs="Tahoma"/>
          <w:sz w:val="24"/>
          <w:szCs w:val="24"/>
          <w:lang w:val="en-US" w:eastAsia="it-IT"/>
        </w:rPr>
        <w:t>compared in Table</w:t>
      </w:r>
      <w:r w:rsidR="009309BF" w:rsidRPr="00A01B2C">
        <w:rPr>
          <w:rFonts w:ascii="Book Antiqua" w:eastAsia="Times New Roman" w:hAnsi="Book Antiqua" w:cs="Tahoma"/>
          <w:sz w:val="24"/>
          <w:szCs w:val="24"/>
          <w:lang w:val="en-US" w:eastAsia="it-IT"/>
        </w:rPr>
        <w:t>s</w:t>
      </w:r>
      <w:r w:rsidR="00F74633" w:rsidRPr="00A01B2C">
        <w:rPr>
          <w:rFonts w:ascii="Book Antiqua" w:eastAsia="Times New Roman" w:hAnsi="Book Antiqua" w:cs="Tahoma"/>
          <w:sz w:val="24"/>
          <w:szCs w:val="24"/>
          <w:lang w:val="en-US" w:eastAsia="it-IT"/>
        </w:rPr>
        <w:t xml:space="preserve"> 2 and 3</w:t>
      </w:r>
      <w:r w:rsidR="00F040B8" w:rsidRPr="00A01B2C">
        <w:rPr>
          <w:rFonts w:ascii="Book Antiqua" w:eastAsia="Times New Roman" w:hAnsi="Book Antiqua" w:cs="Tahoma"/>
          <w:sz w:val="24"/>
          <w:szCs w:val="24"/>
          <w:lang w:val="en-US" w:eastAsia="it-IT"/>
        </w:rPr>
        <w:t>.</w:t>
      </w:r>
      <w:r w:rsidR="00F74633" w:rsidRPr="00A01B2C">
        <w:rPr>
          <w:rFonts w:ascii="Book Antiqua" w:eastAsia="Times New Roman" w:hAnsi="Book Antiqua" w:cs="Tahoma"/>
          <w:sz w:val="24"/>
          <w:szCs w:val="24"/>
          <w:lang w:val="en-US" w:eastAsia="it-IT"/>
        </w:rPr>
        <w:t xml:space="preserve"> </w:t>
      </w:r>
      <w:r w:rsidR="009309BF" w:rsidRPr="00A01B2C">
        <w:rPr>
          <w:rFonts w:ascii="Book Antiqua" w:eastAsia="Times New Roman" w:hAnsi="Book Antiqua" w:cs="Tahoma"/>
          <w:sz w:val="24"/>
          <w:szCs w:val="24"/>
          <w:lang w:val="en-US" w:eastAsia="it-IT"/>
        </w:rPr>
        <w:t>Significant</w:t>
      </w:r>
      <w:r w:rsidR="00F040B8" w:rsidRPr="00A01B2C">
        <w:rPr>
          <w:rFonts w:ascii="Book Antiqua" w:eastAsia="Times New Roman" w:hAnsi="Book Antiqua" w:cs="Tahoma"/>
          <w:sz w:val="24"/>
          <w:szCs w:val="24"/>
          <w:lang w:val="en-US" w:eastAsia="it-IT"/>
        </w:rPr>
        <w:t xml:space="preserve"> differences were found </w:t>
      </w:r>
      <w:r w:rsidR="00F74633" w:rsidRPr="00A01B2C">
        <w:rPr>
          <w:rFonts w:ascii="Book Antiqua" w:eastAsia="Times New Roman" w:hAnsi="Book Antiqua" w:cs="Tahoma"/>
          <w:sz w:val="24"/>
          <w:szCs w:val="24"/>
          <w:lang w:val="en-US" w:eastAsia="it-IT"/>
        </w:rPr>
        <w:t>between the</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 xml:space="preserve">two groups </w:t>
      </w:r>
      <w:r w:rsidR="00F040B8" w:rsidRPr="00A01B2C">
        <w:rPr>
          <w:rFonts w:ascii="Book Antiqua" w:eastAsia="Times New Roman" w:hAnsi="Book Antiqua" w:cs="Tahoma"/>
          <w:sz w:val="24"/>
          <w:szCs w:val="24"/>
          <w:lang w:val="en-US" w:eastAsia="it-IT"/>
        </w:rPr>
        <w:t>in</w:t>
      </w:r>
      <w:r w:rsidR="00F74633" w:rsidRPr="00A01B2C">
        <w:rPr>
          <w:rFonts w:ascii="Book Antiqua" w:eastAsia="Times New Roman" w:hAnsi="Book Antiqua" w:cs="Tahoma"/>
          <w:sz w:val="24"/>
          <w:szCs w:val="24"/>
          <w:lang w:val="en-US" w:eastAsia="it-IT"/>
        </w:rPr>
        <w:t xml:space="preserve"> the </w:t>
      </w:r>
      <w:r w:rsidR="0021644F" w:rsidRPr="00A01B2C">
        <w:rPr>
          <w:rFonts w:ascii="Book Antiqua" w:eastAsia="Times New Roman" w:hAnsi="Book Antiqua" w:cs="Tahoma"/>
          <w:sz w:val="24"/>
          <w:szCs w:val="24"/>
          <w:lang w:val="en-US" w:eastAsia="it-IT"/>
        </w:rPr>
        <w:t>median</w:t>
      </w:r>
      <w:r w:rsidR="00F74633" w:rsidRPr="00A01B2C">
        <w:rPr>
          <w:rFonts w:ascii="Book Antiqua" w:eastAsia="Times New Roman" w:hAnsi="Book Antiqua" w:cs="Tahoma"/>
          <w:sz w:val="24"/>
          <w:szCs w:val="24"/>
          <w:lang w:val="en-US" w:eastAsia="it-IT"/>
        </w:rPr>
        <w:t xml:space="preserve"> UES resting pressure and the </w:t>
      </w:r>
      <w:r w:rsidR="0021644F" w:rsidRPr="00A01B2C">
        <w:rPr>
          <w:rFonts w:ascii="Book Antiqua" w:eastAsia="Times New Roman" w:hAnsi="Book Antiqua" w:cs="Tahoma"/>
          <w:sz w:val="24"/>
          <w:szCs w:val="24"/>
          <w:lang w:val="en-US" w:eastAsia="it-IT"/>
        </w:rPr>
        <w:t>median</w:t>
      </w:r>
      <w:r w:rsidR="00F74633" w:rsidRPr="00A01B2C">
        <w:rPr>
          <w:rFonts w:ascii="Book Antiqua" w:eastAsia="Times New Roman" w:hAnsi="Book Antiqua" w:cs="Tahoma"/>
          <w:sz w:val="24"/>
          <w:szCs w:val="24"/>
          <w:lang w:val="en-US" w:eastAsia="it-IT"/>
        </w:rPr>
        <w:t xml:space="preserve"> PCI, both lower</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 xml:space="preserve">in patients with pathological OP </w:t>
      </w:r>
      <w:r w:rsidR="001D3897" w:rsidRPr="00A01B2C">
        <w:rPr>
          <w:rFonts w:ascii="Book Antiqua" w:eastAsia="Times New Roman" w:hAnsi="Book Antiqua" w:cs="Tahoma"/>
          <w:sz w:val="24"/>
          <w:szCs w:val="24"/>
          <w:lang w:val="en-US" w:eastAsia="it-IT"/>
        </w:rPr>
        <w:t>acid exposure</w:t>
      </w:r>
      <w:r w:rsidR="00F74633" w:rsidRPr="00A01B2C">
        <w:rPr>
          <w:rFonts w:ascii="Book Antiqua" w:eastAsia="Times New Roman" w:hAnsi="Book Antiqua" w:cs="Tahoma"/>
          <w:sz w:val="24"/>
          <w:szCs w:val="24"/>
          <w:lang w:val="en-US" w:eastAsia="it-IT"/>
        </w:rPr>
        <w:t>, and the number of</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 xml:space="preserve">contractions with </w:t>
      </w:r>
      <w:r w:rsidRPr="00A01B2C">
        <w:rPr>
          <w:rFonts w:ascii="Book Antiqua" w:eastAsia="Times New Roman" w:hAnsi="Book Antiqua" w:cs="Tahoma"/>
          <w:sz w:val="24"/>
          <w:szCs w:val="24"/>
          <w:lang w:val="en-US" w:eastAsia="it-IT"/>
        </w:rPr>
        <w:t>small and large</w:t>
      </w:r>
      <w:r w:rsidR="00F040B8" w:rsidRPr="00A01B2C">
        <w:rPr>
          <w:rFonts w:ascii="Book Antiqua" w:eastAsia="Times New Roman" w:hAnsi="Book Antiqua" w:cs="Tahoma"/>
          <w:sz w:val="24"/>
          <w:szCs w:val="24"/>
          <w:lang w:val="en-US" w:eastAsia="it-IT"/>
        </w:rPr>
        <w:t xml:space="preserve"> breaks, which were </w:t>
      </w:r>
      <w:r w:rsidR="00F74633" w:rsidRPr="00A01B2C">
        <w:rPr>
          <w:rFonts w:ascii="Book Antiqua" w:eastAsia="Times New Roman" w:hAnsi="Book Antiqua" w:cs="Tahoma"/>
          <w:sz w:val="24"/>
          <w:szCs w:val="24"/>
          <w:lang w:val="en-US" w:eastAsia="it-IT"/>
        </w:rPr>
        <w:t xml:space="preserve">more </w:t>
      </w:r>
      <w:r w:rsidR="00DA3E61" w:rsidRPr="00A01B2C">
        <w:rPr>
          <w:rFonts w:ascii="Book Antiqua" w:eastAsia="Times New Roman" w:hAnsi="Book Antiqua" w:cs="Tahoma"/>
          <w:sz w:val="24"/>
          <w:szCs w:val="24"/>
          <w:lang w:val="en-US" w:eastAsia="it-IT"/>
        </w:rPr>
        <w:t>frequent</w:t>
      </w:r>
      <w:r w:rsidR="00F74633" w:rsidRPr="00A01B2C">
        <w:rPr>
          <w:rFonts w:ascii="Book Antiqua" w:eastAsia="Times New Roman" w:hAnsi="Book Antiqua" w:cs="Tahoma"/>
          <w:sz w:val="24"/>
          <w:szCs w:val="24"/>
          <w:lang w:val="en-US" w:eastAsia="it-IT"/>
        </w:rPr>
        <w:t xml:space="preserve"> in the same group.</w:t>
      </w:r>
    </w:p>
    <w:p w:rsidR="007B615D" w:rsidRPr="00A01B2C" w:rsidRDefault="007B615D" w:rsidP="006D687B">
      <w:pPr>
        <w:autoSpaceDE w:val="0"/>
        <w:autoSpaceDN w:val="0"/>
        <w:adjustRightInd w:val="0"/>
        <w:snapToGrid w:val="0"/>
        <w:spacing w:after="0" w:line="360" w:lineRule="auto"/>
        <w:jc w:val="both"/>
        <w:rPr>
          <w:rFonts w:ascii="Book Antiqua" w:eastAsia="Times New Roman" w:hAnsi="Book Antiqua" w:cs="Tahoma"/>
          <w:sz w:val="24"/>
          <w:szCs w:val="24"/>
          <w:lang w:val="en-US" w:eastAsia="it-IT"/>
        </w:rPr>
      </w:pPr>
    </w:p>
    <w:p w:rsidR="00F74633" w:rsidRPr="00A01B2C" w:rsidRDefault="00F74633" w:rsidP="006D687B">
      <w:pPr>
        <w:autoSpaceDE w:val="0"/>
        <w:autoSpaceDN w:val="0"/>
        <w:adjustRightInd w:val="0"/>
        <w:snapToGrid w:val="0"/>
        <w:spacing w:after="0" w:line="360" w:lineRule="auto"/>
        <w:jc w:val="both"/>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t>DISCUSSION</w:t>
      </w:r>
    </w:p>
    <w:p w:rsidR="00197267" w:rsidRPr="00A01B2C" w:rsidRDefault="00F74633" w:rsidP="006D687B">
      <w:pPr>
        <w:autoSpaceDE w:val="0"/>
        <w:autoSpaceDN w:val="0"/>
        <w:adjustRightInd w:val="0"/>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LPR has been diagnosed</w:t>
      </w:r>
      <w:r w:rsidR="000B695B" w:rsidRPr="00A01B2C">
        <w:rPr>
          <w:rFonts w:ascii="Book Antiqua" w:eastAsia="Times New Roman" w:hAnsi="Book Antiqua" w:cs="Tahoma"/>
          <w:sz w:val="24"/>
          <w:szCs w:val="24"/>
          <w:lang w:val="en-US" w:eastAsia="it-IT"/>
        </w:rPr>
        <w:t xml:space="preserve"> increasingly</w:t>
      </w:r>
      <w:r w:rsidRPr="00A01B2C">
        <w:rPr>
          <w:rFonts w:ascii="Book Antiqua" w:eastAsia="Times New Roman" w:hAnsi="Book Antiqua" w:cs="Tahoma"/>
          <w:sz w:val="24"/>
          <w:szCs w:val="24"/>
          <w:lang w:val="en-US" w:eastAsia="it-IT"/>
        </w:rPr>
        <w:t xml:space="preserve"> frequently in recent years, but often only on the</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basis of aspecific laryngoscopic findings, common in asymptomatic people too</w:t>
      </w:r>
      <w:r w:rsidR="00FE0DE2" w:rsidRPr="00A01B2C">
        <w:rPr>
          <w:rFonts w:ascii="Book Antiqua" w:eastAsia="Times New Roman" w:hAnsi="Book Antiqua" w:cs="Tahoma"/>
          <w:sz w:val="24"/>
          <w:szCs w:val="24"/>
          <w:vertAlign w:val="superscript"/>
          <w:lang w:val="en-US" w:eastAsia="it-IT"/>
        </w:rPr>
        <w:t>[</w:t>
      </w:r>
      <w:r w:rsidR="00020E7D" w:rsidRPr="00A01B2C">
        <w:rPr>
          <w:rFonts w:ascii="Book Antiqua" w:eastAsia="Times New Roman" w:hAnsi="Book Antiqua" w:cs="Tahoma"/>
          <w:sz w:val="24"/>
          <w:szCs w:val="24"/>
          <w:vertAlign w:val="superscript"/>
          <w:lang w:val="en-US" w:eastAsia="it-IT"/>
        </w:rPr>
        <w:t>21,22</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This over-diagnosis poses an important economic burden for the</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assessment and treatment</w:t>
      </w:r>
      <w:r w:rsidR="000B695B" w:rsidRPr="00A01B2C">
        <w:rPr>
          <w:rFonts w:ascii="Book Antiqua" w:eastAsia="Times New Roman" w:hAnsi="Book Antiqua" w:cs="Tahoma"/>
          <w:sz w:val="24"/>
          <w:szCs w:val="24"/>
          <w:lang w:val="en-US" w:eastAsia="it-IT"/>
        </w:rPr>
        <w:t xml:space="preserve"> of these patients, which </w:t>
      </w:r>
      <w:r w:rsidRPr="00A01B2C">
        <w:rPr>
          <w:rFonts w:ascii="Book Antiqua" w:eastAsia="Times New Roman" w:hAnsi="Book Antiqua" w:cs="Tahoma"/>
          <w:sz w:val="24"/>
          <w:szCs w:val="24"/>
          <w:lang w:val="en-US" w:eastAsia="it-IT"/>
        </w:rPr>
        <w:t>often unsati</w:t>
      </w:r>
      <w:r w:rsidR="00B544E0" w:rsidRPr="00A01B2C">
        <w:rPr>
          <w:rFonts w:ascii="Book Antiqua" w:eastAsia="Times New Roman" w:hAnsi="Book Antiqua" w:cs="Tahoma"/>
          <w:sz w:val="24"/>
          <w:szCs w:val="24"/>
          <w:lang w:val="en-US" w:eastAsia="it-IT"/>
        </w:rPr>
        <w:t>sfactory</w:t>
      </w:r>
      <w:r w:rsidR="00FE0DE2" w:rsidRPr="00A01B2C">
        <w:rPr>
          <w:rFonts w:ascii="Book Antiqua" w:eastAsia="Times New Roman" w:hAnsi="Book Antiqua" w:cs="Tahoma"/>
          <w:sz w:val="24"/>
          <w:szCs w:val="24"/>
          <w:vertAlign w:val="superscript"/>
          <w:lang w:val="en-US" w:eastAsia="it-IT"/>
        </w:rPr>
        <w:t>[</w:t>
      </w:r>
      <w:r w:rsidR="00B544E0" w:rsidRPr="00A01B2C">
        <w:rPr>
          <w:rFonts w:ascii="Book Antiqua" w:eastAsia="Times New Roman" w:hAnsi="Book Antiqua" w:cs="Tahoma"/>
          <w:sz w:val="24"/>
          <w:szCs w:val="24"/>
          <w:vertAlign w:val="superscript"/>
          <w:lang w:val="en-US" w:eastAsia="it-IT"/>
        </w:rPr>
        <w:t>23</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xml:space="preserve">. </w:t>
      </w:r>
      <w:r w:rsidR="005E04CD" w:rsidRPr="00A01B2C">
        <w:rPr>
          <w:rFonts w:ascii="Book Antiqua" w:eastAsia="Times New Roman" w:hAnsi="Book Antiqua" w:cs="Tahoma"/>
          <w:i/>
          <w:sz w:val="24"/>
          <w:szCs w:val="24"/>
          <w:lang w:val="en-US" w:eastAsia="it-IT"/>
        </w:rPr>
        <w:t>Ex adiuvantibus</w:t>
      </w:r>
      <w:r w:rsidR="005E04CD" w:rsidRPr="00A01B2C">
        <w:rPr>
          <w:rFonts w:ascii="Book Antiqua" w:eastAsia="Times New Roman" w:hAnsi="Book Antiqua" w:cs="Tahoma"/>
          <w:sz w:val="24"/>
          <w:szCs w:val="24"/>
          <w:lang w:val="en-US" w:eastAsia="it-IT"/>
        </w:rPr>
        <w:t xml:space="preserve"> therapy, with double</w:t>
      </w:r>
      <w:r w:rsidR="000B695B" w:rsidRPr="00A01B2C">
        <w:rPr>
          <w:rFonts w:ascii="Book Antiqua" w:eastAsia="Times New Roman" w:hAnsi="Book Antiqua" w:cs="Tahoma"/>
          <w:sz w:val="24"/>
          <w:szCs w:val="24"/>
          <w:lang w:val="en-US" w:eastAsia="it-IT"/>
        </w:rPr>
        <w:t xml:space="preserve">- </w:t>
      </w:r>
      <w:r w:rsidR="005E04CD" w:rsidRPr="00A01B2C">
        <w:rPr>
          <w:rFonts w:ascii="Book Antiqua" w:eastAsia="Times New Roman" w:hAnsi="Book Antiqua" w:cs="Tahoma"/>
          <w:sz w:val="24"/>
          <w:szCs w:val="24"/>
          <w:lang w:val="en-US" w:eastAsia="it-IT"/>
        </w:rPr>
        <w:t>dose</w:t>
      </w:r>
      <w:r w:rsidR="000B695B" w:rsidRPr="00A01B2C">
        <w:rPr>
          <w:rFonts w:ascii="Book Antiqua" w:eastAsia="Times New Roman" w:hAnsi="Book Antiqua" w:cs="Tahoma"/>
          <w:sz w:val="24"/>
          <w:szCs w:val="24"/>
          <w:lang w:val="en-US" w:eastAsia="it-IT"/>
        </w:rPr>
        <w:t xml:space="preserve"> proton pump inhibitors (PPI)</w:t>
      </w:r>
      <w:r w:rsidR="005E04CD" w:rsidRPr="00A01B2C">
        <w:rPr>
          <w:rFonts w:ascii="Book Antiqua" w:eastAsia="Times New Roman" w:hAnsi="Book Antiqua" w:cs="Tahoma"/>
          <w:sz w:val="24"/>
          <w:szCs w:val="24"/>
          <w:lang w:val="en-US" w:eastAsia="it-IT"/>
        </w:rPr>
        <w:t xml:space="preserve"> for long periods (3-6 months), often</w:t>
      </w:r>
      <w:r w:rsidR="0071059D" w:rsidRPr="00A01B2C">
        <w:rPr>
          <w:rFonts w:ascii="Book Antiqua" w:eastAsia="Times New Roman" w:hAnsi="Book Antiqua" w:cs="Tahoma"/>
          <w:sz w:val="24"/>
          <w:szCs w:val="24"/>
          <w:lang w:val="en-US" w:eastAsia="it-IT"/>
        </w:rPr>
        <w:t xml:space="preserve"> achieves</w:t>
      </w:r>
      <w:r w:rsidR="005E04CD" w:rsidRPr="00A01B2C">
        <w:rPr>
          <w:rFonts w:ascii="Book Antiqua" w:eastAsia="Times New Roman" w:hAnsi="Book Antiqua" w:cs="Tahoma"/>
          <w:sz w:val="24"/>
          <w:szCs w:val="24"/>
          <w:lang w:val="en-US" w:eastAsia="it-IT"/>
        </w:rPr>
        <w:t xml:space="preserve"> a partial response due to </w:t>
      </w:r>
      <w:r w:rsidR="005D60AD" w:rsidRPr="00A01B2C">
        <w:rPr>
          <w:rFonts w:ascii="Book Antiqua" w:eastAsia="Times New Roman" w:hAnsi="Book Antiqua" w:cs="Tahoma"/>
          <w:sz w:val="24"/>
          <w:szCs w:val="24"/>
          <w:lang w:val="en-US" w:eastAsia="it-IT"/>
        </w:rPr>
        <w:t xml:space="preserve">the </w:t>
      </w:r>
      <w:r w:rsidR="005E04CD" w:rsidRPr="00A01B2C">
        <w:rPr>
          <w:rFonts w:ascii="Book Antiqua" w:eastAsia="Times New Roman" w:hAnsi="Book Antiqua" w:cs="Tahoma"/>
          <w:sz w:val="24"/>
          <w:szCs w:val="24"/>
          <w:lang w:val="en-US" w:eastAsia="it-IT"/>
        </w:rPr>
        <w:t>placebo effect or</w:t>
      </w:r>
      <w:r w:rsidR="00AC619F" w:rsidRPr="00A01B2C">
        <w:rPr>
          <w:rFonts w:ascii="Book Antiqua" w:eastAsia="Times New Roman" w:hAnsi="Book Antiqua" w:cs="Tahoma"/>
          <w:sz w:val="24"/>
          <w:szCs w:val="24"/>
          <w:lang w:val="en-US" w:eastAsia="it-IT"/>
        </w:rPr>
        <w:t xml:space="preserve"> to</w:t>
      </w:r>
      <w:r w:rsidR="0080602D" w:rsidRPr="00A01B2C">
        <w:rPr>
          <w:rFonts w:ascii="Book Antiqua" w:eastAsia="Times New Roman" w:hAnsi="Book Antiqua" w:cs="Tahoma"/>
          <w:sz w:val="24"/>
          <w:szCs w:val="24"/>
          <w:lang w:val="en-US" w:eastAsia="it-IT"/>
        </w:rPr>
        <w:t xml:space="preserve"> </w:t>
      </w:r>
      <w:r w:rsidR="005D60AD" w:rsidRPr="00A01B2C">
        <w:rPr>
          <w:rFonts w:ascii="Book Antiqua" w:eastAsia="Times New Roman" w:hAnsi="Book Antiqua" w:cs="Tahoma"/>
          <w:sz w:val="24"/>
          <w:szCs w:val="24"/>
          <w:lang w:val="en-US" w:eastAsia="it-IT"/>
        </w:rPr>
        <w:t xml:space="preserve">the </w:t>
      </w:r>
      <w:r w:rsidR="0080602D" w:rsidRPr="00A01B2C">
        <w:rPr>
          <w:rFonts w:ascii="Book Antiqua" w:eastAsia="Times New Roman" w:hAnsi="Book Antiqua" w:cs="Tahoma"/>
          <w:sz w:val="24"/>
          <w:szCs w:val="24"/>
          <w:lang w:val="en-US" w:eastAsia="it-IT"/>
        </w:rPr>
        <w:t>multifact</w:t>
      </w:r>
      <w:r w:rsidR="005E04CD" w:rsidRPr="00A01B2C">
        <w:rPr>
          <w:rFonts w:ascii="Book Antiqua" w:eastAsia="Times New Roman" w:hAnsi="Book Antiqua" w:cs="Tahoma"/>
          <w:sz w:val="24"/>
          <w:szCs w:val="24"/>
          <w:lang w:val="en-US" w:eastAsia="it-IT"/>
        </w:rPr>
        <w:t>or</w:t>
      </w:r>
      <w:r w:rsidR="0080602D" w:rsidRPr="00A01B2C">
        <w:rPr>
          <w:rFonts w:ascii="Book Antiqua" w:eastAsia="Times New Roman" w:hAnsi="Book Antiqua" w:cs="Tahoma"/>
          <w:sz w:val="24"/>
          <w:szCs w:val="24"/>
          <w:lang w:val="en-US" w:eastAsia="it-IT"/>
        </w:rPr>
        <w:t>i</w:t>
      </w:r>
      <w:r w:rsidR="005E04CD" w:rsidRPr="00A01B2C">
        <w:rPr>
          <w:rFonts w:ascii="Book Antiqua" w:eastAsia="Times New Roman" w:hAnsi="Book Antiqua" w:cs="Tahoma"/>
          <w:sz w:val="24"/>
          <w:szCs w:val="24"/>
          <w:lang w:val="en-US" w:eastAsia="it-IT"/>
        </w:rPr>
        <w:t xml:space="preserve">al etiology of </w:t>
      </w:r>
      <w:r w:rsidR="0080602D" w:rsidRPr="00A01B2C">
        <w:rPr>
          <w:rFonts w:ascii="Book Antiqua" w:eastAsia="Times New Roman" w:hAnsi="Book Antiqua" w:cs="Tahoma"/>
          <w:sz w:val="24"/>
          <w:szCs w:val="24"/>
          <w:lang w:val="en-US" w:eastAsia="it-IT"/>
        </w:rPr>
        <w:t xml:space="preserve">these </w:t>
      </w:r>
      <w:r w:rsidR="005E04CD" w:rsidRPr="00A01B2C">
        <w:rPr>
          <w:rFonts w:ascii="Book Antiqua" w:eastAsia="Times New Roman" w:hAnsi="Book Antiqua" w:cs="Tahoma"/>
          <w:sz w:val="24"/>
          <w:szCs w:val="24"/>
          <w:lang w:val="en-US" w:eastAsia="it-IT"/>
        </w:rPr>
        <w:t>symptoms</w:t>
      </w:r>
      <w:r w:rsidR="00FE0DE2" w:rsidRPr="00A01B2C">
        <w:rPr>
          <w:rFonts w:ascii="Book Antiqua" w:eastAsia="Times New Roman" w:hAnsi="Book Antiqua" w:cs="Tahoma"/>
          <w:sz w:val="24"/>
          <w:szCs w:val="24"/>
          <w:vertAlign w:val="superscript"/>
          <w:lang w:val="en-US" w:eastAsia="it-IT"/>
        </w:rPr>
        <w:t>[</w:t>
      </w:r>
      <w:r w:rsidR="0081635C" w:rsidRPr="00A01B2C">
        <w:rPr>
          <w:rFonts w:ascii="Book Antiqua" w:eastAsia="Times New Roman" w:hAnsi="Book Antiqua" w:cs="Tahoma"/>
          <w:sz w:val="24"/>
          <w:szCs w:val="24"/>
          <w:vertAlign w:val="superscript"/>
          <w:lang w:val="en-US" w:eastAsia="it-IT"/>
        </w:rPr>
        <w:t>7,</w:t>
      </w:r>
      <w:r w:rsidR="003256D4" w:rsidRPr="00A01B2C">
        <w:rPr>
          <w:rFonts w:ascii="Book Antiqua" w:eastAsia="Times New Roman" w:hAnsi="Book Antiqua" w:cs="Tahoma"/>
          <w:sz w:val="24"/>
          <w:szCs w:val="24"/>
          <w:vertAlign w:val="superscript"/>
          <w:lang w:val="en-US" w:eastAsia="it-IT"/>
        </w:rPr>
        <w:t>24</w:t>
      </w:r>
      <w:r w:rsidR="00FE0DE2" w:rsidRPr="00A01B2C">
        <w:rPr>
          <w:rFonts w:ascii="Book Antiqua" w:eastAsia="Times New Roman" w:hAnsi="Book Antiqua" w:cs="Tahoma"/>
          <w:sz w:val="24"/>
          <w:szCs w:val="24"/>
          <w:vertAlign w:val="superscript"/>
          <w:lang w:val="en-US" w:eastAsia="it-IT"/>
        </w:rPr>
        <w:t>]</w:t>
      </w:r>
      <w:r w:rsidR="005E04CD" w:rsidRPr="00A01B2C">
        <w:rPr>
          <w:rFonts w:ascii="Book Antiqua" w:eastAsia="Times New Roman" w:hAnsi="Book Antiqua" w:cs="Tahoma"/>
          <w:sz w:val="24"/>
          <w:szCs w:val="24"/>
          <w:lang w:val="en-US" w:eastAsia="it-IT"/>
        </w:rPr>
        <w:t xml:space="preserve">. </w:t>
      </w:r>
      <w:r w:rsidR="0071059D" w:rsidRPr="00A01B2C">
        <w:rPr>
          <w:rFonts w:ascii="Book Antiqua" w:eastAsia="Times New Roman" w:hAnsi="Book Antiqua" w:cs="Tahoma"/>
          <w:sz w:val="24"/>
          <w:szCs w:val="24"/>
          <w:lang w:val="en-US" w:eastAsia="it-IT"/>
        </w:rPr>
        <w:t xml:space="preserve">Regrettably, </w:t>
      </w:r>
      <w:r w:rsidR="0081635C" w:rsidRPr="00A01B2C">
        <w:rPr>
          <w:rFonts w:ascii="Book Antiqua" w:eastAsia="Times New Roman" w:hAnsi="Book Antiqua" w:cs="Tahoma"/>
          <w:sz w:val="24"/>
          <w:szCs w:val="24"/>
          <w:lang w:val="en-US" w:eastAsia="it-IT"/>
        </w:rPr>
        <w:t xml:space="preserve">24-h pH-impedence </w:t>
      </w:r>
      <w:r w:rsidRPr="00A01B2C">
        <w:rPr>
          <w:rFonts w:ascii="Book Antiqua" w:eastAsia="Times New Roman" w:hAnsi="Book Antiqua" w:cs="Tahoma"/>
          <w:sz w:val="24"/>
          <w:szCs w:val="24"/>
          <w:lang w:val="en-US" w:eastAsia="it-IT"/>
        </w:rPr>
        <w:t>is not rel</w:t>
      </w:r>
      <w:r w:rsidR="00026C3B" w:rsidRPr="00A01B2C">
        <w:rPr>
          <w:rFonts w:ascii="Book Antiqua" w:eastAsia="Times New Roman" w:hAnsi="Book Antiqua" w:cs="Tahoma"/>
          <w:sz w:val="24"/>
          <w:szCs w:val="24"/>
          <w:lang w:val="en-US" w:eastAsia="it-IT"/>
        </w:rPr>
        <w:t xml:space="preserve">iable for the diagnosis of LPR because the standard impedance probes do not have channels reaching </w:t>
      </w:r>
      <w:r w:rsidR="0071059D" w:rsidRPr="00A01B2C">
        <w:rPr>
          <w:rFonts w:ascii="Book Antiqua" w:eastAsia="Times New Roman" w:hAnsi="Book Antiqua" w:cs="Tahoma"/>
          <w:sz w:val="24"/>
          <w:szCs w:val="24"/>
          <w:lang w:val="en-US" w:eastAsia="it-IT"/>
        </w:rPr>
        <w:t>the UES</w:t>
      </w:r>
      <w:r w:rsidR="00026C3B" w:rsidRPr="00A01B2C">
        <w:rPr>
          <w:rFonts w:ascii="Book Antiqua" w:eastAsia="Times New Roman" w:hAnsi="Book Antiqua" w:cs="Tahoma"/>
          <w:sz w:val="24"/>
          <w:szCs w:val="24"/>
          <w:lang w:val="en-US" w:eastAsia="it-IT"/>
        </w:rPr>
        <w:t xml:space="preserve"> and pharynx and traditional pH sensors are poorly reliable w</w:t>
      </w:r>
      <w:r w:rsidR="0081635C" w:rsidRPr="00A01B2C">
        <w:rPr>
          <w:rFonts w:ascii="Book Antiqua" w:eastAsia="Times New Roman" w:hAnsi="Book Antiqua" w:cs="Tahoma"/>
          <w:sz w:val="24"/>
          <w:szCs w:val="24"/>
          <w:lang w:val="en-US" w:eastAsia="it-IT"/>
        </w:rPr>
        <w:t xml:space="preserve">hen positioned in </w:t>
      </w:r>
      <w:r w:rsidR="0071059D" w:rsidRPr="00A01B2C">
        <w:rPr>
          <w:rFonts w:ascii="Book Antiqua" w:eastAsia="Times New Roman" w:hAnsi="Book Antiqua" w:cs="Tahoma"/>
          <w:sz w:val="24"/>
          <w:szCs w:val="24"/>
          <w:lang w:val="en-US" w:eastAsia="it-IT"/>
        </w:rPr>
        <w:t xml:space="preserve">the </w:t>
      </w:r>
      <w:r w:rsidR="0081635C" w:rsidRPr="00A01B2C">
        <w:rPr>
          <w:rFonts w:ascii="Book Antiqua" w:eastAsia="Times New Roman" w:hAnsi="Book Antiqua" w:cs="Tahoma"/>
          <w:sz w:val="24"/>
          <w:szCs w:val="24"/>
          <w:lang w:val="en-US" w:eastAsia="it-IT"/>
        </w:rPr>
        <w:t>hypopharynx</w:t>
      </w:r>
      <w:r w:rsidR="00026C3B"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In particular,</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traditional pH sensors</w:t>
      </w:r>
      <w:r w:rsidR="0071059D"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 when positioned in the</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hypopharynx</w:t>
      </w:r>
      <w:r w:rsidR="0071059D"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 are prone to drying out and may cause </w:t>
      </w:r>
      <w:r w:rsidR="00AC619F" w:rsidRPr="00A01B2C">
        <w:rPr>
          <w:rFonts w:ascii="Book Antiqua" w:eastAsia="Times New Roman" w:hAnsi="Book Antiqua" w:cs="Tahoma"/>
          <w:sz w:val="24"/>
          <w:szCs w:val="24"/>
          <w:lang w:val="en-US" w:eastAsia="it-IT"/>
        </w:rPr>
        <w:t xml:space="preserve">pseudo-reflux due to </w:t>
      </w:r>
      <w:r w:rsidR="00302503" w:rsidRPr="00A01B2C">
        <w:rPr>
          <w:rFonts w:ascii="Book Antiqua" w:eastAsia="Times New Roman" w:hAnsi="Book Antiqua" w:cs="Tahoma"/>
          <w:sz w:val="24"/>
          <w:szCs w:val="24"/>
          <w:lang w:val="en-US" w:eastAsia="it-IT"/>
        </w:rPr>
        <w:t>artifacts</w:t>
      </w:r>
      <w:r w:rsidR="00FE0DE2" w:rsidRPr="00A01B2C">
        <w:rPr>
          <w:rFonts w:ascii="Book Antiqua" w:eastAsia="Times New Roman" w:hAnsi="Book Antiqua" w:cs="Tahoma"/>
          <w:sz w:val="24"/>
          <w:szCs w:val="24"/>
          <w:vertAlign w:val="superscript"/>
          <w:lang w:val="en-US" w:eastAsia="it-IT"/>
        </w:rPr>
        <w:t>[</w:t>
      </w:r>
      <w:r w:rsidR="0081635C" w:rsidRPr="00A01B2C">
        <w:rPr>
          <w:rFonts w:ascii="Book Antiqua" w:eastAsia="Times New Roman" w:hAnsi="Book Antiqua" w:cs="Tahoma"/>
          <w:sz w:val="24"/>
          <w:szCs w:val="24"/>
          <w:vertAlign w:val="superscript"/>
          <w:lang w:val="en-US" w:eastAsia="it-IT"/>
        </w:rPr>
        <w:t>3</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w:t>
      </w:r>
      <w:r w:rsidR="00F71AF6" w:rsidRPr="00A01B2C">
        <w:rPr>
          <w:rFonts w:ascii="Book Antiqua" w:eastAsia="Times New Roman" w:hAnsi="Book Antiqua" w:cs="Tahoma"/>
          <w:sz w:val="24"/>
          <w:szCs w:val="24"/>
          <w:lang w:val="en-US" w:eastAsia="it-IT"/>
        </w:rPr>
        <w:t xml:space="preserve"> </w:t>
      </w:r>
    </w:p>
    <w:p w:rsidR="00C01F72" w:rsidRPr="00A01B2C" w:rsidRDefault="00F74633" w:rsidP="006D687B">
      <w:pPr>
        <w:autoSpaceDE w:val="0"/>
        <w:autoSpaceDN w:val="0"/>
        <w:adjustRightInd w:val="0"/>
        <w:snapToGrid w:val="0"/>
        <w:spacing w:after="0" w:line="360" w:lineRule="auto"/>
        <w:ind w:firstLineChars="100" w:firstLine="240"/>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Recently</w:t>
      </w:r>
      <w:r w:rsidR="00083999"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 two new devices that overcome these limitations have been</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introduced for the detection of LPR: oropharyngeal pH-metry (Respiratory</w:t>
      </w:r>
      <w:r w:rsidR="00F71AF6" w:rsidRPr="00A01B2C">
        <w:rPr>
          <w:rFonts w:ascii="Book Antiqua" w:eastAsia="Times New Roman" w:hAnsi="Book Antiqua" w:cs="Tahoma"/>
          <w:sz w:val="24"/>
          <w:szCs w:val="24"/>
          <w:lang w:val="en-US" w:eastAsia="it-IT"/>
        </w:rPr>
        <w:t xml:space="preserve"> Technology Corp.)</w:t>
      </w:r>
      <w:r w:rsidR="00FE0DE2" w:rsidRPr="00A01B2C">
        <w:rPr>
          <w:rFonts w:ascii="Book Antiqua" w:eastAsia="Times New Roman" w:hAnsi="Book Antiqua" w:cs="Tahoma"/>
          <w:sz w:val="24"/>
          <w:szCs w:val="24"/>
          <w:vertAlign w:val="superscript"/>
          <w:lang w:val="en-US" w:eastAsia="it-IT"/>
        </w:rPr>
        <w:t>[</w:t>
      </w:r>
      <w:r w:rsidR="00DA3AD6" w:rsidRPr="00A01B2C">
        <w:rPr>
          <w:rFonts w:ascii="Book Antiqua" w:eastAsia="Times New Roman" w:hAnsi="Book Antiqua" w:cs="Tahoma"/>
          <w:sz w:val="24"/>
          <w:szCs w:val="24"/>
          <w:vertAlign w:val="superscript"/>
          <w:lang w:val="en-US" w:eastAsia="it-IT"/>
        </w:rPr>
        <w:t>4</w:t>
      </w:r>
      <w:r w:rsidR="00302503" w:rsidRPr="00A01B2C">
        <w:rPr>
          <w:rFonts w:ascii="Book Antiqua" w:hAnsi="Book Antiqua" w:cs="Tahoma" w:hint="eastAsia"/>
          <w:sz w:val="24"/>
          <w:szCs w:val="24"/>
          <w:vertAlign w:val="superscript"/>
          <w:lang w:val="en-US" w:eastAsia="zh-CN"/>
        </w:rPr>
        <w:t>-</w:t>
      </w:r>
      <w:r w:rsidR="00DA3AD6" w:rsidRPr="00A01B2C">
        <w:rPr>
          <w:rFonts w:ascii="Book Antiqua" w:eastAsia="Times New Roman" w:hAnsi="Book Antiqua" w:cs="Tahoma"/>
          <w:sz w:val="24"/>
          <w:szCs w:val="24"/>
          <w:vertAlign w:val="superscript"/>
          <w:lang w:val="en-US" w:eastAsia="it-IT"/>
        </w:rPr>
        <w:t>6</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xml:space="preserve"> and</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hypopharyngeal multichannel intraluminal impedence (Sandhill Scientific Inc.)</w:t>
      </w:r>
      <w:r w:rsidR="00FE0DE2" w:rsidRPr="00A01B2C">
        <w:rPr>
          <w:rFonts w:ascii="Book Antiqua" w:eastAsia="Times New Roman" w:hAnsi="Book Antiqua" w:cs="Tahoma"/>
          <w:sz w:val="24"/>
          <w:szCs w:val="24"/>
          <w:vertAlign w:val="superscript"/>
          <w:lang w:val="en-US" w:eastAsia="it-IT"/>
        </w:rPr>
        <w:t>[</w:t>
      </w:r>
      <w:r w:rsidR="00DA3AD6" w:rsidRPr="00A01B2C">
        <w:rPr>
          <w:rFonts w:ascii="Book Antiqua" w:eastAsia="Times New Roman" w:hAnsi="Book Antiqua" w:cs="Tahoma"/>
          <w:sz w:val="24"/>
          <w:szCs w:val="24"/>
          <w:vertAlign w:val="superscript"/>
          <w:lang w:val="en-US" w:eastAsia="it-IT"/>
        </w:rPr>
        <w:t>25,26</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xml:space="preserve">. We used </w:t>
      </w:r>
      <w:r w:rsidR="00083999" w:rsidRPr="00A01B2C">
        <w:rPr>
          <w:rFonts w:ascii="Book Antiqua" w:eastAsia="Times New Roman" w:hAnsi="Book Antiqua" w:cs="Tahoma"/>
          <w:sz w:val="24"/>
          <w:szCs w:val="24"/>
          <w:lang w:val="en-US" w:eastAsia="it-IT"/>
        </w:rPr>
        <w:t xml:space="preserve">the </w:t>
      </w:r>
      <w:r w:rsidRPr="00A01B2C">
        <w:rPr>
          <w:rFonts w:ascii="Book Antiqua" w:eastAsia="Times New Roman" w:hAnsi="Book Antiqua" w:cs="Tahoma"/>
          <w:sz w:val="24"/>
          <w:szCs w:val="24"/>
          <w:lang w:val="en-US" w:eastAsia="it-IT"/>
        </w:rPr>
        <w:t>OP Dx probe to detect acid reflux in the oropharynx of</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patients with clinically suspected LPR. This sensor measure</w:t>
      </w:r>
      <w:r w:rsidR="00083999" w:rsidRPr="00A01B2C">
        <w:rPr>
          <w:rFonts w:ascii="Book Antiqua" w:eastAsia="Times New Roman" w:hAnsi="Book Antiqua" w:cs="Tahoma"/>
          <w:sz w:val="24"/>
          <w:szCs w:val="24"/>
          <w:lang w:val="en-US" w:eastAsia="it-IT"/>
        </w:rPr>
        <w:t>s</w:t>
      </w:r>
      <w:r w:rsidRPr="00A01B2C">
        <w:rPr>
          <w:rFonts w:ascii="Book Antiqua" w:eastAsia="Times New Roman" w:hAnsi="Book Antiqua" w:cs="Tahoma"/>
          <w:sz w:val="24"/>
          <w:szCs w:val="24"/>
          <w:lang w:val="en-US" w:eastAsia="it-IT"/>
        </w:rPr>
        <w:t xml:space="preserve"> the pH of</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both liquid and aerosolized droplets in the posterior oropharynx, </w:t>
      </w:r>
      <w:r w:rsidR="001422BE" w:rsidRPr="00A01B2C">
        <w:rPr>
          <w:rFonts w:ascii="Book Antiqua" w:eastAsia="Times New Roman" w:hAnsi="Book Antiqua" w:cs="Tahoma"/>
          <w:sz w:val="24"/>
          <w:szCs w:val="24"/>
          <w:lang w:val="en-US" w:eastAsia="it-IT"/>
        </w:rPr>
        <w:t>avoids</w:t>
      </w:r>
      <w:r w:rsidRPr="00A01B2C">
        <w:rPr>
          <w:rFonts w:ascii="Book Antiqua" w:eastAsia="Times New Roman" w:hAnsi="Book Antiqua" w:cs="Tahoma"/>
          <w:sz w:val="24"/>
          <w:szCs w:val="24"/>
          <w:lang w:val="en-US" w:eastAsia="it-IT"/>
        </w:rPr>
        <w:t xml:space="preserve"> drying,</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does not require contact with fluid or tissue for </w:t>
      </w:r>
      <w:r w:rsidRPr="00A01B2C">
        <w:rPr>
          <w:rFonts w:ascii="Book Antiqua" w:eastAsia="Times New Roman" w:hAnsi="Book Antiqua" w:cs="Tahoma"/>
          <w:sz w:val="24"/>
          <w:szCs w:val="24"/>
          <w:lang w:val="en-US" w:eastAsia="it-IT"/>
        </w:rPr>
        <w:lastRenderedPageBreak/>
        <w:t>electrical continuity and has a</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teardrop shape with the sensor oriented downward to avoid becoming covered</w:t>
      </w:r>
      <w:r w:rsidR="00F71AF6" w:rsidRPr="00A01B2C">
        <w:rPr>
          <w:rFonts w:ascii="Book Antiqua" w:eastAsia="Times New Roman" w:hAnsi="Book Antiqua" w:cs="Tahoma"/>
          <w:sz w:val="24"/>
          <w:szCs w:val="24"/>
          <w:lang w:val="en-US" w:eastAsia="it-IT"/>
        </w:rPr>
        <w:t xml:space="preserve"> </w:t>
      </w:r>
      <w:r w:rsidR="00302503" w:rsidRPr="00A01B2C">
        <w:rPr>
          <w:rFonts w:ascii="Book Antiqua" w:eastAsia="Times New Roman" w:hAnsi="Book Antiqua" w:cs="Tahoma"/>
          <w:sz w:val="24"/>
          <w:szCs w:val="24"/>
          <w:lang w:val="en-US" w:eastAsia="it-IT"/>
        </w:rPr>
        <w:t>with food or mucus</w:t>
      </w:r>
      <w:r w:rsidR="00FE0DE2" w:rsidRPr="00A01B2C">
        <w:rPr>
          <w:rFonts w:ascii="Book Antiqua" w:eastAsia="Times New Roman" w:hAnsi="Book Antiqua" w:cs="Tahoma"/>
          <w:sz w:val="24"/>
          <w:szCs w:val="24"/>
          <w:vertAlign w:val="superscript"/>
          <w:lang w:val="en-US" w:eastAsia="it-IT"/>
        </w:rPr>
        <w:t>[</w:t>
      </w:r>
      <w:r w:rsidR="00E010FF" w:rsidRPr="00A01B2C">
        <w:rPr>
          <w:rFonts w:ascii="Book Antiqua" w:eastAsia="Times New Roman" w:hAnsi="Book Antiqua" w:cs="Tahoma"/>
          <w:sz w:val="24"/>
          <w:szCs w:val="24"/>
          <w:vertAlign w:val="superscript"/>
          <w:lang w:val="en-US" w:eastAsia="it-IT"/>
        </w:rPr>
        <w:t>5</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xml:space="preserve">. </w:t>
      </w:r>
      <w:r w:rsidR="00083999" w:rsidRPr="00A01B2C">
        <w:rPr>
          <w:rFonts w:ascii="Book Antiqua" w:eastAsia="Times New Roman" w:hAnsi="Book Antiqua" w:cs="Tahoma"/>
          <w:sz w:val="24"/>
          <w:szCs w:val="24"/>
          <w:lang w:val="en-US" w:eastAsia="it-IT"/>
        </w:rPr>
        <w:t>The</w:t>
      </w:r>
      <w:r w:rsidRPr="00A01B2C">
        <w:rPr>
          <w:rFonts w:ascii="Book Antiqua" w:eastAsia="Times New Roman" w:hAnsi="Book Antiqua" w:cs="Tahoma"/>
          <w:sz w:val="24"/>
          <w:szCs w:val="24"/>
          <w:lang w:val="en-US" w:eastAsia="it-IT"/>
        </w:rPr>
        <w:t xml:space="preserve"> Dx probe </w:t>
      </w:r>
      <w:r w:rsidR="001422BE" w:rsidRPr="00A01B2C">
        <w:rPr>
          <w:rFonts w:ascii="Book Antiqua" w:eastAsia="Times New Roman" w:hAnsi="Book Antiqua" w:cs="Tahoma"/>
          <w:sz w:val="24"/>
          <w:szCs w:val="24"/>
          <w:lang w:val="en-US" w:eastAsia="it-IT"/>
        </w:rPr>
        <w:t>is</w:t>
      </w:r>
      <w:r w:rsidRPr="00A01B2C">
        <w:rPr>
          <w:rFonts w:ascii="Book Antiqua" w:eastAsia="Times New Roman" w:hAnsi="Book Antiqua" w:cs="Tahoma"/>
          <w:sz w:val="24"/>
          <w:szCs w:val="24"/>
          <w:lang w:val="en-US" w:eastAsia="it-IT"/>
        </w:rPr>
        <w:t xml:space="preserve"> more</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sensitive than traditional pH monito</w:t>
      </w:r>
      <w:r w:rsidR="00E010FF" w:rsidRPr="00A01B2C">
        <w:rPr>
          <w:rFonts w:ascii="Book Antiqua" w:eastAsia="Times New Roman" w:hAnsi="Book Antiqua" w:cs="Tahoma"/>
          <w:sz w:val="24"/>
          <w:szCs w:val="24"/>
          <w:lang w:val="en-US" w:eastAsia="it-IT"/>
        </w:rPr>
        <w:t xml:space="preserve">ring </w:t>
      </w:r>
      <w:r w:rsidR="00083999" w:rsidRPr="00A01B2C">
        <w:rPr>
          <w:rFonts w:ascii="Book Antiqua" w:eastAsia="Times New Roman" w:hAnsi="Book Antiqua" w:cs="Tahoma"/>
          <w:sz w:val="24"/>
          <w:szCs w:val="24"/>
          <w:lang w:val="en-US" w:eastAsia="it-IT"/>
        </w:rPr>
        <w:t xml:space="preserve">for detecting </w:t>
      </w:r>
      <w:r w:rsidR="00302503" w:rsidRPr="00A01B2C">
        <w:rPr>
          <w:rFonts w:ascii="Book Antiqua" w:eastAsia="Times New Roman" w:hAnsi="Book Antiqua" w:cs="Tahoma"/>
          <w:sz w:val="24"/>
          <w:szCs w:val="24"/>
          <w:lang w:val="en-US" w:eastAsia="it-IT"/>
        </w:rPr>
        <w:t>LPR</w:t>
      </w:r>
      <w:r w:rsidR="00FE0DE2" w:rsidRPr="00A01B2C">
        <w:rPr>
          <w:rFonts w:ascii="Book Antiqua" w:eastAsia="Times New Roman" w:hAnsi="Book Antiqua" w:cs="Tahoma"/>
          <w:sz w:val="24"/>
          <w:szCs w:val="24"/>
          <w:vertAlign w:val="superscript"/>
          <w:lang w:val="en-US" w:eastAsia="it-IT"/>
        </w:rPr>
        <w:t>[</w:t>
      </w:r>
      <w:r w:rsidR="00E010FF" w:rsidRPr="00A01B2C">
        <w:rPr>
          <w:rFonts w:ascii="Book Antiqua" w:eastAsia="Times New Roman" w:hAnsi="Book Antiqua" w:cs="Tahoma"/>
          <w:sz w:val="24"/>
          <w:szCs w:val="24"/>
          <w:vertAlign w:val="superscript"/>
          <w:lang w:val="en-US" w:eastAsia="it-IT"/>
        </w:rPr>
        <w:t>4</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xml:space="preserve">. </w:t>
      </w:r>
      <w:r w:rsidR="004047DF" w:rsidRPr="00A01B2C">
        <w:rPr>
          <w:rFonts w:ascii="Book Antiqua" w:eastAsia="Times New Roman" w:hAnsi="Book Antiqua" w:cs="Tahoma"/>
          <w:sz w:val="24"/>
          <w:szCs w:val="24"/>
          <w:lang w:val="en-US" w:eastAsia="it-IT"/>
        </w:rPr>
        <w:t xml:space="preserve">It </w:t>
      </w:r>
      <w:r w:rsidR="00083999" w:rsidRPr="00A01B2C">
        <w:rPr>
          <w:rFonts w:ascii="Book Antiqua" w:eastAsia="Times New Roman" w:hAnsi="Book Antiqua" w:cs="Tahoma"/>
          <w:sz w:val="24"/>
          <w:szCs w:val="24"/>
          <w:lang w:val="en-US" w:eastAsia="it-IT"/>
        </w:rPr>
        <w:t xml:space="preserve">cannot </w:t>
      </w:r>
      <w:r w:rsidR="004047DF" w:rsidRPr="00A01B2C">
        <w:rPr>
          <w:rFonts w:ascii="Book Antiqua" w:eastAsia="Times New Roman" w:hAnsi="Book Antiqua" w:cs="Tahoma"/>
          <w:sz w:val="24"/>
          <w:szCs w:val="24"/>
          <w:lang w:val="en-US" w:eastAsia="it-IT"/>
        </w:rPr>
        <w:t xml:space="preserve">distinguish healthy volunteers </w:t>
      </w:r>
      <w:r w:rsidR="00083999" w:rsidRPr="00A01B2C">
        <w:rPr>
          <w:rFonts w:ascii="Book Antiqua" w:eastAsia="Times New Roman" w:hAnsi="Book Antiqua" w:cs="Tahoma"/>
          <w:sz w:val="24"/>
          <w:szCs w:val="24"/>
          <w:lang w:val="en-US" w:eastAsia="it-IT"/>
        </w:rPr>
        <w:t xml:space="preserve">from </w:t>
      </w:r>
      <w:r w:rsidR="004047DF" w:rsidRPr="00A01B2C">
        <w:rPr>
          <w:rFonts w:ascii="Book Antiqua" w:eastAsia="Times New Roman" w:hAnsi="Book Antiqua" w:cs="Tahoma"/>
          <w:sz w:val="24"/>
          <w:szCs w:val="24"/>
          <w:lang w:val="en-US" w:eastAsia="it-IT"/>
        </w:rPr>
        <w:t>subjects with laryngeal and reflux symptoms</w:t>
      </w:r>
      <w:r w:rsidR="00FE0DE2" w:rsidRPr="00A01B2C">
        <w:rPr>
          <w:rFonts w:ascii="Book Antiqua" w:eastAsia="Times New Roman" w:hAnsi="Book Antiqua" w:cs="Tahoma"/>
          <w:sz w:val="24"/>
          <w:szCs w:val="24"/>
          <w:vertAlign w:val="superscript"/>
          <w:lang w:val="en-US" w:eastAsia="it-IT"/>
        </w:rPr>
        <w:t>[</w:t>
      </w:r>
      <w:r w:rsidR="00D37BB8" w:rsidRPr="00A01B2C">
        <w:rPr>
          <w:rFonts w:ascii="Book Antiqua" w:eastAsia="Times New Roman" w:hAnsi="Book Antiqua" w:cs="Tahoma"/>
          <w:sz w:val="24"/>
          <w:szCs w:val="24"/>
          <w:vertAlign w:val="superscript"/>
          <w:lang w:val="en-US" w:eastAsia="it-IT"/>
        </w:rPr>
        <w:t>27</w:t>
      </w:r>
      <w:r w:rsidR="00FE0DE2" w:rsidRPr="00A01B2C">
        <w:rPr>
          <w:rFonts w:ascii="Book Antiqua" w:eastAsia="Times New Roman" w:hAnsi="Book Antiqua" w:cs="Tahoma"/>
          <w:sz w:val="24"/>
          <w:szCs w:val="24"/>
          <w:vertAlign w:val="superscript"/>
          <w:lang w:val="en-US" w:eastAsia="it-IT"/>
        </w:rPr>
        <w:t>]</w:t>
      </w:r>
      <w:r w:rsidR="004047DF" w:rsidRPr="00A01B2C">
        <w:rPr>
          <w:rFonts w:ascii="Book Antiqua" w:eastAsia="Times New Roman" w:hAnsi="Book Antiqua" w:cs="Tahoma"/>
          <w:sz w:val="24"/>
          <w:szCs w:val="24"/>
          <w:lang w:val="en-US" w:eastAsia="it-IT"/>
        </w:rPr>
        <w:t xml:space="preserve">, but </w:t>
      </w:r>
      <w:r w:rsidR="00083999" w:rsidRPr="00A01B2C">
        <w:rPr>
          <w:rFonts w:ascii="Book Antiqua" w:eastAsia="Times New Roman" w:hAnsi="Book Antiqua" w:cs="Tahoma"/>
          <w:sz w:val="24"/>
          <w:szCs w:val="24"/>
          <w:lang w:val="en-US" w:eastAsia="it-IT"/>
        </w:rPr>
        <w:t>it can</w:t>
      </w:r>
      <w:r w:rsidR="004047DF" w:rsidRPr="00A01B2C">
        <w:rPr>
          <w:rFonts w:ascii="Book Antiqua" w:eastAsia="Times New Roman" w:hAnsi="Book Antiqua" w:cs="Tahoma"/>
          <w:sz w:val="24"/>
          <w:szCs w:val="24"/>
          <w:lang w:val="en-US" w:eastAsia="it-IT"/>
        </w:rPr>
        <w:t xml:space="preserve"> identify patients who respond to medica</w:t>
      </w:r>
      <w:r w:rsidR="00302503" w:rsidRPr="00A01B2C">
        <w:rPr>
          <w:rFonts w:ascii="Book Antiqua" w:eastAsia="Times New Roman" w:hAnsi="Book Antiqua" w:cs="Tahoma"/>
          <w:sz w:val="24"/>
          <w:szCs w:val="24"/>
          <w:lang w:val="en-US" w:eastAsia="it-IT"/>
        </w:rPr>
        <w:t>l or surgical treatment of GERD</w:t>
      </w:r>
      <w:r w:rsidR="00FE0DE2" w:rsidRPr="00A01B2C">
        <w:rPr>
          <w:rFonts w:ascii="Book Antiqua" w:eastAsia="Times New Roman" w:hAnsi="Book Antiqua" w:cs="Tahoma"/>
          <w:sz w:val="24"/>
          <w:szCs w:val="24"/>
          <w:vertAlign w:val="superscript"/>
          <w:lang w:val="en-US" w:eastAsia="it-IT"/>
        </w:rPr>
        <w:t>[</w:t>
      </w:r>
      <w:r w:rsidR="00346E7E" w:rsidRPr="00A01B2C">
        <w:rPr>
          <w:rFonts w:ascii="Book Antiqua" w:eastAsia="Times New Roman" w:hAnsi="Book Antiqua" w:cs="Tahoma"/>
          <w:sz w:val="24"/>
          <w:szCs w:val="24"/>
          <w:vertAlign w:val="superscript"/>
          <w:lang w:val="en-US" w:eastAsia="it-IT"/>
        </w:rPr>
        <w:t>28,29</w:t>
      </w:r>
      <w:r w:rsidR="00FE0DE2" w:rsidRPr="00A01B2C">
        <w:rPr>
          <w:rFonts w:ascii="Book Antiqua" w:eastAsia="Times New Roman" w:hAnsi="Book Antiqua" w:cs="Tahoma"/>
          <w:sz w:val="24"/>
          <w:szCs w:val="24"/>
          <w:vertAlign w:val="superscript"/>
          <w:lang w:val="en-US" w:eastAsia="it-IT"/>
        </w:rPr>
        <w:t>]</w:t>
      </w:r>
      <w:r w:rsidR="004047DF" w:rsidRPr="00A01B2C">
        <w:rPr>
          <w:rFonts w:ascii="Book Antiqua" w:eastAsia="Times New Roman" w:hAnsi="Book Antiqua" w:cs="Tahoma"/>
          <w:sz w:val="24"/>
          <w:szCs w:val="24"/>
          <w:lang w:val="en-US" w:eastAsia="it-IT"/>
        </w:rPr>
        <w:t>.</w:t>
      </w:r>
      <w:r w:rsidR="00FD14F2" w:rsidRPr="00A01B2C">
        <w:rPr>
          <w:rFonts w:ascii="Book Antiqua" w:eastAsia="Times New Roman" w:hAnsi="Book Antiqua" w:cs="Tahoma"/>
          <w:sz w:val="24"/>
          <w:szCs w:val="24"/>
          <w:lang w:val="en-US" w:eastAsia="it-IT"/>
        </w:rPr>
        <w:t xml:space="preserve"> </w:t>
      </w:r>
    </w:p>
    <w:p w:rsidR="00197E12" w:rsidRPr="00A01B2C" w:rsidRDefault="00F74633" w:rsidP="006D687B">
      <w:pPr>
        <w:autoSpaceDE w:val="0"/>
        <w:autoSpaceDN w:val="0"/>
        <w:adjustRightInd w:val="0"/>
        <w:snapToGrid w:val="0"/>
        <w:spacing w:after="0" w:line="360" w:lineRule="auto"/>
        <w:ind w:firstLineChars="100" w:firstLine="240"/>
        <w:jc w:val="both"/>
        <w:rPr>
          <w:rFonts w:ascii="Book Antiqua" w:hAnsi="Book Antiqua" w:cs="Tahoma"/>
          <w:sz w:val="24"/>
          <w:szCs w:val="24"/>
          <w:lang w:val="en-US" w:eastAsia="zh-CN"/>
        </w:rPr>
      </w:pPr>
      <w:r w:rsidRPr="00A01B2C">
        <w:rPr>
          <w:rFonts w:ascii="Book Antiqua" w:eastAsia="Times New Roman" w:hAnsi="Book Antiqua" w:cs="Tahoma"/>
          <w:sz w:val="24"/>
          <w:szCs w:val="24"/>
          <w:lang w:val="en-US" w:eastAsia="it-IT"/>
        </w:rPr>
        <w:t xml:space="preserve">We considered OP </w:t>
      </w:r>
      <w:r w:rsidR="001D3897" w:rsidRPr="00A01B2C">
        <w:rPr>
          <w:rFonts w:ascii="Book Antiqua" w:eastAsia="Times New Roman" w:hAnsi="Book Antiqua" w:cs="Tahoma"/>
          <w:sz w:val="24"/>
          <w:szCs w:val="24"/>
          <w:lang w:val="en-US" w:eastAsia="it-IT"/>
        </w:rPr>
        <w:t>acid exposure</w:t>
      </w:r>
      <w:r w:rsidRPr="00A01B2C">
        <w:rPr>
          <w:rFonts w:ascii="Book Antiqua" w:eastAsia="Times New Roman" w:hAnsi="Book Antiqua" w:cs="Tahoma"/>
          <w:sz w:val="24"/>
          <w:szCs w:val="24"/>
          <w:lang w:val="en-US" w:eastAsia="it-IT"/>
        </w:rPr>
        <w:t xml:space="preserve"> as normal or pathological according to</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Ryan </w:t>
      </w:r>
      <w:r w:rsidR="00083999" w:rsidRPr="00A01B2C">
        <w:rPr>
          <w:rFonts w:ascii="Book Antiqua" w:eastAsia="Times New Roman" w:hAnsi="Book Antiqua" w:cs="Tahoma"/>
          <w:sz w:val="24"/>
          <w:szCs w:val="24"/>
          <w:lang w:val="en-US" w:eastAsia="it-IT"/>
        </w:rPr>
        <w:t>s</w:t>
      </w:r>
      <w:r w:rsidRPr="00A01B2C">
        <w:rPr>
          <w:rFonts w:ascii="Book Antiqua" w:eastAsia="Times New Roman" w:hAnsi="Book Antiqua" w:cs="Tahoma"/>
          <w:sz w:val="24"/>
          <w:szCs w:val="24"/>
          <w:lang w:val="en-US" w:eastAsia="it-IT"/>
        </w:rPr>
        <w:t xml:space="preserve">cores. These composite scores were calculated by Ayazi </w:t>
      </w:r>
      <w:r w:rsidRPr="00A01B2C">
        <w:rPr>
          <w:rFonts w:ascii="Book Antiqua" w:eastAsia="Times New Roman" w:hAnsi="Book Antiqua" w:cs="Tahoma"/>
          <w:i/>
          <w:sz w:val="24"/>
          <w:szCs w:val="24"/>
          <w:lang w:val="en-US" w:eastAsia="it-IT"/>
        </w:rPr>
        <w:t>et al</w:t>
      </w:r>
      <w:r w:rsidR="00302503" w:rsidRPr="00A01B2C">
        <w:rPr>
          <w:rFonts w:ascii="Book Antiqua" w:eastAsia="Times New Roman" w:hAnsi="Book Antiqua" w:cs="Tahoma"/>
          <w:sz w:val="24"/>
          <w:szCs w:val="24"/>
          <w:vertAlign w:val="superscript"/>
          <w:lang w:val="en-US" w:eastAsia="it-IT"/>
        </w:rPr>
        <w:t>[12]</w:t>
      </w:r>
      <w:r w:rsidR="00302503"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using the</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pH thresholds </w:t>
      </w:r>
      <w:r w:rsidR="00083999" w:rsidRPr="00A01B2C">
        <w:rPr>
          <w:rFonts w:ascii="Book Antiqua" w:eastAsia="Times New Roman" w:hAnsi="Book Antiqua" w:cs="Tahoma"/>
          <w:sz w:val="24"/>
          <w:szCs w:val="24"/>
          <w:lang w:val="en-US" w:eastAsia="it-IT"/>
        </w:rPr>
        <w:t xml:space="preserve">that are </w:t>
      </w:r>
      <w:r w:rsidRPr="00A01B2C">
        <w:rPr>
          <w:rFonts w:ascii="Book Antiqua" w:eastAsia="Times New Roman" w:hAnsi="Book Antiqua" w:cs="Tahoma"/>
          <w:sz w:val="24"/>
          <w:szCs w:val="24"/>
          <w:lang w:val="en-US" w:eastAsia="it-IT"/>
        </w:rPr>
        <w:t xml:space="preserve">best </w:t>
      </w:r>
      <w:r w:rsidR="00083999" w:rsidRPr="00A01B2C">
        <w:rPr>
          <w:rFonts w:ascii="Book Antiqua" w:eastAsia="Times New Roman" w:hAnsi="Book Antiqua" w:cs="Tahoma"/>
          <w:sz w:val="24"/>
          <w:szCs w:val="24"/>
          <w:lang w:val="en-US" w:eastAsia="it-IT"/>
        </w:rPr>
        <w:t>for</w:t>
      </w:r>
      <w:r w:rsidR="00FE4B6C"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defining abnormal OP pH.</w:t>
      </w:r>
    </w:p>
    <w:p w:rsidR="00B1352F" w:rsidRPr="00A01B2C" w:rsidRDefault="007636EE" w:rsidP="006D687B">
      <w:pPr>
        <w:autoSpaceDE w:val="0"/>
        <w:autoSpaceDN w:val="0"/>
        <w:adjustRightInd w:val="0"/>
        <w:snapToGrid w:val="0"/>
        <w:spacing w:after="0" w:line="360" w:lineRule="auto"/>
        <w:ind w:firstLineChars="100" w:firstLine="240"/>
        <w:jc w:val="both"/>
        <w:rPr>
          <w:rFonts w:ascii="Book Antiqua" w:hAnsi="Book Antiqua" w:cs="Tahoma"/>
          <w:sz w:val="24"/>
          <w:szCs w:val="24"/>
          <w:lang w:val="en-US" w:eastAsia="zh-CN"/>
        </w:rPr>
      </w:pPr>
      <w:r w:rsidRPr="00A01B2C">
        <w:rPr>
          <w:rFonts w:ascii="Book Antiqua" w:eastAsia="Times New Roman" w:hAnsi="Book Antiqua" w:cs="Tahoma"/>
          <w:sz w:val="24"/>
          <w:szCs w:val="24"/>
          <w:lang w:val="en-US" w:eastAsia="it-IT"/>
        </w:rPr>
        <w:t xml:space="preserve">In this study we </w:t>
      </w:r>
      <w:r w:rsidR="00DD7381" w:rsidRPr="00A01B2C">
        <w:rPr>
          <w:rFonts w:ascii="Book Antiqua" w:eastAsia="Times New Roman" w:hAnsi="Book Antiqua" w:cs="Tahoma"/>
          <w:sz w:val="24"/>
          <w:szCs w:val="24"/>
          <w:lang w:val="en-US" w:eastAsia="it-IT"/>
        </w:rPr>
        <w:t>included</w:t>
      </w:r>
      <w:r w:rsidRPr="00A01B2C">
        <w:rPr>
          <w:rFonts w:ascii="Book Antiqua" w:eastAsia="Times New Roman" w:hAnsi="Book Antiqua" w:cs="Tahoma"/>
          <w:sz w:val="24"/>
          <w:szCs w:val="24"/>
          <w:lang w:val="en-US" w:eastAsia="it-IT"/>
        </w:rPr>
        <w:t xml:space="preserve"> patients </w:t>
      </w:r>
      <w:r w:rsidR="00DD7381" w:rsidRPr="00A01B2C">
        <w:rPr>
          <w:rFonts w:ascii="Book Antiqua" w:eastAsia="Times New Roman" w:hAnsi="Book Antiqua" w:cs="Tahoma"/>
          <w:sz w:val="24"/>
          <w:szCs w:val="24"/>
          <w:lang w:val="en-US" w:eastAsia="it-IT"/>
        </w:rPr>
        <w:t xml:space="preserve">with clinically suspected </w:t>
      </w:r>
      <w:r w:rsidRPr="00A01B2C">
        <w:rPr>
          <w:rFonts w:ascii="Book Antiqua" w:eastAsia="Times New Roman" w:hAnsi="Book Antiqua" w:cs="Tahoma"/>
          <w:sz w:val="24"/>
          <w:szCs w:val="24"/>
          <w:lang w:val="en-US" w:eastAsia="it-IT"/>
        </w:rPr>
        <w:t>LPR</w:t>
      </w:r>
      <w:r w:rsidR="00DD7381" w:rsidRPr="00A01B2C">
        <w:rPr>
          <w:rFonts w:ascii="Book Antiqua" w:eastAsia="Times New Roman" w:hAnsi="Book Antiqua" w:cs="Tahoma"/>
          <w:sz w:val="24"/>
          <w:szCs w:val="24"/>
          <w:lang w:val="en-US" w:eastAsia="it-IT"/>
        </w:rPr>
        <w:t>, i.e.</w:t>
      </w:r>
      <w:r w:rsidR="00F427B3"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with extra</w:t>
      </w:r>
      <w:r w:rsidR="00F427B3"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esophageal symptoms </w:t>
      </w:r>
      <w:r w:rsidR="00F427B3" w:rsidRPr="00A01B2C">
        <w:rPr>
          <w:rFonts w:ascii="Book Antiqua" w:eastAsia="Times New Roman" w:hAnsi="Book Antiqua" w:cs="Tahoma"/>
          <w:sz w:val="24"/>
          <w:szCs w:val="24"/>
          <w:lang w:val="en-US" w:eastAsia="it-IT"/>
        </w:rPr>
        <w:t xml:space="preserve">and </w:t>
      </w:r>
      <w:r w:rsidRPr="00A01B2C">
        <w:rPr>
          <w:rFonts w:ascii="Book Antiqua" w:eastAsia="Times New Roman" w:hAnsi="Book Antiqua" w:cs="Tahoma"/>
          <w:sz w:val="24"/>
          <w:szCs w:val="24"/>
          <w:lang w:val="en-US" w:eastAsia="it-IT"/>
        </w:rPr>
        <w:t>a</w:t>
      </w:r>
      <w:r w:rsidR="00302503"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RSI</w:t>
      </w:r>
      <w:r w:rsidR="00302503" w:rsidRPr="00A01B2C">
        <w:rPr>
          <w:rFonts w:ascii="Book Antiqua" w:hAnsi="Book Antiqua" w:cs="Tahoma" w:hint="eastAsia"/>
          <w:sz w:val="24"/>
          <w:szCs w:val="24"/>
          <w:lang w:val="en-US" w:eastAsia="zh-CN"/>
        </w:rPr>
        <w:t xml:space="preserve"> </w:t>
      </w:r>
      <w:r w:rsidR="00F427B3" w:rsidRPr="00A01B2C">
        <w:rPr>
          <w:rFonts w:ascii="Book Antiqua" w:eastAsia="Times New Roman" w:hAnsi="Book Antiqua" w:cs="Tahoma"/>
          <w:sz w:val="24"/>
          <w:szCs w:val="24"/>
          <w:lang w:val="en-US" w:eastAsia="it-IT"/>
        </w:rPr>
        <w:t xml:space="preserve">score </w:t>
      </w:r>
      <w:r w:rsidRPr="00A01B2C">
        <w:rPr>
          <w:rFonts w:ascii="Book Antiqua" w:eastAsia="Times New Roman" w:hAnsi="Book Antiqua" w:cs="Tahoma"/>
          <w:sz w:val="24"/>
          <w:szCs w:val="24"/>
          <w:lang w:val="en-US" w:eastAsia="it-IT"/>
        </w:rPr>
        <w:t>higher than 13 and with previous lung, allergy and ENT evaluations excluding other causes of symptoms. In this populati</w:t>
      </w:r>
      <w:r w:rsidR="00B537EB" w:rsidRPr="00A01B2C">
        <w:rPr>
          <w:rFonts w:ascii="Book Antiqua" w:eastAsia="Times New Roman" w:hAnsi="Book Antiqua" w:cs="Tahoma"/>
          <w:sz w:val="24"/>
          <w:szCs w:val="24"/>
          <w:lang w:val="en-US" w:eastAsia="it-IT"/>
        </w:rPr>
        <w:t xml:space="preserve">on </w:t>
      </w:r>
      <w:r w:rsidR="00F427B3" w:rsidRPr="00A01B2C">
        <w:rPr>
          <w:rFonts w:ascii="Book Antiqua" w:eastAsia="Times New Roman" w:hAnsi="Book Antiqua" w:cs="Tahoma"/>
          <w:sz w:val="24"/>
          <w:szCs w:val="24"/>
          <w:lang w:val="en-US" w:eastAsia="it-IT"/>
        </w:rPr>
        <w:t xml:space="preserve">we could </w:t>
      </w:r>
      <w:r w:rsidR="00B537EB" w:rsidRPr="00A01B2C">
        <w:rPr>
          <w:rFonts w:ascii="Book Antiqua" w:eastAsia="Times New Roman" w:hAnsi="Book Antiqua" w:cs="Tahoma"/>
          <w:sz w:val="24"/>
          <w:szCs w:val="24"/>
          <w:lang w:val="en-US" w:eastAsia="it-IT"/>
        </w:rPr>
        <w:t>identify</w:t>
      </w:r>
      <w:r w:rsidRPr="00A01B2C">
        <w:rPr>
          <w:rFonts w:ascii="Book Antiqua" w:eastAsia="Times New Roman" w:hAnsi="Book Antiqua" w:cs="Tahoma"/>
          <w:sz w:val="24"/>
          <w:szCs w:val="24"/>
          <w:lang w:val="en-US" w:eastAsia="it-IT"/>
        </w:rPr>
        <w:t xml:space="preserve"> a sub</w:t>
      </w:r>
      <w:r w:rsidR="00B537EB" w:rsidRPr="00A01B2C">
        <w:rPr>
          <w:rFonts w:ascii="Book Antiqua" w:eastAsia="Times New Roman" w:hAnsi="Book Antiqua" w:cs="Tahoma"/>
          <w:sz w:val="24"/>
          <w:szCs w:val="24"/>
          <w:lang w:val="en-US" w:eastAsia="it-IT"/>
        </w:rPr>
        <w:t>group</w:t>
      </w:r>
      <w:r w:rsidRPr="00A01B2C">
        <w:rPr>
          <w:rFonts w:ascii="Book Antiqua" w:eastAsia="Times New Roman" w:hAnsi="Book Antiqua" w:cs="Tahoma"/>
          <w:sz w:val="24"/>
          <w:szCs w:val="24"/>
          <w:lang w:val="en-US" w:eastAsia="it-IT"/>
        </w:rPr>
        <w:t xml:space="preserve"> in wh</w:t>
      </w:r>
      <w:r w:rsidR="00F427B3" w:rsidRPr="00A01B2C">
        <w:rPr>
          <w:rFonts w:ascii="Book Antiqua" w:eastAsia="Times New Roman" w:hAnsi="Book Antiqua" w:cs="Tahoma"/>
          <w:sz w:val="24"/>
          <w:szCs w:val="24"/>
          <w:lang w:val="en-US" w:eastAsia="it-IT"/>
        </w:rPr>
        <w:t xml:space="preserve">ich </w:t>
      </w:r>
      <w:r w:rsidRPr="00A01B2C">
        <w:rPr>
          <w:rFonts w:ascii="Book Antiqua" w:eastAsia="Times New Roman" w:hAnsi="Book Antiqua" w:cs="Tahoma"/>
          <w:sz w:val="24"/>
          <w:szCs w:val="24"/>
          <w:lang w:val="en-US" w:eastAsia="it-IT"/>
        </w:rPr>
        <w:t>a pathological LPR was objecti</w:t>
      </w:r>
      <w:r w:rsidR="00F427B3" w:rsidRPr="00A01B2C">
        <w:rPr>
          <w:rFonts w:ascii="Book Antiqua" w:eastAsia="Times New Roman" w:hAnsi="Book Antiqua" w:cs="Tahoma"/>
          <w:sz w:val="24"/>
          <w:szCs w:val="24"/>
          <w:lang w:val="en-US" w:eastAsia="it-IT"/>
        </w:rPr>
        <w:t xml:space="preserve">vely estabilished by </w:t>
      </w:r>
      <w:r w:rsidRPr="00A01B2C">
        <w:rPr>
          <w:rFonts w:ascii="Book Antiqua" w:eastAsia="Times New Roman" w:hAnsi="Book Antiqua" w:cs="Tahoma"/>
          <w:sz w:val="24"/>
          <w:szCs w:val="24"/>
          <w:lang w:val="en-US" w:eastAsia="it-IT"/>
        </w:rPr>
        <w:t xml:space="preserve">24-h OP pH-monitoring. </w:t>
      </w:r>
      <w:r w:rsidR="00F74633" w:rsidRPr="00A01B2C">
        <w:rPr>
          <w:rFonts w:ascii="Book Antiqua" w:eastAsia="Times New Roman" w:hAnsi="Book Antiqua" w:cs="Tahoma"/>
          <w:sz w:val="24"/>
          <w:szCs w:val="24"/>
          <w:lang w:val="en-US" w:eastAsia="it-IT"/>
        </w:rPr>
        <w:t>As far as we know, it is still not clear why some patients have GER limited to</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the distal esophagus while in others it extends to the proximal esophagus and</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above the UES. Seeking an answer</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to this question, different studies have used conventional manometry to assess</w:t>
      </w:r>
      <w:r w:rsidR="00B1352F"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esophageal motor function in GERD patients.</w:t>
      </w:r>
      <w:r w:rsidR="00F71AF6" w:rsidRPr="00A01B2C">
        <w:rPr>
          <w:rFonts w:ascii="Book Antiqua" w:eastAsia="Times New Roman" w:hAnsi="Book Antiqua" w:cs="Tahoma"/>
          <w:sz w:val="24"/>
          <w:szCs w:val="24"/>
          <w:lang w:val="en-US" w:eastAsia="it-IT"/>
        </w:rPr>
        <w:t xml:space="preserve"> </w:t>
      </w:r>
      <w:r w:rsidR="00F427B3" w:rsidRPr="00A01B2C">
        <w:rPr>
          <w:rFonts w:ascii="Book Antiqua" w:eastAsia="Times New Roman" w:hAnsi="Book Antiqua" w:cs="Tahoma"/>
          <w:sz w:val="24"/>
          <w:szCs w:val="24"/>
          <w:lang w:val="en-US" w:eastAsia="it-IT"/>
        </w:rPr>
        <w:t>In</w:t>
      </w:r>
      <w:r w:rsidR="00F74633" w:rsidRPr="00A01B2C">
        <w:rPr>
          <w:rFonts w:ascii="Book Antiqua" w:eastAsia="Times New Roman" w:hAnsi="Book Antiqua" w:cs="Tahoma"/>
          <w:sz w:val="24"/>
          <w:szCs w:val="24"/>
          <w:lang w:val="en-US" w:eastAsia="it-IT"/>
        </w:rPr>
        <w:t xml:space="preserve"> patients with typical syndromes esophago-gastric junction</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(EGJ) impairment and ineffective esophageal motility (IEM) were strongly</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implicate</w:t>
      </w:r>
      <w:r w:rsidR="00302503" w:rsidRPr="00A01B2C">
        <w:rPr>
          <w:rFonts w:ascii="Book Antiqua" w:eastAsia="Times New Roman" w:hAnsi="Book Antiqua" w:cs="Tahoma"/>
          <w:sz w:val="24"/>
          <w:szCs w:val="24"/>
          <w:lang w:val="en-US" w:eastAsia="it-IT"/>
        </w:rPr>
        <w:t>d in the development of GERD</w:t>
      </w:r>
      <w:r w:rsidR="00FE0DE2" w:rsidRPr="00A01B2C">
        <w:rPr>
          <w:rFonts w:ascii="Book Antiqua" w:eastAsia="Times New Roman" w:hAnsi="Book Antiqua" w:cs="Tahoma"/>
          <w:sz w:val="24"/>
          <w:szCs w:val="24"/>
          <w:vertAlign w:val="superscript"/>
          <w:lang w:val="en-US" w:eastAsia="it-IT"/>
        </w:rPr>
        <w:t>[</w:t>
      </w:r>
      <w:r w:rsidR="006E7701" w:rsidRPr="00A01B2C">
        <w:rPr>
          <w:rFonts w:ascii="Book Antiqua" w:eastAsia="Times New Roman" w:hAnsi="Book Antiqua" w:cs="Tahoma"/>
          <w:sz w:val="24"/>
          <w:szCs w:val="24"/>
          <w:vertAlign w:val="superscript"/>
          <w:lang w:val="en-US" w:eastAsia="it-IT"/>
        </w:rPr>
        <w:t>30</w:t>
      </w:r>
      <w:r w:rsidR="00FE0DE2" w:rsidRPr="00A01B2C">
        <w:rPr>
          <w:rFonts w:ascii="Book Antiqua" w:eastAsia="Times New Roman" w:hAnsi="Book Antiqua" w:cs="Tahoma"/>
          <w:sz w:val="24"/>
          <w:szCs w:val="24"/>
          <w:vertAlign w:val="superscript"/>
          <w:lang w:val="en-US" w:eastAsia="it-IT"/>
        </w:rPr>
        <w:t>]</w:t>
      </w:r>
      <w:r w:rsidR="00F74633" w:rsidRPr="00A01B2C">
        <w:rPr>
          <w:rFonts w:ascii="Book Antiqua" w:eastAsia="Times New Roman" w:hAnsi="Book Antiqua" w:cs="Tahoma"/>
          <w:sz w:val="24"/>
          <w:szCs w:val="24"/>
          <w:lang w:val="en-US" w:eastAsia="it-IT"/>
        </w:rPr>
        <w:t xml:space="preserve"> and the prevalence of these</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abnormalities rose with the se</w:t>
      </w:r>
      <w:r w:rsidR="00302503" w:rsidRPr="00A01B2C">
        <w:rPr>
          <w:rFonts w:ascii="Book Antiqua" w:eastAsia="Times New Roman" w:hAnsi="Book Antiqua" w:cs="Tahoma"/>
          <w:sz w:val="24"/>
          <w:szCs w:val="24"/>
          <w:lang w:val="en-US" w:eastAsia="it-IT"/>
        </w:rPr>
        <w:t>verity of the reflux disease</w:t>
      </w:r>
      <w:r w:rsidR="00FE0DE2" w:rsidRPr="00A01B2C">
        <w:rPr>
          <w:rFonts w:ascii="Book Antiqua" w:eastAsia="Times New Roman" w:hAnsi="Book Antiqua" w:cs="Tahoma"/>
          <w:sz w:val="24"/>
          <w:szCs w:val="24"/>
          <w:vertAlign w:val="superscript"/>
          <w:lang w:val="en-US" w:eastAsia="it-IT"/>
        </w:rPr>
        <w:t>[</w:t>
      </w:r>
      <w:r w:rsidR="006E7701" w:rsidRPr="00A01B2C">
        <w:rPr>
          <w:rFonts w:ascii="Book Antiqua" w:eastAsia="Times New Roman" w:hAnsi="Book Antiqua" w:cs="Tahoma"/>
          <w:sz w:val="24"/>
          <w:szCs w:val="24"/>
          <w:vertAlign w:val="superscript"/>
          <w:lang w:val="en-US" w:eastAsia="it-IT"/>
        </w:rPr>
        <w:t>31</w:t>
      </w:r>
      <w:r w:rsidR="00FE0DE2" w:rsidRPr="00A01B2C">
        <w:rPr>
          <w:rFonts w:ascii="Book Antiqua" w:eastAsia="Times New Roman" w:hAnsi="Book Antiqua" w:cs="Tahoma"/>
          <w:sz w:val="24"/>
          <w:szCs w:val="24"/>
          <w:vertAlign w:val="superscript"/>
          <w:lang w:val="en-US" w:eastAsia="it-IT"/>
        </w:rPr>
        <w:t>]</w:t>
      </w:r>
      <w:r w:rsidR="00F74633" w:rsidRPr="00A01B2C">
        <w:rPr>
          <w:rFonts w:ascii="Book Antiqua" w:eastAsia="Times New Roman" w:hAnsi="Book Antiqua" w:cs="Tahoma"/>
          <w:sz w:val="24"/>
          <w:szCs w:val="24"/>
          <w:lang w:val="en-US" w:eastAsia="it-IT"/>
        </w:rPr>
        <w:t>.</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 xml:space="preserve">In contrast, there </w:t>
      </w:r>
      <w:r w:rsidR="00144BA8" w:rsidRPr="00A01B2C">
        <w:rPr>
          <w:rFonts w:ascii="Book Antiqua" w:eastAsia="Times New Roman" w:hAnsi="Book Antiqua" w:cs="Tahoma"/>
          <w:sz w:val="24"/>
          <w:szCs w:val="24"/>
          <w:lang w:val="en-US" w:eastAsia="it-IT"/>
        </w:rPr>
        <w:t>are few</w:t>
      </w:r>
      <w:r w:rsidR="00F74633" w:rsidRPr="00A01B2C">
        <w:rPr>
          <w:rFonts w:ascii="Book Antiqua" w:eastAsia="Times New Roman" w:hAnsi="Book Antiqua" w:cs="Tahoma"/>
          <w:sz w:val="24"/>
          <w:szCs w:val="24"/>
          <w:lang w:val="en-US" w:eastAsia="it-IT"/>
        </w:rPr>
        <w:t xml:space="preserve"> and discordant data about motility abnormalities in</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patients with extr</w:t>
      </w:r>
      <w:r w:rsidR="00302503" w:rsidRPr="00A01B2C">
        <w:rPr>
          <w:rFonts w:ascii="Book Antiqua" w:eastAsia="Times New Roman" w:hAnsi="Book Antiqua" w:cs="Tahoma"/>
          <w:sz w:val="24"/>
          <w:szCs w:val="24"/>
          <w:lang w:val="en-US" w:eastAsia="it-IT"/>
        </w:rPr>
        <w:t>a-esophageal syndromes</w:t>
      </w:r>
      <w:r w:rsidR="00FE0DE2" w:rsidRPr="00A01B2C">
        <w:rPr>
          <w:rFonts w:ascii="Book Antiqua" w:eastAsia="Times New Roman" w:hAnsi="Book Antiqua" w:cs="Tahoma"/>
          <w:sz w:val="24"/>
          <w:szCs w:val="24"/>
          <w:vertAlign w:val="superscript"/>
          <w:lang w:val="en-US" w:eastAsia="it-IT"/>
        </w:rPr>
        <w:t>[</w:t>
      </w:r>
      <w:r w:rsidR="006E7701" w:rsidRPr="00A01B2C">
        <w:rPr>
          <w:rFonts w:ascii="Book Antiqua" w:eastAsia="Times New Roman" w:hAnsi="Book Antiqua" w:cs="Tahoma"/>
          <w:sz w:val="24"/>
          <w:szCs w:val="24"/>
          <w:vertAlign w:val="superscript"/>
          <w:lang w:val="en-US" w:eastAsia="it-IT"/>
        </w:rPr>
        <w:t>8</w:t>
      </w:r>
      <w:r w:rsidR="00302503" w:rsidRPr="00A01B2C">
        <w:rPr>
          <w:rFonts w:ascii="Book Antiqua" w:hAnsi="Book Antiqua" w:cs="Tahoma" w:hint="eastAsia"/>
          <w:sz w:val="24"/>
          <w:szCs w:val="24"/>
          <w:vertAlign w:val="superscript"/>
          <w:lang w:val="en-US" w:eastAsia="zh-CN"/>
        </w:rPr>
        <w:t>-</w:t>
      </w:r>
      <w:r w:rsidR="006E7701" w:rsidRPr="00A01B2C">
        <w:rPr>
          <w:rFonts w:ascii="Book Antiqua" w:eastAsia="Times New Roman" w:hAnsi="Book Antiqua" w:cs="Tahoma"/>
          <w:sz w:val="24"/>
          <w:szCs w:val="24"/>
          <w:vertAlign w:val="superscript"/>
          <w:lang w:val="en-US" w:eastAsia="it-IT"/>
        </w:rPr>
        <w:t>10,32</w:t>
      </w:r>
      <w:r w:rsidR="00FE0DE2" w:rsidRPr="00A01B2C">
        <w:rPr>
          <w:rFonts w:ascii="Book Antiqua" w:eastAsia="Times New Roman" w:hAnsi="Book Antiqua" w:cs="Tahoma"/>
          <w:sz w:val="24"/>
          <w:szCs w:val="24"/>
          <w:vertAlign w:val="superscript"/>
          <w:lang w:val="en-US" w:eastAsia="it-IT"/>
        </w:rPr>
        <w:t>]</w:t>
      </w:r>
      <w:r w:rsidR="00F74633" w:rsidRPr="00A01B2C">
        <w:rPr>
          <w:rFonts w:ascii="Book Antiqua" w:eastAsia="Times New Roman" w:hAnsi="Book Antiqua" w:cs="Tahoma"/>
          <w:sz w:val="24"/>
          <w:szCs w:val="24"/>
          <w:lang w:val="en-US" w:eastAsia="it-IT"/>
        </w:rPr>
        <w:t xml:space="preserve">. Fouard </w:t>
      </w:r>
      <w:r w:rsidR="00F74633" w:rsidRPr="00A01B2C">
        <w:rPr>
          <w:rFonts w:ascii="Book Antiqua" w:eastAsia="Times New Roman" w:hAnsi="Book Antiqua" w:cs="Tahoma"/>
          <w:i/>
          <w:sz w:val="24"/>
          <w:szCs w:val="24"/>
          <w:lang w:val="en-US" w:eastAsia="it-IT"/>
        </w:rPr>
        <w:t>et al</w:t>
      </w:r>
      <w:r w:rsidR="00302503" w:rsidRPr="00A01B2C">
        <w:rPr>
          <w:rFonts w:ascii="Book Antiqua" w:eastAsia="Times New Roman" w:hAnsi="Book Antiqua" w:cs="Tahoma"/>
          <w:sz w:val="24"/>
          <w:szCs w:val="24"/>
          <w:vertAlign w:val="superscript"/>
          <w:lang w:val="en-US" w:eastAsia="it-IT"/>
        </w:rPr>
        <w:t>[8]</w:t>
      </w:r>
      <w:r w:rsidR="00302503" w:rsidRPr="00A01B2C">
        <w:rPr>
          <w:rFonts w:ascii="Book Antiqua" w:hAnsi="Book Antiqua" w:cs="Tahoma" w:hint="eastAsia"/>
          <w:sz w:val="24"/>
          <w:szCs w:val="24"/>
          <w:lang w:val="en-US" w:eastAsia="zh-CN"/>
        </w:rPr>
        <w:t xml:space="preserve"> </w:t>
      </w:r>
      <w:r w:rsidR="00F74633" w:rsidRPr="00A01B2C">
        <w:rPr>
          <w:rFonts w:ascii="Book Antiqua" w:eastAsia="Times New Roman" w:hAnsi="Book Antiqua" w:cs="Tahoma"/>
          <w:sz w:val="24"/>
          <w:szCs w:val="24"/>
          <w:lang w:val="en-US" w:eastAsia="it-IT"/>
        </w:rPr>
        <w:t>found IEM</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significantly more often in patients with GERD and chronic cough (41%) or</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asthma (53%) and numerically more often in patients with GERD and laryngitis</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 xml:space="preserve">(31%) than in </w:t>
      </w:r>
      <w:r w:rsidR="00302503" w:rsidRPr="00A01B2C">
        <w:rPr>
          <w:rFonts w:ascii="Book Antiqua" w:eastAsia="Times New Roman" w:hAnsi="Book Antiqua" w:cs="Tahoma"/>
          <w:sz w:val="24"/>
          <w:szCs w:val="24"/>
          <w:lang w:val="en-US" w:eastAsia="it-IT"/>
        </w:rPr>
        <w:t>patients with heartburn (19%)</w:t>
      </w:r>
      <w:r w:rsidR="00F74633" w:rsidRPr="00A01B2C">
        <w:rPr>
          <w:rFonts w:ascii="Book Antiqua" w:eastAsia="Times New Roman" w:hAnsi="Book Antiqua" w:cs="Tahoma"/>
          <w:sz w:val="24"/>
          <w:szCs w:val="24"/>
          <w:lang w:val="en-US" w:eastAsia="it-IT"/>
        </w:rPr>
        <w:t xml:space="preserve">. Di Baise </w:t>
      </w:r>
      <w:r w:rsidR="00F74633" w:rsidRPr="00A01B2C">
        <w:rPr>
          <w:rFonts w:ascii="Book Antiqua" w:eastAsia="Times New Roman" w:hAnsi="Book Antiqua" w:cs="Tahoma"/>
          <w:i/>
          <w:sz w:val="24"/>
          <w:szCs w:val="24"/>
          <w:lang w:val="en-US" w:eastAsia="it-IT"/>
        </w:rPr>
        <w:t>et al</w:t>
      </w:r>
      <w:r w:rsidR="00302503" w:rsidRPr="00A01B2C">
        <w:rPr>
          <w:rFonts w:ascii="Book Antiqua" w:eastAsia="Times New Roman" w:hAnsi="Book Antiqua" w:cs="Tahoma"/>
          <w:sz w:val="24"/>
          <w:szCs w:val="24"/>
          <w:vertAlign w:val="superscript"/>
          <w:lang w:val="en-US" w:eastAsia="it-IT"/>
        </w:rPr>
        <w:t>[9]</w:t>
      </w:r>
      <w:r w:rsidR="00302503" w:rsidRPr="00A01B2C">
        <w:rPr>
          <w:rFonts w:ascii="Book Antiqua" w:hAnsi="Book Antiqua" w:cs="Tahoma" w:hint="eastAsia"/>
          <w:sz w:val="24"/>
          <w:szCs w:val="24"/>
          <w:lang w:val="en-US" w:eastAsia="zh-CN"/>
        </w:rPr>
        <w:t xml:space="preserve"> </w:t>
      </w:r>
      <w:r w:rsidR="00F74633" w:rsidRPr="00A01B2C">
        <w:rPr>
          <w:rFonts w:ascii="Book Antiqua" w:eastAsia="Times New Roman" w:hAnsi="Book Antiqua" w:cs="Tahoma"/>
          <w:sz w:val="24"/>
          <w:szCs w:val="24"/>
          <w:lang w:val="en-US" w:eastAsia="it-IT"/>
        </w:rPr>
        <w:t>reported no</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significant difference in motility parameters between GERD patients with typical</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symptoms and those with ex</w:t>
      </w:r>
      <w:r w:rsidR="006E7701" w:rsidRPr="00A01B2C">
        <w:rPr>
          <w:rFonts w:ascii="Book Antiqua" w:eastAsia="Times New Roman" w:hAnsi="Book Antiqua" w:cs="Tahoma"/>
          <w:sz w:val="24"/>
          <w:szCs w:val="24"/>
          <w:lang w:val="en-US" w:eastAsia="it-IT"/>
        </w:rPr>
        <w:t>tra-esophageal symptoms alone</w:t>
      </w:r>
      <w:r w:rsidR="00F74633" w:rsidRPr="00A01B2C">
        <w:rPr>
          <w:rFonts w:ascii="Book Antiqua" w:eastAsia="Times New Roman" w:hAnsi="Book Antiqua" w:cs="Tahoma"/>
          <w:sz w:val="24"/>
          <w:szCs w:val="24"/>
          <w:lang w:val="en-US" w:eastAsia="it-IT"/>
        </w:rPr>
        <w:t xml:space="preserve">. Patti </w:t>
      </w:r>
      <w:r w:rsidR="00F74633" w:rsidRPr="00A01B2C">
        <w:rPr>
          <w:rFonts w:ascii="Book Antiqua" w:eastAsia="Times New Roman" w:hAnsi="Book Antiqua" w:cs="Tahoma"/>
          <w:i/>
          <w:sz w:val="24"/>
          <w:szCs w:val="24"/>
          <w:lang w:val="en-US" w:eastAsia="it-IT"/>
        </w:rPr>
        <w:t>et al</w:t>
      </w:r>
      <w:r w:rsidR="00302503" w:rsidRPr="00A01B2C">
        <w:rPr>
          <w:rFonts w:ascii="Book Antiqua" w:eastAsia="Times New Roman" w:hAnsi="Book Antiqua" w:cs="Tahoma"/>
          <w:sz w:val="24"/>
          <w:szCs w:val="24"/>
          <w:vertAlign w:val="superscript"/>
          <w:lang w:val="en-US" w:eastAsia="it-IT"/>
        </w:rPr>
        <w:t>[10]</w:t>
      </w:r>
      <w:r w:rsidR="00302503" w:rsidRPr="00A01B2C">
        <w:rPr>
          <w:rFonts w:ascii="Book Antiqua" w:hAnsi="Book Antiqua" w:cs="Tahoma" w:hint="eastAsia"/>
          <w:sz w:val="24"/>
          <w:szCs w:val="24"/>
          <w:lang w:val="en-US" w:eastAsia="zh-CN"/>
        </w:rPr>
        <w:t xml:space="preserve"> </w:t>
      </w:r>
      <w:r w:rsidR="00F427B3" w:rsidRPr="00A01B2C">
        <w:rPr>
          <w:rFonts w:ascii="Book Antiqua" w:eastAsia="Times New Roman" w:hAnsi="Book Antiqua" w:cs="Tahoma"/>
          <w:sz w:val="24"/>
          <w:szCs w:val="24"/>
          <w:lang w:val="en-US" w:eastAsia="it-IT"/>
        </w:rPr>
        <w:t xml:space="preserve">reported </w:t>
      </w:r>
      <w:r w:rsidR="00F74633" w:rsidRPr="00A01B2C">
        <w:rPr>
          <w:rFonts w:ascii="Book Antiqua" w:eastAsia="Times New Roman" w:hAnsi="Book Antiqua" w:cs="Tahoma"/>
          <w:sz w:val="24"/>
          <w:szCs w:val="24"/>
          <w:lang w:val="en-US" w:eastAsia="it-IT"/>
        </w:rPr>
        <w:t>that in patients who had pH</w:t>
      </w:r>
      <w:r w:rsidR="0037478C"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&lt;</w:t>
      </w:r>
      <w:r w:rsidR="00302503" w:rsidRPr="00A01B2C">
        <w:rPr>
          <w:rFonts w:ascii="Book Antiqua" w:hAnsi="Book Antiqua" w:cs="Tahoma" w:hint="eastAsia"/>
          <w:sz w:val="24"/>
          <w:szCs w:val="24"/>
          <w:lang w:val="en-US" w:eastAsia="zh-CN"/>
        </w:rPr>
        <w:t xml:space="preserve"> </w:t>
      </w:r>
      <w:r w:rsidR="00F74633" w:rsidRPr="00A01B2C">
        <w:rPr>
          <w:rFonts w:ascii="Book Antiqua" w:eastAsia="Times New Roman" w:hAnsi="Book Antiqua" w:cs="Tahoma"/>
          <w:sz w:val="24"/>
          <w:szCs w:val="24"/>
          <w:lang w:val="en-US" w:eastAsia="it-IT"/>
        </w:rPr>
        <w:t>4 in the proximal esophagus for more</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than 3% of</w:t>
      </w:r>
      <w:r w:rsidR="00F427B3" w:rsidRPr="00A01B2C">
        <w:rPr>
          <w:rFonts w:ascii="Book Antiqua" w:eastAsia="Times New Roman" w:hAnsi="Book Antiqua" w:cs="Tahoma"/>
          <w:sz w:val="24"/>
          <w:szCs w:val="24"/>
          <w:lang w:val="en-US" w:eastAsia="it-IT"/>
        </w:rPr>
        <w:t xml:space="preserve"> the</w:t>
      </w:r>
      <w:r w:rsidR="00F74633" w:rsidRPr="00A01B2C">
        <w:rPr>
          <w:rFonts w:ascii="Book Antiqua" w:eastAsia="Times New Roman" w:hAnsi="Book Antiqua" w:cs="Tahoma"/>
          <w:sz w:val="24"/>
          <w:szCs w:val="24"/>
          <w:lang w:val="en-US" w:eastAsia="it-IT"/>
        </w:rPr>
        <w:t xml:space="preserve"> time, </w:t>
      </w:r>
      <w:r w:rsidR="00F427B3" w:rsidRPr="00A01B2C">
        <w:rPr>
          <w:rFonts w:ascii="Book Antiqua" w:eastAsia="Times New Roman" w:hAnsi="Book Antiqua" w:cs="Tahoma"/>
          <w:sz w:val="24"/>
          <w:szCs w:val="24"/>
          <w:lang w:val="en-US" w:eastAsia="it-IT"/>
        </w:rPr>
        <w:t xml:space="preserve">the </w:t>
      </w:r>
      <w:r w:rsidR="00F74633" w:rsidRPr="00A01B2C">
        <w:rPr>
          <w:rFonts w:ascii="Book Antiqua" w:eastAsia="Times New Roman" w:hAnsi="Book Antiqua" w:cs="Tahoma"/>
          <w:sz w:val="24"/>
          <w:szCs w:val="24"/>
          <w:lang w:val="en-US" w:eastAsia="it-IT"/>
        </w:rPr>
        <w:t>LES was weaker and shorter and UES pressures and</w:t>
      </w:r>
      <w:r w:rsidR="00F71AF6" w:rsidRPr="00A01B2C">
        <w:rPr>
          <w:rFonts w:ascii="Book Antiqua" w:eastAsia="Times New Roman" w:hAnsi="Book Antiqua" w:cs="Tahoma"/>
          <w:sz w:val="24"/>
          <w:szCs w:val="24"/>
          <w:lang w:val="en-US" w:eastAsia="it-IT"/>
        </w:rPr>
        <w:t xml:space="preserve"> </w:t>
      </w:r>
      <w:r w:rsidR="006E7701" w:rsidRPr="00A01B2C">
        <w:rPr>
          <w:rFonts w:ascii="Book Antiqua" w:eastAsia="Times New Roman" w:hAnsi="Book Antiqua" w:cs="Tahoma"/>
          <w:sz w:val="24"/>
          <w:szCs w:val="24"/>
          <w:lang w:val="en-US" w:eastAsia="it-IT"/>
        </w:rPr>
        <w:t>peristalsis amplitude lower</w:t>
      </w:r>
      <w:r w:rsidR="00F74633" w:rsidRPr="00A01B2C">
        <w:rPr>
          <w:rFonts w:ascii="Book Antiqua" w:eastAsia="Times New Roman" w:hAnsi="Book Antiqua" w:cs="Tahoma"/>
          <w:sz w:val="24"/>
          <w:szCs w:val="24"/>
          <w:lang w:val="en-US" w:eastAsia="it-IT"/>
        </w:rPr>
        <w:t>.</w:t>
      </w:r>
    </w:p>
    <w:p w:rsidR="002F07C9" w:rsidRPr="00A01B2C" w:rsidRDefault="00F74633" w:rsidP="006D687B">
      <w:pPr>
        <w:autoSpaceDE w:val="0"/>
        <w:autoSpaceDN w:val="0"/>
        <w:adjustRightInd w:val="0"/>
        <w:snapToGrid w:val="0"/>
        <w:spacing w:after="0" w:line="360" w:lineRule="auto"/>
        <w:ind w:firstLineChars="100" w:firstLine="240"/>
        <w:jc w:val="both"/>
        <w:rPr>
          <w:rFonts w:ascii="Book Antiqua" w:hAnsi="Book Antiqua" w:cs="Tahoma"/>
          <w:sz w:val="24"/>
          <w:szCs w:val="24"/>
          <w:lang w:val="en-US" w:eastAsia="zh-CN"/>
        </w:rPr>
      </w:pPr>
      <w:r w:rsidRPr="00A01B2C">
        <w:rPr>
          <w:rFonts w:ascii="Book Antiqua" w:eastAsia="Times New Roman" w:hAnsi="Book Antiqua" w:cs="Tahoma"/>
          <w:sz w:val="24"/>
          <w:szCs w:val="24"/>
          <w:lang w:val="en-US" w:eastAsia="it-IT"/>
        </w:rPr>
        <w:t>HRM offers a major advance in defining esophageal motility</w:t>
      </w:r>
      <w:r w:rsidR="00F71AF6" w:rsidRPr="00A01B2C">
        <w:rPr>
          <w:rFonts w:ascii="Book Antiqua" w:eastAsia="Times New Roman" w:hAnsi="Book Antiqua" w:cs="Tahoma"/>
          <w:sz w:val="24"/>
          <w:szCs w:val="24"/>
          <w:lang w:val="en-US" w:eastAsia="it-IT"/>
        </w:rPr>
        <w:t xml:space="preserve"> </w:t>
      </w:r>
      <w:r w:rsidR="00302503" w:rsidRPr="00A01B2C">
        <w:rPr>
          <w:rFonts w:ascii="Book Antiqua" w:eastAsia="Times New Roman" w:hAnsi="Book Antiqua" w:cs="Tahoma"/>
          <w:sz w:val="24"/>
          <w:szCs w:val="24"/>
          <w:lang w:val="en-US" w:eastAsia="it-IT"/>
        </w:rPr>
        <w:t>abnormalities</w:t>
      </w:r>
      <w:r w:rsidR="00FE0DE2" w:rsidRPr="00A01B2C">
        <w:rPr>
          <w:rFonts w:ascii="Book Antiqua" w:eastAsia="Times New Roman" w:hAnsi="Book Antiqua" w:cs="Tahoma"/>
          <w:sz w:val="24"/>
          <w:szCs w:val="24"/>
          <w:vertAlign w:val="superscript"/>
          <w:lang w:val="en-US" w:eastAsia="it-IT"/>
        </w:rPr>
        <w:t>[</w:t>
      </w:r>
      <w:r w:rsidR="00380C9D" w:rsidRPr="00A01B2C">
        <w:rPr>
          <w:rFonts w:ascii="Book Antiqua" w:eastAsia="Times New Roman" w:hAnsi="Book Antiqua" w:cs="Tahoma"/>
          <w:sz w:val="24"/>
          <w:szCs w:val="24"/>
          <w:vertAlign w:val="superscript"/>
          <w:lang w:val="en-US" w:eastAsia="it-IT"/>
        </w:rPr>
        <w:t>12</w:t>
      </w:r>
      <w:r w:rsidR="00FE0DE2" w:rsidRPr="00A01B2C">
        <w:rPr>
          <w:rFonts w:ascii="Book Antiqua" w:eastAsia="Times New Roman" w:hAnsi="Book Antiqua" w:cs="Tahoma"/>
          <w:sz w:val="24"/>
          <w:szCs w:val="24"/>
          <w:vertAlign w:val="superscript"/>
          <w:lang w:val="en-US" w:eastAsia="it-IT"/>
        </w:rPr>
        <w:t>]</w:t>
      </w:r>
      <w:r w:rsidR="00F427B3" w:rsidRPr="00A01B2C">
        <w:rPr>
          <w:rFonts w:ascii="Book Antiqua" w:eastAsia="Times New Roman" w:hAnsi="Book Antiqua" w:cs="Tahoma"/>
          <w:sz w:val="24"/>
          <w:szCs w:val="24"/>
          <w:lang w:val="en-US" w:eastAsia="it-IT"/>
        </w:rPr>
        <w:t xml:space="preserve">. It employs </w:t>
      </w:r>
      <w:r w:rsidRPr="00A01B2C">
        <w:rPr>
          <w:rFonts w:ascii="Book Antiqua" w:eastAsia="Times New Roman" w:hAnsi="Book Antiqua" w:cs="Tahoma"/>
          <w:sz w:val="24"/>
          <w:szCs w:val="24"/>
          <w:lang w:val="en-US" w:eastAsia="it-IT"/>
        </w:rPr>
        <w:t>numerous closely spaced pressure</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sensors</w:t>
      </w:r>
      <w:r w:rsidR="0037478C"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 which overcomes the problem of movement-related artifacts for</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esophageal sphincters and can reveal the segmental character of esophageal</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peristalsis and the anatomy of the EGJ.</w:t>
      </w:r>
      <w:r w:rsidR="00302503"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 xml:space="preserve">Daum </w:t>
      </w:r>
      <w:r w:rsidRPr="00A01B2C">
        <w:rPr>
          <w:rFonts w:ascii="Book Antiqua" w:eastAsia="Times New Roman" w:hAnsi="Book Antiqua" w:cs="Tahoma"/>
          <w:i/>
          <w:sz w:val="24"/>
          <w:szCs w:val="24"/>
          <w:lang w:val="en-US" w:eastAsia="it-IT"/>
        </w:rPr>
        <w:t>et al</w:t>
      </w:r>
      <w:r w:rsidR="00302503" w:rsidRPr="00A01B2C">
        <w:rPr>
          <w:rFonts w:ascii="Book Antiqua" w:eastAsia="Times New Roman" w:hAnsi="Book Antiqua" w:cs="Tahoma"/>
          <w:sz w:val="24"/>
          <w:szCs w:val="24"/>
          <w:vertAlign w:val="superscript"/>
          <w:lang w:val="en-US" w:eastAsia="it-IT"/>
        </w:rPr>
        <w:t>[33]</w:t>
      </w:r>
      <w:r w:rsidR="00302503"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showed that the frequency of esophageal dysmotility in GERD patients was</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higher </w:t>
      </w:r>
      <w:r w:rsidR="006D7F80" w:rsidRPr="00A01B2C">
        <w:rPr>
          <w:rFonts w:ascii="Book Antiqua" w:eastAsia="Times New Roman" w:hAnsi="Book Antiqua" w:cs="Tahoma"/>
          <w:sz w:val="24"/>
          <w:szCs w:val="24"/>
          <w:lang w:val="en-US" w:eastAsia="it-IT"/>
        </w:rPr>
        <w:t xml:space="preserve">using HRM </w:t>
      </w:r>
      <w:r w:rsidRPr="00A01B2C">
        <w:rPr>
          <w:rFonts w:ascii="Book Antiqua" w:eastAsia="Times New Roman" w:hAnsi="Book Antiqua" w:cs="Tahoma"/>
          <w:sz w:val="24"/>
          <w:szCs w:val="24"/>
          <w:lang w:val="en-US" w:eastAsia="it-IT"/>
        </w:rPr>
        <w:t xml:space="preserve">than </w:t>
      </w:r>
      <w:r w:rsidR="00380C9D" w:rsidRPr="00A01B2C">
        <w:rPr>
          <w:rFonts w:ascii="Book Antiqua" w:eastAsia="Times New Roman" w:hAnsi="Book Antiqua" w:cs="Tahoma"/>
          <w:sz w:val="24"/>
          <w:szCs w:val="24"/>
          <w:lang w:val="en-US" w:eastAsia="it-IT"/>
        </w:rPr>
        <w:t>conventiona</w:t>
      </w:r>
      <w:r w:rsidR="00302503" w:rsidRPr="00A01B2C">
        <w:rPr>
          <w:rFonts w:ascii="Book Antiqua" w:eastAsia="Times New Roman" w:hAnsi="Book Antiqua" w:cs="Tahoma"/>
          <w:sz w:val="24"/>
          <w:szCs w:val="24"/>
          <w:lang w:val="en-US" w:eastAsia="it-IT"/>
        </w:rPr>
        <w:t>l manometry</w:t>
      </w:r>
      <w:r w:rsidRPr="00A01B2C">
        <w:rPr>
          <w:rFonts w:ascii="Book Antiqua" w:eastAsia="Times New Roman" w:hAnsi="Book Antiqua" w:cs="Tahoma"/>
          <w:sz w:val="24"/>
          <w:szCs w:val="24"/>
          <w:lang w:val="en-US" w:eastAsia="it-IT"/>
        </w:rPr>
        <w:t>.</w:t>
      </w:r>
    </w:p>
    <w:p w:rsidR="00B1352F" w:rsidRPr="00A01B2C" w:rsidRDefault="00F74633" w:rsidP="006D687B">
      <w:pPr>
        <w:autoSpaceDE w:val="0"/>
        <w:autoSpaceDN w:val="0"/>
        <w:adjustRightInd w:val="0"/>
        <w:snapToGrid w:val="0"/>
        <w:spacing w:after="0" w:line="360" w:lineRule="auto"/>
        <w:ind w:firstLineChars="100" w:firstLine="240"/>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lastRenderedPageBreak/>
        <w:t>There are only few HRM studies so far in patients with extra</w:t>
      </w:r>
      <w:r w:rsidR="002F07C9"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esophageal</w:t>
      </w:r>
      <w:r w:rsidR="00F71AF6" w:rsidRPr="00A01B2C">
        <w:rPr>
          <w:rFonts w:ascii="Book Antiqua" w:eastAsia="Times New Roman" w:hAnsi="Book Antiqua" w:cs="Tahoma"/>
          <w:sz w:val="24"/>
          <w:szCs w:val="24"/>
          <w:lang w:val="en-US" w:eastAsia="it-IT"/>
        </w:rPr>
        <w:t xml:space="preserve"> </w:t>
      </w:r>
      <w:r w:rsidR="00380C9D" w:rsidRPr="00A01B2C">
        <w:rPr>
          <w:rFonts w:ascii="Book Antiqua" w:eastAsia="Times New Roman" w:hAnsi="Book Antiqua" w:cs="Tahoma"/>
          <w:sz w:val="24"/>
          <w:szCs w:val="24"/>
          <w:lang w:val="en-US" w:eastAsia="it-IT"/>
        </w:rPr>
        <w:t xml:space="preserve">syndromes </w:t>
      </w:r>
      <w:r w:rsidR="00FE0DE2" w:rsidRPr="00A01B2C">
        <w:rPr>
          <w:rFonts w:ascii="Book Antiqua" w:eastAsia="Times New Roman" w:hAnsi="Book Antiqua" w:cs="Tahoma"/>
          <w:sz w:val="24"/>
          <w:szCs w:val="24"/>
          <w:vertAlign w:val="superscript"/>
          <w:lang w:val="en-US" w:eastAsia="it-IT"/>
        </w:rPr>
        <w:t>[</w:t>
      </w:r>
      <w:r w:rsidR="00380C9D" w:rsidRPr="00A01B2C">
        <w:rPr>
          <w:rFonts w:ascii="Book Antiqua" w:eastAsia="Times New Roman" w:hAnsi="Book Antiqua" w:cs="Tahoma"/>
          <w:sz w:val="24"/>
          <w:szCs w:val="24"/>
          <w:vertAlign w:val="superscript"/>
          <w:lang w:val="en-US" w:eastAsia="it-IT"/>
        </w:rPr>
        <w:t>34,35</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xml:space="preserve"> and most have been done on patients who had an indirect</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diagnosis of LPR, based on clinical manifestations, positive response to</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antisecretory therapy or pathological esophageal pH (more frequently) or pH</w:t>
      </w:r>
      <w:r w:rsidR="00B1352F"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impedance</w:t>
      </w:r>
      <w:r w:rsidR="00F71AF6" w:rsidRPr="00A01B2C">
        <w:rPr>
          <w:rFonts w:ascii="Book Antiqua" w:eastAsia="Times New Roman" w:hAnsi="Book Antiqua" w:cs="Tahoma"/>
          <w:sz w:val="24"/>
          <w:szCs w:val="24"/>
          <w:lang w:val="en-US" w:eastAsia="it-IT"/>
        </w:rPr>
        <w:t xml:space="preserve"> </w:t>
      </w:r>
      <w:r w:rsidR="008D7F9A" w:rsidRPr="00A01B2C">
        <w:rPr>
          <w:rFonts w:ascii="Book Antiqua" w:eastAsia="Times New Roman" w:hAnsi="Book Antiqua" w:cs="Tahoma"/>
          <w:sz w:val="24"/>
          <w:szCs w:val="24"/>
          <w:lang w:val="en-US" w:eastAsia="it-IT"/>
        </w:rPr>
        <w:t>monitoring, which is</w:t>
      </w:r>
      <w:r w:rsidRPr="00A01B2C">
        <w:rPr>
          <w:rFonts w:ascii="Book Antiqua" w:eastAsia="Times New Roman" w:hAnsi="Book Antiqua" w:cs="Tahoma"/>
          <w:sz w:val="24"/>
          <w:szCs w:val="24"/>
          <w:lang w:val="en-US" w:eastAsia="it-IT"/>
        </w:rPr>
        <w:t xml:space="preserve"> not altogether reliable for</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detecting LPR. </w:t>
      </w:r>
      <w:r w:rsidR="00BC1FBE" w:rsidRPr="00A01B2C">
        <w:rPr>
          <w:rFonts w:ascii="Book Antiqua" w:eastAsia="Times New Roman" w:hAnsi="Book Antiqua" w:cs="Tahoma"/>
          <w:sz w:val="24"/>
          <w:szCs w:val="24"/>
          <w:lang w:val="en-US" w:eastAsia="it-IT"/>
        </w:rPr>
        <w:t>As we discussed above</w:t>
      </w:r>
      <w:r w:rsidR="00D85BB0"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 in most cases the motility </w:t>
      </w:r>
      <w:r w:rsidR="00F427B3" w:rsidRPr="00A01B2C">
        <w:rPr>
          <w:rFonts w:ascii="Book Antiqua" w:eastAsia="Times New Roman" w:hAnsi="Book Antiqua" w:cs="Tahoma"/>
          <w:sz w:val="24"/>
          <w:szCs w:val="24"/>
          <w:lang w:val="en-US" w:eastAsia="it-IT"/>
        </w:rPr>
        <w:t>h</w:t>
      </w:r>
      <w:r w:rsidRPr="00A01B2C">
        <w:rPr>
          <w:rFonts w:ascii="Book Antiqua" w:eastAsia="Times New Roman" w:hAnsi="Book Antiqua" w:cs="Tahoma"/>
          <w:sz w:val="24"/>
          <w:szCs w:val="24"/>
          <w:lang w:val="en-US" w:eastAsia="it-IT"/>
        </w:rPr>
        <w:t xml:space="preserve">as not really </w:t>
      </w:r>
      <w:r w:rsidR="00F427B3" w:rsidRPr="00A01B2C">
        <w:rPr>
          <w:rFonts w:ascii="Book Antiqua" w:eastAsia="Times New Roman" w:hAnsi="Book Antiqua" w:cs="Tahoma"/>
          <w:sz w:val="24"/>
          <w:szCs w:val="24"/>
          <w:lang w:val="en-US" w:eastAsia="it-IT"/>
        </w:rPr>
        <w:t xml:space="preserve">been </w:t>
      </w:r>
      <w:r w:rsidRPr="00A01B2C">
        <w:rPr>
          <w:rFonts w:ascii="Book Antiqua" w:eastAsia="Times New Roman" w:hAnsi="Book Antiqua" w:cs="Tahoma"/>
          <w:sz w:val="24"/>
          <w:szCs w:val="24"/>
          <w:lang w:val="en-US" w:eastAsia="it-IT"/>
        </w:rPr>
        <w:t>assessed in a</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population with established LPR.</w:t>
      </w:r>
      <w:r w:rsidR="00F71AF6" w:rsidRPr="00A01B2C">
        <w:rPr>
          <w:rFonts w:ascii="Book Antiqua" w:eastAsia="Times New Roman" w:hAnsi="Book Antiqua" w:cs="Tahoma"/>
          <w:sz w:val="24"/>
          <w:szCs w:val="24"/>
          <w:lang w:val="en-US" w:eastAsia="it-IT"/>
        </w:rPr>
        <w:t xml:space="preserve"> </w:t>
      </w:r>
      <w:r w:rsidR="00F427B3" w:rsidRPr="00A01B2C">
        <w:rPr>
          <w:rFonts w:ascii="Book Antiqua" w:eastAsia="Times New Roman" w:hAnsi="Book Antiqua" w:cs="Tahoma"/>
          <w:sz w:val="24"/>
          <w:szCs w:val="24"/>
          <w:lang w:val="en-US" w:eastAsia="it-IT"/>
        </w:rPr>
        <w:t>We</w:t>
      </w:r>
      <w:r w:rsidRPr="00A01B2C">
        <w:rPr>
          <w:rFonts w:ascii="Book Antiqua" w:eastAsia="Times New Roman" w:hAnsi="Book Antiqua" w:cs="Tahoma"/>
          <w:sz w:val="24"/>
          <w:szCs w:val="24"/>
          <w:lang w:val="en-US" w:eastAsia="it-IT"/>
        </w:rPr>
        <w:t xml:space="preserve"> studied patients </w:t>
      </w:r>
      <w:r w:rsidR="00D85BB0" w:rsidRPr="00A01B2C">
        <w:rPr>
          <w:rFonts w:ascii="Book Antiqua" w:eastAsia="Times New Roman" w:hAnsi="Book Antiqua" w:cs="Tahoma"/>
          <w:sz w:val="24"/>
          <w:szCs w:val="24"/>
          <w:lang w:val="en-US" w:eastAsia="it-IT"/>
        </w:rPr>
        <w:t>with extra-esophageal syndromes</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using OP pH-monitoring </w:t>
      </w:r>
      <w:r w:rsidR="00962F4B" w:rsidRPr="00A01B2C">
        <w:rPr>
          <w:rFonts w:ascii="Book Antiqua" w:eastAsia="Times New Roman" w:hAnsi="Book Antiqua" w:cs="Tahoma"/>
          <w:sz w:val="24"/>
          <w:szCs w:val="24"/>
          <w:lang w:val="en-US" w:eastAsia="it-IT"/>
        </w:rPr>
        <w:t xml:space="preserve">and HRM </w:t>
      </w:r>
      <w:r w:rsidR="00BC1FBE" w:rsidRPr="00A01B2C">
        <w:rPr>
          <w:rFonts w:ascii="Book Antiqua" w:eastAsia="Times New Roman" w:hAnsi="Book Antiqua" w:cs="Tahoma"/>
          <w:sz w:val="24"/>
          <w:szCs w:val="24"/>
          <w:lang w:val="en-US" w:eastAsia="it-IT"/>
        </w:rPr>
        <w:t xml:space="preserve">in order to find </w:t>
      </w:r>
      <w:r w:rsidR="00F427B3" w:rsidRPr="00A01B2C">
        <w:rPr>
          <w:rFonts w:ascii="Book Antiqua" w:eastAsia="Times New Roman" w:hAnsi="Book Antiqua" w:cs="Tahoma"/>
          <w:sz w:val="24"/>
          <w:szCs w:val="24"/>
          <w:lang w:val="en-US" w:eastAsia="it-IT"/>
        </w:rPr>
        <w:t xml:space="preserve">out whether </w:t>
      </w:r>
      <w:r w:rsidRPr="00A01B2C">
        <w:rPr>
          <w:rFonts w:ascii="Book Antiqua" w:eastAsia="Times New Roman" w:hAnsi="Book Antiqua" w:cs="Tahoma"/>
          <w:sz w:val="24"/>
          <w:szCs w:val="24"/>
          <w:lang w:val="en-US" w:eastAsia="it-IT"/>
        </w:rPr>
        <w:t>there was a motility pattern</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characteristic of patients with established pathological LPR. </w:t>
      </w:r>
      <w:r w:rsidR="00F427B3" w:rsidRPr="00A01B2C">
        <w:rPr>
          <w:rFonts w:ascii="Book Antiqua" w:eastAsia="Times New Roman" w:hAnsi="Book Antiqua" w:cs="Tahoma"/>
          <w:sz w:val="24"/>
          <w:szCs w:val="24"/>
          <w:lang w:val="en-US" w:eastAsia="it-IT"/>
        </w:rPr>
        <w:t>O</w:t>
      </w:r>
      <w:r w:rsidRPr="00A01B2C">
        <w:rPr>
          <w:rFonts w:ascii="Book Antiqua" w:eastAsia="Times New Roman" w:hAnsi="Book Antiqua" w:cs="Tahoma"/>
          <w:sz w:val="24"/>
          <w:szCs w:val="24"/>
          <w:lang w:val="en-US" w:eastAsia="it-IT"/>
        </w:rPr>
        <w:t>bjective</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identification of LPR is essential to define a population of true patients in which</w:t>
      </w:r>
      <w:r w:rsidR="00B1352F"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the LPR is proven, not just assumed.</w:t>
      </w:r>
      <w:r w:rsidR="00F71AF6" w:rsidRPr="00A01B2C">
        <w:rPr>
          <w:rFonts w:ascii="Book Antiqua" w:eastAsia="Times New Roman" w:hAnsi="Book Antiqua" w:cs="Tahoma"/>
          <w:sz w:val="24"/>
          <w:szCs w:val="24"/>
          <w:lang w:val="en-US" w:eastAsia="it-IT"/>
        </w:rPr>
        <w:t xml:space="preserve"> </w:t>
      </w:r>
      <w:r w:rsidR="00BC1FBE" w:rsidRPr="00A01B2C">
        <w:rPr>
          <w:rFonts w:ascii="Book Antiqua" w:eastAsia="Times New Roman" w:hAnsi="Book Antiqua" w:cs="Tahoma"/>
          <w:sz w:val="24"/>
          <w:szCs w:val="24"/>
          <w:lang w:val="en-US" w:eastAsia="it-IT"/>
        </w:rPr>
        <w:t>We compared all the</w:t>
      </w:r>
      <w:r w:rsidR="00F427B3" w:rsidRPr="00A01B2C">
        <w:rPr>
          <w:rFonts w:ascii="Book Antiqua" w:eastAsia="Times New Roman" w:hAnsi="Book Antiqua" w:cs="Tahoma"/>
          <w:sz w:val="24"/>
          <w:szCs w:val="24"/>
          <w:lang w:val="en-US" w:eastAsia="it-IT"/>
        </w:rPr>
        <w:t xml:space="preserve"> motility</w:t>
      </w:r>
      <w:r w:rsidR="00BC1FBE" w:rsidRPr="00A01B2C">
        <w:rPr>
          <w:rFonts w:ascii="Book Antiqua" w:eastAsia="Times New Roman" w:hAnsi="Book Antiqua" w:cs="Tahoma"/>
          <w:sz w:val="24"/>
          <w:szCs w:val="24"/>
          <w:lang w:val="en-US" w:eastAsia="it-IT"/>
        </w:rPr>
        <w:t xml:space="preserve"> parameter</w:t>
      </w:r>
      <w:r w:rsidRPr="00A01B2C">
        <w:rPr>
          <w:rFonts w:ascii="Book Antiqua" w:eastAsia="Times New Roman" w:hAnsi="Book Antiqua" w:cs="Tahoma"/>
          <w:sz w:val="24"/>
          <w:szCs w:val="24"/>
          <w:lang w:val="en-US" w:eastAsia="it-IT"/>
        </w:rPr>
        <w:t>s that can be obtained with HRM for</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patients with pathological OP </w:t>
      </w:r>
      <w:r w:rsidR="001D3897" w:rsidRPr="00A01B2C">
        <w:rPr>
          <w:rFonts w:ascii="Book Antiqua" w:eastAsia="Times New Roman" w:hAnsi="Book Antiqua" w:cs="Tahoma"/>
          <w:sz w:val="24"/>
          <w:szCs w:val="24"/>
          <w:lang w:val="en-US" w:eastAsia="it-IT"/>
        </w:rPr>
        <w:t xml:space="preserve">acid exposure </w:t>
      </w:r>
      <w:r w:rsidRPr="00A01B2C">
        <w:rPr>
          <w:rFonts w:ascii="Book Antiqua" w:eastAsia="Times New Roman" w:hAnsi="Book Antiqua" w:cs="Tahoma"/>
          <w:sz w:val="24"/>
          <w:szCs w:val="24"/>
          <w:lang w:val="en-US" w:eastAsia="it-IT"/>
        </w:rPr>
        <w:t xml:space="preserve">and those with a normal result. </w:t>
      </w:r>
      <w:r w:rsidR="00F65BD3" w:rsidRPr="00A01B2C">
        <w:rPr>
          <w:rFonts w:ascii="Book Antiqua" w:eastAsia="Times New Roman" w:hAnsi="Book Antiqua" w:cs="Tahoma"/>
          <w:sz w:val="24"/>
          <w:szCs w:val="24"/>
          <w:lang w:val="en-US" w:eastAsia="it-IT"/>
        </w:rPr>
        <w:t xml:space="preserve">The aim of this study </w:t>
      </w:r>
      <w:r w:rsidR="00F427B3" w:rsidRPr="00A01B2C">
        <w:rPr>
          <w:rFonts w:ascii="Book Antiqua" w:eastAsia="Times New Roman" w:hAnsi="Book Antiqua" w:cs="Tahoma"/>
          <w:sz w:val="24"/>
          <w:szCs w:val="24"/>
          <w:lang w:val="en-US" w:eastAsia="it-IT"/>
        </w:rPr>
        <w:t>was</w:t>
      </w:r>
      <w:r w:rsidR="00F65BD3" w:rsidRPr="00A01B2C">
        <w:rPr>
          <w:rFonts w:ascii="Book Antiqua" w:eastAsia="Times New Roman" w:hAnsi="Book Antiqua" w:cs="Tahoma"/>
          <w:sz w:val="24"/>
          <w:szCs w:val="24"/>
          <w:lang w:val="en-US" w:eastAsia="it-IT"/>
        </w:rPr>
        <w:t xml:space="preserve"> to correlate HRM and OP pH-metry</w:t>
      </w:r>
      <w:r w:rsidR="000925E9" w:rsidRPr="00A01B2C">
        <w:rPr>
          <w:rFonts w:ascii="Book Antiqua" w:eastAsia="Times New Roman" w:hAnsi="Book Antiqua" w:cs="Tahoma"/>
          <w:sz w:val="24"/>
          <w:szCs w:val="24"/>
          <w:lang w:val="en-US" w:eastAsia="it-IT"/>
        </w:rPr>
        <w:t xml:space="preserve"> </w:t>
      </w:r>
      <w:r w:rsidR="00F427B3" w:rsidRPr="00A01B2C">
        <w:rPr>
          <w:rFonts w:ascii="Book Antiqua" w:eastAsia="Times New Roman" w:hAnsi="Book Antiqua" w:cs="Tahoma"/>
          <w:sz w:val="24"/>
          <w:szCs w:val="24"/>
          <w:lang w:val="en-US" w:eastAsia="it-IT"/>
        </w:rPr>
        <w:t>and</w:t>
      </w:r>
      <w:r w:rsidR="00F65BD3" w:rsidRPr="00A01B2C">
        <w:rPr>
          <w:rFonts w:ascii="Book Antiqua" w:eastAsia="Times New Roman" w:hAnsi="Book Antiqua" w:cs="Tahoma"/>
          <w:sz w:val="24"/>
          <w:szCs w:val="24"/>
          <w:lang w:val="en-US" w:eastAsia="it-IT"/>
        </w:rPr>
        <w:t xml:space="preserve"> t</w:t>
      </w:r>
      <w:r w:rsidRPr="00A01B2C">
        <w:rPr>
          <w:rFonts w:ascii="Book Antiqua" w:eastAsia="Times New Roman" w:hAnsi="Book Antiqua" w:cs="Tahoma"/>
          <w:sz w:val="24"/>
          <w:szCs w:val="24"/>
          <w:lang w:val="en-US" w:eastAsia="it-IT"/>
        </w:rPr>
        <w:t>his is</w:t>
      </w:r>
      <w:r w:rsidR="00F71AF6" w:rsidRPr="00A01B2C">
        <w:rPr>
          <w:rFonts w:ascii="Book Antiqua" w:eastAsia="Times New Roman" w:hAnsi="Book Antiqua" w:cs="Tahoma"/>
          <w:sz w:val="24"/>
          <w:szCs w:val="24"/>
          <w:lang w:val="en-US" w:eastAsia="it-IT"/>
        </w:rPr>
        <w:t xml:space="preserve"> </w:t>
      </w:r>
      <w:r w:rsidR="00BC1FBE" w:rsidRPr="00A01B2C">
        <w:rPr>
          <w:rFonts w:ascii="Book Antiqua" w:eastAsia="Times New Roman" w:hAnsi="Book Antiqua" w:cs="Tahoma"/>
          <w:sz w:val="24"/>
          <w:szCs w:val="24"/>
          <w:lang w:val="en-US" w:eastAsia="it-IT"/>
        </w:rPr>
        <w:t xml:space="preserve">the first </w:t>
      </w:r>
      <w:r w:rsidR="00F427B3" w:rsidRPr="00A01B2C">
        <w:rPr>
          <w:rFonts w:ascii="Book Antiqua" w:eastAsia="Times New Roman" w:hAnsi="Book Antiqua" w:cs="Tahoma"/>
          <w:sz w:val="24"/>
          <w:szCs w:val="24"/>
          <w:lang w:val="en-US" w:eastAsia="it-IT"/>
        </w:rPr>
        <w:t>comparison of</w:t>
      </w:r>
      <w:r w:rsidR="00F65BD3" w:rsidRPr="00A01B2C">
        <w:rPr>
          <w:rFonts w:ascii="Book Antiqua" w:eastAsia="Times New Roman" w:hAnsi="Book Antiqua" w:cs="Tahoma"/>
          <w:sz w:val="24"/>
          <w:szCs w:val="24"/>
          <w:lang w:val="en-US" w:eastAsia="it-IT"/>
        </w:rPr>
        <w:t xml:space="preserve"> the two techniques. </w:t>
      </w:r>
      <w:r w:rsidR="00F427B3" w:rsidRPr="00A01B2C">
        <w:rPr>
          <w:rFonts w:ascii="Book Antiqua" w:eastAsia="Times New Roman" w:hAnsi="Book Antiqua" w:cs="Tahoma"/>
          <w:sz w:val="24"/>
          <w:szCs w:val="24"/>
          <w:lang w:val="en-US" w:eastAsia="it-IT"/>
        </w:rPr>
        <w:t>The</w:t>
      </w:r>
      <w:r w:rsidR="00773537" w:rsidRPr="00A01B2C">
        <w:rPr>
          <w:rFonts w:ascii="Book Antiqua" w:eastAsia="Times New Roman" w:hAnsi="Book Antiqua" w:cs="Tahoma"/>
          <w:sz w:val="24"/>
          <w:szCs w:val="24"/>
          <w:lang w:val="en-US" w:eastAsia="it-IT"/>
        </w:rPr>
        <w:t xml:space="preserve"> study</w:t>
      </w:r>
      <w:r w:rsidR="00C429D5" w:rsidRPr="00A01B2C">
        <w:rPr>
          <w:rFonts w:ascii="Book Antiqua" w:eastAsia="Times New Roman" w:hAnsi="Book Antiqua" w:cs="Tahoma"/>
          <w:sz w:val="24"/>
          <w:szCs w:val="24"/>
          <w:lang w:val="en-US" w:eastAsia="it-IT"/>
        </w:rPr>
        <w:t xml:space="preserve"> did not aim</w:t>
      </w:r>
      <w:r w:rsidR="00773537" w:rsidRPr="00A01B2C">
        <w:rPr>
          <w:rFonts w:ascii="Book Antiqua" w:eastAsia="Times New Roman" w:hAnsi="Book Antiqua" w:cs="Tahoma"/>
          <w:sz w:val="24"/>
          <w:szCs w:val="24"/>
          <w:lang w:val="en-US" w:eastAsia="it-IT"/>
        </w:rPr>
        <w:t xml:space="preserve"> to assess the correlation between manometric feature</w:t>
      </w:r>
      <w:r w:rsidR="00F65BD3" w:rsidRPr="00A01B2C">
        <w:rPr>
          <w:rFonts w:ascii="Book Antiqua" w:eastAsia="Times New Roman" w:hAnsi="Book Antiqua" w:cs="Tahoma"/>
          <w:sz w:val="24"/>
          <w:szCs w:val="24"/>
          <w:lang w:val="en-US" w:eastAsia="it-IT"/>
        </w:rPr>
        <w:t>s and extra</w:t>
      </w:r>
      <w:r w:rsidR="00C429D5" w:rsidRPr="00A01B2C">
        <w:rPr>
          <w:rFonts w:ascii="Book Antiqua" w:eastAsia="Times New Roman" w:hAnsi="Book Antiqua" w:cs="Tahoma"/>
          <w:sz w:val="24"/>
          <w:szCs w:val="24"/>
          <w:lang w:val="en-US" w:eastAsia="it-IT"/>
        </w:rPr>
        <w:t>-</w:t>
      </w:r>
      <w:r w:rsidR="00F65BD3" w:rsidRPr="00A01B2C">
        <w:rPr>
          <w:rFonts w:ascii="Book Antiqua" w:eastAsia="Times New Roman" w:hAnsi="Book Antiqua" w:cs="Tahoma"/>
          <w:sz w:val="24"/>
          <w:szCs w:val="24"/>
          <w:lang w:val="en-US" w:eastAsia="it-IT"/>
        </w:rPr>
        <w:t>esophageal syndromes.</w:t>
      </w:r>
    </w:p>
    <w:p w:rsidR="002B22F5" w:rsidRPr="00A01B2C" w:rsidRDefault="00F74633" w:rsidP="006D687B">
      <w:pPr>
        <w:autoSpaceDE w:val="0"/>
        <w:autoSpaceDN w:val="0"/>
        <w:adjustRightInd w:val="0"/>
        <w:snapToGrid w:val="0"/>
        <w:spacing w:after="0" w:line="360" w:lineRule="auto"/>
        <w:ind w:firstLineChars="100" w:firstLine="240"/>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 xml:space="preserve">The parameters that differed significantly </w:t>
      </w:r>
      <w:r w:rsidR="00C429D5" w:rsidRPr="00A01B2C">
        <w:rPr>
          <w:rFonts w:ascii="Book Antiqua" w:eastAsia="Times New Roman" w:hAnsi="Book Antiqua" w:cs="Tahoma"/>
          <w:sz w:val="24"/>
          <w:szCs w:val="24"/>
          <w:lang w:val="en-US" w:eastAsia="it-IT"/>
        </w:rPr>
        <w:t xml:space="preserve">in </w:t>
      </w:r>
      <w:r w:rsidR="00962F4B" w:rsidRPr="00A01B2C">
        <w:rPr>
          <w:rFonts w:ascii="Book Antiqua" w:eastAsia="Times New Roman" w:hAnsi="Book Antiqua" w:cs="Tahoma"/>
          <w:sz w:val="24"/>
          <w:szCs w:val="24"/>
          <w:lang w:val="en-US" w:eastAsia="it-IT"/>
        </w:rPr>
        <w:t xml:space="preserve">the two groups </w:t>
      </w:r>
      <w:r w:rsidR="0021644F" w:rsidRPr="00A01B2C">
        <w:rPr>
          <w:rFonts w:ascii="Book Antiqua" w:eastAsia="Times New Roman" w:hAnsi="Book Antiqua" w:cs="Tahoma"/>
          <w:sz w:val="24"/>
          <w:szCs w:val="24"/>
          <w:lang w:val="en-US" w:eastAsia="it-IT"/>
        </w:rPr>
        <w:t>were the median</w:t>
      </w:r>
      <w:r w:rsidRPr="00A01B2C">
        <w:rPr>
          <w:rFonts w:ascii="Book Antiqua" w:eastAsia="Times New Roman" w:hAnsi="Book Antiqua" w:cs="Tahoma"/>
          <w:sz w:val="24"/>
          <w:szCs w:val="24"/>
          <w:lang w:val="en-US" w:eastAsia="it-IT"/>
        </w:rPr>
        <w:t xml:space="preserve"> UES resting pressure,</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the </w:t>
      </w:r>
      <w:r w:rsidR="0021644F" w:rsidRPr="00A01B2C">
        <w:rPr>
          <w:rFonts w:ascii="Book Antiqua" w:eastAsia="Times New Roman" w:hAnsi="Book Antiqua" w:cs="Tahoma"/>
          <w:sz w:val="24"/>
          <w:szCs w:val="24"/>
          <w:lang w:val="en-US" w:eastAsia="it-IT"/>
        </w:rPr>
        <w:t xml:space="preserve">median </w:t>
      </w:r>
      <w:r w:rsidRPr="00A01B2C">
        <w:rPr>
          <w:rFonts w:ascii="Book Antiqua" w:eastAsia="Times New Roman" w:hAnsi="Book Antiqua" w:cs="Tahoma"/>
          <w:sz w:val="24"/>
          <w:szCs w:val="24"/>
          <w:lang w:val="en-US" w:eastAsia="it-IT"/>
        </w:rPr>
        <w:t xml:space="preserve">PCI and the number of contractions with small or large breaks. </w:t>
      </w:r>
      <w:r w:rsidR="00C429D5" w:rsidRPr="00A01B2C">
        <w:rPr>
          <w:rFonts w:ascii="Book Antiqua" w:eastAsia="Times New Roman" w:hAnsi="Book Antiqua" w:cs="Tahoma"/>
          <w:sz w:val="24"/>
          <w:szCs w:val="24"/>
          <w:lang w:val="en-US" w:eastAsia="it-IT"/>
        </w:rPr>
        <w:t xml:space="preserve">All </w:t>
      </w:r>
      <w:r w:rsidRPr="00A01B2C">
        <w:rPr>
          <w:rFonts w:ascii="Book Antiqua" w:eastAsia="Times New Roman" w:hAnsi="Book Antiqua" w:cs="Tahoma"/>
          <w:sz w:val="24"/>
          <w:szCs w:val="24"/>
          <w:lang w:val="en-US" w:eastAsia="it-IT"/>
        </w:rPr>
        <w:t>these parameters are hard to assess with</w:t>
      </w:r>
      <w:r w:rsidR="00F71AF6" w:rsidRPr="00A01B2C">
        <w:rPr>
          <w:rFonts w:ascii="Book Antiqua" w:eastAsia="Times New Roman" w:hAnsi="Book Antiqua" w:cs="Tahoma"/>
          <w:sz w:val="24"/>
          <w:szCs w:val="24"/>
          <w:lang w:val="en-US" w:eastAsia="it-IT"/>
        </w:rPr>
        <w:t xml:space="preserve"> </w:t>
      </w:r>
      <w:r w:rsidR="006D687B" w:rsidRPr="00A01B2C">
        <w:rPr>
          <w:rFonts w:ascii="Book Antiqua" w:eastAsia="Times New Roman" w:hAnsi="Book Antiqua" w:cs="Tahoma"/>
          <w:sz w:val="24"/>
          <w:szCs w:val="24"/>
          <w:lang w:val="en-US" w:eastAsia="it-IT"/>
        </w:rPr>
        <w:t>conventional manometry</w:t>
      </w:r>
      <w:r w:rsidR="00FE0DE2" w:rsidRPr="00A01B2C">
        <w:rPr>
          <w:rFonts w:ascii="Book Antiqua" w:eastAsia="Times New Roman" w:hAnsi="Book Antiqua" w:cs="Tahoma"/>
          <w:sz w:val="24"/>
          <w:szCs w:val="24"/>
          <w:vertAlign w:val="superscript"/>
          <w:lang w:val="en-US" w:eastAsia="it-IT"/>
        </w:rPr>
        <w:t>[</w:t>
      </w:r>
      <w:r w:rsidR="00BD3C62" w:rsidRPr="00A01B2C">
        <w:rPr>
          <w:rFonts w:ascii="Book Antiqua" w:eastAsia="Times New Roman" w:hAnsi="Book Antiqua" w:cs="Tahoma"/>
          <w:sz w:val="24"/>
          <w:szCs w:val="24"/>
          <w:vertAlign w:val="superscript"/>
          <w:lang w:val="en-US" w:eastAsia="it-IT"/>
        </w:rPr>
        <w:t>12,33</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w:t>
      </w:r>
      <w:r w:rsidR="00FE4B6C"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The </w:t>
      </w:r>
      <w:r w:rsidR="0021644F" w:rsidRPr="00A01B2C">
        <w:rPr>
          <w:rFonts w:ascii="Book Antiqua" w:eastAsia="Times New Roman" w:hAnsi="Book Antiqua" w:cs="Tahoma"/>
          <w:sz w:val="24"/>
          <w:szCs w:val="24"/>
          <w:lang w:val="en-US" w:eastAsia="it-IT"/>
        </w:rPr>
        <w:t xml:space="preserve">median </w:t>
      </w:r>
      <w:r w:rsidRPr="00A01B2C">
        <w:rPr>
          <w:rFonts w:ascii="Book Antiqua" w:eastAsia="Times New Roman" w:hAnsi="Book Antiqua" w:cs="Tahoma"/>
          <w:sz w:val="24"/>
          <w:szCs w:val="24"/>
          <w:lang w:val="en-US" w:eastAsia="it-IT"/>
        </w:rPr>
        <w:t xml:space="preserve">UES resting pressure was significantly lower in patients with pathological OP </w:t>
      </w:r>
      <w:r w:rsidR="001D3897" w:rsidRPr="00A01B2C">
        <w:rPr>
          <w:rFonts w:ascii="Book Antiqua" w:eastAsia="Times New Roman" w:hAnsi="Book Antiqua" w:cs="Tahoma"/>
          <w:sz w:val="24"/>
          <w:szCs w:val="24"/>
          <w:lang w:val="en-US" w:eastAsia="it-IT"/>
        </w:rPr>
        <w:t>acid exposure</w:t>
      </w:r>
      <w:r w:rsidRPr="00A01B2C">
        <w:rPr>
          <w:rFonts w:ascii="Book Antiqua" w:eastAsia="Times New Roman" w:hAnsi="Book Antiqua" w:cs="Tahoma"/>
          <w:sz w:val="24"/>
          <w:szCs w:val="24"/>
          <w:lang w:val="en-US" w:eastAsia="it-IT"/>
        </w:rPr>
        <w:t xml:space="preserve">. UES incompetence is </w:t>
      </w:r>
      <w:r w:rsidR="00F51DDE" w:rsidRPr="00A01B2C">
        <w:rPr>
          <w:rFonts w:ascii="Book Antiqua" w:eastAsia="Times New Roman" w:hAnsi="Book Antiqua" w:cs="Tahoma"/>
          <w:sz w:val="24"/>
          <w:szCs w:val="24"/>
          <w:lang w:val="en-US" w:eastAsia="it-IT"/>
        </w:rPr>
        <w:t xml:space="preserve">necessary for </w:t>
      </w:r>
      <w:r w:rsidR="006D687B" w:rsidRPr="00A01B2C">
        <w:rPr>
          <w:rFonts w:ascii="Book Antiqua" w:eastAsia="Times New Roman" w:hAnsi="Book Antiqua" w:cs="Tahoma"/>
          <w:sz w:val="24"/>
          <w:szCs w:val="24"/>
          <w:lang w:val="en-US" w:eastAsia="it-IT"/>
        </w:rPr>
        <w:t>LPR</w:t>
      </w:r>
      <w:r w:rsidR="00FE0DE2" w:rsidRPr="00A01B2C">
        <w:rPr>
          <w:rFonts w:ascii="Book Antiqua" w:eastAsia="Times New Roman" w:hAnsi="Book Antiqua" w:cs="Tahoma"/>
          <w:sz w:val="24"/>
          <w:szCs w:val="24"/>
          <w:vertAlign w:val="superscript"/>
          <w:lang w:val="en-US" w:eastAsia="it-IT"/>
        </w:rPr>
        <w:t>[</w:t>
      </w:r>
      <w:r w:rsidR="00BD3C62" w:rsidRPr="00A01B2C">
        <w:rPr>
          <w:rFonts w:ascii="Book Antiqua" w:eastAsia="Times New Roman" w:hAnsi="Book Antiqua" w:cs="Tahoma"/>
          <w:sz w:val="24"/>
          <w:szCs w:val="24"/>
          <w:vertAlign w:val="superscript"/>
          <w:lang w:val="en-US" w:eastAsia="it-IT"/>
        </w:rPr>
        <w:t>36,37</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A recent study showed that LPR </w:t>
      </w:r>
      <w:r w:rsidR="00EC73DA" w:rsidRPr="00A01B2C">
        <w:rPr>
          <w:rFonts w:ascii="Book Antiqua" w:eastAsia="Times New Roman" w:hAnsi="Book Antiqua" w:cs="Tahoma"/>
          <w:sz w:val="24"/>
          <w:szCs w:val="24"/>
          <w:lang w:val="en-US" w:eastAsia="it-IT"/>
        </w:rPr>
        <w:t>(video</w:t>
      </w:r>
      <w:r w:rsidR="00F51DDE" w:rsidRPr="00A01B2C">
        <w:rPr>
          <w:rFonts w:ascii="Book Antiqua" w:eastAsia="Times New Roman" w:hAnsi="Book Antiqua" w:cs="Tahoma"/>
          <w:sz w:val="24"/>
          <w:szCs w:val="24"/>
          <w:lang w:val="en-US" w:eastAsia="it-IT"/>
        </w:rPr>
        <w:t>-</w:t>
      </w:r>
      <w:r w:rsidR="00EC73DA" w:rsidRPr="00A01B2C">
        <w:rPr>
          <w:rFonts w:ascii="Book Antiqua" w:eastAsia="Times New Roman" w:hAnsi="Book Antiqua" w:cs="Tahoma"/>
          <w:sz w:val="24"/>
          <w:szCs w:val="24"/>
          <w:lang w:val="en-US" w:eastAsia="it-IT"/>
        </w:rPr>
        <w:t>endoscopic</w:t>
      </w:r>
      <w:r w:rsidR="00F51DDE" w:rsidRPr="00A01B2C">
        <w:rPr>
          <w:rFonts w:ascii="Book Antiqua" w:eastAsia="Times New Roman" w:hAnsi="Book Antiqua" w:cs="Tahoma"/>
          <w:sz w:val="24"/>
          <w:szCs w:val="24"/>
          <w:lang w:val="en-US" w:eastAsia="it-IT"/>
        </w:rPr>
        <w:t>ally</w:t>
      </w:r>
      <w:r w:rsidR="00EC73DA" w:rsidRPr="00A01B2C">
        <w:rPr>
          <w:rFonts w:ascii="Book Antiqua" w:eastAsia="Times New Roman" w:hAnsi="Book Antiqua" w:cs="Tahoma"/>
          <w:sz w:val="24"/>
          <w:szCs w:val="24"/>
          <w:lang w:val="en-US" w:eastAsia="it-IT"/>
        </w:rPr>
        <w:t xml:space="preserve"> documented) </w:t>
      </w:r>
      <w:r w:rsidRPr="00A01B2C">
        <w:rPr>
          <w:rFonts w:ascii="Book Antiqua" w:eastAsia="Times New Roman" w:hAnsi="Book Antiqua" w:cs="Tahoma"/>
          <w:sz w:val="24"/>
          <w:szCs w:val="24"/>
          <w:lang w:val="en-US" w:eastAsia="it-IT"/>
        </w:rPr>
        <w:t xml:space="preserve">could be induced by </w:t>
      </w:r>
      <w:r w:rsidR="00F51DDE" w:rsidRPr="00A01B2C">
        <w:rPr>
          <w:rFonts w:ascii="Book Antiqua" w:eastAsia="Times New Roman" w:hAnsi="Book Antiqua" w:cs="Tahoma"/>
          <w:sz w:val="24"/>
          <w:szCs w:val="24"/>
          <w:lang w:val="en-US" w:eastAsia="it-IT"/>
        </w:rPr>
        <w:t xml:space="preserve">slow </w:t>
      </w:r>
      <w:r w:rsidRPr="00A01B2C">
        <w:rPr>
          <w:rFonts w:ascii="Book Antiqua" w:eastAsia="Times New Roman" w:hAnsi="Book Antiqua" w:cs="Tahoma"/>
          <w:sz w:val="24"/>
          <w:szCs w:val="24"/>
          <w:lang w:val="en-US" w:eastAsia="it-IT"/>
        </w:rPr>
        <w:t xml:space="preserve">esophageal </w:t>
      </w:r>
      <w:r w:rsidR="003D3777" w:rsidRPr="00A01B2C">
        <w:rPr>
          <w:rFonts w:ascii="Book Antiqua" w:eastAsia="Times New Roman" w:hAnsi="Book Antiqua" w:cs="Tahoma"/>
          <w:sz w:val="24"/>
          <w:szCs w:val="24"/>
          <w:lang w:val="en-US" w:eastAsia="it-IT"/>
        </w:rPr>
        <w:t xml:space="preserve">liquid </w:t>
      </w:r>
      <w:r w:rsidRPr="00A01B2C">
        <w:rPr>
          <w:rFonts w:ascii="Book Antiqua" w:eastAsia="Times New Roman" w:hAnsi="Book Antiqua" w:cs="Tahoma"/>
          <w:sz w:val="24"/>
          <w:szCs w:val="24"/>
          <w:lang w:val="en-US" w:eastAsia="it-IT"/>
        </w:rPr>
        <w:t>infusion in patients with a clinical diagnosis of GERD-related extra-esophageal</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syndromes but not in healthy controls, and that the application of 20-30 mmHg</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cricoid pressure significantly raised UES intraluminal pressure and prevented</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the LPR</w:t>
      </w:r>
      <w:r w:rsidR="00FE0DE2" w:rsidRPr="00A01B2C">
        <w:rPr>
          <w:rFonts w:ascii="Book Antiqua" w:eastAsia="Times New Roman" w:hAnsi="Book Antiqua" w:cs="Tahoma"/>
          <w:sz w:val="24"/>
          <w:szCs w:val="24"/>
          <w:vertAlign w:val="superscript"/>
          <w:lang w:val="en-US" w:eastAsia="it-IT"/>
        </w:rPr>
        <w:t>[</w:t>
      </w:r>
      <w:r w:rsidR="00BD3C62" w:rsidRPr="00A01B2C">
        <w:rPr>
          <w:rFonts w:ascii="Book Antiqua" w:eastAsia="Times New Roman" w:hAnsi="Book Antiqua" w:cs="Tahoma"/>
          <w:sz w:val="24"/>
          <w:szCs w:val="24"/>
          <w:vertAlign w:val="superscript"/>
          <w:lang w:val="en-US" w:eastAsia="it-IT"/>
        </w:rPr>
        <w:t>38</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xml:space="preserve">. </w:t>
      </w:r>
      <w:r w:rsidR="007673E6" w:rsidRPr="00A01B2C">
        <w:rPr>
          <w:rFonts w:ascii="Book Antiqua" w:eastAsia="Times New Roman" w:hAnsi="Book Antiqua" w:cs="Tahoma"/>
          <w:sz w:val="24"/>
          <w:szCs w:val="24"/>
          <w:lang w:val="en-US" w:eastAsia="it-IT"/>
        </w:rPr>
        <w:t xml:space="preserve">A </w:t>
      </w:r>
      <w:r w:rsidRPr="00A01B2C">
        <w:rPr>
          <w:rFonts w:ascii="Book Antiqua" w:eastAsia="Times New Roman" w:hAnsi="Book Antiqua" w:cs="Tahoma"/>
          <w:sz w:val="24"/>
          <w:szCs w:val="24"/>
          <w:lang w:val="en-US" w:eastAsia="it-IT"/>
        </w:rPr>
        <w:t>new,</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individually fitted UES assist device (Reza-Band</w:t>
      </w:r>
      <w:r w:rsidR="008719D8"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to be worn at night</w:t>
      </w:r>
      <w:r w:rsidR="007673E6" w:rsidRPr="00A01B2C">
        <w:rPr>
          <w:rFonts w:ascii="Book Antiqua" w:eastAsia="Times New Roman" w:hAnsi="Book Antiqua" w:cs="Tahoma"/>
          <w:sz w:val="24"/>
          <w:szCs w:val="24"/>
          <w:lang w:val="en-US" w:eastAsia="it-IT"/>
        </w:rPr>
        <w:t xml:space="preserve"> has been recently marketed and </w:t>
      </w:r>
      <w:r w:rsidRPr="00A01B2C">
        <w:rPr>
          <w:rFonts w:ascii="Book Antiqua" w:eastAsia="Times New Roman" w:hAnsi="Book Antiqua" w:cs="Tahoma"/>
          <w:sz w:val="24"/>
          <w:szCs w:val="24"/>
          <w:lang w:val="en-US" w:eastAsia="it-IT"/>
        </w:rPr>
        <w:t>seems to prevent LPR.</w:t>
      </w:r>
    </w:p>
    <w:p w:rsidR="00FF6064" w:rsidRPr="00A01B2C" w:rsidRDefault="00F74633" w:rsidP="006D687B">
      <w:pPr>
        <w:autoSpaceDE w:val="0"/>
        <w:autoSpaceDN w:val="0"/>
        <w:adjustRightInd w:val="0"/>
        <w:snapToGrid w:val="0"/>
        <w:spacing w:after="0" w:line="360" w:lineRule="auto"/>
        <w:ind w:firstLineChars="100" w:firstLine="240"/>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Even though the PCI metric is not included in the Chicago Classification, it has</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been evaluated in </w:t>
      </w:r>
      <w:r w:rsidR="002C585D" w:rsidRPr="00A01B2C">
        <w:rPr>
          <w:rFonts w:ascii="Book Antiqua" w:eastAsia="Times New Roman" w:hAnsi="Book Antiqua" w:cs="Tahoma"/>
          <w:sz w:val="24"/>
          <w:szCs w:val="24"/>
          <w:lang w:val="en-US" w:eastAsia="it-IT"/>
        </w:rPr>
        <w:t xml:space="preserve">a </w:t>
      </w:r>
      <w:r w:rsidRPr="00A01B2C">
        <w:rPr>
          <w:rFonts w:ascii="Book Antiqua" w:eastAsia="Times New Roman" w:hAnsi="Book Antiqua" w:cs="Tahoma"/>
          <w:sz w:val="24"/>
          <w:szCs w:val="24"/>
          <w:lang w:val="en-US" w:eastAsia="it-IT"/>
        </w:rPr>
        <w:t>few published studies, including patients with extra</w:t>
      </w:r>
      <w:r w:rsidR="002C585D"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esophageal</w:t>
      </w:r>
      <w:r w:rsidR="00F71AF6" w:rsidRPr="00A01B2C">
        <w:rPr>
          <w:rFonts w:ascii="Book Antiqua" w:eastAsia="Times New Roman" w:hAnsi="Book Antiqua" w:cs="Tahoma"/>
          <w:sz w:val="24"/>
          <w:szCs w:val="24"/>
          <w:lang w:val="en-US" w:eastAsia="it-IT"/>
        </w:rPr>
        <w:t xml:space="preserve"> </w:t>
      </w:r>
      <w:r w:rsidR="006D687B" w:rsidRPr="00A01B2C">
        <w:rPr>
          <w:rFonts w:ascii="Book Antiqua" w:eastAsia="Times New Roman" w:hAnsi="Book Antiqua" w:cs="Tahoma"/>
          <w:sz w:val="24"/>
          <w:szCs w:val="24"/>
          <w:lang w:val="en-US" w:eastAsia="it-IT"/>
        </w:rPr>
        <w:t>symptoms</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vertAlign w:val="superscript"/>
          <w:lang w:val="en-US" w:eastAsia="it-IT"/>
        </w:rPr>
        <w:t>18</w:t>
      </w:r>
      <w:r w:rsidR="006D687B" w:rsidRPr="00A01B2C">
        <w:rPr>
          <w:rFonts w:ascii="Book Antiqua" w:hAnsi="Book Antiqua" w:cs="Tahoma" w:hint="eastAsia"/>
          <w:sz w:val="24"/>
          <w:szCs w:val="24"/>
          <w:vertAlign w:val="superscript"/>
          <w:lang w:val="en-US" w:eastAsia="zh-CN"/>
        </w:rPr>
        <w:t>-</w:t>
      </w:r>
      <w:r w:rsidR="00BD3C62" w:rsidRPr="00A01B2C">
        <w:rPr>
          <w:rFonts w:ascii="Book Antiqua" w:eastAsia="Times New Roman" w:hAnsi="Book Antiqua" w:cs="Tahoma"/>
          <w:sz w:val="24"/>
          <w:szCs w:val="24"/>
          <w:vertAlign w:val="superscript"/>
          <w:lang w:val="en-US" w:eastAsia="it-IT"/>
        </w:rPr>
        <w:t>20</w:t>
      </w:r>
      <w:r w:rsidR="00FE0DE2" w:rsidRPr="00A01B2C">
        <w:rPr>
          <w:rFonts w:ascii="Book Antiqua" w:eastAsia="Times New Roman" w:hAnsi="Book Antiqua" w:cs="Tahoma"/>
          <w:sz w:val="24"/>
          <w:szCs w:val="24"/>
          <w:vertAlign w:val="superscript"/>
          <w:lang w:val="en-US" w:eastAsia="it-IT"/>
        </w:rPr>
        <w:t>]</w:t>
      </w:r>
      <w:r w:rsidR="002C585D"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We found it was significantly lower in the group</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with pathological OP </w:t>
      </w:r>
      <w:r w:rsidR="001D3897" w:rsidRPr="00A01B2C">
        <w:rPr>
          <w:rFonts w:ascii="Book Antiqua" w:eastAsia="Times New Roman" w:hAnsi="Book Antiqua" w:cs="Tahoma"/>
          <w:sz w:val="24"/>
          <w:szCs w:val="24"/>
          <w:lang w:val="en-US" w:eastAsia="it-IT"/>
        </w:rPr>
        <w:t>acid exposure</w:t>
      </w:r>
      <w:r w:rsidRPr="00A01B2C">
        <w:rPr>
          <w:rFonts w:ascii="Book Antiqua" w:eastAsia="Times New Roman" w:hAnsi="Book Antiqua" w:cs="Tahoma"/>
          <w:sz w:val="24"/>
          <w:szCs w:val="24"/>
          <w:lang w:val="en-US" w:eastAsia="it-IT"/>
        </w:rPr>
        <w:t xml:space="preserve">. </w:t>
      </w:r>
      <w:r w:rsidR="002C585D" w:rsidRPr="00A01B2C">
        <w:rPr>
          <w:rFonts w:ascii="Book Antiqua" w:eastAsia="Times New Roman" w:hAnsi="Book Antiqua" w:cs="Tahoma"/>
          <w:sz w:val="24"/>
          <w:szCs w:val="24"/>
          <w:lang w:val="en-US" w:eastAsia="it-IT"/>
        </w:rPr>
        <w:t>P</w:t>
      </w:r>
      <w:r w:rsidRPr="00A01B2C">
        <w:rPr>
          <w:rFonts w:ascii="Book Antiqua" w:eastAsia="Times New Roman" w:hAnsi="Book Antiqua" w:cs="Tahoma"/>
          <w:sz w:val="24"/>
          <w:szCs w:val="24"/>
          <w:lang w:val="en-US" w:eastAsia="it-IT"/>
        </w:rPr>
        <w:t>ossibl</w:t>
      </w:r>
      <w:r w:rsidR="002C585D" w:rsidRPr="00A01B2C">
        <w:rPr>
          <w:rFonts w:ascii="Book Antiqua" w:eastAsia="Times New Roman" w:hAnsi="Book Antiqua" w:cs="Tahoma"/>
          <w:sz w:val="24"/>
          <w:szCs w:val="24"/>
          <w:lang w:val="en-US" w:eastAsia="it-IT"/>
        </w:rPr>
        <w:t>y</w:t>
      </w:r>
      <w:r w:rsidRPr="00A01B2C">
        <w:rPr>
          <w:rFonts w:ascii="Book Antiqua" w:eastAsia="Times New Roman" w:hAnsi="Book Antiqua" w:cs="Tahoma"/>
          <w:sz w:val="24"/>
          <w:szCs w:val="24"/>
          <w:lang w:val="en-US" w:eastAsia="it-IT"/>
        </w:rPr>
        <w:t>, therefore, lower proximal</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esophageal contractile function may lead to</w:t>
      </w:r>
      <w:r w:rsidR="00FF6064"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less reflux clearance, which would</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allow the</w:t>
      </w:r>
      <w:r w:rsidR="002C585D" w:rsidRPr="00A01B2C">
        <w:rPr>
          <w:rFonts w:ascii="Book Antiqua" w:eastAsia="Times New Roman" w:hAnsi="Book Antiqua" w:cs="Tahoma"/>
          <w:sz w:val="24"/>
          <w:szCs w:val="24"/>
          <w:lang w:val="en-US" w:eastAsia="it-IT"/>
        </w:rPr>
        <w:t xml:space="preserve"> reflux to extend</w:t>
      </w:r>
      <w:r w:rsidRPr="00A01B2C">
        <w:rPr>
          <w:rFonts w:ascii="Book Antiqua" w:eastAsia="Times New Roman" w:hAnsi="Book Antiqua" w:cs="Tahoma"/>
          <w:sz w:val="24"/>
          <w:szCs w:val="24"/>
          <w:lang w:val="en-US" w:eastAsia="it-IT"/>
        </w:rPr>
        <w:t xml:space="preserve"> proximal</w:t>
      </w:r>
      <w:r w:rsidR="002C585D" w:rsidRPr="00A01B2C">
        <w:rPr>
          <w:rFonts w:ascii="Book Antiqua" w:eastAsia="Times New Roman" w:hAnsi="Book Antiqua" w:cs="Tahoma"/>
          <w:sz w:val="24"/>
          <w:szCs w:val="24"/>
          <w:lang w:val="en-US" w:eastAsia="it-IT"/>
        </w:rPr>
        <w:t xml:space="preserve">ly. Clearly, however, </w:t>
      </w:r>
      <w:r w:rsidR="002A459B" w:rsidRPr="00A01B2C">
        <w:rPr>
          <w:rFonts w:ascii="Book Antiqua" w:eastAsia="Times New Roman" w:hAnsi="Book Antiqua" w:cs="Tahoma"/>
          <w:sz w:val="24"/>
          <w:szCs w:val="24"/>
          <w:lang w:val="en-US" w:eastAsia="it-IT"/>
        </w:rPr>
        <w:t xml:space="preserve">it is also possible </w:t>
      </w:r>
      <w:r w:rsidR="00FF6064" w:rsidRPr="00A01B2C">
        <w:rPr>
          <w:rFonts w:ascii="Book Antiqua" w:eastAsia="Times New Roman" w:hAnsi="Book Antiqua" w:cs="Tahoma"/>
          <w:sz w:val="24"/>
          <w:szCs w:val="24"/>
          <w:lang w:val="en-US" w:eastAsia="it-IT"/>
        </w:rPr>
        <w:t xml:space="preserve">that </w:t>
      </w:r>
      <w:r w:rsidR="00FC20E6" w:rsidRPr="00A01B2C">
        <w:rPr>
          <w:rFonts w:ascii="Book Antiqua" w:eastAsia="Times New Roman" w:hAnsi="Book Antiqua" w:cs="Tahoma"/>
          <w:sz w:val="24"/>
          <w:szCs w:val="24"/>
          <w:lang w:val="en-US" w:eastAsia="it-IT"/>
        </w:rPr>
        <w:t>a reflux with</w:t>
      </w:r>
      <w:r w:rsidR="002A459B" w:rsidRPr="00A01B2C">
        <w:rPr>
          <w:rFonts w:ascii="Book Antiqua" w:eastAsia="Times New Roman" w:hAnsi="Book Antiqua" w:cs="Tahoma"/>
          <w:sz w:val="24"/>
          <w:szCs w:val="24"/>
          <w:lang w:val="en-US" w:eastAsia="it-IT"/>
        </w:rPr>
        <w:t xml:space="preserve"> proximal extension may lead to</w:t>
      </w:r>
      <w:r w:rsidR="00FF6064" w:rsidRPr="00A01B2C">
        <w:rPr>
          <w:rFonts w:ascii="Book Antiqua" w:eastAsia="Times New Roman" w:hAnsi="Book Antiqua" w:cs="Tahoma"/>
          <w:sz w:val="24"/>
          <w:szCs w:val="24"/>
          <w:lang w:val="en-US" w:eastAsia="it-IT"/>
        </w:rPr>
        <w:t xml:space="preserve"> </w:t>
      </w:r>
      <w:r w:rsidR="00FC20E6" w:rsidRPr="00A01B2C">
        <w:rPr>
          <w:rFonts w:ascii="Book Antiqua" w:eastAsia="Times New Roman" w:hAnsi="Book Antiqua" w:cs="Tahoma"/>
          <w:sz w:val="24"/>
          <w:szCs w:val="24"/>
          <w:lang w:val="en-US" w:eastAsia="it-IT"/>
        </w:rPr>
        <w:t xml:space="preserve">impairment </w:t>
      </w:r>
      <w:r w:rsidR="00FF6064" w:rsidRPr="00A01B2C">
        <w:rPr>
          <w:rFonts w:ascii="Book Antiqua" w:eastAsia="Times New Roman" w:hAnsi="Book Antiqua" w:cs="Tahoma"/>
          <w:sz w:val="24"/>
          <w:szCs w:val="24"/>
          <w:lang w:val="en-US" w:eastAsia="it-IT"/>
        </w:rPr>
        <w:t xml:space="preserve">of </w:t>
      </w:r>
      <w:r w:rsidR="00FC20E6" w:rsidRPr="00A01B2C">
        <w:rPr>
          <w:rFonts w:ascii="Book Antiqua" w:eastAsia="Times New Roman" w:hAnsi="Book Antiqua" w:cs="Tahoma"/>
          <w:sz w:val="24"/>
          <w:szCs w:val="24"/>
          <w:lang w:val="en-US" w:eastAsia="it-IT"/>
        </w:rPr>
        <w:t>upper esophageal motility.</w:t>
      </w:r>
    </w:p>
    <w:p w:rsidR="00FD4A3C" w:rsidRPr="00A01B2C" w:rsidRDefault="00F74633" w:rsidP="006D687B">
      <w:pPr>
        <w:autoSpaceDE w:val="0"/>
        <w:autoSpaceDN w:val="0"/>
        <w:adjustRightInd w:val="0"/>
        <w:snapToGrid w:val="0"/>
        <w:spacing w:after="0" w:line="360" w:lineRule="auto"/>
        <w:ind w:firstLineChars="100" w:firstLine="240"/>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lastRenderedPageBreak/>
        <w:t xml:space="preserve">Finally, </w:t>
      </w:r>
      <w:r w:rsidR="00667864" w:rsidRPr="00A01B2C">
        <w:rPr>
          <w:rFonts w:ascii="Book Antiqua" w:eastAsia="Times New Roman" w:hAnsi="Book Antiqua" w:cs="Tahoma"/>
          <w:sz w:val="24"/>
          <w:szCs w:val="24"/>
          <w:lang w:val="en-US" w:eastAsia="it-IT"/>
        </w:rPr>
        <w:t xml:space="preserve">patients </w:t>
      </w:r>
      <w:r w:rsidRPr="00A01B2C">
        <w:rPr>
          <w:rFonts w:ascii="Book Antiqua" w:eastAsia="Times New Roman" w:hAnsi="Book Antiqua" w:cs="Tahoma"/>
          <w:sz w:val="24"/>
          <w:szCs w:val="24"/>
          <w:lang w:val="en-US" w:eastAsia="it-IT"/>
        </w:rPr>
        <w:t xml:space="preserve">with pathological OP </w:t>
      </w:r>
      <w:r w:rsidR="001D3897" w:rsidRPr="00A01B2C">
        <w:rPr>
          <w:rFonts w:ascii="Book Antiqua" w:eastAsia="Times New Roman" w:hAnsi="Book Antiqua" w:cs="Tahoma"/>
          <w:sz w:val="24"/>
          <w:szCs w:val="24"/>
          <w:lang w:val="en-US" w:eastAsia="it-IT"/>
        </w:rPr>
        <w:t xml:space="preserve">acid exposure </w:t>
      </w:r>
      <w:r w:rsidRPr="00A01B2C">
        <w:rPr>
          <w:rFonts w:ascii="Book Antiqua" w:eastAsia="Times New Roman" w:hAnsi="Book Antiqua" w:cs="Tahoma"/>
          <w:sz w:val="24"/>
          <w:szCs w:val="24"/>
          <w:lang w:val="en-US" w:eastAsia="it-IT"/>
        </w:rPr>
        <w:t xml:space="preserve">had significantly </w:t>
      </w:r>
      <w:r w:rsidR="009143DD" w:rsidRPr="00A01B2C">
        <w:rPr>
          <w:rFonts w:ascii="Book Antiqua" w:eastAsia="Times New Roman" w:hAnsi="Book Antiqua" w:cs="Tahoma"/>
          <w:sz w:val="24"/>
          <w:szCs w:val="24"/>
          <w:lang w:val="en-US" w:eastAsia="it-IT"/>
        </w:rPr>
        <w:t xml:space="preserve">more </w:t>
      </w:r>
      <w:r w:rsidRPr="00A01B2C">
        <w:rPr>
          <w:rFonts w:ascii="Book Antiqua" w:eastAsia="Times New Roman" w:hAnsi="Book Antiqua" w:cs="Tahoma"/>
          <w:sz w:val="24"/>
          <w:szCs w:val="24"/>
          <w:lang w:val="en-US" w:eastAsia="it-IT"/>
        </w:rPr>
        <w:t>contractions with small or large breaks in the 20 mmHg</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isobaric contour between UES and EGJ. The Chicago Classification 2012</w:t>
      </w:r>
      <w:r w:rsidR="00F71AF6" w:rsidRPr="00A01B2C">
        <w:rPr>
          <w:rFonts w:ascii="Book Antiqua" w:eastAsia="Times New Roman" w:hAnsi="Book Antiqua" w:cs="Tahoma"/>
          <w:sz w:val="24"/>
          <w:szCs w:val="24"/>
          <w:lang w:val="en-US" w:eastAsia="it-IT"/>
        </w:rPr>
        <w:t xml:space="preserve"> </w:t>
      </w:r>
      <w:r w:rsidR="00667864" w:rsidRPr="00A01B2C">
        <w:rPr>
          <w:rFonts w:ascii="Book Antiqua" w:eastAsia="Times New Roman" w:hAnsi="Book Antiqua" w:cs="Tahoma"/>
          <w:sz w:val="24"/>
          <w:szCs w:val="24"/>
          <w:lang w:val="en-US" w:eastAsia="it-IT"/>
        </w:rPr>
        <w:t>distinguishe</w:t>
      </w:r>
      <w:r w:rsidR="009143DD" w:rsidRPr="00A01B2C">
        <w:rPr>
          <w:rFonts w:ascii="Book Antiqua" w:eastAsia="Times New Roman" w:hAnsi="Book Antiqua" w:cs="Tahoma"/>
          <w:sz w:val="24"/>
          <w:szCs w:val="24"/>
          <w:lang w:val="en-US" w:eastAsia="it-IT"/>
        </w:rPr>
        <w:t>s</w:t>
      </w:r>
      <w:r w:rsidRPr="00A01B2C">
        <w:rPr>
          <w:rFonts w:ascii="Book Antiqua" w:eastAsia="Times New Roman" w:hAnsi="Book Antiqua" w:cs="Tahoma"/>
          <w:sz w:val="24"/>
          <w:szCs w:val="24"/>
          <w:lang w:val="en-US" w:eastAsia="it-IT"/>
        </w:rPr>
        <w:t xml:space="preserve"> small (2-5 cm long) and large (&gt;</w:t>
      </w:r>
      <w:r w:rsidR="006D687B"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5 cm) breaks as subtypes of</w:t>
      </w:r>
      <w:r w:rsidR="00F71AF6" w:rsidRPr="00A01B2C">
        <w:rPr>
          <w:rFonts w:ascii="Book Antiqua" w:eastAsia="Times New Roman" w:hAnsi="Book Antiqua" w:cs="Tahoma"/>
          <w:sz w:val="24"/>
          <w:szCs w:val="24"/>
          <w:lang w:val="en-US" w:eastAsia="it-IT"/>
        </w:rPr>
        <w:t xml:space="preserve"> </w:t>
      </w:r>
      <w:r w:rsidR="006D687B" w:rsidRPr="00A01B2C">
        <w:rPr>
          <w:rFonts w:ascii="Book Antiqua" w:eastAsia="Times New Roman" w:hAnsi="Book Antiqua" w:cs="Tahoma"/>
          <w:sz w:val="24"/>
          <w:szCs w:val="24"/>
          <w:lang w:val="en-US" w:eastAsia="it-IT"/>
        </w:rPr>
        <w:t>weak peristalsis</w:t>
      </w:r>
      <w:r w:rsidR="00FE0DE2" w:rsidRPr="00A01B2C">
        <w:rPr>
          <w:rFonts w:ascii="Book Antiqua" w:eastAsia="Times New Roman" w:hAnsi="Book Antiqua" w:cs="Tahoma"/>
          <w:sz w:val="24"/>
          <w:szCs w:val="24"/>
          <w:vertAlign w:val="superscript"/>
          <w:lang w:val="en-US" w:eastAsia="it-IT"/>
        </w:rPr>
        <w:t>[</w:t>
      </w:r>
      <w:r w:rsidR="002105E1" w:rsidRPr="00A01B2C">
        <w:rPr>
          <w:rFonts w:ascii="Book Antiqua" w:eastAsia="Times New Roman" w:hAnsi="Book Antiqua" w:cs="Tahoma"/>
          <w:sz w:val="24"/>
          <w:szCs w:val="24"/>
          <w:vertAlign w:val="superscript"/>
          <w:lang w:val="en-US" w:eastAsia="it-IT"/>
        </w:rPr>
        <w:t>15</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while the HRM Working Group for Chicago Classification</w:t>
      </w:r>
      <w:r w:rsidR="00F71AF6" w:rsidRPr="00A01B2C">
        <w:rPr>
          <w:rFonts w:ascii="Book Antiqua" w:eastAsia="Times New Roman" w:hAnsi="Book Antiqua" w:cs="Tahoma"/>
          <w:sz w:val="24"/>
          <w:szCs w:val="24"/>
          <w:lang w:val="en-US" w:eastAsia="it-IT"/>
        </w:rPr>
        <w:t xml:space="preserve"> </w:t>
      </w:r>
      <w:r w:rsidR="00667864" w:rsidRPr="00A01B2C">
        <w:rPr>
          <w:rFonts w:ascii="Book Antiqua" w:eastAsia="Times New Roman" w:hAnsi="Book Antiqua" w:cs="Tahoma"/>
          <w:sz w:val="24"/>
          <w:szCs w:val="24"/>
          <w:lang w:val="en-US" w:eastAsia="it-IT"/>
        </w:rPr>
        <w:t>v3.0 proposes</w:t>
      </w:r>
      <w:r w:rsidRPr="00A01B2C">
        <w:rPr>
          <w:rFonts w:ascii="Book Antiqua" w:eastAsia="Times New Roman" w:hAnsi="Book Antiqua" w:cs="Tahoma"/>
          <w:sz w:val="24"/>
          <w:szCs w:val="24"/>
          <w:lang w:val="en-US" w:eastAsia="it-IT"/>
        </w:rPr>
        <w:t xml:space="preserve"> considering small breaks as normal and </w:t>
      </w:r>
      <w:r w:rsidR="001C2C14" w:rsidRPr="00A01B2C">
        <w:rPr>
          <w:rFonts w:ascii="Book Antiqua" w:eastAsia="Times New Roman" w:hAnsi="Book Antiqua" w:cs="Tahoma"/>
          <w:sz w:val="24"/>
          <w:szCs w:val="24"/>
          <w:lang w:val="en-US" w:eastAsia="it-IT"/>
        </w:rPr>
        <w:t xml:space="preserve">only </w:t>
      </w:r>
      <w:r w:rsidRPr="00A01B2C">
        <w:rPr>
          <w:rFonts w:ascii="Book Antiqua" w:eastAsia="Times New Roman" w:hAnsi="Book Antiqua" w:cs="Tahoma"/>
          <w:sz w:val="24"/>
          <w:szCs w:val="24"/>
          <w:lang w:val="en-US" w:eastAsia="it-IT"/>
        </w:rPr>
        <w:t>large breaks as</w:t>
      </w:r>
      <w:r w:rsidR="00F71AF6" w:rsidRPr="00A01B2C">
        <w:rPr>
          <w:rFonts w:ascii="Book Antiqua" w:eastAsia="Times New Roman" w:hAnsi="Book Antiqua" w:cs="Tahoma"/>
          <w:sz w:val="24"/>
          <w:szCs w:val="24"/>
          <w:lang w:val="en-US" w:eastAsia="it-IT"/>
        </w:rPr>
        <w:t xml:space="preserve"> </w:t>
      </w:r>
      <w:r w:rsidR="006D687B" w:rsidRPr="00A01B2C">
        <w:rPr>
          <w:rFonts w:ascii="Book Antiqua" w:eastAsia="Times New Roman" w:hAnsi="Book Antiqua" w:cs="Tahoma"/>
          <w:sz w:val="24"/>
          <w:szCs w:val="24"/>
          <w:lang w:val="en-US" w:eastAsia="it-IT"/>
        </w:rPr>
        <w:t>fragmented contractions</w:t>
      </w:r>
      <w:r w:rsidR="00FE0DE2" w:rsidRPr="00A01B2C">
        <w:rPr>
          <w:rFonts w:ascii="Book Antiqua" w:eastAsia="Times New Roman" w:hAnsi="Book Antiqua" w:cs="Tahoma"/>
          <w:sz w:val="24"/>
          <w:szCs w:val="24"/>
          <w:vertAlign w:val="superscript"/>
          <w:lang w:val="en-US" w:eastAsia="it-IT"/>
        </w:rPr>
        <w:t>[</w:t>
      </w:r>
      <w:r w:rsidR="002105E1" w:rsidRPr="00A01B2C">
        <w:rPr>
          <w:rFonts w:ascii="Book Antiqua" w:eastAsia="Times New Roman" w:hAnsi="Book Antiqua" w:cs="Tahoma"/>
          <w:sz w:val="24"/>
          <w:szCs w:val="24"/>
          <w:vertAlign w:val="superscript"/>
          <w:lang w:val="en-US" w:eastAsia="it-IT"/>
        </w:rPr>
        <w:t>16</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However, in our series both types of break were</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significantly more frequent in the group with pathological OP </w:t>
      </w:r>
      <w:r w:rsidR="001D3897" w:rsidRPr="00A01B2C">
        <w:rPr>
          <w:rFonts w:ascii="Book Antiqua" w:eastAsia="Times New Roman" w:hAnsi="Book Antiqua" w:cs="Tahoma"/>
          <w:sz w:val="24"/>
          <w:szCs w:val="24"/>
          <w:lang w:val="en-US" w:eastAsia="it-IT"/>
        </w:rPr>
        <w:t>acid exposure</w:t>
      </w:r>
      <w:r w:rsidRPr="00A01B2C">
        <w:rPr>
          <w:rFonts w:ascii="Book Antiqua" w:eastAsia="Times New Roman" w:hAnsi="Book Antiqua" w:cs="Tahoma"/>
          <w:sz w:val="24"/>
          <w:szCs w:val="24"/>
          <w:lang w:val="en-US" w:eastAsia="it-IT"/>
        </w:rPr>
        <w:t>.</w:t>
      </w:r>
      <w:r w:rsidR="00F71AF6" w:rsidRPr="00A01B2C">
        <w:rPr>
          <w:rFonts w:ascii="Book Antiqua" w:eastAsia="Times New Roman" w:hAnsi="Book Antiqua" w:cs="Tahoma"/>
          <w:sz w:val="24"/>
          <w:szCs w:val="24"/>
          <w:lang w:val="en-US" w:eastAsia="it-IT"/>
        </w:rPr>
        <w:t xml:space="preserve"> </w:t>
      </w:r>
      <w:r w:rsidR="009143DD" w:rsidRPr="00A01B2C">
        <w:rPr>
          <w:rFonts w:ascii="Book Antiqua" w:eastAsia="Times New Roman" w:hAnsi="Book Antiqua" w:cs="Tahoma"/>
          <w:sz w:val="24"/>
          <w:szCs w:val="24"/>
          <w:lang w:val="en-US" w:eastAsia="it-IT"/>
        </w:rPr>
        <w:t>The</w:t>
      </w:r>
      <w:r w:rsidRPr="00A01B2C">
        <w:rPr>
          <w:rFonts w:ascii="Book Antiqua" w:eastAsia="Times New Roman" w:hAnsi="Book Antiqua" w:cs="Tahoma"/>
          <w:sz w:val="24"/>
          <w:szCs w:val="24"/>
          <w:lang w:val="en-US" w:eastAsia="it-IT"/>
        </w:rPr>
        <w:t xml:space="preserve"> significantly larger number of contractions with breaks in </w:t>
      </w:r>
      <w:r w:rsidR="009143DD" w:rsidRPr="00A01B2C">
        <w:rPr>
          <w:rFonts w:ascii="Book Antiqua" w:eastAsia="Times New Roman" w:hAnsi="Book Antiqua" w:cs="Tahoma"/>
          <w:sz w:val="24"/>
          <w:szCs w:val="24"/>
          <w:lang w:val="en-US" w:eastAsia="it-IT"/>
        </w:rPr>
        <w:t>these</w:t>
      </w:r>
      <w:r w:rsidR="007B4A76" w:rsidRPr="00A01B2C">
        <w:rPr>
          <w:rFonts w:ascii="Book Antiqua" w:eastAsia="Times New Roman" w:hAnsi="Book Antiqua" w:cs="Tahoma"/>
          <w:sz w:val="24"/>
          <w:szCs w:val="24"/>
          <w:lang w:val="en-US" w:eastAsia="it-IT"/>
        </w:rPr>
        <w:t xml:space="preserve"> patients</w:t>
      </w:r>
      <w:r w:rsidR="001C2C14" w:rsidRPr="00A01B2C">
        <w:rPr>
          <w:rFonts w:ascii="Book Antiqua" w:eastAsia="Times New Roman" w:hAnsi="Book Antiqua" w:cs="Tahoma"/>
          <w:sz w:val="24"/>
          <w:szCs w:val="24"/>
          <w:lang w:val="en-US" w:eastAsia="it-IT"/>
        </w:rPr>
        <w:t xml:space="preserve"> might </w:t>
      </w:r>
      <w:r w:rsidR="009143DD" w:rsidRPr="00A01B2C">
        <w:rPr>
          <w:rFonts w:ascii="Book Antiqua" w:eastAsia="Times New Roman" w:hAnsi="Book Antiqua" w:cs="Tahoma"/>
          <w:sz w:val="24"/>
          <w:szCs w:val="24"/>
          <w:lang w:val="en-US" w:eastAsia="it-IT"/>
        </w:rPr>
        <w:t xml:space="preserve">conceivably result in </w:t>
      </w:r>
      <w:r w:rsidRPr="00A01B2C">
        <w:rPr>
          <w:rFonts w:ascii="Book Antiqua" w:eastAsia="Times New Roman" w:hAnsi="Book Antiqua" w:cs="Tahoma"/>
          <w:sz w:val="24"/>
          <w:szCs w:val="24"/>
          <w:lang w:val="en-US" w:eastAsia="it-IT"/>
        </w:rPr>
        <w:t>ineffective</w:t>
      </w:r>
      <w:r w:rsidR="00F71AF6" w:rsidRPr="00A01B2C">
        <w:rPr>
          <w:rFonts w:ascii="Book Antiqua" w:eastAsia="Times New Roman" w:hAnsi="Book Antiqua" w:cs="Tahoma"/>
          <w:sz w:val="24"/>
          <w:szCs w:val="24"/>
          <w:lang w:val="en-US" w:eastAsia="it-IT"/>
        </w:rPr>
        <w:t xml:space="preserve"> </w:t>
      </w:r>
      <w:r w:rsidR="007328B1" w:rsidRPr="00A01B2C">
        <w:rPr>
          <w:rFonts w:ascii="Book Antiqua" w:eastAsia="Times New Roman" w:hAnsi="Book Antiqua" w:cs="Tahoma"/>
          <w:sz w:val="24"/>
          <w:szCs w:val="24"/>
          <w:lang w:val="en-US" w:eastAsia="it-IT"/>
        </w:rPr>
        <w:t xml:space="preserve">reflux </w:t>
      </w:r>
      <w:r w:rsidR="006D687B" w:rsidRPr="00A01B2C">
        <w:rPr>
          <w:rFonts w:ascii="Book Antiqua" w:eastAsia="Times New Roman" w:hAnsi="Book Antiqua" w:cs="Tahoma"/>
          <w:sz w:val="24"/>
          <w:szCs w:val="24"/>
          <w:lang w:val="en-US" w:eastAsia="it-IT"/>
        </w:rPr>
        <w:t>clearance</w:t>
      </w:r>
      <w:r w:rsidR="00FE0DE2" w:rsidRPr="00A01B2C">
        <w:rPr>
          <w:rFonts w:ascii="Book Antiqua" w:eastAsia="Times New Roman" w:hAnsi="Book Antiqua" w:cs="Tahoma"/>
          <w:sz w:val="24"/>
          <w:szCs w:val="24"/>
          <w:vertAlign w:val="superscript"/>
          <w:lang w:val="en-US" w:eastAsia="it-IT"/>
        </w:rPr>
        <w:t>[</w:t>
      </w:r>
      <w:r w:rsidR="00E02E86" w:rsidRPr="00A01B2C">
        <w:rPr>
          <w:rFonts w:ascii="Book Antiqua" w:eastAsia="Times New Roman" w:hAnsi="Book Antiqua" w:cs="Tahoma"/>
          <w:sz w:val="24"/>
          <w:szCs w:val="24"/>
          <w:vertAlign w:val="superscript"/>
          <w:lang w:val="en-US" w:eastAsia="it-IT"/>
        </w:rPr>
        <w:t>39</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The low</w:t>
      </w:r>
      <w:r w:rsidR="009143DD"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pressure segments anatomically correspond to the</w:t>
      </w:r>
      <w:r w:rsidR="00F71AF6"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transition zone from striated to smooth esophageal muscle, where the muscle</w:t>
      </w:r>
      <w:r w:rsidR="00F71AF6" w:rsidRPr="00A01B2C">
        <w:rPr>
          <w:rFonts w:ascii="Book Antiqua" w:eastAsia="Times New Roman" w:hAnsi="Book Antiqua" w:cs="Tahoma"/>
          <w:sz w:val="24"/>
          <w:szCs w:val="24"/>
          <w:lang w:val="en-US" w:eastAsia="it-IT"/>
        </w:rPr>
        <w:t xml:space="preserve"> </w:t>
      </w:r>
      <w:r w:rsidR="007611D6" w:rsidRPr="00A01B2C">
        <w:rPr>
          <w:rFonts w:ascii="Book Antiqua" w:eastAsia="Times New Roman" w:hAnsi="Book Antiqua" w:cs="Tahoma"/>
          <w:sz w:val="24"/>
          <w:szCs w:val="24"/>
          <w:lang w:val="en-US" w:eastAsia="it-IT"/>
        </w:rPr>
        <w:t>types are imbricat</w:t>
      </w:r>
      <w:r w:rsidR="00E02E86" w:rsidRPr="00A01B2C">
        <w:rPr>
          <w:rFonts w:ascii="Book Antiqua" w:eastAsia="Times New Roman" w:hAnsi="Book Antiqua" w:cs="Tahoma"/>
          <w:sz w:val="24"/>
          <w:szCs w:val="24"/>
          <w:lang w:val="en-US" w:eastAsia="it-IT"/>
        </w:rPr>
        <w:t xml:space="preserve">ed </w:t>
      </w:r>
      <w:r w:rsidR="00FE0DE2" w:rsidRPr="00A01B2C">
        <w:rPr>
          <w:rFonts w:ascii="Book Antiqua" w:eastAsia="Times New Roman" w:hAnsi="Book Antiqua" w:cs="Tahoma"/>
          <w:sz w:val="24"/>
          <w:szCs w:val="24"/>
          <w:vertAlign w:val="superscript"/>
          <w:lang w:val="en-US" w:eastAsia="it-IT"/>
        </w:rPr>
        <w:t>[</w:t>
      </w:r>
      <w:r w:rsidR="00E02E86" w:rsidRPr="00A01B2C">
        <w:rPr>
          <w:rFonts w:ascii="Book Antiqua" w:eastAsia="Times New Roman" w:hAnsi="Book Antiqua" w:cs="Tahoma"/>
          <w:sz w:val="24"/>
          <w:szCs w:val="24"/>
          <w:vertAlign w:val="superscript"/>
          <w:lang w:val="en-US" w:eastAsia="it-IT"/>
        </w:rPr>
        <w:t>40</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 an area of extreme hypotensive peristalsis correlate</w:t>
      </w:r>
      <w:r w:rsidR="000443FE" w:rsidRPr="00A01B2C">
        <w:rPr>
          <w:rFonts w:ascii="Book Antiqua" w:eastAsia="Times New Roman" w:hAnsi="Book Antiqua" w:cs="Tahoma"/>
          <w:sz w:val="24"/>
          <w:szCs w:val="24"/>
          <w:lang w:val="en-US" w:eastAsia="it-IT"/>
        </w:rPr>
        <w:t>s</w:t>
      </w:r>
      <w:r w:rsidRPr="00A01B2C">
        <w:rPr>
          <w:rFonts w:ascii="Book Antiqua" w:eastAsia="Times New Roman" w:hAnsi="Book Antiqua" w:cs="Tahoma"/>
          <w:sz w:val="24"/>
          <w:szCs w:val="24"/>
          <w:lang w:val="en-US" w:eastAsia="it-IT"/>
        </w:rPr>
        <w:t xml:space="preserve"> w</w:t>
      </w:r>
      <w:r w:rsidR="00E97169" w:rsidRPr="00A01B2C">
        <w:rPr>
          <w:rFonts w:ascii="Book Antiqua" w:eastAsia="Times New Roman" w:hAnsi="Book Antiqua" w:cs="Tahoma"/>
          <w:sz w:val="24"/>
          <w:szCs w:val="24"/>
          <w:lang w:val="en-US" w:eastAsia="it-IT"/>
        </w:rPr>
        <w:t xml:space="preserve">ith incomplete bolus transit </w:t>
      </w:r>
      <w:r w:rsidR="00FE0DE2" w:rsidRPr="00A01B2C">
        <w:rPr>
          <w:rFonts w:ascii="Book Antiqua" w:eastAsia="Times New Roman" w:hAnsi="Book Antiqua" w:cs="Tahoma"/>
          <w:sz w:val="24"/>
          <w:szCs w:val="24"/>
          <w:vertAlign w:val="superscript"/>
          <w:lang w:val="en-US" w:eastAsia="it-IT"/>
        </w:rPr>
        <w:t>[</w:t>
      </w:r>
      <w:r w:rsidR="00E97169" w:rsidRPr="00A01B2C">
        <w:rPr>
          <w:rFonts w:ascii="Book Antiqua" w:eastAsia="Times New Roman" w:hAnsi="Book Antiqua" w:cs="Tahoma"/>
          <w:sz w:val="24"/>
          <w:szCs w:val="24"/>
          <w:vertAlign w:val="superscript"/>
          <w:lang w:val="en-US" w:eastAsia="it-IT"/>
        </w:rPr>
        <w:t>41</w:t>
      </w:r>
      <w:r w:rsidR="00FE0DE2" w:rsidRPr="00A01B2C">
        <w:rPr>
          <w:rFonts w:ascii="Book Antiqua" w:eastAsia="Times New Roman" w:hAnsi="Book Antiqua" w:cs="Tahoma"/>
          <w:sz w:val="24"/>
          <w:szCs w:val="24"/>
          <w:vertAlign w:val="superscript"/>
          <w:lang w:val="en-US" w:eastAsia="it-IT"/>
        </w:rPr>
        <w:t>]</w:t>
      </w:r>
      <w:r w:rsidRPr="00A01B2C">
        <w:rPr>
          <w:rFonts w:ascii="Book Antiqua" w:eastAsia="Times New Roman" w:hAnsi="Book Antiqua" w:cs="Tahoma"/>
          <w:sz w:val="24"/>
          <w:szCs w:val="24"/>
          <w:lang w:val="en-US" w:eastAsia="it-IT"/>
        </w:rPr>
        <w:t>.</w:t>
      </w:r>
      <w:r w:rsidR="00F71AF6" w:rsidRPr="00A01B2C">
        <w:rPr>
          <w:rFonts w:ascii="Book Antiqua" w:eastAsia="Times New Roman" w:hAnsi="Book Antiqua" w:cs="Tahoma"/>
          <w:sz w:val="24"/>
          <w:szCs w:val="24"/>
          <w:lang w:val="en-US" w:eastAsia="it-IT"/>
        </w:rPr>
        <w:t xml:space="preserve"> </w:t>
      </w:r>
      <w:r w:rsidR="003E63A8" w:rsidRPr="00A01B2C">
        <w:rPr>
          <w:rFonts w:ascii="Book Antiqua" w:eastAsia="Times New Roman" w:hAnsi="Book Antiqua" w:cs="Tahoma"/>
          <w:sz w:val="24"/>
          <w:szCs w:val="24"/>
          <w:lang w:val="en-US" w:eastAsia="it-IT"/>
        </w:rPr>
        <w:t xml:space="preserve">HRM combined with multichannel impedance may help clarify when the manometric characteristics in patients with pathological OP </w:t>
      </w:r>
      <w:r w:rsidR="001D3897" w:rsidRPr="00A01B2C">
        <w:rPr>
          <w:rFonts w:ascii="Book Antiqua" w:eastAsia="Times New Roman" w:hAnsi="Book Antiqua" w:cs="Tahoma"/>
          <w:sz w:val="24"/>
          <w:szCs w:val="24"/>
          <w:lang w:val="en-US" w:eastAsia="it-IT"/>
        </w:rPr>
        <w:t>acid exposure</w:t>
      </w:r>
      <w:r w:rsidR="003E63A8" w:rsidRPr="00A01B2C">
        <w:rPr>
          <w:rFonts w:ascii="Book Antiqua" w:eastAsia="Times New Roman" w:hAnsi="Book Antiqua" w:cs="Tahoma"/>
          <w:sz w:val="24"/>
          <w:szCs w:val="24"/>
          <w:lang w:val="en-US" w:eastAsia="it-IT"/>
        </w:rPr>
        <w:t xml:space="preserve"> are really associated with delayed reflux clearance. A recent study using this technique in patients with typical GERD reported that those with a pathological number of large breaks had significantly slower reflux clearance (BCT) in the supine position and lon</w:t>
      </w:r>
      <w:r w:rsidR="006D687B" w:rsidRPr="00A01B2C">
        <w:rPr>
          <w:rFonts w:ascii="Book Antiqua" w:eastAsia="Times New Roman" w:hAnsi="Book Antiqua" w:cs="Tahoma"/>
          <w:sz w:val="24"/>
          <w:szCs w:val="24"/>
          <w:lang w:val="en-US" w:eastAsia="it-IT"/>
        </w:rPr>
        <w:t>ger acid exposure time (AET)</w:t>
      </w:r>
      <w:r w:rsidR="00FE0DE2" w:rsidRPr="00A01B2C">
        <w:rPr>
          <w:rFonts w:ascii="Book Antiqua" w:eastAsia="Times New Roman" w:hAnsi="Book Antiqua" w:cs="Tahoma"/>
          <w:sz w:val="24"/>
          <w:szCs w:val="24"/>
          <w:vertAlign w:val="superscript"/>
          <w:lang w:val="en-US" w:eastAsia="it-IT"/>
        </w:rPr>
        <w:t>[</w:t>
      </w:r>
      <w:r w:rsidR="00037738" w:rsidRPr="00A01B2C">
        <w:rPr>
          <w:rFonts w:ascii="Book Antiqua" w:eastAsia="Times New Roman" w:hAnsi="Book Antiqua" w:cs="Tahoma"/>
          <w:sz w:val="24"/>
          <w:szCs w:val="24"/>
          <w:vertAlign w:val="superscript"/>
          <w:lang w:val="en-US" w:eastAsia="it-IT"/>
        </w:rPr>
        <w:t>42</w:t>
      </w:r>
      <w:r w:rsidR="00FE0DE2" w:rsidRPr="00A01B2C">
        <w:rPr>
          <w:rFonts w:ascii="Book Antiqua" w:eastAsia="Times New Roman" w:hAnsi="Book Antiqua" w:cs="Tahoma"/>
          <w:sz w:val="24"/>
          <w:szCs w:val="24"/>
          <w:vertAlign w:val="superscript"/>
          <w:lang w:val="en-US" w:eastAsia="it-IT"/>
        </w:rPr>
        <w:t>]</w:t>
      </w:r>
      <w:r w:rsidR="003E63A8" w:rsidRPr="00A01B2C">
        <w:rPr>
          <w:rFonts w:ascii="Book Antiqua" w:eastAsia="Times New Roman" w:hAnsi="Book Antiqua" w:cs="Tahoma"/>
          <w:sz w:val="24"/>
          <w:szCs w:val="24"/>
          <w:lang w:val="en-US" w:eastAsia="it-IT"/>
        </w:rPr>
        <w:t>.</w:t>
      </w:r>
    </w:p>
    <w:p w:rsidR="004A5784" w:rsidRPr="00A01B2C" w:rsidRDefault="00FD4A3C" w:rsidP="006D687B">
      <w:pPr>
        <w:autoSpaceDE w:val="0"/>
        <w:autoSpaceDN w:val="0"/>
        <w:adjustRightInd w:val="0"/>
        <w:snapToGrid w:val="0"/>
        <w:spacing w:after="0" w:line="360" w:lineRule="auto"/>
        <w:ind w:firstLineChars="100" w:firstLine="240"/>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T</w:t>
      </w:r>
      <w:r w:rsidR="00F74633" w:rsidRPr="00A01B2C">
        <w:rPr>
          <w:rFonts w:ascii="Book Antiqua" w:eastAsia="Times New Roman" w:hAnsi="Book Antiqua" w:cs="Tahoma"/>
          <w:sz w:val="24"/>
          <w:szCs w:val="24"/>
          <w:lang w:val="en-US" w:eastAsia="it-IT"/>
        </w:rPr>
        <w:t>he motility features of the distal esophagus (DCI, LES</w:t>
      </w:r>
      <w:r w:rsidR="007636EE"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 xml:space="preserve">resting pressure and 4s-IRP) did not significantly differ in the two groups </w:t>
      </w:r>
      <w:r w:rsidR="000443FE" w:rsidRPr="00A01B2C">
        <w:rPr>
          <w:rFonts w:ascii="Book Antiqua" w:eastAsia="Times New Roman" w:hAnsi="Book Antiqua" w:cs="Tahoma"/>
          <w:sz w:val="24"/>
          <w:szCs w:val="24"/>
          <w:lang w:val="en-US" w:eastAsia="it-IT"/>
        </w:rPr>
        <w:t xml:space="preserve">in this study but this </w:t>
      </w:r>
      <w:r w:rsidRPr="00A01B2C">
        <w:rPr>
          <w:rFonts w:ascii="Book Antiqua" w:eastAsia="Times New Roman" w:hAnsi="Book Antiqua" w:cs="Tahoma"/>
          <w:sz w:val="24"/>
          <w:szCs w:val="24"/>
          <w:lang w:val="en-US" w:eastAsia="it-IT"/>
        </w:rPr>
        <w:t>is not</w:t>
      </w:r>
      <w:r w:rsidR="000443FE" w:rsidRPr="00A01B2C">
        <w:rPr>
          <w:rFonts w:ascii="Book Antiqua" w:eastAsia="Times New Roman" w:hAnsi="Book Antiqua" w:cs="Tahoma"/>
          <w:sz w:val="24"/>
          <w:szCs w:val="24"/>
          <w:lang w:val="en-US" w:eastAsia="it-IT"/>
        </w:rPr>
        <w:t xml:space="preserve"> really </w:t>
      </w:r>
      <w:r w:rsidRPr="00A01B2C">
        <w:rPr>
          <w:rFonts w:ascii="Book Antiqua" w:eastAsia="Times New Roman" w:hAnsi="Book Antiqua" w:cs="Tahoma"/>
          <w:sz w:val="24"/>
          <w:szCs w:val="24"/>
          <w:lang w:val="en-US" w:eastAsia="it-IT"/>
        </w:rPr>
        <w:t>su</w:t>
      </w:r>
      <w:r w:rsidR="00121BB5" w:rsidRPr="00A01B2C">
        <w:rPr>
          <w:rFonts w:ascii="Book Antiqua" w:eastAsia="Times New Roman" w:hAnsi="Book Antiqua" w:cs="Tahoma"/>
          <w:sz w:val="24"/>
          <w:szCs w:val="24"/>
          <w:lang w:val="en-US" w:eastAsia="it-IT"/>
        </w:rPr>
        <w:t>r</w:t>
      </w:r>
      <w:r w:rsidRPr="00A01B2C">
        <w:rPr>
          <w:rFonts w:ascii="Book Antiqua" w:eastAsia="Times New Roman" w:hAnsi="Book Antiqua" w:cs="Tahoma"/>
          <w:sz w:val="24"/>
          <w:szCs w:val="24"/>
          <w:lang w:val="en-US" w:eastAsia="it-IT"/>
        </w:rPr>
        <w:t>prising</w:t>
      </w:r>
      <w:r w:rsidR="00121BB5"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e</w:t>
      </w:r>
      <w:r w:rsidR="00F74633" w:rsidRPr="00A01B2C">
        <w:rPr>
          <w:rFonts w:ascii="Book Antiqua" w:eastAsia="Times New Roman" w:hAnsi="Book Antiqua" w:cs="Tahoma"/>
          <w:sz w:val="24"/>
          <w:szCs w:val="24"/>
          <w:lang w:val="en-US" w:eastAsia="it-IT"/>
        </w:rPr>
        <w:t xml:space="preserve">ven in </w:t>
      </w:r>
      <w:r w:rsidR="00121BB5" w:rsidRPr="00A01B2C">
        <w:rPr>
          <w:rFonts w:ascii="Book Antiqua" w:eastAsia="Times New Roman" w:hAnsi="Book Antiqua" w:cs="Tahoma"/>
          <w:sz w:val="24"/>
          <w:szCs w:val="24"/>
          <w:lang w:val="en-US" w:eastAsia="it-IT"/>
        </w:rPr>
        <w:t xml:space="preserve">patients </w:t>
      </w:r>
      <w:r w:rsidR="00F74633" w:rsidRPr="00A01B2C">
        <w:rPr>
          <w:rFonts w:ascii="Book Antiqua" w:eastAsia="Times New Roman" w:hAnsi="Book Antiqua" w:cs="Tahoma"/>
          <w:sz w:val="24"/>
          <w:szCs w:val="24"/>
          <w:lang w:val="en-US" w:eastAsia="it-IT"/>
        </w:rPr>
        <w:t xml:space="preserve">with normal distal reflux, </w:t>
      </w:r>
      <w:r w:rsidR="003E63A8" w:rsidRPr="00A01B2C">
        <w:rPr>
          <w:rFonts w:ascii="Book Antiqua" w:eastAsia="Times New Roman" w:hAnsi="Book Antiqua" w:cs="Tahoma"/>
          <w:sz w:val="24"/>
          <w:szCs w:val="24"/>
          <w:lang w:val="en-US" w:eastAsia="it-IT"/>
        </w:rPr>
        <w:t xml:space="preserve">the lack of effective proximal reflux clearance </w:t>
      </w:r>
      <w:r w:rsidR="000443FE" w:rsidRPr="00A01B2C">
        <w:rPr>
          <w:rFonts w:ascii="Book Antiqua" w:eastAsia="Times New Roman" w:hAnsi="Book Antiqua" w:cs="Tahoma"/>
          <w:sz w:val="24"/>
          <w:szCs w:val="24"/>
          <w:lang w:val="en-US" w:eastAsia="it-IT"/>
        </w:rPr>
        <w:t xml:space="preserve">might </w:t>
      </w:r>
      <w:r w:rsidR="003E63A8" w:rsidRPr="00A01B2C">
        <w:rPr>
          <w:rFonts w:ascii="Book Antiqua" w:eastAsia="Times New Roman" w:hAnsi="Book Antiqua" w:cs="Tahoma"/>
          <w:sz w:val="24"/>
          <w:szCs w:val="24"/>
          <w:lang w:val="en-US" w:eastAsia="it-IT"/>
        </w:rPr>
        <w:t>allow a small amount of reflux to flow up from the distal esophagus to the larynx and pharynx</w:t>
      </w:r>
      <w:r w:rsidR="00466E76" w:rsidRPr="00A01B2C">
        <w:rPr>
          <w:rFonts w:ascii="Book Antiqua" w:eastAsia="Times New Roman" w:hAnsi="Book Antiqua" w:cs="Tahoma"/>
          <w:sz w:val="24"/>
          <w:szCs w:val="24"/>
          <w:lang w:val="en-US" w:eastAsia="it-IT"/>
        </w:rPr>
        <w:t>, where even a single episode of</w:t>
      </w:r>
      <w:r w:rsidR="006D687B" w:rsidRPr="00A01B2C">
        <w:rPr>
          <w:rFonts w:ascii="Book Antiqua" w:eastAsia="Times New Roman" w:hAnsi="Book Antiqua" w:cs="Tahoma"/>
          <w:sz w:val="24"/>
          <w:szCs w:val="24"/>
          <w:lang w:val="en-US" w:eastAsia="it-IT"/>
        </w:rPr>
        <w:t xml:space="preserve"> LPR is considered pathological</w:t>
      </w:r>
      <w:r w:rsidR="00FE0DE2" w:rsidRPr="00A01B2C">
        <w:rPr>
          <w:rFonts w:ascii="Book Antiqua" w:eastAsia="Times New Roman" w:hAnsi="Book Antiqua" w:cs="Tahoma"/>
          <w:sz w:val="24"/>
          <w:szCs w:val="24"/>
          <w:vertAlign w:val="superscript"/>
          <w:lang w:val="en-US" w:eastAsia="it-IT"/>
        </w:rPr>
        <w:t>[</w:t>
      </w:r>
      <w:r w:rsidR="00BC49F6" w:rsidRPr="00A01B2C">
        <w:rPr>
          <w:rFonts w:ascii="Book Antiqua" w:eastAsia="Times New Roman" w:hAnsi="Book Antiqua" w:cs="Tahoma"/>
          <w:sz w:val="24"/>
          <w:szCs w:val="24"/>
          <w:vertAlign w:val="superscript"/>
          <w:lang w:val="en-US" w:eastAsia="it-IT"/>
        </w:rPr>
        <w:t>25,43</w:t>
      </w:r>
      <w:r w:rsidR="00FE0DE2" w:rsidRPr="00A01B2C">
        <w:rPr>
          <w:rFonts w:ascii="Book Antiqua" w:eastAsia="Times New Roman" w:hAnsi="Book Antiqua" w:cs="Tahoma"/>
          <w:sz w:val="24"/>
          <w:szCs w:val="24"/>
          <w:vertAlign w:val="superscript"/>
          <w:lang w:val="en-US" w:eastAsia="it-IT"/>
        </w:rPr>
        <w:t>]</w:t>
      </w:r>
      <w:r w:rsidR="003E63A8" w:rsidRPr="00A01B2C">
        <w:rPr>
          <w:rFonts w:ascii="Book Antiqua" w:eastAsia="Times New Roman" w:hAnsi="Book Antiqua" w:cs="Tahoma"/>
          <w:sz w:val="24"/>
          <w:szCs w:val="24"/>
          <w:lang w:val="en-US" w:eastAsia="it-IT"/>
        </w:rPr>
        <w:t>.</w:t>
      </w:r>
    </w:p>
    <w:p w:rsidR="00F71AF6" w:rsidRPr="00A01B2C" w:rsidRDefault="004A5784" w:rsidP="006D687B">
      <w:pPr>
        <w:autoSpaceDE w:val="0"/>
        <w:autoSpaceDN w:val="0"/>
        <w:adjustRightInd w:val="0"/>
        <w:snapToGrid w:val="0"/>
        <w:spacing w:after="0" w:line="360" w:lineRule="auto"/>
        <w:ind w:firstLineChars="100" w:firstLine="240"/>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I</w:t>
      </w:r>
      <w:r w:rsidR="00850CF0" w:rsidRPr="00A01B2C">
        <w:rPr>
          <w:rFonts w:ascii="Book Antiqua" w:eastAsia="Times New Roman" w:hAnsi="Book Antiqua" w:cs="Tahoma"/>
          <w:sz w:val="24"/>
          <w:szCs w:val="24"/>
          <w:lang w:val="en-US" w:eastAsia="it-IT"/>
        </w:rPr>
        <w:t xml:space="preserve">n conclusion, this study </w:t>
      </w:r>
      <w:r w:rsidR="00845FF7" w:rsidRPr="00A01B2C">
        <w:rPr>
          <w:rFonts w:ascii="Book Antiqua" w:eastAsia="Times New Roman" w:hAnsi="Book Antiqua" w:cs="Tahoma"/>
          <w:sz w:val="24"/>
          <w:szCs w:val="24"/>
          <w:lang w:val="en-US" w:eastAsia="it-IT"/>
        </w:rPr>
        <w:t>compare</w:t>
      </w:r>
      <w:r w:rsidR="000443FE" w:rsidRPr="00A01B2C">
        <w:rPr>
          <w:rFonts w:ascii="Book Antiqua" w:eastAsia="Times New Roman" w:hAnsi="Book Antiqua" w:cs="Tahoma"/>
          <w:sz w:val="24"/>
          <w:szCs w:val="24"/>
          <w:lang w:val="en-US" w:eastAsia="it-IT"/>
        </w:rPr>
        <w:t>d</w:t>
      </w:r>
      <w:r w:rsidR="002445B2" w:rsidRPr="00A01B2C">
        <w:rPr>
          <w:rFonts w:ascii="Book Antiqua" w:eastAsia="Times New Roman" w:hAnsi="Book Antiqua" w:cs="Tahoma"/>
          <w:sz w:val="24"/>
          <w:szCs w:val="24"/>
          <w:lang w:val="en-US" w:eastAsia="it-IT"/>
        </w:rPr>
        <w:t xml:space="preserve">, </w:t>
      </w:r>
      <w:r w:rsidR="00850CF0" w:rsidRPr="00A01B2C">
        <w:rPr>
          <w:rFonts w:ascii="Book Antiqua" w:eastAsia="Times New Roman" w:hAnsi="Book Antiqua" w:cs="Tahoma"/>
          <w:sz w:val="24"/>
          <w:szCs w:val="24"/>
          <w:lang w:val="en-US" w:eastAsia="it-IT"/>
        </w:rPr>
        <w:t>for the first time</w:t>
      </w:r>
      <w:r w:rsidR="000443FE" w:rsidRPr="00A01B2C">
        <w:rPr>
          <w:rFonts w:ascii="Book Antiqua" w:eastAsia="Times New Roman" w:hAnsi="Book Antiqua" w:cs="Tahoma"/>
          <w:sz w:val="24"/>
          <w:szCs w:val="24"/>
          <w:lang w:val="en-US" w:eastAsia="it-IT"/>
        </w:rPr>
        <w:t>,</w:t>
      </w:r>
      <w:r w:rsidR="00FF0DB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the results of OP p</w:t>
      </w:r>
      <w:r w:rsidR="00850CF0" w:rsidRPr="00A01B2C">
        <w:rPr>
          <w:rFonts w:ascii="Book Antiqua" w:eastAsia="Times New Roman" w:hAnsi="Book Antiqua" w:cs="Tahoma"/>
          <w:sz w:val="24"/>
          <w:szCs w:val="24"/>
          <w:lang w:val="en-US" w:eastAsia="it-IT"/>
        </w:rPr>
        <w:t>H</w:t>
      </w:r>
      <w:r w:rsidR="002B076D" w:rsidRPr="00A01B2C">
        <w:rPr>
          <w:rFonts w:ascii="Book Antiqua" w:eastAsia="Times New Roman" w:hAnsi="Book Antiqua" w:cs="Tahoma"/>
          <w:sz w:val="24"/>
          <w:szCs w:val="24"/>
          <w:lang w:val="en-US" w:eastAsia="it-IT"/>
        </w:rPr>
        <w:t xml:space="preserve"> monitoring and esophageal HRM.</w:t>
      </w:r>
      <w:r w:rsidR="006D687B" w:rsidRPr="00A01B2C">
        <w:rPr>
          <w:rFonts w:ascii="Book Antiqua" w:hAnsi="Book Antiqua" w:cs="Tahoma" w:hint="eastAsia"/>
          <w:sz w:val="24"/>
          <w:szCs w:val="24"/>
          <w:lang w:val="en-US" w:eastAsia="zh-CN"/>
        </w:rPr>
        <w:t xml:space="preserve"> </w:t>
      </w:r>
      <w:r w:rsidR="002B076D" w:rsidRPr="00A01B2C">
        <w:rPr>
          <w:rFonts w:ascii="Book Antiqua" w:eastAsia="Times New Roman" w:hAnsi="Book Antiqua" w:cs="Tahoma"/>
          <w:sz w:val="24"/>
          <w:szCs w:val="24"/>
          <w:lang w:val="en-US" w:eastAsia="it-IT"/>
        </w:rPr>
        <w:t xml:space="preserve">We </w:t>
      </w:r>
      <w:r w:rsidR="00850CF0" w:rsidRPr="00A01B2C">
        <w:rPr>
          <w:rFonts w:ascii="Book Antiqua" w:eastAsia="Times New Roman" w:hAnsi="Book Antiqua" w:cs="Tahoma"/>
          <w:sz w:val="24"/>
          <w:szCs w:val="24"/>
          <w:lang w:val="en-US" w:eastAsia="it-IT"/>
        </w:rPr>
        <w:t>f</w:t>
      </w:r>
      <w:r w:rsidR="002B076D" w:rsidRPr="00A01B2C">
        <w:rPr>
          <w:rFonts w:ascii="Book Antiqua" w:eastAsia="Times New Roman" w:hAnsi="Book Antiqua" w:cs="Tahoma"/>
          <w:sz w:val="24"/>
          <w:szCs w:val="24"/>
          <w:lang w:val="en-US" w:eastAsia="it-IT"/>
        </w:rPr>
        <w:t>ound</w:t>
      </w:r>
      <w:r w:rsidR="00850CF0" w:rsidRPr="00A01B2C">
        <w:rPr>
          <w:rFonts w:ascii="Book Antiqua" w:eastAsia="Times New Roman" w:hAnsi="Book Antiqua" w:cs="Tahoma"/>
          <w:sz w:val="24"/>
          <w:szCs w:val="24"/>
          <w:lang w:val="en-US" w:eastAsia="it-IT"/>
        </w:rPr>
        <w:t xml:space="preserve"> a significant correlation </w:t>
      </w:r>
      <w:r w:rsidR="0043173B" w:rsidRPr="00A01B2C">
        <w:rPr>
          <w:rFonts w:ascii="Book Antiqua" w:eastAsia="Times New Roman" w:hAnsi="Book Antiqua" w:cs="Tahoma"/>
          <w:sz w:val="24"/>
          <w:szCs w:val="24"/>
          <w:lang w:val="en-US" w:eastAsia="it-IT"/>
        </w:rPr>
        <w:t xml:space="preserve">between </w:t>
      </w:r>
      <w:hyperlink r:id="rId9" w:history="1">
        <w:r w:rsidR="0043173B" w:rsidRPr="00A01B2C">
          <w:rPr>
            <w:rFonts w:ascii="Book Antiqua" w:eastAsia="Times New Roman" w:hAnsi="Book Antiqua" w:cs="Tahoma"/>
            <w:sz w:val="24"/>
            <w:szCs w:val="24"/>
            <w:lang w:val="en-US" w:eastAsia="it-IT"/>
          </w:rPr>
          <w:t>patho</w:t>
        </w:r>
        <w:r w:rsidR="000443FE" w:rsidRPr="00A01B2C">
          <w:rPr>
            <w:rFonts w:ascii="Book Antiqua" w:eastAsia="Times New Roman" w:hAnsi="Book Antiqua" w:cs="Tahoma"/>
            <w:sz w:val="24"/>
            <w:szCs w:val="24"/>
            <w:lang w:val="en-US" w:eastAsia="it-IT"/>
          </w:rPr>
          <w:t>-</w:t>
        </w:r>
        <w:r w:rsidR="0043173B" w:rsidRPr="00A01B2C">
          <w:rPr>
            <w:rFonts w:ascii="Book Antiqua" w:eastAsia="Times New Roman" w:hAnsi="Book Antiqua" w:cs="Tahoma"/>
            <w:sz w:val="24"/>
            <w:szCs w:val="24"/>
            <w:lang w:val="en-US" w:eastAsia="it-IT"/>
          </w:rPr>
          <w:t>physiological features</w:t>
        </w:r>
      </w:hyperlink>
      <w:r w:rsidR="000443FE" w:rsidRPr="00A01B2C">
        <w:rPr>
          <w:rFonts w:ascii="Book Antiqua" w:eastAsia="Times New Roman" w:hAnsi="Book Antiqua" w:cs="Tahoma"/>
          <w:sz w:val="24"/>
          <w:szCs w:val="24"/>
          <w:lang w:val="en-US" w:eastAsia="it-IT"/>
        </w:rPr>
        <w:t>,</w:t>
      </w:r>
      <w:r w:rsidR="002B076D" w:rsidRPr="00A01B2C">
        <w:rPr>
          <w:rFonts w:ascii="Book Antiqua" w:eastAsia="Times New Roman" w:hAnsi="Book Antiqua" w:cs="Tahoma"/>
          <w:sz w:val="24"/>
          <w:szCs w:val="24"/>
          <w:lang w:val="en-US" w:eastAsia="it-IT"/>
        </w:rPr>
        <w:t xml:space="preserve"> particular</w:t>
      </w:r>
      <w:r w:rsidR="000443FE" w:rsidRPr="00A01B2C">
        <w:rPr>
          <w:rFonts w:ascii="Book Antiqua" w:eastAsia="Times New Roman" w:hAnsi="Book Antiqua" w:cs="Tahoma"/>
          <w:sz w:val="24"/>
          <w:szCs w:val="24"/>
          <w:lang w:val="en-US" w:eastAsia="it-IT"/>
        </w:rPr>
        <w:t>ly</w:t>
      </w:r>
      <w:r w:rsidR="002B076D" w:rsidRPr="00A01B2C">
        <w:rPr>
          <w:rFonts w:ascii="Book Antiqua" w:eastAsia="Times New Roman" w:hAnsi="Book Antiqua" w:cs="Tahoma"/>
          <w:sz w:val="24"/>
          <w:szCs w:val="24"/>
          <w:lang w:val="en-US" w:eastAsia="it-IT"/>
        </w:rPr>
        <w:t xml:space="preserve"> pathological OP acid exposure</w:t>
      </w:r>
      <w:r w:rsidR="00415A79" w:rsidRPr="00A01B2C">
        <w:rPr>
          <w:rFonts w:ascii="Book Antiqua" w:eastAsia="Times New Roman" w:hAnsi="Book Antiqua" w:cs="Tahoma"/>
          <w:sz w:val="24"/>
          <w:szCs w:val="24"/>
          <w:lang w:val="en-US" w:eastAsia="it-IT"/>
        </w:rPr>
        <w:t xml:space="preserve"> </w:t>
      </w:r>
      <w:r w:rsidR="002B076D" w:rsidRPr="00A01B2C">
        <w:rPr>
          <w:rFonts w:ascii="Book Antiqua" w:eastAsia="Times New Roman" w:hAnsi="Book Antiqua" w:cs="Tahoma"/>
          <w:sz w:val="24"/>
          <w:szCs w:val="24"/>
          <w:lang w:val="en-US" w:eastAsia="it-IT"/>
        </w:rPr>
        <w:t xml:space="preserve">and esophageal motility. </w:t>
      </w:r>
      <w:r w:rsidR="00415A79" w:rsidRPr="00A01B2C">
        <w:rPr>
          <w:rFonts w:ascii="Book Antiqua" w:eastAsia="Times New Roman" w:hAnsi="Book Antiqua" w:cs="Tahoma"/>
          <w:sz w:val="24"/>
          <w:szCs w:val="24"/>
          <w:lang w:val="en-US" w:eastAsia="it-IT"/>
        </w:rPr>
        <w:t xml:space="preserve">Further studies are </w:t>
      </w:r>
      <w:r w:rsidR="000443FE" w:rsidRPr="00A01B2C">
        <w:rPr>
          <w:rFonts w:ascii="Book Antiqua" w:eastAsia="Times New Roman" w:hAnsi="Book Antiqua" w:cs="Tahoma"/>
          <w:sz w:val="24"/>
          <w:szCs w:val="24"/>
          <w:lang w:val="en-US" w:eastAsia="it-IT"/>
        </w:rPr>
        <w:t xml:space="preserve">now needed </w:t>
      </w:r>
      <w:r w:rsidR="00415A79" w:rsidRPr="00A01B2C">
        <w:rPr>
          <w:rFonts w:ascii="Book Antiqua" w:eastAsia="Times New Roman" w:hAnsi="Book Antiqua" w:cs="Tahoma"/>
          <w:sz w:val="24"/>
          <w:szCs w:val="24"/>
          <w:lang w:val="en-US" w:eastAsia="it-IT"/>
        </w:rPr>
        <w:t xml:space="preserve">to </w:t>
      </w:r>
      <w:r w:rsidR="000443FE" w:rsidRPr="00A01B2C">
        <w:rPr>
          <w:rFonts w:ascii="Book Antiqua" w:eastAsia="Times New Roman" w:hAnsi="Book Antiqua" w:cs="Tahoma"/>
          <w:sz w:val="24"/>
          <w:szCs w:val="24"/>
          <w:lang w:val="en-US" w:eastAsia="it-IT"/>
        </w:rPr>
        <w:t xml:space="preserve">establish whether </w:t>
      </w:r>
      <w:r w:rsidR="00F74633" w:rsidRPr="00A01B2C">
        <w:rPr>
          <w:rFonts w:ascii="Book Antiqua" w:eastAsia="Times New Roman" w:hAnsi="Book Antiqua" w:cs="Tahoma"/>
          <w:sz w:val="24"/>
          <w:szCs w:val="24"/>
          <w:lang w:val="en-US" w:eastAsia="it-IT"/>
        </w:rPr>
        <w:t xml:space="preserve">the motility characteristics </w:t>
      </w:r>
      <w:r w:rsidR="005B4496" w:rsidRPr="00A01B2C">
        <w:rPr>
          <w:rFonts w:ascii="Book Antiqua" w:eastAsia="Times New Roman" w:hAnsi="Book Antiqua" w:cs="Tahoma"/>
          <w:sz w:val="24"/>
          <w:szCs w:val="24"/>
          <w:lang w:val="en-US" w:eastAsia="it-IT"/>
        </w:rPr>
        <w:t xml:space="preserve">we found </w:t>
      </w:r>
      <w:r w:rsidR="00F74633" w:rsidRPr="00A01B2C">
        <w:rPr>
          <w:rFonts w:ascii="Book Antiqua" w:eastAsia="Times New Roman" w:hAnsi="Book Antiqua" w:cs="Tahoma"/>
          <w:sz w:val="24"/>
          <w:szCs w:val="24"/>
          <w:lang w:val="en-US" w:eastAsia="it-IT"/>
        </w:rPr>
        <w:t xml:space="preserve">in </w:t>
      </w:r>
      <w:r w:rsidR="00415A79" w:rsidRPr="00A01B2C">
        <w:rPr>
          <w:rFonts w:ascii="Book Antiqua" w:eastAsia="Times New Roman" w:hAnsi="Book Antiqua" w:cs="Tahoma"/>
          <w:sz w:val="24"/>
          <w:szCs w:val="24"/>
          <w:lang w:val="en-US" w:eastAsia="it-IT"/>
        </w:rPr>
        <w:t xml:space="preserve">patients </w:t>
      </w:r>
      <w:r w:rsidR="00F74633" w:rsidRPr="00A01B2C">
        <w:rPr>
          <w:rFonts w:ascii="Book Antiqua" w:eastAsia="Times New Roman" w:hAnsi="Book Antiqua" w:cs="Tahoma"/>
          <w:sz w:val="24"/>
          <w:szCs w:val="24"/>
          <w:lang w:val="en-US" w:eastAsia="it-IT"/>
        </w:rPr>
        <w:t>with</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 xml:space="preserve">pathological OP </w:t>
      </w:r>
      <w:r w:rsidR="001D3897" w:rsidRPr="00A01B2C">
        <w:rPr>
          <w:rFonts w:ascii="Book Antiqua" w:eastAsia="Times New Roman" w:hAnsi="Book Antiqua" w:cs="Tahoma"/>
          <w:sz w:val="24"/>
          <w:szCs w:val="24"/>
          <w:lang w:val="en-US" w:eastAsia="it-IT"/>
        </w:rPr>
        <w:t>acid exposure</w:t>
      </w:r>
      <w:r w:rsidR="00F74633" w:rsidRPr="00A01B2C">
        <w:rPr>
          <w:rFonts w:ascii="Book Antiqua" w:eastAsia="Times New Roman" w:hAnsi="Book Antiqua" w:cs="Tahoma"/>
          <w:sz w:val="24"/>
          <w:szCs w:val="24"/>
          <w:lang w:val="en-US" w:eastAsia="it-IT"/>
        </w:rPr>
        <w:t xml:space="preserve"> are </w:t>
      </w:r>
      <w:r w:rsidR="00706370" w:rsidRPr="00A01B2C">
        <w:rPr>
          <w:rFonts w:ascii="Book Antiqua" w:eastAsia="Times New Roman" w:hAnsi="Book Antiqua" w:cs="Tahoma"/>
          <w:sz w:val="24"/>
          <w:szCs w:val="24"/>
          <w:lang w:val="en-US" w:eastAsia="it-IT"/>
        </w:rPr>
        <w:t xml:space="preserve">the cause or consequence of </w:t>
      </w:r>
      <w:r w:rsidR="00F74633" w:rsidRPr="00A01B2C">
        <w:rPr>
          <w:rFonts w:ascii="Book Antiqua" w:eastAsia="Times New Roman" w:hAnsi="Book Antiqua" w:cs="Tahoma"/>
          <w:sz w:val="24"/>
          <w:szCs w:val="24"/>
          <w:lang w:val="en-US" w:eastAsia="it-IT"/>
        </w:rPr>
        <w:t>pathological acid</w:t>
      </w:r>
      <w:r w:rsidR="00F71AF6" w:rsidRPr="00A01B2C">
        <w:rPr>
          <w:rFonts w:ascii="Book Antiqua" w:eastAsia="Times New Roman" w:hAnsi="Book Antiqua" w:cs="Tahoma"/>
          <w:sz w:val="24"/>
          <w:szCs w:val="24"/>
          <w:lang w:val="en-US" w:eastAsia="it-IT"/>
        </w:rPr>
        <w:t xml:space="preserve"> </w:t>
      </w:r>
      <w:r w:rsidR="00F74633" w:rsidRPr="00A01B2C">
        <w:rPr>
          <w:rFonts w:ascii="Book Antiqua" w:eastAsia="Times New Roman" w:hAnsi="Book Antiqua" w:cs="Tahoma"/>
          <w:sz w:val="24"/>
          <w:szCs w:val="24"/>
          <w:lang w:val="en-US" w:eastAsia="it-IT"/>
        </w:rPr>
        <w:t>reflux.</w:t>
      </w:r>
      <w:r w:rsidR="00F71AF6" w:rsidRPr="00A01B2C">
        <w:rPr>
          <w:rFonts w:ascii="Book Antiqua" w:eastAsia="Times New Roman" w:hAnsi="Book Antiqua" w:cs="Tahoma"/>
          <w:sz w:val="24"/>
          <w:szCs w:val="24"/>
          <w:lang w:val="en-US" w:eastAsia="it-IT"/>
        </w:rPr>
        <w:t xml:space="preserve"> </w:t>
      </w:r>
    </w:p>
    <w:p w:rsidR="00F71AF6" w:rsidRPr="00A01B2C" w:rsidRDefault="00F71AF6" w:rsidP="006D687B">
      <w:pPr>
        <w:autoSpaceDE w:val="0"/>
        <w:autoSpaceDN w:val="0"/>
        <w:adjustRightInd w:val="0"/>
        <w:snapToGrid w:val="0"/>
        <w:spacing w:after="0" w:line="360" w:lineRule="auto"/>
        <w:jc w:val="both"/>
        <w:rPr>
          <w:rFonts w:ascii="Book Antiqua" w:eastAsia="Times New Roman" w:hAnsi="Book Antiqua" w:cs="Tahoma"/>
          <w:sz w:val="24"/>
          <w:szCs w:val="24"/>
          <w:lang w:val="en-US" w:eastAsia="it-IT"/>
        </w:rPr>
      </w:pPr>
    </w:p>
    <w:p w:rsidR="00A15D9D" w:rsidRPr="00A01B2C" w:rsidRDefault="00A15D9D" w:rsidP="006D687B">
      <w:pPr>
        <w:snapToGrid w:val="0"/>
        <w:spacing w:after="0" w:line="360" w:lineRule="auto"/>
        <w:jc w:val="both"/>
        <w:rPr>
          <w:rFonts w:ascii="Book Antiqua" w:hAnsi="Book Antiqua"/>
          <w:b/>
          <w:sz w:val="24"/>
          <w:szCs w:val="24"/>
          <w:lang w:val="en-US"/>
        </w:rPr>
      </w:pPr>
      <w:bookmarkStart w:id="42" w:name="OLE_LINK677"/>
      <w:bookmarkStart w:id="43" w:name="OLE_LINK678"/>
      <w:bookmarkStart w:id="44" w:name="OLE_LINK733"/>
      <w:bookmarkStart w:id="45" w:name="OLE_LINK399"/>
      <w:bookmarkStart w:id="46" w:name="OLE_LINK546"/>
      <w:bookmarkStart w:id="47" w:name="OLE_LINK594"/>
      <w:bookmarkStart w:id="48" w:name="OLE_LINK621"/>
      <w:bookmarkStart w:id="49" w:name="OLE_LINK610"/>
      <w:r w:rsidRPr="00A01B2C">
        <w:rPr>
          <w:rFonts w:ascii="Book Antiqua" w:hAnsi="Book Antiqua"/>
          <w:b/>
          <w:sz w:val="24"/>
          <w:szCs w:val="24"/>
          <w:lang w:val="en-US"/>
        </w:rPr>
        <w:t>COMMENTS</w:t>
      </w:r>
    </w:p>
    <w:p w:rsidR="006D687B" w:rsidRPr="00A01B2C" w:rsidRDefault="00A15D9D" w:rsidP="006D687B">
      <w:pPr>
        <w:autoSpaceDE w:val="0"/>
        <w:autoSpaceDN w:val="0"/>
        <w:adjustRightInd w:val="0"/>
        <w:snapToGrid w:val="0"/>
        <w:spacing w:after="0" w:line="360" w:lineRule="auto"/>
        <w:jc w:val="both"/>
        <w:rPr>
          <w:rFonts w:ascii="Book Antiqua" w:hAnsi="Book Antiqua" w:cs="Book Antiqua"/>
          <w:b/>
          <w:i/>
          <w:iCs/>
          <w:sz w:val="24"/>
          <w:szCs w:val="24"/>
          <w:lang w:val="en-US" w:eastAsia="zh-CN"/>
        </w:rPr>
      </w:pPr>
      <w:bookmarkStart w:id="50" w:name="OLE_LINK729"/>
      <w:bookmarkStart w:id="51" w:name="OLE_LINK730"/>
      <w:r w:rsidRPr="00A01B2C">
        <w:rPr>
          <w:rFonts w:ascii="Book Antiqua" w:hAnsi="Book Antiqua" w:cs="Book Antiqua"/>
          <w:b/>
          <w:i/>
          <w:iCs/>
          <w:sz w:val="24"/>
          <w:szCs w:val="24"/>
          <w:lang w:val="en-US"/>
        </w:rPr>
        <w:t>Background</w:t>
      </w:r>
    </w:p>
    <w:p w:rsidR="00A15D9D" w:rsidRPr="00A01B2C" w:rsidRDefault="00FA1E35" w:rsidP="006D687B">
      <w:pPr>
        <w:autoSpaceDE w:val="0"/>
        <w:autoSpaceDN w:val="0"/>
        <w:adjustRightInd w:val="0"/>
        <w:snapToGrid w:val="0"/>
        <w:spacing w:after="0" w:line="360" w:lineRule="auto"/>
        <w:jc w:val="both"/>
        <w:rPr>
          <w:rFonts w:ascii="Book Antiqua" w:hAnsi="Book Antiqua" w:cs="Tahoma"/>
          <w:sz w:val="24"/>
          <w:szCs w:val="24"/>
          <w:lang w:val="en-US" w:eastAsia="zh-CN"/>
        </w:rPr>
      </w:pPr>
      <w:r w:rsidRPr="00A01B2C">
        <w:rPr>
          <w:rFonts w:ascii="Book Antiqua" w:eastAsia="Times New Roman" w:hAnsi="Book Antiqua" w:cs="Tahoma"/>
          <w:sz w:val="24"/>
          <w:szCs w:val="24"/>
          <w:lang w:val="en-US" w:eastAsia="it-IT"/>
        </w:rPr>
        <w:t>In the last few years many extra</w:t>
      </w:r>
      <w:r w:rsidR="00BF0581"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esophageal manifestations have been increasingly attributed to GER and </w:t>
      </w:r>
      <w:r w:rsidR="00833E52" w:rsidRPr="00A01B2C">
        <w:rPr>
          <w:rFonts w:ascii="Book Antiqua" w:eastAsia="Times New Roman" w:hAnsi="Book Antiqua" w:cs="Tahoma"/>
          <w:sz w:val="24"/>
          <w:szCs w:val="24"/>
          <w:lang w:val="en-US" w:eastAsia="it-IT"/>
        </w:rPr>
        <w:t>laryngopharyngeal reflux (</w:t>
      </w:r>
      <w:r w:rsidRPr="00A01B2C">
        <w:rPr>
          <w:rFonts w:ascii="Book Antiqua" w:eastAsia="Times New Roman" w:hAnsi="Book Antiqua" w:cs="Tahoma"/>
          <w:sz w:val="24"/>
          <w:szCs w:val="24"/>
          <w:lang w:val="en-US" w:eastAsia="it-IT"/>
        </w:rPr>
        <w:t>LPR</w:t>
      </w:r>
      <w:r w:rsidR="00833E52"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 </w:t>
      </w:r>
      <w:r w:rsidR="00970614" w:rsidRPr="00A01B2C">
        <w:rPr>
          <w:rFonts w:ascii="Book Antiqua" w:eastAsia="Times New Roman" w:hAnsi="Book Antiqua" w:cs="Tahoma"/>
          <w:sz w:val="24"/>
          <w:szCs w:val="24"/>
          <w:lang w:val="en-US" w:eastAsia="it-IT"/>
        </w:rPr>
        <w:t xml:space="preserve">It is not clear why in some patients </w:t>
      </w:r>
      <w:r w:rsidR="00970614" w:rsidRPr="00A01B2C">
        <w:rPr>
          <w:rFonts w:ascii="Book Antiqua" w:eastAsia="Times New Roman" w:hAnsi="Book Antiqua" w:cs="Tahoma"/>
          <w:sz w:val="24"/>
          <w:szCs w:val="24"/>
          <w:lang w:val="en-US" w:eastAsia="it-IT"/>
        </w:rPr>
        <w:lastRenderedPageBreak/>
        <w:t xml:space="preserve">gastro-esophageal reflux is limited to the distal esophagus while in others it extends above the upper esophageal sphincter (UES). </w:t>
      </w:r>
    </w:p>
    <w:p w:rsidR="006D687B" w:rsidRPr="00A01B2C" w:rsidRDefault="006D687B" w:rsidP="006D687B">
      <w:pPr>
        <w:autoSpaceDE w:val="0"/>
        <w:autoSpaceDN w:val="0"/>
        <w:adjustRightInd w:val="0"/>
        <w:snapToGrid w:val="0"/>
        <w:spacing w:after="0" w:line="360" w:lineRule="auto"/>
        <w:jc w:val="both"/>
        <w:rPr>
          <w:rFonts w:ascii="Book Antiqua" w:hAnsi="Book Antiqua" w:cs="Book Antiqua"/>
          <w:b/>
          <w:i/>
          <w:iCs/>
          <w:sz w:val="24"/>
          <w:szCs w:val="24"/>
          <w:lang w:val="en-US" w:eastAsia="zh-CN"/>
        </w:rPr>
      </w:pPr>
    </w:p>
    <w:p w:rsidR="006D687B" w:rsidRPr="00A01B2C" w:rsidRDefault="00A15D9D" w:rsidP="006D687B">
      <w:pPr>
        <w:autoSpaceDE w:val="0"/>
        <w:autoSpaceDN w:val="0"/>
        <w:adjustRightInd w:val="0"/>
        <w:snapToGrid w:val="0"/>
        <w:spacing w:after="0" w:line="360" w:lineRule="auto"/>
        <w:jc w:val="both"/>
        <w:rPr>
          <w:rFonts w:ascii="Book Antiqua" w:hAnsi="Book Antiqua" w:cs="Book Antiqua"/>
          <w:b/>
          <w:i/>
          <w:iCs/>
          <w:sz w:val="24"/>
          <w:szCs w:val="24"/>
          <w:lang w:val="en-US" w:eastAsia="zh-CN"/>
        </w:rPr>
      </w:pPr>
      <w:r w:rsidRPr="00A01B2C">
        <w:rPr>
          <w:rFonts w:ascii="Book Antiqua" w:hAnsi="Book Antiqua" w:cs="Book Antiqua"/>
          <w:b/>
          <w:i/>
          <w:iCs/>
          <w:sz w:val="24"/>
          <w:szCs w:val="24"/>
          <w:lang w:val="en-US"/>
        </w:rPr>
        <w:t>Research frontiers</w:t>
      </w:r>
    </w:p>
    <w:p w:rsidR="00A15D9D" w:rsidRPr="00A01B2C" w:rsidRDefault="00EA1064" w:rsidP="006D687B">
      <w:pPr>
        <w:autoSpaceDE w:val="0"/>
        <w:autoSpaceDN w:val="0"/>
        <w:adjustRightInd w:val="0"/>
        <w:snapToGrid w:val="0"/>
        <w:spacing w:after="0" w:line="360" w:lineRule="auto"/>
        <w:jc w:val="both"/>
        <w:rPr>
          <w:rFonts w:ascii="Book Antiqua" w:hAnsi="Book Antiqua" w:cs="Tahoma"/>
          <w:sz w:val="24"/>
          <w:szCs w:val="24"/>
          <w:lang w:val="en-US" w:eastAsia="zh-CN"/>
        </w:rPr>
      </w:pPr>
      <w:r w:rsidRPr="00A01B2C">
        <w:rPr>
          <w:rFonts w:ascii="Book Antiqua" w:eastAsia="Times New Roman" w:hAnsi="Book Antiqua" w:cs="Tahoma"/>
          <w:sz w:val="24"/>
          <w:szCs w:val="24"/>
          <w:lang w:val="en-US" w:eastAsia="it-IT"/>
        </w:rPr>
        <w:t>A current hotspot is to define the cause-effect relationship between LPR and extra</w:t>
      </w:r>
      <w:r w:rsidR="00C22952"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esophageal syndromes</w:t>
      </w:r>
      <w:r w:rsidR="00BF0581" w:rsidRPr="00A01B2C">
        <w:rPr>
          <w:rFonts w:ascii="Book Antiqua" w:eastAsia="Times New Roman" w:hAnsi="Book Antiqua" w:cs="Tahoma"/>
          <w:sz w:val="24"/>
          <w:szCs w:val="24"/>
          <w:lang w:val="en-US" w:eastAsia="it-IT"/>
        </w:rPr>
        <w:t xml:space="preserve"> since their </w:t>
      </w:r>
      <w:r w:rsidRPr="00A01B2C">
        <w:rPr>
          <w:rFonts w:ascii="Book Antiqua" w:eastAsia="Times New Roman" w:hAnsi="Book Antiqua" w:cs="Tahoma"/>
          <w:sz w:val="24"/>
          <w:szCs w:val="24"/>
          <w:lang w:val="en-US" w:eastAsia="it-IT"/>
        </w:rPr>
        <w:t>diagnosis and tre</w:t>
      </w:r>
      <w:r w:rsidR="00000D26" w:rsidRPr="00A01B2C">
        <w:rPr>
          <w:rFonts w:ascii="Book Antiqua" w:eastAsia="Times New Roman" w:hAnsi="Book Antiqua" w:cs="Tahoma"/>
          <w:sz w:val="24"/>
          <w:szCs w:val="24"/>
          <w:lang w:val="en-US" w:eastAsia="it-IT"/>
        </w:rPr>
        <w:t>a</w:t>
      </w:r>
      <w:r w:rsidRPr="00A01B2C">
        <w:rPr>
          <w:rFonts w:ascii="Book Antiqua" w:eastAsia="Times New Roman" w:hAnsi="Book Antiqua" w:cs="Tahoma"/>
          <w:sz w:val="24"/>
          <w:szCs w:val="24"/>
          <w:lang w:val="en-US" w:eastAsia="it-IT"/>
        </w:rPr>
        <w:t xml:space="preserve">tment </w:t>
      </w:r>
      <w:r w:rsidR="00BF0581" w:rsidRPr="00A01B2C">
        <w:rPr>
          <w:rFonts w:ascii="Book Antiqua" w:eastAsia="Times New Roman" w:hAnsi="Book Antiqua" w:cs="Tahoma"/>
          <w:sz w:val="24"/>
          <w:szCs w:val="24"/>
          <w:lang w:val="en-US" w:eastAsia="it-IT"/>
        </w:rPr>
        <w:t xml:space="preserve">pose </w:t>
      </w:r>
      <w:r w:rsidR="00000D26" w:rsidRPr="00A01B2C">
        <w:rPr>
          <w:rFonts w:ascii="Book Antiqua" w:eastAsia="Times New Roman" w:hAnsi="Book Antiqua" w:cs="Tahoma"/>
          <w:sz w:val="24"/>
          <w:szCs w:val="24"/>
          <w:lang w:val="en-US" w:eastAsia="it-IT"/>
        </w:rPr>
        <w:t>an important economic burden.</w:t>
      </w:r>
    </w:p>
    <w:p w:rsidR="006D687B" w:rsidRPr="00A01B2C" w:rsidRDefault="006D687B" w:rsidP="006D687B">
      <w:pPr>
        <w:autoSpaceDE w:val="0"/>
        <w:autoSpaceDN w:val="0"/>
        <w:adjustRightInd w:val="0"/>
        <w:snapToGrid w:val="0"/>
        <w:spacing w:after="0" w:line="360" w:lineRule="auto"/>
        <w:jc w:val="both"/>
        <w:rPr>
          <w:rFonts w:ascii="Book Antiqua" w:hAnsi="Book Antiqua" w:cs="Tahoma"/>
          <w:sz w:val="24"/>
          <w:szCs w:val="24"/>
          <w:lang w:val="en-US" w:eastAsia="zh-CN"/>
        </w:rPr>
      </w:pPr>
    </w:p>
    <w:p w:rsidR="006D687B" w:rsidRPr="00A01B2C" w:rsidRDefault="00A15D9D" w:rsidP="006D687B">
      <w:pPr>
        <w:snapToGrid w:val="0"/>
        <w:spacing w:after="0" w:line="360" w:lineRule="auto"/>
        <w:jc w:val="both"/>
        <w:rPr>
          <w:rFonts w:ascii="Book Antiqua" w:hAnsi="Book Antiqua" w:cs="Tahoma"/>
          <w:sz w:val="24"/>
          <w:szCs w:val="24"/>
          <w:lang w:val="en-US" w:eastAsia="zh-CN"/>
        </w:rPr>
      </w:pPr>
      <w:r w:rsidRPr="00A01B2C">
        <w:rPr>
          <w:rFonts w:ascii="Book Antiqua" w:hAnsi="Book Antiqua" w:cs="Book Antiqua"/>
          <w:b/>
          <w:i/>
          <w:iCs/>
          <w:sz w:val="24"/>
          <w:szCs w:val="24"/>
          <w:lang w:val="en-US"/>
        </w:rPr>
        <w:t>Innovations and breakthrough</w:t>
      </w:r>
    </w:p>
    <w:p w:rsidR="00EA1064" w:rsidRPr="00A01B2C" w:rsidRDefault="00BF0581" w:rsidP="006D687B">
      <w:pPr>
        <w:snapToGrid w:val="0"/>
        <w:spacing w:after="0" w:line="360" w:lineRule="auto"/>
        <w:jc w:val="both"/>
        <w:rPr>
          <w:rFonts w:ascii="Book Antiqua" w:hAnsi="Book Antiqua" w:cs="Tahoma"/>
          <w:sz w:val="24"/>
          <w:szCs w:val="24"/>
          <w:lang w:val="en-US" w:eastAsia="zh-CN"/>
        </w:rPr>
      </w:pPr>
      <w:r w:rsidRPr="00A01B2C">
        <w:rPr>
          <w:rFonts w:ascii="Book Antiqua" w:eastAsia="Times New Roman" w:hAnsi="Book Antiqua" w:cs="Tahoma"/>
          <w:sz w:val="24"/>
          <w:szCs w:val="24"/>
          <w:lang w:val="en-US" w:eastAsia="it-IT"/>
        </w:rPr>
        <w:t>A</w:t>
      </w:r>
      <w:r w:rsidR="00EA1064" w:rsidRPr="00A01B2C">
        <w:rPr>
          <w:rFonts w:ascii="Book Antiqua" w:eastAsia="Times New Roman" w:hAnsi="Book Antiqua" w:cs="Tahoma"/>
          <w:sz w:val="24"/>
          <w:szCs w:val="24"/>
          <w:lang w:val="en-US" w:eastAsia="it-IT"/>
        </w:rPr>
        <w:t xml:space="preserve"> new oropharyngeal pH probe</w:t>
      </w:r>
      <w:r w:rsidRPr="00A01B2C">
        <w:rPr>
          <w:rFonts w:ascii="Book Antiqua" w:eastAsia="Times New Roman" w:hAnsi="Book Antiqua" w:cs="Tahoma"/>
          <w:sz w:val="24"/>
          <w:szCs w:val="24"/>
          <w:lang w:val="en-US" w:eastAsia="it-IT"/>
        </w:rPr>
        <w:t xml:space="preserve"> is now available </w:t>
      </w:r>
      <w:r w:rsidR="00EA1064" w:rsidRPr="00A01B2C">
        <w:rPr>
          <w:rFonts w:ascii="Book Antiqua" w:eastAsia="Times New Roman" w:hAnsi="Book Antiqua" w:cs="Tahoma"/>
          <w:sz w:val="24"/>
          <w:szCs w:val="24"/>
          <w:lang w:val="en-US" w:eastAsia="it-IT"/>
        </w:rPr>
        <w:t>which is more sensitive than traditional pH sensors for faithfully monitoring the pH of oropharyngeal reflux, and high-resolution esophageal manometry</w:t>
      </w:r>
      <w:r w:rsidRPr="00A01B2C">
        <w:rPr>
          <w:rFonts w:ascii="Book Antiqua" w:eastAsia="Times New Roman" w:hAnsi="Book Antiqua" w:cs="Tahoma"/>
          <w:sz w:val="24"/>
          <w:szCs w:val="24"/>
          <w:lang w:val="en-US" w:eastAsia="it-IT"/>
        </w:rPr>
        <w:t xml:space="preserve"> </w:t>
      </w:r>
      <w:r w:rsidR="00EA1064" w:rsidRPr="00A01B2C">
        <w:rPr>
          <w:rFonts w:ascii="Book Antiqua" w:eastAsia="Times New Roman" w:hAnsi="Book Antiqua" w:cs="Tahoma"/>
          <w:sz w:val="24"/>
          <w:szCs w:val="24"/>
          <w:lang w:val="en-US" w:eastAsia="it-IT"/>
        </w:rPr>
        <w:t xml:space="preserve">offers a major advance in defining esophageal motility abnormalities </w:t>
      </w:r>
      <w:r w:rsidRPr="00A01B2C">
        <w:rPr>
          <w:rFonts w:ascii="Book Antiqua" w:eastAsia="Times New Roman" w:hAnsi="Book Antiqua" w:cs="Tahoma"/>
          <w:sz w:val="24"/>
          <w:szCs w:val="24"/>
          <w:lang w:val="en-US" w:eastAsia="it-IT"/>
        </w:rPr>
        <w:t xml:space="preserve">compared to </w:t>
      </w:r>
      <w:r w:rsidR="00EA1064" w:rsidRPr="00A01B2C">
        <w:rPr>
          <w:rFonts w:ascii="Book Antiqua" w:eastAsia="Times New Roman" w:hAnsi="Book Antiqua" w:cs="Tahoma"/>
          <w:sz w:val="24"/>
          <w:szCs w:val="24"/>
          <w:lang w:val="en-US" w:eastAsia="it-IT"/>
        </w:rPr>
        <w:t>conventional manometry.</w:t>
      </w:r>
      <w:r w:rsidRPr="00A01B2C">
        <w:rPr>
          <w:rFonts w:ascii="Book Antiqua" w:eastAsia="Times New Roman" w:hAnsi="Book Antiqua" w:cs="Tahoma"/>
          <w:sz w:val="24"/>
          <w:szCs w:val="24"/>
          <w:lang w:val="en-US" w:eastAsia="it-IT"/>
        </w:rPr>
        <w:t xml:space="preserve"> </w:t>
      </w:r>
      <w:r w:rsidR="00EA1064" w:rsidRPr="00A01B2C">
        <w:rPr>
          <w:rFonts w:ascii="Book Antiqua" w:eastAsia="Times New Roman" w:hAnsi="Book Antiqua" w:cs="Tahoma"/>
          <w:sz w:val="24"/>
          <w:szCs w:val="24"/>
          <w:lang w:val="en-US" w:eastAsia="it-IT"/>
        </w:rPr>
        <w:t>This is the first stud</w:t>
      </w:r>
      <w:r w:rsidR="006D687B" w:rsidRPr="00A01B2C">
        <w:rPr>
          <w:rFonts w:ascii="Book Antiqua" w:eastAsia="Times New Roman" w:hAnsi="Book Antiqua" w:cs="Tahoma"/>
          <w:sz w:val="24"/>
          <w:szCs w:val="24"/>
          <w:lang w:val="en-US" w:eastAsia="it-IT"/>
        </w:rPr>
        <w:t>y comparing the two techniques.</w:t>
      </w:r>
    </w:p>
    <w:p w:rsidR="006D687B" w:rsidRPr="00A01B2C" w:rsidRDefault="006D687B" w:rsidP="006D687B">
      <w:pPr>
        <w:snapToGrid w:val="0"/>
        <w:spacing w:after="0" w:line="360" w:lineRule="auto"/>
        <w:jc w:val="both"/>
        <w:rPr>
          <w:rFonts w:ascii="Book Antiqua" w:hAnsi="Book Antiqua" w:cs="Book Antiqua"/>
          <w:b/>
          <w:sz w:val="24"/>
          <w:szCs w:val="24"/>
          <w:lang w:val="en-US" w:eastAsia="zh-CN"/>
        </w:rPr>
      </w:pPr>
    </w:p>
    <w:p w:rsidR="006D687B" w:rsidRPr="00A01B2C" w:rsidRDefault="00A15D9D" w:rsidP="006D687B">
      <w:pPr>
        <w:snapToGrid w:val="0"/>
        <w:spacing w:after="0" w:line="360" w:lineRule="auto"/>
        <w:jc w:val="both"/>
        <w:rPr>
          <w:rFonts w:ascii="Book Antiqua" w:hAnsi="Book Antiqua" w:cs="Book Antiqua"/>
          <w:b/>
          <w:i/>
          <w:iCs/>
          <w:sz w:val="24"/>
          <w:szCs w:val="24"/>
          <w:lang w:val="en-US" w:eastAsia="zh-CN"/>
        </w:rPr>
      </w:pPr>
      <w:r w:rsidRPr="00A01B2C">
        <w:rPr>
          <w:rFonts w:ascii="Book Antiqua" w:hAnsi="Book Antiqua" w:cs="Book Antiqua"/>
          <w:b/>
          <w:i/>
          <w:iCs/>
          <w:sz w:val="24"/>
          <w:szCs w:val="24"/>
          <w:lang w:val="en-US"/>
        </w:rPr>
        <w:t>Applications</w:t>
      </w:r>
    </w:p>
    <w:p w:rsidR="00000D26" w:rsidRPr="00A01B2C" w:rsidRDefault="00000D26" w:rsidP="006D687B">
      <w:pPr>
        <w:snapToGrid w:val="0"/>
        <w:spacing w:after="0" w:line="360" w:lineRule="auto"/>
        <w:jc w:val="both"/>
        <w:rPr>
          <w:rFonts w:ascii="Book Antiqua" w:hAnsi="Book Antiqua" w:cs="Tahoma"/>
          <w:sz w:val="24"/>
          <w:szCs w:val="24"/>
          <w:lang w:val="en-US" w:eastAsia="zh-CN"/>
        </w:rPr>
      </w:pPr>
      <w:r w:rsidRPr="00A01B2C">
        <w:rPr>
          <w:rFonts w:ascii="Book Antiqua" w:eastAsia="Times New Roman" w:hAnsi="Book Antiqua" w:cs="Tahoma"/>
          <w:sz w:val="24"/>
          <w:szCs w:val="24"/>
          <w:lang w:val="en-US" w:eastAsia="it-IT"/>
        </w:rPr>
        <w:t>The evidence of a correlation between pathological OP acid exposure and</w:t>
      </w:r>
      <w:r w:rsidR="00FE4B6C"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 xml:space="preserve">weak </w:t>
      </w:r>
      <w:r w:rsidR="005625EB" w:rsidRPr="00A01B2C">
        <w:rPr>
          <w:rFonts w:ascii="Book Antiqua" w:eastAsia="Times New Roman" w:hAnsi="Book Antiqua" w:cs="Tahoma"/>
          <w:sz w:val="24"/>
          <w:szCs w:val="24"/>
          <w:lang w:val="en-US" w:eastAsia="it-IT"/>
        </w:rPr>
        <w:t>(altered) e</w:t>
      </w:r>
      <w:r w:rsidRPr="00A01B2C">
        <w:rPr>
          <w:rFonts w:ascii="Book Antiqua" w:eastAsia="Times New Roman" w:hAnsi="Book Antiqua" w:cs="Tahoma"/>
          <w:sz w:val="24"/>
          <w:szCs w:val="24"/>
          <w:lang w:val="en-US" w:eastAsia="it-IT"/>
        </w:rPr>
        <w:t>sophageal motility</w:t>
      </w:r>
      <w:r w:rsidR="00C22952"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could</w:t>
      </w:r>
      <w:r w:rsidR="00FE4B6C" w:rsidRPr="00A01B2C">
        <w:rPr>
          <w:rFonts w:ascii="Book Antiqua" w:eastAsia="Times New Roman" w:hAnsi="Book Antiqua" w:cs="Tahoma"/>
          <w:sz w:val="24"/>
          <w:szCs w:val="24"/>
          <w:lang w:val="en-US" w:eastAsia="it-IT"/>
        </w:rPr>
        <w:t xml:space="preserve"> </w:t>
      </w:r>
      <w:r w:rsidRPr="00A01B2C">
        <w:rPr>
          <w:rFonts w:ascii="Book Antiqua" w:eastAsia="Times New Roman" w:hAnsi="Book Antiqua" w:cs="Tahoma"/>
          <w:sz w:val="24"/>
          <w:szCs w:val="24"/>
          <w:lang w:val="en-US" w:eastAsia="it-IT"/>
        </w:rPr>
        <w:t>change future therapeutic strategies.</w:t>
      </w:r>
    </w:p>
    <w:p w:rsidR="006D687B" w:rsidRPr="00A01B2C" w:rsidRDefault="006D687B" w:rsidP="006D687B">
      <w:pPr>
        <w:snapToGrid w:val="0"/>
        <w:spacing w:after="0" w:line="360" w:lineRule="auto"/>
        <w:jc w:val="both"/>
        <w:rPr>
          <w:rFonts w:ascii="Book Antiqua" w:hAnsi="Book Antiqua" w:cs="Tahoma"/>
          <w:sz w:val="24"/>
          <w:szCs w:val="24"/>
          <w:lang w:val="en-US" w:eastAsia="zh-CN"/>
        </w:rPr>
      </w:pPr>
    </w:p>
    <w:p w:rsidR="006D687B" w:rsidRPr="00A01B2C" w:rsidRDefault="00A15D9D" w:rsidP="006D687B">
      <w:pPr>
        <w:snapToGrid w:val="0"/>
        <w:spacing w:after="0" w:line="360" w:lineRule="auto"/>
        <w:jc w:val="both"/>
        <w:rPr>
          <w:rFonts w:ascii="Book Antiqua" w:hAnsi="Book Antiqua" w:cs="Book Antiqua"/>
          <w:b/>
          <w:i/>
          <w:iCs/>
          <w:sz w:val="24"/>
          <w:szCs w:val="24"/>
          <w:lang w:val="en-US" w:eastAsia="zh-CN"/>
        </w:rPr>
      </w:pPr>
      <w:r w:rsidRPr="00A01B2C">
        <w:rPr>
          <w:rFonts w:ascii="Book Antiqua" w:hAnsi="Book Antiqua" w:cs="Book Antiqua"/>
          <w:b/>
          <w:i/>
          <w:iCs/>
          <w:sz w:val="24"/>
          <w:szCs w:val="24"/>
          <w:lang w:val="en-US"/>
        </w:rPr>
        <w:t>Terminology</w:t>
      </w:r>
    </w:p>
    <w:p w:rsidR="002B302C" w:rsidRPr="00A01B2C" w:rsidRDefault="006F6184" w:rsidP="006D687B">
      <w:pPr>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 xml:space="preserve">According to </w:t>
      </w:r>
      <w:r w:rsidR="00C22952" w:rsidRPr="00A01B2C">
        <w:rPr>
          <w:rFonts w:ascii="Book Antiqua" w:eastAsia="Times New Roman" w:hAnsi="Book Antiqua" w:cs="Tahoma"/>
          <w:sz w:val="24"/>
          <w:szCs w:val="24"/>
          <w:lang w:val="en-US" w:eastAsia="it-IT"/>
        </w:rPr>
        <w:t xml:space="preserve">the </w:t>
      </w:r>
      <w:r w:rsidRPr="00A01B2C">
        <w:rPr>
          <w:rFonts w:ascii="Book Antiqua" w:eastAsia="Times New Roman" w:hAnsi="Book Antiqua" w:cs="Tahoma"/>
          <w:sz w:val="24"/>
          <w:szCs w:val="24"/>
          <w:lang w:val="en-US" w:eastAsia="it-IT"/>
        </w:rPr>
        <w:t>Montreal classification of GERD, the manifestations of the disease are divided into esophageal and extra</w:t>
      </w:r>
      <w:r w:rsidR="00951F16"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esophageal syndromes. Extra</w:t>
      </w:r>
      <w:r w:rsidR="00951F16"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 xml:space="preserve">esophageal syndromes are further divided into </w:t>
      </w:r>
      <w:r w:rsidR="00783F7F" w:rsidRPr="00A01B2C">
        <w:rPr>
          <w:rFonts w:ascii="Book Antiqua" w:eastAsia="Times New Roman" w:hAnsi="Book Antiqua" w:cs="Tahoma"/>
          <w:sz w:val="24"/>
          <w:szCs w:val="24"/>
          <w:lang w:val="en-US" w:eastAsia="it-IT"/>
        </w:rPr>
        <w:t>syndromes with an estab</w:t>
      </w:r>
      <w:r w:rsidRPr="00A01B2C">
        <w:rPr>
          <w:rFonts w:ascii="Book Antiqua" w:eastAsia="Times New Roman" w:hAnsi="Book Antiqua" w:cs="Tahoma"/>
          <w:sz w:val="24"/>
          <w:szCs w:val="24"/>
          <w:lang w:val="en-US" w:eastAsia="it-IT"/>
        </w:rPr>
        <w:t xml:space="preserve">lished </w:t>
      </w:r>
      <w:r w:rsidR="00783F7F" w:rsidRPr="00A01B2C">
        <w:rPr>
          <w:rFonts w:ascii="Book Antiqua" w:eastAsia="Times New Roman" w:hAnsi="Book Antiqua" w:cs="Tahoma"/>
          <w:sz w:val="24"/>
          <w:szCs w:val="24"/>
          <w:lang w:val="en-US" w:eastAsia="it-IT"/>
        </w:rPr>
        <w:t xml:space="preserve">association </w:t>
      </w:r>
      <w:r w:rsidR="00951F16" w:rsidRPr="00A01B2C">
        <w:rPr>
          <w:rFonts w:ascii="Book Antiqua" w:eastAsia="Times New Roman" w:hAnsi="Book Antiqua" w:cs="Tahoma"/>
          <w:sz w:val="24"/>
          <w:szCs w:val="24"/>
          <w:lang w:val="en-US" w:eastAsia="it-IT"/>
        </w:rPr>
        <w:t>with</w:t>
      </w:r>
      <w:r w:rsidR="00311A1B" w:rsidRPr="00A01B2C">
        <w:rPr>
          <w:rFonts w:ascii="Book Antiqua" w:eastAsia="Times New Roman" w:hAnsi="Book Antiqua" w:cs="Tahoma"/>
          <w:sz w:val="24"/>
          <w:szCs w:val="24"/>
          <w:lang w:val="en-US" w:eastAsia="it-IT"/>
        </w:rPr>
        <w:t xml:space="preserve"> </w:t>
      </w:r>
      <w:r w:rsidR="00783F7F" w:rsidRPr="00A01B2C">
        <w:rPr>
          <w:rFonts w:ascii="Book Antiqua" w:eastAsia="Times New Roman" w:hAnsi="Book Antiqua" w:cs="Tahoma"/>
          <w:sz w:val="24"/>
          <w:szCs w:val="24"/>
          <w:lang w:val="en-US" w:eastAsia="it-IT"/>
        </w:rPr>
        <w:t>GERD (cough, laryngitis, asthma, dental erosion) and syndromes with a</w:t>
      </w:r>
      <w:r w:rsidRPr="00A01B2C">
        <w:rPr>
          <w:rFonts w:ascii="Book Antiqua" w:eastAsia="Times New Roman" w:hAnsi="Book Antiqua" w:cs="Tahoma"/>
          <w:sz w:val="24"/>
          <w:szCs w:val="24"/>
          <w:lang w:val="en-US" w:eastAsia="it-IT"/>
        </w:rPr>
        <w:t xml:space="preserve"> proposed </w:t>
      </w:r>
      <w:r w:rsidR="00783F7F" w:rsidRPr="00A01B2C">
        <w:rPr>
          <w:rFonts w:ascii="Book Antiqua" w:eastAsia="Times New Roman" w:hAnsi="Book Antiqua" w:cs="Tahoma"/>
          <w:sz w:val="24"/>
          <w:szCs w:val="24"/>
          <w:lang w:val="en-US" w:eastAsia="it-IT"/>
        </w:rPr>
        <w:t xml:space="preserve">association </w:t>
      </w:r>
      <w:r w:rsidR="006C276C" w:rsidRPr="00A01B2C">
        <w:rPr>
          <w:rFonts w:ascii="Book Antiqua" w:eastAsia="Times New Roman" w:hAnsi="Book Antiqua" w:cs="Tahoma"/>
          <w:sz w:val="24"/>
          <w:szCs w:val="24"/>
          <w:lang w:val="en-US" w:eastAsia="it-IT"/>
        </w:rPr>
        <w:t xml:space="preserve">with </w:t>
      </w:r>
      <w:r w:rsidR="00783F7F" w:rsidRPr="00A01B2C">
        <w:rPr>
          <w:rFonts w:ascii="Book Antiqua" w:eastAsia="Times New Roman" w:hAnsi="Book Antiqua" w:cs="Tahoma"/>
          <w:sz w:val="24"/>
          <w:szCs w:val="24"/>
          <w:lang w:val="en-US" w:eastAsia="it-IT"/>
        </w:rPr>
        <w:t xml:space="preserve">GERD (pharyngitis, sinusitis, idiopathic pulmonary fibrosis, </w:t>
      </w:r>
      <w:r w:rsidR="00F1587A" w:rsidRPr="00A01B2C">
        <w:rPr>
          <w:rFonts w:ascii="Book Antiqua" w:eastAsia="Times New Roman" w:hAnsi="Book Antiqua" w:cs="Tahoma"/>
          <w:sz w:val="24"/>
          <w:szCs w:val="24"/>
          <w:lang w:val="en-US" w:eastAsia="it-IT"/>
        </w:rPr>
        <w:t>recurrent otitis media</w:t>
      </w:r>
      <w:r w:rsidR="00783F7F" w:rsidRPr="00A01B2C">
        <w:rPr>
          <w:rFonts w:ascii="Book Antiqua" w:eastAsia="Times New Roman" w:hAnsi="Book Antiqua" w:cs="Tahoma"/>
          <w:sz w:val="24"/>
          <w:szCs w:val="24"/>
          <w:lang w:val="en-US" w:eastAsia="it-IT"/>
        </w:rPr>
        <w:t>).</w:t>
      </w:r>
      <w:r w:rsidR="006D687B" w:rsidRPr="00A01B2C">
        <w:rPr>
          <w:rFonts w:ascii="Book Antiqua" w:hAnsi="Book Antiqua" w:cs="Tahoma" w:hint="eastAsia"/>
          <w:sz w:val="24"/>
          <w:szCs w:val="24"/>
          <w:lang w:val="en-US" w:eastAsia="zh-CN"/>
        </w:rPr>
        <w:t xml:space="preserve"> </w:t>
      </w:r>
      <w:r w:rsidR="00EA430D" w:rsidRPr="00A01B2C">
        <w:rPr>
          <w:rFonts w:ascii="Book Antiqua" w:eastAsia="Times New Roman" w:hAnsi="Book Antiqua" w:cs="Tahoma"/>
          <w:sz w:val="24"/>
          <w:szCs w:val="24"/>
          <w:lang w:val="en-US" w:eastAsia="it-IT"/>
        </w:rPr>
        <w:t>“</w:t>
      </w:r>
      <w:r w:rsidR="006D687B" w:rsidRPr="00A01B2C">
        <w:rPr>
          <w:rFonts w:ascii="Book Antiqua" w:eastAsia="Times New Roman" w:hAnsi="Book Antiqua" w:cs="Tahoma"/>
          <w:sz w:val="24"/>
          <w:szCs w:val="24"/>
          <w:lang w:val="en-US" w:eastAsia="it-IT"/>
        </w:rPr>
        <w:t>LPR</w:t>
      </w:r>
      <w:r w:rsidR="00EA430D" w:rsidRPr="00A01B2C">
        <w:rPr>
          <w:rFonts w:ascii="Book Antiqua" w:eastAsia="Times New Roman" w:hAnsi="Book Antiqua" w:cs="Tahoma"/>
          <w:sz w:val="24"/>
          <w:szCs w:val="24"/>
          <w:lang w:val="en-US" w:eastAsia="it-IT"/>
        </w:rPr>
        <w:t xml:space="preserve">” is </w:t>
      </w:r>
      <w:r w:rsidR="006C276C" w:rsidRPr="00A01B2C">
        <w:rPr>
          <w:rFonts w:ascii="Book Antiqua" w:eastAsia="Times New Roman" w:hAnsi="Book Antiqua" w:cs="Tahoma"/>
          <w:sz w:val="24"/>
          <w:szCs w:val="24"/>
          <w:lang w:val="en-US" w:eastAsia="it-IT"/>
        </w:rPr>
        <w:t xml:space="preserve">the term </w:t>
      </w:r>
      <w:r w:rsidR="00EA430D" w:rsidRPr="00A01B2C">
        <w:rPr>
          <w:rFonts w:ascii="Book Antiqua" w:eastAsia="Times New Roman" w:hAnsi="Book Antiqua" w:cs="Tahoma"/>
          <w:sz w:val="24"/>
          <w:szCs w:val="24"/>
          <w:lang w:val="en-US" w:eastAsia="it-IT"/>
        </w:rPr>
        <w:t xml:space="preserve">used to define the reflux of gastric content through the esophagus, reaching </w:t>
      </w:r>
      <w:r w:rsidR="006C276C" w:rsidRPr="00A01B2C">
        <w:rPr>
          <w:rFonts w:ascii="Book Antiqua" w:eastAsia="Times New Roman" w:hAnsi="Book Antiqua" w:cs="Tahoma"/>
          <w:sz w:val="24"/>
          <w:szCs w:val="24"/>
          <w:lang w:val="en-US" w:eastAsia="it-IT"/>
        </w:rPr>
        <w:t xml:space="preserve">the </w:t>
      </w:r>
      <w:r w:rsidR="00EA430D" w:rsidRPr="00A01B2C">
        <w:rPr>
          <w:rFonts w:ascii="Book Antiqua" w:eastAsia="Times New Roman" w:hAnsi="Book Antiqua" w:cs="Tahoma"/>
          <w:sz w:val="24"/>
          <w:szCs w:val="24"/>
          <w:lang w:val="en-US" w:eastAsia="it-IT"/>
        </w:rPr>
        <w:t>upper UES</w:t>
      </w:r>
      <w:r w:rsidR="006D687B" w:rsidRPr="00A01B2C">
        <w:rPr>
          <w:rFonts w:ascii="Book Antiqua" w:hAnsi="Book Antiqua" w:cs="Tahoma" w:hint="eastAsia"/>
          <w:sz w:val="24"/>
          <w:szCs w:val="24"/>
          <w:lang w:val="en-US" w:eastAsia="zh-CN"/>
        </w:rPr>
        <w:t xml:space="preserve"> </w:t>
      </w:r>
      <w:r w:rsidR="00EA430D" w:rsidRPr="00A01B2C">
        <w:rPr>
          <w:rFonts w:ascii="Book Antiqua" w:eastAsia="Times New Roman" w:hAnsi="Book Antiqua" w:cs="Tahoma"/>
          <w:sz w:val="24"/>
          <w:szCs w:val="24"/>
          <w:lang w:val="en-US" w:eastAsia="it-IT"/>
        </w:rPr>
        <w:t>and pharynx.</w:t>
      </w:r>
    </w:p>
    <w:p w:rsidR="006D687B" w:rsidRPr="00A01B2C" w:rsidRDefault="006D687B" w:rsidP="006D687B">
      <w:pPr>
        <w:snapToGrid w:val="0"/>
        <w:spacing w:after="0" w:line="360" w:lineRule="auto"/>
        <w:jc w:val="both"/>
        <w:rPr>
          <w:rFonts w:ascii="Book Antiqua" w:hAnsi="Book Antiqua" w:cs="Book Antiqua"/>
          <w:b/>
          <w:i/>
          <w:iCs/>
          <w:sz w:val="24"/>
          <w:szCs w:val="24"/>
          <w:lang w:val="en-US" w:eastAsia="zh-CN"/>
        </w:rPr>
      </w:pPr>
    </w:p>
    <w:p w:rsidR="006D687B" w:rsidRPr="00A01B2C" w:rsidRDefault="00A15D9D" w:rsidP="006D687B">
      <w:pPr>
        <w:snapToGrid w:val="0"/>
        <w:spacing w:after="0" w:line="360" w:lineRule="auto"/>
        <w:jc w:val="both"/>
        <w:rPr>
          <w:rFonts w:ascii="Book Antiqua" w:hAnsi="Book Antiqua" w:cs="Times New Roman"/>
          <w:b/>
          <w:sz w:val="24"/>
          <w:szCs w:val="24"/>
          <w:lang w:val="en-GB" w:eastAsia="zh-CN"/>
        </w:rPr>
      </w:pPr>
      <w:bookmarkStart w:id="52" w:name="OLE_LINK493"/>
      <w:bookmarkStart w:id="53" w:name="OLE_LINK494"/>
      <w:r w:rsidRPr="00A01B2C">
        <w:rPr>
          <w:rFonts w:ascii="Book Antiqua" w:hAnsi="Book Antiqua" w:cs="Book Antiqua"/>
          <w:b/>
          <w:i/>
          <w:iCs/>
          <w:sz w:val="24"/>
          <w:szCs w:val="24"/>
          <w:lang w:val="en-US"/>
        </w:rPr>
        <w:t>Peer-review</w:t>
      </w:r>
      <w:bookmarkEnd w:id="42"/>
      <w:bookmarkEnd w:id="43"/>
      <w:bookmarkEnd w:id="44"/>
      <w:bookmarkEnd w:id="45"/>
      <w:bookmarkEnd w:id="46"/>
      <w:bookmarkEnd w:id="47"/>
      <w:bookmarkEnd w:id="48"/>
      <w:bookmarkEnd w:id="50"/>
      <w:bookmarkEnd w:id="51"/>
      <w:bookmarkEnd w:id="52"/>
      <w:bookmarkEnd w:id="53"/>
    </w:p>
    <w:p w:rsidR="00A15D9D" w:rsidRPr="00A01B2C" w:rsidRDefault="00001C06" w:rsidP="006D687B">
      <w:pPr>
        <w:snapToGrid w:val="0"/>
        <w:spacing w:after="0" w:line="360" w:lineRule="auto"/>
        <w:jc w:val="both"/>
        <w:rPr>
          <w:rFonts w:ascii="Book Antiqua" w:hAnsi="Book Antiqua" w:cs="Times New Roman"/>
          <w:sz w:val="24"/>
          <w:szCs w:val="24"/>
          <w:lang w:val="en-GB"/>
        </w:rPr>
      </w:pPr>
      <w:r w:rsidRPr="00A01B2C">
        <w:rPr>
          <w:rFonts w:ascii="Book Antiqua" w:eastAsia="Times New Roman" w:hAnsi="Book Antiqua" w:cs="Tahoma"/>
          <w:sz w:val="24"/>
          <w:szCs w:val="24"/>
          <w:lang w:val="en-US" w:eastAsia="it-IT"/>
        </w:rPr>
        <w:t xml:space="preserve">This study is </w:t>
      </w:r>
      <w:r w:rsidR="006C276C" w:rsidRPr="00A01B2C">
        <w:rPr>
          <w:rFonts w:ascii="Book Antiqua" w:eastAsia="Times New Roman" w:hAnsi="Book Antiqua" w:cs="Tahoma"/>
          <w:sz w:val="24"/>
          <w:szCs w:val="24"/>
          <w:lang w:val="en-US" w:eastAsia="it-IT"/>
        </w:rPr>
        <w:t>d</w:t>
      </w:r>
      <w:r w:rsidRPr="00A01B2C">
        <w:rPr>
          <w:rFonts w:ascii="Book Antiqua" w:eastAsia="Times New Roman" w:hAnsi="Book Antiqua" w:cs="Tahoma"/>
          <w:sz w:val="24"/>
          <w:szCs w:val="24"/>
          <w:lang w:val="en-US" w:eastAsia="it-IT"/>
        </w:rPr>
        <w:t xml:space="preserve">eemed </w:t>
      </w:r>
      <w:r w:rsidR="006C276C" w:rsidRPr="00A01B2C">
        <w:rPr>
          <w:rFonts w:ascii="Book Antiqua" w:eastAsia="Times New Roman" w:hAnsi="Book Antiqua" w:cs="Tahoma"/>
          <w:sz w:val="24"/>
          <w:szCs w:val="24"/>
          <w:lang w:val="en-US" w:eastAsia="it-IT"/>
        </w:rPr>
        <w:t xml:space="preserve">worthwhile since </w:t>
      </w:r>
      <w:r w:rsidRPr="00A01B2C">
        <w:rPr>
          <w:rFonts w:ascii="Book Antiqua" w:eastAsia="Times New Roman" w:hAnsi="Book Antiqua" w:cs="Tahoma"/>
          <w:sz w:val="24"/>
          <w:szCs w:val="24"/>
          <w:lang w:val="en-US" w:eastAsia="it-IT"/>
        </w:rPr>
        <w:t xml:space="preserve">the authors investigated the relationship between pathological oropharyngeal (OP) acid exposure and esophageal motility in patients with </w:t>
      </w:r>
      <w:r w:rsidR="006C276C" w:rsidRPr="00A01B2C">
        <w:rPr>
          <w:rFonts w:ascii="Book Antiqua" w:eastAsia="Times New Roman" w:hAnsi="Book Antiqua" w:cs="Tahoma"/>
          <w:sz w:val="24"/>
          <w:szCs w:val="24"/>
          <w:lang w:val="en-US" w:eastAsia="it-IT"/>
        </w:rPr>
        <w:t xml:space="preserve">extra-esophageal syndromes suspected to be related to </w:t>
      </w:r>
      <w:r w:rsidRPr="00A01B2C">
        <w:rPr>
          <w:rFonts w:ascii="Book Antiqua" w:eastAsia="Times New Roman" w:hAnsi="Book Antiqua" w:cs="Tahoma"/>
          <w:sz w:val="24"/>
          <w:szCs w:val="24"/>
          <w:lang w:val="en-US" w:eastAsia="it-IT"/>
        </w:rPr>
        <w:t xml:space="preserve">gastro-esophageal reflux disease (GERD. </w:t>
      </w:r>
      <w:r w:rsidR="006C276C" w:rsidRPr="00A01B2C">
        <w:rPr>
          <w:rFonts w:ascii="Book Antiqua" w:eastAsia="Times New Roman" w:hAnsi="Book Antiqua" w:cs="Tahoma"/>
          <w:sz w:val="24"/>
          <w:szCs w:val="24"/>
          <w:lang w:val="en-US" w:eastAsia="it-IT"/>
        </w:rPr>
        <w:t>The</w:t>
      </w:r>
      <w:r w:rsidRPr="00A01B2C">
        <w:rPr>
          <w:rFonts w:ascii="Book Antiqua" w:eastAsia="Times New Roman" w:hAnsi="Book Antiqua" w:cs="Tahoma"/>
          <w:sz w:val="24"/>
          <w:szCs w:val="24"/>
          <w:lang w:val="en-US" w:eastAsia="it-IT"/>
        </w:rPr>
        <w:t xml:space="preserve"> authors </w:t>
      </w:r>
      <w:r w:rsidR="006C276C" w:rsidRPr="00A01B2C">
        <w:rPr>
          <w:rFonts w:ascii="Book Antiqua" w:eastAsia="Times New Roman" w:hAnsi="Book Antiqua" w:cs="Tahoma"/>
          <w:sz w:val="24"/>
          <w:szCs w:val="24"/>
          <w:lang w:val="en-US" w:eastAsia="it-IT"/>
        </w:rPr>
        <w:t xml:space="preserve">also </w:t>
      </w:r>
      <w:r w:rsidRPr="00A01B2C">
        <w:rPr>
          <w:rFonts w:ascii="Book Antiqua" w:eastAsia="Times New Roman" w:hAnsi="Book Antiqua" w:cs="Tahoma"/>
          <w:sz w:val="24"/>
          <w:szCs w:val="24"/>
          <w:lang w:val="en-US" w:eastAsia="it-IT"/>
        </w:rPr>
        <w:t xml:space="preserve">suggest that pathological OP acid exposure is associated with </w:t>
      </w:r>
      <w:r w:rsidRPr="00A01B2C">
        <w:rPr>
          <w:rFonts w:ascii="Book Antiqua" w:eastAsia="Times New Roman" w:hAnsi="Book Antiqua" w:cs="Tahoma"/>
          <w:sz w:val="24"/>
          <w:szCs w:val="24"/>
          <w:lang w:val="en-US" w:eastAsia="it-IT"/>
        </w:rPr>
        <w:lastRenderedPageBreak/>
        <w:t>weaker proximal esophageal motility in patients with suspected GERD-related extra</w:t>
      </w:r>
      <w:r w:rsidR="006C276C" w:rsidRPr="00A01B2C">
        <w:rPr>
          <w:rFonts w:ascii="Book Antiqua" w:eastAsia="Times New Roman" w:hAnsi="Book Antiqua" w:cs="Tahoma"/>
          <w:sz w:val="24"/>
          <w:szCs w:val="24"/>
          <w:lang w:val="en-US" w:eastAsia="it-IT"/>
        </w:rPr>
        <w:t>-</w:t>
      </w:r>
      <w:r w:rsidRPr="00A01B2C">
        <w:rPr>
          <w:rFonts w:ascii="Book Antiqua" w:eastAsia="Times New Roman" w:hAnsi="Book Antiqua" w:cs="Tahoma"/>
          <w:sz w:val="24"/>
          <w:szCs w:val="24"/>
          <w:lang w:val="en-US" w:eastAsia="it-IT"/>
        </w:rPr>
        <w:t>esophageal syndromes. Although the results and discussions will satiate the readers’ interest, I ha</w:t>
      </w:r>
      <w:r w:rsidR="0063547F" w:rsidRPr="00A01B2C">
        <w:rPr>
          <w:rFonts w:ascii="Book Antiqua" w:eastAsia="Times New Roman" w:hAnsi="Book Antiqua" w:cs="Tahoma"/>
          <w:sz w:val="24"/>
          <w:szCs w:val="24"/>
          <w:lang w:val="en-US" w:eastAsia="it-IT"/>
        </w:rPr>
        <w:t>ve</w:t>
      </w:r>
      <w:r w:rsidRPr="00A01B2C">
        <w:rPr>
          <w:rFonts w:ascii="Book Antiqua" w:eastAsia="Times New Roman" w:hAnsi="Book Antiqua" w:cs="Tahoma"/>
          <w:sz w:val="24"/>
          <w:szCs w:val="24"/>
          <w:lang w:val="en-US" w:eastAsia="it-IT"/>
        </w:rPr>
        <w:t xml:space="preserve"> some comments mentioned below.</w:t>
      </w:r>
    </w:p>
    <w:bookmarkEnd w:id="49"/>
    <w:p w:rsidR="006D687B" w:rsidRPr="00A01B2C" w:rsidRDefault="006D687B">
      <w:pPr>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br w:type="page"/>
      </w:r>
    </w:p>
    <w:p w:rsidR="00130C3A" w:rsidRPr="00A01B2C" w:rsidRDefault="00130C3A" w:rsidP="006D687B">
      <w:pPr>
        <w:autoSpaceDE w:val="0"/>
        <w:autoSpaceDN w:val="0"/>
        <w:adjustRightInd w:val="0"/>
        <w:snapToGrid w:val="0"/>
        <w:spacing w:after="0" w:line="360" w:lineRule="auto"/>
        <w:jc w:val="both"/>
        <w:rPr>
          <w:rFonts w:ascii="Book Antiqua" w:hAnsi="Book Antiqua" w:cs="Tahoma"/>
          <w:b/>
          <w:sz w:val="24"/>
          <w:szCs w:val="24"/>
          <w:lang w:val="en-US" w:eastAsia="zh-CN"/>
        </w:rPr>
      </w:pPr>
      <w:r w:rsidRPr="00A01B2C">
        <w:rPr>
          <w:rFonts w:ascii="Book Antiqua" w:eastAsia="Times New Roman" w:hAnsi="Book Antiqua" w:cs="Tahoma"/>
          <w:b/>
          <w:sz w:val="24"/>
          <w:szCs w:val="24"/>
          <w:lang w:val="en-US" w:eastAsia="it-IT"/>
        </w:rPr>
        <w:lastRenderedPageBreak/>
        <w:t>REFERENCES</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1 </w:t>
      </w:r>
      <w:r w:rsidRPr="001D2D77">
        <w:rPr>
          <w:rFonts w:ascii="Book Antiqua" w:eastAsia="SimSun" w:hAnsi="Book Antiqua" w:cs="SimSun"/>
          <w:b/>
          <w:bCs/>
          <w:sz w:val="24"/>
          <w:szCs w:val="24"/>
          <w:lang w:val="en-US" w:eastAsia="zh-CN"/>
        </w:rPr>
        <w:t>Vakil N</w:t>
      </w:r>
      <w:r w:rsidRPr="001D2D77">
        <w:rPr>
          <w:rFonts w:ascii="Book Antiqua" w:eastAsia="SimSun" w:hAnsi="Book Antiqua" w:cs="SimSun"/>
          <w:sz w:val="24"/>
          <w:szCs w:val="24"/>
          <w:lang w:val="en-US" w:eastAsia="zh-CN"/>
        </w:rPr>
        <w:t>, van Zanten SV, Kahrilas P, Dent J, Jones R</w:t>
      </w:r>
      <w:r w:rsidRPr="001D2D77">
        <w:rPr>
          <w:rFonts w:ascii="Book Antiqua" w:eastAsia="Times New Roman" w:hAnsi="Book Antiqua" w:cs="Tahoma"/>
          <w:sz w:val="24"/>
          <w:szCs w:val="24"/>
          <w:lang w:val="en-US" w:eastAsia="it-IT"/>
        </w:rPr>
        <w:t>; Global Consensus Group.</w:t>
      </w:r>
      <w:r w:rsidRPr="001D2D77">
        <w:rPr>
          <w:rFonts w:ascii="Book Antiqua" w:eastAsia="SimSun" w:hAnsi="Book Antiqua" w:cs="SimSun"/>
          <w:sz w:val="24"/>
          <w:szCs w:val="24"/>
          <w:lang w:val="en-US" w:eastAsia="zh-CN"/>
        </w:rPr>
        <w:t xml:space="preserve"> The Montreal definition and classification of gastroesophageal reflux disease: a global evidence-based consensus. </w:t>
      </w:r>
      <w:r w:rsidRPr="001D2D77">
        <w:rPr>
          <w:rFonts w:ascii="Book Antiqua" w:eastAsia="SimSun" w:hAnsi="Book Antiqua" w:cs="SimSun"/>
          <w:i/>
          <w:iCs/>
          <w:sz w:val="24"/>
          <w:szCs w:val="24"/>
          <w:lang w:val="en-US" w:eastAsia="zh-CN"/>
        </w:rPr>
        <w:t>Am J Gastroenterol</w:t>
      </w:r>
      <w:r w:rsidRPr="001D2D77">
        <w:rPr>
          <w:rFonts w:ascii="Book Antiqua" w:eastAsia="SimSun" w:hAnsi="Book Antiqua" w:cs="SimSun"/>
          <w:sz w:val="24"/>
          <w:szCs w:val="24"/>
          <w:lang w:val="en-US" w:eastAsia="zh-CN"/>
        </w:rPr>
        <w:t> 2006; </w:t>
      </w:r>
      <w:r w:rsidRPr="001D2D77">
        <w:rPr>
          <w:rFonts w:ascii="Book Antiqua" w:eastAsia="SimSun" w:hAnsi="Book Antiqua" w:cs="SimSun"/>
          <w:b/>
          <w:bCs/>
          <w:sz w:val="24"/>
          <w:szCs w:val="24"/>
          <w:lang w:val="en-US" w:eastAsia="zh-CN"/>
        </w:rPr>
        <w:t>101</w:t>
      </w:r>
      <w:r w:rsidRPr="001D2D77">
        <w:rPr>
          <w:rFonts w:ascii="Book Antiqua" w:eastAsia="SimSun" w:hAnsi="Book Antiqua" w:cs="SimSun"/>
          <w:sz w:val="24"/>
          <w:szCs w:val="24"/>
          <w:lang w:val="en-US" w:eastAsia="zh-CN"/>
        </w:rPr>
        <w:t>: 1900-1</w:t>
      </w:r>
      <w:r w:rsidRPr="001D2D77">
        <w:rPr>
          <w:rFonts w:ascii="Book Antiqua" w:eastAsia="SimSun" w:hAnsi="Book Antiqua" w:cs="SimSun" w:hint="eastAsia"/>
          <w:sz w:val="24"/>
          <w:szCs w:val="24"/>
          <w:lang w:val="en-US" w:eastAsia="zh-CN"/>
        </w:rPr>
        <w:t>9</w:t>
      </w:r>
      <w:r w:rsidRPr="001D2D77">
        <w:rPr>
          <w:rFonts w:ascii="Book Antiqua" w:eastAsia="SimSun" w:hAnsi="Book Antiqua" w:cs="SimSun"/>
          <w:sz w:val="24"/>
          <w:szCs w:val="24"/>
          <w:lang w:val="en-US" w:eastAsia="zh-CN"/>
        </w:rPr>
        <w:t>20; quiz 1943 [PMID: 16928254 DOI: 10.1111/j.]</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2 </w:t>
      </w:r>
      <w:r w:rsidRPr="001D2D77">
        <w:rPr>
          <w:rFonts w:ascii="Book Antiqua" w:eastAsia="SimSun" w:hAnsi="Book Antiqua" w:cs="SimSun"/>
          <w:b/>
          <w:bCs/>
          <w:sz w:val="24"/>
          <w:szCs w:val="24"/>
          <w:lang w:val="en-US" w:eastAsia="zh-CN"/>
        </w:rPr>
        <w:t>Vaezi MF</w:t>
      </w:r>
      <w:r w:rsidRPr="001D2D77">
        <w:rPr>
          <w:rFonts w:ascii="Book Antiqua" w:eastAsia="SimSun" w:hAnsi="Book Antiqua" w:cs="SimSun"/>
          <w:sz w:val="24"/>
          <w:szCs w:val="24"/>
          <w:lang w:val="en-US" w:eastAsia="zh-CN"/>
        </w:rPr>
        <w:t>, Hicks DM, Abelson TI, Richter JE. Laryngeal signs and symptoms and gastroesophageal reflux disease (GERD): a critical assessment of cause and effect association. </w:t>
      </w:r>
      <w:r w:rsidRPr="001D2D77">
        <w:rPr>
          <w:rFonts w:ascii="Book Antiqua" w:eastAsia="SimSun" w:hAnsi="Book Antiqua" w:cs="SimSun"/>
          <w:i/>
          <w:iCs/>
          <w:sz w:val="24"/>
          <w:szCs w:val="24"/>
          <w:lang w:val="en-US" w:eastAsia="zh-CN"/>
        </w:rPr>
        <w:t>Clin Gastroenterol Hepatol</w:t>
      </w:r>
      <w:r w:rsidRPr="001D2D77">
        <w:rPr>
          <w:rFonts w:ascii="Book Antiqua" w:eastAsia="SimSun" w:hAnsi="Book Antiqua" w:cs="SimSun"/>
          <w:sz w:val="24"/>
          <w:szCs w:val="24"/>
          <w:lang w:val="en-US" w:eastAsia="zh-CN"/>
        </w:rPr>
        <w:t> 2003; </w:t>
      </w:r>
      <w:r w:rsidRPr="001D2D77">
        <w:rPr>
          <w:rFonts w:ascii="Book Antiqua" w:eastAsia="SimSun" w:hAnsi="Book Antiqua" w:cs="SimSun"/>
          <w:b/>
          <w:bCs/>
          <w:sz w:val="24"/>
          <w:szCs w:val="24"/>
          <w:lang w:val="en-US" w:eastAsia="zh-CN"/>
        </w:rPr>
        <w:t>1</w:t>
      </w:r>
      <w:r w:rsidRPr="001D2D77">
        <w:rPr>
          <w:rFonts w:ascii="Book Antiqua" w:eastAsia="SimSun" w:hAnsi="Book Antiqua" w:cs="SimSun"/>
          <w:sz w:val="24"/>
          <w:szCs w:val="24"/>
          <w:lang w:val="en-US" w:eastAsia="zh-CN"/>
        </w:rPr>
        <w:t>: 333-344 [PMID: 15017651 DOI: 10.1053/S1542-3565(03)00177-0]</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3 </w:t>
      </w:r>
      <w:r w:rsidRPr="001D2D77">
        <w:rPr>
          <w:rFonts w:ascii="Book Antiqua" w:eastAsia="SimSun" w:hAnsi="Book Antiqua" w:cs="SimSun"/>
          <w:b/>
          <w:bCs/>
          <w:sz w:val="24"/>
          <w:szCs w:val="24"/>
          <w:lang w:val="en-US" w:eastAsia="zh-CN"/>
        </w:rPr>
        <w:t>Wiener GJ</w:t>
      </w:r>
      <w:r w:rsidRPr="001D2D77">
        <w:rPr>
          <w:rFonts w:ascii="Book Antiqua" w:eastAsia="SimSun" w:hAnsi="Book Antiqua" w:cs="SimSun"/>
          <w:sz w:val="24"/>
          <w:szCs w:val="24"/>
          <w:lang w:val="en-US" w:eastAsia="zh-CN"/>
        </w:rPr>
        <w:t>, Koufman JA, Wu WC, Cooper JB, Richter JE, Castell DO. Chronic hoarseness secondary to gastroesophageal reflux disease: documentation with 24-h ambulatory pH monitoring. </w:t>
      </w:r>
      <w:r w:rsidRPr="001D2D77">
        <w:rPr>
          <w:rFonts w:ascii="Book Antiqua" w:eastAsia="SimSun" w:hAnsi="Book Antiqua" w:cs="SimSun"/>
          <w:i/>
          <w:iCs/>
          <w:sz w:val="24"/>
          <w:szCs w:val="24"/>
          <w:lang w:val="en-US" w:eastAsia="zh-CN"/>
        </w:rPr>
        <w:t>Am J Gastroenterol</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1989;</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b/>
          <w:bCs/>
          <w:sz w:val="24"/>
          <w:szCs w:val="24"/>
          <w:lang w:val="en-US" w:eastAsia="zh-CN"/>
        </w:rPr>
        <w:t>84</w:t>
      </w:r>
      <w:r w:rsidRPr="001D2D77">
        <w:rPr>
          <w:rFonts w:ascii="Book Antiqua" w:eastAsia="SimSun" w:hAnsi="Book Antiqua" w:cs="SimSun"/>
          <w:sz w:val="24"/>
          <w:szCs w:val="24"/>
          <w:lang w:val="en-US" w:eastAsia="zh-CN"/>
        </w:rPr>
        <w:t>:</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1503-1508 [PMID: 2596451]</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4 </w:t>
      </w:r>
      <w:r w:rsidRPr="001D2D77">
        <w:rPr>
          <w:rFonts w:ascii="Book Antiqua" w:eastAsia="SimSun" w:hAnsi="Book Antiqua" w:cs="SimSun"/>
          <w:b/>
          <w:bCs/>
          <w:sz w:val="24"/>
          <w:szCs w:val="24"/>
          <w:lang w:val="en-US" w:eastAsia="zh-CN"/>
        </w:rPr>
        <w:t>Yuksel ES</w:t>
      </w:r>
      <w:r w:rsidRPr="001D2D77">
        <w:rPr>
          <w:rFonts w:ascii="Book Antiqua" w:eastAsia="SimSun" w:hAnsi="Book Antiqua" w:cs="SimSun"/>
          <w:sz w:val="24"/>
          <w:szCs w:val="24"/>
          <w:lang w:val="en-US" w:eastAsia="zh-CN"/>
        </w:rPr>
        <w:t>, Slaughter JC, Mukhtar N, Ochieng M, Sun G, Goutte M, Muddana S, Gaelyn Garrett C, Vaezi MF. An oropharyngeal pH monitoring device to evaluate patients with chronic laryngitis. </w:t>
      </w:r>
      <w:r w:rsidRPr="001D2D77">
        <w:rPr>
          <w:rFonts w:ascii="Book Antiqua" w:eastAsia="SimSun" w:hAnsi="Book Antiqua" w:cs="SimSun"/>
          <w:i/>
          <w:iCs/>
          <w:sz w:val="24"/>
          <w:szCs w:val="24"/>
          <w:lang w:val="en-US" w:eastAsia="zh-CN"/>
        </w:rPr>
        <w:t>Neurogastroenterol Motil</w:t>
      </w:r>
      <w:r w:rsidRPr="001D2D77">
        <w:rPr>
          <w:rFonts w:ascii="Book Antiqua" w:eastAsia="SimSun" w:hAnsi="Book Antiqua" w:cs="SimSun"/>
          <w:sz w:val="24"/>
          <w:szCs w:val="24"/>
          <w:lang w:val="en-US" w:eastAsia="zh-CN"/>
        </w:rPr>
        <w:t> 2013; </w:t>
      </w:r>
      <w:r w:rsidRPr="001D2D77">
        <w:rPr>
          <w:rFonts w:ascii="Book Antiqua" w:eastAsia="SimSun" w:hAnsi="Book Antiqua" w:cs="SimSun"/>
          <w:b/>
          <w:bCs/>
          <w:sz w:val="24"/>
          <w:szCs w:val="24"/>
          <w:lang w:val="en-US" w:eastAsia="zh-CN"/>
        </w:rPr>
        <w:t>25</w:t>
      </w:r>
      <w:r w:rsidRPr="001D2D77">
        <w:rPr>
          <w:rFonts w:ascii="Book Antiqua" w:eastAsia="SimSun" w:hAnsi="Book Antiqua" w:cs="SimSun"/>
          <w:sz w:val="24"/>
          <w:szCs w:val="24"/>
          <w:lang w:val="en-US" w:eastAsia="zh-CN"/>
        </w:rPr>
        <w:t>: e315-e323 [PMID: 23495894 DOI: 10.1111/nmo.12109]</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5 </w:t>
      </w:r>
      <w:r w:rsidRPr="001D2D77">
        <w:rPr>
          <w:rFonts w:ascii="Book Antiqua" w:eastAsia="SimSun" w:hAnsi="Book Antiqua" w:cs="SimSun"/>
          <w:b/>
          <w:bCs/>
          <w:sz w:val="24"/>
          <w:szCs w:val="24"/>
          <w:lang w:val="en-US" w:eastAsia="zh-CN"/>
        </w:rPr>
        <w:t>Wiener GJ</w:t>
      </w:r>
      <w:r w:rsidRPr="001D2D77">
        <w:rPr>
          <w:rFonts w:ascii="Book Antiqua" w:eastAsia="SimSun" w:hAnsi="Book Antiqua" w:cs="SimSun"/>
          <w:sz w:val="24"/>
          <w:szCs w:val="24"/>
          <w:lang w:val="en-US" w:eastAsia="zh-CN"/>
        </w:rPr>
        <w:t>, Tsukashima R, Kelly C, Wolf E, Schmeltzer M, Bankert C, Fisk L, Vaezi M. Oropharyngeal pH monitoring for the detection of liquid and aerosolized supraesophageal gastric reflux. </w:t>
      </w:r>
      <w:r w:rsidRPr="001D2D77">
        <w:rPr>
          <w:rFonts w:ascii="Book Antiqua" w:eastAsia="SimSun" w:hAnsi="Book Antiqua" w:cs="SimSun"/>
          <w:i/>
          <w:iCs/>
          <w:sz w:val="24"/>
          <w:szCs w:val="24"/>
          <w:lang w:val="en-US" w:eastAsia="zh-CN"/>
        </w:rPr>
        <w:t>J Voice</w:t>
      </w:r>
      <w:r w:rsidRPr="001D2D77">
        <w:rPr>
          <w:rFonts w:ascii="Book Antiqua" w:eastAsia="SimSun" w:hAnsi="Book Antiqua" w:cs="SimSun"/>
          <w:sz w:val="24"/>
          <w:szCs w:val="24"/>
          <w:lang w:val="en-US" w:eastAsia="zh-CN"/>
        </w:rPr>
        <w:t> 2009; </w:t>
      </w:r>
      <w:r w:rsidRPr="001D2D77">
        <w:rPr>
          <w:rFonts w:ascii="Book Antiqua" w:eastAsia="SimSun" w:hAnsi="Book Antiqua" w:cs="SimSun"/>
          <w:b/>
          <w:bCs/>
          <w:sz w:val="24"/>
          <w:szCs w:val="24"/>
          <w:lang w:val="en-US" w:eastAsia="zh-CN"/>
        </w:rPr>
        <w:t>23</w:t>
      </w:r>
      <w:r w:rsidRPr="001D2D77">
        <w:rPr>
          <w:rFonts w:ascii="Book Antiqua" w:eastAsia="SimSun" w:hAnsi="Book Antiqua" w:cs="SimSun"/>
          <w:sz w:val="24"/>
          <w:szCs w:val="24"/>
          <w:lang w:val="en-US" w:eastAsia="zh-CN"/>
        </w:rPr>
        <w:t>: 498-504 [PMID: 18468849 DOI: 10.1016/j.jvoice.2007.12.005]</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6 </w:t>
      </w:r>
      <w:r w:rsidRPr="001D2D77">
        <w:rPr>
          <w:rFonts w:ascii="Book Antiqua" w:eastAsia="SimSun" w:hAnsi="Book Antiqua" w:cs="SimSun"/>
          <w:b/>
          <w:bCs/>
          <w:sz w:val="24"/>
          <w:szCs w:val="24"/>
          <w:lang w:val="en-US" w:eastAsia="zh-CN"/>
        </w:rPr>
        <w:t>Ayazi S</w:t>
      </w:r>
      <w:r w:rsidRPr="001D2D77">
        <w:rPr>
          <w:rFonts w:ascii="Book Antiqua" w:eastAsia="SimSun" w:hAnsi="Book Antiqua" w:cs="SimSun"/>
          <w:sz w:val="24"/>
          <w:szCs w:val="24"/>
          <w:lang w:val="en-US" w:eastAsia="zh-CN"/>
        </w:rPr>
        <w:t>, Lipham JC, Hagen JA, Tang AL, Zehetner J, Leers JM, Oezcelik A, Abate E, Banki F, DeMeester SR, DeMeester TR. A new technique for measurement of pharyngeal pH: normal values and discriminating pH threshold. </w:t>
      </w:r>
      <w:r w:rsidRPr="001D2D77">
        <w:rPr>
          <w:rFonts w:ascii="Book Antiqua" w:eastAsia="SimSun" w:hAnsi="Book Antiqua" w:cs="SimSun"/>
          <w:i/>
          <w:iCs/>
          <w:sz w:val="24"/>
          <w:szCs w:val="24"/>
          <w:lang w:val="en-US" w:eastAsia="zh-CN"/>
        </w:rPr>
        <w:t>J Gastrointest Surg</w:t>
      </w:r>
      <w:r w:rsidRPr="001D2D77">
        <w:rPr>
          <w:rFonts w:ascii="Book Antiqua" w:eastAsia="SimSun" w:hAnsi="Book Antiqua" w:cs="SimSun"/>
          <w:sz w:val="24"/>
          <w:szCs w:val="24"/>
          <w:lang w:val="en-US" w:eastAsia="zh-CN"/>
        </w:rPr>
        <w:t> 2009; </w:t>
      </w:r>
      <w:r w:rsidRPr="001D2D77">
        <w:rPr>
          <w:rFonts w:ascii="Book Antiqua" w:eastAsia="SimSun" w:hAnsi="Book Antiqua" w:cs="SimSun"/>
          <w:b/>
          <w:bCs/>
          <w:sz w:val="24"/>
          <w:szCs w:val="24"/>
          <w:lang w:val="en-US" w:eastAsia="zh-CN"/>
        </w:rPr>
        <w:t>13</w:t>
      </w:r>
      <w:r w:rsidRPr="001D2D77">
        <w:rPr>
          <w:rFonts w:ascii="Book Antiqua" w:eastAsia="SimSun" w:hAnsi="Book Antiqua" w:cs="SimSun"/>
          <w:sz w:val="24"/>
          <w:szCs w:val="24"/>
          <w:lang w:val="en-US" w:eastAsia="zh-CN"/>
        </w:rPr>
        <w:t>: 1422-1429 [PMID: 19421822 DOI: 10.1007/s11605-009-0915-6]</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7 </w:t>
      </w:r>
      <w:r w:rsidRPr="001D2D77">
        <w:rPr>
          <w:rFonts w:ascii="Book Antiqua" w:eastAsia="SimSun" w:hAnsi="Book Antiqua" w:cs="SimSun"/>
          <w:b/>
          <w:bCs/>
          <w:sz w:val="24"/>
          <w:szCs w:val="24"/>
          <w:lang w:val="en-US" w:eastAsia="zh-CN"/>
        </w:rPr>
        <w:t>Ates F</w:t>
      </w:r>
      <w:r w:rsidRPr="001D2D77">
        <w:rPr>
          <w:rFonts w:ascii="Book Antiqua" w:eastAsia="SimSun" w:hAnsi="Book Antiqua" w:cs="SimSun"/>
          <w:sz w:val="24"/>
          <w:szCs w:val="24"/>
          <w:lang w:val="en-US" w:eastAsia="zh-CN"/>
        </w:rPr>
        <w:t>, Vaezi MF. Approach to the patient with presumed extraoesophageal GERD. </w:t>
      </w:r>
      <w:r w:rsidRPr="001D2D77">
        <w:rPr>
          <w:rFonts w:ascii="Book Antiqua" w:eastAsia="SimSun" w:hAnsi="Book Antiqua" w:cs="SimSun"/>
          <w:i/>
          <w:iCs/>
          <w:sz w:val="24"/>
          <w:szCs w:val="24"/>
          <w:lang w:val="en-US" w:eastAsia="zh-CN"/>
        </w:rPr>
        <w:t>Best Pract Res Clin Gastroenterol</w:t>
      </w:r>
      <w:r w:rsidRPr="001D2D77">
        <w:rPr>
          <w:rFonts w:ascii="Book Antiqua" w:eastAsia="SimSun" w:hAnsi="Book Antiqua" w:cs="SimSun"/>
          <w:sz w:val="24"/>
          <w:szCs w:val="24"/>
          <w:lang w:val="en-US" w:eastAsia="zh-CN"/>
        </w:rPr>
        <w:t> 2013; </w:t>
      </w:r>
      <w:r w:rsidRPr="001D2D77">
        <w:rPr>
          <w:rFonts w:ascii="Book Antiqua" w:eastAsia="SimSun" w:hAnsi="Book Antiqua" w:cs="SimSun"/>
          <w:b/>
          <w:bCs/>
          <w:sz w:val="24"/>
          <w:szCs w:val="24"/>
          <w:lang w:val="en-US" w:eastAsia="zh-CN"/>
        </w:rPr>
        <w:t>27</w:t>
      </w:r>
      <w:r w:rsidRPr="001D2D77">
        <w:rPr>
          <w:rFonts w:ascii="Book Antiqua" w:eastAsia="SimSun" w:hAnsi="Book Antiqua" w:cs="SimSun"/>
          <w:sz w:val="24"/>
          <w:szCs w:val="24"/>
          <w:lang w:val="en-US" w:eastAsia="zh-CN"/>
        </w:rPr>
        <w:t>: 415-431 [PMID: 23998979 DOI: 10.1016/j.bpg.2013.06.009]</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8 </w:t>
      </w:r>
      <w:r w:rsidRPr="001D2D77">
        <w:rPr>
          <w:rFonts w:ascii="Book Antiqua" w:eastAsia="SimSun" w:hAnsi="Book Antiqua" w:cs="SimSun"/>
          <w:b/>
          <w:bCs/>
          <w:sz w:val="24"/>
          <w:szCs w:val="24"/>
          <w:lang w:val="en-US" w:eastAsia="zh-CN"/>
        </w:rPr>
        <w:t>Fouad YM</w:t>
      </w:r>
      <w:r w:rsidRPr="001D2D77">
        <w:rPr>
          <w:rFonts w:ascii="Book Antiqua" w:eastAsia="SimSun" w:hAnsi="Book Antiqua" w:cs="SimSun"/>
          <w:sz w:val="24"/>
          <w:szCs w:val="24"/>
          <w:lang w:val="en-US" w:eastAsia="zh-CN"/>
        </w:rPr>
        <w:t>, Katz PO, Hatlebakk JG, Castell DO. Ineffective esophageal motility: the most common motility abnormality in patients with GERD-associated respiratory symptoms. </w:t>
      </w:r>
      <w:r w:rsidRPr="001D2D77">
        <w:rPr>
          <w:rFonts w:ascii="Book Antiqua" w:eastAsia="SimSun" w:hAnsi="Book Antiqua" w:cs="SimSun"/>
          <w:i/>
          <w:iCs/>
          <w:sz w:val="24"/>
          <w:szCs w:val="24"/>
          <w:lang w:val="en-US" w:eastAsia="zh-CN"/>
        </w:rPr>
        <w:t>Am J Gastroenterol</w:t>
      </w:r>
      <w:r w:rsidRPr="001D2D77">
        <w:rPr>
          <w:rFonts w:ascii="Book Antiqua" w:eastAsia="SimSun" w:hAnsi="Book Antiqua" w:cs="SimSun"/>
          <w:sz w:val="24"/>
          <w:szCs w:val="24"/>
          <w:lang w:val="en-US" w:eastAsia="zh-CN"/>
        </w:rPr>
        <w:t> 1999; </w:t>
      </w:r>
      <w:r w:rsidRPr="001D2D77">
        <w:rPr>
          <w:rFonts w:ascii="Book Antiqua" w:eastAsia="SimSun" w:hAnsi="Book Antiqua" w:cs="SimSun"/>
          <w:b/>
          <w:bCs/>
          <w:sz w:val="24"/>
          <w:szCs w:val="24"/>
          <w:lang w:val="en-US" w:eastAsia="zh-CN"/>
        </w:rPr>
        <w:t>94</w:t>
      </w:r>
      <w:r w:rsidRPr="001D2D77">
        <w:rPr>
          <w:rFonts w:ascii="Book Antiqua" w:eastAsia="SimSun" w:hAnsi="Book Antiqua" w:cs="SimSun"/>
          <w:sz w:val="24"/>
          <w:szCs w:val="24"/>
          <w:lang w:val="en-US" w:eastAsia="zh-CN"/>
        </w:rPr>
        <w:t>: 1464-1467 [PMID: 10364008 DOI: 10.1111/j.1572-0241.1999.1127_e.x]</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9 </w:t>
      </w:r>
      <w:r w:rsidRPr="001D2D77">
        <w:rPr>
          <w:rFonts w:ascii="Book Antiqua" w:eastAsia="SimSun" w:hAnsi="Book Antiqua" w:cs="SimSun"/>
          <w:b/>
          <w:bCs/>
          <w:sz w:val="24"/>
          <w:szCs w:val="24"/>
          <w:lang w:val="en-US" w:eastAsia="zh-CN"/>
        </w:rPr>
        <w:t>DiBaise JK</w:t>
      </w:r>
      <w:r w:rsidRPr="001D2D77">
        <w:rPr>
          <w:rFonts w:ascii="Book Antiqua" w:eastAsia="SimSun" w:hAnsi="Book Antiqua" w:cs="SimSun"/>
          <w:sz w:val="24"/>
          <w:szCs w:val="24"/>
          <w:lang w:val="en-US" w:eastAsia="zh-CN"/>
        </w:rPr>
        <w:t>, Lof J, Quigley EM. Can symptoms predict esophageal motor function or acid exposure in gastroesophageal reflux disease? A comparison of esophageal manometric and twenty-four-hour pH parameters in typical and extraesophageal gastroesophageal reflux disease. </w:t>
      </w:r>
      <w:r w:rsidRPr="001D2D77">
        <w:rPr>
          <w:rFonts w:ascii="Book Antiqua" w:eastAsia="SimSun" w:hAnsi="Book Antiqua" w:cs="SimSun"/>
          <w:i/>
          <w:iCs/>
          <w:sz w:val="24"/>
          <w:szCs w:val="24"/>
          <w:lang w:val="en-US" w:eastAsia="zh-CN"/>
        </w:rPr>
        <w:t>J Clin Gastroenterol</w:t>
      </w:r>
      <w:r w:rsidRPr="001D2D77">
        <w:rPr>
          <w:rFonts w:ascii="Book Antiqua" w:eastAsia="SimSun" w:hAnsi="Book Antiqua" w:cs="SimSun"/>
          <w:sz w:val="24"/>
          <w:szCs w:val="24"/>
          <w:lang w:val="en-US" w:eastAsia="zh-CN"/>
        </w:rPr>
        <w:t> 2001; </w:t>
      </w:r>
      <w:r w:rsidRPr="001D2D77">
        <w:rPr>
          <w:rFonts w:ascii="Book Antiqua" w:eastAsia="SimSun" w:hAnsi="Book Antiqua" w:cs="SimSun"/>
          <w:b/>
          <w:bCs/>
          <w:sz w:val="24"/>
          <w:szCs w:val="24"/>
          <w:lang w:val="en-US" w:eastAsia="zh-CN"/>
        </w:rPr>
        <w:t>32</w:t>
      </w:r>
      <w:r w:rsidRPr="001D2D77">
        <w:rPr>
          <w:rFonts w:ascii="Book Antiqua" w:eastAsia="SimSun" w:hAnsi="Book Antiqua" w:cs="SimSun"/>
          <w:sz w:val="24"/>
          <w:szCs w:val="24"/>
          <w:lang w:val="en-US" w:eastAsia="zh-CN"/>
        </w:rPr>
        <w:t>: 128-132 [PMID: 11205647]</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B5AC2">
        <w:rPr>
          <w:rFonts w:ascii="Book Antiqua" w:eastAsia="SimSun" w:hAnsi="Book Antiqua" w:cs="SimSun"/>
          <w:sz w:val="24"/>
          <w:szCs w:val="24"/>
          <w:lang w:eastAsia="zh-CN"/>
        </w:rPr>
        <w:lastRenderedPageBreak/>
        <w:t>10 </w:t>
      </w:r>
      <w:r w:rsidRPr="001B5AC2">
        <w:rPr>
          <w:rFonts w:ascii="Book Antiqua" w:eastAsia="SimSun" w:hAnsi="Book Antiqua" w:cs="SimSun"/>
          <w:b/>
          <w:bCs/>
          <w:sz w:val="24"/>
          <w:szCs w:val="24"/>
          <w:lang w:eastAsia="zh-CN"/>
        </w:rPr>
        <w:t>Patti MG</w:t>
      </w:r>
      <w:r w:rsidRPr="001B5AC2">
        <w:rPr>
          <w:rFonts w:ascii="Book Antiqua" w:eastAsia="SimSun" w:hAnsi="Book Antiqua" w:cs="SimSun"/>
          <w:sz w:val="24"/>
          <w:szCs w:val="24"/>
          <w:lang w:eastAsia="zh-CN"/>
        </w:rPr>
        <w:t xml:space="preserve">, Debas HT, Pellegrini CA. </w:t>
      </w:r>
      <w:r w:rsidRPr="001D2D77">
        <w:rPr>
          <w:rFonts w:ascii="Book Antiqua" w:eastAsia="SimSun" w:hAnsi="Book Antiqua" w:cs="SimSun"/>
          <w:sz w:val="24"/>
          <w:szCs w:val="24"/>
          <w:lang w:val="en-US" w:eastAsia="zh-CN"/>
        </w:rPr>
        <w:t>Clinical and functional characterization of high gastroesophageal reflux. </w:t>
      </w:r>
      <w:r w:rsidRPr="001D2D77">
        <w:rPr>
          <w:rFonts w:ascii="Book Antiqua" w:eastAsia="SimSun" w:hAnsi="Book Antiqua" w:cs="SimSun"/>
          <w:i/>
          <w:iCs/>
          <w:sz w:val="24"/>
          <w:szCs w:val="24"/>
          <w:lang w:val="en-US" w:eastAsia="zh-CN"/>
        </w:rPr>
        <w:t>Am J Surg</w:t>
      </w:r>
      <w:r w:rsidRPr="001D2D77">
        <w:rPr>
          <w:rFonts w:ascii="Book Antiqua" w:eastAsia="SimSun" w:hAnsi="Book Antiqua" w:cs="SimSun"/>
          <w:sz w:val="24"/>
          <w:szCs w:val="24"/>
          <w:lang w:val="en-US" w:eastAsia="zh-CN"/>
        </w:rPr>
        <w:t> 1993; </w:t>
      </w:r>
      <w:r w:rsidRPr="001D2D77">
        <w:rPr>
          <w:rFonts w:ascii="Book Antiqua" w:eastAsia="SimSun" w:hAnsi="Book Antiqua" w:cs="SimSun"/>
          <w:b/>
          <w:bCs/>
          <w:sz w:val="24"/>
          <w:szCs w:val="24"/>
          <w:lang w:val="en-US" w:eastAsia="zh-CN"/>
        </w:rPr>
        <w:t>165</w:t>
      </w:r>
      <w:r w:rsidRPr="001D2D77">
        <w:rPr>
          <w:rFonts w:ascii="Book Antiqua" w:eastAsia="SimSun" w:hAnsi="Book Antiqua" w:cs="SimSun"/>
          <w:sz w:val="24"/>
          <w:szCs w:val="24"/>
          <w:lang w:val="en-US" w:eastAsia="zh-CN"/>
        </w:rPr>
        <w:t>: 163-1</w:t>
      </w:r>
      <w:r w:rsidR="005A25E7">
        <w:rPr>
          <w:rFonts w:ascii="Book Antiqua" w:eastAsia="SimSun" w:hAnsi="Book Antiqua" w:cs="SimSun" w:hint="eastAsia"/>
          <w:sz w:val="24"/>
          <w:szCs w:val="24"/>
          <w:lang w:val="en-US" w:eastAsia="zh-CN"/>
        </w:rPr>
        <w:t>6</w:t>
      </w:r>
      <w:r w:rsidRPr="001D2D77">
        <w:rPr>
          <w:rFonts w:ascii="Book Antiqua" w:eastAsia="SimSun" w:hAnsi="Book Antiqua" w:cs="SimSun"/>
          <w:sz w:val="24"/>
          <w:szCs w:val="24"/>
          <w:lang w:val="en-US" w:eastAsia="zh-CN"/>
        </w:rPr>
        <w:t>6; discussion 16</w:t>
      </w:r>
      <w:r w:rsidR="005A25E7">
        <w:rPr>
          <w:rFonts w:ascii="Book Antiqua" w:eastAsia="SimSun" w:hAnsi="Book Antiqua" w:cs="SimSun" w:hint="eastAsia"/>
          <w:sz w:val="24"/>
          <w:szCs w:val="24"/>
          <w:lang w:val="en-US" w:eastAsia="zh-CN"/>
        </w:rPr>
        <w:t>6</w:t>
      </w:r>
      <w:r w:rsidRPr="001D2D77">
        <w:rPr>
          <w:rFonts w:ascii="Book Antiqua" w:eastAsia="SimSun" w:hAnsi="Book Antiqua" w:cs="SimSun"/>
          <w:sz w:val="24"/>
          <w:szCs w:val="24"/>
          <w:lang w:val="en-US" w:eastAsia="zh-CN"/>
        </w:rPr>
        <w:t>-16</w:t>
      </w:r>
      <w:r w:rsidR="005A25E7">
        <w:rPr>
          <w:rFonts w:ascii="Book Antiqua" w:eastAsia="SimSun" w:hAnsi="Book Antiqua" w:cs="SimSun" w:hint="eastAsia"/>
          <w:sz w:val="24"/>
          <w:szCs w:val="24"/>
          <w:lang w:val="en-US" w:eastAsia="zh-CN"/>
        </w:rPr>
        <w:t xml:space="preserve">8 </w:t>
      </w:r>
      <w:r w:rsidRPr="001D2D77">
        <w:rPr>
          <w:rFonts w:ascii="Book Antiqua" w:eastAsia="SimSun" w:hAnsi="Book Antiqua" w:cs="SimSun"/>
          <w:sz w:val="24"/>
          <w:szCs w:val="24"/>
          <w:lang w:val="en-US" w:eastAsia="zh-CN"/>
        </w:rPr>
        <w:t xml:space="preserve">[PMID: </w:t>
      </w:r>
      <w:bookmarkStart w:id="54" w:name="OLE_LINK1"/>
      <w:bookmarkStart w:id="55" w:name="OLE_LINK2"/>
      <w:r w:rsidRPr="001D2D77">
        <w:rPr>
          <w:rFonts w:ascii="Book Antiqua" w:eastAsia="SimSun" w:hAnsi="Book Antiqua" w:cs="SimSun"/>
          <w:sz w:val="24"/>
          <w:szCs w:val="24"/>
          <w:lang w:val="en-US" w:eastAsia="zh-CN"/>
        </w:rPr>
        <w:t>8418693</w:t>
      </w:r>
      <w:bookmarkEnd w:id="54"/>
      <w:bookmarkEnd w:id="55"/>
      <w:r w:rsidRPr="001D2D77">
        <w:rPr>
          <w:rFonts w:ascii="Book Antiqua" w:eastAsia="SimSun" w:hAnsi="Book Antiqua" w:cs="SimSun"/>
          <w:sz w:val="24"/>
          <w:szCs w:val="24"/>
          <w:lang w:val="en-US" w:eastAsia="zh-CN"/>
        </w:rPr>
        <w:t>]</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11 </w:t>
      </w:r>
      <w:r w:rsidRPr="001D2D77">
        <w:rPr>
          <w:rFonts w:ascii="Book Antiqua" w:eastAsia="SimSun" w:hAnsi="Book Antiqua" w:cs="SimSun"/>
          <w:b/>
          <w:bCs/>
          <w:sz w:val="24"/>
          <w:szCs w:val="24"/>
          <w:lang w:val="en-US" w:eastAsia="zh-CN"/>
        </w:rPr>
        <w:t>Patcharatrakul T</w:t>
      </w:r>
      <w:r w:rsidRPr="001D2D77">
        <w:rPr>
          <w:rFonts w:ascii="Book Antiqua" w:eastAsia="SimSun" w:hAnsi="Book Antiqua" w:cs="SimSun"/>
          <w:sz w:val="24"/>
          <w:szCs w:val="24"/>
          <w:lang w:val="en-US" w:eastAsia="zh-CN"/>
        </w:rPr>
        <w:t>, Gonlachanvit S. Gastroesophageal reflux symptoms in typical and atypical GERD: roles of gastroesophageal acid refluxes and esophageal motility. </w:t>
      </w:r>
      <w:r w:rsidRPr="001D2D77">
        <w:rPr>
          <w:rFonts w:ascii="Book Antiqua" w:eastAsia="SimSun" w:hAnsi="Book Antiqua" w:cs="SimSun"/>
          <w:i/>
          <w:iCs/>
          <w:sz w:val="24"/>
          <w:szCs w:val="24"/>
          <w:lang w:val="en-US" w:eastAsia="zh-CN"/>
        </w:rPr>
        <w:t>J Gastroenterol Hepatol</w:t>
      </w:r>
      <w:r w:rsidRPr="001D2D77">
        <w:rPr>
          <w:rFonts w:ascii="Book Antiqua" w:eastAsia="SimSun" w:hAnsi="Book Antiqua" w:cs="SimSun"/>
          <w:sz w:val="24"/>
          <w:szCs w:val="24"/>
          <w:lang w:val="en-US" w:eastAsia="zh-CN"/>
        </w:rPr>
        <w:t> 2014; </w:t>
      </w:r>
      <w:r w:rsidRPr="001D2D77">
        <w:rPr>
          <w:rFonts w:ascii="Book Antiqua" w:eastAsia="SimSun" w:hAnsi="Book Antiqua" w:cs="SimSun"/>
          <w:b/>
          <w:bCs/>
          <w:sz w:val="24"/>
          <w:szCs w:val="24"/>
          <w:lang w:val="en-US" w:eastAsia="zh-CN"/>
        </w:rPr>
        <w:t>29</w:t>
      </w:r>
      <w:r w:rsidRPr="001D2D77">
        <w:rPr>
          <w:rFonts w:ascii="Book Antiqua" w:eastAsia="SimSun" w:hAnsi="Book Antiqua" w:cs="SimSun"/>
          <w:sz w:val="24"/>
          <w:szCs w:val="24"/>
          <w:lang w:val="en-US" w:eastAsia="zh-CN"/>
        </w:rPr>
        <w:t>: 284-290 [PMID: 23926926]</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12 </w:t>
      </w:r>
      <w:r w:rsidRPr="001D2D77">
        <w:rPr>
          <w:rFonts w:ascii="Book Antiqua" w:eastAsia="SimSun" w:hAnsi="Book Antiqua" w:cs="SimSun"/>
          <w:b/>
          <w:bCs/>
          <w:sz w:val="24"/>
          <w:szCs w:val="24"/>
          <w:lang w:val="en-US" w:eastAsia="zh-CN"/>
        </w:rPr>
        <w:t>Pandolfino JE</w:t>
      </w:r>
      <w:r w:rsidRPr="001D2D77">
        <w:rPr>
          <w:rFonts w:ascii="Book Antiqua" w:eastAsia="SimSun" w:hAnsi="Book Antiqua" w:cs="SimSun"/>
          <w:sz w:val="24"/>
          <w:szCs w:val="24"/>
          <w:lang w:val="en-US" w:eastAsia="zh-CN"/>
        </w:rPr>
        <w:t>, Roman S. High-resolution manometry: an atlas of esophageal motility disorders and findings of GERD using esophageal pressure topography. </w:t>
      </w:r>
      <w:r w:rsidRPr="001D2D77">
        <w:rPr>
          <w:rFonts w:ascii="Book Antiqua" w:eastAsia="SimSun" w:hAnsi="Book Antiqua" w:cs="SimSun"/>
          <w:i/>
          <w:iCs/>
          <w:sz w:val="24"/>
          <w:szCs w:val="24"/>
          <w:lang w:val="en-US" w:eastAsia="zh-CN"/>
        </w:rPr>
        <w:t>Thorac Surg Clin</w:t>
      </w:r>
      <w:r w:rsidRPr="001D2D77">
        <w:rPr>
          <w:rFonts w:ascii="Book Antiqua" w:eastAsia="SimSun" w:hAnsi="Book Antiqua" w:cs="SimSun"/>
          <w:sz w:val="24"/>
          <w:szCs w:val="24"/>
          <w:lang w:val="en-US" w:eastAsia="zh-CN"/>
        </w:rPr>
        <w:t> 2011; </w:t>
      </w:r>
      <w:r w:rsidRPr="001D2D77">
        <w:rPr>
          <w:rFonts w:ascii="Book Antiqua" w:eastAsia="SimSun" w:hAnsi="Book Antiqua" w:cs="SimSun"/>
          <w:b/>
          <w:bCs/>
          <w:sz w:val="24"/>
          <w:szCs w:val="24"/>
          <w:lang w:val="en-US" w:eastAsia="zh-CN"/>
        </w:rPr>
        <w:t>21</w:t>
      </w:r>
      <w:r w:rsidRPr="001D2D77">
        <w:rPr>
          <w:rFonts w:ascii="Book Antiqua" w:eastAsia="SimSun" w:hAnsi="Book Antiqua" w:cs="SimSun"/>
          <w:sz w:val="24"/>
          <w:szCs w:val="24"/>
          <w:lang w:val="en-US" w:eastAsia="zh-CN"/>
        </w:rPr>
        <w:t>: 465-475 [PMID: 22040629 DOI: 10.1016/j.thorsurg.2011.08.007]</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13 </w:t>
      </w:r>
      <w:r w:rsidRPr="001D2D77">
        <w:rPr>
          <w:rFonts w:ascii="Book Antiqua" w:eastAsia="SimSun" w:hAnsi="Book Antiqua" w:cs="SimSun"/>
          <w:b/>
          <w:bCs/>
          <w:sz w:val="24"/>
          <w:szCs w:val="24"/>
          <w:lang w:val="en-US" w:eastAsia="zh-CN"/>
        </w:rPr>
        <w:t>Belafsky PC</w:t>
      </w:r>
      <w:r w:rsidRPr="001D2D77">
        <w:rPr>
          <w:rFonts w:ascii="Book Antiqua" w:eastAsia="SimSun" w:hAnsi="Book Antiqua" w:cs="SimSun"/>
          <w:sz w:val="24"/>
          <w:szCs w:val="24"/>
          <w:lang w:val="en-US" w:eastAsia="zh-CN"/>
        </w:rPr>
        <w:t>, Postma GN, Koufman JA. Validity and reliability of the reflux symptom index (RSI). </w:t>
      </w:r>
      <w:r w:rsidRPr="001D2D77">
        <w:rPr>
          <w:rFonts w:ascii="Book Antiqua" w:eastAsia="SimSun" w:hAnsi="Book Antiqua" w:cs="SimSun"/>
          <w:i/>
          <w:iCs/>
          <w:sz w:val="24"/>
          <w:szCs w:val="24"/>
          <w:lang w:val="en-US" w:eastAsia="zh-CN"/>
        </w:rPr>
        <w:t>J Voice</w:t>
      </w:r>
      <w:r w:rsidRPr="001D2D77">
        <w:rPr>
          <w:rFonts w:ascii="Book Antiqua" w:eastAsia="SimSun" w:hAnsi="Book Antiqua" w:cs="SimSun"/>
          <w:sz w:val="24"/>
          <w:szCs w:val="24"/>
          <w:lang w:val="en-US" w:eastAsia="zh-CN"/>
        </w:rPr>
        <w:t> 2002; </w:t>
      </w:r>
      <w:r w:rsidRPr="001D2D77">
        <w:rPr>
          <w:rFonts w:ascii="Book Antiqua" w:eastAsia="SimSun" w:hAnsi="Book Antiqua" w:cs="SimSun"/>
          <w:b/>
          <w:bCs/>
          <w:sz w:val="24"/>
          <w:szCs w:val="24"/>
          <w:lang w:val="en-US" w:eastAsia="zh-CN"/>
        </w:rPr>
        <w:t>16</w:t>
      </w:r>
      <w:r w:rsidRPr="001D2D77">
        <w:rPr>
          <w:rFonts w:ascii="Book Antiqua" w:eastAsia="SimSun" w:hAnsi="Book Antiqua" w:cs="SimSun"/>
          <w:sz w:val="24"/>
          <w:szCs w:val="24"/>
          <w:lang w:val="en-US" w:eastAsia="zh-CN"/>
        </w:rPr>
        <w:t>: 274-277 [PMID: 12150380]</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14 </w:t>
      </w:r>
      <w:r w:rsidRPr="001D2D77">
        <w:rPr>
          <w:rFonts w:ascii="Book Antiqua" w:eastAsia="SimSun" w:hAnsi="Book Antiqua" w:cs="SimSun"/>
          <w:b/>
          <w:bCs/>
          <w:sz w:val="24"/>
          <w:szCs w:val="24"/>
          <w:lang w:val="en-US" w:eastAsia="zh-CN"/>
        </w:rPr>
        <w:t>Schindler A</w:t>
      </w:r>
      <w:r w:rsidRPr="001D2D77">
        <w:rPr>
          <w:rFonts w:ascii="Book Antiqua" w:eastAsia="SimSun" w:hAnsi="Book Antiqua" w:cs="SimSun"/>
          <w:sz w:val="24"/>
          <w:szCs w:val="24"/>
          <w:lang w:val="en-US" w:eastAsia="zh-CN"/>
        </w:rPr>
        <w:t>, Mozzanica F, Ginocchio D, Peri A, Bottero A, Ottaviani F. Reliability and clinical validity of the Italian Reflux Symptom Index. </w:t>
      </w:r>
      <w:r w:rsidRPr="001D2D77">
        <w:rPr>
          <w:rFonts w:ascii="Book Antiqua" w:eastAsia="SimSun" w:hAnsi="Book Antiqua" w:cs="SimSun"/>
          <w:i/>
          <w:iCs/>
          <w:sz w:val="24"/>
          <w:szCs w:val="24"/>
          <w:lang w:val="en-US" w:eastAsia="zh-CN"/>
        </w:rPr>
        <w:t>J Voice</w:t>
      </w:r>
      <w:r w:rsidRPr="001D2D77">
        <w:rPr>
          <w:rFonts w:ascii="Book Antiqua" w:eastAsia="SimSun" w:hAnsi="Book Antiqua" w:cs="SimSun"/>
          <w:sz w:val="24"/>
          <w:szCs w:val="24"/>
          <w:lang w:val="en-US" w:eastAsia="zh-CN"/>
        </w:rPr>
        <w:t> 2010; </w:t>
      </w:r>
      <w:r w:rsidRPr="001D2D77">
        <w:rPr>
          <w:rFonts w:ascii="Book Antiqua" w:eastAsia="SimSun" w:hAnsi="Book Antiqua" w:cs="SimSun"/>
          <w:b/>
          <w:bCs/>
          <w:sz w:val="24"/>
          <w:szCs w:val="24"/>
          <w:lang w:val="en-US" w:eastAsia="zh-CN"/>
        </w:rPr>
        <w:t>24</w:t>
      </w:r>
      <w:r w:rsidRPr="001D2D77">
        <w:rPr>
          <w:rFonts w:ascii="Book Antiqua" w:eastAsia="SimSun" w:hAnsi="Book Antiqua" w:cs="SimSun"/>
          <w:sz w:val="24"/>
          <w:szCs w:val="24"/>
          <w:lang w:val="en-US" w:eastAsia="zh-CN"/>
        </w:rPr>
        <w:t>: 354-358 [PMID: 19303740 DOI: 10.1016/j.jvoice.2008.08.008]</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15 </w:t>
      </w:r>
      <w:r w:rsidRPr="001D2D77">
        <w:rPr>
          <w:rFonts w:ascii="Book Antiqua" w:eastAsia="SimSun" w:hAnsi="Book Antiqua" w:cs="SimSun"/>
          <w:b/>
          <w:bCs/>
          <w:sz w:val="24"/>
          <w:szCs w:val="24"/>
          <w:lang w:val="en-US" w:eastAsia="zh-CN"/>
        </w:rPr>
        <w:t>Bredenoord AJ</w:t>
      </w:r>
      <w:r w:rsidRPr="001D2D77">
        <w:rPr>
          <w:rFonts w:ascii="Book Antiqua" w:eastAsia="SimSun" w:hAnsi="Book Antiqua" w:cs="SimSun"/>
          <w:sz w:val="24"/>
          <w:szCs w:val="24"/>
          <w:lang w:val="en-US" w:eastAsia="zh-CN"/>
        </w:rPr>
        <w:t>, Fox M, Kahrilas PJ, Pandolfino JE, Schwizer W, Smout AJ</w:t>
      </w:r>
      <w:r w:rsidRPr="001D2D77">
        <w:rPr>
          <w:rFonts w:ascii="Book Antiqua" w:eastAsia="Times New Roman" w:hAnsi="Book Antiqua" w:cs="Tahoma"/>
          <w:sz w:val="24"/>
          <w:szCs w:val="24"/>
          <w:lang w:val="en-US" w:eastAsia="it-IT"/>
        </w:rPr>
        <w:t>; International High Resolution Manometry Working Group.</w:t>
      </w:r>
      <w:r w:rsidRPr="001D2D77">
        <w:rPr>
          <w:rFonts w:ascii="Book Antiqua" w:eastAsia="SimSun" w:hAnsi="Book Antiqua" w:cs="Tahoma" w:hint="eastAsia"/>
          <w:sz w:val="24"/>
          <w:szCs w:val="24"/>
          <w:lang w:val="en-US" w:eastAsia="zh-CN"/>
        </w:rPr>
        <w:t xml:space="preserve"> </w:t>
      </w:r>
      <w:r w:rsidRPr="001D2D77">
        <w:rPr>
          <w:rFonts w:ascii="Book Antiqua" w:eastAsia="SimSun" w:hAnsi="Book Antiqua" w:cs="SimSun"/>
          <w:sz w:val="24"/>
          <w:szCs w:val="24"/>
          <w:lang w:val="en-US" w:eastAsia="zh-CN"/>
        </w:rPr>
        <w:t>Chicago classification criteria of esophageal motility disorders defined in high resolution esophageal pressure topography.</w:t>
      </w:r>
      <w:r w:rsidR="00737C62">
        <w:rPr>
          <w:rFonts w:ascii="Book Antiqua" w:eastAsia="SimSun" w:hAnsi="Book Antiqua" w:cs="SimSun" w:hint="eastAsia"/>
          <w:sz w:val="24"/>
          <w:szCs w:val="24"/>
          <w:lang w:val="en-US" w:eastAsia="zh-CN"/>
        </w:rPr>
        <w:t xml:space="preserve"> </w:t>
      </w:r>
      <w:r w:rsidRPr="001D2D77">
        <w:rPr>
          <w:rFonts w:ascii="Book Antiqua" w:eastAsia="SimSun" w:hAnsi="Book Antiqua" w:cs="SimSun"/>
          <w:i/>
          <w:iCs/>
          <w:sz w:val="24"/>
          <w:szCs w:val="24"/>
          <w:lang w:val="en-US" w:eastAsia="zh-CN"/>
        </w:rPr>
        <w:t>Neurogastroenterol Motil</w:t>
      </w:r>
      <w:r w:rsidRPr="001D2D77">
        <w:rPr>
          <w:rFonts w:ascii="Book Antiqua" w:eastAsia="SimSun" w:hAnsi="Book Antiqua" w:cs="SimSun"/>
          <w:sz w:val="24"/>
          <w:szCs w:val="24"/>
          <w:lang w:val="en-US" w:eastAsia="zh-CN"/>
        </w:rPr>
        <w:t> 2012; </w:t>
      </w:r>
      <w:r w:rsidRPr="001D2D77">
        <w:rPr>
          <w:rFonts w:ascii="Book Antiqua" w:eastAsia="SimSun" w:hAnsi="Book Antiqua" w:cs="SimSun"/>
          <w:b/>
          <w:bCs/>
          <w:sz w:val="24"/>
          <w:szCs w:val="24"/>
          <w:lang w:val="en-US" w:eastAsia="zh-CN"/>
        </w:rPr>
        <w:t>24 Suppl 1</w:t>
      </w:r>
      <w:r w:rsidRPr="001D2D77">
        <w:rPr>
          <w:rFonts w:ascii="Book Antiqua" w:eastAsia="SimSun" w:hAnsi="Book Antiqua" w:cs="SimSun"/>
          <w:sz w:val="24"/>
          <w:szCs w:val="24"/>
          <w:lang w:val="en-US" w:eastAsia="zh-CN"/>
        </w:rPr>
        <w:t>: 57-65 [PMID: 22248109 DOI: 10.1111/j.1365-2982.2011.01834.x]</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16 </w:t>
      </w:r>
      <w:r w:rsidRPr="001D2D77">
        <w:rPr>
          <w:rFonts w:ascii="Book Antiqua" w:eastAsia="SimSun" w:hAnsi="Book Antiqua" w:cs="SimSun"/>
          <w:b/>
          <w:bCs/>
          <w:sz w:val="24"/>
          <w:szCs w:val="24"/>
          <w:lang w:val="en-US" w:eastAsia="zh-CN"/>
        </w:rPr>
        <w:t>Kahrilas PJ</w:t>
      </w:r>
      <w:r w:rsidRPr="001D2D77">
        <w:rPr>
          <w:rFonts w:ascii="Book Antiqua" w:eastAsia="SimSun" w:hAnsi="Book Antiqua" w:cs="SimSun"/>
          <w:sz w:val="24"/>
          <w:szCs w:val="24"/>
          <w:lang w:val="en-US" w:eastAsia="zh-CN"/>
        </w:rPr>
        <w:t>, Bredenoord AJ, Fox M, Gyawali CP, Roman S, Smout AJ, Pandolfino JE</w:t>
      </w:r>
      <w:r w:rsidRPr="001D2D77">
        <w:rPr>
          <w:rFonts w:ascii="Book Antiqua" w:eastAsia="Times New Roman" w:hAnsi="Book Antiqua" w:cs="Tahoma"/>
          <w:sz w:val="24"/>
          <w:szCs w:val="24"/>
          <w:lang w:val="en-US" w:eastAsia="it-IT"/>
        </w:rPr>
        <w:t>; International High Resolution Manometry Working Group.</w:t>
      </w:r>
      <w:r w:rsidRPr="001D2D77">
        <w:rPr>
          <w:rFonts w:ascii="Book Antiqua" w:eastAsia="SimSun" w:hAnsi="Book Antiqua" w:cs="SimSun"/>
          <w:sz w:val="24"/>
          <w:szCs w:val="24"/>
          <w:lang w:val="en-US" w:eastAsia="zh-CN"/>
        </w:rPr>
        <w:t xml:space="preserve"> The Chicago Classification of esophageal motility disorders, v3.0. </w:t>
      </w:r>
      <w:r w:rsidRPr="001D2D77">
        <w:rPr>
          <w:rFonts w:ascii="Book Antiqua" w:eastAsia="SimSun" w:hAnsi="Book Antiqua" w:cs="SimSun"/>
          <w:i/>
          <w:iCs/>
          <w:sz w:val="24"/>
          <w:szCs w:val="24"/>
          <w:lang w:val="en-US" w:eastAsia="zh-CN"/>
        </w:rPr>
        <w:t>Neurogastroenterol Motil</w:t>
      </w:r>
      <w:r w:rsidRPr="001D2D77">
        <w:rPr>
          <w:rFonts w:ascii="Book Antiqua" w:eastAsia="SimSun" w:hAnsi="Book Antiqua" w:cs="SimSun"/>
          <w:sz w:val="24"/>
          <w:szCs w:val="24"/>
          <w:lang w:val="en-US" w:eastAsia="zh-CN"/>
        </w:rPr>
        <w:t> 2015; </w:t>
      </w:r>
      <w:r w:rsidRPr="001D2D77">
        <w:rPr>
          <w:rFonts w:ascii="Book Antiqua" w:eastAsia="SimSun" w:hAnsi="Book Antiqua" w:cs="SimSun"/>
          <w:b/>
          <w:bCs/>
          <w:sz w:val="24"/>
          <w:szCs w:val="24"/>
          <w:lang w:val="en-US" w:eastAsia="zh-CN"/>
        </w:rPr>
        <w:t>27</w:t>
      </w:r>
      <w:r w:rsidRPr="001D2D77">
        <w:rPr>
          <w:rFonts w:ascii="Book Antiqua" w:eastAsia="SimSun" w:hAnsi="Book Antiqua" w:cs="SimSun"/>
          <w:sz w:val="24"/>
          <w:szCs w:val="24"/>
          <w:lang w:val="en-US" w:eastAsia="zh-CN"/>
        </w:rPr>
        <w:t>: 160-174 [PMID: 25469569 DOI: 10.1111/nmo.12477]</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17 </w:t>
      </w:r>
      <w:r w:rsidRPr="001D2D77">
        <w:rPr>
          <w:rFonts w:ascii="Book Antiqua" w:eastAsia="SimSun" w:hAnsi="Book Antiqua" w:cs="SimSun"/>
          <w:b/>
          <w:bCs/>
          <w:sz w:val="24"/>
          <w:szCs w:val="24"/>
          <w:lang w:val="en-US" w:eastAsia="zh-CN"/>
        </w:rPr>
        <w:t>Bogte A</w:t>
      </w:r>
      <w:r w:rsidRPr="001D2D77">
        <w:rPr>
          <w:rFonts w:ascii="Book Antiqua" w:eastAsia="SimSun" w:hAnsi="Book Antiqua" w:cs="SimSun"/>
          <w:sz w:val="24"/>
          <w:szCs w:val="24"/>
          <w:lang w:val="en-US" w:eastAsia="zh-CN"/>
        </w:rPr>
        <w:t>, Bredenoord AJ, Oors J, Siersema PD, Smout AJ. Normal values for esophageal high-resolution manometry. </w:t>
      </w:r>
      <w:r w:rsidRPr="001D2D77">
        <w:rPr>
          <w:rFonts w:ascii="Book Antiqua" w:eastAsia="SimSun" w:hAnsi="Book Antiqua" w:cs="SimSun"/>
          <w:i/>
          <w:iCs/>
          <w:sz w:val="24"/>
          <w:szCs w:val="24"/>
          <w:lang w:val="en-US" w:eastAsia="zh-CN"/>
        </w:rPr>
        <w:t>Neurogastroenterol Motil</w:t>
      </w:r>
      <w:r w:rsidRPr="001D2D77">
        <w:rPr>
          <w:rFonts w:ascii="Book Antiqua" w:eastAsia="SimSun" w:hAnsi="Book Antiqua" w:cs="SimSun"/>
          <w:sz w:val="24"/>
          <w:szCs w:val="24"/>
          <w:lang w:val="en-US" w:eastAsia="zh-CN"/>
        </w:rPr>
        <w:t> 2013; </w:t>
      </w:r>
      <w:r w:rsidRPr="001D2D77">
        <w:rPr>
          <w:rFonts w:ascii="Book Antiqua" w:eastAsia="SimSun" w:hAnsi="Book Antiqua" w:cs="SimSun"/>
          <w:b/>
          <w:bCs/>
          <w:sz w:val="24"/>
          <w:szCs w:val="24"/>
          <w:lang w:val="en-US" w:eastAsia="zh-CN"/>
        </w:rPr>
        <w:t>25</w:t>
      </w:r>
      <w:r w:rsidRPr="001D2D77">
        <w:rPr>
          <w:rFonts w:ascii="Book Antiqua" w:eastAsia="SimSun" w:hAnsi="Book Antiqua" w:cs="SimSun"/>
          <w:sz w:val="24"/>
          <w:szCs w:val="24"/>
          <w:lang w:val="en-US" w:eastAsia="zh-CN"/>
        </w:rPr>
        <w:t>: 762-e579 [PMID: 23803156 DOI: 10.1111/nmo.12167]</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18 </w:t>
      </w:r>
      <w:r w:rsidRPr="001D2D77">
        <w:rPr>
          <w:rFonts w:ascii="Book Antiqua" w:eastAsia="SimSun" w:hAnsi="Book Antiqua" w:cs="SimSun"/>
          <w:b/>
          <w:bCs/>
          <w:sz w:val="24"/>
          <w:szCs w:val="24"/>
          <w:lang w:val="en-US" w:eastAsia="zh-CN"/>
        </w:rPr>
        <w:t>Peng L</w:t>
      </w:r>
      <w:r w:rsidRPr="001D2D77">
        <w:rPr>
          <w:rFonts w:ascii="Book Antiqua" w:eastAsia="SimSun" w:hAnsi="Book Antiqua" w:cs="SimSun"/>
          <w:sz w:val="24"/>
          <w:szCs w:val="24"/>
          <w:lang w:val="en-US" w:eastAsia="zh-CN"/>
        </w:rPr>
        <w:t>, Patel A, Kushnir V, Gyawali CP. Assessment of upper esophageal sphincter function on high-resolution manometry: identification of predictors of globus symptoms. </w:t>
      </w:r>
      <w:r w:rsidRPr="001D2D77">
        <w:rPr>
          <w:rFonts w:ascii="Book Antiqua" w:eastAsia="SimSun" w:hAnsi="Book Antiqua" w:cs="SimSun"/>
          <w:i/>
          <w:iCs/>
          <w:sz w:val="24"/>
          <w:szCs w:val="24"/>
          <w:lang w:val="en-US" w:eastAsia="zh-CN"/>
        </w:rPr>
        <w:t>J Clin Gastroenterol</w:t>
      </w:r>
      <w:r w:rsidRPr="001D2D77">
        <w:rPr>
          <w:rFonts w:ascii="Book Antiqua" w:eastAsia="SimSun" w:hAnsi="Book Antiqua" w:cs="SimSun"/>
          <w:sz w:val="24"/>
          <w:szCs w:val="24"/>
          <w:lang w:val="en-US" w:eastAsia="zh-CN"/>
        </w:rPr>
        <w:t> 2015; </w:t>
      </w:r>
      <w:r w:rsidRPr="001D2D77">
        <w:rPr>
          <w:rFonts w:ascii="Book Antiqua" w:eastAsia="SimSun" w:hAnsi="Book Antiqua" w:cs="SimSun"/>
          <w:b/>
          <w:bCs/>
          <w:sz w:val="24"/>
          <w:szCs w:val="24"/>
          <w:lang w:val="en-US" w:eastAsia="zh-CN"/>
        </w:rPr>
        <w:t>49</w:t>
      </w:r>
      <w:r w:rsidRPr="001D2D77">
        <w:rPr>
          <w:rFonts w:ascii="Book Antiqua" w:eastAsia="SimSun" w:hAnsi="Book Antiqua" w:cs="SimSun"/>
          <w:sz w:val="24"/>
          <w:szCs w:val="24"/>
          <w:lang w:val="en-US" w:eastAsia="zh-CN"/>
        </w:rPr>
        <w:t>: 95-100 [PMID: 24492407 DOI: 10.1097/MCG.0000000000000078]</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19 </w:t>
      </w:r>
      <w:r w:rsidRPr="001D2D77">
        <w:rPr>
          <w:rFonts w:ascii="Book Antiqua" w:eastAsia="SimSun" w:hAnsi="Book Antiqua" w:cs="SimSun"/>
          <w:b/>
          <w:bCs/>
          <w:sz w:val="24"/>
          <w:szCs w:val="24"/>
          <w:lang w:val="en-US" w:eastAsia="zh-CN"/>
        </w:rPr>
        <w:t>Choi WS</w:t>
      </w:r>
      <w:r w:rsidRPr="001D2D77">
        <w:rPr>
          <w:rFonts w:ascii="Book Antiqua" w:eastAsia="SimSun" w:hAnsi="Book Antiqua" w:cs="SimSun"/>
          <w:sz w:val="24"/>
          <w:szCs w:val="24"/>
          <w:lang w:val="en-US" w:eastAsia="zh-CN"/>
        </w:rPr>
        <w:t>, Kim TW, Kim JH, Lee SH, Hur WJ, Choe YG, Lee SH, Park JH, Sohn CI. High-resolution Manometry and Globus: Comparison of Globus, Gastroesophageal Reflux Disease and Normal Controls Using High-resolution Manometry. </w:t>
      </w:r>
      <w:r w:rsidRPr="001D2D77">
        <w:rPr>
          <w:rFonts w:ascii="Book Antiqua" w:eastAsia="SimSun" w:hAnsi="Book Antiqua" w:cs="SimSun"/>
          <w:i/>
          <w:iCs/>
          <w:sz w:val="24"/>
          <w:szCs w:val="24"/>
          <w:lang w:val="en-US" w:eastAsia="zh-CN"/>
        </w:rPr>
        <w:t>J Neurogastroenterol Motil</w:t>
      </w:r>
      <w:r w:rsidRPr="001D2D77">
        <w:rPr>
          <w:rFonts w:ascii="Book Antiqua" w:eastAsia="SimSun" w:hAnsi="Book Antiqua" w:cs="SimSun"/>
          <w:sz w:val="24"/>
          <w:szCs w:val="24"/>
          <w:lang w:val="en-US" w:eastAsia="zh-CN"/>
        </w:rPr>
        <w:t> 2013; </w:t>
      </w:r>
      <w:r w:rsidRPr="001D2D77">
        <w:rPr>
          <w:rFonts w:ascii="Book Antiqua" w:eastAsia="SimSun" w:hAnsi="Book Antiqua" w:cs="SimSun"/>
          <w:b/>
          <w:bCs/>
          <w:sz w:val="24"/>
          <w:szCs w:val="24"/>
          <w:lang w:val="en-US" w:eastAsia="zh-CN"/>
        </w:rPr>
        <w:t>19</w:t>
      </w:r>
      <w:r w:rsidRPr="001D2D77">
        <w:rPr>
          <w:rFonts w:ascii="Book Antiqua" w:eastAsia="SimSun" w:hAnsi="Book Antiqua" w:cs="SimSun"/>
          <w:sz w:val="24"/>
          <w:szCs w:val="24"/>
          <w:lang w:val="en-US" w:eastAsia="zh-CN"/>
        </w:rPr>
        <w:t>: 473-478 [PMID: 24199007 DOI: 10.5056/jnm.2013.19.4.47]</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lastRenderedPageBreak/>
        <w:t>20 </w:t>
      </w:r>
      <w:r w:rsidRPr="001D2D77">
        <w:rPr>
          <w:rFonts w:ascii="Book Antiqua" w:eastAsia="SimSun" w:hAnsi="Book Antiqua" w:cs="SimSun"/>
          <w:b/>
          <w:bCs/>
          <w:sz w:val="24"/>
          <w:szCs w:val="24"/>
          <w:lang w:val="en-US" w:eastAsia="zh-CN"/>
        </w:rPr>
        <w:t>Ren Y</w:t>
      </w:r>
      <w:r w:rsidRPr="001D2D77">
        <w:rPr>
          <w:rFonts w:ascii="Book Antiqua" w:eastAsia="SimSun" w:hAnsi="Book Antiqua" w:cs="SimSun"/>
          <w:sz w:val="24"/>
          <w:szCs w:val="24"/>
          <w:lang w:val="en-US" w:eastAsia="zh-CN"/>
        </w:rPr>
        <w:t>, Tang X, Chen F, Deng Z, Wu J, Nei S, Jiang B, Gong W. Myotomy of Distal Esophagus Influences Proximal Esophageal Contraction and Upper Esophageal Sphincter Relaxation in Patients with Achalasia After Peroral Endoscopic Myotomy. </w:t>
      </w:r>
      <w:r w:rsidRPr="001D2D77">
        <w:rPr>
          <w:rFonts w:ascii="Book Antiqua" w:eastAsia="SimSun" w:hAnsi="Book Antiqua" w:cs="SimSun"/>
          <w:i/>
          <w:iCs/>
          <w:sz w:val="24"/>
          <w:szCs w:val="24"/>
          <w:lang w:val="en-US" w:eastAsia="zh-CN"/>
        </w:rPr>
        <w:t>J Neurogastroenterol Motil</w:t>
      </w:r>
      <w:r w:rsidRPr="001D2D77">
        <w:rPr>
          <w:rFonts w:ascii="Book Antiqua" w:eastAsia="SimSun" w:hAnsi="Book Antiqua" w:cs="SimSun"/>
          <w:sz w:val="24"/>
          <w:szCs w:val="24"/>
          <w:lang w:val="en-US" w:eastAsia="zh-CN"/>
        </w:rPr>
        <w:t> 2016; </w:t>
      </w:r>
      <w:r w:rsidRPr="001D2D77">
        <w:rPr>
          <w:rFonts w:ascii="Book Antiqua" w:eastAsia="SimSun" w:hAnsi="Book Antiqua" w:cs="SimSun"/>
          <w:b/>
          <w:bCs/>
          <w:sz w:val="24"/>
          <w:szCs w:val="24"/>
          <w:lang w:val="en-US" w:eastAsia="zh-CN"/>
        </w:rPr>
        <w:t>22</w:t>
      </w:r>
      <w:r w:rsidRPr="001D2D77">
        <w:rPr>
          <w:rFonts w:ascii="Book Antiqua" w:eastAsia="SimSun" w:hAnsi="Book Antiqua" w:cs="SimSun"/>
          <w:sz w:val="24"/>
          <w:szCs w:val="24"/>
          <w:lang w:val="en-US" w:eastAsia="zh-CN"/>
        </w:rPr>
        <w:t>: 78-85 [PMID: 26459454 DOI: 10.5056/jnm15098]</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21 </w:t>
      </w:r>
      <w:r w:rsidRPr="001D2D77">
        <w:rPr>
          <w:rFonts w:ascii="Book Antiqua" w:eastAsia="SimSun" w:hAnsi="Book Antiqua" w:cs="SimSun"/>
          <w:b/>
          <w:bCs/>
          <w:sz w:val="24"/>
          <w:szCs w:val="24"/>
          <w:lang w:val="en-US" w:eastAsia="zh-CN"/>
        </w:rPr>
        <w:t>de Bortoli N</w:t>
      </w:r>
      <w:r w:rsidRPr="001D2D77">
        <w:rPr>
          <w:rFonts w:ascii="Book Antiqua" w:eastAsia="SimSun" w:hAnsi="Book Antiqua" w:cs="SimSun"/>
          <w:sz w:val="24"/>
          <w:szCs w:val="24"/>
          <w:lang w:val="en-US" w:eastAsia="zh-CN"/>
        </w:rPr>
        <w:t>, Nacci A, Savarino E, Martinucci I, Bellini M, Fattori B, Ceccarelli L, Costa F, Mumolo MG, Ricchiuti A, Savarino V, Berrettini S, Marchi S. How many cases of laryngopharyngeal reflux suspected by laryngoscopy are gastroesophageal reflux disease-related? </w:t>
      </w:r>
      <w:r w:rsidRPr="001D2D77">
        <w:rPr>
          <w:rFonts w:ascii="Book Antiqua" w:eastAsia="SimSun" w:hAnsi="Book Antiqua" w:cs="SimSun"/>
          <w:i/>
          <w:iCs/>
          <w:sz w:val="24"/>
          <w:szCs w:val="24"/>
          <w:lang w:val="en-US" w:eastAsia="zh-CN"/>
        </w:rPr>
        <w:t>World J Gastroenterol</w:t>
      </w:r>
      <w:r w:rsidRPr="001D2D77">
        <w:rPr>
          <w:rFonts w:ascii="Book Antiqua" w:eastAsia="SimSun" w:hAnsi="Book Antiqua" w:cs="SimSun"/>
          <w:sz w:val="24"/>
          <w:szCs w:val="24"/>
          <w:lang w:val="en-US" w:eastAsia="zh-CN"/>
        </w:rPr>
        <w:t> 2012; </w:t>
      </w:r>
      <w:r w:rsidRPr="001D2D77">
        <w:rPr>
          <w:rFonts w:ascii="Book Antiqua" w:eastAsia="SimSun" w:hAnsi="Book Antiqua" w:cs="SimSun"/>
          <w:b/>
          <w:bCs/>
          <w:sz w:val="24"/>
          <w:szCs w:val="24"/>
          <w:lang w:val="en-US" w:eastAsia="zh-CN"/>
        </w:rPr>
        <w:t>18</w:t>
      </w:r>
      <w:r w:rsidRPr="001D2D77">
        <w:rPr>
          <w:rFonts w:ascii="Book Antiqua" w:eastAsia="SimSun" w:hAnsi="Book Antiqua" w:cs="SimSun"/>
          <w:sz w:val="24"/>
          <w:szCs w:val="24"/>
          <w:lang w:val="en-US" w:eastAsia="zh-CN"/>
        </w:rPr>
        <w:t>: 4363-4370 [PMID: 22969200 DOI: 10.3748/wjg.v18.i32.4363]</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22 </w:t>
      </w:r>
      <w:r w:rsidRPr="001D2D77">
        <w:rPr>
          <w:rFonts w:ascii="Book Antiqua" w:eastAsia="SimSun" w:hAnsi="Book Antiqua" w:cs="SimSun"/>
          <w:b/>
          <w:bCs/>
          <w:sz w:val="24"/>
          <w:szCs w:val="24"/>
          <w:lang w:val="en-US" w:eastAsia="zh-CN"/>
        </w:rPr>
        <w:t>Milstein CF</w:t>
      </w:r>
      <w:r w:rsidRPr="001D2D77">
        <w:rPr>
          <w:rFonts w:ascii="Book Antiqua" w:eastAsia="SimSun" w:hAnsi="Book Antiqua" w:cs="SimSun"/>
          <w:sz w:val="24"/>
          <w:szCs w:val="24"/>
          <w:lang w:val="en-US" w:eastAsia="zh-CN"/>
        </w:rPr>
        <w:t>, Charbel S, Hicks DM, Abelson TI, Richter JE, Vaezi MF. Prevalence of laryngeal irritation signs associated with reflux in asymptomatic volunteers: impact of endoscopic technique (rigid vs. flexible laryngoscope). </w:t>
      </w:r>
      <w:r w:rsidRPr="001D2D77">
        <w:rPr>
          <w:rFonts w:ascii="Book Antiqua" w:eastAsia="SimSun" w:hAnsi="Book Antiqua" w:cs="SimSun"/>
          <w:i/>
          <w:iCs/>
          <w:sz w:val="24"/>
          <w:szCs w:val="24"/>
          <w:lang w:val="en-US" w:eastAsia="zh-CN"/>
        </w:rPr>
        <w:t>Laryngoscope</w:t>
      </w:r>
      <w:r w:rsidRPr="001D2D77">
        <w:rPr>
          <w:rFonts w:ascii="Book Antiqua" w:eastAsia="SimSun" w:hAnsi="Book Antiqua" w:cs="SimSun"/>
          <w:sz w:val="24"/>
          <w:szCs w:val="24"/>
          <w:lang w:val="en-US" w:eastAsia="zh-CN"/>
        </w:rPr>
        <w:t> 2005; </w:t>
      </w:r>
      <w:r w:rsidRPr="001D2D77">
        <w:rPr>
          <w:rFonts w:ascii="Book Antiqua" w:eastAsia="SimSun" w:hAnsi="Book Antiqua" w:cs="SimSun"/>
          <w:b/>
          <w:bCs/>
          <w:sz w:val="24"/>
          <w:szCs w:val="24"/>
          <w:lang w:val="en-US" w:eastAsia="zh-CN"/>
        </w:rPr>
        <w:t>115</w:t>
      </w:r>
      <w:r w:rsidRPr="001D2D77">
        <w:rPr>
          <w:rFonts w:ascii="Book Antiqua" w:eastAsia="SimSun" w:hAnsi="Book Antiqua" w:cs="SimSun"/>
          <w:sz w:val="24"/>
          <w:szCs w:val="24"/>
          <w:lang w:val="en-US" w:eastAsia="zh-CN"/>
        </w:rPr>
        <w:t>: 2256-2261 [PMID: 16369176 DOI: 10.1097/01.mlg.0000184325.44968.b1]</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23 </w:t>
      </w:r>
      <w:r w:rsidRPr="001D2D77">
        <w:rPr>
          <w:rFonts w:ascii="Book Antiqua" w:eastAsia="SimSun" w:hAnsi="Book Antiqua" w:cs="SimSun"/>
          <w:b/>
          <w:bCs/>
          <w:sz w:val="24"/>
          <w:szCs w:val="24"/>
          <w:lang w:val="en-US" w:eastAsia="zh-CN"/>
        </w:rPr>
        <w:t>Francis DO</w:t>
      </w:r>
      <w:r w:rsidRPr="001D2D77">
        <w:rPr>
          <w:rFonts w:ascii="Book Antiqua" w:eastAsia="SimSun" w:hAnsi="Book Antiqua" w:cs="SimSun"/>
          <w:sz w:val="24"/>
          <w:szCs w:val="24"/>
          <w:lang w:val="en-US" w:eastAsia="zh-CN"/>
        </w:rPr>
        <w:t>, Rymer JA, Slaughter JC, Choksi Y, Jiramongkolchai P, Ogbeide E, Tran C, Goutte M, Garrett CG, Hagaman D, Vaezi MF. High economic burden of caring for patients with suspected extraesophageal reflux. </w:t>
      </w:r>
      <w:r w:rsidRPr="001D2D77">
        <w:rPr>
          <w:rFonts w:ascii="Book Antiqua" w:eastAsia="SimSun" w:hAnsi="Book Antiqua" w:cs="SimSun"/>
          <w:i/>
          <w:iCs/>
          <w:sz w:val="24"/>
          <w:szCs w:val="24"/>
          <w:lang w:val="en-US" w:eastAsia="zh-CN"/>
        </w:rPr>
        <w:t>Am J Gastroenterol</w:t>
      </w:r>
      <w:r w:rsidRPr="001D2D77">
        <w:rPr>
          <w:rFonts w:ascii="Book Antiqua" w:eastAsia="SimSun" w:hAnsi="Book Antiqua" w:cs="SimSun"/>
          <w:sz w:val="24"/>
          <w:szCs w:val="24"/>
          <w:lang w:val="en-US" w:eastAsia="zh-CN"/>
        </w:rPr>
        <w:t> 2013; </w:t>
      </w:r>
      <w:r w:rsidRPr="001D2D77">
        <w:rPr>
          <w:rFonts w:ascii="Book Antiqua" w:eastAsia="SimSun" w:hAnsi="Book Antiqua" w:cs="SimSun"/>
          <w:b/>
          <w:bCs/>
          <w:sz w:val="24"/>
          <w:szCs w:val="24"/>
          <w:lang w:val="en-US" w:eastAsia="zh-CN"/>
        </w:rPr>
        <w:t>108</w:t>
      </w:r>
      <w:r w:rsidRPr="001D2D77">
        <w:rPr>
          <w:rFonts w:ascii="Book Antiqua" w:eastAsia="SimSun" w:hAnsi="Book Antiqua" w:cs="SimSun"/>
          <w:sz w:val="24"/>
          <w:szCs w:val="24"/>
          <w:lang w:val="en-US" w:eastAsia="zh-CN"/>
        </w:rPr>
        <w:t>: 905-911 [PMID: 23545710 DOI: 10.1038/ajg.2013.69]</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24 </w:t>
      </w:r>
      <w:r w:rsidRPr="001D2D77">
        <w:rPr>
          <w:rFonts w:ascii="Book Antiqua" w:eastAsia="SimSun" w:hAnsi="Book Antiqua" w:cs="SimSun"/>
          <w:b/>
          <w:bCs/>
          <w:sz w:val="24"/>
          <w:szCs w:val="24"/>
          <w:lang w:val="en-US" w:eastAsia="zh-CN"/>
        </w:rPr>
        <w:t>Katz PO</w:t>
      </w:r>
      <w:r w:rsidRPr="001D2D77">
        <w:rPr>
          <w:rFonts w:ascii="Book Antiqua" w:eastAsia="SimSun" w:hAnsi="Book Antiqua" w:cs="SimSun"/>
          <w:sz w:val="24"/>
          <w:szCs w:val="24"/>
          <w:lang w:val="en-US" w:eastAsia="zh-CN"/>
        </w:rPr>
        <w:t>, Gerson LB, Vela MF. Guidelines for the diagnosis and management of gastroesophageal reflux disease. </w:t>
      </w:r>
      <w:r w:rsidRPr="001D2D77">
        <w:rPr>
          <w:rFonts w:ascii="Book Antiqua" w:eastAsia="SimSun" w:hAnsi="Book Antiqua" w:cs="SimSun"/>
          <w:i/>
          <w:iCs/>
          <w:sz w:val="24"/>
          <w:szCs w:val="24"/>
          <w:lang w:val="en-US" w:eastAsia="zh-CN"/>
        </w:rPr>
        <w:t>Am J Gastroenterol</w:t>
      </w:r>
      <w:r w:rsidRPr="001D2D77">
        <w:rPr>
          <w:rFonts w:ascii="Book Antiqua" w:eastAsia="SimSun" w:hAnsi="Book Antiqua" w:cs="SimSun"/>
          <w:sz w:val="24"/>
          <w:szCs w:val="24"/>
          <w:lang w:val="en-US" w:eastAsia="zh-CN"/>
        </w:rPr>
        <w:t> 2013; </w:t>
      </w:r>
      <w:r w:rsidRPr="001D2D77">
        <w:rPr>
          <w:rFonts w:ascii="Book Antiqua" w:eastAsia="SimSun" w:hAnsi="Book Antiqua" w:cs="SimSun"/>
          <w:b/>
          <w:bCs/>
          <w:sz w:val="24"/>
          <w:szCs w:val="24"/>
          <w:lang w:val="en-US" w:eastAsia="zh-CN"/>
        </w:rPr>
        <w:t>108</w:t>
      </w:r>
      <w:r w:rsidRPr="001D2D77">
        <w:rPr>
          <w:rFonts w:ascii="Book Antiqua" w:eastAsia="SimSun" w:hAnsi="Book Antiqua" w:cs="SimSun"/>
          <w:sz w:val="24"/>
          <w:szCs w:val="24"/>
          <w:lang w:val="en-US" w:eastAsia="zh-CN"/>
        </w:rPr>
        <w:t>: 308-28; quiz 329 [PMID: 23419381 DOI: 10.1038/ajg.2012.444]</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25 </w:t>
      </w:r>
      <w:r w:rsidRPr="001D2D77">
        <w:rPr>
          <w:rFonts w:ascii="Book Antiqua" w:eastAsia="SimSun" w:hAnsi="Book Antiqua" w:cs="SimSun"/>
          <w:b/>
          <w:bCs/>
          <w:sz w:val="24"/>
          <w:szCs w:val="24"/>
          <w:lang w:val="en-US" w:eastAsia="zh-CN"/>
        </w:rPr>
        <w:t>Hoppo T</w:t>
      </w:r>
      <w:r w:rsidRPr="001D2D77">
        <w:rPr>
          <w:rFonts w:ascii="Book Antiqua" w:eastAsia="SimSun" w:hAnsi="Book Antiqua" w:cs="SimSun"/>
          <w:sz w:val="24"/>
          <w:szCs w:val="24"/>
          <w:lang w:val="en-US" w:eastAsia="zh-CN"/>
        </w:rPr>
        <w:t>, Sanz AF, Nason KS, Carroll TL, Rosen C, Normolle DP, Shaheen NJ, Luketich JD, Jobe BA. How much pharyngeal exposure is "normal"? Normative data for laryngopharyngeal reflux events using hypopharyngeal multichannel intraluminal impedance (HMII). </w:t>
      </w:r>
      <w:r w:rsidRPr="001D2D77">
        <w:rPr>
          <w:rFonts w:ascii="Book Antiqua" w:eastAsia="SimSun" w:hAnsi="Book Antiqua" w:cs="SimSun"/>
          <w:i/>
          <w:iCs/>
          <w:sz w:val="24"/>
          <w:szCs w:val="24"/>
          <w:lang w:val="en-US" w:eastAsia="zh-CN"/>
        </w:rPr>
        <w:t>J Gastrointest Surg</w:t>
      </w:r>
      <w:r w:rsidRPr="001D2D77">
        <w:rPr>
          <w:rFonts w:ascii="Book Antiqua" w:eastAsia="SimSun" w:hAnsi="Book Antiqua" w:cs="SimSun"/>
          <w:sz w:val="24"/>
          <w:szCs w:val="24"/>
          <w:lang w:val="en-US" w:eastAsia="zh-CN"/>
        </w:rPr>
        <w:t> 2012; </w:t>
      </w:r>
      <w:r w:rsidRPr="001D2D77">
        <w:rPr>
          <w:rFonts w:ascii="Book Antiqua" w:eastAsia="SimSun" w:hAnsi="Book Antiqua" w:cs="SimSun"/>
          <w:b/>
          <w:bCs/>
          <w:sz w:val="24"/>
          <w:szCs w:val="24"/>
          <w:lang w:val="en-US" w:eastAsia="zh-CN"/>
        </w:rPr>
        <w:t>16</w:t>
      </w:r>
      <w:r w:rsidRPr="001D2D77">
        <w:rPr>
          <w:rFonts w:ascii="Book Antiqua" w:eastAsia="SimSun" w:hAnsi="Book Antiqua" w:cs="SimSun"/>
          <w:sz w:val="24"/>
          <w:szCs w:val="24"/>
          <w:lang w:val="en-US" w:eastAsia="zh-CN"/>
        </w:rPr>
        <w:t>: 16-24; discussion 24-5 [PMID: 22033702 DOI: 10.1007/s11605-011-1741-1]</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26 </w:t>
      </w:r>
      <w:r w:rsidRPr="001D2D77">
        <w:rPr>
          <w:rFonts w:ascii="Book Antiqua" w:eastAsia="SimSun" w:hAnsi="Book Antiqua" w:cs="SimSun"/>
          <w:b/>
          <w:bCs/>
          <w:sz w:val="24"/>
          <w:szCs w:val="24"/>
          <w:lang w:val="en-US" w:eastAsia="zh-CN"/>
        </w:rPr>
        <w:t>Hayat JO</w:t>
      </w:r>
      <w:r w:rsidRPr="001D2D77">
        <w:rPr>
          <w:rFonts w:ascii="Book Antiqua" w:eastAsia="SimSun" w:hAnsi="Book Antiqua" w:cs="SimSun"/>
          <w:sz w:val="24"/>
          <w:szCs w:val="24"/>
          <w:lang w:val="en-US" w:eastAsia="zh-CN"/>
        </w:rPr>
        <w:t>, Yazaki E, Moore AT, Hicklin L, Dettmar P, Kang JY, Sifrim D. Objective detection of esophagopharyngeal reflux in patients with hoarseness and endoscopic signs of laryngeal inflammation. </w:t>
      </w:r>
      <w:r w:rsidRPr="001D2D77">
        <w:rPr>
          <w:rFonts w:ascii="Book Antiqua" w:eastAsia="SimSun" w:hAnsi="Book Antiqua" w:cs="SimSun"/>
          <w:i/>
          <w:iCs/>
          <w:sz w:val="24"/>
          <w:szCs w:val="24"/>
          <w:lang w:val="en-US" w:eastAsia="zh-CN"/>
        </w:rPr>
        <w:t>J Clin Gastroenterol</w:t>
      </w:r>
      <w:r w:rsidRPr="001D2D77">
        <w:rPr>
          <w:rFonts w:ascii="Book Antiqua" w:eastAsia="SimSun" w:hAnsi="Book Antiqua" w:cs="SimSun"/>
          <w:sz w:val="24"/>
          <w:szCs w:val="24"/>
          <w:lang w:val="en-US" w:eastAsia="zh-CN"/>
        </w:rPr>
        <w:t> 2014; </w:t>
      </w:r>
      <w:r w:rsidRPr="001D2D77">
        <w:rPr>
          <w:rFonts w:ascii="Book Antiqua" w:eastAsia="SimSun" w:hAnsi="Book Antiqua" w:cs="SimSun"/>
          <w:b/>
          <w:bCs/>
          <w:sz w:val="24"/>
          <w:szCs w:val="24"/>
          <w:lang w:val="en-US" w:eastAsia="zh-CN"/>
        </w:rPr>
        <w:t>48</w:t>
      </w:r>
      <w:r w:rsidRPr="001D2D77">
        <w:rPr>
          <w:rFonts w:ascii="Book Antiqua" w:eastAsia="SimSun" w:hAnsi="Book Antiqua" w:cs="SimSun"/>
          <w:sz w:val="24"/>
          <w:szCs w:val="24"/>
          <w:lang w:val="en-US" w:eastAsia="zh-CN"/>
        </w:rPr>
        <w:t>: 318-327 [PMID: 24172180 DOI: 10.1097/MCG.0000000000000011]</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27 </w:t>
      </w:r>
      <w:r w:rsidRPr="001D2D77">
        <w:rPr>
          <w:rFonts w:ascii="Book Antiqua" w:eastAsia="SimSun" w:hAnsi="Book Antiqua" w:cs="SimSun"/>
          <w:b/>
          <w:bCs/>
          <w:sz w:val="24"/>
          <w:szCs w:val="24"/>
          <w:lang w:val="en-US" w:eastAsia="zh-CN"/>
        </w:rPr>
        <w:t>Yadlapati R</w:t>
      </w:r>
      <w:r w:rsidRPr="001D2D77">
        <w:rPr>
          <w:rFonts w:ascii="Book Antiqua" w:eastAsia="SimSun" w:hAnsi="Book Antiqua" w:cs="SimSun"/>
          <w:sz w:val="24"/>
          <w:szCs w:val="24"/>
          <w:lang w:val="en-US" w:eastAsia="zh-CN"/>
        </w:rPr>
        <w:t xml:space="preserve">, Adkins C, Jaiyeola DM, Lidder AK, Gawron AJ, Tan BK, Shabeeb N, Price CP, Agrawal N, Ellenbogen M, Smith SS, Bove M, Pandolfino JE. Abilities of Oropharyngeal pH Tests and Salivary Pepsin Analysis to Discriminate Between </w:t>
      </w:r>
      <w:r w:rsidRPr="001D2D77">
        <w:rPr>
          <w:rFonts w:ascii="Book Antiqua" w:eastAsia="SimSun" w:hAnsi="Book Antiqua" w:cs="SimSun"/>
          <w:sz w:val="24"/>
          <w:szCs w:val="24"/>
          <w:lang w:val="en-US" w:eastAsia="zh-CN"/>
        </w:rPr>
        <w:lastRenderedPageBreak/>
        <w:t>Asymptomatic Volunteers and Subjects With Symptoms of Laryngeal Irritation. </w:t>
      </w:r>
      <w:r w:rsidRPr="001D2D77">
        <w:rPr>
          <w:rFonts w:ascii="Book Antiqua" w:eastAsia="SimSun" w:hAnsi="Book Antiqua" w:cs="SimSun"/>
          <w:i/>
          <w:iCs/>
          <w:sz w:val="24"/>
          <w:szCs w:val="24"/>
          <w:lang w:val="en-US" w:eastAsia="zh-CN"/>
        </w:rPr>
        <w:t>Clin Gastroenterol Hepatol</w:t>
      </w:r>
      <w:r w:rsidRPr="001D2D77">
        <w:rPr>
          <w:rFonts w:ascii="Book Antiqua" w:eastAsia="SimSun" w:hAnsi="Book Antiqua" w:cs="SimSun"/>
          <w:sz w:val="24"/>
          <w:szCs w:val="24"/>
          <w:lang w:val="en-US" w:eastAsia="zh-CN"/>
        </w:rPr>
        <w:t> 2016; </w:t>
      </w:r>
      <w:r w:rsidRPr="001D2D77">
        <w:rPr>
          <w:rFonts w:ascii="Book Antiqua" w:eastAsia="SimSun" w:hAnsi="Book Antiqua" w:cs="SimSun"/>
          <w:b/>
          <w:bCs/>
          <w:sz w:val="24"/>
          <w:szCs w:val="24"/>
          <w:lang w:val="en-US" w:eastAsia="zh-CN"/>
        </w:rPr>
        <w:t>14</w:t>
      </w:r>
      <w:r w:rsidRPr="001D2D77">
        <w:rPr>
          <w:rFonts w:ascii="Book Antiqua" w:eastAsia="SimSun" w:hAnsi="Book Antiqua" w:cs="SimSun"/>
          <w:sz w:val="24"/>
          <w:szCs w:val="24"/>
          <w:lang w:val="en-US" w:eastAsia="zh-CN"/>
        </w:rPr>
        <w:t>: 535-542.e2 [PMID: 26689899 DOI: 10.1016/j.cgh.2015.11.017]</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28 </w:t>
      </w:r>
      <w:r w:rsidRPr="001D2D77">
        <w:rPr>
          <w:rFonts w:ascii="Book Antiqua" w:eastAsia="SimSun" w:hAnsi="Book Antiqua" w:cs="SimSun"/>
          <w:b/>
          <w:bCs/>
          <w:sz w:val="24"/>
          <w:szCs w:val="24"/>
          <w:lang w:val="en-US" w:eastAsia="zh-CN"/>
        </w:rPr>
        <w:t>Vailati C</w:t>
      </w:r>
      <w:r w:rsidRPr="001D2D77">
        <w:rPr>
          <w:rFonts w:ascii="Book Antiqua" w:eastAsia="SimSun" w:hAnsi="Book Antiqua" w:cs="SimSun"/>
          <w:sz w:val="24"/>
          <w:szCs w:val="24"/>
          <w:lang w:val="en-US" w:eastAsia="zh-CN"/>
        </w:rPr>
        <w:t>, Mazzoleni G, Bondi S, Bussi M, Testoni PA, Passaretti S. Oropharyngeal pH monitoring for laryngopharyngeal reflux: is it a reliable test before therapy? </w:t>
      </w:r>
      <w:r w:rsidRPr="001D2D77">
        <w:rPr>
          <w:rFonts w:ascii="Book Antiqua" w:eastAsia="SimSun" w:hAnsi="Book Antiqua" w:cs="SimSun"/>
          <w:i/>
          <w:iCs/>
          <w:sz w:val="24"/>
          <w:szCs w:val="24"/>
          <w:lang w:val="en-US" w:eastAsia="zh-CN"/>
        </w:rPr>
        <w:t>J Voice</w:t>
      </w:r>
      <w:r w:rsidRPr="001D2D77">
        <w:rPr>
          <w:rFonts w:ascii="Book Antiqua" w:eastAsia="SimSun" w:hAnsi="Book Antiqua" w:cs="SimSun"/>
          <w:sz w:val="24"/>
          <w:szCs w:val="24"/>
          <w:lang w:val="en-US" w:eastAsia="zh-CN"/>
        </w:rPr>
        <w:t> 2013; </w:t>
      </w:r>
      <w:r w:rsidRPr="001D2D77">
        <w:rPr>
          <w:rFonts w:ascii="Book Antiqua" w:eastAsia="SimSun" w:hAnsi="Book Antiqua" w:cs="SimSun"/>
          <w:b/>
          <w:bCs/>
          <w:sz w:val="24"/>
          <w:szCs w:val="24"/>
          <w:lang w:val="en-US" w:eastAsia="zh-CN"/>
        </w:rPr>
        <w:t>27</w:t>
      </w:r>
      <w:r w:rsidRPr="001D2D77">
        <w:rPr>
          <w:rFonts w:ascii="Book Antiqua" w:eastAsia="SimSun" w:hAnsi="Book Antiqua" w:cs="SimSun"/>
          <w:sz w:val="24"/>
          <w:szCs w:val="24"/>
          <w:lang w:val="en-US" w:eastAsia="zh-CN"/>
        </w:rPr>
        <w:t>: 84-89 [PMID: 23159026 DOI: 10.1016/j.jvoice.2012.08.006]</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29 </w:t>
      </w:r>
      <w:r w:rsidRPr="001D2D77">
        <w:rPr>
          <w:rFonts w:ascii="Book Antiqua" w:eastAsia="SimSun" w:hAnsi="Book Antiqua" w:cs="SimSun"/>
          <w:b/>
          <w:bCs/>
          <w:sz w:val="24"/>
          <w:szCs w:val="24"/>
          <w:lang w:val="en-US" w:eastAsia="zh-CN"/>
        </w:rPr>
        <w:t>Worrell SG</w:t>
      </w:r>
      <w:r w:rsidRPr="001D2D77">
        <w:rPr>
          <w:rFonts w:ascii="Book Antiqua" w:eastAsia="SimSun" w:hAnsi="Book Antiqua" w:cs="SimSun"/>
          <w:sz w:val="24"/>
          <w:szCs w:val="24"/>
          <w:lang w:val="en-US" w:eastAsia="zh-CN"/>
        </w:rPr>
        <w:t>, DeMeester SR, Greene CL, Oh DS, Hagen JA. Pharyngeal pH monitoring better predicts a successful outcome for extraesophageal reflux symptoms after antireflux surgery. </w:t>
      </w:r>
      <w:r w:rsidRPr="001D2D77">
        <w:rPr>
          <w:rFonts w:ascii="Book Antiqua" w:eastAsia="SimSun" w:hAnsi="Book Antiqua" w:cs="SimSun"/>
          <w:i/>
          <w:iCs/>
          <w:sz w:val="24"/>
          <w:szCs w:val="24"/>
          <w:lang w:val="en-US" w:eastAsia="zh-CN"/>
        </w:rPr>
        <w:t>Surg Endosc</w:t>
      </w:r>
      <w:r w:rsidRPr="001D2D77">
        <w:rPr>
          <w:rFonts w:ascii="Book Antiqua" w:eastAsia="SimSun" w:hAnsi="Book Antiqua" w:cs="SimSun"/>
          <w:sz w:val="24"/>
          <w:szCs w:val="24"/>
          <w:lang w:val="en-US" w:eastAsia="zh-CN"/>
        </w:rPr>
        <w:t> 2013; </w:t>
      </w:r>
      <w:r w:rsidRPr="001D2D77">
        <w:rPr>
          <w:rFonts w:ascii="Book Antiqua" w:eastAsia="SimSun" w:hAnsi="Book Antiqua" w:cs="SimSun"/>
          <w:b/>
          <w:bCs/>
          <w:sz w:val="24"/>
          <w:szCs w:val="24"/>
          <w:lang w:val="en-US" w:eastAsia="zh-CN"/>
        </w:rPr>
        <w:t>27</w:t>
      </w:r>
      <w:r w:rsidRPr="001D2D77">
        <w:rPr>
          <w:rFonts w:ascii="Book Antiqua" w:eastAsia="SimSun" w:hAnsi="Book Antiqua" w:cs="SimSun"/>
          <w:sz w:val="24"/>
          <w:szCs w:val="24"/>
          <w:lang w:val="en-US" w:eastAsia="zh-CN"/>
        </w:rPr>
        <w:t>: 4113-4118 [PMID: 23836124 DOI: 10.1007/s00464-013-3076-3]</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30 </w:t>
      </w:r>
      <w:r w:rsidRPr="001D2D77">
        <w:rPr>
          <w:rFonts w:ascii="Book Antiqua" w:eastAsia="SimSun" w:hAnsi="Book Antiqua" w:cs="SimSun"/>
          <w:b/>
          <w:bCs/>
          <w:sz w:val="24"/>
          <w:szCs w:val="24"/>
          <w:lang w:val="en-US" w:eastAsia="zh-CN"/>
        </w:rPr>
        <w:t>Orlando RC</w:t>
      </w:r>
      <w:r w:rsidRPr="001D2D77">
        <w:rPr>
          <w:rFonts w:ascii="Book Antiqua" w:eastAsia="SimSun" w:hAnsi="Book Antiqua" w:cs="SimSun"/>
          <w:sz w:val="24"/>
          <w:szCs w:val="24"/>
          <w:lang w:val="en-US" w:eastAsia="zh-CN"/>
        </w:rPr>
        <w:t>. Overview of the mechanisms of gastroesophageal reflux. </w:t>
      </w:r>
      <w:r w:rsidRPr="001D2D77">
        <w:rPr>
          <w:rFonts w:ascii="Book Antiqua" w:eastAsia="SimSun" w:hAnsi="Book Antiqua" w:cs="SimSun"/>
          <w:i/>
          <w:iCs/>
          <w:sz w:val="24"/>
          <w:szCs w:val="24"/>
          <w:lang w:val="en-US" w:eastAsia="zh-CN"/>
        </w:rPr>
        <w:t>Am J Med</w:t>
      </w:r>
      <w:r w:rsidRPr="001D2D77">
        <w:rPr>
          <w:rFonts w:ascii="Book Antiqua" w:eastAsia="SimSun" w:hAnsi="Book Antiqua" w:cs="SimSun"/>
          <w:sz w:val="24"/>
          <w:szCs w:val="24"/>
          <w:lang w:val="en-US" w:eastAsia="zh-CN"/>
        </w:rPr>
        <w:t> 2001; </w:t>
      </w:r>
      <w:r w:rsidRPr="001D2D77">
        <w:rPr>
          <w:rFonts w:ascii="Book Antiqua" w:eastAsia="SimSun" w:hAnsi="Book Antiqua" w:cs="SimSun"/>
          <w:b/>
          <w:bCs/>
          <w:sz w:val="24"/>
          <w:szCs w:val="24"/>
          <w:lang w:val="en-US" w:eastAsia="zh-CN"/>
        </w:rPr>
        <w:t>111 Suppl 8A</w:t>
      </w:r>
      <w:r w:rsidRPr="001D2D77">
        <w:rPr>
          <w:rFonts w:ascii="Book Antiqua" w:eastAsia="SimSun" w:hAnsi="Book Antiqua" w:cs="SimSun"/>
          <w:sz w:val="24"/>
          <w:szCs w:val="24"/>
          <w:lang w:val="en-US" w:eastAsia="zh-CN"/>
        </w:rPr>
        <w:t>: 174S-177S [PMID: 11749946]</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31 </w:t>
      </w:r>
      <w:r w:rsidRPr="001D2D77">
        <w:rPr>
          <w:rFonts w:ascii="Book Antiqua" w:eastAsia="SimSun" w:hAnsi="Book Antiqua" w:cs="SimSun"/>
          <w:b/>
          <w:bCs/>
          <w:sz w:val="24"/>
          <w:szCs w:val="24"/>
          <w:lang w:val="en-US" w:eastAsia="zh-CN"/>
        </w:rPr>
        <w:t>Savarino E</w:t>
      </w:r>
      <w:r w:rsidRPr="001D2D77">
        <w:rPr>
          <w:rFonts w:ascii="Book Antiqua" w:eastAsia="SimSun" w:hAnsi="Book Antiqua" w:cs="SimSun"/>
          <w:sz w:val="24"/>
          <w:szCs w:val="24"/>
          <w:lang w:val="en-US" w:eastAsia="zh-CN"/>
        </w:rPr>
        <w:t>, Gemignani L, Pohl D, Zentilin P, Dulbecco P, Assandri L, Marabotto E, Bonfanti D, Inferrera S, Fazio V, Malesci A, Tutuian R, Savarino V. Oesophageal motility and bolus transit abnormalities increase in parallel with the severity of gastro-oesophageal reflux disease. </w:t>
      </w:r>
      <w:r w:rsidRPr="001D2D77">
        <w:rPr>
          <w:rFonts w:ascii="Book Antiqua" w:eastAsia="SimSun" w:hAnsi="Book Antiqua" w:cs="SimSun"/>
          <w:i/>
          <w:iCs/>
          <w:sz w:val="24"/>
          <w:szCs w:val="24"/>
          <w:lang w:val="en-US" w:eastAsia="zh-CN"/>
        </w:rPr>
        <w:t>Aliment Pharmacol Ther</w:t>
      </w:r>
      <w:r w:rsidRPr="001D2D77">
        <w:rPr>
          <w:rFonts w:ascii="Book Antiqua" w:eastAsia="SimSun" w:hAnsi="Book Antiqua" w:cs="SimSun"/>
          <w:sz w:val="24"/>
          <w:szCs w:val="24"/>
          <w:lang w:val="en-US" w:eastAsia="zh-CN"/>
        </w:rPr>
        <w:t> 2011; </w:t>
      </w:r>
      <w:r w:rsidRPr="001D2D77">
        <w:rPr>
          <w:rFonts w:ascii="Book Antiqua" w:eastAsia="SimSun" w:hAnsi="Book Antiqua" w:cs="SimSun"/>
          <w:b/>
          <w:bCs/>
          <w:sz w:val="24"/>
          <w:szCs w:val="24"/>
          <w:lang w:val="en-US" w:eastAsia="zh-CN"/>
        </w:rPr>
        <w:t>34</w:t>
      </w:r>
      <w:r w:rsidRPr="001D2D77">
        <w:rPr>
          <w:rFonts w:ascii="Book Antiqua" w:eastAsia="SimSun" w:hAnsi="Book Antiqua" w:cs="SimSun"/>
          <w:sz w:val="24"/>
          <w:szCs w:val="24"/>
          <w:lang w:val="en-US" w:eastAsia="zh-CN"/>
        </w:rPr>
        <w:t>: 476-486 [PMID: 21671968 DOI: 10.1111/j.1365-2036.2011.04742.x]</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32 </w:t>
      </w:r>
      <w:r w:rsidRPr="001D2D77">
        <w:rPr>
          <w:rFonts w:ascii="Book Antiqua" w:eastAsia="SimSun" w:hAnsi="Book Antiqua" w:cs="SimSun"/>
          <w:b/>
          <w:bCs/>
          <w:sz w:val="24"/>
          <w:szCs w:val="24"/>
          <w:lang w:val="en-US" w:eastAsia="zh-CN"/>
        </w:rPr>
        <w:t>Knight RE</w:t>
      </w:r>
      <w:r w:rsidRPr="001D2D77">
        <w:rPr>
          <w:rFonts w:ascii="Book Antiqua" w:eastAsia="SimSun" w:hAnsi="Book Antiqua" w:cs="SimSun"/>
          <w:sz w:val="24"/>
          <w:szCs w:val="24"/>
          <w:lang w:val="en-US" w:eastAsia="zh-CN"/>
        </w:rPr>
        <w:t>, Wells JR, Parrish RS. Esophageal dysmotility as an important co-factor in extraesophageal manifestations of gastroesophageal reflux. </w:t>
      </w:r>
      <w:r w:rsidRPr="001D2D77">
        <w:rPr>
          <w:rFonts w:ascii="Book Antiqua" w:eastAsia="SimSun" w:hAnsi="Book Antiqua" w:cs="SimSun"/>
          <w:i/>
          <w:iCs/>
          <w:sz w:val="24"/>
          <w:szCs w:val="24"/>
          <w:lang w:val="en-US" w:eastAsia="zh-CN"/>
        </w:rPr>
        <w:t>Laryngoscope</w:t>
      </w:r>
      <w:r w:rsidRPr="001D2D77">
        <w:rPr>
          <w:rFonts w:ascii="Book Antiqua" w:eastAsia="SimSun" w:hAnsi="Book Antiqua" w:cs="SimSun"/>
          <w:sz w:val="24"/>
          <w:szCs w:val="24"/>
          <w:lang w:val="en-US" w:eastAsia="zh-CN"/>
        </w:rPr>
        <w:t> 2000; </w:t>
      </w:r>
      <w:r w:rsidRPr="001D2D77">
        <w:rPr>
          <w:rFonts w:ascii="Book Antiqua" w:eastAsia="SimSun" w:hAnsi="Book Antiqua" w:cs="SimSun"/>
          <w:b/>
          <w:bCs/>
          <w:sz w:val="24"/>
          <w:szCs w:val="24"/>
          <w:lang w:val="en-US" w:eastAsia="zh-CN"/>
        </w:rPr>
        <w:t>110</w:t>
      </w:r>
      <w:r w:rsidRPr="001D2D77">
        <w:rPr>
          <w:rFonts w:ascii="Book Antiqua" w:eastAsia="SimSun" w:hAnsi="Book Antiqua" w:cs="SimSun"/>
          <w:sz w:val="24"/>
          <w:szCs w:val="24"/>
          <w:lang w:val="en-US" w:eastAsia="zh-CN"/>
        </w:rPr>
        <w:t>: 1462-1466 [PMID: 10983943 DOI: 10.1097/00005537-200009000-00010]</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33 </w:t>
      </w:r>
      <w:r w:rsidRPr="001D2D77">
        <w:rPr>
          <w:rFonts w:ascii="Book Antiqua" w:eastAsia="SimSun" w:hAnsi="Book Antiqua" w:cs="SimSun"/>
          <w:b/>
          <w:bCs/>
          <w:sz w:val="24"/>
          <w:szCs w:val="24"/>
          <w:lang w:val="en-US" w:eastAsia="zh-CN"/>
        </w:rPr>
        <w:t>Daum C</w:t>
      </w:r>
      <w:r w:rsidRPr="001D2D77">
        <w:rPr>
          <w:rFonts w:ascii="Book Antiqua" w:eastAsia="SimSun" w:hAnsi="Book Antiqua" w:cs="SimSun"/>
          <w:sz w:val="24"/>
          <w:szCs w:val="24"/>
          <w:lang w:val="en-US" w:eastAsia="zh-CN"/>
        </w:rPr>
        <w:t>, Sweis R, Kaufman E, Fuellemann A, Anggiansah A, Fried M, Fox M. Failure to respond to physiologic challenge characterizes esophageal motility in erosive gastro-esophageal reflux disease. </w:t>
      </w:r>
      <w:r w:rsidRPr="001D2D77">
        <w:rPr>
          <w:rFonts w:ascii="Book Antiqua" w:eastAsia="SimSun" w:hAnsi="Book Antiqua" w:cs="SimSun"/>
          <w:i/>
          <w:iCs/>
          <w:sz w:val="24"/>
          <w:szCs w:val="24"/>
          <w:lang w:val="en-US" w:eastAsia="zh-CN"/>
        </w:rPr>
        <w:t>Neurogastroenterol Motil</w:t>
      </w:r>
      <w:r w:rsidRPr="001D2D77">
        <w:rPr>
          <w:rFonts w:ascii="Book Antiqua" w:eastAsia="SimSun" w:hAnsi="Book Antiqua" w:cs="SimSun"/>
          <w:sz w:val="24"/>
          <w:szCs w:val="24"/>
          <w:lang w:val="en-US" w:eastAsia="zh-CN"/>
        </w:rPr>
        <w:t> 2011; </w:t>
      </w:r>
      <w:r w:rsidRPr="001D2D77">
        <w:rPr>
          <w:rFonts w:ascii="Book Antiqua" w:eastAsia="SimSun" w:hAnsi="Book Antiqua" w:cs="SimSun"/>
          <w:b/>
          <w:bCs/>
          <w:sz w:val="24"/>
          <w:szCs w:val="24"/>
          <w:lang w:val="en-US" w:eastAsia="zh-CN"/>
        </w:rPr>
        <w:t>23</w:t>
      </w:r>
      <w:r w:rsidRPr="001D2D77">
        <w:rPr>
          <w:rFonts w:ascii="Book Antiqua" w:eastAsia="SimSun" w:hAnsi="Book Antiqua" w:cs="SimSun"/>
          <w:sz w:val="24"/>
          <w:szCs w:val="24"/>
          <w:lang w:val="en-US" w:eastAsia="zh-CN"/>
        </w:rPr>
        <w:t>: 517-e200 [PMID: 21272162 DOI: 10.1111/j.1365-2982.2011.01669.x]</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34 </w:t>
      </w:r>
      <w:r w:rsidRPr="001D2D77">
        <w:rPr>
          <w:rFonts w:ascii="Book Antiqua" w:eastAsia="SimSun" w:hAnsi="Book Antiqua" w:cs="SimSun"/>
          <w:b/>
          <w:bCs/>
          <w:sz w:val="24"/>
          <w:szCs w:val="24"/>
          <w:lang w:val="en-US" w:eastAsia="zh-CN"/>
        </w:rPr>
        <w:t>Vardar R</w:t>
      </w:r>
      <w:r w:rsidRPr="001D2D77">
        <w:rPr>
          <w:rFonts w:ascii="Book Antiqua" w:eastAsia="SimSun" w:hAnsi="Book Antiqua" w:cs="SimSun"/>
          <w:sz w:val="24"/>
          <w:szCs w:val="24"/>
          <w:lang w:val="en-US" w:eastAsia="zh-CN"/>
        </w:rPr>
        <w:t>, Sweis R, Anggiansah A, Wong T, Fox MR. Upper esophageal sphincter and esophageal motility in patients with chronic cough and reflux: assessment by high-resolution manometry. </w:t>
      </w:r>
      <w:r w:rsidRPr="001D2D77">
        <w:rPr>
          <w:rFonts w:ascii="Book Antiqua" w:eastAsia="SimSun" w:hAnsi="Book Antiqua" w:cs="SimSun"/>
          <w:i/>
          <w:iCs/>
          <w:sz w:val="24"/>
          <w:szCs w:val="24"/>
          <w:lang w:val="en-US" w:eastAsia="zh-CN"/>
        </w:rPr>
        <w:t>Dis Esophagus</w:t>
      </w:r>
      <w:r w:rsidRPr="001D2D77">
        <w:rPr>
          <w:rFonts w:ascii="Book Antiqua" w:eastAsia="SimSun" w:hAnsi="Book Antiqua" w:cs="SimSun"/>
          <w:sz w:val="24"/>
          <w:szCs w:val="24"/>
          <w:lang w:val="en-US" w:eastAsia="zh-CN"/>
        </w:rPr>
        <w:t> 2013; </w:t>
      </w:r>
      <w:r w:rsidRPr="001D2D77">
        <w:rPr>
          <w:rFonts w:ascii="Book Antiqua" w:eastAsia="SimSun" w:hAnsi="Book Antiqua" w:cs="SimSun"/>
          <w:b/>
          <w:bCs/>
          <w:sz w:val="24"/>
          <w:szCs w:val="24"/>
          <w:lang w:val="en-US" w:eastAsia="zh-CN"/>
        </w:rPr>
        <w:t>26</w:t>
      </w:r>
      <w:r w:rsidRPr="001D2D77">
        <w:rPr>
          <w:rFonts w:ascii="Book Antiqua" w:eastAsia="SimSun" w:hAnsi="Book Antiqua" w:cs="SimSun"/>
          <w:sz w:val="24"/>
          <w:szCs w:val="24"/>
          <w:lang w:val="en-US" w:eastAsia="zh-CN"/>
        </w:rPr>
        <w:t>: 219-225 [PMID: 22591118 DOI: 10.1111/j.1442-2050.2012.01354.x]</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 xml:space="preserve">35 </w:t>
      </w:r>
      <w:hyperlink r:id="rId10" w:history="1">
        <w:r w:rsidRPr="00A01B2C">
          <w:rPr>
            <w:rFonts w:ascii="Book Antiqua" w:eastAsia="SimSun" w:hAnsi="Book Antiqua" w:cs="SimSun"/>
            <w:b/>
            <w:sz w:val="24"/>
            <w:szCs w:val="24"/>
            <w:lang w:val="en-US" w:eastAsia="zh-CN"/>
          </w:rPr>
          <w:t>Almansa C</w:t>
        </w:r>
      </w:hyperlink>
      <w:r w:rsidRPr="001D2D77">
        <w:rPr>
          <w:rFonts w:ascii="Book Antiqua" w:eastAsia="SimSun" w:hAnsi="Book Antiqua" w:cs="SimSun"/>
          <w:sz w:val="24"/>
          <w:szCs w:val="24"/>
          <w:lang w:val="en-US" w:eastAsia="zh-CN"/>
        </w:rPr>
        <w:t xml:space="preserve">, </w:t>
      </w:r>
      <w:hyperlink r:id="rId11" w:history="1">
        <w:r w:rsidRPr="00A01B2C">
          <w:rPr>
            <w:rFonts w:ascii="Book Antiqua" w:eastAsia="SimSun" w:hAnsi="Book Antiqua" w:cs="SimSun"/>
            <w:sz w:val="24"/>
            <w:szCs w:val="24"/>
            <w:lang w:val="en-US" w:eastAsia="zh-CN"/>
          </w:rPr>
          <w:t>Smith JA</w:t>
        </w:r>
      </w:hyperlink>
      <w:r w:rsidRPr="001D2D77">
        <w:rPr>
          <w:rFonts w:ascii="Book Antiqua" w:eastAsia="SimSun" w:hAnsi="Book Antiqua" w:cs="SimSun"/>
          <w:sz w:val="24"/>
          <w:szCs w:val="24"/>
          <w:lang w:val="en-US" w:eastAsia="zh-CN"/>
        </w:rPr>
        <w:t xml:space="preserve">, </w:t>
      </w:r>
      <w:hyperlink r:id="rId12" w:history="1">
        <w:r w:rsidRPr="00A01B2C">
          <w:rPr>
            <w:rFonts w:ascii="Book Antiqua" w:eastAsia="SimSun" w:hAnsi="Book Antiqua" w:cs="SimSun"/>
            <w:sz w:val="24"/>
            <w:szCs w:val="24"/>
            <w:lang w:val="en-US" w:eastAsia="zh-CN"/>
          </w:rPr>
          <w:t>Morris J</w:t>
        </w:r>
      </w:hyperlink>
      <w:r w:rsidRPr="001D2D77">
        <w:rPr>
          <w:rFonts w:ascii="Book Antiqua" w:eastAsia="SimSun" w:hAnsi="Book Antiqua" w:cs="SimSun"/>
          <w:sz w:val="24"/>
          <w:szCs w:val="24"/>
          <w:lang w:val="en-US" w:eastAsia="zh-CN"/>
        </w:rPr>
        <w:t xml:space="preserve">, </w:t>
      </w:r>
      <w:hyperlink r:id="rId13" w:history="1">
        <w:r w:rsidRPr="00A01B2C">
          <w:rPr>
            <w:rFonts w:ascii="Book Antiqua" w:eastAsia="SimSun" w:hAnsi="Book Antiqua" w:cs="SimSun"/>
            <w:sz w:val="24"/>
            <w:szCs w:val="24"/>
            <w:lang w:val="en-US" w:eastAsia="zh-CN"/>
          </w:rPr>
          <w:t>Crowell MD</w:t>
        </w:r>
      </w:hyperlink>
      <w:r w:rsidRPr="001D2D77">
        <w:rPr>
          <w:rFonts w:ascii="Book Antiqua" w:eastAsia="SimSun" w:hAnsi="Book Antiqua" w:cs="SimSun"/>
          <w:sz w:val="24"/>
          <w:szCs w:val="24"/>
          <w:lang w:val="en-US" w:eastAsia="zh-CN"/>
        </w:rPr>
        <w:t xml:space="preserve">, </w:t>
      </w:r>
      <w:hyperlink r:id="rId14" w:history="1">
        <w:r w:rsidRPr="00A01B2C">
          <w:rPr>
            <w:rFonts w:ascii="Book Antiqua" w:eastAsia="SimSun" w:hAnsi="Book Antiqua" w:cs="SimSun"/>
            <w:sz w:val="24"/>
            <w:szCs w:val="24"/>
            <w:lang w:val="en-US" w:eastAsia="zh-CN"/>
          </w:rPr>
          <w:t>Valdramidou D</w:t>
        </w:r>
      </w:hyperlink>
      <w:r w:rsidRPr="001D2D77">
        <w:rPr>
          <w:rFonts w:ascii="Book Antiqua" w:eastAsia="SimSun" w:hAnsi="Book Antiqua" w:cs="SimSun"/>
          <w:sz w:val="24"/>
          <w:szCs w:val="24"/>
          <w:lang w:val="en-US" w:eastAsia="zh-CN"/>
        </w:rPr>
        <w:t xml:space="preserve">, </w:t>
      </w:r>
      <w:hyperlink r:id="rId15" w:history="1">
        <w:r w:rsidRPr="00A01B2C">
          <w:rPr>
            <w:rFonts w:ascii="Book Antiqua" w:eastAsia="SimSun" w:hAnsi="Book Antiqua" w:cs="SimSun"/>
            <w:sz w:val="24"/>
            <w:szCs w:val="24"/>
            <w:lang w:val="en-US" w:eastAsia="zh-CN"/>
          </w:rPr>
          <w:t>Lee AS</w:t>
        </w:r>
      </w:hyperlink>
      <w:r w:rsidRPr="001D2D77">
        <w:rPr>
          <w:rFonts w:ascii="Book Antiqua" w:eastAsia="SimSun" w:hAnsi="Book Antiqua" w:cs="SimSun"/>
          <w:sz w:val="24"/>
          <w:szCs w:val="24"/>
          <w:lang w:val="en-US" w:eastAsia="zh-CN"/>
        </w:rPr>
        <w:t xml:space="preserve">, </w:t>
      </w:r>
      <w:hyperlink r:id="rId16" w:history="1">
        <w:r w:rsidRPr="00A01B2C">
          <w:rPr>
            <w:rFonts w:ascii="Book Antiqua" w:eastAsia="SimSun" w:hAnsi="Book Antiqua" w:cs="SimSun"/>
            <w:sz w:val="24"/>
            <w:szCs w:val="24"/>
            <w:lang w:val="en-US" w:eastAsia="zh-CN"/>
          </w:rPr>
          <w:t>DeVault KR</w:t>
        </w:r>
      </w:hyperlink>
      <w:r w:rsidRPr="001D2D77">
        <w:rPr>
          <w:rFonts w:ascii="Book Antiqua" w:eastAsia="SimSun" w:hAnsi="Book Antiqua" w:cs="SimSun"/>
          <w:sz w:val="24"/>
          <w:szCs w:val="24"/>
          <w:lang w:val="en-US" w:eastAsia="zh-CN"/>
        </w:rPr>
        <w:t xml:space="preserve">, </w:t>
      </w:r>
      <w:hyperlink r:id="rId17" w:history="1">
        <w:r w:rsidRPr="00A01B2C">
          <w:rPr>
            <w:rFonts w:ascii="Book Antiqua" w:eastAsia="SimSun" w:hAnsi="Book Antiqua" w:cs="SimSun"/>
            <w:sz w:val="24"/>
            <w:szCs w:val="24"/>
            <w:lang w:val="en-US" w:eastAsia="zh-CN"/>
          </w:rPr>
          <w:t>Houghton LA</w:t>
        </w:r>
      </w:hyperlink>
      <w:r w:rsidRPr="001D2D77">
        <w:rPr>
          <w:rFonts w:ascii="Book Antiqua" w:eastAsia="SimSun" w:hAnsi="Book Antiqua" w:cs="SimSun"/>
          <w:sz w:val="24"/>
          <w:szCs w:val="24"/>
          <w:lang w:val="en-US" w:eastAsia="zh-CN"/>
        </w:rPr>
        <w:t xml:space="preserve">. Weak peristalsis with large breaks in chronic cough: association with poor esophageal clearance. </w:t>
      </w:r>
      <w:hyperlink r:id="rId18" w:tooltip="Neurogastroenterology and motility : the official journal of the European Gastrointestinal Motility Society." w:history="1">
        <w:r w:rsidRPr="00A01B2C">
          <w:rPr>
            <w:rFonts w:ascii="Book Antiqua" w:eastAsia="SimSun" w:hAnsi="Book Antiqua" w:cs="SimSun"/>
            <w:i/>
            <w:sz w:val="24"/>
            <w:szCs w:val="24"/>
            <w:lang w:val="en-US" w:eastAsia="zh-CN"/>
          </w:rPr>
          <w:t>Neurogastroenterol Motil</w:t>
        </w:r>
      </w:hyperlink>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 xml:space="preserve"> 2015;</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b/>
          <w:sz w:val="24"/>
          <w:szCs w:val="24"/>
          <w:lang w:val="en-US" w:eastAsia="zh-CN"/>
        </w:rPr>
        <w:t>27</w:t>
      </w:r>
      <w:r w:rsidRPr="001D2D77">
        <w:rPr>
          <w:rFonts w:ascii="Book Antiqua" w:eastAsia="SimSun" w:hAnsi="Book Antiqua" w:cs="SimSun"/>
          <w:sz w:val="24"/>
          <w:szCs w:val="24"/>
          <w:lang w:val="en-US" w:eastAsia="zh-CN"/>
        </w:rPr>
        <w:t>:</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431-</w:t>
      </w:r>
      <w:r w:rsidRPr="001D2D77">
        <w:rPr>
          <w:rFonts w:ascii="Book Antiqua" w:eastAsia="SimSun" w:hAnsi="Book Antiqua" w:cs="SimSun" w:hint="eastAsia"/>
          <w:sz w:val="24"/>
          <w:szCs w:val="24"/>
          <w:lang w:val="en-US" w:eastAsia="zh-CN"/>
        </w:rPr>
        <w:t>4</w:t>
      </w:r>
      <w:r w:rsidRPr="001D2D77">
        <w:rPr>
          <w:rFonts w:ascii="Book Antiqua" w:eastAsia="SimSun" w:hAnsi="Book Antiqua" w:cs="SimSun"/>
          <w:sz w:val="24"/>
          <w:szCs w:val="24"/>
          <w:lang w:val="en-US" w:eastAsia="zh-CN"/>
        </w:rPr>
        <w:t>42 [PMID:</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25628004</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DOI: 10.1111/nmo.12513]</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36 </w:t>
      </w:r>
      <w:r w:rsidRPr="001D2D77">
        <w:rPr>
          <w:rFonts w:ascii="Book Antiqua" w:eastAsia="SimSun" w:hAnsi="Book Antiqua" w:cs="SimSun"/>
          <w:b/>
          <w:bCs/>
          <w:sz w:val="24"/>
          <w:szCs w:val="24"/>
          <w:lang w:val="en-US" w:eastAsia="zh-CN"/>
        </w:rPr>
        <w:t>Szczesniak MM</w:t>
      </w:r>
      <w:r w:rsidRPr="001D2D77">
        <w:rPr>
          <w:rFonts w:ascii="Book Antiqua" w:eastAsia="SimSun" w:hAnsi="Book Antiqua" w:cs="SimSun"/>
          <w:sz w:val="24"/>
          <w:szCs w:val="24"/>
          <w:lang w:val="en-US" w:eastAsia="zh-CN"/>
        </w:rPr>
        <w:t>, Williams RB, Cook IJ. Mechanisms of esophago-pharyngeal</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acid regurgitation in human subjects.</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i/>
          <w:iCs/>
          <w:sz w:val="24"/>
          <w:szCs w:val="24"/>
          <w:lang w:val="en-US" w:eastAsia="zh-CN"/>
        </w:rPr>
        <w:t>PLoS One</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2011; </w:t>
      </w:r>
      <w:r w:rsidRPr="001D2D77">
        <w:rPr>
          <w:rFonts w:ascii="Book Antiqua" w:eastAsia="SimSun" w:hAnsi="Book Antiqua" w:cs="SimSun"/>
          <w:b/>
          <w:bCs/>
          <w:sz w:val="24"/>
          <w:szCs w:val="24"/>
          <w:lang w:val="en-US" w:eastAsia="zh-CN"/>
        </w:rPr>
        <w:t>6</w:t>
      </w:r>
      <w:r w:rsidRPr="001D2D77">
        <w:rPr>
          <w:rFonts w:ascii="Book Antiqua" w:eastAsia="SimSun" w:hAnsi="Book Antiqua" w:cs="SimSun"/>
          <w:sz w:val="24"/>
          <w:szCs w:val="24"/>
          <w:lang w:val="en-US" w:eastAsia="zh-CN"/>
        </w:rPr>
        <w:t>: e22630</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[PMID: 21799921 DOI: 10.1371/journal.pone.0022630]</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lastRenderedPageBreak/>
        <w:t>37 </w:t>
      </w:r>
      <w:r w:rsidRPr="001D2D77">
        <w:rPr>
          <w:rFonts w:ascii="Book Antiqua" w:eastAsia="SimSun" w:hAnsi="Book Antiqua" w:cs="SimSun"/>
          <w:b/>
          <w:bCs/>
          <w:sz w:val="24"/>
          <w:szCs w:val="24"/>
          <w:lang w:val="en-US" w:eastAsia="zh-CN"/>
        </w:rPr>
        <w:t>Szczesniak MM</w:t>
      </w:r>
      <w:r w:rsidRPr="001D2D77">
        <w:rPr>
          <w:rFonts w:ascii="Book Antiqua" w:eastAsia="SimSun" w:hAnsi="Book Antiqua" w:cs="SimSun"/>
          <w:sz w:val="24"/>
          <w:szCs w:val="24"/>
          <w:lang w:val="en-US" w:eastAsia="zh-CN"/>
        </w:rPr>
        <w:t>, Williams RB, Brake HM, Maclean JC, Cole IE, Cook IJ. Upregulation of the esophago-UES relaxation response: a possible pathophysiological mechanism in suspected reflux laryngitis.</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i/>
          <w:iCs/>
          <w:sz w:val="24"/>
          <w:szCs w:val="24"/>
          <w:lang w:val="en-US" w:eastAsia="zh-CN"/>
        </w:rPr>
        <w:t>Neurogastroenterol Motil</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2010; </w:t>
      </w:r>
      <w:r w:rsidRPr="001D2D77">
        <w:rPr>
          <w:rFonts w:ascii="Book Antiqua" w:eastAsia="SimSun" w:hAnsi="Book Antiqua" w:cs="SimSun"/>
          <w:b/>
          <w:bCs/>
          <w:sz w:val="24"/>
          <w:szCs w:val="24"/>
          <w:lang w:val="en-US" w:eastAsia="zh-CN"/>
        </w:rPr>
        <w:t>22</w:t>
      </w:r>
      <w:r w:rsidRPr="001D2D77">
        <w:rPr>
          <w:rFonts w:ascii="Book Antiqua" w:eastAsia="SimSun" w:hAnsi="Book Antiqua" w:cs="SimSun"/>
          <w:sz w:val="24"/>
          <w:szCs w:val="24"/>
          <w:lang w:val="en-US" w:eastAsia="zh-CN"/>
        </w:rPr>
        <w:t>: 381-36, e89 [PMID: 20377793 DOI: 10.1111/j.1365-2982.2009.01452.x]</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38 </w:t>
      </w:r>
      <w:r w:rsidRPr="001D2D77">
        <w:rPr>
          <w:rFonts w:ascii="Book Antiqua" w:eastAsia="SimSun" w:hAnsi="Book Antiqua" w:cs="SimSun"/>
          <w:b/>
          <w:bCs/>
          <w:sz w:val="24"/>
          <w:szCs w:val="24"/>
          <w:lang w:val="en-US" w:eastAsia="zh-CN"/>
        </w:rPr>
        <w:t>Shaker R</w:t>
      </w:r>
      <w:r w:rsidRPr="001D2D77">
        <w:rPr>
          <w:rFonts w:ascii="Book Antiqua" w:eastAsia="SimSun" w:hAnsi="Book Antiqua" w:cs="SimSun"/>
          <w:sz w:val="24"/>
          <w:szCs w:val="24"/>
          <w:lang w:val="en-US" w:eastAsia="zh-CN"/>
        </w:rPr>
        <w:t>, Babaei A, Naini SR. Prevention of esophagopharyngeal reflux by augmenting the upper esophageal sphincter pressure barrier. </w:t>
      </w:r>
      <w:r w:rsidRPr="001D2D77">
        <w:rPr>
          <w:rFonts w:ascii="Book Antiqua" w:eastAsia="SimSun" w:hAnsi="Book Antiqua" w:cs="SimSun"/>
          <w:i/>
          <w:iCs/>
          <w:sz w:val="24"/>
          <w:szCs w:val="24"/>
          <w:lang w:val="en-US" w:eastAsia="zh-CN"/>
        </w:rPr>
        <w:t>Laryngoscope</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2014;</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b/>
          <w:bCs/>
          <w:sz w:val="24"/>
          <w:szCs w:val="24"/>
          <w:lang w:val="en-US" w:eastAsia="zh-CN"/>
        </w:rPr>
        <w:t>124</w:t>
      </w:r>
      <w:r w:rsidRPr="001D2D77">
        <w:rPr>
          <w:rFonts w:ascii="Book Antiqua" w:eastAsia="SimSun" w:hAnsi="Book Antiqua" w:cs="SimSun"/>
          <w:sz w:val="24"/>
          <w:szCs w:val="24"/>
          <w:lang w:val="en-US" w:eastAsia="zh-CN"/>
        </w:rPr>
        <w:t>: 2268-2274 [PMID: 24782387 DOI: 10.1002/lary.24735]</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39 </w:t>
      </w:r>
      <w:r w:rsidRPr="001D2D77">
        <w:rPr>
          <w:rFonts w:ascii="Book Antiqua" w:eastAsia="SimSun" w:hAnsi="Book Antiqua" w:cs="SimSun"/>
          <w:b/>
          <w:bCs/>
          <w:sz w:val="24"/>
          <w:szCs w:val="24"/>
          <w:lang w:val="en-US" w:eastAsia="zh-CN"/>
        </w:rPr>
        <w:t>Pohl D</w:t>
      </w:r>
      <w:r w:rsidRPr="001D2D77">
        <w:rPr>
          <w:rFonts w:ascii="Book Antiqua" w:eastAsia="SimSun" w:hAnsi="Book Antiqua" w:cs="SimSun"/>
          <w:sz w:val="24"/>
          <w:szCs w:val="24"/>
          <w:lang w:val="en-US" w:eastAsia="zh-CN"/>
        </w:rPr>
        <w:t>, Ribolsi M, Savarino E, Frühauf H, Fried M, Castell DO, Tutuian R. Characteristics of the esophageal low-pressure zone in healthy volunteers and patients with esophageal symptoms: assessment by high-resolution manometry.</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i/>
          <w:iCs/>
          <w:sz w:val="24"/>
          <w:szCs w:val="24"/>
          <w:lang w:val="en-US" w:eastAsia="zh-CN"/>
        </w:rPr>
        <w:t>Am J Gastroenterol</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2008;</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b/>
          <w:bCs/>
          <w:sz w:val="24"/>
          <w:szCs w:val="24"/>
          <w:lang w:val="en-US" w:eastAsia="zh-CN"/>
        </w:rPr>
        <w:t>103</w:t>
      </w:r>
      <w:r w:rsidRPr="001D2D77">
        <w:rPr>
          <w:rFonts w:ascii="Book Antiqua" w:eastAsia="SimSun" w:hAnsi="Book Antiqua" w:cs="SimSun"/>
          <w:sz w:val="24"/>
          <w:szCs w:val="24"/>
          <w:lang w:val="en-US" w:eastAsia="zh-CN"/>
        </w:rPr>
        <w:t>:</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2544-2549 [PMID: 18684179 DOI: 10.1111/j.1572-0241.2008.02062.x]</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40 </w:t>
      </w:r>
      <w:r w:rsidRPr="001D2D77">
        <w:rPr>
          <w:rFonts w:ascii="Book Antiqua" w:eastAsia="SimSun" w:hAnsi="Book Antiqua" w:cs="SimSun"/>
          <w:b/>
          <w:bCs/>
          <w:sz w:val="24"/>
          <w:szCs w:val="24"/>
          <w:lang w:val="en-US" w:eastAsia="zh-CN"/>
        </w:rPr>
        <w:t>Meyer GW</w:t>
      </w:r>
      <w:r w:rsidRPr="001D2D77">
        <w:rPr>
          <w:rFonts w:ascii="Book Antiqua" w:eastAsia="SimSun" w:hAnsi="Book Antiqua" w:cs="SimSun"/>
          <w:sz w:val="24"/>
          <w:szCs w:val="24"/>
          <w:lang w:val="en-US" w:eastAsia="zh-CN"/>
        </w:rPr>
        <w:t>, Austin RM, Brady CE, Castell DO. Muscle anatomy of the human esophagus. </w:t>
      </w:r>
      <w:r w:rsidRPr="001D2D77">
        <w:rPr>
          <w:rFonts w:ascii="Book Antiqua" w:eastAsia="SimSun" w:hAnsi="Book Antiqua" w:cs="SimSun"/>
          <w:i/>
          <w:iCs/>
          <w:sz w:val="24"/>
          <w:szCs w:val="24"/>
          <w:lang w:val="en-US" w:eastAsia="zh-CN"/>
        </w:rPr>
        <w:t>J Clin Gastroenterol</w:t>
      </w:r>
      <w:r w:rsidRPr="001D2D77">
        <w:rPr>
          <w:rFonts w:ascii="Book Antiqua" w:eastAsia="SimSun" w:hAnsi="Book Antiqua" w:cs="SimSun"/>
          <w:sz w:val="24"/>
          <w:szCs w:val="24"/>
          <w:lang w:val="en-US" w:eastAsia="zh-CN"/>
        </w:rPr>
        <w:t> 1986; </w:t>
      </w:r>
      <w:r w:rsidRPr="001D2D77">
        <w:rPr>
          <w:rFonts w:ascii="Book Antiqua" w:eastAsia="SimSun" w:hAnsi="Book Antiqua" w:cs="SimSun"/>
          <w:b/>
          <w:bCs/>
          <w:sz w:val="24"/>
          <w:szCs w:val="24"/>
          <w:lang w:val="en-US" w:eastAsia="zh-CN"/>
        </w:rPr>
        <w:t>8</w:t>
      </w:r>
      <w:r w:rsidRPr="001D2D77">
        <w:rPr>
          <w:rFonts w:ascii="Book Antiqua" w:eastAsia="SimSun" w:hAnsi="Book Antiqua" w:cs="SimSun"/>
          <w:sz w:val="24"/>
          <w:szCs w:val="24"/>
          <w:lang w:val="en-US" w:eastAsia="zh-CN"/>
        </w:rPr>
        <w:t>: 131-134 [PMID: 3745845]</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41 </w:t>
      </w:r>
      <w:r w:rsidRPr="001D2D77">
        <w:rPr>
          <w:rFonts w:ascii="Book Antiqua" w:eastAsia="SimSun" w:hAnsi="Book Antiqua" w:cs="SimSun"/>
          <w:b/>
          <w:bCs/>
          <w:sz w:val="24"/>
          <w:szCs w:val="24"/>
          <w:lang w:val="en-US" w:eastAsia="zh-CN"/>
        </w:rPr>
        <w:t>Fox M</w:t>
      </w:r>
      <w:r w:rsidRPr="001D2D77">
        <w:rPr>
          <w:rFonts w:ascii="Book Antiqua" w:eastAsia="SimSun" w:hAnsi="Book Antiqua" w:cs="SimSun"/>
          <w:sz w:val="24"/>
          <w:szCs w:val="24"/>
          <w:lang w:val="en-US" w:eastAsia="zh-CN"/>
        </w:rPr>
        <w:t>, Hebbard G, Janiak P, Brasseur JG, Ghosh S, Thumshirn M, Fried M, Schwizer W. High-resolution manometry predicts the success of oesophageal bolus transport and identifies clinically important abnormalities not detected by conventional manometry. </w:t>
      </w:r>
      <w:r w:rsidRPr="001D2D77">
        <w:rPr>
          <w:rFonts w:ascii="Book Antiqua" w:eastAsia="SimSun" w:hAnsi="Book Antiqua" w:cs="SimSun"/>
          <w:i/>
          <w:iCs/>
          <w:sz w:val="24"/>
          <w:szCs w:val="24"/>
          <w:lang w:val="en-US" w:eastAsia="zh-CN"/>
        </w:rPr>
        <w:t>Neurogastroenterol Motil</w:t>
      </w:r>
      <w:r w:rsidRPr="001D2D77">
        <w:rPr>
          <w:rFonts w:ascii="Book Antiqua" w:eastAsia="SimSun" w:hAnsi="Book Antiqua" w:cs="SimSun"/>
          <w:sz w:val="24"/>
          <w:szCs w:val="24"/>
          <w:lang w:val="en-US" w:eastAsia="zh-CN"/>
        </w:rPr>
        <w:t> 2004; </w:t>
      </w:r>
      <w:r w:rsidRPr="001D2D77">
        <w:rPr>
          <w:rFonts w:ascii="Book Antiqua" w:eastAsia="SimSun" w:hAnsi="Book Antiqua" w:cs="SimSun"/>
          <w:b/>
          <w:bCs/>
          <w:sz w:val="24"/>
          <w:szCs w:val="24"/>
          <w:lang w:val="en-US" w:eastAsia="zh-CN"/>
        </w:rPr>
        <w:t>16</w:t>
      </w:r>
      <w:r w:rsidRPr="001D2D77">
        <w:rPr>
          <w:rFonts w:ascii="Book Antiqua" w:eastAsia="SimSun" w:hAnsi="Book Antiqua" w:cs="SimSun"/>
          <w:sz w:val="24"/>
          <w:szCs w:val="24"/>
          <w:lang w:val="en-US" w:eastAsia="zh-CN"/>
        </w:rPr>
        <w:t>: 533-542 [PMID: 15500509 DOI: 10.1111/j.1365-2982.2004.00539.x]</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42 </w:t>
      </w:r>
      <w:r w:rsidRPr="001D2D77">
        <w:rPr>
          <w:rFonts w:ascii="Book Antiqua" w:eastAsia="SimSun" w:hAnsi="Book Antiqua" w:cs="SimSun"/>
          <w:b/>
          <w:bCs/>
          <w:sz w:val="24"/>
          <w:szCs w:val="24"/>
          <w:lang w:val="en-US" w:eastAsia="zh-CN"/>
        </w:rPr>
        <w:t>Ribolsi M</w:t>
      </w:r>
      <w:r w:rsidRPr="001D2D77">
        <w:rPr>
          <w:rFonts w:ascii="Book Antiqua" w:eastAsia="SimSun" w:hAnsi="Book Antiqua" w:cs="SimSun"/>
          <w:sz w:val="24"/>
          <w:szCs w:val="24"/>
          <w:lang w:val="en-US" w:eastAsia="zh-CN"/>
        </w:rPr>
        <w:t>, Balestrieri P, Emerenziani S, Guarino MP, Cicala M. Weak peristalsis with large breaks is associated with higher acid exposure and delayed reflux clearance in the supine position in GERD patients. </w:t>
      </w:r>
      <w:r w:rsidRPr="001D2D77">
        <w:rPr>
          <w:rFonts w:ascii="Book Antiqua" w:eastAsia="SimSun" w:hAnsi="Book Antiqua" w:cs="SimSun"/>
          <w:i/>
          <w:iCs/>
          <w:sz w:val="24"/>
          <w:szCs w:val="24"/>
          <w:lang w:val="en-US" w:eastAsia="zh-CN"/>
        </w:rPr>
        <w:t>Am J Gastroenterol</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2014; </w:t>
      </w:r>
      <w:r w:rsidRPr="001D2D77">
        <w:rPr>
          <w:rFonts w:ascii="Book Antiqua" w:eastAsia="SimSun" w:hAnsi="Book Antiqua" w:cs="SimSun"/>
          <w:b/>
          <w:bCs/>
          <w:sz w:val="24"/>
          <w:szCs w:val="24"/>
          <w:lang w:val="en-US" w:eastAsia="zh-CN"/>
        </w:rPr>
        <w:t>109</w:t>
      </w:r>
      <w:r w:rsidRPr="001D2D77">
        <w:rPr>
          <w:rFonts w:ascii="Book Antiqua" w:eastAsia="SimSun" w:hAnsi="Book Antiqua" w:cs="SimSun"/>
          <w:sz w:val="24"/>
          <w:szCs w:val="24"/>
          <w:lang w:val="en-US" w:eastAsia="zh-CN"/>
        </w:rPr>
        <w:t>: 46-51 [PMID: 24189712 DOI: 10.1038/ajg.2013.373]</w:t>
      </w:r>
    </w:p>
    <w:p w:rsidR="001D2D77" w:rsidRPr="001D2D77" w:rsidRDefault="001D2D77" w:rsidP="001D2D77">
      <w:pPr>
        <w:spacing w:after="0" w:line="360" w:lineRule="auto"/>
        <w:jc w:val="both"/>
        <w:rPr>
          <w:rFonts w:ascii="Book Antiqua" w:eastAsia="SimSun" w:hAnsi="Book Antiqua" w:cs="SimSun"/>
          <w:sz w:val="24"/>
          <w:szCs w:val="24"/>
          <w:lang w:val="en-US" w:eastAsia="zh-CN"/>
        </w:rPr>
      </w:pPr>
      <w:r w:rsidRPr="001D2D77">
        <w:rPr>
          <w:rFonts w:ascii="Book Antiqua" w:eastAsia="SimSun" w:hAnsi="Book Antiqua" w:cs="SimSun"/>
          <w:sz w:val="24"/>
          <w:szCs w:val="24"/>
          <w:lang w:val="en-US" w:eastAsia="zh-CN"/>
        </w:rPr>
        <w:t>43 </w:t>
      </w:r>
      <w:r w:rsidRPr="001D2D77">
        <w:rPr>
          <w:rFonts w:ascii="Book Antiqua" w:eastAsia="SimSun" w:hAnsi="Book Antiqua" w:cs="SimSun"/>
          <w:b/>
          <w:bCs/>
          <w:sz w:val="24"/>
          <w:szCs w:val="24"/>
          <w:lang w:val="en-US" w:eastAsia="zh-CN"/>
        </w:rPr>
        <w:t>Zerbib F</w:t>
      </w:r>
      <w:r w:rsidRPr="001D2D77">
        <w:rPr>
          <w:rFonts w:ascii="Book Antiqua" w:eastAsia="SimSun" w:hAnsi="Book Antiqua" w:cs="SimSun"/>
          <w:sz w:val="24"/>
          <w:szCs w:val="24"/>
          <w:lang w:val="en-US" w:eastAsia="zh-CN"/>
        </w:rPr>
        <w:t>, Roman S, Bruley Des Varannes S, Gourcerol G, Coffin B, Ropert A, Lepicard P, Mion F</w:t>
      </w:r>
      <w:r w:rsidRPr="001D2D77">
        <w:rPr>
          <w:rFonts w:ascii="Book Antiqua" w:eastAsia="Times New Roman" w:hAnsi="Book Antiqua" w:cs="Tahoma"/>
          <w:sz w:val="24"/>
          <w:szCs w:val="24"/>
          <w:lang w:val="en-US" w:eastAsia="it-IT"/>
        </w:rPr>
        <w:t xml:space="preserve">; </w:t>
      </w:r>
      <w:hyperlink r:id="rId19" w:history="1">
        <w:r w:rsidRPr="001D2D77">
          <w:rPr>
            <w:rFonts w:ascii="Book Antiqua" w:eastAsia="Times New Roman" w:hAnsi="Book Antiqua" w:cs="Tahoma"/>
            <w:sz w:val="24"/>
            <w:szCs w:val="24"/>
            <w:lang w:val="en-US" w:eastAsia="it-IT"/>
          </w:rPr>
          <w:t>Groupe Français De Neuro-Gastroentérologie</w:t>
        </w:r>
      </w:hyperlink>
      <w:r w:rsidRPr="001D2D77">
        <w:rPr>
          <w:rFonts w:ascii="Book Antiqua" w:eastAsia="Times New Roman" w:hAnsi="Book Antiqua" w:cs="Tahoma"/>
          <w:sz w:val="24"/>
          <w:szCs w:val="24"/>
          <w:lang w:val="en-US" w:eastAsia="it-IT"/>
        </w:rPr>
        <w:t>.</w:t>
      </w:r>
      <w:r w:rsidRPr="001D2D77">
        <w:rPr>
          <w:rFonts w:ascii="Book Antiqua" w:eastAsia="SimSun" w:hAnsi="Book Antiqua" w:cs="SimSun"/>
          <w:sz w:val="24"/>
          <w:szCs w:val="24"/>
          <w:lang w:val="en-US" w:eastAsia="zh-CN"/>
        </w:rPr>
        <w:t xml:space="preserve"> Normal values of pharyngeal and esophageal 24-hour pH impedance in individuals on and off therapy and interobserver reproducibility.</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i/>
          <w:iCs/>
          <w:sz w:val="24"/>
          <w:szCs w:val="24"/>
          <w:lang w:val="en-US" w:eastAsia="zh-CN"/>
        </w:rPr>
        <w:t>Clin Gastroenterol Hepatol</w:t>
      </w:r>
      <w:r w:rsidRPr="001D2D77">
        <w:rPr>
          <w:rFonts w:ascii="Book Antiqua" w:eastAsia="SimSun" w:hAnsi="Book Antiqua" w:cs="SimSun" w:hint="eastAsia"/>
          <w:sz w:val="24"/>
          <w:szCs w:val="24"/>
          <w:lang w:val="en-US" w:eastAsia="zh-CN"/>
        </w:rPr>
        <w:t xml:space="preserve"> </w:t>
      </w:r>
      <w:r w:rsidRPr="001D2D77">
        <w:rPr>
          <w:rFonts w:ascii="Book Antiqua" w:eastAsia="SimSun" w:hAnsi="Book Antiqua" w:cs="SimSun"/>
          <w:sz w:val="24"/>
          <w:szCs w:val="24"/>
          <w:lang w:val="en-US" w:eastAsia="zh-CN"/>
        </w:rPr>
        <w:t>2013; </w:t>
      </w:r>
      <w:r w:rsidRPr="001D2D77">
        <w:rPr>
          <w:rFonts w:ascii="Book Antiqua" w:eastAsia="SimSun" w:hAnsi="Book Antiqua" w:cs="SimSun"/>
          <w:b/>
          <w:bCs/>
          <w:sz w:val="24"/>
          <w:szCs w:val="24"/>
          <w:lang w:val="en-US" w:eastAsia="zh-CN"/>
        </w:rPr>
        <w:t>11</w:t>
      </w:r>
      <w:r w:rsidRPr="001D2D77">
        <w:rPr>
          <w:rFonts w:ascii="Book Antiqua" w:eastAsia="SimSun" w:hAnsi="Book Antiqua" w:cs="SimSun"/>
          <w:sz w:val="24"/>
          <w:szCs w:val="24"/>
          <w:lang w:val="en-US" w:eastAsia="zh-CN"/>
        </w:rPr>
        <w:t>: 366-372 [PMID: 23142603 DOI: 10.1016/j.cgh.2012.10.041]</w:t>
      </w:r>
    </w:p>
    <w:p w:rsidR="001D2D77" w:rsidRPr="001D2D77" w:rsidRDefault="001D2D77" w:rsidP="001D2D77">
      <w:pPr>
        <w:snapToGrid w:val="0"/>
        <w:spacing w:after="0" w:line="360" w:lineRule="auto"/>
        <w:jc w:val="right"/>
        <w:rPr>
          <w:rFonts w:ascii="Book Antiqua" w:eastAsia="SimSun" w:hAnsi="Book Antiqua" w:cs="Times New Roman"/>
          <w:sz w:val="24"/>
          <w:szCs w:val="24"/>
          <w:lang w:val="en-US" w:eastAsia="zh-CN"/>
        </w:rPr>
      </w:pPr>
      <w:bookmarkStart w:id="56" w:name="OLE_LINK51"/>
      <w:bookmarkStart w:id="57" w:name="OLE_LINK52"/>
      <w:bookmarkStart w:id="58" w:name="OLE_LINK120"/>
      <w:bookmarkStart w:id="59" w:name="OLE_LINK148"/>
      <w:bookmarkStart w:id="60" w:name="OLE_LINK72"/>
      <w:bookmarkStart w:id="61" w:name="OLE_LINK112"/>
      <w:bookmarkStart w:id="62" w:name="OLE_LINK320"/>
      <w:bookmarkStart w:id="63" w:name="OLE_LINK387"/>
      <w:bookmarkStart w:id="64" w:name="OLE_LINK183"/>
      <w:bookmarkStart w:id="65" w:name="OLE_LINK254"/>
      <w:bookmarkStart w:id="66" w:name="OLE_LINK149"/>
      <w:bookmarkStart w:id="67" w:name="OLE_LINK225"/>
      <w:bookmarkStart w:id="68" w:name="OLE_LINK207"/>
      <w:bookmarkStart w:id="69" w:name="OLE_LINK226"/>
      <w:bookmarkStart w:id="70" w:name="OLE_LINK212"/>
      <w:bookmarkStart w:id="71" w:name="OLE_LINK250"/>
      <w:bookmarkStart w:id="72" w:name="OLE_LINK281"/>
      <w:bookmarkStart w:id="73" w:name="OLE_LINK282"/>
      <w:bookmarkStart w:id="74" w:name="OLE_LINK313"/>
      <w:bookmarkStart w:id="75" w:name="OLE_LINK304"/>
      <w:bookmarkStart w:id="76" w:name="OLE_LINK321"/>
      <w:bookmarkStart w:id="77" w:name="OLE_LINK385"/>
      <w:bookmarkStart w:id="78" w:name="OLE_LINK400"/>
      <w:bookmarkStart w:id="79" w:name="OLE_LINK346"/>
      <w:bookmarkStart w:id="80" w:name="OLE_LINK371"/>
      <w:bookmarkStart w:id="81" w:name="OLE_LINK334"/>
      <w:bookmarkStart w:id="82" w:name="OLE_LINK1830"/>
      <w:bookmarkStart w:id="83" w:name="OLE_LINK457"/>
      <w:bookmarkStart w:id="84" w:name="OLE_LINK288"/>
      <w:bookmarkStart w:id="85" w:name="OLE_LINK384"/>
      <w:bookmarkStart w:id="86" w:name="OLE_LINK379"/>
      <w:bookmarkStart w:id="87" w:name="OLE_LINK303"/>
      <w:bookmarkStart w:id="88" w:name="OLE_LINK450"/>
      <w:bookmarkStart w:id="89" w:name="OLE_LINK489"/>
      <w:bookmarkStart w:id="90" w:name="OLE_LINK535"/>
      <w:bookmarkStart w:id="91" w:name="OLE_LINK648"/>
      <w:bookmarkStart w:id="92" w:name="OLE_LINK686"/>
      <w:bookmarkStart w:id="93" w:name="OLE_LINK471"/>
      <w:bookmarkStart w:id="94" w:name="OLE_LINK462"/>
      <w:bookmarkStart w:id="95" w:name="OLE_LINK519"/>
      <w:bookmarkStart w:id="96" w:name="OLE_LINK575"/>
      <w:bookmarkStart w:id="97" w:name="OLE_LINK491"/>
      <w:bookmarkStart w:id="98" w:name="OLE_LINK532"/>
      <w:bookmarkStart w:id="99" w:name="OLE_LINK572"/>
      <w:bookmarkStart w:id="100" w:name="OLE_LINK574"/>
      <w:bookmarkStart w:id="101" w:name="OLE_LINK480"/>
      <w:bookmarkStart w:id="102" w:name="OLE_LINK567"/>
      <w:bookmarkStart w:id="103" w:name="OLE_LINK2700"/>
      <w:bookmarkStart w:id="104" w:name="OLE_LINK581"/>
      <w:bookmarkStart w:id="105" w:name="OLE_LINK639"/>
      <w:bookmarkStart w:id="106" w:name="OLE_LINK688"/>
      <w:bookmarkStart w:id="107" w:name="OLE_LINK722"/>
      <w:bookmarkStart w:id="108" w:name="OLE_LINK542"/>
      <w:bookmarkStart w:id="109" w:name="OLE_LINK589"/>
      <w:bookmarkStart w:id="110" w:name="OLE_LINK582"/>
      <w:bookmarkStart w:id="111" w:name="OLE_LINK640"/>
      <w:bookmarkStart w:id="112" w:name="OLE_LINK714"/>
      <w:bookmarkStart w:id="113" w:name="OLE_LINK593"/>
      <w:bookmarkStart w:id="114" w:name="OLE_LINK716"/>
      <w:bookmarkStart w:id="115" w:name="OLE_LINK770"/>
      <w:bookmarkStart w:id="116" w:name="OLE_LINK801"/>
      <w:bookmarkStart w:id="117" w:name="OLE_LINK660"/>
      <w:bookmarkStart w:id="118" w:name="OLE_LINK781"/>
      <w:bookmarkStart w:id="119" w:name="OLE_LINK833"/>
      <w:bookmarkStart w:id="120" w:name="OLE_LINK642"/>
      <w:bookmarkStart w:id="121" w:name="OLE_LINK700"/>
      <w:bookmarkStart w:id="122" w:name="OLE_LINK792"/>
      <w:bookmarkStart w:id="123" w:name="OLE_LINK2882"/>
      <w:bookmarkStart w:id="124" w:name="OLE_LINK836"/>
      <w:bookmarkStart w:id="125" w:name="OLE_LINK889"/>
      <w:bookmarkStart w:id="126" w:name="OLE_LINK782"/>
      <w:bookmarkStart w:id="127" w:name="OLE_LINK826"/>
      <w:bookmarkStart w:id="128" w:name="OLE_LINK865"/>
      <w:bookmarkStart w:id="129" w:name="OLE_LINK856"/>
      <w:bookmarkStart w:id="130" w:name="OLE_LINK908"/>
      <w:bookmarkStart w:id="131" w:name="OLE_LINK980"/>
      <w:bookmarkStart w:id="132" w:name="OLE_LINK1018"/>
      <w:bookmarkStart w:id="133" w:name="OLE_LINK1049"/>
      <w:bookmarkStart w:id="134" w:name="OLE_LINK1076"/>
      <w:bookmarkStart w:id="135" w:name="OLE_LINK1106"/>
      <w:bookmarkStart w:id="136" w:name="OLE_LINK891"/>
      <w:bookmarkStart w:id="137" w:name="OLE_LINK943"/>
      <w:bookmarkStart w:id="138" w:name="OLE_LINK981"/>
      <w:bookmarkStart w:id="139" w:name="OLE_LINK1030"/>
      <w:bookmarkStart w:id="140" w:name="OLE_LINK847"/>
      <w:bookmarkStart w:id="141" w:name="OLE_LINK909"/>
      <w:bookmarkStart w:id="142" w:name="OLE_LINK906"/>
      <w:bookmarkStart w:id="143" w:name="OLE_LINK992"/>
      <w:bookmarkStart w:id="144" w:name="OLE_LINK993"/>
      <w:bookmarkStart w:id="145" w:name="OLE_LINK1052"/>
      <w:bookmarkStart w:id="146" w:name="OLE_LINK946"/>
      <w:bookmarkStart w:id="147" w:name="OLE_LINK911"/>
      <w:bookmarkStart w:id="148" w:name="OLE_LINK930"/>
      <w:bookmarkStart w:id="149" w:name="OLE_LINK1059"/>
      <w:bookmarkStart w:id="150" w:name="OLE_LINK1174"/>
      <w:bookmarkStart w:id="151" w:name="OLE_LINK1137"/>
      <w:bookmarkStart w:id="152" w:name="OLE_LINK1167"/>
      <w:bookmarkStart w:id="153" w:name="OLE_LINK1200"/>
      <w:bookmarkStart w:id="154" w:name="OLE_LINK1241"/>
      <w:bookmarkStart w:id="155" w:name="OLE_LINK1288"/>
      <w:bookmarkStart w:id="156" w:name="OLE_LINK1056"/>
      <w:bookmarkStart w:id="157" w:name="OLE_LINK1158"/>
      <w:bookmarkStart w:id="158" w:name="OLE_LINK1175"/>
      <w:bookmarkStart w:id="159" w:name="OLE_LINK1074"/>
      <w:bookmarkStart w:id="160" w:name="OLE_LINK1169"/>
      <w:r w:rsidRPr="001D2D77">
        <w:rPr>
          <w:rFonts w:ascii="Book Antiqua" w:eastAsia="SimSun" w:hAnsi="Book Antiqua" w:cs="Times New Roman"/>
          <w:b/>
          <w:bCs/>
          <w:sz w:val="24"/>
          <w:szCs w:val="24"/>
          <w:lang w:val="en-US" w:eastAsia="zh-CN"/>
        </w:rPr>
        <w:t>P-Reviewer:</w:t>
      </w:r>
      <w:r w:rsidRPr="001D2D77">
        <w:rPr>
          <w:rFonts w:ascii="Book Antiqua" w:eastAsia="SimSun" w:hAnsi="Book Antiqua" w:cs="Times New Roman" w:hint="eastAsia"/>
          <w:b/>
          <w:bCs/>
          <w:sz w:val="24"/>
          <w:szCs w:val="24"/>
          <w:lang w:val="en-US" w:eastAsia="zh-CN"/>
        </w:rPr>
        <w:t xml:space="preserve"> </w:t>
      </w:r>
      <w:r w:rsidRPr="001D2D77">
        <w:rPr>
          <w:rFonts w:ascii="Book Antiqua" w:eastAsia="SimSun" w:hAnsi="Book Antiqua" w:cs="Times New Roman"/>
          <w:bCs/>
          <w:sz w:val="24"/>
          <w:szCs w:val="24"/>
          <w:lang w:val="en-US" w:eastAsia="zh-CN"/>
        </w:rPr>
        <w:t>Goda</w:t>
      </w:r>
      <w:r w:rsidRPr="001D2D77">
        <w:rPr>
          <w:rFonts w:ascii="Book Antiqua" w:eastAsia="SimSun" w:hAnsi="Book Antiqua" w:cs="Times New Roman" w:hint="eastAsia"/>
          <w:bCs/>
          <w:sz w:val="24"/>
          <w:szCs w:val="24"/>
          <w:lang w:val="en-US" w:eastAsia="zh-CN"/>
        </w:rPr>
        <w:t xml:space="preserve"> </w:t>
      </w:r>
      <w:r w:rsidRPr="001D2D77">
        <w:rPr>
          <w:rFonts w:ascii="Book Antiqua" w:eastAsia="SimSun" w:hAnsi="Book Antiqua" w:cs="Times New Roman"/>
          <w:bCs/>
          <w:sz w:val="24"/>
          <w:szCs w:val="24"/>
          <w:lang w:val="en-US" w:eastAsia="zh-CN"/>
        </w:rPr>
        <w:t>K</w:t>
      </w:r>
      <w:r w:rsidR="008D59FE">
        <w:rPr>
          <w:rFonts w:ascii="Book Antiqua" w:eastAsia="SimSun" w:hAnsi="Book Antiqua" w:cs="Times New Roman" w:hint="eastAsia"/>
          <w:bCs/>
          <w:sz w:val="24"/>
          <w:szCs w:val="24"/>
          <w:lang w:val="en-US" w:eastAsia="zh-CN"/>
        </w:rPr>
        <w:t>,</w:t>
      </w:r>
      <w:r w:rsidR="008D59FE" w:rsidRPr="008D59FE">
        <w:t xml:space="preserve"> </w:t>
      </w:r>
      <w:r w:rsidR="008D59FE" w:rsidRPr="008D59FE">
        <w:rPr>
          <w:rFonts w:ascii="Book Antiqua" w:eastAsia="SimSun" w:hAnsi="Book Antiqua" w:cs="Times New Roman"/>
          <w:bCs/>
          <w:sz w:val="24"/>
          <w:szCs w:val="24"/>
          <w:lang w:val="en-US" w:eastAsia="zh-CN"/>
        </w:rPr>
        <w:t>Lakatos</w:t>
      </w:r>
      <w:r w:rsidR="008D59FE">
        <w:rPr>
          <w:rFonts w:ascii="Book Antiqua" w:eastAsia="SimSun" w:hAnsi="Book Antiqua" w:cs="Times New Roman" w:hint="eastAsia"/>
          <w:bCs/>
          <w:sz w:val="24"/>
          <w:szCs w:val="24"/>
          <w:lang w:val="en-US" w:eastAsia="zh-CN"/>
        </w:rPr>
        <w:t xml:space="preserve"> PL</w:t>
      </w:r>
      <w:r w:rsidRPr="001D2D77">
        <w:rPr>
          <w:rFonts w:ascii="Book Antiqua" w:eastAsia="SimSun" w:hAnsi="Book Antiqua" w:cs="Times New Roman" w:hint="eastAsia"/>
          <w:b/>
          <w:bCs/>
          <w:sz w:val="24"/>
          <w:szCs w:val="24"/>
          <w:lang w:val="en-US" w:eastAsia="zh-CN"/>
        </w:rPr>
        <w:t xml:space="preserve"> </w:t>
      </w:r>
      <w:r w:rsidRPr="001D2D77">
        <w:rPr>
          <w:rFonts w:ascii="Book Antiqua" w:eastAsia="SimSun" w:hAnsi="Book Antiqua" w:cs="Times New Roman"/>
          <w:b/>
          <w:bCs/>
          <w:sz w:val="24"/>
          <w:szCs w:val="24"/>
          <w:lang w:val="en-US" w:eastAsia="zh-CN"/>
        </w:rPr>
        <w:t>S-Editor:</w:t>
      </w:r>
      <w:r w:rsidRPr="001D2D77">
        <w:rPr>
          <w:rFonts w:ascii="Book Antiqua" w:eastAsia="SimSun" w:hAnsi="Book Antiqua" w:cs="Times New Roman" w:hint="eastAsia"/>
          <w:sz w:val="24"/>
          <w:szCs w:val="24"/>
          <w:lang w:val="en-US" w:eastAsia="zh-CN"/>
        </w:rPr>
        <w:t xml:space="preserve"> Gong ZM</w:t>
      </w:r>
    </w:p>
    <w:p w:rsidR="001D2D77" w:rsidRPr="001D2D77" w:rsidRDefault="001D2D77" w:rsidP="001D2D77">
      <w:pPr>
        <w:snapToGrid w:val="0"/>
        <w:spacing w:after="0" w:line="360" w:lineRule="auto"/>
        <w:jc w:val="right"/>
        <w:rPr>
          <w:rFonts w:ascii="Book Antiqua" w:eastAsia="SimSun" w:hAnsi="Book Antiqua" w:cs="Times New Roman"/>
          <w:b/>
          <w:bCs/>
          <w:sz w:val="24"/>
          <w:szCs w:val="24"/>
          <w:lang w:val="en-US" w:eastAsia="zh-CN"/>
        </w:rPr>
      </w:pPr>
      <w:r w:rsidRPr="001D2D77">
        <w:rPr>
          <w:rFonts w:ascii="Book Antiqua" w:eastAsia="SimSun" w:hAnsi="Book Antiqua" w:cs="Times New Roman"/>
          <w:b/>
          <w:bCs/>
          <w:sz w:val="24"/>
          <w:szCs w:val="24"/>
          <w:lang w:val="en-US" w:eastAsia="zh-CN"/>
        </w:rPr>
        <w:t>L-Editor:</w:t>
      </w:r>
      <w:r w:rsidRPr="001D2D77">
        <w:rPr>
          <w:rFonts w:ascii="Book Antiqua" w:eastAsia="SimSun" w:hAnsi="Book Antiqua" w:cs="Times New Roman"/>
          <w:sz w:val="24"/>
          <w:szCs w:val="24"/>
          <w:lang w:val="en-US" w:eastAsia="zh-CN"/>
        </w:rPr>
        <w:t xml:space="preserve"> </w:t>
      </w:r>
      <w:r w:rsidRPr="001D2D77">
        <w:rPr>
          <w:rFonts w:ascii="Book Antiqua" w:eastAsia="SimSun" w:hAnsi="Book Antiqua" w:cs="Times New Roman"/>
          <w:b/>
          <w:bCs/>
          <w:sz w:val="24"/>
          <w:szCs w:val="24"/>
          <w:lang w:val="en-US" w:eastAsia="zh-CN"/>
        </w:rPr>
        <w:t>E-Editor:</w:t>
      </w:r>
    </w:p>
    <w:p w:rsidR="001D2D77" w:rsidRPr="001D2D77" w:rsidRDefault="001D2D77" w:rsidP="001D2D77">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61" w:name="OLE_LINK880"/>
      <w:bookmarkStart w:id="162" w:name="OLE_LINK881"/>
      <w:bookmarkStart w:id="163" w:name="OLE_LINK497"/>
      <w:bookmarkStart w:id="164" w:name="OLE_LINK813"/>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1D2D77">
        <w:rPr>
          <w:rFonts w:ascii="Book Antiqua" w:eastAsia="SimSun" w:hAnsi="Book Antiqua" w:cs="Helvetica"/>
          <w:b/>
          <w:sz w:val="24"/>
          <w:szCs w:val="24"/>
          <w:lang w:val="en-US" w:eastAsia="zh-CN"/>
        </w:rPr>
        <w:t xml:space="preserve">Specialty type: </w:t>
      </w:r>
      <w:r w:rsidRPr="001D2D77">
        <w:rPr>
          <w:rFonts w:ascii="Book Antiqua" w:eastAsia="SimSun" w:hAnsi="Book Antiqua" w:cs="Helvetica"/>
          <w:sz w:val="24"/>
          <w:szCs w:val="24"/>
          <w:lang w:val="en-US" w:eastAsia="zh-CN"/>
        </w:rPr>
        <w:t>Gastroenterology and</w:t>
      </w:r>
      <w:r w:rsidRPr="001D2D77">
        <w:rPr>
          <w:rFonts w:ascii="Book Antiqua" w:eastAsia="SimSun" w:hAnsi="Book Antiqua" w:cs="Helvetica" w:hint="eastAsia"/>
          <w:sz w:val="24"/>
          <w:szCs w:val="24"/>
          <w:lang w:val="en-US" w:eastAsia="zh-CN"/>
        </w:rPr>
        <w:t xml:space="preserve"> </w:t>
      </w:r>
      <w:r w:rsidRPr="001D2D77">
        <w:rPr>
          <w:rFonts w:ascii="Book Antiqua" w:eastAsia="SimSun" w:hAnsi="Book Antiqua" w:cs="Helvetica"/>
          <w:sz w:val="24"/>
          <w:szCs w:val="24"/>
          <w:lang w:val="en-US" w:eastAsia="zh-CN"/>
        </w:rPr>
        <w:t>hepatology</w:t>
      </w:r>
    </w:p>
    <w:p w:rsidR="001D2D77" w:rsidRPr="001D2D77" w:rsidRDefault="001D2D77" w:rsidP="001D2D77">
      <w:pPr>
        <w:shd w:val="clear" w:color="auto" w:fill="FFFFFF"/>
        <w:snapToGrid w:val="0"/>
        <w:spacing w:after="0" w:line="360" w:lineRule="auto"/>
        <w:jc w:val="both"/>
        <w:rPr>
          <w:rFonts w:ascii="Book Antiqua" w:eastAsia="SimSun" w:hAnsi="Book Antiqua" w:cs="Helvetica"/>
          <w:b/>
          <w:sz w:val="24"/>
          <w:szCs w:val="24"/>
          <w:lang w:val="en-US" w:eastAsia="zh-CN"/>
        </w:rPr>
      </w:pPr>
      <w:r w:rsidRPr="001D2D77">
        <w:rPr>
          <w:rFonts w:ascii="Book Antiqua" w:eastAsia="SimSun" w:hAnsi="Book Antiqua" w:cs="Helvetica"/>
          <w:b/>
          <w:sz w:val="24"/>
          <w:szCs w:val="24"/>
          <w:lang w:val="en-US" w:eastAsia="zh-CN"/>
        </w:rPr>
        <w:t>Country of origin:</w:t>
      </w:r>
      <w:r w:rsidRPr="001D2D77">
        <w:rPr>
          <w:rFonts w:ascii="Book Antiqua" w:eastAsia="SimSun" w:hAnsi="Book Antiqua" w:cs="Helvetica" w:hint="eastAsia"/>
          <w:sz w:val="24"/>
          <w:szCs w:val="24"/>
          <w:lang w:val="en-CA" w:eastAsia="zh-CN"/>
        </w:rPr>
        <w:t xml:space="preserve"> Italy</w:t>
      </w:r>
    </w:p>
    <w:p w:rsidR="001D2D77" w:rsidRPr="001D2D77" w:rsidRDefault="001D2D77" w:rsidP="001D2D77">
      <w:pPr>
        <w:shd w:val="clear" w:color="auto" w:fill="FFFFFF"/>
        <w:snapToGrid w:val="0"/>
        <w:spacing w:after="0" w:line="360" w:lineRule="auto"/>
        <w:jc w:val="both"/>
        <w:rPr>
          <w:rFonts w:ascii="Book Antiqua" w:eastAsia="SimSun" w:hAnsi="Book Antiqua" w:cs="Helvetica"/>
          <w:b/>
          <w:sz w:val="24"/>
          <w:szCs w:val="24"/>
          <w:lang w:val="en-US" w:eastAsia="zh-CN"/>
        </w:rPr>
      </w:pPr>
      <w:r w:rsidRPr="001D2D77">
        <w:rPr>
          <w:rFonts w:ascii="Book Antiqua" w:eastAsia="SimSun" w:hAnsi="Book Antiqua" w:cs="Helvetica"/>
          <w:b/>
          <w:sz w:val="24"/>
          <w:szCs w:val="24"/>
          <w:lang w:val="en-US" w:eastAsia="zh-CN"/>
        </w:rPr>
        <w:t>Peer-review report classification</w:t>
      </w:r>
    </w:p>
    <w:p w:rsidR="001D2D77" w:rsidRPr="001D2D77" w:rsidRDefault="001D2D77" w:rsidP="001D2D77">
      <w:pPr>
        <w:shd w:val="clear" w:color="auto" w:fill="FFFFFF"/>
        <w:snapToGrid w:val="0"/>
        <w:spacing w:after="0" w:line="360" w:lineRule="auto"/>
        <w:jc w:val="both"/>
        <w:rPr>
          <w:rFonts w:ascii="Book Antiqua" w:eastAsia="SimSun" w:hAnsi="Book Antiqua" w:cs="Helvetica"/>
          <w:sz w:val="24"/>
          <w:szCs w:val="24"/>
          <w:lang w:val="en-US" w:eastAsia="zh-CN"/>
        </w:rPr>
      </w:pPr>
      <w:r w:rsidRPr="001D2D77">
        <w:rPr>
          <w:rFonts w:ascii="Book Antiqua" w:eastAsia="SimSun" w:hAnsi="Book Antiqua" w:cs="Helvetica"/>
          <w:sz w:val="24"/>
          <w:szCs w:val="24"/>
          <w:lang w:val="en-US" w:eastAsia="zh-CN"/>
        </w:rPr>
        <w:t>Grade A</w:t>
      </w:r>
      <w:r w:rsidR="00A01B2C" w:rsidRPr="00A01B2C">
        <w:rPr>
          <w:rFonts w:ascii="Book Antiqua" w:eastAsia="SimSun" w:hAnsi="Book Antiqua" w:cs="Helvetica" w:hint="eastAsia"/>
          <w:sz w:val="24"/>
          <w:szCs w:val="24"/>
          <w:lang w:val="en-US" w:eastAsia="zh-CN"/>
        </w:rPr>
        <w:t xml:space="preserve"> </w:t>
      </w:r>
      <w:r w:rsidRPr="001D2D77">
        <w:rPr>
          <w:rFonts w:ascii="Book Antiqua" w:eastAsia="SimSun" w:hAnsi="Book Antiqua" w:cs="Helvetica"/>
          <w:sz w:val="24"/>
          <w:szCs w:val="24"/>
          <w:lang w:val="en-US" w:eastAsia="zh-CN"/>
        </w:rPr>
        <w:t xml:space="preserve">(Excellent): </w:t>
      </w:r>
      <w:r w:rsidRPr="001D2D77">
        <w:rPr>
          <w:rFonts w:ascii="Book Antiqua" w:eastAsia="SimSun" w:hAnsi="Book Antiqua" w:cs="Helvetica" w:hint="eastAsia"/>
          <w:sz w:val="24"/>
          <w:szCs w:val="24"/>
          <w:lang w:val="en-US" w:eastAsia="zh-CN"/>
        </w:rPr>
        <w:t>0</w:t>
      </w:r>
    </w:p>
    <w:p w:rsidR="001D2D77" w:rsidRPr="001D2D77" w:rsidRDefault="001D2D77" w:rsidP="001D2D77">
      <w:pPr>
        <w:shd w:val="clear" w:color="auto" w:fill="FFFFFF"/>
        <w:snapToGrid w:val="0"/>
        <w:spacing w:after="0" w:line="360" w:lineRule="auto"/>
        <w:jc w:val="both"/>
        <w:rPr>
          <w:rFonts w:ascii="Book Antiqua" w:eastAsia="SimSun" w:hAnsi="Book Antiqua" w:cs="Helvetica"/>
          <w:sz w:val="24"/>
          <w:szCs w:val="24"/>
          <w:lang w:val="en-US" w:eastAsia="zh-CN"/>
        </w:rPr>
      </w:pPr>
      <w:r w:rsidRPr="001D2D77">
        <w:rPr>
          <w:rFonts w:ascii="Book Antiqua" w:eastAsia="SimSun" w:hAnsi="Book Antiqua" w:cs="Helvetica"/>
          <w:sz w:val="24"/>
          <w:szCs w:val="24"/>
          <w:lang w:val="en-US" w:eastAsia="zh-CN"/>
        </w:rPr>
        <w:lastRenderedPageBreak/>
        <w:t xml:space="preserve">Grade B (Very good): </w:t>
      </w:r>
      <w:r w:rsidRPr="001D2D77">
        <w:rPr>
          <w:rFonts w:ascii="Book Antiqua" w:eastAsia="SimSun" w:hAnsi="Book Antiqua" w:cs="Helvetica" w:hint="eastAsia"/>
          <w:sz w:val="24"/>
          <w:szCs w:val="24"/>
          <w:lang w:val="en-US" w:eastAsia="zh-CN"/>
        </w:rPr>
        <w:t>0</w:t>
      </w:r>
    </w:p>
    <w:p w:rsidR="001D2D77" w:rsidRPr="001D2D77" w:rsidRDefault="001D2D77" w:rsidP="001D2D77">
      <w:pPr>
        <w:shd w:val="clear" w:color="auto" w:fill="FFFFFF"/>
        <w:snapToGrid w:val="0"/>
        <w:spacing w:after="0" w:line="360" w:lineRule="auto"/>
        <w:jc w:val="both"/>
        <w:rPr>
          <w:rFonts w:ascii="Book Antiqua" w:eastAsia="SimSun" w:hAnsi="Book Antiqua" w:cs="Helvetica"/>
          <w:sz w:val="24"/>
          <w:szCs w:val="24"/>
          <w:lang w:val="en-US" w:eastAsia="zh-CN"/>
        </w:rPr>
      </w:pPr>
      <w:r w:rsidRPr="001D2D77">
        <w:rPr>
          <w:rFonts w:ascii="Book Antiqua" w:eastAsia="SimSun" w:hAnsi="Book Antiqua" w:cs="Helvetica"/>
          <w:sz w:val="24"/>
          <w:szCs w:val="24"/>
          <w:lang w:val="en-US" w:eastAsia="zh-CN"/>
        </w:rPr>
        <w:t xml:space="preserve">Grade C (Good): </w:t>
      </w:r>
      <w:r w:rsidRPr="001D2D77">
        <w:rPr>
          <w:rFonts w:ascii="Book Antiqua" w:eastAsia="SimSun" w:hAnsi="Book Antiqua" w:cs="Helvetica" w:hint="eastAsia"/>
          <w:sz w:val="24"/>
          <w:szCs w:val="24"/>
          <w:lang w:val="en-US" w:eastAsia="zh-CN"/>
        </w:rPr>
        <w:t>C</w:t>
      </w:r>
      <w:r w:rsidR="00C46F4B">
        <w:rPr>
          <w:rFonts w:ascii="Book Antiqua" w:eastAsia="SimSun" w:hAnsi="Book Antiqua" w:cs="Helvetica" w:hint="eastAsia"/>
          <w:sz w:val="24"/>
          <w:szCs w:val="24"/>
          <w:lang w:val="en-US" w:eastAsia="zh-CN"/>
        </w:rPr>
        <w:t>, C</w:t>
      </w:r>
    </w:p>
    <w:p w:rsidR="001D2D77" w:rsidRPr="001D2D77" w:rsidRDefault="001D2D77" w:rsidP="001D2D77">
      <w:pPr>
        <w:shd w:val="clear" w:color="auto" w:fill="FFFFFF"/>
        <w:snapToGrid w:val="0"/>
        <w:spacing w:after="0" w:line="360" w:lineRule="auto"/>
        <w:jc w:val="both"/>
        <w:rPr>
          <w:rFonts w:ascii="Book Antiqua" w:eastAsia="SimSun" w:hAnsi="Book Antiqua" w:cs="Helvetica"/>
          <w:sz w:val="24"/>
          <w:szCs w:val="24"/>
          <w:lang w:val="en-US" w:eastAsia="zh-CN"/>
        </w:rPr>
      </w:pPr>
      <w:r w:rsidRPr="001D2D77">
        <w:rPr>
          <w:rFonts w:ascii="Book Antiqua" w:eastAsia="SimSun" w:hAnsi="Book Antiqua" w:cs="Helvetica"/>
          <w:sz w:val="24"/>
          <w:szCs w:val="24"/>
          <w:lang w:val="en-US" w:eastAsia="zh-CN"/>
        </w:rPr>
        <w:t xml:space="preserve">Grade D (Fair): </w:t>
      </w:r>
      <w:r w:rsidRPr="001D2D77">
        <w:rPr>
          <w:rFonts w:ascii="Book Antiqua" w:eastAsia="SimSun" w:hAnsi="Book Antiqua" w:cs="Helvetica" w:hint="eastAsia"/>
          <w:sz w:val="24"/>
          <w:szCs w:val="24"/>
          <w:lang w:val="en-US" w:eastAsia="zh-CN"/>
        </w:rPr>
        <w:t>0</w:t>
      </w:r>
    </w:p>
    <w:p w:rsidR="001D2D77" w:rsidRPr="001D2D77" w:rsidRDefault="001D2D77" w:rsidP="001D2D77">
      <w:pPr>
        <w:shd w:val="clear" w:color="auto" w:fill="FFFFFF"/>
        <w:snapToGrid w:val="0"/>
        <w:spacing w:after="0" w:line="360" w:lineRule="auto"/>
        <w:jc w:val="both"/>
        <w:rPr>
          <w:rFonts w:ascii="Book Antiqua" w:eastAsia="SimSun" w:hAnsi="Book Antiqua" w:cs="Helvetica"/>
          <w:sz w:val="24"/>
          <w:szCs w:val="24"/>
          <w:lang w:val="en-US" w:eastAsia="zh-CN"/>
        </w:rPr>
      </w:pPr>
      <w:r w:rsidRPr="001D2D77">
        <w:rPr>
          <w:rFonts w:ascii="Book Antiqua" w:eastAsia="SimSun" w:hAnsi="Book Antiqua" w:cs="Helvetica"/>
          <w:sz w:val="24"/>
          <w:szCs w:val="24"/>
          <w:lang w:val="en-US" w:eastAsia="zh-CN"/>
        </w:rPr>
        <w:t xml:space="preserve">Grade E (Poor): </w:t>
      </w:r>
      <w:r w:rsidRPr="001D2D77">
        <w:rPr>
          <w:rFonts w:ascii="Book Antiqua" w:eastAsia="SimSun" w:hAnsi="Book Antiqua" w:cs="Helvetica" w:hint="eastAsia"/>
          <w:sz w:val="24"/>
          <w:szCs w:val="24"/>
          <w:lang w:val="en-US" w:eastAsia="zh-CN"/>
        </w:rPr>
        <w:t>0</w:t>
      </w:r>
      <w:bookmarkEnd w:id="161"/>
      <w:bookmarkEnd w:id="162"/>
      <w:bookmarkEnd w:id="163"/>
      <w:bookmarkEnd w:id="164"/>
    </w:p>
    <w:p w:rsidR="00A01B2C" w:rsidRPr="00A01B2C" w:rsidRDefault="00A01B2C" w:rsidP="00A01B2C">
      <w:pPr>
        <w:rPr>
          <w:rFonts w:ascii="Book Antiqua" w:hAnsi="Book Antiqua" w:cs="Tahoma"/>
          <w:b/>
          <w:sz w:val="24"/>
          <w:szCs w:val="24"/>
          <w:lang w:val="en-US" w:eastAsia="zh-CN"/>
        </w:rPr>
      </w:pPr>
      <w:r w:rsidRPr="00A01B2C">
        <w:rPr>
          <w:rFonts w:ascii="Book Antiqua" w:hAnsi="Book Antiqua" w:cs="Tahoma"/>
          <w:b/>
          <w:sz w:val="24"/>
          <w:szCs w:val="24"/>
          <w:lang w:val="en-US" w:eastAsia="zh-CN"/>
        </w:rPr>
        <w:br w:type="page"/>
      </w:r>
    </w:p>
    <w:p w:rsidR="00A01B2C" w:rsidRPr="00A01B2C" w:rsidRDefault="00A01B2C" w:rsidP="00A01B2C">
      <w:pPr>
        <w:snapToGrid w:val="0"/>
        <w:spacing w:after="0" w:line="360" w:lineRule="auto"/>
        <w:jc w:val="both"/>
        <w:rPr>
          <w:rFonts w:ascii="Book Antiqua" w:eastAsia="Times New Roman" w:hAnsi="Book Antiqua" w:cs="Tahoma"/>
          <w:b/>
          <w:sz w:val="24"/>
          <w:szCs w:val="24"/>
          <w:lang w:val="en-US" w:eastAsia="it-IT"/>
        </w:rPr>
      </w:pPr>
      <w:r w:rsidRPr="00A01B2C">
        <w:rPr>
          <w:rFonts w:ascii="Book Antiqua" w:eastAsia="Times New Roman" w:hAnsi="Book Antiqua" w:cs="Tahoma"/>
          <w:noProof/>
          <w:sz w:val="24"/>
          <w:szCs w:val="24"/>
          <w:lang w:val="en-US" w:eastAsia="zh-CN"/>
        </w:rPr>
        <w:lastRenderedPageBreak/>
        <w:drawing>
          <wp:anchor distT="0" distB="0" distL="114300" distR="114300" simplePos="0" relativeHeight="251660288" behindDoc="0" locked="0" layoutInCell="1" allowOverlap="1" wp14:anchorId="6089AE69" wp14:editId="1CF4DA72">
            <wp:simplePos x="0" y="0"/>
            <wp:positionH relativeFrom="column">
              <wp:posOffset>3263513</wp:posOffset>
            </wp:positionH>
            <wp:positionV relativeFrom="paragraph">
              <wp:posOffset>-3396</wp:posOffset>
            </wp:positionV>
            <wp:extent cx="2878373" cy="1812628"/>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2362" r="15133" b="9455"/>
                    <a:stretch/>
                  </pic:blipFill>
                  <pic:spPr bwMode="auto">
                    <a:xfrm>
                      <a:off x="0" y="0"/>
                      <a:ext cx="2877836" cy="181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B2C">
        <w:rPr>
          <w:rFonts w:ascii="Book Antiqua" w:eastAsia="Times New Roman" w:hAnsi="Book Antiqua" w:cs="Tahoma"/>
          <w:b/>
          <w:noProof/>
          <w:sz w:val="24"/>
          <w:szCs w:val="24"/>
          <w:lang w:val="en-US" w:eastAsia="zh-CN"/>
        </w:rPr>
        <w:drawing>
          <wp:anchor distT="0" distB="0" distL="114300" distR="114300" simplePos="0" relativeHeight="251659264" behindDoc="1" locked="0" layoutInCell="1" allowOverlap="1" wp14:anchorId="0CBB96A2" wp14:editId="138E8EA9">
            <wp:simplePos x="0" y="0"/>
            <wp:positionH relativeFrom="column">
              <wp:posOffset>3479</wp:posOffset>
            </wp:positionH>
            <wp:positionV relativeFrom="paragraph">
              <wp:posOffset>-3396</wp:posOffset>
            </wp:positionV>
            <wp:extent cx="3124862" cy="1812898"/>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r="8968" b="5428"/>
                    <a:stretch/>
                  </pic:blipFill>
                  <pic:spPr bwMode="auto">
                    <a:xfrm>
                      <a:off x="0" y="0"/>
                      <a:ext cx="3126105" cy="18136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1B2C" w:rsidRPr="00A01B2C" w:rsidRDefault="00A01B2C" w:rsidP="00A01B2C">
      <w:pPr>
        <w:snapToGrid w:val="0"/>
        <w:spacing w:after="0" w:line="360" w:lineRule="auto"/>
        <w:jc w:val="both"/>
        <w:rPr>
          <w:rFonts w:ascii="Book Antiqua" w:eastAsia="Times New Roman" w:hAnsi="Book Antiqua" w:cs="Tahoma"/>
          <w:sz w:val="24"/>
          <w:szCs w:val="24"/>
          <w:lang w:val="en-US" w:eastAsia="it-IT"/>
        </w:rPr>
      </w:pPr>
    </w:p>
    <w:p w:rsidR="00A01B2C" w:rsidRPr="00A01B2C" w:rsidRDefault="00A01B2C" w:rsidP="00A01B2C">
      <w:pPr>
        <w:snapToGrid w:val="0"/>
        <w:spacing w:after="0" w:line="360" w:lineRule="auto"/>
        <w:jc w:val="both"/>
        <w:rPr>
          <w:rFonts w:ascii="Book Antiqua" w:eastAsia="Times New Roman" w:hAnsi="Book Antiqua" w:cs="Tahoma"/>
          <w:sz w:val="24"/>
          <w:szCs w:val="24"/>
          <w:lang w:val="en-US" w:eastAsia="it-IT"/>
        </w:rPr>
      </w:pPr>
    </w:p>
    <w:p w:rsidR="00A01B2C" w:rsidRPr="00A01B2C" w:rsidRDefault="00A01B2C" w:rsidP="00A01B2C">
      <w:pPr>
        <w:snapToGrid w:val="0"/>
        <w:spacing w:after="0" w:line="360" w:lineRule="auto"/>
        <w:jc w:val="both"/>
        <w:rPr>
          <w:rFonts w:ascii="Book Antiqua" w:eastAsia="Times New Roman" w:hAnsi="Book Antiqua" w:cs="Tahoma"/>
          <w:sz w:val="24"/>
          <w:szCs w:val="24"/>
          <w:lang w:val="en-US" w:eastAsia="it-IT"/>
        </w:rPr>
      </w:pPr>
    </w:p>
    <w:p w:rsidR="00A01B2C" w:rsidRPr="00A01B2C" w:rsidRDefault="00A01B2C" w:rsidP="00A01B2C">
      <w:pPr>
        <w:snapToGrid w:val="0"/>
        <w:spacing w:after="0" w:line="360" w:lineRule="auto"/>
        <w:jc w:val="both"/>
        <w:rPr>
          <w:rFonts w:ascii="Book Antiqua" w:eastAsia="Times New Roman" w:hAnsi="Book Antiqua" w:cs="Tahoma"/>
          <w:sz w:val="24"/>
          <w:szCs w:val="24"/>
          <w:lang w:val="en-US" w:eastAsia="it-IT"/>
        </w:rPr>
      </w:pPr>
    </w:p>
    <w:p w:rsidR="00A01B2C" w:rsidRPr="00A01B2C" w:rsidRDefault="00A01B2C" w:rsidP="00A01B2C">
      <w:pPr>
        <w:snapToGrid w:val="0"/>
        <w:spacing w:after="0" w:line="360" w:lineRule="auto"/>
        <w:jc w:val="both"/>
        <w:rPr>
          <w:rFonts w:ascii="Book Antiqua" w:eastAsia="Times New Roman" w:hAnsi="Book Antiqua" w:cs="Tahoma"/>
          <w:sz w:val="24"/>
          <w:szCs w:val="24"/>
          <w:lang w:val="en-US" w:eastAsia="it-IT"/>
        </w:rPr>
      </w:pPr>
    </w:p>
    <w:p w:rsidR="00A01B2C" w:rsidRPr="00A01B2C" w:rsidRDefault="00A01B2C" w:rsidP="00A01B2C">
      <w:pPr>
        <w:snapToGrid w:val="0"/>
        <w:spacing w:after="0" w:line="360" w:lineRule="auto"/>
        <w:jc w:val="both"/>
        <w:rPr>
          <w:rFonts w:ascii="Book Antiqua" w:eastAsia="Times New Roman" w:hAnsi="Book Antiqua" w:cs="Tahoma"/>
          <w:sz w:val="24"/>
          <w:szCs w:val="24"/>
          <w:lang w:val="en-US" w:eastAsia="it-IT"/>
        </w:rPr>
      </w:pPr>
    </w:p>
    <w:p w:rsidR="00A01B2C" w:rsidRPr="00A01B2C" w:rsidRDefault="00A01B2C" w:rsidP="00A01B2C">
      <w:pPr>
        <w:snapToGrid w:val="0"/>
        <w:spacing w:after="0" w:line="360" w:lineRule="auto"/>
        <w:jc w:val="both"/>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t>Figure 1</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b/>
          <w:sz w:val="24"/>
          <w:szCs w:val="24"/>
          <w:lang w:val="en-US" w:eastAsia="it-IT"/>
        </w:rPr>
        <w:t>The proximal contractile integral.</w:t>
      </w:r>
      <w:r w:rsidRPr="00A01B2C">
        <w:rPr>
          <w:rFonts w:ascii="Book Antiqua" w:hAnsi="Book Antiqua" w:cs="Tahoma" w:hint="eastAsia"/>
          <w:b/>
          <w:sz w:val="24"/>
          <w:szCs w:val="24"/>
          <w:lang w:val="en-US" w:eastAsia="zh-CN"/>
        </w:rPr>
        <w:t xml:space="preserve"> </w:t>
      </w:r>
      <w:r w:rsidRPr="00A01B2C">
        <w:rPr>
          <w:rFonts w:ascii="Book Antiqua" w:eastAsia="Times New Roman" w:hAnsi="Book Antiqua" w:cs="Tahoma"/>
          <w:sz w:val="24"/>
          <w:szCs w:val="24"/>
          <w:lang w:val="en-US" w:eastAsia="it-IT"/>
        </w:rPr>
        <w:t>The proximal contractile integral (PCI) is calculated applying the same algorithm used for the distal contractile integral (DCI) to quantify contractile pressure exceeding 20 mmHg in the region outlined by the white line. The high- resolution manometry tracing on the left refers to a patient with pathological oropharyngeal (OP) acid exposure (weaker PCI = lighter colors), while the tracing on the right refers to a patient with normal OP acid exposure (stronger PCI = darker color).</w:t>
      </w:r>
    </w:p>
    <w:p w:rsidR="00A01B2C" w:rsidRPr="00A01B2C" w:rsidRDefault="00A01B2C" w:rsidP="00A01B2C">
      <w:pPr>
        <w:snapToGrid w:val="0"/>
        <w:spacing w:after="0" w:line="360" w:lineRule="auto"/>
        <w:jc w:val="both"/>
        <w:rPr>
          <w:rFonts w:ascii="Book Antiqua" w:hAnsi="Book Antiqua" w:cs="Tahoma"/>
          <w:sz w:val="24"/>
          <w:szCs w:val="24"/>
          <w:lang w:val="en-US" w:eastAsia="zh-CN"/>
        </w:rPr>
      </w:pPr>
    </w:p>
    <w:p w:rsidR="00A01B2C" w:rsidRPr="00A01B2C" w:rsidRDefault="00A01B2C" w:rsidP="00A01B2C">
      <w:pPr>
        <w:snapToGrid w:val="0"/>
        <w:spacing w:after="0" w:line="360" w:lineRule="auto"/>
        <w:jc w:val="both"/>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br w:type="page"/>
      </w:r>
    </w:p>
    <w:p w:rsidR="00A01B2C" w:rsidRPr="00A01B2C" w:rsidRDefault="00A01B2C" w:rsidP="00A01B2C">
      <w:pPr>
        <w:snapToGrid w:val="0"/>
        <w:spacing w:after="0" w:line="360" w:lineRule="auto"/>
        <w:jc w:val="both"/>
        <w:rPr>
          <w:rFonts w:ascii="Book Antiqua" w:hAnsi="Book Antiqua" w:cs="Tahoma"/>
          <w:b/>
          <w:sz w:val="24"/>
          <w:szCs w:val="24"/>
          <w:lang w:val="en-US" w:eastAsia="zh-CN"/>
        </w:rPr>
      </w:pPr>
      <w:r w:rsidRPr="00A01B2C">
        <w:rPr>
          <w:rFonts w:ascii="Book Antiqua" w:eastAsia="Times New Roman" w:hAnsi="Book Antiqua" w:cs="Tahoma"/>
          <w:b/>
          <w:noProof/>
          <w:sz w:val="24"/>
          <w:szCs w:val="24"/>
          <w:lang w:val="en-US" w:eastAsia="zh-CN"/>
        </w:rPr>
        <w:lastRenderedPageBreak/>
        <w:drawing>
          <wp:inline distT="0" distB="0" distL="0" distR="0" wp14:anchorId="1EF99F7F" wp14:editId="696887D4">
            <wp:extent cx="6120130" cy="4272185"/>
            <wp:effectExtent l="0" t="0" r="13970" b="14605"/>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01B2C" w:rsidRPr="00A01B2C" w:rsidRDefault="00A01B2C" w:rsidP="00A01B2C">
      <w:pPr>
        <w:snapToGrid w:val="0"/>
        <w:spacing w:after="0" w:line="360" w:lineRule="auto"/>
        <w:jc w:val="both"/>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t>Figure 2 Clinical manifestations of the study population.</w:t>
      </w:r>
      <w:r w:rsidRPr="00A01B2C">
        <w:rPr>
          <w:rFonts w:ascii="Book Antiqua" w:hAnsi="Book Antiqua" w:cs="Tahoma" w:hint="eastAsia"/>
          <w:b/>
          <w:sz w:val="24"/>
          <w:szCs w:val="24"/>
          <w:lang w:val="en-US" w:eastAsia="zh-CN"/>
        </w:rPr>
        <w:t xml:space="preserve"> </w:t>
      </w:r>
      <w:r w:rsidRPr="00A01B2C">
        <w:rPr>
          <w:rFonts w:ascii="Book Antiqua" w:eastAsia="Times New Roman" w:hAnsi="Book Antiqua" w:cs="Tahoma"/>
          <w:sz w:val="24"/>
          <w:szCs w:val="24"/>
          <w:lang w:val="en-US" w:eastAsia="it-IT"/>
        </w:rPr>
        <w:t>Number of patients with normal (</w:t>
      </w:r>
      <w:r w:rsidRPr="00A01B2C">
        <w:rPr>
          <w:rFonts w:ascii="Book Antiqua" w:eastAsia="Times New Roman" w:hAnsi="Book Antiqua" w:cs="Tahoma"/>
          <w:noProof/>
          <w:sz w:val="24"/>
          <w:szCs w:val="24"/>
          <w:lang w:val="en-US" w:eastAsia="zh-CN"/>
        </w:rPr>
        <w:drawing>
          <wp:inline distT="0" distB="0" distL="0" distR="0" wp14:anchorId="069203FE" wp14:editId="2AAFC911">
            <wp:extent cx="232564" cy="184994"/>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564" cy="184994"/>
                    </a:xfrm>
                    <a:prstGeom prst="rect">
                      <a:avLst/>
                    </a:prstGeom>
                    <a:noFill/>
                    <a:ln>
                      <a:noFill/>
                    </a:ln>
                  </pic:spPr>
                </pic:pic>
              </a:graphicData>
            </a:graphic>
          </wp:inline>
        </w:drawing>
      </w:r>
      <w:r w:rsidRPr="00A01B2C">
        <w:rPr>
          <w:rFonts w:ascii="Book Antiqua" w:eastAsia="Times New Roman" w:hAnsi="Book Antiqua" w:cs="Tahoma"/>
          <w:sz w:val="24"/>
          <w:szCs w:val="24"/>
          <w:lang w:val="en-US" w:eastAsia="it-IT"/>
        </w:rPr>
        <w:t>) or pathological (</w:t>
      </w:r>
      <w:r w:rsidRPr="00A01B2C">
        <w:rPr>
          <w:rFonts w:ascii="Book Antiqua" w:eastAsia="Times New Roman" w:hAnsi="Book Antiqua" w:cs="Tahoma"/>
          <w:noProof/>
          <w:sz w:val="24"/>
          <w:szCs w:val="24"/>
          <w:lang w:val="en-US" w:eastAsia="zh-CN"/>
        </w:rPr>
        <w:drawing>
          <wp:inline distT="0" distB="0" distL="0" distR="0" wp14:anchorId="5068917F" wp14:editId="56A29A5D">
            <wp:extent cx="266065" cy="170180"/>
            <wp:effectExtent l="0" t="0" r="635"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065" cy="170180"/>
                    </a:xfrm>
                    <a:prstGeom prst="rect">
                      <a:avLst/>
                    </a:prstGeom>
                    <a:noFill/>
                    <a:ln>
                      <a:noFill/>
                    </a:ln>
                  </pic:spPr>
                </pic:pic>
              </a:graphicData>
            </a:graphic>
          </wp:inline>
        </w:drawing>
      </w:r>
      <w:r w:rsidRPr="00A01B2C">
        <w:rPr>
          <w:rFonts w:ascii="Book Antiqua" w:eastAsia="Times New Roman" w:hAnsi="Book Antiqua" w:cs="Tahoma"/>
          <w:sz w:val="24"/>
          <w:szCs w:val="24"/>
          <w:lang w:val="en-US" w:eastAsia="it-IT"/>
        </w:rPr>
        <w:t>) oropharyngeal acid exposure.</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Differences between groups are not statistically significant.</w:t>
      </w:r>
    </w:p>
    <w:p w:rsidR="00A01B2C" w:rsidRPr="00A01B2C" w:rsidRDefault="00A01B2C" w:rsidP="00A01B2C">
      <w:pPr>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br w:type="page"/>
      </w:r>
    </w:p>
    <w:p w:rsidR="00A01B2C" w:rsidRPr="00A01B2C" w:rsidRDefault="00A01B2C" w:rsidP="00A01B2C">
      <w:pPr>
        <w:snapToGrid w:val="0"/>
        <w:spacing w:after="0" w:line="360" w:lineRule="auto"/>
        <w:jc w:val="both"/>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lastRenderedPageBreak/>
        <w:t>Table 1</w:t>
      </w:r>
      <w:r w:rsidRPr="00A01B2C">
        <w:rPr>
          <w:rFonts w:ascii="Book Antiqua" w:hAnsi="Book Antiqua" w:cs="Tahoma" w:hint="eastAsia"/>
          <w:b/>
          <w:sz w:val="24"/>
          <w:szCs w:val="24"/>
          <w:lang w:val="en-US" w:eastAsia="zh-CN"/>
        </w:rPr>
        <w:t xml:space="preserve"> </w:t>
      </w:r>
      <w:r w:rsidRPr="00A01B2C">
        <w:rPr>
          <w:rFonts w:ascii="Book Antiqua" w:eastAsia="Times New Roman" w:hAnsi="Book Antiqua" w:cs="Tahoma"/>
          <w:b/>
          <w:sz w:val="24"/>
          <w:szCs w:val="24"/>
          <w:lang w:val="en-US" w:eastAsia="it-IT"/>
        </w:rPr>
        <w:t>Patients’ main clinical characteristics</w:t>
      </w:r>
    </w:p>
    <w:tbl>
      <w:tblPr>
        <w:tblW w:w="9884" w:type="dxa"/>
        <w:tblInd w:w="-106" w:type="dxa"/>
        <w:tblBorders>
          <w:top w:val="single" w:sz="4" w:space="0" w:color="auto"/>
          <w:bottom w:val="single" w:sz="4" w:space="0" w:color="auto"/>
          <w:insideH w:val="single" w:sz="4" w:space="0" w:color="auto"/>
        </w:tblBorders>
        <w:tblLook w:val="04A0" w:firstRow="1" w:lastRow="0" w:firstColumn="1" w:lastColumn="0" w:noHBand="0" w:noVBand="1"/>
      </w:tblPr>
      <w:tblGrid>
        <w:gridCol w:w="106"/>
        <w:gridCol w:w="3830"/>
        <w:gridCol w:w="106"/>
        <w:gridCol w:w="2815"/>
        <w:gridCol w:w="106"/>
        <w:gridCol w:w="2815"/>
        <w:gridCol w:w="106"/>
      </w:tblGrid>
      <w:tr w:rsidR="00A01B2C" w:rsidRPr="00A01B2C" w:rsidTr="00CF50E0">
        <w:trPr>
          <w:gridBefore w:val="1"/>
          <w:wBefore w:w="106" w:type="dxa"/>
          <w:trHeight w:hRule="exact" w:val="624"/>
        </w:trPr>
        <w:tc>
          <w:tcPr>
            <w:tcW w:w="3936" w:type="dxa"/>
            <w:gridSpan w:val="2"/>
            <w:tcBorders>
              <w:bottom w:val="single" w:sz="4" w:space="0" w:color="auto"/>
            </w:tcBorders>
            <w:vAlign w:val="center"/>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p>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p>
        </w:tc>
        <w:tc>
          <w:tcPr>
            <w:tcW w:w="2921" w:type="dxa"/>
            <w:gridSpan w:val="2"/>
            <w:tcBorders>
              <w:bottom w:val="single" w:sz="4" w:space="0" w:color="auto"/>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t>OP pH–</w:t>
            </w:r>
          </w:p>
        </w:tc>
        <w:tc>
          <w:tcPr>
            <w:tcW w:w="2921" w:type="dxa"/>
            <w:gridSpan w:val="2"/>
            <w:tcBorders>
              <w:bottom w:val="single" w:sz="4" w:space="0" w:color="auto"/>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t>OP pH+</w:t>
            </w:r>
          </w:p>
        </w:tc>
      </w:tr>
      <w:tr w:rsidR="00A01B2C" w:rsidRPr="00A01B2C" w:rsidTr="00CF50E0">
        <w:trPr>
          <w:gridAfter w:val="1"/>
          <w:wAfter w:w="106" w:type="dxa"/>
          <w:trHeight w:hRule="exact" w:val="624"/>
        </w:trPr>
        <w:tc>
          <w:tcPr>
            <w:tcW w:w="3936" w:type="dxa"/>
            <w:gridSpan w:val="2"/>
            <w:tcBorders>
              <w:bottom w:val="nil"/>
            </w:tcBorders>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No. of patients</w:t>
            </w:r>
          </w:p>
        </w:tc>
        <w:tc>
          <w:tcPr>
            <w:tcW w:w="2921" w:type="dxa"/>
            <w:gridSpan w:val="2"/>
            <w:tcBorders>
              <w:bottom w:val="nil"/>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18</w:t>
            </w:r>
          </w:p>
        </w:tc>
        <w:tc>
          <w:tcPr>
            <w:tcW w:w="2921" w:type="dxa"/>
            <w:gridSpan w:val="2"/>
            <w:tcBorders>
              <w:bottom w:val="nil"/>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24</w:t>
            </w:r>
          </w:p>
        </w:tc>
      </w:tr>
      <w:tr w:rsidR="00A01B2C" w:rsidRPr="00A01B2C" w:rsidTr="00CF50E0">
        <w:trPr>
          <w:gridAfter w:val="1"/>
          <w:wAfter w:w="106" w:type="dxa"/>
          <w:trHeight w:hRule="exact" w:val="624"/>
        </w:trPr>
        <w:tc>
          <w:tcPr>
            <w:tcW w:w="3936" w:type="dxa"/>
            <w:gridSpan w:val="2"/>
            <w:tcBorders>
              <w:top w:val="nil"/>
              <w:bottom w:val="nil"/>
            </w:tcBorders>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Male/Female (% of male)</w:t>
            </w:r>
            <w:r w:rsidRPr="00A01B2C">
              <w:rPr>
                <w:noProof/>
                <w:sz w:val="24"/>
                <w:szCs w:val="24"/>
              </w:rPr>
              <w:t xml:space="preserve"> </w:t>
            </w:r>
          </w:p>
        </w:tc>
        <w:tc>
          <w:tcPr>
            <w:tcW w:w="2921" w:type="dxa"/>
            <w:gridSpan w:val="2"/>
            <w:tcBorders>
              <w:top w:val="nil"/>
              <w:bottom w:val="nil"/>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8/10 (44%)</w:t>
            </w:r>
          </w:p>
        </w:tc>
        <w:tc>
          <w:tcPr>
            <w:tcW w:w="2921" w:type="dxa"/>
            <w:gridSpan w:val="2"/>
            <w:tcBorders>
              <w:top w:val="nil"/>
              <w:bottom w:val="nil"/>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6/18 (25%)</w:t>
            </w:r>
          </w:p>
        </w:tc>
      </w:tr>
      <w:tr w:rsidR="00A01B2C" w:rsidRPr="00A01B2C" w:rsidTr="00CF50E0">
        <w:trPr>
          <w:gridAfter w:val="1"/>
          <w:wAfter w:w="106" w:type="dxa"/>
          <w:trHeight w:hRule="exact" w:val="624"/>
        </w:trPr>
        <w:tc>
          <w:tcPr>
            <w:tcW w:w="3936" w:type="dxa"/>
            <w:gridSpan w:val="2"/>
            <w:tcBorders>
              <w:top w:val="nil"/>
              <w:bottom w:val="nil"/>
            </w:tcBorders>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Mean age (years ± SD)</w:t>
            </w:r>
          </w:p>
        </w:tc>
        <w:tc>
          <w:tcPr>
            <w:tcW w:w="2921" w:type="dxa"/>
            <w:gridSpan w:val="2"/>
            <w:tcBorders>
              <w:top w:val="nil"/>
              <w:bottom w:val="nil"/>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52.52 ± 11.71</w:t>
            </w:r>
          </w:p>
        </w:tc>
        <w:tc>
          <w:tcPr>
            <w:tcW w:w="2921" w:type="dxa"/>
            <w:gridSpan w:val="2"/>
            <w:tcBorders>
              <w:top w:val="nil"/>
              <w:bottom w:val="nil"/>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50.51 ± 14.73</w:t>
            </w:r>
          </w:p>
        </w:tc>
      </w:tr>
      <w:tr w:rsidR="00A01B2C" w:rsidRPr="00A01B2C" w:rsidTr="00CF50E0">
        <w:trPr>
          <w:gridAfter w:val="1"/>
          <w:wAfter w:w="106" w:type="dxa"/>
          <w:trHeight w:hRule="exact" w:val="624"/>
        </w:trPr>
        <w:tc>
          <w:tcPr>
            <w:tcW w:w="3936" w:type="dxa"/>
            <w:gridSpan w:val="2"/>
            <w:tcBorders>
              <w:top w:val="nil"/>
              <w:bottom w:val="nil"/>
            </w:tcBorders>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Mean BMI (± SD)</w:t>
            </w:r>
          </w:p>
        </w:tc>
        <w:tc>
          <w:tcPr>
            <w:tcW w:w="2921" w:type="dxa"/>
            <w:gridSpan w:val="2"/>
            <w:tcBorders>
              <w:top w:val="nil"/>
              <w:bottom w:val="nil"/>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24.50 ± 3.71</w:t>
            </w:r>
          </w:p>
        </w:tc>
        <w:tc>
          <w:tcPr>
            <w:tcW w:w="2921" w:type="dxa"/>
            <w:gridSpan w:val="2"/>
            <w:tcBorders>
              <w:top w:val="nil"/>
              <w:bottom w:val="nil"/>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24.32 ± 3.61</w:t>
            </w:r>
          </w:p>
        </w:tc>
      </w:tr>
      <w:tr w:rsidR="00A01B2C" w:rsidRPr="00A01B2C" w:rsidTr="00CF50E0">
        <w:trPr>
          <w:gridAfter w:val="1"/>
          <w:wAfter w:w="106" w:type="dxa"/>
          <w:trHeight w:hRule="exact" w:val="624"/>
        </w:trPr>
        <w:tc>
          <w:tcPr>
            <w:tcW w:w="3936" w:type="dxa"/>
            <w:gridSpan w:val="2"/>
            <w:tcBorders>
              <w:top w:val="nil"/>
              <w:bottom w:val="nil"/>
            </w:tcBorders>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Mean RSI score</w:t>
            </w:r>
          </w:p>
        </w:tc>
        <w:tc>
          <w:tcPr>
            <w:tcW w:w="2921" w:type="dxa"/>
            <w:gridSpan w:val="2"/>
            <w:tcBorders>
              <w:top w:val="nil"/>
              <w:bottom w:val="nil"/>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18.00</w:t>
            </w:r>
          </w:p>
        </w:tc>
        <w:tc>
          <w:tcPr>
            <w:tcW w:w="2921" w:type="dxa"/>
            <w:gridSpan w:val="2"/>
            <w:tcBorders>
              <w:top w:val="nil"/>
              <w:bottom w:val="nil"/>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17.80</w:t>
            </w:r>
          </w:p>
        </w:tc>
      </w:tr>
      <w:tr w:rsidR="00A01B2C" w:rsidRPr="00A01B2C" w:rsidTr="00CF50E0">
        <w:trPr>
          <w:gridAfter w:val="1"/>
          <w:wAfter w:w="106" w:type="dxa"/>
          <w:trHeight w:hRule="exact" w:val="1072"/>
        </w:trPr>
        <w:tc>
          <w:tcPr>
            <w:tcW w:w="3936" w:type="dxa"/>
            <w:gridSpan w:val="2"/>
            <w:tcBorders>
              <w:top w:val="nil"/>
            </w:tcBorders>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No. of patients with typical esophageal symptoms</w:t>
            </w:r>
          </w:p>
        </w:tc>
        <w:tc>
          <w:tcPr>
            <w:tcW w:w="2921" w:type="dxa"/>
            <w:gridSpan w:val="2"/>
            <w:tcBorders>
              <w:top w:val="nil"/>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8/18 (44.44 %)</w:t>
            </w:r>
          </w:p>
        </w:tc>
        <w:tc>
          <w:tcPr>
            <w:tcW w:w="2921" w:type="dxa"/>
            <w:gridSpan w:val="2"/>
            <w:tcBorders>
              <w:top w:val="nil"/>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9/24 (37.50 %)</w:t>
            </w:r>
          </w:p>
        </w:tc>
      </w:tr>
    </w:tbl>
    <w:p w:rsidR="00A01B2C" w:rsidRPr="00A01B2C" w:rsidRDefault="00A01B2C" w:rsidP="00A01B2C">
      <w:pPr>
        <w:snapToGrid w:val="0"/>
        <w:spacing w:after="0" w:line="360" w:lineRule="auto"/>
        <w:jc w:val="both"/>
        <w:rPr>
          <w:rFonts w:ascii="Book Antiqua" w:hAnsi="Book Antiqua" w:cs="Tahoma"/>
          <w:sz w:val="24"/>
          <w:szCs w:val="24"/>
          <w:lang w:val="en-US" w:eastAsia="zh-CN"/>
        </w:rPr>
      </w:pPr>
      <w:r w:rsidRPr="00A01B2C">
        <w:rPr>
          <w:rFonts w:ascii="Book Antiqua" w:eastAsia="Times New Roman" w:hAnsi="Book Antiqua" w:cs="Tahoma"/>
          <w:sz w:val="24"/>
          <w:szCs w:val="24"/>
          <w:lang w:val="en-US" w:eastAsia="it-IT"/>
        </w:rPr>
        <w:t>Normal (OP pH</w:t>
      </w:r>
      <w:r w:rsidRPr="00A01B2C">
        <w:rPr>
          <w:rFonts w:ascii="Book Antiqua" w:hAnsi="Book Antiqua" w:cs="Tahoma" w:hint="eastAsia"/>
          <w:sz w:val="24"/>
          <w:szCs w:val="24"/>
          <w:lang w:val="en-US" w:eastAsia="zh-CN"/>
        </w:rPr>
        <w:t>-</w:t>
      </w:r>
      <w:r w:rsidRPr="00A01B2C">
        <w:rPr>
          <w:rFonts w:ascii="Book Antiqua" w:eastAsia="Times New Roman" w:hAnsi="Book Antiqua" w:cs="Tahoma"/>
          <w:sz w:val="24"/>
          <w:szCs w:val="24"/>
          <w:lang w:val="en-US" w:eastAsia="it-IT"/>
        </w:rPr>
        <w:t>) or pathological (OP pH+)</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OP</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caps/>
          <w:sz w:val="24"/>
          <w:szCs w:val="24"/>
          <w:lang w:val="en-US" w:eastAsia="it-IT"/>
        </w:rPr>
        <w:t>o</w:t>
      </w:r>
      <w:r w:rsidRPr="00A01B2C">
        <w:rPr>
          <w:rFonts w:ascii="Book Antiqua" w:eastAsia="Times New Roman" w:hAnsi="Book Antiqua" w:cs="Tahoma"/>
          <w:sz w:val="24"/>
          <w:szCs w:val="24"/>
          <w:lang w:val="en-US" w:eastAsia="it-IT"/>
        </w:rPr>
        <w:t>ropharyngeal</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RSI</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caps/>
          <w:sz w:val="24"/>
          <w:szCs w:val="24"/>
          <w:lang w:val="en-US" w:eastAsia="it-IT"/>
        </w:rPr>
        <w:t>r</w:t>
      </w:r>
      <w:r w:rsidRPr="00A01B2C">
        <w:rPr>
          <w:rFonts w:ascii="Book Antiqua" w:eastAsia="Times New Roman" w:hAnsi="Book Antiqua" w:cs="Tahoma"/>
          <w:sz w:val="24"/>
          <w:szCs w:val="24"/>
          <w:lang w:val="en-US" w:eastAsia="it-IT"/>
        </w:rPr>
        <w:t>eflux symptom index</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BMI</w:t>
      </w:r>
      <w:r w:rsidRPr="00A01B2C">
        <w:rPr>
          <w:rFonts w:ascii="Book Antiqua" w:hAnsi="Book Antiqua" w:cs="Tahoma" w:hint="eastAsia"/>
          <w:sz w:val="24"/>
          <w:szCs w:val="24"/>
          <w:lang w:val="en-US" w:eastAsia="zh-CN"/>
        </w:rPr>
        <w:t xml:space="preserve">: </w:t>
      </w:r>
      <w:r w:rsidRPr="001B5AC2">
        <w:rPr>
          <w:rFonts w:ascii="Book Antiqua" w:hAnsi="Book Antiqua" w:cs="Tahoma"/>
          <w:sz w:val="24"/>
          <w:szCs w:val="24"/>
          <w:lang w:val="en-US" w:eastAsia="zh-CN"/>
        </w:rPr>
        <w:t>Body mass index</w:t>
      </w:r>
      <w:r w:rsidRPr="001B5AC2">
        <w:rPr>
          <w:rFonts w:ascii="Book Antiqua" w:hAnsi="Book Antiqua" w:cs="Tahoma" w:hint="eastAsia"/>
          <w:sz w:val="24"/>
          <w:szCs w:val="24"/>
          <w:lang w:val="en-US" w:eastAsia="zh-CN"/>
        </w:rPr>
        <w:t>.</w:t>
      </w:r>
    </w:p>
    <w:p w:rsidR="00A01B2C" w:rsidRPr="00A01B2C" w:rsidRDefault="00A01B2C" w:rsidP="00A01B2C">
      <w:pPr>
        <w:snapToGrid w:val="0"/>
        <w:spacing w:after="0" w:line="360" w:lineRule="auto"/>
        <w:jc w:val="both"/>
        <w:rPr>
          <w:rFonts w:ascii="Book Antiqua" w:eastAsia="Times New Roman" w:hAnsi="Book Antiqua" w:cs="Tahoma"/>
          <w:b/>
          <w:sz w:val="24"/>
          <w:szCs w:val="24"/>
          <w:lang w:val="en-US" w:eastAsia="it-IT"/>
        </w:rPr>
      </w:pPr>
    </w:p>
    <w:p w:rsidR="00A01B2C" w:rsidRPr="00A01B2C" w:rsidRDefault="00A01B2C" w:rsidP="00A01B2C">
      <w:pPr>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br w:type="page"/>
      </w:r>
    </w:p>
    <w:p w:rsidR="00A01B2C" w:rsidRPr="00A01B2C" w:rsidRDefault="00A01B2C" w:rsidP="00A01B2C">
      <w:pPr>
        <w:snapToGrid w:val="0"/>
        <w:spacing w:after="0" w:line="360" w:lineRule="auto"/>
        <w:jc w:val="both"/>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lastRenderedPageBreak/>
        <w:t>Table 2</w:t>
      </w:r>
      <w:r w:rsidRPr="00A01B2C">
        <w:rPr>
          <w:rFonts w:ascii="Book Antiqua" w:hAnsi="Book Antiqua" w:cs="Tahoma" w:hint="eastAsia"/>
          <w:b/>
          <w:sz w:val="24"/>
          <w:szCs w:val="24"/>
          <w:lang w:val="en-US" w:eastAsia="zh-CN"/>
        </w:rPr>
        <w:t xml:space="preserve"> </w:t>
      </w:r>
      <w:r w:rsidRPr="00A01B2C">
        <w:rPr>
          <w:rFonts w:ascii="Book Antiqua" w:eastAsia="Times New Roman" w:hAnsi="Book Antiqua" w:cs="Tahoma"/>
          <w:b/>
          <w:sz w:val="24"/>
          <w:szCs w:val="24"/>
          <w:lang w:val="en-US" w:eastAsia="it-IT"/>
        </w:rPr>
        <w:t>Esophageal sphincters and strength of contractions</w:t>
      </w:r>
    </w:p>
    <w:tbl>
      <w:tblPr>
        <w:tblW w:w="0" w:type="auto"/>
        <w:tblInd w:w="-106" w:type="dxa"/>
        <w:tblBorders>
          <w:top w:val="single" w:sz="4" w:space="0" w:color="auto"/>
          <w:bottom w:val="single" w:sz="4" w:space="0" w:color="auto"/>
        </w:tblBorders>
        <w:tblLayout w:type="fixed"/>
        <w:tblLook w:val="04A0" w:firstRow="1" w:lastRow="0" w:firstColumn="1" w:lastColumn="0" w:noHBand="0" w:noVBand="1"/>
      </w:tblPr>
      <w:tblGrid>
        <w:gridCol w:w="3510"/>
        <w:gridCol w:w="2516"/>
        <w:gridCol w:w="2446"/>
        <w:gridCol w:w="1240"/>
      </w:tblGrid>
      <w:tr w:rsidR="00A01B2C" w:rsidRPr="00A01B2C" w:rsidTr="00CF50E0">
        <w:trPr>
          <w:trHeight w:val="549"/>
        </w:trPr>
        <w:tc>
          <w:tcPr>
            <w:tcW w:w="3510" w:type="dxa"/>
            <w:tcBorders>
              <w:top w:val="single" w:sz="4" w:space="0" w:color="auto"/>
              <w:bottom w:val="single" w:sz="4" w:space="0" w:color="auto"/>
            </w:tcBorders>
            <w:vAlign w:val="center"/>
          </w:tcPr>
          <w:p w:rsidR="00A01B2C" w:rsidRPr="00A01B2C" w:rsidRDefault="00A01B2C" w:rsidP="00CF50E0">
            <w:pPr>
              <w:snapToGrid w:val="0"/>
              <w:spacing w:after="0" w:line="360" w:lineRule="auto"/>
              <w:jc w:val="both"/>
              <w:rPr>
                <w:rFonts w:ascii="Book Antiqua" w:eastAsia="Times New Roman" w:hAnsi="Book Antiqua" w:cs="Tahoma"/>
                <w:sz w:val="24"/>
                <w:szCs w:val="24"/>
                <w:lang w:val="en-US" w:eastAsia="it-IT"/>
              </w:rPr>
            </w:pPr>
          </w:p>
        </w:tc>
        <w:tc>
          <w:tcPr>
            <w:tcW w:w="2516" w:type="dxa"/>
            <w:tcBorders>
              <w:top w:val="single" w:sz="4" w:space="0" w:color="auto"/>
              <w:bottom w:val="single" w:sz="4" w:space="0" w:color="auto"/>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t>OP pH–</w:t>
            </w:r>
          </w:p>
        </w:tc>
        <w:tc>
          <w:tcPr>
            <w:tcW w:w="2446" w:type="dxa"/>
            <w:tcBorders>
              <w:top w:val="single" w:sz="4" w:space="0" w:color="auto"/>
              <w:bottom w:val="single" w:sz="4" w:space="0" w:color="auto"/>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t>OP pH+</w:t>
            </w:r>
          </w:p>
        </w:tc>
        <w:tc>
          <w:tcPr>
            <w:tcW w:w="1240" w:type="dxa"/>
            <w:tcBorders>
              <w:top w:val="single" w:sz="4" w:space="0" w:color="auto"/>
              <w:bottom w:val="single" w:sz="4" w:space="0" w:color="auto"/>
            </w:tcBorders>
            <w:vAlign w:val="center"/>
            <w:hideMark/>
          </w:tcPr>
          <w:p w:rsidR="00A01B2C" w:rsidRPr="00A01B2C" w:rsidRDefault="00A01B2C" w:rsidP="00CF50E0">
            <w:pPr>
              <w:snapToGrid w:val="0"/>
              <w:spacing w:after="0" w:line="360" w:lineRule="auto"/>
              <w:jc w:val="center"/>
              <w:rPr>
                <w:rFonts w:ascii="Book Antiqua" w:hAnsi="Book Antiqua" w:cs="Tahoma"/>
                <w:b/>
                <w:sz w:val="24"/>
                <w:szCs w:val="24"/>
                <w:lang w:val="en-US" w:eastAsia="zh-CN"/>
              </w:rPr>
            </w:pPr>
            <w:r w:rsidRPr="00A01B2C">
              <w:rPr>
                <w:rFonts w:ascii="Book Antiqua" w:eastAsia="Times New Roman" w:hAnsi="Book Antiqua" w:cs="Tahoma"/>
                <w:b/>
                <w:i/>
                <w:sz w:val="24"/>
                <w:szCs w:val="24"/>
                <w:lang w:val="en-US" w:eastAsia="it-IT"/>
              </w:rPr>
              <w:t>P</w:t>
            </w:r>
            <w:r w:rsidRPr="00A01B2C">
              <w:rPr>
                <w:rFonts w:ascii="Book Antiqua" w:hAnsi="Book Antiqua" w:cs="Tahoma" w:hint="eastAsia"/>
                <w:b/>
                <w:sz w:val="24"/>
                <w:szCs w:val="24"/>
                <w:lang w:val="en-US" w:eastAsia="zh-CN"/>
              </w:rPr>
              <w:t xml:space="preserve"> value</w:t>
            </w:r>
          </w:p>
        </w:tc>
      </w:tr>
      <w:tr w:rsidR="00A01B2C" w:rsidRPr="00A01B2C" w:rsidTr="00CF50E0">
        <w:trPr>
          <w:trHeight w:val="487"/>
        </w:trPr>
        <w:tc>
          <w:tcPr>
            <w:tcW w:w="3510" w:type="dxa"/>
            <w:tcBorders>
              <w:top w:val="single" w:sz="4" w:space="0" w:color="auto"/>
            </w:tcBorders>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UES length (cm)</w:t>
            </w:r>
          </w:p>
        </w:tc>
        <w:tc>
          <w:tcPr>
            <w:tcW w:w="2516" w:type="dxa"/>
            <w:tcBorders>
              <w:top w:val="single" w:sz="4" w:space="0" w:color="auto"/>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4.2 (4.0-4.7)</w:t>
            </w:r>
          </w:p>
        </w:tc>
        <w:tc>
          <w:tcPr>
            <w:tcW w:w="2446" w:type="dxa"/>
            <w:tcBorders>
              <w:top w:val="single" w:sz="4" w:space="0" w:color="auto"/>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4.3 (4.1-4.8)</w:t>
            </w:r>
          </w:p>
        </w:tc>
        <w:tc>
          <w:tcPr>
            <w:tcW w:w="1240" w:type="dxa"/>
            <w:tcBorders>
              <w:top w:val="single" w:sz="4" w:space="0" w:color="auto"/>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p>
        </w:tc>
      </w:tr>
      <w:tr w:rsidR="00A01B2C" w:rsidRPr="00A01B2C" w:rsidTr="00CF50E0">
        <w:trPr>
          <w:trHeight w:val="478"/>
        </w:trPr>
        <w:tc>
          <w:tcPr>
            <w:tcW w:w="3510" w:type="dxa"/>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UES resting pressure (mmHg)</w:t>
            </w:r>
          </w:p>
        </w:tc>
        <w:tc>
          <w:tcPr>
            <w:tcW w:w="2516"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126.0</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(96.3-59.7)</w:t>
            </w:r>
          </w:p>
        </w:tc>
        <w:tc>
          <w:tcPr>
            <w:tcW w:w="2446"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71.0</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(60.8-110.6)</w:t>
            </w:r>
          </w:p>
        </w:tc>
        <w:tc>
          <w:tcPr>
            <w:tcW w:w="1240" w:type="dxa"/>
            <w:vAlign w:val="center"/>
            <w:hideMark/>
          </w:tcPr>
          <w:p w:rsidR="00A01B2C" w:rsidRPr="00A01B2C" w:rsidRDefault="00A01B2C" w:rsidP="00476D7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&lt; 0.05</w:t>
            </w:r>
          </w:p>
        </w:tc>
      </w:tr>
      <w:tr w:rsidR="00A01B2C" w:rsidRPr="00A01B2C" w:rsidTr="00CF50E0">
        <w:trPr>
          <w:trHeight w:val="546"/>
        </w:trPr>
        <w:tc>
          <w:tcPr>
            <w:tcW w:w="3510" w:type="dxa"/>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PCI (cm*mmHg*s)</w:t>
            </w:r>
          </w:p>
        </w:tc>
        <w:tc>
          <w:tcPr>
            <w:tcW w:w="2516"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313.5</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(243-489)</w:t>
            </w:r>
          </w:p>
        </w:tc>
        <w:tc>
          <w:tcPr>
            <w:tcW w:w="2446"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215.5</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(103-290)</w:t>
            </w:r>
          </w:p>
        </w:tc>
        <w:tc>
          <w:tcPr>
            <w:tcW w:w="1240" w:type="dxa"/>
            <w:vAlign w:val="center"/>
            <w:hideMark/>
          </w:tcPr>
          <w:p w:rsidR="00A01B2C" w:rsidRPr="00A01B2C" w:rsidRDefault="00A01B2C" w:rsidP="00476D7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&lt; 0.05</w:t>
            </w:r>
          </w:p>
        </w:tc>
      </w:tr>
      <w:tr w:rsidR="00A01B2C" w:rsidRPr="00A01B2C" w:rsidTr="00CF50E0">
        <w:trPr>
          <w:trHeight w:val="497"/>
        </w:trPr>
        <w:tc>
          <w:tcPr>
            <w:tcW w:w="3510" w:type="dxa"/>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DCI (cm*mmHg*s)</w:t>
            </w:r>
          </w:p>
        </w:tc>
        <w:tc>
          <w:tcPr>
            <w:tcW w:w="2516"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2612</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(1121-3195)</w:t>
            </w:r>
          </w:p>
        </w:tc>
        <w:tc>
          <w:tcPr>
            <w:tcW w:w="2446"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1540</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(951-2921)</w:t>
            </w:r>
          </w:p>
        </w:tc>
        <w:tc>
          <w:tcPr>
            <w:tcW w:w="1240"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p>
        </w:tc>
      </w:tr>
      <w:tr w:rsidR="00A01B2C" w:rsidRPr="00A01B2C" w:rsidTr="00CF50E0">
        <w:trPr>
          <w:trHeight w:val="418"/>
        </w:trPr>
        <w:tc>
          <w:tcPr>
            <w:tcW w:w="3510" w:type="dxa"/>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LES length (cm)</w:t>
            </w:r>
          </w:p>
        </w:tc>
        <w:tc>
          <w:tcPr>
            <w:tcW w:w="2516"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4.65</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(3.8-5.1)</w:t>
            </w:r>
          </w:p>
        </w:tc>
        <w:tc>
          <w:tcPr>
            <w:tcW w:w="2446"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5.15</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(4.1-5.5)</w:t>
            </w:r>
          </w:p>
        </w:tc>
        <w:tc>
          <w:tcPr>
            <w:tcW w:w="1240"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p>
        </w:tc>
      </w:tr>
      <w:tr w:rsidR="00A01B2C" w:rsidRPr="00A01B2C" w:rsidTr="00CF50E0">
        <w:trPr>
          <w:trHeight w:val="464"/>
        </w:trPr>
        <w:tc>
          <w:tcPr>
            <w:tcW w:w="3510" w:type="dxa"/>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LES resting pressure (mmHg)</w:t>
            </w:r>
          </w:p>
        </w:tc>
        <w:tc>
          <w:tcPr>
            <w:tcW w:w="2516"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28.0</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(19.8-34.1)</w:t>
            </w:r>
          </w:p>
        </w:tc>
        <w:tc>
          <w:tcPr>
            <w:tcW w:w="2446"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26.0</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(20.8-30.8)</w:t>
            </w:r>
          </w:p>
        </w:tc>
        <w:tc>
          <w:tcPr>
            <w:tcW w:w="1240"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p>
        </w:tc>
      </w:tr>
      <w:tr w:rsidR="00A01B2C" w:rsidRPr="00A01B2C" w:rsidTr="00CF50E0">
        <w:trPr>
          <w:trHeight w:val="538"/>
        </w:trPr>
        <w:tc>
          <w:tcPr>
            <w:tcW w:w="3510" w:type="dxa"/>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LES 4s-IRP (mmHg)</w:t>
            </w:r>
          </w:p>
        </w:tc>
        <w:tc>
          <w:tcPr>
            <w:tcW w:w="2516"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12.6</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(8.0-17.4)</w:t>
            </w:r>
          </w:p>
        </w:tc>
        <w:tc>
          <w:tcPr>
            <w:tcW w:w="2446"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14.2</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sz w:val="24"/>
                <w:szCs w:val="24"/>
                <w:lang w:val="en-US" w:eastAsia="it-IT"/>
              </w:rPr>
              <w:t>(11.4-19.1)</w:t>
            </w:r>
          </w:p>
        </w:tc>
        <w:tc>
          <w:tcPr>
            <w:tcW w:w="1240" w:type="dxa"/>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p>
        </w:tc>
      </w:tr>
    </w:tbl>
    <w:p w:rsidR="00A01B2C" w:rsidRPr="00A01B2C" w:rsidRDefault="00A01B2C" w:rsidP="00A01B2C">
      <w:pPr>
        <w:snapToGrid w:val="0"/>
        <w:spacing w:after="0" w:line="360" w:lineRule="auto"/>
        <w:jc w:val="both"/>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Data are presented as median and 95%CI. UES</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caps/>
          <w:sz w:val="24"/>
          <w:szCs w:val="24"/>
          <w:lang w:val="en-US" w:eastAsia="it-IT"/>
        </w:rPr>
        <w:t>u</w:t>
      </w:r>
      <w:r w:rsidRPr="00A01B2C">
        <w:rPr>
          <w:rFonts w:ascii="Book Antiqua" w:eastAsia="Times New Roman" w:hAnsi="Book Antiqua" w:cs="Tahoma"/>
          <w:sz w:val="24"/>
          <w:szCs w:val="24"/>
          <w:lang w:val="en-US" w:eastAsia="it-IT"/>
        </w:rPr>
        <w:t>pper esophageal sphincter; PCI</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caps/>
          <w:sz w:val="24"/>
          <w:szCs w:val="24"/>
          <w:lang w:val="en-US" w:eastAsia="it-IT"/>
        </w:rPr>
        <w:t>p</w:t>
      </w:r>
      <w:r w:rsidRPr="00A01B2C">
        <w:rPr>
          <w:rFonts w:ascii="Book Antiqua" w:eastAsia="Times New Roman" w:hAnsi="Book Antiqua" w:cs="Tahoma"/>
          <w:sz w:val="24"/>
          <w:szCs w:val="24"/>
          <w:lang w:val="en-US" w:eastAsia="it-IT"/>
        </w:rPr>
        <w:t>roximal contractile integral; DCI</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caps/>
          <w:sz w:val="24"/>
          <w:szCs w:val="24"/>
          <w:lang w:val="en-US" w:eastAsia="it-IT"/>
        </w:rPr>
        <w:t>d</w:t>
      </w:r>
      <w:r w:rsidRPr="00A01B2C">
        <w:rPr>
          <w:rFonts w:ascii="Book Antiqua" w:eastAsia="Times New Roman" w:hAnsi="Book Antiqua" w:cs="Tahoma"/>
          <w:sz w:val="24"/>
          <w:szCs w:val="24"/>
          <w:lang w:val="en-US" w:eastAsia="it-IT"/>
        </w:rPr>
        <w:t>istal contractile integral; LES</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caps/>
          <w:sz w:val="24"/>
          <w:szCs w:val="24"/>
          <w:lang w:val="en-US" w:eastAsia="it-IT"/>
        </w:rPr>
        <w:t>l</w:t>
      </w:r>
      <w:r w:rsidRPr="00A01B2C">
        <w:rPr>
          <w:rFonts w:ascii="Book Antiqua" w:eastAsia="Times New Roman" w:hAnsi="Book Antiqua" w:cs="Tahoma"/>
          <w:sz w:val="24"/>
          <w:szCs w:val="24"/>
          <w:lang w:val="en-US" w:eastAsia="it-IT"/>
        </w:rPr>
        <w:t>ower esophageal sphincter; IRP</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caps/>
          <w:sz w:val="24"/>
          <w:szCs w:val="24"/>
          <w:lang w:val="en-US" w:eastAsia="it-IT"/>
        </w:rPr>
        <w:t>i</w:t>
      </w:r>
      <w:r w:rsidRPr="00A01B2C">
        <w:rPr>
          <w:rFonts w:ascii="Book Antiqua" w:eastAsia="Times New Roman" w:hAnsi="Book Antiqua" w:cs="Tahoma"/>
          <w:sz w:val="24"/>
          <w:szCs w:val="24"/>
          <w:lang w:val="en-US" w:eastAsia="it-IT"/>
        </w:rPr>
        <w:t>ntegrated relaxation pressure.</w:t>
      </w:r>
    </w:p>
    <w:p w:rsidR="00A01B2C" w:rsidRPr="00A01B2C" w:rsidRDefault="00A01B2C" w:rsidP="00A01B2C">
      <w:pPr>
        <w:snapToGrid w:val="0"/>
        <w:spacing w:after="0" w:line="360" w:lineRule="auto"/>
        <w:jc w:val="both"/>
        <w:rPr>
          <w:rFonts w:ascii="Book Antiqua" w:eastAsia="Times New Roman" w:hAnsi="Book Antiqua" w:cs="Tahoma"/>
          <w:sz w:val="24"/>
          <w:szCs w:val="24"/>
          <w:lang w:val="en-US" w:eastAsia="it-IT"/>
        </w:rPr>
      </w:pPr>
    </w:p>
    <w:p w:rsidR="00A01B2C" w:rsidRPr="00A01B2C" w:rsidRDefault="00A01B2C" w:rsidP="00A01B2C">
      <w:pP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br w:type="page"/>
      </w:r>
    </w:p>
    <w:p w:rsidR="00A01B2C" w:rsidRPr="00A01B2C" w:rsidRDefault="00A01B2C" w:rsidP="00A01B2C">
      <w:pPr>
        <w:snapToGrid w:val="0"/>
        <w:spacing w:after="0" w:line="360" w:lineRule="auto"/>
        <w:jc w:val="both"/>
        <w:rPr>
          <w:rFonts w:ascii="Book Antiqua" w:eastAsia="Times New Roman" w:hAnsi="Book Antiqua" w:cs="Tahoma"/>
          <w:b/>
          <w:sz w:val="24"/>
          <w:szCs w:val="24"/>
          <w:lang w:val="en-US" w:eastAsia="it-IT"/>
          <w14:textOutline w14:w="5270" w14:cap="flat" w14:cmpd="sng" w14:algn="ctr">
            <w14:solidFill>
              <w14:schemeClr w14:val="accent1">
                <w14:shade w14:val="88000"/>
                <w14:satMod w14:val="110000"/>
              </w14:schemeClr>
            </w14:solidFill>
            <w14:prstDash w14:val="solid"/>
            <w14:round/>
          </w14:textOutline>
        </w:rPr>
      </w:pPr>
      <w:r w:rsidRPr="00A01B2C">
        <w:rPr>
          <w:rFonts w:ascii="Book Antiqua" w:eastAsia="Times New Roman" w:hAnsi="Book Antiqua" w:cs="Tahoma"/>
          <w:b/>
          <w:sz w:val="24"/>
          <w:szCs w:val="24"/>
          <w:lang w:val="en-US" w:eastAsia="it-IT"/>
        </w:rPr>
        <w:lastRenderedPageBreak/>
        <w:t>Table 3</w:t>
      </w:r>
      <w:r w:rsidRPr="00A01B2C">
        <w:rPr>
          <w:rFonts w:ascii="Book Antiqua" w:hAnsi="Book Antiqua" w:cs="Tahoma" w:hint="eastAsia"/>
          <w:b/>
          <w:sz w:val="24"/>
          <w:szCs w:val="24"/>
          <w:lang w:val="en-US" w:eastAsia="zh-CN"/>
        </w:rPr>
        <w:t xml:space="preserve"> </w:t>
      </w:r>
      <w:r w:rsidRPr="00A01B2C">
        <w:rPr>
          <w:rFonts w:ascii="Book Antiqua" w:eastAsia="Times New Roman" w:hAnsi="Book Antiqua" w:cs="Tahoma"/>
          <w:b/>
          <w:sz w:val="24"/>
          <w:szCs w:val="24"/>
          <w:lang w:val="en-US" w:eastAsia="it-IT"/>
        </w:rPr>
        <w:t>Contraction patterns</w:t>
      </w:r>
    </w:p>
    <w:tbl>
      <w:tblPr>
        <w:tblW w:w="5000" w:type="pct"/>
        <w:tblBorders>
          <w:top w:val="single" w:sz="4" w:space="0" w:color="auto"/>
          <w:bottom w:val="single" w:sz="4" w:space="0" w:color="auto"/>
        </w:tblBorders>
        <w:tblLook w:val="04A0" w:firstRow="1" w:lastRow="0" w:firstColumn="1" w:lastColumn="0" w:noHBand="0" w:noVBand="1"/>
      </w:tblPr>
      <w:tblGrid>
        <w:gridCol w:w="3602"/>
        <w:gridCol w:w="2576"/>
        <w:gridCol w:w="2578"/>
        <w:gridCol w:w="1212"/>
      </w:tblGrid>
      <w:tr w:rsidR="00A01B2C" w:rsidRPr="00A01B2C" w:rsidTr="00CF50E0">
        <w:trPr>
          <w:trHeight w:hRule="exact" w:val="710"/>
        </w:trPr>
        <w:tc>
          <w:tcPr>
            <w:tcW w:w="1807" w:type="pct"/>
            <w:tcBorders>
              <w:top w:val="single" w:sz="4" w:space="0" w:color="auto"/>
              <w:bottom w:val="single" w:sz="4" w:space="0" w:color="auto"/>
            </w:tcBorders>
          </w:tcPr>
          <w:p w:rsidR="00A01B2C" w:rsidRPr="00A01B2C" w:rsidRDefault="00A01B2C" w:rsidP="00CF50E0">
            <w:pPr>
              <w:snapToGrid w:val="0"/>
              <w:spacing w:after="0" w:line="360" w:lineRule="auto"/>
              <w:jc w:val="both"/>
              <w:rPr>
                <w:rFonts w:ascii="Book Antiqua" w:eastAsia="Times New Roman" w:hAnsi="Book Antiqua" w:cs="Tahoma"/>
                <w:b/>
                <w:sz w:val="24"/>
                <w:szCs w:val="24"/>
                <w:lang w:val="en-US" w:eastAsia="it-IT"/>
              </w:rPr>
            </w:pPr>
          </w:p>
        </w:tc>
        <w:tc>
          <w:tcPr>
            <w:tcW w:w="1292" w:type="pct"/>
            <w:tcBorders>
              <w:top w:val="single" w:sz="4" w:space="0" w:color="auto"/>
              <w:bottom w:val="single" w:sz="4" w:space="0" w:color="auto"/>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t>OP pH–</w:t>
            </w:r>
          </w:p>
        </w:tc>
        <w:tc>
          <w:tcPr>
            <w:tcW w:w="1293" w:type="pct"/>
            <w:tcBorders>
              <w:top w:val="single" w:sz="4" w:space="0" w:color="auto"/>
              <w:bottom w:val="single" w:sz="4" w:space="0" w:color="auto"/>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b/>
                <w:sz w:val="24"/>
                <w:szCs w:val="24"/>
                <w:lang w:val="en-US" w:eastAsia="it-IT"/>
              </w:rPr>
            </w:pPr>
            <w:r w:rsidRPr="00A01B2C">
              <w:rPr>
                <w:rFonts w:ascii="Book Antiqua" w:eastAsia="Times New Roman" w:hAnsi="Book Antiqua" w:cs="Tahoma"/>
                <w:b/>
                <w:sz w:val="24"/>
                <w:szCs w:val="24"/>
                <w:lang w:val="en-US" w:eastAsia="it-IT"/>
              </w:rPr>
              <w:t>OP pH+</w:t>
            </w:r>
          </w:p>
        </w:tc>
        <w:tc>
          <w:tcPr>
            <w:tcW w:w="608" w:type="pct"/>
            <w:tcBorders>
              <w:top w:val="single" w:sz="4" w:space="0" w:color="auto"/>
              <w:bottom w:val="single" w:sz="4" w:space="0" w:color="auto"/>
            </w:tcBorders>
            <w:vAlign w:val="center"/>
            <w:hideMark/>
          </w:tcPr>
          <w:p w:rsidR="00A01B2C" w:rsidRPr="00A01B2C" w:rsidRDefault="00A01B2C" w:rsidP="00CF50E0">
            <w:pPr>
              <w:snapToGrid w:val="0"/>
              <w:spacing w:after="0" w:line="360" w:lineRule="auto"/>
              <w:jc w:val="center"/>
              <w:rPr>
                <w:rFonts w:ascii="Book Antiqua" w:hAnsi="Book Antiqua" w:cs="Tahoma"/>
                <w:b/>
                <w:sz w:val="24"/>
                <w:szCs w:val="24"/>
                <w:lang w:val="en-US" w:eastAsia="zh-CN"/>
              </w:rPr>
            </w:pPr>
            <w:r w:rsidRPr="00A01B2C">
              <w:rPr>
                <w:rFonts w:ascii="Book Antiqua" w:eastAsia="Times New Roman" w:hAnsi="Book Antiqua" w:cs="Tahoma"/>
                <w:b/>
                <w:i/>
                <w:sz w:val="24"/>
                <w:szCs w:val="24"/>
                <w:lang w:val="en-US" w:eastAsia="it-IT"/>
              </w:rPr>
              <w:t>P</w:t>
            </w:r>
            <w:r w:rsidRPr="00A01B2C">
              <w:rPr>
                <w:rFonts w:ascii="Book Antiqua" w:hAnsi="Book Antiqua" w:cs="Tahoma" w:hint="eastAsia"/>
                <w:b/>
                <w:sz w:val="24"/>
                <w:szCs w:val="24"/>
                <w:lang w:val="en-US" w:eastAsia="zh-CN"/>
              </w:rPr>
              <w:t xml:space="preserve"> value</w:t>
            </w:r>
          </w:p>
        </w:tc>
      </w:tr>
      <w:tr w:rsidR="00A01B2C" w:rsidRPr="00A01B2C" w:rsidTr="00CF50E0">
        <w:trPr>
          <w:trHeight w:hRule="exact" w:val="423"/>
        </w:trPr>
        <w:tc>
          <w:tcPr>
            <w:tcW w:w="1807" w:type="pct"/>
            <w:tcBorders>
              <w:top w:val="single" w:sz="4" w:space="0" w:color="auto"/>
            </w:tcBorders>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No. of correct swallows</w:t>
            </w:r>
          </w:p>
        </w:tc>
        <w:tc>
          <w:tcPr>
            <w:tcW w:w="1292" w:type="pct"/>
            <w:tcBorders>
              <w:top w:val="single" w:sz="4" w:space="0" w:color="auto"/>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184</w:t>
            </w:r>
          </w:p>
        </w:tc>
        <w:tc>
          <w:tcPr>
            <w:tcW w:w="1293" w:type="pct"/>
            <w:tcBorders>
              <w:top w:val="single" w:sz="4" w:space="0" w:color="auto"/>
            </w:tcBorders>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240</w:t>
            </w:r>
          </w:p>
        </w:tc>
        <w:tc>
          <w:tcPr>
            <w:tcW w:w="608" w:type="pct"/>
            <w:tcBorders>
              <w:top w:val="single" w:sz="4" w:space="0" w:color="auto"/>
            </w:tcBorders>
            <w:vAlign w:val="center"/>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p>
        </w:tc>
      </w:tr>
      <w:tr w:rsidR="00A01B2C" w:rsidRPr="00A01B2C" w:rsidTr="00CF50E0">
        <w:trPr>
          <w:trHeight w:hRule="exact" w:val="856"/>
        </w:trPr>
        <w:tc>
          <w:tcPr>
            <w:tcW w:w="1807" w:type="pct"/>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No. of peristaltic contractions (without breaks) (%)</w:t>
            </w:r>
          </w:p>
        </w:tc>
        <w:tc>
          <w:tcPr>
            <w:tcW w:w="1292" w:type="pct"/>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154/182 (84.61%)</w:t>
            </w:r>
          </w:p>
        </w:tc>
        <w:tc>
          <w:tcPr>
            <w:tcW w:w="1293" w:type="pct"/>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144/235 (61.27%)</w:t>
            </w:r>
          </w:p>
        </w:tc>
        <w:tc>
          <w:tcPr>
            <w:tcW w:w="608" w:type="pct"/>
            <w:vAlign w:val="center"/>
            <w:hideMark/>
          </w:tcPr>
          <w:p w:rsidR="00A01B2C" w:rsidRPr="00A01B2C" w:rsidRDefault="00476D70" w:rsidP="00CF50E0">
            <w:pPr>
              <w:snapToGrid w:val="0"/>
              <w:spacing w:after="0" w:line="360" w:lineRule="auto"/>
              <w:jc w:val="center"/>
              <w:rPr>
                <w:rFonts w:ascii="Book Antiqua" w:eastAsia="Times New Roman" w:hAnsi="Book Antiqua" w:cs="Tahoma"/>
                <w:sz w:val="24"/>
                <w:szCs w:val="24"/>
                <w:lang w:val="en-US" w:eastAsia="it-IT"/>
              </w:rPr>
            </w:pPr>
            <w:r>
              <w:rPr>
                <w:rFonts w:ascii="Book Antiqua" w:hAnsi="Book Antiqua" w:cs="Tahoma" w:hint="eastAsia"/>
                <w:sz w:val="24"/>
                <w:szCs w:val="24"/>
                <w:lang w:val="en-US" w:eastAsia="zh-CN"/>
              </w:rPr>
              <w:t xml:space="preserve"> </w:t>
            </w:r>
            <w:r w:rsidR="00A01B2C" w:rsidRPr="00A01B2C">
              <w:rPr>
                <w:rFonts w:ascii="Book Antiqua" w:eastAsia="Times New Roman" w:hAnsi="Book Antiqua" w:cs="Tahoma"/>
                <w:sz w:val="24"/>
                <w:szCs w:val="24"/>
                <w:lang w:val="en-US" w:eastAsia="it-IT"/>
              </w:rPr>
              <w:t>&lt;</w:t>
            </w:r>
            <w:r w:rsidR="002E479A">
              <w:rPr>
                <w:rFonts w:ascii="Book Antiqua" w:hAnsi="Book Antiqua" w:cs="Tahoma" w:hint="eastAsia"/>
                <w:sz w:val="24"/>
                <w:szCs w:val="24"/>
                <w:lang w:val="en-US" w:eastAsia="zh-CN"/>
              </w:rPr>
              <w:t xml:space="preserve"> </w:t>
            </w:r>
            <w:r w:rsidR="00A01B2C" w:rsidRPr="00A01B2C">
              <w:rPr>
                <w:rFonts w:ascii="Book Antiqua" w:eastAsia="Times New Roman" w:hAnsi="Book Antiqua" w:cs="Tahoma"/>
                <w:sz w:val="24"/>
                <w:szCs w:val="24"/>
                <w:lang w:val="en-US" w:eastAsia="it-IT"/>
              </w:rPr>
              <w:t>0.01</w:t>
            </w:r>
          </w:p>
        </w:tc>
      </w:tr>
      <w:tr w:rsidR="00A01B2C" w:rsidRPr="00A01B2C" w:rsidTr="00CF50E0">
        <w:trPr>
          <w:trHeight w:hRule="exact" w:val="568"/>
        </w:trPr>
        <w:tc>
          <w:tcPr>
            <w:tcW w:w="1807" w:type="pct"/>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 xml:space="preserve">No. of failed contractions </w:t>
            </w:r>
          </w:p>
        </w:tc>
        <w:tc>
          <w:tcPr>
            <w:tcW w:w="1292" w:type="pct"/>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2/184 (1.08%)</w:t>
            </w:r>
          </w:p>
        </w:tc>
        <w:tc>
          <w:tcPr>
            <w:tcW w:w="1293" w:type="pct"/>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5/240 (2.08%)</w:t>
            </w:r>
          </w:p>
        </w:tc>
        <w:tc>
          <w:tcPr>
            <w:tcW w:w="608" w:type="pct"/>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p>
        </w:tc>
      </w:tr>
      <w:tr w:rsidR="00A01B2C" w:rsidRPr="00A01B2C" w:rsidTr="00CF50E0">
        <w:trPr>
          <w:trHeight w:hRule="exact" w:val="849"/>
        </w:trPr>
        <w:tc>
          <w:tcPr>
            <w:tcW w:w="1807" w:type="pct"/>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No. of peristaltic contractions with small breaks (%)</w:t>
            </w:r>
          </w:p>
        </w:tc>
        <w:tc>
          <w:tcPr>
            <w:tcW w:w="1292" w:type="pct"/>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21/182 (11.95%)</w:t>
            </w:r>
          </w:p>
        </w:tc>
        <w:tc>
          <w:tcPr>
            <w:tcW w:w="1293" w:type="pct"/>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68/235 (28.93%)</w:t>
            </w:r>
          </w:p>
        </w:tc>
        <w:tc>
          <w:tcPr>
            <w:tcW w:w="608" w:type="pct"/>
            <w:vAlign w:val="center"/>
            <w:hideMark/>
          </w:tcPr>
          <w:p w:rsidR="00A01B2C" w:rsidRPr="00A01B2C" w:rsidRDefault="00476D70" w:rsidP="00CF50E0">
            <w:pPr>
              <w:snapToGrid w:val="0"/>
              <w:spacing w:after="0" w:line="360" w:lineRule="auto"/>
              <w:jc w:val="center"/>
              <w:rPr>
                <w:rFonts w:ascii="Book Antiqua" w:eastAsia="Times New Roman" w:hAnsi="Book Antiqua" w:cs="Tahoma"/>
                <w:sz w:val="24"/>
                <w:szCs w:val="24"/>
                <w:lang w:val="en-US" w:eastAsia="it-IT"/>
              </w:rPr>
            </w:pPr>
            <w:r>
              <w:rPr>
                <w:rFonts w:ascii="Book Antiqua" w:hAnsi="Book Antiqua" w:cs="Tahoma" w:hint="eastAsia"/>
                <w:sz w:val="24"/>
                <w:szCs w:val="24"/>
                <w:lang w:val="en-US" w:eastAsia="zh-CN"/>
              </w:rPr>
              <w:t xml:space="preserve"> </w:t>
            </w:r>
            <w:r w:rsidR="00C43ACC" w:rsidRPr="00A01B2C">
              <w:rPr>
                <w:rFonts w:ascii="Book Antiqua" w:eastAsia="Times New Roman" w:hAnsi="Book Antiqua" w:cs="Tahoma"/>
                <w:sz w:val="24"/>
                <w:szCs w:val="24"/>
                <w:lang w:val="en-US" w:eastAsia="it-IT"/>
              </w:rPr>
              <w:t>&lt;</w:t>
            </w:r>
            <w:r w:rsidR="00C43ACC">
              <w:rPr>
                <w:rFonts w:ascii="Book Antiqua" w:hAnsi="Book Antiqua" w:cs="Tahoma" w:hint="eastAsia"/>
                <w:sz w:val="24"/>
                <w:szCs w:val="24"/>
                <w:lang w:val="en-US" w:eastAsia="zh-CN"/>
              </w:rPr>
              <w:t xml:space="preserve"> </w:t>
            </w:r>
            <w:r w:rsidR="00C43ACC" w:rsidRPr="00A01B2C">
              <w:rPr>
                <w:rFonts w:ascii="Book Antiqua" w:eastAsia="Times New Roman" w:hAnsi="Book Antiqua" w:cs="Tahoma"/>
                <w:sz w:val="24"/>
                <w:szCs w:val="24"/>
                <w:lang w:val="en-US" w:eastAsia="it-IT"/>
              </w:rPr>
              <w:t>0.01</w:t>
            </w:r>
          </w:p>
        </w:tc>
      </w:tr>
      <w:tr w:rsidR="00A01B2C" w:rsidRPr="00A01B2C" w:rsidTr="00CF50E0">
        <w:trPr>
          <w:trHeight w:hRule="exact" w:val="848"/>
        </w:trPr>
        <w:tc>
          <w:tcPr>
            <w:tcW w:w="1807" w:type="pct"/>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No. of peristaltic contractions with large breaks (%)</w:t>
            </w:r>
          </w:p>
        </w:tc>
        <w:tc>
          <w:tcPr>
            <w:tcW w:w="1292" w:type="pct"/>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7/182 (3.84%)</w:t>
            </w:r>
          </w:p>
        </w:tc>
        <w:tc>
          <w:tcPr>
            <w:tcW w:w="1293" w:type="pct"/>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23/235 (9.78%)</w:t>
            </w:r>
          </w:p>
        </w:tc>
        <w:tc>
          <w:tcPr>
            <w:tcW w:w="608" w:type="pct"/>
            <w:vAlign w:val="center"/>
            <w:hideMark/>
          </w:tcPr>
          <w:p w:rsidR="00A01B2C" w:rsidRPr="00A01B2C" w:rsidRDefault="00476D70" w:rsidP="00CF50E0">
            <w:pPr>
              <w:snapToGrid w:val="0"/>
              <w:spacing w:after="0" w:line="360" w:lineRule="auto"/>
              <w:jc w:val="center"/>
              <w:rPr>
                <w:rFonts w:ascii="Book Antiqua" w:eastAsia="Times New Roman" w:hAnsi="Book Antiqua" w:cs="Tahoma"/>
                <w:sz w:val="24"/>
                <w:szCs w:val="24"/>
                <w:lang w:val="en-US" w:eastAsia="it-IT"/>
              </w:rPr>
            </w:pPr>
            <w:r>
              <w:rPr>
                <w:rFonts w:ascii="Book Antiqua" w:hAnsi="Book Antiqua" w:cs="Tahoma" w:hint="eastAsia"/>
                <w:sz w:val="24"/>
                <w:szCs w:val="24"/>
                <w:lang w:val="en-US" w:eastAsia="zh-CN"/>
              </w:rPr>
              <w:t xml:space="preserve"> </w:t>
            </w:r>
            <w:r w:rsidR="00C43ACC" w:rsidRPr="00A01B2C">
              <w:rPr>
                <w:rFonts w:ascii="Book Antiqua" w:eastAsia="Times New Roman" w:hAnsi="Book Antiqua" w:cs="Tahoma"/>
                <w:sz w:val="24"/>
                <w:szCs w:val="24"/>
                <w:lang w:val="en-US" w:eastAsia="it-IT"/>
              </w:rPr>
              <w:t>&lt;</w:t>
            </w:r>
            <w:r w:rsidR="00C43ACC">
              <w:rPr>
                <w:rFonts w:ascii="Book Antiqua" w:hAnsi="Book Antiqua" w:cs="Tahoma" w:hint="eastAsia"/>
                <w:sz w:val="24"/>
                <w:szCs w:val="24"/>
                <w:lang w:val="en-US" w:eastAsia="zh-CN"/>
              </w:rPr>
              <w:t xml:space="preserve"> </w:t>
            </w:r>
            <w:r w:rsidR="00C43ACC" w:rsidRPr="00A01B2C">
              <w:rPr>
                <w:rFonts w:ascii="Book Antiqua" w:eastAsia="Times New Roman" w:hAnsi="Book Antiqua" w:cs="Tahoma"/>
                <w:sz w:val="24"/>
                <w:szCs w:val="24"/>
                <w:lang w:val="en-US" w:eastAsia="it-IT"/>
              </w:rPr>
              <w:t>0.01</w:t>
            </w:r>
          </w:p>
        </w:tc>
      </w:tr>
      <w:tr w:rsidR="00A01B2C" w:rsidRPr="00A01B2C" w:rsidTr="00CF50E0">
        <w:trPr>
          <w:trHeight w:hRule="exact" w:val="562"/>
        </w:trPr>
        <w:tc>
          <w:tcPr>
            <w:tcW w:w="1807" w:type="pct"/>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 xml:space="preserve">No. of premature contractions </w:t>
            </w:r>
          </w:p>
        </w:tc>
        <w:tc>
          <w:tcPr>
            <w:tcW w:w="1292" w:type="pct"/>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0</w:t>
            </w:r>
          </w:p>
        </w:tc>
        <w:tc>
          <w:tcPr>
            <w:tcW w:w="1293" w:type="pct"/>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0</w:t>
            </w:r>
          </w:p>
        </w:tc>
        <w:tc>
          <w:tcPr>
            <w:tcW w:w="608" w:type="pct"/>
            <w:vAlign w:val="center"/>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p>
        </w:tc>
      </w:tr>
      <w:tr w:rsidR="00A01B2C" w:rsidRPr="00A01B2C" w:rsidTr="00CF50E0">
        <w:trPr>
          <w:trHeight w:hRule="exact" w:val="556"/>
        </w:trPr>
        <w:tc>
          <w:tcPr>
            <w:tcW w:w="1807" w:type="pct"/>
            <w:vAlign w:val="center"/>
            <w:hideMark/>
          </w:tcPr>
          <w:p w:rsidR="00A01B2C" w:rsidRPr="00A01B2C" w:rsidRDefault="00A01B2C" w:rsidP="00CF50E0">
            <w:pPr>
              <w:snapToGrid w:val="0"/>
              <w:spacing w:after="0" w:line="360" w:lineRule="auto"/>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No. of rapid contractions</w:t>
            </w:r>
          </w:p>
        </w:tc>
        <w:tc>
          <w:tcPr>
            <w:tcW w:w="1292" w:type="pct"/>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0</w:t>
            </w:r>
          </w:p>
        </w:tc>
        <w:tc>
          <w:tcPr>
            <w:tcW w:w="1293" w:type="pct"/>
            <w:vAlign w:val="center"/>
            <w:hideMark/>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r w:rsidRPr="00A01B2C">
              <w:rPr>
                <w:rFonts w:ascii="Book Antiqua" w:eastAsia="Times New Roman" w:hAnsi="Book Antiqua" w:cs="Tahoma"/>
                <w:sz w:val="24"/>
                <w:szCs w:val="24"/>
                <w:lang w:val="en-US" w:eastAsia="it-IT"/>
              </w:rPr>
              <w:t>0</w:t>
            </w:r>
          </w:p>
        </w:tc>
        <w:tc>
          <w:tcPr>
            <w:tcW w:w="608" w:type="pct"/>
            <w:vAlign w:val="center"/>
          </w:tcPr>
          <w:p w:rsidR="00A01B2C" w:rsidRPr="00A01B2C" w:rsidRDefault="00A01B2C" w:rsidP="00CF50E0">
            <w:pPr>
              <w:snapToGrid w:val="0"/>
              <w:spacing w:after="0" w:line="360" w:lineRule="auto"/>
              <w:jc w:val="center"/>
              <w:rPr>
                <w:rFonts w:ascii="Book Antiqua" w:eastAsia="Times New Roman" w:hAnsi="Book Antiqua" w:cs="Tahoma"/>
                <w:sz w:val="24"/>
                <w:szCs w:val="24"/>
                <w:lang w:val="en-US" w:eastAsia="it-IT"/>
              </w:rPr>
            </w:pPr>
          </w:p>
        </w:tc>
      </w:tr>
    </w:tbl>
    <w:p w:rsidR="00A01B2C" w:rsidRPr="00A01B2C" w:rsidRDefault="00A01B2C" w:rsidP="00A01B2C">
      <w:pPr>
        <w:snapToGrid w:val="0"/>
        <w:spacing w:after="0" w:line="360" w:lineRule="auto"/>
        <w:jc w:val="both"/>
        <w:rPr>
          <w:rFonts w:ascii="Book Antiqua" w:hAnsi="Book Antiqua" w:cs="Tahoma"/>
          <w:sz w:val="24"/>
          <w:szCs w:val="24"/>
          <w:lang w:val="en-US" w:eastAsia="zh-CN"/>
        </w:rPr>
      </w:pPr>
      <w:r w:rsidRPr="00A01B2C">
        <w:rPr>
          <w:rFonts w:ascii="Book Antiqua" w:eastAsia="Times New Roman" w:hAnsi="Book Antiqua" w:cs="Tahoma"/>
          <w:sz w:val="24"/>
          <w:szCs w:val="24"/>
          <w:lang w:val="en-US" w:eastAsia="it-IT"/>
        </w:rPr>
        <w:t>Normal (OP pH–) or pathological (OP pH+)</w:t>
      </w:r>
      <w:r w:rsidRPr="00A01B2C">
        <w:rPr>
          <w:rFonts w:ascii="Book Antiqua" w:hAnsi="Book Antiqua" w:cs="Tahoma" w:hint="eastAsia"/>
          <w:sz w:val="24"/>
          <w:szCs w:val="24"/>
          <w:lang w:val="en-US" w:eastAsia="zh-CN"/>
        </w:rPr>
        <w:t>.</w:t>
      </w:r>
      <w:r w:rsidRPr="00A01B2C">
        <w:rPr>
          <w:rFonts w:ascii="Book Antiqua" w:eastAsia="Times New Roman" w:hAnsi="Book Antiqua" w:cs="Tahoma"/>
          <w:sz w:val="24"/>
          <w:szCs w:val="24"/>
          <w:lang w:val="en-US" w:eastAsia="it-IT"/>
        </w:rPr>
        <w:t xml:space="preserve"> OP</w:t>
      </w:r>
      <w:r w:rsidRPr="00A01B2C">
        <w:rPr>
          <w:rFonts w:ascii="Book Antiqua" w:hAnsi="Book Antiqua" w:cs="Tahoma" w:hint="eastAsia"/>
          <w:sz w:val="24"/>
          <w:szCs w:val="24"/>
          <w:lang w:val="en-US" w:eastAsia="zh-CN"/>
        </w:rPr>
        <w:t xml:space="preserve">: </w:t>
      </w:r>
      <w:r w:rsidRPr="00A01B2C">
        <w:rPr>
          <w:rFonts w:ascii="Book Antiqua" w:eastAsia="Times New Roman" w:hAnsi="Book Antiqua" w:cs="Tahoma"/>
          <w:caps/>
          <w:sz w:val="24"/>
          <w:szCs w:val="24"/>
          <w:lang w:val="en-US" w:eastAsia="it-IT"/>
        </w:rPr>
        <w:t>o</w:t>
      </w:r>
      <w:r w:rsidRPr="00A01B2C">
        <w:rPr>
          <w:rFonts w:ascii="Book Antiqua" w:eastAsia="Times New Roman" w:hAnsi="Book Antiqua" w:cs="Tahoma"/>
          <w:sz w:val="24"/>
          <w:szCs w:val="24"/>
          <w:lang w:val="en-US" w:eastAsia="it-IT"/>
        </w:rPr>
        <w:t>ropharyngeal</w:t>
      </w:r>
      <w:r w:rsidRPr="00A01B2C">
        <w:rPr>
          <w:rFonts w:ascii="Book Antiqua" w:hAnsi="Book Antiqua" w:cs="Tahoma" w:hint="eastAsia"/>
          <w:sz w:val="24"/>
          <w:szCs w:val="24"/>
          <w:lang w:val="en-US" w:eastAsia="zh-CN"/>
        </w:rPr>
        <w:t>.</w:t>
      </w:r>
    </w:p>
    <w:p w:rsidR="001D2D77" w:rsidRPr="00A01B2C" w:rsidRDefault="001D2D77" w:rsidP="006D687B">
      <w:pPr>
        <w:autoSpaceDE w:val="0"/>
        <w:autoSpaceDN w:val="0"/>
        <w:adjustRightInd w:val="0"/>
        <w:snapToGrid w:val="0"/>
        <w:spacing w:after="0" w:line="360" w:lineRule="auto"/>
        <w:jc w:val="both"/>
        <w:rPr>
          <w:rFonts w:ascii="Book Antiqua" w:hAnsi="Book Antiqua" w:cs="Tahoma"/>
          <w:b/>
          <w:sz w:val="24"/>
          <w:szCs w:val="24"/>
          <w:lang w:val="en-US" w:eastAsia="zh-CN"/>
        </w:rPr>
      </w:pPr>
    </w:p>
    <w:sectPr w:rsidR="001D2D77" w:rsidRPr="00A01B2C" w:rsidSect="000A1DA1">
      <w:headerReference w:type="default" r:id="rId25"/>
      <w:pgSz w:w="11906" w:h="16838"/>
      <w:pgMar w:top="1021" w:right="1077" w:bottom="1021"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AC1" w:rsidRDefault="00EE6AC1" w:rsidP="004063E6">
      <w:pPr>
        <w:spacing w:after="0" w:line="240" w:lineRule="auto"/>
      </w:pPr>
      <w:r>
        <w:separator/>
      </w:r>
    </w:p>
  </w:endnote>
  <w:endnote w:type="continuationSeparator" w:id="0">
    <w:p w:rsidR="00EE6AC1" w:rsidRDefault="00EE6AC1" w:rsidP="00406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AC1" w:rsidRDefault="00EE6AC1" w:rsidP="004063E6">
      <w:pPr>
        <w:spacing w:after="0" w:line="240" w:lineRule="auto"/>
      </w:pPr>
      <w:r>
        <w:separator/>
      </w:r>
    </w:p>
  </w:footnote>
  <w:footnote w:type="continuationSeparator" w:id="0">
    <w:p w:rsidR="00EE6AC1" w:rsidRDefault="00EE6AC1" w:rsidP="004063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1199136"/>
      <w:docPartObj>
        <w:docPartGallery w:val="Page Numbers (Top of Page)"/>
        <w:docPartUnique/>
      </w:docPartObj>
    </w:sdtPr>
    <w:sdtEndPr/>
    <w:sdtContent>
      <w:p w:rsidR="00FE4B6C" w:rsidRDefault="00FE4B6C" w:rsidP="00512FAB">
        <w:pPr>
          <w:pStyle w:val="Header"/>
          <w:jc w:val="right"/>
        </w:pPr>
        <w:r>
          <w:fldChar w:fldCharType="begin"/>
        </w:r>
        <w:r>
          <w:instrText>PAGE   \* MERGEFORMAT</w:instrText>
        </w:r>
        <w:r>
          <w:fldChar w:fldCharType="separate"/>
        </w:r>
        <w:r w:rsidR="00B653BC">
          <w:rPr>
            <w:noProof/>
          </w:rPr>
          <w:t>24</w:t>
        </w:r>
        <w: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F35"/>
    <w:rsid w:val="00000D26"/>
    <w:rsid w:val="00001C06"/>
    <w:rsid w:val="0001311A"/>
    <w:rsid w:val="00013317"/>
    <w:rsid w:val="00015C55"/>
    <w:rsid w:val="00015D02"/>
    <w:rsid w:val="00020E7D"/>
    <w:rsid w:val="00025DA7"/>
    <w:rsid w:val="000261C8"/>
    <w:rsid w:val="00026C3B"/>
    <w:rsid w:val="00033901"/>
    <w:rsid w:val="000349CA"/>
    <w:rsid w:val="000371EF"/>
    <w:rsid w:val="00037738"/>
    <w:rsid w:val="000443FE"/>
    <w:rsid w:val="000534AE"/>
    <w:rsid w:val="00054552"/>
    <w:rsid w:val="00060D55"/>
    <w:rsid w:val="00061E26"/>
    <w:rsid w:val="0006317A"/>
    <w:rsid w:val="00064339"/>
    <w:rsid w:val="000664AD"/>
    <w:rsid w:val="00066F74"/>
    <w:rsid w:val="0007118C"/>
    <w:rsid w:val="00074433"/>
    <w:rsid w:val="000752C6"/>
    <w:rsid w:val="0007681B"/>
    <w:rsid w:val="00076EC0"/>
    <w:rsid w:val="00077116"/>
    <w:rsid w:val="00077706"/>
    <w:rsid w:val="00083999"/>
    <w:rsid w:val="000869FE"/>
    <w:rsid w:val="000907D4"/>
    <w:rsid w:val="00091524"/>
    <w:rsid w:val="000925E9"/>
    <w:rsid w:val="000A1DA1"/>
    <w:rsid w:val="000A3B3C"/>
    <w:rsid w:val="000A5ABF"/>
    <w:rsid w:val="000A6B32"/>
    <w:rsid w:val="000A7E2A"/>
    <w:rsid w:val="000B5F1A"/>
    <w:rsid w:val="000B695B"/>
    <w:rsid w:val="000E3BC0"/>
    <w:rsid w:val="000E47CE"/>
    <w:rsid w:val="000E7036"/>
    <w:rsid w:val="000F1380"/>
    <w:rsid w:val="00105423"/>
    <w:rsid w:val="00105D99"/>
    <w:rsid w:val="00107B14"/>
    <w:rsid w:val="0011598A"/>
    <w:rsid w:val="00121BB5"/>
    <w:rsid w:val="001228F5"/>
    <w:rsid w:val="00126617"/>
    <w:rsid w:val="00130C3A"/>
    <w:rsid w:val="00132A3C"/>
    <w:rsid w:val="001355CD"/>
    <w:rsid w:val="001422BE"/>
    <w:rsid w:val="00142A3F"/>
    <w:rsid w:val="00144BA8"/>
    <w:rsid w:val="001522C7"/>
    <w:rsid w:val="00153856"/>
    <w:rsid w:val="00171ECE"/>
    <w:rsid w:val="001725B0"/>
    <w:rsid w:val="00176AB3"/>
    <w:rsid w:val="0018341C"/>
    <w:rsid w:val="00186197"/>
    <w:rsid w:val="00197267"/>
    <w:rsid w:val="00197E12"/>
    <w:rsid w:val="001A3CE5"/>
    <w:rsid w:val="001B52F0"/>
    <w:rsid w:val="001B5AC2"/>
    <w:rsid w:val="001B6337"/>
    <w:rsid w:val="001B7078"/>
    <w:rsid w:val="001B720C"/>
    <w:rsid w:val="001B79A2"/>
    <w:rsid w:val="001C2C14"/>
    <w:rsid w:val="001C493C"/>
    <w:rsid w:val="001C613B"/>
    <w:rsid w:val="001D1605"/>
    <w:rsid w:val="001D2D77"/>
    <w:rsid w:val="001D3897"/>
    <w:rsid w:val="001E0F10"/>
    <w:rsid w:val="001E23C7"/>
    <w:rsid w:val="001E25A3"/>
    <w:rsid w:val="001E3B1D"/>
    <w:rsid w:val="001E7649"/>
    <w:rsid w:val="001F1B97"/>
    <w:rsid w:val="001F28E9"/>
    <w:rsid w:val="001F2CE9"/>
    <w:rsid w:val="001F7B0D"/>
    <w:rsid w:val="001F7E09"/>
    <w:rsid w:val="001F7EB2"/>
    <w:rsid w:val="002024E7"/>
    <w:rsid w:val="00204BFD"/>
    <w:rsid w:val="002105E1"/>
    <w:rsid w:val="0021092C"/>
    <w:rsid w:val="0021644F"/>
    <w:rsid w:val="00220740"/>
    <w:rsid w:val="0022266B"/>
    <w:rsid w:val="00224A68"/>
    <w:rsid w:val="002264B6"/>
    <w:rsid w:val="002272C3"/>
    <w:rsid w:val="002338F6"/>
    <w:rsid w:val="0023615C"/>
    <w:rsid w:val="00236F31"/>
    <w:rsid w:val="0024196D"/>
    <w:rsid w:val="002440AF"/>
    <w:rsid w:val="002445B2"/>
    <w:rsid w:val="0025082A"/>
    <w:rsid w:val="00257D22"/>
    <w:rsid w:val="00262809"/>
    <w:rsid w:val="00264416"/>
    <w:rsid w:val="002654E8"/>
    <w:rsid w:val="00265893"/>
    <w:rsid w:val="0027073B"/>
    <w:rsid w:val="0027219D"/>
    <w:rsid w:val="00274F29"/>
    <w:rsid w:val="00276436"/>
    <w:rsid w:val="00280AF8"/>
    <w:rsid w:val="00284901"/>
    <w:rsid w:val="002912FF"/>
    <w:rsid w:val="002933B5"/>
    <w:rsid w:val="0029607A"/>
    <w:rsid w:val="002A24D8"/>
    <w:rsid w:val="002A459B"/>
    <w:rsid w:val="002A7C74"/>
    <w:rsid w:val="002B076D"/>
    <w:rsid w:val="002B17F5"/>
    <w:rsid w:val="002B22F5"/>
    <w:rsid w:val="002B302C"/>
    <w:rsid w:val="002B3DA3"/>
    <w:rsid w:val="002C5164"/>
    <w:rsid w:val="002C585D"/>
    <w:rsid w:val="002D0A7A"/>
    <w:rsid w:val="002D72C6"/>
    <w:rsid w:val="002E281B"/>
    <w:rsid w:val="002E479A"/>
    <w:rsid w:val="002F064A"/>
    <w:rsid w:val="002F0713"/>
    <w:rsid w:val="002F07C9"/>
    <w:rsid w:val="00301F28"/>
    <w:rsid w:val="00302503"/>
    <w:rsid w:val="00304DA4"/>
    <w:rsid w:val="00311A1B"/>
    <w:rsid w:val="00312D5B"/>
    <w:rsid w:val="003134F3"/>
    <w:rsid w:val="00317AA7"/>
    <w:rsid w:val="003201C7"/>
    <w:rsid w:val="003256D4"/>
    <w:rsid w:val="00326177"/>
    <w:rsid w:val="0032708A"/>
    <w:rsid w:val="00330D30"/>
    <w:rsid w:val="0033341C"/>
    <w:rsid w:val="003335EF"/>
    <w:rsid w:val="00335061"/>
    <w:rsid w:val="003367FD"/>
    <w:rsid w:val="00337B40"/>
    <w:rsid w:val="003405B7"/>
    <w:rsid w:val="00340A81"/>
    <w:rsid w:val="003421D6"/>
    <w:rsid w:val="00342AED"/>
    <w:rsid w:val="0034457D"/>
    <w:rsid w:val="00346E7E"/>
    <w:rsid w:val="00354540"/>
    <w:rsid w:val="00355946"/>
    <w:rsid w:val="00356FDE"/>
    <w:rsid w:val="0036002F"/>
    <w:rsid w:val="003600E2"/>
    <w:rsid w:val="003655BC"/>
    <w:rsid w:val="003669B8"/>
    <w:rsid w:val="003678DD"/>
    <w:rsid w:val="0037478C"/>
    <w:rsid w:val="0037503B"/>
    <w:rsid w:val="00380C9D"/>
    <w:rsid w:val="00382D25"/>
    <w:rsid w:val="00385451"/>
    <w:rsid w:val="0039110C"/>
    <w:rsid w:val="003916AF"/>
    <w:rsid w:val="0039189E"/>
    <w:rsid w:val="00393C8D"/>
    <w:rsid w:val="00394E1A"/>
    <w:rsid w:val="00396029"/>
    <w:rsid w:val="003B120F"/>
    <w:rsid w:val="003B579F"/>
    <w:rsid w:val="003C0F75"/>
    <w:rsid w:val="003C1340"/>
    <w:rsid w:val="003D012D"/>
    <w:rsid w:val="003D3540"/>
    <w:rsid w:val="003D3777"/>
    <w:rsid w:val="003D7F6E"/>
    <w:rsid w:val="003E076C"/>
    <w:rsid w:val="003E1F37"/>
    <w:rsid w:val="003E63A8"/>
    <w:rsid w:val="003F74E5"/>
    <w:rsid w:val="004002C4"/>
    <w:rsid w:val="00400E0D"/>
    <w:rsid w:val="00403904"/>
    <w:rsid w:val="004047DF"/>
    <w:rsid w:val="00404AA2"/>
    <w:rsid w:val="004063E6"/>
    <w:rsid w:val="00413F36"/>
    <w:rsid w:val="00415A79"/>
    <w:rsid w:val="00416D25"/>
    <w:rsid w:val="00417978"/>
    <w:rsid w:val="0043173B"/>
    <w:rsid w:val="004322EB"/>
    <w:rsid w:val="00436FDC"/>
    <w:rsid w:val="0044307F"/>
    <w:rsid w:val="00450D3C"/>
    <w:rsid w:val="00462FE0"/>
    <w:rsid w:val="00466E76"/>
    <w:rsid w:val="00476D70"/>
    <w:rsid w:val="00477377"/>
    <w:rsid w:val="004778B1"/>
    <w:rsid w:val="004816D9"/>
    <w:rsid w:val="0048459A"/>
    <w:rsid w:val="00492484"/>
    <w:rsid w:val="00493222"/>
    <w:rsid w:val="0049397D"/>
    <w:rsid w:val="00497768"/>
    <w:rsid w:val="004A3E44"/>
    <w:rsid w:val="004A5784"/>
    <w:rsid w:val="004B1655"/>
    <w:rsid w:val="004B1D29"/>
    <w:rsid w:val="004B2AEC"/>
    <w:rsid w:val="004B728D"/>
    <w:rsid w:val="004C18D0"/>
    <w:rsid w:val="004C49DD"/>
    <w:rsid w:val="004D067F"/>
    <w:rsid w:val="004D0C74"/>
    <w:rsid w:val="004D168E"/>
    <w:rsid w:val="004D24F7"/>
    <w:rsid w:val="004D2D15"/>
    <w:rsid w:val="004D2DBD"/>
    <w:rsid w:val="004D331F"/>
    <w:rsid w:val="004D40B5"/>
    <w:rsid w:val="004D424F"/>
    <w:rsid w:val="004D793D"/>
    <w:rsid w:val="004E3E46"/>
    <w:rsid w:val="004F0506"/>
    <w:rsid w:val="004F10CE"/>
    <w:rsid w:val="004F2B70"/>
    <w:rsid w:val="004F3150"/>
    <w:rsid w:val="004F46A3"/>
    <w:rsid w:val="00504436"/>
    <w:rsid w:val="0050524F"/>
    <w:rsid w:val="00512FAB"/>
    <w:rsid w:val="00516297"/>
    <w:rsid w:val="00521D74"/>
    <w:rsid w:val="0052260C"/>
    <w:rsid w:val="005340BB"/>
    <w:rsid w:val="00541C41"/>
    <w:rsid w:val="0054253A"/>
    <w:rsid w:val="00543E2F"/>
    <w:rsid w:val="00546678"/>
    <w:rsid w:val="005505FF"/>
    <w:rsid w:val="00550CAB"/>
    <w:rsid w:val="00556D02"/>
    <w:rsid w:val="00557AFA"/>
    <w:rsid w:val="005608F7"/>
    <w:rsid w:val="005625EB"/>
    <w:rsid w:val="00567F05"/>
    <w:rsid w:val="00570C05"/>
    <w:rsid w:val="005751A5"/>
    <w:rsid w:val="00575A5C"/>
    <w:rsid w:val="00580306"/>
    <w:rsid w:val="00582594"/>
    <w:rsid w:val="00586211"/>
    <w:rsid w:val="00586786"/>
    <w:rsid w:val="00591B09"/>
    <w:rsid w:val="00591B13"/>
    <w:rsid w:val="00591DDC"/>
    <w:rsid w:val="005A1368"/>
    <w:rsid w:val="005A25E7"/>
    <w:rsid w:val="005A2894"/>
    <w:rsid w:val="005A2906"/>
    <w:rsid w:val="005A2C64"/>
    <w:rsid w:val="005A38A4"/>
    <w:rsid w:val="005B0F5D"/>
    <w:rsid w:val="005B17B7"/>
    <w:rsid w:val="005B2CBE"/>
    <w:rsid w:val="005B4496"/>
    <w:rsid w:val="005B6B0A"/>
    <w:rsid w:val="005B763F"/>
    <w:rsid w:val="005C6EC6"/>
    <w:rsid w:val="005D2DB5"/>
    <w:rsid w:val="005D60AD"/>
    <w:rsid w:val="005E04CD"/>
    <w:rsid w:val="005E0FE9"/>
    <w:rsid w:val="005E2363"/>
    <w:rsid w:val="005F41A1"/>
    <w:rsid w:val="005F69BC"/>
    <w:rsid w:val="00600448"/>
    <w:rsid w:val="00613CD0"/>
    <w:rsid w:val="00620147"/>
    <w:rsid w:val="006327ED"/>
    <w:rsid w:val="00634C27"/>
    <w:rsid w:val="0063547F"/>
    <w:rsid w:val="00636335"/>
    <w:rsid w:val="00640276"/>
    <w:rsid w:val="006433D3"/>
    <w:rsid w:val="00653657"/>
    <w:rsid w:val="00653AFA"/>
    <w:rsid w:val="006606C0"/>
    <w:rsid w:val="006617F7"/>
    <w:rsid w:val="00662C28"/>
    <w:rsid w:val="00665B21"/>
    <w:rsid w:val="00667864"/>
    <w:rsid w:val="00671133"/>
    <w:rsid w:val="00674AD4"/>
    <w:rsid w:val="00683452"/>
    <w:rsid w:val="00692070"/>
    <w:rsid w:val="006922F1"/>
    <w:rsid w:val="0069511F"/>
    <w:rsid w:val="006A30ED"/>
    <w:rsid w:val="006A74A4"/>
    <w:rsid w:val="006A7818"/>
    <w:rsid w:val="006B3C49"/>
    <w:rsid w:val="006B4470"/>
    <w:rsid w:val="006B47A0"/>
    <w:rsid w:val="006B488F"/>
    <w:rsid w:val="006B4EDB"/>
    <w:rsid w:val="006B5069"/>
    <w:rsid w:val="006B709F"/>
    <w:rsid w:val="006C276C"/>
    <w:rsid w:val="006C28FB"/>
    <w:rsid w:val="006C296D"/>
    <w:rsid w:val="006C29DD"/>
    <w:rsid w:val="006C2CCB"/>
    <w:rsid w:val="006C3CC1"/>
    <w:rsid w:val="006C5B22"/>
    <w:rsid w:val="006D211A"/>
    <w:rsid w:val="006D5D6C"/>
    <w:rsid w:val="006D687B"/>
    <w:rsid w:val="006D7F80"/>
    <w:rsid w:val="006E3DBD"/>
    <w:rsid w:val="006E7701"/>
    <w:rsid w:val="006E7F35"/>
    <w:rsid w:val="006F0BEA"/>
    <w:rsid w:val="006F55D3"/>
    <w:rsid w:val="006F6184"/>
    <w:rsid w:val="006F6796"/>
    <w:rsid w:val="006F70F8"/>
    <w:rsid w:val="006F71D9"/>
    <w:rsid w:val="007021EC"/>
    <w:rsid w:val="007035C8"/>
    <w:rsid w:val="0070442E"/>
    <w:rsid w:val="00706370"/>
    <w:rsid w:val="007076FD"/>
    <w:rsid w:val="0071059D"/>
    <w:rsid w:val="007113BD"/>
    <w:rsid w:val="007166D8"/>
    <w:rsid w:val="007252D6"/>
    <w:rsid w:val="00731ABE"/>
    <w:rsid w:val="007320F7"/>
    <w:rsid w:val="007328B1"/>
    <w:rsid w:val="00733880"/>
    <w:rsid w:val="00737C62"/>
    <w:rsid w:val="007412C0"/>
    <w:rsid w:val="00743B9A"/>
    <w:rsid w:val="007479BA"/>
    <w:rsid w:val="0075376D"/>
    <w:rsid w:val="00757A25"/>
    <w:rsid w:val="00757FB8"/>
    <w:rsid w:val="007611D6"/>
    <w:rsid w:val="007636EE"/>
    <w:rsid w:val="007673E6"/>
    <w:rsid w:val="00773537"/>
    <w:rsid w:val="00777A2B"/>
    <w:rsid w:val="007809F0"/>
    <w:rsid w:val="0078137C"/>
    <w:rsid w:val="00783788"/>
    <w:rsid w:val="00783F7F"/>
    <w:rsid w:val="007845AD"/>
    <w:rsid w:val="00793767"/>
    <w:rsid w:val="007A3CC4"/>
    <w:rsid w:val="007A3D2D"/>
    <w:rsid w:val="007A57C4"/>
    <w:rsid w:val="007B1D8C"/>
    <w:rsid w:val="007B213A"/>
    <w:rsid w:val="007B32AA"/>
    <w:rsid w:val="007B4A76"/>
    <w:rsid w:val="007B5A31"/>
    <w:rsid w:val="007B615D"/>
    <w:rsid w:val="007C4F82"/>
    <w:rsid w:val="007D102D"/>
    <w:rsid w:val="007D25E4"/>
    <w:rsid w:val="007D7EF7"/>
    <w:rsid w:val="007E49B5"/>
    <w:rsid w:val="007F034F"/>
    <w:rsid w:val="007F4304"/>
    <w:rsid w:val="007F7A89"/>
    <w:rsid w:val="007F7D5D"/>
    <w:rsid w:val="00801C5D"/>
    <w:rsid w:val="0080602D"/>
    <w:rsid w:val="008152F0"/>
    <w:rsid w:val="0081635C"/>
    <w:rsid w:val="00830FFE"/>
    <w:rsid w:val="008332CC"/>
    <w:rsid w:val="00833E52"/>
    <w:rsid w:val="00835C02"/>
    <w:rsid w:val="0083680C"/>
    <w:rsid w:val="008405C3"/>
    <w:rsid w:val="0084224E"/>
    <w:rsid w:val="00845FF7"/>
    <w:rsid w:val="00850CF0"/>
    <w:rsid w:val="008515AD"/>
    <w:rsid w:val="00860A92"/>
    <w:rsid w:val="00861D1C"/>
    <w:rsid w:val="00871965"/>
    <w:rsid w:val="008719D8"/>
    <w:rsid w:val="00873869"/>
    <w:rsid w:val="00880266"/>
    <w:rsid w:val="00881356"/>
    <w:rsid w:val="00882F2B"/>
    <w:rsid w:val="0088401F"/>
    <w:rsid w:val="00884BD8"/>
    <w:rsid w:val="008858AC"/>
    <w:rsid w:val="00886EAA"/>
    <w:rsid w:val="00886EBA"/>
    <w:rsid w:val="00887B14"/>
    <w:rsid w:val="008933FF"/>
    <w:rsid w:val="008A2C81"/>
    <w:rsid w:val="008B32EE"/>
    <w:rsid w:val="008B3D26"/>
    <w:rsid w:val="008C3AFF"/>
    <w:rsid w:val="008C4FA0"/>
    <w:rsid w:val="008C7CAB"/>
    <w:rsid w:val="008D59FE"/>
    <w:rsid w:val="008D61BE"/>
    <w:rsid w:val="008D6F0E"/>
    <w:rsid w:val="008D7F9A"/>
    <w:rsid w:val="008E0FD2"/>
    <w:rsid w:val="008E3265"/>
    <w:rsid w:val="008E64B2"/>
    <w:rsid w:val="008F0B53"/>
    <w:rsid w:val="008F38F9"/>
    <w:rsid w:val="008F3F9C"/>
    <w:rsid w:val="008F5D14"/>
    <w:rsid w:val="00901F16"/>
    <w:rsid w:val="00903263"/>
    <w:rsid w:val="00907921"/>
    <w:rsid w:val="009138EE"/>
    <w:rsid w:val="009143DD"/>
    <w:rsid w:val="0091531E"/>
    <w:rsid w:val="00917D6A"/>
    <w:rsid w:val="009309BF"/>
    <w:rsid w:val="00934B5C"/>
    <w:rsid w:val="009416FE"/>
    <w:rsid w:val="0094273A"/>
    <w:rsid w:val="00942790"/>
    <w:rsid w:val="00951F16"/>
    <w:rsid w:val="009544C1"/>
    <w:rsid w:val="00962F4B"/>
    <w:rsid w:val="00965383"/>
    <w:rsid w:val="009665AD"/>
    <w:rsid w:val="00970614"/>
    <w:rsid w:val="009758AC"/>
    <w:rsid w:val="00976BBB"/>
    <w:rsid w:val="00976C41"/>
    <w:rsid w:val="00982CB9"/>
    <w:rsid w:val="00984FC6"/>
    <w:rsid w:val="0098714A"/>
    <w:rsid w:val="00990BAE"/>
    <w:rsid w:val="00992571"/>
    <w:rsid w:val="00992C1E"/>
    <w:rsid w:val="00994995"/>
    <w:rsid w:val="00995027"/>
    <w:rsid w:val="009A18DB"/>
    <w:rsid w:val="009A6889"/>
    <w:rsid w:val="009B24C3"/>
    <w:rsid w:val="009B7241"/>
    <w:rsid w:val="009C12EB"/>
    <w:rsid w:val="009C1DE7"/>
    <w:rsid w:val="009C20DC"/>
    <w:rsid w:val="009C2679"/>
    <w:rsid w:val="009C5A0B"/>
    <w:rsid w:val="009C5A5A"/>
    <w:rsid w:val="009D47F5"/>
    <w:rsid w:val="009F77AB"/>
    <w:rsid w:val="00A01B2C"/>
    <w:rsid w:val="00A04029"/>
    <w:rsid w:val="00A06F6B"/>
    <w:rsid w:val="00A1021C"/>
    <w:rsid w:val="00A1276F"/>
    <w:rsid w:val="00A13AD4"/>
    <w:rsid w:val="00A13C56"/>
    <w:rsid w:val="00A15D9D"/>
    <w:rsid w:val="00A175AE"/>
    <w:rsid w:val="00A21575"/>
    <w:rsid w:val="00A22DF2"/>
    <w:rsid w:val="00A23D85"/>
    <w:rsid w:val="00A24AFE"/>
    <w:rsid w:val="00A26DF5"/>
    <w:rsid w:val="00A329DF"/>
    <w:rsid w:val="00A33FDD"/>
    <w:rsid w:val="00A410A6"/>
    <w:rsid w:val="00A51DE2"/>
    <w:rsid w:val="00A52495"/>
    <w:rsid w:val="00A5531F"/>
    <w:rsid w:val="00A60987"/>
    <w:rsid w:val="00A60B71"/>
    <w:rsid w:val="00A76681"/>
    <w:rsid w:val="00A947F1"/>
    <w:rsid w:val="00AA1EEA"/>
    <w:rsid w:val="00AA30D5"/>
    <w:rsid w:val="00AB6D0F"/>
    <w:rsid w:val="00AC332F"/>
    <w:rsid w:val="00AC353F"/>
    <w:rsid w:val="00AC4B5D"/>
    <w:rsid w:val="00AC619F"/>
    <w:rsid w:val="00AC635D"/>
    <w:rsid w:val="00AC68D6"/>
    <w:rsid w:val="00AC76BF"/>
    <w:rsid w:val="00AD09FA"/>
    <w:rsid w:val="00AD5A10"/>
    <w:rsid w:val="00AD70E0"/>
    <w:rsid w:val="00AD7CD7"/>
    <w:rsid w:val="00AE35EE"/>
    <w:rsid w:val="00AF36D8"/>
    <w:rsid w:val="00AF37D4"/>
    <w:rsid w:val="00AF5D15"/>
    <w:rsid w:val="00AF60A8"/>
    <w:rsid w:val="00B001FA"/>
    <w:rsid w:val="00B0417D"/>
    <w:rsid w:val="00B1352F"/>
    <w:rsid w:val="00B22C6F"/>
    <w:rsid w:val="00B2762F"/>
    <w:rsid w:val="00B27903"/>
    <w:rsid w:val="00B30A8A"/>
    <w:rsid w:val="00B3212C"/>
    <w:rsid w:val="00B348EB"/>
    <w:rsid w:val="00B36573"/>
    <w:rsid w:val="00B37AD4"/>
    <w:rsid w:val="00B43B5F"/>
    <w:rsid w:val="00B5080D"/>
    <w:rsid w:val="00B53124"/>
    <w:rsid w:val="00B537EB"/>
    <w:rsid w:val="00B544E0"/>
    <w:rsid w:val="00B54BAF"/>
    <w:rsid w:val="00B60054"/>
    <w:rsid w:val="00B61C4F"/>
    <w:rsid w:val="00B6433D"/>
    <w:rsid w:val="00B653BC"/>
    <w:rsid w:val="00B71AC1"/>
    <w:rsid w:val="00B75919"/>
    <w:rsid w:val="00B7645D"/>
    <w:rsid w:val="00B7743F"/>
    <w:rsid w:val="00B77EFC"/>
    <w:rsid w:val="00B85EB6"/>
    <w:rsid w:val="00B878DC"/>
    <w:rsid w:val="00B952E9"/>
    <w:rsid w:val="00B960BC"/>
    <w:rsid w:val="00B978D5"/>
    <w:rsid w:val="00BB1DA9"/>
    <w:rsid w:val="00BB4623"/>
    <w:rsid w:val="00BC07C7"/>
    <w:rsid w:val="00BC1FBE"/>
    <w:rsid w:val="00BC2957"/>
    <w:rsid w:val="00BC49F6"/>
    <w:rsid w:val="00BC4CF2"/>
    <w:rsid w:val="00BC4DB2"/>
    <w:rsid w:val="00BD3C62"/>
    <w:rsid w:val="00BE4D19"/>
    <w:rsid w:val="00BE7014"/>
    <w:rsid w:val="00BF0581"/>
    <w:rsid w:val="00BF7773"/>
    <w:rsid w:val="00C016CF"/>
    <w:rsid w:val="00C01F72"/>
    <w:rsid w:val="00C05BAB"/>
    <w:rsid w:val="00C06590"/>
    <w:rsid w:val="00C12AA1"/>
    <w:rsid w:val="00C204EB"/>
    <w:rsid w:val="00C20C9F"/>
    <w:rsid w:val="00C215AE"/>
    <w:rsid w:val="00C22952"/>
    <w:rsid w:val="00C31485"/>
    <w:rsid w:val="00C406D7"/>
    <w:rsid w:val="00C407B9"/>
    <w:rsid w:val="00C40806"/>
    <w:rsid w:val="00C41517"/>
    <w:rsid w:val="00C429D5"/>
    <w:rsid w:val="00C43ACC"/>
    <w:rsid w:val="00C43ADB"/>
    <w:rsid w:val="00C46F4B"/>
    <w:rsid w:val="00C53D3F"/>
    <w:rsid w:val="00C573E8"/>
    <w:rsid w:val="00C57A89"/>
    <w:rsid w:val="00C666CC"/>
    <w:rsid w:val="00C761C8"/>
    <w:rsid w:val="00C77FE1"/>
    <w:rsid w:val="00C80B9B"/>
    <w:rsid w:val="00C8713A"/>
    <w:rsid w:val="00C95073"/>
    <w:rsid w:val="00CA04B6"/>
    <w:rsid w:val="00CA11A2"/>
    <w:rsid w:val="00CC0643"/>
    <w:rsid w:val="00CC1C18"/>
    <w:rsid w:val="00CC63C0"/>
    <w:rsid w:val="00CD0EAB"/>
    <w:rsid w:val="00CD32CB"/>
    <w:rsid w:val="00CD654C"/>
    <w:rsid w:val="00CE56A8"/>
    <w:rsid w:val="00CF0CF9"/>
    <w:rsid w:val="00CF45FF"/>
    <w:rsid w:val="00D001DF"/>
    <w:rsid w:val="00D03D8C"/>
    <w:rsid w:val="00D1211E"/>
    <w:rsid w:val="00D142A3"/>
    <w:rsid w:val="00D17AC3"/>
    <w:rsid w:val="00D20C5A"/>
    <w:rsid w:val="00D31825"/>
    <w:rsid w:val="00D32549"/>
    <w:rsid w:val="00D37451"/>
    <w:rsid w:val="00D37BB8"/>
    <w:rsid w:val="00D44462"/>
    <w:rsid w:val="00D4626D"/>
    <w:rsid w:val="00D47093"/>
    <w:rsid w:val="00D477F0"/>
    <w:rsid w:val="00D544B0"/>
    <w:rsid w:val="00D558E4"/>
    <w:rsid w:val="00D606E6"/>
    <w:rsid w:val="00D60804"/>
    <w:rsid w:val="00D618DF"/>
    <w:rsid w:val="00D73B6C"/>
    <w:rsid w:val="00D75602"/>
    <w:rsid w:val="00D76023"/>
    <w:rsid w:val="00D81F6E"/>
    <w:rsid w:val="00D82483"/>
    <w:rsid w:val="00D85BB0"/>
    <w:rsid w:val="00D909F9"/>
    <w:rsid w:val="00D91C7A"/>
    <w:rsid w:val="00D94CD8"/>
    <w:rsid w:val="00D962F2"/>
    <w:rsid w:val="00D96F4A"/>
    <w:rsid w:val="00DA0EF4"/>
    <w:rsid w:val="00DA3AD6"/>
    <w:rsid w:val="00DA3E61"/>
    <w:rsid w:val="00DA544D"/>
    <w:rsid w:val="00DB383D"/>
    <w:rsid w:val="00DB4536"/>
    <w:rsid w:val="00DB46A2"/>
    <w:rsid w:val="00DC1EB8"/>
    <w:rsid w:val="00DC5662"/>
    <w:rsid w:val="00DC5E07"/>
    <w:rsid w:val="00DC7B70"/>
    <w:rsid w:val="00DD31BB"/>
    <w:rsid w:val="00DD5A57"/>
    <w:rsid w:val="00DD7381"/>
    <w:rsid w:val="00DD7FEA"/>
    <w:rsid w:val="00DE47E2"/>
    <w:rsid w:val="00DE6A0A"/>
    <w:rsid w:val="00DF01D7"/>
    <w:rsid w:val="00E010FF"/>
    <w:rsid w:val="00E02E86"/>
    <w:rsid w:val="00E03799"/>
    <w:rsid w:val="00E11898"/>
    <w:rsid w:val="00E1665A"/>
    <w:rsid w:val="00E21E66"/>
    <w:rsid w:val="00E25098"/>
    <w:rsid w:val="00E25848"/>
    <w:rsid w:val="00E30CA6"/>
    <w:rsid w:val="00E31FE8"/>
    <w:rsid w:val="00E32053"/>
    <w:rsid w:val="00E40E0D"/>
    <w:rsid w:val="00E4107B"/>
    <w:rsid w:val="00E42586"/>
    <w:rsid w:val="00E62C1B"/>
    <w:rsid w:val="00E678A2"/>
    <w:rsid w:val="00E76416"/>
    <w:rsid w:val="00E8752A"/>
    <w:rsid w:val="00E922C4"/>
    <w:rsid w:val="00E97169"/>
    <w:rsid w:val="00EA08DE"/>
    <w:rsid w:val="00EA1064"/>
    <w:rsid w:val="00EA430D"/>
    <w:rsid w:val="00EA4965"/>
    <w:rsid w:val="00EB07DE"/>
    <w:rsid w:val="00EB3CAE"/>
    <w:rsid w:val="00EB6EF9"/>
    <w:rsid w:val="00EC0714"/>
    <w:rsid w:val="00EC1AA3"/>
    <w:rsid w:val="00EC64A9"/>
    <w:rsid w:val="00EC73DA"/>
    <w:rsid w:val="00EE0970"/>
    <w:rsid w:val="00EE0EEB"/>
    <w:rsid w:val="00EE6AC1"/>
    <w:rsid w:val="00EF04F1"/>
    <w:rsid w:val="00EF75A3"/>
    <w:rsid w:val="00EF77B9"/>
    <w:rsid w:val="00F00FB1"/>
    <w:rsid w:val="00F02EAC"/>
    <w:rsid w:val="00F040B8"/>
    <w:rsid w:val="00F04D30"/>
    <w:rsid w:val="00F1587A"/>
    <w:rsid w:val="00F161D6"/>
    <w:rsid w:val="00F1728B"/>
    <w:rsid w:val="00F22D8A"/>
    <w:rsid w:val="00F23EEB"/>
    <w:rsid w:val="00F25324"/>
    <w:rsid w:val="00F26279"/>
    <w:rsid w:val="00F31A4B"/>
    <w:rsid w:val="00F35FDB"/>
    <w:rsid w:val="00F40D45"/>
    <w:rsid w:val="00F427B3"/>
    <w:rsid w:val="00F51DDE"/>
    <w:rsid w:val="00F53AF5"/>
    <w:rsid w:val="00F540CC"/>
    <w:rsid w:val="00F56EC5"/>
    <w:rsid w:val="00F62151"/>
    <w:rsid w:val="00F63D0F"/>
    <w:rsid w:val="00F65BD3"/>
    <w:rsid w:val="00F66358"/>
    <w:rsid w:val="00F679DD"/>
    <w:rsid w:val="00F67D15"/>
    <w:rsid w:val="00F707D6"/>
    <w:rsid w:val="00F71AF6"/>
    <w:rsid w:val="00F74633"/>
    <w:rsid w:val="00F75EFE"/>
    <w:rsid w:val="00F81711"/>
    <w:rsid w:val="00F8192D"/>
    <w:rsid w:val="00F84BD2"/>
    <w:rsid w:val="00F91C7B"/>
    <w:rsid w:val="00FA16AB"/>
    <w:rsid w:val="00FA1E35"/>
    <w:rsid w:val="00FA734A"/>
    <w:rsid w:val="00FB3C3C"/>
    <w:rsid w:val="00FB5827"/>
    <w:rsid w:val="00FC1F3F"/>
    <w:rsid w:val="00FC20E6"/>
    <w:rsid w:val="00FD0CAF"/>
    <w:rsid w:val="00FD14F2"/>
    <w:rsid w:val="00FD21CE"/>
    <w:rsid w:val="00FD3C45"/>
    <w:rsid w:val="00FD42F9"/>
    <w:rsid w:val="00FD4A3C"/>
    <w:rsid w:val="00FE0DE2"/>
    <w:rsid w:val="00FE1C22"/>
    <w:rsid w:val="00FE4B6C"/>
    <w:rsid w:val="00FF06FD"/>
    <w:rsid w:val="00FF0DB6"/>
    <w:rsid w:val="00FF3857"/>
    <w:rsid w:val="00FF45A3"/>
    <w:rsid w:val="00FF6064"/>
    <w:rsid w:val="00FF77A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E9954F-7D77-4A0B-91B2-35B000670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A6889"/>
    <w:pPr>
      <w:spacing w:before="240" w:after="120" w:line="240" w:lineRule="auto"/>
      <w:outlineLvl w:val="0"/>
    </w:pPr>
    <w:rPr>
      <w:rFonts w:ascii="Times New Roman" w:eastAsia="Times New Roman" w:hAnsi="Times New Roman" w:cs="Times New Roman"/>
      <w:b/>
      <w:bCs/>
      <w:color w:val="000000"/>
      <w:kern w:val="36"/>
      <w:sz w:val="33"/>
      <w:szCs w:val="33"/>
      <w:lang w:eastAsia="it-IT"/>
    </w:rPr>
  </w:style>
  <w:style w:type="paragraph" w:styleId="Heading2">
    <w:name w:val="heading 2"/>
    <w:basedOn w:val="Normal"/>
    <w:next w:val="Normal"/>
    <w:link w:val="Heading2Char"/>
    <w:uiPriority w:val="9"/>
    <w:semiHidden/>
    <w:unhideWhenUsed/>
    <w:qFormat/>
    <w:rsid w:val="003C0F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C0F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0F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D3C"/>
    <w:rPr>
      <w:color w:val="0000FF" w:themeColor="hyperlink"/>
      <w:u w:val="single"/>
    </w:rPr>
  </w:style>
  <w:style w:type="character" w:customStyle="1" w:styleId="Heading1Char">
    <w:name w:val="Heading 1 Char"/>
    <w:basedOn w:val="DefaultParagraphFont"/>
    <w:link w:val="Heading1"/>
    <w:uiPriority w:val="9"/>
    <w:rsid w:val="009A6889"/>
    <w:rPr>
      <w:rFonts w:ascii="Times New Roman" w:eastAsia="Times New Roman" w:hAnsi="Times New Roman" w:cs="Times New Roman"/>
      <w:b/>
      <w:bCs/>
      <w:color w:val="000000"/>
      <w:kern w:val="36"/>
      <w:sz w:val="33"/>
      <w:szCs w:val="33"/>
      <w:lang w:eastAsia="it-IT"/>
    </w:rPr>
  </w:style>
  <w:style w:type="character" w:customStyle="1" w:styleId="hps">
    <w:name w:val="hps"/>
    <w:basedOn w:val="DefaultParagraphFont"/>
    <w:rsid w:val="00077706"/>
  </w:style>
  <w:style w:type="character" w:customStyle="1" w:styleId="shorttext">
    <w:name w:val="short_text"/>
    <w:basedOn w:val="DefaultParagraphFont"/>
    <w:rsid w:val="00FF6064"/>
  </w:style>
  <w:style w:type="character" w:customStyle="1" w:styleId="highlight">
    <w:name w:val="highlight"/>
    <w:basedOn w:val="DefaultParagraphFont"/>
    <w:rsid w:val="00942790"/>
  </w:style>
  <w:style w:type="paragraph" w:customStyle="1" w:styleId="Titolo1">
    <w:name w:val="Titolo1"/>
    <w:basedOn w:val="Normal"/>
    <w:rsid w:val="00D37BB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sc">
    <w:name w:val="desc"/>
    <w:basedOn w:val="Normal"/>
    <w:rsid w:val="00D37BB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tails">
    <w:name w:val="details"/>
    <w:basedOn w:val="Normal"/>
    <w:rsid w:val="00D37BB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jrnl">
    <w:name w:val="jrnl"/>
    <w:basedOn w:val="DefaultParagraphFont"/>
    <w:rsid w:val="00D37BB8"/>
  </w:style>
  <w:style w:type="paragraph" w:customStyle="1" w:styleId="Titolo2">
    <w:name w:val="Titolo2"/>
    <w:basedOn w:val="Normal"/>
    <w:rsid w:val="007845A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itolo3">
    <w:name w:val="Titolo3"/>
    <w:basedOn w:val="Normal"/>
    <w:rsid w:val="00DC566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Heading2Char">
    <w:name w:val="Heading 2 Char"/>
    <w:basedOn w:val="DefaultParagraphFont"/>
    <w:link w:val="Heading2"/>
    <w:uiPriority w:val="9"/>
    <w:semiHidden/>
    <w:rsid w:val="003C0F7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C0F7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0F75"/>
    <w:rPr>
      <w:rFonts w:asciiTheme="majorHAnsi" w:eastAsiaTheme="majorEastAsia" w:hAnsiTheme="majorHAnsi" w:cstheme="majorBidi"/>
      <w:b/>
      <w:bCs/>
      <w:i/>
      <w:iCs/>
      <w:color w:val="4F81BD" w:themeColor="accent1"/>
    </w:rPr>
  </w:style>
  <w:style w:type="character" w:customStyle="1" w:styleId="current-selection">
    <w:name w:val="current-selection"/>
    <w:basedOn w:val="DefaultParagraphFont"/>
    <w:rsid w:val="00066F74"/>
  </w:style>
  <w:style w:type="paragraph" w:styleId="BodyText2">
    <w:name w:val="Body Text 2"/>
    <w:basedOn w:val="Normal"/>
    <w:link w:val="BodyText2Char"/>
    <w:uiPriority w:val="99"/>
    <w:rsid w:val="00984FC6"/>
    <w:pPr>
      <w:autoSpaceDE w:val="0"/>
      <w:autoSpaceDN w:val="0"/>
      <w:adjustRightInd w:val="0"/>
      <w:spacing w:after="0" w:line="480" w:lineRule="auto"/>
      <w:jc w:val="both"/>
    </w:pPr>
    <w:rPr>
      <w:rFonts w:ascii="Tahoma" w:eastAsia="Times New Roman" w:hAnsi="Tahoma" w:cs="Tahoma"/>
      <w:sz w:val="24"/>
      <w:szCs w:val="24"/>
      <w:lang w:val="en-US" w:eastAsia="it-IT"/>
    </w:rPr>
  </w:style>
  <w:style w:type="character" w:customStyle="1" w:styleId="BodyText2Char">
    <w:name w:val="Body Text 2 Char"/>
    <w:basedOn w:val="DefaultParagraphFont"/>
    <w:link w:val="BodyText2"/>
    <w:uiPriority w:val="99"/>
    <w:rsid w:val="00984FC6"/>
    <w:rPr>
      <w:rFonts w:ascii="Tahoma" w:eastAsia="Times New Roman" w:hAnsi="Tahoma" w:cs="Tahoma"/>
      <w:sz w:val="24"/>
      <w:szCs w:val="24"/>
      <w:lang w:val="en-US" w:eastAsia="it-IT"/>
    </w:rPr>
  </w:style>
  <w:style w:type="paragraph" w:styleId="BalloonText">
    <w:name w:val="Balloon Text"/>
    <w:basedOn w:val="Normal"/>
    <w:link w:val="BalloonTextChar"/>
    <w:uiPriority w:val="99"/>
    <w:semiHidden/>
    <w:unhideWhenUsed/>
    <w:rsid w:val="00F35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FDB"/>
    <w:rPr>
      <w:rFonts w:ascii="Tahoma" w:hAnsi="Tahoma" w:cs="Tahoma"/>
      <w:sz w:val="16"/>
      <w:szCs w:val="16"/>
    </w:rPr>
  </w:style>
  <w:style w:type="paragraph" w:customStyle="1" w:styleId="1">
    <w:name w:val="正文1"/>
    <w:uiPriority w:val="99"/>
    <w:rsid w:val="008A2C81"/>
    <w:pPr>
      <w:spacing w:after="0"/>
    </w:pPr>
    <w:rPr>
      <w:rFonts w:ascii="Arial" w:eastAsia="SimSun" w:hAnsi="Arial" w:cs="Arial"/>
      <w:color w:val="000000"/>
      <w:szCs w:val="20"/>
      <w:lang w:val="pl-PL" w:eastAsia="pl-PL"/>
    </w:rPr>
  </w:style>
  <w:style w:type="character" w:styleId="CommentReference">
    <w:name w:val="annotation reference"/>
    <w:uiPriority w:val="99"/>
    <w:semiHidden/>
    <w:unhideWhenUsed/>
    <w:rsid w:val="008A2C81"/>
    <w:rPr>
      <w:sz w:val="21"/>
      <w:szCs w:val="21"/>
    </w:rPr>
  </w:style>
  <w:style w:type="paragraph" w:styleId="CommentText">
    <w:name w:val="annotation text"/>
    <w:basedOn w:val="Normal"/>
    <w:link w:val="CommentTextChar"/>
    <w:uiPriority w:val="99"/>
    <w:unhideWhenUsed/>
    <w:rsid w:val="008A2C81"/>
    <w:pPr>
      <w:spacing w:after="0"/>
    </w:pPr>
    <w:rPr>
      <w:rFonts w:ascii="Arial" w:eastAsia="SimSun" w:hAnsi="Arial" w:cs="Arial"/>
      <w:color w:val="000000"/>
      <w:szCs w:val="20"/>
      <w:lang w:val="pl-PL" w:eastAsia="pl-PL"/>
    </w:rPr>
  </w:style>
  <w:style w:type="character" w:customStyle="1" w:styleId="CommentTextChar">
    <w:name w:val="Comment Text Char"/>
    <w:basedOn w:val="DefaultParagraphFont"/>
    <w:link w:val="CommentText"/>
    <w:uiPriority w:val="99"/>
    <w:rsid w:val="008A2C81"/>
    <w:rPr>
      <w:rFonts w:ascii="Arial" w:eastAsia="SimSun" w:hAnsi="Arial" w:cs="Arial"/>
      <w:color w:val="000000"/>
      <w:szCs w:val="20"/>
      <w:lang w:val="pl-PL" w:eastAsia="pl-PL"/>
    </w:rPr>
  </w:style>
  <w:style w:type="paragraph" w:styleId="CommentSubject">
    <w:name w:val="annotation subject"/>
    <w:basedOn w:val="CommentText"/>
    <w:next w:val="CommentText"/>
    <w:link w:val="CommentSubjectChar"/>
    <w:uiPriority w:val="99"/>
    <w:semiHidden/>
    <w:unhideWhenUsed/>
    <w:rsid w:val="00E62C1B"/>
    <w:pPr>
      <w:spacing w:after="200"/>
    </w:pPr>
    <w:rPr>
      <w:rFonts w:asciiTheme="minorHAnsi" w:eastAsiaTheme="minorEastAsia" w:hAnsiTheme="minorHAnsi" w:cstheme="minorBidi"/>
      <w:b/>
      <w:bCs/>
      <w:color w:val="auto"/>
      <w:szCs w:val="22"/>
      <w:lang w:val="it-IT" w:eastAsia="en-US"/>
    </w:rPr>
  </w:style>
  <w:style w:type="character" w:customStyle="1" w:styleId="CommentSubjectChar">
    <w:name w:val="Comment Subject Char"/>
    <w:basedOn w:val="CommentTextChar"/>
    <w:link w:val="CommentSubject"/>
    <w:uiPriority w:val="99"/>
    <w:semiHidden/>
    <w:rsid w:val="00E62C1B"/>
    <w:rPr>
      <w:rFonts w:ascii="Arial" w:eastAsia="SimSun" w:hAnsi="Arial" w:cs="Arial"/>
      <w:b/>
      <w:bCs/>
      <w:color w:val="000000"/>
      <w:szCs w:val="20"/>
      <w:lang w:val="pl-PL" w:eastAsia="pl-PL"/>
    </w:rPr>
  </w:style>
  <w:style w:type="character" w:customStyle="1" w:styleId="a">
    <w:name w:val="_"/>
    <w:basedOn w:val="DefaultParagraphFont"/>
    <w:rsid w:val="004F3150"/>
  </w:style>
  <w:style w:type="paragraph" w:styleId="Revision">
    <w:name w:val="Revision"/>
    <w:hidden/>
    <w:uiPriority w:val="99"/>
    <w:semiHidden/>
    <w:rsid w:val="00F63D0F"/>
    <w:pPr>
      <w:spacing w:after="0" w:line="240" w:lineRule="auto"/>
    </w:pPr>
  </w:style>
  <w:style w:type="paragraph" w:styleId="ListParagraph">
    <w:name w:val="List Paragraph"/>
    <w:basedOn w:val="Normal"/>
    <w:uiPriority w:val="34"/>
    <w:qFormat/>
    <w:rsid w:val="00A24AFE"/>
    <w:pPr>
      <w:ind w:left="720"/>
      <w:contextualSpacing/>
    </w:pPr>
  </w:style>
  <w:style w:type="paragraph" w:styleId="Header">
    <w:name w:val="header"/>
    <w:basedOn w:val="Normal"/>
    <w:link w:val="HeaderChar"/>
    <w:uiPriority w:val="99"/>
    <w:unhideWhenUsed/>
    <w:rsid w:val="004063E6"/>
    <w:pPr>
      <w:tabs>
        <w:tab w:val="center" w:pos="4986"/>
        <w:tab w:val="right" w:pos="9972"/>
      </w:tabs>
      <w:spacing w:after="0" w:line="240" w:lineRule="auto"/>
    </w:pPr>
  </w:style>
  <w:style w:type="character" w:customStyle="1" w:styleId="HeaderChar">
    <w:name w:val="Header Char"/>
    <w:basedOn w:val="DefaultParagraphFont"/>
    <w:link w:val="Header"/>
    <w:uiPriority w:val="99"/>
    <w:rsid w:val="004063E6"/>
  </w:style>
  <w:style w:type="paragraph" w:styleId="Footer">
    <w:name w:val="footer"/>
    <w:basedOn w:val="Normal"/>
    <w:link w:val="FooterChar"/>
    <w:uiPriority w:val="99"/>
    <w:unhideWhenUsed/>
    <w:rsid w:val="004063E6"/>
    <w:pPr>
      <w:tabs>
        <w:tab w:val="center" w:pos="4986"/>
        <w:tab w:val="right" w:pos="9972"/>
      </w:tabs>
      <w:spacing w:after="0" w:line="240" w:lineRule="auto"/>
    </w:pPr>
  </w:style>
  <w:style w:type="character" w:customStyle="1" w:styleId="FooterChar">
    <w:name w:val="Footer Char"/>
    <w:basedOn w:val="DefaultParagraphFont"/>
    <w:link w:val="Footer"/>
    <w:uiPriority w:val="99"/>
    <w:rsid w:val="00406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08741">
      <w:bodyDiv w:val="1"/>
      <w:marLeft w:val="0"/>
      <w:marRight w:val="0"/>
      <w:marTop w:val="0"/>
      <w:marBottom w:val="0"/>
      <w:divBdr>
        <w:top w:val="none" w:sz="0" w:space="0" w:color="auto"/>
        <w:left w:val="none" w:sz="0" w:space="0" w:color="auto"/>
        <w:bottom w:val="none" w:sz="0" w:space="0" w:color="auto"/>
        <w:right w:val="none" w:sz="0" w:space="0" w:color="auto"/>
      </w:divBdr>
    </w:div>
    <w:div w:id="55593966">
      <w:bodyDiv w:val="1"/>
      <w:marLeft w:val="0"/>
      <w:marRight w:val="0"/>
      <w:marTop w:val="0"/>
      <w:marBottom w:val="0"/>
      <w:divBdr>
        <w:top w:val="none" w:sz="0" w:space="0" w:color="auto"/>
        <w:left w:val="none" w:sz="0" w:space="0" w:color="auto"/>
        <w:bottom w:val="none" w:sz="0" w:space="0" w:color="auto"/>
        <w:right w:val="none" w:sz="0" w:space="0" w:color="auto"/>
      </w:divBdr>
      <w:divsChild>
        <w:div w:id="1234241721">
          <w:marLeft w:val="0"/>
          <w:marRight w:val="0"/>
          <w:marTop w:val="0"/>
          <w:marBottom w:val="0"/>
          <w:divBdr>
            <w:top w:val="none" w:sz="0" w:space="0" w:color="auto"/>
            <w:left w:val="none" w:sz="0" w:space="0" w:color="auto"/>
            <w:bottom w:val="none" w:sz="0" w:space="0" w:color="auto"/>
            <w:right w:val="none" w:sz="0" w:space="0" w:color="auto"/>
          </w:divBdr>
          <w:divsChild>
            <w:div w:id="1671446214">
              <w:marLeft w:val="0"/>
              <w:marRight w:val="0"/>
              <w:marTop w:val="0"/>
              <w:marBottom w:val="0"/>
              <w:divBdr>
                <w:top w:val="none" w:sz="0" w:space="0" w:color="auto"/>
                <w:left w:val="none" w:sz="0" w:space="0" w:color="auto"/>
                <w:bottom w:val="none" w:sz="0" w:space="0" w:color="auto"/>
                <w:right w:val="none" w:sz="0" w:space="0" w:color="auto"/>
              </w:divBdr>
              <w:divsChild>
                <w:div w:id="1146818300">
                  <w:marLeft w:val="0"/>
                  <w:marRight w:val="0"/>
                  <w:marTop w:val="0"/>
                  <w:marBottom w:val="0"/>
                  <w:divBdr>
                    <w:top w:val="none" w:sz="0" w:space="0" w:color="auto"/>
                    <w:left w:val="none" w:sz="0" w:space="0" w:color="auto"/>
                    <w:bottom w:val="none" w:sz="0" w:space="0" w:color="auto"/>
                    <w:right w:val="none" w:sz="0" w:space="0" w:color="auto"/>
                  </w:divBdr>
                  <w:divsChild>
                    <w:div w:id="1445154600">
                      <w:marLeft w:val="0"/>
                      <w:marRight w:val="0"/>
                      <w:marTop w:val="0"/>
                      <w:marBottom w:val="0"/>
                      <w:divBdr>
                        <w:top w:val="none" w:sz="0" w:space="0" w:color="auto"/>
                        <w:left w:val="none" w:sz="0" w:space="0" w:color="auto"/>
                        <w:bottom w:val="none" w:sz="0" w:space="0" w:color="auto"/>
                        <w:right w:val="none" w:sz="0" w:space="0" w:color="auto"/>
                      </w:divBdr>
                      <w:divsChild>
                        <w:div w:id="476801010">
                          <w:marLeft w:val="0"/>
                          <w:marRight w:val="0"/>
                          <w:marTop w:val="0"/>
                          <w:marBottom w:val="0"/>
                          <w:divBdr>
                            <w:top w:val="none" w:sz="0" w:space="0" w:color="auto"/>
                            <w:left w:val="none" w:sz="0" w:space="0" w:color="auto"/>
                            <w:bottom w:val="none" w:sz="0" w:space="0" w:color="auto"/>
                            <w:right w:val="none" w:sz="0" w:space="0" w:color="auto"/>
                          </w:divBdr>
                        </w:div>
                      </w:divsChild>
                    </w:div>
                    <w:div w:id="230701165">
                      <w:marLeft w:val="0"/>
                      <w:marRight w:val="0"/>
                      <w:marTop w:val="0"/>
                      <w:marBottom w:val="0"/>
                      <w:divBdr>
                        <w:top w:val="none" w:sz="0" w:space="0" w:color="auto"/>
                        <w:left w:val="none" w:sz="0" w:space="0" w:color="auto"/>
                        <w:bottom w:val="none" w:sz="0" w:space="0" w:color="auto"/>
                        <w:right w:val="none" w:sz="0" w:space="0" w:color="auto"/>
                      </w:divBdr>
                      <w:divsChild>
                        <w:div w:id="1399789780">
                          <w:marLeft w:val="0"/>
                          <w:marRight w:val="0"/>
                          <w:marTop w:val="0"/>
                          <w:marBottom w:val="0"/>
                          <w:divBdr>
                            <w:top w:val="none" w:sz="0" w:space="0" w:color="auto"/>
                            <w:left w:val="none" w:sz="0" w:space="0" w:color="auto"/>
                            <w:bottom w:val="none" w:sz="0" w:space="0" w:color="auto"/>
                            <w:right w:val="none" w:sz="0" w:space="0" w:color="auto"/>
                          </w:divBdr>
                          <w:divsChild>
                            <w:div w:id="1152452941">
                              <w:marLeft w:val="0"/>
                              <w:marRight w:val="0"/>
                              <w:marTop w:val="0"/>
                              <w:marBottom w:val="0"/>
                              <w:divBdr>
                                <w:top w:val="none" w:sz="0" w:space="0" w:color="auto"/>
                                <w:left w:val="none" w:sz="0" w:space="0" w:color="auto"/>
                                <w:bottom w:val="none" w:sz="0" w:space="0" w:color="auto"/>
                                <w:right w:val="none" w:sz="0" w:space="0" w:color="auto"/>
                              </w:divBdr>
                            </w:div>
                          </w:divsChild>
                        </w:div>
                        <w:div w:id="1065226828">
                          <w:marLeft w:val="0"/>
                          <w:marRight w:val="0"/>
                          <w:marTop w:val="0"/>
                          <w:marBottom w:val="0"/>
                          <w:divBdr>
                            <w:top w:val="none" w:sz="0" w:space="0" w:color="auto"/>
                            <w:left w:val="none" w:sz="0" w:space="0" w:color="auto"/>
                            <w:bottom w:val="none" w:sz="0" w:space="0" w:color="auto"/>
                            <w:right w:val="none" w:sz="0" w:space="0" w:color="auto"/>
                          </w:divBdr>
                          <w:divsChild>
                            <w:div w:id="4416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982975">
          <w:marLeft w:val="0"/>
          <w:marRight w:val="0"/>
          <w:marTop w:val="0"/>
          <w:marBottom w:val="0"/>
          <w:divBdr>
            <w:top w:val="none" w:sz="0" w:space="0" w:color="auto"/>
            <w:left w:val="none" w:sz="0" w:space="0" w:color="auto"/>
            <w:bottom w:val="none" w:sz="0" w:space="0" w:color="auto"/>
            <w:right w:val="none" w:sz="0" w:space="0" w:color="auto"/>
          </w:divBdr>
          <w:divsChild>
            <w:div w:id="971253251">
              <w:marLeft w:val="0"/>
              <w:marRight w:val="0"/>
              <w:marTop w:val="0"/>
              <w:marBottom w:val="0"/>
              <w:divBdr>
                <w:top w:val="none" w:sz="0" w:space="0" w:color="auto"/>
                <w:left w:val="none" w:sz="0" w:space="0" w:color="auto"/>
                <w:bottom w:val="none" w:sz="0" w:space="0" w:color="auto"/>
                <w:right w:val="none" w:sz="0" w:space="0" w:color="auto"/>
              </w:divBdr>
            </w:div>
          </w:divsChild>
        </w:div>
        <w:div w:id="201671158">
          <w:marLeft w:val="0"/>
          <w:marRight w:val="0"/>
          <w:marTop w:val="0"/>
          <w:marBottom w:val="0"/>
          <w:divBdr>
            <w:top w:val="none" w:sz="0" w:space="0" w:color="auto"/>
            <w:left w:val="none" w:sz="0" w:space="0" w:color="auto"/>
            <w:bottom w:val="none" w:sz="0" w:space="0" w:color="auto"/>
            <w:right w:val="none" w:sz="0" w:space="0" w:color="auto"/>
          </w:divBdr>
          <w:divsChild>
            <w:div w:id="632097373">
              <w:marLeft w:val="0"/>
              <w:marRight w:val="0"/>
              <w:marTop w:val="0"/>
              <w:marBottom w:val="0"/>
              <w:divBdr>
                <w:top w:val="none" w:sz="0" w:space="0" w:color="auto"/>
                <w:left w:val="none" w:sz="0" w:space="0" w:color="auto"/>
                <w:bottom w:val="none" w:sz="0" w:space="0" w:color="auto"/>
                <w:right w:val="none" w:sz="0" w:space="0" w:color="auto"/>
              </w:divBdr>
            </w:div>
          </w:divsChild>
        </w:div>
        <w:div w:id="649138499">
          <w:marLeft w:val="0"/>
          <w:marRight w:val="0"/>
          <w:marTop w:val="0"/>
          <w:marBottom w:val="0"/>
          <w:divBdr>
            <w:top w:val="none" w:sz="0" w:space="0" w:color="auto"/>
            <w:left w:val="none" w:sz="0" w:space="0" w:color="auto"/>
            <w:bottom w:val="none" w:sz="0" w:space="0" w:color="auto"/>
            <w:right w:val="none" w:sz="0" w:space="0" w:color="auto"/>
          </w:divBdr>
        </w:div>
        <w:div w:id="1367485203">
          <w:marLeft w:val="0"/>
          <w:marRight w:val="0"/>
          <w:marTop w:val="0"/>
          <w:marBottom w:val="0"/>
          <w:divBdr>
            <w:top w:val="none" w:sz="0" w:space="0" w:color="auto"/>
            <w:left w:val="none" w:sz="0" w:space="0" w:color="auto"/>
            <w:bottom w:val="none" w:sz="0" w:space="0" w:color="auto"/>
            <w:right w:val="none" w:sz="0" w:space="0" w:color="auto"/>
          </w:divBdr>
          <w:divsChild>
            <w:div w:id="400106147">
              <w:marLeft w:val="0"/>
              <w:marRight w:val="0"/>
              <w:marTop w:val="0"/>
              <w:marBottom w:val="0"/>
              <w:divBdr>
                <w:top w:val="none" w:sz="0" w:space="0" w:color="auto"/>
                <w:left w:val="none" w:sz="0" w:space="0" w:color="auto"/>
                <w:bottom w:val="none" w:sz="0" w:space="0" w:color="auto"/>
                <w:right w:val="none" w:sz="0" w:space="0" w:color="auto"/>
              </w:divBdr>
              <w:divsChild>
                <w:div w:id="1302029950">
                  <w:marLeft w:val="0"/>
                  <w:marRight w:val="0"/>
                  <w:marTop w:val="0"/>
                  <w:marBottom w:val="0"/>
                  <w:divBdr>
                    <w:top w:val="none" w:sz="0" w:space="0" w:color="auto"/>
                    <w:left w:val="none" w:sz="0" w:space="0" w:color="auto"/>
                    <w:bottom w:val="none" w:sz="0" w:space="0" w:color="auto"/>
                    <w:right w:val="none" w:sz="0" w:space="0" w:color="auto"/>
                  </w:divBdr>
                </w:div>
                <w:div w:id="1568301133">
                  <w:marLeft w:val="0"/>
                  <w:marRight w:val="0"/>
                  <w:marTop w:val="0"/>
                  <w:marBottom w:val="0"/>
                  <w:divBdr>
                    <w:top w:val="none" w:sz="0" w:space="0" w:color="auto"/>
                    <w:left w:val="none" w:sz="0" w:space="0" w:color="auto"/>
                    <w:bottom w:val="none" w:sz="0" w:space="0" w:color="auto"/>
                    <w:right w:val="none" w:sz="0" w:space="0" w:color="auto"/>
                  </w:divBdr>
                </w:div>
                <w:div w:id="2048990044">
                  <w:marLeft w:val="0"/>
                  <w:marRight w:val="0"/>
                  <w:marTop w:val="0"/>
                  <w:marBottom w:val="0"/>
                  <w:divBdr>
                    <w:top w:val="none" w:sz="0" w:space="0" w:color="auto"/>
                    <w:left w:val="none" w:sz="0" w:space="0" w:color="auto"/>
                    <w:bottom w:val="none" w:sz="0" w:space="0" w:color="auto"/>
                    <w:right w:val="none" w:sz="0" w:space="0" w:color="auto"/>
                  </w:divBdr>
                  <w:divsChild>
                    <w:div w:id="561454399">
                      <w:marLeft w:val="0"/>
                      <w:marRight w:val="0"/>
                      <w:marTop w:val="0"/>
                      <w:marBottom w:val="0"/>
                      <w:divBdr>
                        <w:top w:val="none" w:sz="0" w:space="0" w:color="auto"/>
                        <w:left w:val="none" w:sz="0" w:space="0" w:color="auto"/>
                        <w:bottom w:val="none" w:sz="0" w:space="0" w:color="auto"/>
                        <w:right w:val="none" w:sz="0" w:space="0" w:color="auto"/>
                      </w:divBdr>
                      <w:divsChild>
                        <w:div w:id="339818086">
                          <w:marLeft w:val="0"/>
                          <w:marRight w:val="0"/>
                          <w:marTop w:val="0"/>
                          <w:marBottom w:val="0"/>
                          <w:divBdr>
                            <w:top w:val="none" w:sz="0" w:space="0" w:color="auto"/>
                            <w:left w:val="none" w:sz="0" w:space="0" w:color="auto"/>
                            <w:bottom w:val="none" w:sz="0" w:space="0" w:color="auto"/>
                            <w:right w:val="none" w:sz="0" w:space="0" w:color="auto"/>
                          </w:divBdr>
                        </w:div>
                        <w:div w:id="67075486">
                          <w:marLeft w:val="0"/>
                          <w:marRight w:val="0"/>
                          <w:marTop w:val="0"/>
                          <w:marBottom w:val="0"/>
                          <w:divBdr>
                            <w:top w:val="none" w:sz="0" w:space="0" w:color="auto"/>
                            <w:left w:val="none" w:sz="0" w:space="0" w:color="auto"/>
                            <w:bottom w:val="none" w:sz="0" w:space="0" w:color="auto"/>
                            <w:right w:val="none" w:sz="0" w:space="0" w:color="auto"/>
                          </w:divBdr>
                        </w:div>
                        <w:div w:id="1015884055">
                          <w:marLeft w:val="0"/>
                          <w:marRight w:val="0"/>
                          <w:marTop w:val="0"/>
                          <w:marBottom w:val="0"/>
                          <w:divBdr>
                            <w:top w:val="none" w:sz="0" w:space="0" w:color="auto"/>
                            <w:left w:val="none" w:sz="0" w:space="0" w:color="auto"/>
                            <w:bottom w:val="none" w:sz="0" w:space="0" w:color="auto"/>
                            <w:right w:val="none" w:sz="0" w:space="0" w:color="auto"/>
                          </w:divBdr>
                        </w:div>
                        <w:div w:id="613245376">
                          <w:marLeft w:val="0"/>
                          <w:marRight w:val="0"/>
                          <w:marTop w:val="0"/>
                          <w:marBottom w:val="0"/>
                          <w:divBdr>
                            <w:top w:val="none" w:sz="0" w:space="0" w:color="auto"/>
                            <w:left w:val="none" w:sz="0" w:space="0" w:color="auto"/>
                            <w:bottom w:val="none" w:sz="0" w:space="0" w:color="auto"/>
                            <w:right w:val="none" w:sz="0" w:space="0" w:color="auto"/>
                          </w:divBdr>
                          <w:divsChild>
                            <w:div w:id="1667129325">
                              <w:marLeft w:val="0"/>
                              <w:marRight w:val="0"/>
                              <w:marTop w:val="0"/>
                              <w:marBottom w:val="0"/>
                              <w:divBdr>
                                <w:top w:val="none" w:sz="0" w:space="0" w:color="auto"/>
                                <w:left w:val="none" w:sz="0" w:space="0" w:color="auto"/>
                                <w:bottom w:val="none" w:sz="0" w:space="0" w:color="auto"/>
                                <w:right w:val="none" w:sz="0" w:space="0" w:color="auto"/>
                              </w:divBdr>
                            </w:div>
                          </w:divsChild>
                        </w:div>
                        <w:div w:id="2131587174">
                          <w:marLeft w:val="0"/>
                          <w:marRight w:val="0"/>
                          <w:marTop w:val="0"/>
                          <w:marBottom w:val="0"/>
                          <w:divBdr>
                            <w:top w:val="none" w:sz="0" w:space="0" w:color="auto"/>
                            <w:left w:val="none" w:sz="0" w:space="0" w:color="auto"/>
                            <w:bottom w:val="none" w:sz="0" w:space="0" w:color="auto"/>
                            <w:right w:val="none" w:sz="0" w:space="0" w:color="auto"/>
                          </w:divBdr>
                          <w:divsChild>
                            <w:div w:id="4771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83120">
      <w:bodyDiv w:val="1"/>
      <w:marLeft w:val="0"/>
      <w:marRight w:val="0"/>
      <w:marTop w:val="0"/>
      <w:marBottom w:val="0"/>
      <w:divBdr>
        <w:top w:val="none" w:sz="0" w:space="0" w:color="auto"/>
        <w:left w:val="none" w:sz="0" w:space="0" w:color="auto"/>
        <w:bottom w:val="none" w:sz="0" w:space="0" w:color="auto"/>
        <w:right w:val="none" w:sz="0" w:space="0" w:color="auto"/>
      </w:divBdr>
    </w:div>
    <w:div w:id="125591385">
      <w:bodyDiv w:val="1"/>
      <w:marLeft w:val="0"/>
      <w:marRight w:val="0"/>
      <w:marTop w:val="0"/>
      <w:marBottom w:val="0"/>
      <w:divBdr>
        <w:top w:val="none" w:sz="0" w:space="0" w:color="auto"/>
        <w:left w:val="none" w:sz="0" w:space="0" w:color="auto"/>
        <w:bottom w:val="none" w:sz="0" w:space="0" w:color="auto"/>
        <w:right w:val="none" w:sz="0" w:space="0" w:color="auto"/>
      </w:divBdr>
      <w:divsChild>
        <w:div w:id="173687296">
          <w:marLeft w:val="0"/>
          <w:marRight w:val="0"/>
          <w:marTop w:val="0"/>
          <w:marBottom w:val="0"/>
          <w:divBdr>
            <w:top w:val="none" w:sz="0" w:space="0" w:color="auto"/>
            <w:left w:val="none" w:sz="0" w:space="0" w:color="auto"/>
            <w:bottom w:val="none" w:sz="0" w:space="0" w:color="auto"/>
            <w:right w:val="none" w:sz="0" w:space="0" w:color="auto"/>
          </w:divBdr>
          <w:divsChild>
            <w:div w:id="1136726297">
              <w:marLeft w:val="0"/>
              <w:marRight w:val="0"/>
              <w:marTop w:val="0"/>
              <w:marBottom w:val="0"/>
              <w:divBdr>
                <w:top w:val="none" w:sz="0" w:space="0" w:color="auto"/>
                <w:left w:val="none" w:sz="0" w:space="0" w:color="auto"/>
                <w:bottom w:val="none" w:sz="0" w:space="0" w:color="auto"/>
                <w:right w:val="none" w:sz="0" w:space="0" w:color="auto"/>
              </w:divBdr>
              <w:divsChild>
                <w:div w:id="208497877">
                  <w:marLeft w:val="0"/>
                  <w:marRight w:val="0"/>
                  <w:marTop w:val="0"/>
                  <w:marBottom w:val="0"/>
                  <w:divBdr>
                    <w:top w:val="none" w:sz="0" w:space="0" w:color="auto"/>
                    <w:left w:val="none" w:sz="0" w:space="0" w:color="auto"/>
                    <w:bottom w:val="none" w:sz="0" w:space="0" w:color="auto"/>
                    <w:right w:val="none" w:sz="0" w:space="0" w:color="auto"/>
                  </w:divBdr>
                  <w:divsChild>
                    <w:div w:id="1284311378">
                      <w:marLeft w:val="0"/>
                      <w:marRight w:val="0"/>
                      <w:marTop w:val="0"/>
                      <w:marBottom w:val="0"/>
                      <w:divBdr>
                        <w:top w:val="none" w:sz="0" w:space="0" w:color="auto"/>
                        <w:left w:val="none" w:sz="0" w:space="0" w:color="auto"/>
                        <w:bottom w:val="none" w:sz="0" w:space="0" w:color="auto"/>
                        <w:right w:val="none" w:sz="0" w:space="0" w:color="auto"/>
                      </w:divBdr>
                      <w:divsChild>
                        <w:div w:id="913929333">
                          <w:marLeft w:val="0"/>
                          <w:marRight w:val="0"/>
                          <w:marTop w:val="0"/>
                          <w:marBottom w:val="0"/>
                          <w:divBdr>
                            <w:top w:val="none" w:sz="0" w:space="0" w:color="auto"/>
                            <w:left w:val="none" w:sz="0" w:space="0" w:color="auto"/>
                            <w:bottom w:val="none" w:sz="0" w:space="0" w:color="auto"/>
                            <w:right w:val="none" w:sz="0" w:space="0" w:color="auto"/>
                          </w:divBdr>
                          <w:divsChild>
                            <w:div w:id="916354891">
                              <w:marLeft w:val="0"/>
                              <w:marRight w:val="0"/>
                              <w:marTop w:val="0"/>
                              <w:marBottom w:val="0"/>
                              <w:divBdr>
                                <w:top w:val="none" w:sz="0" w:space="0" w:color="auto"/>
                                <w:left w:val="none" w:sz="0" w:space="0" w:color="auto"/>
                                <w:bottom w:val="none" w:sz="0" w:space="0" w:color="auto"/>
                                <w:right w:val="none" w:sz="0" w:space="0" w:color="auto"/>
                              </w:divBdr>
                              <w:divsChild>
                                <w:div w:id="1965966275">
                                  <w:marLeft w:val="0"/>
                                  <w:marRight w:val="0"/>
                                  <w:marTop w:val="0"/>
                                  <w:marBottom w:val="0"/>
                                  <w:divBdr>
                                    <w:top w:val="none" w:sz="0" w:space="0" w:color="auto"/>
                                    <w:left w:val="none" w:sz="0" w:space="0" w:color="auto"/>
                                    <w:bottom w:val="none" w:sz="0" w:space="0" w:color="auto"/>
                                    <w:right w:val="none" w:sz="0" w:space="0" w:color="auto"/>
                                  </w:divBdr>
                                  <w:divsChild>
                                    <w:div w:id="2122528314">
                                      <w:marLeft w:val="60"/>
                                      <w:marRight w:val="0"/>
                                      <w:marTop w:val="0"/>
                                      <w:marBottom w:val="0"/>
                                      <w:divBdr>
                                        <w:top w:val="none" w:sz="0" w:space="0" w:color="auto"/>
                                        <w:left w:val="none" w:sz="0" w:space="0" w:color="auto"/>
                                        <w:bottom w:val="none" w:sz="0" w:space="0" w:color="auto"/>
                                        <w:right w:val="none" w:sz="0" w:space="0" w:color="auto"/>
                                      </w:divBdr>
                                      <w:divsChild>
                                        <w:div w:id="2034577488">
                                          <w:marLeft w:val="0"/>
                                          <w:marRight w:val="0"/>
                                          <w:marTop w:val="0"/>
                                          <w:marBottom w:val="0"/>
                                          <w:divBdr>
                                            <w:top w:val="none" w:sz="0" w:space="0" w:color="auto"/>
                                            <w:left w:val="none" w:sz="0" w:space="0" w:color="auto"/>
                                            <w:bottom w:val="none" w:sz="0" w:space="0" w:color="auto"/>
                                            <w:right w:val="none" w:sz="0" w:space="0" w:color="auto"/>
                                          </w:divBdr>
                                          <w:divsChild>
                                            <w:div w:id="293220208">
                                              <w:marLeft w:val="0"/>
                                              <w:marRight w:val="0"/>
                                              <w:marTop w:val="0"/>
                                              <w:marBottom w:val="120"/>
                                              <w:divBdr>
                                                <w:top w:val="single" w:sz="6" w:space="0" w:color="F5F5F5"/>
                                                <w:left w:val="single" w:sz="6" w:space="0" w:color="F5F5F5"/>
                                                <w:bottom w:val="single" w:sz="6" w:space="0" w:color="F5F5F5"/>
                                                <w:right w:val="single" w:sz="6" w:space="0" w:color="F5F5F5"/>
                                              </w:divBdr>
                                              <w:divsChild>
                                                <w:div w:id="1722056086">
                                                  <w:marLeft w:val="0"/>
                                                  <w:marRight w:val="0"/>
                                                  <w:marTop w:val="0"/>
                                                  <w:marBottom w:val="0"/>
                                                  <w:divBdr>
                                                    <w:top w:val="none" w:sz="0" w:space="0" w:color="auto"/>
                                                    <w:left w:val="none" w:sz="0" w:space="0" w:color="auto"/>
                                                    <w:bottom w:val="none" w:sz="0" w:space="0" w:color="auto"/>
                                                    <w:right w:val="none" w:sz="0" w:space="0" w:color="auto"/>
                                                  </w:divBdr>
                                                  <w:divsChild>
                                                    <w:div w:id="123227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39773">
      <w:bodyDiv w:val="1"/>
      <w:marLeft w:val="0"/>
      <w:marRight w:val="0"/>
      <w:marTop w:val="0"/>
      <w:marBottom w:val="0"/>
      <w:divBdr>
        <w:top w:val="none" w:sz="0" w:space="0" w:color="auto"/>
        <w:left w:val="none" w:sz="0" w:space="0" w:color="auto"/>
        <w:bottom w:val="none" w:sz="0" w:space="0" w:color="auto"/>
        <w:right w:val="none" w:sz="0" w:space="0" w:color="auto"/>
      </w:divBdr>
    </w:div>
    <w:div w:id="129830468">
      <w:bodyDiv w:val="1"/>
      <w:marLeft w:val="0"/>
      <w:marRight w:val="0"/>
      <w:marTop w:val="0"/>
      <w:marBottom w:val="0"/>
      <w:divBdr>
        <w:top w:val="none" w:sz="0" w:space="0" w:color="auto"/>
        <w:left w:val="none" w:sz="0" w:space="0" w:color="auto"/>
        <w:bottom w:val="none" w:sz="0" w:space="0" w:color="auto"/>
        <w:right w:val="none" w:sz="0" w:space="0" w:color="auto"/>
      </w:divBdr>
    </w:div>
    <w:div w:id="169180612">
      <w:bodyDiv w:val="1"/>
      <w:marLeft w:val="0"/>
      <w:marRight w:val="0"/>
      <w:marTop w:val="0"/>
      <w:marBottom w:val="0"/>
      <w:divBdr>
        <w:top w:val="none" w:sz="0" w:space="0" w:color="auto"/>
        <w:left w:val="none" w:sz="0" w:space="0" w:color="auto"/>
        <w:bottom w:val="none" w:sz="0" w:space="0" w:color="auto"/>
        <w:right w:val="none" w:sz="0" w:space="0" w:color="auto"/>
      </w:divBdr>
    </w:div>
    <w:div w:id="208036732">
      <w:bodyDiv w:val="1"/>
      <w:marLeft w:val="0"/>
      <w:marRight w:val="0"/>
      <w:marTop w:val="0"/>
      <w:marBottom w:val="0"/>
      <w:divBdr>
        <w:top w:val="none" w:sz="0" w:space="0" w:color="auto"/>
        <w:left w:val="none" w:sz="0" w:space="0" w:color="auto"/>
        <w:bottom w:val="none" w:sz="0" w:space="0" w:color="auto"/>
        <w:right w:val="none" w:sz="0" w:space="0" w:color="auto"/>
      </w:divBdr>
    </w:div>
    <w:div w:id="211767162">
      <w:bodyDiv w:val="1"/>
      <w:marLeft w:val="0"/>
      <w:marRight w:val="0"/>
      <w:marTop w:val="0"/>
      <w:marBottom w:val="0"/>
      <w:divBdr>
        <w:top w:val="none" w:sz="0" w:space="0" w:color="auto"/>
        <w:left w:val="none" w:sz="0" w:space="0" w:color="auto"/>
        <w:bottom w:val="none" w:sz="0" w:space="0" w:color="auto"/>
        <w:right w:val="none" w:sz="0" w:space="0" w:color="auto"/>
      </w:divBdr>
      <w:divsChild>
        <w:div w:id="696660752">
          <w:marLeft w:val="0"/>
          <w:marRight w:val="0"/>
          <w:marTop w:val="0"/>
          <w:marBottom w:val="0"/>
          <w:divBdr>
            <w:top w:val="none" w:sz="0" w:space="0" w:color="auto"/>
            <w:left w:val="none" w:sz="0" w:space="0" w:color="auto"/>
            <w:bottom w:val="none" w:sz="0" w:space="0" w:color="auto"/>
            <w:right w:val="none" w:sz="0" w:space="0" w:color="auto"/>
          </w:divBdr>
        </w:div>
        <w:div w:id="2091534251">
          <w:marLeft w:val="0"/>
          <w:marRight w:val="0"/>
          <w:marTop w:val="0"/>
          <w:marBottom w:val="0"/>
          <w:divBdr>
            <w:top w:val="none" w:sz="0" w:space="0" w:color="auto"/>
            <w:left w:val="none" w:sz="0" w:space="0" w:color="auto"/>
            <w:bottom w:val="none" w:sz="0" w:space="0" w:color="auto"/>
            <w:right w:val="none" w:sz="0" w:space="0" w:color="auto"/>
          </w:divBdr>
        </w:div>
      </w:divsChild>
    </w:div>
    <w:div w:id="250897059">
      <w:bodyDiv w:val="1"/>
      <w:marLeft w:val="0"/>
      <w:marRight w:val="0"/>
      <w:marTop w:val="0"/>
      <w:marBottom w:val="0"/>
      <w:divBdr>
        <w:top w:val="none" w:sz="0" w:space="0" w:color="auto"/>
        <w:left w:val="none" w:sz="0" w:space="0" w:color="auto"/>
        <w:bottom w:val="none" w:sz="0" w:space="0" w:color="auto"/>
        <w:right w:val="none" w:sz="0" w:space="0" w:color="auto"/>
      </w:divBdr>
    </w:div>
    <w:div w:id="265843106">
      <w:bodyDiv w:val="1"/>
      <w:marLeft w:val="0"/>
      <w:marRight w:val="0"/>
      <w:marTop w:val="0"/>
      <w:marBottom w:val="0"/>
      <w:divBdr>
        <w:top w:val="none" w:sz="0" w:space="0" w:color="auto"/>
        <w:left w:val="none" w:sz="0" w:space="0" w:color="auto"/>
        <w:bottom w:val="none" w:sz="0" w:space="0" w:color="auto"/>
        <w:right w:val="none" w:sz="0" w:space="0" w:color="auto"/>
      </w:divBdr>
      <w:divsChild>
        <w:div w:id="624312448">
          <w:marLeft w:val="0"/>
          <w:marRight w:val="0"/>
          <w:marTop w:val="0"/>
          <w:marBottom w:val="0"/>
          <w:divBdr>
            <w:top w:val="none" w:sz="0" w:space="0" w:color="auto"/>
            <w:left w:val="none" w:sz="0" w:space="0" w:color="auto"/>
            <w:bottom w:val="none" w:sz="0" w:space="0" w:color="auto"/>
            <w:right w:val="none" w:sz="0" w:space="0" w:color="auto"/>
          </w:divBdr>
          <w:divsChild>
            <w:div w:id="534198824">
              <w:marLeft w:val="0"/>
              <w:marRight w:val="0"/>
              <w:marTop w:val="0"/>
              <w:marBottom w:val="0"/>
              <w:divBdr>
                <w:top w:val="none" w:sz="0" w:space="0" w:color="auto"/>
                <w:left w:val="none" w:sz="0" w:space="0" w:color="auto"/>
                <w:bottom w:val="none" w:sz="0" w:space="0" w:color="auto"/>
                <w:right w:val="none" w:sz="0" w:space="0" w:color="auto"/>
              </w:divBdr>
              <w:divsChild>
                <w:div w:id="1051224759">
                  <w:marLeft w:val="0"/>
                  <w:marRight w:val="0"/>
                  <w:marTop w:val="0"/>
                  <w:marBottom w:val="0"/>
                  <w:divBdr>
                    <w:top w:val="none" w:sz="0" w:space="0" w:color="auto"/>
                    <w:left w:val="none" w:sz="0" w:space="0" w:color="auto"/>
                    <w:bottom w:val="none" w:sz="0" w:space="0" w:color="auto"/>
                    <w:right w:val="none" w:sz="0" w:space="0" w:color="auto"/>
                  </w:divBdr>
                  <w:divsChild>
                    <w:div w:id="1492330677">
                      <w:marLeft w:val="0"/>
                      <w:marRight w:val="0"/>
                      <w:marTop w:val="0"/>
                      <w:marBottom w:val="0"/>
                      <w:divBdr>
                        <w:top w:val="none" w:sz="0" w:space="0" w:color="auto"/>
                        <w:left w:val="none" w:sz="0" w:space="0" w:color="auto"/>
                        <w:bottom w:val="none" w:sz="0" w:space="0" w:color="auto"/>
                        <w:right w:val="none" w:sz="0" w:space="0" w:color="auto"/>
                      </w:divBdr>
                      <w:divsChild>
                        <w:div w:id="1603296178">
                          <w:marLeft w:val="0"/>
                          <w:marRight w:val="0"/>
                          <w:marTop w:val="0"/>
                          <w:marBottom w:val="0"/>
                          <w:divBdr>
                            <w:top w:val="none" w:sz="0" w:space="0" w:color="auto"/>
                            <w:left w:val="none" w:sz="0" w:space="0" w:color="auto"/>
                            <w:bottom w:val="none" w:sz="0" w:space="0" w:color="auto"/>
                            <w:right w:val="none" w:sz="0" w:space="0" w:color="auto"/>
                          </w:divBdr>
                          <w:divsChild>
                            <w:div w:id="1517040339">
                              <w:marLeft w:val="0"/>
                              <w:marRight w:val="0"/>
                              <w:marTop w:val="0"/>
                              <w:marBottom w:val="0"/>
                              <w:divBdr>
                                <w:top w:val="none" w:sz="0" w:space="0" w:color="auto"/>
                                <w:left w:val="none" w:sz="0" w:space="0" w:color="auto"/>
                                <w:bottom w:val="none" w:sz="0" w:space="0" w:color="auto"/>
                                <w:right w:val="none" w:sz="0" w:space="0" w:color="auto"/>
                              </w:divBdr>
                              <w:divsChild>
                                <w:div w:id="228394213">
                                  <w:marLeft w:val="0"/>
                                  <w:marRight w:val="0"/>
                                  <w:marTop w:val="0"/>
                                  <w:marBottom w:val="0"/>
                                  <w:divBdr>
                                    <w:top w:val="none" w:sz="0" w:space="0" w:color="auto"/>
                                    <w:left w:val="none" w:sz="0" w:space="0" w:color="auto"/>
                                    <w:bottom w:val="none" w:sz="0" w:space="0" w:color="auto"/>
                                    <w:right w:val="none" w:sz="0" w:space="0" w:color="auto"/>
                                  </w:divBdr>
                                  <w:divsChild>
                                    <w:div w:id="1367608915">
                                      <w:marLeft w:val="60"/>
                                      <w:marRight w:val="0"/>
                                      <w:marTop w:val="0"/>
                                      <w:marBottom w:val="0"/>
                                      <w:divBdr>
                                        <w:top w:val="none" w:sz="0" w:space="0" w:color="auto"/>
                                        <w:left w:val="none" w:sz="0" w:space="0" w:color="auto"/>
                                        <w:bottom w:val="none" w:sz="0" w:space="0" w:color="auto"/>
                                        <w:right w:val="none" w:sz="0" w:space="0" w:color="auto"/>
                                      </w:divBdr>
                                      <w:divsChild>
                                        <w:div w:id="2019035265">
                                          <w:marLeft w:val="0"/>
                                          <w:marRight w:val="0"/>
                                          <w:marTop w:val="0"/>
                                          <w:marBottom w:val="0"/>
                                          <w:divBdr>
                                            <w:top w:val="none" w:sz="0" w:space="0" w:color="auto"/>
                                            <w:left w:val="none" w:sz="0" w:space="0" w:color="auto"/>
                                            <w:bottom w:val="none" w:sz="0" w:space="0" w:color="auto"/>
                                            <w:right w:val="none" w:sz="0" w:space="0" w:color="auto"/>
                                          </w:divBdr>
                                          <w:divsChild>
                                            <w:div w:id="1633100295">
                                              <w:marLeft w:val="0"/>
                                              <w:marRight w:val="0"/>
                                              <w:marTop w:val="0"/>
                                              <w:marBottom w:val="120"/>
                                              <w:divBdr>
                                                <w:top w:val="single" w:sz="6" w:space="0" w:color="F5F5F5"/>
                                                <w:left w:val="single" w:sz="6" w:space="0" w:color="F5F5F5"/>
                                                <w:bottom w:val="single" w:sz="6" w:space="0" w:color="F5F5F5"/>
                                                <w:right w:val="single" w:sz="6" w:space="0" w:color="F5F5F5"/>
                                              </w:divBdr>
                                              <w:divsChild>
                                                <w:div w:id="1978416211">
                                                  <w:marLeft w:val="0"/>
                                                  <w:marRight w:val="0"/>
                                                  <w:marTop w:val="0"/>
                                                  <w:marBottom w:val="0"/>
                                                  <w:divBdr>
                                                    <w:top w:val="none" w:sz="0" w:space="0" w:color="auto"/>
                                                    <w:left w:val="none" w:sz="0" w:space="0" w:color="auto"/>
                                                    <w:bottom w:val="none" w:sz="0" w:space="0" w:color="auto"/>
                                                    <w:right w:val="none" w:sz="0" w:space="0" w:color="auto"/>
                                                  </w:divBdr>
                                                  <w:divsChild>
                                                    <w:div w:id="11482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6178762">
      <w:bodyDiv w:val="1"/>
      <w:marLeft w:val="0"/>
      <w:marRight w:val="0"/>
      <w:marTop w:val="0"/>
      <w:marBottom w:val="0"/>
      <w:divBdr>
        <w:top w:val="none" w:sz="0" w:space="0" w:color="auto"/>
        <w:left w:val="none" w:sz="0" w:space="0" w:color="auto"/>
        <w:bottom w:val="none" w:sz="0" w:space="0" w:color="auto"/>
        <w:right w:val="none" w:sz="0" w:space="0" w:color="auto"/>
      </w:divBdr>
    </w:div>
    <w:div w:id="389350264">
      <w:bodyDiv w:val="1"/>
      <w:marLeft w:val="0"/>
      <w:marRight w:val="0"/>
      <w:marTop w:val="0"/>
      <w:marBottom w:val="0"/>
      <w:divBdr>
        <w:top w:val="none" w:sz="0" w:space="0" w:color="auto"/>
        <w:left w:val="none" w:sz="0" w:space="0" w:color="auto"/>
        <w:bottom w:val="none" w:sz="0" w:space="0" w:color="auto"/>
        <w:right w:val="none" w:sz="0" w:space="0" w:color="auto"/>
      </w:divBdr>
    </w:div>
    <w:div w:id="409233777">
      <w:bodyDiv w:val="1"/>
      <w:marLeft w:val="0"/>
      <w:marRight w:val="0"/>
      <w:marTop w:val="0"/>
      <w:marBottom w:val="0"/>
      <w:divBdr>
        <w:top w:val="none" w:sz="0" w:space="0" w:color="auto"/>
        <w:left w:val="none" w:sz="0" w:space="0" w:color="auto"/>
        <w:bottom w:val="none" w:sz="0" w:space="0" w:color="auto"/>
        <w:right w:val="none" w:sz="0" w:space="0" w:color="auto"/>
      </w:divBdr>
      <w:divsChild>
        <w:div w:id="1618874275">
          <w:marLeft w:val="0"/>
          <w:marRight w:val="0"/>
          <w:marTop w:val="0"/>
          <w:marBottom w:val="0"/>
          <w:divBdr>
            <w:top w:val="none" w:sz="0" w:space="0" w:color="auto"/>
            <w:left w:val="none" w:sz="0" w:space="0" w:color="auto"/>
            <w:bottom w:val="none" w:sz="0" w:space="0" w:color="auto"/>
            <w:right w:val="none" w:sz="0" w:space="0" w:color="auto"/>
          </w:divBdr>
        </w:div>
        <w:div w:id="1578128364">
          <w:marLeft w:val="0"/>
          <w:marRight w:val="0"/>
          <w:marTop w:val="0"/>
          <w:marBottom w:val="0"/>
          <w:divBdr>
            <w:top w:val="none" w:sz="0" w:space="0" w:color="auto"/>
            <w:left w:val="none" w:sz="0" w:space="0" w:color="auto"/>
            <w:bottom w:val="none" w:sz="0" w:space="0" w:color="auto"/>
            <w:right w:val="none" w:sz="0" w:space="0" w:color="auto"/>
          </w:divBdr>
          <w:divsChild>
            <w:div w:id="16153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6942">
      <w:bodyDiv w:val="1"/>
      <w:marLeft w:val="0"/>
      <w:marRight w:val="0"/>
      <w:marTop w:val="0"/>
      <w:marBottom w:val="0"/>
      <w:divBdr>
        <w:top w:val="none" w:sz="0" w:space="0" w:color="auto"/>
        <w:left w:val="none" w:sz="0" w:space="0" w:color="auto"/>
        <w:bottom w:val="none" w:sz="0" w:space="0" w:color="auto"/>
        <w:right w:val="none" w:sz="0" w:space="0" w:color="auto"/>
      </w:divBdr>
    </w:div>
    <w:div w:id="553201246">
      <w:bodyDiv w:val="1"/>
      <w:marLeft w:val="0"/>
      <w:marRight w:val="0"/>
      <w:marTop w:val="0"/>
      <w:marBottom w:val="0"/>
      <w:divBdr>
        <w:top w:val="none" w:sz="0" w:space="0" w:color="auto"/>
        <w:left w:val="none" w:sz="0" w:space="0" w:color="auto"/>
        <w:bottom w:val="none" w:sz="0" w:space="0" w:color="auto"/>
        <w:right w:val="none" w:sz="0" w:space="0" w:color="auto"/>
      </w:divBdr>
    </w:div>
    <w:div w:id="557203596">
      <w:bodyDiv w:val="1"/>
      <w:marLeft w:val="0"/>
      <w:marRight w:val="0"/>
      <w:marTop w:val="0"/>
      <w:marBottom w:val="0"/>
      <w:divBdr>
        <w:top w:val="none" w:sz="0" w:space="0" w:color="auto"/>
        <w:left w:val="none" w:sz="0" w:space="0" w:color="auto"/>
        <w:bottom w:val="none" w:sz="0" w:space="0" w:color="auto"/>
        <w:right w:val="none" w:sz="0" w:space="0" w:color="auto"/>
      </w:divBdr>
    </w:div>
    <w:div w:id="564922596">
      <w:bodyDiv w:val="1"/>
      <w:marLeft w:val="0"/>
      <w:marRight w:val="0"/>
      <w:marTop w:val="0"/>
      <w:marBottom w:val="0"/>
      <w:divBdr>
        <w:top w:val="none" w:sz="0" w:space="0" w:color="auto"/>
        <w:left w:val="none" w:sz="0" w:space="0" w:color="auto"/>
        <w:bottom w:val="none" w:sz="0" w:space="0" w:color="auto"/>
        <w:right w:val="none" w:sz="0" w:space="0" w:color="auto"/>
      </w:divBdr>
    </w:div>
    <w:div w:id="587350314">
      <w:bodyDiv w:val="1"/>
      <w:marLeft w:val="0"/>
      <w:marRight w:val="0"/>
      <w:marTop w:val="0"/>
      <w:marBottom w:val="0"/>
      <w:divBdr>
        <w:top w:val="none" w:sz="0" w:space="0" w:color="auto"/>
        <w:left w:val="none" w:sz="0" w:space="0" w:color="auto"/>
        <w:bottom w:val="none" w:sz="0" w:space="0" w:color="auto"/>
        <w:right w:val="none" w:sz="0" w:space="0" w:color="auto"/>
      </w:divBdr>
    </w:div>
    <w:div w:id="623656736">
      <w:bodyDiv w:val="1"/>
      <w:marLeft w:val="0"/>
      <w:marRight w:val="0"/>
      <w:marTop w:val="0"/>
      <w:marBottom w:val="0"/>
      <w:divBdr>
        <w:top w:val="none" w:sz="0" w:space="0" w:color="auto"/>
        <w:left w:val="none" w:sz="0" w:space="0" w:color="auto"/>
        <w:bottom w:val="none" w:sz="0" w:space="0" w:color="auto"/>
        <w:right w:val="none" w:sz="0" w:space="0" w:color="auto"/>
      </w:divBdr>
      <w:divsChild>
        <w:div w:id="2047367193">
          <w:marLeft w:val="0"/>
          <w:marRight w:val="0"/>
          <w:marTop w:val="0"/>
          <w:marBottom w:val="0"/>
          <w:divBdr>
            <w:top w:val="none" w:sz="0" w:space="0" w:color="auto"/>
            <w:left w:val="none" w:sz="0" w:space="0" w:color="auto"/>
            <w:bottom w:val="none" w:sz="0" w:space="0" w:color="auto"/>
            <w:right w:val="none" w:sz="0" w:space="0" w:color="auto"/>
          </w:divBdr>
        </w:div>
        <w:div w:id="1417169592">
          <w:marLeft w:val="0"/>
          <w:marRight w:val="0"/>
          <w:marTop w:val="0"/>
          <w:marBottom w:val="0"/>
          <w:divBdr>
            <w:top w:val="none" w:sz="0" w:space="0" w:color="auto"/>
            <w:left w:val="none" w:sz="0" w:space="0" w:color="auto"/>
            <w:bottom w:val="none" w:sz="0" w:space="0" w:color="auto"/>
            <w:right w:val="none" w:sz="0" w:space="0" w:color="auto"/>
          </w:divBdr>
        </w:div>
      </w:divsChild>
    </w:div>
    <w:div w:id="628128122">
      <w:bodyDiv w:val="1"/>
      <w:marLeft w:val="0"/>
      <w:marRight w:val="0"/>
      <w:marTop w:val="0"/>
      <w:marBottom w:val="0"/>
      <w:divBdr>
        <w:top w:val="none" w:sz="0" w:space="0" w:color="auto"/>
        <w:left w:val="none" w:sz="0" w:space="0" w:color="auto"/>
        <w:bottom w:val="none" w:sz="0" w:space="0" w:color="auto"/>
        <w:right w:val="none" w:sz="0" w:space="0" w:color="auto"/>
      </w:divBdr>
    </w:div>
    <w:div w:id="634027146">
      <w:bodyDiv w:val="1"/>
      <w:marLeft w:val="0"/>
      <w:marRight w:val="0"/>
      <w:marTop w:val="0"/>
      <w:marBottom w:val="0"/>
      <w:divBdr>
        <w:top w:val="none" w:sz="0" w:space="0" w:color="auto"/>
        <w:left w:val="none" w:sz="0" w:space="0" w:color="auto"/>
        <w:bottom w:val="none" w:sz="0" w:space="0" w:color="auto"/>
        <w:right w:val="none" w:sz="0" w:space="0" w:color="auto"/>
      </w:divBdr>
      <w:divsChild>
        <w:div w:id="1623922781">
          <w:marLeft w:val="0"/>
          <w:marRight w:val="0"/>
          <w:marTop w:val="0"/>
          <w:marBottom w:val="0"/>
          <w:divBdr>
            <w:top w:val="none" w:sz="0" w:space="0" w:color="auto"/>
            <w:left w:val="none" w:sz="0" w:space="0" w:color="auto"/>
            <w:bottom w:val="none" w:sz="0" w:space="0" w:color="auto"/>
            <w:right w:val="none" w:sz="0" w:space="0" w:color="auto"/>
          </w:divBdr>
        </w:div>
        <w:div w:id="1178887930">
          <w:marLeft w:val="0"/>
          <w:marRight w:val="0"/>
          <w:marTop w:val="0"/>
          <w:marBottom w:val="0"/>
          <w:divBdr>
            <w:top w:val="none" w:sz="0" w:space="0" w:color="auto"/>
            <w:left w:val="none" w:sz="0" w:space="0" w:color="auto"/>
            <w:bottom w:val="none" w:sz="0" w:space="0" w:color="auto"/>
            <w:right w:val="none" w:sz="0" w:space="0" w:color="auto"/>
          </w:divBdr>
        </w:div>
      </w:divsChild>
    </w:div>
    <w:div w:id="682516644">
      <w:bodyDiv w:val="1"/>
      <w:marLeft w:val="0"/>
      <w:marRight w:val="0"/>
      <w:marTop w:val="0"/>
      <w:marBottom w:val="0"/>
      <w:divBdr>
        <w:top w:val="none" w:sz="0" w:space="0" w:color="auto"/>
        <w:left w:val="none" w:sz="0" w:space="0" w:color="auto"/>
        <w:bottom w:val="none" w:sz="0" w:space="0" w:color="auto"/>
        <w:right w:val="none" w:sz="0" w:space="0" w:color="auto"/>
      </w:divBdr>
      <w:divsChild>
        <w:div w:id="335114396">
          <w:marLeft w:val="0"/>
          <w:marRight w:val="0"/>
          <w:marTop w:val="0"/>
          <w:marBottom w:val="0"/>
          <w:divBdr>
            <w:top w:val="none" w:sz="0" w:space="0" w:color="auto"/>
            <w:left w:val="none" w:sz="0" w:space="0" w:color="auto"/>
            <w:bottom w:val="none" w:sz="0" w:space="0" w:color="auto"/>
            <w:right w:val="none" w:sz="0" w:space="0" w:color="auto"/>
          </w:divBdr>
          <w:divsChild>
            <w:div w:id="605842740">
              <w:marLeft w:val="0"/>
              <w:marRight w:val="0"/>
              <w:marTop w:val="0"/>
              <w:marBottom w:val="0"/>
              <w:divBdr>
                <w:top w:val="none" w:sz="0" w:space="0" w:color="auto"/>
                <w:left w:val="none" w:sz="0" w:space="0" w:color="auto"/>
                <w:bottom w:val="none" w:sz="0" w:space="0" w:color="auto"/>
                <w:right w:val="none" w:sz="0" w:space="0" w:color="auto"/>
              </w:divBdr>
            </w:div>
            <w:div w:id="2118598390">
              <w:marLeft w:val="0"/>
              <w:marRight w:val="0"/>
              <w:marTop w:val="0"/>
              <w:marBottom w:val="0"/>
              <w:divBdr>
                <w:top w:val="none" w:sz="0" w:space="0" w:color="auto"/>
                <w:left w:val="none" w:sz="0" w:space="0" w:color="auto"/>
                <w:bottom w:val="none" w:sz="0" w:space="0" w:color="auto"/>
                <w:right w:val="none" w:sz="0" w:space="0" w:color="auto"/>
              </w:divBdr>
            </w:div>
            <w:div w:id="1826774320">
              <w:marLeft w:val="0"/>
              <w:marRight w:val="0"/>
              <w:marTop w:val="0"/>
              <w:marBottom w:val="0"/>
              <w:divBdr>
                <w:top w:val="none" w:sz="0" w:space="0" w:color="auto"/>
                <w:left w:val="none" w:sz="0" w:space="0" w:color="auto"/>
                <w:bottom w:val="none" w:sz="0" w:space="0" w:color="auto"/>
                <w:right w:val="none" w:sz="0" w:space="0" w:color="auto"/>
              </w:divBdr>
            </w:div>
            <w:div w:id="556548789">
              <w:marLeft w:val="0"/>
              <w:marRight w:val="0"/>
              <w:marTop w:val="0"/>
              <w:marBottom w:val="0"/>
              <w:divBdr>
                <w:top w:val="none" w:sz="0" w:space="0" w:color="auto"/>
                <w:left w:val="none" w:sz="0" w:space="0" w:color="auto"/>
                <w:bottom w:val="none" w:sz="0" w:space="0" w:color="auto"/>
                <w:right w:val="none" w:sz="0" w:space="0" w:color="auto"/>
              </w:divBdr>
            </w:div>
            <w:div w:id="1092319894">
              <w:marLeft w:val="0"/>
              <w:marRight w:val="0"/>
              <w:marTop w:val="0"/>
              <w:marBottom w:val="0"/>
              <w:divBdr>
                <w:top w:val="none" w:sz="0" w:space="0" w:color="auto"/>
                <w:left w:val="none" w:sz="0" w:space="0" w:color="auto"/>
                <w:bottom w:val="none" w:sz="0" w:space="0" w:color="auto"/>
                <w:right w:val="none" w:sz="0" w:space="0" w:color="auto"/>
              </w:divBdr>
            </w:div>
            <w:div w:id="66806516">
              <w:marLeft w:val="0"/>
              <w:marRight w:val="0"/>
              <w:marTop w:val="0"/>
              <w:marBottom w:val="0"/>
              <w:divBdr>
                <w:top w:val="none" w:sz="0" w:space="0" w:color="auto"/>
                <w:left w:val="none" w:sz="0" w:space="0" w:color="auto"/>
                <w:bottom w:val="none" w:sz="0" w:space="0" w:color="auto"/>
                <w:right w:val="none" w:sz="0" w:space="0" w:color="auto"/>
              </w:divBdr>
            </w:div>
            <w:div w:id="1156412087">
              <w:marLeft w:val="0"/>
              <w:marRight w:val="0"/>
              <w:marTop w:val="0"/>
              <w:marBottom w:val="0"/>
              <w:divBdr>
                <w:top w:val="none" w:sz="0" w:space="0" w:color="auto"/>
                <w:left w:val="none" w:sz="0" w:space="0" w:color="auto"/>
                <w:bottom w:val="none" w:sz="0" w:space="0" w:color="auto"/>
                <w:right w:val="none" w:sz="0" w:space="0" w:color="auto"/>
              </w:divBdr>
            </w:div>
            <w:div w:id="1977253109">
              <w:marLeft w:val="0"/>
              <w:marRight w:val="0"/>
              <w:marTop w:val="0"/>
              <w:marBottom w:val="0"/>
              <w:divBdr>
                <w:top w:val="none" w:sz="0" w:space="0" w:color="auto"/>
                <w:left w:val="none" w:sz="0" w:space="0" w:color="auto"/>
                <w:bottom w:val="none" w:sz="0" w:space="0" w:color="auto"/>
                <w:right w:val="none" w:sz="0" w:space="0" w:color="auto"/>
              </w:divBdr>
            </w:div>
            <w:div w:id="1977222371">
              <w:marLeft w:val="0"/>
              <w:marRight w:val="0"/>
              <w:marTop w:val="0"/>
              <w:marBottom w:val="0"/>
              <w:divBdr>
                <w:top w:val="none" w:sz="0" w:space="0" w:color="auto"/>
                <w:left w:val="none" w:sz="0" w:space="0" w:color="auto"/>
                <w:bottom w:val="none" w:sz="0" w:space="0" w:color="auto"/>
                <w:right w:val="none" w:sz="0" w:space="0" w:color="auto"/>
              </w:divBdr>
            </w:div>
            <w:div w:id="1880510623">
              <w:marLeft w:val="0"/>
              <w:marRight w:val="0"/>
              <w:marTop w:val="0"/>
              <w:marBottom w:val="0"/>
              <w:divBdr>
                <w:top w:val="none" w:sz="0" w:space="0" w:color="auto"/>
                <w:left w:val="none" w:sz="0" w:space="0" w:color="auto"/>
                <w:bottom w:val="none" w:sz="0" w:space="0" w:color="auto"/>
                <w:right w:val="none" w:sz="0" w:space="0" w:color="auto"/>
              </w:divBdr>
            </w:div>
            <w:div w:id="1998726298">
              <w:marLeft w:val="0"/>
              <w:marRight w:val="0"/>
              <w:marTop w:val="0"/>
              <w:marBottom w:val="0"/>
              <w:divBdr>
                <w:top w:val="none" w:sz="0" w:space="0" w:color="auto"/>
                <w:left w:val="none" w:sz="0" w:space="0" w:color="auto"/>
                <w:bottom w:val="none" w:sz="0" w:space="0" w:color="auto"/>
                <w:right w:val="none" w:sz="0" w:space="0" w:color="auto"/>
              </w:divBdr>
            </w:div>
            <w:div w:id="1111894261">
              <w:marLeft w:val="0"/>
              <w:marRight w:val="0"/>
              <w:marTop w:val="0"/>
              <w:marBottom w:val="0"/>
              <w:divBdr>
                <w:top w:val="none" w:sz="0" w:space="0" w:color="auto"/>
                <w:left w:val="none" w:sz="0" w:space="0" w:color="auto"/>
                <w:bottom w:val="none" w:sz="0" w:space="0" w:color="auto"/>
                <w:right w:val="none" w:sz="0" w:space="0" w:color="auto"/>
              </w:divBdr>
            </w:div>
            <w:div w:id="1453400185">
              <w:marLeft w:val="0"/>
              <w:marRight w:val="0"/>
              <w:marTop w:val="0"/>
              <w:marBottom w:val="0"/>
              <w:divBdr>
                <w:top w:val="none" w:sz="0" w:space="0" w:color="auto"/>
                <w:left w:val="none" w:sz="0" w:space="0" w:color="auto"/>
                <w:bottom w:val="none" w:sz="0" w:space="0" w:color="auto"/>
                <w:right w:val="none" w:sz="0" w:space="0" w:color="auto"/>
              </w:divBdr>
            </w:div>
            <w:div w:id="1115756382">
              <w:marLeft w:val="0"/>
              <w:marRight w:val="0"/>
              <w:marTop w:val="0"/>
              <w:marBottom w:val="0"/>
              <w:divBdr>
                <w:top w:val="none" w:sz="0" w:space="0" w:color="auto"/>
                <w:left w:val="none" w:sz="0" w:space="0" w:color="auto"/>
                <w:bottom w:val="none" w:sz="0" w:space="0" w:color="auto"/>
                <w:right w:val="none" w:sz="0" w:space="0" w:color="auto"/>
              </w:divBdr>
            </w:div>
            <w:div w:id="170023713">
              <w:marLeft w:val="0"/>
              <w:marRight w:val="0"/>
              <w:marTop w:val="0"/>
              <w:marBottom w:val="0"/>
              <w:divBdr>
                <w:top w:val="none" w:sz="0" w:space="0" w:color="auto"/>
                <w:left w:val="none" w:sz="0" w:space="0" w:color="auto"/>
                <w:bottom w:val="none" w:sz="0" w:space="0" w:color="auto"/>
                <w:right w:val="none" w:sz="0" w:space="0" w:color="auto"/>
              </w:divBdr>
            </w:div>
            <w:div w:id="893007162">
              <w:marLeft w:val="0"/>
              <w:marRight w:val="0"/>
              <w:marTop w:val="0"/>
              <w:marBottom w:val="0"/>
              <w:divBdr>
                <w:top w:val="none" w:sz="0" w:space="0" w:color="auto"/>
                <w:left w:val="none" w:sz="0" w:space="0" w:color="auto"/>
                <w:bottom w:val="none" w:sz="0" w:space="0" w:color="auto"/>
                <w:right w:val="none" w:sz="0" w:space="0" w:color="auto"/>
              </w:divBdr>
            </w:div>
            <w:div w:id="2104178957">
              <w:marLeft w:val="0"/>
              <w:marRight w:val="0"/>
              <w:marTop w:val="0"/>
              <w:marBottom w:val="0"/>
              <w:divBdr>
                <w:top w:val="none" w:sz="0" w:space="0" w:color="auto"/>
                <w:left w:val="none" w:sz="0" w:space="0" w:color="auto"/>
                <w:bottom w:val="none" w:sz="0" w:space="0" w:color="auto"/>
                <w:right w:val="none" w:sz="0" w:space="0" w:color="auto"/>
              </w:divBdr>
            </w:div>
            <w:div w:id="1042167820">
              <w:marLeft w:val="0"/>
              <w:marRight w:val="0"/>
              <w:marTop w:val="0"/>
              <w:marBottom w:val="0"/>
              <w:divBdr>
                <w:top w:val="none" w:sz="0" w:space="0" w:color="auto"/>
                <w:left w:val="none" w:sz="0" w:space="0" w:color="auto"/>
                <w:bottom w:val="none" w:sz="0" w:space="0" w:color="auto"/>
                <w:right w:val="none" w:sz="0" w:space="0" w:color="auto"/>
              </w:divBdr>
            </w:div>
            <w:div w:id="1330911386">
              <w:marLeft w:val="0"/>
              <w:marRight w:val="0"/>
              <w:marTop w:val="0"/>
              <w:marBottom w:val="0"/>
              <w:divBdr>
                <w:top w:val="none" w:sz="0" w:space="0" w:color="auto"/>
                <w:left w:val="none" w:sz="0" w:space="0" w:color="auto"/>
                <w:bottom w:val="none" w:sz="0" w:space="0" w:color="auto"/>
                <w:right w:val="none" w:sz="0" w:space="0" w:color="auto"/>
              </w:divBdr>
            </w:div>
            <w:div w:id="1786386705">
              <w:marLeft w:val="0"/>
              <w:marRight w:val="0"/>
              <w:marTop w:val="0"/>
              <w:marBottom w:val="0"/>
              <w:divBdr>
                <w:top w:val="none" w:sz="0" w:space="0" w:color="auto"/>
                <w:left w:val="none" w:sz="0" w:space="0" w:color="auto"/>
                <w:bottom w:val="none" w:sz="0" w:space="0" w:color="auto"/>
                <w:right w:val="none" w:sz="0" w:space="0" w:color="auto"/>
              </w:divBdr>
            </w:div>
            <w:div w:id="640572775">
              <w:marLeft w:val="0"/>
              <w:marRight w:val="0"/>
              <w:marTop w:val="0"/>
              <w:marBottom w:val="0"/>
              <w:divBdr>
                <w:top w:val="none" w:sz="0" w:space="0" w:color="auto"/>
                <w:left w:val="none" w:sz="0" w:space="0" w:color="auto"/>
                <w:bottom w:val="none" w:sz="0" w:space="0" w:color="auto"/>
                <w:right w:val="none" w:sz="0" w:space="0" w:color="auto"/>
              </w:divBdr>
            </w:div>
            <w:div w:id="15141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3407">
      <w:bodyDiv w:val="1"/>
      <w:marLeft w:val="0"/>
      <w:marRight w:val="0"/>
      <w:marTop w:val="0"/>
      <w:marBottom w:val="0"/>
      <w:divBdr>
        <w:top w:val="none" w:sz="0" w:space="0" w:color="auto"/>
        <w:left w:val="none" w:sz="0" w:space="0" w:color="auto"/>
        <w:bottom w:val="none" w:sz="0" w:space="0" w:color="auto"/>
        <w:right w:val="none" w:sz="0" w:space="0" w:color="auto"/>
      </w:divBdr>
    </w:div>
    <w:div w:id="761798276">
      <w:bodyDiv w:val="1"/>
      <w:marLeft w:val="0"/>
      <w:marRight w:val="0"/>
      <w:marTop w:val="0"/>
      <w:marBottom w:val="0"/>
      <w:divBdr>
        <w:top w:val="none" w:sz="0" w:space="0" w:color="auto"/>
        <w:left w:val="none" w:sz="0" w:space="0" w:color="auto"/>
        <w:bottom w:val="none" w:sz="0" w:space="0" w:color="auto"/>
        <w:right w:val="none" w:sz="0" w:space="0" w:color="auto"/>
      </w:divBdr>
    </w:div>
    <w:div w:id="762922980">
      <w:bodyDiv w:val="1"/>
      <w:marLeft w:val="0"/>
      <w:marRight w:val="0"/>
      <w:marTop w:val="0"/>
      <w:marBottom w:val="0"/>
      <w:divBdr>
        <w:top w:val="none" w:sz="0" w:space="0" w:color="auto"/>
        <w:left w:val="none" w:sz="0" w:space="0" w:color="auto"/>
        <w:bottom w:val="none" w:sz="0" w:space="0" w:color="auto"/>
        <w:right w:val="none" w:sz="0" w:space="0" w:color="auto"/>
      </w:divBdr>
    </w:div>
    <w:div w:id="767697306">
      <w:bodyDiv w:val="1"/>
      <w:marLeft w:val="0"/>
      <w:marRight w:val="0"/>
      <w:marTop w:val="0"/>
      <w:marBottom w:val="0"/>
      <w:divBdr>
        <w:top w:val="none" w:sz="0" w:space="0" w:color="auto"/>
        <w:left w:val="none" w:sz="0" w:space="0" w:color="auto"/>
        <w:bottom w:val="none" w:sz="0" w:space="0" w:color="auto"/>
        <w:right w:val="none" w:sz="0" w:space="0" w:color="auto"/>
      </w:divBdr>
      <w:divsChild>
        <w:div w:id="1100376179">
          <w:marLeft w:val="0"/>
          <w:marRight w:val="0"/>
          <w:marTop w:val="0"/>
          <w:marBottom w:val="0"/>
          <w:divBdr>
            <w:top w:val="none" w:sz="0" w:space="0" w:color="auto"/>
            <w:left w:val="none" w:sz="0" w:space="0" w:color="auto"/>
            <w:bottom w:val="none" w:sz="0" w:space="0" w:color="auto"/>
            <w:right w:val="none" w:sz="0" w:space="0" w:color="auto"/>
          </w:divBdr>
        </w:div>
      </w:divsChild>
    </w:div>
    <w:div w:id="784347538">
      <w:bodyDiv w:val="1"/>
      <w:marLeft w:val="0"/>
      <w:marRight w:val="0"/>
      <w:marTop w:val="0"/>
      <w:marBottom w:val="0"/>
      <w:divBdr>
        <w:top w:val="none" w:sz="0" w:space="0" w:color="auto"/>
        <w:left w:val="none" w:sz="0" w:space="0" w:color="auto"/>
        <w:bottom w:val="none" w:sz="0" w:space="0" w:color="auto"/>
        <w:right w:val="none" w:sz="0" w:space="0" w:color="auto"/>
      </w:divBdr>
    </w:div>
    <w:div w:id="804616378">
      <w:bodyDiv w:val="1"/>
      <w:marLeft w:val="0"/>
      <w:marRight w:val="0"/>
      <w:marTop w:val="0"/>
      <w:marBottom w:val="0"/>
      <w:divBdr>
        <w:top w:val="none" w:sz="0" w:space="0" w:color="auto"/>
        <w:left w:val="none" w:sz="0" w:space="0" w:color="auto"/>
        <w:bottom w:val="none" w:sz="0" w:space="0" w:color="auto"/>
        <w:right w:val="none" w:sz="0" w:space="0" w:color="auto"/>
      </w:divBdr>
    </w:div>
    <w:div w:id="877936530">
      <w:bodyDiv w:val="1"/>
      <w:marLeft w:val="0"/>
      <w:marRight w:val="0"/>
      <w:marTop w:val="0"/>
      <w:marBottom w:val="0"/>
      <w:divBdr>
        <w:top w:val="none" w:sz="0" w:space="0" w:color="auto"/>
        <w:left w:val="none" w:sz="0" w:space="0" w:color="auto"/>
        <w:bottom w:val="none" w:sz="0" w:space="0" w:color="auto"/>
        <w:right w:val="none" w:sz="0" w:space="0" w:color="auto"/>
      </w:divBdr>
    </w:div>
    <w:div w:id="925114687">
      <w:bodyDiv w:val="1"/>
      <w:marLeft w:val="0"/>
      <w:marRight w:val="0"/>
      <w:marTop w:val="0"/>
      <w:marBottom w:val="0"/>
      <w:divBdr>
        <w:top w:val="none" w:sz="0" w:space="0" w:color="auto"/>
        <w:left w:val="none" w:sz="0" w:space="0" w:color="auto"/>
        <w:bottom w:val="none" w:sz="0" w:space="0" w:color="auto"/>
        <w:right w:val="none" w:sz="0" w:space="0" w:color="auto"/>
      </w:divBdr>
    </w:div>
    <w:div w:id="999650640">
      <w:bodyDiv w:val="1"/>
      <w:marLeft w:val="0"/>
      <w:marRight w:val="0"/>
      <w:marTop w:val="0"/>
      <w:marBottom w:val="0"/>
      <w:divBdr>
        <w:top w:val="none" w:sz="0" w:space="0" w:color="auto"/>
        <w:left w:val="none" w:sz="0" w:space="0" w:color="auto"/>
        <w:bottom w:val="none" w:sz="0" w:space="0" w:color="auto"/>
        <w:right w:val="none" w:sz="0" w:space="0" w:color="auto"/>
      </w:divBdr>
      <w:divsChild>
        <w:div w:id="168451821">
          <w:marLeft w:val="0"/>
          <w:marRight w:val="0"/>
          <w:marTop w:val="0"/>
          <w:marBottom w:val="0"/>
          <w:divBdr>
            <w:top w:val="none" w:sz="0" w:space="0" w:color="auto"/>
            <w:left w:val="none" w:sz="0" w:space="0" w:color="auto"/>
            <w:bottom w:val="none" w:sz="0" w:space="0" w:color="auto"/>
            <w:right w:val="none" w:sz="0" w:space="0" w:color="auto"/>
          </w:divBdr>
          <w:divsChild>
            <w:div w:id="633145018">
              <w:marLeft w:val="0"/>
              <w:marRight w:val="0"/>
              <w:marTop w:val="0"/>
              <w:marBottom w:val="0"/>
              <w:divBdr>
                <w:top w:val="none" w:sz="0" w:space="0" w:color="auto"/>
                <w:left w:val="none" w:sz="0" w:space="0" w:color="auto"/>
                <w:bottom w:val="none" w:sz="0" w:space="0" w:color="auto"/>
                <w:right w:val="none" w:sz="0" w:space="0" w:color="auto"/>
              </w:divBdr>
              <w:divsChild>
                <w:div w:id="557935821">
                  <w:marLeft w:val="0"/>
                  <w:marRight w:val="0"/>
                  <w:marTop w:val="0"/>
                  <w:marBottom w:val="0"/>
                  <w:divBdr>
                    <w:top w:val="none" w:sz="0" w:space="0" w:color="auto"/>
                    <w:left w:val="none" w:sz="0" w:space="0" w:color="auto"/>
                    <w:bottom w:val="none" w:sz="0" w:space="0" w:color="auto"/>
                    <w:right w:val="none" w:sz="0" w:space="0" w:color="auto"/>
                  </w:divBdr>
                  <w:divsChild>
                    <w:div w:id="1352220585">
                      <w:marLeft w:val="0"/>
                      <w:marRight w:val="0"/>
                      <w:marTop w:val="0"/>
                      <w:marBottom w:val="0"/>
                      <w:divBdr>
                        <w:top w:val="none" w:sz="0" w:space="0" w:color="auto"/>
                        <w:left w:val="none" w:sz="0" w:space="0" w:color="auto"/>
                        <w:bottom w:val="none" w:sz="0" w:space="0" w:color="auto"/>
                        <w:right w:val="none" w:sz="0" w:space="0" w:color="auto"/>
                      </w:divBdr>
                      <w:divsChild>
                        <w:div w:id="1316422061">
                          <w:marLeft w:val="0"/>
                          <w:marRight w:val="0"/>
                          <w:marTop w:val="0"/>
                          <w:marBottom w:val="0"/>
                          <w:divBdr>
                            <w:top w:val="none" w:sz="0" w:space="0" w:color="auto"/>
                            <w:left w:val="none" w:sz="0" w:space="0" w:color="auto"/>
                            <w:bottom w:val="none" w:sz="0" w:space="0" w:color="auto"/>
                            <w:right w:val="none" w:sz="0" w:space="0" w:color="auto"/>
                          </w:divBdr>
                        </w:div>
                      </w:divsChild>
                    </w:div>
                    <w:div w:id="1503161756">
                      <w:marLeft w:val="0"/>
                      <w:marRight w:val="0"/>
                      <w:marTop w:val="0"/>
                      <w:marBottom w:val="0"/>
                      <w:divBdr>
                        <w:top w:val="none" w:sz="0" w:space="0" w:color="auto"/>
                        <w:left w:val="none" w:sz="0" w:space="0" w:color="auto"/>
                        <w:bottom w:val="none" w:sz="0" w:space="0" w:color="auto"/>
                        <w:right w:val="none" w:sz="0" w:space="0" w:color="auto"/>
                      </w:divBdr>
                      <w:divsChild>
                        <w:div w:id="216670543">
                          <w:marLeft w:val="0"/>
                          <w:marRight w:val="0"/>
                          <w:marTop w:val="0"/>
                          <w:marBottom w:val="0"/>
                          <w:divBdr>
                            <w:top w:val="none" w:sz="0" w:space="0" w:color="auto"/>
                            <w:left w:val="none" w:sz="0" w:space="0" w:color="auto"/>
                            <w:bottom w:val="none" w:sz="0" w:space="0" w:color="auto"/>
                            <w:right w:val="none" w:sz="0" w:space="0" w:color="auto"/>
                          </w:divBdr>
                          <w:divsChild>
                            <w:div w:id="1192451002">
                              <w:marLeft w:val="0"/>
                              <w:marRight w:val="0"/>
                              <w:marTop w:val="0"/>
                              <w:marBottom w:val="0"/>
                              <w:divBdr>
                                <w:top w:val="none" w:sz="0" w:space="0" w:color="auto"/>
                                <w:left w:val="none" w:sz="0" w:space="0" w:color="auto"/>
                                <w:bottom w:val="none" w:sz="0" w:space="0" w:color="auto"/>
                                <w:right w:val="none" w:sz="0" w:space="0" w:color="auto"/>
                              </w:divBdr>
                            </w:div>
                          </w:divsChild>
                        </w:div>
                        <w:div w:id="1513183220">
                          <w:marLeft w:val="0"/>
                          <w:marRight w:val="0"/>
                          <w:marTop w:val="0"/>
                          <w:marBottom w:val="0"/>
                          <w:divBdr>
                            <w:top w:val="none" w:sz="0" w:space="0" w:color="auto"/>
                            <w:left w:val="none" w:sz="0" w:space="0" w:color="auto"/>
                            <w:bottom w:val="none" w:sz="0" w:space="0" w:color="auto"/>
                            <w:right w:val="none" w:sz="0" w:space="0" w:color="auto"/>
                          </w:divBdr>
                          <w:divsChild>
                            <w:div w:id="15123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451027">
          <w:marLeft w:val="0"/>
          <w:marRight w:val="0"/>
          <w:marTop w:val="0"/>
          <w:marBottom w:val="0"/>
          <w:divBdr>
            <w:top w:val="none" w:sz="0" w:space="0" w:color="auto"/>
            <w:left w:val="none" w:sz="0" w:space="0" w:color="auto"/>
            <w:bottom w:val="none" w:sz="0" w:space="0" w:color="auto"/>
            <w:right w:val="none" w:sz="0" w:space="0" w:color="auto"/>
          </w:divBdr>
          <w:divsChild>
            <w:div w:id="1491216091">
              <w:marLeft w:val="0"/>
              <w:marRight w:val="0"/>
              <w:marTop w:val="0"/>
              <w:marBottom w:val="0"/>
              <w:divBdr>
                <w:top w:val="none" w:sz="0" w:space="0" w:color="auto"/>
                <w:left w:val="none" w:sz="0" w:space="0" w:color="auto"/>
                <w:bottom w:val="none" w:sz="0" w:space="0" w:color="auto"/>
                <w:right w:val="none" w:sz="0" w:space="0" w:color="auto"/>
              </w:divBdr>
            </w:div>
          </w:divsChild>
        </w:div>
        <w:div w:id="1112476384">
          <w:marLeft w:val="0"/>
          <w:marRight w:val="0"/>
          <w:marTop w:val="0"/>
          <w:marBottom w:val="0"/>
          <w:divBdr>
            <w:top w:val="none" w:sz="0" w:space="0" w:color="auto"/>
            <w:left w:val="none" w:sz="0" w:space="0" w:color="auto"/>
            <w:bottom w:val="none" w:sz="0" w:space="0" w:color="auto"/>
            <w:right w:val="none" w:sz="0" w:space="0" w:color="auto"/>
          </w:divBdr>
          <w:divsChild>
            <w:div w:id="783039407">
              <w:marLeft w:val="0"/>
              <w:marRight w:val="0"/>
              <w:marTop w:val="0"/>
              <w:marBottom w:val="0"/>
              <w:divBdr>
                <w:top w:val="none" w:sz="0" w:space="0" w:color="auto"/>
                <w:left w:val="none" w:sz="0" w:space="0" w:color="auto"/>
                <w:bottom w:val="none" w:sz="0" w:space="0" w:color="auto"/>
                <w:right w:val="none" w:sz="0" w:space="0" w:color="auto"/>
              </w:divBdr>
            </w:div>
          </w:divsChild>
        </w:div>
        <w:div w:id="1314409623">
          <w:marLeft w:val="0"/>
          <w:marRight w:val="0"/>
          <w:marTop w:val="0"/>
          <w:marBottom w:val="0"/>
          <w:divBdr>
            <w:top w:val="none" w:sz="0" w:space="0" w:color="auto"/>
            <w:left w:val="none" w:sz="0" w:space="0" w:color="auto"/>
            <w:bottom w:val="none" w:sz="0" w:space="0" w:color="auto"/>
            <w:right w:val="none" w:sz="0" w:space="0" w:color="auto"/>
          </w:divBdr>
        </w:div>
        <w:div w:id="1786191612">
          <w:marLeft w:val="0"/>
          <w:marRight w:val="0"/>
          <w:marTop w:val="0"/>
          <w:marBottom w:val="0"/>
          <w:divBdr>
            <w:top w:val="none" w:sz="0" w:space="0" w:color="auto"/>
            <w:left w:val="none" w:sz="0" w:space="0" w:color="auto"/>
            <w:bottom w:val="none" w:sz="0" w:space="0" w:color="auto"/>
            <w:right w:val="none" w:sz="0" w:space="0" w:color="auto"/>
          </w:divBdr>
          <w:divsChild>
            <w:div w:id="1186868590">
              <w:marLeft w:val="0"/>
              <w:marRight w:val="0"/>
              <w:marTop w:val="0"/>
              <w:marBottom w:val="0"/>
              <w:divBdr>
                <w:top w:val="none" w:sz="0" w:space="0" w:color="auto"/>
                <w:left w:val="none" w:sz="0" w:space="0" w:color="auto"/>
                <w:bottom w:val="none" w:sz="0" w:space="0" w:color="auto"/>
                <w:right w:val="none" w:sz="0" w:space="0" w:color="auto"/>
              </w:divBdr>
              <w:divsChild>
                <w:div w:id="221841675">
                  <w:marLeft w:val="0"/>
                  <w:marRight w:val="0"/>
                  <w:marTop w:val="0"/>
                  <w:marBottom w:val="0"/>
                  <w:divBdr>
                    <w:top w:val="none" w:sz="0" w:space="0" w:color="auto"/>
                    <w:left w:val="none" w:sz="0" w:space="0" w:color="auto"/>
                    <w:bottom w:val="none" w:sz="0" w:space="0" w:color="auto"/>
                    <w:right w:val="none" w:sz="0" w:space="0" w:color="auto"/>
                  </w:divBdr>
                </w:div>
                <w:div w:id="2041974891">
                  <w:marLeft w:val="0"/>
                  <w:marRight w:val="0"/>
                  <w:marTop w:val="0"/>
                  <w:marBottom w:val="0"/>
                  <w:divBdr>
                    <w:top w:val="none" w:sz="0" w:space="0" w:color="auto"/>
                    <w:left w:val="none" w:sz="0" w:space="0" w:color="auto"/>
                    <w:bottom w:val="none" w:sz="0" w:space="0" w:color="auto"/>
                    <w:right w:val="none" w:sz="0" w:space="0" w:color="auto"/>
                  </w:divBdr>
                </w:div>
                <w:div w:id="13649670">
                  <w:marLeft w:val="0"/>
                  <w:marRight w:val="0"/>
                  <w:marTop w:val="0"/>
                  <w:marBottom w:val="0"/>
                  <w:divBdr>
                    <w:top w:val="none" w:sz="0" w:space="0" w:color="auto"/>
                    <w:left w:val="none" w:sz="0" w:space="0" w:color="auto"/>
                    <w:bottom w:val="none" w:sz="0" w:space="0" w:color="auto"/>
                    <w:right w:val="none" w:sz="0" w:space="0" w:color="auto"/>
                  </w:divBdr>
                  <w:divsChild>
                    <w:div w:id="262997719">
                      <w:marLeft w:val="0"/>
                      <w:marRight w:val="0"/>
                      <w:marTop w:val="0"/>
                      <w:marBottom w:val="0"/>
                      <w:divBdr>
                        <w:top w:val="none" w:sz="0" w:space="0" w:color="auto"/>
                        <w:left w:val="none" w:sz="0" w:space="0" w:color="auto"/>
                        <w:bottom w:val="none" w:sz="0" w:space="0" w:color="auto"/>
                        <w:right w:val="none" w:sz="0" w:space="0" w:color="auto"/>
                      </w:divBdr>
                      <w:divsChild>
                        <w:div w:id="1661885989">
                          <w:marLeft w:val="0"/>
                          <w:marRight w:val="0"/>
                          <w:marTop w:val="0"/>
                          <w:marBottom w:val="0"/>
                          <w:divBdr>
                            <w:top w:val="none" w:sz="0" w:space="0" w:color="auto"/>
                            <w:left w:val="none" w:sz="0" w:space="0" w:color="auto"/>
                            <w:bottom w:val="none" w:sz="0" w:space="0" w:color="auto"/>
                            <w:right w:val="none" w:sz="0" w:space="0" w:color="auto"/>
                          </w:divBdr>
                        </w:div>
                        <w:div w:id="1711688292">
                          <w:marLeft w:val="0"/>
                          <w:marRight w:val="0"/>
                          <w:marTop w:val="0"/>
                          <w:marBottom w:val="0"/>
                          <w:divBdr>
                            <w:top w:val="none" w:sz="0" w:space="0" w:color="auto"/>
                            <w:left w:val="none" w:sz="0" w:space="0" w:color="auto"/>
                            <w:bottom w:val="none" w:sz="0" w:space="0" w:color="auto"/>
                            <w:right w:val="none" w:sz="0" w:space="0" w:color="auto"/>
                          </w:divBdr>
                        </w:div>
                        <w:div w:id="2098012639">
                          <w:marLeft w:val="0"/>
                          <w:marRight w:val="0"/>
                          <w:marTop w:val="0"/>
                          <w:marBottom w:val="0"/>
                          <w:divBdr>
                            <w:top w:val="none" w:sz="0" w:space="0" w:color="auto"/>
                            <w:left w:val="none" w:sz="0" w:space="0" w:color="auto"/>
                            <w:bottom w:val="none" w:sz="0" w:space="0" w:color="auto"/>
                            <w:right w:val="none" w:sz="0" w:space="0" w:color="auto"/>
                          </w:divBdr>
                        </w:div>
                        <w:div w:id="1970546894">
                          <w:marLeft w:val="0"/>
                          <w:marRight w:val="0"/>
                          <w:marTop w:val="0"/>
                          <w:marBottom w:val="0"/>
                          <w:divBdr>
                            <w:top w:val="none" w:sz="0" w:space="0" w:color="auto"/>
                            <w:left w:val="none" w:sz="0" w:space="0" w:color="auto"/>
                            <w:bottom w:val="none" w:sz="0" w:space="0" w:color="auto"/>
                            <w:right w:val="none" w:sz="0" w:space="0" w:color="auto"/>
                          </w:divBdr>
                          <w:divsChild>
                            <w:div w:id="204685032">
                              <w:marLeft w:val="0"/>
                              <w:marRight w:val="0"/>
                              <w:marTop w:val="0"/>
                              <w:marBottom w:val="0"/>
                              <w:divBdr>
                                <w:top w:val="none" w:sz="0" w:space="0" w:color="auto"/>
                                <w:left w:val="none" w:sz="0" w:space="0" w:color="auto"/>
                                <w:bottom w:val="none" w:sz="0" w:space="0" w:color="auto"/>
                                <w:right w:val="none" w:sz="0" w:space="0" w:color="auto"/>
                              </w:divBdr>
                            </w:div>
                          </w:divsChild>
                        </w:div>
                        <w:div w:id="1475441342">
                          <w:marLeft w:val="0"/>
                          <w:marRight w:val="0"/>
                          <w:marTop w:val="0"/>
                          <w:marBottom w:val="0"/>
                          <w:divBdr>
                            <w:top w:val="none" w:sz="0" w:space="0" w:color="auto"/>
                            <w:left w:val="none" w:sz="0" w:space="0" w:color="auto"/>
                            <w:bottom w:val="none" w:sz="0" w:space="0" w:color="auto"/>
                            <w:right w:val="none" w:sz="0" w:space="0" w:color="auto"/>
                          </w:divBdr>
                          <w:divsChild>
                            <w:div w:id="20265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280646">
      <w:bodyDiv w:val="1"/>
      <w:marLeft w:val="0"/>
      <w:marRight w:val="0"/>
      <w:marTop w:val="0"/>
      <w:marBottom w:val="0"/>
      <w:divBdr>
        <w:top w:val="none" w:sz="0" w:space="0" w:color="auto"/>
        <w:left w:val="none" w:sz="0" w:space="0" w:color="auto"/>
        <w:bottom w:val="none" w:sz="0" w:space="0" w:color="auto"/>
        <w:right w:val="none" w:sz="0" w:space="0" w:color="auto"/>
      </w:divBdr>
    </w:div>
    <w:div w:id="1045448832">
      <w:bodyDiv w:val="1"/>
      <w:marLeft w:val="0"/>
      <w:marRight w:val="0"/>
      <w:marTop w:val="0"/>
      <w:marBottom w:val="0"/>
      <w:divBdr>
        <w:top w:val="none" w:sz="0" w:space="0" w:color="auto"/>
        <w:left w:val="none" w:sz="0" w:space="0" w:color="auto"/>
        <w:bottom w:val="none" w:sz="0" w:space="0" w:color="auto"/>
        <w:right w:val="none" w:sz="0" w:space="0" w:color="auto"/>
      </w:divBdr>
      <w:divsChild>
        <w:div w:id="1379936185">
          <w:marLeft w:val="0"/>
          <w:marRight w:val="0"/>
          <w:marTop w:val="0"/>
          <w:marBottom w:val="0"/>
          <w:divBdr>
            <w:top w:val="none" w:sz="0" w:space="0" w:color="auto"/>
            <w:left w:val="none" w:sz="0" w:space="0" w:color="auto"/>
            <w:bottom w:val="none" w:sz="0" w:space="0" w:color="auto"/>
            <w:right w:val="none" w:sz="0" w:space="0" w:color="auto"/>
          </w:divBdr>
        </w:div>
        <w:div w:id="108353554">
          <w:marLeft w:val="0"/>
          <w:marRight w:val="0"/>
          <w:marTop w:val="0"/>
          <w:marBottom w:val="0"/>
          <w:divBdr>
            <w:top w:val="none" w:sz="0" w:space="0" w:color="auto"/>
            <w:left w:val="none" w:sz="0" w:space="0" w:color="auto"/>
            <w:bottom w:val="none" w:sz="0" w:space="0" w:color="auto"/>
            <w:right w:val="none" w:sz="0" w:space="0" w:color="auto"/>
          </w:divBdr>
        </w:div>
      </w:divsChild>
    </w:div>
    <w:div w:id="1063913168">
      <w:bodyDiv w:val="1"/>
      <w:marLeft w:val="0"/>
      <w:marRight w:val="0"/>
      <w:marTop w:val="0"/>
      <w:marBottom w:val="0"/>
      <w:divBdr>
        <w:top w:val="none" w:sz="0" w:space="0" w:color="auto"/>
        <w:left w:val="none" w:sz="0" w:space="0" w:color="auto"/>
        <w:bottom w:val="none" w:sz="0" w:space="0" w:color="auto"/>
        <w:right w:val="none" w:sz="0" w:space="0" w:color="auto"/>
      </w:divBdr>
      <w:divsChild>
        <w:div w:id="365524458">
          <w:marLeft w:val="0"/>
          <w:marRight w:val="0"/>
          <w:marTop w:val="0"/>
          <w:marBottom w:val="0"/>
          <w:divBdr>
            <w:top w:val="none" w:sz="0" w:space="0" w:color="auto"/>
            <w:left w:val="none" w:sz="0" w:space="0" w:color="auto"/>
            <w:bottom w:val="none" w:sz="0" w:space="0" w:color="auto"/>
            <w:right w:val="none" w:sz="0" w:space="0" w:color="auto"/>
          </w:divBdr>
        </w:div>
      </w:divsChild>
    </w:div>
    <w:div w:id="1136067444">
      <w:bodyDiv w:val="1"/>
      <w:marLeft w:val="0"/>
      <w:marRight w:val="0"/>
      <w:marTop w:val="0"/>
      <w:marBottom w:val="0"/>
      <w:divBdr>
        <w:top w:val="none" w:sz="0" w:space="0" w:color="auto"/>
        <w:left w:val="none" w:sz="0" w:space="0" w:color="auto"/>
        <w:bottom w:val="none" w:sz="0" w:space="0" w:color="auto"/>
        <w:right w:val="none" w:sz="0" w:space="0" w:color="auto"/>
      </w:divBdr>
    </w:div>
    <w:div w:id="1144466045">
      <w:bodyDiv w:val="1"/>
      <w:marLeft w:val="0"/>
      <w:marRight w:val="0"/>
      <w:marTop w:val="0"/>
      <w:marBottom w:val="0"/>
      <w:divBdr>
        <w:top w:val="none" w:sz="0" w:space="0" w:color="auto"/>
        <w:left w:val="none" w:sz="0" w:space="0" w:color="auto"/>
        <w:bottom w:val="none" w:sz="0" w:space="0" w:color="auto"/>
        <w:right w:val="none" w:sz="0" w:space="0" w:color="auto"/>
      </w:divBdr>
    </w:div>
    <w:div w:id="1152063562">
      <w:bodyDiv w:val="1"/>
      <w:marLeft w:val="0"/>
      <w:marRight w:val="0"/>
      <w:marTop w:val="0"/>
      <w:marBottom w:val="0"/>
      <w:divBdr>
        <w:top w:val="none" w:sz="0" w:space="0" w:color="auto"/>
        <w:left w:val="none" w:sz="0" w:space="0" w:color="auto"/>
        <w:bottom w:val="none" w:sz="0" w:space="0" w:color="auto"/>
        <w:right w:val="none" w:sz="0" w:space="0" w:color="auto"/>
      </w:divBdr>
    </w:div>
    <w:div w:id="1212185506">
      <w:bodyDiv w:val="1"/>
      <w:marLeft w:val="0"/>
      <w:marRight w:val="0"/>
      <w:marTop w:val="0"/>
      <w:marBottom w:val="0"/>
      <w:divBdr>
        <w:top w:val="none" w:sz="0" w:space="0" w:color="auto"/>
        <w:left w:val="none" w:sz="0" w:space="0" w:color="auto"/>
        <w:bottom w:val="none" w:sz="0" w:space="0" w:color="auto"/>
        <w:right w:val="none" w:sz="0" w:space="0" w:color="auto"/>
      </w:divBdr>
      <w:divsChild>
        <w:div w:id="743141842">
          <w:marLeft w:val="0"/>
          <w:marRight w:val="0"/>
          <w:marTop w:val="0"/>
          <w:marBottom w:val="0"/>
          <w:divBdr>
            <w:top w:val="none" w:sz="0" w:space="0" w:color="auto"/>
            <w:left w:val="none" w:sz="0" w:space="0" w:color="auto"/>
            <w:bottom w:val="none" w:sz="0" w:space="0" w:color="auto"/>
            <w:right w:val="none" w:sz="0" w:space="0" w:color="auto"/>
          </w:divBdr>
        </w:div>
        <w:div w:id="749042594">
          <w:marLeft w:val="0"/>
          <w:marRight w:val="0"/>
          <w:marTop w:val="0"/>
          <w:marBottom w:val="0"/>
          <w:divBdr>
            <w:top w:val="none" w:sz="0" w:space="0" w:color="auto"/>
            <w:left w:val="none" w:sz="0" w:space="0" w:color="auto"/>
            <w:bottom w:val="none" w:sz="0" w:space="0" w:color="auto"/>
            <w:right w:val="none" w:sz="0" w:space="0" w:color="auto"/>
          </w:divBdr>
        </w:div>
        <w:div w:id="321853557">
          <w:marLeft w:val="0"/>
          <w:marRight w:val="0"/>
          <w:marTop w:val="0"/>
          <w:marBottom w:val="0"/>
          <w:divBdr>
            <w:top w:val="none" w:sz="0" w:space="0" w:color="auto"/>
            <w:left w:val="none" w:sz="0" w:space="0" w:color="auto"/>
            <w:bottom w:val="none" w:sz="0" w:space="0" w:color="auto"/>
            <w:right w:val="none" w:sz="0" w:space="0" w:color="auto"/>
          </w:divBdr>
        </w:div>
      </w:divsChild>
    </w:div>
    <w:div w:id="1268974398">
      <w:bodyDiv w:val="1"/>
      <w:marLeft w:val="0"/>
      <w:marRight w:val="0"/>
      <w:marTop w:val="0"/>
      <w:marBottom w:val="0"/>
      <w:divBdr>
        <w:top w:val="none" w:sz="0" w:space="0" w:color="auto"/>
        <w:left w:val="none" w:sz="0" w:space="0" w:color="auto"/>
        <w:bottom w:val="none" w:sz="0" w:space="0" w:color="auto"/>
        <w:right w:val="none" w:sz="0" w:space="0" w:color="auto"/>
      </w:divBdr>
    </w:div>
    <w:div w:id="1283072854">
      <w:bodyDiv w:val="1"/>
      <w:marLeft w:val="0"/>
      <w:marRight w:val="0"/>
      <w:marTop w:val="0"/>
      <w:marBottom w:val="0"/>
      <w:divBdr>
        <w:top w:val="none" w:sz="0" w:space="0" w:color="auto"/>
        <w:left w:val="none" w:sz="0" w:space="0" w:color="auto"/>
        <w:bottom w:val="none" w:sz="0" w:space="0" w:color="auto"/>
        <w:right w:val="none" w:sz="0" w:space="0" w:color="auto"/>
      </w:divBdr>
    </w:div>
    <w:div w:id="1321273645">
      <w:bodyDiv w:val="1"/>
      <w:marLeft w:val="0"/>
      <w:marRight w:val="0"/>
      <w:marTop w:val="0"/>
      <w:marBottom w:val="0"/>
      <w:divBdr>
        <w:top w:val="none" w:sz="0" w:space="0" w:color="auto"/>
        <w:left w:val="none" w:sz="0" w:space="0" w:color="auto"/>
        <w:bottom w:val="none" w:sz="0" w:space="0" w:color="auto"/>
        <w:right w:val="none" w:sz="0" w:space="0" w:color="auto"/>
      </w:divBdr>
      <w:divsChild>
        <w:div w:id="772870097">
          <w:marLeft w:val="0"/>
          <w:marRight w:val="0"/>
          <w:marTop w:val="0"/>
          <w:marBottom w:val="0"/>
          <w:divBdr>
            <w:top w:val="none" w:sz="0" w:space="0" w:color="auto"/>
            <w:left w:val="none" w:sz="0" w:space="0" w:color="auto"/>
            <w:bottom w:val="none" w:sz="0" w:space="0" w:color="auto"/>
            <w:right w:val="none" w:sz="0" w:space="0" w:color="auto"/>
          </w:divBdr>
          <w:divsChild>
            <w:div w:id="2017416229">
              <w:marLeft w:val="0"/>
              <w:marRight w:val="0"/>
              <w:marTop w:val="0"/>
              <w:marBottom w:val="0"/>
              <w:divBdr>
                <w:top w:val="none" w:sz="0" w:space="0" w:color="auto"/>
                <w:left w:val="none" w:sz="0" w:space="0" w:color="auto"/>
                <w:bottom w:val="none" w:sz="0" w:space="0" w:color="auto"/>
                <w:right w:val="none" w:sz="0" w:space="0" w:color="auto"/>
              </w:divBdr>
              <w:divsChild>
                <w:div w:id="2141260237">
                  <w:marLeft w:val="0"/>
                  <w:marRight w:val="0"/>
                  <w:marTop w:val="0"/>
                  <w:marBottom w:val="0"/>
                  <w:divBdr>
                    <w:top w:val="none" w:sz="0" w:space="0" w:color="auto"/>
                    <w:left w:val="none" w:sz="0" w:space="0" w:color="auto"/>
                    <w:bottom w:val="none" w:sz="0" w:space="0" w:color="auto"/>
                    <w:right w:val="none" w:sz="0" w:space="0" w:color="auto"/>
                  </w:divBdr>
                  <w:divsChild>
                    <w:div w:id="109445710">
                      <w:marLeft w:val="0"/>
                      <w:marRight w:val="0"/>
                      <w:marTop w:val="0"/>
                      <w:marBottom w:val="0"/>
                      <w:divBdr>
                        <w:top w:val="none" w:sz="0" w:space="0" w:color="auto"/>
                        <w:left w:val="none" w:sz="0" w:space="0" w:color="auto"/>
                        <w:bottom w:val="none" w:sz="0" w:space="0" w:color="auto"/>
                        <w:right w:val="none" w:sz="0" w:space="0" w:color="auto"/>
                      </w:divBdr>
                      <w:divsChild>
                        <w:div w:id="1182620799">
                          <w:marLeft w:val="0"/>
                          <w:marRight w:val="0"/>
                          <w:marTop w:val="0"/>
                          <w:marBottom w:val="0"/>
                          <w:divBdr>
                            <w:top w:val="none" w:sz="0" w:space="0" w:color="auto"/>
                            <w:left w:val="none" w:sz="0" w:space="0" w:color="auto"/>
                            <w:bottom w:val="none" w:sz="0" w:space="0" w:color="auto"/>
                            <w:right w:val="none" w:sz="0" w:space="0" w:color="auto"/>
                          </w:divBdr>
                          <w:divsChild>
                            <w:div w:id="1340961008">
                              <w:marLeft w:val="0"/>
                              <w:marRight w:val="0"/>
                              <w:marTop w:val="0"/>
                              <w:marBottom w:val="0"/>
                              <w:divBdr>
                                <w:top w:val="none" w:sz="0" w:space="0" w:color="auto"/>
                                <w:left w:val="none" w:sz="0" w:space="0" w:color="auto"/>
                                <w:bottom w:val="none" w:sz="0" w:space="0" w:color="auto"/>
                                <w:right w:val="none" w:sz="0" w:space="0" w:color="auto"/>
                              </w:divBdr>
                              <w:divsChild>
                                <w:div w:id="1433163911">
                                  <w:marLeft w:val="0"/>
                                  <w:marRight w:val="0"/>
                                  <w:marTop w:val="0"/>
                                  <w:marBottom w:val="0"/>
                                  <w:divBdr>
                                    <w:top w:val="none" w:sz="0" w:space="0" w:color="auto"/>
                                    <w:left w:val="none" w:sz="0" w:space="0" w:color="auto"/>
                                    <w:bottom w:val="none" w:sz="0" w:space="0" w:color="auto"/>
                                    <w:right w:val="none" w:sz="0" w:space="0" w:color="auto"/>
                                  </w:divBdr>
                                  <w:divsChild>
                                    <w:div w:id="945234371">
                                      <w:marLeft w:val="60"/>
                                      <w:marRight w:val="0"/>
                                      <w:marTop w:val="0"/>
                                      <w:marBottom w:val="0"/>
                                      <w:divBdr>
                                        <w:top w:val="none" w:sz="0" w:space="0" w:color="auto"/>
                                        <w:left w:val="none" w:sz="0" w:space="0" w:color="auto"/>
                                        <w:bottom w:val="none" w:sz="0" w:space="0" w:color="auto"/>
                                        <w:right w:val="none" w:sz="0" w:space="0" w:color="auto"/>
                                      </w:divBdr>
                                      <w:divsChild>
                                        <w:div w:id="822770061">
                                          <w:marLeft w:val="0"/>
                                          <w:marRight w:val="0"/>
                                          <w:marTop w:val="0"/>
                                          <w:marBottom w:val="0"/>
                                          <w:divBdr>
                                            <w:top w:val="none" w:sz="0" w:space="0" w:color="auto"/>
                                            <w:left w:val="none" w:sz="0" w:space="0" w:color="auto"/>
                                            <w:bottom w:val="none" w:sz="0" w:space="0" w:color="auto"/>
                                            <w:right w:val="none" w:sz="0" w:space="0" w:color="auto"/>
                                          </w:divBdr>
                                          <w:divsChild>
                                            <w:div w:id="844128164">
                                              <w:marLeft w:val="0"/>
                                              <w:marRight w:val="0"/>
                                              <w:marTop w:val="0"/>
                                              <w:marBottom w:val="120"/>
                                              <w:divBdr>
                                                <w:top w:val="single" w:sz="6" w:space="0" w:color="F5F5F5"/>
                                                <w:left w:val="single" w:sz="6" w:space="0" w:color="F5F5F5"/>
                                                <w:bottom w:val="single" w:sz="6" w:space="0" w:color="F5F5F5"/>
                                                <w:right w:val="single" w:sz="6" w:space="0" w:color="F5F5F5"/>
                                              </w:divBdr>
                                              <w:divsChild>
                                                <w:div w:id="1981114170">
                                                  <w:marLeft w:val="0"/>
                                                  <w:marRight w:val="0"/>
                                                  <w:marTop w:val="0"/>
                                                  <w:marBottom w:val="0"/>
                                                  <w:divBdr>
                                                    <w:top w:val="none" w:sz="0" w:space="0" w:color="auto"/>
                                                    <w:left w:val="none" w:sz="0" w:space="0" w:color="auto"/>
                                                    <w:bottom w:val="none" w:sz="0" w:space="0" w:color="auto"/>
                                                    <w:right w:val="none" w:sz="0" w:space="0" w:color="auto"/>
                                                  </w:divBdr>
                                                  <w:divsChild>
                                                    <w:div w:id="18888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9676210">
      <w:bodyDiv w:val="1"/>
      <w:marLeft w:val="0"/>
      <w:marRight w:val="0"/>
      <w:marTop w:val="0"/>
      <w:marBottom w:val="0"/>
      <w:divBdr>
        <w:top w:val="none" w:sz="0" w:space="0" w:color="auto"/>
        <w:left w:val="none" w:sz="0" w:space="0" w:color="auto"/>
        <w:bottom w:val="none" w:sz="0" w:space="0" w:color="auto"/>
        <w:right w:val="none" w:sz="0" w:space="0" w:color="auto"/>
      </w:divBdr>
    </w:div>
    <w:div w:id="1340698005">
      <w:bodyDiv w:val="1"/>
      <w:marLeft w:val="0"/>
      <w:marRight w:val="0"/>
      <w:marTop w:val="0"/>
      <w:marBottom w:val="0"/>
      <w:divBdr>
        <w:top w:val="none" w:sz="0" w:space="0" w:color="auto"/>
        <w:left w:val="none" w:sz="0" w:space="0" w:color="auto"/>
        <w:bottom w:val="none" w:sz="0" w:space="0" w:color="auto"/>
        <w:right w:val="none" w:sz="0" w:space="0" w:color="auto"/>
      </w:divBdr>
    </w:div>
    <w:div w:id="1348482099">
      <w:bodyDiv w:val="1"/>
      <w:marLeft w:val="0"/>
      <w:marRight w:val="0"/>
      <w:marTop w:val="0"/>
      <w:marBottom w:val="0"/>
      <w:divBdr>
        <w:top w:val="none" w:sz="0" w:space="0" w:color="auto"/>
        <w:left w:val="none" w:sz="0" w:space="0" w:color="auto"/>
        <w:bottom w:val="none" w:sz="0" w:space="0" w:color="auto"/>
        <w:right w:val="none" w:sz="0" w:space="0" w:color="auto"/>
      </w:divBdr>
    </w:div>
    <w:div w:id="1366904795">
      <w:bodyDiv w:val="1"/>
      <w:marLeft w:val="0"/>
      <w:marRight w:val="0"/>
      <w:marTop w:val="0"/>
      <w:marBottom w:val="0"/>
      <w:divBdr>
        <w:top w:val="none" w:sz="0" w:space="0" w:color="auto"/>
        <w:left w:val="none" w:sz="0" w:space="0" w:color="auto"/>
        <w:bottom w:val="none" w:sz="0" w:space="0" w:color="auto"/>
        <w:right w:val="none" w:sz="0" w:space="0" w:color="auto"/>
      </w:divBdr>
    </w:div>
    <w:div w:id="1394430505">
      <w:bodyDiv w:val="1"/>
      <w:marLeft w:val="0"/>
      <w:marRight w:val="0"/>
      <w:marTop w:val="0"/>
      <w:marBottom w:val="0"/>
      <w:divBdr>
        <w:top w:val="none" w:sz="0" w:space="0" w:color="auto"/>
        <w:left w:val="none" w:sz="0" w:space="0" w:color="auto"/>
        <w:bottom w:val="none" w:sz="0" w:space="0" w:color="auto"/>
        <w:right w:val="none" w:sz="0" w:space="0" w:color="auto"/>
      </w:divBdr>
      <w:divsChild>
        <w:div w:id="1864901560">
          <w:marLeft w:val="0"/>
          <w:marRight w:val="0"/>
          <w:marTop w:val="0"/>
          <w:marBottom w:val="0"/>
          <w:divBdr>
            <w:top w:val="none" w:sz="0" w:space="0" w:color="auto"/>
            <w:left w:val="none" w:sz="0" w:space="0" w:color="auto"/>
            <w:bottom w:val="none" w:sz="0" w:space="0" w:color="auto"/>
            <w:right w:val="none" w:sz="0" w:space="0" w:color="auto"/>
          </w:divBdr>
        </w:div>
        <w:div w:id="1420758794">
          <w:marLeft w:val="0"/>
          <w:marRight w:val="0"/>
          <w:marTop w:val="0"/>
          <w:marBottom w:val="0"/>
          <w:divBdr>
            <w:top w:val="none" w:sz="0" w:space="0" w:color="auto"/>
            <w:left w:val="none" w:sz="0" w:space="0" w:color="auto"/>
            <w:bottom w:val="none" w:sz="0" w:space="0" w:color="auto"/>
            <w:right w:val="none" w:sz="0" w:space="0" w:color="auto"/>
          </w:divBdr>
        </w:div>
        <w:div w:id="258686722">
          <w:marLeft w:val="0"/>
          <w:marRight w:val="0"/>
          <w:marTop w:val="0"/>
          <w:marBottom w:val="0"/>
          <w:divBdr>
            <w:top w:val="none" w:sz="0" w:space="0" w:color="auto"/>
            <w:left w:val="none" w:sz="0" w:space="0" w:color="auto"/>
            <w:bottom w:val="none" w:sz="0" w:space="0" w:color="auto"/>
            <w:right w:val="none" w:sz="0" w:space="0" w:color="auto"/>
          </w:divBdr>
        </w:div>
      </w:divsChild>
    </w:div>
    <w:div w:id="1412122940">
      <w:bodyDiv w:val="1"/>
      <w:marLeft w:val="0"/>
      <w:marRight w:val="0"/>
      <w:marTop w:val="0"/>
      <w:marBottom w:val="0"/>
      <w:divBdr>
        <w:top w:val="none" w:sz="0" w:space="0" w:color="auto"/>
        <w:left w:val="none" w:sz="0" w:space="0" w:color="auto"/>
        <w:bottom w:val="none" w:sz="0" w:space="0" w:color="auto"/>
        <w:right w:val="none" w:sz="0" w:space="0" w:color="auto"/>
      </w:divBdr>
    </w:div>
    <w:div w:id="1417939559">
      <w:bodyDiv w:val="1"/>
      <w:marLeft w:val="0"/>
      <w:marRight w:val="0"/>
      <w:marTop w:val="0"/>
      <w:marBottom w:val="0"/>
      <w:divBdr>
        <w:top w:val="none" w:sz="0" w:space="0" w:color="auto"/>
        <w:left w:val="none" w:sz="0" w:space="0" w:color="auto"/>
        <w:bottom w:val="none" w:sz="0" w:space="0" w:color="auto"/>
        <w:right w:val="none" w:sz="0" w:space="0" w:color="auto"/>
      </w:divBdr>
    </w:div>
    <w:div w:id="1476558559">
      <w:bodyDiv w:val="1"/>
      <w:marLeft w:val="0"/>
      <w:marRight w:val="0"/>
      <w:marTop w:val="0"/>
      <w:marBottom w:val="0"/>
      <w:divBdr>
        <w:top w:val="none" w:sz="0" w:space="0" w:color="auto"/>
        <w:left w:val="none" w:sz="0" w:space="0" w:color="auto"/>
        <w:bottom w:val="none" w:sz="0" w:space="0" w:color="auto"/>
        <w:right w:val="none" w:sz="0" w:space="0" w:color="auto"/>
      </w:divBdr>
      <w:divsChild>
        <w:div w:id="1865287783">
          <w:marLeft w:val="0"/>
          <w:marRight w:val="1"/>
          <w:marTop w:val="0"/>
          <w:marBottom w:val="0"/>
          <w:divBdr>
            <w:top w:val="none" w:sz="0" w:space="0" w:color="auto"/>
            <w:left w:val="none" w:sz="0" w:space="0" w:color="auto"/>
            <w:bottom w:val="none" w:sz="0" w:space="0" w:color="auto"/>
            <w:right w:val="none" w:sz="0" w:space="0" w:color="auto"/>
          </w:divBdr>
          <w:divsChild>
            <w:div w:id="762533440">
              <w:marLeft w:val="0"/>
              <w:marRight w:val="0"/>
              <w:marTop w:val="0"/>
              <w:marBottom w:val="0"/>
              <w:divBdr>
                <w:top w:val="none" w:sz="0" w:space="0" w:color="auto"/>
                <w:left w:val="none" w:sz="0" w:space="0" w:color="auto"/>
                <w:bottom w:val="none" w:sz="0" w:space="0" w:color="auto"/>
                <w:right w:val="none" w:sz="0" w:space="0" w:color="auto"/>
              </w:divBdr>
              <w:divsChild>
                <w:div w:id="1057507067">
                  <w:marLeft w:val="0"/>
                  <w:marRight w:val="1"/>
                  <w:marTop w:val="0"/>
                  <w:marBottom w:val="0"/>
                  <w:divBdr>
                    <w:top w:val="none" w:sz="0" w:space="0" w:color="auto"/>
                    <w:left w:val="none" w:sz="0" w:space="0" w:color="auto"/>
                    <w:bottom w:val="none" w:sz="0" w:space="0" w:color="auto"/>
                    <w:right w:val="none" w:sz="0" w:space="0" w:color="auto"/>
                  </w:divBdr>
                  <w:divsChild>
                    <w:div w:id="1134716533">
                      <w:marLeft w:val="0"/>
                      <w:marRight w:val="0"/>
                      <w:marTop w:val="0"/>
                      <w:marBottom w:val="0"/>
                      <w:divBdr>
                        <w:top w:val="none" w:sz="0" w:space="0" w:color="auto"/>
                        <w:left w:val="none" w:sz="0" w:space="0" w:color="auto"/>
                        <w:bottom w:val="none" w:sz="0" w:space="0" w:color="auto"/>
                        <w:right w:val="none" w:sz="0" w:space="0" w:color="auto"/>
                      </w:divBdr>
                      <w:divsChild>
                        <w:div w:id="372123232">
                          <w:marLeft w:val="0"/>
                          <w:marRight w:val="0"/>
                          <w:marTop w:val="0"/>
                          <w:marBottom w:val="0"/>
                          <w:divBdr>
                            <w:top w:val="none" w:sz="0" w:space="0" w:color="auto"/>
                            <w:left w:val="none" w:sz="0" w:space="0" w:color="auto"/>
                            <w:bottom w:val="none" w:sz="0" w:space="0" w:color="auto"/>
                            <w:right w:val="none" w:sz="0" w:space="0" w:color="auto"/>
                          </w:divBdr>
                          <w:divsChild>
                            <w:div w:id="823355990">
                              <w:marLeft w:val="0"/>
                              <w:marRight w:val="0"/>
                              <w:marTop w:val="120"/>
                              <w:marBottom w:val="360"/>
                              <w:divBdr>
                                <w:top w:val="none" w:sz="0" w:space="0" w:color="auto"/>
                                <w:left w:val="none" w:sz="0" w:space="0" w:color="auto"/>
                                <w:bottom w:val="none" w:sz="0" w:space="0" w:color="auto"/>
                                <w:right w:val="none" w:sz="0" w:space="0" w:color="auto"/>
                              </w:divBdr>
                              <w:divsChild>
                                <w:div w:id="1762022378">
                                  <w:marLeft w:val="0"/>
                                  <w:marRight w:val="0"/>
                                  <w:marTop w:val="0"/>
                                  <w:marBottom w:val="0"/>
                                  <w:divBdr>
                                    <w:top w:val="none" w:sz="0" w:space="0" w:color="auto"/>
                                    <w:left w:val="none" w:sz="0" w:space="0" w:color="auto"/>
                                    <w:bottom w:val="none" w:sz="0" w:space="0" w:color="auto"/>
                                    <w:right w:val="none" w:sz="0" w:space="0" w:color="auto"/>
                                  </w:divBdr>
                                </w:div>
                                <w:div w:id="14470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385577">
      <w:bodyDiv w:val="1"/>
      <w:marLeft w:val="0"/>
      <w:marRight w:val="0"/>
      <w:marTop w:val="0"/>
      <w:marBottom w:val="0"/>
      <w:divBdr>
        <w:top w:val="none" w:sz="0" w:space="0" w:color="auto"/>
        <w:left w:val="none" w:sz="0" w:space="0" w:color="auto"/>
        <w:bottom w:val="none" w:sz="0" w:space="0" w:color="auto"/>
        <w:right w:val="none" w:sz="0" w:space="0" w:color="auto"/>
      </w:divBdr>
      <w:divsChild>
        <w:div w:id="225579602">
          <w:marLeft w:val="0"/>
          <w:marRight w:val="0"/>
          <w:marTop w:val="0"/>
          <w:marBottom w:val="0"/>
          <w:divBdr>
            <w:top w:val="none" w:sz="0" w:space="0" w:color="auto"/>
            <w:left w:val="none" w:sz="0" w:space="0" w:color="auto"/>
            <w:bottom w:val="none" w:sz="0" w:space="0" w:color="auto"/>
            <w:right w:val="none" w:sz="0" w:space="0" w:color="auto"/>
          </w:divBdr>
        </w:div>
      </w:divsChild>
    </w:div>
    <w:div w:id="1549416448">
      <w:bodyDiv w:val="1"/>
      <w:marLeft w:val="0"/>
      <w:marRight w:val="0"/>
      <w:marTop w:val="0"/>
      <w:marBottom w:val="0"/>
      <w:divBdr>
        <w:top w:val="none" w:sz="0" w:space="0" w:color="auto"/>
        <w:left w:val="none" w:sz="0" w:space="0" w:color="auto"/>
        <w:bottom w:val="none" w:sz="0" w:space="0" w:color="auto"/>
        <w:right w:val="none" w:sz="0" w:space="0" w:color="auto"/>
      </w:divBdr>
    </w:div>
    <w:div w:id="1556354500">
      <w:bodyDiv w:val="1"/>
      <w:marLeft w:val="0"/>
      <w:marRight w:val="0"/>
      <w:marTop w:val="0"/>
      <w:marBottom w:val="0"/>
      <w:divBdr>
        <w:top w:val="none" w:sz="0" w:space="0" w:color="auto"/>
        <w:left w:val="none" w:sz="0" w:space="0" w:color="auto"/>
        <w:bottom w:val="none" w:sz="0" w:space="0" w:color="auto"/>
        <w:right w:val="none" w:sz="0" w:space="0" w:color="auto"/>
      </w:divBdr>
    </w:div>
    <w:div w:id="1597708736">
      <w:bodyDiv w:val="1"/>
      <w:marLeft w:val="0"/>
      <w:marRight w:val="0"/>
      <w:marTop w:val="0"/>
      <w:marBottom w:val="0"/>
      <w:divBdr>
        <w:top w:val="none" w:sz="0" w:space="0" w:color="auto"/>
        <w:left w:val="none" w:sz="0" w:space="0" w:color="auto"/>
        <w:bottom w:val="none" w:sz="0" w:space="0" w:color="auto"/>
        <w:right w:val="none" w:sz="0" w:space="0" w:color="auto"/>
      </w:divBdr>
    </w:div>
    <w:div w:id="1686177307">
      <w:bodyDiv w:val="1"/>
      <w:marLeft w:val="0"/>
      <w:marRight w:val="0"/>
      <w:marTop w:val="0"/>
      <w:marBottom w:val="0"/>
      <w:divBdr>
        <w:top w:val="none" w:sz="0" w:space="0" w:color="auto"/>
        <w:left w:val="none" w:sz="0" w:space="0" w:color="auto"/>
        <w:bottom w:val="none" w:sz="0" w:space="0" w:color="auto"/>
        <w:right w:val="none" w:sz="0" w:space="0" w:color="auto"/>
      </w:divBdr>
    </w:div>
    <w:div w:id="1692026082">
      <w:bodyDiv w:val="1"/>
      <w:marLeft w:val="0"/>
      <w:marRight w:val="0"/>
      <w:marTop w:val="0"/>
      <w:marBottom w:val="0"/>
      <w:divBdr>
        <w:top w:val="none" w:sz="0" w:space="0" w:color="auto"/>
        <w:left w:val="none" w:sz="0" w:space="0" w:color="auto"/>
        <w:bottom w:val="none" w:sz="0" w:space="0" w:color="auto"/>
        <w:right w:val="none" w:sz="0" w:space="0" w:color="auto"/>
      </w:divBdr>
    </w:div>
    <w:div w:id="1846433766">
      <w:bodyDiv w:val="1"/>
      <w:marLeft w:val="0"/>
      <w:marRight w:val="0"/>
      <w:marTop w:val="0"/>
      <w:marBottom w:val="0"/>
      <w:divBdr>
        <w:top w:val="none" w:sz="0" w:space="0" w:color="auto"/>
        <w:left w:val="none" w:sz="0" w:space="0" w:color="auto"/>
        <w:bottom w:val="none" w:sz="0" w:space="0" w:color="auto"/>
        <w:right w:val="none" w:sz="0" w:space="0" w:color="auto"/>
      </w:divBdr>
    </w:div>
    <w:div w:id="1894077604">
      <w:bodyDiv w:val="1"/>
      <w:marLeft w:val="0"/>
      <w:marRight w:val="0"/>
      <w:marTop w:val="0"/>
      <w:marBottom w:val="0"/>
      <w:divBdr>
        <w:top w:val="none" w:sz="0" w:space="0" w:color="auto"/>
        <w:left w:val="none" w:sz="0" w:space="0" w:color="auto"/>
        <w:bottom w:val="none" w:sz="0" w:space="0" w:color="auto"/>
        <w:right w:val="none" w:sz="0" w:space="0" w:color="auto"/>
      </w:divBdr>
    </w:div>
    <w:div w:id="1940990296">
      <w:bodyDiv w:val="1"/>
      <w:marLeft w:val="0"/>
      <w:marRight w:val="0"/>
      <w:marTop w:val="0"/>
      <w:marBottom w:val="0"/>
      <w:divBdr>
        <w:top w:val="none" w:sz="0" w:space="0" w:color="auto"/>
        <w:left w:val="none" w:sz="0" w:space="0" w:color="auto"/>
        <w:bottom w:val="none" w:sz="0" w:space="0" w:color="auto"/>
        <w:right w:val="none" w:sz="0" w:space="0" w:color="auto"/>
      </w:divBdr>
    </w:div>
    <w:div w:id="1993099000">
      <w:bodyDiv w:val="1"/>
      <w:marLeft w:val="0"/>
      <w:marRight w:val="0"/>
      <w:marTop w:val="0"/>
      <w:marBottom w:val="0"/>
      <w:divBdr>
        <w:top w:val="none" w:sz="0" w:space="0" w:color="auto"/>
        <w:left w:val="none" w:sz="0" w:space="0" w:color="auto"/>
        <w:bottom w:val="none" w:sz="0" w:space="0" w:color="auto"/>
        <w:right w:val="none" w:sz="0" w:space="0" w:color="auto"/>
      </w:divBdr>
    </w:div>
    <w:div w:id="2009017437">
      <w:bodyDiv w:val="1"/>
      <w:marLeft w:val="0"/>
      <w:marRight w:val="0"/>
      <w:marTop w:val="0"/>
      <w:marBottom w:val="0"/>
      <w:divBdr>
        <w:top w:val="none" w:sz="0" w:space="0" w:color="auto"/>
        <w:left w:val="none" w:sz="0" w:space="0" w:color="auto"/>
        <w:bottom w:val="none" w:sz="0" w:space="0" w:color="auto"/>
        <w:right w:val="none" w:sz="0" w:space="0" w:color="auto"/>
      </w:divBdr>
      <w:divsChild>
        <w:div w:id="346174230">
          <w:marLeft w:val="0"/>
          <w:marRight w:val="0"/>
          <w:marTop w:val="0"/>
          <w:marBottom w:val="0"/>
          <w:divBdr>
            <w:top w:val="none" w:sz="0" w:space="0" w:color="auto"/>
            <w:left w:val="none" w:sz="0" w:space="0" w:color="auto"/>
            <w:bottom w:val="none" w:sz="0" w:space="0" w:color="auto"/>
            <w:right w:val="none" w:sz="0" w:space="0" w:color="auto"/>
          </w:divBdr>
        </w:div>
        <w:div w:id="2077966911">
          <w:marLeft w:val="0"/>
          <w:marRight w:val="0"/>
          <w:marTop w:val="0"/>
          <w:marBottom w:val="0"/>
          <w:divBdr>
            <w:top w:val="none" w:sz="0" w:space="0" w:color="auto"/>
            <w:left w:val="none" w:sz="0" w:space="0" w:color="auto"/>
            <w:bottom w:val="none" w:sz="0" w:space="0" w:color="auto"/>
            <w:right w:val="none" w:sz="0" w:space="0" w:color="auto"/>
          </w:divBdr>
        </w:div>
      </w:divsChild>
    </w:div>
    <w:div w:id="2046100839">
      <w:bodyDiv w:val="1"/>
      <w:marLeft w:val="0"/>
      <w:marRight w:val="0"/>
      <w:marTop w:val="0"/>
      <w:marBottom w:val="0"/>
      <w:divBdr>
        <w:top w:val="none" w:sz="0" w:space="0" w:color="auto"/>
        <w:left w:val="none" w:sz="0" w:space="0" w:color="auto"/>
        <w:bottom w:val="none" w:sz="0" w:space="0" w:color="auto"/>
        <w:right w:val="none" w:sz="0" w:space="0" w:color="auto"/>
      </w:divBdr>
    </w:div>
    <w:div w:id="2070112476">
      <w:bodyDiv w:val="1"/>
      <w:marLeft w:val="0"/>
      <w:marRight w:val="0"/>
      <w:marTop w:val="0"/>
      <w:marBottom w:val="0"/>
      <w:divBdr>
        <w:top w:val="none" w:sz="0" w:space="0" w:color="auto"/>
        <w:left w:val="none" w:sz="0" w:space="0" w:color="auto"/>
        <w:bottom w:val="none" w:sz="0" w:space="0" w:color="auto"/>
        <w:right w:val="none" w:sz="0" w:space="0" w:color="auto"/>
      </w:divBdr>
    </w:div>
    <w:div w:id="213405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saretti.sandro@hsr.it" TargetMode="External"/><Relationship Id="rId13" Type="http://schemas.openxmlformats.org/officeDocument/2006/relationships/hyperlink" Target="http://www.ncbi.nlm.nih.gov/pubmed/?term=Crowell%20MD%5BAuthor%5D&amp;cauthor=true&amp;cauthor_uid=25628004" TargetMode="External"/><Relationship Id="rId18" Type="http://schemas.openxmlformats.org/officeDocument/2006/relationships/hyperlink" Target="http://www.ncbi.nlm.nih.gov/pubmed/?term=weak+peristalsis+with+large+breaks+in+chronic+cough%3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hyperlink" Target="http://creativecommons.org/licenses/by-nc/4.0/" TargetMode="External"/><Relationship Id="rId12" Type="http://schemas.openxmlformats.org/officeDocument/2006/relationships/hyperlink" Target="http://www.ncbi.nlm.nih.gov/pubmed/?term=Morris%20J%5BAuthor%5D&amp;cauthor=true&amp;cauthor_uid=25628004" TargetMode="External"/><Relationship Id="rId17" Type="http://schemas.openxmlformats.org/officeDocument/2006/relationships/hyperlink" Target="http://www.ncbi.nlm.nih.gov/pubmed/?term=Houghton%20LA%5BAuthor%5D&amp;cauthor=true&amp;cauthor_uid=25628004"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ncbi.nlm.nih.gov/pubmed/?term=DeVault%20KR%5BAuthor%5D&amp;cauthor=true&amp;cauthor_uid=25628004"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cbi.nlm.nih.gov/pubmed/?term=Smith%20JA%5BAuthor%5D&amp;cauthor=true&amp;cauthor_uid=25628004" TargetMode="External"/><Relationship Id="rId24"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http://www.ncbi.nlm.nih.gov/pubmed/?term=Lee%20AS%5BAuthor%5D&amp;cauthor=true&amp;cauthor_uid=25628004" TargetMode="External"/><Relationship Id="rId23" Type="http://schemas.openxmlformats.org/officeDocument/2006/relationships/image" Target="media/image3.emf"/><Relationship Id="rId10" Type="http://schemas.openxmlformats.org/officeDocument/2006/relationships/hyperlink" Target="http://www.ncbi.nlm.nih.gov/pubmed/?term=Almansa%20C%5BAuthor%5D&amp;cauthor=true&amp;cauthor_uid=25628004" TargetMode="External"/><Relationship Id="rId19" Type="http://schemas.openxmlformats.org/officeDocument/2006/relationships/hyperlink" Target="http://www.ncbi.nlm.nih.gov/pubmed/?term=Groupe%20Fran%C3%A7ais%20De%20Neuro-Gastroent%C3%A9rologie%5BCorporate%20Author%5D" TargetMode="External"/><Relationship Id="rId4" Type="http://schemas.openxmlformats.org/officeDocument/2006/relationships/webSettings" Target="webSettings.xml"/><Relationship Id="rId9" Type="http://schemas.openxmlformats.org/officeDocument/2006/relationships/hyperlink" Target="http://www.ncbi.nlm.nih.gov/pubmed/27175979" TargetMode="External"/><Relationship Id="rId14" Type="http://schemas.openxmlformats.org/officeDocument/2006/relationships/hyperlink" Target="http://www.ncbi.nlm.nih.gov/pubmed/?term=Valdramidou%20D%5BAuthor%5D&amp;cauthor=true&amp;cauthor_uid=25628004" TargetMode="External"/><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Foglio1!$B$1</c:f>
              <c:strCache>
                <c:ptCount val="1"/>
                <c:pt idx="0">
                  <c:v>OP pH -</c:v>
                </c:pt>
              </c:strCache>
            </c:strRef>
          </c:tx>
          <c:spPr>
            <a:solidFill>
              <a:schemeClr val="bg1">
                <a:lumMod val="85000"/>
              </a:schemeClr>
            </a:solidFill>
            <a:ln>
              <a:solidFill>
                <a:schemeClr val="tx1"/>
              </a:solidFill>
            </a:ln>
          </c:spPr>
          <c:invertIfNegative val="0"/>
          <c:cat>
            <c:strRef>
              <c:f>Foglio1!$A$2:$A$12</c:f>
              <c:strCache>
                <c:ptCount val="11"/>
                <c:pt idx="0">
                  <c:v>asthma</c:v>
                </c:pt>
                <c:pt idx="1">
                  <c:v>vocal cord carcinoma</c:v>
                </c:pt>
                <c:pt idx="2">
                  <c:v>recurrent pneumonia</c:v>
                </c:pt>
                <c:pt idx="3">
                  <c:v>granuloma</c:v>
                </c:pt>
                <c:pt idx="4">
                  <c:v>post nasal drip</c:v>
                </c:pt>
                <c:pt idx="5">
                  <c:v>sore throat</c:v>
                </c:pt>
                <c:pt idx="6">
                  <c:v>burning throat</c:v>
                </c:pt>
                <c:pt idx="7">
                  <c:v>cough</c:v>
                </c:pt>
                <c:pt idx="8">
                  <c:v>hoarseness</c:v>
                </c:pt>
                <c:pt idx="9">
                  <c:v>throat clearing</c:v>
                </c:pt>
                <c:pt idx="10">
                  <c:v>lump in the throat</c:v>
                </c:pt>
              </c:strCache>
            </c:strRef>
          </c:cat>
          <c:val>
            <c:numRef>
              <c:f>Foglio1!$B$2:$B$12</c:f>
              <c:numCache>
                <c:formatCode>General</c:formatCode>
                <c:ptCount val="11"/>
                <c:pt idx="0">
                  <c:v>1</c:v>
                </c:pt>
                <c:pt idx="1">
                  <c:v>0</c:v>
                </c:pt>
                <c:pt idx="2">
                  <c:v>0</c:v>
                </c:pt>
                <c:pt idx="3">
                  <c:v>1</c:v>
                </c:pt>
                <c:pt idx="4">
                  <c:v>1</c:v>
                </c:pt>
                <c:pt idx="5">
                  <c:v>2</c:v>
                </c:pt>
                <c:pt idx="6">
                  <c:v>2</c:v>
                </c:pt>
                <c:pt idx="7">
                  <c:v>3</c:v>
                </c:pt>
                <c:pt idx="8">
                  <c:v>6</c:v>
                </c:pt>
                <c:pt idx="9">
                  <c:v>4</c:v>
                </c:pt>
                <c:pt idx="10">
                  <c:v>7</c:v>
                </c:pt>
              </c:numCache>
            </c:numRef>
          </c:val>
        </c:ser>
        <c:ser>
          <c:idx val="1"/>
          <c:order val="1"/>
          <c:tx>
            <c:strRef>
              <c:f>Foglio1!$C$1</c:f>
              <c:strCache>
                <c:ptCount val="1"/>
                <c:pt idx="0">
                  <c:v>OP pH +</c:v>
                </c:pt>
              </c:strCache>
            </c:strRef>
          </c:tx>
          <c:spPr>
            <a:pattFill prst="dkDnDiag">
              <a:fgClr>
                <a:schemeClr val="tx1"/>
              </a:fgClr>
              <a:bgClr>
                <a:schemeClr val="bg1"/>
              </a:bgClr>
            </a:pattFill>
            <a:ln>
              <a:solidFill>
                <a:schemeClr val="tx1"/>
              </a:solidFill>
            </a:ln>
          </c:spPr>
          <c:invertIfNegative val="0"/>
          <c:cat>
            <c:strRef>
              <c:f>Foglio1!$A$2:$A$12</c:f>
              <c:strCache>
                <c:ptCount val="11"/>
                <c:pt idx="0">
                  <c:v>asthma</c:v>
                </c:pt>
                <c:pt idx="1">
                  <c:v>vocal cord carcinoma</c:v>
                </c:pt>
                <c:pt idx="2">
                  <c:v>recurrent pneumonia</c:v>
                </c:pt>
                <c:pt idx="3">
                  <c:v>granuloma</c:v>
                </c:pt>
                <c:pt idx="4">
                  <c:v>post nasal drip</c:v>
                </c:pt>
                <c:pt idx="5">
                  <c:v>sore throat</c:v>
                </c:pt>
                <c:pt idx="6">
                  <c:v>burning throat</c:v>
                </c:pt>
                <c:pt idx="7">
                  <c:v>cough</c:v>
                </c:pt>
                <c:pt idx="8">
                  <c:v>hoarseness</c:v>
                </c:pt>
                <c:pt idx="9">
                  <c:v>throat clearing</c:v>
                </c:pt>
                <c:pt idx="10">
                  <c:v>lump in the throat</c:v>
                </c:pt>
              </c:strCache>
            </c:strRef>
          </c:cat>
          <c:val>
            <c:numRef>
              <c:f>Foglio1!$C$2:$C$12</c:f>
              <c:numCache>
                <c:formatCode>General</c:formatCode>
                <c:ptCount val="11"/>
                <c:pt idx="0">
                  <c:v>0</c:v>
                </c:pt>
                <c:pt idx="1">
                  <c:v>1</c:v>
                </c:pt>
                <c:pt idx="2">
                  <c:v>1</c:v>
                </c:pt>
                <c:pt idx="3">
                  <c:v>1</c:v>
                </c:pt>
                <c:pt idx="4">
                  <c:v>1</c:v>
                </c:pt>
                <c:pt idx="5">
                  <c:v>3</c:v>
                </c:pt>
                <c:pt idx="6">
                  <c:v>4</c:v>
                </c:pt>
                <c:pt idx="7">
                  <c:v>8</c:v>
                </c:pt>
                <c:pt idx="8">
                  <c:v>6</c:v>
                </c:pt>
                <c:pt idx="9">
                  <c:v>9</c:v>
                </c:pt>
                <c:pt idx="10">
                  <c:v>13</c:v>
                </c:pt>
              </c:numCache>
            </c:numRef>
          </c:val>
        </c:ser>
        <c:dLbls>
          <c:showLegendKey val="0"/>
          <c:showVal val="0"/>
          <c:showCatName val="0"/>
          <c:showSerName val="0"/>
          <c:showPercent val="0"/>
          <c:showBubbleSize val="0"/>
        </c:dLbls>
        <c:gapWidth val="150"/>
        <c:overlap val="100"/>
        <c:axId val="663080304"/>
        <c:axId val="595858720"/>
      </c:barChart>
      <c:catAx>
        <c:axId val="663080304"/>
        <c:scaling>
          <c:orientation val="minMax"/>
        </c:scaling>
        <c:delete val="0"/>
        <c:axPos val="l"/>
        <c:numFmt formatCode="General" sourceLinked="0"/>
        <c:majorTickMark val="out"/>
        <c:minorTickMark val="none"/>
        <c:tickLblPos val="nextTo"/>
        <c:txPr>
          <a:bodyPr/>
          <a:lstStyle/>
          <a:p>
            <a:pPr>
              <a:defRPr sz="1600"/>
            </a:pPr>
            <a:endParaRPr lang="en-US"/>
          </a:p>
        </c:txPr>
        <c:crossAx val="595858720"/>
        <c:crosses val="autoZero"/>
        <c:auto val="1"/>
        <c:lblAlgn val="ctr"/>
        <c:lblOffset val="100"/>
        <c:noMultiLvlLbl val="0"/>
      </c:catAx>
      <c:valAx>
        <c:axId val="595858720"/>
        <c:scaling>
          <c:orientation val="minMax"/>
          <c:max val="20"/>
        </c:scaling>
        <c:delete val="0"/>
        <c:axPos val="b"/>
        <c:majorGridlines/>
        <c:title>
          <c:tx>
            <c:rich>
              <a:bodyPr/>
              <a:lstStyle/>
              <a:p>
                <a:pPr>
                  <a:defRPr sz="1600" b="0"/>
                </a:pPr>
                <a:r>
                  <a:rPr lang="it-IT" sz="1600" b="0" dirty="0" err="1" smtClean="0"/>
                  <a:t>number</a:t>
                </a:r>
                <a:r>
                  <a:rPr lang="it-IT" sz="1600" b="0" baseline="0" dirty="0" smtClean="0"/>
                  <a:t> of </a:t>
                </a:r>
                <a:r>
                  <a:rPr lang="it-IT" sz="1600" b="0" baseline="0" dirty="0" err="1" smtClean="0"/>
                  <a:t>patients</a:t>
                </a:r>
                <a:endParaRPr lang="it-IT" sz="1600" b="0" dirty="0"/>
              </a:p>
            </c:rich>
          </c:tx>
          <c:layout>
            <c:manualLayout>
              <c:xMode val="edge"/>
              <c:yMode val="edge"/>
              <c:x val="0.80132369988240293"/>
              <c:y val="0.93094179475553762"/>
            </c:manualLayout>
          </c:layout>
          <c:overlay val="0"/>
        </c:title>
        <c:numFmt formatCode="General" sourceLinked="1"/>
        <c:majorTickMark val="out"/>
        <c:minorTickMark val="none"/>
        <c:tickLblPos val="nextTo"/>
        <c:txPr>
          <a:bodyPr/>
          <a:lstStyle/>
          <a:p>
            <a:pPr>
              <a:defRPr sz="1600"/>
            </a:pPr>
            <a:endParaRPr lang="en-US"/>
          </a:p>
        </c:txPr>
        <c:crossAx val="663080304"/>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0D481-69EE-41CE-8B96-017441FA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6096</Words>
  <Characters>34749</Characters>
  <Application>Microsoft Office Word</Application>
  <DocSecurity>0</DocSecurity>
  <Lines>289</Lines>
  <Paragraphs>81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Ospedale San Raffaele</Company>
  <LinksUpToDate>false</LinksUpToDate>
  <CharactersWithSpaces>40764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gastro</dc:creator>
  <cp:lastModifiedBy>LS Ma</cp:lastModifiedBy>
  <cp:revision>2</cp:revision>
  <cp:lastPrinted>2016-08-23T14:34:00Z</cp:lastPrinted>
  <dcterms:created xsi:type="dcterms:W3CDTF">2016-09-28T04:18:00Z</dcterms:created>
  <dcterms:modified xsi:type="dcterms:W3CDTF">2016-09-28T04:18:00Z</dcterms:modified>
</cp:coreProperties>
</file>