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3ADC" w:rsidRPr="00A25920" w:rsidRDefault="00A73ADC" w:rsidP="00225036">
      <w:pPr>
        <w:snapToGrid w:val="0"/>
        <w:spacing w:after="0" w:line="360" w:lineRule="auto"/>
        <w:jc w:val="both"/>
        <w:rPr>
          <w:rFonts w:ascii="Book Antiqua" w:hAnsi="Book Antiqua" w:cs="Times New Roman"/>
          <w:b/>
          <w:sz w:val="24"/>
          <w:szCs w:val="24"/>
        </w:rPr>
      </w:pPr>
      <w:r w:rsidRPr="00A25920">
        <w:rPr>
          <w:rFonts w:ascii="Book Antiqua" w:hAnsi="Book Antiqua" w:cs="Times New Roman"/>
          <w:b/>
          <w:sz w:val="24"/>
          <w:szCs w:val="24"/>
        </w:rPr>
        <w:t xml:space="preserve">Name of Journal: </w:t>
      </w:r>
      <w:bookmarkStart w:id="0" w:name="OLE_LINK3"/>
      <w:bookmarkStart w:id="1" w:name="OLE_LINK4"/>
      <w:r w:rsidRPr="00A25920">
        <w:rPr>
          <w:rFonts w:ascii="Book Antiqua" w:hAnsi="Book Antiqua" w:cs="Times New Roman"/>
          <w:b/>
          <w:i/>
          <w:sz w:val="24"/>
          <w:szCs w:val="24"/>
        </w:rPr>
        <w:t>World Journal of Gastroenterology</w:t>
      </w:r>
      <w:bookmarkEnd w:id="0"/>
      <w:bookmarkEnd w:id="1"/>
    </w:p>
    <w:p w:rsidR="00A73ADC" w:rsidRPr="00A25920" w:rsidRDefault="00A73ADC" w:rsidP="00225036">
      <w:pPr>
        <w:snapToGrid w:val="0"/>
        <w:spacing w:after="0" w:line="360" w:lineRule="auto"/>
        <w:jc w:val="both"/>
        <w:rPr>
          <w:rFonts w:ascii="Book Antiqua" w:hAnsi="Book Antiqua" w:cs="Times New Roman"/>
          <w:b/>
          <w:sz w:val="24"/>
          <w:szCs w:val="24"/>
        </w:rPr>
      </w:pPr>
      <w:r w:rsidRPr="00A25920">
        <w:rPr>
          <w:rFonts w:ascii="Book Antiqua" w:hAnsi="Book Antiqua" w:cs="Times New Roman"/>
          <w:b/>
          <w:sz w:val="24"/>
          <w:szCs w:val="24"/>
        </w:rPr>
        <w:t xml:space="preserve">ESPS Manuscript NO: </w:t>
      </w:r>
      <w:r w:rsidR="00602E98" w:rsidRPr="00A25920">
        <w:rPr>
          <w:rFonts w:ascii="Book Antiqua" w:hAnsi="Book Antiqua" w:cs="Times New Roman"/>
          <w:b/>
          <w:sz w:val="24"/>
          <w:szCs w:val="24"/>
        </w:rPr>
        <w:t>27739</w:t>
      </w:r>
    </w:p>
    <w:p w:rsidR="00225036" w:rsidRPr="00A25920" w:rsidRDefault="00A73ADC" w:rsidP="00225036">
      <w:pPr>
        <w:snapToGrid w:val="0"/>
        <w:spacing w:after="0" w:line="360" w:lineRule="auto"/>
        <w:jc w:val="both"/>
        <w:rPr>
          <w:rFonts w:ascii="Book Antiqua" w:hAnsi="Book Antiqua"/>
          <w:sz w:val="24"/>
          <w:szCs w:val="24"/>
        </w:rPr>
      </w:pPr>
      <w:r w:rsidRPr="00A25920">
        <w:rPr>
          <w:rFonts w:ascii="Book Antiqua" w:hAnsi="Book Antiqua" w:cs="Times New Roman"/>
          <w:b/>
          <w:sz w:val="24"/>
          <w:szCs w:val="24"/>
        </w:rPr>
        <w:t>Manuscript Type:</w:t>
      </w:r>
      <w:r w:rsidR="00225036" w:rsidRPr="00A25920">
        <w:rPr>
          <w:rFonts w:ascii="Book Antiqua" w:hAnsi="Book Antiqua" w:hint="eastAsia"/>
          <w:sz w:val="24"/>
          <w:szCs w:val="24"/>
        </w:rPr>
        <w:t xml:space="preserve"> </w:t>
      </w:r>
      <w:r w:rsidR="00225036" w:rsidRPr="00A25920">
        <w:rPr>
          <w:rFonts w:ascii="Book Antiqua" w:hAnsi="Book Antiqua"/>
          <w:b/>
          <w:sz w:val="24"/>
          <w:szCs w:val="24"/>
        </w:rPr>
        <w:t>ORIGINAL ARTICLE</w:t>
      </w:r>
    </w:p>
    <w:p w:rsidR="003F16E6" w:rsidRDefault="003F16E6" w:rsidP="00225036">
      <w:pPr>
        <w:snapToGrid w:val="0"/>
        <w:spacing w:after="0" w:line="360" w:lineRule="auto"/>
        <w:jc w:val="both"/>
        <w:rPr>
          <w:rFonts w:ascii="Book Antiqua" w:hAnsi="Book Antiqua" w:cs="Times New Roman"/>
          <w:b/>
          <w:i/>
          <w:sz w:val="24"/>
          <w:szCs w:val="24"/>
        </w:rPr>
      </w:pPr>
    </w:p>
    <w:p w:rsidR="00A73ADC" w:rsidRPr="00A25920" w:rsidRDefault="004D3B71" w:rsidP="00225036">
      <w:pPr>
        <w:snapToGrid w:val="0"/>
        <w:spacing w:after="0" w:line="360" w:lineRule="auto"/>
        <w:jc w:val="both"/>
        <w:rPr>
          <w:rFonts w:ascii="Book Antiqua" w:hAnsi="Book Antiqua" w:cs="Times New Roman"/>
          <w:b/>
          <w:i/>
          <w:sz w:val="24"/>
          <w:szCs w:val="24"/>
        </w:rPr>
      </w:pPr>
      <w:r w:rsidRPr="00A25920">
        <w:rPr>
          <w:rFonts w:ascii="Book Antiqua" w:hAnsi="Book Antiqua" w:cs="Times New Roman"/>
          <w:b/>
          <w:i/>
          <w:sz w:val="24"/>
          <w:szCs w:val="24"/>
        </w:rPr>
        <w:t>Retrospective Study</w:t>
      </w:r>
    </w:p>
    <w:p w:rsidR="00AD2335" w:rsidRPr="00A25920" w:rsidRDefault="00C43692" w:rsidP="00225036">
      <w:pPr>
        <w:snapToGrid w:val="0"/>
        <w:spacing w:after="0" w:line="360" w:lineRule="auto"/>
        <w:jc w:val="both"/>
        <w:rPr>
          <w:rFonts w:ascii="Book Antiqua" w:hAnsi="Book Antiqua" w:cs="Times New Roman"/>
          <w:b/>
          <w:sz w:val="24"/>
          <w:szCs w:val="24"/>
        </w:rPr>
      </w:pPr>
      <w:r w:rsidRPr="00A25920">
        <w:rPr>
          <w:rFonts w:ascii="Book Antiqua" w:hAnsi="Book Antiqua" w:cs="Times New Roman"/>
          <w:b/>
          <w:sz w:val="24"/>
          <w:szCs w:val="24"/>
        </w:rPr>
        <w:t>Cyclooxygenase-2</w:t>
      </w:r>
      <w:r w:rsidR="00F03234" w:rsidRPr="00A25920">
        <w:rPr>
          <w:rFonts w:ascii="Book Antiqua" w:hAnsi="Book Antiqua" w:cs="Times New Roman"/>
          <w:b/>
          <w:sz w:val="24"/>
          <w:szCs w:val="24"/>
        </w:rPr>
        <w:t xml:space="preserve"> expression </w:t>
      </w:r>
      <w:r w:rsidR="004A0488" w:rsidRPr="00A25920">
        <w:rPr>
          <w:rFonts w:ascii="Book Antiqua" w:hAnsi="Book Antiqua" w:cs="Times New Roman"/>
          <w:b/>
          <w:sz w:val="24"/>
          <w:szCs w:val="24"/>
        </w:rPr>
        <w:t>is associated with initiation of</w:t>
      </w:r>
      <w:r w:rsidR="00F03234" w:rsidRPr="00A25920">
        <w:rPr>
          <w:rFonts w:ascii="Book Antiqua" w:hAnsi="Book Antiqua" w:cs="Times New Roman"/>
          <w:b/>
          <w:sz w:val="24"/>
          <w:szCs w:val="24"/>
        </w:rPr>
        <w:t xml:space="preserve"> hepatocellular c</w:t>
      </w:r>
      <w:r w:rsidR="003F268F" w:rsidRPr="00A25920">
        <w:rPr>
          <w:rFonts w:ascii="Book Antiqua" w:hAnsi="Book Antiqua" w:cs="Times New Roman"/>
          <w:b/>
          <w:sz w:val="24"/>
          <w:szCs w:val="24"/>
        </w:rPr>
        <w:t>arcinoma,</w:t>
      </w:r>
      <w:r w:rsidR="00225036" w:rsidRPr="00A25920">
        <w:rPr>
          <w:rFonts w:ascii="Book Antiqua" w:hAnsi="Book Antiqua" w:cs="Times New Roman" w:hint="eastAsia"/>
          <w:b/>
          <w:sz w:val="24"/>
          <w:szCs w:val="24"/>
        </w:rPr>
        <w:t xml:space="preserve"> </w:t>
      </w:r>
      <w:r w:rsidR="00F03234" w:rsidRPr="00A25920">
        <w:rPr>
          <w:rFonts w:ascii="Book Antiqua" w:hAnsi="Book Antiqua" w:cs="Times New Roman"/>
          <w:b/>
          <w:sz w:val="24"/>
          <w:szCs w:val="24"/>
        </w:rPr>
        <w:t>while</w:t>
      </w:r>
      <w:bookmarkStart w:id="2" w:name="OLE_LINK19"/>
      <w:bookmarkStart w:id="3" w:name="OLE_LINK20"/>
      <w:r w:rsidR="00F03234" w:rsidRPr="00A25920">
        <w:rPr>
          <w:rFonts w:ascii="Book Antiqua" w:hAnsi="Book Antiqua" w:cs="Times New Roman"/>
          <w:b/>
          <w:sz w:val="24"/>
          <w:szCs w:val="24"/>
        </w:rPr>
        <w:t xml:space="preserve"> </w:t>
      </w:r>
      <w:bookmarkStart w:id="4" w:name="OLE_LINK2"/>
      <w:bookmarkStart w:id="5" w:name="OLE_LINK13"/>
      <w:bookmarkStart w:id="6" w:name="OLE_LINK14"/>
      <w:r w:rsidRPr="00A25920">
        <w:rPr>
          <w:rFonts w:ascii="Book Antiqua" w:hAnsi="Book Antiqua" w:cs="Times New Roman"/>
          <w:b/>
          <w:sz w:val="24"/>
          <w:szCs w:val="24"/>
        </w:rPr>
        <w:t xml:space="preserve">prostaglandin receptor-1 </w:t>
      </w:r>
      <w:bookmarkEnd w:id="4"/>
      <w:r w:rsidR="00F03234" w:rsidRPr="00A25920">
        <w:rPr>
          <w:rFonts w:ascii="Book Antiqua" w:hAnsi="Book Antiqua" w:cs="Times New Roman"/>
          <w:b/>
          <w:sz w:val="24"/>
          <w:szCs w:val="24"/>
        </w:rPr>
        <w:t xml:space="preserve">expression </w:t>
      </w:r>
      <w:r w:rsidR="004A0488" w:rsidRPr="00A25920">
        <w:rPr>
          <w:rFonts w:ascii="Book Antiqua" w:hAnsi="Book Antiqua" w:cs="Times New Roman"/>
          <w:b/>
          <w:sz w:val="24"/>
          <w:szCs w:val="24"/>
        </w:rPr>
        <w:t>predicts</w:t>
      </w:r>
      <w:r w:rsidR="00F03234" w:rsidRPr="00A25920">
        <w:rPr>
          <w:rFonts w:ascii="Book Antiqua" w:hAnsi="Book Antiqua" w:cs="Times New Roman"/>
          <w:b/>
          <w:sz w:val="24"/>
          <w:szCs w:val="24"/>
        </w:rPr>
        <w:t xml:space="preserve"> survival</w:t>
      </w:r>
      <w:bookmarkEnd w:id="5"/>
      <w:bookmarkEnd w:id="6"/>
    </w:p>
    <w:p w:rsidR="00225036" w:rsidRPr="00A25920" w:rsidRDefault="00225036" w:rsidP="00225036">
      <w:pPr>
        <w:snapToGrid w:val="0"/>
        <w:spacing w:after="0" w:line="360" w:lineRule="auto"/>
        <w:jc w:val="both"/>
        <w:rPr>
          <w:rFonts w:ascii="Book Antiqua" w:hAnsi="Book Antiqua" w:cs="Times New Roman"/>
          <w:b/>
          <w:sz w:val="24"/>
          <w:szCs w:val="24"/>
          <w:highlight w:val="white"/>
        </w:rPr>
      </w:pPr>
    </w:p>
    <w:p w:rsidR="002F3453" w:rsidRPr="00A25920" w:rsidRDefault="00225036" w:rsidP="00225036">
      <w:pPr>
        <w:snapToGrid w:val="0"/>
        <w:spacing w:after="0" w:line="360" w:lineRule="auto"/>
        <w:jc w:val="both"/>
        <w:rPr>
          <w:rFonts w:ascii="Book Antiqua" w:hAnsi="Book Antiqua" w:cs="Times New Roman"/>
          <w:sz w:val="24"/>
          <w:szCs w:val="24"/>
        </w:rPr>
      </w:pPr>
      <w:r w:rsidRPr="00A25920">
        <w:rPr>
          <w:rFonts w:ascii="Book Antiqua" w:hAnsi="Book Antiqua"/>
          <w:sz w:val="24"/>
          <w:szCs w:val="24"/>
        </w:rPr>
        <w:t>Yang HJ</w:t>
      </w:r>
      <w:r w:rsidRPr="00A25920">
        <w:rPr>
          <w:rFonts w:ascii="Book Antiqua" w:hAnsi="Book Antiqua" w:hint="eastAsia"/>
          <w:sz w:val="24"/>
          <w:szCs w:val="24"/>
        </w:rPr>
        <w:t xml:space="preserve"> </w:t>
      </w:r>
      <w:r w:rsidRPr="00A25920">
        <w:rPr>
          <w:rFonts w:ascii="Book Antiqua" w:hAnsi="Book Antiqua" w:hint="eastAsia"/>
          <w:i/>
          <w:sz w:val="24"/>
          <w:szCs w:val="24"/>
        </w:rPr>
        <w:t>et al</w:t>
      </w:r>
      <w:r w:rsidRPr="00A25920">
        <w:rPr>
          <w:rFonts w:ascii="Book Antiqua" w:hAnsi="Book Antiqua" w:hint="eastAsia"/>
          <w:sz w:val="24"/>
          <w:szCs w:val="24"/>
        </w:rPr>
        <w:t>.</w:t>
      </w:r>
      <w:r w:rsidR="00BC66B1" w:rsidRPr="00A25920">
        <w:rPr>
          <w:rFonts w:ascii="Book Antiqua" w:hAnsi="Book Antiqua" w:cs="Times New Roman"/>
          <w:sz w:val="24"/>
          <w:szCs w:val="24"/>
        </w:rPr>
        <w:t xml:space="preserve"> </w:t>
      </w:r>
      <w:r w:rsidR="00BC66B1" w:rsidRPr="00A25920">
        <w:rPr>
          <w:rFonts w:ascii="Book Antiqua" w:hAnsi="Book Antiqua" w:cs="Times New Roman"/>
          <w:caps/>
          <w:sz w:val="24"/>
          <w:szCs w:val="24"/>
        </w:rPr>
        <w:t>p</w:t>
      </w:r>
      <w:r w:rsidR="00BC66B1" w:rsidRPr="00A25920">
        <w:rPr>
          <w:rFonts w:ascii="Book Antiqua" w:hAnsi="Book Antiqua" w:cs="Times New Roman"/>
          <w:sz w:val="24"/>
          <w:szCs w:val="24"/>
        </w:rPr>
        <w:t>rostaglandin receptor-1 expression predicts survival</w:t>
      </w:r>
    </w:p>
    <w:p w:rsidR="00225036" w:rsidRPr="00A25920" w:rsidRDefault="00225036" w:rsidP="00225036">
      <w:pPr>
        <w:autoSpaceDE w:val="0"/>
        <w:autoSpaceDN w:val="0"/>
        <w:adjustRightInd w:val="0"/>
        <w:snapToGrid w:val="0"/>
        <w:spacing w:after="0" w:line="360" w:lineRule="auto"/>
        <w:jc w:val="both"/>
        <w:rPr>
          <w:rFonts w:ascii="Book Antiqua" w:hAnsi="Book Antiqua" w:cs="Times New Roman"/>
          <w:sz w:val="24"/>
          <w:szCs w:val="24"/>
        </w:rPr>
      </w:pPr>
    </w:p>
    <w:p w:rsidR="00FC1111" w:rsidRPr="00A25920" w:rsidRDefault="00D8255D" w:rsidP="00225036">
      <w:pPr>
        <w:autoSpaceDE w:val="0"/>
        <w:autoSpaceDN w:val="0"/>
        <w:adjustRightInd w:val="0"/>
        <w:snapToGrid w:val="0"/>
        <w:spacing w:after="0" w:line="360" w:lineRule="auto"/>
        <w:jc w:val="both"/>
        <w:rPr>
          <w:rFonts w:ascii="Book Antiqua" w:hAnsi="Book Antiqua" w:cs="Times New Roman"/>
          <w:b/>
          <w:sz w:val="24"/>
          <w:szCs w:val="24"/>
        </w:rPr>
      </w:pPr>
      <w:r w:rsidRPr="00A25920">
        <w:rPr>
          <w:rFonts w:ascii="Book Antiqua" w:hAnsi="Book Antiqua" w:cs="Times New Roman"/>
          <w:b/>
          <w:sz w:val="24"/>
          <w:szCs w:val="24"/>
        </w:rPr>
        <w:t>Hao-Jie</w:t>
      </w:r>
      <w:r w:rsidR="005929AB" w:rsidRPr="00A25920">
        <w:rPr>
          <w:rFonts w:ascii="Book Antiqua" w:hAnsi="Book Antiqua" w:cs="Times New Roman"/>
          <w:b/>
          <w:sz w:val="24"/>
          <w:szCs w:val="24"/>
        </w:rPr>
        <w:t xml:space="preserve"> </w:t>
      </w:r>
      <w:r w:rsidR="00CC22C7" w:rsidRPr="00A25920">
        <w:rPr>
          <w:rFonts w:ascii="Book Antiqua" w:hAnsi="Book Antiqua" w:cs="Times New Roman"/>
          <w:b/>
          <w:sz w:val="24"/>
          <w:szCs w:val="24"/>
        </w:rPr>
        <w:t>Yang</w:t>
      </w:r>
      <w:r w:rsidRPr="00A25920">
        <w:rPr>
          <w:rFonts w:ascii="Book Antiqua" w:hAnsi="Book Antiqua" w:cs="Times New Roman"/>
          <w:b/>
          <w:sz w:val="24"/>
          <w:szCs w:val="24"/>
        </w:rPr>
        <w:t>,</w:t>
      </w:r>
      <w:r w:rsidR="00225036" w:rsidRPr="00A25920">
        <w:rPr>
          <w:rFonts w:ascii="Book Antiqua" w:hAnsi="Book Antiqua" w:cs="Times New Roman" w:hint="eastAsia"/>
          <w:b/>
          <w:sz w:val="24"/>
          <w:szCs w:val="24"/>
        </w:rPr>
        <w:t xml:space="preserve"> </w:t>
      </w:r>
      <w:r w:rsidRPr="00A25920">
        <w:rPr>
          <w:rFonts w:ascii="Book Antiqua" w:hAnsi="Book Antiqua" w:cs="Times New Roman"/>
          <w:b/>
          <w:sz w:val="24"/>
          <w:szCs w:val="24"/>
        </w:rPr>
        <w:t>Jing-Hang Jiang,</w:t>
      </w:r>
      <w:r w:rsidR="00225036" w:rsidRPr="00A25920">
        <w:rPr>
          <w:rFonts w:ascii="Book Antiqua" w:hAnsi="Book Antiqua" w:cs="Times New Roman" w:hint="eastAsia"/>
          <w:b/>
          <w:sz w:val="24"/>
          <w:szCs w:val="24"/>
        </w:rPr>
        <w:t xml:space="preserve"> </w:t>
      </w:r>
      <w:r w:rsidR="00D803C6" w:rsidRPr="00A25920">
        <w:rPr>
          <w:rFonts w:ascii="Book Antiqua" w:hAnsi="Book Antiqua" w:cs="Times New Roman"/>
          <w:b/>
          <w:sz w:val="24"/>
          <w:szCs w:val="24"/>
        </w:rPr>
        <w:t>Yu-Ting Yang,</w:t>
      </w:r>
      <w:r w:rsidR="00225036" w:rsidRPr="00A25920">
        <w:rPr>
          <w:rFonts w:ascii="Book Antiqua" w:hAnsi="Book Antiqua" w:cs="Times New Roman" w:hint="eastAsia"/>
          <w:b/>
          <w:sz w:val="24"/>
          <w:szCs w:val="24"/>
        </w:rPr>
        <w:t xml:space="preserve"> </w:t>
      </w:r>
      <w:r w:rsidR="00D803C6" w:rsidRPr="00A25920">
        <w:rPr>
          <w:rFonts w:ascii="Book Antiqua" w:hAnsi="Book Antiqua" w:cs="Times New Roman"/>
          <w:b/>
          <w:sz w:val="24"/>
          <w:szCs w:val="24"/>
        </w:rPr>
        <w:t>Xiang-Di Yang</w:t>
      </w:r>
      <w:r w:rsidR="00E31949" w:rsidRPr="00A25920">
        <w:rPr>
          <w:rFonts w:ascii="Book Antiqua" w:hAnsi="Book Antiqua" w:cs="Times New Roman"/>
          <w:b/>
          <w:sz w:val="24"/>
          <w:szCs w:val="24"/>
        </w:rPr>
        <w:t>,</w:t>
      </w:r>
      <w:r w:rsidR="00225036" w:rsidRPr="00A25920">
        <w:rPr>
          <w:rFonts w:ascii="Book Antiqua" w:hAnsi="Book Antiqua" w:cs="Times New Roman" w:hint="eastAsia"/>
          <w:b/>
          <w:sz w:val="24"/>
          <w:szCs w:val="24"/>
        </w:rPr>
        <w:t xml:space="preserve"> </w:t>
      </w:r>
      <w:r w:rsidR="00FC1111" w:rsidRPr="00A25920">
        <w:rPr>
          <w:rFonts w:ascii="Book Antiqua" w:hAnsi="Book Antiqua" w:cs="Times New Roman"/>
          <w:b/>
          <w:sz w:val="24"/>
          <w:szCs w:val="24"/>
        </w:rPr>
        <w:t>Zhe Guo,</w:t>
      </w:r>
      <w:r w:rsidR="00225036" w:rsidRPr="00A25920">
        <w:rPr>
          <w:rFonts w:ascii="Book Antiqua" w:hAnsi="Book Antiqua" w:cs="Times New Roman" w:hint="eastAsia"/>
          <w:b/>
          <w:sz w:val="24"/>
          <w:szCs w:val="24"/>
        </w:rPr>
        <w:t xml:space="preserve"> </w:t>
      </w:r>
      <w:r w:rsidR="00FC1111" w:rsidRPr="00A25920">
        <w:rPr>
          <w:rFonts w:ascii="Book Antiqua" w:hAnsi="Book Antiqua" w:cs="Times New Roman"/>
          <w:b/>
          <w:sz w:val="24"/>
          <w:szCs w:val="24"/>
        </w:rPr>
        <w:t>Ya-Peng</w:t>
      </w:r>
      <w:r w:rsidR="00D803C6" w:rsidRPr="00A25920">
        <w:rPr>
          <w:rFonts w:ascii="Book Antiqua" w:hAnsi="Book Antiqua" w:cs="Times New Roman"/>
          <w:b/>
          <w:sz w:val="24"/>
          <w:szCs w:val="24"/>
        </w:rPr>
        <w:t xml:space="preserve"> Qi</w:t>
      </w:r>
      <w:r w:rsidR="00FC1111" w:rsidRPr="00A25920">
        <w:rPr>
          <w:rFonts w:ascii="Book Antiqua" w:hAnsi="Book Antiqua" w:cs="Times New Roman"/>
          <w:b/>
          <w:sz w:val="24"/>
          <w:szCs w:val="24"/>
        </w:rPr>
        <w:t>,</w:t>
      </w:r>
      <w:r w:rsidR="00225036" w:rsidRPr="00A25920">
        <w:rPr>
          <w:rFonts w:ascii="Book Antiqua" w:hAnsi="Book Antiqua" w:cs="Times New Roman" w:hint="eastAsia"/>
          <w:b/>
          <w:sz w:val="24"/>
          <w:szCs w:val="24"/>
        </w:rPr>
        <w:t xml:space="preserve"> </w:t>
      </w:r>
      <w:r w:rsidR="00714714" w:rsidRPr="00A25920">
        <w:rPr>
          <w:rFonts w:ascii="Book Antiqua" w:hAnsi="Book Antiqua" w:cs="Times New Roman"/>
          <w:b/>
          <w:sz w:val="24"/>
          <w:szCs w:val="24"/>
        </w:rPr>
        <w:t>Ke-Lan Zhang,</w:t>
      </w:r>
      <w:r w:rsidR="00225036" w:rsidRPr="00A25920">
        <w:rPr>
          <w:rFonts w:ascii="Book Antiqua" w:hAnsi="Book Antiqua" w:cs="Times New Roman" w:hint="eastAsia"/>
          <w:b/>
          <w:sz w:val="24"/>
          <w:szCs w:val="24"/>
        </w:rPr>
        <w:t xml:space="preserve"> </w:t>
      </w:r>
      <w:r w:rsidR="00007C9C" w:rsidRPr="00A25920">
        <w:rPr>
          <w:rFonts w:ascii="Book Antiqua" w:hAnsi="Book Antiqua" w:cs="Times New Roman"/>
          <w:b/>
          <w:sz w:val="24"/>
          <w:szCs w:val="24"/>
        </w:rPr>
        <w:t>Neng-Zhi Chen</w:t>
      </w:r>
      <w:r w:rsidR="00D803C6" w:rsidRPr="00A25920">
        <w:rPr>
          <w:rFonts w:ascii="Book Antiqua" w:hAnsi="Book Antiqua" w:cs="Times New Roman"/>
          <w:b/>
          <w:sz w:val="24"/>
          <w:szCs w:val="24"/>
        </w:rPr>
        <w:t>,</w:t>
      </w:r>
      <w:r w:rsidR="00225036" w:rsidRPr="00A25920">
        <w:rPr>
          <w:rFonts w:ascii="Book Antiqua" w:hAnsi="Book Antiqua" w:cs="Times New Roman" w:hint="eastAsia"/>
          <w:b/>
          <w:sz w:val="24"/>
          <w:szCs w:val="24"/>
        </w:rPr>
        <w:t xml:space="preserve"> </w:t>
      </w:r>
      <w:r w:rsidR="00D803C6" w:rsidRPr="00A25920">
        <w:rPr>
          <w:rFonts w:ascii="Book Antiqua" w:hAnsi="Book Antiqua" w:cs="Times New Roman"/>
          <w:b/>
          <w:sz w:val="24"/>
          <w:szCs w:val="24"/>
        </w:rPr>
        <w:t>Bang-De Xiang</w:t>
      </w:r>
      <w:r w:rsidR="00975ECA" w:rsidRPr="00A25920">
        <w:rPr>
          <w:rFonts w:ascii="Book Antiqua" w:hAnsi="Book Antiqua" w:cs="Times New Roman"/>
          <w:b/>
          <w:sz w:val="24"/>
          <w:szCs w:val="24"/>
        </w:rPr>
        <w:t>,</w:t>
      </w:r>
      <w:r w:rsidR="00225036" w:rsidRPr="00A25920">
        <w:rPr>
          <w:rFonts w:ascii="Book Antiqua" w:hAnsi="Book Antiqua" w:cs="Times New Roman" w:hint="eastAsia"/>
          <w:b/>
          <w:sz w:val="24"/>
          <w:szCs w:val="24"/>
        </w:rPr>
        <w:t xml:space="preserve"> </w:t>
      </w:r>
      <w:r w:rsidR="00975ECA" w:rsidRPr="00A25920">
        <w:rPr>
          <w:rFonts w:ascii="Book Antiqua" w:hAnsi="Book Antiqua" w:cs="Times New Roman"/>
          <w:b/>
          <w:sz w:val="24"/>
          <w:szCs w:val="24"/>
        </w:rPr>
        <w:t>Le-Qun Li</w:t>
      </w:r>
    </w:p>
    <w:p w:rsidR="00C018B1" w:rsidRPr="00A25920" w:rsidRDefault="00C018B1" w:rsidP="00225036">
      <w:pPr>
        <w:snapToGrid w:val="0"/>
        <w:spacing w:after="0" w:line="360" w:lineRule="auto"/>
        <w:jc w:val="both"/>
        <w:rPr>
          <w:rFonts w:ascii="Book Antiqua" w:hAnsi="Book Antiqua"/>
          <w:b/>
          <w:sz w:val="24"/>
          <w:szCs w:val="24"/>
        </w:rPr>
      </w:pPr>
    </w:p>
    <w:p w:rsidR="00BA1F4E" w:rsidRPr="00A25920" w:rsidRDefault="00BA1F4E" w:rsidP="00225036">
      <w:pPr>
        <w:snapToGrid w:val="0"/>
        <w:spacing w:after="0" w:line="360" w:lineRule="auto"/>
        <w:jc w:val="both"/>
        <w:rPr>
          <w:rFonts w:ascii="Book Antiqua" w:hAnsi="Book Antiqua"/>
          <w:sz w:val="24"/>
          <w:szCs w:val="24"/>
        </w:rPr>
      </w:pPr>
      <w:r w:rsidRPr="00A25920">
        <w:rPr>
          <w:rFonts w:ascii="Book Antiqua" w:hAnsi="Book Antiqua"/>
          <w:b/>
          <w:sz w:val="24"/>
          <w:szCs w:val="24"/>
        </w:rPr>
        <w:t xml:space="preserve">Hao-Jie Yang, </w:t>
      </w:r>
      <w:r w:rsidR="00575ECB" w:rsidRPr="00A25920">
        <w:rPr>
          <w:rFonts w:ascii="Book Antiqua" w:hAnsi="Book Antiqua"/>
          <w:b/>
          <w:sz w:val="24"/>
          <w:szCs w:val="24"/>
        </w:rPr>
        <w:t>Jing-Hang Jiang ,</w:t>
      </w:r>
      <w:r w:rsidRPr="00A25920">
        <w:rPr>
          <w:rFonts w:ascii="Book Antiqua" w:hAnsi="Book Antiqua"/>
          <w:b/>
          <w:sz w:val="24"/>
          <w:szCs w:val="24"/>
        </w:rPr>
        <w:t xml:space="preserve">Ya-Peng Qi, Le-Qun Li, Bang-De Xiang </w:t>
      </w:r>
      <w:r w:rsidRPr="00A25920">
        <w:rPr>
          <w:rFonts w:ascii="Book Antiqua" w:hAnsi="Book Antiqua"/>
          <w:sz w:val="24"/>
          <w:szCs w:val="24"/>
        </w:rPr>
        <w:t>Department of Hepatobiliary Surgery, Affiliated Tumor Hospital of Guangxi Medical University, Nanning 530021, Guangxi Z</w:t>
      </w:r>
      <w:r w:rsidR="00371B18" w:rsidRPr="00A25920">
        <w:rPr>
          <w:rFonts w:ascii="Book Antiqua" w:hAnsi="Book Antiqua"/>
          <w:sz w:val="24"/>
          <w:szCs w:val="24"/>
        </w:rPr>
        <w:t xml:space="preserve">huang Autonomous Region, China </w:t>
      </w:r>
    </w:p>
    <w:p w:rsidR="00225036" w:rsidRPr="00A25920" w:rsidRDefault="00225036" w:rsidP="00225036">
      <w:pPr>
        <w:snapToGrid w:val="0"/>
        <w:spacing w:after="0" w:line="360" w:lineRule="auto"/>
        <w:jc w:val="both"/>
        <w:rPr>
          <w:rFonts w:ascii="Book Antiqua" w:hAnsi="Book Antiqua"/>
          <w:b/>
          <w:sz w:val="24"/>
          <w:szCs w:val="24"/>
        </w:rPr>
      </w:pPr>
    </w:p>
    <w:p w:rsidR="00BA1F4E" w:rsidRPr="00A25920" w:rsidRDefault="00BA1F4E" w:rsidP="00225036">
      <w:pPr>
        <w:snapToGrid w:val="0"/>
        <w:spacing w:after="0" w:line="360" w:lineRule="auto"/>
        <w:jc w:val="both"/>
        <w:rPr>
          <w:rFonts w:ascii="Book Antiqua" w:hAnsi="Book Antiqua"/>
          <w:sz w:val="24"/>
          <w:szCs w:val="24"/>
        </w:rPr>
      </w:pPr>
      <w:r w:rsidRPr="00A25920">
        <w:rPr>
          <w:rFonts w:ascii="Book Antiqua" w:hAnsi="Book Antiqua"/>
          <w:b/>
          <w:sz w:val="24"/>
          <w:szCs w:val="24"/>
        </w:rPr>
        <w:t>Hao-Jie Yang,</w:t>
      </w:r>
      <w:r w:rsidR="00714714" w:rsidRPr="00A25920">
        <w:rPr>
          <w:rFonts w:ascii="Book Antiqua" w:hAnsi="Book Antiqua"/>
          <w:sz w:val="24"/>
          <w:szCs w:val="24"/>
        </w:rPr>
        <w:t xml:space="preserve"> </w:t>
      </w:r>
      <w:r w:rsidR="00714714" w:rsidRPr="00A25920">
        <w:rPr>
          <w:rFonts w:ascii="Book Antiqua" w:hAnsi="Book Antiqua"/>
          <w:b/>
          <w:sz w:val="24"/>
          <w:szCs w:val="24"/>
        </w:rPr>
        <w:t>Ke-Lan Zhang,</w:t>
      </w:r>
      <w:r w:rsidR="00225036" w:rsidRPr="00A25920">
        <w:rPr>
          <w:rFonts w:ascii="Book Antiqua" w:hAnsi="Book Antiqua" w:hint="eastAsia"/>
          <w:b/>
          <w:sz w:val="24"/>
          <w:szCs w:val="24"/>
        </w:rPr>
        <w:t xml:space="preserve"> </w:t>
      </w:r>
      <w:r w:rsidR="00225036" w:rsidRPr="00A25920">
        <w:rPr>
          <w:rFonts w:ascii="Book Antiqua" w:hAnsi="Book Antiqua"/>
          <w:b/>
          <w:sz w:val="24"/>
          <w:szCs w:val="24"/>
        </w:rPr>
        <w:t>Neng-Zhi Chen</w:t>
      </w:r>
      <w:r w:rsidR="00714714" w:rsidRPr="00A25920">
        <w:rPr>
          <w:rFonts w:ascii="Book Antiqua" w:hAnsi="Book Antiqua"/>
          <w:b/>
          <w:sz w:val="24"/>
          <w:szCs w:val="24"/>
        </w:rPr>
        <w:t>,</w:t>
      </w:r>
      <w:r w:rsidR="00225036" w:rsidRPr="00A25920">
        <w:rPr>
          <w:rFonts w:ascii="Book Antiqua" w:hAnsi="Book Antiqua" w:hint="eastAsia"/>
          <w:b/>
          <w:sz w:val="24"/>
          <w:szCs w:val="24"/>
        </w:rPr>
        <w:t xml:space="preserve"> </w:t>
      </w:r>
      <w:r w:rsidRPr="00A25920">
        <w:rPr>
          <w:rFonts w:ascii="Book Antiqua" w:hAnsi="Book Antiqua"/>
          <w:sz w:val="24"/>
          <w:szCs w:val="24"/>
        </w:rPr>
        <w:t>Department of General Surgery,</w:t>
      </w:r>
      <w:r w:rsidR="00225036" w:rsidRPr="00A25920">
        <w:rPr>
          <w:rFonts w:ascii="Book Antiqua" w:hAnsi="Book Antiqua" w:hint="eastAsia"/>
          <w:sz w:val="24"/>
          <w:szCs w:val="24"/>
        </w:rPr>
        <w:t xml:space="preserve"> </w:t>
      </w:r>
      <w:r w:rsidRPr="00A25920">
        <w:rPr>
          <w:rFonts w:ascii="Book Antiqua" w:hAnsi="Book Antiqua"/>
          <w:sz w:val="24"/>
          <w:szCs w:val="24"/>
        </w:rPr>
        <w:t>The First People’s Hospital of Changde,</w:t>
      </w:r>
      <w:r w:rsidR="00225036" w:rsidRPr="00A25920">
        <w:rPr>
          <w:rFonts w:ascii="Book Antiqua" w:hAnsi="Book Antiqua" w:hint="eastAsia"/>
          <w:sz w:val="24"/>
          <w:szCs w:val="24"/>
        </w:rPr>
        <w:t xml:space="preserve"> </w:t>
      </w:r>
      <w:r w:rsidRPr="00A25920">
        <w:rPr>
          <w:rFonts w:ascii="Book Antiqua" w:hAnsi="Book Antiqua"/>
          <w:sz w:val="24"/>
          <w:szCs w:val="24"/>
        </w:rPr>
        <w:t>Changde</w:t>
      </w:r>
      <w:r w:rsidR="00225036" w:rsidRPr="00A25920">
        <w:rPr>
          <w:rFonts w:ascii="Book Antiqua" w:hAnsi="Book Antiqua" w:hint="eastAsia"/>
          <w:sz w:val="24"/>
          <w:szCs w:val="24"/>
        </w:rPr>
        <w:t xml:space="preserve"> </w:t>
      </w:r>
      <w:r w:rsidR="00225036" w:rsidRPr="00A25920">
        <w:rPr>
          <w:rFonts w:ascii="Book Antiqua" w:hAnsi="Book Antiqua"/>
          <w:sz w:val="24"/>
          <w:szCs w:val="24"/>
        </w:rPr>
        <w:t>415000, Hunan Province</w:t>
      </w:r>
      <w:r w:rsidRPr="00A25920">
        <w:rPr>
          <w:rFonts w:ascii="Book Antiqua" w:hAnsi="Book Antiqua"/>
          <w:sz w:val="24"/>
          <w:szCs w:val="24"/>
        </w:rPr>
        <w:t>,</w:t>
      </w:r>
      <w:r w:rsidR="00225036" w:rsidRPr="00A25920">
        <w:rPr>
          <w:rFonts w:ascii="Book Antiqua" w:hAnsi="Book Antiqua" w:hint="eastAsia"/>
          <w:sz w:val="24"/>
          <w:szCs w:val="24"/>
        </w:rPr>
        <w:t xml:space="preserve"> </w:t>
      </w:r>
      <w:r w:rsidRPr="00A25920">
        <w:rPr>
          <w:rFonts w:ascii="Book Antiqua" w:hAnsi="Book Antiqua"/>
          <w:sz w:val="24"/>
          <w:szCs w:val="24"/>
        </w:rPr>
        <w:t>China</w:t>
      </w:r>
    </w:p>
    <w:p w:rsidR="00225036" w:rsidRPr="00A25920" w:rsidRDefault="00225036" w:rsidP="00225036">
      <w:pPr>
        <w:snapToGrid w:val="0"/>
        <w:spacing w:after="0" w:line="360" w:lineRule="auto"/>
        <w:jc w:val="both"/>
        <w:rPr>
          <w:rFonts w:ascii="Book Antiqua" w:hAnsi="Book Antiqua"/>
          <w:b/>
          <w:sz w:val="24"/>
          <w:szCs w:val="24"/>
        </w:rPr>
      </w:pPr>
    </w:p>
    <w:p w:rsidR="00707596" w:rsidRPr="00A25920" w:rsidRDefault="00707596" w:rsidP="00225036">
      <w:pPr>
        <w:snapToGrid w:val="0"/>
        <w:spacing w:after="0" w:line="360" w:lineRule="auto"/>
        <w:jc w:val="both"/>
        <w:rPr>
          <w:rFonts w:ascii="Book Antiqua" w:hAnsi="Book Antiqua"/>
          <w:sz w:val="24"/>
          <w:szCs w:val="24"/>
        </w:rPr>
      </w:pPr>
      <w:r w:rsidRPr="00A25920">
        <w:rPr>
          <w:rFonts w:ascii="Book Antiqua" w:hAnsi="Book Antiqua"/>
          <w:b/>
          <w:sz w:val="24"/>
          <w:szCs w:val="24"/>
        </w:rPr>
        <w:t>Jing-Hang Jiang</w:t>
      </w:r>
      <w:r w:rsidRPr="00A25920">
        <w:rPr>
          <w:rFonts w:ascii="Book Antiqua" w:hAnsi="Book Antiqua"/>
          <w:sz w:val="24"/>
          <w:szCs w:val="24"/>
        </w:rPr>
        <w:t>,</w:t>
      </w:r>
      <w:r w:rsidR="00225036" w:rsidRPr="00A25920">
        <w:rPr>
          <w:rFonts w:ascii="Book Antiqua" w:hAnsi="Book Antiqua" w:hint="eastAsia"/>
          <w:sz w:val="24"/>
          <w:szCs w:val="24"/>
        </w:rPr>
        <w:t xml:space="preserve"> </w:t>
      </w:r>
      <w:r w:rsidRPr="00A25920">
        <w:rPr>
          <w:rFonts w:ascii="Book Antiqua" w:hAnsi="Book Antiqua"/>
          <w:sz w:val="24"/>
          <w:szCs w:val="24"/>
        </w:rPr>
        <w:t>Department of General Surgery,</w:t>
      </w:r>
      <w:r w:rsidR="00225036" w:rsidRPr="00A25920">
        <w:rPr>
          <w:rFonts w:ascii="Book Antiqua" w:hAnsi="Book Antiqua" w:hint="eastAsia"/>
          <w:sz w:val="24"/>
          <w:szCs w:val="24"/>
        </w:rPr>
        <w:t xml:space="preserve"> </w:t>
      </w:r>
      <w:r w:rsidRPr="00A25920">
        <w:rPr>
          <w:rFonts w:ascii="Book Antiqua" w:hAnsi="Book Antiqua"/>
          <w:sz w:val="24"/>
          <w:szCs w:val="24"/>
        </w:rPr>
        <w:t>Second People’s Hospital of Jing Men, Jingmen</w:t>
      </w:r>
      <w:r w:rsidR="00225036" w:rsidRPr="00A25920">
        <w:rPr>
          <w:rFonts w:ascii="Book Antiqua" w:hAnsi="Book Antiqua" w:hint="eastAsia"/>
          <w:sz w:val="24"/>
          <w:szCs w:val="24"/>
        </w:rPr>
        <w:t xml:space="preserve"> </w:t>
      </w:r>
      <w:r w:rsidRPr="00A25920">
        <w:rPr>
          <w:rFonts w:ascii="Book Antiqua" w:hAnsi="Book Antiqua"/>
          <w:sz w:val="24"/>
          <w:szCs w:val="24"/>
        </w:rPr>
        <w:t>448000, Hubei Province,</w:t>
      </w:r>
      <w:r w:rsidR="00225036" w:rsidRPr="00A25920">
        <w:rPr>
          <w:rFonts w:ascii="Book Antiqua" w:hAnsi="Book Antiqua" w:hint="eastAsia"/>
          <w:sz w:val="24"/>
          <w:szCs w:val="24"/>
        </w:rPr>
        <w:t xml:space="preserve"> </w:t>
      </w:r>
      <w:r w:rsidRPr="00A25920">
        <w:rPr>
          <w:rFonts w:ascii="Book Antiqua" w:hAnsi="Book Antiqua"/>
          <w:sz w:val="24"/>
          <w:szCs w:val="24"/>
        </w:rPr>
        <w:t>China</w:t>
      </w:r>
    </w:p>
    <w:p w:rsidR="00225036" w:rsidRPr="00A25920" w:rsidRDefault="00225036" w:rsidP="00225036">
      <w:pPr>
        <w:snapToGrid w:val="0"/>
        <w:spacing w:after="0" w:line="360" w:lineRule="auto"/>
        <w:jc w:val="both"/>
        <w:rPr>
          <w:rFonts w:ascii="Book Antiqua" w:hAnsi="Book Antiqua"/>
          <w:b/>
          <w:sz w:val="24"/>
          <w:szCs w:val="24"/>
        </w:rPr>
      </w:pPr>
    </w:p>
    <w:p w:rsidR="00707596" w:rsidRPr="00A25920" w:rsidRDefault="00707596" w:rsidP="00225036">
      <w:pPr>
        <w:snapToGrid w:val="0"/>
        <w:spacing w:after="0" w:line="360" w:lineRule="auto"/>
        <w:jc w:val="both"/>
        <w:rPr>
          <w:rFonts w:ascii="Book Antiqua" w:hAnsi="Book Antiqua"/>
          <w:sz w:val="24"/>
          <w:szCs w:val="24"/>
        </w:rPr>
      </w:pPr>
      <w:r w:rsidRPr="00A25920">
        <w:rPr>
          <w:rFonts w:ascii="Book Antiqua" w:hAnsi="Book Antiqua"/>
          <w:b/>
          <w:sz w:val="24"/>
          <w:szCs w:val="24"/>
        </w:rPr>
        <w:t>Yu-</w:t>
      </w:r>
      <w:r w:rsidRPr="00A25920">
        <w:rPr>
          <w:rFonts w:ascii="Book Antiqua" w:hAnsi="Book Antiqua"/>
          <w:b/>
          <w:caps/>
          <w:sz w:val="24"/>
          <w:szCs w:val="24"/>
        </w:rPr>
        <w:t>t</w:t>
      </w:r>
      <w:r w:rsidRPr="00A25920">
        <w:rPr>
          <w:rFonts w:ascii="Book Antiqua" w:hAnsi="Book Antiqua"/>
          <w:b/>
          <w:sz w:val="24"/>
          <w:szCs w:val="24"/>
        </w:rPr>
        <w:t xml:space="preserve">ing Yang, </w:t>
      </w:r>
      <w:r w:rsidRPr="00A25920">
        <w:rPr>
          <w:rFonts w:ascii="Book Antiqua" w:hAnsi="Book Antiqua"/>
          <w:sz w:val="24"/>
          <w:szCs w:val="24"/>
        </w:rPr>
        <w:t>Department of Chemotherapy, Affiliated Tumor Hospital of Guangxi Medical University, Nanning 530021, Guangxi Zhuang Autonomous Region, China</w:t>
      </w:r>
    </w:p>
    <w:p w:rsidR="00225036" w:rsidRPr="00A25920" w:rsidRDefault="00225036" w:rsidP="00225036">
      <w:pPr>
        <w:snapToGrid w:val="0"/>
        <w:spacing w:after="0" w:line="360" w:lineRule="auto"/>
        <w:jc w:val="both"/>
        <w:rPr>
          <w:rFonts w:ascii="Book Antiqua" w:hAnsi="Book Antiqua"/>
          <w:b/>
          <w:sz w:val="24"/>
          <w:szCs w:val="24"/>
        </w:rPr>
      </w:pPr>
    </w:p>
    <w:p w:rsidR="00371B18" w:rsidRPr="00A25920" w:rsidRDefault="00B61D11" w:rsidP="00225036">
      <w:pPr>
        <w:snapToGrid w:val="0"/>
        <w:spacing w:after="0" w:line="360" w:lineRule="auto"/>
        <w:jc w:val="both"/>
        <w:rPr>
          <w:rFonts w:ascii="Book Antiqua" w:hAnsi="Book Antiqua"/>
          <w:sz w:val="24"/>
          <w:szCs w:val="24"/>
        </w:rPr>
      </w:pPr>
      <w:r w:rsidRPr="00A25920">
        <w:rPr>
          <w:rFonts w:ascii="Book Antiqua" w:hAnsi="Book Antiqua"/>
          <w:b/>
          <w:sz w:val="24"/>
          <w:szCs w:val="24"/>
        </w:rPr>
        <w:t>Xiang-Di Yang</w:t>
      </w:r>
      <w:r w:rsidR="00371B18" w:rsidRPr="00A25920">
        <w:rPr>
          <w:rFonts w:ascii="Book Antiqua" w:hAnsi="Book Antiqua"/>
          <w:sz w:val="24"/>
          <w:szCs w:val="24"/>
        </w:rPr>
        <w:t>,</w:t>
      </w:r>
      <w:r w:rsidRPr="00A25920">
        <w:rPr>
          <w:rFonts w:ascii="Book Antiqua" w:hAnsi="Book Antiqua"/>
          <w:sz w:val="24"/>
          <w:szCs w:val="24"/>
        </w:rPr>
        <w:t xml:space="preserve"> </w:t>
      </w:r>
      <w:r w:rsidR="00707596" w:rsidRPr="00A25920">
        <w:rPr>
          <w:rFonts w:ascii="Book Antiqua" w:hAnsi="Book Antiqua"/>
          <w:sz w:val="24"/>
          <w:szCs w:val="24"/>
        </w:rPr>
        <w:t>Department of Oncology, Chenzhou No.1 People’s Hospital, Chenzhou 423000</w:t>
      </w:r>
      <w:r w:rsidR="00225036" w:rsidRPr="00A25920">
        <w:rPr>
          <w:rFonts w:ascii="Book Antiqua" w:hAnsi="Book Antiqua"/>
          <w:sz w:val="24"/>
          <w:szCs w:val="24"/>
        </w:rPr>
        <w:t>, Hunan Province</w:t>
      </w:r>
      <w:r w:rsidRPr="00A25920">
        <w:rPr>
          <w:rFonts w:ascii="Book Antiqua" w:hAnsi="Book Antiqua"/>
          <w:sz w:val="24"/>
          <w:szCs w:val="24"/>
        </w:rPr>
        <w:t>,</w:t>
      </w:r>
      <w:r w:rsidR="00225036" w:rsidRPr="00A25920">
        <w:rPr>
          <w:rFonts w:ascii="Book Antiqua" w:hAnsi="Book Antiqua" w:hint="eastAsia"/>
          <w:sz w:val="24"/>
          <w:szCs w:val="24"/>
        </w:rPr>
        <w:t xml:space="preserve"> </w:t>
      </w:r>
      <w:r w:rsidRPr="00A25920">
        <w:rPr>
          <w:rFonts w:ascii="Book Antiqua" w:hAnsi="Book Antiqua"/>
          <w:sz w:val="24"/>
          <w:szCs w:val="24"/>
        </w:rPr>
        <w:t>China</w:t>
      </w:r>
    </w:p>
    <w:p w:rsidR="00225036" w:rsidRPr="00A25920" w:rsidRDefault="00225036" w:rsidP="00225036">
      <w:pPr>
        <w:snapToGrid w:val="0"/>
        <w:spacing w:after="0" w:line="360" w:lineRule="auto"/>
        <w:jc w:val="both"/>
        <w:rPr>
          <w:rFonts w:ascii="Book Antiqua" w:hAnsi="Book Antiqua"/>
          <w:b/>
          <w:sz w:val="24"/>
          <w:szCs w:val="24"/>
        </w:rPr>
      </w:pPr>
    </w:p>
    <w:p w:rsidR="00BA1F4E" w:rsidRPr="00A25920" w:rsidRDefault="00BA1F4E" w:rsidP="00225036">
      <w:pPr>
        <w:snapToGrid w:val="0"/>
        <w:spacing w:after="0" w:line="360" w:lineRule="auto"/>
        <w:jc w:val="both"/>
        <w:rPr>
          <w:rFonts w:ascii="Book Antiqua" w:hAnsi="Book Antiqua"/>
          <w:sz w:val="24"/>
          <w:szCs w:val="24"/>
        </w:rPr>
      </w:pPr>
      <w:r w:rsidRPr="00A25920">
        <w:rPr>
          <w:rFonts w:ascii="Book Antiqua" w:hAnsi="Book Antiqua"/>
          <w:b/>
          <w:sz w:val="24"/>
          <w:szCs w:val="24"/>
        </w:rPr>
        <w:lastRenderedPageBreak/>
        <w:t>Zhe Guo,</w:t>
      </w:r>
      <w:r w:rsidR="00225036" w:rsidRPr="00A25920">
        <w:rPr>
          <w:rFonts w:ascii="Book Antiqua" w:hAnsi="Book Antiqua" w:hint="eastAsia"/>
          <w:b/>
          <w:sz w:val="24"/>
          <w:szCs w:val="24"/>
        </w:rPr>
        <w:t xml:space="preserve"> </w:t>
      </w:r>
      <w:r w:rsidRPr="00A25920">
        <w:rPr>
          <w:rFonts w:ascii="Book Antiqua" w:hAnsi="Book Antiqua"/>
          <w:sz w:val="24"/>
          <w:szCs w:val="24"/>
        </w:rPr>
        <w:t>Department of Thyroid and Breast Surgery,</w:t>
      </w:r>
      <w:r w:rsidR="00225036" w:rsidRPr="00A25920">
        <w:rPr>
          <w:rFonts w:ascii="Book Antiqua" w:hAnsi="Book Antiqua" w:hint="eastAsia"/>
          <w:sz w:val="24"/>
          <w:szCs w:val="24"/>
        </w:rPr>
        <w:t xml:space="preserve"> </w:t>
      </w:r>
      <w:r w:rsidRPr="00A25920">
        <w:rPr>
          <w:rFonts w:ascii="Book Antiqua" w:hAnsi="Book Antiqua"/>
          <w:sz w:val="24"/>
          <w:szCs w:val="24"/>
        </w:rPr>
        <w:t>Central Hospital of Wuhan, Wuh</w:t>
      </w:r>
      <w:r w:rsidR="00E66F4B" w:rsidRPr="00A25920">
        <w:rPr>
          <w:rFonts w:ascii="Book Antiqua" w:hAnsi="Book Antiqua"/>
          <w:sz w:val="24"/>
          <w:szCs w:val="24"/>
        </w:rPr>
        <w:t>an</w:t>
      </w:r>
      <w:r w:rsidR="00225036" w:rsidRPr="00A25920">
        <w:rPr>
          <w:rFonts w:ascii="Book Antiqua" w:hAnsi="Book Antiqua" w:hint="eastAsia"/>
          <w:sz w:val="24"/>
          <w:szCs w:val="24"/>
        </w:rPr>
        <w:t xml:space="preserve"> </w:t>
      </w:r>
      <w:r w:rsidR="00E66F4B" w:rsidRPr="00A25920">
        <w:rPr>
          <w:rFonts w:ascii="Book Antiqua" w:hAnsi="Book Antiqua"/>
          <w:sz w:val="24"/>
          <w:szCs w:val="24"/>
        </w:rPr>
        <w:t>430000,</w:t>
      </w:r>
      <w:r w:rsidR="00225036" w:rsidRPr="00A25920">
        <w:rPr>
          <w:rFonts w:ascii="Book Antiqua" w:hAnsi="Book Antiqua" w:hint="eastAsia"/>
          <w:sz w:val="24"/>
          <w:szCs w:val="24"/>
        </w:rPr>
        <w:t xml:space="preserve"> </w:t>
      </w:r>
      <w:r w:rsidR="00E66F4B" w:rsidRPr="00A25920">
        <w:rPr>
          <w:rFonts w:ascii="Book Antiqua" w:hAnsi="Book Antiqua"/>
          <w:sz w:val="24"/>
          <w:szCs w:val="24"/>
        </w:rPr>
        <w:t>Hubei Province,</w:t>
      </w:r>
      <w:r w:rsidR="00225036" w:rsidRPr="00A25920">
        <w:rPr>
          <w:rFonts w:ascii="Book Antiqua" w:hAnsi="Book Antiqua" w:hint="eastAsia"/>
          <w:sz w:val="24"/>
          <w:szCs w:val="24"/>
        </w:rPr>
        <w:t xml:space="preserve"> </w:t>
      </w:r>
      <w:r w:rsidR="00E66F4B" w:rsidRPr="00A25920">
        <w:rPr>
          <w:rFonts w:ascii="Book Antiqua" w:hAnsi="Book Antiqua"/>
          <w:sz w:val="24"/>
          <w:szCs w:val="24"/>
        </w:rPr>
        <w:t>China</w:t>
      </w:r>
    </w:p>
    <w:p w:rsidR="00225036" w:rsidRPr="00A25920" w:rsidRDefault="00225036" w:rsidP="00225036">
      <w:pPr>
        <w:snapToGrid w:val="0"/>
        <w:spacing w:after="0" w:line="360" w:lineRule="auto"/>
        <w:jc w:val="both"/>
        <w:rPr>
          <w:rFonts w:ascii="Book Antiqua" w:hAnsi="Book Antiqua"/>
          <w:b/>
          <w:sz w:val="24"/>
          <w:szCs w:val="24"/>
        </w:rPr>
      </w:pPr>
    </w:p>
    <w:p w:rsidR="00BA1F4E" w:rsidRPr="00A25920" w:rsidRDefault="00BA1F4E" w:rsidP="00225036">
      <w:pPr>
        <w:snapToGrid w:val="0"/>
        <w:spacing w:after="0" w:line="360" w:lineRule="auto"/>
        <w:jc w:val="both"/>
        <w:rPr>
          <w:rFonts w:ascii="Book Antiqua" w:hAnsi="Book Antiqua"/>
          <w:b/>
          <w:sz w:val="24"/>
          <w:szCs w:val="24"/>
        </w:rPr>
      </w:pPr>
      <w:r w:rsidRPr="00A25920">
        <w:rPr>
          <w:rFonts w:ascii="Book Antiqua" w:hAnsi="Book Antiqua"/>
          <w:b/>
          <w:sz w:val="24"/>
          <w:szCs w:val="24"/>
        </w:rPr>
        <w:t>Author contributions</w:t>
      </w:r>
      <w:r w:rsidRPr="00A25920">
        <w:rPr>
          <w:rFonts w:ascii="Book Antiqua" w:hAnsi="Book Antiqua"/>
          <w:sz w:val="24"/>
          <w:szCs w:val="24"/>
        </w:rPr>
        <w:t xml:space="preserve">: Yang HJ, </w:t>
      </w:r>
      <w:r w:rsidR="006B25AA" w:rsidRPr="00A25920">
        <w:rPr>
          <w:rFonts w:ascii="Book Antiqua" w:hAnsi="Book Antiqua"/>
          <w:sz w:val="24"/>
          <w:szCs w:val="24"/>
        </w:rPr>
        <w:t xml:space="preserve">Jiang JH </w:t>
      </w:r>
      <w:r w:rsidRPr="00A25920">
        <w:rPr>
          <w:rFonts w:ascii="Book Antiqua" w:hAnsi="Book Antiqua"/>
          <w:sz w:val="24"/>
          <w:szCs w:val="24"/>
        </w:rPr>
        <w:t>and</w:t>
      </w:r>
      <w:r w:rsidR="006B25AA" w:rsidRPr="00A25920">
        <w:rPr>
          <w:rFonts w:ascii="Book Antiqua" w:hAnsi="Book Antiqua"/>
          <w:sz w:val="24"/>
          <w:szCs w:val="24"/>
        </w:rPr>
        <w:t xml:space="preserve"> Yang YT</w:t>
      </w:r>
      <w:r w:rsidRPr="00A25920">
        <w:rPr>
          <w:rFonts w:ascii="Book Antiqua" w:hAnsi="Book Antiqua"/>
          <w:sz w:val="24"/>
          <w:szCs w:val="24"/>
        </w:rPr>
        <w:t xml:space="preserve"> contributed equally to this work; </w:t>
      </w:r>
      <w:r w:rsidR="00B45BBB" w:rsidRPr="00A25920">
        <w:rPr>
          <w:rFonts w:ascii="Book Antiqua" w:hAnsi="Book Antiqua"/>
          <w:sz w:val="24"/>
          <w:szCs w:val="24"/>
        </w:rPr>
        <w:t>Xiang BD and Li LQ c</w:t>
      </w:r>
      <w:r w:rsidR="00225036" w:rsidRPr="00A25920">
        <w:rPr>
          <w:rFonts w:ascii="Book Antiqua" w:hAnsi="Book Antiqua"/>
          <w:sz w:val="24"/>
          <w:szCs w:val="24"/>
        </w:rPr>
        <w:t>ontributed equally to this work</w:t>
      </w:r>
      <w:r w:rsidR="00B45BBB" w:rsidRPr="00A25920">
        <w:rPr>
          <w:rFonts w:ascii="Book Antiqua" w:hAnsi="Book Antiqua"/>
          <w:sz w:val="24"/>
          <w:szCs w:val="24"/>
        </w:rPr>
        <w:t>;</w:t>
      </w:r>
      <w:r w:rsidR="00225036" w:rsidRPr="00A25920">
        <w:rPr>
          <w:rFonts w:ascii="Book Antiqua" w:hAnsi="Book Antiqua" w:hint="eastAsia"/>
          <w:sz w:val="24"/>
          <w:szCs w:val="24"/>
        </w:rPr>
        <w:t xml:space="preserve"> </w:t>
      </w:r>
      <w:r w:rsidRPr="00A25920">
        <w:rPr>
          <w:rFonts w:ascii="Book Antiqua" w:hAnsi="Book Antiqua"/>
          <w:sz w:val="24"/>
          <w:szCs w:val="24"/>
        </w:rPr>
        <w:t xml:space="preserve">Xiang BD and Li LQ designed the research; Yang HJ, </w:t>
      </w:r>
      <w:r w:rsidR="004D18CC" w:rsidRPr="00A25920">
        <w:rPr>
          <w:rFonts w:ascii="Book Antiqua" w:hAnsi="Book Antiqua"/>
          <w:sz w:val="24"/>
          <w:szCs w:val="24"/>
        </w:rPr>
        <w:t>Jiang JH</w:t>
      </w:r>
      <w:r w:rsidRPr="00A25920">
        <w:rPr>
          <w:rFonts w:ascii="Book Antiqua" w:hAnsi="Book Antiqua"/>
          <w:sz w:val="24"/>
          <w:szCs w:val="24"/>
        </w:rPr>
        <w:t>, Yang YT and Qi YP performed th</w:t>
      </w:r>
      <w:r w:rsidR="00225036" w:rsidRPr="00A25920">
        <w:rPr>
          <w:rFonts w:ascii="Book Antiqua" w:hAnsi="Book Antiqua"/>
          <w:sz w:val="24"/>
          <w:szCs w:val="24"/>
        </w:rPr>
        <w:t>e research</w:t>
      </w:r>
      <w:r w:rsidR="000079BD" w:rsidRPr="00A25920">
        <w:rPr>
          <w:rFonts w:ascii="Book Antiqua" w:hAnsi="Book Antiqua"/>
          <w:sz w:val="24"/>
          <w:szCs w:val="24"/>
        </w:rPr>
        <w:t>;</w:t>
      </w:r>
      <w:r w:rsidR="00225036" w:rsidRPr="00A25920">
        <w:rPr>
          <w:rFonts w:ascii="Book Antiqua" w:hAnsi="Book Antiqua" w:hint="eastAsia"/>
          <w:sz w:val="24"/>
          <w:szCs w:val="24"/>
        </w:rPr>
        <w:t xml:space="preserve"> </w:t>
      </w:r>
      <w:r w:rsidR="00225036" w:rsidRPr="00A25920">
        <w:rPr>
          <w:rFonts w:ascii="Book Antiqua" w:hAnsi="Book Antiqua"/>
          <w:sz w:val="24"/>
          <w:szCs w:val="24"/>
        </w:rPr>
        <w:t>Yang HJ, Yang YT</w:t>
      </w:r>
      <w:r w:rsidR="000079BD" w:rsidRPr="00A25920">
        <w:rPr>
          <w:rFonts w:ascii="Book Antiqua" w:hAnsi="Book Antiqua"/>
          <w:sz w:val="24"/>
          <w:szCs w:val="24"/>
        </w:rPr>
        <w:t>,</w:t>
      </w:r>
      <w:r w:rsidR="00225036" w:rsidRPr="00A25920">
        <w:rPr>
          <w:rFonts w:ascii="Book Antiqua" w:hAnsi="Book Antiqua" w:hint="eastAsia"/>
          <w:sz w:val="24"/>
          <w:szCs w:val="24"/>
        </w:rPr>
        <w:t xml:space="preserve"> </w:t>
      </w:r>
      <w:r w:rsidR="000079BD" w:rsidRPr="00A25920">
        <w:rPr>
          <w:rFonts w:ascii="Book Antiqua" w:hAnsi="Book Antiqua"/>
          <w:sz w:val="24"/>
          <w:szCs w:val="24"/>
        </w:rPr>
        <w:t>Chen NZ and Zhang KL</w:t>
      </w:r>
      <w:r w:rsidRPr="00A25920">
        <w:rPr>
          <w:rFonts w:ascii="Book Antiqua" w:hAnsi="Book Antiqua"/>
          <w:sz w:val="24"/>
          <w:szCs w:val="24"/>
        </w:rPr>
        <w:t xml:space="preserve"> evaluated the clinic records and performed the statistical analyses; Yang HJ wrote the manuscript; all authors have read and approved the final manuscript.</w:t>
      </w:r>
      <w:r w:rsidRPr="00A25920">
        <w:rPr>
          <w:rFonts w:ascii="Book Antiqua" w:hAnsi="Book Antiqua"/>
          <w:b/>
          <w:sz w:val="24"/>
          <w:szCs w:val="24"/>
        </w:rPr>
        <w:t xml:space="preserve"> </w:t>
      </w:r>
    </w:p>
    <w:p w:rsidR="00225036" w:rsidRPr="00A25920" w:rsidRDefault="00225036" w:rsidP="00225036">
      <w:pPr>
        <w:snapToGrid w:val="0"/>
        <w:spacing w:after="0" w:line="360" w:lineRule="auto"/>
        <w:jc w:val="both"/>
        <w:rPr>
          <w:rFonts w:ascii="Book Antiqua" w:hAnsi="Book Antiqua"/>
          <w:b/>
          <w:sz w:val="24"/>
          <w:szCs w:val="24"/>
        </w:rPr>
      </w:pPr>
    </w:p>
    <w:p w:rsidR="00BA1F4E" w:rsidRPr="00A25920" w:rsidRDefault="00BA1F4E" w:rsidP="00225036">
      <w:pPr>
        <w:snapToGrid w:val="0"/>
        <w:spacing w:after="0" w:line="360" w:lineRule="auto"/>
        <w:jc w:val="both"/>
        <w:rPr>
          <w:rFonts w:ascii="Book Antiqua" w:hAnsi="Book Antiqua"/>
          <w:sz w:val="24"/>
          <w:szCs w:val="24"/>
        </w:rPr>
      </w:pPr>
      <w:r w:rsidRPr="00A25920">
        <w:rPr>
          <w:rFonts w:ascii="Book Antiqua" w:hAnsi="Book Antiqua"/>
          <w:b/>
          <w:sz w:val="24"/>
          <w:szCs w:val="24"/>
        </w:rPr>
        <w:t>Supported by</w:t>
      </w:r>
      <w:r w:rsidRPr="00A25920">
        <w:rPr>
          <w:rFonts w:ascii="Book Antiqua" w:hAnsi="Book Antiqua"/>
          <w:sz w:val="24"/>
          <w:szCs w:val="24"/>
        </w:rPr>
        <w:t xml:space="preserve"> National Natural Science Foundation of China,</w:t>
      </w:r>
      <w:r w:rsidR="00225036" w:rsidRPr="00A25920">
        <w:rPr>
          <w:rFonts w:ascii="Book Antiqua" w:hAnsi="Book Antiqua" w:hint="eastAsia"/>
          <w:sz w:val="24"/>
          <w:szCs w:val="24"/>
        </w:rPr>
        <w:t xml:space="preserve"> </w:t>
      </w:r>
      <w:r w:rsidRPr="00A25920">
        <w:rPr>
          <w:rFonts w:ascii="Book Antiqua" w:hAnsi="Book Antiqua"/>
          <w:sz w:val="24"/>
          <w:szCs w:val="24"/>
        </w:rPr>
        <w:t>No.</w:t>
      </w:r>
      <w:r w:rsidR="00225036" w:rsidRPr="00A25920">
        <w:rPr>
          <w:rFonts w:ascii="Book Antiqua" w:hAnsi="Book Antiqua" w:hint="eastAsia"/>
          <w:sz w:val="24"/>
          <w:szCs w:val="24"/>
        </w:rPr>
        <w:t xml:space="preserve"> </w:t>
      </w:r>
      <w:r w:rsidRPr="00A25920">
        <w:rPr>
          <w:rFonts w:ascii="Book Antiqua" w:hAnsi="Book Antiqua"/>
          <w:sz w:val="24"/>
          <w:szCs w:val="24"/>
        </w:rPr>
        <w:t>81260331;</w:t>
      </w:r>
      <w:r w:rsidR="00225036" w:rsidRPr="00A25920">
        <w:rPr>
          <w:rFonts w:ascii="Book Antiqua" w:hAnsi="Book Antiqua" w:hint="eastAsia"/>
          <w:sz w:val="24"/>
          <w:szCs w:val="24"/>
        </w:rPr>
        <w:t xml:space="preserve"> and </w:t>
      </w:r>
      <w:r w:rsidRPr="00A25920">
        <w:rPr>
          <w:rFonts w:ascii="Book Antiqua" w:hAnsi="Book Antiqua"/>
          <w:sz w:val="24"/>
          <w:szCs w:val="24"/>
        </w:rPr>
        <w:t>Key Laboratory for High</w:t>
      </w:r>
      <w:r w:rsidR="006839D5" w:rsidRPr="00A25920">
        <w:rPr>
          <w:rFonts w:ascii="Book Antiqua" w:hAnsi="Book Antiqua"/>
          <w:sz w:val="24"/>
          <w:szCs w:val="24"/>
        </w:rPr>
        <w:t>-Incidence Tumor Prevention and</w:t>
      </w:r>
      <w:r w:rsidR="00225036" w:rsidRPr="00A25920">
        <w:rPr>
          <w:rFonts w:ascii="Book Antiqua" w:hAnsi="Book Antiqua" w:hint="eastAsia"/>
          <w:sz w:val="24"/>
          <w:szCs w:val="24"/>
        </w:rPr>
        <w:t xml:space="preserve"> </w:t>
      </w:r>
      <w:r w:rsidRPr="00A25920">
        <w:rPr>
          <w:rFonts w:ascii="Book Antiqua" w:hAnsi="Book Antiqua"/>
          <w:sz w:val="24"/>
          <w:szCs w:val="24"/>
        </w:rPr>
        <w:t>Treatment,</w:t>
      </w:r>
      <w:r w:rsidR="00225036" w:rsidRPr="00A25920">
        <w:rPr>
          <w:rFonts w:ascii="Book Antiqua" w:hAnsi="Book Antiqua" w:hint="eastAsia"/>
          <w:sz w:val="24"/>
          <w:szCs w:val="24"/>
        </w:rPr>
        <w:t xml:space="preserve"> </w:t>
      </w:r>
      <w:r w:rsidRPr="00A25920">
        <w:rPr>
          <w:rFonts w:ascii="Book Antiqua" w:hAnsi="Book Antiqua"/>
          <w:sz w:val="24"/>
          <w:szCs w:val="24"/>
        </w:rPr>
        <w:t>Ministry of Education,</w:t>
      </w:r>
      <w:r w:rsidR="00225036" w:rsidRPr="00A25920">
        <w:rPr>
          <w:rFonts w:ascii="Book Antiqua" w:hAnsi="Book Antiqua" w:hint="eastAsia"/>
          <w:sz w:val="24"/>
          <w:szCs w:val="24"/>
        </w:rPr>
        <w:t xml:space="preserve"> </w:t>
      </w:r>
      <w:r w:rsidRPr="00A25920">
        <w:rPr>
          <w:rFonts w:ascii="Book Antiqua" w:hAnsi="Book Antiqua"/>
          <w:sz w:val="24"/>
          <w:szCs w:val="24"/>
        </w:rPr>
        <w:t>No.</w:t>
      </w:r>
      <w:r w:rsidR="00225036" w:rsidRPr="00A25920">
        <w:rPr>
          <w:rFonts w:ascii="Book Antiqua" w:hAnsi="Book Antiqua" w:hint="eastAsia"/>
          <w:sz w:val="24"/>
          <w:szCs w:val="24"/>
        </w:rPr>
        <w:t xml:space="preserve"> </w:t>
      </w:r>
      <w:r w:rsidR="00225036" w:rsidRPr="00A25920">
        <w:rPr>
          <w:rFonts w:ascii="Book Antiqua" w:hAnsi="Book Antiqua"/>
          <w:sz w:val="24"/>
          <w:szCs w:val="24"/>
        </w:rPr>
        <w:t>GKE2015-ZZ05</w:t>
      </w:r>
      <w:r w:rsidR="00225036" w:rsidRPr="00A25920">
        <w:rPr>
          <w:rFonts w:ascii="Book Antiqua" w:hAnsi="Book Antiqua" w:hint="eastAsia"/>
          <w:sz w:val="24"/>
          <w:szCs w:val="24"/>
        </w:rPr>
        <w:t>.</w:t>
      </w:r>
    </w:p>
    <w:p w:rsidR="00BA1F4E" w:rsidRPr="00A25920" w:rsidRDefault="00BA1F4E" w:rsidP="00225036">
      <w:pPr>
        <w:snapToGrid w:val="0"/>
        <w:spacing w:after="0" w:line="360" w:lineRule="auto"/>
        <w:jc w:val="both"/>
        <w:rPr>
          <w:rFonts w:ascii="Book Antiqua" w:hAnsi="Book Antiqua"/>
          <w:sz w:val="24"/>
          <w:szCs w:val="24"/>
        </w:rPr>
      </w:pPr>
    </w:p>
    <w:p w:rsidR="00BA1F4E" w:rsidRPr="00A25920" w:rsidRDefault="00BA1F4E" w:rsidP="00225036">
      <w:pPr>
        <w:snapToGrid w:val="0"/>
        <w:spacing w:after="0" w:line="360" w:lineRule="auto"/>
        <w:jc w:val="both"/>
        <w:rPr>
          <w:rFonts w:ascii="Book Antiqua" w:hAnsi="Book Antiqua"/>
          <w:sz w:val="24"/>
          <w:szCs w:val="24"/>
        </w:rPr>
      </w:pPr>
      <w:r w:rsidRPr="00A25920">
        <w:rPr>
          <w:rFonts w:ascii="Book Antiqua" w:hAnsi="Book Antiqua"/>
          <w:b/>
          <w:sz w:val="24"/>
          <w:szCs w:val="24"/>
        </w:rPr>
        <w:t>Institutional review board statement:</w:t>
      </w:r>
      <w:r w:rsidRPr="00A25920">
        <w:rPr>
          <w:rFonts w:ascii="Book Antiqua" w:hAnsi="Book Antiqua"/>
          <w:sz w:val="24"/>
          <w:szCs w:val="24"/>
        </w:rPr>
        <w:t xml:space="preserve"> The study was reviewed and approved by the Tumor Hospital of Guangxi Medical University Institutional Review Board.</w:t>
      </w:r>
    </w:p>
    <w:p w:rsidR="00225036" w:rsidRPr="00A25920" w:rsidRDefault="00225036" w:rsidP="00225036">
      <w:pPr>
        <w:snapToGrid w:val="0"/>
        <w:spacing w:after="0" w:line="360" w:lineRule="auto"/>
        <w:jc w:val="both"/>
        <w:rPr>
          <w:rFonts w:ascii="Book Antiqua" w:hAnsi="Book Antiqua"/>
          <w:b/>
          <w:bCs/>
          <w:iCs/>
          <w:sz w:val="24"/>
          <w:szCs w:val="24"/>
        </w:rPr>
      </w:pPr>
    </w:p>
    <w:p w:rsidR="00BA1F4E" w:rsidRPr="00A25920" w:rsidRDefault="00BA1F4E" w:rsidP="00225036">
      <w:pPr>
        <w:snapToGrid w:val="0"/>
        <w:spacing w:after="0" w:line="360" w:lineRule="auto"/>
        <w:jc w:val="both"/>
        <w:rPr>
          <w:rFonts w:ascii="Book Antiqua" w:hAnsi="Book Antiqua"/>
          <w:sz w:val="24"/>
          <w:szCs w:val="24"/>
        </w:rPr>
      </w:pPr>
      <w:r w:rsidRPr="00A25920">
        <w:rPr>
          <w:rFonts w:ascii="Book Antiqua" w:hAnsi="Book Antiqua"/>
          <w:b/>
          <w:bCs/>
          <w:iCs/>
          <w:sz w:val="24"/>
          <w:szCs w:val="24"/>
        </w:rPr>
        <w:t>Informed consent statement</w:t>
      </w:r>
      <w:r w:rsidRPr="00A25920">
        <w:rPr>
          <w:rFonts w:ascii="Book Antiqua" w:hAnsi="Book Antiqua"/>
          <w:b/>
          <w:sz w:val="24"/>
          <w:szCs w:val="24"/>
        </w:rPr>
        <w:t>:</w:t>
      </w:r>
      <w:r w:rsidRPr="00A25920">
        <w:rPr>
          <w:rFonts w:ascii="Book Antiqua" w:hAnsi="Book Antiqua"/>
          <w:sz w:val="24"/>
          <w:szCs w:val="24"/>
        </w:rPr>
        <w:t xml:space="preserve"> All study participants, or their legal guardian, provided informed written consent prior to study enrollment.</w:t>
      </w:r>
    </w:p>
    <w:p w:rsidR="00225036" w:rsidRPr="00A25920" w:rsidRDefault="00225036" w:rsidP="00225036">
      <w:pPr>
        <w:snapToGrid w:val="0"/>
        <w:spacing w:after="0" w:line="360" w:lineRule="auto"/>
        <w:jc w:val="both"/>
        <w:rPr>
          <w:rFonts w:ascii="Book Antiqua" w:hAnsi="Book Antiqua" w:cs="TimesNewRomanPS-BoldItalicMT"/>
          <w:b/>
          <w:bCs/>
          <w:iCs/>
          <w:sz w:val="24"/>
          <w:szCs w:val="24"/>
        </w:rPr>
      </w:pPr>
    </w:p>
    <w:p w:rsidR="00BA1F4E" w:rsidRPr="00A25920" w:rsidRDefault="00BA1F4E" w:rsidP="00225036">
      <w:pPr>
        <w:snapToGrid w:val="0"/>
        <w:spacing w:after="0" w:line="360" w:lineRule="auto"/>
        <w:jc w:val="both"/>
        <w:rPr>
          <w:rFonts w:ascii="Book Antiqua" w:hAnsi="Book Antiqua"/>
          <w:sz w:val="24"/>
          <w:szCs w:val="24"/>
        </w:rPr>
      </w:pPr>
      <w:r w:rsidRPr="00A25920">
        <w:rPr>
          <w:rFonts w:ascii="Book Antiqua" w:hAnsi="Book Antiqua" w:cs="TimesNewRomanPS-BoldItalicMT"/>
          <w:b/>
          <w:bCs/>
          <w:iCs/>
          <w:sz w:val="24"/>
          <w:szCs w:val="24"/>
        </w:rPr>
        <w:t>Conflict-of-interest</w:t>
      </w:r>
      <w:r w:rsidRPr="00A25920">
        <w:rPr>
          <w:rFonts w:ascii="Book Antiqua" w:hAnsi="Book Antiqua"/>
          <w:b/>
          <w:bCs/>
          <w:iCs/>
          <w:sz w:val="24"/>
          <w:szCs w:val="24"/>
        </w:rPr>
        <w:t xml:space="preserve"> </w:t>
      </w:r>
      <w:bookmarkStart w:id="7" w:name="OLE_LINK81"/>
      <w:bookmarkStart w:id="8" w:name="OLE_LINK82"/>
      <w:r w:rsidRPr="00A25920">
        <w:rPr>
          <w:rFonts w:ascii="Book Antiqua" w:hAnsi="Book Antiqua"/>
          <w:b/>
          <w:bCs/>
          <w:iCs/>
          <w:sz w:val="24"/>
          <w:szCs w:val="24"/>
        </w:rPr>
        <w:t>statement</w:t>
      </w:r>
      <w:bookmarkEnd w:id="7"/>
      <w:bookmarkEnd w:id="8"/>
      <w:r w:rsidRPr="00A25920">
        <w:rPr>
          <w:rFonts w:ascii="Book Antiqua" w:hAnsi="Book Antiqua"/>
          <w:sz w:val="24"/>
          <w:szCs w:val="24"/>
        </w:rPr>
        <w:t>: No potential conflicts of interest relevant to this article were reported.</w:t>
      </w:r>
    </w:p>
    <w:p w:rsidR="00225036" w:rsidRPr="00A25920" w:rsidRDefault="00225036" w:rsidP="00225036">
      <w:pPr>
        <w:snapToGrid w:val="0"/>
        <w:spacing w:after="0" w:line="360" w:lineRule="auto"/>
        <w:jc w:val="both"/>
        <w:rPr>
          <w:rFonts w:ascii="Book Antiqua" w:hAnsi="Book Antiqua"/>
          <w:b/>
          <w:sz w:val="24"/>
          <w:szCs w:val="24"/>
        </w:rPr>
      </w:pPr>
    </w:p>
    <w:p w:rsidR="00BA1F4E" w:rsidRPr="00A25920" w:rsidRDefault="00BA1F4E" w:rsidP="00225036">
      <w:pPr>
        <w:snapToGrid w:val="0"/>
        <w:spacing w:after="0" w:line="360" w:lineRule="auto"/>
        <w:jc w:val="both"/>
        <w:rPr>
          <w:rFonts w:ascii="Book Antiqua" w:hAnsi="Book Antiqua"/>
          <w:sz w:val="24"/>
          <w:szCs w:val="24"/>
        </w:rPr>
      </w:pPr>
      <w:r w:rsidRPr="00A25920">
        <w:rPr>
          <w:rFonts w:ascii="Book Antiqua" w:hAnsi="Book Antiqua"/>
          <w:b/>
          <w:sz w:val="24"/>
          <w:szCs w:val="24"/>
        </w:rPr>
        <w:t xml:space="preserve">Data sharing </w:t>
      </w:r>
      <w:r w:rsidRPr="00A25920">
        <w:rPr>
          <w:rFonts w:ascii="Book Antiqua" w:hAnsi="Book Antiqua"/>
          <w:b/>
          <w:bCs/>
          <w:iCs/>
          <w:sz w:val="24"/>
          <w:szCs w:val="24"/>
        </w:rPr>
        <w:t>statement</w:t>
      </w:r>
      <w:r w:rsidRPr="00A25920">
        <w:rPr>
          <w:rFonts w:ascii="Book Antiqua" w:hAnsi="Book Antiqua"/>
          <w:b/>
          <w:sz w:val="24"/>
          <w:szCs w:val="24"/>
        </w:rPr>
        <w:t>:</w:t>
      </w:r>
      <w:r w:rsidRPr="00A25920">
        <w:rPr>
          <w:rFonts w:ascii="Book Antiqua" w:hAnsi="Book Antiqua"/>
          <w:sz w:val="24"/>
          <w:szCs w:val="24"/>
        </w:rPr>
        <w:t xml:space="preserve"> Technical appendix, statistical code, and dataset are available from the corresponding author at </w:t>
      </w:r>
      <w:hyperlink r:id="rId6" w:history="1">
        <w:r w:rsidRPr="00A25920">
          <w:rPr>
            <w:rFonts w:ascii="Book Antiqua" w:hAnsi="Book Antiqua"/>
            <w:sz w:val="24"/>
            <w:szCs w:val="24"/>
          </w:rPr>
          <w:t>cdsdyrmyy01@163.com. Participants</w:t>
        </w:r>
      </w:hyperlink>
      <w:r w:rsidRPr="00A25920">
        <w:rPr>
          <w:rFonts w:ascii="Book Antiqua" w:hAnsi="Book Antiqua"/>
          <w:sz w:val="24"/>
          <w:szCs w:val="24"/>
        </w:rPr>
        <w:t xml:space="preserve"> gave informed consent for data sharing.</w:t>
      </w:r>
    </w:p>
    <w:p w:rsidR="00225036" w:rsidRPr="00A25920" w:rsidRDefault="00225036" w:rsidP="00225036">
      <w:pPr>
        <w:snapToGrid w:val="0"/>
        <w:spacing w:after="0" w:line="360" w:lineRule="auto"/>
        <w:jc w:val="both"/>
        <w:rPr>
          <w:rFonts w:ascii="Book Antiqua" w:hAnsi="Book Antiqua"/>
          <w:b/>
          <w:sz w:val="24"/>
          <w:szCs w:val="24"/>
        </w:rPr>
      </w:pPr>
    </w:p>
    <w:p w:rsidR="00225036" w:rsidRPr="00A25920" w:rsidRDefault="00225036" w:rsidP="00225036">
      <w:pPr>
        <w:pStyle w:val="1"/>
        <w:spacing w:line="360" w:lineRule="auto"/>
        <w:jc w:val="both"/>
        <w:rPr>
          <w:rFonts w:ascii="Book Antiqua" w:hAnsi="Book Antiqua" w:cs="Times New Roman"/>
          <w:bCs/>
          <w:color w:val="auto"/>
          <w:sz w:val="24"/>
          <w:highlight w:val="white"/>
          <w:lang w:val="en-US"/>
        </w:rPr>
      </w:pPr>
      <w:bookmarkStart w:id="9" w:name="OLE_LINK734"/>
      <w:bookmarkStart w:id="10" w:name="OLE_LINK441"/>
      <w:bookmarkStart w:id="11" w:name="OLE_LINK442"/>
      <w:bookmarkStart w:id="12" w:name="OLE_LINK1032"/>
      <w:bookmarkStart w:id="13" w:name="OLE_LINK1232"/>
      <w:bookmarkStart w:id="14" w:name="OLE_LINK559"/>
      <w:bookmarkStart w:id="15" w:name="OLE_LINK878"/>
      <w:bookmarkStart w:id="16" w:name="OLE_LINK879"/>
      <w:r w:rsidRPr="00A25920">
        <w:rPr>
          <w:rFonts w:ascii="Book Antiqua" w:hAnsi="Book Antiqua" w:cs="Times New Roman"/>
          <w:b/>
          <w:bCs/>
          <w:color w:val="auto"/>
          <w:sz w:val="24"/>
          <w:highlight w:val="white"/>
          <w:lang w:val="en-US"/>
        </w:rPr>
        <w:t>Open-Access:</w:t>
      </w:r>
      <w:r w:rsidRPr="00A25920">
        <w:rPr>
          <w:rFonts w:ascii="Book Antiqua" w:hAnsi="Book Antiqua" w:cs="Times New Roman"/>
          <w:bCs/>
          <w:color w:val="auto"/>
          <w:sz w:val="24"/>
          <w:highlight w:val="white"/>
          <w:lang w:val="en-US"/>
        </w:rPr>
        <w:t xml:space="preserve"> </w:t>
      </w:r>
      <w:bookmarkStart w:id="17" w:name="OLE_LINK479"/>
      <w:bookmarkStart w:id="18" w:name="OLE_LINK496"/>
      <w:bookmarkStart w:id="19" w:name="OLE_LINK506"/>
      <w:bookmarkStart w:id="20" w:name="OLE_LINK507"/>
      <w:r w:rsidRPr="00A25920">
        <w:rPr>
          <w:rFonts w:ascii="Book Antiqua" w:hAnsi="Book Antiqua" w:cs="Times New Roman"/>
          <w:bCs/>
          <w:color w:val="auto"/>
          <w:sz w:val="24"/>
          <w:highlight w:val="white"/>
          <w:lang w:val="en-US"/>
        </w:rPr>
        <w:t xml:space="preserve">This article is an open-access article which was selected by an in-house editor and fully peer-reviewed by external reviewers. It is </w:t>
      </w:r>
      <w:r w:rsidRPr="00A25920">
        <w:rPr>
          <w:rFonts w:ascii="Book Antiqua" w:hAnsi="Book Antiqua" w:cs="Times New Roman"/>
          <w:bCs/>
          <w:color w:val="auto"/>
          <w:sz w:val="24"/>
          <w:highlight w:val="white"/>
          <w:lang w:val="en-US"/>
        </w:rPr>
        <w:lastRenderedPageBreak/>
        <w:t>distributed</w:t>
      </w:r>
      <w:r w:rsidRPr="00A25920">
        <w:rPr>
          <w:rFonts w:ascii="Book Antiqua" w:hAnsi="Book Antiqua" w:cs="Times New Roman" w:hint="eastAsia"/>
          <w:bCs/>
          <w:color w:val="auto"/>
          <w:sz w:val="24"/>
          <w:highlight w:val="white"/>
          <w:lang w:val="en-US" w:eastAsia="zh-CN"/>
        </w:rPr>
        <w:t xml:space="preserve"> </w:t>
      </w:r>
      <w:r w:rsidRPr="00A25920">
        <w:rPr>
          <w:rFonts w:ascii="Book Antiqua" w:hAnsi="Book Antiqua" w:cs="Times New Roman"/>
          <w:bCs/>
          <w:color w:val="auto"/>
          <w:sz w:val="24"/>
          <w:highlight w:val="white"/>
          <w:lang w:val="en-US"/>
        </w:rPr>
        <w:t>in</w:t>
      </w:r>
      <w:r w:rsidRPr="00A25920">
        <w:rPr>
          <w:rFonts w:ascii="Book Antiqua" w:hAnsi="Book Antiqua" w:cs="Times New Roman" w:hint="eastAsia"/>
          <w:bCs/>
          <w:color w:val="auto"/>
          <w:sz w:val="24"/>
          <w:highlight w:val="white"/>
          <w:lang w:val="en-US" w:eastAsia="zh-CN"/>
        </w:rPr>
        <w:t xml:space="preserve"> </w:t>
      </w:r>
      <w:r w:rsidRPr="00A25920">
        <w:rPr>
          <w:rFonts w:ascii="Book Antiqua" w:hAnsi="Book Antiqua" w:cs="Times New Roman"/>
          <w:bCs/>
          <w:color w:val="auto"/>
          <w:sz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A25920">
          <w:rPr>
            <w:rStyle w:val="Hyperlink"/>
            <w:rFonts w:ascii="Book Antiqua" w:hAnsi="Book Antiqua" w:cs="Times New Roman"/>
            <w:bCs/>
            <w:color w:val="auto"/>
            <w:sz w:val="24"/>
            <w:highlight w:val="white"/>
            <w:lang w:val="en-US"/>
          </w:rPr>
          <w:t>http://creativecommons.org/licenses/by-nc/4.0/</w:t>
        </w:r>
      </w:hyperlink>
      <w:bookmarkEnd w:id="9"/>
      <w:bookmarkEnd w:id="17"/>
      <w:bookmarkEnd w:id="18"/>
      <w:bookmarkEnd w:id="19"/>
      <w:bookmarkEnd w:id="20"/>
    </w:p>
    <w:bookmarkEnd w:id="10"/>
    <w:bookmarkEnd w:id="11"/>
    <w:bookmarkEnd w:id="12"/>
    <w:bookmarkEnd w:id="13"/>
    <w:bookmarkEnd w:id="14"/>
    <w:p w:rsidR="00225036" w:rsidRPr="00A25920" w:rsidRDefault="00225036" w:rsidP="00225036">
      <w:pPr>
        <w:pStyle w:val="1"/>
        <w:rPr>
          <w:rFonts w:ascii="Book Antiqua" w:hAnsi="Book Antiqua" w:cs="Times New Roman"/>
          <w:b/>
          <w:bCs/>
          <w:color w:val="auto"/>
          <w:sz w:val="24"/>
          <w:highlight w:val="white"/>
          <w:lang w:val="en-US" w:eastAsia="zh-CN"/>
        </w:rPr>
      </w:pPr>
    </w:p>
    <w:p w:rsidR="00225036" w:rsidRPr="00A25920" w:rsidRDefault="00225036" w:rsidP="00225036">
      <w:pPr>
        <w:snapToGrid w:val="0"/>
        <w:spacing w:after="0" w:line="360" w:lineRule="auto"/>
        <w:jc w:val="both"/>
        <w:rPr>
          <w:rFonts w:ascii="Book Antiqua" w:hAnsi="Book Antiqua" w:cs="Times New Roman"/>
          <w:bCs/>
          <w:sz w:val="24"/>
        </w:rPr>
      </w:pPr>
      <w:r w:rsidRPr="00A25920">
        <w:rPr>
          <w:rFonts w:ascii="Book Antiqua" w:hAnsi="Book Antiqua" w:cs="Times New Roman"/>
          <w:b/>
          <w:bCs/>
          <w:sz w:val="24"/>
          <w:highlight w:val="white"/>
        </w:rPr>
        <w:t>Manuscript source:</w:t>
      </w:r>
      <w:r w:rsidRPr="00A25920">
        <w:rPr>
          <w:rFonts w:ascii="Book Antiqua" w:hAnsi="Book Antiqua" w:cs="Times New Roman" w:hint="eastAsia"/>
          <w:b/>
          <w:bCs/>
          <w:sz w:val="24"/>
          <w:highlight w:val="white"/>
        </w:rPr>
        <w:t xml:space="preserve"> </w:t>
      </w:r>
      <w:r w:rsidRPr="00A25920">
        <w:rPr>
          <w:rFonts w:ascii="Book Antiqua" w:hAnsi="Book Antiqua" w:cs="Times New Roman"/>
          <w:bCs/>
          <w:sz w:val="24"/>
          <w:highlight w:val="white"/>
        </w:rPr>
        <w:t>Unsolicited manuscript</w:t>
      </w:r>
      <w:bookmarkEnd w:id="15"/>
      <w:bookmarkEnd w:id="16"/>
    </w:p>
    <w:p w:rsidR="00225036" w:rsidRPr="00A25920" w:rsidRDefault="00225036" w:rsidP="00225036">
      <w:pPr>
        <w:snapToGrid w:val="0"/>
        <w:spacing w:after="0" w:line="360" w:lineRule="auto"/>
        <w:jc w:val="both"/>
        <w:rPr>
          <w:rFonts w:ascii="Book Antiqua" w:hAnsi="Book Antiqua"/>
          <w:b/>
          <w:sz w:val="24"/>
          <w:szCs w:val="24"/>
        </w:rPr>
      </w:pPr>
    </w:p>
    <w:p w:rsidR="00225036" w:rsidRPr="00A25920" w:rsidRDefault="00BA1F4E" w:rsidP="00225036">
      <w:pPr>
        <w:snapToGrid w:val="0"/>
        <w:spacing w:after="0" w:line="360" w:lineRule="auto"/>
        <w:jc w:val="both"/>
        <w:rPr>
          <w:rFonts w:ascii="Book Antiqua" w:hAnsi="Book Antiqua"/>
          <w:sz w:val="24"/>
          <w:szCs w:val="24"/>
        </w:rPr>
      </w:pPr>
      <w:r w:rsidRPr="00A25920">
        <w:rPr>
          <w:rFonts w:ascii="Book Antiqua" w:hAnsi="Book Antiqua"/>
          <w:b/>
          <w:sz w:val="24"/>
          <w:szCs w:val="24"/>
        </w:rPr>
        <w:t>Correspondence to</w:t>
      </w:r>
      <w:r w:rsidRPr="00A25920">
        <w:rPr>
          <w:rFonts w:ascii="Book Antiqua" w:hAnsi="Book Antiqua"/>
          <w:sz w:val="24"/>
          <w:szCs w:val="24"/>
        </w:rPr>
        <w:t xml:space="preserve">: </w:t>
      </w:r>
      <w:r w:rsidR="00225036" w:rsidRPr="00A25920">
        <w:rPr>
          <w:rFonts w:ascii="Book Antiqua" w:hAnsi="Book Antiqua" w:hint="eastAsia"/>
          <w:b/>
          <w:sz w:val="24"/>
          <w:szCs w:val="24"/>
        </w:rPr>
        <w:t xml:space="preserve">Dr. </w:t>
      </w:r>
      <w:r w:rsidRPr="00A25920">
        <w:rPr>
          <w:rFonts w:ascii="Book Antiqua" w:hAnsi="Book Antiqua"/>
          <w:b/>
          <w:sz w:val="24"/>
          <w:szCs w:val="24"/>
        </w:rPr>
        <w:t>Bang-De Xiang, Professor,</w:t>
      </w:r>
      <w:r w:rsidRPr="00A25920">
        <w:rPr>
          <w:rFonts w:ascii="Book Antiqua" w:hAnsi="Book Antiqua"/>
          <w:sz w:val="24"/>
          <w:szCs w:val="24"/>
        </w:rPr>
        <w:t xml:space="preserve"> Department of Hepatobiliary Surgery, Tumor Hospital of Guangxi Medical</w:t>
      </w:r>
      <w:r w:rsidR="00225036" w:rsidRPr="00A25920">
        <w:rPr>
          <w:rFonts w:ascii="Book Antiqua" w:hAnsi="Book Antiqua" w:hint="eastAsia"/>
          <w:sz w:val="24"/>
          <w:szCs w:val="24"/>
        </w:rPr>
        <w:t xml:space="preserve"> </w:t>
      </w:r>
      <w:r w:rsidRPr="00A25920">
        <w:rPr>
          <w:rFonts w:ascii="Book Antiqua" w:hAnsi="Book Antiqua"/>
          <w:sz w:val="24"/>
          <w:szCs w:val="24"/>
        </w:rPr>
        <w:t xml:space="preserve">University, 71 Hedi Road, Nanning 530021, Guangxi Zhuang Autonomous Region, China. </w:t>
      </w:r>
      <w:hyperlink r:id="rId8" w:history="1">
        <w:r w:rsidR="00225036" w:rsidRPr="00A25920">
          <w:rPr>
            <w:rStyle w:val="Hyperlink"/>
            <w:rFonts w:ascii="Book Antiqua" w:hAnsi="Book Antiqua"/>
            <w:color w:val="auto"/>
            <w:sz w:val="24"/>
            <w:szCs w:val="24"/>
          </w:rPr>
          <w:t>yhj894924067@163.com</w:t>
        </w:r>
      </w:hyperlink>
    </w:p>
    <w:p w:rsidR="00225036" w:rsidRPr="00A25920" w:rsidRDefault="00225036" w:rsidP="00225036">
      <w:pPr>
        <w:snapToGrid w:val="0"/>
        <w:spacing w:after="0" w:line="360" w:lineRule="auto"/>
        <w:jc w:val="both"/>
        <w:rPr>
          <w:rFonts w:ascii="Book Antiqua" w:hAnsi="Book Antiqua"/>
          <w:sz w:val="24"/>
          <w:szCs w:val="24"/>
        </w:rPr>
      </w:pPr>
      <w:r w:rsidRPr="00A25920">
        <w:rPr>
          <w:rFonts w:ascii="Book Antiqua" w:hAnsi="Book Antiqua"/>
          <w:b/>
          <w:sz w:val="24"/>
          <w:szCs w:val="24"/>
        </w:rPr>
        <w:t>Telephone:</w:t>
      </w:r>
      <w:r w:rsidRPr="00A25920">
        <w:rPr>
          <w:rFonts w:ascii="Book Antiqua" w:hAnsi="Book Antiqua" w:hint="eastAsia"/>
          <w:sz w:val="24"/>
          <w:szCs w:val="24"/>
        </w:rPr>
        <w:t xml:space="preserve"> </w:t>
      </w:r>
      <w:r w:rsidRPr="00A25920">
        <w:rPr>
          <w:rFonts w:ascii="Book Antiqua" w:hAnsi="Book Antiqua"/>
          <w:sz w:val="24"/>
          <w:szCs w:val="24"/>
        </w:rPr>
        <w:t>+86-771-5310045</w:t>
      </w:r>
    </w:p>
    <w:p w:rsidR="00BA1F4E" w:rsidRPr="00A25920" w:rsidRDefault="00BA1F4E" w:rsidP="00225036">
      <w:pPr>
        <w:snapToGrid w:val="0"/>
        <w:spacing w:after="0" w:line="360" w:lineRule="auto"/>
        <w:jc w:val="both"/>
        <w:rPr>
          <w:rFonts w:ascii="Book Antiqua" w:hAnsi="Book Antiqua"/>
          <w:sz w:val="24"/>
          <w:szCs w:val="24"/>
        </w:rPr>
      </w:pPr>
      <w:r w:rsidRPr="00A25920">
        <w:rPr>
          <w:rFonts w:ascii="Book Antiqua" w:hAnsi="Book Antiqua"/>
          <w:b/>
          <w:sz w:val="24"/>
          <w:szCs w:val="24"/>
        </w:rPr>
        <w:t>Fax:</w:t>
      </w:r>
      <w:r w:rsidRPr="00A25920">
        <w:rPr>
          <w:rFonts w:ascii="Book Antiqua" w:hAnsi="Book Antiqua"/>
          <w:sz w:val="24"/>
          <w:szCs w:val="24"/>
        </w:rPr>
        <w:t xml:space="preserve"> +86-771-5312000</w:t>
      </w:r>
    </w:p>
    <w:p w:rsidR="00225036" w:rsidRPr="00A25920" w:rsidRDefault="00225036" w:rsidP="00225036">
      <w:pPr>
        <w:snapToGrid w:val="0"/>
        <w:spacing w:after="0" w:line="360" w:lineRule="auto"/>
        <w:jc w:val="both"/>
        <w:rPr>
          <w:rFonts w:ascii="Book Antiqua" w:hAnsi="Book Antiqua"/>
          <w:b/>
          <w:sz w:val="24"/>
          <w:szCs w:val="24"/>
        </w:rPr>
      </w:pPr>
    </w:p>
    <w:p w:rsidR="00225036" w:rsidRPr="00A25920" w:rsidRDefault="00225036" w:rsidP="00225036">
      <w:pPr>
        <w:snapToGrid w:val="0"/>
        <w:spacing w:after="0" w:line="360" w:lineRule="auto"/>
        <w:jc w:val="both"/>
        <w:rPr>
          <w:rFonts w:ascii="Book Antiqua" w:hAnsi="Book Antiqua"/>
          <w:b/>
          <w:sz w:val="24"/>
          <w:szCs w:val="24"/>
        </w:rPr>
      </w:pPr>
      <w:r w:rsidRPr="00A25920">
        <w:rPr>
          <w:rFonts w:ascii="Book Antiqua" w:hAnsi="Book Antiqua"/>
          <w:b/>
          <w:sz w:val="24"/>
          <w:szCs w:val="24"/>
        </w:rPr>
        <w:t>Received:</w:t>
      </w:r>
      <w:r w:rsidRPr="00A25920">
        <w:rPr>
          <w:rFonts w:ascii="Book Antiqua" w:hAnsi="Book Antiqua" w:hint="eastAsia"/>
          <w:b/>
          <w:sz w:val="24"/>
          <w:szCs w:val="24"/>
        </w:rPr>
        <w:t xml:space="preserve"> </w:t>
      </w:r>
      <w:r w:rsidRPr="00A25920">
        <w:rPr>
          <w:rFonts w:ascii="Book Antiqua" w:hAnsi="Book Antiqua" w:hint="eastAsia"/>
          <w:sz w:val="24"/>
          <w:szCs w:val="24"/>
        </w:rPr>
        <w:t>June 15, 2016</w:t>
      </w:r>
    </w:p>
    <w:p w:rsidR="00225036" w:rsidRPr="00A25920" w:rsidRDefault="00225036" w:rsidP="00225036">
      <w:pPr>
        <w:snapToGrid w:val="0"/>
        <w:spacing w:after="0" w:line="360" w:lineRule="auto"/>
        <w:jc w:val="both"/>
        <w:rPr>
          <w:rFonts w:ascii="Book Antiqua" w:hAnsi="Book Antiqua"/>
          <w:b/>
          <w:sz w:val="24"/>
          <w:szCs w:val="24"/>
        </w:rPr>
      </w:pPr>
      <w:r w:rsidRPr="00A25920">
        <w:rPr>
          <w:rFonts w:ascii="Book Antiqua" w:hAnsi="Book Antiqua"/>
          <w:b/>
          <w:sz w:val="24"/>
          <w:szCs w:val="24"/>
        </w:rPr>
        <w:t>Peer-review started:</w:t>
      </w:r>
      <w:r w:rsidRPr="00A25920">
        <w:rPr>
          <w:rFonts w:ascii="Book Antiqua" w:hAnsi="Book Antiqua" w:hint="eastAsia"/>
          <w:b/>
          <w:sz w:val="24"/>
          <w:szCs w:val="24"/>
        </w:rPr>
        <w:t xml:space="preserve"> </w:t>
      </w:r>
      <w:r w:rsidRPr="00A25920">
        <w:rPr>
          <w:rFonts w:ascii="Book Antiqua" w:hAnsi="Book Antiqua" w:hint="eastAsia"/>
          <w:sz w:val="24"/>
          <w:szCs w:val="24"/>
        </w:rPr>
        <w:t>June 16, 2016</w:t>
      </w:r>
    </w:p>
    <w:p w:rsidR="00225036" w:rsidRPr="00A25920" w:rsidRDefault="00225036" w:rsidP="00225036">
      <w:pPr>
        <w:snapToGrid w:val="0"/>
        <w:spacing w:after="0" w:line="360" w:lineRule="auto"/>
        <w:jc w:val="both"/>
        <w:rPr>
          <w:rFonts w:ascii="Book Antiqua" w:hAnsi="Book Antiqua"/>
          <w:b/>
          <w:sz w:val="24"/>
          <w:szCs w:val="24"/>
        </w:rPr>
      </w:pPr>
      <w:r w:rsidRPr="00A25920">
        <w:rPr>
          <w:rFonts w:ascii="Book Antiqua" w:hAnsi="Book Antiqua"/>
          <w:b/>
          <w:sz w:val="24"/>
          <w:szCs w:val="24"/>
        </w:rPr>
        <w:t>First decision:</w:t>
      </w:r>
      <w:r w:rsidRPr="00A25920">
        <w:rPr>
          <w:rFonts w:ascii="Book Antiqua" w:hAnsi="Book Antiqua" w:hint="eastAsia"/>
          <w:b/>
          <w:sz w:val="24"/>
          <w:szCs w:val="24"/>
        </w:rPr>
        <w:t xml:space="preserve"> </w:t>
      </w:r>
      <w:r w:rsidRPr="00A25920">
        <w:rPr>
          <w:rFonts w:ascii="Book Antiqua" w:hAnsi="Book Antiqua" w:hint="eastAsia"/>
          <w:sz w:val="24"/>
          <w:szCs w:val="24"/>
        </w:rPr>
        <w:t>July 29, 2016</w:t>
      </w:r>
    </w:p>
    <w:p w:rsidR="00225036" w:rsidRPr="00A25920" w:rsidRDefault="00225036" w:rsidP="00225036">
      <w:pPr>
        <w:snapToGrid w:val="0"/>
        <w:spacing w:after="0" w:line="360" w:lineRule="auto"/>
        <w:jc w:val="both"/>
        <w:rPr>
          <w:rFonts w:ascii="Book Antiqua" w:hAnsi="Book Antiqua"/>
          <w:b/>
          <w:sz w:val="24"/>
          <w:szCs w:val="24"/>
        </w:rPr>
      </w:pPr>
      <w:r w:rsidRPr="00A25920">
        <w:rPr>
          <w:rFonts w:ascii="Book Antiqua" w:hAnsi="Book Antiqua"/>
          <w:b/>
          <w:sz w:val="24"/>
          <w:szCs w:val="24"/>
        </w:rPr>
        <w:t>Revised:</w:t>
      </w:r>
      <w:r w:rsidRPr="00A25920">
        <w:rPr>
          <w:rFonts w:ascii="Book Antiqua" w:hAnsi="Book Antiqua" w:hint="eastAsia"/>
          <w:b/>
          <w:sz w:val="24"/>
          <w:szCs w:val="24"/>
        </w:rPr>
        <w:t xml:space="preserve"> </w:t>
      </w:r>
      <w:r w:rsidRPr="00A25920">
        <w:rPr>
          <w:rFonts w:ascii="Book Antiqua" w:hAnsi="Book Antiqua" w:hint="eastAsia"/>
          <w:sz w:val="24"/>
          <w:szCs w:val="24"/>
        </w:rPr>
        <w:t>August 15, 2016</w:t>
      </w:r>
    </w:p>
    <w:p w:rsidR="00225036" w:rsidRPr="00FF2E72" w:rsidRDefault="00225036" w:rsidP="00FF2E72">
      <w:pPr>
        <w:spacing w:line="360" w:lineRule="auto"/>
        <w:rPr>
          <w:rFonts w:ascii="Book Antiqua" w:hAnsi="Book Antiqua"/>
          <w:color w:val="000000"/>
          <w:sz w:val="24"/>
        </w:rPr>
      </w:pPr>
      <w:r w:rsidRPr="00A25920">
        <w:rPr>
          <w:rFonts w:ascii="Book Antiqua" w:hAnsi="Book Antiqua"/>
          <w:b/>
          <w:sz w:val="24"/>
          <w:szCs w:val="24"/>
        </w:rPr>
        <w:t>Accepted:</w:t>
      </w:r>
      <w:r w:rsidR="00FF2E72" w:rsidRPr="00FF2E72">
        <w:rPr>
          <w:rFonts w:ascii="Book Antiqua" w:hAnsi="Book Antiqua"/>
          <w:color w:val="000000"/>
          <w:sz w:val="24"/>
        </w:rPr>
        <w:t xml:space="preserve"> </w:t>
      </w:r>
      <w:r w:rsidR="00FF2E72">
        <w:rPr>
          <w:rFonts w:ascii="Book Antiqua" w:hAnsi="Book Antiqua"/>
          <w:color w:val="000000"/>
          <w:sz w:val="24"/>
        </w:rPr>
        <w:t>August 30, 2016</w:t>
      </w:r>
      <w:bookmarkStart w:id="21" w:name="_GoBack"/>
      <w:bookmarkEnd w:id="21"/>
    </w:p>
    <w:p w:rsidR="00225036" w:rsidRPr="00A25920" w:rsidRDefault="00225036" w:rsidP="00225036">
      <w:pPr>
        <w:snapToGrid w:val="0"/>
        <w:spacing w:after="0" w:line="360" w:lineRule="auto"/>
        <w:jc w:val="both"/>
        <w:rPr>
          <w:rFonts w:ascii="Book Antiqua" w:hAnsi="Book Antiqua"/>
          <w:b/>
          <w:sz w:val="24"/>
          <w:szCs w:val="24"/>
        </w:rPr>
      </w:pPr>
      <w:r w:rsidRPr="00A25920">
        <w:rPr>
          <w:rFonts w:ascii="Book Antiqua" w:hAnsi="Book Antiqua"/>
          <w:b/>
          <w:sz w:val="24"/>
          <w:szCs w:val="24"/>
        </w:rPr>
        <w:t>Article in press:</w:t>
      </w:r>
    </w:p>
    <w:p w:rsidR="00225036" w:rsidRPr="00A25920" w:rsidRDefault="00225036" w:rsidP="00225036">
      <w:pPr>
        <w:snapToGrid w:val="0"/>
        <w:spacing w:after="0" w:line="360" w:lineRule="auto"/>
        <w:jc w:val="both"/>
        <w:rPr>
          <w:rFonts w:ascii="Book Antiqua" w:hAnsi="Book Antiqua"/>
          <w:b/>
          <w:sz w:val="24"/>
          <w:szCs w:val="24"/>
          <w:lang w:val="pl-PL"/>
        </w:rPr>
      </w:pPr>
      <w:r w:rsidRPr="00A25920">
        <w:rPr>
          <w:rFonts w:ascii="Book Antiqua" w:hAnsi="Book Antiqua"/>
          <w:b/>
          <w:sz w:val="24"/>
          <w:szCs w:val="24"/>
          <w:lang w:val="pl-PL"/>
        </w:rPr>
        <w:t>Published online</w:t>
      </w:r>
      <w:r w:rsidRPr="00A25920">
        <w:rPr>
          <w:rFonts w:ascii="Book Antiqua" w:hAnsi="Book Antiqua" w:hint="eastAsia"/>
          <w:b/>
          <w:sz w:val="24"/>
          <w:szCs w:val="24"/>
          <w:lang w:val="pl-PL"/>
        </w:rPr>
        <w:t>:</w:t>
      </w:r>
    </w:p>
    <w:p w:rsidR="00B258D3" w:rsidRPr="00A25920" w:rsidRDefault="00B258D3" w:rsidP="00225036">
      <w:pPr>
        <w:snapToGrid w:val="0"/>
        <w:spacing w:after="0" w:line="360" w:lineRule="auto"/>
        <w:jc w:val="both"/>
        <w:rPr>
          <w:rFonts w:ascii="Book Antiqua" w:hAnsi="Book Antiqua" w:cs="Times New Roman"/>
          <w:b/>
          <w:sz w:val="24"/>
          <w:szCs w:val="24"/>
        </w:rPr>
      </w:pPr>
    </w:p>
    <w:p w:rsidR="00225036" w:rsidRPr="00A25920" w:rsidRDefault="00225036">
      <w:pPr>
        <w:rPr>
          <w:rFonts w:ascii="Book Antiqua" w:hAnsi="Book Antiqua" w:cs="Times New Roman"/>
          <w:b/>
          <w:sz w:val="24"/>
          <w:szCs w:val="24"/>
        </w:rPr>
      </w:pPr>
      <w:r w:rsidRPr="00A25920">
        <w:rPr>
          <w:rFonts w:ascii="Book Antiqua" w:hAnsi="Book Antiqua" w:cs="Times New Roman"/>
          <w:b/>
          <w:sz w:val="24"/>
          <w:szCs w:val="24"/>
        </w:rPr>
        <w:br w:type="page"/>
      </w:r>
    </w:p>
    <w:p w:rsidR="00797BF9" w:rsidRPr="00A25920" w:rsidRDefault="0056622A" w:rsidP="00225036">
      <w:pPr>
        <w:snapToGrid w:val="0"/>
        <w:spacing w:after="0" w:line="360" w:lineRule="auto"/>
        <w:jc w:val="both"/>
        <w:rPr>
          <w:rFonts w:ascii="Book Antiqua" w:hAnsi="Book Antiqua" w:cs="Times New Roman"/>
          <w:b/>
          <w:sz w:val="24"/>
          <w:szCs w:val="24"/>
        </w:rPr>
      </w:pPr>
      <w:r w:rsidRPr="00A25920">
        <w:rPr>
          <w:rFonts w:ascii="Book Antiqua" w:hAnsi="Book Antiqua" w:cs="Times New Roman"/>
          <w:b/>
          <w:sz w:val="24"/>
          <w:szCs w:val="24"/>
        </w:rPr>
        <w:lastRenderedPageBreak/>
        <w:t>Abstract</w:t>
      </w:r>
    </w:p>
    <w:p w:rsidR="004E393B" w:rsidRPr="004E393B" w:rsidRDefault="0056622A" w:rsidP="00225036">
      <w:pPr>
        <w:snapToGrid w:val="0"/>
        <w:spacing w:after="0" w:line="360" w:lineRule="auto"/>
        <w:jc w:val="both"/>
        <w:rPr>
          <w:rFonts w:ascii="Book Antiqua" w:hAnsi="Book Antiqua" w:cs="Times New Roman"/>
          <w:i/>
          <w:sz w:val="24"/>
          <w:szCs w:val="24"/>
        </w:rPr>
      </w:pPr>
      <w:r w:rsidRPr="004E393B">
        <w:rPr>
          <w:rFonts w:ascii="Book Antiqua" w:hAnsi="Book Antiqua" w:cs="Times New Roman"/>
          <w:b/>
          <w:i/>
          <w:sz w:val="24"/>
          <w:szCs w:val="24"/>
        </w:rPr>
        <w:t>AIM</w:t>
      </w:r>
    </w:p>
    <w:p w:rsidR="00797BF9" w:rsidRPr="00A25920" w:rsidRDefault="006271F1" w:rsidP="00225036">
      <w:pPr>
        <w:snapToGrid w:val="0"/>
        <w:spacing w:after="0" w:line="360" w:lineRule="auto"/>
        <w:jc w:val="both"/>
        <w:rPr>
          <w:rFonts w:ascii="Book Antiqua" w:hAnsi="Book Antiqua" w:cs="Times New Roman"/>
          <w:sz w:val="24"/>
          <w:szCs w:val="24"/>
        </w:rPr>
      </w:pPr>
      <w:r w:rsidRPr="00A25920">
        <w:rPr>
          <w:rFonts w:ascii="Book Antiqua" w:hAnsi="Book Antiqua" w:cs="Times New Roman"/>
          <w:sz w:val="24"/>
          <w:szCs w:val="24"/>
        </w:rPr>
        <w:t>To explore how c</w:t>
      </w:r>
      <w:r w:rsidR="00BD2BCE" w:rsidRPr="00A25920">
        <w:rPr>
          <w:rFonts w:ascii="Book Antiqua" w:hAnsi="Book Antiqua" w:cs="Times New Roman"/>
          <w:sz w:val="24"/>
          <w:szCs w:val="24"/>
        </w:rPr>
        <w:t>yclooxygenase-2</w:t>
      </w:r>
      <w:r w:rsidR="00225036" w:rsidRPr="00A25920">
        <w:rPr>
          <w:rFonts w:ascii="Book Antiqua" w:hAnsi="Book Antiqua" w:cs="Times New Roman" w:hint="eastAsia"/>
          <w:sz w:val="24"/>
          <w:szCs w:val="24"/>
        </w:rPr>
        <w:t xml:space="preserve"> </w:t>
      </w:r>
      <w:r w:rsidR="00225036" w:rsidRPr="00A25920">
        <w:rPr>
          <w:rFonts w:ascii="Book Antiqua" w:hAnsi="Book Antiqua" w:cs="Times New Roman"/>
          <w:sz w:val="24"/>
          <w:szCs w:val="24"/>
        </w:rPr>
        <w:t>(COX-2</w:t>
      </w:r>
      <w:r w:rsidR="00BD2BCE" w:rsidRPr="00A25920">
        <w:rPr>
          <w:rFonts w:ascii="Book Antiqua" w:hAnsi="Book Antiqua" w:cs="Times New Roman"/>
          <w:sz w:val="24"/>
          <w:szCs w:val="24"/>
        </w:rPr>
        <w:t>)</w:t>
      </w:r>
      <w:r w:rsidR="00225036" w:rsidRPr="00A25920">
        <w:rPr>
          <w:rFonts w:ascii="Book Antiqua" w:hAnsi="Book Antiqua" w:cs="Times New Roman" w:hint="eastAsia"/>
          <w:sz w:val="24"/>
          <w:szCs w:val="24"/>
        </w:rPr>
        <w:t xml:space="preserve"> </w:t>
      </w:r>
      <w:r w:rsidR="00BD2BCE" w:rsidRPr="00A25920">
        <w:rPr>
          <w:rFonts w:ascii="Book Antiqua" w:hAnsi="Book Antiqua" w:cs="Times New Roman"/>
          <w:sz w:val="24"/>
          <w:szCs w:val="24"/>
        </w:rPr>
        <w:t>and prostaglandin E2 receptor</w:t>
      </w:r>
      <w:r w:rsidR="00225036" w:rsidRPr="00A25920">
        <w:rPr>
          <w:rFonts w:ascii="Book Antiqua" w:hAnsi="Book Antiqua" w:cs="Times New Roman" w:hint="eastAsia"/>
          <w:sz w:val="24"/>
          <w:szCs w:val="24"/>
        </w:rPr>
        <w:t xml:space="preserve"> </w:t>
      </w:r>
      <w:r w:rsidR="00BD2BCE" w:rsidRPr="00A25920">
        <w:rPr>
          <w:rFonts w:ascii="Book Antiqua" w:hAnsi="Book Antiqua" w:cs="Times New Roman"/>
          <w:sz w:val="24"/>
          <w:szCs w:val="24"/>
        </w:rPr>
        <w:t>(</w:t>
      </w:r>
      <w:r w:rsidR="00627E9E" w:rsidRPr="00A25920">
        <w:rPr>
          <w:rFonts w:ascii="Book Antiqua" w:hAnsi="Book Antiqua" w:cs="Times New Roman"/>
          <w:sz w:val="24"/>
          <w:szCs w:val="24"/>
        </w:rPr>
        <w:t>EP</w:t>
      </w:r>
      <w:r w:rsidR="00627E9E" w:rsidRPr="00A25920">
        <w:rPr>
          <w:rFonts w:ascii="Book Antiqua" w:hAnsi="Book Antiqua" w:cs="Times New Roman"/>
          <w:sz w:val="24"/>
          <w:szCs w:val="24"/>
          <w:vertAlign w:val="subscript"/>
        </w:rPr>
        <w:t>1</w:t>
      </w:r>
      <w:r w:rsidR="00BD2BCE" w:rsidRPr="00A25920">
        <w:rPr>
          <w:rFonts w:ascii="Book Antiqua" w:hAnsi="Book Antiqua" w:cs="Times New Roman"/>
          <w:sz w:val="24"/>
          <w:szCs w:val="24"/>
        </w:rPr>
        <w:t xml:space="preserve">) </w:t>
      </w:r>
      <w:r w:rsidR="001C67E1" w:rsidRPr="00A25920">
        <w:rPr>
          <w:rFonts w:ascii="Book Antiqua" w:hAnsi="Book Antiqua" w:cs="Times New Roman"/>
          <w:sz w:val="24"/>
          <w:szCs w:val="24"/>
        </w:rPr>
        <w:t>contribute to disease and whether they help predict prognosis</w:t>
      </w:r>
      <w:r w:rsidR="00225036" w:rsidRPr="00A25920">
        <w:rPr>
          <w:rFonts w:ascii="Book Antiqua" w:hAnsi="Book Antiqua" w:cs="Times New Roman" w:hint="eastAsia"/>
          <w:sz w:val="24"/>
          <w:szCs w:val="24"/>
        </w:rPr>
        <w:t>.</w:t>
      </w:r>
    </w:p>
    <w:p w:rsidR="00225036" w:rsidRPr="00A25920" w:rsidRDefault="00225036" w:rsidP="00225036">
      <w:pPr>
        <w:snapToGrid w:val="0"/>
        <w:spacing w:after="0" w:line="360" w:lineRule="auto"/>
        <w:jc w:val="both"/>
        <w:rPr>
          <w:rFonts w:ascii="Book Antiqua" w:hAnsi="Book Antiqua" w:cs="Times New Roman"/>
          <w:b/>
          <w:sz w:val="24"/>
          <w:szCs w:val="24"/>
        </w:rPr>
      </w:pPr>
    </w:p>
    <w:p w:rsidR="004E393B" w:rsidRPr="004E393B" w:rsidRDefault="00123EAA" w:rsidP="00225036">
      <w:pPr>
        <w:snapToGrid w:val="0"/>
        <w:spacing w:after="0" w:line="360" w:lineRule="auto"/>
        <w:jc w:val="both"/>
        <w:rPr>
          <w:rFonts w:ascii="Book Antiqua" w:hAnsi="Book Antiqua" w:cs="Times New Roman"/>
          <w:i/>
          <w:sz w:val="24"/>
          <w:szCs w:val="24"/>
        </w:rPr>
      </w:pPr>
      <w:r w:rsidRPr="004E393B">
        <w:rPr>
          <w:rFonts w:ascii="Book Antiqua" w:hAnsi="Book Antiqua" w:cs="Times New Roman"/>
          <w:b/>
          <w:i/>
          <w:sz w:val="24"/>
          <w:szCs w:val="24"/>
        </w:rPr>
        <w:t>METHODS</w:t>
      </w:r>
    </w:p>
    <w:p w:rsidR="00797BF9" w:rsidRPr="00A25920" w:rsidRDefault="003263B4" w:rsidP="00225036">
      <w:pPr>
        <w:snapToGrid w:val="0"/>
        <w:spacing w:after="0" w:line="360" w:lineRule="auto"/>
        <w:jc w:val="both"/>
        <w:rPr>
          <w:rFonts w:ascii="Book Antiqua" w:hAnsi="Book Antiqua" w:cs="Times New Roman"/>
          <w:sz w:val="24"/>
          <w:szCs w:val="24"/>
        </w:rPr>
      </w:pPr>
      <w:r w:rsidRPr="00A25920">
        <w:rPr>
          <w:rFonts w:ascii="Book Antiqua" w:hAnsi="Book Antiqua" w:cs="Times New Roman"/>
          <w:sz w:val="24"/>
          <w:szCs w:val="24"/>
        </w:rPr>
        <w:t xml:space="preserve">We retrospectively reviewed </w:t>
      </w:r>
      <w:r w:rsidR="005E5540" w:rsidRPr="00A25920">
        <w:rPr>
          <w:rFonts w:ascii="Book Antiqua" w:hAnsi="Book Antiqua" w:cs="Times New Roman"/>
          <w:sz w:val="24"/>
          <w:szCs w:val="24"/>
        </w:rPr>
        <w:t xml:space="preserve">the records of </w:t>
      </w:r>
      <w:r w:rsidRPr="00A25920">
        <w:rPr>
          <w:rFonts w:ascii="Book Antiqua" w:hAnsi="Book Antiqua" w:cs="Times New Roman"/>
          <w:sz w:val="24"/>
          <w:szCs w:val="24"/>
        </w:rPr>
        <w:t>11</w:t>
      </w:r>
      <w:r w:rsidR="00322768" w:rsidRPr="00A25920">
        <w:rPr>
          <w:rFonts w:ascii="Book Antiqua" w:hAnsi="Book Antiqua" w:cs="Times New Roman"/>
          <w:sz w:val="24"/>
          <w:szCs w:val="24"/>
        </w:rPr>
        <w:t>6 patients with HCC wh</w:t>
      </w:r>
      <w:r w:rsidRPr="00A25920">
        <w:rPr>
          <w:rFonts w:ascii="Book Antiqua" w:hAnsi="Book Antiqua" w:cs="Times New Roman"/>
          <w:sz w:val="24"/>
          <w:szCs w:val="24"/>
        </w:rPr>
        <w:t>o underwent surgery between 2008</w:t>
      </w:r>
      <w:r w:rsidR="00C32F12" w:rsidRPr="00A25920">
        <w:rPr>
          <w:rFonts w:ascii="Book Antiqua" w:hAnsi="Book Antiqua" w:cs="Times New Roman"/>
          <w:sz w:val="24"/>
          <w:szCs w:val="24"/>
        </w:rPr>
        <w:t xml:space="preserve"> and 2011</w:t>
      </w:r>
      <w:r w:rsidR="007D41B1" w:rsidRPr="00A25920">
        <w:rPr>
          <w:rFonts w:ascii="Book Antiqua" w:hAnsi="Book Antiqua" w:cs="Times New Roman"/>
          <w:sz w:val="24"/>
          <w:szCs w:val="24"/>
        </w:rPr>
        <w:t xml:space="preserve"> at our hospital</w:t>
      </w:r>
      <w:r w:rsidR="00A84989" w:rsidRPr="00A25920">
        <w:rPr>
          <w:rFonts w:ascii="Book Antiqua" w:hAnsi="Book Antiqua" w:cs="Times New Roman"/>
          <w:sz w:val="24"/>
          <w:szCs w:val="24"/>
        </w:rPr>
        <w:t xml:space="preserve">. Expression of COX-2 and </w:t>
      </w:r>
      <w:r w:rsidR="00627E9E" w:rsidRPr="00A25920">
        <w:rPr>
          <w:rFonts w:ascii="Book Antiqua" w:hAnsi="Book Antiqua" w:cs="Times New Roman"/>
          <w:sz w:val="24"/>
          <w:szCs w:val="24"/>
        </w:rPr>
        <w:t>EP</w:t>
      </w:r>
      <w:r w:rsidR="00627E9E" w:rsidRPr="00A25920">
        <w:rPr>
          <w:rFonts w:ascii="Book Antiqua" w:hAnsi="Book Antiqua" w:cs="Times New Roman"/>
          <w:sz w:val="24"/>
          <w:szCs w:val="24"/>
          <w:vertAlign w:val="subscript"/>
        </w:rPr>
        <w:t>1</w:t>
      </w:r>
      <w:r w:rsidR="00A84989" w:rsidRPr="00A25920">
        <w:rPr>
          <w:rFonts w:ascii="Book Antiqua" w:hAnsi="Book Antiqua" w:cs="Times New Roman"/>
          <w:sz w:val="24"/>
          <w:szCs w:val="24"/>
        </w:rPr>
        <w:t xml:space="preserve"> receptor was examined by immunohistochemistry of formalin-fixed, paraffin-embedded tissues using polyclonal antibodies. Possible associations were explored between</w:t>
      </w:r>
      <w:r w:rsidR="00895EB3" w:rsidRPr="00A25920">
        <w:rPr>
          <w:rFonts w:ascii="Book Antiqua" w:hAnsi="Book Antiqua" w:cs="Times New Roman"/>
          <w:sz w:val="24"/>
          <w:szCs w:val="24"/>
        </w:rPr>
        <w:t xml:space="preserve"> immunohistochemical scores and survival.</w:t>
      </w:r>
    </w:p>
    <w:p w:rsidR="00225036" w:rsidRPr="00A25920" w:rsidRDefault="00225036" w:rsidP="00225036">
      <w:pPr>
        <w:snapToGrid w:val="0"/>
        <w:spacing w:after="0" w:line="360" w:lineRule="auto"/>
        <w:jc w:val="both"/>
        <w:rPr>
          <w:rFonts w:ascii="Book Antiqua" w:hAnsi="Book Antiqua" w:cs="Times New Roman"/>
          <w:b/>
          <w:caps/>
          <w:sz w:val="24"/>
          <w:szCs w:val="24"/>
        </w:rPr>
      </w:pPr>
    </w:p>
    <w:p w:rsidR="004E393B" w:rsidRPr="004E393B" w:rsidRDefault="00EA4E4F" w:rsidP="00225036">
      <w:pPr>
        <w:snapToGrid w:val="0"/>
        <w:spacing w:after="0" w:line="360" w:lineRule="auto"/>
        <w:jc w:val="both"/>
        <w:rPr>
          <w:rFonts w:ascii="Book Antiqua" w:hAnsi="Book Antiqua" w:cs="Times New Roman"/>
          <w:i/>
          <w:sz w:val="24"/>
          <w:szCs w:val="24"/>
        </w:rPr>
      </w:pPr>
      <w:r w:rsidRPr="004E393B">
        <w:rPr>
          <w:rFonts w:ascii="Book Antiqua" w:hAnsi="Book Antiqua" w:cs="Times New Roman"/>
          <w:b/>
          <w:i/>
          <w:caps/>
          <w:sz w:val="24"/>
          <w:szCs w:val="24"/>
        </w:rPr>
        <w:t>Results</w:t>
      </w:r>
    </w:p>
    <w:p w:rsidR="00797BF9" w:rsidRPr="00A25920" w:rsidRDefault="00780401" w:rsidP="00225036">
      <w:pPr>
        <w:snapToGrid w:val="0"/>
        <w:spacing w:after="0" w:line="360" w:lineRule="auto"/>
        <w:jc w:val="both"/>
        <w:rPr>
          <w:rFonts w:ascii="Book Antiqua" w:hAnsi="Book Antiqua" w:cs="Times New Roman"/>
          <w:sz w:val="24"/>
          <w:szCs w:val="24"/>
        </w:rPr>
      </w:pPr>
      <w:r w:rsidRPr="00A25920">
        <w:rPr>
          <w:rFonts w:ascii="Book Antiqua" w:hAnsi="Book Antiqua" w:cs="Times New Roman"/>
          <w:sz w:val="24"/>
          <w:szCs w:val="24"/>
        </w:rPr>
        <w:t xml:space="preserve">Factors associated with </w:t>
      </w:r>
      <w:r w:rsidR="00BE5F37" w:rsidRPr="00A25920">
        <w:rPr>
          <w:rFonts w:ascii="Book Antiqua" w:hAnsi="Book Antiqua" w:cs="Times New Roman"/>
          <w:sz w:val="24"/>
          <w:szCs w:val="24"/>
        </w:rPr>
        <w:t xml:space="preserve">poor </w:t>
      </w:r>
      <w:r w:rsidRPr="00A25920">
        <w:rPr>
          <w:rFonts w:ascii="Book Antiqua" w:hAnsi="Book Antiqua" w:cs="Times New Roman"/>
          <w:sz w:val="24"/>
          <w:szCs w:val="24"/>
        </w:rPr>
        <w:t>overall survival (OS) were</w:t>
      </w:r>
      <w:r w:rsidR="00B258D3" w:rsidRPr="00A25920">
        <w:rPr>
          <w:rFonts w:ascii="Book Antiqua" w:hAnsi="Book Antiqua" w:cs="Times New Roman"/>
          <w:sz w:val="24"/>
          <w:szCs w:val="24"/>
        </w:rPr>
        <w:t xml:space="preserve"> identified to be </w:t>
      </w:r>
      <w:r w:rsidRPr="00A25920">
        <w:rPr>
          <w:rFonts w:ascii="Book Antiqua" w:hAnsi="Book Antiqua" w:cs="Times New Roman"/>
          <w:sz w:val="24"/>
          <w:szCs w:val="24"/>
        </w:rPr>
        <w:t>alpha-fetoprotein</w:t>
      </w:r>
      <w:r w:rsidR="00225036" w:rsidRPr="00A25920">
        <w:rPr>
          <w:rFonts w:ascii="Book Antiqua" w:hAnsi="Book Antiqua" w:cs="Times New Roman" w:hint="eastAsia"/>
          <w:sz w:val="24"/>
          <w:szCs w:val="24"/>
        </w:rPr>
        <w:t xml:space="preserve"> </w:t>
      </w:r>
      <w:r w:rsidRPr="00A25920">
        <w:rPr>
          <w:rFonts w:ascii="Book Antiqua" w:hAnsi="Book Antiqua" w:cs="Times New Roman"/>
          <w:sz w:val="24"/>
          <w:szCs w:val="24"/>
        </w:rPr>
        <w:t>(AFP)</w:t>
      </w:r>
      <w:r w:rsidR="008C730E" w:rsidRPr="00A25920">
        <w:rPr>
          <w:rFonts w:ascii="Book Antiqua" w:eastAsia="AdvPTimes" w:hAnsi="Book Antiqua" w:cs="Times New Roman"/>
          <w:sz w:val="24"/>
          <w:szCs w:val="24"/>
        </w:rPr>
        <w:t xml:space="preserve"> &gt;</w:t>
      </w:r>
      <w:r w:rsidR="00225036" w:rsidRPr="00A25920">
        <w:rPr>
          <w:rFonts w:ascii="Book Antiqua" w:hAnsi="Book Antiqua" w:cs="Times New Roman" w:hint="eastAsia"/>
          <w:sz w:val="24"/>
          <w:szCs w:val="24"/>
        </w:rPr>
        <w:t xml:space="preserve"> </w:t>
      </w:r>
      <w:r w:rsidR="008C730E" w:rsidRPr="00A25920">
        <w:rPr>
          <w:rFonts w:ascii="Book Antiqua" w:eastAsia="AdvPTimes" w:hAnsi="Book Antiqua" w:cs="Times New Roman"/>
          <w:sz w:val="24"/>
          <w:szCs w:val="24"/>
        </w:rPr>
        <w:t xml:space="preserve">400 ng/mL, </w:t>
      </w:r>
      <w:r w:rsidR="008C730E" w:rsidRPr="00A25920">
        <w:rPr>
          <w:rFonts w:ascii="Book Antiqua" w:hAnsi="Book Antiqua" w:cs="Times New Roman"/>
          <w:sz w:val="24"/>
          <w:szCs w:val="24"/>
        </w:rPr>
        <w:t>t</w:t>
      </w:r>
      <w:r w:rsidR="008C730E" w:rsidRPr="00A25920">
        <w:rPr>
          <w:rFonts w:ascii="Book Antiqua" w:eastAsia="AdvPTimes" w:hAnsi="Book Antiqua" w:cs="Times New Roman"/>
          <w:sz w:val="24"/>
          <w:szCs w:val="24"/>
        </w:rPr>
        <w:t>umor size ≥</w:t>
      </w:r>
      <w:r w:rsidR="00225036" w:rsidRPr="00A25920">
        <w:rPr>
          <w:rFonts w:ascii="Book Antiqua" w:hAnsi="Book Antiqua" w:cs="Times New Roman" w:hint="eastAsia"/>
          <w:sz w:val="24"/>
          <w:szCs w:val="24"/>
        </w:rPr>
        <w:t xml:space="preserve"> </w:t>
      </w:r>
      <w:r w:rsidR="008C730E" w:rsidRPr="00A25920">
        <w:rPr>
          <w:rFonts w:ascii="Book Antiqua" w:eastAsia="AdvPTimes" w:hAnsi="Book Antiqua" w:cs="Times New Roman"/>
          <w:sz w:val="24"/>
          <w:szCs w:val="24"/>
        </w:rPr>
        <w:t>5 cm,</w:t>
      </w:r>
      <w:r w:rsidR="008C730E" w:rsidRPr="00A25920">
        <w:rPr>
          <w:rFonts w:ascii="Book Antiqua" w:hAnsi="Book Antiqua" w:cs="Times New Roman"/>
          <w:sz w:val="24"/>
          <w:szCs w:val="24"/>
        </w:rPr>
        <w:t xml:space="preserve"> and high </w:t>
      </w:r>
      <w:r w:rsidR="00627E9E" w:rsidRPr="00A25920">
        <w:rPr>
          <w:rFonts w:ascii="Book Antiqua" w:hAnsi="Book Antiqua" w:cs="Times New Roman"/>
          <w:sz w:val="24"/>
          <w:szCs w:val="24"/>
        </w:rPr>
        <w:t>EP</w:t>
      </w:r>
      <w:r w:rsidR="00627E9E" w:rsidRPr="00A25920">
        <w:rPr>
          <w:rFonts w:ascii="Book Antiqua" w:hAnsi="Book Antiqua" w:cs="Times New Roman"/>
          <w:sz w:val="24"/>
          <w:szCs w:val="24"/>
          <w:vertAlign w:val="subscript"/>
        </w:rPr>
        <w:t>1</w:t>
      </w:r>
      <w:r w:rsidR="008C730E" w:rsidRPr="00A25920">
        <w:rPr>
          <w:rFonts w:ascii="Book Antiqua" w:hAnsi="Book Antiqua" w:cs="Times New Roman"/>
          <w:sz w:val="24"/>
          <w:szCs w:val="24"/>
        </w:rPr>
        <w:t xml:space="preserve"> receptor expression, but not high COX-2 expression</w:t>
      </w:r>
      <w:r w:rsidR="009B6168" w:rsidRPr="00A25920">
        <w:rPr>
          <w:rFonts w:ascii="Book Antiqua" w:hAnsi="Book Antiqua" w:cs="Times New Roman"/>
          <w:sz w:val="24"/>
          <w:szCs w:val="24"/>
        </w:rPr>
        <w:t>.</w:t>
      </w:r>
      <w:r w:rsidR="009B6168" w:rsidRPr="00A25920">
        <w:rPr>
          <w:rFonts w:ascii="Book Antiqua" w:eastAsia="AdvPTimes" w:hAnsi="Book Antiqua" w:cs="Times New Roman"/>
          <w:sz w:val="24"/>
          <w:szCs w:val="24"/>
        </w:rPr>
        <w:t xml:space="preserve"> </w:t>
      </w:r>
      <w:r w:rsidR="004B571B" w:rsidRPr="00A25920">
        <w:rPr>
          <w:rFonts w:ascii="Book Antiqua" w:eastAsia="AdvPTimes" w:hAnsi="Book Antiqua" w:cs="Times New Roman"/>
          <w:sz w:val="24"/>
          <w:szCs w:val="24"/>
        </w:rPr>
        <w:t>The disease free survival (DFS) was not significantly different between patients with low or high levels of COX-2 or EP</w:t>
      </w:r>
      <w:r w:rsidR="004B571B" w:rsidRPr="00A25920">
        <w:rPr>
          <w:rFonts w:ascii="Book Antiqua" w:eastAsia="AdvPTimes" w:hAnsi="Book Antiqua" w:cs="Times New Roman"/>
          <w:sz w:val="24"/>
          <w:szCs w:val="24"/>
          <w:vertAlign w:val="subscript"/>
        </w:rPr>
        <w:t>1</w:t>
      </w:r>
      <w:r w:rsidR="004B571B" w:rsidRPr="00A25920">
        <w:rPr>
          <w:rFonts w:ascii="Book Antiqua" w:eastAsia="AdvPTimes" w:hAnsi="Book Antiqua" w:cs="Times New Roman"/>
          <w:sz w:val="24"/>
          <w:szCs w:val="24"/>
        </w:rPr>
        <w:t>.</w:t>
      </w:r>
      <w:r w:rsidR="004E1077" w:rsidRPr="00A25920">
        <w:rPr>
          <w:rFonts w:ascii="Book Antiqua" w:eastAsia="AdvPTimes" w:hAnsi="Book Antiqua" w:cs="Times New Roman"/>
          <w:sz w:val="24"/>
          <w:szCs w:val="24"/>
        </w:rPr>
        <w:t xml:space="preserve"> COX-2 immunoreactivity was significantly higher in well-differentiated HCC tissues (Edmondson grade I-II) than in poorly differentiated tissues (Edmondson grade III–IV)</w:t>
      </w:r>
      <w:r w:rsidR="004E1077" w:rsidRPr="00A25920" w:rsidDel="00164574">
        <w:rPr>
          <w:rFonts w:ascii="Book Antiqua" w:eastAsia="AdvPTimes" w:hAnsi="Book Antiqua" w:cs="Times New Roman"/>
          <w:sz w:val="24"/>
          <w:szCs w:val="24"/>
        </w:rPr>
        <w:t xml:space="preserve"> </w:t>
      </w:r>
      <w:r w:rsidR="004E1077" w:rsidRPr="00A25920">
        <w:rPr>
          <w:rFonts w:ascii="Book Antiqua" w:eastAsia="AdvPTimes" w:hAnsi="Book Antiqua" w:cs="Times New Roman"/>
          <w:sz w:val="24"/>
          <w:szCs w:val="24"/>
        </w:rPr>
        <w:t>(</w:t>
      </w:r>
      <w:r w:rsidR="004E1077" w:rsidRPr="00A25920">
        <w:rPr>
          <w:rFonts w:ascii="Book Antiqua" w:eastAsia="AdvPTimes" w:hAnsi="Book Antiqua" w:cs="Times New Roman"/>
          <w:i/>
          <w:caps/>
          <w:sz w:val="24"/>
          <w:szCs w:val="24"/>
        </w:rPr>
        <w:t>p</w:t>
      </w:r>
      <w:r w:rsidR="004E1077" w:rsidRPr="00A25920">
        <w:rPr>
          <w:rFonts w:ascii="Book Antiqua" w:eastAsia="AdvPTimes" w:hAnsi="Book Antiqua" w:cs="Times New Roman"/>
          <w:sz w:val="24"/>
          <w:szCs w:val="24"/>
        </w:rPr>
        <w:t xml:space="preserve"> </w:t>
      </w:r>
      <w:r w:rsidR="00F5642A" w:rsidRPr="00A25920">
        <w:rPr>
          <w:rFonts w:ascii="Book Antiqua" w:hAnsi="Book Antiqua" w:cs="Times New Roman"/>
          <w:sz w:val="24"/>
          <w:szCs w:val="24"/>
        </w:rPr>
        <w:t>=</w:t>
      </w:r>
      <w:r w:rsidR="00225036" w:rsidRPr="00A25920">
        <w:rPr>
          <w:rFonts w:ascii="Book Antiqua" w:hAnsi="Book Antiqua" w:cs="Times New Roman" w:hint="eastAsia"/>
          <w:sz w:val="24"/>
          <w:szCs w:val="24"/>
        </w:rPr>
        <w:t xml:space="preserve"> </w:t>
      </w:r>
      <w:r w:rsidR="00F5642A" w:rsidRPr="00A25920">
        <w:rPr>
          <w:rFonts w:ascii="Book Antiqua" w:hAnsi="Book Antiqua" w:cs="Times New Roman"/>
          <w:sz w:val="24"/>
          <w:szCs w:val="24"/>
        </w:rPr>
        <w:t>0.003</w:t>
      </w:r>
      <w:r w:rsidR="004E1077" w:rsidRPr="00A25920">
        <w:rPr>
          <w:rFonts w:ascii="Book Antiqua" w:eastAsia="AdvPTimes" w:hAnsi="Book Antiqua" w:cs="Times New Roman"/>
          <w:sz w:val="24"/>
          <w:szCs w:val="24"/>
        </w:rPr>
        <w:t xml:space="preserve">). </w:t>
      </w:r>
      <w:r w:rsidR="00627E9E" w:rsidRPr="00A25920">
        <w:rPr>
          <w:rFonts w:ascii="Book Antiqua" w:eastAsia="AdvPTimes" w:hAnsi="Book Antiqua" w:cs="Times New Roman"/>
          <w:sz w:val="24"/>
          <w:szCs w:val="24"/>
        </w:rPr>
        <w:t>EP</w:t>
      </w:r>
      <w:r w:rsidR="00627E9E" w:rsidRPr="00A25920">
        <w:rPr>
          <w:rFonts w:ascii="Book Antiqua" w:eastAsia="AdvPTimes" w:hAnsi="Book Antiqua" w:cs="Times New Roman"/>
          <w:sz w:val="24"/>
          <w:szCs w:val="24"/>
          <w:vertAlign w:val="subscript"/>
        </w:rPr>
        <w:t>1</w:t>
      </w:r>
      <w:r w:rsidR="004E1077" w:rsidRPr="00A25920">
        <w:rPr>
          <w:rFonts w:ascii="Book Antiqua" w:eastAsia="AdvPTimes" w:hAnsi="Book Antiqua" w:cs="Times New Roman"/>
          <w:sz w:val="24"/>
          <w:szCs w:val="24"/>
        </w:rPr>
        <w:t xml:space="preserve"> receptor immunoreactivity was significantly higher in poorly differentiated tissue than in well-differentiated tissue (</w:t>
      </w:r>
      <w:r w:rsidR="00225036" w:rsidRPr="00A25920">
        <w:rPr>
          <w:rFonts w:ascii="Book Antiqua" w:eastAsia="AdvPTimes" w:hAnsi="Book Antiqua" w:cs="Times New Roman"/>
          <w:i/>
          <w:caps/>
          <w:sz w:val="24"/>
          <w:szCs w:val="24"/>
        </w:rPr>
        <w:t>p</w:t>
      </w:r>
      <w:r w:rsidR="004E1077" w:rsidRPr="00A25920">
        <w:rPr>
          <w:rFonts w:ascii="Book Antiqua" w:eastAsia="AdvPTimes" w:hAnsi="Book Antiqua" w:cs="Times New Roman"/>
          <w:sz w:val="24"/>
          <w:szCs w:val="24"/>
        </w:rPr>
        <w:t xml:space="preserve"> </w:t>
      </w:r>
      <w:r w:rsidR="00F5642A" w:rsidRPr="00A25920">
        <w:rPr>
          <w:rFonts w:ascii="Book Antiqua" w:hAnsi="Book Antiqua" w:cs="Times New Roman"/>
          <w:sz w:val="24"/>
          <w:szCs w:val="24"/>
        </w:rPr>
        <w:t>=</w:t>
      </w:r>
      <w:r w:rsidR="00225036" w:rsidRPr="00A25920">
        <w:rPr>
          <w:rFonts w:ascii="Book Antiqua" w:hAnsi="Book Antiqua" w:cs="Times New Roman" w:hint="eastAsia"/>
          <w:sz w:val="24"/>
          <w:szCs w:val="24"/>
        </w:rPr>
        <w:t xml:space="preserve"> </w:t>
      </w:r>
      <w:r w:rsidR="00F5642A" w:rsidRPr="00A25920">
        <w:rPr>
          <w:rFonts w:ascii="Book Antiqua" w:hAnsi="Book Antiqua" w:cs="Times New Roman"/>
          <w:sz w:val="24"/>
          <w:szCs w:val="24"/>
        </w:rPr>
        <w:t>0.001</w:t>
      </w:r>
      <w:r w:rsidR="004E1077" w:rsidRPr="00A25920">
        <w:rPr>
          <w:rFonts w:ascii="Book Antiqua" w:eastAsia="AdvPTimes" w:hAnsi="Book Antiqua" w:cs="Times New Roman"/>
          <w:sz w:val="24"/>
          <w:szCs w:val="24"/>
        </w:rPr>
        <w:t>).</w:t>
      </w:r>
    </w:p>
    <w:p w:rsidR="00225036" w:rsidRPr="00A25920" w:rsidRDefault="00225036" w:rsidP="00225036">
      <w:pPr>
        <w:snapToGrid w:val="0"/>
        <w:spacing w:after="0" w:line="360" w:lineRule="auto"/>
        <w:jc w:val="both"/>
        <w:rPr>
          <w:rFonts w:ascii="Book Antiqua" w:hAnsi="Book Antiqua" w:cs="Times New Roman"/>
          <w:b/>
          <w:caps/>
          <w:sz w:val="24"/>
          <w:szCs w:val="24"/>
        </w:rPr>
      </w:pPr>
    </w:p>
    <w:p w:rsidR="004E393B" w:rsidRPr="004E393B" w:rsidRDefault="00A16FA1" w:rsidP="00225036">
      <w:pPr>
        <w:snapToGrid w:val="0"/>
        <w:spacing w:after="0" w:line="360" w:lineRule="auto"/>
        <w:jc w:val="both"/>
        <w:rPr>
          <w:rFonts w:ascii="Book Antiqua" w:hAnsi="Book Antiqua" w:cs="Times New Roman"/>
          <w:b/>
          <w:i/>
          <w:sz w:val="24"/>
          <w:szCs w:val="24"/>
        </w:rPr>
      </w:pPr>
      <w:r w:rsidRPr="004E393B">
        <w:rPr>
          <w:rFonts w:ascii="Book Antiqua" w:hAnsi="Book Antiqua" w:cs="Times New Roman"/>
          <w:b/>
          <w:i/>
          <w:caps/>
          <w:sz w:val="24"/>
          <w:szCs w:val="24"/>
        </w:rPr>
        <w:t>Conclusion</w:t>
      </w:r>
    </w:p>
    <w:p w:rsidR="00797BF9" w:rsidRPr="00A25920" w:rsidRDefault="00612F54" w:rsidP="00225036">
      <w:pPr>
        <w:snapToGrid w:val="0"/>
        <w:spacing w:after="0" w:line="360" w:lineRule="auto"/>
        <w:jc w:val="both"/>
        <w:rPr>
          <w:rFonts w:ascii="Book Antiqua" w:hAnsi="Book Antiqua" w:cs="Times New Roman"/>
          <w:sz w:val="24"/>
          <w:szCs w:val="24"/>
        </w:rPr>
      </w:pPr>
      <w:r w:rsidRPr="00A25920">
        <w:rPr>
          <w:rFonts w:ascii="Book Antiqua" w:hAnsi="Book Antiqua" w:cs="Times New Roman"/>
          <w:sz w:val="24"/>
          <w:szCs w:val="24"/>
        </w:rPr>
        <w:t xml:space="preserve">COX-2 expression appears linked to early HCC events (initiation), while </w:t>
      </w:r>
      <w:r w:rsidR="00627E9E" w:rsidRPr="00A25920">
        <w:rPr>
          <w:rFonts w:ascii="Book Antiqua" w:hAnsi="Book Antiqua" w:cs="Times New Roman"/>
          <w:sz w:val="24"/>
          <w:szCs w:val="24"/>
        </w:rPr>
        <w:t>EP</w:t>
      </w:r>
      <w:r w:rsidR="00627E9E" w:rsidRPr="00A25920">
        <w:rPr>
          <w:rFonts w:ascii="Book Antiqua" w:hAnsi="Book Antiqua" w:cs="Times New Roman"/>
          <w:sz w:val="24"/>
          <w:szCs w:val="24"/>
          <w:vertAlign w:val="subscript"/>
        </w:rPr>
        <w:t>1</w:t>
      </w:r>
      <w:r w:rsidRPr="00A25920">
        <w:rPr>
          <w:rFonts w:ascii="Book Antiqua" w:hAnsi="Book Antiqua" w:cs="Times New Roman"/>
          <w:sz w:val="24"/>
          <w:szCs w:val="24"/>
        </w:rPr>
        <w:t xml:space="preserve"> receptor expression may participate in tumor progression and predict survival.</w:t>
      </w:r>
    </w:p>
    <w:p w:rsidR="00225036" w:rsidRPr="00A25920" w:rsidRDefault="00225036" w:rsidP="00225036">
      <w:pPr>
        <w:snapToGrid w:val="0"/>
        <w:spacing w:after="0" w:line="360" w:lineRule="auto"/>
        <w:jc w:val="both"/>
        <w:rPr>
          <w:rFonts w:ascii="Book Antiqua" w:hAnsi="Book Antiqua" w:cs="Times New Roman"/>
          <w:b/>
          <w:sz w:val="24"/>
          <w:szCs w:val="24"/>
        </w:rPr>
      </w:pPr>
    </w:p>
    <w:p w:rsidR="002A1218" w:rsidRPr="00A25920" w:rsidRDefault="00322768" w:rsidP="00225036">
      <w:pPr>
        <w:snapToGrid w:val="0"/>
        <w:spacing w:after="0" w:line="360" w:lineRule="auto"/>
        <w:jc w:val="both"/>
        <w:rPr>
          <w:rFonts w:ascii="Book Antiqua" w:hAnsi="Book Antiqua" w:cs="Times New Roman"/>
          <w:sz w:val="24"/>
          <w:szCs w:val="24"/>
        </w:rPr>
      </w:pPr>
      <w:r w:rsidRPr="00A25920">
        <w:rPr>
          <w:rFonts w:ascii="Book Antiqua" w:hAnsi="Book Antiqua" w:cs="Times New Roman"/>
          <w:b/>
          <w:sz w:val="24"/>
          <w:szCs w:val="24"/>
        </w:rPr>
        <w:t>Key</w:t>
      </w:r>
      <w:r w:rsidR="00C2554C" w:rsidRPr="00A25920">
        <w:rPr>
          <w:rFonts w:ascii="Book Antiqua" w:hAnsi="Book Antiqua" w:cs="Times New Roman" w:hint="eastAsia"/>
          <w:b/>
          <w:sz w:val="24"/>
          <w:szCs w:val="24"/>
        </w:rPr>
        <w:t xml:space="preserve"> </w:t>
      </w:r>
      <w:r w:rsidRPr="00A25920">
        <w:rPr>
          <w:rFonts w:ascii="Book Antiqua" w:hAnsi="Book Antiqua" w:cs="Times New Roman"/>
          <w:b/>
          <w:sz w:val="24"/>
          <w:szCs w:val="24"/>
        </w:rPr>
        <w:t>words</w:t>
      </w:r>
      <w:r w:rsidRPr="00A25920">
        <w:rPr>
          <w:rFonts w:ascii="Book Antiqua" w:hAnsi="Book Antiqua" w:cs="Times New Roman"/>
          <w:sz w:val="24"/>
          <w:szCs w:val="24"/>
        </w:rPr>
        <w:t xml:space="preserve">: </w:t>
      </w:r>
      <w:r w:rsidR="003F6BB0" w:rsidRPr="00A25920">
        <w:rPr>
          <w:rFonts w:ascii="Book Antiqua" w:hAnsi="Book Antiqua" w:cs="Times New Roman"/>
          <w:sz w:val="24"/>
          <w:szCs w:val="24"/>
        </w:rPr>
        <w:t>C</w:t>
      </w:r>
      <w:r w:rsidR="003D508C" w:rsidRPr="00A25920">
        <w:rPr>
          <w:rFonts w:ascii="Book Antiqua" w:hAnsi="Book Antiqua" w:cs="Times New Roman"/>
          <w:sz w:val="24"/>
          <w:szCs w:val="24"/>
        </w:rPr>
        <w:t>yclooxygenase-2</w:t>
      </w:r>
      <w:r w:rsidR="00C2554C" w:rsidRPr="00A25920">
        <w:rPr>
          <w:rFonts w:ascii="Book Antiqua" w:hAnsi="Book Antiqua" w:cs="Times New Roman" w:hint="eastAsia"/>
          <w:sz w:val="24"/>
          <w:szCs w:val="24"/>
        </w:rPr>
        <w:t>;</w:t>
      </w:r>
      <w:r w:rsidRPr="00A25920">
        <w:rPr>
          <w:rFonts w:ascii="Book Antiqua" w:hAnsi="Book Antiqua" w:cs="Times New Roman"/>
          <w:sz w:val="24"/>
          <w:szCs w:val="24"/>
        </w:rPr>
        <w:t xml:space="preserve"> </w:t>
      </w:r>
      <w:r w:rsidR="003F6BB0" w:rsidRPr="00A25920">
        <w:rPr>
          <w:rFonts w:ascii="Book Antiqua" w:hAnsi="Book Antiqua" w:cs="Times New Roman"/>
          <w:sz w:val="24"/>
          <w:szCs w:val="24"/>
        </w:rPr>
        <w:t>Hepatocellular carcinoma</w:t>
      </w:r>
      <w:r w:rsidR="00C2554C" w:rsidRPr="00A25920">
        <w:rPr>
          <w:rFonts w:ascii="Book Antiqua" w:hAnsi="Book Antiqua" w:cs="Times New Roman" w:hint="eastAsia"/>
          <w:sz w:val="24"/>
          <w:szCs w:val="24"/>
        </w:rPr>
        <w:t xml:space="preserve">; </w:t>
      </w:r>
      <w:r w:rsidR="003F6BB0" w:rsidRPr="00A25920">
        <w:rPr>
          <w:rFonts w:ascii="Book Antiqua" w:hAnsi="Book Antiqua" w:cs="Times New Roman"/>
          <w:sz w:val="24"/>
          <w:szCs w:val="24"/>
        </w:rPr>
        <w:t>Liver resection</w:t>
      </w:r>
      <w:r w:rsidR="00C2554C" w:rsidRPr="00A25920">
        <w:rPr>
          <w:rFonts w:ascii="Book Antiqua" w:hAnsi="Book Antiqua" w:cs="Times New Roman" w:hint="eastAsia"/>
          <w:sz w:val="24"/>
          <w:szCs w:val="24"/>
        </w:rPr>
        <w:t>;</w:t>
      </w:r>
      <w:r w:rsidR="003F6BB0" w:rsidRPr="00A25920">
        <w:rPr>
          <w:rFonts w:ascii="Book Antiqua" w:hAnsi="Book Antiqua" w:cs="Times New Roman"/>
          <w:sz w:val="24"/>
          <w:szCs w:val="24"/>
        </w:rPr>
        <w:t xml:space="preserve"> P</w:t>
      </w:r>
      <w:r w:rsidRPr="00A25920">
        <w:rPr>
          <w:rFonts w:ascii="Book Antiqua" w:hAnsi="Book Antiqua" w:cs="Times New Roman"/>
          <w:sz w:val="24"/>
          <w:szCs w:val="24"/>
        </w:rPr>
        <w:t>rognosis</w:t>
      </w:r>
      <w:r w:rsidR="00C2554C" w:rsidRPr="00A25920">
        <w:rPr>
          <w:rFonts w:ascii="Book Antiqua" w:hAnsi="Book Antiqua" w:cs="Times New Roman" w:hint="eastAsia"/>
          <w:sz w:val="24"/>
          <w:szCs w:val="24"/>
        </w:rPr>
        <w:t>;</w:t>
      </w:r>
      <w:r w:rsidRPr="00A25920">
        <w:rPr>
          <w:rFonts w:ascii="Book Antiqua" w:hAnsi="Book Antiqua" w:cs="Times New Roman"/>
          <w:sz w:val="24"/>
          <w:szCs w:val="24"/>
        </w:rPr>
        <w:t xml:space="preserve"> </w:t>
      </w:r>
      <w:r w:rsidR="00C2554C" w:rsidRPr="00A25920">
        <w:rPr>
          <w:rFonts w:ascii="Book Antiqua" w:hAnsi="Book Antiqua" w:cs="Times New Roman"/>
          <w:caps/>
          <w:sz w:val="24"/>
          <w:szCs w:val="24"/>
        </w:rPr>
        <w:t>p</w:t>
      </w:r>
      <w:r w:rsidR="00C2554C" w:rsidRPr="00A25920">
        <w:rPr>
          <w:rFonts w:ascii="Book Antiqua" w:hAnsi="Book Antiqua" w:cs="Times New Roman"/>
          <w:sz w:val="24"/>
          <w:szCs w:val="24"/>
        </w:rPr>
        <w:t>rostaglandin E2 receptor</w:t>
      </w:r>
    </w:p>
    <w:p w:rsidR="00225036" w:rsidRPr="00A25920" w:rsidRDefault="00225036" w:rsidP="00225036">
      <w:pPr>
        <w:snapToGrid w:val="0"/>
        <w:spacing w:after="0" w:line="360" w:lineRule="auto"/>
        <w:jc w:val="both"/>
        <w:rPr>
          <w:rFonts w:ascii="Book Antiqua" w:hAnsi="Book Antiqua" w:cs="Times New Roman"/>
          <w:b/>
          <w:sz w:val="24"/>
          <w:szCs w:val="24"/>
        </w:rPr>
      </w:pPr>
    </w:p>
    <w:p w:rsidR="00C2554C" w:rsidRPr="00A25920" w:rsidRDefault="00C2554C" w:rsidP="00C2554C">
      <w:pPr>
        <w:adjustRightInd w:val="0"/>
        <w:snapToGrid w:val="0"/>
        <w:spacing w:line="360" w:lineRule="auto"/>
        <w:jc w:val="both"/>
        <w:rPr>
          <w:rFonts w:ascii="Book Antiqua" w:hAnsi="Book Antiqua"/>
          <w:sz w:val="24"/>
        </w:rPr>
      </w:pPr>
      <w:bookmarkStart w:id="22" w:name="OLE_LINK363"/>
      <w:bookmarkStart w:id="23" w:name="OLE_LINK364"/>
      <w:bookmarkStart w:id="24" w:name="OLE_LINK359"/>
      <w:bookmarkStart w:id="25" w:name="OLE_LINK1037"/>
      <w:bookmarkStart w:id="26" w:name="OLE_LINK1195"/>
      <w:bookmarkStart w:id="27" w:name="OLE_LINK1140"/>
      <w:bookmarkStart w:id="28" w:name="OLE_LINK1062"/>
      <w:bookmarkStart w:id="29" w:name="OLE_LINK500"/>
      <w:r w:rsidRPr="00A25920">
        <w:rPr>
          <w:rFonts w:ascii="Book Antiqua" w:hAnsi="Book Antiqua" w:hint="eastAsia"/>
          <w:b/>
          <w:sz w:val="24"/>
        </w:rPr>
        <w:t>©</w:t>
      </w:r>
      <w:r w:rsidRPr="00A25920">
        <w:rPr>
          <w:rFonts w:ascii="Book Antiqua" w:hAnsi="Book Antiqua"/>
          <w:b/>
          <w:sz w:val="24"/>
        </w:rPr>
        <w:t xml:space="preserve"> The Author(s) 201</w:t>
      </w:r>
      <w:r w:rsidRPr="00A25920">
        <w:rPr>
          <w:rFonts w:ascii="Book Antiqua" w:hAnsi="Book Antiqua" w:hint="eastAsia"/>
          <w:b/>
          <w:sz w:val="24"/>
        </w:rPr>
        <w:t>6</w:t>
      </w:r>
      <w:r w:rsidRPr="00A25920">
        <w:rPr>
          <w:rFonts w:ascii="Book Antiqua" w:hAnsi="Book Antiqua"/>
          <w:b/>
          <w:sz w:val="24"/>
        </w:rPr>
        <w:t>.</w:t>
      </w:r>
      <w:r w:rsidRPr="00A25920">
        <w:rPr>
          <w:rFonts w:ascii="Book Antiqua" w:hAnsi="Book Antiqua"/>
          <w:sz w:val="24"/>
        </w:rPr>
        <w:t xml:space="preserve"> Published by Baishideng Publishing Group Inc. All rights reserved.</w:t>
      </w:r>
    </w:p>
    <w:bookmarkEnd w:id="22"/>
    <w:bookmarkEnd w:id="23"/>
    <w:bookmarkEnd w:id="24"/>
    <w:bookmarkEnd w:id="25"/>
    <w:bookmarkEnd w:id="26"/>
    <w:bookmarkEnd w:id="27"/>
    <w:bookmarkEnd w:id="28"/>
    <w:bookmarkEnd w:id="29"/>
    <w:p w:rsidR="00C2554C" w:rsidRPr="00A25920" w:rsidRDefault="00C2554C" w:rsidP="00225036">
      <w:pPr>
        <w:snapToGrid w:val="0"/>
        <w:spacing w:after="0" w:line="360" w:lineRule="auto"/>
        <w:jc w:val="both"/>
        <w:rPr>
          <w:rFonts w:ascii="Book Antiqua" w:hAnsi="Book Antiqua" w:cs="Times New Roman"/>
          <w:b/>
          <w:sz w:val="24"/>
          <w:szCs w:val="24"/>
        </w:rPr>
      </w:pPr>
    </w:p>
    <w:p w:rsidR="007F31BD" w:rsidRPr="00A25920" w:rsidRDefault="000D4FB3" w:rsidP="00225036">
      <w:pPr>
        <w:snapToGrid w:val="0"/>
        <w:spacing w:after="0" w:line="360" w:lineRule="auto"/>
        <w:jc w:val="both"/>
        <w:rPr>
          <w:rFonts w:ascii="Book Antiqua" w:hAnsi="Book Antiqua" w:cs="Times New Roman"/>
          <w:sz w:val="24"/>
          <w:szCs w:val="24"/>
        </w:rPr>
      </w:pPr>
      <w:r w:rsidRPr="00A25920">
        <w:rPr>
          <w:rFonts w:ascii="Book Antiqua" w:hAnsi="Book Antiqua" w:cs="Times New Roman"/>
          <w:b/>
          <w:sz w:val="24"/>
          <w:szCs w:val="24"/>
        </w:rPr>
        <w:t>Core tip</w:t>
      </w:r>
      <w:r w:rsidRPr="00A25920">
        <w:rPr>
          <w:rFonts w:ascii="Book Antiqua" w:hAnsi="Book Antiqua" w:cs="Times New Roman"/>
          <w:sz w:val="24"/>
          <w:szCs w:val="24"/>
        </w:rPr>
        <w:t xml:space="preserve">: </w:t>
      </w:r>
      <w:r w:rsidR="00DE0317" w:rsidRPr="00A25920">
        <w:rPr>
          <w:rFonts w:ascii="Book Antiqua" w:hAnsi="Book Antiqua" w:cs="Times New Roman"/>
          <w:sz w:val="24"/>
          <w:szCs w:val="24"/>
        </w:rPr>
        <w:t xml:space="preserve">We retrospectively reviewed the records of 116 patients with HCC who underwent surgery between 2008 and 2011 at our hospital. </w:t>
      </w:r>
      <w:r w:rsidRPr="00A25920">
        <w:rPr>
          <w:rFonts w:ascii="Book Antiqua" w:hAnsi="Book Antiqua" w:cs="Times New Roman"/>
          <w:sz w:val="24"/>
          <w:szCs w:val="24"/>
        </w:rPr>
        <w:t xml:space="preserve">Our results suggest that </w:t>
      </w:r>
      <w:r w:rsidR="008514A7" w:rsidRPr="00A25920">
        <w:rPr>
          <w:rFonts w:ascii="Book Antiqua" w:hAnsi="Book Antiqua" w:cs="Times New Roman"/>
          <w:sz w:val="24"/>
          <w:szCs w:val="24"/>
        </w:rPr>
        <w:t>f</w:t>
      </w:r>
      <w:r w:rsidR="00FD0384" w:rsidRPr="00A25920">
        <w:rPr>
          <w:rFonts w:ascii="Book Antiqua" w:hAnsi="Book Antiqua" w:cs="Times New Roman"/>
          <w:sz w:val="24"/>
          <w:szCs w:val="24"/>
        </w:rPr>
        <w:t>actors associated with poor overall survival (OS) were identified to be alpha-fetoprotein</w:t>
      </w:r>
      <w:r w:rsidR="000B414A">
        <w:rPr>
          <w:rFonts w:ascii="Book Antiqua" w:hAnsi="Book Antiqua" w:cs="Times New Roman" w:hint="eastAsia"/>
          <w:sz w:val="24"/>
          <w:szCs w:val="24"/>
        </w:rPr>
        <w:t xml:space="preserve"> </w:t>
      </w:r>
      <w:r w:rsidR="00FD0384" w:rsidRPr="00A25920">
        <w:rPr>
          <w:rFonts w:ascii="Book Antiqua" w:hAnsi="Book Antiqua" w:cs="Times New Roman"/>
          <w:sz w:val="24"/>
          <w:szCs w:val="24"/>
        </w:rPr>
        <w:t>(AFP) &gt;</w:t>
      </w:r>
      <w:r w:rsidR="00C2554C" w:rsidRPr="00A25920">
        <w:rPr>
          <w:rFonts w:ascii="Book Antiqua" w:hAnsi="Book Antiqua" w:cs="Times New Roman" w:hint="eastAsia"/>
          <w:sz w:val="24"/>
          <w:szCs w:val="24"/>
        </w:rPr>
        <w:t xml:space="preserve"> </w:t>
      </w:r>
      <w:r w:rsidR="00FD0384" w:rsidRPr="00A25920">
        <w:rPr>
          <w:rFonts w:ascii="Book Antiqua" w:hAnsi="Book Antiqua" w:cs="Times New Roman"/>
          <w:sz w:val="24"/>
          <w:szCs w:val="24"/>
        </w:rPr>
        <w:t>400 ng/mL, tumor size ≥</w:t>
      </w:r>
      <w:r w:rsidR="00C2554C" w:rsidRPr="00A25920">
        <w:rPr>
          <w:rFonts w:ascii="Book Antiqua" w:hAnsi="Book Antiqua" w:cs="Times New Roman" w:hint="eastAsia"/>
          <w:sz w:val="24"/>
          <w:szCs w:val="24"/>
        </w:rPr>
        <w:t xml:space="preserve"> </w:t>
      </w:r>
      <w:r w:rsidR="00FD0384" w:rsidRPr="00A25920">
        <w:rPr>
          <w:rFonts w:ascii="Book Antiqua" w:hAnsi="Book Antiqua" w:cs="Times New Roman"/>
          <w:sz w:val="24"/>
          <w:szCs w:val="24"/>
        </w:rPr>
        <w:t>5 cm, and high EP</w:t>
      </w:r>
      <w:r w:rsidR="00FD0384" w:rsidRPr="00A25920">
        <w:rPr>
          <w:rFonts w:ascii="Book Antiqua" w:hAnsi="Book Antiqua" w:cs="Times New Roman"/>
          <w:sz w:val="24"/>
          <w:szCs w:val="24"/>
          <w:vertAlign w:val="subscript"/>
        </w:rPr>
        <w:t>1</w:t>
      </w:r>
      <w:r w:rsidR="00FD0384" w:rsidRPr="00A25920">
        <w:rPr>
          <w:rFonts w:ascii="Book Antiqua" w:hAnsi="Book Antiqua" w:cs="Times New Roman"/>
          <w:sz w:val="24"/>
          <w:szCs w:val="24"/>
        </w:rPr>
        <w:t xml:space="preserve"> receptor expression, but not high COX-2 expression. Disease-free survival (DFS) did not differ significantly between patients with low or high levels of COX-2 or EP1. COX-2 immunoreactivity was significantly higher in well-differentiated HCC tissues (Edmondson grade I-II) than in poorly differentiated tissues (Edmondson grade III–IV) (</w:t>
      </w:r>
      <w:r w:rsidR="00FD0384" w:rsidRPr="00A25920">
        <w:rPr>
          <w:rFonts w:ascii="Book Antiqua" w:hAnsi="Book Antiqua" w:cs="Times New Roman"/>
          <w:i/>
          <w:caps/>
          <w:sz w:val="24"/>
          <w:szCs w:val="24"/>
        </w:rPr>
        <w:t>p</w:t>
      </w:r>
      <w:r w:rsidR="00FD0384" w:rsidRPr="00A25920">
        <w:rPr>
          <w:rFonts w:ascii="Book Antiqua" w:hAnsi="Book Antiqua" w:cs="Times New Roman"/>
          <w:sz w:val="24"/>
          <w:szCs w:val="24"/>
        </w:rPr>
        <w:t xml:space="preserve"> =</w:t>
      </w:r>
      <w:r w:rsidR="00C2554C" w:rsidRPr="00A25920">
        <w:rPr>
          <w:rFonts w:ascii="Book Antiqua" w:hAnsi="Book Antiqua" w:cs="Times New Roman" w:hint="eastAsia"/>
          <w:sz w:val="24"/>
          <w:szCs w:val="24"/>
        </w:rPr>
        <w:t xml:space="preserve"> </w:t>
      </w:r>
      <w:r w:rsidR="00FD0384" w:rsidRPr="00A25920">
        <w:rPr>
          <w:rFonts w:ascii="Book Antiqua" w:hAnsi="Book Antiqua" w:cs="Times New Roman"/>
          <w:sz w:val="24"/>
          <w:szCs w:val="24"/>
        </w:rPr>
        <w:t>0.003). EP1 receptor immunoreactivity was significantly higher in poorly differentiated tissue than in well-differentiated tissue (</w:t>
      </w:r>
      <w:r w:rsidR="00C2554C" w:rsidRPr="00A25920">
        <w:rPr>
          <w:rFonts w:ascii="Book Antiqua" w:hAnsi="Book Antiqua" w:cs="Times New Roman"/>
          <w:i/>
          <w:caps/>
          <w:sz w:val="24"/>
          <w:szCs w:val="24"/>
        </w:rPr>
        <w:t>p</w:t>
      </w:r>
      <w:r w:rsidR="00FD0384" w:rsidRPr="00A25920">
        <w:rPr>
          <w:rFonts w:ascii="Book Antiqua" w:hAnsi="Book Antiqua" w:cs="Times New Roman"/>
          <w:sz w:val="24"/>
          <w:szCs w:val="24"/>
        </w:rPr>
        <w:t xml:space="preserve"> =</w:t>
      </w:r>
      <w:r w:rsidR="00C2554C" w:rsidRPr="00A25920">
        <w:rPr>
          <w:rFonts w:ascii="Book Antiqua" w:hAnsi="Book Antiqua" w:cs="Times New Roman" w:hint="eastAsia"/>
          <w:sz w:val="24"/>
          <w:szCs w:val="24"/>
        </w:rPr>
        <w:t xml:space="preserve"> </w:t>
      </w:r>
      <w:r w:rsidR="00FD0384" w:rsidRPr="00A25920">
        <w:rPr>
          <w:rFonts w:ascii="Book Antiqua" w:hAnsi="Book Antiqua" w:cs="Times New Roman"/>
          <w:sz w:val="24"/>
          <w:szCs w:val="24"/>
        </w:rPr>
        <w:t>0.001).</w:t>
      </w:r>
    </w:p>
    <w:p w:rsidR="00ED3363" w:rsidRPr="00A25920" w:rsidRDefault="00ED3363" w:rsidP="00225036">
      <w:pPr>
        <w:snapToGrid w:val="0"/>
        <w:spacing w:after="0" w:line="360" w:lineRule="auto"/>
        <w:jc w:val="both"/>
        <w:rPr>
          <w:rFonts w:ascii="Book Antiqua" w:hAnsi="Book Antiqua" w:cs="Times New Roman"/>
          <w:i/>
          <w:sz w:val="24"/>
          <w:szCs w:val="24"/>
        </w:rPr>
      </w:pPr>
      <w:bookmarkStart w:id="30" w:name="OLE_LINK105"/>
      <w:bookmarkStart w:id="31" w:name="OLE_LINK116"/>
      <w:bookmarkStart w:id="32" w:name="OLE_LINK89"/>
    </w:p>
    <w:p w:rsidR="00A8790E" w:rsidRPr="00A25920" w:rsidRDefault="00C2554C" w:rsidP="00225036">
      <w:pPr>
        <w:snapToGrid w:val="0"/>
        <w:spacing w:after="0" w:line="360" w:lineRule="auto"/>
        <w:jc w:val="both"/>
        <w:rPr>
          <w:rFonts w:ascii="Book Antiqua" w:hAnsi="Book Antiqua" w:cs="Times New Roman"/>
          <w:sz w:val="24"/>
          <w:szCs w:val="24"/>
        </w:rPr>
      </w:pPr>
      <w:r w:rsidRPr="00A25920">
        <w:rPr>
          <w:rFonts w:ascii="Book Antiqua" w:hAnsi="Book Antiqua" w:cs="Times New Roman"/>
          <w:sz w:val="24"/>
          <w:szCs w:val="24"/>
        </w:rPr>
        <w:t xml:space="preserve">Yang </w:t>
      </w:r>
      <w:r w:rsidR="001B21BD" w:rsidRPr="00A25920">
        <w:rPr>
          <w:rFonts w:ascii="Book Antiqua" w:hAnsi="Book Antiqua" w:cs="Times New Roman"/>
          <w:sz w:val="24"/>
          <w:szCs w:val="24"/>
        </w:rPr>
        <w:t>H</w:t>
      </w:r>
      <w:r w:rsidRPr="00A25920">
        <w:rPr>
          <w:rFonts w:ascii="Book Antiqua" w:hAnsi="Book Antiqua" w:cs="Times New Roman"/>
          <w:sz w:val="24"/>
          <w:szCs w:val="24"/>
        </w:rPr>
        <w:t>J</w:t>
      </w:r>
      <w:r w:rsidR="001B21BD" w:rsidRPr="00A25920">
        <w:rPr>
          <w:rFonts w:ascii="Book Antiqua" w:hAnsi="Book Antiqua" w:cs="Times New Roman"/>
          <w:sz w:val="24"/>
          <w:szCs w:val="24"/>
        </w:rPr>
        <w:t>,</w:t>
      </w:r>
      <w:r w:rsidRPr="00A25920">
        <w:rPr>
          <w:rFonts w:ascii="Book Antiqua" w:hAnsi="Book Antiqua" w:cs="Times New Roman" w:hint="eastAsia"/>
          <w:sz w:val="24"/>
          <w:szCs w:val="24"/>
        </w:rPr>
        <w:t xml:space="preserve"> </w:t>
      </w:r>
      <w:r w:rsidRPr="00A25920">
        <w:rPr>
          <w:rFonts w:ascii="Book Antiqua" w:hAnsi="Book Antiqua" w:cs="Times New Roman"/>
          <w:sz w:val="24"/>
          <w:szCs w:val="24"/>
        </w:rPr>
        <w:t xml:space="preserve">Jiang </w:t>
      </w:r>
      <w:r w:rsidR="001B21BD" w:rsidRPr="00A25920">
        <w:rPr>
          <w:rFonts w:ascii="Book Antiqua" w:hAnsi="Book Antiqua" w:cs="Times New Roman"/>
          <w:sz w:val="24"/>
          <w:szCs w:val="24"/>
        </w:rPr>
        <w:t>JH,</w:t>
      </w:r>
      <w:r w:rsidRPr="00A25920">
        <w:rPr>
          <w:rFonts w:ascii="Book Antiqua" w:hAnsi="Book Antiqua" w:cs="Times New Roman" w:hint="eastAsia"/>
          <w:sz w:val="24"/>
          <w:szCs w:val="24"/>
        </w:rPr>
        <w:t xml:space="preserve"> </w:t>
      </w:r>
      <w:r w:rsidRPr="00A25920">
        <w:rPr>
          <w:rFonts w:ascii="Book Antiqua" w:hAnsi="Book Antiqua" w:cs="Times New Roman"/>
          <w:sz w:val="24"/>
          <w:szCs w:val="24"/>
        </w:rPr>
        <w:t xml:space="preserve">Yang </w:t>
      </w:r>
      <w:r w:rsidR="001B21BD" w:rsidRPr="00A25920">
        <w:rPr>
          <w:rFonts w:ascii="Book Antiqua" w:hAnsi="Book Antiqua" w:cs="Times New Roman"/>
          <w:sz w:val="24"/>
          <w:szCs w:val="24"/>
        </w:rPr>
        <w:t>Y</w:t>
      </w:r>
      <w:r w:rsidRPr="00A25920">
        <w:rPr>
          <w:rFonts w:ascii="Book Antiqua" w:hAnsi="Book Antiqua" w:cs="Times New Roman"/>
          <w:sz w:val="24"/>
          <w:szCs w:val="24"/>
        </w:rPr>
        <w:t>T</w:t>
      </w:r>
      <w:r w:rsidR="001B21BD" w:rsidRPr="00A25920">
        <w:rPr>
          <w:rFonts w:ascii="Book Antiqua" w:hAnsi="Book Antiqua" w:cs="Times New Roman"/>
          <w:sz w:val="24"/>
          <w:szCs w:val="24"/>
        </w:rPr>
        <w:t>,</w:t>
      </w:r>
      <w:r w:rsidRPr="00A25920">
        <w:rPr>
          <w:rFonts w:ascii="Book Antiqua" w:hAnsi="Book Antiqua" w:cs="Times New Roman" w:hint="eastAsia"/>
          <w:sz w:val="24"/>
          <w:szCs w:val="24"/>
        </w:rPr>
        <w:t xml:space="preserve"> </w:t>
      </w:r>
      <w:r w:rsidRPr="00A25920">
        <w:rPr>
          <w:rFonts w:ascii="Book Antiqua" w:hAnsi="Book Antiqua" w:cs="Times New Roman"/>
          <w:sz w:val="24"/>
          <w:szCs w:val="24"/>
        </w:rPr>
        <w:t xml:space="preserve">Yang </w:t>
      </w:r>
      <w:r w:rsidR="001B21BD" w:rsidRPr="00A25920">
        <w:rPr>
          <w:rFonts w:ascii="Book Antiqua" w:hAnsi="Book Antiqua" w:cs="Times New Roman"/>
          <w:sz w:val="24"/>
          <w:szCs w:val="24"/>
        </w:rPr>
        <w:t>X</w:t>
      </w:r>
      <w:r w:rsidRPr="00A25920">
        <w:rPr>
          <w:rFonts w:ascii="Book Antiqua" w:hAnsi="Book Antiqua" w:cs="Times New Roman"/>
          <w:sz w:val="24"/>
          <w:szCs w:val="24"/>
        </w:rPr>
        <w:t>D</w:t>
      </w:r>
      <w:r w:rsidR="001B21BD" w:rsidRPr="00A25920">
        <w:rPr>
          <w:rFonts w:ascii="Book Antiqua" w:hAnsi="Book Antiqua" w:cs="Times New Roman"/>
          <w:sz w:val="24"/>
          <w:szCs w:val="24"/>
        </w:rPr>
        <w:t>,</w:t>
      </w:r>
      <w:r w:rsidRPr="00A25920">
        <w:rPr>
          <w:rFonts w:ascii="Book Antiqua" w:hAnsi="Book Antiqua" w:cs="Times New Roman" w:hint="eastAsia"/>
          <w:sz w:val="24"/>
          <w:szCs w:val="24"/>
        </w:rPr>
        <w:t xml:space="preserve"> </w:t>
      </w:r>
      <w:r w:rsidRPr="00A25920">
        <w:rPr>
          <w:rFonts w:ascii="Book Antiqua" w:hAnsi="Book Antiqua" w:cs="Times New Roman"/>
          <w:sz w:val="24"/>
          <w:szCs w:val="24"/>
        </w:rPr>
        <w:t>Guo Z</w:t>
      </w:r>
      <w:r w:rsidR="001B21BD" w:rsidRPr="00A25920">
        <w:rPr>
          <w:rFonts w:ascii="Book Antiqua" w:hAnsi="Book Antiqua" w:cs="Times New Roman"/>
          <w:sz w:val="24"/>
          <w:szCs w:val="24"/>
        </w:rPr>
        <w:t>,</w:t>
      </w:r>
      <w:r w:rsidRPr="00A25920">
        <w:rPr>
          <w:rFonts w:ascii="Book Antiqua" w:hAnsi="Book Antiqua" w:cs="Times New Roman" w:hint="eastAsia"/>
          <w:sz w:val="24"/>
          <w:szCs w:val="24"/>
        </w:rPr>
        <w:t xml:space="preserve"> </w:t>
      </w:r>
      <w:r w:rsidRPr="00A25920">
        <w:rPr>
          <w:rFonts w:ascii="Book Antiqua" w:hAnsi="Book Antiqua" w:cs="Times New Roman"/>
          <w:sz w:val="24"/>
          <w:szCs w:val="24"/>
        </w:rPr>
        <w:t>Qi YP</w:t>
      </w:r>
      <w:r w:rsidR="001B21BD" w:rsidRPr="00A25920">
        <w:rPr>
          <w:rFonts w:ascii="Book Antiqua" w:hAnsi="Book Antiqua" w:cs="Times New Roman"/>
          <w:sz w:val="24"/>
          <w:szCs w:val="24"/>
        </w:rPr>
        <w:t>,</w:t>
      </w:r>
      <w:r w:rsidRPr="00A25920">
        <w:rPr>
          <w:rFonts w:ascii="Book Antiqua" w:hAnsi="Book Antiqua" w:cs="Times New Roman" w:hint="eastAsia"/>
          <w:sz w:val="24"/>
          <w:szCs w:val="24"/>
        </w:rPr>
        <w:t xml:space="preserve"> </w:t>
      </w:r>
      <w:r w:rsidRPr="00A25920">
        <w:rPr>
          <w:rFonts w:ascii="Book Antiqua" w:hAnsi="Book Antiqua" w:cs="Times New Roman"/>
          <w:sz w:val="24"/>
          <w:szCs w:val="24"/>
        </w:rPr>
        <w:t>Zhang KL</w:t>
      </w:r>
      <w:r w:rsidR="001B21BD" w:rsidRPr="00A25920">
        <w:rPr>
          <w:rFonts w:ascii="Book Antiqua" w:hAnsi="Book Antiqua" w:cs="Times New Roman"/>
          <w:sz w:val="24"/>
          <w:szCs w:val="24"/>
        </w:rPr>
        <w:t>,</w:t>
      </w:r>
      <w:r w:rsidRPr="00A25920">
        <w:rPr>
          <w:rFonts w:ascii="Book Antiqua" w:hAnsi="Book Antiqua" w:cs="Times New Roman" w:hint="eastAsia"/>
          <w:sz w:val="24"/>
          <w:szCs w:val="24"/>
        </w:rPr>
        <w:t xml:space="preserve"> </w:t>
      </w:r>
      <w:r w:rsidRPr="00A25920">
        <w:rPr>
          <w:rFonts w:ascii="Book Antiqua" w:hAnsi="Book Antiqua" w:cs="Times New Roman"/>
          <w:sz w:val="24"/>
          <w:szCs w:val="24"/>
        </w:rPr>
        <w:t xml:space="preserve">Chen </w:t>
      </w:r>
      <w:r w:rsidR="001B21BD" w:rsidRPr="00A25920">
        <w:rPr>
          <w:rFonts w:ascii="Book Antiqua" w:hAnsi="Book Antiqua" w:cs="Times New Roman"/>
          <w:sz w:val="24"/>
          <w:szCs w:val="24"/>
        </w:rPr>
        <w:t>N</w:t>
      </w:r>
      <w:r w:rsidRPr="00A25920">
        <w:rPr>
          <w:rFonts w:ascii="Book Antiqua" w:hAnsi="Book Antiqua" w:cs="Times New Roman"/>
          <w:sz w:val="24"/>
          <w:szCs w:val="24"/>
        </w:rPr>
        <w:t>Z</w:t>
      </w:r>
      <w:r w:rsidR="001B21BD" w:rsidRPr="00A25920">
        <w:rPr>
          <w:rFonts w:ascii="Book Antiqua" w:hAnsi="Book Antiqua" w:cs="Times New Roman"/>
          <w:sz w:val="24"/>
          <w:szCs w:val="24"/>
        </w:rPr>
        <w:t>,</w:t>
      </w:r>
      <w:r w:rsidRPr="00A25920">
        <w:rPr>
          <w:rFonts w:ascii="Book Antiqua" w:hAnsi="Book Antiqua" w:cs="Times New Roman" w:hint="eastAsia"/>
          <w:sz w:val="24"/>
          <w:szCs w:val="24"/>
        </w:rPr>
        <w:t xml:space="preserve"> </w:t>
      </w:r>
      <w:r w:rsidRPr="00A25920">
        <w:rPr>
          <w:rFonts w:ascii="Book Antiqua" w:hAnsi="Book Antiqua" w:cs="Times New Roman"/>
          <w:sz w:val="24"/>
          <w:szCs w:val="24"/>
        </w:rPr>
        <w:t>Xiang BD</w:t>
      </w:r>
      <w:r w:rsidR="001B21BD" w:rsidRPr="00A25920">
        <w:rPr>
          <w:rFonts w:ascii="Book Antiqua" w:hAnsi="Book Antiqua" w:cs="Times New Roman"/>
          <w:sz w:val="24"/>
          <w:szCs w:val="24"/>
        </w:rPr>
        <w:t xml:space="preserve">, </w:t>
      </w:r>
      <w:r w:rsidRPr="00A25920">
        <w:rPr>
          <w:rFonts w:ascii="Book Antiqua" w:hAnsi="Book Antiqua" w:cs="Times New Roman"/>
          <w:sz w:val="24"/>
          <w:szCs w:val="24"/>
        </w:rPr>
        <w:t>Li LQ</w:t>
      </w:r>
      <w:r w:rsidR="001B21BD" w:rsidRPr="00A25920">
        <w:rPr>
          <w:rFonts w:ascii="Book Antiqua" w:hAnsi="Book Antiqua" w:cs="Times New Roman"/>
          <w:sz w:val="24"/>
          <w:szCs w:val="24"/>
        </w:rPr>
        <w:t>.</w:t>
      </w:r>
      <w:r w:rsidRPr="00A25920">
        <w:rPr>
          <w:rFonts w:ascii="Book Antiqua" w:hAnsi="Book Antiqua" w:cs="Times New Roman" w:hint="eastAsia"/>
          <w:sz w:val="24"/>
          <w:szCs w:val="24"/>
        </w:rPr>
        <w:t xml:space="preserve"> </w:t>
      </w:r>
      <w:r w:rsidR="001B21BD" w:rsidRPr="00A25920">
        <w:rPr>
          <w:rFonts w:ascii="Book Antiqua" w:hAnsi="Book Antiqua" w:cs="Times New Roman"/>
          <w:sz w:val="24"/>
          <w:szCs w:val="24"/>
        </w:rPr>
        <w:t>Cyclooxygenase-2 expression is associated with initiation of hepatocellular carcinoma,</w:t>
      </w:r>
      <w:r w:rsidRPr="00A25920">
        <w:rPr>
          <w:rFonts w:ascii="Book Antiqua" w:hAnsi="Book Antiqua" w:cs="Times New Roman" w:hint="eastAsia"/>
          <w:sz w:val="24"/>
          <w:szCs w:val="24"/>
        </w:rPr>
        <w:t xml:space="preserve"> </w:t>
      </w:r>
      <w:r w:rsidR="001B21BD" w:rsidRPr="00A25920">
        <w:rPr>
          <w:rFonts w:ascii="Book Antiqua" w:hAnsi="Book Antiqua" w:cs="Times New Roman"/>
          <w:sz w:val="24"/>
          <w:szCs w:val="24"/>
        </w:rPr>
        <w:t>while prostaglandin receptor-1 expression predicts survival.</w:t>
      </w:r>
      <w:r w:rsidR="00A8790E" w:rsidRPr="00A25920">
        <w:rPr>
          <w:rFonts w:ascii="Book Antiqua" w:hAnsi="Book Antiqua" w:cs="Times New Roman"/>
          <w:i/>
          <w:sz w:val="24"/>
          <w:szCs w:val="24"/>
        </w:rPr>
        <w:t xml:space="preserve"> World J Gastroenterol </w:t>
      </w:r>
      <w:r w:rsidR="00A8790E" w:rsidRPr="00A25920">
        <w:rPr>
          <w:rFonts w:ascii="Book Antiqua" w:hAnsi="Book Antiqua" w:cs="Times New Roman"/>
          <w:sz w:val="24"/>
          <w:szCs w:val="24"/>
        </w:rPr>
        <w:t>2016;</w:t>
      </w:r>
      <w:r w:rsidRPr="00A25920">
        <w:rPr>
          <w:rFonts w:ascii="Book Antiqua" w:hAnsi="Book Antiqua" w:cs="Times New Roman" w:hint="eastAsia"/>
          <w:sz w:val="24"/>
          <w:szCs w:val="24"/>
        </w:rPr>
        <w:t xml:space="preserve"> </w:t>
      </w:r>
      <w:r w:rsidR="00A8790E" w:rsidRPr="00A25920">
        <w:rPr>
          <w:rFonts w:ascii="Book Antiqua" w:hAnsi="Book Antiqua" w:cs="Times New Roman"/>
          <w:sz w:val="24"/>
          <w:szCs w:val="24"/>
        </w:rPr>
        <w:t>In press</w:t>
      </w:r>
    </w:p>
    <w:p w:rsidR="001B21BD" w:rsidRPr="00A25920" w:rsidRDefault="001B21BD" w:rsidP="00225036">
      <w:pPr>
        <w:snapToGrid w:val="0"/>
        <w:spacing w:after="0" w:line="360" w:lineRule="auto"/>
        <w:jc w:val="both"/>
        <w:rPr>
          <w:rFonts w:ascii="Book Antiqua" w:hAnsi="Book Antiqua" w:cs="Arial"/>
          <w:sz w:val="24"/>
          <w:szCs w:val="24"/>
        </w:rPr>
      </w:pPr>
    </w:p>
    <w:bookmarkEnd w:id="2"/>
    <w:bookmarkEnd w:id="3"/>
    <w:bookmarkEnd w:id="30"/>
    <w:bookmarkEnd w:id="31"/>
    <w:bookmarkEnd w:id="32"/>
    <w:p w:rsidR="00C2554C" w:rsidRPr="00A25920" w:rsidRDefault="00C2554C">
      <w:pPr>
        <w:rPr>
          <w:rFonts w:ascii="Book Antiqua" w:hAnsi="Book Antiqua" w:cs="Arial"/>
          <w:sz w:val="24"/>
          <w:szCs w:val="24"/>
        </w:rPr>
      </w:pPr>
      <w:r w:rsidRPr="00A25920">
        <w:rPr>
          <w:rFonts w:ascii="Book Antiqua" w:hAnsi="Book Antiqua" w:cs="Arial"/>
          <w:sz w:val="24"/>
          <w:szCs w:val="24"/>
        </w:rPr>
        <w:br w:type="page"/>
      </w:r>
    </w:p>
    <w:p w:rsidR="007B3D1C" w:rsidRPr="00A25920" w:rsidRDefault="007B3D1C" w:rsidP="00225036">
      <w:pPr>
        <w:snapToGrid w:val="0"/>
        <w:spacing w:after="0" w:line="360" w:lineRule="auto"/>
        <w:jc w:val="both"/>
        <w:rPr>
          <w:rFonts w:ascii="Book Antiqua" w:hAnsi="Book Antiqua" w:cs="Times New Roman"/>
          <w:b/>
          <w:caps/>
          <w:sz w:val="24"/>
          <w:szCs w:val="24"/>
        </w:rPr>
      </w:pPr>
      <w:r w:rsidRPr="00A25920">
        <w:rPr>
          <w:rFonts w:ascii="Book Antiqua" w:hAnsi="Book Antiqua" w:cs="Times New Roman"/>
          <w:b/>
          <w:caps/>
          <w:sz w:val="24"/>
          <w:szCs w:val="24"/>
        </w:rPr>
        <w:lastRenderedPageBreak/>
        <w:t>Introduction</w:t>
      </w:r>
    </w:p>
    <w:p w:rsidR="008E0F37" w:rsidRPr="00A25920" w:rsidRDefault="009440EC" w:rsidP="00225036">
      <w:pPr>
        <w:autoSpaceDE w:val="0"/>
        <w:autoSpaceDN w:val="0"/>
        <w:adjustRightInd w:val="0"/>
        <w:snapToGrid w:val="0"/>
        <w:spacing w:after="0" w:line="360" w:lineRule="auto"/>
        <w:jc w:val="both"/>
        <w:rPr>
          <w:rFonts w:ascii="Book Antiqua" w:hAnsi="Book Antiqua" w:cs="Times New Roman"/>
          <w:sz w:val="24"/>
          <w:szCs w:val="24"/>
        </w:rPr>
      </w:pPr>
      <w:r w:rsidRPr="00A25920">
        <w:rPr>
          <w:rFonts w:ascii="Book Antiqua" w:hAnsi="Book Antiqua" w:cs="Times New Roman"/>
          <w:sz w:val="24"/>
          <w:szCs w:val="24"/>
        </w:rPr>
        <w:t>Hepatocellular carcinoma (HCC) is one of the most aggressive tumors and the third most frequent cause of cancer-related death in the world</w:t>
      </w:r>
      <w:r w:rsidR="00033766" w:rsidRPr="00A25920">
        <w:rPr>
          <w:rFonts w:ascii="Book Antiqua" w:hAnsi="Book Antiqua" w:cs="Times New Roman"/>
          <w:sz w:val="24"/>
          <w:szCs w:val="24"/>
        </w:rPr>
        <w:fldChar w:fldCharType="begin"/>
      </w:r>
      <w:r w:rsidR="00462A3E" w:rsidRPr="00A25920">
        <w:rPr>
          <w:rFonts w:ascii="Book Antiqua" w:hAnsi="Book Antiqua" w:cs="Times New Roman"/>
          <w:sz w:val="24"/>
          <w:szCs w:val="24"/>
        </w:rPr>
        <w:instrText xml:space="preserve"> ADDIN NE.Ref.{5F04A977-61D2-4D50-B56B-9A951B26D80F}</w:instrText>
      </w:r>
      <w:r w:rsidR="00033766" w:rsidRPr="00A25920">
        <w:rPr>
          <w:rFonts w:ascii="Book Antiqua" w:hAnsi="Book Antiqua" w:cs="Times New Roman"/>
          <w:sz w:val="24"/>
          <w:szCs w:val="24"/>
        </w:rPr>
        <w:fldChar w:fldCharType="separate"/>
      </w:r>
      <w:r w:rsidR="00C2554C" w:rsidRPr="00A25920">
        <w:rPr>
          <w:rFonts w:ascii="Book Antiqua" w:hAnsi="Book Antiqua" w:cs="Book Antiqua"/>
          <w:sz w:val="24"/>
          <w:szCs w:val="24"/>
          <w:vertAlign w:val="superscript"/>
        </w:rPr>
        <w:t>[1,</w:t>
      </w:r>
      <w:r w:rsidR="00462A3E" w:rsidRPr="00A25920">
        <w:rPr>
          <w:rFonts w:ascii="Book Antiqua" w:hAnsi="Book Antiqua" w:cs="Book Antiqua"/>
          <w:sz w:val="24"/>
          <w:szCs w:val="24"/>
          <w:vertAlign w:val="superscript"/>
        </w:rPr>
        <w:t>2]</w:t>
      </w:r>
      <w:r w:rsidR="00033766" w:rsidRPr="00A25920">
        <w:rPr>
          <w:rFonts w:ascii="Book Antiqua" w:hAnsi="Book Antiqua" w:cs="Times New Roman"/>
          <w:sz w:val="24"/>
          <w:szCs w:val="24"/>
        </w:rPr>
        <w:fldChar w:fldCharType="end"/>
      </w:r>
      <w:r w:rsidRPr="00A25920">
        <w:rPr>
          <w:rFonts w:ascii="Book Antiqua" w:hAnsi="Book Antiqua" w:cs="Times New Roman"/>
          <w:sz w:val="24"/>
          <w:szCs w:val="24"/>
        </w:rPr>
        <w:t xml:space="preserve">. Although early diagnosis and treatment of HCC have improved substantially, prognosis remains unsatisfactory. </w:t>
      </w:r>
      <w:r w:rsidR="00DC617F" w:rsidRPr="00A25920">
        <w:rPr>
          <w:rFonts w:ascii="Book Antiqua" w:hAnsi="Book Antiqua" w:cs="Times New Roman"/>
          <w:sz w:val="24"/>
          <w:szCs w:val="24"/>
        </w:rPr>
        <w:t>HCC often involves highly malignant tumors</w:t>
      </w:r>
      <w:r w:rsidRPr="00A25920">
        <w:rPr>
          <w:rFonts w:ascii="Book Antiqua" w:hAnsi="Book Antiqua" w:cs="Times New Roman"/>
          <w:sz w:val="24"/>
          <w:szCs w:val="24"/>
        </w:rPr>
        <w:t xml:space="preserve"> that respond poorly or not at all to adjuvant systemic and local therapies. This highlights the need for new approaches to</w:t>
      </w:r>
      <w:r w:rsidR="00C2554C" w:rsidRPr="00A25920">
        <w:rPr>
          <w:rFonts w:ascii="Book Antiqua" w:hAnsi="Book Antiqua" w:cs="Times New Roman"/>
          <w:sz w:val="24"/>
          <w:szCs w:val="24"/>
        </w:rPr>
        <w:t xml:space="preserve"> prevent and treat the disease.</w:t>
      </w:r>
    </w:p>
    <w:p w:rsidR="001F3CCC" w:rsidRPr="00A25920" w:rsidRDefault="001F3CCC" w:rsidP="00C2554C">
      <w:pPr>
        <w:autoSpaceDE w:val="0"/>
        <w:autoSpaceDN w:val="0"/>
        <w:adjustRightInd w:val="0"/>
        <w:snapToGrid w:val="0"/>
        <w:spacing w:after="0" w:line="360" w:lineRule="auto"/>
        <w:ind w:firstLineChars="100" w:firstLine="240"/>
        <w:jc w:val="both"/>
        <w:rPr>
          <w:rFonts w:ascii="Book Antiqua" w:hAnsi="Book Antiqua" w:cs="Times New Roman"/>
          <w:sz w:val="24"/>
          <w:szCs w:val="24"/>
        </w:rPr>
      </w:pPr>
      <w:r w:rsidRPr="00A25920">
        <w:rPr>
          <w:rFonts w:ascii="Book Antiqua" w:hAnsi="Book Antiqua" w:cs="Times New Roman"/>
          <w:sz w:val="24"/>
          <w:szCs w:val="24"/>
        </w:rPr>
        <w:t>Two molecules that may be involved with HCC at different stages, and that therefore may be useful for understanding the pathogenesis and progression of the disease, are cyclooxygenase-2 (COX-2) and prostaglandin E2 receptor (</w:t>
      </w:r>
      <w:r w:rsidR="00627E9E" w:rsidRPr="00A25920">
        <w:rPr>
          <w:rFonts w:ascii="Book Antiqua" w:hAnsi="Book Antiqua" w:cs="Times New Roman"/>
          <w:sz w:val="24"/>
          <w:szCs w:val="24"/>
        </w:rPr>
        <w:t>EP</w:t>
      </w:r>
      <w:r w:rsidR="00627E9E" w:rsidRPr="00A25920">
        <w:rPr>
          <w:rFonts w:ascii="Book Antiqua" w:hAnsi="Book Antiqua" w:cs="Times New Roman"/>
          <w:sz w:val="24"/>
          <w:szCs w:val="24"/>
          <w:vertAlign w:val="subscript"/>
        </w:rPr>
        <w:t>1</w:t>
      </w:r>
      <w:r w:rsidRPr="00A25920">
        <w:rPr>
          <w:rFonts w:ascii="Book Antiqua" w:hAnsi="Book Antiqua" w:cs="Times New Roman"/>
          <w:sz w:val="24"/>
          <w:szCs w:val="24"/>
        </w:rPr>
        <w:t xml:space="preserve"> receptor). These molecules have already been shown to play important roles in onset of various cancers, including HCC</w:t>
      </w:r>
      <w:r w:rsidR="00033766" w:rsidRPr="00A25920">
        <w:rPr>
          <w:rFonts w:ascii="Book Antiqua" w:hAnsi="Book Antiqua" w:cs="Times New Roman"/>
          <w:sz w:val="24"/>
          <w:szCs w:val="24"/>
        </w:rPr>
        <w:fldChar w:fldCharType="begin"/>
      </w:r>
      <w:r w:rsidR="00033766" w:rsidRPr="00A25920">
        <w:rPr>
          <w:rFonts w:ascii="Book Antiqua" w:hAnsi="Book Antiqua" w:cs="Times New Roman"/>
          <w:sz w:val="24"/>
          <w:szCs w:val="24"/>
        </w:rPr>
        <w:instrText xml:space="preserve"> ADDIN NE.Ref.{89BDC001-FB27-4CD5-951D-4CBC90AD4A82}</w:instrText>
      </w:r>
      <w:r w:rsidR="00033766" w:rsidRPr="00A25920">
        <w:rPr>
          <w:rFonts w:ascii="Book Antiqua" w:hAnsi="Book Antiqua" w:cs="Times New Roman"/>
          <w:sz w:val="24"/>
          <w:szCs w:val="24"/>
        </w:rPr>
        <w:fldChar w:fldCharType="separate"/>
      </w:r>
      <w:r w:rsidR="00462A3E" w:rsidRPr="00A25920">
        <w:rPr>
          <w:rFonts w:ascii="Book Antiqua" w:hAnsi="Book Antiqua" w:cs="Book Antiqua"/>
          <w:sz w:val="24"/>
          <w:szCs w:val="24"/>
          <w:vertAlign w:val="superscript"/>
        </w:rPr>
        <w:t>[3-9]</w:t>
      </w:r>
      <w:r w:rsidR="00033766" w:rsidRPr="00A25920">
        <w:rPr>
          <w:rFonts w:ascii="Book Antiqua" w:hAnsi="Book Antiqua" w:cs="Times New Roman"/>
          <w:sz w:val="24"/>
          <w:szCs w:val="24"/>
        </w:rPr>
        <w:fldChar w:fldCharType="end"/>
      </w:r>
      <w:r w:rsidRPr="00A25920">
        <w:rPr>
          <w:rFonts w:ascii="Book Antiqua" w:hAnsi="Book Antiqua" w:cs="Times New Roman"/>
          <w:sz w:val="24"/>
          <w:szCs w:val="24"/>
        </w:rPr>
        <w:t>.</w:t>
      </w:r>
    </w:p>
    <w:p w:rsidR="00AB076D" w:rsidRPr="00A25920" w:rsidRDefault="00AB076D" w:rsidP="00C2554C">
      <w:pPr>
        <w:autoSpaceDE w:val="0"/>
        <w:autoSpaceDN w:val="0"/>
        <w:adjustRightInd w:val="0"/>
        <w:snapToGrid w:val="0"/>
        <w:spacing w:after="0" w:line="360" w:lineRule="auto"/>
        <w:ind w:firstLineChars="100" w:firstLine="240"/>
        <w:jc w:val="both"/>
        <w:rPr>
          <w:rFonts w:ascii="Book Antiqua" w:hAnsi="Book Antiqua" w:cs="Times New Roman"/>
          <w:sz w:val="24"/>
          <w:szCs w:val="24"/>
        </w:rPr>
      </w:pPr>
      <w:r w:rsidRPr="00A25920">
        <w:rPr>
          <w:rFonts w:ascii="Book Antiqua" w:hAnsi="Book Antiqua" w:cs="Times New Roman"/>
          <w:sz w:val="24"/>
          <w:szCs w:val="24"/>
        </w:rPr>
        <w:t xml:space="preserve">COX-2 inhibits apoptosis and increases proliferation in various </w:t>
      </w:r>
      <w:r w:rsidR="00D879E5" w:rsidRPr="00A25920">
        <w:rPr>
          <w:rFonts w:ascii="Book Antiqua" w:hAnsi="Book Antiqua" w:cs="Times New Roman"/>
          <w:sz w:val="24"/>
          <w:szCs w:val="24"/>
        </w:rPr>
        <w:t>type of tumors</w:t>
      </w:r>
      <w:r w:rsidR="00033766" w:rsidRPr="00A25920">
        <w:rPr>
          <w:rFonts w:ascii="Book Antiqua" w:hAnsi="Book Antiqua" w:cs="Times New Roman"/>
          <w:sz w:val="24"/>
          <w:szCs w:val="24"/>
        </w:rPr>
        <w:fldChar w:fldCharType="begin"/>
      </w:r>
      <w:r w:rsidR="00033766" w:rsidRPr="00A25920">
        <w:rPr>
          <w:rFonts w:ascii="Book Antiqua" w:hAnsi="Book Antiqua" w:cs="Times New Roman"/>
          <w:sz w:val="24"/>
          <w:szCs w:val="24"/>
        </w:rPr>
        <w:instrText xml:space="preserve"> ADDIN NE.Ref.{011EBDC9-C046-4E4D-B6C0-FAEE439A58D8}</w:instrText>
      </w:r>
      <w:r w:rsidR="00033766" w:rsidRPr="00A25920">
        <w:rPr>
          <w:rFonts w:ascii="Book Antiqua" w:hAnsi="Book Antiqua" w:cs="Times New Roman"/>
          <w:sz w:val="24"/>
          <w:szCs w:val="24"/>
        </w:rPr>
        <w:fldChar w:fldCharType="separate"/>
      </w:r>
      <w:r w:rsidR="00462A3E" w:rsidRPr="00A25920">
        <w:rPr>
          <w:rFonts w:ascii="Book Antiqua" w:hAnsi="Book Antiqua" w:cs="Book Antiqua"/>
          <w:sz w:val="24"/>
          <w:szCs w:val="24"/>
          <w:vertAlign w:val="superscript"/>
        </w:rPr>
        <w:t>[10-12]</w:t>
      </w:r>
      <w:r w:rsidR="00033766" w:rsidRPr="00A25920">
        <w:rPr>
          <w:rFonts w:ascii="Book Antiqua" w:hAnsi="Book Antiqua" w:cs="Times New Roman"/>
          <w:sz w:val="24"/>
          <w:szCs w:val="24"/>
        </w:rPr>
        <w:fldChar w:fldCharType="end"/>
      </w:r>
      <w:r w:rsidRPr="00A25920">
        <w:rPr>
          <w:rFonts w:ascii="Book Antiqua" w:hAnsi="Book Antiqua" w:cs="Times New Roman"/>
          <w:sz w:val="24"/>
          <w:szCs w:val="24"/>
        </w:rPr>
        <w:t>. It also triggers production of vascular endothelial growth factor and activates metalloproteinases, substantially altering the tumor microenvironment</w:t>
      </w:r>
      <w:r w:rsidR="00C67694" w:rsidRPr="00A25920">
        <w:rPr>
          <w:rFonts w:ascii="Book Antiqua" w:hAnsi="Book Antiqua" w:cs="Times New Roman"/>
          <w:sz w:val="24"/>
          <w:szCs w:val="24"/>
        </w:rPr>
        <w:t xml:space="preserve"> of various cancers</w:t>
      </w:r>
      <w:r w:rsidR="00033766" w:rsidRPr="00A25920">
        <w:rPr>
          <w:rFonts w:ascii="Book Antiqua" w:hAnsi="Book Antiqua" w:cs="Times New Roman"/>
          <w:sz w:val="24"/>
          <w:szCs w:val="24"/>
        </w:rPr>
        <w:fldChar w:fldCharType="begin"/>
      </w:r>
      <w:r w:rsidR="00033766" w:rsidRPr="00A25920">
        <w:rPr>
          <w:rFonts w:ascii="Book Antiqua" w:hAnsi="Book Antiqua" w:cs="Times New Roman"/>
          <w:sz w:val="24"/>
          <w:szCs w:val="24"/>
        </w:rPr>
        <w:instrText xml:space="preserve"> ADDIN NE.Ref.{DFF700A8-9D67-486B-9A47-4CE21DFB34C8}</w:instrText>
      </w:r>
      <w:r w:rsidR="00033766" w:rsidRPr="00A25920">
        <w:rPr>
          <w:rFonts w:ascii="Book Antiqua" w:hAnsi="Book Antiqua" w:cs="Times New Roman"/>
          <w:sz w:val="24"/>
          <w:szCs w:val="24"/>
        </w:rPr>
        <w:fldChar w:fldCharType="separate"/>
      </w:r>
      <w:r w:rsidR="00462A3E" w:rsidRPr="00A25920">
        <w:rPr>
          <w:rFonts w:ascii="Book Antiqua" w:hAnsi="Book Antiqua" w:cs="Book Antiqua"/>
          <w:sz w:val="24"/>
          <w:szCs w:val="24"/>
          <w:vertAlign w:val="superscript"/>
        </w:rPr>
        <w:t>[13-15]</w:t>
      </w:r>
      <w:r w:rsidR="00033766" w:rsidRPr="00A25920">
        <w:rPr>
          <w:rFonts w:ascii="Book Antiqua" w:hAnsi="Book Antiqua" w:cs="Times New Roman"/>
          <w:sz w:val="24"/>
          <w:szCs w:val="24"/>
        </w:rPr>
        <w:fldChar w:fldCharType="end"/>
      </w:r>
      <w:r w:rsidRPr="00A25920">
        <w:rPr>
          <w:rFonts w:ascii="Book Antiqua" w:hAnsi="Book Antiqua" w:cs="Times New Roman"/>
          <w:sz w:val="24"/>
          <w:szCs w:val="24"/>
        </w:rPr>
        <w:t>. The precise role of COX-2 in HCC remains unclear. Its expression decreases with extent of de-differentiation, and it does not appear to be associated with prognosis</w:t>
      </w:r>
      <w:r w:rsidR="00033766" w:rsidRPr="00A25920">
        <w:rPr>
          <w:rFonts w:ascii="Book Antiqua" w:hAnsi="Book Antiqua" w:cs="Times New Roman"/>
          <w:sz w:val="24"/>
          <w:szCs w:val="24"/>
        </w:rPr>
        <w:fldChar w:fldCharType="begin"/>
      </w:r>
      <w:r w:rsidR="00033766" w:rsidRPr="00A25920">
        <w:rPr>
          <w:rFonts w:ascii="Book Antiqua" w:hAnsi="Book Antiqua" w:cs="Times New Roman"/>
          <w:sz w:val="24"/>
          <w:szCs w:val="24"/>
        </w:rPr>
        <w:instrText xml:space="preserve"> ADDIN NE.Ref.{E5F217FA-400C-401E-96E8-C64D5ADBB917}</w:instrText>
      </w:r>
      <w:r w:rsidR="00033766" w:rsidRPr="00A25920">
        <w:rPr>
          <w:rFonts w:ascii="Book Antiqua" w:hAnsi="Book Antiqua" w:cs="Times New Roman"/>
          <w:sz w:val="24"/>
          <w:szCs w:val="24"/>
        </w:rPr>
        <w:fldChar w:fldCharType="separate"/>
      </w:r>
      <w:r w:rsidR="00462A3E" w:rsidRPr="00A25920">
        <w:rPr>
          <w:rFonts w:ascii="Book Antiqua" w:hAnsi="Book Antiqua" w:cs="Book Antiqua"/>
          <w:sz w:val="24"/>
          <w:szCs w:val="24"/>
          <w:vertAlign w:val="superscript"/>
        </w:rPr>
        <w:t>[16-19]</w:t>
      </w:r>
      <w:r w:rsidR="00033766" w:rsidRPr="00A25920">
        <w:rPr>
          <w:rFonts w:ascii="Book Antiqua" w:hAnsi="Book Antiqua" w:cs="Times New Roman"/>
          <w:sz w:val="24"/>
          <w:szCs w:val="24"/>
        </w:rPr>
        <w:fldChar w:fldCharType="end"/>
      </w:r>
      <w:r w:rsidRPr="00A25920">
        <w:rPr>
          <w:rFonts w:ascii="Book Antiqua" w:hAnsi="Book Antiqua" w:cs="Times New Roman"/>
          <w:sz w:val="24"/>
          <w:szCs w:val="24"/>
        </w:rPr>
        <w:t xml:space="preserve">. </w:t>
      </w:r>
      <w:r w:rsidR="0074227B" w:rsidRPr="00A25920">
        <w:rPr>
          <w:rFonts w:ascii="Book Antiqua" w:hAnsi="Book Antiqua" w:cs="Times New Roman"/>
          <w:sz w:val="24"/>
          <w:szCs w:val="24"/>
        </w:rPr>
        <w:t xml:space="preserve">It may be involved </w:t>
      </w:r>
      <w:r w:rsidRPr="00A25920">
        <w:rPr>
          <w:rFonts w:ascii="Book Antiqua" w:hAnsi="Book Antiqua" w:cs="Times New Roman"/>
          <w:sz w:val="24"/>
          <w:szCs w:val="24"/>
        </w:rPr>
        <w:t>in HCC initiation, though dire</w:t>
      </w:r>
      <w:r w:rsidR="00D879E5" w:rsidRPr="00A25920">
        <w:rPr>
          <w:rFonts w:ascii="Book Antiqua" w:hAnsi="Book Antiqua" w:cs="Times New Roman"/>
          <w:sz w:val="24"/>
          <w:szCs w:val="24"/>
        </w:rPr>
        <w:t>ct evidence of this is lacking.</w:t>
      </w:r>
    </w:p>
    <w:p w:rsidR="00BA100E" w:rsidRPr="00A25920" w:rsidRDefault="001F0141" w:rsidP="00C2554C">
      <w:pPr>
        <w:autoSpaceDE w:val="0"/>
        <w:autoSpaceDN w:val="0"/>
        <w:adjustRightInd w:val="0"/>
        <w:snapToGrid w:val="0"/>
        <w:spacing w:after="0" w:line="360" w:lineRule="auto"/>
        <w:ind w:firstLineChars="100" w:firstLine="240"/>
        <w:jc w:val="both"/>
        <w:rPr>
          <w:rFonts w:ascii="Book Antiqua" w:hAnsi="Book Antiqua" w:cs="Times New Roman"/>
          <w:sz w:val="24"/>
          <w:szCs w:val="24"/>
        </w:rPr>
      </w:pPr>
      <w:r w:rsidRPr="00A25920">
        <w:rPr>
          <w:rFonts w:ascii="Book Antiqua" w:hAnsi="Book Antiqua" w:cs="Times New Roman"/>
          <w:sz w:val="24"/>
          <w:szCs w:val="24"/>
        </w:rPr>
        <w:t>COX-2 catalyzes the conversion of arachidonic acid to prostaglandin E2, which promotes progression of various types of tumors by binding to G-protein-coupled EP1 receptor</w:t>
      </w:r>
      <w:r w:rsidR="005E4B4C" w:rsidRPr="00A25920">
        <w:rPr>
          <w:rFonts w:ascii="Book Antiqua" w:hAnsi="Book Antiqua" w:cs="Times New Roman"/>
          <w:sz w:val="24"/>
          <w:szCs w:val="24"/>
        </w:rPr>
        <w:t xml:space="preserve">. This led us to wonder whether </w:t>
      </w:r>
      <w:r w:rsidR="00627E9E" w:rsidRPr="00A25920">
        <w:rPr>
          <w:rFonts w:ascii="Book Antiqua" w:hAnsi="Book Antiqua" w:cs="Times New Roman"/>
          <w:sz w:val="24"/>
          <w:szCs w:val="24"/>
        </w:rPr>
        <w:t>EP</w:t>
      </w:r>
      <w:r w:rsidR="00627E9E" w:rsidRPr="00A25920">
        <w:rPr>
          <w:rFonts w:ascii="Book Antiqua" w:hAnsi="Book Antiqua" w:cs="Times New Roman"/>
          <w:sz w:val="24"/>
          <w:szCs w:val="24"/>
          <w:vertAlign w:val="subscript"/>
        </w:rPr>
        <w:t>1</w:t>
      </w:r>
      <w:r w:rsidR="005E4B4C" w:rsidRPr="00A25920">
        <w:rPr>
          <w:rFonts w:ascii="Book Antiqua" w:hAnsi="Book Antiqua" w:cs="Times New Roman"/>
          <w:sz w:val="24"/>
          <w:szCs w:val="24"/>
        </w:rPr>
        <w:t xml:space="preserve"> receptor expression might correlate with HCC progression and might even serve as a prognostic indicator of survival. In fact, in a mouse model of chemically induced colon cancer, administration of selective </w:t>
      </w:r>
      <w:r w:rsidR="00627E9E" w:rsidRPr="00A25920">
        <w:rPr>
          <w:rFonts w:ascii="Book Antiqua" w:hAnsi="Book Antiqua" w:cs="Times New Roman"/>
          <w:sz w:val="24"/>
          <w:szCs w:val="24"/>
        </w:rPr>
        <w:t>EP</w:t>
      </w:r>
      <w:r w:rsidR="00627E9E" w:rsidRPr="00A25920">
        <w:rPr>
          <w:rFonts w:ascii="Book Antiqua" w:hAnsi="Book Antiqua" w:cs="Times New Roman"/>
          <w:sz w:val="24"/>
          <w:szCs w:val="24"/>
          <w:vertAlign w:val="subscript"/>
        </w:rPr>
        <w:t>1</w:t>
      </w:r>
      <w:r w:rsidR="005E4B4C" w:rsidRPr="00A25920">
        <w:rPr>
          <w:rFonts w:ascii="Book Antiqua" w:hAnsi="Book Antiqua" w:cs="Times New Roman"/>
          <w:sz w:val="24"/>
          <w:szCs w:val="24"/>
        </w:rPr>
        <w:t xml:space="preserve"> receptor antagonists or knockout of the </w:t>
      </w:r>
      <w:r w:rsidR="00627E9E" w:rsidRPr="00A25920">
        <w:rPr>
          <w:rFonts w:ascii="Book Antiqua" w:hAnsi="Book Antiqua" w:cs="Times New Roman"/>
          <w:sz w:val="24"/>
          <w:szCs w:val="24"/>
        </w:rPr>
        <w:t>EP</w:t>
      </w:r>
      <w:r w:rsidR="00627E9E" w:rsidRPr="00A25920">
        <w:rPr>
          <w:rFonts w:ascii="Book Antiqua" w:hAnsi="Book Antiqua" w:cs="Times New Roman"/>
          <w:sz w:val="24"/>
          <w:szCs w:val="24"/>
          <w:vertAlign w:val="subscript"/>
        </w:rPr>
        <w:t>1</w:t>
      </w:r>
      <w:r w:rsidR="005E4B4C" w:rsidRPr="00A25920">
        <w:rPr>
          <w:rFonts w:ascii="Book Antiqua" w:hAnsi="Book Antiqua" w:cs="Times New Roman"/>
          <w:sz w:val="24"/>
          <w:szCs w:val="24"/>
        </w:rPr>
        <w:t xml:space="preserve"> receptor gene led to nearly 60% fewer precancerous lesions and lower overall colon cancer incidence</w:t>
      </w:r>
      <w:r w:rsidR="00033766" w:rsidRPr="00A25920">
        <w:rPr>
          <w:rFonts w:ascii="Book Antiqua" w:hAnsi="Book Antiqua" w:cs="Times New Roman"/>
          <w:sz w:val="24"/>
          <w:szCs w:val="24"/>
        </w:rPr>
        <w:fldChar w:fldCharType="begin"/>
      </w:r>
      <w:r w:rsidR="00033766" w:rsidRPr="00A25920">
        <w:rPr>
          <w:rFonts w:ascii="Book Antiqua" w:hAnsi="Book Antiqua" w:cs="Times New Roman"/>
          <w:sz w:val="24"/>
          <w:szCs w:val="24"/>
        </w:rPr>
        <w:instrText xml:space="preserve"> ADDIN NE.Ref.{9F83A705-93EA-4C50-9E43-0DA70833D8D5}</w:instrText>
      </w:r>
      <w:r w:rsidR="00033766" w:rsidRPr="00A25920">
        <w:rPr>
          <w:rFonts w:ascii="Book Antiqua" w:hAnsi="Book Antiqua" w:cs="Times New Roman"/>
          <w:sz w:val="24"/>
          <w:szCs w:val="24"/>
        </w:rPr>
        <w:fldChar w:fldCharType="separate"/>
      </w:r>
      <w:r w:rsidR="0040608A" w:rsidRPr="00A25920">
        <w:rPr>
          <w:rFonts w:ascii="Book Antiqua" w:hAnsi="Book Antiqua" w:cs="Book Antiqua"/>
          <w:sz w:val="24"/>
          <w:szCs w:val="24"/>
          <w:vertAlign w:val="superscript"/>
        </w:rPr>
        <w:t>[20,</w:t>
      </w:r>
      <w:r w:rsidR="00462A3E" w:rsidRPr="00A25920">
        <w:rPr>
          <w:rFonts w:ascii="Book Antiqua" w:hAnsi="Book Antiqua" w:cs="Book Antiqua"/>
          <w:sz w:val="24"/>
          <w:szCs w:val="24"/>
          <w:vertAlign w:val="superscript"/>
        </w:rPr>
        <w:t>21]</w:t>
      </w:r>
      <w:r w:rsidR="00033766" w:rsidRPr="00A25920">
        <w:rPr>
          <w:rFonts w:ascii="Book Antiqua" w:hAnsi="Book Antiqua" w:cs="Times New Roman"/>
          <w:sz w:val="24"/>
          <w:szCs w:val="24"/>
        </w:rPr>
        <w:fldChar w:fldCharType="end"/>
      </w:r>
      <w:r w:rsidR="005E4B4C" w:rsidRPr="00A25920">
        <w:rPr>
          <w:rFonts w:ascii="Book Antiqua" w:hAnsi="Book Antiqua" w:cs="Times New Roman"/>
          <w:sz w:val="24"/>
          <w:szCs w:val="24"/>
        </w:rPr>
        <w:t xml:space="preserve">. </w:t>
      </w:r>
      <w:r w:rsidR="00627E9E" w:rsidRPr="00A25920">
        <w:rPr>
          <w:rFonts w:ascii="Book Antiqua" w:hAnsi="Book Antiqua" w:cs="Times New Roman"/>
          <w:sz w:val="24"/>
          <w:szCs w:val="24"/>
        </w:rPr>
        <w:t>EP</w:t>
      </w:r>
      <w:r w:rsidR="00627E9E" w:rsidRPr="00A25920">
        <w:rPr>
          <w:rFonts w:ascii="Book Antiqua" w:hAnsi="Book Antiqua" w:cs="Times New Roman"/>
          <w:sz w:val="24"/>
          <w:szCs w:val="24"/>
          <w:vertAlign w:val="subscript"/>
        </w:rPr>
        <w:t>1</w:t>
      </w:r>
      <w:r w:rsidR="005E4B4C" w:rsidRPr="00A25920">
        <w:rPr>
          <w:rFonts w:ascii="Book Antiqua" w:hAnsi="Book Antiqua" w:cs="Times New Roman"/>
          <w:sz w:val="24"/>
          <w:szCs w:val="24"/>
        </w:rPr>
        <w:t xml:space="preserve"> receptor antagonists have also been reported to block the progression of other types of tumor</w:t>
      </w:r>
      <w:r w:rsidR="00033766" w:rsidRPr="00A25920">
        <w:rPr>
          <w:rFonts w:ascii="Book Antiqua" w:hAnsi="Book Antiqua" w:cs="Times New Roman"/>
          <w:sz w:val="24"/>
          <w:szCs w:val="24"/>
        </w:rPr>
        <w:fldChar w:fldCharType="begin"/>
      </w:r>
      <w:r w:rsidR="00033766" w:rsidRPr="00A25920">
        <w:rPr>
          <w:rFonts w:ascii="Book Antiqua" w:hAnsi="Book Antiqua" w:cs="Times New Roman"/>
          <w:sz w:val="24"/>
          <w:szCs w:val="24"/>
        </w:rPr>
        <w:instrText xml:space="preserve"> ADDIN NE.Ref.{E46F43B0-552C-40FB-A641-279EBA8103BE}</w:instrText>
      </w:r>
      <w:r w:rsidR="00033766" w:rsidRPr="00A25920">
        <w:rPr>
          <w:rFonts w:ascii="Book Antiqua" w:hAnsi="Book Antiqua" w:cs="Times New Roman"/>
          <w:sz w:val="24"/>
          <w:szCs w:val="24"/>
        </w:rPr>
        <w:fldChar w:fldCharType="separate"/>
      </w:r>
      <w:r w:rsidR="0040608A" w:rsidRPr="00A25920">
        <w:rPr>
          <w:rFonts w:ascii="Book Antiqua" w:hAnsi="Book Antiqua" w:cs="Book Antiqua"/>
          <w:sz w:val="24"/>
          <w:szCs w:val="24"/>
          <w:vertAlign w:val="superscript"/>
        </w:rPr>
        <w:t>[22,</w:t>
      </w:r>
      <w:r w:rsidR="00462A3E" w:rsidRPr="00A25920">
        <w:rPr>
          <w:rFonts w:ascii="Book Antiqua" w:hAnsi="Book Antiqua" w:cs="Book Antiqua"/>
          <w:sz w:val="24"/>
          <w:szCs w:val="24"/>
          <w:vertAlign w:val="superscript"/>
        </w:rPr>
        <w:t>23]</w:t>
      </w:r>
      <w:r w:rsidR="00033766" w:rsidRPr="00A25920">
        <w:rPr>
          <w:rFonts w:ascii="Book Antiqua" w:hAnsi="Book Antiqua" w:cs="Times New Roman"/>
          <w:sz w:val="24"/>
          <w:szCs w:val="24"/>
        </w:rPr>
        <w:fldChar w:fldCharType="end"/>
      </w:r>
      <w:r w:rsidR="005E4B4C" w:rsidRPr="00A25920">
        <w:rPr>
          <w:rFonts w:ascii="Book Antiqua" w:hAnsi="Book Antiqua" w:cs="Times New Roman"/>
          <w:sz w:val="24"/>
          <w:szCs w:val="24"/>
        </w:rPr>
        <w:t>, including HCC</w:t>
      </w:r>
      <w:r w:rsidR="00033766" w:rsidRPr="00A25920">
        <w:rPr>
          <w:rFonts w:ascii="Book Antiqua" w:hAnsi="Book Antiqua" w:cs="Times New Roman"/>
          <w:sz w:val="24"/>
          <w:szCs w:val="24"/>
        </w:rPr>
        <w:fldChar w:fldCharType="begin"/>
      </w:r>
      <w:r w:rsidR="00033766" w:rsidRPr="00A25920">
        <w:rPr>
          <w:rFonts w:ascii="Book Antiqua" w:hAnsi="Book Antiqua" w:cs="Times New Roman"/>
          <w:sz w:val="24"/>
          <w:szCs w:val="24"/>
        </w:rPr>
        <w:instrText xml:space="preserve"> ADDIN NE.Ref.{9C16045C-D2CD-429A-9E23-BCD7F157FB5F}</w:instrText>
      </w:r>
      <w:r w:rsidR="00033766" w:rsidRPr="00A25920">
        <w:rPr>
          <w:rFonts w:ascii="Book Antiqua" w:hAnsi="Book Antiqua" w:cs="Times New Roman"/>
          <w:sz w:val="24"/>
          <w:szCs w:val="24"/>
        </w:rPr>
        <w:fldChar w:fldCharType="separate"/>
      </w:r>
      <w:r w:rsidR="0040608A" w:rsidRPr="00A25920">
        <w:rPr>
          <w:rFonts w:ascii="Book Antiqua" w:hAnsi="Book Antiqua" w:cs="Book Antiqua"/>
          <w:sz w:val="24"/>
          <w:szCs w:val="24"/>
          <w:vertAlign w:val="superscript"/>
        </w:rPr>
        <w:t>[18,</w:t>
      </w:r>
      <w:r w:rsidR="00462A3E" w:rsidRPr="00A25920">
        <w:rPr>
          <w:rFonts w:ascii="Book Antiqua" w:hAnsi="Book Antiqua" w:cs="Book Antiqua"/>
          <w:sz w:val="24"/>
          <w:szCs w:val="24"/>
          <w:vertAlign w:val="superscript"/>
        </w:rPr>
        <w:t>24]</w:t>
      </w:r>
      <w:r w:rsidR="00033766" w:rsidRPr="00A25920">
        <w:rPr>
          <w:rFonts w:ascii="Book Antiqua" w:hAnsi="Book Antiqua" w:cs="Times New Roman"/>
          <w:sz w:val="24"/>
          <w:szCs w:val="24"/>
        </w:rPr>
        <w:fldChar w:fldCharType="end"/>
      </w:r>
      <w:r w:rsidR="005E4B4C" w:rsidRPr="00A25920">
        <w:rPr>
          <w:rFonts w:ascii="Book Antiqua" w:hAnsi="Book Antiqua" w:cs="Times New Roman"/>
          <w:sz w:val="24"/>
          <w:szCs w:val="24"/>
        </w:rPr>
        <w:t>.</w:t>
      </w:r>
    </w:p>
    <w:p w:rsidR="00F03234" w:rsidRPr="00A25920" w:rsidRDefault="00BE2DB1" w:rsidP="00C2554C">
      <w:pPr>
        <w:autoSpaceDE w:val="0"/>
        <w:autoSpaceDN w:val="0"/>
        <w:adjustRightInd w:val="0"/>
        <w:snapToGrid w:val="0"/>
        <w:spacing w:after="0" w:line="360" w:lineRule="auto"/>
        <w:ind w:firstLineChars="100" w:firstLine="240"/>
        <w:jc w:val="both"/>
        <w:rPr>
          <w:rFonts w:ascii="Book Antiqua" w:hAnsi="Book Antiqua" w:cs="Times New Roman"/>
          <w:sz w:val="24"/>
          <w:szCs w:val="24"/>
        </w:rPr>
      </w:pPr>
      <w:r w:rsidRPr="00A25920">
        <w:rPr>
          <w:rFonts w:ascii="Book Antiqua" w:hAnsi="Book Antiqua" w:cs="Times New Roman"/>
          <w:sz w:val="24"/>
          <w:szCs w:val="24"/>
        </w:rPr>
        <w:t xml:space="preserve">To begin to clarify the potential roles of COX-2 and </w:t>
      </w:r>
      <w:r w:rsidR="00627E9E" w:rsidRPr="00A25920">
        <w:rPr>
          <w:rFonts w:ascii="Book Antiqua" w:hAnsi="Book Antiqua" w:cs="Times New Roman"/>
          <w:sz w:val="24"/>
          <w:szCs w:val="24"/>
        </w:rPr>
        <w:t>EP</w:t>
      </w:r>
      <w:r w:rsidR="00627E9E" w:rsidRPr="00A25920">
        <w:rPr>
          <w:rFonts w:ascii="Book Antiqua" w:hAnsi="Book Antiqua" w:cs="Times New Roman"/>
          <w:sz w:val="24"/>
          <w:szCs w:val="24"/>
          <w:vertAlign w:val="subscript"/>
        </w:rPr>
        <w:t>1</w:t>
      </w:r>
      <w:r w:rsidRPr="00A25920">
        <w:rPr>
          <w:rFonts w:ascii="Book Antiqua" w:hAnsi="Book Antiqua" w:cs="Times New Roman"/>
          <w:sz w:val="24"/>
          <w:szCs w:val="24"/>
        </w:rPr>
        <w:t xml:space="preserve"> receptor in HCC, as well as explore the potential prognostic value of </w:t>
      </w:r>
      <w:r w:rsidR="00627E9E" w:rsidRPr="00A25920">
        <w:rPr>
          <w:rFonts w:ascii="Book Antiqua" w:hAnsi="Book Antiqua" w:cs="Times New Roman"/>
          <w:sz w:val="24"/>
          <w:szCs w:val="24"/>
        </w:rPr>
        <w:t>EP</w:t>
      </w:r>
      <w:r w:rsidR="00627E9E" w:rsidRPr="00A25920">
        <w:rPr>
          <w:rFonts w:ascii="Book Antiqua" w:hAnsi="Book Antiqua" w:cs="Times New Roman"/>
          <w:sz w:val="24"/>
          <w:szCs w:val="24"/>
          <w:vertAlign w:val="subscript"/>
        </w:rPr>
        <w:t>1</w:t>
      </w:r>
      <w:r w:rsidRPr="00A25920">
        <w:rPr>
          <w:rFonts w:ascii="Book Antiqua" w:hAnsi="Book Antiqua" w:cs="Times New Roman"/>
          <w:sz w:val="24"/>
          <w:szCs w:val="24"/>
        </w:rPr>
        <w:t xml:space="preserve"> receptor expression, we </w:t>
      </w:r>
      <w:r w:rsidRPr="00A25920">
        <w:rPr>
          <w:rFonts w:ascii="Book Antiqua" w:hAnsi="Book Antiqua" w:cs="Times New Roman"/>
          <w:sz w:val="24"/>
          <w:szCs w:val="24"/>
        </w:rPr>
        <w:lastRenderedPageBreak/>
        <w:t>examined relative expression levels in tissues taken from HCC patients treated at our hospital, and we correla</w:t>
      </w:r>
      <w:r w:rsidR="00C2554C" w:rsidRPr="00A25920">
        <w:rPr>
          <w:rFonts w:ascii="Book Antiqua" w:hAnsi="Book Antiqua" w:cs="Times New Roman"/>
          <w:sz w:val="24"/>
          <w:szCs w:val="24"/>
        </w:rPr>
        <w:t>ted these levels with survival.</w:t>
      </w:r>
    </w:p>
    <w:p w:rsidR="00C2554C" w:rsidRPr="00A25920" w:rsidRDefault="00C2554C" w:rsidP="00225036">
      <w:pPr>
        <w:autoSpaceDE w:val="0"/>
        <w:autoSpaceDN w:val="0"/>
        <w:adjustRightInd w:val="0"/>
        <w:snapToGrid w:val="0"/>
        <w:spacing w:after="0" w:line="360" w:lineRule="auto"/>
        <w:jc w:val="both"/>
        <w:rPr>
          <w:rFonts w:ascii="Book Antiqua" w:hAnsi="Book Antiqua" w:cs="Times New Roman"/>
          <w:b/>
          <w:sz w:val="24"/>
          <w:szCs w:val="24"/>
        </w:rPr>
      </w:pPr>
    </w:p>
    <w:p w:rsidR="002B08AA" w:rsidRPr="00A25920" w:rsidRDefault="002B08AA" w:rsidP="00225036">
      <w:pPr>
        <w:autoSpaceDE w:val="0"/>
        <w:autoSpaceDN w:val="0"/>
        <w:adjustRightInd w:val="0"/>
        <w:snapToGrid w:val="0"/>
        <w:spacing w:after="0" w:line="360" w:lineRule="auto"/>
        <w:jc w:val="both"/>
        <w:rPr>
          <w:rFonts w:ascii="Book Antiqua" w:hAnsi="Book Antiqua" w:cs="Times New Roman"/>
          <w:b/>
          <w:sz w:val="24"/>
          <w:szCs w:val="24"/>
        </w:rPr>
      </w:pPr>
      <w:r w:rsidRPr="00A25920">
        <w:rPr>
          <w:rFonts w:ascii="Book Antiqua" w:hAnsi="Book Antiqua" w:cs="Times New Roman"/>
          <w:b/>
          <w:sz w:val="24"/>
          <w:szCs w:val="24"/>
        </w:rPr>
        <w:t>MATERIALS AND METHODS</w:t>
      </w:r>
    </w:p>
    <w:p w:rsidR="00F03234" w:rsidRPr="00A25920" w:rsidRDefault="00F03234" w:rsidP="00225036">
      <w:pPr>
        <w:autoSpaceDE w:val="0"/>
        <w:autoSpaceDN w:val="0"/>
        <w:adjustRightInd w:val="0"/>
        <w:snapToGrid w:val="0"/>
        <w:spacing w:after="0" w:line="360" w:lineRule="auto"/>
        <w:jc w:val="both"/>
        <w:rPr>
          <w:rFonts w:ascii="Book Antiqua" w:hAnsi="Book Antiqua" w:cs="Times New Roman"/>
          <w:b/>
          <w:sz w:val="24"/>
          <w:szCs w:val="24"/>
        </w:rPr>
      </w:pPr>
      <w:r w:rsidRPr="00A25920">
        <w:rPr>
          <w:rFonts w:ascii="Book Antiqua" w:hAnsi="Book Antiqua" w:cs="Times New Roman"/>
          <w:sz w:val="24"/>
          <w:szCs w:val="24"/>
        </w:rPr>
        <w:t xml:space="preserve">This research was approved by the Ethics Committee of the Tumor Hospital of Guangxi Medical University, and </w:t>
      </w:r>
      <w:r w:rsidR="00470FDE" w:rsidRPr="00A25920">
        <w:rPr>
          <w:rFonts w:ascii="Book Antiqua" w:hAnsi="Book Antiqua" w:cs="Times New Roman"/>
          <w:sz w:val="24"/>
          <w:szCs w:val="24"/>
        </w:rPr>
        <w:t>patients provided informed consent for their data and tissue to be used for research purposes when they were admitted for treatment at our hospital</w:t>
      </w:r>
      <w:r w:rsidRPr="00A25920">
        <w:rPr>
          <w:rFonts w:ascii="Book Antiqua" w:hAnsi="Book Antiqua" w:cs="Times New Roman"/>
          <w:sz w:val="24"/>
          <w:szCs w:val="24"/>
        </w:rPr>
        <w:t>.</w:t>
      </w:r>
    </w:p>
    <w:p w:rsidR="00C2554C" w:rsidRPr="00A25920" w:rsidRDefault="00C2554C" w:rsidP="00225036">
      <w:pPr>
        <w:autoSpaceDE w:val="0"/>
        <w:autoSpaceDN w:val="0"/>
        <w:adjustRightInd w:val="0"/>
        <w:snapToGrid w:val="0"/>
        <w:spacing w:after="0" w:line="360" w:lineRule="auto"/>
        <w:jc w:val="both"/>
        <w:rPr>
          <w:rFonts w:ascii="Book Antiqua" w:hAnsi="Book Antiqua" w:cs="Times New Roman"/>
          <w:b/>
          <w:i/>
          <w:sz w:val="24"/>
          <w:szCs w:val="24"/>
        </w:rPr>
      </w:pPr>
    </w:p>
    <w:p w:rsidR="00F03234" w:rsidRPr="00A25920" w:rsidRDefault="00F03234" w:rsidP="00225036">
      <w:pPr>
        <w:autoSpaceDE w:val="0"/>
        <w:autoSpaceDN w:val="0"/>
        <w:adjustRightInd w:val="0"/>
        <w:snapToGrid w:val="0"/>
        <w:spacing w:after="0" w:line="360" w:lineRule="auto"/>
        <w:jc w:val="both"/>
        <w:rPr>
          <w:rFonts w:ascii="Book Antiqua" w:hAnsi="Book Antiqua" w:cs="Times New Roman"/>
          <w:b/>
          <w:i/>
          <w:sz w:val="24"/>
          <w:szCs w:val="24"/>
        </w:rPr>
      </w:pPr>
      <w:r w:rsidRPr="00A25920">
        <w:rPr>
          <w:rFonts w:ascii="Book Antiqua" w:hAnsi="Book Antiqua" w:cs="Times New Roman"/>
          <w:b/>
          <w:i/>
          <w:sz w:val="24"/>
          <w:szCs w:val="24"/>
        </w:rPr>
        <w:t>Patient</w:t>
      </w:r>
      <w:r w:rsidR="00C75396" w:rsidRPr="00A25920">
        <w:rPr>
          <w:rFonts w:ascii="Book Antiqua" w:hAnsi="Book Antiqua" w:cs="Times New Roman"/>
          <w:b/>
          <w:i/>
          <w:sz w:val="24"/>
          <w:szCs w:val="24"/>
        </w:rPr>
        <w:t>s</w:t>
      </w:r>
    </w:p>
    <w:p w:rsidR="00D0073F" w:rsidRPr="00A25920" w:rsidRDefault="00D0073F" w:rsidP="00225036">
      <w:pPr>
        <w:autoSpaceDE w:val="0"/>
        <w:autoSpaceDN w:val="0"/>
        <w:adjustRightInd w:val="0"/>
        <w:snapToGrid w:val="0"/>
        <w:spacing w:after="0" w:line="360" w:lineRule="auto"/>
        <w:jc w:val="both"/>
        <w:rPr>
          <w:rFonts w:ascii="Book Antiqua" w:hAnsi="Book Antiqua" w:cs="Times New Roman"/>
          <w:sz w:val="24"/>
          <w:szCs w:val="24"/>
        </w:rPr>
      </w:pPr>
      <w:r w:rsidRPr="00A25920">
        <w:rPr>
          <w:rFonts w:ascii="Book Antiqua" w:hAnsi="Book Antiqua" w:cs="Times New Roman"/>
          <w:sz w:val="24"/>
          <w:szCs w:val="24"/>
        </w:rPr>
        <w:t xml:space="preserve">This study involved retrospective analysis of HCC patients treated by curative hepatectomy at </w:t>
      </w:r>
      <w:r w:rsidR="0078054C" w:rsidRPr="00A25920">
        <w:rPr>
          <w:rFonts w:ascii="Book Antiqua" w:hAnsi="Book Antiqua" w:cs="Times New Roman"/>
          <w:sz w:val="24"/>
          <w:szCs w:val="24"/>
        </w:rPr>
        <w:t xml:space="preserve">Tumor Hospital of Guangxi Medical University </w:t>
      </w:r>
      <w:r w:rsidRPr="00A25920">
        <w:rPr>
          <w:rFonts w:ascii="Book Antiqua" w:hAnsi="Book Antiqua" w:cs="Times New Roman"/>
          <w:sz w:val="24"/>
          <w:szCs w:val="24"/>
        </w:rPr>
        <w:t xml:space="preserve">between May 2008 and May 2011. To be included in our study, patients needed to </w:t>
      </w:r>
      <w:bookmarkStart w:id="33" w:name="OLE_LINK15"/>
      <w:r w:rsidRPr="00A25920">
        <w:rPr>
          <w:rFonts w:ascii="Book Antiqua" w:hAnsi="Book Antiqua" w:cs="Times New Roman"/>
          <w:sz w:val="24"/>
          <w:szCs w:val="24"/>
        </w:rPr>
        <w:t>have pathology-confirmed HCC and no history of antitumor therapies before hepatic resection.</w:t>
      </w:r>
      <w:bookmarkEnd w:id="33"/>
      <w:r w:rsidRPr="00A25920">
        <w:rPr>
          <w:rFonts w:ascii="Book Antiqua" w:hAnsi="Book Antiqua" w:cs="Times New Roman"/>
          <w:sz w:val="24"/>
          <w:szCs w:val="24"/>
        </w:rPr>
        <w:t xml:space="preserve"> They also </w:t>
      </w:r>
      <w:r w:rsidR="00984ADE" w:rsidRPr="00A25920">
        <w:rPr>
          <w:rFonts w:ascii="Book Antiqua" w:hAnsi="Book Antiqua" w:cs="Times New Roman"/>
          <w:sz w:val="24"/>
          <w:szCs w:val="24"/>
        </w:rPr>
        <w:t>needed to satisfy t</w:t>
      </w:r>
      <w:r w:rsidRPr="00A25920">
        <w:rPr>
          <w:rFonts w:ascii="Book Antiqua" w:hAnsi="Book Antiqua" w:cs="Times New Roman"/>
          <w:sz w:val="24"/>
          <w:szCs w:val="24"/>
        </w:rPr>
        <w:t>he following curative hepatectomy criteria: (1) the tumor removed by hepatectomy was solitary; (2) the surgery margin was greater than 1 cm; (3) there was no residual tumor</w:t>
      </w:r>
      <w:r w:rsidR="00033766" w:rsidRPr="00A25920">
        <w:rPr>
          <w:rFonts w:ascii="Book Antiqua" w:hAnsi="Book Antiqua" w:cs="Times New Roman"/>
          <w:sz w:val="24"/>
          <w:szCs w:val="24"/>
        </w:rPr>
        <w:fldChar w:fldCharType="begin"/>
      </w:r>
      <w:r w:rsidR="00033766" w:rsidRPr="00A25920">
        <w:rPr>
          <w:rFonts w:ascii="Book Antiqua" w:hAnsi="Book Antiqua" w:cs="Times New Roman"/>
          <w:sz w:val="24"/>
          <w:szCs w:val="24"/>
        </w:rPr>
        <w:instrText xml:space="preserve"> ADDIN NE.Ref.{A4EDAA57-63F6-4A60-92B7-09AEBEB9DBB9}</w:instrText>
      </w:r>
      <w:r w:rsidR="00033766" w:rsidRPr="00A25920">
        <w:rPr>
          <w:rFonts w:ascii="Book Antiqua" w:hAnsi="Book Antiqua" w:cs="Times New Roman"/>
          <w:sz w:val="24"/>
          <w:szCs w:val="24"/>
        </w:rPr>
        <w:fldChar w:fldCharType="separate"/>
      </w:r>
      <w:r w:rsidR="00462A3E" w:rsidRPr="00A25920">
        <w:rPr>
          <w:rFonts w:ascii="Book Antiqua" w:hAnsi="Book Antiqua" w:cs="Book Antiqua"/>
          <w:sz w:val="24"/>
          <w:szCs w:val="24"/>
          <w:vertAlign w:val="superscript"/>
        </w:rPr>
        <w:t>[25]</w:t>
      </w:r>
      <w:r w:rsidR="00033766" w:rsidRPr="00A25920">
        <w:rPr>
          <w:rFonts w:ascii="Book Antiqua" w:hAnsi="Book Antiqua" w:cs="Times New Roman"/>
          <w:sz w:val="24"/>
          <w:szCs w:val="24"/>
        </w:rPr>
        <w:fldChar w:fldCharType="end"/>
      </w:r>
      <w:r w:rsidRPr="00A25920">
        <w:rPr>
          <w:rFonts w:ascii="Book Antiqua" w:hAnsi="Book Antiqua" w:cs="Times New Roman"/>
          <w:sz w:val="24"/>
          <w:szCs w:val="24"/>
        </w:rPr>
        <w:t>, portal tumor thromboses</w:t>
      </w:r>
      <w:r w:rsidR="00504E55" w:rsidRPr="00A25920">
        <w:rPr>
          <w:rFonts w:ascii="Book Antiqua" w:hAnsi="Book Antiqua" w:cs="Times New Roman"/>
          <w:sz w:val="24"/>
          <w:szCs w:val="24"/>
        </w:rPr>
        <w:fldChar w:fldCharType="begin"/>
      </w:r>
      <w:r w:rsidR="00504E55" w:rsidRPr="00A25920">
        <w:rPr>
          <w:rFonts w:ascii="Book Antiqua" w:hAnsi="Book Antiqua" w:cs="Times New Roman"/>
          <w:sz w:val="24"/>
          <w:szCs w:val="24"/>
        </w:rPr>
        <w:instrText xml:space="preserve"> ADDIN NE.Ref.{12108727-77B2-461D-9A33-0CF64D8B5E82}</w:instrText>
      </w:r>
      <w:r w:rsidR="00504E55" w:rsidRPr="00A25920">
        <w:rPr>
          <w:rFonts w:ascii="Book Antiqua" w:hAnsi="Book Antiqua" w:cs="Times New Roman"/>
          <w:sz w:val="24"/>
          <w:szCs w:val="24"/>
        </w:rPr>
        <w:fldChar w:fldCharType="separate"/>
      </w:r>
      <w:r w:rsidR="00462A3E" w:rsidRPr="00A25920">
        <w:rPr>
          <w:rFonts w:ascii="Book Antiqua" w:hAnsi="Book Antiqua" w:cs="Book Antiqua"/>
          <w:sz w:val="24"/>
          <w:szCs w:val="24"/>
          <w:vertAlign w:val="superscript"/>
        </w:rPr>
        <w:t>[26]</w:t>
      </w:r>
      <w:r w:rsidR="00504E55" w:rsidRPr="00A25920">
        <w:rPr>
          <w:rFonts w:ascii="Book Antiqua" w:hAnsi="Book Antiqua" w:cs="Times New Roman"/>
          <w:sz w:val="24"/>
          <w:szCs w:val="24"/>
        </w:rPr>
        <w:fldChar w:fldCharType="end"/>
      </w:r>
      <w:r w:rsidRPr="00A25920">
        <w:rPr>
          <w:rFonts w:ascii="Book Antiqua" w:hAnsi="Book Antiqua" w:cs="Times New Roman"/>
          <w:sz w:val="24"/>
          <w:szCs w:val="24"/>
        </w:rPr>
        <w:t xml:space="preserve"> or extrahepatic metastases based on post-surgical imaging; and (4) patients with </w:t>
      </w:r>
      <w:r w:rsidR="00CD111F" w:rsidRPr="00A25920">
        <w:rPr>
          <w:rFonts w:ascii="Book Antiqua" w:hAnsi="Book Antiqua" w:cs="Times New Roman" w:hint="eastAsia"/>
          <w:sz w:val="24"/>
          <w:szCs w:val="24"/>
        </w:rPr>
        <w:t xml:space="preserve">high </w:t>
      </w:r>
      <w:r w:rsidRPr="00A25920">
        <w:rPr>
          <w:rFonts w:ascii="Book Antiqua" w:hAnsi="Book Antiqua" w:cs="Times New Roman"/>
          <w:sz w:val="24"/>
          <w:szCs w:val="24"/>
        </w:rPr>
        <w:t xml:space="preserve">levels of alpha-fetoprotein (AFP) </w:t>
      </w:r>
      <w:r w:rsidR="00CD111F" w:rsidRPr="00A25920">
        <w:rPr>
          <w:rFonts w:ascii="Book Antiqua" w:hAnsi="Book Antiqua" w:cs="Times New Roman" w:hint="eastAsia"/>
          <w:sz w:val="24"/>
          <w:szCs w:val="24"/>
        </w:rPr>
        <w:t xml:space="preserve">before surgery </w:t>
      </w:r>
      <w:r w:rsidRPr="00A25920">
        <w:rPr>
          <w:rFonts w:ascii="Book Antiqua" w:hAnsi="Book Antiqua" w:cs="Times New Roman"/>
          <w:sz w:val="24"/>
          <w:szCs w:val="24"/>
        </w:rPr>
        <w:t>showed normal levels within two months after surgery. Patients were excluded from the study if they had multiple tumors, extrahepatic metastases or macroscopic intrahepatic metastases adjacent to the primary tumor.</w:t>
      </w:r>
    </w:p>
    <w:p w:rsidR="00C2554C" w:rsidRPr="00A25920" w:rsidRDefault="00C2554C" w:rsidP="00225036">
      <w:pPr>
        <w:autoSpaceDE w:val="0"/>
        <w:autoSpaceDN w:val="0"/>
        <w:adjustRightInd w:val="0"/>
        <w:snapToGrid w:val="0"/>
        <w:spacing w:after="0" w:line="360" w:lineRule="auto"/>
        <w:jc w:val="both"/>
        <w:rPr>
          <w:rFonts w:ascii="Book Antiqua" w:hAnsi="Book Antiqua" w:cs="Times New Roman"/>
          <w:b/>
          <w:i/>
          <w:sz w:val="24"/>
          <w:szCs w:val="24"/>
        </w:rPr>
      </w:pPr>
    </w:p>
    <w:p w:rsidR="00F03234" w:rsidRPr="00A25920" w:rsidRDefault="00F03234" w:rsidP="00225036">
      <w:pPr>
        <w:autoSpaceDE w:val="0"/>
        <w:autoSpaceDN w:val="0"/>
        <w:adjustRightInd w:val="0"/>
        <w:snapToGrid w:val="0"/>
        <w:spacing w:after="0" w:line="360" w:lineRule="auto"/>
        <w:jc w:val="both"/>
        <w:rPr>
          <w:rFonts w:ascii="Book Antiqua" w:hAnsi="Book Antiqua" w:cs="Times New Roman"/>
          <w:b/>
          <w:i/>
          <w:sz w:val="24"/>
          <w:szCs w:val="24"/>
        </w:rPr>
      </w:pPr>
      <w:r w:rsidRPr="00A25920">
        <w:rPr>
          <w:rFonts w:ascii="Book Antiqua" w:hAnsi="Book Antiqua" w:cs="Times New Roman"/>
          <w:b/>
          <w:i/>
          <w:sz w:val="24"/>
          <w:szCs w:val="24"/>
        </w:rPr>
        <w:t>Follow-up</w:t>
      </w:r>
    </w:p>
    <w:p w:rsidR="00C2554C" w:rsidRPr="00A25920" w:rsidRDefault="00CD3177" w:rsidP="00225036">
      <w:pPr>
        <w:autoSpaceDE w:val="0"/>
        <w:autoSpaceDN w:val="0"/>
        <w:adjustRightInd w:val="0"/>
        <w:snapToGrid w:val="0"/>
        <w:spacing w:after="0" w:line="360" w:lineRule="auto"/>
        <w:jc w:val="both"/>
        <w:rPr>
          <w:rFonts w:ascii="Book Antiqua" w:hAnsi="Book Antiqua" w:cs="Times New Roman"/>
          <w:b/>
          <w:i/>
          <w:sz w:val="24"/>
          <w:szCs w:val="24"/>
        </w:rPr>
      </w:pPr>
      <w:r w:rsidRPr="00A25920">
        <w:rPr>
          <w:rFonts w:ascii="Book Antiqua" w:hAnsi="Book Antiqua" w:cs="Times New Roman"/>
          <w:sz w:val="24"/>
          <w:szCs w:val="24"/>
        </w:rPr>
        <w:t xml:space="preserve">All </w:t>
      </w:r>
      <w:r w:rsidR="007D38E0" w:rsidRPr="00A25920">
        <w:rPr>
          <w:rFonts w:ascii="Book Antiqua" w:hAnsi="Book Antiqua" w:cs="Times New Roman" w:hint="eastAsia"/>
          <w:sz w:val="24"/>
          <w:szCs w:val="24"/>
        </w:rPr>
        <w:t xml:space="preserve">HCC </w:t>
      </w:r>
      <w:r w:rsidRPr="00A25920">
        <w:rPr>
          <w:rFonts w:ascii="Book Antiqua" w:hAnsi="Book Antiqua" w:cs="Times New Roman"/>
          <w:sz w:val="24"/>
          <w:szCs w:val="24"/>
        </w:rPr>
        <w:t xml:space="preserve">patients were followed up at 1 month after resection, then </w:t>
      </w:r>
      <w:bookmarkStart w:id="34" w:name="OLE_LINK6"/>
      <w:r w:rsidR="00BD218B" w:rsidRPr="00A25920">
        <w:rPr>
          <w:rFonts w:ascii="Book Antiqua" w:hAnsi="Book Antiqua" w:cs="Times New Roman"/>
          <w:sz w:val="24"/>
          <w:szCs w:val="24"/>
        </w:rPr>
        <w:t>at 3-month intervals</w:t>
      </w:r>
      <w:bookmarkEnd w:id="34"/>
      <w:r w:rsidR="00BD218B" w:rsidRPr="00A25920">
        <w:rPr>
          <w:rFonts w:ascii="Book Antiqua" w:hAnsi="Book Antiqua" w:cs="Times New Roman"/>
          <w:sz w:val="24"/>
          <w:szCs w:val="24"/>
        </w:rPr>
        <w:t xml:space="preserve"> in the first year</w:t>
      </w:r>
      <w:r w:rsidRPr="00A25920">
        <w:rPr>
          <w:rFonts w:ascii="Book Antiqua" w:hAnsi="Book Antiqua" w:cs="Times New Roman"/>
          <w:sz w:val="24"/>
          <w:szCs w:val="24"/>
        </w:rPr>
        <w:t>, then</w:t>
      </w:r>
      <w:r w:rsidR="007F32F5" w:rsidRPr="00A25920">
        <w:rPr>
          <w:rFonts w:ascii="Book Antiqua" w:hAnsi="Book Antiqua" w:cs="Times New Roman"/>
          <w:sz w:val="24"/>
          <w:szCs w:val="24"/>
        </w:rPr>
        <w:t xml:space="preserve"> at 3-</w:t>
      </w:r>
      <w:r w:rsidR="007F32F5" w:rsidRPr="00A25920">
        <w:rPr>
          <w:rFonts w:ascii="Book Antiqua" w:hAnsi="Book Antiqua" w:cs="Times New Roman" w:hint="eastAsia"/>
          <w:sz w:val="24"/>
          <w:szCs w:val="24"/>
        </w:rPr>
        <w:t xml:space="preserve">6 </w:t>
      </w:r>
      <w:r w:rsidR="007F32F5" w:rsidRPr="00A25920">
        <w:rPr>
          <w:rFonts w:ascii="Book Antiqua" w:hAnsi="Book Antiqua" w:cs="Times New Roman"/>
          <w:sz w:val="24"/>
          <w:szCs w:val="24"/>
        </w:rPr>
        <w:t>month intervals</w:t>
      </w:r>
      <w:r w:rsidRPr="00A25920">
        <w:rPr>
          <w:rFonts w:ascii="Book Antiqua" w:hAnsi="Book Antiqua" w:cs="Times New Roman"/>
          <w:sz w:val="24"/>
          <w:szCs w:val="24"/>
        </w:rPr>
        <w:t xml:space="preserve"> thereafter until </w:t>
      </w:r>
      <w:r w:rsidR="000E5BA3" w:rsidRPr="00A25920">
        <w:rPr>
          <w:rFonts w:ascii="Book Antiqua" w:hAnsi="Book Antiqua" w:cs="Times New Roman"/>
          <w:sz w:val="24"/>
          <w:szCs w:val="24"/>
        </w:rPr>
        <w:t>60 mo after resection or death.</w:t>
      </w:r>
      <w:r w:rsidR="000E5BA3" w:rsidRPr="00A25920">
        <w:rPr>
          <w:rFonts w:ascii="Book Antiqua" w:hAnsi="Book Antiqua" w:cs="Times New Roman" w:hint="eastAsia"/>
          <w:sz w:val="24"/>
          <w:szCs w:val="24"/>
        </w:rPr>
        <w:t xml:space="preserve"> </w:t>
      </w:r>
      <w:r w:rsidR="00A4407D" w:rsidRPr="00A25920">
        <w:rPr>
          <w:rFonts w:ascii="Book Antiqua" w:hAnsi="Book Antiqua" w:cs="Times New Roman"/>
          <w:sz w:val="24"/>
          <w:szCs w:val="24"/>
        </w:rPr>
        <w:t>During each follow-up visit,</w:t>
      </w:r>
      <w:r w:rsidR="000E5BA3" w:rsidRPr="00A25920">
        <w:rPr>
          <w:rFonts w:ascii="Book Antiqua" w:hAnsi="Book Antiqua" w:cs="Times New Roman" w:hint="eastAsia"/>
          <w:sz w:val="24"/>
          <w:szCs w:val="24"/>
        </w:rPr>
        <w:t>r</w:t>
      </w:r>
      <w:r w:rsidR="00A4407D" w:rsidRPr="00A25920">
        <w:rPr>
          <w:rFonts w:ascii="Book Antiqua" w:hAnsi="Book Antiqua" w:cs="Times New Roman"/>
          <w:sz w:val="24"/>
          <w:szCs w:val="24"/>
        </w:rPr>
        <w:t>outine</w:t>
      </w:r>
      <w:r w:rsidR="00A4407D" w:rsidRPr="00A25920">
        <w:rPr>
          <w:rFonts w:ascii="Book Antiqua" w:hAnsi="Book Antiqua" w:cs="Times New Roman" w:hint="eastAsia"/>
          <w:sz w:val="24"/>
          <w:szCs w:val="24"/>
        </w:rPr>
        <w:t xml:space="preserve"> </w:t>
      </w:r>
      <w:r w:rsidR="00A4407D" w:rsidRPr="00A25920">
        <w:rPr>
          <w:rFonts w:ascii="Book Antiqua" w:hAnsi="Book Antiqua" w:cs="Times New Roman"/>
          <w:sz w:val="24"/>
          <w:szCs w:val="24"/>
        </w:rPr>
        <w:t>investigations</w:t>
      </w:r>
      <w:r w:rsidR="00A4407D" w:rsidRPr="00A25920">
        <w:rPr>
          <w:rFonts w:ascii="Book Antiqua" w:hAnsi="Book Antiqua" w:cs="Times New Roman" w:hint="eastAsia"/>
          <w:sz w:val="24"/>
          <w:szCs w:val="24"/>
        </w:rPr>
        <w:t xml:space="preserve"> </w:t>
      </w:r>
      <w:r w:rsidR="00A4407D" w:rsidRPr="00A25920">
        <w:rPr>
          <w:rFonts w:ascii="Book Antiqua" w:hAnsi="Book Antiqua" w:cs="Times New Roman"/>
          <w:sz w:val="24"/>
          <w:szCs w:val="24"/>
        </w:rPr>
        <w:t xml:space="preserve">including </w:t>
      </w:r>
      <w:r w:rsidR="00021AA3" w:rsidRPr="00A25920">
        <w:rPr>
          <w:rFonts w:ascii="Book Antiqua" w:hAnsi="Book Antiqua" w:cs="Times New Roman" w:hint="eastAsia"/>
          <w:sz w:val="24"/>
          <w:szCs w:val="24"/>
        </w:rPr>
        <w:t>AFP</w:t>
      </w:r>
      <w:r w:rsidR="00A4407D" w:rsidRPr="00A25920">
        <w:rPr>
          <w:rFonts w:ascii="Book Antiqua" w:hAnsi="Book Antiqua" w:cs="Times New Roman"/>
          <w:sz w:val="24"/>
          <w:szCs w:val="24"/>
        </w:rPr>
        <w:t xml:space="preserve"> level, </w:t>
      </w:r>
      <w:r w:rsidR="007135C7" w:rsidRPr="00A25920">
        <w:rPr>
          <w:rFonts w:ascii="Book Antiqua" w:hAnsi="Book Antiqua" w:cs="Times New Roman"/>
          <w:sz w:val="24"/>
          <w:szCs w:val="24"/>
        </w:rPr>
        <w:t>liver function</w:t>
      </w:r>
      <w:r w:rsidR="00A4407D" w:rsidRPr="00A25920">
        <w:rPr>
          <w:rFonts w:ascii="Book Antiqua" w:hAnsi="Book Antiqua" w:cs="Times New Roman"/>
          <w:sz w:val="24"/>
          <w:szCs w:val="24"/>
        </w:rPr>
        <w:t>, chest</w:t>
      </w:r>
      <w:r w:rsidR="00A4407D" w:rsidRPr="00A25920">
        <w:rPr>
          <w:rFonts w:ascii="Book Antiqua" w:hAnsi="Book Antiqua" w:cs="Times New Roman" w:hint="eastAsia"/>
          <w:sz w:val="24"/>
          <w:szCs w:val="24"/>
        </w:rPr>
        <w:t xml:space="preserve"> </w:t>
      </w:r>
      <w:r w:rsidR="00A4407D" w:rsidRPr="00A25920">
        <w:rPr>
          <w:rFonts w:ascii="Book Antiqua" w:hAnsi="Book Antiqua" w:cs="Times New Roman"/>
          <w:sz w:val="24"/>
          <w:szCs w:val="24"/>
        </w:rPr>
        <w:t xml:space="preserve">X-ray, </w:t>
      </w:r>
      <w:r w:rsidR="007135C7" w:rsidRPr="00A25920">
        <w:rPr>
          <w:rFonts w:ascii="Book Antiqua" w:hAnsi="Book Antiqua" w:cs="Times New Roman"/>
          <w:sz w:val="24"/>
          <w:szCs w:val="24"/>
        </w:rPr>
        <w:t>ultrasound</w:t>
      </w:r>
      <w:r w:rsidR="00A4407D" w:rsidRPr="00A25920">
        <w:rPr>
          <w:rFonts w:ascii="Book Antiqua" w:hAnsi="Book Antiqua" w:cs="Times New Roman"/>
          <w:sz w:val="24"/>
          <w:szCs w:val="24"/>
        </w:rPr>
        <w:t>, CT or</w:t>
      </w:r>
      <w:r w:rsidR="00A4407D" w:rsidRPr="00A25920">
        <w:rPr>
          <w:rFonts w:ascii="Book Antiqua" w:hAnsi="Book Antiqua" w:cs="Times New Roman" w:hint="eastAsia"/>
          <w:sz w:val="24"/>
          <w:szCs w:val="24"/>
        </w:rPr>
        <w:t xml:space="preserve"> </w:t>
      </w:r>
      <w:r w:rsidR="00A4407D" w:rsidRPr="00A25920">
        <w:rPr>
          <w:rFonts w:ascii="Book Antiqua" w:hAnsi="Book Antiqua" w:cs="Times New Roman"/>
          <w:sz w:val="24"/>
          <w:szCs w:val="24"/>
        </w:rPr>
        <w:t>MRI</w:t>
      </w:r>
      <w:r w:rsidR="00A4407D" w:rsidRPr="00A25920">
        <w:rPr>
          <w:rFonts w:ascii="Book Antiqua" w:hAnsi="Book Antiqua" w:cs="Times New Roman" w:hint="eastAsia"/>
          <w:sz w:val="24"/>
          <w:szCs w:val="24"/>
        </w:rPr>
        <w:t xml:space="preserve"> </w:t>
      </w:r>
      <w:r w:rsidR="00A4407D" w:rsidRPr="00A25920">
        <w:rPr>
          <w:rFonts w:ascii="Book Antiqua" w:hAnsi="Book Antiqua" w:cs="Times New Roman"/>
          <w:sz w:val="24"/>
          <w:szCs w:val="24"/>
        </w:rPr>
        <w:t>were conducted.</w:t>
      </w:r>
      <w:r w:rsidR="00A647AF" w:rsidRPr="00A25920">
        <w:rPr>
          <w:rFonts w:ascii="Book Antiqua" w:hAnsi="Book Antiqua" w:cs="Times New Roman"/>
          <w:sz w:val="24"/>
          <w:szCs w:val="24"/>
        </w:rPr>
        <w:t xml:space="preserve"> </w:t>
      </w:r>
    </w:p>
    <w:p w:rsidR="009779B4" w:rsidRPr="00A25920" w:rsidRDefault="009779B4" w:rsidP="00225036">
      <w:pPr>
        <w:autoSpaceDE w:val="0"/>
        <w:autoSpaceDN w:val="0"/>
        <w:adjustRightInd w:val="0"/>
        <w:snapToGrid w:val="0"/>
        <w:spacing w:after="0" w:line="360" w:lineRule="auto"/>
        <w:jc w:val="both"/>
        <w:rPr>
          <w:rFonts w:ascii="Book Antiqua" w:hAnsi="Book Antiqua" w:cs="Times New Roman"/>
          <w:b/>
          <w:i/>
          <w:sz w:val="24"/>
          <w:szCs w:val="24"/>
        </w:rPr>
      </w:pPr>
      <w:r w:rsidRPr="00A25920">
        <w:rPr>
          <w:rFonts w:ascii="Book Antiqua" w:hAnsi="Book Antiqua" w:cs="Times New Roman"/>
          <w:b/>
          <w:i/>
          <w:sz w:val="24"/>
          <w:szCs w:val="24"/>
        </w:rPr>
        <w:t xml:space="preserve">Immunohistochemistry of COX-2 and </w:t>
      </w:r>
      <w:r w:rsidR="00627E9E" w:rsidRPr="00A25920">
        <w:rPr>
          <w:rFonts w:ascii="Book Antiqua" w:hAnsi="Book Antiqua" w:cs="Times New Roman"/>
          <w:b/>
          <w:i/>
          <w:sz w:val="24"/>
          <w:szCs w:val="24"/>
        </w:rPr>
        <w:t>EP</w:t>
      </w:r>
      <w:r w:rsidR="00627E9E" w:rsidRPr="00A25920">
        <w:rPr>
          <w:rFonts w:ascii="Book Antiqua" w:hAnsi="Book Antiqua" w:cs="Times New Roman"/>
          <w:b/>
          <w:i/>
          <w:sz w:val="24"/>
          <w:szCs w:val="24"/>
          <w:vertAlign w:val="subscript"/>
        </w:rPr>
        <w:t>1</w:t>
      </w:r>
      <w:r w:rsidR="00C2554C" w:rsidRPr="00A25920">
        <w:rPr>
          <w:rFonts w:ascii="Book Antiqua" w:hAnsi="Book Antiqua" w:cs="Times New Roman"/>
          <w:b/>
          <w:i/>
          <w:sz w:val="24"/>
          <w:szCs w:val="24"/>
        </w:rPr>
        <w:t xml:space="preserve"> receptor</w:t>
      </w:r>
    </w:p>
    <w:p w:rsidR="007F37F9" w:rsidRPr="00A25920" w:rsidRDefault="007F37F9" w:rsidP="00225036">
      <w:pPr>
        <w:autoSpaceDE w:val="0"/>
        <w:autoSpaceDN w:val="0"/>
        <w:adjustRightInd w:val="0"/>
        <w:snapToGrid w:val="0"/>
        <w:spacing w:after="0" w:line="360" w:lineRule="auto"/>
        <w:jc w:val="both"/>
        <w:rPr>
          <w:rFonts w:ascii="Book Antiqua" w:hAnsi="Book Antiqua" w:cs="Times New Roman"/>
          <w:sz w:val="24"/>
          <w:szCs w:val="24"/>
        </w:rPr>
      </w:pPr>
      <w:r w:rsidRPr="00A25920">
        <w:rPr>
          <w:rFonts w:ascii="Book Antiqua" w:hAnsi="Book Antiqua" w:cs="Times New Roman"/>
          <w:sz w:val="24"/>
          <w:szCs w:val="24"/>
        </w:rPr>
        <w:lastRenderedPageBreak/>
        <w:t xml:space="preserve">Tumor specimens were fixed in 10% formalin, embedded in paraffin, cut into 3-μm sections, de-paraffinized with xylene and rehydrated by stepping through decreasing concentrations of ethanol. Antigen retrieval was performed for 10 min at 95 ºC in citrate buffer (pH 6.0) in a microwave oven. Sections were immersed in 3% hydrogen peroxide for 15 min to block endogenous peroxidases, then incubated at 37 ºC for 1 h with rabbit anti-human COX-2 polyclonal antibody (1:400; Abcam, </w:t>
      </w:r>
      <w:r w:rsidR="00C2554C" w:rsidRPr="00A25920">
        <w:rPr>
          <w:rFonts w:ascii="Book Antiqua" w:hAnsi="Book Antiqua" w:cs="Times New Roman"/>
          <w:sz w:val="24"/>
          <w:szCs w:val="24"/>
        </w:rPr>
        <w:t>United Kingdom</w:t>
      </w:r>
      <w:r w:rsidRPr="00A25920">
        <w:rPr>
          <w:rFonts w:ascii="Book Antiqua" w:hAnsi="Book Antiqua" w:cs="Times New Roman"/>
          <w:sz w:val="24"/>
          <w:szCs w:val="24"/>
        </w:rPr>
        <w:t xml:space="preserve">) or rabbit anti-human </w:t>
      </w:r>
      <w:r w:rsidR="00627E9E" w:rsidRPr="00A25920">
        <w:rPr>
          <w:rFonts w:ascii="Book Antiqua" w:hAnsi="Book Antiqua" w:cs="Times New Roman"/>
          <w:sz w:val="24"/>
          <w:szCs w:val="24"/>
        </w:rPr>
        <w:t>EP</w:t>
      </w:r>
      <w:r w:rsidR="00627E9E" w:rsidRPr="00A25920">
        <w:rPr>
          <w:rFonts w:ascii="Book Antiqua" w:hAnsi="Book Antiqua" w:cs="Times New Roman"/>
          <w:sz w:val="24"/>
          <w:szCs w:val="24"/>
          <w:vertAlign w:val="subscript"/>
        </w:rPr>
        <w:t>1</w:t>
      </w:r>
      <w:r w:rsidRPr="00A25920">
        <w:rPr>
          <w:rFonts w:ascii="Book Antiqua" w:hAnsi="Book Antiqua" w:cs="Times New Roman"/>
          <w:sz w:val="24"/>
          <w:szCs w:val="24"/>
        </w:rPr>
        <w:t xml:space="preserve"> receptor polyclonal antibody (1:200; Abcam). Sections were rinsed in phosphate-buffered saline (PBS), incubated with biotinylated anti-rabbit immunoglobulin for 20 min at room temperature, then rinsed again with PBS. Sections were incubated with anti-horseradish peroxidase conjugate for 10 min, rinsed with PBS, and incubated with diaminobenzidine for 10 min. Finally, sections were counterstained with hematoxylin. As a negative control, tissues were treated as described above, except they were incubated with PBS instead of primary antibodies.</w:t>
      </w:r>
    </w:p>
    <w:p w:rsidR="007F37F9" w:rsidRPr="00A25920" w:rsidRDefault="007F37F9" w:rsidP="00C2554C">
      <w:pPr>
        <w:autoSpaceDE w:val="0"/>
        <w:autoSpaceDN w:val="0"/>
        <w:adjustRightInd w:val="0"/>
        <w:snapToGrid w:val="0"/>
        <w:spacing w:after="0" w:line="360" w:lineRule="auto"/>
        <w:ind w:firstLineChars="100" w:firstLine="240"/>
        <w:jc w:val="both"/>
        <w:rPr>
          <w:rFonts w:ascii="Book Antiqua" w:hAnsi="Book Antiqua" w:cs="Times New Roman"/>
          <w:sz w:val="24"/>
          <w:szCs w:val="24"/>
        </w:rPr>
      </w:pPr>
      <w:r w:rsidRPr="00A25920">
        <w:rPr>
          <w:rFonts w:ascii="Book Antiqua" w:hAnsi="Book Antiqua" w:cs="Times New Roman"/>
          <w:sz w:val="24"/>
          <w:szCs w:val="24"/>
        </w:rPr>
        <w:t>Immunohistochemical staining results were</w:t>
      </w:r>
      <w:r w:rsidR="00A75237" w:rsidRPr="00A25920">
        <w:rPr>
          <w:rFonts w:ascii="Book Antiqua" w:hAnsi="Book Antiqua" w:cs="Times New Roman"/>
          <w:sz w:val="24"/>
          <w:szCs w:val="24"/>
        </w:rPr>
        <w:t xml:space="preserve"> independently evaluated</w:t>
      </w:r>
      <w:r w:rsidRPr="00A25920">
        <w:rPr>
          <w:rFonts w:ascii="Book Antiqua" w:hAnsi="Book Antiqua" w:cs="Times New Roman"/>
          <w:sz w:val="24"/>
          <w:szCs w:val="24"/>
        </w:rPr>
        <w:t xml:space="preserve"> by three authors (Hao</w:t>
      </w:r>
      <w:r w:rsidR="00C2554C" w:rsidRPr="00A25920">
        <w:rPr>
          <w:rFonts w:ascii="Book Antiqua" w:hAnsi="Book Antiqua" w:cs="Times New Roman" w:hint="eastAsia"/>
          <w:sz w:val="24"/>
          <w:szCs w:val="24"/>
        </w:rPr>
        <w:t>-</w:t>
      </w:r>
      <w:r w:rsidRPr="00A25920">
        <w:rPr>
          <w:rFonts w:ascii="Book Antiqua" w:hAnsi="Book Antiqua" w:cs="Times New Roman"/>
          <w:caps/>
          <w:sz w:val="24"/>
          <w:szCs w:val="24"/>
        </w:rPr>
        <w:t>j</w:t>
      </w:r>
      <w:r w:rsidRPr="00A25920">
        <w:rPr>
          <w:rFonts w:ascii="Book Antiqua" w:hAnsi="Book Antiqua" w:cs="Times New Roman"/>
          <w:sz w:val="24"/>
          <w:szCs w:val="24"/>
        </w:rPr>
        <w:t>ie Yang, Zhe Guo and Yu</w:t>
      </w:r>
      <w:r w:rsidR="00C2554C" w:rsidRPr="00A25920">
        <w:rPr>
          <w:rFonts w:ascii="Book Antiqua" w:hAnsi="Book Antiqua" w:cs="Times New Roman" w:hint="eastAsia"/>
          <w:sz w:val="24"/>
          <w:szCs w:val="24"/>
        </w:rPr>
        <w:t>-</w:t>
      </w:r>
      <w:r w:rsidRPr="00A25920">
        <w:rPr>
          <w:rFonts w:ascii="Book Antiqua" w:hAnsi="Book Antiqua" w:cs="Times New Roman"/>
          <w:caps/>
          <w:sz w:val="24"/>
          <w:szCs w:val="24"/>
        </w:rPr>
        <w:t>t</w:t>
      </w:r>
      <w:r w:rsidRPr="00A25920">
        <w:rPr>
          <w:rFonts w:ascii="Book Antiqua" w:hAnsi="Book Antiqua" w:cs="Times New Roman"/>
          <w:sz w:val="24"/>
          <w:szCs w:val="24"/>
        </w:rPr>
        <w:t>ing Yang) and an experienced hepatopathologist (Chun</w:t>
      </w:r>
      <w:r w:rsidR="00C2554C" w:rsidRPr="00A25920">
        <w:rPr>
          <w:rFonts w:ascii="Book Antiqua" w:hAnsi="Book Antiqua" w:cs="Times New Roman" w:hint="eastAsia"/>
          <w:sz w:val="24"/>
          <w:szCs w:val="24"/>
        </w:rPr>
        <w:t>-</w:t>
      </w:r>
      <w:r w:rsidRPr="00A25920">
        <w:rPr>
          <w:rFonts w:ascii="Book Antiqua" w:hAnsi="Book Antiqua" w:cs="Times New Roman"/>
          <w:caps/>
          <w:sz w:val="24"/>
          <w:szCs w:val="24"/>
        </w:rPr>
        <w:t>j</w:t>
      </w:r>
      <w:r w:rsidRPr="00A25920">
        <w:rPr>
          <w:rFonts w:ascii="Book Antiqua" w:hAnsi="Book Antiqua" w:cs="Times New Roman"/>
          <w:sz w:val="24"/>
          <w:szCs w:val="24"/>
        </w:rPr>
        <w:t xml:space="preserve">un Li) from the Department of Pathology of Guangxi Tumor Hospital. The percentages of cells positive for COX-2 or </w:t>
      </w:r>
      <w:r w:rsidR="00627E9E" w:rsidRPr="00A25920">
        <w:rPr>
          <w:rFonts w:ascii="Book Antiqua" w:hAnsi="Book Antiqua" w:cs="Times New Roman"/>
          <w:sz w:val="24"/>
          <w:szCs w:val="24"/>
        </w:rPr>
        <w:t>EP</w:t>
      </w:r>
      <w:r w:rsidR="00627E9E" w:rsidRPr="00A25920">
        <w:rPr>
          <w:rFonts w:ascii="Book Antiqua" w:hAnsi="Book Antiqua" w:cs="Times New Roman"/>
          <w:sz w:val="24"/>
          <w:szCs w:val="24"/>
          <w:vertAlign w:val="subscript"/>
        </w:rPr>
        <w:t>1</w:t>
      </w:r>
      <w:r w:rsidRPr="00A25920">
        <w:rPr>
          <w:rFonts w:ascii="Book Antiqua" w:hAnsi="Book Antiqua" w:cs="Times New Roman"/>
          <w:sz w:val="24"/>
          <w:szCs w:val="24"/>
        </w:rPr>
        <w:t xml:space="preserve"> receptor as well as relative staining intensity were determined. Percentages of positive cells were categorized as follows: 0 (no positive tumor cells), 1 (1</w:t>
      </w:r>
      <w:r w:rsidR="00C2554C" w:rsidRPr="00A25920">
        <w:rPr>
          <w:rFonts w:ascii="Book Antiqua" w:hAnsi="Book Antiqua" w:cs="Times New Roman"/>
          <w:sz w:val="24"/>
          <w:szCs w:val="24"/>
        </w:rPr>
        <w:t>%</w:t>
      </w:r>
      <w:r w:rsidR="00C2554C" w:rsidRPr="00A25920">
        <w:rPr>
          <w:rFonts w:ascii="Book Antiqua" w:hAnsi="Book Antiqua" w:cs="Times New Roman" w:hint="eastAsia"/>
          <w:sz w:val="24"/>
          <w:szCs w:val="24"/>
        </w:rPr>
        <w:t>-</w:t>
      </w:r>
      <w:r w:rsidRPr="00A25920">
        <w:rPr>
          <w:rFonts w:ascii="Book Antiqua" w:hAnsi="Book Antiqua" w:cs="Times New Roman"/>
          <w:sz w:val="24"/>
          <w:szCs w:val="24"/>
        </w:rPr>
        <w:t>25% positive), 2 (26</w:t>
      </w:r>
      <w:r w:rsidR="00C2554C" w:rsidRPr="00A25920">
        <w:rPr>
          <w:rFonts w:ascii="Book Antiqua" w:hAnsi="Book Antiqua" w:cs="Times New Roman"/>
          <w:sz w:val="24"/>
          <w:szCs w:val="24"/>
        </w:rPr>
        <w:t>%</w:t>
      </w:r>
      <w:r w:rsidR="00C2554C" w:rsidRPr="00A25920">
        <w:rPr>
          <w:rFonts w:ascii="Book Antiqua" w:hAnsi="Book Antiqua" w:cs="Times New Roman" w:hint="eastAsia"/>
          <w:sz w:val="24"/>
          <w:szCs w:val="24"/>
        </w:rPr>
        <w:t>-</w:t>
      </w:r>
      <w:r w:rsidRPr="00A25920">
        <w:rPr>
          <w:rFonts w:ascii="Book Antiqua" w:hAnsi="Book Antiqua" w:cs="Times New Roman"/>
          <w:sz w:val="24"/>
          <w:szCs w:val="24"/>
        </w:rPr>
        <w:t>50% positive), 3 (51</w:t>
      </w:r>
      <w:r w:rsidR="00C2554C" w:rsidRPr="00A25920">
        <w:rPr>
          <w:rFonts w:ascii="Book Antiqua" w:hAnsi="Book Antiqua" w:cs="Times New Roman"/>
          <w:sz w:val="24"/>
          <w:szCs w:val="24"/>
        </w:rPr>
        <w:t>%</w:t>
      </w:r>
      <w:r w:rsidR="00C2554C" w:rsidRPr="00A25920">
        <w:rPr>
          <w:rFonts w:ascii="Book Antiqua" w:hAnsi="Book Antiqua" w:cs="Times New Roman" w:hint="eastAsia"/>
          <w:sz w:val="24"/>
          <w:szCs w:val="24"/>
        </w:rPr>
        <w:t>-</w:t>
      </w:r>
      <w:r w:rsidRPr="00A25920">
        <w:rPr>
          <w:rFonts w:ascii="Book Antiqua" w:hAnsi="Book Antiqua" w:cs="Times New Roman"/>
          <w:sz w:val="24"/>
          <w:szCs w:val="24"/>
        </w:rPr>
        <w:t>75% positive), and 4 (76</w:t>
      </w:r>
      <w:r w:rsidR="00C2554C" w:rsidRPr="00A25920">
        <w:rPr>
          <w:rFonts w:ascii="Book Antiqua" w:hAnsi="Book Antiqua" w:cs="Times New Roman"/>
          <w:sz w:val="24"/>
          <w:szCs w:val="24"/>
        </w:rPr>
        <w:t>%</w:t>
      </w:r>
      <w:r w:rsidR="00C2554C" w:rsidRPr="00A25920">
        <w:rPr>
          <w:rFonts w:ascii="Book Antiqua" w:hAnsi="Book Antiqua" w:cs="Times New Roman" w:hint="eastAsia"/>
          <w:sz w:val="24"/>
          <w:szCs w:val="24"/>
        </w:rPr>
        <w:t>-</w:t>
      </w:r>
      <w:r w:rsidRPr="00A25920">
        <w:rPr>
          <w:rFonts w:ascii="Book Antiqua" w:hAnsi="Book Antiqua" w:cs="Times New Roman"/>
          <w:sz w:val="24"/>
          <w:szCs w:val="24"/>
        </w:rPr>
        <w:t>100% positive). Staining intensity was categorized as follows: 0 (no staining), 1 (weak, light yellow), 2 (moderate, yellow-brown), and 3 (strong, brown)</w:t>
      </w:r>
      <w:r w:rsidR="00504E55" w:rsidRPr="00A25920">
        <w:rPr>
          <w:rFonts w:ascii="Book Antiqua" w:hAnsi="Book Antiqua" w:cs="Times New Roman"/>
          <w:sz w:val="24"/>
          <w:szCs w:val="24"/>
        </w:rPr>
        <w:fldChar w:fldCharType="begin"/>
      </w:r>
      <w:r w:rsidR="00504E55" w:rsidRPr="00A25920">
        <w:rPr>
          <w:rFonts w:ascii="Book Antiqua" w:hAnsi="Book Antiqua" w:cs="Times New Roman"/>
          <w:sz w:val="24"/>
          <w:szCs w:val="24"/>
        </w:rPr>
        <w:instrText xml:space="preserve"> ADDIN NE.Ref.{05A458E8-6D57-42A1-BA84-A15E6D8767BC}</w:instrText>
      </w:r>
      <w:r w:rsidR="00504E55" w:rsidRPr="00A25920">
        <w:rPr>
          <w:rFonts w:ascii="Book Antiqua" w:hAnsi="Book Antiqua" w:cs="Times New Roman"/>
          <w:sz w:val="24"/>
          <w:szCs w:val="24"/>
        </w:rPr>
        <w:fldChar w:fldCharType="separate"/>
      </w:r>
      <w:r w:rsidR="00462A3E" w:rsidRPr="00A25920">
        <w:rPr>
          <w:rFonts w:ascii="Book Antiqua" w:hAnsi="Book Antiqua" w:cs="Book Antiqua"/>
          <w:sz w:val="24"/>
          <w:szCs w:val="24"/>
          <w:vertAlign w:val="superscript"/>
        </w:rPr>
        <w:t>[27]</w:t>
      </w:r>
      <w:r w:rsidR="00504E55" w:rsidRPr="00A25920">
        <w:rPr>
          <w:rFonts w:ascii="Book Antiqua" w:hAnsi="Book Antiqua" w:cs="Times New Roman"/>
          <w:sz w:val="24"/>
          <w:szCs w:val="24"/>
        </w:rPr>
        <w:fldChar w:fldCharType="end"/>
      </w:r>
      <w:r w:rsidRPr="00A25920">
        <w:rPr>
          <w:rFonts w:ascii="Book Antiqua" w:hAnsi="Book Antiqua" w:cs="Times New Roman"/>
          <w:sz w:val="24"/>
          <w:szCs w:val="24"/>
        </w:rPr>
        <w:t>. The scores for positive cell percentages and for staining intensity were multiplied together to yield a single immunohistochemical staining index from 0 to 12. Sections with an index of 0-5 were defined as showing low expression, while those with an index of 6-12 were defined as showing high expression.</w:t>
      </w:r>
    </w:p>
    <w:p w:rsidR="00C2554C" w:rsidRPr="00A25920" w:rsidRDefault="00C2554C" w:rsidP="00225036">
      <w:pPr>
        <w:autoSpaceDE w:val="0"/>
        <w:autoSpaceDN w:val="0"/>
        <w:adjustRightInd w:val="0"/>
        <w:snapToGrid w:val="0"/>
        <w:spacing w:after="0" w:line="360" w:lineRule="auto"/>
        <w:jc w:val="both"/>
        <w:rPr>
          <w:rFonts w:ascii="Book Antiqua" w:hAnsi="Book Antiqua" w:cs="Times New Roman"/>
          <w:b/>
          <w:i/>
          <w:sz w:val="24"/>
          <w:szCs w:val="24"/>
        </w:rPr>
      </w:pPr>
    </w:p>
    <w:p w:rsidR="00F03234" w:rsidRPr="00A25920" w:rsidRDefault="007D38F4" w:rsidP="00225036">
      <w:pPr>
        <w:autoSpaceDE w:val="0"/>
        <w:autoSpaceDN w:val="0"/>
        <w:adjustRightInd w:val="0"/>
        <w:snapToGrid w:val="0"/>
        <w:spacing w:after="0" w:line="360" w:lineRule="auto"/>
        <w:jc w:val="both"/>
        <w:rPr>
          <w:rFonts w:ascii="Book Antiqua" w:hAnsi="Book Antiqua" w:cs="Times New Roman"/>
          <w:b/>
          <w:i/>
          <w:sz w:val="24"/>
          <w:szCs w:val="24"/>
        </w:rPr>
      </w:pPr>
      <w:r w:rsidRPr="00A25920">
        <w:rPr>
          <w:rFonts w:ascii="Book Antiqua" w:hAnsi="Book Antiqua" w:cs="Times New Roman"/>
          <w:b/>
          <w:i/>
          <w:sz w:val="24"/>
          <w:szCs w:val="24"/>
        </w:rPr>
        <w:t>Statistical a</w:t>
      </w:r>
      <w:r w:rsidR="00F03234" w:rsidRPr="00A25920">
        <w:rPr>
          <w:rFonts w:ascii="Book Antiqua" w:hAnsi="Book Antiqua" w:cs="Times New Roman"/>
          <w:b/>
          <w:i/>
          <w:sz w:val="24"/>
          <w:szCs w:val="24"/>
        </w:rPr>
        <w:t>nalysis</w:t>
      </w:r>
    </w:p>
    <w:p w:rsidR="006856A8" w:rsidRPr="00A25920" w:rsidRDefault="006856A8" w:rsidP="00225036">
      <w:pPr>
        <w:autoSpaceDE w:val="0"/>
        <w:autoSpaceDN w:val="0"/>
        <w:adjustRightInd w:val="0"/>
        <w:snapToGrid w:val="0"/>
        <w:spacing w:after="0" w:line="360" w:lineRule="auto"/>
        <w:jc w:val="both"/>
        <w:rPr>
          <w:rFonts w:ascii="Book Antiqua" w:hAnsi="Book Antiqua" w:cs="Times New Roman"/>
          <w:sz w:val="24"/>
          <w:szCs w:val="24"/>
        </w:rPr>
      </w:pPr>
      <w:r w:rsidRPr="00A25920">
        <w:rPr>
          <w:rFonts w:ascii="Book Antiqua" w:hAnsi="Book Antiqua" w:cs="Times New Roman"/>
          <w:sz w:val="24"/>
          <w:szCs w:val="24"/>
        </w:rPr>
        <w:lastRenderedPageBreak/>
        <w:t xml:space="preserve">All statistical analyses were performed using SPSS 19.0 (IBM, </w:t>
      </w:r>
      <w:r w:rsidR="00C2554C" w:rsidRPr="00A25920">
        <w:rPr>
          <w:rFonts w:ascii="Book Antiqua" w:hAnsi="Book Antiqua" w:cs="Times New Roman"/>
          <w:sz w:val="24"/>
          <w:szCs w:val="24"/>
        </w:rPr>
        <w:t>United States</w:t>
      </w:r>
      <w:r w:rsidRPr="00A25920">
        <w:rPr>
          <w:rFonts w:ascii="Book Antiqua" w:hAnsi="Book Antiqua" w:cs="Times New Roman"/>
          <w:sz w:val="24"/>
          <w:szCs w:val="24"/>
        </w:rPr>
        <w:t>). Inter-group differences for categorical variables were assessed for significance using the chi-squared test; differences for continuous variables were assessed using the Mann</w:t>
      </w:r>
      <w:r w:rsidR="00C2554C" w:rsidRPr="00A25920">
        <w:rPr>
          <w:rFonts w:ascii="Book Antiqua" w:hAnsi="Book Antiqua" w:cs="Times New Roman" w:hint="eastAsia"/>
          <w:sz w:val="24"/>
          <w:szCs w:val="24"/>
        </w:rPr>
        <w:t>-</w:t>
      </w:r>
      <w:r w:rsidRPr="00A25920">
        <w:rPr>
          <w:rFonts w:ascii="Book Antiqua" w:hAnsi="Book Antiqua" w:cs="Times New Roman"/>
          <w:sz w:val="24"/>
          <w:szCs w:val="24"/>
        </w:rPr>
        <w:t xml:space="preserve">Whitney </w:t>
      </w:r>
      <w:r w:rsidRPr="00A25920">
        <w:rPr>
          <w:rFonts w:ascii="Book Antiqua" w:hAnsi="Book Antiqua" w:cs="Times New Roman"/>
          <w:i/>
          <w:sz w:val="24"/>
          <w:szCs w:val="24"/>
        </w:rPr>
        <w:t>U</w:t>
      </w:r>
      <w:r w:rsidRPr="00A25920">
        <w:rPr>
          <w:rFonts w:ascii="Book Antiqua" w:hAnsi="Book Antiqua" w:cs="Times New Roman"/>
          <w:sz w:val="24"/>
          <w:szCs w:val="24"/>
        </w:rPr>
        <w:t xml:space="preserve"> test or </w:t>
      </w:r>
      <w:r w:rsidRPr="00A25920">
        <w:rPr>
          <w:rFonts w:ascii="Book Antiqua" w:hAnsi="Book Antiqua" w:cs="Times New Roman"/>
          <w:i/>
          <w:sz w:val="24"/>
          <w:szCs w:val="24"/>
        </w:rPr>
        <w:t>t</w:t>
      </w:r>
      <w:r w:rsidR="00C2554C" w:rsidRPr="00A25920">
        <w:rPr>
          <w:rFonts w:ascii="Book Antiqua" w:hAnsi="Book Antiqua" w:cs="Times New Roman" w:hint="eastAsia"/>
          <w:sz w:val="24"/>
          <w:szCs w:val="24"/>
        </w:rPr>
        <w:t>-</w:t>
      </w:r>
      <w:r w:rsidRPr="00A25920">
        <w:rPr>
          <w:rFonts w:ascii="Book Antiqua" w:hAnsi="Book Antiqua" w:cs="Times New Roman"/>
          <w:sz w:val="24"/>
          <w:szCs w:val="24"/>
        </w:rPr>
        <w:t xml:space="preserve">test. OS and DFS were analyzed using the Kaplan-Meier method, and differences between curves were assessed for significance using the log-rank test. Multivariate Cox proportional hazards modeling was used to identify independent prognostic factors. The threshold for significance was defined as </w:t>
      </w:r>
      <w:r w:rsidRPr="00A25920">
        <w:rPr>
          <w:rFonts w:ascii="Book Antiqua" w:hAnsi="Book Antiqua" w:cs="Times New Roman"/>
          <w:i/>
          <w:caps/>
          <w:sz w:val="24"/>
          <w:szCs w:val="24"/>
        </w:rPr>
        <w:t>p</w:t>
      </w:r>
      <w:r w:rsidRPr="00A25920">
        <w:rPr>
          <w:rFonts w:ascii="Book Antiqua" w:hAnsi="Book Antiqua" w:cs="Times New Roman"/>
          <w:sz w:val="24"/>
          <w:szCs w:val="24"/>
        </w:rPr>
        <w:t xml:space="preserve"> &lt; 0.05.</w:t>
      </w:r>
    </w:p>
    <w:p w:rsidR="00E60998" w:rsidRPr="00A25920" w:rsidRDefault="00E60998" w:rsidP="00225036">
      <w:pPr>
        <w:tabs>
          <w:tab w:val="left" w:pos="1929"/>
        </w:tabs>
        <w:autoSpaceDE w:val="0"/>
        <w:autoSpaceDN w:val="0"/>
        <w:adjustRightInd w:val="0"/>
        <w:snapToGrid w:val="0"/>
        <w:spacing w:after="0" w:line="360" w:lineRule="auto"/>
        <w:jc w:val="both"/>
        <w:rPr>
          <w:rFonts w:ascii="Book Antiqua" w:hAnsi="Book Antiqua" w:cs="Times New Roman"/>
          <w:b/>
          <w:caps/>
          <w:sz w:val="24"/>
          <w:szCs w:val="24"/>
        </w:rPr>
      </w:pPr>
    </w:p>
    <w:p w:rsidR="00F03234" w:rsidRPr="00A25920" w:rsidRDefault="003A3766" w:rsidP="002E0A77">
      <w:pPr>
        <w:tabs>
          <w:tab w:val="left" w:pos="1455"/>
        </w:tabs>
        <w:autoSpaceDE w:val="0"/>
        <w:autoSpaceDN w:val="0"/>
        <w:adjustRightInd w:val="0"/>
        <w:snapToGrid w:val="0"/>
        <w:spacing w:after="0" w:line="360" w:lineRule="auto"/>
        <w:jc w:val="both"/>
        <w:rPr>
          <w:rFonts w:ascii="Book Antiqua" w:hAnsi="Book Antiqua" w:cs="Times New Roman"/>
          <w:b/>
          <w:i/>
          <w:sz w:val="24"/>
          <w:szCs w:val="24"/>
        </w:rPr>
      </w:pPr>
      <w:r w:rsidRPr="00A25920">
        <w:rPr>
          <w:rFonts w:ascii="Book Antiqua" w:hAnsi="Book Antiqua" w:cs="Times New Roman"/>
          <w:b/>
          <w:caps/>
          <w:sz w:val="24"/>
          <w:szCs w:val="24"/>
        </w:rPr>
        <w:t>Results</w:t>
      </w:r>
    </w:p>
    <w:p w:rsidR="00F03234" w:rsidRPr="00A25920" w:rsidRDefault="00F03234" w:rsidP="00225036">
      <w:pPr>
        <w:tabs>
          <w:tab w:val="left" w:pos="1929"/>
        </w:tabs>
        <w:autoSpaceDE w:val="0"/>
        <w:autoSpaceDN w:val="0"/>
        <w:adjustRightInd w:val="0"/>
        <w:snapToGrid w:val="0"/>
        <w:spacing w:after="0" w:line="360" w:lineRule="auto"/>
        <w:jc w:val="both"/>
        <w:rPr>
          <w:rFonts w:ascii="Book Antiqua" w:hAnsi="Book Antiqua" w:cs="Times New Roman"/>
          <w:b/>
          <w:i/>
          <w:sz w:val="24"/>
          <w:szCs w:val="24"/>
        </w:rPr>
      </w:pPr>
      <w:r w:rsidRPr="00A25920">
        <w:rPr>
          <w:rFonts w:ascii="Book Antiqua" w:hAnsi="Book Antiqua" w:cs="Times New Roman"/>
          <w:b/>
          <w:i/>
          <w:sz w:val="24"/>
          <w:szCs w:val="24"/>
        </w:rPr>
        <w:t>Patient characteristics</w:t>
      </w:r>
    </w:p>
    <w:p w:rsidR="00A86203" w:rsidRPr="00A25920" w:rsidRDefault="00A86203" w:rsidP="00225036">
      <w:pPr>
        <w:autoSpaceDE w:val="0"/>
        <w:autoSpaceDN w:val="0"/>
        <w:adjustRightInd w:val="0"/>
        <w:snapToGrid w:val="0"/>
        <w:spacing w:after="0" w:line="360" w:lineRule="auto"/>
        <w:jc w:val="both"/>
        <w:rPr>
          <w:rFonts w:ascii="Book Antiqua" w:hAnsi="Book Antiqua" w:cs="Times New Roman"/>
          <w:sz w:val="24"/>
          <w:szCs w:val="24"/>
        </w:rPr>
      </w:pPr>
      <w:r w:rsidRPr="00A25920">
        <w:rPr>
          <w:rFonts w:ascii="Book Antiqua" w:hAnsi="Book Antiqua" w:cs="Times New Roman"/>
          <w:sz w:val="24"/>
          <w:szCs w:val="24"/>
        </w:rPr>
        <w:t xml:space="preserve">During the </w:t>
      </w:r>
      <w:r w:rsidR="001566DD" w:rsidRPr="00A25920">
        <w:rPr>
          <w:rFonts w:ascii="Book Antiqua" w:hAnsi="Book Antiqua" w:cs="Times New Roman" w:hint="eastAsia"/>
          <w:sz w:val="24"/>
          <w:szCs w:val="24"/>
        </w:rPr>
        <w:t>research</w:t>
      </w:r>
      <w:r w:rsidRPr="00A25920">
        <w:rPr>
          <w:rFonts w:ascii="Book Antiqua" w:hAnsi="Book Antiqua" w:cs="Times New Roman"/>
          <w:sz w:val="24"/>
          <w:szCs w:val="24"/>
        </w:rPr>
        <w:t>, 748 patients with HCC w</w:t>
      </w:r>
      <w:r w:rsidR="00AD32D1" w:rsidRPr="00A25920">
        <w:rPr>
          <w:rFonts w:ascii="Book Antiqua" w:hAnsi="Book Antiqua" w:cs="Times New Roman"/>
          <w:sz w:val="24"/>
          <w:szCs w:val="24"/>
        </w:rPr>
        <w:t xml:space="preserve">ere scheduled for hepatectomy </w:t>
      </w:r>
      <w:r w:rsidR="00AD32D1" w:rsidRPr="00A25920">
        <w:rPr>
          <w:rFonts w:ascii="Book Antiqua" w:hAnsi="Book Antiqua" w:cs="Times New Roman" w:hint="eastAsia"/>
          <w:sz w:val="24"/>
          <w:szCs w:val="24"/>
        </w:rPr>
        <w:t>in my center</w:t>
      </w:r>
      <w:r w:rsidRPr="00A25920">
        <w:rPr>
          <w:rFonts w:ascii="Book Antiqua" w:hAnsi="Book Antiqua" w:cs="Times New Roman"/>
          <w:sz w:val="24"/>
          <w:szCs w:val="24"/>
        </w:rPr>
        <w:t xml:space="preserve">. Of these, 221 (29.5%) were </w:t>
      </w:r>
      <w:r w:rsidR="0023135D" w:rsidRPr="00A25920">
        <w:rPr>
          <w:rFonts w:ascii="Book Antiqua" w:hAnsi="Book Antiqua" w:cs="Times New Roman"/>
          <w:sz w:val="24"/>
          <w:szCs w:val="24"/>
        </w:rPr>
        <w:t>prevent from entering</w:t>
      </w:r>
      <w:r w:rsidRPr="00A25920">
        <w:rPr>
          <w:rFonts w:ascii="Book Antiqua" w:hAnsi="Book Antiqua" w:cs="Times New Roman"/>
          <w:sz w:val="24"/>
          <w:szCs w:val="24"/>
        </w:rPr>
        <w:t xml:space="preserve"> </w:t>
      </w:r>
      <w:r w:rsidR="0023135D" w:rsidRPr="00A25920">
        <w:rPr>
          <w:rFonts w:ascii="Book Antiqua" w:hAnsi="Book Antiqua" w:cs="Times New Roman"/>
          <w:sz w:val="24"/>
          <w:szCs w:val="24"/>
        </w:rPr>
        <w:t>owing to receiv</w:t>
      </w:r>
      <w:r w:rsidR="0023135D" w:rsidRPr="00A25920">
        <w:rPr>
          <w:rFonts w:ascii="Book Antiqua" w:hAnsi="Book Antiqua" w:cs="Times New Roman" w:hint="eastAsia"/>
          <w:sz w:val="24"/>
          <w:szCs w:val="24"/>
        </w:rPr>
        <w:t>ing</w:t>
      </w:r>
      <w:r w:rsidR="00056C03" w:rsidRPr="00A25920">
        <w:rPr>
          <w:rFonts w:ascii="Book Antiqua" w:hAnsi="Book Antiqua" w:cs="Times New Roman"/>
          <w:sz w:val="24"/>
          <w:szCs w:val="24"/>
        </w:rPr>
        <w:t xml:space="preserve"> initial HCC treatment </w:t>
      </w:r>
      <w:r w:rsidR="00056C03" w:rsidRPr="00A25920">
        <w:rPr>
          <w:rFonts w:ascii="Book Antiqua" w:hAnsi="Book Antiqua" w:cs="Times New Roman" w:hint="eastAsia"/>
          <w:sz w:val="24"/>
          <w:szCs w:val="24"/>
        </w:rPr>
        <w:t>in</w:t>
      </w:r>
      <w:r w:rsidRPr="00A25920">
        <w:rPr>
          <w:rFonts w:ascii="Book Antiqua" w:hAnsi="Book Antiqua" w:cs="Times New Roman"/>
          <w:sz w:val="24"/>
          <w:szCs w:val="24"/>
        </w:rPr>
        <w:t xml:space="preserve"> other </w:t>
      </w:r>
      <w:r w:rsidR="00056C03" w:rsidRPr="00A25920">
        <w:rPr>
          <w:rFonts w:ascii="Book Antiqua" w:hAnsi="Book Antiqua" w:cs="Times New Roman" w:hint="eastAsia"/>
          <w:sz w:val="24"/>
          <w:szCs w:val="24"/>
        </w:rPr>
        <w:t>hospital</w:t>
      </w:r>
      <w:r w:rsidRPr="00A25920">
        <w:rPr>
          <w:rFonts w:ascii="Book Antiqua" w:hAnsi="Book Antiqua" w:cs="Times New Roman"/>
          <w:sz w:val="24"/>
          <w:szCs w:val="24"/>
        </w:rPr>
        <w:t xml:space="preserve">s. Of the </w:t>
      </w:r>
      <w:r w:rsidR="00722025" w:rsidRPr="00A25920">
        <w:rPr>
          <w:rFonts w:ascii="Book Antiqua" w:hAnsi="Book Antiqua" w:cs="Times New Roman" w:hint="eastAsia"/>
          <w:sz w:val="24"/>
          <w:szCs w:val="24"/>
        </w:rPr>
        <w:t>rest of</w:t>
      </w:r>
      <w:r w:rsidRPr="00A25920">
        <w:rPr>
          <w:rFonts w:ascii="Book Antiqua" w:hAnsi="Book Antiqua" w:cs="Times New Roman"/>
          <w:sz w:val="24"/>
          <w:szCs w:val="24"/>
        </w:rPr>
        <w:t xml:space="preserve"> 527 patients, 161 (30.5%) had solitary nodular tumors without portal tumor thromboses or extrahepatic metastases. We </w:t>
      </w:r>
      <w:r w:rsidR="00DF5365" w:rsidRPr="00A25920">
        <w:rPr>
          <w:rFonts w:ascii="Book Antiqua" w:hAnsi="Book Antiqua" w:cs="Times New Roman"/>
          <w:sz w:val="24"/>
          <w:szCs w:val="24"/>
        </w:rPr>
        <w:t xml:space="preserve">reject </w:t>
      </w:r>
      <w:r w:rsidRPr="00A25920">
        <w:rPr>
          <w:rFonts w:ascii="Book Antiqua" w:hAnsi="Book Antiqua" w:cs="Times New Roman"/>
          <w:sz w:val="24"/>
          <w:szCs w:val="24"/>
        </w:rPr>
        <w:t>33 (20.4%) because they underwent only transarterial chemoembolization, local ablation therapy, or et</w:t>
      </w:r>
      <w:r w:rsidR="003200C9" w:rsidRPr="00A25920">
        <w:rPr>
          <w:rFonts w:ascii="Book Antiqua" w:hAnsi="Book Antiqua" w:cs="Times New Roman"/>
          <w:sz w:val="24"/>
          <w:szCs w:val="24"/>
        </w:rPr>
        <w:t xml:space="preserve">hanol injection, and we </w:t>
      </w:r>
      <w:r w:rsidR="003200C9" w:rsidRPr="00A25920">
        <w:rPr>
          <w:rFonts w:ascii="Book Antiqua" w:hAnsi="Book Antiqua" w:cs="Times New Roman" w:hint="eastAsia"/>
          <w:sz w:val="24"/>
          <w:szCs w:val="24"/>
        </w:rPr>
        <w:t>reject</w:t>
      </w:r>
      <w:r w:rsidRPr="00A25920">
        <w:rPr>
          <w:rFonts w:ascii="Book Antiqua" w:hAnsi="Book Antiqua" w:cs="Times New Roman"/>
          <w:sz w:val="24"/>
          <w:szCs w:val="24"/>
        </w:rPr>
        <w:t xml:space="preserve"> 12 (7.4%) because </w:t>
      </w:r>
      <w:r w:rsidR="00613860" w:rsidRPr="00A25920">
        <w:rPr>
          <w:rFonts w:ascii="Book Antiqua" w:hAnsi="Book Antiqua" w:cs="Times New Roman" w:hint="eastAsia"/>
          <w:sz w:val="24"/>
          <w:szCs w:val="24"/>
        </w:rPr>
        <w:t xml:space="preserve">of lacking </w:t>
      </w:r>
      <w:r w:rsidRPr="00A25920">
        <w:rPr>
          <w:rFonts w:ascii="Book Antiqua" w:hAnsi="Book Antiqua" w:cs="Times New Roman"/>
          <w:sz w:val="24"/>
          <w:szCs w:val="24"/>
        </w:rPr>
        <w:t xml:space="preserve">complete follow-up. In the end, 116 (72%) patients were included in the final analysis (93 men, 23 women) with a median age of 67 (range, 39-83) (Table 1). Immunohistochemistry showed low COX-2 expression in 62 patients (53.4%) and low </w:t>
      </w:r>
      <w:r w:rsidR="00627E9E" w:rsidRPr="00A25920">
        <w:rPr>
          <w:rFonts w:ascii="Book Antiqua" w:hAnsi="Book Antiqua" w:cs="Times New Roman"/>
          <w:sz w:val="24"/>
          <w:szCs w:val="24"/>
        </w:rPr>
        <w:t>EP</w:t>
      </w:r>
      <w:r w:rsidR="00627E9E" w:rsidRPr="00A25920">
        <w:rPr>
          <w:rFonts w:ascii="Book Antiqua" w:hAnsi="Book Antiqua" w:cs="Times New Roman"/>
          <w:sz w:val="24"/>
          <w:szCs w:val="24"/>
          <w:vertAlign w:val="subscript"/>
        </w:rPr>
        <w:t>1</w:t>
      </w:r>
      <w:r w:rsidRPr="00A25920">
        <w:rPr>
          <w:rFonts w:ascii="Book Antiqua" w:hAnsi="Book Antiqua" w:cs="Times New Roman"/>
          <w:sz w:val="24"/>
          <w:szCs w:val="24"/>
        </w:rPr>
        <w:t xml:space="preserve"> receptor expression in 73 (62.9%). </w:t>
      </w:r>
    </w:p>
    <w:p w:rsidR="00E60998" w:rsidRPr="00A25920" w:rsidRDefault="00E60998" w:rsidP="00225036">
      <w:pPr>
        <w:snapToGrid w:val="0"/>
        <w:spacing w:after="0" w:line="360" w:lineRule="auto"/>
        <w:jc w:val="both"/>
        <w:rPr>
          <w:rFonts w:ascii="Book Antiqua" w:hAnsi="Book Antiqua" w:cs="Times New Roman"/>
          <w:b/>
          <w:i/>
          <w:sz w:val="24"/>
          <w:szCs w:val="24"/>
        </w:rPr>
      </w:pPr>
    </w:p>
    <w:p w:rsidR="001731E3" w:rsidRPr="00A25920" w:rsidRDefault="00627E9E" w:rsidP="00225036">
      <w:pPr>
        <w:snapToGrid w:val="0"/>
        <w:spacing w:after="0" w:line="360" w:lineRule="auto"/>
        <w:jc w:val="both"/>
        <w:rPr>
          <w:rFonts w:ascii="Book Antiqua" w:hAnsi="Book Antiqua" w:cs="Times New Roman"/>
          <w:b/>
          <w:i/>
          <w:sz w:val="24"/>
          <w:szCs w:val="24"/>
        </w:rPr>
      </w:pPr>
      <w:r w:rsidRPr="00A25920">
        <w:rPr>
          <w:rFonts w:ascii="Book Antiqua" w:hAnsi="Book Antiqua" w:cs="Times New Roman"/>
          <w:b/>
          <w:i/>
          <w:sz w:val="24"/>
          <w:szCs w:val="24"/>
        </w:rPr>
        <w:t>EP</w:t>
      </w:r>
      <w:r w:rsidRPr="00A25920">
        <w:rPr>
          <w:rFonts w:ascii="Book Antiqua" w:hAnsi="Book Antiqua" w:cs="Times New Roman"/>
          <w:b/>
          <w:i/>
          <w:sz w:val="24"/>
          <w:szCs w:val="24"/>
          <w:vertAlign w:val="subscript"/>
        </w:rPr>
        <w:t>1</w:t>
      </w:r>
      <w:r w:rsidR="001731E3" w:rsidRPr="00A25920">
        <w:rPr>
          <w:rFonts w:ascii="Book Antiqua" w:hAnsi="Book Antiqua" w:cs="Times New Roman"/>
          <w:b/>
          <w:i/>
          <w:sz w:val="24"/>
          <w:szCs w:val="24"/>
          <w:vertAlign w:val="subscript"/>
        </w:rPr>
        <w:t xml:space="preserve"> </w:t>
      </w:r>
      <w:r w:rsidR="001731E3" w:rsidRPr="00A25920">
        <w:rPr>
          <w:rFonts w:ascii="Book Antiqua" w:hAnsi="Book Antiqua" w:cs="Times New Roman"/>
          <w:b/>
          <w:i/>
          <w:sz w:val="24"/>
          <w:szCs w:val="24"/>
        </w:rPr>
        <w:t>receptor expression is a prognostic predictor of OS</w:t>
      </w:r>
    </w:p>
    <w:p w:rsidR="00332AD0" w:rsidRPr="00A25920" w:rsidRDefault="00332AD0" w:rsidP="00225036">
      <w:pPr>
        <w:snapToGrid w:val="0"/>
        <w:spacing w:after="0" w:line="360" w:lineRule="auto"/>
        <w:jc w:val="both"/>
        <w:rPr>
          <w:rFonts w:ascii="Book Antiqua" w:hAnsi="Book Antiqua" w:cs="Times New Roman"/>
          <w:sz w:val="24"/>
          <w:szCs w:val="24"/>
        </w:rPr>
      </w:pPr>
      <w:r w:rsidRPr="00A25920">
        <w:rPr>
          <w:rFonts w:ascii="Book Antiqua" w:hAnsi="Book Antiqua" w:cs="Times New Roman"/>
          <w:sz w:val="24"/>
          <w:szCs w:val="24"/>
        </w:rPr>
        <w:t xml:space="preserve">OS was significantly lower among patients with high expression of </w:t>
      </w:r>
      <w:r w:rsidR="00627E9E" w:rsidRPr="00A25920">
        <w:rPr>
          <w:rFonts w:ascii="Book Antiqua" w:hAnsi="Book Antiqua" w:cs="Times New Roman"/>
          <w:sz w:val="24"/>
          <w:szCs w:val="24"/>
        </w:rPr>
        <w:t>EP</w:t>
      </w:r>
      <w:r w:rsidR="00627E9E" w:rsidRPr="00A25920">
        <w:rPr>
          <w:rFonts w:ascii="Book Antiqua" w:hAnsi="Book Antiqua" w:cs="Times New Roman"/>
          <w:sz w:val="24"/>
          <w:szCs w:val="24"/>
          <w:vertAlign w:val="subscript"/>
        </w:rPr>
        <w:t>1</w:t>
      </w:r>
      <w:r w:rsidRPr="00A25920">
        <w:rPr>
          <w:rFonts w:ascii="Book Antiqua" w:hAnsi="Book Antiqua" w:cs="Times New Roman"/>
          <w:sz w:val="24"/>
          <w:szCs w:val="24"/>
        </w:rPr>
        <w:t xml:space="preserve"> receptor than among those with low expression (Fig</w:t>
      </w:r>
      <w:r w:rsidR="00E60998" w:rsidRPr="00A25920">
        <w:rPr>
          <w:rFonts w:ascii="Book Antiqua" w:hAnsi="Book Antiqua" w:cs="Times New Roman" w:hint="eastAsia"/>
          <w:sz w:val="24"/>
          <w:szCs w:val="24"/>
        </w:rPr>
        <w:t>ure</w:t>
      </w:r>
      <w:r w:rsidRPr="00A25920">
        <w:rPr>
          <w:rFonts w:ascii="Book Antiqua" w:hAnsi="Book Antiqua" w:cs="Times New Roman"/>
          <w:sz w:val="24"/>
          <w:szCs w:val="24"/>
        </w:rPr>
        <w:t xml:space="preserve"> 1). OS did not differ significantly between patients with low or high COX-2 expression. DFS did not differ significantly between patients with low or high expression of COX-2 or </w:t>
      </w:r>
      <w:r w:rsidR="00627E9E" w:rsidRPr="00A25920">
        <w:rPr>
          <w:rFonts w:ascii="Book Antiqua" w:hAnsi="Book Antiqua" w:cs="Times New Roman"/>
          <w:sz w:val="24"/>
          <w:szCs w:val="24"/>
        </w:rPr>
        <w:t>EP</w:t>
      </w:r>
      <w:r w:rsidR="00627E9E" w:rsidRPr="00A25920">
        <w:rPr>
          <w:rFonts w:ascii="Book Antiqua" w:hAnsi="Book Antiqua" w:cs="Times New Roman"/>
          <w:sz w:val="24"/>
          <w:szCs w:val="24"/>
          <w:vertAlign w:val="subscript"/>
        </w:rPr>
        <w:t>1</w:t>
      </w:r>
      <w:r w:rsidRPr="00A25920">
        <w:rPr>
          <w:rFonts w:ascii="Book Antiqua" w:hAnsi="Book Antiqua" w:cs="Times New Roman"/>
          <w:sz w:val="24"/>
          <w:szCs w:val="24"/>
        </w:rPr>
        <w:t xml:space="preserve"> receptor.</w:t>
      </w:r>
    </w:p>
    <w:p w:rsidR="00332AD0" w:rsidRPr="00A25920" w:rsidRDefault="00024AE8" w:rsidP="00E60998">
      <w:pPr>
        <w:snapToGrid w:val="0"/>
        <w:spacing w:after="0" w:line="360" w:lineRule="auto"/>
        <w:ind w:firstLineChars="100" w:firstLine="240"/>
        <w:jc w:val="both"/>
        <w:rPr>
          <w:rFonts w:ascii="Book Antiqua" w:hAnsi="Book Antiqua" w:cs="Times New Roman"/>
          <w:sz w:val="24"/>
          <w:szCs w:val="24"/>
        </w:rPr>
      </w:pPr>
      <w:bookmarkStart w:id="35" w:name="OLE_LINK7"/>
      <w:bookmarkStart w:id="36" w:name="OLE_LINK10"/>
      <w:r w:rsidRPr="00A25920">
        <w:rPr>
          <w:rFonts w:ascii="Book Antiqua" w:hAnsi="Book Antiqua" w:cs="Times New Roman"/>
          <w:sz w:val="24"/>
          <w:szCs w:val="24"/>
        </w:rPr>
        <w:t>Cox hazards model</w:t>
      </w:r>
      <w:r w:rsidR="00332AD0" w:rsidRPr="00A25920">
        <w:rPr>
          <w:rFonts w:ascii="Book Antiqua" w:hAnsi="Book Antiqua" w:cs="Times New Roman"/>
          <w:sz w:val="24"/>
          <w:szCs w:val="24"/>
        </w:rPr>
        <w:t xml:space="preserve"> </w:t>
      </w:r>
      <w:r w:rsidR="00D77881" w:rsidRPr="00A25920">
        <w:rPr>
          <w:rFonts w:ascii="Book Antiqua" w:hAnsi="Book Antiqua" w:cs="Times New Roman" w:hint="eastAsia"/>
          <w:sz w:val="24"/>
          <w:szCs w:val="24"/>
        </w:rPr>
        <w:t>shown</w:t>
      </w:r>
      <w:r w:rsidR="00332AD0" w:rsidRPr="00A25920">
        <w:rPr>
          <w:rFonts w:ascii="Book Antiqua" w:hAnsi="Book Antiqua" w:cs="Times New Roman"/>
          <w:sz w:val="24"/>
          <w:szCs w:val="24"/>
        </w:rPr>
        <w:t xml:space="preserve"> </w:t>
      </w:r>
      <w:r w:rsidR="00373DDA" w:rsidRPr="00A25920">
        <w:rPr>
          <w:rFonts w:ascii="Book Antiqua" w:hAnsi="Book Antiqua" w:cs="Times New Roman" w:hint="eastAsia"/>
          <w:sz w:val="24"/>
          <w:szCs w:val="24"/>
        </w:rPr>
        <w:t>3</w:t>
      </w:r>
      <w:r w:rsidR="00332AD0" w:rsidRPr="00A25920">
        <w:rPr>
          <w:rFonts w:ascii="Book Antiqua" w:hAnsi="Book Antiqua" w:cs="Times New Roman"/>
          <w:sz w:val="24"/>
          <w:szCs w:val="24"/>
        </w:rPr>
        <w:t xml:space="preserve"> independent predictors of </w:t>
      </w:r>
      <w:r w:rsidR="00F502B3" w:rsidRPr="00A25920">
        <w:rPr>
          <w:rFonts w:ascii="Book Antiqua" w:hAnsi="Book Antiqua" w:cs="Times New Roman"/>
          <w:sz w:val="24"/>
          <w:szCs w:val="24"/>
        </w:rPr>
        <w:t xml:space="preserve">poor </w:t>
      </w:r>
      <w:r w:rsidR="00E968F4" w:rsidRPr="00A25920">
        <w:rPr>
          <w:rFonts w:ascii="Book Antiqua" w:hAnsi="Book Antiqua" w:cs="Times New Roman"/>
          <w:sz w:val="24"/>
          <w:szCs w:val="24"/>
        </w:rPr>
        <w:t>OS</w:t>
      </w:r>
      <w:bookmarkEnd w:id="35"/>
      <w:bookmarkEnd w:id="36"/>
      <w:r w:rsidR="00E968F4" w:rsidRPr="00A25920">
        <w:rPr>
          <w:rFonts w:ascii="Book Antiqua" w:hAnsi="Book Antiqua" w:cs="Times New Roman"/>
          <w:sz w:val="24"/>
          <w:szCs w:val="24"/>
        </w:rPr>
        <w:t>: tumor size</w:t>
      </w:r>
      <w:r w:rsidR="00E60998" w:rsidRPr="00A25920">
        <w:rPr>
          <w:rFonts w:ascii="Book Antiqua" w:hAnsi="Book Antiqua" w:cs="Times New Roman" w:hint="eastAsia"/>
          <w:sz w:val="24"/>
          <w:szCs w:val="24"/>
        </w:rPr>
        <w:t xml:space="preserve"> </w:t>
      </w:r>
      <w:r w:rsidR="00332AD0" w:rsidRPr="00A25920">
        <w:rPr>
          <w:rFonts w:ascii="Book Antiqua" w:hAnsi="Book Antiqua" w:cs="Times New Roman"/>
          <w:sz w:val="24"/>
          <w:szCs w:val="24"/>
        </w:rPr>
        <w:t>≥</w:t>
      </w:r>
      <w:r w:rsidR="00E60998" w:rsidRPr="00A25920">
        <w:rPr>
          <w:rFonts w:ascii="Book Antiqua" w:hAnsi="Book Antiqua" w:cs="Times New Roman" w:hint="eastAsia"/>
          <w:sz w:val="24"/>
          <w:szCs w:val="24"/>
        </w:rPr>
        <w:t xml:space="preserve"> </w:t>
      </w:r>
      <w:r w:rsidR="009705CF" w:rsidRPr="00A25920">
        <w:rPr>
          <w:rFonts w:ascii="Book Antiqua" w:hAnsi="Book Antiqua" w:cs="Times New Roman"/>
          <w:sz w:val="24"/>
          <w:szCs w:val="24"/>
        </w:rPr>
        <w:t>5 cm,</w:t>
      </w:r>
      <w:r w:rsidR="00505B63" w:rsidRPr="00A25920">
        <w:rPr>
          <w:rFonts w:ascii="Book Antiqua" w:hAnsi="Book Antiqua" w:cs="Times New Roman"/>
          <w:sz w:val="24"/>
          <w:szCs w:val="24"/>
        </w:rPr>
        <w:t xml:space="preserve">high </w:t>
      </w:r>
      <w:r w:rsidR="00332AD0" w:rsidRPr="00A25920">
        <w:rPr>
          <w:rFonts w:ascii="Book Antiqua" w:hAnsi="Book Antiqua" w:cs="Times New Roman"/>
          <w:sz w:val="24"/>
          <w:szCs w:val="24"/>
        </w:rPr>
        <w:t xml:space="preserve">expression </w:t>
      </w:r>
      <w:r w:rsidR="00505B63" w:rsidRPr="00A25920">
        <w:rPr>
          <w:rFonts w:ascii="Book Antiqua" w:hAnsi="Book Antiqua" w:cs="Times New Roman"/>
          <w:sz w:val="24"/>
          <w:szCs w:val="24"/>
        </w:rPr>
        <w:t>of EP</w:t>
      </w:r>
      <w:r w:rsidR="00505B63" w:rsidRPr="00A25920">
        <w:rPr>
          <w:rFonts w:ascii="Book Antiqua" w:hAnsi="Book Antiqua" w:cs="Times New Roman"/>
          <w:sz w:val="24"/>
          <w:szCs w:val="24"/>
          <w:vertAlign w:val="subscript"/>
        </w:rPr>
        <w:t>1</w:t>
      </w:r>
      <w:r w:rsidR="00505B63" w:rsidRPr="00A25920">
        <w:rPr>
          <w:rFonts w:ascii="Book Antiqua" w:hAnsi="Book Antiqua" w:cs="Times New Roman"/>
          <w:sz w:val="24"/>
          <w:szCs w:val="24"/>
        </w:rPr>
        <w:t xml:space="preserve"> receptor</w:t>
      </w:r>
      <w:r w:rsidR="009705CF" w:rsidRPr="00A25920">
        <w:rPr>
          <w:rFonts w:ascii="Book Antiqua" w:hAnsi="Book Antiqua" w:cs="Times New Roman" w:hint="eastAsia"/>
          <w:sz w:val="24"/>
          <w:szCs w:val="24"/>
        </w:rPr>
        <w:t xml:space="preserve"> and </w:t>
      </w:r>
      <w:r w:rsidR="009705CF" w:rsidRPr="00A25920">
        <w:rPr>
          <w:rFonts w:ascii="Book Antiqua" w:hAnsi="Book Antiqua" w:cs="Times New Roman"/>
          <w:sz w:val="24"/>
          <w:szCs w:val="24"/>
        </w:rPr>
        <w:t>AFP</w:t>
      </w:r>
      <w:r w:rsidR="009705CF" w:rsidRPr="00A25920">
        <w:rPr>
          <w:rFonts w:ascii="Book Antiqua" w:hAnsi="Book Antiqua" w:cs="Times New Roman" w:hint="eastAsia"/>
          <w:sz w:val="24"/>
          <w:szCs w:val="24"/>
        </w:rPr>
        <w:t xml:space="preserve"> </w:t>
      </w:r>
      <w:r w:rsidR="009705CF" w:rsidRPr="00A25920">
        <w:rPr>
          <w:rFonts w:ascii="Book Antiqua" w:hAnsi="Book Antiqua" w:cs="Times New Roman"/>
          <w:sz w:val="24"/>
          <w:szCs w:val="24"/>
        </w:rPr>
        <w:t>≥</w:t>
      </w:r>
      <w:r w:rsidR="009705CF" w:rsidRPr="00A25920">
        <w:rPr>
          <w:rFonts w:ascii="Book Antiqua" w:hAnsi="Book Antiqua" w:cs="Times New Roman" w:hint="eastAsia"/>
          <w:sz w:val="24"/>
          <w:szCs w:val="24"/>
        </w:rPr>
        <w:t xml:space="preserve"> </w:t>
      </w:r>
      <w:r w:rsidR="009705CF" w:rsidRPr="00A25920">
        <w:rPr>
          <w:rFonts w:ascii="Book Antiqua" w:hAnsi="Book Antiqua" w:cs="Times New Roman"/>
          <w:sz w:val="24"/>
          <w:szCs w:val="24"/>
        </w:rPr>
        <w:t>40</w:t>
      </w:r>
      <w:r w:rsidR="007C44F4" w:rsidRPr="00A25920">
        <w:rPr>
          <w:rFonts w:ascii="Book Antiqua" w:hAnsi="Book Antiqua" w:cs="Times New Roman"/>
          <w:sz w:val="24"/>
          <w:szCs w:val="24"/>
        </w:rPr>
        <w:t>0 ng/mL</w:t>
      </w:r>
      <w:r w:rsidR="009705CF" w:rsidRPr="00A25920">
        <w:rPr>
          <w:rFonts w:ascii="Book Antiqua" w:hAnsi="Book Antiqua" w:cs="Times New Roman"/>
          <w:sz w:val="24"/>
          <w:szCs w:val="24"/>
        </w:rPr>
        <w:t xml:space="preserve"> </w:t>
      </w:r>
      <w:r w:rsidR="00332AD0" w:rsidRPr="00A25920">
        <w:rPr>
          <w:rFonts w:ascii="Book Antiqua" w:hAnsi="Book Antiqua" w:cs="Times New Roman"/>
          <w:sz w:val="24"/>
          <w:szCs w:val="24"/>
        </w:rPr>
        <w:t>(Table 2).</w:t>
      </w:r>
    </w:p>
    <w:p w:rsidR="00E60998" w:rsidRPr="00A25920" w:rsidRDefault="00E60998" w:rsidP="00225036">
      <w:pPr>
        <w:snapToGrid w:val="0"/>
        <w:spacing w:after="0" w:line="360" w:lineRule="auto"/>
        <w:jc w:val="both"/>
        <w:rPr>
          <w:rFonts w:ascii="Book Antiqua" w:hAnsi="Book Antiqua" w:cs="Times New Roman"/>
          <w:b/>
          <w:i/>
          <w:sz w:val="24"/>
          <w:szCs w:val="24"/>
        </w:rPr>
      </w:pPr>
    </w:p>
    <w:p w:rsidR="00CC1FA3" w:rsidRPr="00A25920" w:rsidRDefault="00CC1FA3" w:rsidP="00225036">
      <w:pPr>
        <w:snapToGrid w:val="0"/>
        <w:spacing w:after="0" w:line="360" w:lineRule="auto"/>
        <w:jc w:val="both"/>
        <w:rPr>
          <w:rFonts w:ascii="Book Antiqua" w:hAnsi="Book Antiqua" w:cs="Times New Roman"/>
          <w:b/>
          <w:i/>
          <w:sz w:val="24"/>
          <w:szCs w:val="24"/>
        </w:rPr>
      </w:pPr>
      <w:r w:rsidRPr="00A25920">
        <w:rPr>
          <w:rFonts w:ascii="Book Antiqua" w:hAnsi="Book Antiqua" w:cs="Times New Roman"/>
          <w:b/>
          <w:i/>
          <w:sz w:val="24"/>
          <w:szCs w:val="24"/>
        </w:rPr>
        <w:t xml:space="preserve">COX-2 and </w:t>
      </w:r>
      <w:r w:rsidR="00627E9E" w:rsidRPr="00A25920">
        <w:rPr>
          <w:rFonts w:ascii="Book Antiqua" w:hAnsi="Book Antiqua" w:cs="Times New Roman"/>
          <w:b/>
          <w:i/>
          <w:sz w:val="24"/>
          <w:szCs w:val="24"/>
        </w:rPr>
        <w:t>EP</w:t>
      </w:r>
      <w:r w:rsidR="00627E9E" w:rsidRPr="00A25920">
        <w:rPr>
          <w:rFonts w:ascii="Book Antiqua" w:hAnsi="Book Antiqua" w:cs="Times New Roman"/>
          <w:b/>
          <w:i/>
          <w:sz w:val="24"/>
          <w:szCs w:val="24"/>
          <w:vertAlign w:val="subscript"/>
        </w:rPr>
        <w:t>1</w:t>
      </w:r>
      <w:r w:rsidRPr="00A25920">
        <w:rPr>
          <w:rFonts w:ascii="Book Antiqua" w:hAnsi="Book Antiqua" w:cs="Times New Roman"/>
          <w:b/>
          <w:i/>
          <w:sz w:val="24"/>
          <w:szCs w:val="24"/>
          <w:vertAlign w:val="subscript"/>
        </w:rPr>
        <w:t xml:space="preserve"> </w:t>
      </w:r>
      <w:r w:rsidRPr="00A25920">
        <w:rPr>
          <w:rFonts w:ascii="Book Antiqua" w:hAnsi="Book Antiqua" w:cs="Times New Roman"/>
          <w:b/>
          <w:i/>
          <w:sz w:val="24"/>
          <w:szCs w:val="24"/>
        </w:rPr>
        <w:t>receptor expression correlates with tumor differentiation</w:t>
      </w:r>
    </w:p>
    <w:p w:rsidR="00C73266" w:rsidRPr="00A25920" w:rsidRDefault="00C73266" w:rsidP="00225036">
      <w:pPr>
        <w:snapToGrid w:val="0"/>
        <w:spacing w:after="0" w:line="360" w:lineRule="auto"/>
        <w:jc w:val="both"/>
        <w:rPr>
          <w:rFonts w:ascii="Book Antiqua" w:hAnsi="Book Antiqua" w:cs="Times New Roman"/>
          <w:sz w:val="24"/>
          <w:szCs w:val="24"/>
        </w:rPr>
      </w:pPr>
      <w:r w:rsidRPr="00A25920">
        <w:rPr>
          <w:rFonts w:ascii="Book Antiqua" w:eastAsia="AdvPTimes" w:hAnsi="Book Antiqua" w:cs="Times New Roman"/>
          <w:sz w:val="24"/>
          <w:szCs w:val="24"/>
        </w:rPr>
        <w:t>COX-2 immunoreactivity was significantly higher in well-differentiated HCC tissues (Edmondson grade I-II) than in poorly differentiated tissues (Edmondson grade III–IV)</w:t>
      </w:r>
      <w:r w:rsidRPr="00A25920" w:rsidDel="00164574">
        <w:rPr>
          <w:rFonts w:ascii="Book Antiqua" w:eastAsia="AdvPTimes" w:hAnsi="Book Antiqua" w:cs="Times New Roman"/>
          <w:sz w:val="24"/>
          <w:szCs w:val="24"/>
        </w:rPr>
        <w:t xml:space="preserve"> </w:t>
      </w:r>
      <w:r w:rsidRPr="00A25920">
        <w:rPr>
          <w:rFonts w:ascii="Book Antiqua" w:eastAsia="AdvPTimes" w:hAnsi="Book Antiqua" w:cs="Times New Roman"/>
          <w:sz w:val="24"/>
          <w:szCs w:val="24"/>
        </w:rPr>
        <w:t>(</w:t>
      </w:r>
      <w:r w:rsidRPr="00A25920">
        <w:rPr>
          <w:rFonts w:ascii="Book Antiqua" w:eastAsia="AdvPTimes" w:hAnsi="Book Antiqua" w:cs="Times New Roman"/>
          <w:i/>
          <w:caps/>
          <w:sz w:val="24"/>
          <w:szCs w:val="24"/>
        </w:rPr>
        <w:t>p</w:t>
      </w:r>
      <w:r w:rsidR="00E60998" w:rsidRPr="00A25920">
        <w:rPr>
          <w:rFonts w:ascii="Book Antiqua" w:hAnsi="Book Antiqua" w:cs="Times New Roman" w:hint="eastAsia"/>
          <w:sz w:val="24"/>
          <w:szCs w:val="24"/>
        </w:rPr>
        <w:t xml:space="preserve"> </w:t>
      </w:r>
      <w:r w:rsidR="0022759B" w:rsidRPr="00A25920">
        <w:rPr>
          <w:rFonts w:ascii="Book Antiqua" w:hAnsi="Book Antiqua" w:cs="Times New Roman"/>
          <w:sz w:val="24"/>
          <w:szCs w:val="24"/>
        </w:rPr>
        <w:t>=</w:t>
      </w:r>
      <w:r w:rsidR="00E60998" w:rsidRPr="00A25920">
        <w:rPr>
          <w:rFonts w:ascii="Book Antiqua" w:hAnsi="Book Antiqua" w:cs="Times New Roman" w:hint="eastAsia"/>
          <w:sz w:val="24"/>
          <w:szCs w:val="24"/>
        </w:rPr>
        <w:t xml:space="preserve"> </w:t>
      </w:r>
      <w:r w:rsidRPr="00A25920">
        <w:rPr>
          <w:rFonts w:ascii="Book Antiqua" w:eastAsia="AdvPTimes" w:hAnsi="Book Antiqua" w:cs="Times New Roman"/>
          <w:sz w:val="24"/>
          <w:szCs w:val="24"/>
        </w:rPr>
        <w:t>0.0</w:t>
      </w:r>
      <w:r w:rsidR="0022759B" w:rsidRPr="00A25920">
        <w:rPr>
          <w:rFonts w:ascii="Book Antiqua" w:hAnsi="Book Antiqua" w:cs="Times New Roman"/>
          <w:sz w:val="24"/>
          <w:szCs w:val="24"/>
        </w:rPr>
        <w:t>03</w:t>
      </w:r>
      <w:r w:rsidRPr="00A25920">
        <w:rPr>
          <w:rFonts w:ascii="Book Antiqua" w:eastAsia="AdvPTimes" w:hAnsi="Book Antiqua" w:cs="Times New Roman"/>
          <w:sz w:val="24"/>
          <w:szCs w:val="24"/>
        </w:rPr>
        <w:t xml:space="preserve">). </w:t>
      </w:r>
      <w:r w:rsidR="00627E9E" w:rsidRPr="00A25920">
        <w:rPr>
          <w:rFonts w:ascii="Book Antiqua" w:eastAsia="AdvPTimes" w:hAnsi="Book Antiqua" w:cs="Times New Roman"/>
          <w:sz w:val="24"/>
          <w:szCs w:val="24"/>
        </w:rPr>
        <w:t>EP</w:t>
      </w:r>
      <w:r w:rsidR="00627E9E" w:rsidRPr="00A25920">
        <w:rPr>
          <w:rFonts w:ascii="Book Antiqua" w:eastAsia="AdvPTimes" w:hAnsi="Book Antiqua" w:cs="Times New Roman"/>
          <w:sz w:val="24"/>
          <w:szCs w:val="24"/>
          <w:vertAlign w:val="subscript"/>
        </w:rPr>
        <w:t>1</w:t>
      </w:r>
      <w:r w:rsidRPr="00A25920">
        <w:rPr>
          <w:rFonts w:ascii="Book Antiqua" w:eastAsia="AdvPTimes" w:hAnsi="Book Antiqua" w:cs="Times New Roman"/>
          <w:sz w:val="24"/>
          <w:szCs w:val="24"/>
        </w:rPr>
        <w:t xml:space="preserve"> receptor immunoreactivity was significantly higher in poorly differentiated tissue than in well-differentiated tissue (Fig</w:t>
      </w:r>
      <w:r w:rsidR="00E60998" w:rsidRPr="00A25920">
        <w:rPr>
          <w:rFonts w:ascii="Book Antiqua" w:hAnsi="Book Antiqua" w:cs="Times New Roman" w:hint="eastAsia"/>
          <w:sz w:val="24"/>
          <w:szCs w:val="24"/>
        </w:rPr>
        <w:t>ure</w:t>
      </w:r>
      <w:r w:rsidRPr="00A25920">
        <w:rPr>
          <w:rFonts w:ascii="Book Antiqua" w:eastAsia="AdvPTimes" w:hAnsi="Book Antiqua" w:cs="Times New Roman"/>
          <w:sz w:val="24"/>
          <w:szCs w:val="24"/>
        </w:rPr>
        <w:t xml:space="preserve"> 2, </w:t>
      </w:r>
      <w:r w:rsidR="00E60998" w:rsidRPr="00A25920">
        <w:rPr>
          <w:rFonts w:ascii="Book Antiqua" w:eastAsia="AdvPTimes" w:hAnsi="Book Antiqua" w:cs="Times New Roman"/>
          <w:i/>
          <w:caps/>
          <w:sz w:val="24"/>
          <w:szCs w:val="24"/>
        </w:rPr>
        <w:t>p</w:t>
      </w:r>
      <w:r w:rsidR="00E60998" w:rsidRPr="00A25920">
        <w:rPr>
          <w:rFonts w:ascii="Book Antiqua" w:hAnsi="Book Antiqua" w:cs="Times New Roman"/>
          <w:sz w:val="24"/>
          <w:szCs w:val="24"/>
        </w:rPr>
        <w:t xml:space="preserve"> </w:t>
      </w:r>
      <w:r w:rsidR="0022759B" w:rsidRPr="00A25920">
        <w:rPr>
          <w:rFonts w:ascii="Book Antiqua" w:hAnsi="Book Antiqua" w:cs="Times New Roman"/>
          <w:sz w:val="24"/>
          <w:szCs w:val="24"/>
        </w:rPr>
        <w:t>=</w:t>
      </w:r>
      <w:r w:rsidR="00E60998" w:rsidRPr="00A25920">
        <w:rPr>
          <w:rFonts w:ascii="Book Antiqua" w:hAnsi="Book Antiqua" w:cs="Times New Roman" w:hint="eastAsia"/>
          <w:sz w:val="24"/>
          <w:szCs w:val="24"/>
        </w:rPr>
        <w:t xml:space="preserve"> </w:t>
      </w:r>
      <w:r w:rsidR="0022759B" w:rsidRPr="00A25920">
        <w:rPr>
          <w:rFonts w:ascii="Book Antiqua" w:eastAsia="AdvPTimes" w:hAnsi="Book Antiqua" w:cs="Times New Roman"/>
          <w:sz w:val="24"/>
          <w:szCs w:val="24"/>
        </w:rPr>
        <w:t>0.0</w:t>
      </w:r>
      <w:r w:rsidR="0022759B" w:rsidRPr="00A25920">
        <w:rPr>
          <w:rFonts w:ascii="Book Antiqua" w:hAnsi="Book Antiqua" w:cs="Times New Roman"/>
          <w:sz w:val="24"/>
          <w:szCs w:val="24"/>
        </w:rPr>
        <w:t>01</w:t>
      </w:r>
      <w:r w:rsidRPr="00A25920">
        <w:rPr>
          <w:rFonts w:ascii="Book Antiqua" w:eastAsia="AdvPTimes" w:hAnsi="Book Antiqua" w:cs="Times New Roman"/>
          <w:sz w:val="24"/>
          <w:szCs w:val="24"/>
        </w:rPr>
        <w:t>). Fig</w:t>
      </w:r>
      <w:r w:rsidR="00E60998" w:rsidRPr="00A25920">
        <w:rPr>
          <w:rFonts w:ascii="Book Antiqua" w:hAnsi="Book Antiqua" w:cs="Times New Roman" w:hint="eastAsia"/>
          <w:sz w:val="24"/>
          <w:szCs w:val="24"/>
        </w:rPr>
        <w:t xml:space="preserve">ure </w:t>
      </w:r>
      <w:r w:rsidRPr="00A25920">
        <w:rPr>
          <w:rFonts w:ascii="Book Antiqua" w:eastAsia="AdvPTimes" w:hAnsi="Book Antiqua" w:cs="Times New Roman"/>
          <w:sz w:val="24"/>
          <w:szCs w:val="24"/>
        </w:rPr>
        <w:t>3</w:t>
      </w:r>
      <w:r w:rsidRPr="00A25920">
        <w:rPr>
          <w:rFonts w:ascii="Book Antiqua" w:hAnsi="Book Antiqua" w:cs="Times New Roman"/>
          <w:b/>
          <w:i/>
          <w:sz w:val="24"/>
          <w:szCs w:val="24"/>
        </w:rPr>
        <w:t xml:space="preserve"> </w:t>
      </w:r>
      <w:r w:rsidRPr="00A25920">
        <w:rPr>
          <w:rFonts w:ascii="Book Antiqua" w:hAnsi="Book Antiqua" w:cs="Times New Roman"/>
          <w:sz w:val="24"/>
          <w:szCs w:val="24"/>
        </w:rPr>
        <w:t>shows representative examples of different staining results in tissues of different histology grade.</w:t>
      </w:r>
    </w:p>
    <w:p w:rsidR="00C73266" w:rsidRPr="00A25920" w:rsidRDefault="00C73266" w:rsidP="00225036">
      <w:pPr>
        <w:snapToGrid w:val="0"/>
        <w:spacing w:after="0" w:line="360" w:lineRule="auto"/>
        <w:jc w:val="both"/>
        <w:rPr>
          <w:rFonts w:ascii="Book Antiqua" w:hAnsi="Book Antiqua" w:cs="Times New Roman"/>
          <w:b/>
          <w:i/>
          <w:sz w:val="24"/>
          <w:szCs w:val="24"/>
        </w:rPr>
      </w:pPr>
    </w:p>
    <w:p w:rsidR="003162C1" w:rsidRPr="00A25920" w:rsidRDefault="003162C1" w:rsidP="00225036">
      <w:pPr>
        <w:snapToGrid w:val="0"/>
        <w:spacing w:after="0" w:line="360" w:lineRule="auto"/>
        <w:jc w:val="both"/>
        <w:rPr>
          <w:rFonts w:ascii="Book Antiqua" w:hAnsi="Book Antiqua" w:cs="Times New Roman"/>
          <w:b/>
          <w:caps/>
          <w:sz w:val="24"/>
          <w:szCs w:val="24"/>
        </w:rPr>
      </w:pPr>
      <w:r w:rsidRPr="00A25920">
        <w:rPr>
          <w:rFonts w:ascii="Book Antiqua" w:hAnsi="Book Antiqua" w:cs="Times New Roman"/>
          <w:b/>
          <w:caps/>
          <w:sz w:val="24"/>
          <w:szCs w:val="24"/>
        </w:rPr>
        <w:t>Discussion</w:t>
      </w:r>
    </w:p>
    <w:p w:rsidR="0097074D" w:rsidRPr="00A25920" w:rsidRDefault="0097074D" w:rsidP="00225036">
      <w:pPr>
        <w:snapToGrid w:val="0"/>
        <w:spacing w:after="0" w:line="360" w:lineRule="auto"/>
        <w:jc w:val="both"/>
        <w:rPr>
          <w:rFonts w:ascii="Book Antiqua" w:hAnsi="Book Antiqua" w:cs="Times New Roman"/>
          <w:sz w:val="24"/>
          <w:szCs w:val="24"/>
        </w:rPr>
      </w:pPr>
      <w:r w:rsidRPr="00A25920">
        <w:rPr>
          <w:rFonts w:ascii="Book Antiqua" w:hAnsi="Book Antiqua" w:cs="Times New Roman"/>
          <w:sz w:val="24"/>
          <w:szCs w:val="24"/>
        </w:rPr>
        <w:t xml:space="preserve">HCC is one of the most aggressive tumors and it features poor prognosis. Some patients can undergo curative resection, but this treatment is associated with a high rate of intrahepatic recurrence. Most patients with HCC are ineligible for resection because their disease has already reached an advanced stage by the time it is diagnosed. These patients are treated with local or systemic adjuvant modalities that provide only short-term regression, stabilizations, or symptomatic control. Therefore new therapeutic strategies are needed that may improve long-term survival. </w:t>
      </w:r>
    </w:p>
    <w:p w:rsidR="00393D9E" w:rsidRPr="00A25920" w:rsidRDefault="00393D9E" w:rsidP="00E60998">
      <w:pPr>
        <w:snapToGrid w:val="0"/>
        <w:spacing w:after="0" w:line="360" w:lineRule="auto"/>
        <w:ind w:firstLineChars="100" w:firstLine="240"/>
        <w:jc w:val="both"/>
        <w:rPr>
          <w:rFonts w:ascii="Book Antiqua" w:hAnsi="Book Antiqua" w:cs="Times New Roman"/>
          <w:sz w:val="24"/>
          <w:szCs w:val="24"/>
        </w:rPr>
      </w:pPr>
      <w:r w:rsidRPr="00A25920">
        <w:rPr>
          <w:rFonts w:ascii="Book Antiqua" w:hAnsi="Book Antiqua" w:cs="Times New Roman"/>
          <w:sz w:val="24"/>
          <w:szCs w:val="24"/>
        </w:rPr>
        <w:t xml:space="preserve">Our results implicate the </w:t>
      </w:r>
      <w:r w:rsidR="00627E9E" w:rsidRPr="00A25920">
        <w:rPr>
          <w:rFonts w:ascii="Book Antiqua" w:hAnsi="Book Antiqua" w:cs="Times New Roman"/>
          <w:sz w:val="24"/>
          <w:szCs w:val="24"/>
        </w:rPr>
        <w:t>EP</w:t>
      </w:r>
      <w:r w:rsidR="00627E9E" w:rsidRPr="00A25920">
        <w:rPr>
          <w:rFonts w:ascii="Book Antiqua" w:hAnsi="Book Antiqua" w:cs="Times New Roman"/>
          <w:sz w:val="24"/>
          <w:szCs w:val="24"/>
          <w:vertAlign w:val="subscript"/>
        </w:rPr>
        <w:t>1</w:t>
      </w:r>
      <w:r w:rsidRPr="00A25920">
        <w:rPr>
          <w:rFonts w:ascii="Book Antiqua" w:hAnsi="Book Antiqua" w:cs="Times New Roman"/>
          <w:sz w:val="24"/>
          <w:szCs w:val="24"/>
          <w:vertAlign w:val="subscript"/>
        </w:rPr>
        <w:t xml:space="preserve"> </w:t>
      </w:r>
      <w:r w:rsidRPr="00A25920">
        <w:rPr>
          <w:rFonts w:ascii="Book Antiqua" w:hAnsi="Book Antiqua" w:cs="Times New Roman"/>
          <w:sz w:val="24"/>
          <w:szCs w:val="24"/>
        </w:rPr>
        <w:t xml:space="preserve">receptor in HCC progression, suggesting that it may be a reasonable therapeutic target. High expression of </w:t>
      </w:r>
      <w:r w:rsidR="00627E9E" w:rsidRPr="00A25920">
        <w:rPr>
          <w:rFonts w:ascii="Book Antiqua" w:hAnsi="Book Antiqua" w:cs="Times New Roman"/>
          <w:sz w:val="24"/>
          <w:szCs w:val="24"/>
        </w:rPr>
        <w:t>EP</w:t>
      </w:r>
      <w:r w:rsidR="00627E9E" w:rsidRPr="00A25920">
        <w:rPr>
          <w:rFonts w:ascii="Book Antiqua" w:hAnsi="Book Antiqua" w:cs="Times New Roman"/>
          <w:sz w:val="24"/>
          <w:szCs w:val="24"/>
          <w:vertAlign w:val="subscript"/>
        </w:rPr>
        <w:t>1</w:t>
      </w:r>
      <w:r w:rsidRPr="00A25920">
        <w:rPr>
          <w:rFonts w:ascii="Book Antiqua" w:hAnsi="Book Antiqua" w:cs="Times New Roman"/>
          <w:sz w:val="24"/>
          <w:szCs w:val="24"/>
        </w:rPr>
        <w:t xml:space="preserve"> receptor was associated with poor prognosis in our patients, and expression was significantly higher in poorly differentiated tissue than in well-differentiated tissue.</w:t>
      </w:r>
      <w:r w:rsidR="00E60998" w:rsidRPr="00A25920">
        <w:rPr>
          <w:rFonts w:ascii="Book Antiqua" w:hAnsi="Book Antiqua" w:cs="Times New Roman" w:hint="eastAsia"/>
          <w:sz w:val="24"/>
          <w:szCs w:val="24"/>
        </w:rPr>
        <w:t xml:space="preserve"> </w:t>
      </w:r>
      <w:r w:rsidRPr="00A25920">
        <w:rPr>
          <w:rFonts w:ascii="Book Antiqua" w:hAnsi="Book Antiqua" w:cs="Times New Roman"/>
          <w:sz w:val="24"/>
          <w:szCs w:val="24"/>
        </w:rPr>
        <w:t>The observed correlation of higher expression with poorer differentiation is consistent with a previous study</w:t>
      </w:r>
      <w:r w:rsidR="00504E55" w:rsidRPr="00A25920">
        <w:rPr>
          <w:rFonts w:ascii="Book Antiqua" w:hAnsi="Book Antiqua" w:cs="Times New Roman"/>
          <w:sz w:val="24"/>
          <w:szCs w:val="24"/>
        </w:rPr>
        <w:fldChar w:fldCharType="begin"/>
      </w:r>
      <w:r w:rsidR="00504E55" w:rsidRPr="00A25920">
        <w:rPr>
          <w:rFonts w:ascii="Book Antiqua" w:hAnsi="Book Antiqua" w:cs="Times New Roman"/>
          <w:sz w:val="24"/>
          <w:szCs w:val="24"/>
        </w:rPr>
        <w:instrText xml:space="preserve"> ADDIN NE.Ref.{9F9B38BA-DFD4-4BF0-8DFE-BFB6B3A6C2E9}</w:instrText>
      </w:r>
      <w:r w:rsidR="00504E55" w:rsidRPr="00A25920">
        <w:rPr>
          <w:rFonts w:ascii="Book Antiqua" w:hAnsi="Book Antiqua" w:cs="Times New Roman"/>
          <w:sz w:val="24"/>
          <w:szCs w:val="24"/>
        </w:rPr>
        <w:fldChar w:fldCharType="separate"/>
      </w:r>
      <w:r w:rsidR="00462A3E" w:rsidRPr="00A25920">
        <w:rPr>
          <w:rFonts w:ascii="Book Antiqua" w:hAnsi="Book Antiqua" w:cs="Book Antiqua"/>
          <w:sz w:val="24"/>
          <w:szCs w:val="24"/>
          <w:vertAlign w:val="superscript"/>
        </w:rPr>
        <w:t>[18]</w:t>
      </w:r>
      <w:r w:rsidR="00504E55" w:rsidRPr="00A25920">
        <w:rPr>
          <w:rFonts w:ascii="Book Antiqua" w:hAnsi="Book Antiqua" w:cs="Times New Roman"/>
          <w:sz w:val="24"/>
          <w:szCs w:val="24"/>
        </w:rPr>
        <w:fldChar w:fldCharType="end"/>
      </w:r>
      <w:r w:rsidRPr="00A25920">
        <w:rPr>
          <w:rFonts w:ascii="Book Antiqua" w:hAnsi="Book Antiqua" w:cs="Times New Roman"/>
          <w:sz w:val="24"/>
          <w:szCs w:val="24"/>
        </w:rPr>
        <w:t xml:space="preserve">. These results suggest that targeting the </w:t>
      </w:r>
      <w:r w:rsidR="00627E9E" w:rsidRPr="00A25920">
        <w:rPr>
          <w:rFonts w:ascii="Book Antiqua" w:hAnsi="Book Antiqua" w:cs="Times New Roman"/>
          <w:sz w:val="24"/>
          <w:szCs w:val="24"/>
        </w:rPr>
        <w:t>EP</w:t>
      </w:r>
      <w:r w:rsidR="00627E9E" w:rsidRPr="00A25920">
        <w:rPr>
          <w:rFonts w:ascii="Book Antiqua" w:hAnsi="Book Antiqua" w:cs="Times New Roman"/>
          <w:sz w:val="24"/>
          <w:szCs w:val="24"/>
          <w:vertAlign w:val="subscript"/>
        </w:rPr>
        <w:t>1</w:t>
      </w:r>
      <w:r w:rsidRPr="00A25920">
        <w:rPr>
          <w:rFonts w:ascii="Book Antiqua" w:hAnsi="Book Antiqua" w:cs="Times New Roman"/>
          <w:sz w:val="24"/>
          <w:szCs w:val="24"/>
        </w:rPr>
        <w:t xml:space="preserve"> receptor may provide a more selective approach to treating HCC than using COX inhibitors to block prostaglandin E2 synthesis, which increases risk of cardiovascular events</w:t>
      </w:r>
      <w:r w:rsidR="00C410FE" w:rsidRPr="00A25920">
        <w:rPr>
          <w:rFonts w:ascii="Book Antiqua" w:hAnsi="Book Antiqua" w:cs="Times New Roman"/>
          <w:sz w:val="24"/>
          <w:szCs w:val="24"/>
        </w:rPr>
        <w:fldChar w:fldCharType="begin"/>
      </w:r>
      <w:r w:rsidR="00C410FE" w:rsidRPr="00A25920">
        <w:rPr>
          <w:rFonts w:ascii="Book Antiqua" w:hAnsi="Book Antiqua" w:cs="Times New Roman"/>
          <w:sz w:val="24"/>
          <w:szCs w:val="24"/>
        </w:rPr>
        <w:instrText xml:space="preserve"> ADDIN NE.Ref.{FCCD6D85-62EC-4775-AF36-44E938CABA0C}</w:instrText>
      </w:r>
      <w:r w:rsidR="00C410FE" w:rsidRPr="00A25920">
        <w:rPr>
          <w:rFonts w:ascii="Book Antiqua" w:hAnsi="Book Antiqua" w:cs="Times New Roman"/>
          <w:sz w:val="24"/>
          <w:szCs w:val="24"/>
        </w:rPr>
        <w:fldChar w:fldCharType="separate"/>
      </w:r>
      <w:r w:rsidR="00462A3E" w:rsidRPr="00A25920">
        <w:rPr>
          <w:rFonts w:ascii="Book Antiqua" w:hAnsi="Book Antiqua" w:cs="Book Antiqua"/>
          <w:sz w:val="24"/>
          <w:szCs w:val="24"/>
          <w:vertAlign w:val="superscript"/>
        </w:rPr>
        <w:t>[28]</w:t>
      </w:r>
      <w:r w:rsidR="00C410FE" w:rsidRPr="00A25920">
        <w:rPr>
          <w:rFonts w:ascii="Book Antiqua" w:hAnsi="Book Antiqua" w:cs="Times New Roman"/>
          <w:sz w:val="24"/>
          <w:szCs w:val="24"/>
        </w:rPr>
        <w:fldChar w:fldCharType="end"/>
      </w:r>
      <w:r w:rsidRPr="00A25920">
        <w:rPr>
          <w:rFonts w:ascii="Book Antiqua" w:hAnsi="Book Antiqua" w:cs="Times New Roman"/>
          <w:sz w:val="24"/>
          <w:szCs w:val="24"/>
        </w:rPr>
        <w:t>.</w:t>
      </w:r>
    </w:p>
    <w:p w:rsidR="00531387" w:rsidRPr="00A25920" w:rsidRDefault="00531387" w:rsidP="00E60998">
      <w:pPr>
        <w:snapToGrid w:val="0"/>
        <w:spacing w:after="0" w:line="360" w:lineRule="auto"/>
        <w:ind w:firstLineChars="100" w:firstLine="240"/>
        <w:jc w:val="both"/>
        <w:rPr>
          <w:rFonts w:ascii="Book Antiqua" w:hAnsi="Book Antiqua" w:cs="Times New Roman"/>
          <w:sz w:val="24"/>
          <w:szCs w:val="24"/>
        </w:rPr>
      </w:pPr>
      <w:r w:rsidRPr="00A25920">
        <w:rPr>
          <w:rFonts w:ascii="Book Antiqua" w:hAnsi="Book Antiqua" w:cs="Times New Roman"/>
          <w:sz w:val="24"/>
          <w:szCs w:val="24"/>
        </w:rPr>
        <w:t>Although studies have associated COX-2 expression with differentiation, invasion and metastasis in HCC</w:t>
      </w:r>
      <w:r w:rsidR="0033114E" w:rsidRPr="00A25920">
        <w:rPr>
          <w:rFonts w:ascii="Book Antiqua" w:hAnsi="Book Antiqua" w:cs="Times New Roman"/>
          <w:sz w:val="24"/>
          <w:szCs w:val="24"/>
        </w:rPr>
        <w:fldChar w:fldCharType="begin"/>
      </w:r>
      <w:r w:rsidR="0033114E" w:rsidRPr="00A25920">
        <w:rPr>
          <w:rFonts w:ascii="Book Antiqua" w:hAnsi="Book Antiqua" w:cs="Times New Roman"/>
          <w:sz w:val="24"/>
          <w:szCs w:val="24"/>
        </w:rPr>
        <w:instrText xml:space="preserve"> ADDIN NE.Ref.{9ADB321F-0C4A-49D7-9BE6-1AC2ECD63AC1}</w:instrText>
      </w:r>
      <w:r w:rsidR="0033114E" w:rsidRPr="00A25920">
        <w:rPr>
          <w:rFonts w:ascii="Book Antiqua" w:hAnsi="Book Antiqua" w:cs="Times New Roman"/>
          <w:sz w:val="24"/>
          <w:szCs w:val="24"/>
        </w:rPr>
        <w:fldChar w:fldCharType="separate"/>
      </w:r>
      <w:r w:rsidR="00E60998" w:rsidRPr="00A25920">
        <w:rPr>
          <w:rFonts w:ascii="Book Antiqua" w:hAnsi="Book Antiqua" w:cs="Book Antiqua"/>
          <w:sz w:val="24"/>
          <w:szCs w:val="24"/>
          <w:vertAlign w:val="superscript"/>
        </w:rPr>
        <w:t>[3,18,</w:t>
      </w:r>
      <w:r w:rsidR="00462A3E" w:rsidRPr="00A25920">
        <w:rPr>
          <w:rFonts w:ascii="Book Antiqua" w:hAnsi="Book Antiqua" w:cs="Book Antiqua"/>
          <w:sz w:val="24"/>
          <w:szCs w:val="24"/>
          <w:vertAlign w:val="superscript"/>
        </w:rPr>
        <w:t>24]</w:t>
      </w:r>
      <w:r w:rsidR="0033114E" w:rsidRPr="00A25920">
        <w:rPr>
          <w:rFonts w:ascii="Book Antiqua" w:hAnsi="Book Antiqua" w:cs="Times New Roman"/>
          <w:sz w:val="24"/>
          <w:szCs w:val="24"/>
        </w:rPr>
        <w:fldChar w:fldCharType="end"/>
      </w:r>
      <w:r w:rsidRPr="00A25920">
        <w:rPr>
          <w:rFonts w:ascii="Book Antiqua" w:hAnsi="Book Antiqua" w:cs="Times New Roman"/>
          <w:sz w:val="24"/>
          <w:szCs w:val="24"/>
        </w:rPr>
        <w:t xml:space="preserve">, they have not linked it with survival. In the present study, we failed to find an influence of COX-2 expression on survival when patients were dichotomized into groups showing low or high </w:t>
      </w:r>
      <w:r w:rsidRPr="00A25920">
        <w:rPr>
          <w:rFonts w:ascii="Book Antiqua" w:hAnsi="Book Antiqua" w:cs="Times New Roman"/>
          <w:sz w:val="24"/>
          <w:szCs w:val="24"/>
        </w:rPr>
        <w:lastRenderedPageBreak/>
        <w:t xml:space="preserve">expression. </w:t>
      </w:r>
      <w:r w:rsidR="00682A7E" w:rsidRPr="00A25920">
        <w:rPr>
          <w:rFonts w:ascii="Book Antiqua" w:hAnsi="Book Antiqua" w:cs="Times New Roman"/>
          <w:sz w:val="24"/>
          <w:szCs w:val="24"/>
        </w:rPr>
        <w:t xml:space="preserve">While it is possible that a more quantitative approach may turn up associations between COX-2 levels and survival, we believe it is more likely that expression of COX-2 may be important only during initiation of HCC, </w:t>
      </w:r>
      <w:r w:rsidRPr="00A25920">
        <w:rPr>
          <w:rFonts w:ascii="Book Antiqua" w:hAnsi="Book Antiqua" w:cs="Times New Roman"/>
          <w:sz w:val="24"/>
          <w:szCs w:val="24"/>
        </w:rPr>
        <w:t xml:space="preserve">whereas the </w:t>
      </w:r>
      <w:r w:rsidR="00627E9E" w:rsidRPr="00A25920">
        <w:rPr>
          <w:rFonts w:ascii="Book Antiqua" w:hAnsi="Book Antiqua" w:cs="Times New Roman"/>
          <w:sz w:val="24"/>
          <w:szCs w:val="24"/>
        </w:rPr>
        <w:t>EP</w:t>
      </w:r>
      <w:r w:rsidR="00627E9E" w:rsidRPr="00A25920">
        <w:rPr>
          <w:rFonts w:ascii="Book Antiqua" w:hAnsi="Book Antiqua" w:cs="Times New Roman"/>
          <w:sz w:val="24"/>
          <w:szCs w:val="24"/>
          <w:vertAlign w:val="subscript"/>
        </w:rPr>
        <w:t>1</w:t>
      </w:r>
      <w:r w:rsidRPr="00A25920">
        <w:rPr>
          <w:rFonts w:ascii="Book Antiqua" w:hAnsi="Book Antiqua" w:cs="Times New Roman"/>
          <w:sz w:val="24"/>
          <w:szCs w:val="24"/>
        </w:rPr>
        <w:t xml:space="preserve"> receptor, which is the downstream target of the prostaglandin E2 generated by COX-2, may be involved in disease progression. This may help explain why we observed a</w:t>
      </w:r>
      <w:r w:rsidR="00E60998" w:rsidRPr="00A25920">
        <w:rPr>
          <w:rFonts w:ascii="Book Antiqua" w:hAnsi="Book Antiqua" w:cs="Times New Roman" w:hint="eastAsia"/>
          <w:sz w:val="24"/>
          <w:szCs w:val="24"/>
        </w:rPr>
        <w:t xml:space="preserve"> </w:t>
      </w:r>
      <w:r w:rsidR="001748C9" w:rsidRPr="00A25920">
        <w:rPr>
          <w:rFonts w:ascii="Book Antiqua" w:hAnsi="Book Antiqua" w:cs="Times New Roman"/>
          <w:sz w:val="24"/>
          <w:szCs w:val="24"/>
        </w:rPr>
        <w:t>different</w:t>
      </w:r>
      <w:r w:rsidRPr="00A25920">
        <w:rPr>
          <w:rFonts w:ascii="Book Antiqua" w:hAnsi="Book Antiqua" w:cs="Times New Roman"/>
          <w:sz w:val="24"/>
          <w:szCs w:val="24"/>
        </w:rPr>
        <w:t xml:space="preserve"> relationship between expression of COX-2 and </w:t>
      </w:r>
      <w:r w:rsidR="00627E9E" w:rsidRPr="00A25920">
        <w:rPr>
          <w:rFonts w:ascii="Book Antiqua" w:hAnsi="Book Antiqua" w:cs="Times New Roman"/>
          <w:sz w:val="24"/>
          <w:szCs w:val="24"/>
        </w:rPr>
        <w:t>EP</w:t>
      </w:r>
      <w:r w:rsidR="00627E9E" w:rsidRPr="00A25920">
        <w:rPr>
          <w:rFonts w:ascii="Book Antiqua" w:hAnsi="Book Antiqua" w:cs="Times New Roman"/>
          <w:sz w:val="24"/>
          <w:szCs w:val="24"/>
          <w:vertAlign w:val="subscript"/>
        </w:rPr>
        <w:t>1</w:t>
      </w:r>
      <w:r w:rsidRPr="00A25920">
        <w:rPr>
          <w:rFonts w:ascii="Book Antiqua" w:hAnsi="Book Antiqua" w:cs="Times New Roman"/>
          <w:sz w:val="24"/>
          <w:szCs w:val="24"/>
        </w:rPr>
        <w:t xml:space="preserve"> receptor: patients with high expression of one showed low expression of the other. This may also explain why we found that expression of </w:t>
      </w:r>
      <w:r w:rsidR="00627E9E" w:rsidRPr="00A25920">
        <w:rPr>
          <w:rFonts w:ascii="Book Antiqua" w:hAnsi="Book Antiqua" w:cs="Times New Roman"/>
          <w:sz w:val="24"/>
          <w:szCs w:val="24"/>
        </w:rPr>
        <w:t>EP</w:t>
      </w:r>
      <w:r w:rsidR="00627E9E" w:rsidRPr="00A25920">
        <w:rPr>
          <w:rFonts w:ascii="Book Antiqua" w:hAnsi="Book Antiqua" w:cs="Times New Roman"/>
          <w:sz w:val="24"/>
          <w:szCs w:val="24"/>
          <w:vertAlign w:val="subscript"/>
        </w:rPr>
        <w:t>1</w:t>
      </w:r>
      <w:r w:rsidRPr="00A25920">
        <w:rPr>
          <w:rFonts w:ascii="Book Antiqua" w:hAnsi="Book Antiqua" w:cs="Times New Roman"/>
          <w:sz w:val="24"/>
          <w:szCs w:val="24"/>
        </w:rPr>
        <w:t xml:space="preserve"> receptor, but not COX-2 receptor, predicted OS in our cohort.</w:t>
      </w:r>
    </w:p>
    <w:p w:rsidR="001E7919" w:rsidRPr="00A25920" w:rsidRDefault="00B549A3" w:rsidP="00E60998">
      <w:pPr>
        <w:autoSpaceDE w:val="0"/>
        <w:autoSpaceDN w:val="0"/>
        <w:adjustRightInd w:val="0"/>
        <w:snapToGrid w:val="0"/>
        <w:spacing w:after="0" w:line="360" w:lineRule="auto"/>
        <w:ind w:firstLineChars="100" w:firstLine="240"/>
        <w:jc w:val="both"/>
        <w:rPr>
          <w:rFonts w:ascii="Book Antiqua" w:hAnsi="Book Antiqua" w:cs="Times New Roman"/>
          <w:sz w:val="24"/>
          <w:szCs w:val="24"/>
        </w:rPr>
      </w:pPr>
      <w:r w:rsidRPr="00A25920">
        <w:rPr>
          <w:rFonts w:ascii="Book Antiqua" w:hAnsi="Book Antiqua" w:cs="Times New Roman"/>
          <w:sz w:val="24"/>
          <w:szCs w:val="24"/>
        </w:rPr>
        <w:t xml:space="preserve">Several factors may help explain why high expression of </w:t>
      </w:r>
      <w:r w:rsidR="00627E9E" w:rsidRPr="00A25920">
        <w:rPr>
          <w:rFonts w:ascii="Book Antiqua" w:hAnsi="Book Antiqua" w:cs="Times New Roman"/>
          <w:sz w:val="24"/>
          <w:szCs w:val="24"/>
        </w:rPr>
        <w:t>EP</w:t>
      </w:r>
      <w:r w:rsidR="00627E9E" w:rsidRPr="00A25920">
        <w:rPr>
          <w:rFonts w:ascii="Book Antiqua" w:hAnsi="Book Antiqua" w:cs="Times New Roman"/>
          <w:sz w:val="24"/>
          <w:szCs w:val="24"/>
          <w:vertAlign w:val="subscript"/>
        </w:rPr>
        <w:t>1</w:t>
      </w:r>
      <w:r w:rsidRPr="00A25920">
        <w:rPr>
          <w:rFonts w:ascii="Book Antiqua" w:hAnsi="Book Antiqua" w:cs="Times New Roman"/>
          <w:sz w:val="24"/>
          <w:szCs w:val="24"/>
        </w:rPr>
        <w:t xml:space="preserve"> receptor predicts poor survival. The receptor enhances tumor cell proliferation, invasion and migration</w:t>
      </w:r>
      <w:r w:rsidR="00504E55" w:rsidRPr="00A25920">
        <w:rPr>
          <w:rFonts w:ascii="Book Antiqua" w:hAnsi="Book Antiqua" w:cs="Times New Roman"/>
          <w:sz w:val="24"/>
          <w:szCs w:val="24"/>
        </w:rPr>
        <w:fldChar w:fldCharType="begin"/>
      </w:r>
      <w:r w:rsidR="00504E55" w:rsidRPr="00A25920">
        <w:rPr>
          <w:rFonts w:ascii="Book Antiqua" w:hAnsi="Book Antiqua" w:cs="Times New Roman"/>
          <w:sz w:val="24"/>
          <w:szCs w:val="24"/>
        </w:rPr>
        <w:instrText xml:space="preserve"> ADDIN NE.Ref.{DE4254DC-D7E2-49BF-ACBE-72DC03B1E143}</w:instrText>
      </w:r>
      <w:r w:rsidR="00504E55" w:rsidRPr="00A25920">
        <w:rPr>
          <w:rFonts w:ascii="Book Antiqua" w:hAnsi="Book Antiqua" w:cs="Times New Roman"/>
          <w:sz w:val="24"/>
          <w:szCs w:val="24"/>
        </w:rPr>
        <w:fldChar w:fldCharType="separate"/>
      </w:r>
      <w:r w:rsidR="00E60998" w:rsidRPr="00A25920">
        <w:rPr>
          <w:rFonts w:ascii="Book Antiqua" w:hAnsi="Book Antiqua" w:cs="Book Antiqua"/>
          <w:sz w:val="24"/>
          <w:szCs w:val="24"/>
          <w:vertAlign w:val="superscript"/>
        </w:rPr>
        <w:t>[4,6,29,</w:t>
      </w:r>
      <w:r w:rsidR="00462A3E" w:rsidRPr="00A25920">
        <w:rPr>
          <w:rFonts w:ascii="Book Antiqua" w:hAnsi="Book Antiqua" w:cs="Book Antiqua"/>
          <w:sz w:val="24"/>
          <w:szCs w:val="24"/>
          <w:vertAlign w:val="superscript"/>
        </w:rPr>
        <w:t>30]</w:t>
      </w:r>
      <w:r w:rsidR="00504E55" w:rsidRPr="00A25920">
        <w:rPr>
          <w:rFonts w:ascii="Book Antiqua" w:hAnsi="Book Antiqua" w:cs="Times New Roman"/>
          <w:sz w:val="24"/>
          <w:szCs w:val="24"/>
        </w:rPr>
        <w:fldChar w:fldCharType="end"/>
      </w:r>
      <w:r w:rsidRPr="00A25920">
        <w:rPr>
          <w:rFonts w:ascii="Book Antiqua" w:hAnsi="Book Antiqua" w:cs="Times New Roman"/>
          <w:sz w:val="24"/>
          <w:szCs w:val="24"/>
        </w:rPr>
        <w:t>, as well as adaptation to hypoxic conditions</w:t>
      </w:r>
      <w:r w:rsidR="00504E55" w:rsidRPr="00A25920">
        <w:rPr>
          <w:rFonts w:ascii="Book Antiqua" w:hAnsi="Book Antiqua" w:cs="Times New Roman"/>
          <w:sz w:val="24"/>
          <w:szCs w:val="24"/>
        </w:rPr>
        <w:fldChar w:fldCharType="begin"/>
      </w:r>
      <w:r w:rsidR="00504E55" w:rsidRPr="00A25920">
        <w:rPr>
          <w:rFonts w:ascii="Book Antiqua" w:hAnsi="Book Antiqua" w:cs="Times New Roman"/>
          <w:sz w:val="24"/>
          <w:szCs w:val="24"/>
        </w:rPr>
        <w:instrText xml:space="preserve"> ADDIN NE.Ref.{CA7FF5D1-02BF-43B9-B2A6-C7B674C203B6}</w:instrText>
      </w:r>
      <w:r w:rsidR="00504E55" w:rsidRPr="00A25920">
        <w:rPr>
          <w:rFonts w:ascii="Book Antiqua" w:hAnsi="Book Antiqua" w:cs="Times New Roman"/>
          <w:sz w:val="24"/>
          <w:szCs w:val="24"/>
        </w:rPr>
        <w:fldChar w:fldCharType="separate"/>
      </w:r>
      <w:r w:rsidR="0040608A" w:rsidRPr="00A25920">
        <w:rPr>
          <w:rFonts w:ascii="Book Antiqua" w:hAnsi="Book Antiqua" w:cs="Book Antiqua"/>
          <w:sz w:val="24"/>
          <w:szCs w:val="24"/>
          <w:vertAlign w:val="superscript"/>
        </w:rPr>
        <w:t>[6,</w:t>
      </w:r>
      <w:r w:rsidR="00462A3E" w:rsidRPr="00A25920">
        <w:rPr>
          <w:rFonts w:ascii="Book Antiqua" w:hAnsi="Book Antiqua" w:cs="Book Antiqua"/>
          <w:sz w:val="24"/>
          <w:szCs w:val="24"/>
          <w:vertAlign w:val="superscript"/>
        </w:rPr>
        <w:t>31]</w:t>
      </w:r>
      <w:r w:rsidR="00504E55" w:rsidRPr="00A25920">
        <w:rPr>
          <w:rFonts w:ascii="Book Antiqua" w:hAnsi="Book Antiqua" w:cs="Times New Roman"/>
          <w:sz w:val="24"/>
          <w:szCs w:val="24"/>
        </w:rPr>
        <w:fldChar w:fldCharType="end"/>
      </w:r>
      <w:r w:rsidRPr="00A25920">
        <w:rPr>
          <w:rFonts w:ascii="Book Antiqua" w:hAnsi="Book Antiqua" w:cs="Times New Roman"/>
          <w:sz w:val="24"/>
          <w:szCs w:val="24"/>
        </w:rPr>
        <w:t>. The receptor has also been reported to inhibit immune function and promote progression of</w:t>
      </w:r>
      <w:r w:rsidR="00470F0D" w:rsidRPr="00A25920">
        <w:rPr>
          <w:rFonts w:ascii="Book Antiqua" w:hAnsi="Book Antiqua" w:cs="Times New Roman"/>
          <w:sz w:val="24"/>
          <w:szCs w:val="24"/>
        </w:rPr>
        <w:t xml:space="preserve"> tumor</w:t>
      </w:r>
      <w:r w:rsidR="00470F0D" w:rsidRPr="00A25920">
        <w:rPr>
          <w:rFonts w:ascii="Book Antiqua" w:hAnsi="Book Antiqua" w:cs="Times New Roman"/>
          <w:sz w:val="24"/>
          <w:szCs w:val="24"/>
        </w:rPr>
        <w:fldChar w:fldCharType="begin"/>
      </w:r>
      <w:r w:rsidR="00470F0D" w:rsidRPr="00A25920">
        <w:rPr>
          <w:rFonts w:ascii="Book Antiqua" w:hAnsi="Book Antiqua" w:cs="Times New Roman"/>
          <w:sz w:val="24"/>
          <w:szCs w:val="24"/>
        </w:rPr>
        <w:instrText xml:space="preserve"> ADDIN NE.Ref.{5B6D283B-E343-4AB1-B880-7AA8109B10A4}</w:instrText>
      </w:r>
      <w:r w:rsidR="00470F0D" w:rsidRPr="00A25920">
        <w:rPr>
          <w:rFonts w:ascii="Book Antiqua" w:hAnsi="Book Antiqua" w:cs="Times New Roman"/>
          <w:sz w:val="24"/>
          <w:szCs w:val="24"/>
        </w:rPr>
        <w:fldChar w:fldCharType="separate"/>
      </w:r>
      <w:r w:rsidR="00462A3E" w:rsidRPr="00A25920">
        <w:rPr>
          <w:rFonts w:ascii="Book Antiqua" w:hAnsi="Book Antiqua" w:cs="Book Antiqua"/>
          <w:sz w:val="24"/>
          <w:szCs w:val="24"/>
          <w:vertAlign w:val="superscript"/>
        </w:rPr>
        <w:t>[32]</w:t>
      </w:r>
      <w:r w:rsidR="00470F0D" w:rsidRPr="00A25920">
        <w:rPr>
          <w:rFonts w:ascii="Book Antiqua" w:hAnsi="Book Antiqua" w:cs="Times New Roman"/>
          <w:sz w:val="24"/>
          <w:szCs w:val="24"/>
        </w:rPr>
        <w:fldChar w:fldCharType="end"/>
      </w:r>
      <w:r w:rsidRPr="00A25920">
        <w:rPr>
          <w:rFonts w:ascii="Book Antiqua" w:hAnsi="Book Antiqua" w:cs="Times New Roman"/>
          <w:sz w:val="24"/>
          <w:szCs w:val="24"/>
        </w:rPr>
        <w:t xml:space="preserve">. The </w:t>
      </w:r>
      <w:r w:rsidR="00627E9E" w:rsidRPr="00A25920">
        <w:rPr>
          <w:rFonts w:ascii="Book Antiqua" w:hAnsi="Book Antiqua" w:cs="Times New Roman"/>
          <w:sz w:val="24"/>
          <w:szCs w:val="24"/>
        </w:rPr>
        <w:t>EP</w:t>
      </w:r>
      <w:r w:rsidR="00627E9E" w:rsidRPr="00A25920">
        <w:rPr>
          <w:rFonts w:ascii="Book Antiqua" w:hAnsi="Book Antiqua" w:cs="Times New Roman"/>
          <w:sz w:val="24"/>
          <w:szCs w:val="24"/>
          <w:vertAlign w:val="subscript"/>
        </w:rPr>
        <w:t>1</w:t>
      </w:r>
      <w:r w:rsidRPr="00A25920">
        <w:rPr>
          <w:rFonts w:ascii="Book Antiqua" w:hAnsi="Book Antiqua" w:cs="Times New Roman"/>
          <w:sz w:val="24"/>
          <w:szCs w:val="24"/>
        </w:rPr>
        <w:t xml:space="preserve"> receptor can even induce prostaglandin E2 production by binding to the receptor of Fas ligand</w:t>
      </w:r>
      <w:r w:rsidR="00504E55" w:rsidRPr="00A25920">
        <w:rPr>
          <w:rFonts w:ascii="Book Antiqua" w:hAnsi="Book Antiqua" w:cs="Times New Roman"/>
          <w:sz w:val="24"/>
          <w:szCs w:val="24"/>
        </w:rPr>
        <w:fldChar w:fldCharType="begin"/>
      </w:r>
      <w:r w:rsidR="00504E55" w:rsidRPr="00A25920">
        <w:rPr>
          <w:rFonts w:ascii="Book Antiqua" w:hAnsi="Book Antiqua" w:cs="Times New Roman"/>
          <w:sz w:val="24"/>
          <w:szCs w:val="24"/>
        </w:rPr>
        <w:instrText xml:space="preserve"> ADDIN NE.Ref.{73336157-117F-4644-AE54-DA227DC485DE}</w:instrText>
      </w:r>
      <w:r w:rsidR="00504E55" w:rsidRPr="00A25920">
        <w:rPr>
          <w:rFonts w:ascii="Book Antiqua" w:hAnsi="Book Antiqua" w:cs="Times New Roman"/>
          <w:sz w:val="24"/>
          <w:szCs w:val="24"/>
        </w:rPr>
        <w:fldChar w:fldCharType="separate"/>
      </w:r>
      <w:r w:rsidR="00462A3E" w:rsidRPr="00A25920">
        <w:rPr>
          <w:rFonts w:ascii="Book Antiqua" w:hAnsi="Book Antiqua" w:cs="Book Antiqua"/>
          <w:sz w:val="24"/>
          <w:szCs w:val="24"/>
          <w:vertAlign w:val="superscript"/>
        </w:rPr>
        <w:t>[32-34]</w:t>
      </w:r>
      <w:r w:rsidR="00504E55" w:rsidRPr="00A25920">
        <w:rPr>
          <w:rFonts w:ascii="Book Antiqua" w:hAnsi="Book Antiqua" w:cs="Times New Roman"/>
          <w:sz w:val="24"/>
          <w:szCs w:val="24"/>
        </w:rPr>
        <w:fldChar w:fldCharType="end"/>
      </w:r>
      <w:r w:rsidRPr="00A25920">
        <w:rPr>
          <w:rFonts w:ascii="Book Antiqua" w:hAnsi="Book Antiqua" w:cs="Times New Roman"/>
          <w:sz w:val="24"/>
          <w:szCs w:val="24"/>
        </w:rPr>
        <w:t xml:space="preserve">. </w:t>
      </w:r>
    </w:p>
    <w:p w:rsidR="00A001E6" w:rsidRPr="00A25920" w:rsidRDefault="00B54DEB" w:rsidP="00B54DEB">
      <w:pPr>
        <w:autoSpaceDE w:val="0"/>
        <w:autoSpaceDN w:val="0"/>
        <w:adjustRightInd w:val="0"/>
        <w:snapToGrid w:val="0"/>
        <w:spacing w:after="0" w:line="360" w:lineRule="auto"/>
        <w:ind w:firstLineChars="100" w:firstLine="240"/>
        <w:jc w:val="both"/>
        <w:rPr>
          <w:rFonts w:ascii="Book Antiqua" w:hAnsi="Book Antiqua" w:cs="Times New Roman"/>
          <w:sz w:val="24"/>
          <w:szCs w:val="24"/>
        </w:rPr>
      </w:pPr>
      <w:r w:rsidRPr="00A25920">
        <w:rPr>
          <w:rFonts w:ascii="Book Antiqua" w:hAnsi="Book Antiqua" w:cs="Times New Roman"/>
          <w:sz w:val="24"/>
          <w:szCs w:val="24"/>
        </w:rPr>
        <w:t xml:space="preserve">In this article, there are some </w:t>
      </w:r>
      <w:r w:rsidR="00A001E6" w:rsidRPr="00A25920">
        <w:rPr>
          <w:rFonts w:ascii="Book Antiqua" w:hAnsi="Book Antiqua" w:cs="Times New Roman"/>
          <w:sz w:val="24"/>
          <w:szCs w:val="24"/>
        </w:rPr>
        <w:t xml:space="preserve">limitations. </w:t>
      </w:r>
      <w:r w:rsidR="00DD0F02" w:rsidRPr="00A25920">
        <w:rPr>
          <w:rFonts w:ascii="Book Antiqua" w:hAnsi="Book Antiqua" w:cs="Times New Roman"/>
          <w:sz w:val="24"/>
          <w:szCs w:val="24"/>
        </w:rPr>
        <w:t>First, in this draft, the authors used only HE method, more accurate and q</w:t>
      </w:r>
      <w:r w:rsidR="00E60998" w:rsidRPr="00A25920">
        <w:rPr>
          <w:rFonts w:ascii="Book Antiqua" w:hAnsi="Book Antiqua" w:cs="Times New Roman"/>
          <w:sz w:val="24"/>
          <w:szCs w:val="24"/>
        </w:rPr>
        <w:t>uantitative method, such as Western blot</w:t>
      </w:r>
      <w:r w:rsidR="00DD0F02" w:rsidRPr="00A25920">
        <w:rPr>
          <w:rFonts w:ascii="Book Antiqua" w:hAnsi="Book Antiqua" w:cs="Times New Roman"/>
          <w:sz w:val="24"/>
          <w:szCs w:val="24"/>
        </w:rPr>
        <w:t>,</w:t>
      </w:r>
      <w:r w:rsidR="00E60998" w:rsidRPr="00A25920">
        <w:rPr>
          <w:rFonts w:ascii="Book Antiqua" w:hAnsi="Book Antiqua" w:cs="Times New Roman" w:hint="eastAsia"/>
          <w:sz w:val="24"/>
          <w:szCs w:val="24"/>
        </w:rPr>
        <w:t xml:space="preserve"> </w:t>
      </w:r>
      <w:r w:rsidR="00DD0F02" w:rsidRPr="00A25920">
        <w:rPr>
          <w:rFonts w:ascii="Book Antiqua" w:hAnsi="Book Antiqua" w:cs="Times New Roman"/>
          <w:sz w:val="24"/>
          <w:szCs w:val="24"/>
        </w:rPr>
        <w:t xml:space="preserve">polymerase chain reaction </w:t>
      </w:r>
      <w:r w:rsidR="00DD0F02" w:rsidRPr="00A25920">
        <w:rPr>
          <w:rFonts w:ascii="Book Antiqua" w:hAnsi="Book Antiqua" w:cs="Times New Roman"/>
          <w:i/>
          <w:sz w:val="24"/>
          <w:szCs w:val="24"/>
        </w:rPr>
        <w:t>et</w:t>
      </w:r>
      <w:r w:rsidR="00E60998" w:rsidRPr="00A25920">
        <w:rPr>
          <w:rFonts w:ascii="Book Antiqua" w:hAnsi="Book Antiqua" w:cs="Times New Roman" w:hint="eastAsia"/>
          <w:i/>
          <w:sz w:val="24"/>
          <w:szCs w:val="24"/>
        </w:rPr>
        <w:t>c.</w:t>
      </w:r>
      <w:r w:rsidR="00DD0F02" w:rsidRPr="00A25920">
        <w:rPr>
          <w:rFonts w:ascii="Book Antiqua" w:hAnsi="Book Antiqua" w:cs="Times New Roman"/>
          <w:sz w:val="24"/>
          <w:szCs w:val="24"/>
        </w:rPr>
        <w:t>,</w:t>
      </w:r>
      <w:r w:rsidR="00E60998" w:rsidRPr="00A25920">
        <w:rPr>
          <w:rFonts w:ascii="Book Antiqua" w:hAnsi="Book Antiqua" w:cs="Times New Roman" w:hint="eastAsia"/>
          <w:sz w:val="24"/>
          <w:szCs w:val="24"/>
        </w:rPr>
        <w:t xml:space="preserve"> </w:t>
      </w:r>
      <w:r w:rsidR="00DD0F02" w:rsidRPr="00A25920">
        <w:rPr>
          <w:rFonts w:ascii="Book Antiqua" w:hAnsi="Book Antiqua" w:cs="Times New Roman"/>
          <w:sz w:val="24"/>
          <w:szCs w:val="24"/>
        </w:rPr>
        <w:t>should be applied in future studies</w:t>
      </w:r>
      <w:r w:rsidR="00A001E6" w:rsidRPr="00A25920">
        <w:rPr>
          <w:rFonts w:ascii="Book Antiqua" w:hAnsi="Book Antiqua" w:cs="Times New Roman"/>
          <w:sz w:val="24"/>
          <w:szCs w:val="24"/>
        </w:rPr>
        <w:t xml:space="preserve">. Secondly, as we known, other cytokines except COX-2, EP1 have been reported to be tightly connected with HCC. These cytokines may involve in different aspects of the pathogenesis of HCC and should be explored as </w:t>
      </w:r>
      <w:r w:rsidR="00292160" w:rsidRPr="00A25920">
        <w:rPr>
          <w:rFonts w:ascii="Book Antiqua" w:hAnsi="Book Antiqua" w:cs="Times New Roman"/>
          <w:sz w:val="24"/>
          <w:szCs w:val="24"/>
        </w:rPr>
        <w:t>a network pattern in future stud</w:t>
      </w:r>
      <w:r w:rsidR="00A001E6" w:rsidRPr="00A25920">
        <w:rPr>
          <w:rFonts w:ascii="Book Antiqua" w:hAnsi="Book Antiqua" w:cs="Times New Roman"/>
          <w:sz w:val="24"/>
          <w:szCs w:val="24"/>
        </w:rPr>
        <w:t>ies.</w:t>
      </w:r>
    </w:p>
    <w:p w:rsidR="000859BD" w:rsidRPr="00A25920" w:rsidRDefault="00A001E6" w:rsidP="00E60998">
      <w:pPr>
        <w:widowControl w:val="0"/>
        <w:autoSpaceDE w:val="0"/>
        <w:autoSpaceDN w:val="0"/>
        <w:adjustRightInd w:val="0"/>
        <w:snapToGrid w:val="0"/>
        <w:spacing w:after="0" w:line="360" w:lineRule="auto"/>
        <w:ind w:firstLineChars="100" w:firstLine="240"/>
        <w:jc w:val="both"/>
        <w:rPr>
          <w:rFonts w:ascii="Book Antiqua" w:hAnsi="Book Antiqua" w:cs="Times New Roman"/>
          <w:sz w:val="24"/>
          <w:szCs w:val="24"/>
        </w:rPr>
      </w:pPr>
      <w:r w:rsidRPr="00A25920">
        <w:rPr>
          <w:rFonts w:ascii="Book Antiqua" w:hAnsi="Book Antiqua" w:cs="Times New Roman"/>
          <w:sz w:val="24"/>
          <w:szCs w:val="24"/>
        </w:rPr>
        <w:t>In conclusion, our results suggest that COX-2 expression correlates with an</w:t>
      </w:r>
      <w:r w:rsidR="00E60998" w:rsidRPr="00A25920">
        <w:rPr>
          <w:rFonts w:ascii="Book Antiqua" w:hAnsi="Book Antiqua" w:cs="Times New Roman" w:hint="eastAsia"/>
          <w:sz w:val="24"/>
          <w:szCs w:val="24"/>
        </w:rPr>
        <w:t xml:space="preserve"> </w:t>
      </w:r>
      <w:r w:rsidRPr="00A25920">
        <w:rPr>
          <w:rFonts w:ascii="Book Antiqua" w:hAnsi="Book Antiqua" w:cs="Times New Roman"/>
          <w:sz w:val="24"/>
          <w:szCs w:val="24"/>
        </w:rPr>
        <w:t>early event during initiation of HCC, while EP1 receptor expression plays an important role in tumor progression and predicts OS.</w:t>
      </w:r>
    </w:p>
    <w:p w:rsidR="00E60998" w:rsidRPr="00A25920" w:rsidRDefault="00E60998" w:rsidP="00225036">
      <w:pPr>
        <w:snapToGrid w:val="0"/>
        <w:spacing w:after="0" w:line="360" w:lineRule="auto"/>
        <w:jc w:val="both"/>
        <w:rPr>
          <w:rFonts w:ascii="Book Antiqua" w:eastAsia="AdvP49811" w:hAnsi="Book Antiqua"/>
          <w:b/>
          <w:sz w:val="24"/>
          <w:szCs w:val="24"/>
        </w:rPr>
      </w:pPr>
    </w:p>
    <w:p w:rsidR="000859BD" w:rsidRPr="00A25920" w:rsidRDefault="000859BD" w:rsidP="00225036">
      <w:pPr>
        <w:snapToGrid w:val="0"/>
        <w:spacing w:after="0" w:line="360" w:lineRule="auto"/>
        <w:jc w:val="both"/>
        <w:rPr>
          <w:rFonts w:ascii="Book Antiqua" w:eastAsia="AdvP49811" w:hAnsi="Book Antiqua"/>
          <w:b/>
          <w:sz w:val="24"/>
          <w:szCs w:val="24"/>
        </w:rPr>
      </w:pPr>
      <w:r w:rsidRPr="00A25920">
        <w:rPr>
          <w:rFonts w:ascii="Book Antiqua" w:eastAsia="AdvP49811" w:hAnsi="Book Antiqua"/>
          <w:b/>
          <w:sz w:val="24"/>
          <w:szCs w:val="24"/>
        </w:rPr>
        <w:t>COMMENTS</w:t>
      </w:r>
    </w:p>
    <w:p w:rsidR="000859BD" w:rsidRPr="00A25920" w:rsidRDefault="000859BD" w:rsidP="00225036">
      <w:pPr>
        <w:snapToGrid w:val="0"/>
        <w:spacing w:after="0" w:line="360" w:lineRule="auto"/>
        <w:jc w:val="both"/>
        <w:rPr>
          <w:rFonts w:ascii="Book Antiqua" w:eastAsia="AdvP49811" w:hAnsi="Book Antiqua"/>
          <w:b/>
          <w:i/>
          <w:sz w:val="24"/>
          <w:szCs w:val="24"/>
        </w:rPr>
      </w:pPr>
      <w:r w:rsidRPr="00A25920">
        <w:rPr>
          <w:rFonts w:ascii="Book Antiqua" w:eastAsia="AdvP49811" w:hAnsi="Book Antiqua"/>
          <w:b/>
          <w:i/>
          <w:sz w:val="24"/>
          <w:szCs w:val="24"/>
        </w:rPr>
        <w:t>Background</w:t>
      </w:r>
    </w:p>
    <w:p w:rsidR="006664CB" w:rsidRPr="00A25920" w:rsidRDefault="006664CB" w:rsidP="00225036">
      <w:pPr>
        <w:snapToGrid w:val="0"/>
        <w:spacing w:after="0" w:line="360" w:lineRule="auto"/>
        <w:jc w:val="both"/>
        <w:rPr>
          <w:rFonts w:ascii="Book Antiqua" w:eastAsia="AdvP49811" w:hAnsi="Book Antiqua"/>
          <w:sz w:val="24"/>
          <w:szCs w:val="24"/>
        </w:rPr>
      </w:pPr>
      <w:r w:rsidRPr="00A25920">
        <w:rPr>
          <w:rFonts w:ascii="Book Antiqua" w:eastAsia="AdvP49811" w:hAnsi="Book Antiqua"/>
          <w:sz w:val="24"/>
          <w:szCs w:val="24"/>
        </w:rPr>
        <w:t xml:space="preserve">Hepatocellular carcinoma (HCC) is one of the most aggressive tumors and the third most frequent cause of cancer-related death in the world. Although </w:t>
      </w:r>
      <w:r w:rsidRPr="00A25920">
        <w:rPr>
          <w:rFonts w:ascii="Book Antiqua" w:eastAsia="AdvP49811" w:hAnsi="Book Antiqua"/>
          <w:sz w:val="24"/>
          <w:szCs w:val="24"/>
        </w:rPr>
        <w:lastRenderedPageBreak/>
        <w:t>early diagnosis and treatment of HCC have improved substantially, prognosis remains unsatisfactory. HCC often involves highly malignant tumors that respond poorly or not at all to adjuvant systemic and local therapies. This highlights the need for new approaches to prevent and treat the disease.</w:t>
      </w:r>
    </w:p>
    <w:p w:rsidR="00E60998" w:rsidRPr="00A25920" w:rsidRDefault="00E60998" w:rsidP="00225036">
      <w:pPr>
        <w:snapToGrid w:val="0"/>
        <w:spacing w:after="0" w:line="360" w:lineRule="auto"/>
        <w:jc w:val="both"/>
        <w:rPr>
          <w:rFonts w:ascii="Book Antiqua" w:hAnsi="Book Antiqua"/>
          <w:b/>
          <w:i/>
          <w:sz w:val="24"/>
          <w:szCs w:val="24"/>
        </w:rPr>
      </w:pPr>
    </w:p>
    <w:p w:rsidR="000859BD" w:rsidRPr="00A25920" w:rsidRDefault="000859BD" w:rsidP="00225036">
      <w:pPr>
        <w:snapToGrid w:val="0"/>
        <w:spacing w:after="0" w:line="360" w:lineRule="auto"/>
        <w:jc w:val="both"/>
        <w:rPr>
          <w:rFonts w:ascii="Book Antiqua" w:hAnsi="Book Antiqua"/>
          <w:b/>
          <w:i/>
          <w:sz w:val="24"/>
          <w:szCs w:val="24"/>
        </w:rPr>
      </w:pPr>
      <w:r w:rsidRPr="00A25920">
        <w:rPr>
          <w:rFonts w:ascii="Book Antiqua" w:hAnsi="Book Antiqua"/>
          <w:b/>
          <w:i/>
          <w:sz w:val="24"/>
          <w:szCs w:val="24"/>
        </w:rPr>
        <w:t>Research frontiers</w:t>
      </w:r>
    </w:p>
    <w:p w:rsidR="000C7A9A" w:rsidRPr="00A25920" w:rsidRDefault="000C7A9A" w:rsidP="00225036">
      <w:pPr>
        <w:snapToGrid w:val="0"/>
        <w:spacing w:after="0" w:line="360" w:lineRule="auto"/>
        <w:jc w:val="both"/>
        <w:rPr>
          <w:rFonts w:ascii="Book Antiqua" w:hAnsi="Book Antiqua"/>
          <w:sz w:val="24"/>
          <w:szCs w:val="24"/>
        </w:rPr>
      </w:pPr>
      <w:r w:rsidRPr="00A25920">
        <w:rPr>
          <w:rFonts w:ascii="Book Antiqua" w:hAnsi="Book Antiqua"/>
          <w:sz w:val="24"/>
          <w:szCs w:val="24"/>
        </w:rPr>
        <w:t>Two molecules that may be involved with HCC at different stages, and that therefore may be useful for understanding the pathogenesis and progression of the disease, are cyclooxygenase-2 (COX-2) and prostaglandin E2 receptor (EP1 receptor). These molecules have already been shown to play important roles in onset of various cancers, including HCC</w:t>
      </w:r>
      <w:r w:rsidR="00D22955" w:rsidRPr="00A25920">
        <w:rPr>
          <w:rFonts w:ascii="Book Antiqua" w:hAnsi="Book Antiqua"/>
          <w:sz w:val="24"/>
          <w:szCs w:val="24"/>
        </w:rPr>
        <w:t>.</w:t>
      </w:r>
    </w:p>
    <w:p w:rsidR="00E60998" w:rsidRPr="00A25920" w:rsidRDefault="00E60998" w:rsidP="00225036">
      <w:pPr>
        <w:snapToGrid w:val="0"/>
        <w:spacing w:after="0" w:line="360" w:lineRule="auto"/>
        <w:jc w:val="both"/>
        <w:rPr>
          <w:rFonts w:ascii="Book Antiqua" w:hAnsi="Book Antiqua"/>
          <w:b/>
          <w:i/>
          <w:sz w:val="24"/>
          <w:szCs w:val="24"/>
        </w:rPr>
      </w:pPr>
    </w:p>
    <w:p w:rsidR="000859BD" w:rsidRPr="00A25920" w:rsidRDefault="000859BD" w:rsidP="00225036">
      <w:pPr>
        <w:snapToGrid w:val="0"/>
        <w:spacing w:after="0" w:line="360" w:lineRule="auto"/>
        <w:jc w:val="both"/>
        <w:rPr>
          <w:rFonts w:ascii="Book Antiqua" w:hAnsi="Book Antiqua"/>
          <w:b/>
          <w:i/>
          <w:sz w:val="24"/>
          <w:szCs w:val="24"/>
        </w:rPr>
      </w:pPr>
      <w:r w:rsidRPr="00A25920">
        <w:rPr>
          <w:rFonts w:ascii="Book Antiqua" w:hAnsi="Book Antiqua"/>
          <w:b/>
          <w:i/>
          <w:sz w:val="24"/>
          <w:szCs w:val="24"/>
        </w:rPr>
        <w:t>Innovations and breakthroughs</w:t>
      </w:r>
    </w:p>
    <w:p w:rsidR="00BA07D6" w:rsidRPr="00A25920" w:rsidRDefault="00E60998" w:rsidP="00225036">
      <w:pPr>
        <w:snapToGrid w:val="0"/>
        <w:spacing w:after="0" w:line="360" w:lineRule="auto"/>
        <w:jc w:val="both"/>
        <w:rPr>
          <w:rFonts w:ascii="Book Antiqua" w:eastAsia="AdvPTimes" w:hAnsi="Book Antiqua"/>
          <w:sz w:val="24"/>
          <w:szCs w:val="24"/>
        </w:rPr>
      </w:pPr>
      <w:r w:rsidRPr="00A25920">
        <w:rPr>
          <w:rFonts w:ascii="Book Antiqua" w:hAnsi="Book Antiqua" w:hint="eastAsia"/>
          <w:sz w:val="24"/>
          <w:szCs w:val="24"/>
        </w:rPr>
        <w:t xml:space="preserve">The authors </w:t>
      </w:r>
      <w:r w:rsidR="00BA07D6" w:rsidRPr="00A25920">
        <w:rPr>
          <w:rFonts w:ascii="Book Antiqua" w:eastAsia="AdvPTimes" w:hAnsi="Book Antiqua"/>
          <w:sz w:val="24"/>
          <w:szCs w:val="24"/>
        </w:rPr>
        <w:t xml:space="preserve">retrospectively reviewed the records of 116 patients with HCC who underwent surgery between 2008 and 2011 at </w:t>
      </w:r>
      <w:r w:rsidRPr="00A25920">
        <w:rPr>
          <w:rFonts w:ascii="Book Antiqua" w:hAnsi="Book Antiqua" w:hint="eastAsia"/>
          <w:sz w:val="24"/>
          <w:szCs w:val="24"/>
        </w:rPr>
        <w:t xml:space="preserve">their </w:t>
      </w:r>
      <w:r w:rsidR="00BA07D6" w:rsidRPr="00A25920">
        <w:rPr>
          <w:rFonts w:ascii="Book Antiqua" w:eastAsia="AdvPTimes" w:hAnsi="Book Antiqua"/>
          <w:sz w:val="24"/>
          <w:szCs w:val="24"/>
        </w:rPr>
        <w:t>hospital,</w:t>
      </w:r>
      <w:r w:rsidRPr="00A25920">
        <w:rPr>
          <w:rFonts w:ascii="Book Antiqua" w:hAnsi="Book Antiqua" w:hint="eastAsia"/>
          <w:sz w:val="24"/>
          <w:szCs w:val="24"/>
        </w:rPr>
        <w:t xml:space="preserve"> </w:t>
      </w:r>
      <w:r w:rsidR="00BA07D6" w:rsidRPr="00A25920">
        <w:rPr>
          <w:rFonts w:ascii="Book Antiqua" w:eastAsia="AdvPTimes" w:hAnsi="Book Antiqua"/>
          <w:sz w:val="24"/>
          <w:szCs w:val="24"/>
        </w:rPr>
        <w:t>and found COX-2 expression appears linked to early HCC events (initiation), while EP1 receptor expression may participate in tumor progression and predict survival.</w:t>
      </w:r>
    </w:p>
    <w:p w:rsidR="00E60998" w:rsidRPr="00A25920" w:rsidRDefault="00E60998" w:rsidP="00225036">
      <w:pPr>
        <w:snapToGrid w:val="0"/>
        <w:spacing w:after="0" w:line="360" w:lineRule="auto"/>
        <w:jc w:val="both"/>
        <w:rPr>
          <w:rFonts w:ascii="Book Antiqua" w:hAnsi="Book Antiqua"/>
          <w:b/>
          <w:i/>
          <w:sz w:val="24"/>
          <w:szCs w:val="24"/>
        </w:rPr>
      </w:pPr>
    </w:p>
    <w:p w:rsidR="000859BD" w:rsidRPr="00A25920" w:rsidRDefault="000859BD" w:rsidP="00225036">
      <w:pPr>
        <w:snapToGrid w:val="0"/>
        <w:spacing w:after="0" w:line="360" w:lineRule="auto"/>
        <w:jc w:val="both"/>
        <w:rPr>
          <w:rFonts w:ascii="Book Antiqua" w:hAnsi="Book Antiqua"/>
          <w:b/>
          <w:i/>
          <w:sz w:val="24"/>
          <w:szCs w:val="24"/>
        </w:rPr>
      </w:pPr>
      <w:r w:rsidRPr="00A25920">
        <w:rPr>
          <w:rFonts w:ascii="Book Antiqua" w:hAnsi="Book Antiqua"/>
          <w:b/>
          <w:i/>
          <w:sz w:val="24"/>
          <w:szCs w:val="24"/>
        </w:rPr>
        <w:t>Applications</w:t>
      </w:r>
    </w:p>
    <w:p w:rsidR="00165D16" w:rsidRPr="00A25920" w:rsidRDefault="00E60998" w:rsidP="00225036">
      <w:pPr>
        <w:snapToGrid w:val="0"/>
        <w:spacing w:after="0" w:line="360" w:lineRule="auto"/>
        <w:jc w:val="both"/>
        <w:rPr>
          <w:rFonts w:ascii="Book Antiqua" w:hAnsi="Book Antiqua"/>
          <w:sz w:val="24"/>
          <w:szCs w:val="24"/>
        </w:rPr>
      </w:pPr>
      <w:r w:rsidRPr="00A25920">
        <w:rPr>
          <w:rFonts w:ascii="Book Antiqua" w:hAnsi="Book Antiqua" w:hint="eastAsia"/>
          <w:sz w:val="24"/>
          <w:szCs w:val="24"/>
        </w:rPr>
        <w:t xml:space="preserve">These </w:t>
      </w:r>
      <w:r w:rsidR="003339E3" w:rsidRPr="00A25920">
        <w:rPr>
          <w:rFonts w:ascii="Book Antiqua" w:hAnsi="Book Antiqua"/>
          <w:sz w:val="24"/>
          <w:szCs w:val="24"/>
        </w:rPr>
        <w:t>results suggest that targeting the EP1 receptor may provide a more selective approach to treating HCC than using COX inhibitors to block prostaglandin E2 synthesis, which increases risk of cardiovascular events</w:t>
      </w:r>
      <w:r w:rsidRPr="00A25920">
        <w:rPr>
          <w:rFonts w:ascii="Book Antiqua" w:hAnsi="Book Antiqua" w:hint="eastAsia"/>
          <w:sz w:val="24"/>
          <w:szCs w:val="24"/>
        </w:rPr>
        <w:t>.</w:t>
      </w:r>
    </w:p>
    <w:p w:rsidR="00E60998" w:rsidRPr="00A25920" w:rsidRDefault="00E60998" w:rsidP="00225036">
      <w:pPr>
        <w:snapToGrid w:val="0"/>
        <w:spacing w:after="0" w:line="360" w:lineRule="auto"/>
        <w:jc w:val="both"/>
        <w:rPr>
          <w:rFonts w:ascii="Book Antiqua" w:hAnsi="Book Antiqua"/>
          <w:b/>
          <w:i/>
          <w:sz w:val="24"/>
          <w:szCs w:val="24"/>
        </w:rPr>
      </w:pPr>
    </w:p>
    <w:p w:rsidR="000859BD" w:rsidRPr="00A25920" w:rsidRDefault="000859BD" w:rsidP="00225036">
      <w:pPr>
        <w:snapToGrid w:val="0"/>
        <w:spacing w:after="0" w:line="360" w:lineRule="auto"/>
        <w:jc w:val="both"/>
        <w:rPr>
          <w:rFonts w:ascii="Book Antiqua" w:hAnsi="Book Antiqua"/>
          <w:b/>
          <w:i/>
          <w:sz w:val="24"/>
          <w:szCs w:val="24"/>
        </w:rPr>
      </w:pPr>
      <w:r w:rsidRPr="00A25920">
        <w:rPr>
          <w:rFonts w:ascii="Book Antiqua" w:hAnsi="Book Antiqua"/>
          <w:b/>
          <w:i/>
          <w:sz w:val="24"/>
          <w:szCs w:val="24"/>
        </w:rPr>
        <w:t>Terminology</w:t>
      </w:r>
    </w:p>
    <w:p w:rsidR="00DC1677" w:rsidRPr="00A25920" w:rsidRDefault="00DC1677" w:rsidP="00225036">
      <w:pPr>
        <w:snapToGrid w:val="0"/>
        <w:spacing w:after="0" w:line="360" w:lineRule="auto"/>
        <w:jc w:val="both"/>
        <w:rPr>
          <w:rFonts w:ascii="Book Antiqua" w:hAnsi="Book Antiqua"/>
          <w:sz w:val="24"/>
          <w:szCs w:val="24"/>
        </w:rPr>
      </w:pPr>
      <w:r w:rsidRPr="00A25920">
        <w:rPr>
          <w:rFonts w:ascii="Book Antiqua" w:hAnsi="Book Antiqua"/>
          <w:sz w:val="24"/>
          <w:szCs w:val="24"/>
        </w:rPr>
        <w:t>Percentages of positive cells were categorized as follows: 0 (no positive tumor cells), 1 (1</w:t>
      </w:r>
      <w:r w:rsidR="00E60998" w:rsidRPr="00A25920">
        <w:rPr>
          <w:rFonts w:ascii="Book Antiqua" w:hAnsi="Book Antiqua"/>
          <w:sz w:val="24"/>
          <w:szCs w:val="24"/>
        </w:rPr>
        <w:t>%</w:t>
      </w:r>
      <w:r w:rsidR="00E60998" w:rsidRPr="00A25920">
        <w:rPr>
          <w:rFonts w:ascii="Book Antiqua" w:hAnsi="Book Antiqua" w:hint="eastAsia"/>
          <w:sz w:val="24"/>
          <w:szCs w:val="24"/>
        </w:rPr>
        <w:t>-</w:t>
      </w:r>
      <w:r w:rsidRPr="00A25920">
        <w:rPr>
          <w:rFonts w:ascii="Book Antiqua" w:hAnsi="Book Antiqua"/>
          <w:sz w:val="24"/>
          <w:szCs w:val="24"/>
        </w:rPr>
        <w:t>25% positive), 2 (26</w:t>
      </w:r>
      <w:r w:rsidR="00E60998" w:rsidRPr="00A25920">
        <w:rPr>
          <w:rFonts w:ascii="Book Antiqua" w:hAnsi="Book Antiqua"/>
          <w:sz w:val="24"/>
          <w:szCs w:val="24"/>
        </w:rPr>
        <w:t>%</w:t>
      </w:r>
      <w:r w:rsidR="00E60998" w:rsidRPr="00A25920">
        <w:rPr>
          <w:rFonts w:ascii="Book Antiqua" w:hAnsi="Book Antiqua" w:hint="eastAsia"/>
          <w:sz w:val="24"/>
          <w:szCs w:val="24"/>
        </w:rPr>
        <w:t>-</w:t>
      </w:r>
      <w:r w:rsidRPr="00A25920">
        <w:rPr>
          <w:rFonts w:ascii="Book Antiqua" w:hAnsi="Book Antiqua"/>
          <w:sz w:val="24"/>
          <w:szCs w:val="24"/>
        </w:rPr>
        <w:t>50% positive), 3 (51</w:t>
      </w:r>
      <w:r w:rsidR="00E60998" w:rsidRPr="00A25920">
        <w:rPr>
          <w:rFonts w:ascii="Book Antiqua" w:hAnsi="Book Antiqua"/>
          <w:sz w:val="24"/>
          <w:szCs w:val="24"/>
        </w:rPr>
        <w:t>%</w:t>
      </w:r>
      <w:r w:rsidR="00E60998" w:rsidRPr="00A25920">
        <w:rPr>
          <w:rFonts w:ascii="Book Antiqua" w:hAnsi="Book Antiqua" w:hint="eastAsia"/>
          <w:sz w:val="24"/>
          <w:szCs w:val="24"/>
        </w:rPr>
        <w:t>-</w:t>
      </w:r>
      <w:r w:rsidRPr="00A25920">
        <w:rPr>
          <w:rFonts w:ascii="Book Antiqua" w:hAnsi="Book Antiqua"/>
          <w:sz w:val="24"/>
          <w:szCs w:val="24"/>
        </w:rPr>
        <w:t>75% positive), and 4 (76</w:t>
      </w:r>
      <w:r w:rsidR="00E60998" w:rsidRPr="00A25920">
        <w:rPr>
          <w:rFonts w:ascii="Book Antiqua" w:hAnsi="Book Antiqua"/>
          <w:sz w:val="24"/>
          <w:szCs w:val="24"/>
        </w:rPr>
        <w:t>%</w:t>
      </w:r>
      <w:r w:rsidR="00E60998" w:rsidRPr="00A25920">
        <w:rPr>
          <w:rFonts w:ascii="Book Antiqua" w:hAnsi="Book Antiqua" w:hint="eastAsia"/>
          <w:sz w:val="24"/>
          <w:szCs w:val="24"/>
        </w:rPr>
        <w:t>-</w:t>
      </w:r>
      <w:r w:rsidRPr="00A25920">
        <w:rPr>
          <w:rFonts w:ascii="Book Antiqua" w:hAnsi="Book Antiqua"/>
          <w:sz w:val="24"/>
          <w:szCs w:val="24"/>
        </w:rPr>
        <w:t>100% positive). Staining intensity was categorized as follows: 0 (no staining), 1 (weak, light yellow), 2 (moderate, yellow-b</w:t>
      </w:r>
      <w:r w:rsidR="006200D8" w:rsidRPr="00A25920">
        <w:rPr>
          <w:rFonts w:ascii="Book Antiqua" w:hAnsi="Book Antiqua"/>
          <w:sz w:val="24"/>
          <w:szCs w:val="24"/>
        </w:rPr>
        <w:t>rown), and 3 (strong, brown)</w:t>
      </w:r>
      <w:r w:rsidRPr="00A25920">
        <w:rPr>
          <w:rFonts w:ascii="Book Antiqua" w:hAnsi="Book Antiqua"/>
          <w:sz w:val="24"/>
          <w:szCs w:val="24"/>
        </w:rPr>
        <w:t xml:space="preserve">. The scores for positive cell percentages and for staining intensity were multiplied together to yield a single immunohistochemical staining </w:t>
      </w:r>
      <w:r w:rsidRPr="00A25920">
        <w:rPr>
          <w:rFonts w:ascii="Book Antiqua" w:hAnsi="Book Antiqua"/>
          <w:sz w:val="24"/>
          <w:szCs w:val="24"/>
        </w:rPr>
        <w:lastRenderedPageBreak/>
        <w:t>index from 0 to 12. Sections with an index of 0-5 were defined as showing low expression, while those with an index of 6-12 were defined as showing high expression.</w:t>
      </w:r>
    </w:p>
    <w:p w:rsidR="00E60998" w:rsidRPr="00A25920" w:rsidRDefault="00E60998" w:rsidP="00225036">
      <w:pPr>
        <w:snapToGrid w:val="0"/>
        <w:spacing w:after="0" w:line="360" w:lineRule="auto"/>
        <w:jc w:val="both"/>
        <w:rPr>
          <w:rFonts w:ascii="Book Antiqua" w:hAnsi="Book Antiqua"/>
          <w:b/>
          <w:i/>
          <w:sz w:val="24"/>
          <w:szCs w:val="24"/>
        </w:rPr>
      </w:pPr>
    </w:p>
    <w:p w:rsidR="000859BD" w:rsidRPr="00A25920" w:rsidRDefault="000859BD" w:rsidP="00225036">
      <w:pPr>
        <w:snapToGrid w:val="0"/>
        <w:spacing w:after="0" w:line="360" w:lineRule="auto"/>
        <w:jc w:val="both"/>
        <w:rPr>
          <w:rFonts w:ascii="Book Antiqua" w:hAnsi="Book Antiqua"/>
          <w:sz w:val="24"/>
          <w:szCs w:val="24"/>
        </w:rPr>
      </w:pPr>
      <w:r w:rsidRPr="00A25920">
        <w:rPr>
          <w:rFonts w:ascii="Book Antiqua" w:hAnsi="Book Antiqua"/>
          <w:b/>
          <w:i/>
          <w:sz w:val="24"/>
          <w:szCs w:val="24"/>
        </w:rPr>
        <w:t>Peer review</w:t>
      </w:r>
    </w:p>
    <w:p w:rsidR="000859BD" w:rsidRPr="00A25920" w:rsidRDefault="00D04C70" w:rsidP="00225036">
      <w:pPr>
        <w:widowControl w:val="0"/>
        <w:autoSpaceDE w:val="0"/>
        <w:autoSpaceDN w:val="0"/>
        <w:adjustRightInd w:val="0"/>
        <w:snapToGrid w:val="0"/>
        <w:spacing w:after="0" w:line="360" w:lineRule="auto"/>
        <w:jc w:val="both"/>
        <w:rPr>
          <w:rFonts w:ascii="Book Antiqua" w:hAnsi="Book Antiqua" w:cs="Times New Roman"/>
          <w:sz w:val="24"/>
          <w:szCs w:val="24"/>
        </w:rPr>
      </w:pPr>
      <w:r w:rsidRPr="00A25920">
        <w:rPr>
          <w:rFonts w:ascii="Book Antiqua" w:hAnsi="Book Antiqua" w:cs="Times New Roman" w:hint="eastAsia"/>
          <w:sz w:val="24"/>
          <w:szCs w:val="24"/>
        </w:rPr>
        <w:t>The paper is a good</w:t>
      </w:r>
      <w:r w:rsidR="00D00122" w:rsidRPr="00A25920">
        <w:rPr>
          <w:rFonts w:ascii="Book Antiqua" w:hAnsi="Book Antiqua" w:cs="Times New Roman"/>
          <w:sz w:val="24"/>
          <w:szCs w:val="24"/>
        </w:rPr>
        <w:t xml:space="preserve"> study on COX-2 and EP1 receptor immunoreactivity in patients with HCC. The investigators </w:t>
      </w:r>
      <w:r w:rsidR="003D2815" w:rsidRPr="00A25920">
        <w:rPr>
          <w:rFonts w:ascii="Book Antiqua" w:hAnsi="Book Antiqua" w:cs="Times New Roman" w:hint="eastAsia"/>
          <w:sz w:val="24"/>
          <w:szCs w:val="24"/>
        </w:rPr>
        <w:t>shown</w:t>
      </w:r>
      <w:r w:rsidR="00D00122" w:rsidRPr="00A25920">
        <w:rPr>
          <w:rFonts w:ascii="Book Antiqua" w:hAnsi="Book Antiqua" w:cs="Times New Roman"/>
          <w:sz w:val="24"/>
          <w:szCs w:val="24"/>
        </w:rPr>
        <w:t xml:space="preserve"> </w:t>
      </w:r>
      <w:r w:rsidR="005E3878" w:rsidRPr="00A25920">
        <w:rPr>
          <w:rFonts w:ascii="Book Antiqua" w:hAnsi="Book Antiqua" w:cs="Times New Roman"/>
          <w:sz w:val="24"/>
          <w:szCs w:val="24"/>
        </w:rPr>
        <w:t>that COX-2 immunoreactivity was</w:t>
      </w:r>
      <w:r w:rsidR="005E3878" w:rsidRPr="00A25920">
        <w:rPr>
          <w:rFonts w:ascii="Book Antiqua" w:hAnsi="Book Antiqua" w:cs="Times New Roman" w:hint="eastAsia"/>
          <w:sz w:val="24"/>
          <w:szCs w:val="24"/>
        </w:rPr>
        <w:t xml:space="preserve"> </w:t>
      </w:r>
      <w:r w:rsidR="00D00122" w:rsidRPr="00A25920">
        <w:rPr>
          <w:rFonts w:ascii="Book Antiqua" w:hAnsi="Book Antiqua" w:cs="Times New Roman"/>
          <w:sz w:val="24"/>
          <w:szCs w:val="24"/>
        </w:rPr>
        <w:t>higher in well-differentiated HCC tissues and EP1 receptor immunoreactivity was significantly higher in poorly differentiated tissue than in well-differentiated tissue.</w:t>
      </w:r>
    </w:p>
    <w:p w:rsidR="00462A3E" w:rsidRPr="00A25920" w:rsidRDefault="00033766" w:rsidP="00225036">
      <w:pPr>
        <w:widowControl w:val="0"/>
        <w:autoSpaceDE w:val="0"/>
        <w:autoSpaceDN w:val="0"/>
        <w:adjustRightInd w:val="0"/>
        <w:snapToGrid w:val="0"/>
        <w:spacing w:after="0" w:line="360" w:lineRule="auto"/>
        <w:jc w:val="both"/>
        <w:rPr>
          <w:rFonts w:ascii="Book Antiqua" w:hAnsi="Book Antiqua" w:cs="Times New Roman"/>
          <w:sz w:val="24"/>
          <w:szCs w:val="24"/>
        </w:rPr>
      </w:pPr>
      <w:r w:rsidRPr="00A25920">
        <w:rPr>
          <w:rFonts w:ascii="Book Antiqua" w:hAnsi="Book Antiqua" w:cs="Times New Roman"/>
          <w:sz w:val="24"/>
          <w:szCs w:val="24"/>
        </w:rPr>
        <w:fldChar w:fldCharType="begin"/>
      </w:r>
      <w:r w:rsidRPr="00A25920">
        <w:rPr>
          <w:rFonts w:ascii="Book Antiqua" w:hAnsi="Book Antiqua" w:cs="Times New Roman"/>
          <w:sz w:val="24"/>
          <w:szCs w:val="24"/>
        </w:rPr>
        <w:instrText xml:space="preserve"> ADDIN NE.Bib</w:instrText>
      </w:r>
      <w:r w:rsidRPr="00A25920">
        <w:rPr>
          <w:rFonts w:ascii="Book Antiqua" w:hAnsi="Book Antiqua" w:cs="Times New Roman"/>
          <w:sz w:val="24"/>
          <w:szCs w:val="24"/>
        </w:rPr>
        <w:fldChar w:fldCharType="separate"/>
      </w:r>
    </w:p>
    <w:p w:rsidR="00E60998" w:rsidRPr="00A25920" w:rsidRDefault="00E60998">
      <w:pPr>
        <w:rPr>
          <w:rFonts w:ascii="Book Antiqua" w:hAnsi="Book Antiqua" w:cs="Times New Roman"/>
          <w:b/>
          <w:bCs/>
          <w:sz w:val="24"/>
          <w:szCs w:val="24"/>
        </w:rPr>
      </w:pPr>
      <w:r w:rsidRPr="00A25920">
        <w:rPr>
          <w:rFonts w:ascii="Book Antiqua" w:hAnsi="Book Antiqua" w:cs="Times New Roman"/>
          <w:b/>
          <w:bCs/>
          <w:sz w:val="24"/>
          <w:szCs w:val="24"/>
        </w:rPr>
        <w:br w:type="page"/>
      </w:r>
    </w:p>
    <w:p w:rsidR="00462A3E" w:rsidRPr="00A25920" w:rsidRDefault="00E60998" w:rsidP="00225036">
      <w:pPr>
        <w:widowControl w:val="0"/>
        <w:autoSpaceDE w:val="0"/>
        <w:autoSpaceDN w:val="0"/>
        <w:adjustRightInd w:val="0"/>
        <w:snapToGrid w:val="0"/>
        <w:spacing w:after="0" w:line="360" w:lineRule="auto"/>
        <w:jc w:val="both"/>
        <w:rPr>
          <w:rFonts w:ascii="Book Antiqua" w:hAnsi="Book Antiqua" w:cs="Times New Roman"/>
          <w:caps/>
          <w:sz w:val="24"/>
          <w:szCs w:val="24"/>
        </w:rPr>
      </w:pPr>
      <w:r w:rsidRPr="00A25920">
        <w:rPr>
          <w:rFonts w:ascii="Book Antiqua" w:hAnsi="Book Antiqua" w:cs="Times New Roman"/>
          <w:b/>
          <w:bCs/>
          <w:caps/>
          <w:sz w:val="24"/>
          <w:szCs w:val="24"/>
        </w:rPr>
        <w:lastRenderedPageBreak/>
        <w:t>References</w:t>
      </w:r>
    </w:p>
    <w:p w:rsidR="00C05F40" w:rsidRPr="00A25920" w:rsidRDefault="00C05F40" w:rsidP="00C05F40">
      <w:pPr>
        <w:spacing w:after="0" w:line="360" w:lineRule="auto"/>
        <w:jc w:val="both"/>
        <w:rPr>
          <w:rFonts w:ascii="Book Antiqua" w:eastAsia="SimSun" w:hAnsi="Book Antiqua" w:cs="SimSun"/>
          <w:sz w:val="24"/>
          <w:szCs w:val="24"/>
        </w:rPr>
      </w:pPr>
      <w:r w:rsidRPr="00A25920">
        <w:rPr>
          <w:rFonts w:ascii="Book Antiqua" w:eastAsia="SimSun" w:hAnsi="Book Antiqua" w:cs="SimSun"/>
          <w:sz w:val="24"/>
          <w:szCs w:val="24"/>
        </w:rPr>
        <w:t>1</w:t>
      </w:r>
      <w:r w:rsidRPr="00A25920">
        <w:rPr>
          <w:rFonts w:ascii="Book Antiqua" w:eastAsia="SimSun" w:hAnsi="Book Antiqua" w:cs="SimSun" w:hint="eastAsia"/>
          <w:sz w:val="24"/>
          <w:szCs w:val="24"/>
        </w:rPr>
        <w:t xml:space="preserve"> </w:t>
      </w:r>
      <w:r w:rsidRPr="00A25920">
        <w:rPr>
          <w:rFonts w:ascii="Book Antiqua" w:eastAsia="SimSun" w:hAnsi="Book Antiqua" w:cs="SimSun"/>
          <w:b/>
          <w:bCs/>
          <w:sz w:val="24"/>
          <w:szCs w:val="24"/>
        </w:rPr>
        <w:t>Torre LA</w:t>
      </w:r>
      <w:r w:rsidRPr="00A25920">
        <w:rPr>
          <w:rFonts w:ascii="Book Antiqua" w:eastAsia="SimSun" w:hAnsi="Book Antiqua" w:cs="SimSun"/>
          <w:sz w:val="24"/>
          <w:szCs w:val="24"/>
        </w:rPr>
        <w:t>, Bray F, Siegel RL, Ferlay J, Lortet-Tieulent J, Jemal A. Global cancer statistics, 2012. </w:t>
      </w:r>
      <w:r w:rsidRPr="00A25920">
        <w:rPr>
          <w:rFonts w:ascii="Book Antiqua" w:eastAsia="SimSun" w:hAnsi="Book Antiqua" w:cs="SimSun"/>
          <w:i/>
          <w:iCs/>
          <w:sz w:val="24"/>
          <w:szCs w:val="24"/>
        </w:rPr>
        <w:t>CA Cancer J Clin</w:t>
      </w:r>
      <w:r w:rsidRPr="00A25920">
        <w:rPr>
          <w:rFonts w:ascii="Book Antiqua" w:eastAsia="SimSun" w:hAnsi="Book Antiqua" w:cs="SimSun"/>
          <w:sz w:val="24"/>
          <w:szCs w:val="24"/>
        </w:rPr>
        <w:t> 2015; </w:t>
      </w:r>
      <w:r w:rsidRPr="00A25920">
        <w:rPr>
          <w:rFonts w:ascii="Book Antiqua" w:eastAsia="SimSun" w:hAnsi="Book Antiqua" w:cs="SimSun"/>
          <w:b/>
          <w:bCs/>
          <w:sz w:val="24"/>
          <w:szCs w:val="24"/>
        </w:rPr>
        <w:t>65</w:t>
      </w:r>
      <w:r w:rsidRPr="00A25920">
        <w:rPr>
          <w:rFonts w:ascii="Book Antiqua" w:eastAsia="SimSun" w:hAnsi="Book Antiqua" w:cs="SimSun"/>
          <w:sz w:val="24"/>
          <w:szCs w:val="24"/>
        </w:rPr>
        <w:t>: 87-108 [PMID: 25651787 DOI: 10.3322/caac.21262]</w:t>
      </w:r>
    </w:p>
    <w:p w:rsidR="00C05F40" w:rsidRPr="00A25920" w:rsidRDefault="00C05F40" w:rsidP="00C05F40">
      <w:pPr>
        <w:spacing w:after="0" w:line="360" w:lineRule="auto"/>
        <w:jc w:val="both"/>
        <w:rPr>
          <w:rFonts w:ascii="Book Antiqua" w:eastAsia="SimSun" w:hAnsi="Book Antiqua" w:cs="SimSun"/>
          <w:sz w:val="24"/>
          <w:szCs w:val="24"/>
        </w:rPr>
      </w:pPr>
      <w:r w:rsidRPr="00A25920">
        <w:rPr>
          <w:rFonts w:ascii="Book Antiqua" w:eastAsia="SimSun" w:hAnsi="Book Antiqua" w:cs="SimSun"/>
          <w:sz w:val="24"/>
          <w:szCs w:val="24"/>
        </w:rPr>
        <w:t>2 </w:t>
      </w:r>
      <w:r w:rsidRPr="00A25920">
        <w:rPr>
          <w:rFonts w:ascii="Book Antiqua" w:eastAsia="SimSun" w:hAnsi="Book Antiqua" w:cs="SimSun"/>
          <w:b/>
          <w:bCs/>
          <w:sz w:val="24"/>
          <w:szCs w:val="24"/>
        </w:rPr>
        <w:t>Yang HJ</w:t>
      </w:r>
      <w:r w:rsidRPr="00A25920">
        <w:rPr>
          <w:rFonts w:ascii="Book Antiqua" w:eastAsia="SimSun" w:hAnsi="Book Antiqua" w:cs="SimSun"/>
          <w:sz w:val="24"/>
          <w:szCs w:val="24"/>
        </w:rPr>
        <w:t>, Guo Z, Yang YT, Jiang JH, Qi YP, Li JJ, Li LQ, Xiang BD. Blood neutrophil-lymphocyte ratio predicts survival after hepatectomy for hepatocellular carcinoma: A propensity score-based analysis. </w:t>
      </w:r>
      <w:r w:rsidRPr="00A25920">
        <w:rPr>
          <w:rFonts w:ascii="Book Antiqua" w:eastAsia="SimSun" w:hAnsi="Book Antiqua" w:cs="SimSun"/>
          <w:i/>
          <w:iCs/>
          <w:sz w:val="24"/>
          <w:szCs w:val="24"/>
        </w:rPr>
        <w:t>World J Gastroenterol</w:t>
      </w:r>
      <w:r w:rsidRPr="00A25920">
        <w:rPr>
          <w:rFonts w:ascii="Book Antiqua" w:eastAsia="SimSun" w:hAnsi="Book Antiqua" w:cs="SimSun" w:hint="eastAsia"/>
          <w:sz w:val="24"/>
          <w:szCs w:val="24"/>
        </w:rPr>
        <w:t xml:space="preserve"> </w:t>
      </w:r>
      <w:r w:rsidRPr="00A25920">
        <w:rPr>
          <w:rFonts w:ascii="Book Antiqua" w:eastAsia="SimSun" w:hAnsi="Book Antiqua" w:cs="SimSun"/>
          <w:sz w:val="24"/>
          <w:szCs w:val="24"/>
        </w:rPr>
        <w:t>2016;</w:t>
      </w:r>
      <w:r w:rsidRPr="00A25920">
        <w:rPr>
          <w:rFonts w:ascii="Book Antiqua" w:eastAsia="SimSun" w:hAnsi="Book Antiqua" w:cs="SimSun" w:hint="eastAsia"/>
          <w:sz w:val="24"/>
          <w:szCs w:val="24"/>
        </w:rPr>
        <w:t xml:space="preserve"> </w:t>
      </w:r>
      <w:r w:rsidRPr="00A25920">
        <w:rPr>
          <w:rFonts w:ascii="Book Antiqua" w:eastAsia="SimSun" w:hAnsi="Book Antiqua" w:cs="SimSun"/>
          <w:b/>
          <w:bCs/>
          <w:sz w:val="24"/>
          <w:szCs w:val="24"/>
        </w:rPr>
        <w:t>22</w:t>
      </w:r>
      <w:r w:rsidRPr="00A25920">
        <w:rPr>
          <w:rFonts w:ascii="Book Antiqua" w:eastAsia="SimSun" w:hAnsi="Book Antiqua" w:cs="SimSun"/>
          <w:sz w:val="24"/>
          <w:szCs w:val="24"/>
        </w:rPr>
        <w:t>: 5088-5095 [PMID: 27275101 DOI: 10.3748/wjg.v22.i21.5088]</w:t>
      </w:r>
    </w:p>
    <w:p w:rsidR="00C05F40" w:rsidRPr="00A25920" w:rsidRDefault="00C05F40" w:rsidP="00C05F40">
      <w:pPr>
        <w:spacing w:after="0" w:line="360" w:lineRule="auto"/>
        <w:jc w:val="both"/>
        <w:rPr>
          <w:rFonts w:ascii="Book Antiqua" w:eastAsia="SimSun" w:hAnsi="Book Antiqua" w:cs="SimSun"/>
          <w:sz w:val="24"/>
          <w:szCs w:val="24"/>
        </w:rPr>
      </w:pPr>
      <w:r w:rsidRPr="00A25920">
        <w:rPr>
          <w:rFonts w:ascii="Book Antiqua" w:eastAsia="SimSun" w:hAnsi="Book Antiqua" w:cs="SimSun"/>
          <w:sz w:val="24"/>
          <w:szCs w:val="24"/>
        </w:rPr>
        <w:t>3 </w:t>
      </w:r>
      <w:r w:rsidRPr="00A25920">
        <w:rPr>
          <w:rFonts w:ascii="Book Antiqua" w:eastAsia="SimSun" w:hAnsi="Book Antiqua" w:cs="SimSun"/>
          <w:b/>
          <w:bCs/>
          <w:sz w:val="24"/>
          <w:szCs w:val="24"/>
        </w:rPr>
        <w:t>Guo Z</w:t>
      </w:r>
      <w:r w:rsidRPr="00A25920">
        <w:rPr>
          <w:rFonts w:ascii="Book Antiqua" w:eastAsia="SimSun" w:hAnsi="Book Antiqua" w:cs="SimSun"/>
          <w:sz w:val="24"/>
          <w:szCs w:val="24"/>
        </w:rPr>
        <w:t>, Jiang JH, Zhang J, Yang HJ, Yang FQ, Qi YP, Zhong YP, Su J, Yang RR, Li LQ, Xiang BD. COX-2 Promotes Migration and Invasion by the Side Population of Cancer Stem Cell-Like Hepatocellular Carcinoma Cells. </w:t>
      </w:r>
      <w:r w:rsidRPr="00A25920">
        <w:rPr>
          <w:rFonts w:ascii="Book Antiqua" w:eastAsia="SimSun" w:hAnsi="Book Antiqua" w:cs="SimSun"/>
          <w:i/>
          <w:iCs/>
          <w:sz w:val="24"/>
          <w:szCs w:val="24"/>
        </w:rPr>
        <w:t>Medicine (Baltimore)</w:t>
      </w:r>
      <w:r w:rsidRPr="00A25920">
        <w:rPr>
          <w:rFonts w:ascii="Book Antiqua" w:eastAsia="SimSun" w:hAnsi="Book Antiqua" w:cs="SimSun"/>
          <w:sz w:val="24"/>
          <w:szCs w:val="24"/>
        </w:rPr>
        <w:t> 2015; </w:t>
      </w:r>
      <w:r w:rsidRPr="00A25920">
        <w:rPr>
          <w:rFonts w:ascii="Book Antiqua" w:eastAsia="SimSun" w:hAnsi="Book Antiqua" w:cs="SimSun"/>
          <w:b/>
          <w:bCs/>
          <w:sz w:val="24"/>
          <w:szCs w:val="24"/>
        </w:rPr>
        <w:t>94</w:t>
      </w:r>
      <w:r w:rsidRPr="00A25920">
        <w:rPr>
          <w:rFonts w:ascii="Book Antiqua" w:eastAsia="SimSun" w:hAnsi="Book Antiqua" w:cs="SimSun"/>
          <w:sz w:val="24"/>
          <w:szCs w:val="24"/>
        </w:rPr>
        <w:t>: e1806 [PMID: 26554780 DOI: 10.1097/MD.0000000000001806]</w:t>
      </w:r>
    </w:p>
    <w:p w:rsidR="00C05F40" w:rsidRPr="00A25920" w:rsidRDefault="00C05F40" w:rsidP="00C05F40">
      <w:pPr>
        <w:spacing w:after="0" w:line="360" w:lineRule="auto"/>
        <w:jc w:val="both"/>
        <w:rPr>
          <w:rFonts w:ascii="Book Antiqua" w:eastAsia="SimSun" w:hAnsi="Book Antiqua"/>
          <w:sz w:val="24"/>
          <w:szCs w:val="24"/>
        </w:rPr>
      </w:pPr>
      <w:r w:rsidRPr="00A25920">
        <w:rPr>
          <w:rFonts w:ascii="Book Antiqua" w:hAnsi="Book Antiqua" w:cs="Times New Roman"/>
          <w:sz w:val="24"/>
          <w:szCs w:val="24"/>
        </w:rPr>
        <w:t>4</w:t>
      </w:r>
      <w:bookmarkStart w:id="37" w:name="_nebA0339C15_CF30_4DD8_84D3_0CAF98689C6D"/>
      <w:r w:rsidRPr="00A25920">
        <w:rPr>
          <w:rFonts w:ascii="Book Antiqua" w:eastAsia="SimSun" w:hAnsi="Book Antiqua" w:cs="Times New Roman" w:hint="eastAsia"/>
          <w:sz w:val="24"/>
          <w:szCs w:val="24"/>
        </w:rPr>
        <w:t xml:space="preserve"> </w:t>
      </w:r>
      <w:r w:rsidRPr="00A25920">
        <w:rPr>
          <w:rFonts w:ascii="Book Antiqua" w:hAnsi="Book Antiqua" w:cs="Times New Roman"/>
          <w:b/>
          <w:sz w:val="24"/>
          <w:szCs w:val="24"/>
        </w:rPr>
        <w:t>Zhang H</w:t>
      </w:r>
      <w:r w:rsidRPr="00A25920">
        <w:rPr>
          <w:rFonts w:ascii="Book Antiqua" w:hAnsi="Book Antiqua" w:cs="Times New Roman"/>
          <w:sz w:val="24"/>
          <w:szCs w:val="24"/>
        </w:rPr>
        <w:t>, Cheng S, Zhang M, Ma X, Zhang L, Wang Y, Rong R, Ma J, Xia S, Du M, Shi F, Wang J, Yang Q, Bai X, Leng J. Prostaglandin E2 promotes hepatocellular carcinoma cell invasion through upregulation of YB-1 protein expression.</w:t>
      </w:r>
      <w:r w:rsidRPr="00A25920">
        <w:rPr>
          <w:rFonts w:ascii="Book Antiqua" w:eastAsia="SimSun" w:hAnsi="Book Antiqua" w:cs="Times New Roman" w:hint="eastAsia"/>
          <w:sz w:val="24"/>
          <w:szCs w:val="24"/>
        </w:rPr>
        <w:t xml:space="preserve"> </w:t>
      </w:r>
      <w:r w:rsidRPr="00A25920">
        <w:rPr>
          <w:rFonts w:ascii="Book Antiqua" w:hAnsi="Book Antiqua" w:cs="Times New Roman"/>
          <w:i/>
          <w:sz w:val="24"/>
          <w:szCs w:val="24"/>
        </w:rPr>
        <w:t>Int J Oncol</w:t>
      </w:r>
      <w:r w:rsidRPr="00A25920">
        <w:rPr>
          <w:rFonts w:ascii="Book Antiqua" w:hAnsi="Book Antiqua" w:cs="Times New Roman"/>
          <w:sz w:val="24"/>
          <w:szCs w:val="24"/>
        </w:rPr>
        <w:t xml:space="preserve"> 2014; </w:t>
      </w:r>
      <w:r w:rsidRPr="00A25920">
        <w:rPr>
          <w:rFonts w:ascii="Book Antiqua" w:hAnsi="Book Antiqua" w:cs="Times New Roman"/>
          <w:b/>
          <w:sz w:val="24"/>
          <w:szCs w:val="24"/>
        </w:rPr>
        <w:t>44</w:t>
      </w:r>
      <w:r w:rsidRPr="00A25920">
        <w:rPr>
          <w:rFonts w:ascii="Book Antiqua" w:hAnsi="Book Antiqua" w:cs="Times New Roman"/>
          <w:sz w:val="24"/>
          <w:szCs w:val="24"/>
        </w:rPr>
        <w:t>:</w:t>
      </w:r>
      <w:r w:rsidRPr="00A25920">
        <w:rPr>
          <w:rFonts w:ascii="Book Antiqua" w:eastAsia="SimSun" w:hAnsi="Book Antiqua" w:cs="Times New Roman" w:hint="eastAsia"/>
          <w:sz w:val="24"/>
          <w:szCs w:val="24"/>
        </w:rPr>
        <w:t xml:space="preserve"> </w:t>
      </w:r>
      <w:r w:rsidRPr="00A25920">
        <w:rPr>
          <w:rFonts w:ascii="Book Antiqua" w:hAnsi="Book Antiqua" w:cs="Times New Roman"/>
          <w:sz w:val="24"/>
          <w:szCs w:val="24"/>
        </w:rPr>
        <w:t>769-780</w:t>
      </w:r>
      <w:bookmarkEnd w:id="37"/>
      <w:r w:rsidRPr="00A25920">
        <w:rPr>
          <w:rFonts w:ascii="Book Antiqua" w:eastAsia="SimSun" w:hAnsi="Book Antiqua" w:cs="Times New Roman" w:hint="eastAsia"/>
          <w:sz w:val="24"/>
          <w:szCs w:val="24"/>
        </w:rPr>
        <w:t xml:space="preserve"> </w:t>
      </w:r>
      <w:r w:rsidRPr="00A25920">
        <w:rPr>
          <w:rFonts w:ascii="Book Antiqua" w:hAnsi="Book Antiqua"/>
          <w:sz w:val="24"/>
          <w:szCs w:val="24"/>
        </w:rPr>
        <w:t>[PMID:</w:t>
      </w:r>
      <w:r w:rsidRPr="00A25920">
        <w:rPr>
          <w:rFonts w:ascii="Book Antiqua" w:eastAsia="SimSun" w:hAnsi="Book Antiqua" w:hint="eastAsia"/>
          <w:sz w:val="24"/>
          <w:szCs w:val="24"/>
        </w:rPr>
        <w:t xml:space="preserve"> </w:t>
      </w:r>
      <w:r w:rsidRPr="00A25920">
        <w:rPr>
          <w:rFonts w:ascii="Book Antiqua" w:hAnsi="Book Antiqua"/>
          <w:sz w:val="24"/>
          <w:szCs w:val="24"/>
        </w:rPr>
        <w:t>24378923 DOI: 10.3892/ijo.2013.2234]</w:t>
      </w:r>
    </w:p>
    <w:p w:rsidR="00C05F40" w:rsidRPr="00A25920" w:rsidRDefault="00C05F40" w:rsidP="00C05F40">
      <w:pPr>
        <w:spacing w:after="0" w:line="360" w:lineRule="auto"/>
        <w:jc w:val="both"/>
        <w:rPr>
          <w:rFonts w:ascii="Book Antiqua" w:eastAsia="SimSun" w:hAnsi="Book Antiqua" w:cs="SimSun"/>
          <w:sz w:val="24"/>
          <w:szCs w:val="24"/>
        </w:rPr>
      </w:pPr>
      <w:r w:rsidRPr="00A25920">
        <w:rPr>
          <w:rFonts w:ascii="Book Antiqua" w:eastAsia="SimSun" w:hAnsi="Book Antiqua" w:cs="SimSun"/>
          <w:sz w:val="24"/>
          <w:szCs w:val="24"/>
        </w:rPr>
        <w:t>5 </w:t>
      </w:r>
      <w:r w:rsidRPr="00A25920">
        <w:rPr>
          <w:rFonts w:ascii="Book Antiqua" w:eastAsia="SimSun" w:hAnsi="Book Antiqua" w:cs="SimSun"/>
          <w:b/>
          <w:bCs/>
          <w:sz w:val="24"/>
          <w:szCs w:val="24"/>
        </w:rPr>
        <w:t>Jin J</w:t>
      </w:r>
      <w:r w:rsidRPr="00A25920">
        <w:rPr>
          <w:rFonts w:ascii="Book Antiqua" w:eastAsia="SimSun" w:hAnsi="Book Antiqua" w:cs="SimSun"/>
          <w:sz w:val="24"/>
          <w:szCs w:val="24"/>
        </w:rPr>
        <w:t>, Chang Y, Wei W, He YF, Hu SS, Wang D, Wu YJ. Prostanoid EP1 receptor as the target of (-)-epigallocatechin-3-gallate in suppressing hepatocellular carcinoma cells in vitro. </w:t>
      </w:r>
      <w:r w:rsidRPr="00A25920">
        <w:rPr>
          <w:rFonts w:ascii="Book Antiqua" w:eastAsia="SimSun" w:hAnsi="Book Antiqua" w:cs="SimSun"/>
          <w:i/>
          <w:iCs/>
          <w:sz w:val="24"/>
          <w:szCs w:val="24"/>
        </w:rPr>
        <w:t>Acta Pharmacol Sin</w:t>
      </w:r>
      <w:r w:rsidRPr="00A25920">
        <w:rPr>
          <w:rFonts w:ascii="Book Antiqua" w:eastAsia="SimSun" w:hAnsi="Book Antiqua" w:cs="SimSun"/>
          <w:sz w:val="24"/>
          <w:szCs w:val="24"/>
        </w:rPr>
        <w:t> 2012; </w:t>
      </w:r>
      <w:r w:rsidRPr="00A25920">
        <w:rPr>
          <w:rFonts w:ascii="Book Antiqua" w:eastAsia="SimSun" w:hAnsi="Book Antiqua" w:cs="SimSun"/>
          <w:b/>
          <w:bCs/>
          <w:sz w:val="24"/>
          <w:szCs w:val="24"/>
        </w:rPr>
        <w:t>33</w:t>
      </w:r>
      <w:r w:rsidRPr="00A25920">
        <w:rPr>
          <w:rFonts w:ascii="Book Antiqua" w:eastAsia="SimSun" w:hAnsi="Book Antiqua" w:cs="SimSun"/>
          <w:sz w:val="24"/>
          <w:szCs w:val="24"/>
        </w:rPr>
        <w:t>: 701-709 [PMID: 22555372 DOI: 10.1038/aps.2012.13]</w:t>
      </w:r>
    </w:p>
    <w:p w:rsidR="00C05F40" w:rsidRPr="00A25920" w:rsidRDefault="00C05F40" w:rsidP="00C05F40">
      <w:pPr>
        <w:spacing w:after="0" w:line="360" w:lineRule="auto"/>
        <w:jc w:val="both"/>
        <w:rPr>
          <w:rFonts w:ascii="Book Antiqua" w:eastAsia="SimSun" w:hAnsi="Book Antiqua" w:cs="SimSun"/>
          <w:sz w:val="24"/>
          <w:szCs w:val="24"/>
        </w:rPr>
      </w:pPr>
      <w:r w:rsidRPr="00A25920">
        <w:rPr>
          <w:rFonts w:ascii="Book Antiqua" w:eastAsia="SimSun" w:hAnsi="Book Antiqua" w:cs="SimSun"/>
          <w:sz w:val="24"/>
          <w:szCs w:val="24"/>
        </w:rPr>
        <w:t>6 </w:t>
      </w:r>
      <w:r w:rsidRPr="00A25920">
        <w:rPr>
          <w:rFonts w:ascii="Book Antiqua" w:eastAsia="SimSun" w:hAnsi="Book Antiqua" w:cs="SimSun"/>
          <w:b/>
          <w:bCs/>
          <w:sz w:val="24"/>
          <w:szCs w:val="24"/>
        </w:rPr>
        <w:t>Kim SH</w:t>
      </w:r>
      <w:r w:rsidRPr="00A25920">
        <w:rPr>
          <w:rFonts w:ascii="Book Antiqua" w:eastAsia="SimSun" w:hAnsi="Book Antiqua" w:cs="SimSun"/>
          <w:sz w:val="24"/>
          <w:szCs w:val="24"/>
        </w:rPr>
        <w:t>, Park YY, Kim SW, Lee JS, Wang D, DuBois RN. ANGPTL4 induction by prostaglandin E2 under hypoxic conditions promotes colorectal cancer progression. </w:t>
      </w:r>
      <w:r w:rsidRPr="00A25920">
        <w:rPr>
          <w:rFonts w:ascii="Book Antiqua" w:eastAsia="SimSun" w:hAnsi="Book Antiqua" w:cs="SimSun"/>
          <w:i/>
          <w:iCs/>
          <w:sz w:val="24"/>
          <w:szCs w:val="24"/>
        </w:rPr>
        <w:t>Cancer Res</w:t>
      </w:r>
      <w:r w:rsidRPr="00A25920">
        <w:rPr>
          <w:rFonts w:ascii="Book Antiqua" w:eastAsia="SimSun" w:hAnsi="Book Antiqua" w:cs="SimSun"/>
          <w:sz w:val="24"/>
          <w:szCs w:val="24"/>
        </w:rPr>
        <w:t> 2011; </w:t>
      </w:r>
      <w:r w:rsidRPr="00A25920">
        <w:rPr>
          <w:rFonts w:ascii="Book Antiqua" w:eastAsia="SimSun" w:hAnsi="Book Antiqua" w:cs="SimSun"/>
          <w:b/>
          <w:bCs/>
          <w:sz w:val="24"/>
          <w:szCs w:val="24"/>
        </w:rPr>
        <w:t>71</w:t>
      </w:r>
      <w:r w:rsidRPr="00A25920">
        <w:rPr>
          <w:rFonts w:ascii="Book Antiqua" w:eastAsia="SimSun" w:hAnsi="Book Antiqua" w:cs="SimSun"/>
          <w:sz w:val="24"/>
          <w:szCs w:val="24"/>
        </w:rPr>
        <w:t>: 7010-7020 [PMID: 21937683 DOI: 10.1158/0008-5472.CAN-11-1262]</w:t>
      </w:r>
    </w:p>
    <w:p w:rsidR="00C05F40" w:rsidRPr="00A25920" w:rsidRDefault="00C05F40" w:rsidP="00C05F40">
      <w:pPr>
        <w:spacing w:after="0" w:line="360" w:lineRule="auto"/>
        <w:jc w:val="both"/>
        <w:rPr>
          <w:rFonts w:ascii="Book Antiqua" w:eastAsia="SimSun" w:hAnsi="Book Antiqua" w:cs="SimSun"/>
          <w:sz w:val="24"/>
          <w:szCs w:val="24"/>
        </w:rPr>
      </w:pPr>
      <w:r w:rsidRPr="00A25920">
        <w:rPr>
          <w:rFonts w:ascii="Book Antiqua" w:eastAsia="SimSun" w:hAnsi="Book Antiqua" w:cs="SimSun"/>
          <w:sz w:val="24"/>
          <w:szCs w:val="24"/>
        </w:rPr>
        <w:t>7 </w:t>
      </w:r>
      <w:r w:rsidRPr="00A25920">
        <w:rPr>
          <w:rFonts w:ascii="Book Antiqua" w:eastAsia="SimSun" w:hAnsi="Book Antiqua" w:cs="SimSun"/>
          <w:b/>
          <w:bCs/>
          <w:sz w:val="24"/>
          <w:szCs w:val="24"/>
        </w:rPr>
        <w:t>Bai XM</w:t>
      </w:r>
      <w:r w:rsidRPr="00A25920">
        <w:rPr>
          <w:rFonts w:ascii="Book Antiqua" w:eastAsia="SimSun" w:hAnsi="Book Antiqua" w:cs="SimSun"/>
          <w:sz w:val="24"/>
          <w:szCs w:val="24"/>
        </w:rPr>
        <w:t xml:space="preserve">, Jiang H, Ding JX, Peng T, Ma J, Wang YH, Zhang L, Zhang H, Leng J. Prostaglandin E2 upregulates survivin expression via the EP1 receptor in </w:t>
      </w:r>
      <w:r w:rsidRPr="00A25920">
        <w:rPr>
          <w:rFonts w:ascii="Book Antiqua" w:eastAsia="SimSun" w:hAnsi="Book Antiqua" w:cs="SimSun"/>
          <w:sz w:val="24"/>
          <w:szCs w:val="24"/>
        </w:rPr>
        <w:lastRenderedPageBreak/>
        <w:t>hepatocellular carcinoma cells. </w:t>
      </w:r>
      <w:r w:rsidRPr="00A25920">
        <w:rPr>
          <w:rFonts w:ascii="Book Antiqua" w:eastAsia="SimSun" w:hAnsi="Book Antiqua" w:cs="SimSun"/>
          <w:i/>
          <w:iCs/>
          <w:sz w:val="24"/>
          <w:szCs w:val="24"/>
        </w:rPr>
        <w:t>Life Sci</w:t>
      </w:r>
      <w:r w:rsidRPr="00A25920">
        <w:rPr>
          <w:rFonts w:ascii="Book Antiqua" w:eastAsia="SimSun" w:hAnsi="Book Antiqua" w:cs="SimSun"/>
          <w:sz w:val="24"/>
          <w:szCs w:val="24"/>
        </w:rPr>
        <w:t> 2010; </w:t>
      </w:r>
      <w:r w:rsidRPr="00A25920">
        <w:rPr>
          <w:rFonts w:ascii="Book Antiqua" w:eastAsia="SimSun" w:hAnsi="Book Antiqua" w:cs="SimSun"/>
          <w:b/>
          <w:bCs/>
          <w:sz w:val="24"/>
          <w:szCs w:val="24"/>
        </w:rPr>
        <w:t>86</w:t>
      </w:r>
      <w:r w:rsidRPr="00A25920">
        <w:rPr>
          <w:rFonts w:ascii="Book Antiqua" w:eastAsia="SimSun" w:hAnsi="Book Antiqua" w:cs="SimSun"/>
          <w:sz w:val="24"/>
          <w:szCs w:val="24"/>
        </w:rPr>
        <w:t>: 214-223 [PMID: 20035770 DOI: 10.1016/j.lfs.2009.12.009]</w:t>
      </w:r>
    </w:p>
    <w:p w:rsidR="00C05F40" w:rsidRPr="00A25920" w:rsidRDefault="00C05F40" w:rsidP="00C05F40">
      <w:pPr>
        <w:spacing w:after="0" w:line="360" w:lineRule="auto"/>
        <w:jc w:val="both"/>
        <w:rPr>
          <w:rFonts w:ascii="Book Antiqua" w:eastAsia="SimSun" w:hAnsi="Book Antiqua" w:cs="SimSun"/>
          <w:sz w:val="24"/>
          <w:szCs w:val="24"/>
        </w:rPr>
      </w:pPr>
      <w:r w:rsidRPr="00A25920">
        <w:rPr>
          <w:rFonts w:ascii="Book Antiqua" w:eastAsia="SimSun" w:hAnsi="Book Antiqua" w:cs="SimSun"/>
          <w:sz w:val="24"/>
          <w:szCs w:val="24"/>
        </w:rPr>
        <w:t>8 </w:t>
      </w:r>
      <w:r w:rsidRPr="00A25920">
        <w:rPr>
          <w:rFonts w:ascii="Book Antiqua" w:eastAsia="SimSun" w:hAnsi="Book Antiqua" w:cs="SimSun"/>
          <w:b/>
          <w:bCs/>
          <w:sz w:val="24"/>
          <w:szCs w:val="24"/>
        </w:rPr>
        <w:t>Han C</w:t>
      </w:r>
      <w:r w:rsidRPr="00A25920">
        <w:rPr>
          <w:rFonts w:ascii="Book Antiqua" w:eastAsia="SimSun" w:hAnsi="Book Antiqua" w:cs="SimSun"/>
          <w:sz w:val="24"/>
          <w:szCs w:val="24"/>
        </w:rPr>
        <w:t>, Michalopoulos GK, Wu T. Prostaglandin E2 receptor EP1 transactivates EGFR/MET receptor tyrosine kinases and enhances invasiveness in human hepatocellular carcinoma cells. </w:t>
      </w:r>
      <w:r w:rsidRPr="00A25920">
        <w:rPr>
          <w:rFonts w:ascii="Book Antiqua" w:eastAsia="SimSun" w:hAnsi="Book Antiqua" w:cs="SimSun"/>
          <w:i/>
          <w:iCs/>
          <w:sz w:val="24"/>
          <w:szCs w:val="24"/>
        </w:rPr>
        <w:t>J Cell Physiol</w:t>
      </w:r>
      <w:r w:rsidRPr="00A25920">
        <w:rPr>
          <w:rFonts w:ascii="Book Antiqua" w:eastAsia="SimSun" w:hAnsi="Book Antiqua" w:cs="SimSun"/>
          <w:sz w:val="24"/>
          <w:szCs w:val="24"/>
        </w:rPr>
        <w:t> 2006; </w:t>
      </w:r>
      <w:r w:rsidRPr="00A25920">
        <w:rPr>
          <w:rFonts w:ascii="Book Antiqua" w:eastAsia="SimSun" w:hAnsi="Book Antiqua" w:cs="SimSun"/>
          <w:b/>
          <w:bCs/>
          <w:sz w:val="24"/>
          <w:szCs w:val="24"/>
        </w:rPr>
        <w:t>207</w:t>
      </w:r>
      <w:r w:rsidRPr="00A25920">
        <w:rPr>
          <w:rFonts w:ascii="Book Antiqua" w:eastAsia="SimSun" w:hAnsi="Book Antiqua" w:cs="SimSun"/>
          <w:sz w:val="24"/>
          <w:szCs w:val="24"/>
        </w:rPr>
        <w:t>: 261-270 [PMID: 16331686 DOI: 10.1002/jcp.20560]</w:t>
      </w:r>
    </w:p>
    <w:p w:rsidR="00C05F40" w:rsidRPr="00A25920" w:rsidRDefault="00C05F40" w:rsidP="00C05F40">
      <w:pPr>
        <w:spacing w:after="0" w:line="360" w:lineRule="auto"/>
        <w:jc w:val="both"/>
        <w:rPr>
          <w:rFonts w:ascii="Book Antiqua" w:eastAsia="SimSun" w:hAnsi="Book Antiqua" w:cs="SimSun"/>
          <w:sz w:val="24"/>
          <w:szCs w:val="24"/>
        </w:rPr>
      </w:pPr>
      <w:r w:rsidRPr="00A25920">
        <w:rPr>
          <w:rFonts w:ascii="Book Antiqua" w:eastAsia="SimSun" w:hAnsi="Book Antiqua" w:cs="SimSun"/>
          <w:sz w:val="24"/>
          <w:szCs w:val="24"/>
        </w:rPr>
        <w:t>9 </w:t>
      </w:r>
      <w:r w:rsidRPr="00A25920">
        <w:rPr>
          <w:rFonts w:ascii="Book Antiqua" w:eastAsia="SimSun" w:hAnsi="Book Antiqua" w:cs="SimSun"/>
          <w:b/>
          <w:bCs/>
          <w:sz w:val="24"/>
          <w:szCs w:val="24"/>
        </w:rPr>
        <w:t>Hull MA</w:t>
      </w:r>
      <w:r w:rsidRPr="00A25920">
        <w:rPr>
          <w:rFonts w:ascii="Book Antiqua" w:eastAsia="SimSun" w:hAnsi="Book Antiqua" w:cs="SimSun"/>
          <w:sz w:val="24"/>
          <w:szCs w:val="24"/>
        </w:rPr>
        <w:t>, Ko SC, Hawcroft G. Prostaglandin EP receptors: targets for treatment and prevention of colorectal cancer? </w:t>
      </w:r>
      <w:r w:rsidRPr="00A25920">
        <w:rPr>
          <w:rFonts w:ascii="Book Antiqua" w:eastAsia="SimSun" w:hAnsi="Book Antiqua" w:cs="SimSun"/>
          <w:i/>
          <w:iCs/>
          <w:sz w:val="24"/>
          <w:szCs w:val="24"/>
        </w:rPr>
        <w:t>Mol Cancer Ther</w:t>
      </w:r>
      <w:r w:rsidRPr="00A25920">
        <w:rPr>
          <w:rFonts w:ascii="Book Antiqua" w:eastAsia="SimSun" w:hAnsi="Book Antiqua" w:cs="SimSun"/>
          <w:sz w:val="24"/>
          <w:szCs w:val="24"/>
        </w:rPr>
        <w:t> 2004; </w:t>
      </w:r>
      <w:r w:rsidRPr="00A25920">
        <w:rPr>
          <w:rFonts w:ascii="Book Antiqua" w:eastAsia="SimSun" w:hAnsi="Book Antiqua" w:cs="SimSun"/>
          <w:b/>
          <w:bCs/>
          <w:sz w:val="24"/>
          <w:szCs w:val="24"/>
        </w:rPr>
        <w:t>3</w:t>
      </w:r>
      <w:r w:rsidRPr="00A25920">
        <w:rPr>
          <w:rFonts w:ascii="Book Antiqua" w:eastAsia="SimSun" w:hAnsi="Book Antiqua" w:cs="SimSun"/>
          <w:sz w:val="24"/>
          <w:szCs w:val="24"/>
        </w:rPr>
        <w:t>: 1031-1039 [PMID: 15299086]</w:t>
      </w:r>
    </w:p>
    <w:p w:rsidR="00C05F40" w:rsidRPr="00A25920" w:rsidRDefault="00C05F40" w:rsidP="00C05F40">
      <w:pPr>
        <w:spacing w:after="0" w:line="360" w:lineRule="auto"/>
        <w:jc w:val="both"/>
        <w:rPr>
          <w:rFonts w:ascii="Book Antiqua" w:eastAsia="SimSun" w:hAnsi="Book Antiqua" w:cs="SimSun"/>
          <w:sz w:val="24"/>
          <w:szCs w:val="24"/>
        </w:rPr>
      </w:pPr>
      <w:r w:rsidRPr="00A25920">
        <w:rPr>
          <w:rFonts w:ascii="Book Antiqua" w:eastAsia="SimSun" w:hAnsi="Book Antiqua" w:cs="SimSun"/>
          <w:sz w:val="24"/>
          <w:szCs w:val="24"/>
        </w:rPr>
        <w:t>10 </w:t>
      </w:r>
      <w:r w:rsidRPr="00A25920">
        <w:rPr>
          <w:rFonts w:ascii="Book Antiqua" w:eastAsia="SimSun" w:hAnsi="Book Antiqua" w:cs="SimSun"/>
          <w:b/>
          <w:bCs/>
          <w:sz w:val="24"/>
          <w:szCs w:val="24"/>
        </w:rPr>
        <w:t>Zhang P</w:t>
      </w:r>
      <w:r w:rsidRPr="00A25920">
        <w:rPr>
          <w:rFonts w:ascii="Book Antiqua" w:eastAsia="SimSun" w:hAnsi="Book Antiqua" w:cs="SimSun"/>
          <w:sz w:val="24"/>
          <w:szCs w:val="24"/>
        </w:rPr>
        <w:t>, Luo HS, Li M, Tan SY. Artesunate inhibits the growth and induces apoptosis of human gastric cancer cells by downregulating COX-2.</w:t>
      </w:r>
      <w:r w:rsidRPr="00A25920">
        <w:rPr>
          <w:rFonts w:ascii="Book Antiqua" w:eastAsia="SimSun" w:hAnsi="Book Antiqua" w:cs="SimSun" w:hint="eastAsia"/>
          <w:sz w:val="24"/>
          <w:szCs w:val="24"/>
        </w:rPr>
        <w:t xml:space="preserve"> </w:t>
      </w:r>
      <w:r w:rsidRPr="00A25920">
        <w:rPr>
          <w:rFonts w:ascii="Book Antiqua" w:eastAsia="SimSun" w:hAnsi="Book Antiqua" w:cs="SimSun"/>
          <w:i/>
          <w:iCs/>
          <w:sz w:val="24"/>
          <w:szCs w:val="24"/>
        </w:rPr>
        <w:t>Onco Targets Ther</w:t>
      </w:r>
      <w:r w:rsidRPr="00A25920">
        <w:rPr>
          <w:rFonts w:ascii="Book Antiqua" w:eastAsia="SimSun" w:hAnsi="Book Antiqua" w:cs="SimSun"/>
          <w:sz w:val="24"/>
          <w:szCs w:val="24"/>
        </w:rPr>
        <w:t> 2015; </w:t>
      </w:r>
      <w:r w:rsidRPr="00A25920">
        <w:rPr>
          <w:rFonts w:ascii="Book Antiqua" w:eastAsia="SimSun" w:hAnsi="Book Antiqua" w:cs="SimSun"/>
          <w:b/>
          <w:bCs/>
          <w:sz w:val="24"/>
          <w:szCs w:val="24"/>
        </w:rPr>
        <w:t>8</w:t>
      </w:r>
      <w:r w:rsidRPr="00A25920">
        <w:rPr>
          <w:rFonts w:ascii="Book Antiqua" w:eastAsia="SimSun" w:hAnsi="Book Antiqua" w:cs="SimSun"/>
          <w:sz w:val="24"/>
          <w:szCs w:val="24"/>
        </w:rPr>
        <w:t>: 845-854 [PMID: 25945055 DOI: 10.2147/OTT.S81041]</w:t>
      </w:r>
    </w:p>
    <w:p w:rsidR="00C05F40" w:rsidRPr="00A25920" w:rsidRDefault="00C05F40" w:rsidP="00C05F40">
      <w:pPr>
        <w:spacing w:after="0" w:line="360" w:lineRule="auto"/>
        <w:jc w:val="both"/>
        <w:rPr>
          <w:rFonts w:ascii="Book Antiqua" w:eastAsia="SimSun" w:hAnsi="Book Antiqua" w:cs="SimSun"/>
          <w:sz w:val="24"/>
          <w:szCs w:val="24"/>
        </w:rPr>
      </w:pPr>
      <w:r w:rsidRPr="00A25920">
        <w:rPr>
          <w:rFonts w:ascii="Book Antiqua" w:eastAsia="SimSun" w:hAnsi="Book Antiqua" w:cs="SimSun"/>
          <w:sz w:val="24"/>
          <w:szCs w:val="24"/>
        </w:rPr>
        <w:t>11 </w:t>
      </w:r>
      <w:r w:rsidRPr="00A25920">
        <w:rPr>
          <w:rFonts w:ascii="Book Antiqua" w:eastAsia="SimSun" w:hAnsi="Book Antiqua" w:cs="SimSun"/>
          <w:b/>
          <w:bCs/>
          <w:sz w:val="24"/>
          <w:szCs w:val="24"/>
        </w:rPr>
        <w:t>Qian M</w:t>
      </w:r>
      <w:r w:rsidRPr="00A25920">
        <w:rPr>
          <w:rFonts w:ascii="Book Antiqua" w:eastAsia="SimSun" w:hAnsi="Book Antiqua" w:cs="SimSun"/>
          <w:sz w:val="24"/>
          <w:szCs w:val="24"/>
        </w:rPr>
        <w:t>, Yang X, Li Z, Jiang C, Song D, Yan W, Liu T, Wu Z, Kong J, Wei H, Xiao J. P50-associated COX-2 extragenic RNA (PACER) overexpression promotes proliferation and metastasis of osteosarcoma cells by activating COX-2 gene. </w:t>
      </w:r>
      <w:r w:rsidRPr="00A25920">
        <w:rPr>
          <w:rFonts w:ascii="Book Antiqua" w:eastAsia="SimSun" w:hAnsi="Book Antiqua" w:cs="SimSun"/>
          <w:i/>
          <w:iCs/>
          <w:sz w:val="24"/>
          <w:szCs w:val="24"/>
        </w:rPr>
        <w:t>Tumour Biol</w:t>
      </w:r>
      <w:r w:rsidRPr="00A25920">
        <w:rPr>
          <w:rFonts w:ascii="Book Antiqua" w:eastAsia="SimSun" w:hAnsi="Book Antiqua" w:cs="SimSun"/>
          <w:sz w:val="24"/>
          <w:szCs w:val="24"/>
        </w:rPr>
        <w:t> 2016; </w:t>
      </w:r>
      <w:r w:rsidRPr="00A25920">
        <w:rPr>
          <w:rFonts w:ascii="Book Antiqua" w:eastAsia="SimSun" w:hAnsi="Book Antiqua" w:cs="SimSun"/>
          <w:b/>
          <w:bCs/>
          <w:sz w:val="24"/>
          <w:szCs w:val="24"/>
        </w:rPr>
        <w:t>37</w:t>
      </w:r>
      <w:r w:rsidRPr="00A25920">
        <w:rPr>
          <w:rFonts w:ascii="Book Antiqua" w:eastAsia="SimSun" w:hAnsi="Book Antiqua" w:cs="SimSun"/>
          <w:sz w:val="24"/>
          <w:szCs w:val="24"/>
        </w:rPr>
        <w:t>: 3879-3886 [PMID: 26476537 DOI: 10.1007/s13277-015-3838-8]</w:t>
      </w:r>
    </w:p>
    <w:p w:rsidR="00C05F40" w:rsidRPr="00A25920" w:rsidRDefault="00C05F40" w:rsidP="00C05F40">
      <w:pPr>
        <w:spacing w:after="0" w:line="360" w:lineRule="auto"/>
        <w:jc w:val="both"/>
        <w:rPr>
          <w:rFonts w:ascii="Book Antiqua" w:eastAsia="SimSun" w:hAnsi="Book Antiqua" w:cs="SimSun"/>
          <w:sz w:val="24"/>
          <w:szCs w:val="24"/>
        </w:rPr>
      </w:pPr>
      <w:r w:rsidRPr="00A25920">
        <w:rPr>
          <w:rFonts w:ascii="Book Antiqua" w:eastAsia="SimSun" w:hAnsi="Book Antiqua" w:cs="SimSun"/>
          <w:sz w:val="24"/>
          <w:szCs w:val="24"/>
        </w:rPr>
        <w:t>12 </w:t>
      </w:r>
      <w:r w:rsidRPr="00A25920">
        <w:rPr>
          <w:rFonts w:ascii="Book Antiqua" w:eastAsia="SimSun" w:hAnsi="Book Antiqua" w:cs="SimSun"/>
          <w:b/>
          <w:bCs/>
          <w:sz w:val="24"/>
          <w:szCs w:val="24"/>
        </w:rPr>
        <w:t>Lv P</w:t>
      </w:r>
      <w:r w:rsidRPr="00A25920">
        <w:rPr>
          <w:rFonts w:ascii="Book Antiqua" w:eastAsia="SimSun" w:hAnsi="Book Antiqua" w:cs="SimSun"/>
          <w:sz w:val="24"/>
          <w:szCs w:val="24"/>
        </w:rPr>
        <w:t>, Zhang P, Li X, Chen Y. Micro ribonucleic acid (RNA)-101 inhibits cell proliferation and invasion of lung cancer by regulating cyclooxygenase-2. </w:t>
      </w:r>
      <w:r w:rsidRPr="00A25920">
        <w:rPr>
          <w:rFonts w:ascii="Book Antiqua" w:eastAsia="SimSun" w:hAnsi="Book Antiqua" w:cs="SimSun"/>
          <w:i/>
          <w:iCs/>
          <w:sz w:val="24"/>
          <w:szCs w:val="24"/>
        </w:rPr>
        <w:t>Thorac Cancer</w:t>
      </w:r>
      <w:r w:rsidRPr="00A25920">
        <w:rPr>
          <w:rFonts w:ascii="Book Antiqua" w:eastAsia="SimSun" w:hAnsi="Book Antiqua" w:cs="SimSun"/>
          <w:sz w:val="24"/>
          <w:szCs w:val="24"/>
        </w:rPr>
        <w:t> 2015; </w:t>
      </w:r>
      <w:r w:rsidRPr="00A25920">
        <w:rPr>
          <w:rFonts w:ascii="Book Antiqua" w:eastAsia="SimSun" w:hAnsi="Book Antiqua" w:cs="SimSun"/>
          <w:b/>
          <w:bCs/>
          <w:sz w:val="24"/>
          <w:szCs w:val="24"/>
        </w:rPr>
        <w:t>6</w:t>
      </w:r>
      <w:r w:rsidRPr="00A25920">
        <w:rPr>
          <w:rFonts w:ascii="Book Antiqua" w:eastAsia="SimSun" w:hAnsi="Book Antiqua" w:cs="SimSun"/>
          <w:sz w:val="24"/>
          <w:szCs w:val="24"/>
        </w:rPr>
        <w:t>: 778-784 [PMID: 26557918 DOI: 10.1111/1759-7714.12283]</w:t>
      </w:r>
    </w:p>
    <w:p w:rsidR="00C05F40" w:rsidRPr="00A25920" w:rsidRDefault="00C05F40" w:rsidP="00C05F40">
      <w:pPr>
        <w:spacing w:after="0" w:line="360" w:lineRule="auto"/>
        <w:jc w:val="both"/>
        <w:rPr>
          <w:rFonts w:ascii="Book Antiqua" w:eastAsia="SimSun" w:hAnsi="Book Antiqua" w:cs="SimSun"/>
          <w:sz w:val="24"/>
          <w:szCs w:val="24"/>
        </w:rPr>
      </w:pPr>
      <w:r w:rsidRPr="00A25920">
        <w:rPr>
          <w:rFonts w:ascii="Book Antiqua" w:eastAsia="SimSun" w:hAnsi="Book Antiqua" w:cs="SimSun"/>
          <w:sz w:val="24"/>
          <w:szCs w:val="24"/>
        </w:rPr>
        <w:t>13 </w:t>
      </w:r>
      <w:r w:rsidRPr="00A25920">
        <w:rPr>
          <w:rFonts w:ascii="Book Antiqua" w:eastAsia="SimSun" w:hAnsi="Book Antiqua" w:cs="SimSun"/>
          <w:b/>
          <w:bCs/>
          <w:sz w:val="24"/>
          <w:szCs w:val="24"/>
        </w:rPr>
        <w:t>Lee JH</w:t>
      </w:r>
      <w:r w:rsidRPr="00A25920">
        <w:rPr>
          <w:rFonts w:ascii="Book Antiqua" w:eastAsia="SimSun" w:hAnsi="Book Antiqua" w:cs="SimSun"/>
          <w:sz w:val="24"/>
          <w:szCs w:val="24"/>
        </w:rPr>
        <w:t>, Piao MS, Choi JY, Yun SJ, Lee JB, Lee SC. Up-regulation of cyclooxygenase 2 and matrix metalloproteinases-2 and -9 in cutaneous squamous cell carcinoma: active role of inflammation and tissue remodeling in carcinogenesis. </w:t>
      </w:r>
      <w:r w:rsidRPr="00A25920">
        <w:rPr>
          <w:rFonts w:ascii="Book Antiqua" w:eastAsia="SimSun" w:hAnsi="Book Antiqua" w:cs="SimSun"/>
          <w:i/>
          <w:iCs/>
          <w:sz w:val="24"/>
          <w:szCs w:val="24"/>
        </w:rPr>
        <w:t>Ann Dermatol</w:t>
      </w:r>
      <w:r w:rsidRPr="00A25920">
        <w:rPr>
          <w:rFonts w:ascii="Book Antiqua" w:eastAsia="SimSun" w:hAnsi="Book Antiqua" w:cs="SimSun"/>
          <w:sz w:val="24"/>
          <w:szCs w:val="24"/>
        </w:rPr>
        <w:t> 2013; </w:t>
      </w:r>
      <w:r w:rsidRPr="00A25920">
        <w:rPr>
          <w:rFonts w:ascii="Book Antiqua" w:eastAsia="SimSun" w:hAnsi="Book Antiqua" w:cs="SimSun"/>
          <w:b/>
          <w:bCs/>
          <w:sz w:val="24"/>
          <w:szCs w:val="24"/>
        </w:rPr>
        <w:t>25</w:t>
      </w:r>
      <w:r w:rsidRPr="00A25920">
        <w:rPr>
          <w:rFonts w:ascii="Book Antiqua" w:eastAsia="SimSun" w:hAnsi="Book Antiqua" w:cs="SimSun"/>
          <w:sz w:val="24"/>
          <w:szCs w:val="24"/>
        </w:rPr>
        <w:t>: 145-151 [PMID: 23717003 DOI: 10.5021/ad.2013.25.2.145]</w:t>
      </w:r>
    </w:p>
    <w:p w:rsidR="00C05F40" w:rsidRPr="00A25920" w:rsidRDefault="00C05F40" w:rsidP="00C05F40">
      <w:pPr>
        <w:spacing w:after="0" w:line="360" w:lineRule="auto"/>
        <w:jc w:val="both"/>
        <w:rPr>
          <w:rFonts w:ascii="Book Antiqua" w:eastAsia="SimSun" w:hAnsi="Book Antiqua" w:cs="SimSun"/>
          <w:sz w:val="24"/>
          <w:szCs w:val="24"/>
        </w:rPr>
      </w:pPr>
      <w:r w:rsidRPr="00A25920">
        <w:rPr>
          <w:rFonts w:ascii="Book Antiqua" w:eastAsia="SimSun" w:hAnsi="Book Antiqua" w:cs="SimSun"/>
          <w:sz w:val="24"/>
          <w:szCs w:val="24"/>
        </w:rPr>
        <w:t>14 </w:t>
      </w:r>
      <w:r w:rsidRPr="00A25920">
        <w:rPr>
          <w:rFonts w:ascii="Book Antiqua" w:eastAsia="SimSun" w:hAnsi="Book Antiqua" w:cs="SimSun"/>
          <w:b/>
          <w:bCs/>
          <w:sz w:val="24"/>
          <w:szCs w:val="24"/>
        </w:rPr>
        <w:t>Mohammad MA</w:t>
      </w:r>
      <w:r w:rsidRPr="00A25920">
        <w:rPr>
          <w:rFonts w:ascii="Book Antiqua" w:eastAsia="SimSun" w:hAnsi="Book Antiqua" w:cs="SimSun"/>
          <w:sz w:val="24"/>
          <w:szCs w:val="24"/>
        </w:rPr>
        <w:t xml:space="preserve">, Zeeneldin AA, Abd Elmageed ZY, Khalil EH, Mahdy SM, Sharada HM, Sharawy SK, Abdel-Wahab AH. Clinical relevance of cyclooxygenase-2 and matrix metalloproteinases (MMP-2 and MT1-MMP) in </w:t>
      </w:r>
      <w:r w:rsidRPr="00A25920">
        <w:rPr>
          <w:rFonts w:ascii="Book Antiqua" w:eastAsia="SimSun" w:hAnsi="Book Antiqua" w:cs="SimSun"/>
          <w:sz w:val="24"/>
          <w:szCs w:val="24"/>
        </w:rPr>
        <w:lastRenderedPageBreak/>
        <w:t>human breast cancer tissue. </w:t>
      </w:r>
      <w:r w:rsidRPr="00A25920">
        <w:rPr>
          <w:rFonts w:ascii="Book Antiqua" w:eastAsia="SimSun" w:hAnsi="Book Antiqua" w:cs="SimSun"/>
          <w:i/>
          <w:iCs/>
          <w:sz w:val="24"/>
          <w:szCs w:val="24"/>
        </w:rPr>
        <w:t>Mol Cell Biochem</w:t>
      </w:r>
      <w:r w:rsidRPr="00A25920">
        <w:rPr>
          <w:rFonts w:ascii="Book Antiqua" w:eastAsia="SimSun" w:hAnsi="Book Antiqua" w:cs="SimSun"/>
          <w:sz w:val="24"/>
          <w:szCs w:val="24"/>
        </w:rPr>
        <w:t> 2012; </w:t>
      </w:r>
      <w:r w:rsidRPr="00A25920">
        <w:rPr>
          <w:rFonts w:ascii="Book Antiqua" w:eastAsia="SimSun" w:hAnsi="Book Antiqua" w:cs="SimSun"/>
          <w:b/>
          <w:bCs/>
          <w:sz w:val="24"/>
          <w:szCs w:val="24"/>
        </w:rPr>
        <w:t>366</w:t>
      </w:r>
      <w:r w:rsidRPr="00A25920">
        <w:rPr>
          <w:rFonts w:ascii="Book Antiqua" w:eastAsia="SimSun" w:hAnsi="Book Antiqua" w:cs="SimSun"/>
          <w:sz w:val="24"/>
          <w:szCs w:val="24"/>
        </w:rPr>
        <w:t>: 269-275 [PMID: 22527932 DOI: 10.1007/s11010-012-1305-z]</w:t>
      </w:r>
    </w:p>
    <w:p w:rsidR="00C05F40" w:rsidRPr="00A25920" w:rsidRDefault="00C05F40" w:rsidP="00C05F40">
      <w:pPr>
        <w:spacing w:after="0" w:line="360" w:lineRule="auto"/>
        <w:jc w:val="both"/>
        <w:rPr>
          <w:rFonts w:ascii="Book Antiqua" w:eastAsia="SimSun" w:hAnsi="Book Antiqua" w:cs="SimSun"/>
          <w:sz w:val="24"/>
          <w:szCs w:val="24"/>
        </w:rPr>
      </w:pPr>
      <w:r w:rsidRPr="00A25920">
        <w:rPr>
          <w:rFonts w:ascii="Book Antiqua" w:eastAsia="SimSun" w:hAnsi="Book Antiqua" w:cs="SimSun"/>
          <w:sz w:val="24"/>
          <w:szCs w:val="24"/>
        </w:rPr>
        <w:t>15</w:t>
      </w:r>
      <w:r w:rsidRPr="00A25920">
        <w:rPr>
          <w:rFonts w:ascii="Book Antiqua" w:eastAsia="SimSun" w:hAnsi="Book Antiqua" w:cs="Times New Roman" w:hint="eastAsia"/>
          <w:b/>
          <w:sz w:val="24"/>
          <w:szCs w:val="24"/>
        </w:rPr>
        <w:t xml:space="preserve"> </w:t>
      </w:r>
      <w:r w:rsidRPr="00A25920">
        <w:rPr>
          <w:rFonts w:ascii="Book Antiqua" w:eastAsia="SimSun" w:hAnsi="Book Antiqua" w:cs="SimSun"/>
          <w:b/>
          <w:sz w:val="24"/>
          <w:szCs w:val="24"/>
        </w:rPr>
        <w:t>Li Y</w:t>
      </w:r>
      <w:r w:rsidRPr="00A25920">
        <w:rPr>
          <w:rFonts w:ascii="Book Antiqua" w:eastAsia="SimSun" w:hAnsi="Book Antiqua" w:cs="SimSun"/>
          <w:sz w:val="24"/>
          <w:szCs w:val="24"/>
        </w:rPr>
        <w:t>, Li S, Sun D, Song L, Liu X. Expression of 15-hydroxyprostaglandin dehydrogenase and cyclooxygenase-2 in non-small cell lung cancer: Correlations with angiogenesis and prognosis.</w:t>
      </w:r>
      <w:r w:rsidRPr="00A25920">
        <w:rPr>
          <w:rFonts w:ascii="Book Antiqua" w:eastAsia="SimSun" w:hAnsi="Book Antiqua" w:cs="SimSun" w:hint="eastAsia"/>
          <w:sz w:val="24"/>
          <w:szCs w:val="24"/>
        </w:rPr>
        <w:t xml:space="preserve"> </w:t>
      </w:r>
      <w:r w:rsidRPr="00A25920">
        <w:rPr>
          <w:rFonts w:ascii="Book Antiqua" w:eastAsia="SimSun" w:hAnsi="Book Antiqua" w:cs="SimSun"/>
          <w:i/>
          <w:iCs/>
          <w:sz w:val="24"/>
          <w:szCs w:val="24"/>
        </w:rPr>
        <w:t>Oncol Lett</w:t>
      </w:r>
      <w:r w:rsidRPr="00A25920">
        <w:rPr>
          <w:rFonts w:ascii="Book Antiqua" w:eastAsia="SimSun" w:hAnsi="Book Antiqua" w:cs="SimSun"/>
          <w:sz w:val="24"/>
          <w:szCs w:val="24"/>
        </w:rPr>
        <w:t> 2014; </w:t>
      </w:r>
      <w:r w:rsidRPr="00A25920">
        <w:rPr>
          <w:rFonts w:ascii="Book Antiqua" w:eastAsia="SimSun" w:hAnsi="Book Antiqua" w:cs="SimSun"/>
          <w:b/>
          <w:bCs/>
          <w:sz w:val="24"/>
          <w:szCs w:val="24"/>
        </w:rPr>
        <w:t>8</w:t>
      </w:r>
      <w:r w:rsidRPr="00A25920">
        <w:rPr>
          <w:rFonts w:ascii="Book Antiqua" w:eastAsia="SimSun" w:hAnsi="Book Antiqua" w:cs="SimSun"/>
          <w:sz w:val="24"/>
          <w:szCs w:val="24"/>
        </w:rPr>
        <w:t>: 1589-1594 [PMID: 25202373 DOI: 10.3892/ol.2014.2371]</w:t>
      </w:r>
    </w:p>
    <w:p w:rsidR="00C05F40" w:rsidRPr="00A25920" w:rsidRDefault="00C05F40" w:rsidP="00C05F40">
      <w:pPr>
        <w:spacing w:after="0" w:line="360" w:lineRule="auto"/>
        <w:jc w:val="both"/>
        <w:rPr>
          <w:rFonts w:ascii="Book Antiqua" w:eastAsia="SimSun" w:hAnsi="Book Antiqua" w:cs="SimSun"/>
          <w:sz w:val="24"/>
          <w:szCs w:val="24"/>
        </w:rPr>
      </w:pPr>
      <w:r w:rsidRPr="00A25920">
        <w:rPr>
          <w:rFonts w:ascii="Book Antiqua" w:eastAsia="SimSun" w:hAnsi="Book Antiqua" w:cs="SimSun"/>
          <w:sz w:val="24"/>
          <w:szCs w:val="24"/>
        </w:rPr>
        <w:t>16 </w:t>
      </w:r>
      <w:r w:rsidRPr="00A25920">
        <w:rPr>
          <w:rFonts w:ascii="Book Antiqua" w:eastAsia="SimSun" w:hAnsi="Book Antiqua" w:cs="SimSun"/>
          <w:b/>
          <w:bCs/>
          <w:sz w:val="24"/>
          <w:szCs w:val="24"/>
        </w:rPr>
        <w:t>Yang Y</w:t>
      </w:r>
      <w:r w:rsidRPr="00A25920">
        <w:rPr>
          <w:rFonts w:ascii="Book Antiqua" w:eastAsia="SimSun" w:hAnsi="Book Antiqua" w:cs="SimSun"/>
          <w:sz w:val="24"/>
          <w:szCs w:val="24"/>
        </w:rPr>
        <w:t>, Zhu J, Gou H, Cao D, Jiang M, Hou M. Clinical significance of Cox-2, Survivin and Bcl-2 expression in hepatocellular carcinoma (HCC). </w:t>
      </w:r>
      <w:r w:rsidRPr="00A25920">
        <w:rPr>
          <w:rFonts w:ascii="Book Antiqua" w:eastAsia="SimSun" w:hAnsi="Book Antiqua" w:cs="SimSun"/>
          <w:i/>
          <w:iCs/>
          <w:sz w:val="24"/>
          <w:szCs w:val="24"/>
        </w:rPr>
        <w:t>Med Oncol</w:t>
      </w:r>
      <w:r w:rsidRPr="00A25920">
        <w:rPr>
          <w:rFonts w:ascii="Book Antiqua" w:eastAsia="SimSun" w:hAnsi="Book Antiqua" w:cs="SimSun"/>
          <w:sz w:val="24"/>
          <w:szCs w:val="24"/>
        </w:rPr>
        <w:t> 2011; </w:t>
      </w:r>
      <w:r w:rsidRPr="00A25920">
        <w:rPr>
          <w:rFonts w:ascii="Book Antiqua" w:eastAsia="SimSun" w:hAnsi="Book Antiqua" w:cs="SimSun"/>
          <w:b/>
          <w:bCs/>
          <w:sz w:val="24"/>
          <w:szCs w:val="24"/>
        </w:rPr>
        <w:t>28</w:t>
      </w:r>
      <w:r w:rsidRPr="00A25920">
        <w:rPr>
          <w:rFonts w:ascii="Book Antiqua" w:eastAsia="SimSun" w:hAnsi="Book Antiqua" w:cs="SimSun"/>
          <w:sz w:val="24"/>
          <w:szCs w:val="24"/>
        </w:rPr>
        <w:t>: 796-803 [PMID: 20401641 DOI: 10.1007/s12032-010-9519-y]</w:t>
      </w:r>
    </w:p>
    <w:p w:rsidR="00C05F40" w:rsidRPr="00A25920" w:rsidRDefault="00C05F40" w:rsidP="00C05F40">
      <w:pPr>
        <w:spacing w:after="0" w:line="360" w:lineRule="auto"/>
        <w:jc w:val="both"/>
        <w:rPr>
          <w:rFonts w:ascii="Book Antiqua" w:eastAsia="SimSun" w:hAnsi="Book Antiqua" w:cs="SimSun"/>
          <w:sz w:val="24"/>
          <w:szCs w:val="24"/>
        </w:rPr>
      </w:pPr>
      <w:r w:rsidRPr="00A25920">
        <w:rPr>
          <w:rFonts w:ascii="Book Antiqua" w:eastAsia="SimSun" w:hAnsi="Book Antiqua" w:cs="SimSun"/>
          <w:sz w:val="24"/>
          <w:szCs w:val="24"/>
        </w:rPr>
        <w:t>17 </w:t>
      </w:r>
      <w:r w:rsidRPr="00A25920">
        <w:rPr>
          <w:rFonts w:ascii="Book Antiqua" w:eastAsia="SimSun" w:hAnsi="Book Antiqua" w:cs="SimSun"/>
          <w:b/>
          <w:bCs/>
          <w:sz w:val="24"/>
          <w:szCs w:val="24"/>
        </w:rPr>
        <w:t>Yildirim Y</w:t>
      </w:r>
      <w:r w:rsidRPr="00A25920">
        <w:rPr>
          <w:rFonts w:ascii="Book Antiqua" w:eastAsia="SimSun" w:hAnsi="Book Antiqua" w:cs="SimSun"/>
          <w:sz w:val="24"/>
          <w:szCs w:val="24"/>
        </w:rPr>
        <w:t>, Ozyilkan O, Bilezikci B, Akcali Z, Haberal M. Lack of influence of cyclooxygenese-2 expression in hepatocellular carcinomas on patient survival. </w:t>
      </w:r>
      <w:r w:rsidRPr="00A25920">
        <w:rPr>
          <w:rFonts w:ascii="Book Antiqua" w:eastAsia="SimSun" w:hAnsi="Book Antiqua" w:cs="SimSun"/>
          <w:i/>
          <w:iCs/>
          <w:sz w:val="24"/>
          <w:szCs w:val="24"/>
        </w:rPr>
        <w:t>Asian Pac J Cancer Prev</w:t>
      </w:r>
      <w:r w:rsidRPr="00A25920">
        <w:rPr>
          <w:rFonts w:ascii="Book Antiqua" w:eastAsia="SimSun" w:hAnsi="Book Antiqua" w:cs="SimSun"/>
          <w:sz w:val="24"/>
          <w:szCs w:val="24"/>
        </w:rPr>
        <w:t> </w:t>
      </w:r>
      <w:r w:rsidRPr="00A25920">
        <w:rPr>
          <w:rFonts w:ascii="Book Antiqua" w:eastAsia="SimSun" w:hAnsi="Book Antiqua" w:cs="SimSun" w:hint="eastAsia"/>
          <w:sz w:val="24"/>
          <w:szCs w:val="24"/>
        </w:rPr>
        <w:t>2008</w:t>
      </w:r>
      <w:r w:rsidRPr="00A25920">
        <w:rPr>
          <w:rFonts w:ascii="Book Antiqua" w:eastAsia="SimSun" w:hAnsi="Book Antiqua" w:cs="SimSun"/>
          <w:sz w:val="24"/>
          <w:szCs w:val="24"/>
        </w:rPr>
        <w:t>; </w:t>
      </w:r>
      <w:r w:rsidRPr="00A25920">
        <w:rPr>
          <w:rFonts w:ascii="Book Antiqua" w:eastAsia="SimSun" w:hAnsi="Book Antiqua" w:cs="SimSun"/>
          <w:b/>
          <w:bCs/>
          <w:sz w:val="24"/>
          <w:szCs w:val="24"/>
        </w:rPr>
        <w:t>9</w:t>
      </w:r>
      <w:r w:rsidRPr="00A25920">
        <w:rPr>
          <w:rFonts w:ascii="Book Antiqua" w:eastAsia="SimSun" w:hAnsi="Book Antiqua" w:cs="SimSun"/>
          <w:sz w:val="24"/>
          <w:szCs w:val="24"/>
        </w:rPr>
        <w:t>: 295-298 [PMID: 18712978]</w:t>
      </w:r>
    </w:p>
    <w:p w:rsidR="00C05F40" w:rsidRPr="00A25920" w:rsidRDefault="00C05F40" w:rsidP="00C05F40">
      <w:pPr>
        <w:spacing w:after="0" w:line="360" w:lineRule="auto"/>
        <w:jc w:val="both"/>
        <w:rPr>
          <w:rFonts w:ascii="Book Antiqua" w:eastAsia="SimSun" w:hAnsi="Book Antiqua" w:cs="SimSun"/>
          <w:sz w:val="24"/>
          <w:szCs w:val="24"/>
        </w:rPr>
      </w:pPr>
      <w:r w:rsidRPr="00A25920">
        <w:rPr>
          <w:rFonts w:ascii="Book Antiqua" w:eastAsia="SimSun" w:hAnsi="Book Antiqua" w:cs="SimSun"/>
          <w:sz w:val="24"/>
          <w:szCs w:val="24"/>
        </w:rPr>
        <w:t>18 </w:t>
      </w:r>
      <w:r w:rsidRPr="00A25920">
        <w:rPr>
          <w:rFonts w:ascii="Book Antiqua" w:eastAsia="SimSun" w:hAnsi="Book Antiqua" w:cs="SimSun"/>
          <w:b/>
          <w:bCs/>
          <w:sz w:val="24"/>
          <w:szCs w:val="24"/>
        </w:rPr>
        <w:t>Breinig M</w:t>
      </w:r>
      <w:r w:rsidRPr="00A25920">
        <w:rPr>
          <w:rFonts w:ascii="Book Antiqua" w:eastAsia="SimSun" w:hAnsi="Book Antiqua" w:cs="SimSun"/>
          <w:sz w:val="24"/>
          <w:szCs w:val="24"/>
        </w:rPr>
        <w:t>, Rieker R, Eiteneuer E, Wertenbruch T, Haugg AM, Helmke BM, Schirmacher P, Kern MA. Differential expression of E-prostanoid receptors in human hepatocellular carcinoma. </w:t>
      </w:r>
      <w:r w:rsidRPr="00A25920">
        <w:rPr>
          <w:rFonts w:ascii="Book Antiqua" w:eastAsia="SimSun" w:hAnsi="Book Antiqua" w:cs="SimSun"/>
          <w:i/>
          <w:iCs/>
          <w:sz w:val="24"/>
          <w:szCs w:val="24"/>
        </w:rPr>
        <w:t>Int J Cancer</w:t>
      </w:r>
      <w:r w:rsidRPr="00A25920">
        <w:rPr>
          <w:rFonts w:ascii="Book Antiqua" w:eastAsia="SimSun" w:hAnsi="Book Antiqua" w:cs="SimSun"/>
          <w:sz w:val="24"/>
          <w:szCs w:val="24"/>
        </w:rPr>
        <w:t> 2008; </w:t>
      </w:r>
      <w:r w:rsidRPr="00A25920">
        <w:rPr>
          <w:rFonts w:ascii="Book Antiqua" w:eastAsia="SimSun" w:hAnsi="Book Antiqua" w:cs="SimSun"/>
          <w:b/>
          <w:bCs/>
          <w:sz w:val="24"/>
          <w:szCs w:val="24"/>
        </w:rPr>
        <w:t>122</w:t>
      </w:r>
      <w:r w:rsidRPr="00A25920">
        <w:rPr>
          <w:rFonts w:ascii="Book Antiqua" w:eastAsia="SimSun" w:hAnsi="Book Antiqua" w:cs="SimSun"/>
          <w:sz w:val="24"/>
          <w:szCs w:val="24"/>
        </w:rPr>
        <w:t>: 547-557 [PMID: 17918156 DOI: 10.1002/ijc.23098]</w:t>
      </w:r>
    </w:p>
    <w:p w:rsidR="00C05F40" w:rsidRPr="00A25920" w:rsidRDefault="00C05F40" w:rsidP="00C05F40">
      <w:pPr>
        <w:spacing w:after="0" w:line="360" w:lineRule="auto"/>
        <w:jc w:val="both"/>
        <w:rPr>
          <w:rFonts w:ascii="Book Antiqua" w:eastAsia="SimSun" w:hAnsi="Book Antiqua" w:cs="SimSun"/>
          <w:sz w:val="24"/>
          <w:szCs w:val="24"/>
        </w:rPr>
      </w:pPr>
      <w:r w:rsidRPr="00A25920">
        <w:rPr>
          <w:rFonts w:ascii="Book Antiqua" w:eastAsia="SimSun" w:hAnsi="Book Antiqua" w:cs="SimSun"/>
          <w:sz w:val="24"/>
          <w:szCs w:val="24"/>
        </w:rPr>
        <w:t>19 </w:t>
      </w:r>
      <w:r w:rsidRPr="00A25920">
        <w:rPr>
          <w:rFonts w:ascii="Book Antiqua" w:eastAsia="SimSun" w:hAnsi="Book Antiqua" w:cs="SimSun"/>
          <w:b/>
          <w:bCs/>
          <w:sz w:val="24"/>
          <w:szCs w:val="24"/>
        </w:rPr>
        <w:t>Koga H</w:t>
      </w:r>
      <w:r w:rsidRPr="00A25920">
        <w:rPr>
          <w:rFonts w:ascii="Book Antiqua" w:eastAsia="SimSun" w:hAnsi="Book Antiqua" w:cs="SimSun"/>
          <w:sz w:val="24"/>
          <w:szCs w:val="24"/>
        </w:rPr>
        <w:t>, Sakisaka S, Ohishi M, Kawaguchi T, Taniguchi E, Sasatomi K, Harada M, Kusaba T, Tanaka M, Kimura R, Nakashima Y, Nakashima O, Kojiro M, Kurohiji T, Sata M. Expression of cyclooxygenase-2 in human hepatocellular carcinoma: relevance to tumor dedifferentiation. </w:t>
      </w:r>
      <w:r w:rsidRPr="00A25920">
        <w:rPr>
          <w:rFonts w:ascii="Book Antiqua" w:eastAsia="SimSun" w:hAnsi="Book Antiqua" w:cs="SimSun"/>
          <w:i/>
          <w:iCs/>
          <w:sz w:val="24"/>
          <w:szCs w:val="24"/>
        </w:rPr>
        <w:t>Hepatology</w:t>
      </w:r>
      <w:r w:rsidRPr="00A25920">
        <w:rPr>
          <w:rFonts w:ascii="Book Antiqua" w:eastAsia="SimSun" w:hAnsi="Book Antiqua" w:cs="SimSun" w:hint="eastAsia"/>
          <w:sz w:val="24"/>
          <w:szCs w:val="24"/>
        </w:rPr>
        <w:t xml:space="preserve"> </w:t>
      </w:r>
      <w:r w:rsidRPr="00A25920">
        <w:rPr>
          <w:rFonts w:ascii="Book Antiqua" w:eastAsia="SimSun" w:hAnsi="Book Antiqua" w:cs="SimSun"/>
          <w:sz w:val="24"/>
          <w:szCs w:val="24"/>
        </w:rPr>
        <w:t>1999;</w:t>
      </w:r>
      <w:r w:rsidRPr="00A25920">
        <w:rPr>
          <w:rFonts w:ascii="Book Antiqua" w:eastAsia="SimSun" w:hAnsi="Book Antiqua" w:cs="SimSun" w:hint="eastAsia"/>
          <w:sz w:val="24"/>
          <w:szCs w:val="24"/>
        </w:rPr>
        <w:t xml:space="preserve"> </w:t>
      </w:r>
      <w:r w:rsidRPr="00A25920">
        <w:rPr>
          <w:rFonts w:ascii="Book Antiqua" w:eastAsia="SimSun" w:hAnsi="Book Antiqua" w:cs="SimSun"/>
          <w:b/>
          <w:bCs/>
          <w:sz w:val="24"/>
          <w:szCs w:val="24"/>
        </w:rPr>
        <w:t>29</w:t>
      </w:r>
      <w:r w:rsidRPr="00A25920">
        <w:rPr>
          <w:rFonts w:ascii="Book Antiqua" w:eastAsia="SimSun" w:hAnsi="Book Antiqua" w:cs="SimSun"/>
          <w:sz w:val="24"/>
          <w:szCs w:val="24"/>
        </w:rPr>
        <w:t>: 688-696 [PMID: 10051469 DOI: 10.1002/hep.510290355]</w:t>
      </w:r>
    </w:p>
    <w:p w:rsidR="00C05F40" w:rsidRPr="00A25920" w:rsidRDefault="00C05F40" w:rsidP="00C05F40">
      <w:pPr>
        <w:spacing w:after="0" w:line="360" w:lineRule="auto"/>
        <w:jc w:val="both"/>
        <w:rPr>
          <w:rFonts w:ascii="Book Antiqua" w:eastAsia="SimSun" w:hAnsi="Book Antiqua" w:cs="SimSun"/>
          <w:sz w:val="24"/>
          <w:szCs w:val="24"/>
        </w:rPr>
      </w:pPr>
      <w:r w:rsidRPr="00A25920">
        <w:rPr>
          <w:rFonts w:ascii="Book Antiqua" w:eastAsia="SimSun" w:hAnsi="Book Antiqua" w:cs="SimSun"/>
          <w:sz w:val="24"/>
          <w:szCs w:val="24"/>
        </w:rPr>
        <w:t>20 </w:t>
      </w:r>
      <w:r w:rsidRPr="00A25920">
        <w:rPr>
          <w:rFonts w:ascii="Book Antiqua" w:eastAsia="SimSun" w:hAnsi="Book Antiqua" w:cs="SimSun"/>
          <w:b/>
          <w:bCs/>
          <w:sz w:val="24"/>
          <w:szCs w:val="24"/>
        </w:rPr>
        <w:t>Watanabe K</w:t>
      </w:r>
      <w:r w:rsidRPr="00A25920">
        <w:rPr>
          <w:rFonts w:ascii="Book Antiqua" w:eastAsia="SimSun" w:hAnsi="Book Antiqua" w:cs="SimSun"/>
          <w:sz w:val="24"/>
          <w:szCs w:val="24"/>
        </w:rPr>
        <w:t>, Kawamori T, Nakatsugi S, Ohta T, Ohuchida S, Yamamoto H, Maruyama T, Kondo K, Narumiya S, Sugimura T, Wakabayashi K. Inhibitory effect of a prostaglandin E receptor subtype EP(1) selective antagonist, ONO-8713, on development of azoxymethane-induced aberrant crypt foci in mice.</w:t>
      </w:r>
      <w:r w:rsidRPr="00A25920">
        <w:rPr>
          <w:rFonts w:ascii="Book Antiqua" w:eastAsia="SimSun" w:hAnsi="Book Antiqua" w:cs="SimSun" w:hint="eastAsia"/>
          <w:sz w:val="24"/>
          <w:szCs w:val="24"/>
        </w:rPr>
        <w:t xml:space="preserve"> </w:t>
      </w:r>
      <w:r w:rsidRPr="00A25920">
        <w:rPr>
          <w:rFonts w:ascii="Book Antiqua" w:eastAsia="SimSun" w:hAnsi="Book Antiqua" w:cs="SimSun"/>
          <w:i/>
          <w:iCs/>
          <w:sz w:val="24"/>
          <w:szCs w:val="24"/>
        </w:rPr>
        <w:t>Cancer Lett</w:t>
      </w:r>
      <w:r w:rsidRPr="00A25920">
        <w:rPr>
          <w:rFonts w:ascii="Book Antiqua" w:eastAsia="SimSun" w:hAnsi="Book Antiqua" w:cs="SimSun"/>
          <w:sz w:val="24"/>
          <w:szCs w:val="24"/>
        </w:rPr>
        <w:t> 2000; </w:t>
      </w:r>
      <w:r w:rsidRPr="00A25920">
        <w:rPr>
          <w:rFonts w:ascii="Book Antiqua" w:eastAsia="SimSun" w:hAnsi="Book Antiqua" w:cs="SimSun"/>
          <w:b/>
          <w:bCs/>
          <w:sz w:val="24"/>
          <w:szCs w:val="24"/>
        </w:rPr>
        <w:t>156</w:t>
      </w:r>
      <w:r w:rsidRPr="00A25920">
        <w:rPr>
          <w:rFonts w:ascii="Book Antiqua" w:eastAsia="SimSun" w:hAnsi="Book Antiqua" w:cs="SimSun"/>
          <w:sz w:val="24"/>
          <w:szCs w:val="24"/>
        </w:rPr>
        <w:t>: 57-61 [PMID: 10840160</w:t>
      </w:r>
      <w:r w:rsidRPr="00A25920">
        <w:rPr>
          <w:rFonts w:ascii="Book Antiqua" w:eastAsia="SimSun" w:hAnsi="Book Antiqua" w:cs="SimSun" w:hint="eastAsia"/>
          <w:sz w:val="24"/>
          <w:szCs w:val="24"/>
        </w:rPr>
        <w:t xml:space="preserve"> </w:t>
      </w:r>
      <w:r w:rsidRPr="00A25920">
        <w:rPr>
          <w:rFonts w:ascii="Book Antiqua" w:eastAsia="SimSun" w:hAnsi="Book Antiqua" w:cs="SimSun"/>
          <w:sz w:val="24"/>
          <w:szCs w:val="24"/>
        </w:rPr>
        <w:t>DOI: 10.1016/S0304-3835(00)00440-7]</w:t>
      </w:r>
    </w:p>
    <w:p w:rsidR="00C05F40" w:rsidRPr="00A25920" w:rsidRDefault="00C05F40" w:rsidP="00C05F40">
      <w:pPr>
        <w:spacing w:after="0" w:line="360" w:lineRule="auto"/>
        <w:jc w:val="both"/>
        <w:rPr>
          <w:rFonts w:ascii="Book Antiqua" w:eastAsia="SimSun" w:hAnsi="Book Antiqua" w:cs="SimSun"/>
          <w:sz w:val="24"/>
          <w:szCs w:val="24"/>
        </w:rPr>
      </w:pPr>
      <w:r w:rsidRPr="00A25920">
        <w:rPr>
          <w:rFonts w:ascii="Book Antiqua" w:eastAsia="SimSun" w:hAnsi="Book Antiqua" w:cs="SimSun"/>
          <w:sz w:val="24"/>
          <w:szCs w:val="24"/>
        </w:rPr>
        <w:t>21 </w:t>
      </w:r>
      <w:r w:rsidRPr="00A25920">
        <w:rPr>
          <w:rFonts w:ascii="Book Antiqua" w:eastAsia="SimSun" w:hAnsi="Book Antiqua" w:cs="SimSun"/>
          <w:b/>
          <w:bCs/>
          <w:sz w:val="24"/>
          <w:szCs w:val="24"/>
        </w:rPr>
        <w:t>Watanabe K</w:t>
      </w:r>
      <w:r w:rsidRPr="00A25920">
        <w:rPr>
          <w:rFonts w:ascii="Book Antiqua" w:eastAsia="SimSun" w:hAnsi="Book Antiqua" w:cs="SimSun"/>
          <w:sz w:val="24"/>
          <w:szCs w:val="24"/>
        </w:rPr>
        <w:t xml:space="preserve">, Kawamori T, Nakatsugi S, Ohta T, Ohuchida S, Yamamoto H, Maruyama T, Kondo K, Ushikubi F, Narumiya S, Sugimura T, Wakabayashi K. </w:t>
      </w:r>
      <w:r w:rsidRPr="00A25920">
        <w:rPr>
          <w:rFonts w:ascii="Book Antiqua" w:eastAsia="SimSun" w:hAnsi="Book Antiqua" w:cs="SimSun"/>
          <w:sz w:val="24"/>
          <w:szCs w:val="24"/>
        </w:rPr>
        <w:lastRenderedPageBreak/>
        <w:t>Role of the prostaglandin E receptor subtype EP1 in colon carcinogenesis.</w:t>
      </w:r>
      <w:r w:rsidRPr="00A25920">
        <w:rPr>
          <w:rFonts w:ascii="Book Antiqua" w:eastAsia="SimSun" w:hAnsi="Book Antiqua" w:cs="SimSun" w:hint="eastAsia"/>
          <w:sz w:val="24"/>
          <w:szCs w:val="24"/>
        </w:rPr>
        <w:t xml:space="preserve"> </w:t>
      </w:r>
      <w:r w:rsidRPr="00A25920">
        <w:rPr>
          <w:rFonts w:ascii="Book Antiqua" w:eastAsia="SimSun" w:hAnsi="Book Antiqua" w:cs="SimSun"/>
          <w:i/>
          <w:iCs/>
          <w:sz w:val="24"/>
          <w:szCs w:val="24"/>
        </w:rPr>
        <w:t>Cancer</w:t>
      </w:r>
      <w:r w:rsidRPr="00A25920">
        <w:rPr>
          <w:rFonts w:ascii="Book Antiqua" w:eastAsia="SimSun" w:hAnsi="Book Antiqua" w:cs="SimSun" w:hint="eastAsia"/>
          <w:i/>
          <w:iCs/>
          <w:sz w:val="24"/>
          <w:szCs w:val="24"/>
        </w:rPr>
        <w:t xml:space="preserve"> </w:t>
      </w:r>
      <w:r w:rsidRPr="00A25920">
        <w:rPr>
          <w:rFonts w:ascii="Book Antiqua" w:eastAsia="SimSun" w:hAnsi="Book Antiqua" w:cs="SimSun"/>
          <w:i/>
          <w:iCs/>
          <w:sz w:val="24"/>
          <w:szCs w:val="24"/>
        </w:rPr>
        <w:t>Res</w:t>
      </w:r>
      <w:r w:rsidRPr="00A25920">
        <w:rPr>
          <w:rFonts w:ascii="Book Antiqua" w:eastAsia="SimSun" w:hAnsi="Book Antiqua" w:cs="SimSun"/>
          <w:sz w:val="24"/>
          <w:szCs w:val="24"/>
        </w:rPr>
        <w:t> 1999; </w:t>
      </w:r>
      <w:r w:rsidRPr="00A25920">
        <w:rPr>
          <w:rFonts w:ascii="Book Antiqua" w:eastAsia="SimSun" w:hAnsi="Book Antiqua" w:cs="SimSun"/>
          <w:b/>
          <w:bCs/>
          <w:sz w:val="24"/>
          <w:szCs w:val="24"/>
        </w:rPr>
        <w:t>59</w:t>
      </w:r>
      <w:r w:rsidRPr="00A25920">
        <w:rPr>
          <w:rFonts w:ascii="Book Antiqua" w:eastAsia="SimSun" w:hAnsi="Book Antiqua" w:cs="SimSun"/>
          <w:sz w:val="24"/>
          <w:szCs w:val="24"/>
        </w:rPr>
        <w:t>: 5093-5096 [PMID: 10537280]</w:t>
      </w:r>
    </w:p>
    <w:p w:rsidR="00C05F40" w:rsidRPr="00A25920" w:rsidRDefault="00C05F40" w:rsidP="00C05F40">
      <w:pPr>
        <w:spacing w:after="0" w:line="360" w:lineRule="auto"/>
        <w:jc w:val="both"/>
        <w:rPr>
          <w:rFonts w:ascii="Book Antiqua" w:eastAsia="SimSun" w:hAnsi="Book Antiqua" w:cs="SimSun"/>
          <w:sz w:val="24"/>
          <w:szCs w:val="24"/>
        </w:rPr>
      </w:pPr>
      <w:r w:rsidRPr="00A25920">
        <w:rPr>
          <w:rFonts w:ascii="Book Antiqua" w:eastAsia="SimSun" w:hAnsi="Book Antiqua" w:cs="SimSun"/>
          <w:sz w:val="24"/>
          <w:szCs w:val="24"/>
        </w:rPr>
        <w:t>22 </w:t>
      </w:r>
      <w:r w:rsidRPr="00A25920">
        <w:rPr>
          <w:rFonts w:ascii="Book Antiqua" w:eastAsia="SimSun" w:hAnsi="Book Antiqua" w:cs="SimSun"/>
          <w:b/>
          <w:bCs/>
          <w:sz w:val="24"/>
          <w:szCs w:val="24"/>
        </w:rPr>
        <w:t>Kawamori T</w:t>
      </w:r>
      <w:r w:rsidRPr="00A25920">
        <w:rPr>
          <w:rFonts w:ascii="Book Antiqua" w:eastAsia="SimSun" w:hAnsi="Book Antiqua" w:cs="SimSun"/>
          <w:sz w:val="24"/>
          <w:szCs w:val="24"/>
        </w:rPr>
        <w:t>, Uchiya N, Nakatsugi S, Watanabe K, Ohuchida S, Yamamoto H, Maruyama T, Kondo K, Sugimura T, Wakabayashi K. Chemopreventive effects of ONO-8711, a selective prostaglandin E receptor EP(1) antagonist, on breast cancer development. </w:t>
      </w:r>
      <w:r w:rsidRPr="00A25920">
        <w:rPr>
          <w:rFonts w:ascii="Book Antiqua" w:eastAsia="SimSun" w:hAnsi="Book Antiqua" w:cs="SimSun"/>
          <w:i/>
          <w:iCs/>
          <w:sz w:val="24"/>
          <w:szCs w:val="24"/>
        </w:rPr>
        <w:t>Carcinogenesis</w:t>
      </w:r>
      <w:r w:rsidRPr="00A25920">
        <w:rPr>
          <w:rFonts w:ascii="Book Antiqua" w:eastAsia="SimSun" w:hAnsi="Book Antiqua" w:cs="SimSun"/>
          <w:sz w:val="24"/>
          <w:szCs w:val="24"/>
        </w:rPr>
        <w:t> 2001; </w:t>
      </w:r>
      <w:r w:rsidRPr="00A25920">
        <w:rPr>
          <w:rFonts w:ascii="Book Antiqua" w:eastAsia="SimSun" w:hAnsi="Book Antiqua" w:cs="SimSun"/>
          <w:b/>
          <w:bCs/>
          <w:sz w:val="24"/>
          <w:szCs w:val="24"/>
        </w:rPr>
        <w:t>22</w:t>
      </w:r>
      <w:r w:rsidRPr="00A25920">
        <w:rPr>
          <w:rFonts w:ascii="Book Antiqua" w:eastAsia="SimSun" w:hAnsi="Book Antiqua" w:cs="SimSun"/>
          <w:sz w:val="24"/>
          <w:szCs w:val="24"/>
        </w:rPr>
        <w:t>: 2001-2004 [PMID: 11751431</w:t>
      </w:r>
      <w:r w:rsidRPr="00A25920">
        <w:rPr>
          <w:rFonts w:ascii="Book Antiqua" w:eastAsia="SimSun" w:hAnsi="Book Antiqua" w:cs="SimSun" w:hint="eastAsia"/>
          <w:sz w:val="24"/>
          <w:szCs w:val="24"/>
        </w:rPr>
        <w:t xml:space="preserve"> </w:t>
      </w:r>
      <w:r w:rsidRPr="00A25920">
        <w:rPr>
          <w:rFonts w:ascii="Book Antiqua" w:eastAsia="SimSun" w:hAnsi="Book Antiqua" w:cs="SimSun"/>
          <w:sz w:val="24"/>
          <w:szCs w:val="24"/>
        </w:rPr>
        <w:t>DOI: 10.1093/carcin/22.12.2001]</w:t>
      </w:r>
    </w:p>
    <w:p w:rsidR="00C05F40" w:rsidRPr="00A25920" w:rsidRDefault="00C05F40" w:rsidP="00C05F40">
      <w:pPr>
        <w:spacing w:after="0" w:line="360" w:lineRule="auto"/>
        <w:jc w:val="both"/>
        <w:rPr>
          <w:rFonts w:ascii="Book Antiqua" w:eastAsia="SimSun" w:hAnsi="Book Antiqua" w:cs="SimSun"/>
          <w:sz w:val="24"/>
          <w:szCs w:val="24"/>
        </w:rPr>
      </w:pPr>
      <w:r w:rsidRPr="00A25920">
        <w:rPr>
          <w:rFonts w:ascii="Book Antiqua" w:eastAsia="SimSun" w:hAnsi="Book Antiqua" w:cs="SimSun"/>
          <w:sz w:val="24"/>
          <w:szCs w:val="24"/>
        </w:rPr>
        <w:t>23 </w:t>
      </w:r>
      <w:r w:rsidRPr="00A25920">
        <w:rPr>
          <w:rFonts w:ascii="Book Antiqua" w:eastAsia="SimSun" w:hAnsi="Book Antiqua" w:cs="SimSun"/>
          <w:b/>
          <w:bCs/>
          <w:sz w:val="24"/>
          <w:szCs w:val="24"/>
        </w:rPr>
        <w:t>Tober KL</w:t>
      </w:r>
      <w:r w:rsidRPr="00A25920">
        <w:rPr>
          <w:rFonts w:ascii="Book Antiqua" w:eastAsia="SimSun" w:hAnsi="Book Antiqua" w:cs="SimSun"/>
          <w:sz w:val="24"/>
          <w:szCs w:val="24"/>
        </w:rPr>
        <w:t>, Wilgus TA, Kusewitt DF, Thomas-Ahner JM, Maruyama T, Oberyszyn TM. Importance of the EP(1) receptor in cutaneous UVB-induced inflammation and tumor development. </w:t>
      </w:r>
      <w:r w:rsidRPr="00A25920">
        <w:rPr>
          <w:rFonts w:ascii="Book Antiqua" w:eastAsia="SimSun" w:hAnsi="Book Antiqua" w:cs="SimSun"/>
          <w:i/>
          <w:iCs/>
          <w:sz w:val="24"/>
          <w:szCs w:val="24"/>
        </w:rPr>
        <w:t>J Invest Dermatol</w:t>
      </w:r>
      <w:r w:rsidRPr="00A25920">
        <w:rPr>
          <w:rFonts w:ascii="Book Antiqua" w:eastAsia="SimSun" w:hAnsi="Book Antiqua" w:cs="SimSun"/>
          <w:sz w:val="24"/>
          <w:szCs w:val="24"/>
        </w:rPr>
        <w:t> 2006; </w:t>
      </w:r>
      <w:r w:rsidRPr="00A25920">
        <w:rPr>
          <w:rFonts w:ascii="Book Antiqua" w:eastAsia="SimSun" w:hAnsi="Book Antiqua" w:cs="SimSun"/>
          <w:b/>
          <w:bCs/>
          <w:sz w:val="24"/>
          <w:szCs w:val="24"/>
        </w:rPr>
        <w:t>126</w:t>
      </w:r>
      <w:r w:rsidRPr="00A25920">
        <w:rPr>
          <w:rFonts w:ascii="Book Antiqua" w:eastAsia="SimSun" w:hAnsi="Book Antiqua" w:cs="SimSun"/>
          <w:sz w:val="24"/>
          <w:szCs w:val="24"/>
        </w:rPr>
        <w:t>: 205-211 [PMID: 16417238 DOI: 10.1038/sj.jid.5700014]</w:t>
      </w:r>
    </w:p>
    <w:p w:rsidR="00C05F40" w:rsidRPr="00A25920" w:rsidRDefault="00C05F40" w:rsidP="00C05F40">
      <w:pPr>
        <w:spacing w:after="0" w:line="360" w:lineRule="auto"/>
        <w:jc w:val="both"/>
        <w:rPr>
          <w:rFonts w:ascii="Book Antiqua" w:eastAsia="SimSun" w:hAnsi="Book Antiqua" w:cs="SimSun"/>
          <w:sz w:val="24"/>
          <w:szCs w:val="24"/>
        </w:rPr>
      </w:pPr>
      <w:r w:rsidRPr="00A25920">
        <w:rPr>
          <w:rFonts w:ascii="Book Antiqua" w:eastAsia="SimSun" w:hAnsi="Book Antiqua" w:cs="SimSun"/>
          <w:sz w:val="24"/>
          <w:szCs w:val="24"/>
        </w:rPr>
        <w:t>24</w:t>
      </w:r>
      <w:r w:rsidRPr="00A25920">
        <w:rPr>
          <w:rFonts w:ascii="Book Antiqua" w:eastAsia="SimSun" w:hAnsi="Book Antiqua" w:cs="SimSun" w:hint="eastAsia"/>
          <w:sz w:val="24"/>
          <w:szCs w:val="24"/>
        </w:rPr>
        <w:t xml:space="preserve"> </w:t>
      </w:r>
      <w:r w:rsidRPr="00A25920">
        <w:rPr>
          <w:rFonts w:ascii="Book Antiqua" w:eastAsia="SimSun" w:hAnsi="Book Antiqua" w:cs="SimSun"/>
          <w:b/>
          <w:sz w:val="24"/>
          <w:szCs w:val="24"/>
        </w:rPr>
        <w:t>Cusimano A</w:t>
      </w:r>
      <w:r w:rsidRPr="00A25920">
        <w:rPr>
          <w:rFonts w:ascii="Book Antiqua" w:eastAsia="SimSun" w:hAnsi="Book Antiqua" w:cs="SimSun"/>
          <w:sz w:val="24"/>
          <w:szCs w:val="24"/>
        </w:rPr>
        <w:t xml:space="preserve">, Fodera D, Lampiasi N, Azzolina A, Notarbartolo M, Giannitrapani L, D'Alessandro N, Montalto G, Cervello M. Prostaglandin E2 receptors and COX enzymes in human hepatocellular carcinoma: role in the regulation of cell growth. </w:t>
      </w:r>
      <w:r w:rsidRPr="00A25920">
        <w:rPr>
          <w:rFonts w:ascii="Book Antiqua" w:eastAsia="SimSun" w:hAnsi="Book Antiqua" w:cs="SimSun"/>
          <w:i/>
          <w:sz w:val="24"/>
          <w:szCs w:val="24"/>
        </w:rPr>
        <w:t>Ann N Y Acad Sci</w:t>
      </w:r>
      <w:r w:rsidRPr="00A25920">
        <w:rPr>
          <w:rFonts w:ascii="Book Antiqua" w:eastAsia="SimSun" w:hAnsi="Book Antiqua" w:cs="SimSun"/>
          <w:sz w:val="24"/>
          <w:szCs w:val="24"/>
        </w:rPr>
        <w:t xml:space="preserve"> 2009; </w:t>
      </w:r>
      <w:r w:rsidRPr="00A25920">
        <w:rPr>
          <w:rFonts w:ascii="Book Antiqua" w:eastAsia="SimSun" w:hAnsi="Book Antiqua" w:cs="SimSun"/>
          <w:b/>
          <w:sz w:val="24"/>
          <w:szCs w:val="24"/>
        </w:rPr>
        <w:t>1155</w:t>
      </w:r>
      <w:r w:rsidRPr="00A25920">
        <w:rPr>
          <w:rFonts w:ascii="Book Antiqua" w:eastAsia="SimSun" w:hAnsi="Book Antiqua" w:cs="SimSun"/>
          <w:sz w:val="24"/>
          <w:szCs w:val="24"/>
        </w:rPr>
        <w:t>: 300-308</w:t>
      </w:r>
      <w:r w:rsidRPr="00A25920">
        <w:rPr>
          <w:rFonts w:ascii="Book Antiqua" w:eastAsia="SimSun" w:hAnsi="Book Antiqua" w:cs="SimSun" w:hint="eastAsia"/>
          <w:sz w:val="24"/>
          <w:szCs w:val="24"/>
        </w:rPr>
        <w:t xml:space="preserve"> [</w:t>
      </w:r>
      <w:r w:rsidRPr="00A25920">
        <w:rPr>
          <w:rFonts w:ascii="Book Antiqua" w:eastAsia="SimSun" w:hAnsi="Book Antiqua" w:cs="SimSun"/>
          <w:sz w:val="24"/>
          <w:szCs w:val="24"/>
        </w:rPr>
        <w:t>PMID: 19250221 DOI: 10.1111/j.1749-6632.2009.03701.x</w:t>
      </w:r>
      <w:r w:rsidRPr="00A25920">
        <w:rPr>
          <w:rFonts w:ascii="Book Antiqua" w:eastAsia="SimSun" w:hAnsi="Book Antiqua" w:cs="SimSun" w:hint="eastAsia"/>
          <w:sz w:val="24"/>
          <w:szCs w:val="24"/>
        </w:rPr>
        <w:t>]</w:t>
      </w:r>
    </w:p>
    <w:p w:rsidR="00C05F40" w:rsidRPr="00A25920" w:rsidRDefault="00C05F40" w:rsidP="00C05F40">
      <w:pPr>
        <w:spacing w:after="0" w:line="360" w:lineRule="auto"/>
        <w:jc w:val="both"/>
        <w:rPr>
          <w:rFonts w:ascii="Book Antiqua" w:eastAsia="SimSun" w:hAnsi="Book Antiqua" w:cs="SimSun"/>
          <w:sz w:val="24"/>
          <w:szCs w:val="24"/>
        </w:rPr>
      </w:pPr>
      <w:r w:rsidRPr="00A25920">
        <w:rPr>
          <w:rFonts w:ascii="Book Antiqua" w:eastAsia="SimSun" w:hAnsi="Book Antiqua" w:cs="SimSun"/>
          <w:sz w:val="24"/>
          <w:szCs w:val="24"/>
        </w:rPr>
        <w:t>25 </w:t>
      </w:r>
      <w:r w:rsidRPr="00A25920">
        <w:rPr>
          <w:rFonts w:ascii="Book Antiqua" w:eastAsia="SimSun" w:hAnsi="Book Antiqua" w:cs="SimSun"/>
          <w:b/>
          <w:bCs/>
          <w:sz w:val="24"/>
          <w:szCs w:val="24"/>
        </w:rPr>
        <w:t>Fan ST</w:t>
      </w:r>
      <w:r w:rsidRPr="00A25920">
        <w:rPr>
          <w:rFonts w:ascii="Book Antiqua" w:eastAsia="SimSun" w:hAnsi="Book Antiqua" w:cs="SimSun"/>
          <w:sz w:val="24"/>
          <w:szCs w:val="24"/>
        </w:rPr>
        <w:t>, Lo CM, Liu CL, Lam CM, Yuen WK, Yeung C, Wong J. Hepatectomy for hepatocellular carcinoma: toward zero hospital deaths. </w:t>
      </w:r>
      <w:r w:rsidRPr="00A25920">
        <w:rPr>
          <w:rFonts w:ascii="Book Antiqua" w:eastAsia="SimSun" w:hAnsi="Book Antiqua" w:cs="SimSun"/>
          <w:i/>
          <w:iCs/>
          <w:sz w:val="24"/>
          <w:szCs w:val="24"/>
        </w:rPr>
        <w:t>Ann Surg</w:t>
      </w:r>
      <w:r w:rsidRPr="00A25920">
        <w:rPr>
          <w:rFonts w:ascii="Book Antiqua" w:eastAsia="SimSun" w:hAnsi="Book Antiqua" w:cs="SimSun" w:hint="eastAsia"/>
          <w:sz w:val="24"/>
          <w:szCs w:val="24"/>
        </w:rPr>
        <w:t xml:space="preserve"> </w:t>
      </w:r>
      <w:r w:rsidRPr="00A25920">
        <w:rPr>
          <w:rFonts w:ascii="Book Antiqua" w:eastAsia="SimSun" w:hAnsi="Book Antiqua" w:cs="SimSun"/>
          <w:sz w:val="24"/>
          <w:szCs w:val="24"/>
        </w:rPr>
        <w:t>1999;</w:t>
      </w:r>
      <w:r w:rsidRPr="00A25920">
        <w:rPr>
          <w:rFonts w:ascii="Book Antiqua" w:eastAsia="SimSun" w:hAnsi="Book Antiqua" w:cs="SimSun" w:hint="eastAsia"/>
          <w:sz w:val="24"/>
          <w:szCs w:val="24"/>
        </w:rPr>
        <w:t xml:space="preserve"> </w:t>
      </w:r>
      <w:r w:rsidRPr="00A25920">
        <w:rPr>
          <w:rFonts w:ascii="Book Antiqua" w:eastAsia="SimSun" w:hAnsi="Book Antiqua" w:cs="SimSun"/>
          <w:b/>
          <w:bCs/>
          <w:sz w:val="24"/>
          <w:szCs w:val="24"/>
        </w:rPr>
        <w:t>229</w:t>
      </w:r>
      <w:r w:rsidRPr="00A25920">
        <w:rPr>
          <w:rFonts w:ascii="Book Antiqua" w:eastAsia="SimSun" w:hAnsi="Book Antiqua" w:cs="SimSun"/>
          <w:sz w:val="24"/>
          <w:szCs w:val="24"/>
        </w:rPr>
        <w:t>: 322-330 [PMID: 10077043</w:t>
      </w:r>
      <w:r w:rsidRPr="00A25920">
        <w:rPr>
          <w:rFonts w:ascii="Book Antiqua" w:eastAsia="SimSun" w:hAnsi="Book Antiqua" w:cs="SimSun" w:hint="eastAsia"/>
          <w:sz w:val="24"/>
          <w:szCs w:val="24"/>
        </w:rPr>
        <w:t xml:space="preserve"> </w:t>
      </w:r>
      <w:r w:rsidRPr="00A25920">
        <w:rPr>
          <w:rFonts w:ascii="Book Antiqua" w:eastAsia="SimSun" w:hAnsi="Book Antiqua" w:cs="SimSun"/>
          <w:sz w:val="24"/>
          <w:szCs w:val="24"/>
        </w:rPr>
        <w:t>DOI: 10.1097/00000658-199903000-00004]</w:t>
      </w:r>
    </w:p>
    <w:p w:rsidR="00C05F40" w:rsidRPr="00A25920" w:rsidRDefault="00C05F40" w:rsidP="00C05F40">
      <w:pPr>
        <w:spacing w:after="0" w:line="360" w:lineRule="auto"/>
        <w:jc w:val="both"/>
        <w:rPr>
          <w:rFonts w:ascii="Book Antiqua" w:eastAsia="SimSun" w:hAnsi="Book Antiqua" w:cs="SimSun"/>
          <w:sz w:val="24"/>
          <w:szCs w:val="24"/>
        </w:rPr>
      </w:pPr>
      <w:r w:rsidRPr="00A25920">
        <w:rPr>
          <w:rFonts w:ascii="Book Antiqua" w:eastAsia="SimSun" w:hAnsi="Book Antiqua" w:cs="SimSun"/>
          <w:sz w:val="24"/>
          <w:szCs w:val="24"/>
        </w:rPr>
        <w:t>26 </w:t>
      </w:r>
      <w:r w:rsidRPr="00A25920">
        <w:rPr>
          <w:rFonts w:ascii="Book Antiqua" w:eastAsia="SimSun" w:hAnsi="Book Antiqua" w:cs="SimSun"/>
          <w:b/>
          <w:bCs/>
          <w:sz w:val="24"/>
          <w:szCs w:val="24"/>
        </w:rPr>
        <w:t>Xia Y</w:t>
      </w:r>
      <w:r w:rsidRPr="00A25920">
        <w:rPr>
          <w:rFonts w:ascii="Book Antiqua" w:eastAsia="SimSun" w:hAnsi="Book Antiqua" w:cs="SimSun"/>
          <w:sz w:val="24"/>
          <w:szCs w:val="24"/>
        </w:rPr>
        <w:t>, Qiu Y, Li J, Shi L, Wang K, Xi T, Shen F, Yan Z, Wu M. Adjuvant therapy with capecitabine postpones recurrence of hepatocellular carcinoma after curative resection: a randomized controlled trial. </w:t>
      </w:r>
      <w:r w:rsidRPr="00A25920">
        <w:rPr>
          <w:rFonts w:ascii="Book Antiqua" w:eastAsia="SimSun" w:hAnsi="Book Antiqua" w:cs="SimSun"/>
          <w:i/>
          <w:iCs/>
          <w:sz w:val="24"/>
          <w:szCs w:val="24"/>
        </w:rPr>
        <w:t>Ann Surg Oncol</w:t>
      </w:r>
      <w:r w:rsidRPr="00A25920">
        <w:rPr>
          <w:rFonts w:ascii="Book Antiqua" w:eastAsia="SimSun" w:hAnsi="Book Antiqua" w:cs="SimSun"/>
          <w:sz w:val="24"/>
          <w:szCs w:val="24"/>
        </w:rPr>
        <w:t> 2010;</w:t>
      </w:r>
      <w:r w:rsidRPr="00A25920">
        <w:rPr>
          <w:rFonts w:ascii="Book Antiqua" w:eastAsia="SimSun" w:hAnsi="Book Antiqua" w:cs="SimSun" w:hint="eastAsia"/>
          <w:sz w:val="24"/>
          <w:szCs w:val="24"/>
        </w:rPr>
        <w:t xml:space="preserve"> </w:t>
      </w:r>
      <w:r w:rsidRPr="00A25920">
        <w:rPr>
          <w:rFonts w:ascii="Book Antiqua" w:eastAsia="SimSun" w:hAnsi="Book Antiqua" w:cs="SimSun"/>
          <w:b/>
          <w:bCs/>
          <w:sz w:val="24"/>
          <w:szCs w:val="24"/>
        </w:rPr>
        <w:t>17</w:t>
      </w:r>
      <w:r w:rsidRPr="00A25920">
        <w:rPr>
          <w:rFonts w:ascii="Book Antiqua" w:eastAsia="SimSun" w:hAnsi="Book Antiqua" w:cs="SimSun"/>
          <w:sz w:val="24"/>
          <w:szCs w:val="24"/>
        </w:rPr>
        <w:t>:</w:t>
      </w:r>
      <w:r w:rsidRPr="00A25920">
        <w:rPr>
          <w:rFonts w:ascii="Book Antiqua" w:eastAsia="SimSun" w:hAnsi="Book Antiqua" w:cs="SimSun" w:hint="eastAsia"/>
          <w:sz w:val="24"/>
          <w:szCs w:val="24"/>
        </w:rPr>
        <w:t xml:space="preserve"> </w:t>
      </w:r>
      <w:r w:rsidRPr="00A25920">
        <w:rPr>
          <w:rFonts w:ascii="Book Antiqua" w:eastAsia="SimSun" w:hAnsi="Book Antiqua" w:cs="SimSun"/>
          <w:sz w:val="24"/>
          <w:szCs w:val="24"/>
        </w:rPr>
        <w:t>3137-3144 [PMID: 20602260 DOI: 10.1245/s10434-010-1148-3]</w:t>
      </w:r>
    </w:p>
    <w:p w:rsidR="00C05F40" w:rsidRPr="00A25920" w:rsidRDefault="00C05F40" w:rsidP="00C05F40">
      <w:pPr>
        <w:spacing w:after="0" w:line="360" w:lineRule="auto"/>
        <w:jc w:val="both"/>
        <w:rPr>
          <w:rFonts w:ascii="Book Antiqua" w:eastAsia="SimSun" w:hAnsi="Book Antiqua" w:cs="SimSun"/>
          <w:sz w:val="24"/>
          <w:szCs w:val="24"/>
        </w:rPr>
      </w:pPr>
      <w:r w:rsidRPr="00A25920">
        <w:rPr>
          <w:rFonts w:ascii="Book Antiqua" w:eastAsia="SimSun" w:hAnsi="Book Antiqua" w:cs="SimSun"/>
          <w:sz w:val="24"/>
          <w:szCs w:val="24"/>
        </w:rPr>
        <w:t>27 </w:t>
      </w:r>
      <w:r w:rsidRPr="00A25920">
        <w:rPr>
          <w:rFonts w:ascii="Book Antiqua" w:eastAsia="SimSun" w:hAnsi="Book Antiqua" w:cs="SimSun"/>
          <w:b/>
          <w:bCs/>
          <w:sz w:val="24"/>
          <w:szCs w:val="24"/>
        </w:rPr>
        <w:t>Baker AM</w:t>
      </w:r>
      <w:r w:rsidRPr="00A25920">
        <w:rPr>
          <w:rFonts w:ascii="Book Antiqua" w:eastAsia="SimSun" w:hAnsi="Book Antiqua" w:cs="SimSun"/>
          <w:sz w:val="24"/>
          <w:szCs w:val="24"/>
        </w:rPr>
        <w:t>, Bird D, Welti JC, Gourlaouen M, Lang G, Murray GI, Reynolds AR, Cox TR, Erler JT. Lysyl oxidase plays a critical role in endothelial cell stimulation to drive tumor angiogenesis. </w:t>
      </w:r>
      <w:r w:rsidRPr="00A25920">
        <w:rPr>
          <w:rFonts w:ascii="Book Antiqua" w:eastAsia="SimSun" w:hAnsi="Book Antiqua" w:cs="SimSun"/>
          <w:i/>
          <w:iCs/>
          <w:sz w:val="24"/>
          <w:szCs w:val="24"/>
        </w:rPr>
        <w:t>Cancer Res</w:t>
      </w:r>
      <w:r w:rsidRPr="00A25920">
        <w:rPr>
          <w:rFonts w:ascii="Book Antiqua" w:eastAsia="SimSun" w:hAnsi="Book Antiqua" w:cs="SimSun"/>
          <w:sz w:val="24"/>
          <w:szCs w:val="24"/>
        </w:rPr>
        <w:t> 2013; </w:t>
      </w:r>
      <w:r w:rsidRPr="00A25920">
        <w:rPr>
          <w:rFonts w:ascii="Book Antiqua" w:eastAsia="SimSun" w:hAnsi="Book Antiqua" w:cs="SimSun"/>
          <w:b/>
          <w:bCs/>
          <w:sz w:val="24"/>
          <w:szCs w:val="24"/>
        </w:rPr>
        <w:t>73</w:t>
      </w:r>
      <w:r w:rsidRPr="00A25920">
        <w:rPr>
          <w:rFonts w:ascii="Book Antiqua" w:eastAsia="SimSun" w:hAnsi="Book Antiqua" w:cs="SimSun"/>
          <w:sz w:val="24"/>
          <w:szCs w:val="24"/>
        </w:rPr>
        <w:t>: 583-594 [PMID: 23188504 DOI: 10.1158/0008-5472.CAN-12-2447]</w:t>
      </w:r>
    </w:p>
    <w:p w:rsidR="00C05F40" w:rsidRPr="00A25920" w:rsidRDefault="00C05F40" w:rsidP="00C05F40">
      <w:pPr>
        <w:spacing w:after="0" w:line="360" w:lineRule="auto"/>
        <w:jc w:val="both"/>
        <w:rPr>
          <w:rFonts w:ascii="Book Antiqua" w:eastAsia="SimSun" w:hAnsi="Book Antiqua" w:cs="SimSun"/>
          <w:sz w:val="24"/>
          <w:szCs w:val="24"/>
        </w:rPr>
      </w:pPr>
      <w:r w:rsidRPr="00A25920">
        <w:rPr>
          <w:rFonts w:ascii="Book Antiqua" w:eastAsia="SimSun" w:hAnsi="Book Antiqua" w:cs="SimSun"/>
          <w:sz w:val="24"/>
          <w:szCs w:val="24"/>
        </w:rPr>
        <w:lastRenderedPageBreak/>
        <w:t>28 </w:t>
      </w:r>
      <w:r w:rsidRPr="00A25920">
        <w:rPr>
          <w:rFonts w:ascii="Book Antiqua" w:eastAsia="SimSun" w:hAnsi="Book Antiqua" w:cs="SimSun"/>
          <w:b/>
          <w:bCs/>
          <w:sz w:val="24"/>
          <w:szCs w:val="24"/>
        </w:rPr>
        <w:t>Narumiya S</w:t>
      </w:r>
      <w:r w:rsidRPr="00A25920">
        <w:rPr>
          <w:rFonts w:ascii="Book Antiqua" w:eastAsia="SimSun" w:hAnsi="Book Antiqua" w:cs="SimSun"/>
          <w:sz w:val="24"/>
          <w:szCs w:val="24"/>
        </w:rPr>
        <w:t>, FitzGerald GA. Genetic and pharmacological analysis of prostanoid receptor function. </w:t>
      </w:r>
      <w:r w:rsidRPr="00A25920">
        <w:rPr>
          <w:rFonts w:ascii="Book Antiqua" w:eastAsia="SimSun" w:hAnsi="Book Antiqua" w:cs="SimSun"/>
          <w:i/>
          <w:iCs/>
          <w:sz w:val="24"/>
          <w:szCs w:val="24"/>
        </w:rPr>
        <w:t>J Clin Invest</w:t>
      </w:r>
      <w:r w:rsidRPr="00A25920">
        <w:rPr>
          <w:rFonts w:ascii="Book Antiqua" w:eastAsia="SimSun" w:hAnsi="Book Antiqua" w:cs="SimSun"/>
          <w:sz w:val="24"/>
          <w:szCs w:val="24"/>
        </w:rPr>
        <w:t> 2001; </w:t>
      </w:r>
      <w:r w:rsidRPr="00A25920">
        <w:rPr>
          <w:rFonts w:ascii="Book Antiqua" w:eastAsia="SimSun" w:hAnsi="Book Antiqua" w:cs="SimSun"/>
          <w:b/>
          <w:bCs/>
          <w:sz w:val="24"/>
          <w:szCs w:val="24"/>
        </w:rPr>
        <w:t>108</w:t>
      </w:r>
      <w:r w:rsidRPr="00A25920">
        <w:rPr>
          <w:rFonts w:ascii="Book Antiqua" w:eastAsia="SimSun" w:hAnsi="Book Antiqua" w:cs="SimSun"/>
          <w:sz w:val="24"/>
          <w:szCs w:val="24"/>
        </w:rPr>
        <w:t>: 25-30 [PMID: 11435452 DOI: 10.1172/JCI13455]</w:t>
      </w:r>
    </w:p>
    <w:p w:rsidR="00C05F40" w:rsidRPr="00A25920" w:rsidRDefault="00C05F40" w:rsidP="00C05F40">
      <w:pPr>
        <w:spacing w:after="0" w:line="360" w:lineRule="auto"/>
        <w:jc w:val="both"/>
        <w:rPr>
          <w:rFonts w:ascii="Book Antiqua" w:eastAsia="SimSun" w:hAnsi="Book Antiqua" w:cs="SimSun"/>
          <w:sz w:val="24"/>
          <w:szCs w:val="24"/>
        </w:rPr>
      </w:pPr>
      <w:r w:rsidRPr="00A25920">
        <w:rPr>
          <w:rFonts w:ascii="Book Antiqua" w:eastAsia="SimSun" w:hAnsi="Book Antiqua" w:cs="SimSun"/>
          <w:sz w:val="24"/>
          <w:szCs w:val="24"/>
        </w:rPr>
        <w:t>29 </w:t>
      </w:r>
      <w:r w:rsidRPr="00A25920">
        <w:rPr>
          <w:rFonts w:ascii="Book Antiqua" w:eastAsia="SimSun" w:hAnsi="Book Antiqua" w:cs="SimSun"/>
          <w:b/>
          <w:bCs/>
          <w:sz w:val="24"/>
          <w:szCs w:val="24"/>
        </w:rPr>
        <w:t>Bai X</w:t>
      </w:r>
      <w:r w:rsidRPr="00A25920">
        <w:rPr>
          <w:rFonts w:ascii="Book Antiqua" w:eastAsia="SimSun" w:hAnsi="Book Antiqua" w:cs="SimSun"/>
          <w:sz w:val="24"/>
          <w:szCs w:val="24"/>
        </w:rPr>
        <w:t>, Wang J, Zhang L, Ma J, Zhang H, Xia S, Zhang M, Ma X, Guo Y, Rong R, Cheng S, Shu W, Wang Y, Leng J. Prostaglandin E</w:t>
      </w:r>
      <w:r w:rsidRPr="00A25920">
        <w:rPr>
          <w:rFonts w:ascii="Cambria Math" w:eastAsia="SimSun" w:hAnsi="Cambria Math" w:cs="Cambria Math"/>
          <w:sz w:val="24"/>
          <w:szCs w:val="24"/>
        </w:rPr>
        <w:t>₂</w:t>
      </w:r>
      <w:r w:rsidRPr="00A25920">
        <w:rPr>
          <w:rFonts w:ascii="Book Antiqua" w:eastAsia="SimSun" w:hAnsi="Book Antiqua" w:cs="SimSun"/>
          <w:sz w:val="24"/>
          <w:szCs w:val="24"/>
        </w:rPr>
        <w:t xml:space="preserve"> receptor EP1-mediated phosphorylation of focal adhesion kinase enhances cell adhesion and migration in hepatocellular carcinoma cells. </w:t>
      </w:r>
      <w:r w:rsidRPr="00A25920">
        <w:rPr>
          <w:rFonts w:ascii="Book Antiqua" w:eastAsia="SimSun" w:hAnsi="Book Antiqua" w:cs="SimSun"/>
          <w:i/>
          <w:iCs/>
          <w:sz w:val="24"/>
          <w:szCs w:val="24"/>
        </w:rPr>
        <w:t>Int J Oncol</w:t>
      </w:r>
      <w:r w:rsidRPr="00A25920">
        <w:rPr>
          <w:rFonts w:ascii="Book Antiqua" w:eastAsia="SimSun" w:hAnsi="Book Antiqua" w:cs="SimSun"/>
          <w:sz w:val="24"/>
          <w:szCs w:val="24"/>
        </w:rPr>
        <w:t> 2013; </w:t>
      </w:r>
      <w:r w:rsidRPr="00A25920">
        <w:rPr>
          <w:rFonts w:ascii="Book Antiqua" w:eastAsia="SimSun" w:hAnsi="Book Antiqua" w:cs="SimSun"/>
          <w:b/>
          <w:bCs/>
          <w:sz w:val="24"/>
          <w:szCs w:val="24"/>
        </w:rPr>
        <w:t>42</w:t>
      </w:r>
      <w:r w:rsidRPr="00A25920">
        <w:rPr>
          <w:rFonts w:ascii="Book Antiqua" w:eastAsia="SimSun" w:hAnsi="Book Antiqua" w:cs="SimSun"/>
          <w:sz w:val="24"/>
          <w:szCs w:val="24"/>
        </w:rPr>
        <w:t>: 1833-1841 [PMID: 23525457 DOI: 10.3892/ijo.2013.1859]</w:t>
      </w:r>
    </w:p>
    <w:p w:rsidR="00C05F40" w:rsidRPr="00A25920" w:rsidRDefault="00C05F40" w:rsidP="00C05F40">
      <w:pPr>
        <w:spacing w:after="0" w:line="360" w:lineRule="auto"/>
        <w:jc w:val="both"/>
        <w:rPr>
          <w:rFonts w:ascii="Book Antiqua" w:eastAsia="SimSun" w:hAnsi="Book Antiqua" w:cs="SimSun"/>
          <w:sz w:val="24"/>
          <w:szCs w:val="24"/>
        </w:rPr>
      </w:pPr>
      <w:r w:rsidRPr="00A25920">
        <w:rPr>
          <w:rFonts w:ascii="Book Antiqua" w:eastAsia="SimSun" w:hAnsi="Book Antiqua" w:cs="SimSun"/>
          <w:sz w:val="24"/>
          <w:szCs w:val="24"/>
        </w:rPr>
        <w:t>30 </w:t>
      </w:r>
      <w:r w:rsidRPr="00A25920">
        <w:rPr>
          <w:rFonts w:ascii="Book Antiqua" w:eastAsia="SimSun" w:hAnsi="Book Antiqua" w:cs="SimSun"/>
          <w:b/>
          <w:bCs/>
          <w:sz w:val="24"/>
          <w:szCs w:val="24"/>
        </w:rPr>
        <w:t>Yang SF</w:t>
      </w:r>
      <w:r w:rsidRPr="00A25920">
        <w:rPr>
          <w:rFonts w:ascii="Book Antiqua" w:eastAsia="SimSun" w:hAnsi="Book Antiqua" w:cs="SimSun"/>
          <w:sz w:val="24"/>
          <w:szCs w:val="24"/>
        </w:rPr>
        <w:t>, Chen MK, Hsieh YS, Chung TT, Hsieh YH, Lin CW, Su JL, Tsai MH, Tang CH. Prostaglandin E2/EP1 signaling pathway enhances intercellular adhesion molecule 1 (ICAM-1) expression and cell motility in oral cancer cells. </w:t>
      </w:r>
      <w:r w:rsidRPr="00A25920">
        <w:rPr>
          <w:rFonts w:ascii="Book Antiqua" w:eastAsia="SimSun" w:hAnsi="Book Antiqua" w:cs="SimSun"/>
          <w:i/>
          <w:iCs/>
          <w:sz w:val="24"/>
          <w:szCs w:val="24"/>
        </w:rPr>
        <w:t>J Biol Chem</w:t>
      </w:r>
      <w:r w:rsidRPr="00A25920">
        <w:rPr>
          <w:rFonts w:ascii="Book Antiqua" w:eastAsia="SimSun" w:hAnsi="Book Antiqua" w:cs="SimSun"/>
          <w:sz w:val="24"/>
          <w:szCs w:val="24"/>
        </w:rPr>
        <w:t> 2010; </w:t>
      </w:r>
      <w:r w:rsidRPr="00A25920">
        <w:rPr>
          <w:rFonts w:ascii="Book Antiqua" w:eastAsia="SimSun" w:hAnsi="Book Antiqua" w:cs="SimSun"/>
          <w:b/>
          <w:bCs/>
          <w:sz w:val="24"/>
          <w:szCs w:val="24"/>
        </w:rPr>
        <w:t>285</w:t>
      </w:r>
      <w:r w:rsidRPr="00A25920">
        <w:rPr>
          <w:rFonts w:ascii="Book Antiqua" w:eastAsia="SimSun" w:hAnsi="Book Antiqua" w:cs="SimSun"/>
          <w:sz w:val="24"/>
          <w:szCs w:val="24"/>
        </w:rPr>
        <w:t>: 29808-29816 [PMID: 20647315 DOI: 10.1074/jbc.M110.108183]</w:t>
      </w:r>
    </w:p>
    <w:p w:rsidR="00C05F40" w:rsidRPr="00A25920" w:rsidRDefault="00C05F40" w:rsidP="00C05F40">
      <w:pPr>
        <w:spacing w:after="0" w:line="360" w:lineRule="auto"/>
        <w:jc w:val="both"/>
        <w:rPr>
          <w:rFonts w:ascii="Book Antiqua" w:eastAsia="SimSun" w:hAnsi="Book Antiqua" w:cs="SimSun"/>
          <w:sz w:val="24"/>
          <w:szCs w:val="24"/>
        </w:rPr>
      </w:pPr>
      <w:r w:rsidRPr="00A25920">
        <w:rPr>
          <w:rFonts w:ascii="Book Antiqua" w:eastAsia="SimSun" w:hAnsi="Book Antiqua" w:cs="SimSun"/>
          <w:sz w:val="24"/>
          <w:szCs w:val="24"/>
        </w:rPr>
        <w:t>31 </w:t>
      </w:r>
      <w:r w:rsidRPr="00A25920">
        <w:rPr>
          <w:rFonts w:ascii="Book Antiqua" w:eastAsia="SimSun" w:hAnsi="Book Antiqua" w:cs="SimSun"/>
          <w:b/>
          <w:bCs/>
          <w:sz w:val="24"/>
          <w:szCs w:val="24"/>
        </w:rPr>
        <w:t>Kaidi A</w:t>
      </w:r>
      <w:r w:rsidRPr="00A25920">
        <w:rPr>
          <w:rFonts w:ascii="Book Antiqua" w:eastAsia="SimSun" w:hAnsi="Book Antiqua" w:cs="SimSun"/>
          <w:sz w:val="24"/>
          <w:szCs w:val="24"/>
        </w:rPr>
        <w:t>, Qualtrough D, Williams AC, Paraskeva C. Direct transcriptional up-regulation of cyclooxygenase-2 by hypoxia-inducible factor (HIF)-1 promotes colorectal tumor cell survival and enhances HIF-1 transcriptional activity during hypoxia. </w:t>
      </w:r>
      <w:r w:rsidRPr="00A25920">
        <w:rPr>
          <w:rFonts w:ascii="Book Antiqua" w:eastAsia="SimSun" w:hAnsi="Book Antiqua" w:cs="SimSun"/>
          <w:i/>
          <w:iCs/>
          <w:sz w:val="24"/>
          <w:szCs w:val="24"/>
        </w:rPr>
        <w:t>Cancer Res</w:t>
      </w:r>
      <w:r w:rsidRPr="00A25920">
        <w:rPr>
          <w:rFonts w:ascii="Book Antiqua" w:eastAsia="SimSun" w:hAnsi="Book Antiqua" w:cs="SimSun"/>
          <w:sz w:val="24"/>
          <w:szCs w:val="24"/>
        </w:rPr>
        <w:t> 2006; </w:t>
      </w:r>
      <w:r w:rsidRPr="00A25920">
        <w:rPr>
          <w:rFonts w:ascii="Book Antiqua" w:eastAsia="SimSun" w:hAnsi="Book Antiqua" w:cs="SimSun"/>
          <w:b/>
          <w:bCs/>
          <w:sz w:val="24"/>
          <w:szCs w:val="24"/>
        </w:rPr>
        <w:t>66</w:t>
      </w:r>
      <w:r w:rsidRPr="00A25920">
        <w:rPr>
          <w:rFonts w:ascii="Book Antiqua" w:eastAsia="SimSun" w:hAnsi="Book Antiqua" w:cs="SimSun"/>
          <w:sz w:val="24"/>
          <w:szCs w:val="24"/>
        </w:rPr>
        <w:t>: 6683-6691 [PMID: 16818642 DOI: 10.1158/0008-5472.CAN-06-0425]</w:t>
      </w:r>
    </w:p>
    <w:p w:rsidR="00C05F40" w:rsidRPr="00A25920" w:rsidRDefault="00C05F40" w:rsidP="00C05F40">
      <w:pPr>
        <w:spacing w:after="0" w:line="360" w:lineRule="auto"/>
        <w:jc w:val="both"/>
        <w:rPr>
          <w:rFonts w:ascii="Book Antiqua" w:eastAsia="SimSun" w:hAnsi="Book Antiqua" w:cs="SimSun"/>
          <w:sz w:val="24"/>
          <w:szCs w:val="24"/>
        </w:rPr>
      </w:pPr>
      <w:r w:rsidRPr="00A25920">
        <w:rPr>
          <w:rFonts w:ascii="Book Antiqua" w:eastAsia="SimSun" w:hAnsi="Book Antiqua" w:cs="SimSun"/>
          <w:sz w:val="24"/>
          <w:szCs w:val="24"/>
        </w:rPr>
        <w:t>32 </w:t>
      </w:r>
      <w:r w:rsidRPr="00A25920">
        <w:rPr>
          <w:rFonts w:ascii="Book Antiqua" w:eastAsia="SimSun" w:hAnsi="Book Antiqua" w:cs="SimSun"/>
          <w:b/>
          <w:bCs/>
          <w:sz w:val="24"/>
          <w:szCs w:val="24"/>
        </w:rPr>
        <w:t>O'Callaghan G</w:t>
      </w:r>
      <w:r w:rsidRPr="00A25920">
        <w:rPr>
          <w:rFonts w:ascii="Book Antiqua" w:eastAsia="SimSun" w:hAnsi="Book Antiqua" w:cs="SimSun"/>
          <w:sz w:val="24"/>
          <w:szCs w:val="24"/>
        </w:rPr>
        <w:t>, Ryan A, Neary P, O'Mahony C, Shanahan F, Houston A. Targeting the EP1 receptor reduces Fas ligand expression and increases the antitumor immune response in an in vivo model of colon cancer. </w:t>
      </w:r>
      <w:r w:rsidRPr="00A25920">
        <w:rPr>
          <w:rFonts w:ascii="Book Antiqua" w:eastAsia="SimSun" w:hAnsi="Book Antiqua" w:cs="SimSun"/>
          <w:i/>
          <w:iCs/>
          <w:sz w:val="24"/>
          <w:szCs w:val="24"/>
        </w:rPr>
        <w:t>Int J Cancer</w:t>
      </w:r>
      <w:r w:rsidRPr="00A25920">
        <w:rPr>
          <w:rFonts w:ascii="Book Antiqua" w:eastAsia="SimSun" w:hAnsi="Book Antiqua" w:cs="SimSun"/>
          <w:sz w:val="24"/>
          <w:szCs w:val="24"/>
        </w:rPr>
        <w:t> 2013; </w:t>
      </w:r>
      <w:r w:rsidRPr="00A25920">
        <w:rPr>
          <w:rFonts w:ascii="Book Antiqua" w:eastAsia="SimSun" w:hAnsi="Book Antiqua" w:cs="SimSun"/>
          <w:b/>
          <w:bCs/>
          <w:sz w:val="24"/>
          <w:szCs w:val="24"/>
        </w:rPr>
        <w:t>133</w:t>
      </w:r>
      <w:r w:rsidRPr="00A25920">
        <w:rPr>
          <w:rFonts w:ascii="Book Antiqua" w:eastAsia="SimSun" w:hAnsi="Book Antiqua" w:cs="SimSun"/>
          <w:sz w:val="24"/>
          <w:szCs w:val="24"/>
        </w:rPr>
        <w:t>: 825-834 [PMID: 23390011 DOI: 10.1002/ijc.28076]</w:t>
      </w:r>
    </w:p>
    <w:p w:rsidR="00C05F40" w:rsidRPr="00A25920" w:rsidRDefault="00C05F40" w:rsidP="00C05F40">
      <w:pPr>
        <w:spacing w:after="0" w:line="360" w:lineRule="auto"/>
        <w:jc w:val="both"/>
        <w:rPr>
          <w:rFonts w:ascii="Book Antiqua" w:eastAsia="SimSun" w:hAnsi="Book Antiqua" w:cs="SimSun"/>
          <w:sz w:val="24"/>
          <w:szCs w:val="24"/>
        </w:rPr>
      </w:pPr>
      <w:r w:rsidRPr="00A25920">
        <w:rPr>
          <w:rFonts w:ascii="Book Antiqua" w:eastAsia="SimSun" w:hAnsi="Book Antiqua" w:cs="SimSun"/>
          <w:sz w:val="24"/>
          <w:szCs w:val="24"/>
        </w:rPr>
        <w:t>33 </w:t>
      </w:r>
      <w:r w:rsidRPr="00A25920">
        <w:rPr>
          <w:rFonts w:ascii="Book Antiqua" w:eastAsia="SimSun" w:hAnsi="Book Antiqua" w:cs="SimSun"/>
          <w:b/>
          <w:bCs/>
          <w:sz w:val="24"/>
          <w:szCs w:val="24"/>
        </w:rPr>
        <w:t>Zhang Y</w:t>
      </w:r>
      <w:r w:rsidRPr="00A25920">
        <w:rPr>
          <w:rFonts w:ascii="Book Antiqua" w:eastAsia="SimSun" w:hAnsi="Book Antiqua" w:cs="SimSun"/>
          <w:sz w:val="24"/>
          <w:szCs w:val="24"/>
        </w:rPr>
        <w:t>, Liu Q, Zhang M, Yu Y, Liu X, Cao X. Fas signal promotes lung cancer growth by recruiting myeloid-derived suppressor cells via cancer cell-derived PGE2. </w:t>
      </w:r>
      <w:r w:rsidRPr="00A25920">
        <w:rPr>
          <w:rFonts w:ascii="Book Antiqua" w:eastAsia="SimSun" w:hAnsi="Book Antiqua" w:cs="SimSun"/>
          <w:i/>
          <w:iCs/>
          <w:sz w:val="24"/>
          <w:szCs w:val="24"/>
        </w:rPr>
        <w:t>J Immunol</w:t>
      </w:r>
      <w:r w:rsidRPr="00A25920">
        <w:rPr>
          <w:rFonts w:ascii="Book Antiqua" w:eastAsia="SimSun" w:hAnsi="Book Antiqua" w:cs="SimSun"/>
          <w:sz w:val="24"/>
          <w:szCs w:val="24"/>
        </w:rPr>
        <w:t> 2009; </w:t>
      </w:r>
      <w:r w:rsidRPr="00A25920">
        <w:rPr>
          <w:rFonts w:ascii="Book Antiqua" w:eastAsia="SimSun" w:hAnsi="Book Antiqua" w:cs="SimSun"/>
          <w:b/>
          <w:bCs/>
          <w:sz w:val="24"/>
          <w:szCs w:val="24"/>
        </w:rPr>
        <w:t>182</w:t>
      </w:r>
      <w:r w:rsidRPr="00A25920">
        <w:rPr>
          <w:rFonts w:ascii="Book Antiqua" w:eastAsia="SimSun" w:hAnsi="Book Antiqua" w:cs="SimSun"/>
          <w:sz w:val="24"/>
          <w:szCs w:val="24"/>
        </w:rPr>
        <w:t>: 3801-3808 [PMID: 19265159 DOI: 10.4049/jimmunol.0801548]</w:t>
      </w:r>
    </w:p>
    <w:p w:rsidR="00C05F40" w:rsidRPr="00A25920" w:rsidRDefault="00C05F40" w:rsidP="00C05F40">
      <w:pPr>
        <w:spacing w:after="0" w:line="360" w:lineRule="auto"/>
        <w:jc w:val="both"/>
        <w:rPr>
          <w:rFonts w:ascii="Book Antiqua" w:eastAsia="SimSun" w:hAnsi="Book Antiqua" w:cs="SimSun"/>
          <w:sz w:val="24"/>
          <w:szCs w:val="24"/>
        </w:rPr>
      </w:pPr>
      <w:r w:rsidRPr="00A25920">
        <w:rPr>
          <w:rFonts w:ascii="Book Antiqua" w:eastAsia="SimSun" w:hAnsi="Book Antiqua" w:cs="SimSun"/>
          <w:sz w:val="24"/>
          <w:szCs w:val="24"/>
        </w:rPr>
        <w:t>34 </w:t>
      </w:r>
      <w:r w:rsidRPr="00A25920">
        <w:rPr>
          <w:rFonts w:ascii="Book Antiqua" w:eastAsia="SimSun" w:hAnsi="Book Antiqua" w:cs="SimSun"/>
          <w:b/>
          <w:bCs/>
          <w:sz w:val="24"/>
          <w:szCs w:val="24"/>
        </w:rPr>
        <w:t>O'Callaghan G</w:t>
      </w:r>
      <w:r w:rsidRPr="00A25920">
        <w:rPr>
          <w:rFonts w:ascii="Book Antiqua" w:eastAsia="SimSun" w:hAnsi="Book Antiqua" w:cs="SimSun"/>
          <w:sz w:val="24"/>
          <w:szCs w:val="24"/>
        </w:rPr>
        <w:t>, Kelly J, Shanahan F, Houston A. Prostaglandin E2 stimulates Fas ligand expression via the EP1 receptor in colon cancer cells. </w:t>
      </w:r>
      <w:r w:rsidRPr="00A25920">
        <w:rPr>
          <w:rFonts w:ascii="Book Antiqua" w:eastAsia="SimSun" w:hAnsi="Book Antiqua" w:cs="SimSun"/>
          <w:i/>
          <w:iCs/>
          <w:sz w:val="24"/>
          <w:szCs w:val="24"/>
        </w:rPr>
        <w:t>Br J Cancer</w:t>
      </w:r>
      <w:r w:rsidRPr="00A25920">
        <w:rPr>
          <w:rFonts w:ascii="Book Antiqua" w:eastAsia="SimSun" w:hAnsi="Book Antiqua" w:cs="SimSun"/>
          <w:sz w:val="24"/>
          <w:szCs w:val="24"/>
        </w:rPr>
        <w:t> 2008; </w:t>
      </w:r>
      <w:r w:rsidRPr="00A25920">
        <w:rPr>
          <w:rFonts w:ascii="Book Antiqua" w:eastAsia="SimSun" w:hAnsi="Book Antiqua" w:cs="SimSun"/>
          <w:b/>
          <w:bCs/>
          <w:sz w:val="24"/>
          <w:szCs w:val="24"/>
        </w:rPr>
        <w:t>99</w:t>
      </w:r>
      <w:r w:rsidRPr="00A25920">
        <w:rPr>
          <w:rFonts w:ascii="Book Antiqua" w:eastAsia="SimSun" w:hAnsi="Book Antiqua" w:cs="SimSun"/>
          <w:sz w:val="24"/>
          <w:szCs w:val="24"/>
        </w:rPr>
        <w:t>: 502-512 [PMID: 18648368 DOI: 10.1038/sj.bjc.6604490]</w:t>
      </w:r>
    </w:p>
    <w:p w:rsidR="00C05F40" w:rsidRPr="00A25920" w:rsidRDefault="00C05F40" w:rsidP="00C05F40">
      <w:pPr>
        <w:widowControl w:val="0"/>
        <w:wordWrap w:val="0"/>
        <w:spacing w:after="0" w:line="360" w:lineRule="auto"/>
        <w:jc w:val="right"/>
        <w:rPr>
          <w:rFonts w:ascii="Book Antiqua" w:eastAsia="SimSun" w:hAnsi="Book Antiqua" w:cs="Times New Roman"/>
          <w:b/>
          <w:bCs/>
          <w:kern w:val="2"/>
          <w:sz w:val="24"/>
          <w:szCs w:val="24"/>
        </w:rPr>
      </w:pPr>
      <w:bookmarkStart w:id="38" w:name="OLE_LINK51"/>
      <w:bookmarkStart w:id="39" w:name="OLE_LINK52"/>
      <w:bookmarkStart w:id="40" w:name="OLE_LINK120"/>
      <w:bookmarkStart w:id="41" w:name="OLE_LINK148"/>
      <w:bookmarkStart w:id="42" w:name="OLE_LINK72"/>
      <w:bookmarkStart w:id="43" w:name="OLE_LINK112"/>
      <w:bookmarkStart w:id="44" w:name="OLE_LINK320"/>
      <w:bookmarkStart w:id="45" w:name="OLE_LINK387"/>
      <w:bookmarkStart w:id="46" w:name="OLE_LINK183"/>
      <w:bookmarkStart w:id="47" w:name="OLE_LINK254"/>
      <w:bookmarkStart w:id="48" w:name="OLE_LINK149"/>
      <w:bookmarkStart w:id="49" w:name="OLE_LINK225"/>
      <w:bookmarkStart w:id="50" w:name="OLE_LINK207"/>
      <w:bookmarkStart w:id="51" w:name="OLE_LINK226"/>
      <w:bookmarkStart w:id="52" w:name="OLE_LINK212"/>
      <w:bookmarkStart w:id="53" w:name="OLE_LINK250"/>
      <w:bookmarkStart w:id="54" w:name="OLE_LINK281"/>
      <w:bookmarkStart w:id="55" w:name="OLE_LINK282"/>
      <w:bookmarkStart w:id="56" w:name="OLE_LINK313"/>
      <w:bookmarkStart w:id="57" w:name="OLE_LINK304"/>
      <w:bookmarkStart w:id="58" w:name="OLE_LINK321"/>
      <w:bookmarkStart w:id="59" w:name="OLE_LINK385"/>
      <w:bookmarkStart w:id="60" w:name="OLE_LINK400"/>
      <w:bookmarkStart w:id="61" w:name="OLE_LINK346"/>
      <w:bookmarkStart w:id="62" w:name="OLE_LINK371"/>
      <w:bookmarkStart w:id="63" w:name="OLE_LINK334"/>
      <w:bookmarkStart w:id="64" w:name="OLE_LINK1830"/>
      <w:bookmarkStart w:id="65" w:name="OLE_LINK457"/>
      <w:bookmarkStart w:id="66" w:name="OLE_LINK288"/>
      <w:bookmarkStart w:id="67" w:name="OLE_LINK384"/>
      <w:bookmarkStart w:id="68" w:name="OLE_LINK379"/>
      <w:bookmarkStart w:id="69" w:name="OLE_LINK303"/>
      <w:bookmarkStart w:id="70" w:name="OLE_LINK450"/>
      <w:bookmarkStart w:id="71" w:name="OLE_LINK489"/>
      <w:bookmarkStart w:id="72" w:name="OLE_LINK535"/>
      <w:bookmarkStart w:id="73" w:name="OLE_LINK648"/>
      <w:bookmarkStart w:id="74" w:name="OLE_LINK686"/>
      <w:bookmarkStart w:id="75" w:name="OLE_LINK471"/>
      <w:bookmarkStart w:id="76" w:name="OLE_LINK462"/>
      <w:bookmarkStart w:id="77" w:name="OLE_LINK519"/>
      <w:bookmarkStart w:id="78" w:name="OLE_LINK575"/>
      <w:bookmarkStart w:id="79" w:name="OLE_LINK491"/>
      <w:bookmarkStart w:id="80" w:name="OLE_LINK532"/>
      <w:bookmarkStart w:id="81" w:name="OLE_LINK572"/>
      <w:bookmarkStart w:id="82" w:name="OLE_LINK574"/>
      <w:bookmarkStart w:id="83" w:name="OLE_LINK480"/>
      <w:bookmarkStart w:id="84" w:name="OLE_LINK567"/>
      <w:bookmarkStart w:id="85" w:name="OLE_LINK2700"/>
      <w:bookmarkStart w:id="86" w:name="OLE_LINK581"/>
      <w:bookmarkStart w:id="87" w:name="OLE_LINK639"/>
      <w:bookmarkStart w:id="88" w:name="OLE_LINK688"/>
      <w:bookmarkStart w:id="89" w:name="OLE_LINK722"/>
      <w:bookmarkStart w:id="90" w:name="OLE_LINK542"/>
      <w:bookmarkStart w:id="91" w:name="OLE_LINK589"/>
      <w:bookmarkStart w:id="92" w:name="OLE_LINK582"/>
      <w:bookmarkStart w:id="93" w:name="OLE_LINK640"/>
      <w:bookmarkStart w:id="94" w:name="OLE_LINK714"/>
      <w:bookmarkStart w:id="95" w:name="OLE_LINK593"/>
      <w:bookmarkStart w:id="96" w:name="OLE_LINK716"/>
      <w:bookmarkStart w:id="97" w:name="OLE_LINK770"/>
      <w:bookmarkStart w:id="98" w:name="OLE_LINK801"/>
      <w:bookmarkStart w:id="99" w:name="OLE_LINK660"/>
      <w:bookmarkStart w:id="100" w:name="OLE_LINK781"/>
      <w:bookmarkStart w:id="101" w:name="OLE_LINK833"/>
      <w:bookmarkStart w:id="102" w:name="OLE_LINK642"/>
      <w:bookmarkStart w:id="103" w:name="OLE_LINK700"/>
      <w:bookmarkStart w:id="104" w:name="OLE_LINK792"/>
      <w:bookmarkStart w:id="105" w:name="OLE_LINK2882"/>
      <w:bookmarkStart w:id="106" w:name="OLE_LINK836"/>
      <w:bookmarkStart w:id="107" w:name="OLE_LINK889"/>
      <w:bookmarkStart w:id="108" w:name="OLE_LINK782"/>
      <w:bookmarkStart w:id="109" w:name="OLE_LINK826"/>
      <w:bookmarkStart w:id="110" w:name="OLE_LINK865"/>
      <w:bookmarkStart w:id="111" w:name="OLE_LINK856"/>
      <w:bookmarkStart w:id="112" w:name="OLE_LINK908"/>
      <w:bookmarkStart w:id="113" w:name="OLE_LINK980"/>
      <w:bookmarkStart w:id="114" w:name="OLE_LINK1018"/>
      <w:bookmarkStart w:id="115" w:name="OLE_LINK1049"/>
      <w:bookmarkStart w:id="116" w:name="OLE_LINK1076"/>
      <w:bookmarkStart w:id="117" w:name="OLE_LINK1106"/>
      <w:bookmarkStart w:id="118" w:name="OLE_LINK891"/>
      <w:bookmarkStart w:id="119" w:name="OLE_LINK943"/>
      <w:bookmarkStart w:id="120" w:name="OLE_LINK981"/>
      <w:bookmarkStart w:id="121" w:name="OLE_LINK1030"/>
      <w:bookmarkStart w:id="122" w:name="OLE_LINK847"/>
      <w:bookmarkStart w:id="123" w:name="OLE_LINK909"/>
      <w:bookmarkStart w:id="124" w:name="OLE_LINK906"/>
      <w:bookmarkStart w:id="125" w:name="OLE_LINK992"/>
      <w:bookmarkStart w:id="126" w:name="OLE_LINK993"/>
      <w:bookmarkStart w:id="127" w:name="OLE_LINK1052"/>
      <w:bookmarkStart w:id="128" w:name="OLE_LINK946"/>
      <w:bookmarkStart w:id="129" w:name="OLE_LINK911"/>
      <w:bookmarkStart w:id="130" w:name="OLE_LINK930"/>
      <w:bookmarkStart w:id="131" w:name="OLE_LINK1059"/>
      <w:bookmarkStart w:id="132" w:name="OLE_LINK1174"/>
      <w:bookmarkStart w:id="133" w:name="OLE_LINK1137"/>
      <w:bookmarkStart w:id="134" w:name="OLE_LINK1167"/>
      <w:bookmarkStart w:id="135" w:name="OLE_LINK1200"/>
      <w:bookmarkStart w:id="136" w:name="OLE_LINK1241"/>
      <w:bookmarkStart w:id="137" w:name="OLE_LINK1288"/>
      <w:bookmarkStart w:id="138" w:name="OLE_LINK1056"/>
      <w:bookmarkStart w:id="139" w:name="OLE_LINK1158"/>
      <w:bookmarkStart w:id="140" w:name="OLE_LINK1175"/>
      <w:bookmarkStart w:id="141" w:name="OLE_LINK1074"/>
      <w:bookmarkStart w:id="142" w:name="OLE_LINK1169"/>
      <w:r w:rsidRPr="00A25920">
        <w:rPr>
          <w:rFonts w:ascii="Book Antiqua" w:eastAsia="SimSun" w:hAnsi="Book Antiqua" w:cs="Times New Roman"/>
          <w:b/>
          <w:bCs/>
          <w:kern w:val="2"/>
          <w:sz w:val="24"/>
          <w:szCs w:val="24"/>
        </w:rPr>
        <w:t>P-Reviewer:</w:t>
      </w:r>
      <w:r w:rsidRPr="00A25920">
        <w:rPr>
          <w:rFonts w:ascii="Book Antiqua" w:eastAsia="SimSun" w:hAnsi="Book Antiqua" w:cs="Times New Roman" w:hint="eastAsia"/>
          <w:b/>
          <w:bCs/>
          <w:kern w:val="2"/>
          <w:sz w:val="24"/>
          <w:szCs w:val="24"/>
        </w:rPr>
        <w:t xml:space="preserve"> </w:t>
      </w:r>
      <w:r w:rsidRPr="00A25920">
        <w:rPr>
          <w:rFonts w:ascii="Book Antiqua" w:eastAsia="SimSun" w:hAnsi="Book Antiqua" w:cs="Times New Roman"/>
          <w:bCs/>
          <w:kern w:val="2"/>
          <w:sz w:val="24"/>
          <w:szCs w:val="24"/>
        </w:rPr>
        <w:t>Alexopoulou A</w:t>
      </w:r>
      <w:r w:rsidRPr="00A25920">
        <w:rPr>
          <w:rFonts w:ascii="Book Antiqua" w:eastAsia="SimSun" w:hAnsi="Book Antiqua" w:cs="Times New Roman" w:hint="eastAsia"/>
          <w:bCs/>
          <w:kern w:val="2"/>
          <w:sz w:val="24"/>
          <w:szCs w:val="24"/>
        </w:rPr>
        <w:t xml:space="preserve">, </w:t>
      </w:r>
      <w:r w:rsidRPr="00A25920">
        <w:rPr>
          <w:rFonts w:ascii="Book Antiqua" w:eastAsia="SimSun" w:hAnsi="Book Antiqua" w:cs="Times New Roman"/>
          <w:bCs/>
          <w:kern w:val="2"/>
          <w:sz w:val="24"/>
          <w:szCs w:val="24"/>
        </w:rPr>
        <w:t>de Oliveira CPMS</w:t>
      </w:r>
      <w:r w:rsidRPr="00A25920">
        <w:rPr>
          <w:rFonts w:ascii="Book Antiqua" w:eastAsia="SimSun" w:hAnsi="Book Antiqua" w:cs="Times New Roman" w:hint="eastAsia"/>
          <w:bCs/>
          <w:kern w:val="2"/>
          <w:sz w:val="24"/>
          <w:szCs w:val="24"/>
        </w:rPr>
        <w:t xml:space="preserve">, </w:t>
      </w:r>
      <w:r w:rsidRPr="00A25920">
        <w:rPr>
          <w:rFonts w:ascii="Book Antiqua" w:eastAsia="SimSun" w:hAnsi="Book Antiqua" w:cs="Times New Roman"/>
          <w:bCs/>
          <w:kern w:val="2"/>
          <w:sz w:val="24"/>
          <w:szCs w:val="24"/>
        </w:rPr>
        <w:t>Mihaila RG</w:t>
      </w:r>
    </w:p>
    <w:p w:rsidR="00C05F40" w:rsidRPr="00A25920" w:rsidRDefault="00C05F40" w:rsidP="00C05F40">
      <w:pPr>
        <w:widowControl w:val="0"/>
        <w:spacing w:after="0" w:line="360" w:lineRule="auto"/>
        <w:jc w:val="right"/>
        <w:rPr>
          <w:rFonts w:ascii="Book Antiqua" w:eastAsia="SimSun" w:hAnsi="Book Antiqua" w:cs="Times New Roman"/>
          <w:kern w:val="2"/>
          <w:sz w:val="24"/>
          <w:szCs w:val="24"/>
        </w:rPr>
      </w:pPr>
      <w:r w:rsidRPr="00A25920">
        <w:rPr>
          <w:rFonts w:ascii="Book Antiqua" w:eastAsia="SimSun" w:hAnsi="Book Antiqua" w:cs="Times New Roman"/>
          <w:b/>
          <w:bCs/>
          <w:kern w:val="2"/>
          <w:sz w:val="24"/>
          <w:szCs w:val="24"/>
        </w:rPr>
        <w:lastRenderedPageBreak/>
        <w:t>S-Editor:</w:t>
      </w:r>
      <w:r w:rsidRPr="00A25920">
        <w:rPr>
          <w:rFonts w:ascii="Book Antiqua" w:eastAsia="SimSun" w:hAnsi="Book Antiqua" w:cs="Times New Roman" w:hint="eastAsia"/>
          <w:kern w:val="2"/>
          <w:sz w:val="24"/>
          <w:szCs w:val="24"/>
        </w:rPr>
        <w:t xml:space="preserve"> Gong ZM </w:t>
      </w:r>
      <w:r w:rsidRPr="00A25920">
        <w:rPr>
          <w:rFonts w:ascii="Book Antiqua" w:eastAsia="SimSun" w:hAnsi="Book Antiqua" w:cs="Times New Roman"/>
          <w:b/>
          <w:bCs/>
          <w:kern w:val="2"/>
          <w:sz w:val="24"/>
          <w:szCs w:val="24"/>
        </w:rPr>
        <w:t>L-Editor:</w:t>
      </w:r>
      <w:r w:rsidRPr="00A25920">
        <w:rPr>
          <w:rFonts w:ascii="Book Antiqua" w:eastAsia="SimSun" w:hAnsi="Book Antiqua" w:cs="Times New Roman"/>
          <w:kern w:val="2"/>
          <w:sz w:val="24"/>
          <w:szCs w:val="24"/>
        </w:rPr>
        <w:t xml:space="preserve"> </w:t>
      </w:r>
      <w:r w:rsidRPr="00A25920">
        <w:rPr>
          <w:rFonts w:ascii="Book Antiqua" w:eastAsia="SimSun" w:hAnsi="Book Antiqua" w:cs="Times New Roman"/>
          <w:b/>
          <w:bCs/>
          <w:kern w:val="2"/>
          <w:sz w:val="24"/>
          <w:szCs w:val="24"/>
        </w:rPr>
        <w:t>E-Editor:</w:t>
      </w:r>
    </w:p>
    <w:p w:rsidR="001C1FAD" w:rsidRDefault="001C1FAD" w:rsidP="00644780">
      <w:pPr>
        <w:widowControl w:val="0"/>
        <w:shd w:val="clear" w:color="auto" w:fill="FFFFFF"/>
        <w:snapToGrid w:val="0"/>
        <w:spacing w:after="0" w:line="360" w:lineRule="auto"/>
        <w:jc w:val="both"/>
        <w:rPr>
          <w:rFonts w:ascii="Book Antiqua" w:eastAsia="SimSun" w:hAnsi="Book Antiqua" w:cs="Helvetica"/>
          <w:b/>
          <w:kern w:val="2"/>
          <w:sz w:val="24"/>
          <w:szCs w:val="24"/>
        </w:rPr>
      </w:pPr>
      <w:bookmarkStart w:id="143" w:name="OLE_LINK880"/>
      <w:bookmarkStart w:id="144" w:name="OLE_LINK881"/>
      <w:bookmarkStart w:id="145" w:name="OLE_LINK497"/>
      <w:bookmarkStart w:id="146" w:name="OLE_LINK813"/>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rsidR="00644780" w:rsidRPr="00A25920" w:rsidRDefault="00644780" w:rsidP="00644780">
      <w:pPr>
        <w:widowControl w:val="0"/>
        <w:shd w:val="clear" w:color="auto" w:fill="FFFFFF"/>
        <w:snapToGrid w:val="0"/>
        <w:spacing w:after="0" w:line="360" w:lineRule="auto"/>
        <w:jc w:val="both"/>
        <w:rPr>
          <w:rFonts w:ascii="Book Antiqua" w:eastAsia="SimSun" w:hAnsi="Book Antiqua" w:cs="Helvetica"/>
          <w:b/>
          <w:kern w:val="2"/>
          <w:sz w:val="24"/>
          <w:szCs w:val="24"/>
        </w:rPr>
      </w:pPr>
      <w:r w:rsidRPr="00A25920">
        <w:rPr>
          <w:rFonts w:ascii="Book Antiqua" w:eastAsia="SimSun" w:hAnsi="Book Antiqua" w:cs="Helvetica"/>
          <w:b/>
          <w:kern w:val="2"/>
          <w:sz w:val="24"/>
          <w:szCs w:val="24"/>
        </w:rPr>
        <w:t xml:space="preserve">Specialty type: </w:t>
      </w:r>
      <w:r w:rsidRPr="00A25920">
        <w:rPr>
          <w:rFonts w:ascii="Book Antiqua" w:eastAsia="SimSun" w:hAnsi="Book Antiqua" w:cs="Helvetica"/>
          <w:kern w:val="2"/>
          <w:sz w:val="24"/>
          <w:szCs w:val="24"/>
        </w:rPr>
        <w:t>Gastroenterology and</w:t>
      </w:r>
      <w:r w:rsidRPr="00A25920">
        <w:rPr>
          <w:rFonts w:ascii="Book Antiqua" w:eastAsia="SimSun" w:hAnsi="Book Antiqua" w:cs="Helvetica" w:hint="eastAsia"/>
          <w:kern w:val="2"/>
          <w:sz w:val="24"/>
          <w:szCs w:val="24"/>
        </w:rPr>
        <w:t xml:space="preserve"> </w:t>
      </w:r>
      <w:r w:rsidRPr="00A25920">
        <w:rPr>
          <w:rFonts w:ascii="Book Antiqua" w:eastAsia="SimSun" w:hAnsi="Book Antiqua" w:cs="Helvetica"/>
          <w:kern w:val="2"/>
          <w:sz w:val="24"/>
          <w:szCs w:val="24"/>
        </w:rPr>
        <w:t>hepatology</w:t>
      </w:r>
    </w:p>
    <w:p w:rsidR="00644780" w:rsidRPr="00A25920" w:rsidRDefault="00644780" w:rsidP="00644780">
      <w:pPr>
        <w:widowControl w:val="0"/>
        <w:shd w:val="clear" w:color="auto" w:fill="FFFFFF"/>
        <w:snapToGrid w:val="0"/>
        <w:spacing w:after="0" w:line="360" w:lineRule="auto"/>
        <w:jc w:val="both"/>
        <w:rPr>
          <w:rFonts w:ascii="Book Antiqua" w:eastAsia="SimSun" w:hAnsi="Book Antiqua" w:cs="Helvetica"/>
          <w:b/>
          <w:kern w:val="2"/>
          <w:sz w:val="24"/>
          <w:szCs w:val="24"/>
        </w:rPr>
      </w:pPr>
      <w:r w:rsidRPr="00A25920">
        <w:rPr>
          <w:rFonts w:ascii="Book Antiqua" w:eastAsia="SimSun" w:hAnsi="Book Antiqua" w:cs="Helvetica"/>
          <w:b/>
          <w:kern w:val="2"/>
          <w:sz w:val="24"/>
          <w:szCs w:val="24"/>
        </w:rPr>
        <w:t xml:space="preserve">Country of origin: </w:t>
      </w:r>
      <w:r w:rsidRPr="00A25920">
        <w:rPr>
          <w:rFonts w:ascii="Book Antiqua" w:eastAsia="SimSun" w:hAnsi="Book Antiqua" w:cs="Helvetica"/>
          <w:kern w:val="2"/>
          <w:sz w:val="24"/>
          <w:szCs w:val="24"/>
          <w:lang w:val="en-CA"/>
        </w:rPr>
        <w:t>C</w:t>
      </w:r>
      <w:r w:rsidRPr="00A25920">
        <w:rPr>
          <w:rFonts w:ascii="Book Antiqua" w:eastAsia="SimSun" w:hAnsi="Book Antiqua" w:cs="Helvetica" w:hint="eastAsia"/>
          <w:kern w:val="2"/>
          <w:sz w:val="24"/>
          <w:szCs w:val="24"/>
          <w:lang w:val="en-CA"/>
        </w:rPr>
        <w:t>hina</w:t>
      </w:r>
    </w:p>
    <w:p w:rsidR="00644780" w:rsidRPr="00A25920" w:rsidRDefault="00644780" w:rsidP="00644780">
      <w:pPr>
        <w:widowControl w:val="0"/>
        <w:shd w:val="clear" w:color="auto" w:fill="FFFFFF"/>
        <w:snapToGrid w:val="0"/>
        <w:spacing w:after="0" w:line="360" w:lineRule="auto"/>
        <w:jc w:val="both"/>
        <w:rPr>
          <w:rFonts w:ascii="Book Antiqua" w:eastAsia="SimSun" w:hAnsi="Book Antiqua" w:cs="Helvetica"/>
          <w:b/>
          <w:kern w:val="2"/>
          <w:sz w:val="24"/>
          <w:szCs w:val="24"/>
        </w:rPr>
      </w:pPr>
      <w:r w:rsidRPr="00A25920">
        <w:rPr>
          <w:rFonts w:ascii="Book Antiqua" w:eastAsia="SimSun" w:hAnsi="Book Antiqua" w:cs="Helvetica"/>
          <w:b/>
          <w:kern w:val="2"/>
          <w:sz w:val="24"/>
          <w:szCs w:val="24"/>
        </w:rPr>
        <w:t>Peer-review report classification</w:t>
      </w:r>
    </w:p>
    <w:p w:rsidR="00644780" w:rsidRPr="00A25920" w:rsidRDefault="00644780" w:rsidP="00644780">
      <w:pPr>
        <w:widowControl w:val="0"/>
        <w:shd w:val="clear" w:color="auto" w:fill="FFFFFF"/>
        <w:snapToGrid w:val="0"/>
        <w:spacing w:after="0" w:line="360" w:lineRule="auto"/>
        <w:jc w:val="both"/>
        <w:rPr>
          <w:rFonts w:ascii="Book Antiqua" w:eastAsia="SimSun" w:hAnsi="Book Antiqua" w:cs="Helvetica"/>
          <w:kern w:val="2"/>
          <w:sz w:val="24"/>
          <w:szCs w:val="24"/>
        </w:rPr>
      </w:pPr>
      <w:r w:rsidRPr="00A25920">
        <w:rPr>
          <w:rFonts w:ascii="Book Antiqua" w:eastAsia="SimSun" w:hAnsi="Book Antiqua" w:cs="Helvetica"/>
          <w:kern w:val="2"/>
          <w:sz w:val="24"/>
          <w:szCs w:val="24"/>
        </w:rPr>
        <w:t xml:space="preserve">Grade A (Excellent): </w:t>
      </w:r>
      <w:r w:rsidRPr="00A25920">
        <w:rPr>
          <w:rFonts w:ascii="Book Antiqua" w:eastAsia="SimSun" w:hAnsi="Book Antiqua" w:cs="Helvetica" w:hint="eastAsia"/>
          <w:kern w:val="2"/>
          <w:sz w:val="24"/>
          <w:szCs w:val="24"/>
        </w:rPr>
        <w:t>0</w:t>
      </w:r>
    </w:p>
    <w:p w:rsidR="00644780" w:rsidRPr="00A25920" w:rsidRDefault="00644780" w:rsidP="00644780">
      <w:pPr>
        <w:widowControl w:val="0"/>
        <w:shd w:val="clear" w:color="auto" w:fill="FFFFFF"/>
        <w:snapToGrid w:val="0"/>
        <w:spacing w:after="0" w:line="360" w:lineRule="auto"/>
        <w:jc w:val="both"/>
        <w:rPr>
          <w:rFonts w:ascii="Book Antiqua" w:eastAsia="SimSun" w:hAnsi="Book Antiqua" w:cs="Helvetica"/>
          <w:kern w:val="2"/>
          <w:sz w:val="24"/>
          <w:szCs w:val="24"/>
        </w:rPr>
      </w:pPr>
      <w:r w:rsidRPr="00A25920">
        <w:rPr>
          <w:rFonts w:ascii="Book Antiqua" w:eastAsia="SimSun" w:hAnsi="Book Antiqua" w:cs="Helvetica"/>
          <w:kern w:val="2"/>
          <w:sz w:val="24"/>
          <w:szCs w:val="24"/>
        </w:rPr>
        <w:t xml:space="preserve">Grade B (Very good): </w:t>
      </w:r>
      <w:r w:rsidRPr="00A25920">
        <w:rPr>
          <w:rFonts w:ascii="Book Antiqua" w:eastAsia="SimSun" w:hAnsi="Book Antiqua" w:cs="Helvetica" w:hint="eastAsia"/>
          <w:kern w:val="2"/>
          <w:sz w:val="24"/>
          <w:szCs w:val="24"/>
        </w:rPr>
        <w:t>B</w:t>
      </w:r>
    </w:p>
    <w:p w:rsidR="00644780" w:rsidRPr="00A25920" w:rsidRDefault="00644780" w:rsidP="00644780">
      <w:pPr>
        <w:widowControl w:val="0"/>
        <w:shd w:val="clear" w:color="auto" w:fill="FFFFFF"/>
        <w:snapToGrid w:val="0"/>
        <w:spacing w:after="0" w:line="360" w:lineRule="auto"/>
        <w:jc w:val="both"/>
        <w:rPr>
          <w:rFonts w:ascii="Book Antiqua" w:eastAsia="SimSun" w:hAnsi="Book Antiqua" w:cs="Helvetica"/>
          <w:kern w:val="2"/>
          <w:sz w:val="24"/>
          <w:szCs w:val="24"/>
        </w:rPr>
      </w:pPr>
      <w:r w:rsidRPr="00A25920">
        <w:rPr>
          <w:rFonts w:ascii="Book Antiqua" w:eastAsia="SimSun" w:hAnsi="Book Antiqua" w:cs="Helvetica"/>
          <w:kern w:val="2"/>
          <w:sz w:val="24"/>
          <w:szCs w:val="24"/>
        </w:rPr>
        <w:t xml:space="preserve">Grade C (Good): </w:t>
      </w:r>
      <w:r w:rsidRPr="00A25920">
        <w:rPr>
          <w:rFonts w:ascii="Book Antiqua" w:eastAsia="SimSun" w:hAnsi="Book Antiqua" w:cs="Helvetica" w:hint="eastAsia"/>
          <w:kern w:val="2"/>
          <w:sz w:val="24"/>
          <w:szCs w:val="24"/>
        </w:rPr>
        <w:t>C, C</w:t>
      </w:r>
    </w:p>
    <w:p w:rsidR="00644780" w:rsidRPr="00A25920" w:rsidRDefault="00644780" w:rsidP="00644780">
      <w:pPr>
        <w:widowControl w:val="0"/>
        <w:shd w:val="clear" w:color="auto" w:fill="FFFFFF"/>
        <w:snapToGrid w:val="0"/>
        <w:spacing w:after="0" w:line="360" w:lineRule="auto"/>
        <w:jc w:val="both"/>
        <w:rPr>
          <w:rFonts w:ascii="Book Antiqua" w:eastAsia="SimSun" w:hAnsi="Book Antiqua" w:cs="Helvetica"/>
          <w:kern w:val="2"/>
          <w:sz w:val="24"/>
          <w:szCs w:val="24"/>
        </w:rPr>
      </w:pPr>
      <w:r w:rsidRPr="00A25920">
        <w:rPr>
          <w:rFonts w:ascii="Book Antiqua" w:eastAsia="SimSun" w:hAnsi="Book Antiqua" w:cs="Helvetica"/>
          <w:kern w:val="2"/>
          <w:sz w:val="24"/>
          <w:szCs w:val="24"/>
        </w:rPr>
        <w:t xml:space="preserve">Grade D (Fair): </w:t>
      </w:r>
      <w:r w:rsidRPr="00A25920">
        <w:rPr>
          <w:rFonts w:ascii="Book Antiqua" w:eastAsia="SimSun" w:hAnsi="Book Antiqua" w:cs="Helvetica" w:hint="eastAsia"/>
          <w:kern w:val="2"/>
          <w:sz w:val="24"/>
          <w:szCs w:val="24"/>
        </w:rPr>
        <w:t>0</w:t>
      </w:r>
    </w:p>
    <w:p w:rsidR="00644780" w:rsidRPr="00A25920" w:rsidRDefault="00644780" w:rsidP="00644780">
      <w:pPr>
        <w:widowControl w:val="0"/>
        <w:shd w:val="clear" w:color="auto" w:fill="FFFFFF"/>
        <w:snapToGrid w:val="0"/>
        <w:spacing w:after="0" w:line="360" w:lineRule="auto"/>
        <w:jc w:val="both"/>
        <w:rPr>
          <w:rFonts w:ascii="Book Antiqua" w:eastAsia="SimSun" w:hAnsi="Book Antiqua" w:cs="Helvetica"/>
          <w:kern w:val="2"/>
          <w:sz w:val="24"/>
          <w:szCs w:val="24"/>
        </w:rPr>
      </w:pPr>
      <w:r w:rsidRPr="00A25920">
        <w:rPr>
          <w:rFonts w:ascii="Book Antiqua" w:eastAsia="SimSun" w:hAnsi="Book Antiqua" w:cs="Helvetica"/>
          <w:kern w:val="2"/>
          <w:sz w:val="24"/>
          <w:szCs w:val="24"/>
        </w:rPr>
        <w:t xml:space="preserve">Grade E (Poor): </w:t>
      </w:r>
      <w:r w:rsidRPr="00A25920">
        <w:rPr>
          <w:rFonts w:ascii="Book Antiqua" w:eastAsia="SimSun" w:hAnsi="Book Antiqua" w:cs="Helvetica" w:hint="eastAsia"/>
          <w:kern w:val="2"/>
          <w:sz w:val="24"/>
          <w:szCs w:val="24"/>
        </w:rPr>
        <w:t>0</w:t>
      </w:r>
      <w:bookmarkEnd w:id="143"/>
      <w:bookmarkEnd w:id="144"/>
    </w:p>
    <w:bookmarkEnd w:id="145"/>
    <w:bookmarkEnd w:id="146"/>
    <w:p w:rsidR="00C05F40" w:rsidRPr="00A25920" w:rsidRDefault="00C05F40" w:rsidP="00C05F40">
      <w:pPr>
        <w:spacing w:line="360" w:lineRule="auto"/>
        <w:jc w:val="both"/>
        <w:rPr>
          <w:rFonts w:ascii="Book Antiqua" w:hAnsi="Book Antiqua"/>
          <w:sz w:val="24"/>
          <w:szCs w:val="24"/>
        </w:rPr>
      </w:pPr>
    </w:p>
    <w:p w:rsidR="00C76116" w:rsidRPr="00A25920" w:rsidRDefault="00033766" w:rsidP="00AC7E13">
      <w:pPr>
        <w:autoSpaceDE w:val="0"/>
        <w:autoSpaceDN w:val="0"/>
        <w:adjustRightInd w:val="0"/>
        <w:snapToGrid w:val="0"/>
        <w:spacing w:after="0" w:line="360" w:lineRule="auto"/>
        <w:jc w:val="both"/>
        <w:rPr>
          <w:rFonts w:ascii="Book Antiqua" w:hAnsi="Book Antiqua" w:cs="Times New Roman"/>
          <w:sz w:val="24"/>
          <w:szCs w:val="24"/>
        </w:rPr>
      </w:pPr>
      <w:r w:rsidRPr="00A25920">
        <w:rPr>
          <w:rFonts w:ascii="Book Antiqua" w:hAnsi="Book Antiqua" w:cs="Times New Roman"/>
          <w:sz w:val="24"/>
          <w:szCs w:val="24"/>
        </w:rPr>
        <w:fldChar w:fldCharType="end"/>
      </w:r>
      <w:r w:rsidR="00AC7E13" w:rsidRPr="00A25920">
        <w:rPr>
          <w:rFonts w:ascii="Book Antiqua" w:hAnsi="Book Antiqua" w:cs="Times New Roman"/>
          <w:sz w:val="24"/>
          <w:szCs w:val="24"/>
        </w:rPr>
        <w:t xml:space="preserve"> </w:t>
      </w:r>
    </w:p>
    <w:p w:rsidR="00AC7E13" w:rsidRPr="00A25920" w:rsidRDefault="00AC7E13">
      <w:pPr>
        <w:rPr>
          <w:rFonts w:ascii="Book Antiqua" w:hAnsi="Book Antiqua" w:cs="Times New Roman"/>
          <w:b/>
          <w:kern w:val="2"/>
          <w:sz w:val="24"/>
          <w:szCs w:val="24"/>
        </w:rPr>
      </w:pPr>
      <w:r w:rsidRPr="00A25920">
        <w:rPr>
          <w:rFonts w:ascii="Book Antiqua" w:hAnsi="Book Antiqua" w:cs="Times New Roman"/>
          <w:b/>
          <w:kern w:val="2"/>
          <w:sz w:val="24"/>
          <w:szCs w:val="24"/>
        </w:rPr>
        <w:br w:type="page"/>
      </w:r>
    </w:p>
    <w:p w:rsidR="00FD0977" w:rsidRPr="00A25920" w:rsidRDefault="00FD0977" w:rsidP="00225036">
      <w:pPr>
        <w:widowControl w:val="0"/>
        <w:snapToGrid w:val="0"/>
        <w:spacing w:after="0" w:line="360" w:lineRule="auto"/>
        <w:jc w:val="both"/>
        <w:rPr>
          <w:rFonts w:ascii="Book Antiqua" w:hAnsi="Book Antiqua" w:cs="Times New Roman"/>
          <w:b/>
          <w:kern w:val="2"/>
          <w:sz w:val="24"/>
          <w:szCs w:val="24"/>
        </w:rPr>
      </w:pPr>
      <w:r w:rsidRPr="00A25920">
        <w:rPr>
          <w:rFonts w:ascii="Book Antiqua" w:hAnsi="Book Antiqua" w:cs="Times New Roman"/>
          <w:b/>
          <w:kern w:val="2"/>
          <w:sz w:val="24"/>
          <w:szCs w:val="24"/>
        </w:rPr>
        <w:lastRenderedPageBreak/>
        <w:t>Table</w:t>
      </w:r>
      <w:r w:rsidR="00E60998" w:rsidRPr="00A25920">
        <w:rPr>
          <w:rFonts w:ascii="Book Antiqua" w:hAnsi="Book Antiqua" w:cs="Times New Roman" w:hint="eastAsia"/>
          <w:b/>
          <w:kern w:val="2"/>
          <w:sz w:val="24"/>
          <w:szCs w:val="24"/>
        </w:rPr>
        <w:t xml:space="preserve"> </w:t>
      </w:r>
      <w:r w:rsidRPr="00A25920">
        <w:rPr>
          <w:rFonts w:ascii="Book Antiqua" w:hAnsi="Book Antiqua" w:cs="Times New Roman"/>
          <w:b/>
          <w:kern w:val="2"/>
          <w:sz w:val="24"/>
          <w:szCs w:val="24"/>
        </w:rPr>
        <w:t>1</w:t>
      </w:r>
      <w:r w:rsidR="00E60998" w:rsidRPr="00A25920">
        <w:rPr>
          <w:rFonts w:ascii="Book Antiqua" w:hAnsi="Book Antiqua" w:cs="Times New Roman" w:hint="eastAsia"/>
          <w:kern w:val="2"/>
          <w:sz w:val="24"/>
          <w:szCs w:val="24"/>
        </w:rPr>
        <w:t xml:space="preserve"> </w:t>
      </w:r>
      <w:r w:rsidRPr="00A25920">
        <w:rPr>
          <w:rFonts w:ascii="Book Antiqua" w:hAnsi="Book Antiqua" w:cs="Times New Roman"/>
          <w:b/>
          <w:kern w:val="2"/>
          <w:sz w:val="24"/>
          <w:szCs w:val="24"/>
        </w:rPr>
        <w:t xml:space="preserve">Clinicopathological characteristics of 116 </w:t>
      </w:r>
      <w:r w:rsidR="00E60998" w:rsidRPr="00A25920">
        <w:rPr>
          <w:rFonts w:ascii="Book Antiqua" w:hAnsi="Book Antiqua" w:cs="Times New Roman"/>
          <w:b/>
          <w:kern w:val="2"/>
          <w:sz w:val="24"/>
          <w:szCs w:val="24"/>
        </w:rPr>
        <w:t>hepatocellular carcinoma</w:t>
      </w:r>
      <w:r w:rsidRPr="00A25920">
        <w:rPr>
          <w:rFonts w:ascii="Book Antiqua" w:hAnsi="Book Antiqua" w:cs="Times New Roman"/>
          <w:b/>
          <w:kern w:val="2"/>
          <w:sz w:val="24"/>
          <w:szCs w:val="24"/>
        </w:rPr>
        <w:t xml:space="preserve"> patients</w:t>
      </w:r>
      <w:r w:rsidR="00EE2480" w:rsidRPr="00A25920">
        <w:rPr>
          <w:rFonts w:ascii="Book Antiqua" w:hAnsi="Book Antiqua" w:cs="Times New Roman"/>
          <w:b/>
          <w:kern w:val="2"/>
          <w:sz w:val="24"/>
          <w:szCs w:val="24"/>
        </w:rPr>
        <w:t xml:space="preserve"> treated by curative resection,</w:t>
      </w:r>
      <w:r w:rsidR="00E60998" w:rsidRPr="00A25920">
        <w:rPr>
          <w:rFonts w:ascii="Book Antiqua" w:hAnsi="Book Antiqua" w:cs="Times New Roman" w:hint="eastAsia"/>
          <w:b/>
          <w:kern w:val="2"/>
          <w:sz w:val="24"/>
          <w:szCs w:val="24"/>
        </w:rPr>
        <w:t xml:space="preserve"> </w:t>
      </w:r>
      <w:r w:rsidR="00EE2480" w:rsidRPr="00A25920">
        <w:rPr>
          <w:rFonts w:ascii="Book Antiqua" w:hAnsi="Book Antiqua" w:cs="Times New Roman"/>
          <w:b/>
          <w:kern w:val="2"/>
          <w:sz w:val="24"/>
          <w:szCs w:val="24"/>
        </w:rPr>
        <w:t xml:space="preserve">stratified </w:t>
      </w:r>
      <w:r w:rsidRPr="00A25920">
        <w:rPr>
          <w:rFonts w:ascii="Book Antiqua" w:hAnsi="Book Antiqua" w:cs="Times New Roman"/>
          <w:b/>
          <w:kern w:val="2"/>
          <w:sz w:val="24"/>
          <w:szCs w:val="24"/>
        </w:rPr>
        <w:t>by COX-2 and EP</w:t>
      </w:r>
      <w:r w:rsidRPr="00A25920">
        <w:rPr>
          <w:rFonts w:ascii="Book Antiqua" w:hAnsi="Book Antiqua" w:cs="Times New Roman"/>
          <w:b/>
          <w:kern w:val="2"/>
          <w:sz w:val="24"/>
          <w:szCs w:val="24"/>
          <w:vertAlign w:val="subscript"/>
        </w:rPr>
        <w:t>1</w:t>
      </w:r>
      <w:r w:rsidR="00E60998" w:rsidRPr="00A25920">
        <w:rPr>
          <w:rFonts w:ascii="Book Antiqua" w:hAnsi="Book Antiqua" w:cs="Times New Roman"/>
          <w:b/>
          <w:kern w:val="2"/>
          <w:sz w:val="24"/>
          <w:szCs w:val="24"/>
        </w:rPr>
        <w:t xml:space="preserve"> receptor expression</w:t>
      </w:r>
    </w:p>
    <w:tbl>
      <w:tblPr>
        <w:tblStyle w:val="TableGrid"/>
        <w:tblpPr w:leftFromText="180" w:rightFromText="180" w:vertAnchor="page" w:horzAnchor="margin" w:tblpXSpec="center" w:tblpY="3430"/>
        <w:tblW w:w="10113"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1"/>
        <w:gridCol w:w="1559"/>
        <w:gridCol w:w="1560"/>
        <w:gridCol w:w="859"/>
        <w:gridCol w:w="1550"/>
        <w:gridCol w:w="1701"/>
        <w:gridCol w:w="933"/>
      </w:tblGrid>
      <w:tr w:rsidR="00A25920" w:rsidRPr="00A25920" w:rsidTr="009366E8">
        <w:trPr>
          <w:trHeight w:val="93"/>
        </w:trPr>
        <w:tc>
          <w:tcPr>
            <w:tcW w:w="1951" w:type="dxa"/>
            <w:vMerge w:val="restart"/>
            <w:tcBorders>
              <w:top w:val="single" w:sz="4" w:space="0" w:color="000000" w:themeColor="text1"/>
              <w:bottom w:val="single" w:sz="4" w:space="0" w:color="000000" w:themeColor="text1"/>
            </w:tcBorders>
          </w:tcPr>
          <w:p w:rsidR="00C73BB3" w:rsidRPr="00A25920" w:rsidRDefault="00C73BB3" w:rsidP="00C73BB3">
            <w:pPr>
              <w:widowControl w:val="0"/>
              <w:snapToGrid w:val="0"/>
              <w:spacing w:line="360" w:lineRule="auto"/>
              <w:rPr>
                <w:rFonts w:ascii="Book Antiqua" w:hAnsi="Book Antiqua" w:cs="Times New Roman"/>
                <w:b/>
                <w:sz w:val="24"/>
                <w:szCs w:val="24"/>
              </w:rPr>
            </w:pPr>
            <w:r w:rsidRPr="00A25920">
              <w:rPr>
                <w:rFonts w:ascii="Book Antiqua" w:hAnsi="Book Antiqua" w:cs="Times New Roman"/>
                <w:b/>
                <w:sz w:val="24"/>
                <w:szCs w:val="24"/>
              </w:rPr>
              <w:t>Variable</w:t>
            </w:r>
          </w:p>
        </w:tc>
        <w:tc>
          <w:tcPr>
            <w:tcW w:w="3119" w:type="dxa"/>
            <w:gridSpan w:val="2"/>
            <w:tcBorders>
              <w:top w:val="single" w:sz="4" w:space="0" w:color="000000" w:themeColor="text1"/>
              <w:bottom w:val="single" w:sz="4" w:space="0" w:color="000000" w:themeColor="text1"/>
            </w:tcBorders>
          </w:tcPr>
          <w:p w:rsidR="00C73BB3" w:rsidRPr="00A25920" w:rsidRDefault="00C73BB3" w:rsidP="00C73BB3">
            <w:pPr>
              <w:widowControl w:val="0"/>
              <w:snapToGrid w:val="0"/>
              <w:spacing w:line="360" w:lineRule="auto"/>
              <w:jc w:val="center"/>
              <w:rPr>
                <w:rFonts w:ascii="Book Antiqua" w:hAnsi="Book Antiqua" w:cs="Times New Roman"/>
                <w:b/>
                <w:sz w:val="24"/>
                <w:szCs w:val="24"/>
              </w:rPr>
            </w:pPr>
            <w:r w:rsidRPr="00A25920">
              <w:rPr>
                <w:rFonts w:ascii="Book Antiqua" w:hAnsi="Book Antiqua" w:cs="Times New Roman"/>
                <w:b/>
                <w:sz w:val="24"/>
                <w:szCs w:val="24"/>
              </w:rPr>
              <w:t>COX-2</w:t>
            </w:r>
          </w:p>
        </w:tc>
        <w:tc>
          <w:tcPr>
            <w:tcW w:w="859" w:type="dxa"/>
            <w:vMerge w:val="restart"/>
            <w:tcBorders>
              <w:top w:val="single" w:sz="4" w:space="0" w:color="000000" w:themeColor="text1"/>
              <w:bottom w:val="single" w:sz="4" w:space="0" w:color="000000" w:themeColor="text1"/>
            </w:tcBorders>
          </w:tcPr>
          <w:p w:rsidR="00C73BB3" w:rsidRPr="00A25920" w:rsidRDefault="00C73BB3" w:rsidP="00C73BB3">
            <w:pPr>
              <w:widowControl w:val="0"/>
              <w:snapToGrid w:val="0"/>
              <w:spacing w:line="360" w:lineRule="auto"/>
              <w:jc w:val="center"/>
              <w:rPr>
                <w:rFonts w:ascii="Book Antiqua" w:hAnsi="Book Antiqua" w:cs="Times New Roman"/>
                <w:b/>
                <w:sz w:val="24"/>
                <w:szCs w:val="24"/>
              </w:rPr>
            </w:pPr>
            <w:r w:rsidRPr="00A25920">
              <w:rPr>
                <w:rFonts w:ascii="Book Antiqua" w:hAnsi="Book Antiqua" w:cs="Times New Roman"/>
                <w:b/>
                <w:i/>
                <w:caps/>
                <w:sz w:val="24"/>
                <w:szCs w:val="24"/>
              </w:rPr>
              <w:t>p</w:t>
            </w:r>
            <w:r w:rsidRPr="00A25920">
              <w:rPr>
                <w:rFonts w:ascii="Book Antiqua" w:hAnsi="Book Antiqua" w:cs="Times New Roman" w:hint="eastAsia"/>
                <w:b/>
                <w:i/>
                <w:caps/>
                <w:sz w:val="24"/>
                <w:szCs w:val="24"/>
              </w:rPr>
              <w:t xml:space="preserve"> </w:t>
            </w:r>
            <w:r w:rsidRPr="00A25920">
              <w:rPr>
                <w:rFonts w:ascii="Book Antiqua" w:hAnsi="Book Antiqua" w:cs="Times New Roman"/>
                <w:b/>
                <w:sz w:val="24"/>
                <w:szCs w:val="24"/>
              </w:rPr>
              <w:t>value</w:t>
            </w:r>
          </w:p>
        </w:tc>
        <w:tc>
          <w:tcPr>
            <w:tcW w:w="3251" w:type="dxa"/>
            <w:gridSpan w:val="2"/>
            <w:tcBorders>
              <w:top w:val="single" w:sz="4" w:space="0" w:color="000000" w:themeColor="text1"/>
              <w:bottom w:val="single" w:sz="4" w:space="0" w:color="000000" w:themeColor="text1"/>
            </w:tcBorders>
          </w:tcPr>
          <w:p w:rsidR="00C73BB3" w:rsidRPr="00A25920" w:rsidRDefault="00C73BB3" w:rsidP="00C73BB3">
            <w:pPr>
              <w:widowControl w:val="0"/>
              <w:snapToGrid w:val="0"/>
              <w:spacing w:line="360" w:lineRule="auto"/>
              <w:jc w:val="center"/>
              <w:rPr>
                <w:rFonts w:ascii="Book Antiqua" w:hAnsi="Book Antiqua" w:cs="Times New Roman"/>
                <w:b/>
                <w:sz w:val="24"/>
                <w:szCs w:val="24"/>
              </w:rPr>
            </w:pPr>
            <w:r w:rsidRPr="00A25920">
              <w:rPr>
                <w:rFonts w:ascii="Book Antiqua" w:hAnsi="Book Antiqua" w:cs="Times New Roman"/>
                <w:b/>
                <w:sz w:val="24"/>
                <w:szCs w:val="24"/>
              </w:rPr>
              <w:t>EP</w:t>
            </w:r>
            <w:r w:rsidRPr="00A25920">
              <w:rPr>
                <w:rFonts w:ascii="Book Antiqua" w:hAnsi="Book Antiqua" w:cs="Times New Roman"/>
                <w:b/>
                <w:sz w:val="24"/>
                <w:szCs w:val="24"/>
                <w:vertAlign w:val="subscript"/>
              </w:rPr>
              <w:t>1</w:t>
            </w:r>
            <w:r w:rsidRPr="00A25920">
              <w:rPr>
                <w:rFonts w:ascii="Book Antiqua" w:hAnsi="Book Antiqua" w:cs="Times New Roman"/>
                <w:b/>
                <w:sz w:val="24"/>
                <w:szCs w:val="24"/>
              </w:rPr>
              <w:t xml:space="preserve"> receptor</w:t>
            </w:r>
          </w:p>
        </w:tc>
        <w:tc>
          <w:tcPr>
            <w:tcW w:w="933" w:type="dxa"/>
            <w:vMerge w:val="restart"/>
            <w:tcBorders>
              <w:top w:val="single" w:sz="4" w:space="0" w:color="000000" w:themeColor="text1"/>
              <w:bottom w:val="single" w:sz="4" w:space="0" w:color="000000" w:themeColor="text1"/>
            </w:tcBorders>
          </w:tcPr>
          <w:p w:rsidR="00C73BB3" w:rsidRPr="00A25920" w:rsidRDefault="00C73BB3" w:rsidP="009366E8">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b/>
                <w:i/>
                <w:caps/>
                <w:sz w:val="24"/>
                <w:szCs w:val="24"/>
              </w:rPr>
              <w:t>p</w:t>
            </w:r>
            <w:r w:rsidRPr="00A25920">
              <w:rPr>
                <w:rFonts w:ascii="Book Antiqua" w:hAnsi="Book Antiqua" w:cs="Times New Roman" w:hint="eastAsia"/>
                <w:b/>
                <w:i/>
                <w:caps/>
                <w:sz w:val="24"/>
                <w:szCs w:val="24"/>
              </w:rPr>
              <w:t xml:space="preserve"> </w:t>
            </w:r>
            <w:r w:rsidRPr="00A25920">
              <w:rPr>
                <w:rFonts w:ascii="Book Antiqua" w:hAnsi="Book Antiqua" w:cs="Times New Roman"/>
                <w:b/>
                <w:sz w:val="24"/>
                <w:szCs w:val="24"/>
              </w:rPr>
              <w:t>value</w:t>
            </w:r>
          </w:p>
        </w:tc>
      </w:tr>
      <w:tr w:rsidR="00A25920" w:rsidRPr="00A25920" w:rsidTr="009366E8">
        <w:trPr>
          <w:trHeight w:val="92"/>
        </w:trPr>
        <w:tc>
          <w:tcPr>
            <w:tcW w:w="1951" w:type="dxa"/>
            <w:vMerge/>
            <w:tcBorders>
              <w:top w:val="single" w:sz="4" w:space="0" w:color="000000" w:themeColor="text1"/>
              <w:bottom w:val="single" w:sz="4" w:space="0" w:color="000000" w:themeColor="text1"/>
            </w:tcBorders>
          </w:tcPr>
          <w:p w:rsidR="00C73BB3" w:rsidRPr="00A25920" w:rsidRDefault="00C73BB3" w:rsidP="00C73BB3">
            <w:pPr>
              <w:widowControl w:val="0"/>
              <w:snapToGrid w:val="0"/>
              <w:spacing w:line="360" w:lineRule="auto"/>
              <w:rPr>
                <w:rFonts w:ascii="Book Antiqua" w:hAnsi="Book Antiqua" w:cs="Times New Roman"/>
                <w:b/>
                <w:sz w:val="24"/>
                <w:szCs w:val="24"/>
              </w:rPr>
            </w:pPr>
          </w:p>
        </w:tc>
        <w:tc>
          <w:tcPr>
            <w:tcW w:w="1559" w:type="dxa"/>
            <w:tcBorders>
              <w:top w:val="single" w:sz="4" w:space="0" w:color="000000" w:themeColor="text1"/>
              <w:bottom w:val="single" w:sz="4" w:space="0" w:color="000000" w:themeColor="text1"/>
            </w:tcBorders>
          </w:tcPr>
          <w:p w:rsidR="00C73BB3" w:rsidRPr="00A25920" w:rsidRDefault="00C73BB3" w:rsidP="00C73BB3">
            <w:pPr>
              <w:widowControl w:val="0"/>
              <w:snapToGrid w:val="0"/>
              <w:spacing w:line="360" w:lineRule="auto"/>
              <w:jc w:val="center"/>
              <w:rPr>
                <w:rFonts w:ascii="Book Antiqua" w:hAnsi="Book Antiqua" w:cs="Times New Roman"/>
                <w:b/>
                <w:sz w:val="24"/>
                <w:szCs w:val="24"/>
              </w:rPr>
            </w:pPr>
            <w:r w:rsidRPr="00A25920">
              <w:rPr>
                <w:rFonts w:ascii="Book Antiqua" w:hAnsi="Book Antiqua" w:cs="Times New Roman"/>
                <w:b/>
                <w:sz w:val="24"/>
                <w:szCs w:val="24"/>
              </w:rPr>
              <w:t>Low expression</w:t>
            </w:r>
            <w:r w:rsidRPr="00A25920">
              <w:rPr>
                <w:rFonts w:ascii="Book Antiqua" w:hAnsi="Book Antiqua" w:cs="Times New Roman" w:hint="eastAsia"/>
                <w:b/>
                <w:sz w:val="24"/>
                <w:szCs w:val="24"/>
              </w:rPr>
              <w:t xml:space="preserve"> (</w:t>
            </w:r>
            <w:r w:rsidRPr="00A25920">
              <w:rPr>
                <w:rFonts w:ascii="Book Antiqua" w:hAnsi="Book Antiqua" w:cs="Times New Roman"/>
                <w:b/>
                <w:i/>
                <w:sz w:val="24"/>
                <w:szCs w:val="24"/>
              </w:rPr>
              <w:t>n</w:t>
            </w:r>
            <w:r w:rsidRPr="00A25920">
              <w:rPr>
                <w:rFonts w:ascii="Book Antiqua" w:hAnsi="Book Antiqua" w:cs="Times New Roman" w:hint="eastAsia"/>
                <w:b/>
                <w:sz w:val="24"/>
                <w:szCs w:val="24"/>
              </w:rPr>
              <w:t xml:space="preserve"> </w:t>
            </w:r>
            <w:r w:rsidRPr="00A25920">
              <w:rPr>
                <w:rFonts w:ascii="Book Antiqua" w:hAnsi="Book Antiqua" w:cs="Times New Roman"/>
                <w:b/>
                <w:sz w:val="24"/>
                <w:szCs w:val="24"/>
              </w:rPr>
              <w:t>=</w:t>
            </w:r>
            <w:r w:rsidRPr="00A25920">
              <w:rPr>
                <w:rFonts w:ascii="Book Antiqua" w:hAnsi="Book Antiqua" w:cs="Times New Roman" w:hint="eastAsia"/>
                <w:b/>
                <w:sz w:val="24"/>
                <w:szCs w:val="24"/>
              </w:rPr>
              <w:t xml:space="preserve"> </w:t>
            </w:r>
            <w:r w:rsidRPr="00A25920">
              <w:rPr>
                <w:rFonts w:ascii="Book Antiqua" w:hAnsi="Book Antiqua" w:cs="Times New Roman"/>
                <w:b/>
                <w:sz w:val="24"/>
                <w:szCs w:val="24"/>
              </w:rPr>
              <w:t>62</w:t>
            </w:r>
            <w:r w:rsidRPr="00A25920">
              <w:rPr>
                <w:rFonts w:ascii="Book Antiqua" w:hAnsi="Book Antiqua" w:cs="Times New Roman" w:hint="eastAsia"/>
                <w:b/>
                <w:sz w:val="24"/>
                <w:szCs w:val="24"/>
              </w:rPr>
              <w:t>)</w:t>
            </w:r>
          </w:p>
        </w:tc>
        <w:tc>
          <w:tcPr>
            <w:tcW w:w="1560" w:type="dxa"/>
            <w:tcBorders>
              <w:top w:val="single" w:sz="4" w:space="0" w:color="000000" w:themeColor="text1"/>
              <w:bottom w:val="single" w:sz="4" w:space="0" w:color="000000" w:themeColor="text1"/>
            </w:tcBorders>
          </w:tcPr>
          <w:p w:rsidR="00C73BB3" w:rsidRPr="00A25920" w:rsidRDefault="00C73BB3" w:rsidP="00C73BB3">
            <w:pPr>
              <w:widowControl w:val="0"/>
              <w:snapToGrid w:val="0"/>
              <w:spacing w:line="360" w:lineRule="auto"/>
              <w:jc w:val="center"/>
              <w:rPr>
                <w:rFonts w:ascii="Book Antiqua" w:hAnsi="Book Antiqua" w:cs="Times New Roman"/>
                <w:b/>
                <w:sz w:val="24"/>
                <w:szCs w:val="24"/>
              </w:rPr>
            </w:pPr>
            <w:r w:rsidRPr="00A25920">
              <w:rPr>
                <w:rFonts w:ascii="Book Antiqua" w:hAnsi="Book Antiqua" w:cs="Times New Roman"/>
                <w:b/>
                <w:sz w:val="24"/>
                <w:szCs w:val="24"/>
              </w:rPr>
              <w:t>High expression</w:t>
            </w:r>
            <w:r w:rsidRPr="00A25920">
              <w:rPr>
                <w:rFonts w:ascii="Book Antiqua" w:hAnsi="Book Antiqua" w:cs="Times New Roman" w:hint="eastAsia"/>
                <w:b/>
                <w:sz w:val="24"/>
                <w:szCs w:val="24"/>
              </w:rPr>
              <w:t xml:space="preserve"> (</w:t>
            </w:r>
            <w:r w:rsidRPr="00A25920">
              <w:rPr>
                <w:rFonts w:ascii="Book Antiqua" w:hAnsi="Book Antiqua" w:cs="Times New Roman"/>
                <w:b/>
                <w:i/>
                <w:sz w:val="24"/>
                <w:szCs w:val="24"/>
              </w:rPr>
              <w:t>n</w:t>
            </w:r>
            <w:r w:rsidRPr="00A25920">
              <w:rPr>
                <w:rFonts w:ascii="Book Antiqua" w:hAnsi="Book Antiqua" w:cs="Times New Roman" w:hint="eastAsia"/>
                <w:b/>
                <w:sz w:val="24"/>
                <w:szCs w:val="24"/>
              </w:rPr>
              <w:t xml:space="preserve"> </w:t>
            </w:r>
            <w:r w:rsidRPr="00A25920">
              <w:rPr>
                <w:rFonts w:ascii="Book Antiqua" w:hAnsi="Book Antiqua" w:cs="Times New Roman"/>
                <w:b/>
                <w:sz w:val="24"/>
                <w:szCs w:val="24"/>
              </w:rPr>
              <w:t>=</w:t>
            </w:r>
            <w:r w:rsidRPr="00A25920">
              <w:rPr>
                <w:rFonts w:ascii="Book Antiqua" w:hAnsi="Book Antiqua" w:cs="Times New Roman" w:hint="eastAsia"/>
                <w:b/>
                <w:sz w:val="24"/>
                <w:szCs w:val="24"/>
              </w:rPr>
              <w:t xml:space="preserve"> </w:t>
            </w:r>
            <w:r w:rsidRPr="00A25920">
              <w:rPr>
                <w:rFonts w:ascii="Book Antiqua" w:hAnsi="Book Antiqua" w:cs="Times New Roman"/>
                <w:b/>
                <w:sz w:val="24"/>
                <w:szCs w:val="24"/>
              </w:rPr>
              <w:t>54</w:t>
            </w:r>
            <w:r w:rsidRPr="00A25920">
              <w:rPr>
                <w:rFonts w:ascii="Book Antiqua" w:hAnsi="Book Antiqua" w:cs="Times New Roman" w:hint="eastAsia"/>
                <w:b/>
                <w:sz w:val="24"/>
                <w:szCs w:val="24"/>
              </w:rPr>
              <w:t>)</w:t>
            </w:r>
          </w:p>
        </w:tc>
        <w:tc>
          <w:tcPr>
            <w:tcW w:w="859" w:type="dxa"/>
            <w:vMerge/>
            <w:tcBorders>
              <w:top w:val="single" w:sz="4" w:space="0" w:color="000000" w:themeColor="text1"/>
              <w:bottom w:val="single" w:sz="4" w:space="0" w:color="000000" w:themeColor="text1"/>
            </w:tcBorders>
          </w:tcPr>
          <w:p w:rsidR="00C73BB3" w:rsidRPr="00A25920" w:rsidRDefault="00C73BB3" w:rsidP="00C73BB3">
            <w:pPr>
              <w:widowControl w:val="0"/>
              <w:snapToGrid w:val="0"/>
              <w:spacing w:line="360" w:lineRule="auto"/>
              <w:jc w:val="center"/>
              <w:rPr>
                <w:rFonts w:ascii="Book Antiqua" w:hAnsi="Book Antiqua" w:cs="Times New Roman"/>
                <w:b/>
                <w:sz w:val="24"/>
                <w:szCs w:val="24"/>
              </w:rPr>
            </w:pPr>
          </w:p>
        </w:tc>
        <w:tc>
          <w:tcPr>
            <w:tcW w:w="1550" w:type="dxa"/>
            <w:tcBorders>
              <w:top w:val="single" w:sz="4" w:space="0" w:color="000000" w:themeColor="text1"/>
              <w:bottom w:val="single" w:sz="4" w:space="0" w:color="000000" w:themeColor="text1"/>
            </w:tcBorders>
          </w:tcPr>
          <w:p w:rsidR="00C73BB3" w:rsidRPr="00A25920" w:rsidRDefault="00C73BB3" w:rsidP="00C73BB3">
            <w:pPr>
              <w:widowControl w:val="0"/>
              <w:snapToGrid w:val="0"/>
              <w:spacing w:line="360" w:lineRule="auto"/>
              <w:jc w:val="center"/>
              <w:rPr>
                <w:rFonts w:ascii="Book Antiqua" w:hAnsi="Book Antiqua" w:cs="Times New Roman"/>
                <w:b/>
                <w:sz w:val="24"/>
                <w:szCs w:val="24"/>
              </w:rPr>
            </w:pPr>
            <w:r w:rsidRPr="00A25920">
              <w:rPr>
                <w:rFonts w:ascii="Book Antiqua" w:hAnsi="Book Antiqua" w:cs="Times New Roman"/>
                <w:b/>
                <w:sz w:val="24"/>
                <w:szCs w:val="24"/>
              </w:rPr>
              <w:t>Low expression</w:t>
            </w:r>
          </w:p>
          <w:p w:rsidR="00C73BB3" w:rsidRPr="00A25920" w:rsidRDefault="00C73BB3" w:rsidP="00C73BB3">
            <w:pPr>
              <w:widowControl w:val="0"/>
              <w:snapToGrid w:val="0"/>
              <w:spacing w:line="360" w:lineRule="auto"/>
              <w:jc w:val="center"/>
              <w:rPr>
                <w:rFonts w:ascii="Book Antiqua" w:hAnsi="Book Antiqua" w:cs="Times New Roman"/>
                <w:b/>
                <w:sz w:val="24"/>
                <w:szCs w:val="24"/>
              </w:rPr>
            </w:pPr>
            <w:r w:rsidRPr="00A25920">
              <w:rPr>
                <w:rFonts w:ascii="Book Antiqua" w:hAnsi="Book Antiqua" w:cs="Times New Roman" w:hint="eastAsia"/>
                <w:b/>
                <w:sz w:val="24"/>
                <w:szCs w:val="24"/>
              </w:rPr>
              <w:t>(</w:t>
            </w:r>
            <w:r w:rsidRPr="00A25920">
              <w:rPr>
                <w:rFonts w:ascii="Book Antiqua" w:hAnsi="Book Antiqua" w:cs="Times New Roman"/>
                <w:b/>
                <w:i/>
                <w:sz w:val="24"/>
                <w:szCs w:val="24"/>
              </w:rPr>
              <w:t>n</w:t>
            </w:r>
            <w:r w:rsidRPr="00A25920">
              <w:rPr>
                <w:rFonts w:ascii="Book Antiqua" w:hAnsi="Book Antiqua" w:cs="Times New Roman" w:hint="eastAsia"/>
                <w:b/>
                <w:sz w:val="24"/>
                <w:szCs w:val="24"/>
              </w:rPr>
              <w:t xml:space="preserve"> </w:t>
            </w:r>
            <w:r w:rsidRPr="00A25920">
              <w:rPr>
                <w:rFonts w:ascii="Book Antiqua" w:hAnsi="Book Antiqua" w:cs="Times New Roman"/>
                <w:b/>
                <w:sz w:val="24"/>
                <w:szCs w:val="24"/>
              </w:rPr>
              <w:t>=</w:t>
            </w:r>
            <w:r w:rsidRPr="00A25920">
              <w:rPr>
                <w:rFonts w:ascii="Book Antiqua" w:hAnsi="Book Antiqua" w:cs="Times New Roman" w:hint="eastAsia"/>
                <w:b/>
                <w:sz w:val="24"/>
                <w:szCs w:val="24"/>
              </w:rPr>
              <w:t xml:space="preserve"> </w:t>
            </w:r>
            <w:r w:rsidRPr="00A25920">
              <w:rPr>
                <w:rFonts w:ascii="Book Antiqua" w:hAnsi="Book Antiqua" w:cs="Times New Roman"/>
                <w:b/>
                <w:sz w:val="24"/>
                <w:szCs w:val="24"/>
              </w:rPr>
              <w:t>73</w:t>
            </w:r>
            <w:r w:rsidRPr="00A25920">
              <w:rPr>
                <w:rFonts w:ascii="Book Antiqua" w:hAnsi="Book Antiqua" w:cs="Times New Roman" w:hint="eastAsia"/>
                <w:b/>
                <w:sz w:val="24"/>
                <w:szCs w:val="24"/>
              </w:rPr>
              <w:t>)</w:t>
            </w:r>
          </w:p>
        </w:tc>
        <w:tc>
          <w:tcPr>
            <w:tcW w:w="1701" w:type="dxa"/>
            <w:tcBorders>
              <w:top w:val="single" w:sz="4" w:space="0" w:color="000000" w:themeColor="text1"/>
              <w:bottom w:val="single" w:sz="4" w:space="0" w:color="000000" w:themeColor="text1"/>
            </w:tcBorders>
          </w:tcPr>
          <w:p w:rsidR="00C73BB3" w:rsidRPr="00A25920" w:rsidRDefault="00C73BB3" w:rsidP="00C73BB3">
            <w:pPr>
              <w:widowControl w:val="0"/>
              <w:snapToGrid w:val="0"/>
              <w:spacing w:line="360" w:lineRule="auto"/>
              <w:jc w:val="center"/>
              <w:rPr>
                <w:rFonts w:ascii="Book Antiqua" w:hAnsi="Book Antiqua" w:cs="Times New Roman"/>
                <w:b/>
                <w:sz w:val="24"/>
                <w:szCs w:val="24"/>
              </w:rPr>
            </w:pPr>
            <w:r w:rsidRPr="00A25920">
              <w:rPr>
                <w:rFonts w:ascii="Book Antiqua" w:hAnsi="Book Antiqua" w:cs="Times New Roman"/>
                <w:b/>
                <w:sz w:val="24"/>
                <w:szCs w:val="24"/>
              </w:rPr>
              <w:t>High expression</w:t>
            </w:r>
          </w:p>
          <w:p w:rsidR="00C73BB3" w:rsidRPr="00A25920" w:rsidRDefault="00C73BB3" w:rsidP="00C73BB3">
            <w:pPr>
              <w:widowControl w:val="0"/>
              <w:snapToGrid w:val="0"/>
              <w:spacing w:line="360" w:lineRule="auto"/>
              <w:jc w:val="center"/>
              <w:rPr>
                <w:rFonts w:ascii="Book Antiqua" w:hAnsi="Book Antiqua" w:cs="Times New Roman"/>
                <w:b/>
                <w:sz w:val="24"/>
                <w:szCs w:val="24"/>
              </w:rPr>
            </w:pPr>
            <w:r w:rsidRPr="00A25920">
              <w:rPr>
                <w:rFonts w:ascii="Book Antiqua" w:hAnsi="Book Antiqua" w:cs="Times New Roman" w:hint="eastAsia"/>
                <w:b/>
                <w:sz w:val="24"/>
                <w:szCs w:val="24"/>
              </w:rPr>
              <w:t>(</w:t>
            </w:r>
            <w:r w:rsidRPr="00A25920">
              <w:rPr>
                <w:rFonts w:ascii="Book Antiqua" w:hAnsi="Book Antiqua" w:cs="Times New Roman"/>
                <w:b/>
                <w:i/>
                <w:sz w:val="24"/>
                <w:szCs w:val="24"/>
              </w:rPr>
              <w:t>n</w:t>
            </w:r>
            <w:r w:rsidRPr="00A25920">
              <w:rPr>
                <w:rFonts w:ascii="Book Antiqua" w:hAnsi="Book Antiqua" w:cs="Times New Roman" w:hint="eastAsia"/>
                <w:b/>
                <w:sz w:val="24"/>
                <w:szCs w:val="24"/>
              </w:rPr>
              <w:t xml:space="preserve"> </w:t>
            </w:r>
            <w:r w:rsidRPr="00A25920">
              <w:rPr>
                <w:rFonts w:ascii="Book Antiqua" w:hAnsi="Book Antiqua" w:cs="Times New Roman"/>
                <w:b/>
                <w:sz w:val="24"/>
                <w:szCs w:val="24"/>
              </w:rPr>
              <w:t>=</w:t>
            </w:r>
            <w:r w:rsidRPr="00A25920">
              <w:rPr>
                <w:rFonts w:ascii="Book Antiqua" w:hAnsi="Book Antiqua" w:cs="Times New Roman" w:hint="eastAsia"/>
                <w:b/>
                <w:sz w:val="24"/>
                <w:szCs w:val="24"/>
              </w:rPr>
              <w:t xml:space="preserve"> </w:t>
            </w:r>
            <w:r w:rsidRPr="00A25920">
              <w:rPr>
                <w:rFonts w:ascii="Book Antiqua" w:hAnsi="Book Antiqua" w:cs="Times New Roman"/>
                <w:b/>
                <w:sz w:val="24"/>
                <w:szCs w:val="24"/>
              </w:rPr>
              <w:t>43</w:t>
            </w:r>
            <w:r w:rsidRPr="00A25920">
              <w:rPr>
                <w:rFonts w:ascii="Book Antiqua" w:hAnsi="Book Antiqua" w:cs="Times New Roman" w:hint="eastAsia"/>
                <w:b/>
                <w:sz w:val="24"/>
                <w:szCs w:val="24"/>
              </w:rPr>
              <w:t>)</w:t>
            </w:r>
          </w:p>
        </w:tc>
        <w:tc>
          <w:tcPr>
            <w:tcW w:w="933" w:type="dxa"/>
            <w:vMerge/>
            <w:tcBorders>
              <w:top w:val="single" w:sz="4" w:space="0" w:color="000000" w:themeColor="text1"/>
              <w:bottom w:val="single" w:sz="4" w:space="0" w:color="000000" w:themeColor="text1"/>
            </w:tcBorders>
          </w:tcPr>
          <w:p w:rsidR="00C73BB3" w:rsidRPr="00A25920" w:rsidRDefault="00C73BB3" w:rsidP="009366E8">
            <w:pPr>
              <w:widowControl w:val="0"/>
              <w:snapToGrid w:val="0"/>
              <w:spacing w:line="360" w:lineRule="auto"/>
              <w:jc w:val="center"/>
              <w:rPr>
                <w:rFonts w:ascii="Book Antiqua" w:hAnsi="Book Antiqua" w:cs="Times New Roman"/>
                <w:sz w:val="24"/>
                <w:szCs w:val="24"/>
              </w:rPr>
            </w:pPr>
          </w:p>
        </w:tc>
      </w:tr>
      <w:tr w:rsidR="00A25920" w:rsidRPr="00A25920" w:rsidTr="009366E8">
        <w:trPr>
          <w:trHeight w:val="84"/>
        </w:trPr>
        <w:tc>
          <w:tcPr>
            <w:tcW w:w="1951" w:type="dxa"/>
            <w:tcBorders>
              <w:top w:val="single" w:sz="4" w:space="0" w:color="000000" w:themeColor="text1"/>
            </w:tcBorders>
          </w:tcPr>
          <w:p w:rsidR="00C73BB3" w:rsidRPr="00A25920" w:rsidRDefault="00C73BB3" w:rsidP="00C73BB3">
            <w:pPr>
              <w:widowControl w:val="0"/>
              <w:snapToGrid w:val="0"/>
              <w:spacing w:line="360" w:lineRule="auto"/>
              <w:rPr>
                <w:rFonts w:ascii="Book Antiqua" w:hAnsi="Book Antiqua" w:cs="Times New Roman"/>
                <w:sz w:val="24"/>
                <w:szCs w:val="24"/>
              </w:rPr>
            </w:pPr>
            <w:r w:rsidRPr="00A25920">
              <w:rPr>
                <w:rFonts w:ascii="Book Antiqua" w:eastAsia="AdvPTimes" w:hAnsi="Book Antiqua" w:cs="Times New Roman"/>
                <w:sz w:val="24"/>
                <w:szCs w:val="24"/>
              </w:rPr>
              <w:t>Gender</w:t>
            </w:r>
            <w:r w:rsidRPr="00A25920">
              <w:rPr>
                <w:rFonts w:ascii="Book Antiqua" w:hAnsi="Book Antiqua" w:cs="Times New Roman"/>
                <w:sz w:val="24"/>
                <w:szCs w:val="24"/>
              </w:rPr>
              <w:t xml:space="preserve">, </w:t>
            </w:r>
            <w:r w:rsidRPr="00A25920">
              <w:rPr>
                <w:rFonts w:ascii="Book Antiqua" w:eastAsia="AdvPTimes" w:hAnsi="Book Antiqua" w:cs="Times New Roman"/>
                <w:sz w:val="24"/>
                <w:szCs w:val="24"/>
              </w:rPr>
              <w:t>M/F</w:t>
            </w:r>
          </w:p>
        </w:tc>
        <w:tc>
          <w:tcPr>
            <w:tcW w:w="1559" w:type="dxa"/>
            <w:tcBorders>
              <w:top w:val="single" w:sz="4" w:space="0" w:color="000000" w:themeColor="text1"/>
            </w:tcBorders>
          </w:tcPr>
          <w:p w:rsidR="00C73BB3" w:rsidRPr="00A25920" w:rsidRDefault="00C73BB3" w:rsidP="00C73BB3">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48/14</w:t>
            </w:r>
          </w:p>
        </w:tc>
        <w:tc>
          <w:tcPr>
            <w:tcW w:w="1560" w:type="dxa"/>
            <w:tcBorders>
              <w:top w:val="single" w:sz="4" w:space="0" w:color="000000" w:themeColor="text1"/>
            </w:tcBorders>
          </w:tcPr>
          <w:p w:rsidR="00C73BB3" w:rsidRPr="00A25920" w:rsidRDefault="00C73BB3" w:rsidP="00C73BB3">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45/9</w:t>
            </w:r>
          </w:p>
        </w:tc>
        <w:tc>
          <w:tcPr>
            <w:tcW w:w="859" w:type="dxa"/>
            <w:tcBorders>
              <w:top w:val="single" w:sz="4" w:space="0" w:color="000000" w:themeColor="text1"/>
            </w:tcBorders>
          </w:tcPr>
          <w:p w:rsidR="00C73BB3" w:rsidRPr="00A25920" w:rsidRDefault="00C73BB3" w:rsidP="00C73BB3">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0.426</w:t>
            </w:r>
          </w:p>
        </w:tc>
        <w:tc>
          <w:tcPr>
            <w:tcW w:w="1550" w:type="dxa"/>
            <w:tcBorders>
              <w:top w:val="single" w:sz="4" w:space="0" w:color="000000" w:themeColor="text1"/>
            </w:tcBorders>
          </w:tcPr>
          <w:p w:rsidR="00C73BB3" w:rsidRPr="00A25920" w:rsidRDefault="00C73BB3" w:rsidP="00C73BB3">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60/13</w:t>
            </w:r>
          </w:p>
        </w:tc>
        <w:tc>
          <w:tcPr>
            <w:tcW w:w="1701" w:type="dxa"/>
            <w:tcBorders>
              <w:top w:val="single" w:sz="4" w:space="0" w:color="000000" w:themeColor="text1"/>
            </w:tcBorders>
          </w:tcPr>
          <w:p w:rsidR="00C73BB3" w:rsidRPr="00A25920" w:rsidRDefault="00C73BB3" w:rsidP="00C73BB3">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33/10</w:t>
            </w:r>
          </w:p>
        </w:tc>
        <w:tc>
          <w:tcPr>
            <w:tcW w:w="933" w:type="dxa"/>
            <w:tcBorders>
              <w:top w:val="single" w:sz="4" w:space="0" w:color="000000" w:themeColor="text1"/>
            </w:tcBorders>
          </w:tcPr>
          <w:p w:rsidR="00C73BB3" w:rsidRPr="00A25920" w:rsidRDefault="00C73BB3" w:rsidP="009366E8">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0.477</w:t>
            </w:r>
          </w:p>
        </w:tc>
      </w:tr>
      <w:tr w:rsidR="00A25920" w:rsidRPr="00A25920" w:rsidTr="009366E8">
        <w:trPr>
          <w:trHeight w:val="84"/>
        </w:trPr>
        <w:tc>
          <w:tcPr>
            <w:tcW w:w="1951" w:type="dxa"/>
          </w:tcPr>
          <w:p w:rsidR="00C73BB3" w:rsidRPr="00A25920" w:rsidRDefault="00C73BB3" w:rsidP="00C73BB3">
            <w:pPr>
              <w:widowControl w:val="0"/>
              <w:snapToGrid w:val="0"/>
              <w:spacing w:line="360" w:lineRule="auto"/>
              <w:rPr>
                <w:rFonts w:ascii="Book Antiqua" w:hAnsi="Book Antiqua" w:cs="Times New Roman"/>
                <w:sz w:val="24"/>
                <w:szCs w:val="24"/>
              </w:rPr>
            </w:pPr>
            <w:bookmarkStart w:id="147" w:name="OLE_LINK5"/>
            <w:r w:rsidRPr="00A25920">
              <w:rPr>
                <w:rFonts w:ascii="Book Antiqua" w:eastAsia="AdvPTimes" w:hAnsi="Book Antiqua" w:cs="Times New Roman"/>
                <w:sz w:val="24"/>
                <w:szCs w:val="24"/>
              </w:rPr>
              <w:t>Age</w:t>
            </w:r>
            <w:bookmarkEnd w:id="147"/>
            <w:r w:rsidRPr="00A25920">
              <w:rPr>
                <w:rFonts w:ascii="Book Antiqua" w:hAnsi="Book Antiqua" w:cs="Times New Roman" w:hint="eastAsia"/>
                <w:sz w:val="24"/>
                <w:szCs w:val="24"/>
              </w:rPr>
              <w:t xml:space="preserve"> (</w:t>
            </w:r>
            <w:r w:rsidRPr="00A25920">
              <w:rPr>
                <w:rFonts w:ascii="Book Antiqua" w:hAnsi="Book Antiqua" w:cs="Times New Roman"/>
                <w:sz w:val="24"/>
                <w:szCs w:val="24"/>
              </w:rPr>
              <w:t>yr</w:t>
            </w:r>
            <w:r w:rsidRPr="00A25920">
              <w:rPr>
                <w:rFonts w:ascii="Book Antiqua" w:hAnsi="Book Antiqua" w:cs="Times New Roman" w:hint="eastAsia"/>
                <w:sz w:val="24"/>
                <w:szCs w:val="24"/>
              </w:rPr>
              <w:t>)</w:t>
            </w:r>
          </w:p>
        </w:tc>
        <w:tc>
          <w:tcPr>
            <w:tcW w:w="1559"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46.9</w:t>
            </w:r>
            <w:r w:rsidRPr="00A25920">
              <w:rPr>
                <w:rFonts w:ascii="Book Antiqua" w:hAnsi="Book Antiqua" w:cs="Times New Roman" w:hint="eastAsia"/>
                <w:sz w:val="24"/>
                <w:szCs w:val="24"/>
              </w:rPr>
              <w:t xml:space="preserve"> </w:t>
            </w:r>
            <w:r w:rsidRPr="00A25920">
              <w:rPr>
                <w:rFonts w:ascii="Book Antiqua" w:hAnsi="Book Antiqua" w:cs="Times New Roman"/>
                <w:sz w:val="24"/>
                <w:szCs w:val="24"/>
              </w:rPr>
              <w:t>±</w:t>
            </w:r>
            <w:r w:rsidRPr="00A25920">
              <w:rPr>
                <w:rFonts w:ascii="Book Antiqua" w:hAnsi="Book Antiqua" w:cs="Times New Roman" w:hint="eastAsia"/>
                <w:sz w:val="24"/>
                <w:szCs w:val="24"/>
              </w:rPr>
              <w:t xml:space="preserve"> </w:t>
            </w:r>
            <w:r w:rsidRPr="00A25920">
              <w:rPr>
                <w:rFonts w:ascii="Book Antiqua" w:hAnsi="Book Antiqua" w:cs="Times New Roman"/>
                <w:sz w:val="24"/>
                <w:szCs w:val="24"/>
              </w:rPr>
              <w:t>10.8</w:t>
            </w:r>
          </w:p>
        </w:tc>
        <w:tc>
          <w:tcPr>
            <w:tcW w:w="1560"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47.9</w:t>
            </w:r>
            <w:r w:rsidRPr="00A25920">
              <w:rPr>
                <w:rFonts w:ascii="Book Antiqua" w:hAnsi="Book Antiqua" w:cs="Times New Roman" w:hint="eastAsia"/>
                <w:sz w:val="24"/>
                <w:szCs w:val="24"/>
              </w:rPr>
              <w:t xml:space="preserve"> </w:t>
            </w:r>
            <w:r w:rsidRPr="00A25920">
              <w:rPr>
                <w:rFonts w:ascii="Book Antiqua" w:hAnsi="Book Antiqua" w:cs="Times New Roman"/>
                <w:sz w:val="24"/>
                <w:szCs w:val="24"/>
              </w:rPr>
              <w:t>±</w:t>
            </w:r>
            <w:r w:rsidRPr="00A25920">
              <w:rPr>
                <w:rFonts w:ascii="Book Antiqua" w:hAnsi="Book Antiqua" w:cs="Times New Roman" w:hint="eastAsia"/>
                <w:sz w:val="24"/>
                <w:szCs w:val="24"/>
              </w:rPr>
              <w:t xml:space="preserve"> </w:t>
            </w:r>
            <w:r w:rsidRPr="00A25920">
              <w:rPr>
                <w:rFonts w:ascii="Book Antiqua" w:hAnsi="Book Antiqua" w:cs="Times New Roman"/>
                <w:sz w:val="24"/>
                <w:szCs w:val="24"/>
              </w:rPr>
              <w:t>11.5</w:t>
            </w:r>
          </w:p>
        </w:tc>
        <w:tc>
          <w:tcPr>
            <w:tcW w:w="859"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0.308</w:t>
            </w:r>
          </w:p>
        </w:tc>
        <w:tc>
          <w:tcPr>
            <w:tcW w:w="1550"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46.6</w:t>
            </w:r>
            <w:r w:rsidRPr="00A25920">
              <w:rPr>
                <w:rFonts w:ascii="Book Antiqua" w:hAnsi="Book Antiqua" w:cs="Times New Roman" w:hint="eastAsia"/>
                <w:sz w:val="24"/>
                <w:szCs w:val="24"/>
              </w:rPr>
              <w:t xml:space="preserve"> </w:t>
            </w:r>
            <w:r w:rsidRPr="00A25920">
              <w:rPr>
                <w:rFonts w:ascii="Book Antiqua" w:hAnsi="Book Antiqua" w:cs="Times New Roman"/>
                <w:sz w:val="24"/>
                <w:szCs w:val="24"/>
              </w:rPr>
              <w:t>±</w:t>
            </w:r>
            <w:r w:rsidRPr="00A25920">
              <w:rPr>
                <w:rFonts w:ascii="Book Antiqua" w:hAnsi="Book Antiqua" w:cs="Times New Roman" w:hint="eastAsia"/>
                <w:sz w:val="24"/>
                <w:szCs w:val="24"/>
              </w:rPr>
              <w:t xml:space="preserve"> </w:t>
            </w:r>
            <w:r w:rsidRPr="00A25920">
              <w:rPr>
                <w:rFonts w:ascii="Book Antiqua" w:hAnsi="Book Antiqua" w:cs="Times New Roman"/>
                <w:sz w:val="24"/>
                <w:szCs w:val="24"/>
              </w:rPr>
              <w:t>11.1</w:t>
            </w:r>
          </w:p>
        </w:tc>
        <w:tc>
          <w:tcPr>
            <w:tcW w:w="1701"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47.3</w:t>
            </w:r>
            <w:r w:rsidRPr="00A25920">
              <w:rPr>
                <w:rFonts w:ascii="Book Antiqua" w:hAnsi="Book Antiqua" w:cs="Times New Roman" w:hint="eastAsia"/>
                <w:sz w:val="24"/>
                <w:szCs w:val="24"/>
              </w:rPr>
              <w:t xml:space="preserve"> </w:t>
            </w:r>
            <w:r w:rsidRPr="00A25920">
              <w:rPr>
                <w:rFonts w:ascii="Book Antiqua" w:hAnsi="Book Antiqua" w:cs="Times New Roman"/>
                <w:sz w:val="24"/>
                <w:szCs w:val="24"/>
              </w:rPr>
              <w:t>±</w:t>
            </w:r>
            <w:r w:rsidRPr="00A25920">
              <w:rPr>
                <w:rFonts w:ascii="Book Antiqua" w:hAnsi="Book Antiqua" w:cs="Times New Roman" w:hint="eastAsia"/>
                <w:sz w:val="24"/>
                <w:szCs w:val="24"/>
              </w:rPr>
              <w:t xml:space="preserve"> </w:t>
            </w:r>
            <w:r w:rsidRPr="00A25920">
              <w:rPr>
                <w:rFonts w:ascii="Book Antiqua" w:hAnsi="Book Antiqua" w:cs="Times New Roman"/>
                <w:sz w:val="24"/>
                <w:szCs w:val="24"/>
              </w:rPr>
              <w:t>11.2</w:t>
            </w:r>
          </w:p>
        </w:tc>
        <w:tc>
          <w:tcPr>
            <w:tcW w:w="933" w:type="dxa"/>
          </w:tcPr>
          <w:p w:rsidR="00C73BB3" w:rsidRPr="00A25920" w:rsidRDefault="00C73BB3" w:rsidP="009366E8">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0.486</w:t>
            </w:r>
          </w:p>
        </w:tc>
      </w:tr>
      <w:tr w:rsidR="00A25920" w:rsidRPr="00A25920" w:rsidTr="009366E8">
        <w:trPr>
          <w:trHeight w:val="182"/>
        </w:trPr>
        <w:tc>
          <w:tcPr>
            <w:tcW w:w="1951" w:type="dxa"/>
          </w:tcPr>
          <w:p w:rsidR="00C73BB3" w:rsidRPr="00A25920" w:rsidRDefault="00C73BB3" w:rsidP="00C73BB3">
            <w:pPr>
              <w:widowControl w:val="0"/>
              <w:snapToGrid w:val="0"/>
              <w:spacing w:line="360" w:lineRule="auto"/>
              <w:rPr>
                <w:rFonts w:ascii="Book Antiqua" w:hAnsi="Book Antiqua" w:cs="Times New Roman"/>
                <w:sz w:val="24"/>
                <w:szCs w:val="24"/>
              </w:rPr>
            </w:pPr>
            <w:r w:rsidRPr="00A25920">
              <w:rPr>
                <w:rFonts w:ascii="Book Antiqua" w:hAnsi="Book Antiqua" w:cs="Times New Roman"/>
                <w:sz w:val="24"/>
                <w:szCs w:val="24"/>
              </w:rPr>
              <w:t>HbsAg</w:t>
            </w:r>
          </w:p>
        </w:tc>
        <w:tc>
          <w:tcPr>
            <w:tcW w:w="1559"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p>
        </w:tc>
        <w:tc>
          <w:tcPr>
            <w:tcW w:w="1560"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p>
        </w:tc>
        <w:tc>
          <w:tcPr>
            <w:tcW w:w="859"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p>
        </w:tc>
        <w:tc>
          <w:tcPr>
            <w:tcW w:w="1550"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p>
        </w:tc>
        <w:tc>
          <w:tcPr>
            <w:tcW w:w="1701"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p>
        </w:tc>
        <w:tc>
          <w:tcPr>
            <w:tcW w:w="933" w:type="dxa"/>
          </w:tcPr>
          <w:p w:rsidR="00C73BB3" w:rsidRPr="00A25920" w:rsidRDefault="00C73BB3" w:rsidP="009366E8">
            <w:pPr>
              <w:widowControl w:val="0"/>
              <w:snapToGrid w:val="0"/>
              <w:spacing w:line="360" w:lineRule="auto"/>
              <w:jc w:val="center"/>
              <w:rPr>
                <w:rFonts w:ascii="Book Antiqua" w:hAnsi="Book Antiqua" w:cs="Times New Roman"/>
                <w:sz w:val="24"/>
                <w:szCs w:val="24"/>
              </w:rPr>
            </w:pPr>
          </w:p>
        </w:tc>
      </w:tr>
      <w:tr w:rsidR="00A25920" w:rsidRPr="00A25920" w:rsidTr="009366E8">
        <w:trPr>
          <w:trHeight w:val="182"/>
        </w:trPr>
        <w:tc>
          <w:tcPr>
            <w:tcW w:w="1951" w:type="dxa"/>
          </w:tcPr>
          <w:p w:rsidR="00C73BB3" w:rsidRPr="00A25920" w:rsidRDefault="00C73BB3" w:rsidP="00C73BB3">
            <w:pPr>
              <w:widowControl w:val="0"/>
              <w:snapToGrid w:val="0"/>
              <w:spacing w:line="360" w:lineRule="auto"/>
              <w:ind w:firstLineChars="100" w:firstLine="240"/>
              <w:rPr>
                <w:rFonts w:ascii="Book Antiqua" w:hAnsi="Book Antiqua" w:cs="Times New Roman"/>
                <w:sz w:val="24"/>
                <w:szCs w:val="24"/>
              </w:rPr>
            </w:pPr>
            <w:r w:rsidRPr="00A25920">
              <w:rPr>
                <w:rFonts w:ascii="Book Antiqua" w:hAnsi="Book Antiqua" w:cs="Times New Roman"/>
                <w:sz w:val="24"/>
                <w:szCs w:val="24"/>
              </w:rPr>
              <w:t>Negative</w:t>
            </w:r>
          </w:p>
        </w:tc>
        <w:tc>
          <w:tcPr>
            <w:tcW w:w="1559"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10</w:t>
            </w:r>
          </w:p>
        </w:tc>
        <w:tc>
          <w:tcPr>
            <w:tcW w:w="1560"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10</w:t>
            </w:r>
          </w:p>
        </w:tc>
        <w:tc>
          <w:tcPr>
            <w:tcW w:w="859"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0.734</w:t>
            </w:r>
          </w:p>
        </w:tc>
        <w:tc>
          <w:tcPr>
            <w:tcW w:w="1550"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11</w:t>
            </w:r>
          </w:p>
        </w:tc>
        <w:tc>
          <w:tcPr>
            <w:tcW w:w="1701"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9</w:t>
            </w:r>
          </w:p>
        </w:tc>
        <w:tc>
          <w:tcPr>
            <w:tcW w:w="933" w:type="dxa"/>
          </w:tcPr>
          <w:p w:rsidR="00C73BB3" w:rsidRPr="00A25920" w:rsidRDefault="00C73BB3" w:rsidP="009366E8">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0.420</w:t>
            </w:r>
          </w:p>
        </w:tc>
      </w:tr>
      <w:tr w:rsidR="00A25920" w:rsidRPr="00A25920" w:rsidTr="009366E8">
        <w:trPr>
          <w:trHeight w:val="182"/>
        </w:trPr>
        <w:tc>
          <w:tcPr>
            <w:tcW w:w="1951" w:type="dxa"/>
          </w:tcPr>
          <w:p w:rsidR="00C73BB3" w:rsidRPr="00A25920" w:rsidRDefault="00C73BB3" w:rsidP="00C73BB3">
            <w:pPr>
              <w:widowControl w:val="0"/>
              <w:snapToGrid w:val="0"/>
              <w:spacing w:line="360" w:lineRule="auto"/>
              <w:ind w:firstLineChars="100" w:firstLine="240"/>
              <w:rPr>
                <w:rFonts w:ascii="Book Antiqua" w:hAnsi="Book Antiqua" w:cs="Times New Roman"/>
                <w:sz w:val="24"/>
                <w:szCs w:val="24"/>
              </w:rPr>
            </w:pPr>
            <w:r w:rsidRPr="00A25920">
              <w:rPr>
                <w:rFonts w:ascii="Book Antiqua" w:hAnsi="Book Antiqua" w:cs="Times New Roman"/>
                <w:sz w:val="24"/>
                <w:szCs w:val="24"/>
              </w:rPr>
              <w:t>Positive</w:t>
            </w:r>
          </w:p>
        </w:tc>
        <w:tc>
          <w:tcPr>
            <w:tcW w:w="1559"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52</w:t>
            </w:r>
          </w:p>
        </w:tc>
        <w:tc>
          <w:tcPr>
            <w:tcW w:w="1560"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44</w:t>
            </w:r>
          </w:p>
        </w:tc>
        <w:tc>
          <w:tcPr>
            <w:tcW w:w="859"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p>
        </w:tc>
        <w:tc>
          <w:tcPr>
            <w:tcW w:w="1550"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62</w:t>
            </w:r>
          </w:p>
        </w:tc>
        <w:tc>
          <w:tcPr>
            <w:tcW w:w="1701"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34</w:t>
            </w:r>
          </w:p>
        </w:tc>
        <w:tc>
          <w:tcPr>
            <w:tcW w:w="933" w:type="dxa"/>
          </w:tcPr>
          <w:p w:rsidR="00C73BB3" w:rsidRPr="00A25920" w:rsidRDefault="00C73BB3" w:rsidP="009366E8">
            <w:pPr>
              <w:widowControl w:val="0"/>
              <w:snapToGrid w:val="0"/>
              <w:spacing w:line="360" w:lineRule="auto"/>
              <w:jc w:val="center"/>
              <w:rPr>
                <w:rFonts w:ascii="Book Antiqua" w:hAnsi="Book Antiqua" w:cs="Times New Roman"/>
                <w:sz w:val="24"/>
                <w:szCs w:val="24"/>
              </w:rPr>
            </w:pPr>
          </w:p>
        </w:tc>
      </w:tr>
      <w:tr w:rsidR="00A25920" w:rsidRPr="00A25920" w:rsidTr="009366E8">
        <w:trPr>
          <w:trHeight w:val="182"/>
        </w:trPr>
        <w:tc>
          <w:tcPr>
            <w:tcW w:w="1951" w:type="dxa"/>
          </w:tcPr>
          <w:p w:rsidR="00C73BB3" w:rsidRPr="00A25920" w:rsidRDefault="00C73BB3" w:rsidP="00C73BB3">
            <w:pPr>
              <w:widowControl w:val="0"/>
              <w:snapToGrid w:val="0"/>
              <w:spacing w:line="360" w:lineRule="auto"/>
              <w:rPr>
                <w:rFonts w:ascii="Book Antiqua" w:hAnsi="Book Antiqua" w:cs="Times New Roman"/>
                <w:sz w:val="24"/>
                <w:szCs w:val="24"/>
              </w:rPr>
            </w:pPr>
            <w:r w:rsidRPr="00A25920">
              <w:rPr>
                <w:rFonts w:ascii="Book Antiqua" w:hAnsi="Book Antiqua" w:cs="Times New Roman"/>
                <w:sz w:val="24"/>
                <w:szCs w:val="24"/>
              </w:rPr>
              <w:t>Liver cirrhosis</w:t>
            </w:r>
          </w:p>
        </w:tc>
        <w:tc>
          <w:tcPr>
            <w:tcW w:w="1559"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p>
        </w:tc>
        <w:tc>
          <w:tcPr>
            <w:tcW w:w="1560"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p>
        </w:tc>
        <w:tc>
          <w:tcPr>
            <w:tcW w:w="859"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p>
        </w:tc>
        <w:tc>
          <w:tcPr>
            <w:tcW w:w="1550"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p>
        </w:tc>
        <w:tc>
          <w:tcPr>
            <w:tcW w:w="1701"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p>
        </w:tc>
        <w:tc>
          <w:tcPr>
            <w:tcW w:w="933" w:type="dxa"/>
          </w:tcPr>
          <w:p w:rsidR="00C73BB3" w:rsidRPr="00A25920" w:rsidRDefault="00C73BB3" w:rsidP="009366E8">
            <w:pPr>
              <w:widowControl w:val="0"/>
              <w:snapToGrid w:val="0"/>
              <w:spacing w:line="360" w:lineRule="auto"/>
              <w:jc w:val="center"/>
              <w:rPr>
                <w:rFonts w:ascii="Book Antiqua" w:hAnsi="Book Antiqua" w:cs="Times New Roman"/>
                <w:sz w:val="24"/>
                <w:szCs w:val="24"/>
              </w:rPr>
            </w:pPr>
          </w:p>
        </w:tc>
      </w:tr>
      <w:tr w:rsidR="00A25920" w:rsidRPr="00A25920" w:rsidTr="009366E8">
        <w:trPr>
          <w:trHeight w:val="182"/>
        </w:trPr>
        <w:tc>
          <w:tcPr>
            <w:tcW w:w="1951" w:type="dxa"/>
          </w:tcPr>
          <w:p w:rsidR="00C73BB3" w:rsidRPr="00A25920" w:rsidRDefault="00C73BB3" w:rsidP="00C73BB3">
            <w:pPr>
              <w:widowControl w:val="0"/>
              <w:snapToGrid w:val="0"/>
              <w:spacing w:line="360" w:lineRule="auto"/>
              <w:ind w:firstLineChars="100" w:firstLine="240"/>
              <w:rPr>
                <w:rFonts w:ascii="Book Antiqua" w:hAnsi="Book Antiqua" w:cs="Times New Roman"/>
                <w:sz w:val="24"/>
                <w:szCs w:val="24"/>
              </w:rPr>
            </w:pPr>
            <w:r w:rsidRPr="00A25920">
              <w:rPr>
                <w:rFonts w:ascii="Book Antiqua" w:hAnsi="Book Antiqua" w:cs="Times New Roman"/>
                <w:sz w:val="24"/>
                <w:szCs w:val="24"/>
              </w:rPr>
              <w:t>No</w:t>
            </w:r>
          </w:p>
        </w:tc>
        <w:tc>
          <w:tcPr>
            <w:tcW w:w="1559"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10</w:t>
            </w:r>
          </w:p>
        </w:tc>
        <w:tc>
          <w:tcPr>
            <w:tcW w:w="1560"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10</w:t>
            </w:r>
          </w:p>
        </w:tc>
        <w:tc>
          <w:tcPr>
            <w:tcW w:w="859"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0.734</w:t>
            </w:r>
          </w:p>
        </w:tc>
        <w:tc>
          <w:tcPr>
            <w:tcW w:w="1550"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14</w:t>
            </w:r>
          </w:p>
        </w:tc>
        <w:tc>
          <w:tcPr>
            <w:tcW w:w="1701"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6</w:t>
            </w:r>
          </w:p>
        </w:tc>
        <w:tc>
          <w:tcPr>
            <w:tcW w:w="933" w:type="dxa"/>
          </w:tcPr>
          <w:p w:rsidR="00C73BB3" w:rsidRPr="00A25920" w:rsidRDefault="00C73BB3" w:rsidP="009366E8">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0.472</w:t>
            </w:r>
          </w:p>
        </w:tc>
      </w:tr>
      <w:tr w:rsidR="00A25920" w:rsidRPr="00A25920" w:rsidTr="009366E8">
        <w:trPr>
          <w:trHeight w:val="182"/>
        </w:trPr>
        <w:tc>
          <w:tcPr>
            <w:tcW w:w="1951" w:type="dxa"/>
          </w:tcPr>
          <w:p w:rsidR="00C73BB3" w:rsidRPr="00A25920" w:rsidRDefault="00C73BB3" w:rsidP="00C73BB3">
            <w:pPr>
              <w:widowControl w:val="0"/>
              <w:snapToGrid w:val="0"/>
              <w:spacing w:line="360" w:lineRule="auto"/>
              <w:ind w:firstLineChars="100" w:firstLine="240"/>
              <w:rPr>
                <w:rFonts w:ascii="Book Antiqua" w:hAnsi="Book Antiqua" w:cs="Times New Roman"/>
                <w:sz w:val="24"/>
                <w:szCs w:val="24"/>
              </w:rPr>
            </w:pPr>
            <w:r w:rsidRPr="00A25920">
              <w:rPr>
                <w:rFonts w:ascii="Book Antiqua" w:hAnsi="Book Antiqua" w:cs="Times New Roman"/>
                <w:sz w:val="24"/>
                <w:szCs w:val="24"/>
              </w:rPr>
              <w:t>Yes</w:t>
            </w:r>
          </w:p>
        </w:tc>
        <w:tc>
          <w:tcPr>
            <w:tcW w:w="1559"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52</w:t>
            </w:r>
          </w:p>
        </w:tc>
        <w:tc>
          <w:tcPr>
            <w:tcW w:w="1560"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44</w:t>
            </w:r>
          </w:p>
        </w:tc>
        <w:tc>
          <w:tcPr>
            <w:tcW w:w="859"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p>
        </w:tc>
        <w:tc>
          <w:tcPr>
            <w:tcW w:w="1550"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59</w:t>
            </w:r>
          </w:p>
        </w:tc>
        <w:tc>
          <w:tcPr>
            <w:tcW w:w="1701"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37</w:t>
            </w:r>
          </w:p>
        </w:tc>
        <w:tc>
          <w:tcPr>
            <w:tcW w:w="933" w:type="dxa"/>
          </w:tcPr>
          <w:p w:rsidR="00C73BB3" w:rsidRPr="00A25920" w:rsidRDefault="00C73BB3" w:rsidP="009366E8">
            <w:pPr>
              <w:widowControl w:val="0"/>
              <w:snapToGrid w:val="0"/>
              <w:spacing w:line="360" w:lineRule="auto"/>
              <w:jc w:val="center"/>
              <w:rPr>
                <w:rFonts w:ascii="Book Antiqua" w:hAnsi="Book Antiqua" w:cs="Times New Roman"/>
                <w:sz w:val="24"/>
                <w:szCs w:val="24"/>
              </w:rPr>
            </w:pPr>
          </w:p>
        </w:tc>
      </w:tr>
      <w:tr w:rsidR="00A25920" w:rsidRPr="00A25920" w:rsidTr="009366E8">
        <w:trPr>
          <w:trHeight w:val="182"/>
        </w:trPr>
        <w:tc>
          <w:tcPr>
            <w:tcW w:w="1951" w:type="dxa"/>
          </w:tcPr>
          <w:p w:rsidR="00C73BB3" w:rsidRPr="00A25920" w:rsidRDefault="00C73BB3" w:rsidP="00C73BB3">
            <w:pPr>
              <w:widowControl w:val="0"/>
              <w:snapToGrid w:val="0"/>
              <w:spacing w:line="360" w:lineRule="auto"/>
              <w:rPr>
                <w:rFonts w:ascii="Book Antiqua" w:hAnsi="Book Antiqua" w:cs="Times New Roman"/>
                <w:sz w:val="24"/>
                <w:szCs w:val="24"/>
              </w:rPr>
            </w:pPr>
            <w:r w:rsidRPr="00A25920">
              <w:rPr>
                <w:rFonts w:ascii="Book Antiqua" w:hAnsi="Book Antiqua" w:cs="Times New Roman"/>
                <w:sz w:val="24"/>
                <w:szCs w:val="24"/>
              </w:rPr>
              <w:t>AFP</w:t>
            </w:r>
            <w:r w:rsidRPr="00A25920">
              <w:rPr>
                <w:rFonts w:ascii="Book Antiqua" w:hAnsi="Book Antiqua" w:cs="Times New Roman" w:hint="eastAsia"/>
                <w:sz w:val="24"/>
                <w:szCs w:val="24"/>
              </w:rPr>
              <w:t xml:space="preserve"> (</w:t>
            </w:r>
            <w:r w:rsidRPr="00A25920">
              <w:rPr>
                <w:rFonts w:ascii="Book Antiqua" w:hAnsi="Book Antiqua" w:cs="Times New Roman"/>
                <w:sz w:val="24"/>
                <w:szCs w:val="24"/>
              </w:rPr>
              <w:t>ng/mL</w:t>
            </w:r>
            <w:r w:rsidRPr="00A25920">
              <w:rPr>
                <w:rFonts w:ascii="Book Antiqua" w:hAnsi="Book Antiqua" w:cs="Times New Roman" w:hint="eastAsia"/>
                <w:sz w:val="24"/>
                <w:szCs w:val="24"/>
              </w:rPr>
              <w:t>)</w:t>
            </w:r>
          </w:p>
        </w:tc>
        <w:tc>
          <w:tcPr>
            <w:tcW w:w="1559"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p>
        </w:tc>
        <w:tc>
          <w:tcPr>
            <w:tcW w:w="1560"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p>
        </w:tc>
        <w:tc>
          <w:tcPr>
            <w:tcW w:w="859"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p>
        </w:tc>
        <w:tc>
          <w:tcPr>
            <w:tcW w:w="1550"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p>
        </w:tc>
        <w:tc>
          <w:tcPr>
            <w:tcW w:w="1701"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p>
        </w:tc>
        <w:tc>
          <w:tcPr>
            <w:tcW w:w="933" w:type="dxa"/>
          </w:tcPr>
          <w:p w:rsidR="00C73BB3" w:rsidRPr="00A25920" w:rsidRDefault="00C73BB3" w:rsidP="009366E8">
            <w:pPr>
              <w:widowControl w:val="0"/>
              <w:snapToGrid w:val="0"/>
              <w:spacing w:line="360" w:lineRule="auto"/>
              <w:jc w:val="center"/>
              <w:rPr>
                <w:rFonts w:ascii="Book Antiqua" w:hAnsi="Book Antiqua" w:cs="Times New Roman"/>
                <w:sz w:val="24"/>
                <w:szCs w:val="24"/>
              </w:rPr>
            </w:pPr>
          </w:p>
        </w:tc>
      </w:tr>
      <w:tr w:rsidR="00A25920" w:rsidRPr="00A25920" w:rsidTr="009366E8">
        <w:trPr>
          <w:trHeight w:val="129"/>
        </w:trPr>
        <w:tc>
          <w:tcPr>
            <w:tcW w:w="1951" w:type="dxa"/>
          </w:tcPr>
          <w:p w:rsidR="00C73BB3" w:rsidRPr="00A25920" w:rsidRDefault="00C73BB3" w:rsidP="00C73BB3">
            <w:pPr>
              <w:widowControl w:val="0"/>
              <w:snapToGrid w:val="0"/>
              <w:spacing w:line="360" w:lineRule="auto"/>
              <w:ind w:firstLineChars="100" w:firstLine="240"/>
              <w:rPr>
                <w:rFonts w:ascii="Book Antiqua" w:hAnsi="Book Antiqua" w:cs="Times New Roman"/>
                <w:sz w:val="24"/>
                <w:szCs w:val="24"/>
              </w:rPr>
            </w:pPr>
            <w:r w:rsidRPr="00A25920">
              <w:rPr>
                <w:rFonts w:ascii="Book Antiqua" w:hAnsi="Book Antiqua" w:cs="Times New Roman"/>
                <w:sz w:val="24"/>
                <w:szCs w:val="24"/>
              </w:rPr>
              <w:t>&lt;</w:t>
            </w:r>
            <w:r w:rsidRPr="00A25920">
              <w:rPr>
                <w:rFonts w:ascii="Book Antiqua" w:hAnsi="Book Antiqua" w:cs="Times New Roman" w:hint="eastAsia"/>
                <w:sz w:val="24"/>
                <w:szCs w:val="24"/>
              </w:rPr>
              <w:t xml:space="preserve"> </w:t>
            </w:r>
            <w:r w:rsidRPr="00A25920">
              <w:rPr>
                <w:rFonts w:ascii="Book Antiqua" w:hAnsi="Book Antiqua" w:cs="Times New Roman"/>
                <w:sz w:val="24"/>
                <w:szCs w:val="24"/>
              </w:rPr>
              <w:t>400</w:t>
            </w:r>
          </w:p>
        </w:tc>
        <w:tc>
          <w:tcPr>
            <w:tcW w:w="1559"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41</w:t>
            </w:r>
          </w:p>
        </w:tc>
        <w:tc>
          <w:tcPr>
            <w:tcW w:w="1560"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44</w:t>
            </w:r>
          </w:p>
        </w:tc>
        <w:tc>
          <w:tcPr>
            <w:tcW w:w="859"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0.062</w:t>
            </w:r>
          </w:p>
        </w:tc>
        <w:tc>
          <w:tcPr>
            <w:tcW w:w="1550"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56</w:t>
            </w:r>
          </w:p>
        </w:tc>
        <w:tc>
          <w:tcPr>
            <w:tcW w:w="1701"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29</w:t>
            </w:r>
          </w:p>
        </w:tc>
        <w:tc>
          <w:tcPr>
            <w:tcW w:w="933" w:type="dxa"/>
          </w:tcPr>
          <w:p w:rsidR="00C73BB3" w:rsidRPr="00A25920" w:rsidRDefault="00C73BB3" w:rsidP="009366E8">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0.276</w:t>
            </w:r>
          </w:p>
        </w:tc>
      </w:tr>
      <w:tr w:rsidR="00A25920" w:rsidRPr="00A25920" w:rsidTr="009366E8">
        <w:trPr>
          <w:trHeight w:val="182"/>
        </w:trPr>
        <w:tc>
          <w:tcPr>
            <w:tcW w:w="1951" w:type="dxa"/>
          </w:tcPr>
          <w:p w:rsidR="00C73BB3" w:rsidRPr="00A25920" w:rsidRDefault="00C73BB3" w:rsidP="00C73BB3">
            <w:pPr>
              <w:widowControl w:val="0"/>
              <w:snapToGrid w:val="0"/>
              <w:spacing w:line="360" w:lineRule="auto"/>
              <w:ind w:firstLineChars="100" w:firstLine="240"/>
              <w:rPr>
                <w:rFonts w:ascii="Book Antiqua" w:hAnsi="Book Antiqua" w:cs="Times New Roman"/>
                <w:sz w:val="24"/>
                <w:szCs w:val="24"/>
              </w:rPr>
            </w:pPr>
            <w:r w:rsidRPr="00A25920">
              <w:rPr>
                <w:rFonts w:ascii="Book Antiqua" w:hAnsi="Book Antiqua" w:cs="Times New Roman"/>
                <w:sz w:val="24"/>
                <w:szCs w:val="24"/>
              </w:rPr>
              <w:t>≥</w:t>
            </w:r>
            <w:r w:rsidRPr="00A25920">
              <w:rPr>
                <w:rFonts w:ascii="Book Antiqua" w:hAnsi="Book Antiqua" w:cs="Times New Roman" w:hint="eastAsia"/>
                <w:sz w:val="24"/>
                <w:szCs w:val="24"/>
              </w:rPr>
              <w:t xml:space="preserve"> </w:t>
            </w:r>
            <w:r w:rsidRPr="00A25920">
              <w:rPr>
                <w:rFonts w:ascii="Book Antiqua" w:hAnsi="Book Antiqua" w:cs="Times New Roman"/>
                <w:sz w:val="24"/>
                <w:szCs w:val="24"/>
              </w:rPr>
              <w:t>400</w:t>
            </w:r>
          </w:p>
        </w:tc>
        <w:tc>
          <w:tcPr>
            <w:tcW w:w="1559"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21</w:t>
            </w:r>
          </w:p>
        </w:tc>
        <w:tc>
          <w:tcPr>
            <w:tcW w:w="1560"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10</w:t>
            </w:r>
          </w:p>
        </w:tc>
        <w:tc>
          <w:tcPr>
            <w:tcW w:w="859"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p>
        </w:tc>
        <w:tc>
          <w:tcPr>
            <w:tcW w:w="1550"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17</w:t>
            </w:r>
          </w:p>
        </w:tc>
        <w:tc>
          <w:tcPr>
            <w:tcW w:w="1701"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14</w:t>
            </w:r>
          </w:p>
        </w:tc>
        <w:tc>
          <w:tcPr>
            <w:tcW w:w="933" w:type="dxa"/>
          </w:tcPr>
          <w:p w:rsidR="00C73BB3" w:rsidRPr="00A25920" w:rsidRDefault="00C73BB3" w:rsidP="009366E8">
            <w:pPr>
              <w:widowControl w:val="0"/>
              <w:snapToGrid w:val="0"/>
              <w:spacing w:line="360" w:lineRule="auto"/>
              <w:jc w:val="center"/>
              <w:rPr>
                <w:rFonts w:ascii="Book Antiqua" w:hAnsi="Book Antiqua" w:cs="Times New Roman"/>
                <w:sz w:val="24"/>
                <w:szCs w:val="24"/>
              </w:rPr>
            </w:pPr>
          </w:p>
        </w:tc>
      </w:tr>
      <w:tr w:rsidR="00A25920" w:rsidRPr="00A25920" w:rsidTr="009366E8">
        <w:trPr>
          <w:trHeight w:val="182"/>
        </w:trPr>
        <w:tc>
          <w:tcPr>
            <w:tcW w:w="1951" w:type="dxa"/>
          </w:tcPr>
          <w:p w:rsidR="00C73BB3" w:rsidRPr="00A25920" w:rsidRDefault="00C73BB3" w:rsidP="00C73BB3">
            <w:pPr>
              <w:widowControl w:val="0"/>
              <w:snapToGrid w:val="0"/>
              <w:spacing w:line="360" w:lineRule="auto"/>
              <w:rPr>
                <w:rFonts w:ascii="Book Antiqua" w:hAnsi="Book Antiqua" w:cs="Times New Roman"/>
                <w:sz w:val="24"/>
                <w:szCs w:val="24"/>
              </w:rPr>
            </w:pPr>
            <w:r w:rsidRPr="00A25920">
              <w:rPr>
                <w:rFonts w:ascii="Book Antiqua" w:hAnsi="Book Antiqua" w:cs="Times New Roman"/>
                <w:sz w:val="24"/>
                <w:szCs w:val="24"/>
              </w:rPr>
              <w:t>Edmondson grade</w:t>
            </w:r>
          </w:p>
        </w:tc>
        <w:tc>
          <w:tcPr>
            <w:tcW w:w="1559"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p>
        </w:tc>
        <w:tc>
          <w:tcPr>
            <w:tcW w:w="1560"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p>
        </w:tc>
        <w:tc>
          <w:tcPr>
            <w:tcW w:w="859"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p>
        </w:tc>
        <w:tc>
          <w:tcPr>
            <w:tcW w:w="1550"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p>
        </w:tc>
        <w:tc>
          <w:tcPr>
            <w:tcW w:w="1701"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p>
        </w:tc>
        <w:tc>
          <w:tcPr>
            <w:tcW w:w="933" w:type="dxa"/>
          </w:tcPr>
          <w:p w:rsidR="00C73BB3" w:rsidRPr="00A25920" w:rsidRDefault="00C73BB3" w:rsidP="009366E8">
            <w:pPr>
              <w:widowControl w:val="0"/>
              <w:snapToGrid w:val="0"/>
              <w:spacing w:line="360" w:lineRule="auto"/>
              <w:jc w:val="center"/>
              <w:rPr>
                <w:rFonts w:ascii="Book Antiqua" w:hAnsi="Book Antiqua" w:cs="Times New Roman"/>
                <w:sz w:val="24"/>
                <w:szCs w:val="24"/>
              </w:rPr>
            </w:pPr>
          </w:p>
        </w:tc>
      </w:tr>
      <w:tr w:rsidR="00A25920" w:rsidRPr="00A25920" w:rsidTr="009366E8">
        <w:trPr>
          <w:trHeight w:val="129"/>
        </w:trPr>
        <w:tc>
          <w:tcPr>
            <w:tcW w:w="1951" w:type="dxa"/>
          </w:tcPr>
          <w:p w:rsidR="00C73BB3" w:rsidRPr="00A25920" w:rsidRDefault="00C73BB3" w:rsidP="00C73BB3">
            <w:pPr>
              <w:widowControl w:val="0"/>
              <w:snapToGrid w:val="0"/>
              <w:spacing w:line="360" w:lineRule="auto"/>
              <w:ind w:firstLineChars="100" w:firstLine="240"/>
              <w:rPr>
                <w:rFonts w:ascii="Book Antiqua" w:hAnsi="Book Antiqua" w:cs="Times New Roman"/>
                <w:sz w:val="24"/>
                <w:szCs w:val="24"/>
              </w:rPr>
            </w:pPr>
            <w:r w:rsidRPr="00A25920">
              <w:rPr>
                <w:rFonts w:ascii="Book Antiqua" w:hAnsi="Book Antiqua" w:cs="Times New Roman"/>
                <w:sz w:val="24"/>
                <w:szCs w:val="24"/>
              </w:rPr>
              <w:t>I-II</w:t>
            </w:r>
          </w:p>
        </w:tc>
        <w:tc>
          <w:tcPr>
            <w:tcW w:w="1559"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26</w:t>
            </w:r>
          </w:p>
        </w:tc>
        <w:tc>
          <w:tcPr>
            <w:tcW w:w="1560"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37</w:t>
            </w:r>
          </w:p>
        </w:tc>
        <w:tc>
          <w:tcPr>
            <w:tcW w:w="859"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0.004</w:t>
            </w:r>
          </w:p>
        </w:tc>
        <w:tc>
          <w:tcPr>
            <w:tcW w:w="1550"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46</w:t>
            </w:r>
          </w:p>
        </w:tc>
        <w:tc>
          <w:tcPr>
            <w:tcW w:w="1701"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17</w:t>
            </w:r>
          </w:p>
        </w:tc>
        <w:tc>
          <w:tcPr>
            <w:tcW w:w="933" w:type="dxa"/>
          </w:tcPr>
          <w:p w:rsidR="00C73BB3" w:rsidRPr="00A25920" w:rsidRDefault="00C73BB3" w:rsidP="009366E8">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0.014</w:t>
            </w:r>
          </w:p>
        </w:tc>
      </w:tr>
      <w:tr w:rsidR="00A25920" w:rsidRPr="00A25920" w:rsidTr="009366E8">
        <w:trPr>
          <w:trHeight w:val="182"/>
        </w:trPr>
        <w:tc>
          <w:tcPr>
            <w:tcW w:w="1951" w:type="dxa"/>
          </w:tcPr>
          <w:p w:rsidR="00C73BB3" w:rsidRPr="00A25920" w:rsidRDefault="00C73BB3" w:rsidP="00C73BB3">
            <w:pPr>
              <w:widowControl w:val="0"/>
              <w:snapToGrid w:val="0"/>
              <w:spacing w:line="360" w:lineRule="auto"/>
              <w:ind w:firstLineChars="100" w:firstLine="240"/>
              <w:rPr>
                <w:rFonts w:ascii="Book Antiqua" w:hAnsi="Book Antiqua" w:cs="Times New Roman"/>
                <w:sz w:val="24"/>
                <w:szCs w:val="24"/>
              </w:rPr>
            </w:pPr>
            <w:r w:rsidRPr="00A25920">
              <w:rPr>
                <w:rFonts w:ascii="Book Antiqua" w:hAnsi="Book Antiqua" w:cs="Times New Roman"/>
                <w:sz w:val="24"/>
                <w:szCs w:val="24"/>
              </w:rPr>
              <w:t>III–IV</w:t>
            </w:r>
          </w:p>
        </w:tc>
        <w:tc>
          <w:tcPr>
            <w:tcW w:w="1559"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36</w:t>
            </w:r>
          </w:p>
        </w:tc>
        <w:tc>
          <w:tcPr>
            <w:tcW w:w="1560"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17</w:t>
            </w:r>
          </w:p>
        </w:tc>
        <w:tc>
          <w:tcPr>
            <w:tcW w:w="859"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p>
        </w:tc>
        <w:tc>
          <w:tcPr>
            <w:tcW w:w="1550"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27</w:t>
            </w:r>
          </w:p>
        </w:tc>
        <w:tc>
          <w:tcPr>
            <w:tcW w:w="1701"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26</w:t>
            </w:r>
          </w:p>
        </w:tc>
        <w:tc>
          <w:tcPr>
            <w:tcW w:w="933" w:type="dxa"/>
          </w:tcPr>
          <w:p w:rsidR="00C73BB3" w:rsidRPr="00A25920" w:rsidRDefault="00C73BB3" w:rsidP="009366E8">
            <w:pPr>
              <w:widowControl w:val="0"/>
              <w:snapToGrid w:val="0"/>
              <w:spacing w:line="360" w:lineRule="auto"/>
              <w:jc w:val="center"/>
              <w:rPr>
                <w:rFonts w:ascii="Book Antiqua" w:hAnsi="Book Antiqua" w:cs="Times New Roman"/>
                <w:sz w:val="24"/>
                <w:szCs w:val="24"/>
              </w:rPr>
            </w:pPr>
          </w:p>
        </w:tc>
      </w:tr>
      <w:tr w:rsidR="00A25920" w:rsidRPr="00A25920" w:rsidTr="009366E8">
        <w:trPr>
          <w:trHeight w:val="182"/>
        </w:trPr>
        <w:tc>
          <w:tcPr>
            <w:tcW w:w="1951" w:type="dxa"/>
          </w:tcPr>
          <w:p w:rsidR="00C73BB3" w:rsidRPr="00A25920" w:rsidRDefault="00C73BB3" w:rsidP="00C73BB3">
            <w:pPr>
              <w:widowControl w:val="0"/>
              <w:snapToGrid w:val="0"/>
              <w:spacing w:line="360" w:lineRule="auto"/>
              <w:rPr>
                <w:rFonts w:ascii="Book Antiqua" w:hAnsi="Book Antiqua" w:cs="Times New Roman"/>
                <w:sz w:val="24"/>
                <w:szCs w:val="24"/>
              </w:rPr>
            </w:pPr>
            <w:r w:rsidRPr="00A25920">
              <w:rPr>
                <w:rFonts w:ascii="Book Antiqua" w:hAnsi="Book Antiqua" w:cs="Times New Roman"/>
                <w:sz w:val="24"/>
                <w:szCs w:val="24"/>
              </w:rPr>
              <w:t>Child-Pugh class</w:t>
            </w:r>
          </w:p>
        </w:tc>
        <w:tc>
          <w:tcPr>
            <w:tcW w:w="1559"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p>
        </w:tc>
        <w:tc>
          <w:tcPr>
            <w:tcW w:w="1560"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p>
        </w:tc>
        <w:tc>
          <w:tcPr>
            <w:tcW w:w="859"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p>
        </w:tc>
        <w:tc>
          <w:tcPr>
            <w:tcW w:w="1550"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p>
        </w:tc>
        <w:tc>
          <w:tcPr>
            <w:tcW w:w="1701"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p>
        </w:tc>
        <w:tc>
          <w:tcPr>
            <w:tcW w:w="933" w:type="dxa"/>
          </w:tcPr>
          <w:p w:rsidR="00C73BB3" w:rsidRPr="00A25920" w:rsidRDefault="00C73BB3" w:rsidP="009366E8">
            <w:pPr>
              <w:widowControl w:val="0"/>
              <w:snapToGrid w:val="0"/>
              <w:spacing w:line="360" w:lineRule="auto"/>
              <w:jc w:val="center"/>
              <w:rPr>
                <w:rFonts w:ascii="Book Antiqua" w:hAnsi="Book Antiqua" w:cs="Times New Roman"/>
                <w:sz w:val="24"/>
                <w:szCs w:val="24"/>
              </w:rPr>
            </w:pPr>
          </w:p>
        </w:tc>
      </w:tr>
      <w:tr w:rsidR="00A25920" w:rsidRPr="00A25920" w:rsidTr="009366E8">
        <w:trPr>
          <w:trHeight w:val="129"/>
        </w:trPr>
        <w:tc>
          <w:tcPr>
            <w:tcW w:w="1951" w:type="dxa"/>
          </w:tcPr>
          <w:p w:rsidR="00C73BB3" w:rsidRPr="00A25920" w:rsidRDefault="00C73BB3" w:rsidP="00C73BB3">
            <w:pPr>
              <w:widowControl w:val="0"/>
              <w:snapToGrid w:val="0"/>
              <w:spacing w:line="360" w:lineRule="auto"/>
              <w:ind w:firstLineChars="100" w:firstLine="240"/>
              <w:rPr>
                <w:rFonts w:ascii="Book Antiqua" w:hAnsi="Book Antiqua" w:cs="Times New Roman"/>
                <w:sz w:val="24"/>
                <w:szCs w:val="24"/>
              </w:rPr>
            </w:pPr>
            <w:r w:rsidRPr="00A25920">
              <w:rPr>
                <w:rFonts w:ascii="Book Antiqua" w:hAnsi="Book Antiqua" w:cs="Times New Roman"/>
                <w:sz w:val="24"/>
                <w:szCs w:val="24"/>
              </w:rPr>
              <w:t>A</w:t>
            </w:r>
          </w:p>
        </w:tc>
        <w:tc>
          <w:tcPr>
            <w:tcW w:w="1559"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43</w:t>
            </w:r>
          </w:p>
        </w:tc>
        <w:tc>
          <w:tcPr>
            <w:tcW w:w="1560"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48</w:t>
            </w:r>
          </w:p>
        </w:tc>
        <w:tc>
          <w:tcPr>
            <w:tcW w:w="859"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0.773</w:t>
            </w:r>
          </w:p>
        </w:tc>
        <w:tc>
          <w:tcPr>
            <w:tcW w:w="1550"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60</w:t>
            </w:r>
          </w:p>
        </w:tc>
        <w:tc>
          <w:tcPr>
            <w:tcW w:w="1701"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31</w:t>
            </w:r>
          </w:p>
        </w:tc>
        <w:tc>
          <w:tcPr>
            <w:tcW w:w="933" w:type="dxa"/>
          </w:tcPr>
          <w:p w:rsidR="00C73BB3" w:rsidRPr="00A25920" w:rsidRDefault="00C73BB3" w:rsidP="009366E8">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0.201</w:t>
            </w:r>
          </w:p>
        </w:tc>
      </w:tr>
      <w:tr w:rsidR="00A25920" w:rsidRPr="00A25920" w:rsidTr="009366E8">
        <w:trPr>
          <w:trHeight w:val="182"/>
        </w:trPr>
        <w:tc>
          <w:tcPr>
            <w:tcW w:w="1951" w:type="dxa"/>
          </w:tcPr>
          <w:p w:rsidR="00C73BB3" w:rsidRPr="00A25920" w:rsidRDefault="00C73BB3" w:rsidP="00C73BB3">
            <w:pPr>
              <w:widowControl w:val="0"/>
              <w:snapToGrid w:val="0"/>
              <w:spacing w:line="360" w:lineRule="auto"/>
              <w:ind w:firstLineChars="100" w:firstLine="240"/>
              <w:rPr>
                <w:rFonts w:ascii="Book Antiqua" w:hAnsi="Book Antiqua" w:cs="Times New Roman"/>
                <w:sz w:val="24"/>
                <w:szCs w:val="24"/>
              </w:rPr>
            </w:pPr>
            <w:r w:rsidRPr="00A25920">
              <w:rPr>
                <w:rFonts w:ascii="Book Antiqua" w:hAnsi="Book Antiqua" w:cs="Times New Roman"/>
                <w:sz w:val="24"/>
                <w:szCs w:val="24"/>
              </w:rPr>
              <w:t>B</w:t>
            </w:r>
          </w:p>
        </w:tc>
        <w:tc>
          <w:tcPr>
            <w:tcW w:w="1559"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11</w:t>
            </w:r>
          </w:p>
        </w:tc>
        <w:tc>
          <w:tcPr>
            <w:tcW w:w="1560"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14</w:t>
            </w:r>
          </w:p>
        </w:tc>
        <w:tc>
          <w:tcPr>
            <w:tcW w:w="859"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p>
        </w:tc>
        <w:tc>
          <w:tcPr>
            <w:tcW w:w="1550"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13</w:t>
            </w:r>
          </w:p>
        </w:tc>
        <w:tc>
          <w:tcPr>
            <w:tcW w:w="1701"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12</w:t>
            </w:r>
          </w:p>
        </w:tc>
        <w:tc>
          <w:tcPr>
            <w:tcW w:w="933" w:type="dxa"/>
          </w:tcPr>
          <w:p w:rsidR="00C73BB3" w:rsidRPr="00A25920" w:rsidRDefault="00C73BB3" w:rsidP="009366E8">
            <w:pPr>
              <w:widowControl w:val="0"/>
              <w:snapToGrid w:val="0"/>
              <w:spacing w:line="360" w:lineRule="auto"/>
              <w:jc w:val="center"/>
              <w:rPr>
                <w:rFonts w:ascii="Book Antiqua" w:hAnsi="Book Antiqua" w:cs="Times New Roman"/>
                <w:sz w:val="24"/>
                <w:szCs w:val="24"/>
              </w:rPr>
            </w:pPr>
          </w:p>
        </w:tc>
      </w:tr>
      <w:tr w:rsidR="00A25920" w:rsidRPr="00A25920" w:rsidTr="009366E8">
        <w:trPr>
          <w:trHeight w:val="182"/>
        </w:trPr>
        <w:tc>
          <w:tcPr>
            <w:tcW w:w="1951" w:type="dxa"/>
          </w:tcPr>
          <w:p w:rsidR="00C73BB3" w:rsidRPr="00A25920" w:rsidRDefault="00C73BB3" w:rsidP="00C73BB3">
            <w:pPr>
              <w:widowControl w:val="0"/>
              <w:snapToGrid w:val="0"/>
              <w:spacing w:line="360" w:lineRule="auto"/>
              <w:rPr>
                <w:rFonts w:ascii="Book Antiqua" w:hAnsi="Book Antiqua" w:cs="Times New Roman"/>
                <w:sz w:val="24"/>
                <w:szCs w:val="24"/>
              </w:rPr>
            </w:pPr>
            <w:r w:rsidRPr="00A25920">
              <w:rPr>
                <w:rFonts w:ascii="Book Antiqua" w:hAnsi="Book Antiqua" w:cs="Times New Roman"/>
                <w:sz w:val="24"/>
                <w:szCs w:val="24"/>
              </w:rPr>
              <w:t>Tumor capsule</w:t>
            </w:r>
          </w:p>
        </w:tc>
        <w:tc>
          <w:tcPr>
            <w:tcW w:w="1559"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p>
        </w:tc>
        <w:tc>
          <w:tcPr>
            <w:tcW w:w="1560"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p>
        </w:tc>
        <w:tc>
          <w:tcPr>
            <w:tcW w:w="859"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p>
        </w:tc>
        <w:tc>
          <w:tcPr>
            <w:tcW w:w="1550"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p>
        </w:tc>
        <w:tc>
          <w:tcPr>
            <w:tcW w:w="1701"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p>
        </w:tc>
        <w:tc>
          <w:tcPr>
            <w:tcW w:w="933" w:type="dxa"/>
          </w:tcPr>
          <w:p w:rsidR="00C73BB3" w:rsidRPr="00A25920" w:rsidRDefault="00C73BB3" w:rsidP="009366E8">
            <w:pPr>
              <w:widowControl w:val="0"/>
              <w:snapToGrid w:val="0"/>
              <w:spacing w:line="360" w:lineRule="auto"/>
              <w:jc w:val="center"/>
              <w:rPr>
                <w:rFonts w:ascii="Book Antiqua" w:hAnsi="Book Antiqua" w:cs="Times New Roman"/>
                <w:sz w:val="24"/>
                <w:szCs w:val="24"/>
              </w:rPr>
            </w:pPr>
          </w:p>
        </w:tc>
      </w:tr>
      <w:tr w:rsidR="00A25920" w:rsidRPr="00A25920" w:rsidTr="009366E8">
        <w:trPr>
          <w:trHeight w:val="129"/>
        </w:trPr>
        <w:tc>
          <w:tcPr>
            <w:tcW w:w="1951" w:type="dxa"/>
          </w:tcPr>
          <w:p w:rsidR="00C73BB3" w:rsidRPr="00A25920" w:rsidRDefault="00C73BB3" w:rsidP="00C73BB3">
            <w:pPr>
              <w:widowControl w:val="0"/>
              <w:snapToGrid w:val="0"/>
              <w:spacing w:line="360" w:lineRule="auto"/>
              <w:ind w:firstLineChars="100" w:firstLine="240"/>
              <w:rPr>
                <w:rFonts w:ascii="Book Antiqua" w:hAnsi="Book Antiqua" w:cs="Times New Roman"/>
                <w:sz w:val="24"/>
                <w:szCs w:val="24"/>
              </w:rPr>
            </w:pPr>
            <w:r w:rsidRPr="00A25920">
              <w:rPr>
                <w:rFonts w:ascii="Book Antiqua" w:hAnsi="Book Antiqua" w:cs="Times New Roman"/>
                <w:sz w:val="24"/>
                <w:szCs w:val="24"/>
              </w:rPr>
              <w:t>Complete</w:t>
            </w:r>
          </w:p>
        </w:tc>
        <w:tc>
          <w:tcPr>
            <w:tcW w:w="1559"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37</w:t>
            </w:r>
          </w:p>
        </w:tc>
        <w:tc>
          <w:tcPr>
            <w:tcW w:w="1560"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34</w:t>
            </w:r>
          </w:p>
        </w:tc>
        <w:tc>
          <w:tcPr>
            <w:tcW w:w="859"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0.717</w:t>
            </w:r>
          </w:p>
        </w:tc>
        <w:tc>
          <w:tcPr>
            <w:tcW w:w="1550"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44</w:t>
            </w:r>
          </w:p>
        </w:tc>
        <w:tc>
          <w:tcPr>
            <w:tcW w:w="1701"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27</w:t>
            </w:r>
          </w:p>
        </w:tc>
        <w:tc>
          <w:tcPr>
            <w:tcW w:w="933" w:type="dxa"/>
          </w:tcPr>
          <w:p w:rsidR="00C73BB3" w:rsidRPr="00A25920" w:rsidRDefault="00C73BB3" w:rsidP="009366E8">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0.788</w:t>
            </w:r>
          </w:p>
        </w:tc>
      </w:tr>
      <w:tr w:rsidR="00A25920" w:rsidRPr="00A25920" w:rsidTr="009366E8">
        <w:trPr>
          <w:trHeight w:val="182"/>
        </w:trPr>
        <w:tc>
          <w:tcPr>
            <w:tcW w:w="1951" w:type="dxa"/>
          </w:tcPr>
          <w:p w:rsidR="00C73BB3" w:rsidRPr="00A25920" w:rsidRDefault="00C73BB3" w:rsidP="00C73BB3">
            <w:pPr>
              <w:widowControl w:val="0"/>
              <w:snapToGrid w:val="0"/>
              <w:spacing w:line="360" w:lineRule="auto"/>
              <w:ind w:firstLineChars="100" w:firstLine="240"/>
              <w:rPr>
                <w:rFonts w:ascii="Book Antiqua" w:hAnsi="Book Antiqua" w:cs="Times New Roman"/>
                <w:sz w:val="24"/>
                <w:szCs w:val="24"/>
              </w:rPr>
            </w:pPr>
            <w:r w:rsidRPr="00A25920">
              <w:rPr>
                <w:rFonts w:ascii="Book Antiqua" w:hAnsi="Book Antiqua" w:cs="Times New Roman"/>
                <w:sz w:val="24"/>
                <w:szCs w:val="24"/>
              </w:rPr>
              <w:t>Incomplete</w:t>
            </w:r>
          </w:p>
        </w:tc>
        <w:tc>
          <w:tcPr>
            <w:tcW w:w="1559"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25</w:t>
            </w:r>
          </w:p>
        </w:tc>
        <w:tc>
          <w:tcPr>
            <w:tcW w:w="1560"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20</w:t>
            </w:r>
          </w:p>
        </w:tc>
        <w:tc>
          <w:tcPr>
            <w:tcW w:w="859"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p>
        </w:tc>
        <w:tc>
          <w:tcPr>
            <w:tcW w:w="1550"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29</w:t>
            </w:r>
          </w:p>
        </w:tc>
        <w:tc>
          <w:tcPr>
            <w:tcW w:w="1701"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16</w:t>
            </w:r>
          </w:p>
        </w:tc>
        <w:tc>
          <w:tcPr>
            <w:tcW w:w="933" w:type="dxa"/>
          </w:tcPr>
          <w:p w:rsidR="00C73BB3" w:rsidRPr="00A25920" w:rsidRDefault="00C73BB3" w:rsidP="009366E8">
            <w:pPr>
              <w:widowControl w:val="0"/>
              <w:snapToGrid w:val="0"/>
              <w:spacing w:line="360" w:lineRule="auto"/>
              <w:jc w:val="center"/>
              <w:rPr>
                <w:rFonts w:ascii="Book Antiqua" w:hAnsi="Book Antiqua" w:cs="Times New Roman"/>
                <w:sz w:val="24"/>
                <w:szCs w:val="24"/>
              </w:rPr>
            </w:pPr>
          </w:p>
        </w:tc>
      </w:tr>
      <w:tr w:rsidR="00A25920" w:rsidRPr="00A25920" w:rsidTr="009366E8">
        <w:trPr>
          <w:trHeight w:val="84"/>
        </w:trPr>
        <w:tc>
          <w:tcPr>
            <w:tcW w:w="1951" w:type="dxa"/>
          </w:tcPr>
          <w:p w:rsidR="00C73BB3" w:rsidRPr="00A25920" w:rsidRDefault="00C73BB3" w:rsidP="00C73BB3">
            <w:pPr>
              <w:widowControl w:val="0"/>
              <w:snapToGrid w:val="0"/>
              <w:spacing w:line="360" w:lineRule="auto"/>
              <w:rPr>
                <w:rFonts w:ascii="Book Antiqua" w:hAnsi="Book Antiqua" w:cs="Times New Roman"/>
                <w:sz w:val="24"/>
                <w:szCs w:val="24"/>
              </w:rPr>
            </w:pPr>
            <w:r w:rsidRPr="00A25920">
              <w:rPr>
                <w:rFonts w:ascii="Book Antiqua" w:eastAsia="AdvPTimes" w:hAnsi="Book Antiqua" w:cs="Times New Roman"/>
                <w:sz w:val="24"/>
                <w:szCs w:val="24"/>
              </w:rPr>
              <w:t>Tumor size</w:t>
            </w:r>
            <w:r w:rsidRPr="00A25920">
              <w:rPr>
                <w:rFonts w:ascii="Book Antiqua" w:hAnsi="Book Antiqua" w:cs="Times New Roman" w:hint="eastAsia"/>
                <w:sz w:val="24"/>
                <w:szCs w:val="24"/>
              </w:rPr>
              <w:t xml:space="preserve"> (</w:t>
            </w:r>
            <w:r w:rsidRPr="00A25920">
              <w:rPr>
                <w:rFonts w:ascii="Book Antiqua" w:eastAsia="AdvPTimes" w:hAnsi="Book Antiqua" w:cs="Times New Roman"/>
                <w:sz w:val="24"/>
                <w:szCs w:val="24"/>
              </w:rPr>
              <w:t>cm</w:t>
            </w:r>
            <w:r w:rsidRPr="00A25920">
              <w:rPr>
                <w:rFonts w:ascii="Book Antiqua" w:hAnsi="Book Antiqua" w:cs="Times New Roman" w:hint="eastAsia"/>
                <w:sz w:val="24"/>
                <w:szCs w:val="24"/>
              </w:rPr>
              <w:t>)</w:t>
            </w:r>
          </w:p>
        </w:tc>
        <w:tc>
          <w:tcPr>
            <w:tcW w:w="1559"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5.7</w:t>
            </w:r>
            <w:r w:rsidRPr="00A25920">
              <w:rPr>
                <w:rFonts w:ascii="Book Antiqua" w:hAnsi="Book Antiqua" w:cs="Times New Roman" w:hint="eastAsia"/>
                <w:sz w:val="24"/>
                <w:szCs w:val="24"/>
              </w:rPr>
              <w:t xml:space="preserve"> </w:t>
            </w:r>
            <w:r w:rsidRPr="00A25920">
              <w:rPr>
                <w:rFonts w:ascii="Book Antiqua" w:hAnsi="Book Antiqua" w:cs="Times New Roman"/>
                <w:sz w:val="24"/>
                <w:szCs w:val="24"/>
              </w:rPr>
              <w:t>(3-7)</w:t>
            </w:r>
          </w:p>
        </w:tc>
        <w:tc>
          <w:tcPr>
            <w:tcW w:w="1560"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6.6</w:t>
            </w:r>
            <w:r w:rsidRPr="00A25920">
              <w:rPr>
                <w:rFonts w:ascii="Book Antiqua" w:hAnsi="Book Antiqua" w:cs="Times New Roman" w:hint="eastAsia"/>
                <w:sz w:val="24"/>
                <w:szCs w:val="24"/>
              </w:rPr>
              <w:t xml:space="preserve"> </w:t>
            </w:r>
            <w:r w:rsidRPr="00A25920">
              <w:rPr>
                <w:rFonts w:ascii="Book Antiqua" w:hAnsi="Book Antiqua" w:cs="Times New Roman"/>
                <w:sz w:val="24"/>
                <w:szCs w:val="24"/>
              </w:rPr>
              <w:t>(4-8.6)</w:t>
            </w:r>
          </w:p>
        </w:tc>
        <w:tc>
          <w:tcPr>
            <w:tcW w:w="859"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0.134</w:t>
            </w:r>
          </w:p>
        </w:tc>
        <w:tc>
          <w:tcPr>
            <w:tcW w:w="1550"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5</w:t>
            </w:r>
            <w:r w:rsidRPr="00A25920">
              <w:rPr>
                <w:rFonts w:ascii="Book Antiqua" w:hAnsi="Book Antiqua" w:cs="Times New Roman" w:hint="eastAsia"/>
                <w:sz w:val="24"/>
                <w:szCs w:val="24"/>
              </w:rPr>
              <w:t xml:space="preserve"> </w:t>
            </w:r>
            <w:r w:rsidRPr="00A25920">
              <w:rPr>
                <w:rFonts w:ascii="Book Antiqua" w:hAnsi="Book Antiqua" w:cs="Times New Roman"/>
                <w:sz w:val="24"/>
                <w:szCs w:val="24"/>
              </w:rPr>
              <w:t>(3.5-7)</w:t>
            </w:r>
          </w:p>
        </w:tc>
        <w:tc>
          <w:tcPr>
            <w:tcW w:w="1701"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6</w:t>
            </w:r>
            <w:r w:rsidRPr="00A25920">
              <w:rPr>
                <w:rFonts w:ascii="Book Antiqua" w:hAnsi="Book Antiqua" w:cs="Times New Roman" w:hint="eastAsia"/>
                <w:sz w:val="24"/>
                <w:szCs w:val="24"/>
              </w:rPr>
              <w:t xml:space="preserve"> </w:t>
            </w:r>
            <w:r w:rsidRPr="00A25920">
              <w:rPr>
                <w:rFonts w:ascii="Book Antiqua" w:hAnsi="Book Antiqua" w:cs="Times New Roman"/>
                <w:sz w:val="24"/>
                <w:szCs w:val="24"/>
              </w:rPr>
              <w:t>(3.7-8.5)</w:t>
            </w:r>
          </w:p>
        </w:tc>
        <w:tc>
          <w:tcPr>
            <w:tcW w:w="933" w:type="dxa"/>
          </w:tcPr>
          <w:p w:rsidR="00C73BB3" w:rsidRPr="00A25920" w:rsidRDefault="00C73BB3" w:rsidP="009366E8">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0.207</w:t>
            </w:r>
          </w:p>
        </w:tc>
      </w:tr>
      <w:tr w:rsidR="00A25920" w:rsidRPr="00A25920" w:rsidTr="009366E8">
        <w:trPr>
          <w:trHeight w:val="84"/>
        </w:trPr>
        <w:tc>
          <w:tcPr>
            <w:tcW w:w="1951" w:type="dxa"/>
          </w:tcPr>
          <w:p w:rsidR="00C73BB3" w:rsidRPr="00A25920" w:rsidRDefault="00C73BB3" w:rsidP="00C73BB3">
            <w:pPr>
              <w:widowControl w:val="0"/>
              <w:snapToGrid w:val="0"/>
              <w:spacing w:line="360" w:lineRule="auto"/>
              <w:rPr>
                <w:rFonts w:ascii="Book Antiqua" w:hAnsi="Book Antiqua" w:cs="Times New Roman"/>
                <w:sz w:val="24"/>
                <w:szCs w:val="24"/>
              </w:rPr>
            </w:pPr>
            <w:r w:rsidRPr="00A25920">
              <w:rPr>
                <w:rFonts w:ascii="Book Antiqua" w:eastAsia="AdvPTimes" w:hAnsi="Book Antiqua" w:cs="Times New Roman"/>
                <w:sz w:val="24"/>
                <w:szCs w:val="24"/>
              </w:rPr>
              <w:t>Albumin</w:t>
            </w:r>
            <w:r w:rsidRPr="00A25920">
              <w:rPr>
                <w:rFonts w:ascii="Book Antiqua" w:hAnsi="Book Antiqua" w:cs="Times New Roman" w:hint="eastAsia"/>
                <w:sz w:val="24"/>
                <w:szCs w:val="24"/>
              </w:rPr>
              <w:t xml:space="preserve"> (</w:t>
            </w:r>
            <w:r w:rsidRPr="00A25920">
              <w:rPr>
                <w:rFonts w:ascii="Book Antiqua" w:eastAsia="AdvPTimes" w:hAnsi="Book Antiqua" w:cs="Times New Roman"/>
                <w:sz w:val="24"/>
                <w:szCs w:val="24"/>
              </w:rPr>
              <w:t>g/L</w:t>
            </w:r>
            <w:r w:rsidRPr="00A25920">
              <w:rPr>
                <w:rFonts w:ascii="Book Antiqua" w:hAnsi="Book Antiqua" w:cs="Times New Roman" w:hint="eastAsia"/>
                <w:sz w:val="24"/>
                <w:szCs w:val="24"/>
              </w:rPr>
              <w:t>)</w:t>
            </w:r>
          </w:p>
        </w:tc>
        <w:tc>
          <w:tcPr>
            <w:tcW w:w="1559"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41.1</w:t>
            </w:r>
            <w:r w:rsidRPr="00A25920">
              <w:rPr>
                <w:rFonts w:ascii="Book Antiqua" w:hAnsi="Book Antiqua" w:cs="Times New Roman" w:hint="eastAsia"/>
                <w:sz w:val="24"/>
                <w:szCs w:val="24"/>
              </w:rPr>
              <w:t xml:space="preserve"> </w:t>
            </w:r>
            <w:r w:rsidRPr="00A25920">
              <w:rPr>
                <w:rFonts w:ascii="Book Antiqua" w:hAnsi="Book Antiqua" w:cs="Times New Roman"/>
                <w:sz w:val="24"/>
                <w:szCs w:val="24"/>
              </w:rPr>
              <w:t>±</w:t>
            </w:r>
            <w:r w:rsidRPr="00A25920">
              <w:rPr>
                <w:rFonts w:ascii="Book Antiqua" w:hAnsi="Book Antiqua" w:cs="Times New Roman" w:hint="eastAsia"/>
                <w:sz w:val="24"/>
                <w:szCs w:val="24"/>
              </w:rPr>
              <w:t xml:space="preserve"> </w:t>
            </w:r>
            <w:r w:rsidRPr="00A25920">
              <w:rPr>
                <w:rFonts w:ascii="Book Antiqua" w:hAnsi="Book Antiqua" w:cs="Times New Roman"/>
                <w:sz w:val="24"/>
                <w:szCs w:val="24"/>
              </w:rPr>
              <w:t>4.4</w:t>
            </w:r>
          </w:p>
        </w:tc>
        <w:tc>
          <w:tcPr>
            <w:tcW w:w="1560"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40.4</w:t>
            </w:r>
            <w:r w:rsidRPr="00A25920">
              <w:rPr>
                <w:rFonts w:ascii="Book Antiqua" w:hAnsi="Book Antiqua" w:cs="Times New Roman" w:hint="eastAsia"/>
                <w:sz w:val="24"/>
                <w:szCs w:val="24"/>
              </w:rPr>
              <w:t xml:space="preserve"> </w:t>
            </w:r>
            <w:r w:rsidRPr="00A25920">
              <w:rPr>
                <w:rFonts w:ascii="Book Antiqua" w:hAnsi="Book Antiqua" w:cs="Times New Roman"/>
                <w:sz w:val="24"/>
                <w:szCs w:val="24"/>
              </w:rPr>
              <w:t>±</w:t>
            </w:r>
            <w:r w:rsidRPr="00A25920">
              <w:rPr>
                <w:rFonts w:ascii="Book Antiqua" w:hAnsi="Book Antiqua" w:cs="Times New Roman" w:hint="eastAsia"/>
                <w:sz w:val="24"/>
                <w:szCs w:val="24"/>
              </w:rPr>
              <w:t xml:space="preserve"> </w:t>
            </w:r>
            <w:r w:rsidRPr="00A25920">
              <w:rPr>
                <w:rFonts w:ascii="Book Antiqua" w:hAnsi="Book Antiqua" w:cs="Times New Roman"/>
                <w:sz w:val="24"/>
                <w:szCs w:val="24"/>
              </w:rPr>
              <w:t>4.6</w:t>
            </w:r>
          </w:p>
        </w:tc>
        <w:tc>
          <w:tcPr>
            <w:tcW w:w="859"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0.434</w:t>
            </w:r>
          </w:p>
        </w:tc>
        <w:tc>
          <w:tcPr>
            <w:tcW w:w="1550"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41.5</w:t>
            </w:r>
            <w:r w:rsidRPr="00A25920">
              <w:rPr>
                <w:rFonts w:ascii="Book Antiqua" w:hAnsi="Book Antiqua" w:cs="Times New Roman" w:hint="eastAsia"/>
                <w:sz w:val="24"/>
                <w:szCs w:val="24"/>
              </w:rPr>
              <w:t xml:space="preserve"> </w:t>
            </w:r>
            <w:r w:rsidRPr="00A25920">
              <w:rPr>
                <w:rFonts w:ascii="Book Antiqua" w:hAnsi="Book Antiqua" w:cs="Times New Roman"/>
                <w:sz w:val="24"/>
                <w:szCs w:val="24"/>
              </w:rPr>
              <w:t>±</w:t>
            </w:r>
            <w:r w:rsidRPr="00A25920">
              <w:rPr>
                <w:rFonts w:ascii="Book Antiqua" w:hAnsi="Book Antiqua" w:cs="Times New Roman" w:hint="eastAsia"/>
                <w:sz w:val="24"/>
                <w:szCs w:val="24"/>
              </w:rPr>
              <w:t xml:space="preserve"> </w:t>
            </w:r>
            <w:r w:rsidRPr="00A25920">
              <w:rPr>
                <w:rFonts w:ascii="Book Antiqua" w:hAnsi="Book Antiqua" w:cs="Times New Roman"/>
                <w:sz w:val="24"/>
                <w:szCs w:val="24"/>
              </w:rPr>
              <w:t>4.3</w:t>
            </w:r>
          </w:p>
        </w:tc>
        <w:tc>
          <w:tcPr>
            <w:tcW w:w="1701"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40.2</w:t>
            </w:r>
            <w:r w:rsidRPr="00A25920">
              <w:rPr>
                <w:rFonts w:ascii="Book Antiqua" w:hAnsi="Book Antiqua" w:cs="Times New Roman" w:hint="eastAsia"/>
                <w:sz w:val="24"/>
                <w:szCs w:val="24"/>
              </w:rPr>
              <w:t xml:space="preserve"> </w:t>
            </w:r>
            <w:r w:rsidRPr="00A25920">
              <w:rPr>
                <w:rFonts w:ascii="Book Antiqua" w:hAnsi="Book Antiqua" w:cs="Times New Roman"/>
                <w:sz w:val="24"/>
                <w:szCs w:val="24"/>
              </w:rPr>
              <w:t>±</w:t>
            </w:r>
            <w:r w:rsidRPr="00A25920">
              <w:rPr>
                <w:rFonts w:ascii="Book Antiqua" w:hAnsi="Book Antiqua" w:cs="Times New Roman" w:hint="eastAsia"/>
                <w:sz w:val="24"/>
                <w:szCs w:val="24"/>
              </w:rPr>
              <w:t xml:space="preserve"> </w:t>
            </w:r>
            <w:r w:rsidRPr="00A25920">
              <w:rPr>
                <w:rFonts w:ascii="Book Antiqua" w:hAnsi="Book Antiqua" w:cs="Times New Roman"/>
                <w:sz w:val="24"/>
                <w:szCs w:val="24"/>
              </w:rPr>
              <w:t>4.5</w:t>
            </w:r>
          </w:p>
        </w:tc>
        <w:tc>
          <w:tcPr>
            <w:tcW w:w="933"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0.134</w:t>
            </w:r>
          </w:p>
        </w:tc>
      </w:tr>
      <w:tr w:rsidR="00A25920" w:rsidRPr="00A25920" w:rsidTr="009366E8">
        <w:trPr>
          <w:trHeight w:val="84"/>
        </w:trPr>
        <w:tc>
          <w:tcPr>
            <w:tcW w:w="1951" w:type="dxa"/>
          </w:tcPr>
          <w:p w:rsidR="00C73BB3" w:rsidRPr="00A25920" w:rsidRDefault="00C73BB3" w:rsidP="00C73BB3">
            <w:pPr>
              <w:widowControl w:val="0"/>
              <w:snapToGrid w:val="0"/>
              <w:spacing w:line="360" w:lineRule="auto"/>
              <w:rPr>
                <w:rFonts w:ascii="Book Antiqua" w:hAnsi="Book Antiqua" w:cs="Times New Roman"/>
                <w:sz w:val="24"/>
                <w:szCs w:val="24"/>
              </w:rPr>
            </w:pPr>
            <w:r w:rsidRPr="00A25920">
              <w:rPr>
                <w:rFonts w:ascii="Book Antiqua" w:eastAsia="AdvPTimes" w:hAnsi="Book Antiqua" w:cs="Times New Roman"/>
                <w:sz w:val="24"/>
                <w:szCs w:val="24"/>
              </w:rPr>
              <w:lastRenderedPageBreak/>
              <w:t>Platele</w:t>
            </w:r>
            <w:r w:rsidRPr="00A25920">
              <w:rPr>
                <w:rFonts w:ascii="Book Antiqua" w:hAnsi="Book Antiqua" w:cs="Times New Roman" w:hint="eastAsia"/>
                <w:sz w:val="24"/>
                <w:szCs w:val="24"/>
              </w:rPr>
              <w:t xml:space="preserve"> </w:t>
            </w:r>
            <w:r w:rsidRPr="00A25920">
              <w:rPr>
                <w:rFonts w:ascii="Book Antiqua" w:eastAsia="AdvPTimes" w:hAnsi="Book Antiqua" w:cs="Times New Roman"/>
                <w:sz w:val="24"/>
                <w:szCs w:val="24"/>
              </w:rPr>
              <w:t>count</w:t>
            </w:r>
            <w:r w:rsidRPr="00A25920">
              <w:rPr>
                <w:rFonts w:ascii="Book Antiqua" w:hAnsi="Book Antiqua" w:cs="Times New Roman" w:hint="eastAsia"/>
                <w:sz w:val="24"/>
                <w:szCs w:val="24"/>
              </w:rPr>
              <w:t xml:space="preserve"> (</w:t>
            </w:r>
            <w:r w:rsidRPr="00A25920">
              <w:rPr>
                <w:rFonts w:ascii="Book Antiqua" w:eastAsia="AdvPTimes" w:hAnsi="Book Antiqua" w:cs="Times New Roman"/>
                <w:sz w:val="24"/>
                <w:szCs w:val="24"/>
              </w:rPr>
              <w:t>10</w:t>
            </w:r>
            <w:r w:rsidRPr="00A25920">
              <w:rPr>
                <w:rFonts w:ascii="Book Antiqua" w:eastAsia="AdvPTimes" w:hAnsi="Book Antiqua" w:cs="Times New Roman"/>
                <w:sz w:val="24"/>
                <w:szCs w:val="24"/>
                <w:vertAlign w:val="superscript"/>
              </w:rPr>
              <w:t>9</w:t>
            </w:r>
            <w:r w:rsidRPr="00A25920">
              <w:rPr>
                <w:rFonts w:ascii="Book Antiqua" w:eastAsia="AdvPTimes" w:hAnsi="Book Antiqua" w:cs="Times New Roman"/>
                <w:sz w:val="24"/>
                <w:szCs w:val="24"/>
              </w:rPr>
              <w:t>/L</w:t>
            </w:r>
            <w:r w:rsidRPr="00A25920">
              <w:rPr>
                <w:rFonts w:ascii="Book Antiqua" w:hAnsi="Book Antiqua" w:cs="Times New Roman" w:hint="eastAsia"/>
                <w:sz w:val="24"/>
                <w:szCs w:val="24"/>
              </w:rPr>
              <w:t>)</w:t>
            </w:r>
          </w:p>
        </w:tc>
        <w:tc>
          <w:tcPr>
            <w:tcW w:w="1559"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167.9</w:t>
            </w:r>
            <w:r w:rsidRPr="00A25920">
              <w:rPr>
                <w:rFonts w:ascii="Book Antiqua" w:hAnsi="Book Antiqua" w:cs="Times New Roman" w:hint="eastAsia"/>
                <w:sz w:val="24"/>
                <w:szCs w:val="24"/>
              </w:rPr>
              <w:t xml:space="preserve"> </w:t>
            </w:r>
            <w:r w:rsidRPr="00A25920">
              <w:rPr>
                <w:rFonts w:ascii="Book Antiqua" w:hAnsi="Book Antiqua" w:cs="Times New Roman"/>
                <w:sz w:val="24"/>
                <w:szCs w:val="24"/>
              </w:rPr>
              <w:t>(107.3-205.3</w:t>
            </w:r>
          </w:p>
        </w:tc>
        <w:tc>
          <w:tcPr>
            <w:tcW w:w="1560"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186.6</w:t>
            </w:r>
            <w:r w:rsidRPr="00A25920">
              <w:rPr>
                <w:rFonts w:ascii="Book Antiqua" w:hAnsi="Book Antiqua" w:cs="Times New Roman" w:hint="eastAsia"/>
                <w:sz w:val="24"/>
                <w:szCs w:val="24"/>
              </w:rPr>
              <w:t xml:space="preserve"> </w:t>
            </w:r>
            <w:r w:rsidRPr="00A25920">
              <w:rPr>
                <w:rFonts w:ascii="Book Antiqua" w:hAnsi="Book Antiqua" w:cs="Times New Roman"/>
                <w:sz w:val="24"/>
                <w:szCs w:val="24"/>
              </w:rPr>
              <w:t>(136.3-230)</w:t>
            </w:r>
          </w:p>
        </w:tc>
        <w:tc>
          <w:tcPr>
            <w:tcW w:w="859"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0.136</w:t>
            </w:r>
          </w:p>
        </w:tc>
        <w:tc>
          <w:tcPr>
            <w:tcW w:w="1550"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178.9</w:t>
            </w:r>
            <w:r w:rsidRPr="00A25920">
              <w:rPr>
                <w:rFonts w:ascii="Book Antiqua" w:hAnsi="Book Antiqua" w:cs="Times New Roman" w:hint="eastAsia"/>
                <w:sz w:val="24"/>
                <w:szCs w:val="24"/>
              </w:rPr>
              <w:t xml:space="preserve"> </w:t>
            </w:r>
            <w:r w:rsidRPr="00A25920">
              <w:rPr>
                <w:rFonts w:ascii="Book Antiqua" w:hAnsi="Book Antiqua" w:cs="Times New Roman"/>
                <w:sz w:val="24"/>
                <w:szCs w:val="24"/>
              </w:rPr>
              <w:t>(107.3-205.3</w:t>
            </w:r>
          </w:p>
        </w:tc>
        <w:tc>
          <w:tcPr>
            <w:tcW w:w="1701"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186.6</w:t>
            </w:r>
            <w:r w:rsidRPr="00A25920">
              <w:rPr>
                <w:rFonts w:ascii="Book Antiqua" w:hAnsi="Book Antiqua" w:cs="Times New Roman" w:hint="eastAsia"/>
                <w:sz w:val="24"/>
                <w:szCs w:val="24"/>
              </w:rPr>
              <w:t xml:space="preserve"> </w:t>
            </w:r>
            <w:r w:rsidRPr="00A25920">
              <w:rPr>
                <w:rFonts w:ascii="Book Antiqua" w:hAnsi="Book Antiqua" w:cs="Times New Roman"/>
                <w:sz w:val="24"/>
                <w:szCs w:val="24"/>
              </w:rPr>
              <w:t>(136.3-230)</w:t>
            </w:r>
          </w:p>
        </w:tc>
        <w:tc>
          <w:tcPr>
            <w:tcW w:w="933"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0.833</w:t>
            </w:r>
          </w:p>
        </w:tc>
      </w:tr>
      <w:tr w:rsidR="00A25920" w:rsidRPr="00A25920" w:rsidTr="009366E8">
        <w:trPr>
          <w:trHeight w:val="84"/>
        </w:trPr>
        <w:tc>
          <w:tcPr>
            <w:tcW w:w="1951" w:type="dxa"/>
          </w:tcPr>
          <w:p w:rsidR="00C73BB3" w:rsidRPr="00A25920" w:rsidRDefault="00C73BB3" w:rsidP="00C73BB3">
            <w:pPr>
              <w:widowControl w:val="0"/>
              <w:snapToGrid w:val="0"/>
              <w:spacing w:line="360" w:lineRule="auto"/>
              <w:rPr>
                <w:rFonts w:ascii="Book Antiqua" w:hAnsi="Book Antiqua" w:cs="Times New Roman"/>
                <w:sz w:val="24"/>
                <w:szCs w:val="24"/>
              </w:rPr>
            </w:pPr>
            <w:r w:rsidRPr="00A25920">
              <w:rPr>
                <w:rFonts w:ascii="Book Antiqua" w:eastAsia="AdvPTimes" w:hAnsi="Book Antiqua" w:cs="Times New Roman"/>
                <w:sz w:val="24"/>
                <w:szCs w:val="24"/>
              </w:rPr>
              <w:t>AST</w:t>
            </w:r>
            <w:r w:rsidRPr="00A25920">
              <w:rPr>
                <w:rFonts w:ascii="Book Antiqua" w:hAnsi="Book Antiqua" w:cs="Times New Roman" w:hint="eastAsia"/>
                <w:sz w:val="24"/>
                <w:szCs w:val="24"/>
              </w:rPr>
              <w:t xml:space="preserve"> (</w:t>
            </w:r>
            <w:r w:rsidRPr="00A25920">
              <w:rPr>
                <w:rFonts w:ascii="Book Antiqua" w:eastAsia="AdvPTimes" w:hAnsi="Book Antiqua" w:cs="Times New Roman"/>
                <w:sz w:val="24"/>
                <w:szCs w:val="24"/>
              </w:rPr>
              <w:t>U/L</w:t>
            </w:r>
            <w:r w:rsidRPr="00A25920">
              <w:rPr>
                <w:rFonts w:ascii="Book Antiqua" w:hAnsi="Book Antiqua" w:cs="Times New Roman" w:hint="eastAsia"/>
                <w:sz w:val="24"/>
                <w:szCs w:val="24"/>
              </w:rPr>
              <w:t>)</w:t>
            </w:r>
          </w:p>
        </w:tc>
        <w:tc>
          <w:tcPr>
            <w:tcW w:w="1559"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56.6</w:t>
            </w:r>
            <w:r w:rsidRPr="00A25920">
              <w:rPr>
                <w:rFonts w:ascii="Book Antiqua" w:hAnsi="Book Antiqua" w:cs="Times New Roman" w:hint="eastAsia"/>
                <w:sz w:val="24"/>
                <w:szCs w:val="24"/>
              </w:rPr>
              <w:t xml:space="preserve"> </w:t>
            </w:r>
            <w:r w:rsidRPr="00A25920">
              <w:rPr>
                <w:rFonts w:ascii="Book Antiqua" w:hAnsi="Book Antiqua" w:cs="Times New Roman"/>
                <w:sz w:val="24"/>
                <w:szCs w:val="24"/>
              </w:rPr>
              <w:t>(28.3-61)</w:t>
            </w:r>
          </w:p>
        </w:tc>
        <w:tc>
          <w:tcPr>
            <w:tcW w:w="1560"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55.6</w:t>
            </w:r>
            <w:r w:rsidRPr="00A25920">
              <w:rPr>
                <w:rFonts w:ascii="Book Antiqua" w:hAnsi="Book Antiqua" w:cs="Times New Roman" w:hint="eastAsia"/>
                <w:sz w:val="24"/>
                <w:szCs w:val="24"/>
              </w:rPr>
              <w:t xml:space="preserve"> </w:t>
            </w:r>
            <w:r w:rsidRPr="00A25920">
              <w:rPr>
                <w:rFonts w:ascii="Book Antiqua" w:hAnsi="Book Antiqua" w:cs="Times New Roman"/>
                <w:sz w:val="24"/>
                <w:szCs w:val="24"/>
              </w:rPr>
              <w:t>(27-60)</w:t>
            </w:r>
          </w:p>
        </w:tc>
        <w:tc>
          <w:tcPr>
            <w:tcW w:w="859"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0.924</w:t>
            </w:r>
          </w:p>
        </w:tc>
        <w:tc>
          <w:tcPr>
            <w:tcW w:w="1550"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38</w:t>
            </w:r>
            <w:r w:rsidRPr="00A25920">
              <w:rPr>
                <w:rFonts w:ascii="Book Antiqua" w:hAnsi="Book Antiqua" w:cs="Times New Roman" w:hint="eastAsia"/>
                <w:sz w:val="24"/>
                <w:szCs w:val="24"/>
              </w:rPr>
              <w:t xml:space="preserve"> </w:t>
            </w:r>
            <w:r w:rsidRPr="00A25920">
              <w:rPr>
                <w:rFonts w:ascii="Book Antiqua" w:hAnsi="Book Antiqua" w:cs="Times New Roman"/>
                <w:sz w:val="24"/>
                <w:szCs w:val="24"/>
              </w:rPr>
              <w:t>(27-60)</w:t>
            </w:r>
          </w:p>
        </w:tc>
        <w:tc>
          <w:tcPr>
            <w:tcW w:w="1701"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44</w:t>
            </w:r>
            <w:r w:rsidRPr="00A25920">
              <w:rPr>
                <w:rFonts w:ascii="Book Antiqua" w:hAnsi="Book Antiqua" w:cs="Times New Roman" w:hint="eastAsia"/>
                <w:sz w:val="24"/>
                <w:szCs w:val="24"/>
              </w:rPr>
              <w:t xml:space="preserve"> </w:t>
            </w:r>
            <w:r w:rsidRPr="00A25920">
              <w:rPr>
                <w:rFonts w:ascii="Book Antiqua" w:hAnsi="Book Antiqua" w:cs="Times New Roman"/>
                <w:sz w:val="24"/>
                <w:szCs w:val="24"/>
              </w:rPr>
              <w:t>(30.5-61.5)</w:t>
            </w:r>
          </w:p>
        </w:tc>
        <w:tc>
          <w:tcPr>
            <w:tcW w:w="933"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0.737</w:t>
            </w:r>
          </w:p>
        </w:tc>
      </w:tr>
      <w:tr w:rsidR="00A25920" w:rsidRPr="00A25920" w:rsidTr="009366E8">
        <w:trPr>
          <w:trHeight w:val="84"/>
        </w:trPr>
        <w:tc>
          <w:tcPr>
            <w:tcW w:w="1951" w:type="dxa"/>
          </w:tcPr>
          <w:p w:rsidR="00C73BB3" w:rsidRPr="00A25920" w:rsidRDefault="00C73BB3" w:rsidP="00C73BB3">
            <w:pPr>
              <w:widowControl w:val="0"/>
              <w:snapToGrid w:val="0"/>
              <w:spacing w:line="360" w:lineRule="auto"/>
              <w:rPr>
                <w:rFonts w:ascii="Book Antiqua" w:hAnsi="Book Antiqua" w:cs="Times New Roman"/>
                <w:sz w:val="24"/>
                <w:szCs w:val="24"/>
              </w:rPr>
            </w:pPr>
            <w:r w:rsidRPr="00A25920">
              <w:rPr>
                <w:rFonts w:ascii="Book Antiqua" w:eastAsia="AdvPTimes" w:hAnsi="Book Antiqua" w:cs="Times New Roman"/>
                <w:sz w:val="24"/>
                <w:szCs w:val="24"/>
              </w:rPr>
              <w:t>ALT</w:t>
            </w:r>
            <w:r w:rsidRPr="00A25920">
              <w:rPr>
                <w:rFonts w:ascii="Book Antiqua" w:hAnsi="Book Antiqua" w:cs="Times New Roman" w:hint="eastAsia"/>
                <w:sz w:val="24"/>
                <w:szCs w:val="24"/>
              </w:rPr>
              <w:t xml:space="preserve"> (</w:t>
            </w:r>
            <w:r w:rsidRPr="00A25920">
              <w:rPr>
                <w:rFonts w:ascii="Book Antiqua" w:eastAsia="AdvPTimes" w:hAnsi="Book Antiqua" w:cs="Times New Roman"/>
                <w:sz w:val="24"/>
                <w:szCs w:val="24"/>
              </w:rPr>
              <w:t>U/L</w:t>
            </w:r>
            <w:r w:rsidRPr="00A25920">
              <w:rPr>
                <w:rFonts w:ascii="Book Antiqua" w:hAnsi="Book Antiqua" w:cs="Times New Roman" w:hint="eastAsia"/>
                <w:sz w:val="24"/>
                <w:szCs w:val="24"/>
              </w:rPr>
              <w:t>)</w:t>
            </w:r>
          </w:p>
        </w:tc>
        <w:tc>
          <w:tcPr>
            <w:tcW w:w="1559"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54.8</w:t>
            </w:r>
            <w:r w:rsidRPr="00A25920">
              <w:rPr>
                <w:rFonts w:ascii="Book Antiqua" w:hAnsi="Book Antiqua" w:cs="Times New Roman" w:hint="eastAsia"/>
                <w:sz w:val="24"/>
                <w:szCs w:val="24"/>
              </w:rPr>
              <w:t xml:space="preserve"> </w:t>
            </w:r>
            <w:r w:rsidRPr="00A25920">
              <w:rPr>
                <w:rFonts w:ascii="Book Antiqua" w:hAnsi="Book Antiqua" w:cs="Times New Roman"/>
                <w:sz w:val="24"/>
                <w:szCs w:val="24"/>
              </w:rPr>
              <w:t>(28-56)</w:t>
            </w:r>
          </w:p>
        </w:tc>
        <w:tc>
          <w:tcPr>
            <w:tcW w:w="1560"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62.7</w:t>
            </w:r>
            <w:r w:rsidRPr="00A25920">
              <w:rPr>
                <w:rFonts w:ascii="Book Antiqua" w:hAnsi="Book Antiqua" w:cs="Times New Roman" w:hint="eastAsia"/>
                <w:sz w:val="24"/>
                <w:szCs w:val="24"/>
              </w:rPr>
              <w:t xml:space="preserve"> </w:t>
            </w:r>
            <w:r w:rsidRPr="00A25920">
              <w:rPr>
                <w:rFonts w:ascii="Book Antiqua" w:hAnsi="Book Antiqua" w:cs="Times New Roman"/>
                <w:sz w:val="24"/>
                <w:szCs w:val="24"/>
              </w:rPr>
              <w:t>(24.8-57.9)</w:t>
            </w:r>
          </w:p>
        </w:tc>
        <w:tc>
          <w:tcPr>
            <w:tcW w:w="859"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0.539</w:t>
            </w:r>
          </w:p>
        </w:tc>
        <w:tc>
          <w:tcPr>
            <w:tcW w:w="1550"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37(27-56)</w:t>
            </w:r>
          </w:p>
        </w:tc>
        <w:tc>
          <w:tcPr>
            <w:tcW w:w="1701"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38(27-55)</w:t>
            </w:r>
          </w:p>
        </w:tc>
        <w:tc>
          <w:tcPr>
            <w:tcW w:w="933"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0.917</w:t>
            </w:r>
          </w:p>
        </w:tc>
      </w:tr>
      <w:tr w:rsidR="00A25920" w:rsidRPr="00A25920" w:rsidTr="009366E8">
        <w:trPr>
          <w:trHeight w:val="795"/>
        </w:trPr>
        <w:tc>
          <w:tcPr>
            <w:tcW w:w="1951" w:type="dxa"/>
          </w:tcPr>
          <w:p w:rsidR="00C73BB3" w:rsidRPr="00A25920" w:rsidRDefault="00C73BB3" w:rsidP="00C73BB3">
            <w:pPr>
              <w:widowControl w:val="0"/>
              <w:snapToGrid w:val="0"/>
              <w:spacing w:line="360" w:lineRule="auto"/>
              <w:rPr>
                <w:rFonts w:ascii="Book Antiqua" w:hAnsi="Book Antiqua" w:cs="Times New Roman"/>
                <w:sz w:val="24"/>
                <w:szCs w:val="24"/>
              </w:rPr>
            </w:pPr>
            <w:r w:rsidRPr="00A25920">
              <w:rPr>
                <w:rFonts w:ascii="Book Antiqua" w:eastAsia="AdvPTimes" w:hAnsi="Book Antiqua" w:cs="Times New Roman"/>
                <w:sz w:val="24"/>
                <w:szCs w:val="24"/>
              </w:rPr>
              <w:t>Total</w:t>
            </w:r>
            <w:r w:rsidRPr="00A25920">
              <w:rPr>
                <w:rFonts w:ascii="Book Antiqua" w:hAnsi="Book Antiqua" w:cs="Times New Roman"/>
                <w:sz w:val="24"/>
                <w:szCs w:val="24"/>
              </w:rPr>
              <w:t xml:space="preserve"> </w:t>
            </w:r>
            <w:r w:rsidRPr="00A25920">
              <w:rPr>
                <w:rFonts w:ascii="Book Antiqua" w:eastAsia="AdvPTimes" w:hAnsi="Book Antiqua" w:cs="Times New Roman"/>
                <w:sz w:val="24"/>
                <w:szCs w:val="24"/>
              </w:rPr>
              <w:t>bilirubin</w:t>
            </w:r>
            <w:r w:rsidRPr="00A25920">
              <w:rPr>
                <w:rFonts w:ascii="Book Antiqua" w:hAnsi="Book Antiqua" w:cs="Times New Roman" w:hint="eastAsia"/>
                <w:sz w:val="24"/>
                <w:szCs w:val="24"/>
              </w:rPr>
              <w:t xml:space="preserve"> (</w:t>
            </w:r>
            <w:r w:rsidRPr="00A25920">
              <w:rPr>
                <w:rFonts w:ascii="Book Antiqua" w:eastAsia="AdvPTimes" w:hAnsi="Book Antiqua" w:cs="Times New Roman"/>
                <w:sz w:val="24"/>
                <w:szCs w:val="24"/>
              </w:rPr>
              <w:t>μmol/L</w:t>
            </w:r>
            <w:r w:rsidRPr="00A25920">
              <w:rPr>
                <w:rFonts w:ascii="Book Antiqua" w:hAnsi="Book Antiqua" w:cs="Times New Roman" w:hint="eastAsia"/>
                <w:sz w:val="24"/>
                <w:szCs w:val="24"/>
              </w:rPr>
              <w:t>)</w:t>
            </w:r>
          </w:p>
        </w:tc>
        <w:tc>
          <w:tcPr>
            <w:tcW w:w="1559"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14.08</w:t>
            </w:r>
            <w:r w:rsidRPr="00A25920">
              <w:rPr>
                <w:rFonts w:ascii="Book Antiqua" w:hAnsi="Book Antiqua" w:cs="Times New Roman" w:hint="eastAsia"/>
                <w:sz w:val="24"/>
                <w:szCs w:val="24"/>
              </w:rPr>
              <w:t xml:space="preserve"> </w:t>
            </w:r>
            <w:r w:rsidRPr="00A25920">
              <w:rPr>
                <w:rFonts w:ascii="Book Antiqua" w:hAnsi="Book Antiqua" w:cs="Times New Roman"/>
                <w:sz w:val="24"/>
                <w:szCs w:val="24"/>
              </w:rPr>
              <w:t>(8.9-18.4)</w:t>
            </w:r>
          </w:p>
        </w:tc>
        <w:tc>
          <w:tcPr>
            <w:tcW w:w="1560"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14.3</w:t>
            </w:r>
            <w:r w:rsidRPr="00A25920">
              <w:rPr>
                <w:rFonts w:ascii="Book Antiqua" w:hAnsi="Book Antiqua" w:cs="Times New Roman" w:hint="eastAsia"/>
                <w:sz w:val="24"/>
                <w:szCs w:val="24"/>
              </w:rPr>
              <w:t xml:space="preserve"> </w:t>
            </w:r>
            <w:r w:rsidRPr="00A25920">
              <w:rPr>
                <w:rFonts w:ascii="Book Antiqua" w:hAnsi="Book Antiqua" w:cs="Times New Roman"/>
                <w:sz w:val="24"/>
                <w:szCs w:val="24"/>
              </w:rPr>
              <w:t>(9.4-15.3)</w:t>
            </w:r>
          </w:p>
        </w:tc>
        <w:tc>
          <w:tcPr>
            <w:tcW w:w="859"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0.912</w:t>
            </w:r>
          </w:p>
        </w:tc>
        <w:tc>
          <w:tcPr>
            <w:tcW w:w="1550"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11.9(9.35-16.6)</w:t>
            </w:r>
          </w:p>
        </w:tc>
        <w:tc>
          <w:tcPr>
            <w:tcW w:w="1701"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13.4(9-17.7)</w:t>
            </w:r>
          </w:p>
        </w:tc>
        <w:tc>
          <w:tcPr>
            <w:tcW w:w="933" w:type="dxa"/>
          </w:tcPr>
          <w:p w:rsidR="00C73BB3" w:rsidRPr="00A25920" w:rsidRDefault="00C73BB3" w:rsidP="00C73BB3">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0.580</w:t>
            </w:r>
          </w:p>
        </w:tc>
      </w:tr>
    </w:tbl>
    <w:p w:rsidR="00FD0977" w:rsidRPr="00A25920" w:rsidRDefault="00FD0977" w:rsidP="00225036">
      <w:pPr>
        <w:widowControl w:val="0"/>
        <w:snapToGrid w:val="0"/>
        <w:spacing w:after="0" w:line="360" w:lineRule="auto"/>
        <w:jc w:val="both"/>
        <w:rPr>
          <w:rFonts w:ascii="Book Antiqua" w:hAnsi="Book Antiqua" w:cs="Times New Roman"/>
          <w:kern w:val="2"/>
          <w:sz w:val="24"/>
          <w:szCs w:val="24"/>
        </w:rPr>
      </w:pPr>
      <w:r w:rsidRPr="00A25920">
        <w:rPr>
          <w:rFonts w:ascii="Book Antiqua" w:hAnsi="Book Antiqua" w:cs="Times New Roman"/>
          <w:kern w:val="2"/>
          <w:sz w:val="24"/>
          <w:szCs w:val="24"/>
        </w:rPr>
        <w:t>AFP</w:t>
      </w:r>
      <w:r w:rsidR="00064236" w:rsidRPr="00A25920">
        <w:rPr>
          <w:rFonts w:ascii="Book Antiqua" w:hAnsi="Book Antiqua" w:cs="Times New Roman" w:hint="eastAsia"/>
          <w:kern w:val="2"/>
          <w:sz w:val="24"/>
          <w:szCs w:val="24"/>
        </w:rPr>
        <w:t xml:space="preserve">: </w:t>
      </w:r>
      <w:r w:rsidRPr="00A25920">
        <w:rPr>
          <w:rFonts w:ascii="Book Antiqua" w:hAnsi="Book Antiqua" w:cs="Times New Roman"/>
          <w:caps/>
          <w:kern w:val="2"/>
          <w:sz w:val="24"/>
          <w:szCs w:val="24"/>
        </w:rPr>
        <w:t>a</w:t>
      </w:r>
      <w:r w:rsidRPr="00A25920">
        <w:rPr>
          <w:rFonts w:ascii="Book Antiqua" w:hAnsi="Book Antiqua" w:cs="Times New Roman"/>
          <w:kern w:val="2"/>
          <w:sz w:val="24"/>
          <w:szCs w:val="24"/>
        </w:rPr>
        <w:t>lpha-fetoprotein; ALT</w:t>
      </w:r>
      <w:r w:rsidR="00064236" w:rsidRPr="00A25920">
        <w:rPr>
          <w:rFonts w:ascii="Book Antiqua" w:hAnsi="Book Antiqua" w:cs="Times New Roman" w:hint="eastAsia"/>
          <w:kern w:val="2"/>
          <w:sz w:val="24"/>
          <w:szCs w:val="24"/>
        </w:rPr>
        <w:t xml:space="preserve">: </w:t>
      </w:r>
      <w:r w:rsidRPr="00A25920">
        <w:rPr>
          <w:rFonts w:ascii="Book Antiqua" w:hAnsi="Book Antiqua" w:cs="Times New Roman"/>
          <w:caps/>
          <w:kern w:val="2"/>
          <w:sz w:val="24"/>
          <w:szCs w:val="24"/>
        </w:rPr>
        <w:t>a</w:t>
      </w:r>
      <w:r w:rsidRPr="00A25920">
        <w:rPr>
          <w:rFonts w:ascii="Book Antiqua" w:hAnsi="Book Antiqua" w:cs="Times New Roman"/>
          <w:kern w:val="2"/>
          <w:sz w:val="24"/>
          <w:szCs w:val="24"/>
        </w:rPr>
        <w:t>lanine aminotransferase; AST</w:t>
      </w:r>
      <w:r w:rsidR="00064236" w:rsidRPr="00A25920">
        <w:rPr>
          <w:rFonts w:ascii="Book Antiqua" w:hAnsi="Book Antiqua" w:cs="Times New Roman" w:hint="eastAsia"/>
          <w:kern w:val="2"/>
          <w:sz w:val="24"/>
          <w:szCs w:val="24"/>
        </w:rPr>
        <w:t xml:space="preserve">: </w:t>
      </w:r>
      <w:r w:rsidRPr="00A25920">
        <w:rPr>
          <w:rFonts w:ascii="Book Antiqua" w:hAnsi="Book Antiqua" w:cs="Times New Roman"/>
          <w:caps/>
          <w:kern w:val="2"/>
          <w:sz w:val="24"/>
          <w:szCs w:val="24"/>
        </w:rPr>
        <w:t>a</w:t>
      </w:r>
      <w:r w:rsidRPr="00A25920">
        <w:rPr>
          <w:rFonts w:ascii="Book Antiqua" w:hAnsi="Book Antiqua" w:cs="Times New Roman"/>
          <w:kern w:val="2"/>
          <w:sz w:val="24"/>
          <w:szCs w:val="24"/>
        </w:rPr>
        <w:t>spartate aminotransferase;</w:t>
      </w:r>
      <w:r w:rsidR="00064236" w:rsidRPr="00A25920">
        <w:rPr>
          <w:rFonts w:ascii="Book Antiqua" w:hAnsi="Book Antiqua" w:cs="Times New Roman" w:hint="eastAsia"/>
          <w:kern w:val="2"/>
          <w:sz w:val="24"/>
          <w:szCs w:val="24"/>
        </w:rPr>
        <w:t xml:space="preserve"> </w:t>
      </w:r>
      <w:r w:rsidRPr="00A25920">
        <w:rPr>
          <w:rFonts w:ascii="Book Antiqua" w:hAnsi="Book Antiqua" w:cs="Times New Roman"/>
          <w:kern w:val="2"/>
          <w:sz w:val="24"/>
          <w:szCs w:val="24"/>
        </w:rPr>
        <w:t>HBsAg</w:t>
      </w:r>
      <w:r w:rsidR="00064236" w:rsidRPr="00A25920">
        <w:rPr>
          <w:rFonts w:ascii="Book Antiqua" w:hAnsi="Book Antiqua" w:cs="Times New Roman" w:hint="eastAsia"/>
          <w:kern w:val="2"/>
          <w:sz w:val="24"/>
          <w:szCs w:val="24"/>
        </w:rPr>
        <w:t>:</w:t>
      </w:r>
      <w:r w:rsidR="009366E8" w:rsidRPr="00A25920">
        <w:rPr>
          <w:rFonts w:ascii="Book Antiqua" w:hAnsi="Book Antiqua" w:cs="Times New Roman" w:hint="eastAsia"/>
          <w:kern w:val="2"/>
          <w:sz w:val="24"/>
          <w:szCs w:val="24"/>
        </w:rPr>
        <w:t xml:space="preserve"> </w:t>
      </w:r>
      <w:r w:rsidRPr="00A25920">
        <w:rPr>
          <w:rFonts w:ascii="Book Antiqua" w:hAnsi="Book Antiqua" w:cs="Times New Roman"/>
          <w:caps/>
          <w:kern w:val="2"/>
          <w:sz w:val="24"/>
          <w:szCs w:val="24"/>
        </w:rPr>
        <w:t>h</w:t>
      </w:r>
      <w:r w:rsidRPr="00A25920">
        <w:rPr>
          <w:rFonts w:ascii="Book Antiqua" w:hAnsi="Book Antiqua" w:cs="Times New Roman"/>
          <w:kern w:val="2"/>
          <w:sz w:val="24"/>
          <w:szCs w:val="24"/>
        </w:rPr>
        <w:t>epatitis B surface antigen.</w:t>
      </w:r>
    </w:p>
    <w:p w:rsidR="00FD0977" w:rsidRPr="00A25920" w:rsidRDefault="00FD0977" w:rsidP="00225036">
      <w:pPr>
        <w:widowControl w:val="0"/>
        <w:snapToGrid w:val="0"/>
        <w:spacing w:after="0" w:line="360" w:lineRule="auto"/>
        <w:jc w:val="both"/>
        <w:rPr>
          <w:rFonts w:ascii="Book Antiqua" w:hAnsi="Book Antiqua" w:cs="Times New Roman"/>
          <w:kern w:val="2"/>
          <w:sz w:val="24"/>
          <w:szCs w:val="24"/>
        </w:rPr>
      </w:pPr>
    </w:p>
    <w:p w:rsidR="00E60998" w:rsidRPr="00A25920" w:rsidRDefault="00E60998">
      <w:pPr>
        <w:rPr>
          <w:rFonts w:ascii="Book Antiqua" w:hAnsi="Book Antiqua" w:cs="Times New Roman"/>
          <w:kern w:val="2"/>
          <w:sz w:val="24"/>
          <w:szCs w:val="24"/>
        </w:rPr>
      </w:pPr>
      <w:r w:rsidRPr="00A25920">
        <w:rPr>
          <w:rFonts w:ascii="Book Antiqua" w:hAnsi="Book Antiqua" w:cs="Times New Roman"/>
          <w:kern w:val="2"/>
          <w:sz w:val="24"/>
          <w:szCs w:val="24"/>
        </w:rPr>
        <w:br w:type="page"/>
      </w:r>
    </w:p>
    <w:p w:rsidR="00FD0977" w:rsidRPr="00A25920" w:rsidRDefault="00FD0977" w:rsidP="00225036">
      <w:pPr>
        <w:widowControl w:val="0"/>
        <w:snapToGrid w:val="0"/>
        <w:spacing w:after="0" w:line="360" w:lineRule="auto"/>
        <w:jc w:val="both"/>
        <w:rPr>
          <w:rFonts w:ascii="Book Antiqua" w:hAnsi="Book Antiqua"/>
          <w:kern w:val="2"/>
          <w:sz w:val="24"/>
          <w:szCs w:val="24"/>
        </w:rPr>
      </w:pPr>
      <w:r w:rsidRPr="00A25920">
        <w:rPr>
          <w:rFonts w:ascii="Book Antiqua" w:hAnsi="Book Antiqua" w:cs="Times New Roman"/>
          <w:b/>
          <w:kern w:val="2"/>
          <w:sz w:val="24"/>
          <w:szCs w:val="24"/>
        </w:rPr>
        <w:lastRenderedPageBreak/>
        <w:t>Table</w:t>
      </w:r>
      <w:r w:rsidR="00E60998" w:rsidRPr="00A25920">
        <w:rPr>
          <w:rFonts w:ascii="Book Antiqua" w:hAnsi="Book Antiqua" w:cs="Times New Roman" w:hint="eastAsia"/>
          <w:b/>
          <w:kern w:val="2"/>
          <w:sz w:val="24"/>
          <w:szCs w:val="24"/>
        </w:rPr>
        <w:t xml:space="preserve"> </w:t>
      </w:r>
      <w:r w:rsidRPr="00A25920">
        <w:rPr>
          <w:rFonts w:ascii="Book Antiqua" w:hAnsi="Book Antiqua" w:cs="Times New Roman"/>
          <w:b/>
          <w:kern w:val="2"/>
          <w:sz w:val="24"/>
          <w:szCs w:val="24"/>
        </w:rPr>
        <w:t>2</w:t>
      </w:r>
      <w:r w:rsidR="00E60998" w:rsidRPr="00A25920">
        <w:rPr>
          <w:rFonts w:ascii="Book Antiqua" w:hAnsi="Book Antiqua" w:cs="Times New Roman" w:hint="eastAsia"/>
          <w:kern w:val="2"/>
          <w:sz w:val="24"/>
          <w:szCs w:val="24"/>
        </w:rPr>
        <w:t xml:space="preserve"> </w:t>
      </w:r>
      <w:r w:rsidRPr="00A25920">
        <w:rPr>
          <w:rFonts w:ascii="Book Antiqua" w:hAnsi="Book Antiqua" w:cs="Times New Roman"/>
          <w:b/>
          <w:kern w:val="2"/>
          <w:sz w:val="24"/>
          <w:szCs w:val="24"/>
        </w:rPr>
        <w:t xml:space="preserve">Multivariable analysis to identify predictors of overall survival in 116 </w:t>
      </w:r>
      <w:r w:rsidR="00E60998" w:rsidRPr="00A25920">
        <w:rPr>
          <w:rFonts w:ascii="Book Antiqua" w:hAnsi="Book Antiqua" w:cs="Times New Roman"/>
          <w:b/>
          <w:kern w:val="2"/>
          <w:sz w:val="24"/>
          <w:szCs w:val="24"/>
        </w:rPr>
        <w:t>hepatocellular carcinoma</w:t>
      </w:r>
      <w:r w:rsidR="00E60998" w:rsidRPr="00A25920">
        <w:rPr>
          <w:rFonts w:ascii="Book Antiqua" w:hAnsi="Book Antiqua" w:cs="Times New Roman" w:hint="eastAsia"/>
          <w:b/>
          <w:kern w:val="2"/>
          <w:sz w:val="24"/>
          <w:szCs w:val="24"/>
        </w:rPr>
        <w:t xml:space="preserve"> </w:t>
      </w:r>
      <w:r w:rsidRPr="00A25920">
        <w:rPr>
          <w:rFonts w:ascii="Book Antiqua" w:hAnsi="Book Antiqua" w:cs="Times New Roman"/>
          <w:b/>
          <w:kern w:val="2"/>
          <w:sz w:val="24"/>
          <w:szCs w:val="24"/>
        </w:rPr>
        <w:t>patients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1701"/>
        <w:gridCol w:w="1843"/>
        <w:gridCol w:w="1893"/>
      </w:tblGrid>
      <w:tr w:rsidR="00A25920" w:rsidRPr="00A25920" w:rsidTr="00E60998">
        <w:trPr>
          <w:jc w:val="center"/>
        </w:trPr>
        <w:tc>
          <w:tcPr>
            <w:tcW w:w="3085" w:type="dxa"/>
            <w:tcBorders>
              <w:top w:val="single" w:sz="4" w:space="0" w:color="000000" w:themeColor="text1"/>
              <w:bottom w:val="single" w:sz="4" w:space="0" w:color="000000" w:themeColor="text1"/>
            </w:tcBorders>
          </w:tcPr>
          <w:p w:rsidR="00FD0977" w:rsidRPr="00A25920" w:rsidRDefault="00FD0977" w:rsidP="00E60998">
            <w:pPr>
              <w:widowControl w:val="0"/>
              <w:snapToGrid w:val="0"/>
              <w:spacing w:line="360" w:lineRule="auto"/>
              <w:rPr>
                <w:rFonts w:ascii="Book Antiqua" w:hAnsi="Book Antiqua" w:cs="Times New Roman"/>
                <w:b/>
                <w:sz w:val="24"/>
                <w:szCs w:val="24"/>
              </w:rPr>
            </w:pPr>
            <w:r w:rsidRPr="00A25920">
              <w:rPr>
                <w:rFonts w:ascii="Book Antiqua" w:hAnsi="Book Antiqua" w:cs="Times New Roman"/>
                <w:b/>
                <w:sz w:val="24"/>
                <w:szCs w:val="24"/>
              </w:rPr>
              <w:t>Factors</w:t>
            </w:r>
          </w:p>
        </w:tc>
        <w:tc>
          <w:tcPr>
            <w:tcW w:w="1701" w:type="dxa"/>
            <w:tcBorders>
              <w:top w:val="single" w:sz="4" w:space="0" w:color="000000" w:themeColor="text1"/>
              <w:bottom w:val="single" w:sz="4" w:space="0" w:color="000000" w:themeColor="text1"/>
            </w:tcBorders>
          </w:tcPr>
          <w:p w:rsidR="00FD0977" w:rsidRPr="00A25920" w:rsidRDefault="00FD0977" w:rsidP="00E60998">
            <w:pPr>
              <w:widowControl w:val="0"/>
              <w:snapToGrid w:val="0"/>
              <w:spacing w:line="360" w:lineRule="auto"/>
              <w:jc w:val="center"/>
              <w:rPr>
                <w:rFonts w:ascii="Book Antiqua" w:hAnsi="Book Antiqua" w:cs="Times New Roman"/>
                <w:b/>
                <w:sz w:val="24"/>
                <w:szCs w:val="24"/>
              </w:rPr>
            </w:pPr>
            <w:r w:rsidRPr="00A25920">
              <w:rPr>
                <w:rFonts w:ascii="Book Antiqua" w:hAnsi="Book Antiqua" w:cs="Times New Roman"/>
                <w:b/>
                <w:sz w:val="24"/>
                <w:szCs w:val="24"/>
              </w:rPr>
              <w:t>Hazard ratio</w:t>
            </w:r>
          </w:p>
        </w:tc>
        <w:tc>
          <w:tcPr>
            <w:tcW w:w="1843" w:type="dxa"/>
            <w:tcBorders>
              <w:top w:val="single" w:sz="4" w:space="0" w:color="000000" w:themeColor="text1"/>
              <w:bottom w:val="single" w:sz="4" w:space="0" w:color="000000" w:themeColor="text1"/>
            </w:tcBorders>
          </w:tcPr>
          <w:p w:rsidR="00FD0977" w:rsidRPr="00A25920" w:rsidRDefault="00FD0977" w:rsidP="00E60998">
            <w:pPr>
              <w:widowControl w:val="0"/>
              <w:snapToGrid w:val="0"/>
              <w:spacing w:line="360" w:lineRule="auto"/>
              <w:jc w:val="center"/>
              <w:rPr>
                <w:rFonts w:ascii="Book Antiqua" w:hAnsi="Book Antiqua" w:cs="Times New Roman"/>
                <w:b/>
                <w:sz w:val="24"/>
                <w:szCs w:val="24"/>
              </w:rPr>
            </w:pPr>
            <w:r w:rsidRPr="00A25920">
              <w:rPr>
                <w:rFonts w:ascii="Book Antiqua" w:hAnsi="Book Antiqua" w:cs="Times New Roman"/>
                <w:b/>
                <w:sz w:val="24"/>
                <w:szCs w:val="24"/>
              </w:rPr>
              <w:t>95%CI</w:t>
            </w:r>
          </w:p>
        </w:tc>
        <w:tc>
          <w:tcPr>
            <w:tcW w:w="1893" w:type="dxa"/>
            <w:tcBorders>
              <w:top w:val="single" w:sz="4" w:space="0" w:color="000000" w:themeColor="text1"/>
              <w:bottom w:val="single" w:sz="4" w:space="0" w:color="000000" w:themeColor="text1"/>
            </w:tcBorders>
          </w:tcPr>
          <w:p w:rsidR="00FD0977" w:rsidRPr="00A25920" w:rsidRDefault="00FD0977" w:rsidP="00E60998">
            <w:pPr>
              <w:widowControl w:val="0"/>
              <w:snapToGrid w:val="0"/>
              <w:spacing w:line="360" w:lineRule="auto"/>
              <w:jc w:val="center"/>
              <w:rPr>
                <w:rFonts w:ascii="Book Antiqua" w:hAnsi="Book Antiqua" w:cs="Times New Roman"/>
                <w:b/>
                <w:i/>
                <w:caps/>
                <w:sz w:val="24"/>
                <w:szCs w:val="24"/>
              </w:rPr>
            </w:pPr>
            <w:r w:rsidRPr="00A25920">
              <w:rPr>
                <w:rFonts w:ascii="Book Antiqua" w:hAnsi="Book Antiqua" w:cs="Times New Roman"/>
                <w:b/>
                <w:i/>
                <w:caps/>
                <w:sz w:val="24"/>
                <w:szCs w:val="24"/>
              </w:rPr>
              <w:t>p</w:t>
            </w:r>
            <w:r w:rsidR="00E60998" w:rsidRPr="00A25920">
              <w:rPr>
                <w:rFonts w:ascii="Book Antiqua" w:hAnsi="Book Antiqua" w:cs="Times New Roman" w:hint="eastAsia"/>
                <w:b/>
                <w:i/>
                <w:caps/>
                <w:sz w:val="24"/>
                <w:szCs w:val="24"/>
              </w:rPr>
              <w:t xml:space="preserve"> </w:t>
            </w:r>
            <w:r w:rsidR="00E60998" w:rsidRPr="00A25920">
              <w:rPr>
                <w:rFonts w:ascii="Book Antiqua" w:hAnsi="Book Antiqua" w:cs="Times New Roman"/>
                <w:b/>
                <w:sz w:val="24"/>
                <w:szCs w:val="24"/>
              </w:rPr>
              <w:t>value</w:t>
            </w:r>
          </w:p>
        </w:tc>
      </w:tr>
      <w:tr w:rsidR="00A25920" w:rsidRPr="00A25920" w:rsidTr="00E60998">
        <w:trPr>
          <w:jc w:val="center"/>
        </w:trPr>
        <w:tc>
          <w:tcPr>
            <w:tcW w:w="3085" w:type="dxa"/>
            <w:tcBorders>
              <w:top w:val="single" w:sz="4" w:space="0" w:color="000000" w:themeColor="text1"/>
            </w:tcBorders>
          </w:tcPr>
          <w:p w:rsidR="00FD0977" w:rsidRPr="00A25920" w:rsidRDefault="00FD0977" w:rsidP="00E60998">
            <w:pPr>
              <w:widowControl w:val="0"/>
              <w:snapToGrid w:val="0"/>
              <w:spacing w:line="360" w:lineRule="auto"/>
              <w:rPr>
                <w:rFonts w:ascii="Book Antiqua" w:hAnsi="Book Antiqua" w:cs="Times New Roman"/>
                <w:sz w:val="24"/>
                <w:szCs w:val="24"/>
              </w:rPr>
            </w:pPr>
            <w:bookmarkStart w:id="148" w:name="OLE_LINK25"/>
            <w:bookmarkStart w:id="149" w:name="OLE_LINK26"/>
            <w:r w:rsidRPr="00A25920">
              <w:rPr>
                <w:rFonts w:ascii="Book Antiqua" w:hAnsi="Book Antiqua" w:cs="Times New Roman"/>
                <w:sz w:val="24"/>
                <w:szCs w:val="24"/>
              </w:rPr>
              <w:t>AFP</w:t>
            </w:r>
            <w:r w:rsidR="00E60998" w:rsidRPr="00A25920">
              <w:rPr>
                <w:rFonts w:ascii="Book Antiqua" w:hAnsi="Book Antiqua" w:cs="Times New Roman" w:hint="eastAsia"/>
                <w:sz w:val="24"/>
                <w:szCs w:val="24"/>
              </w:rPr>
              <w:t xml:space="preserve"> </w:t>
            </w:r>
            <w:r w:rsidR="00810AA5" w:rsidRPr="00A25920">
              <w:rPr>
                <w:rFonts w:ascii="Book Antiqua" w:hAnsi="Book Antiqua" w:cs="Times New Roman"/>
                <w:sz w:val="24"/>
                <w:szCs w:val="24"/>
              </w:rPr>
              <w:t>≥</w:t>
            </w:r>
            <w:r w:rsidR="00E60998" w:rsidRPr="00A25920">
              <w:rPr>
                <w:rFonts w:ascii="Book Antiqua" w:hAnsi="Book Antiqua" w:cs="Times New Roman" w:hint="eastAsia"/>
                <w:sz w:val="24"/>
                <w:szCs w:val="24"/>
              </w:rPr>
              <w:t xml:space="preserve"> </w:t>
            </w:r>
            <w:r w:rsidRPr="00A25920">
              <w:rPr>
                <w:rFonts w:ascii="Book Antiqua" w:hAnsi="Book Antiqua" w:cs="Times New Roman"/>
                <w:sz w:val="24"/>
                <w:szCs w:val="24"/>
              </w:rPr>
              <w:t>400 ng/mL</w:t>
            </w:r>
            <w:bookmarkEnd w:id="148"/>
            <w:bookmarkEnd w:id="149"/>
          </w:p>
        </w:tc>
        <w:tc>
          <w:tcPr>
            <w:tcW w:w="1701" w:type="dxa"/>
            <w:tcBorders>
              <w:top w:val="single" w:sz="4" w:space="0" w:color="000000" w:themeColor="text1"/>
            </w:tcBorders>
          </w:tcPr>
          <w:p w:rsidR="00FD0977" w:rsidRPr="00A25920" w:rsidRDefault="00FD0977" w:rsidP="00E60998">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1.691</w:t>
            </w:r>
          </w:p>
        </w:tc>
        <w:tc>
          <w:tcPr>
            <w:tcW w:w="1843" w:type="dxa"/>
            <w:tcBorders>
              <w:top w:val="single" w:sz="4" w:space="0" w:color="000000" w:themeColor="text1"/>
            </w:tcBorders>
          </w:tcPr>
          <w:p w:rsidR="00FD0977" w:rsidRPr="00A25920" w:rsidRDefault="00FD0977" w:rsidP="00E60998">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1.094-2.614</w:t>
            </w:r>
          </w:p>
        </w:tc>
        <w:tc>
          <w:tcPr>
            <w:tcW w:w="1893" w:type="dxa"/>
            <w:tcBorders>
              <w:top w:val="single" w:sz="4" w:space="0" w:color="000000" w:themeColor="text1"/>
            </w:tcBorders>
          </w:tcPr>
          <w:p w:rsidR="00FD0977" w:rsidRPr="00A25920" w:rsidRDefault="00FD0977" w:rsidP="00E60998">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0.018</w:t>
            </w:r>
          </w:p>
        </w:tc>
      </w:tr>
      <w:tr w:rsidR="00A25920" w:rsidRPr="00A25920" w:rsidTr="00E60998">
        <w:trPr>
          <w:jc w:val="center"/>
        </w:trPr>
        <w:tc>
          <w:tcPr>
            <w:tcW w:w="3085" w:type="dxa"/>
          </w:tcPr>
          <w:p w:rsidR="00FD0977" w:rsidRPr="00A25920" w:rsidRDefault="00FD0977" w:rsidP="00E60998">
            <w:pPr>
              <w:widowControl w:val="0"/>
              <w:snapToGrid w:val="0"/>
              <w:spacing w:line="360" w:lineRule="auto"/>
              <w:rPr>
                <w:rFonts w:ascii="Book Antiqua" w:hAnsi="Book Antiqua" w:cs="Times New Roman"/>
                <w:sz w:val="24"/>
                <w:szCs w:val="24"/>
              </w:rPr>
            </w:pPr>
            <w:r w:rsidRPr="00A25920">
              <w:rPr>
                <w:rFonts w:ascii="Book Antiqua" w:hAnsi="Book Antiqua" w:cs="Times New Roman"/>
                <w:sz w:val="24"/>
                <w:szCs w:val="24"/>
              </w:rPr>
              <w:t>Incomplete tumor capsule</w:t>
            </w:r>
          </w:p>
        </w:tc>
        <w:tc>
          <w:tcPr>
            <w:tcW w:w="1701" w:type="dxa"/>
          </w:tcPr>
          <w:p w:rsidR="00FD0977" w:rsidRPr="00A25920" w:rsidRDefault="00FD0977" w:rsidP="00E60998">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0.979</w:t>
            </w:r>
          </w:p>
        </w:tc>
        <w:tc>
          <w:tcPr>
            <w:tcW w:w="1843" w:type="dxa"/>
          </w:tcPr>
          <w:p w:rsidR="00FD0977" w:rsidRPr="00A25920" w:rsidRDefault="00FD0977" w:rsidP="00E60998">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0.659-1.454</w:t>
            </w:r>
          </w:p>
        </w:tc>
        <w:tc>
          <w:tcPr>
            <w:tcW w:w="1893" w:type="dxa"/>
          </w:tcPr>
          <w:p w:rsidR="00FD0977" w:rsidRPr="00A25920" w:rsidRDefault="00FD0977" w:rsidP="00E60998">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0.915</w:t>
            </w:r>
          </w:p>
        </w:tc>
      </w:tr>
      <w:tr w:rsidR="00A25920" w:rsidRPr="00A25920" w:rsidTr="00E60998">
        <w:trPr>
          <w:jc w:val="center"/>
        </w:trPr>
        <w:tc>
          <w:tcPr>
            <w:tcW w:w="3085" w:type="dxa"/>
          </w:tcPr>
          <w:p w:rsidR="00FD0977" w:rsidRPr="00A25920" w:rsidRDefault="00FD0977" w:rsidP="00E60998">
            <w:pPr>
              <w:widowControl w:val="0"/>
              <w:snapToGrid w:val="0"/>
              <w:spacing w:line="360" w:lineRule="auto"/>
              <w:rPr>
                <w:rFonts w:ascii="Book Antiqua" w:hAnsi="Book Antiqua" w:cs="Times New Roman"/>
                <w:sz w:val="24"/>
                <w:szCs w:val="24"/>
              </w:rPr>
            </w:pPr>
            <w:r w:rsidRPr="00A25920">
              <w:rPr>
                <w:rFonts w:ascii="Book Antiqua" w:hAnsi="Book Antiqua" w:cs="Times New Roman"/>
                <w:sz w:val="24"/>
                <w:szCs w:val="24"/>
              </w:rPr>
              <w:t>Tumor size ≥</w:t>
            </w:r>
            <w:r w:rsidR="00E60998" w:rsidRPr="00A25920">
              <w:rPr>
                <w:rFonts w:ascii="Book Antiqua" w:hAnsi="Book Antiqua" w:cs="Times New Roman" w:hint="eastAsia"/>
                <w:sz w:val="24"/>
                <w:szCs w:val="24"/>
              </w:rPr>
              <w:t xml:space="preserve"> </w:t>
            </w:r>
            <w:r w:rsidRPr="00A25920">
              <w:rPr>
                <w:rFonts w:ascii="Book Antiqua" w:hAnsi="Book Antiqua" w:cs="Times New Roman"/>
                <w:sz w:val="24"/>
                <w:szCs w:val="24"/>
              </w:rPr>
              <w:t>5 cm</w:t>
            </w:r>
          </w:p>
        </w:tc>
        <w:tc>
          <w:tcPr>
            <w:tcW w:w="1701" w:type="dxa"/>
          </w:tcPr>
          <w:p w:rsidR="00FD0977" w:rsidRPr="00A25920" w:rsidRDefault="00FD0977" w:rsidP="00E60998">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1.582</w:t>
            </w:r>
          </w:p>
        </w:tc>
        <w:tc>
          <w:tcPr>
            <w:tcW w:w="1843" w:type="dxa"/>
          </w:tcPr>
          <w:p w:rsidR="00FD0977" w:rsidRPr="00A25920" w:rsidRDefault="00FD0977" w:rsidP="00E60998">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1.027-2.438</w:t>
            </w:r>
          </w:p>
        </w:tc>
        <w:tc>
          <w:tcPr>
            <w:tcW w:w="1893" w:type="dxa"/>
          </w:tcPr>
          <w:p w:rsidR="00FD0977" w:rsidRPr="00A25920" w:rsidRDefault="00FD0977" w:rsidP="00E60998">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0.038</w:t>
            </w:r>
          </w:p>
        </w:tc>
      </w:tr>
      <w:tr w:rsidR="00A25920" w:rsidRPr="00A25920" w:rsidTr="00E60998">
        <w:trPr>
          <w:trHeight w:val="397"/>
          <w:jc w:val="center"/>
        </w:trPr>
        <w:tc>
          <w:tcPr>
            <w:tcW w:w="3085" w:type="dxa"/>
          </w:tcPr>
          <w:p w:rsidR="00FD0977" w:rsidRPr="00A25920" w:rsidRDefault="00FD0977" w:rsidP="00E60998">
            <w:pPr>
              <w:widowControl w:val="0"/>
              <w:snapToGrid w:val="0"/>
              <w:spacing w:line="360" w:lineRule="auto"/>
              <w:rPr>
                <w:rFonts w:ascii="Book Antiqua" w:eastAsia="AdvPTimes" w:hAnsi="Book Antiqua" w:cs="Times New Roman"/>
                <w:sz w:val="24"/>
                <w:szCs w:val="24"/>
              </w:rPr>
            </w:pPr>
            <w:bookmarkStart w:id="150" w:name="OLE_LINK8"/>
            <w:bookmarkStart w:id="151" w:name="OLE_LINK9"/>
            <w:r w:rsidRPr="00A25920">
              <w:rPr>
                <w:rFonts w:ascii="Book Antiqua" w:eastAsia="AdvPTimes" w:hAnsi="Book Antiqua" w:cs="Times New Roman"/>
                <w:sz w:val="24"/>
                <w:szCs w:val="24"/>
              </w:rPr>
              <w:t>Edmondson grade</w:t>
            </w:r>
            <w:bookmarkEnd w:id="150"/>
            <w:bookmarkEnd w:id="151"/>
            <w:r w:rsidR="00E60998" w:rsidRPr="00A25920">
              <w:rPr>
                <w:rFonts w:ascii="Book Antiqua" w:hAnsi="Book Antiqua" w:cs="Times New Roman" w:hint="eastAsia"/>
                <w:sz w:val="24"/>
                <w:szCs w:val="24"/>
              </w:rPr>
              <w:t xml:space="preserve"> </w:t>
            </w:r>
            <w:r w:rsidRPr="00A25920">
              <w:rPr>
                <w:rFonts w:ascii="Book Antiqua" w:eastAsia="AdvPTimes" w:hAnsi="Book Antiqua" w:cs="Times New Roman"/>
                <w:sz w:val="24"/>
                <w:szCs w:val="24"/>
              </w:rPr>
              <w:t>III–IV</w:t>
            </w:r>
          </w:p>
        </w:tc>
        <w:tc>
          <w:tcPr>
            <w:tcW w:w="1701" w:type="dxa"/>
          </w:tcPr>
          <w:p w:rsidR="00FD0977" w:rsidRPr="00A25920" w:rsidRDefault="00FD0977" w:rsidP="00E60998">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1.149</w:t>
            </w:r>
          </w:p>
        </w:tc>
        <w:tc>
          <w:tcPr>
            <w:tcW w:w="1843" w:type="dxa"/>
          </w:tcPr>
          <w:p w:rsidR="00FD0977" w:rsidRPr="00A25920" w:rsidRDefault="00FD0977" w:rsidP="00E60998">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0.663-1.992</w:t>
            </w:r>
          </w:p>
        </w:tc>
        <w:tc>
          <w:tcPr>
            <w:tcW w:w="1893" w:type="dxa"/>
          </w:tcPr>
          <w:p w:rsidR="00FD0977" w:rsidRPr="00A25920" w:rsidRDefault="00FD0977" w:rsidP="00E60998">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0.621</w:t>
            </w:r>
          </w:p>
        </w:tc>
      </w:tr>
      <w:tr w:rsidR="00A25920" w:rsidRPr="00A25920" w:rsidTr="00E60998">
        <w:trPr>
          <w:jc w:val="center"/>
        </w:trPr>
        <w:tc>
          <w:tcPr>
            <w:tcW w:w="3085" w:type="dxa"/>
          </w:tcPr>
          <w:p w:rsidR="00FD0977" w:rsidRPr="00A25920" w:rsidRDefault="00FD0977" w:rsidP="00E60998">
            <w:pPr>
              <w:widowControl w:val="0"/>
              <w:snapToGrid w:val="0"/>
              <w:spacing w:line="360" w:lineRule="auto"/>
              <w:rPr>
                <w:rFonts w:ascii="Book Antiqua" w:hAnsi="Book Antiqua" w:cs="Times New Roman"/>
                <w:sz w:val="24"/>
                <w:szCs w:val="24"/>
              </w:rPr>
            </w:pPr>
            <w:bookmarkStart w:id="152" w:name="OLE_LINK27"/>
            <w:bookmarkStart w:id="153" w:name="OLE_LINK28"/>
            <w:r w:rsidRPr="00A25920">
              <w:rPr>
                <w:rFonts w:ascii="Book Antiqua" w:hAnsi="Book Antiqua" w:cs="Times New Roman"/>
                <w:sz w:val="24"/>
                <w:szCs w:val="24"/>
              </w:rPr>
              <w:t>EP</w:t>
            </w:r>
            <w:r w:rsidRPr="00A25920">
              <w:rPr>
                <w:rFonts w:ascii="Book Antiqua" w:hAnsi="Book Antiqua" w:cs="Times New Roman"/>
                <w:sz w:val="24"/>
                <w:szCs w:val="24"/>
                <w:vertAlign w:val="subscript"/>
              </w:rPr>
              <w:t>1</w:t>
            </w:r>
            <w:r w:rsidRPr="00A25920">
              <w:rPr>
                <w:rFonts w:ascii="Book Antiqua" w:hAnsi="Book Antiqua" w:cs="Times New Roman"/>
                <w:sz w:val="24"/>
                <w:szCs w:val="24"/>
              </w:rPr>
              <w:t xml:space="preserve"> recept</w:t>
            </w:r>
            <w:bookmarkEnd w:id="152"/>
            <w:bookmarkEnd w:id="153"/>
            <w:r w:rsidRPr="00A25920">
              <w:rPr>
                <w:rFonts w:ascii="Book Antiqua" w:hAnsi="Book Antiqua" w:cs="Times New Roman"/>
                <w:sz w:val="24"/>
                <w:szCs w:val="24"/>
              </w:rPr>
              <w:t>or expression</w:t>
            </w:r>
          </w:p>
        </w:tc>
        <w:tc>
          <w:tcPr>
            <w:tcW w:w="1701" w:type="dxa"/>
          </w:tcPr>
          <w:p w:rsidR="00FD0977" w:rsidRPr="00A25920" w:rsidRDefault="00FD0977" w:rsidP="00E60998">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2.318</w:t>
            </w:r>
          </w:p>
        </w:tc>
        <w:tc>
          <w:tcPr>
            <w:tcW w:w="1843" w:type="dxa"/>
          </w:tcPr>
          <w:p w:rsidR="00FD0977" w:rsidRPr="00A25920" w:rsidRDefault="00FD0977" w:rsidP="00E60998">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1.190-4.516</w:t>
            </w:r>
          </w:p>
        </w:tc>
        <w:tc>
          <w:tcPr>
            <w:tcW w:w="1893" w:type="dxa"/>
          </w:tcPr>
          <w:p w:rsidR="00FD0977" w:rsidRPr="00A25920" w:rsidRDefault="00FD0977" w:rsidP="00E60998">
            <w:pPr>
              <w:widowControl w:val="0"/>
              <w:snapToGrid w:val="0"/>
              <w:spacing w:line="360" w:lineRule="auto"/>
              <w:jc w:val="center"/>
              <w:rPr>
                <w:rFonts w:ascii="Book Antiqua" w:hAnsi="Book Antiqua" w:cs="Times New Roman"/>
                <w:sz w:val="24"/>
                <w:szCs w:val="24"/>
              </w:rPr>
            </w:pPr>
            <w:r w:rsidRPr="00A25920">
              <w:rPr>
                <w:rFonts w:ascii="Book Antiqua" w:hAnsi="Book Antiqua" w:cs="Times New Roman"/>
                <w:sz w:val="24"/>
                <w:szCs w:val="24"/>
              </w:rPr>
              <w:t>0.014</w:t>
            </w:r>
          </w:p>
        </w:tc>
      </w:tr>
    </w:tbl>
    <w:p w:rsidR="00FD0977" w:rsidRPr="00A25920" w:rsidRDefault="00064236" w:rsidP="00225036">
      <w:pPr>
        <w:widowControl w:val="0"/>
        <w:snapToGrid w:val="0"/>
        <w:spacing w:after="0" w:line="360" w:lineRule="auto"/>
        <w:jc w:val="both"/>
        <w:rPr>
          <w:rFonts w:ascii="Book Antiqua" w:hAnsi="Book Antiqua" w:cs="Times New Roman"/>
          <w:kern w:val="2"/>
          <w:sz w:val="24"/>
          <w:szCs w:val="24"/>
        </w:rPr>
      </w:pPr>
      <w:r w:rsidRPr="00A25920">
        <w:rPr>
          <w:rFonts w:ascii="Book Antiqua" w:hAnsi="Book Antiqua" w:cs="Times New Roman"/>
          <w:kern w:val="2"/>
          <w:sz w:val="24"/>
          <w:szCs w:val="24"/>
        </w:rPr>
        <w:t>AFP</w:t>
      </w:r>
      <w:r w:rsidRPr="00A25920">
        <w:rPr>
          <w:rFonts w:ascii="Book Antiqua" w:hAnsi="Book Antiqua" w:cs="Times New Roman" w:hint="eastAsia"/>
          <w:kern w:val="2"/>
          <w:sz w:val="24"/>
          <w:szCs w:val="24"/>
        </w:rPr>
        <w:t xml:space="preserve">: </w:t>
      </w:r>
      <w:r w:rsidRPr="00A25920">
        <w:rPr>
          <w:rFonts w:ascii="Book Antiqua" w:hAnsi="Book Antiqua" w:cs="Times New Roman"/>
          <w:caps/>
          <w:kern w:val="2"/>
          <w:sz w:val="24"/>
          <w:szCs w:val="24"/>
        </w:rPr>
        <w:t>a</w:t>
      </w:r>
      <w:r w:rsidRPr="00A25920">
        <w:rPr>
          <w:rFonts w:ascii="Book Antiqua" w:hAnsi="Book Antiqua" w:cs="Times New Roman"/>
          <w:kern w:val="2"/>
          <w:sz w:val="24"/>
          <w:szCs w:val="24"/>
        </w:rPr>
        <w:t>lpha-fetoprotein</w:t>
      </w:r>
      <w:r w:rsidRPr="00A25920">
        <w:rPr>
          <w:rFonts w:ascii="Book Antiqua" w:hAnsi="Book Antiqua" w:cs="Times New Roman" w:hint="eastAsia"/>
          <w:kern w:val="2"/>
          <w:sz w:val="24"/>
          <w:szCs w:val="24"/>
        </w:rPr>
        <w:t>.</w:t>
      </w:r>
    </w:p>
    <w:p w:rsidR="00E60998" w:rsidRPr="00A25920" w:rsidRDefault="00E60998">
      <w:pPr>
        <w:rPr>
          <w:rFonts w:ascii="Book Antiqua" w:hAnsi="Book Antiqua" w:cs="Times New Roman"/>
          <w:sz w:val="24"/>
          <w:szCs w:val="24"/>
        </w:rPr>
      </w:pPr>
      <w:r w:rsidRPr="00A25920">
        <w:rPr>
          <w:rFonts w:ascii="Book Antiqua" w:hAnsi="Book Antiqua" w:cs="Times New Roman"/>
          <w:sz w:val="24"/>
          <w:szCs w:val="24"/>
        </w:rPr>
        <w:br w:type="page"/>
      </w:r>
    </w:p>
    <w:p w:rsidR="00434719" w:rsidRPr="00A25920" w:rsidRDefault="00434719" w:rsidP="00225036">
      <w:pPr>
        <w:widowControl w:val="0"/>
        <w:snapToGrid w:val="0"/>
        <w:spacing w:after="0" w:line="360" w:lineRule="auto"/>
        <w:jc w:val="both"/>
        <w:rPr>
          <w:rFonts w:ascii="Book Antiqua" w:hAnsi="Book Antiqua"/>
          <w:noProof/>
          <w:kern w:val="2"/>
          <w:sz w:val="24"/>
          <w:szCs w:val="24"/>
        </w:rPr>
      </w:pPr>
      <w:r w:rsidRPr="00A25920">
        <w:rPr>
          <w:rFonts w:ascii="Book Antiqua" w:hAnsi="Book Antiqua"/>
          <w:noProof/>
          <w:kern w:val="2"/>
          <w:sz w:val="24"/>
          <w:szCs w:val="24"/>
        </w:rPr>
        <w:lastRenderedPageBreak/>
        <w:drawing>
          <wp:inline distT="0" distB="0" distL="0" distR="0" wp14:anchorId="49102042" wp14:editId="0AB26071">
            <wp:extent cx="3743960" cy="2630805"/>
            <wp:effectExtent l="0" t="0" r="0" b="0"/>
            <wp:docPr id="1" name="图片 1" descr="C:\Users\Administrator\Desktop\E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EP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43960" cy="2630805"/>
                    </a:xfrm>
                    <a:prstGeom prst="rect">
                      <a:avLst/>
                    </a:prstGeom>
                    <a:noFill/>
                    <a:ln>
                      <a:noFill/>
                    </a:ln>
                  </pic:spPr>
                </pic:pic>
              </a:graphicData>
            </a:graphic>
          </wp:inline>
        </w:drawing>
      </w:r>
    </w:p>
    <w:p w:rsidR="00434719" w:rsidRPr="00A25920" w:rsidRDefault="00434719" w:rsidP="00225036">
      <w:pPr>
        <w:widowControl w:val="0"/>
        <w:snapToGrid w:val="0"/>
        <w:spacing w:after="0" w:line="360" w:lineRule="auto"/>
        <w:jc w:val="both"/>
        <w:rPr>
          <w:rFonts w:ascii="Book Antiqua" w:hAnsi="Book Antiqua" w:cs="Times New Roman"/>
          <w:noProof/>
          <w:kern w:val="2"/>
          <w:sz w:val="24"/>
          <w:szCs w:val="24"/>
        </w:rPr>
      </w:pPr>
      <w:r w:rsidRPr="00A25920">
        <w:rPr>
          <w:rFonts w:ascii="Book Antiqua" w:hAnsi="Book Antiqua" w:cs="Times New Roman"/>
          <w:b/>
          <w:noProof/>
          <w:kern w:val="2"/>
          <w:sz w:val="24"/>
          <w:szCs w:val="24"/>
        </w:rPr>
        <w:t>Figure</w:t>
      </w:r>
      <w:r w:rsidR="009366E8" w:rsidRPr="00A25920">
        <w:rPr>
          <w:rFonts w:ascii="Book Antiqua" w:hAnsi="Book Antiqua" w:cs="Times New Roman" w:hint="eastAsia"/>
          <w:b/>
          <w:noProof/>
          <w:kern w:val="2"/>
          <w:sz w:val="24"/>
          <w:szCs w:val="24"/>
        </w:rPr>
        <w:t xml:space="preserve"> </w:t>
      </w:r>
      <w:r w:rsidRPr="00A25920">
        <w:rPr>
          <w:rFonts w:ascii="Book Antiqua" w:hAnsi="Book Antiqua" w:cs="Times New Roman"/>
          <w:b/>
          <w:noProof/>
          <w:kern w:val="2"/>
          <w:sz w:val="24"/>
          <w:szCs w:val="24"/>
        </w:rPr>
        <w:t>1</w:t>
      </w:r>
      <w:r w:rsidR="009366E8" w:rsidRPr="00A25920">
        <w:rPr>
          <w:rFonts w:ascii="Book Antiqua" w:hAnsi="Book Antiqua" w:cs="Times New Roman" w:hint="eastAsia"/>
          <w:b/>
          <w:noProof/>
          <w:kern w:val="2"/>
          <w:sz w:val="24"/>
          <w:szCs w:val="24"/>
        </w:rPr>
        <w:t xml:space="preserve"> </w:t>
      </w:r>
      <w:r w:rsidRPr="00A25920">
        <w:rPr>
          <w:rFonts w:ascii="Book Antiqua" w:hAnsi="Book Antiqua" w:cs="Times New Roman"/>
          <w:b/>
          <w:noProof/>
          <w:kern w:val="2"/>
          <w:sz w:val="24"/>
          <w:szCs w:val="24"/>
        </w:rPr>
        <w:t xml:space="preserve">Overall survival of </w:t>
      </w:r>
      <w:r w:rsidR="009366E8" w:rsidRPr="00A25920">
        <w:rPr>
          <w:rFonts w:ascii="Book Antiqua" w:hAnsi="Book Antiqua" w:cs="Times New Roman"/>
          <w:b/>
          <w:kern w:val="2"/>
          <w:sz w:val="24"/>
          <w:szCs w:val="24"/>
        </w:rPr>
        <w:t>hepatocellular carcinoma</w:t>
      </w:r>
      <w:r w:rsidRPr="00A25920">
        <w:rPr>
          <w:rFonts w:ascii="Book Antiqua" w:hAnsi="Book Antiqua" w:cs="Times New Roman"/>
          <w:b/>
          <w:noProof/>
          <w:kern w:val="2"/>
          <w:sz w:val="24"/>
          <w:szCs w:val="24"/>
        </w:rPr>
        <w:t xml:space="preserve"> patients stratified by low or high expression of EP</w:t>
      </w:r>
      <w:r w:rsidRPr="00A25920">
        <w:rPr>
          <w:rFonts w:ascii="Book Antiqua" w:hAnsi="Book Antiqua" w:cs="Times New Roman"/>
          <w:b/>
          <w:noProof/>
          <w:kern w:val="2"/>
          <w:sz w:val="24"/>
          <w:szCs w:val="24"/>
          <w:vertAlign w:val="subscript"/>
        </w:rPr>
        <w:t>1</w:t>
      </w:r>
      <w:r w:rsidRPr="00A25920">
        <w:rPr>
          <w:rFonts w:ascii="Book Antiqua" w:hAnsi="Book Antiqua" w:cs="Times New Roman"/>
          <w:b/>
          <w:noProof/>
          <w:kern w:val="2"/>
          <w:sz w:val="24"/>
          <w:szCs w:val="24"/>
        </w:rPr>
        <w:t xml:space="preserve"> receptor.</w:t>
      </w:r>
    </w:p>
    <w:p w:rsidR="00E60998" w:rsidRPr="00A25920" w:rsidRDefault="00E60998">
      <w:pPr>
        <w:rPr>
          <w:rFonts w:ascii="Book Antiqua" w:hAnsi="Book Antiqua" w:cs="Times New Roman"/>
          <w:b/>
          <w:noProof/>
          <w:kern w:val="2"/>
          <w:sz w:val="24"/>
          <w:szCs w:val="24"/>
        </w:rPr>
      </w:pPr>
      <w:r w:rsidRPr="00A25920">
        <w:rPr>
          <w:rFonts w:ascii="Book Antiqua" w:hAnsi="Book Antiqua" w:cs="Times New Roman"/>
          <w:b/>
          <w:noProof/>
          <w:kern w:val="2"/>
          <w:sz w:val="24"/>
          <w:szCs w:val="24"/>
        </w:rPr>
        <w:br w:type="page"/>
      </w:r>
    </w:p>
    <w:p w:rsidR="00434719" w:rsidRPr="00A25920" w:rsidRDefault="00434719" w:rsidP="00225036">
      <w:pPr>
        <w:widowControl w:val="0"/>
        <w:snapToGrid w:val="0"/>
        <w:spacing w:after="0" w:line="360" w:lineRule="auto"/>
        <w:jc w:val="both"/>
        <w:rPr>
          <w:rFonts w:ascii="Book Antiqua" w:hAnsi="Book Antiqua"/>
          <w:noProof/>
          <w:kern w:val="2"/>
          <w:sz w:val="24"/>
          <w:szCs w:val="24"/>
        </w:rPr>
      </w:pPr>
      <w:r w:rsidRPr="00A25920">
        <w:rPr>
          <w:rFonts w:ascii="Book Antiqua" w:hAnsi="Book Antiqua"/>
          <w:noProof/>
          <w:kern w:val="2"/>
          <w:sz w:val="24"/>
          <w:szCs w:val="24"/>
        </w:rPr>
        <w:lastRenderedPageBreak/>
        <w:drawing>
          <wp:inline distT="0" distB="0" distL="0" distR="0" wp14:anchorId="782A8811" wp14:editId="12B2FD26">
            <wp:extent cx="5255904" cy="2081284"/>
            <wp:effectExtent l="0" t="0" r="0" b="0"/>
            <wp:docPr id="2" name="图片 2" descr="C:\Users\Administrator\Desktop\COX-2 E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COX-2 EP1.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3990" cy="2084486"/>
                    </a:xfrm>
                    <a:prstGeom prst="rect">
                      <a:avLst/>
                    </a:prstGeom>
                    <a:noFill/>
                    <a:ln>
                      <a:noFill/>
                    </a:ln>
                  </pic:spPr>
                </pic:pic>
              </a:graphicData>
            </a:graphic>
          </wp:inline>
        </w:drawing>
      </w:r>
    </w:p>
    <w:p w:rsidR="00434719" w:rsidRPr="00A25920" w:rsidRDefault="00434719" w:rsidP="00225036">
      <w:pPr>
        <w:widowControl w:val="0"/>
        <w:snapToGrid w:val="0"/>
        <w:spacing w:after="0" w:line="360" w:lineRule="auto"/>
        <w:jc w:val="both"/>
        <w:rPr>
          <w:rFonts w:ascii="Book Antiqua" w:hAnsi="Book Antiqua" w:cs="Times New Roman"/>
          <w:noProof/>
          <w:kern w:val="2"/>
          <w:sz w:val="24"/>
          <w:szCs w:val="24"/>
        </w:rPr>
      </w:pPr>
      <w:r w:rsidRPr="00A25920">
        <w:rPr>
          <w:rFonts w:ascii="Book Antiqua" w:hAnsi="Book Antiqua" w:cs="Times New Roman"/>
          <w:b/>
          <w:noProof/>
          <w:kern w:val="2"/>
          <w:sz w:val="24"/>
          <w:szCs w:val="24"/>
        </w:rPr>
        <w:t>Figure</w:t>
      </w:r>
      <w:r w:rsidR="009366E8" w:rsidRPr="00A25920">
        <w:rPr>
          <w:rFonts w:ascii="Book Antiqua" w:hAnsi="Book Antiqua" w:cs="Times New Roman" w:hint="eastAsia"/>
          <w:b/>
          <w:noProof/>
          <w:kern w:val="2"/>
          <w:sz w:val="24"/>
          <w:szCs w:val="24"/>
        </w:rPr>
        <w:t xml:space="preserve"> </w:t>
      </w:r>
      <w:r w:rsidRPr="00A25920">
        <w:rPr>
          <w:rFonts w:ascii="Book Antiqua" w:hAnsi="Book Antiqua" w:cs="Times New Roman"/>
          <w:b/>
          <w:noProof/>
          <w:kern w:val="2"/>
          <w:sz w:val="24"/>
          <w:szCs w:val="24"/>
        </w:rPr>
        <w:t>2</w:t>
      </w:r>
      <w:r w:rsidR="009366E8" w:rsidRPr="00A25920">
        <w:rPr>
          <w:rFonts w:ascii="Book Antiqua" w:hAnsi="Book Antiqua" w:cs="Times New Roman" w:hint="eastAsia"/>
          <w:b/>
          <w:noProof/>
          <w:kern w:val="2"/>
          <w:sz w:val="24"/>
          <w:szCs w:val="24"/>
        </w:rPr>
        <w:t xml:space="preserve"> </w:t>
      </w:r>
      <w:r w:rsidRPr="00A25920">
        <w:rPr>
          <w:rFonts w:ascii="Book Antiqua" w:hAnsi="Book Antiqua" w:cs="Times New Roman"/>
          <w:b/>
          <w:noProof/>
          <w:kern w:val="2"/>
          <w:sz w:val="24"/>
          <w:szCs w:val="24"/>
        </w:rPr>
        <w:t>COX-2 and EP</w:t>
      </w:r>
      <w:r w:rsidRPr="00A25920">
        <w:rPr>
          <w:rFonts w:ascii="Book Antiqua" w:hAnsi="Book Antiqua" w:cs="Times New Roman"/>
          <w:b/>
          <w:noProof/>
          <w:kern w:val="2"/>
          <w:sz w:val="24"/>
          <w:szCs w:val="24"/>
          <w:vertAlign w:val="subscript"/>
        </w:rPr>
        <w:t>1</w:t>
      </w:r>
      <w:r w:rsidRPr="00A25920">
        <w:rPr>
          <w:rFonts w:ascii="Book Antiqua" w:hAnsi="Book Antiqua" w:cs="Times New Roman"/>
          <w:b/>
          <w:noProof/>
          <w:kern w:val="2"/>
          <w:sz w:val="24"/>
          <w:szCs w:val="24"/>
        </w:rPr>
        <w:t xml:space="preserve"> receptor immunoreactivity scores in </w:t>
      </w:r>
      <w:r w:rsidR="009366E8" w:rsidRPr="00A25920">
        <w:rPr>
          <w:rFonts w:ascii="Book Antiqua" w:hAnsi="Book Antiqua" w:cs="Times New Roman"/>
          <w:b/>
          <w:kern w:val="2"/>
          <w:sz w:val="24"/>
          <w:szCs w:val="24"/>
        </w:rPr>
        <w:t>hepatocellular carcinoma</w:t>
      </w:r>
      <w:r w:rsidRPr="00A25920">
        <w:rPr>
          <w:rFonts w:ascii="Book Antiqua" w:hAnsi="Book Antiqua" w:cs="Times New Roman"/>
          <w:b/>
          <w:noProof/>
          <w:kern w:val="2"/>
          <w:sz w:val="24"/>
          <w:szCs w:val="24"/>
        </w:rPr>
        <w:t xml:space="preserve"> tissues at different histological grades.</w:t>
      </w:r>
      <w:r w:rsidR="009366E8" w:rsidRPr="00A25920">
        <w:rPr>
          <w:rFonts w:ascii="Book Antiqua" w:hAnsi="Book Antiqua" w:cs="Times New Roman" w:hint="eastAsia"/>
          <w:noProof/>
          <w:kern w:val="2"/>
          <w:sz w:val="24"/>
          <w:szCs w:val="24"/>
        </w:rPr>
        <w:t xml:space="preserve"> </w:t>
      </w:r>
      <w:r w:rsidRPr="00A25920">
        <w:rPr>
          <w:rFonts w:ascii="Book Antiqua" w:hAnsi="Book Antiqua" w:cs="Times New Roman"/>
          <w:noProof/>
          <w:kern w:val="2"/>
          <w:sz w:val="24"/>
          <w:szCs w:val="24"/>
        </w:rPr>
        <w:t>COX-2 expression was higher in well-differentiated tissue (</w:t>
      </w:r>
      <w:r w:rsidRPr="00A25920">
        <w:rPr>
          <w:rFonts w:ascii="Book Antiqua" w:hAnsi="Book Antiqua" w:cs="Times New Roman"/>
          <w:kern w:val="2"/>
          <w:sz w:val="24"/>
          <w:szCs w:val="24"/>
        </w:rPr>
        <w:t>Edmondson grade I-II</w:t>
      </w:r>
      <w:r w:rsidRPr="00A25920">
        <w:rPr>
          <w:rFonts w:ascii="Book Antiqua" w:hAnsi="Book Antiqua" w:cs="Times New Roman"/>
          <w:noProof/>
          <w:kern w:val="2"/>
          <w:sz w:val="24"/>
          <w:szCs w:val="24"/>
        </w:rPr>
        <w:t>), while EP</w:t>
      </w:r>
      <w:r w:rsidRPr="00A25920">
        <w:rPr>
          <w:rFonts w:ascii="Book Antiqua" w:hAnsi="Book Antiqua" w:cs="Times New Roman"/>
          <w:noProof/>
          <w:kern w:val="2"/>
          <w:sz w:val="24"/>
          <w:szCs w:val="24"/>
          <w:vertAlign w:val="subscript"/>
        </w:rPr>
        <w:t xml:space="preserve">1 </w:t>
      </w:r>
      <w:r w:rsidRPr="00A25920">
        <w:rPr>
          <w:rFonts w:ascii="Book Antiqua" w:hAnsi="Book Antiqua" w:cs="Times New Roman"/>
          <w:noProof/>
          <w:kern w:val="2"/>
          <w:sz w:val="24"/>
          <w:szCs w:val="24"/>
        </w:rPr>
        <w:t xml:space="preserve">receptor expression was higher in </w:t>
      </w:r>
      <w:r w:rsidRPr="00A25920">
        <w:rPr>
          <w:rFonts w:ascii="Book Antiqua" w:hAnsi="Book Antiqua" w:cs="Times New Roman"/>
          <w:kern w:val="2"/>
          <w:sz w:val="24"/>
          <w:szCs w:val="24"/>
        </w:rPr>
        <w:t xml:space="preserve">poorly-differentiated tissue (Edmondson grade III–IV). </w:t>
      </w:r>
      <w:r w:rsidRPr="00A25920">
        <w:rPr>
          <w:rFonts w:ascii="Book Antiqua" w:hAnsi="Book Antiqua" w:cs="Times New Roman"/>
          <w:noProof/>
          <w:kern w:val="2"/>
          <w:sz w:val="24"/>
          <w:szCs w:val="24"/>
        </w:rPr>
        <w:t>WD</w:t>
      </w:r>
      <w:r w:rsidR="009366E8" w:rsidRPr="00A25920">
        <w:rPr>
          <w:rFonts w:ascii="Book Antiqua" w:hAnsi="Book Antiqua" w:cs="Times New Roman" w:hint="eastAsia"/>
          <w:noProof/>
          <w:kern w:val="2"/>
          <w:sz w:val="24"/>
          <w:szCs w:val="24"/>
        </w:rPr>
        <w:t xml:space="preserve">: </w:t>
      </w:r>
      <w:r w:rsidRPr="00A25920">
        <w:rPr>
          <w:rFonts w:ascii="Book Antiqua" w:hAnsi="Book Antiqua" w:cs="Times New Roman"/>
          <w:caps/>
          <w:noProof/>
          <w:kern w:val="2"/>
          <w:sz w:val="24"/>
          <w:szCs w:val="24"/>
        </w:rPr>
        <w:t>w</w:t>
      </w:r>
      <w:r w:rsidRPr="00A25920">
        <w:rPr>
          <w:rFonts w:ascii="Book Antiqua" w:hAnsi="Book Antiqua" w:cs="Times New Roman"/>
          <w:noProof/>
          <w:kern w:val="2"/>
          <w:sz w:val="24"/>
          <w:szCs w:val="24"/>
        </w:rPr>
        <w:t>ell-differentiated; PD</w:t>
      </w:r>
      <w:r w:rsidR="009366E8" w:rsidRPr="00A25920">
        <w:rPr>
          <w:rFonts w:ascii="Book Antiqua" w:hAnsi="Book Antiqua" w:cs="Times New Roman" w:hint="eastAsia"/>
          <w:noProof/>
          <w:kern w:val="2"/>
          <w:sz w:val="24"/>
          <w:szCs w:val="24"/>
        </w:rPr>
        <w:t xml:space="preserve">: </w:t>
      </w:r>
      <w:r w:rsidRPr="00A25920">
        <w:rPr>
          <w:rFonts w:ascii="Book Antiqua" w:hAnsi="Book Antiqua" w:cs="Times New Roman"/>
          <w:caps/>
          <w:noProof/>
          <w:kern w:val="2"/>
          <w:sz w:val="24"/>
          <w:szCs w:val="24"/>
        </w:rPr>
        <w:t>p</w:t>
      </w:r>
      <w:r w:rsidRPr="00A25920">
        <w:rPr>
          <w:rFonts w:ascii="Book Antiqua" w:hAnsi="Book Antiqua" w:cs="Times New Roman"/>
          <w:noProof/>
          <w:kern w:val="2"/>
          <w:sz w:val="24"/>
          <w:szCs w:val="24"/>
        </w:rPr>
        <w:t>oorly differentiated.</w:t>
      </w:r>
    </w:p>
    <w:p w:rsidR="00E60998" w:rsidRPr="00A25920" w:rsidRDefault="00E60998">
      <w:pPr>
        <w:rPr>
          <w:rFonts w:ascii="Book Antiqua" w:hAnsi="Book Antiqua"/>
          <w:kern w:val="2"/>
          <w:sz w:val="24"/>
          <w:szCs w:val="24"/>
        </w:rPr>
      </w:pPr>
      <w:r w:rsidRPr="00A25920">
        <w:rPr>
          <w:rFonts w:ascii="Book Antiqua" w:hAnsi="Book Antiqua"/>
          <w:kern w:val="2"/>
          <w:sz w:val="24"/>
          <w:szCs w:val="24"/>
        </w:rPr>
        <w:br w:type="page"/>
      </w:r>
    </w:p>
    <w:p w:rsidR="006F5D11" w:rsidRPr="00A25920" w:rsidRDefault="006F5D11" w:rsidP="006F5D11">
      <w:pPr>
        <w:ind w:firstLineChars="49" w:firstLine="118"/>
        <w:rPr>
          <w:rFonts w:ascii="Times New Roman" w:hAnsi="Times New Roman" w:cs="Times New Roman"/>
          <w:sz w:val="24"/>
          <w:szCs w:val="24"/>
        </w:rPr>
      </w:pPr>
      <w:r w:rsidRPr="00A25920">
        <w:rPr>
          <w:rFonts w:ascii="Times New Roman" w:hAnsi="Times New Roman" w:cs="Times New Roman"/>
          <w:sz w:val="24"/>
          <w:szCs w:val="24"/>
        </w:rPr>
        <w:lastRenderedPageBreak/>
        <w:t>COX-2</w:t>
      </w:r>
    </w:p>
    <w:p w:rsidR="00434719" w:rsidRPr="00A25920" w:rsidRDefault="00434719" w:rsidP="00225036">
      <w:pPr>
        <w:widowControl w:val="0"/>
        <w:snapToGrid w:val="0"/>
        <w:spacing w:after="0" w:line="360" w:lineRule="auto"/>
        <w:jc w:val="both"/>
        <w:rPr>
          <w:rFonts w:ascii="Book Antiqua" w:hAnsi="Book Antiqua"/>
          <w:noProof/>
          <w:kern w:val="2"/>
          <w:sz w:val="24"/>
          <w:szCs w:val="24"/>
        </w:rPr>
      </w:pPr>
      <w:r w:rsidRPr="00A25920">
        <w:rPr>
          <w:rFonts w:ascii="Book Antiqua" w:hAnsi="Book Antiqua"/>
          <w:noProof/>
          <w:kern w:val="2"/>
          <w:sz w:val="24"/>
          <w:szCs w:val="24"/>
        </w:rPr>
        <w:drawing>
          <wp:inline distT="0" distB="0" distL="0" distR="0" wp14:anchorId="77A64FC7" wp14:editId="424F6F3E">
            <wp:extent cx="3112135" cy="2363470"/>
            <wp:effectExtent l="19050" t="0" r="0" b="0"/>
            <wp:docPr id="3" name="图片 11" descr="1COX-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COX-2.tif"/>
                    <pic:cNvPicPr/>
                  </pic:nvPicPr>
                  <pic:blipFill>
                    <a:blip r:embed="rId11" cstate="print"/>
                    <a:stretch>
                      <a:fillRect/>
                    </a:stretch>
                  </pic:blipFill>
                  <pic:spPr>
                    <a:xfrm>
                      <a:off x="0" y="0"/>
                      <a:ext cx="3112135" cy="2363470"/>
                    </a:xfrm>
                    <a:prstGeom prst="rect">
                      <a:avLst/>
                    </a:prstGeom>
                  </pic:spPr>
                </pic:pic>
              </a:graphicData>
            </a:graphic>
          </wp:inline>
        </w:drawing>
      </w:r>
      <w:r w:rsidR="00145BFD">
        <w:rPr>
          <w:rFonts w:ascii="Book Antiqua" w:hAnsi="Book Antiqua"/>
          <w:noProof/>
          <w:kern w:val="2"/>
          <w:sz w:val="24"/>
          <w:szCs w:val="24"/>
        </w:rPr>
        <mc:AlternateContent>
          <mc:Choice Requires="wps">
            <w:drawing>
              <wp:anchor distT="0" distB="0" distL="114300" distR="114300" simplePos="0" relativeHeight="251659264" behindDoc="0" locked="0" layoutInCell="1" allowOverlap="1">
                <wp:simplePos x="0" y="0"/>
                <wp:positionH relativeFrom="column">
                  <wp:posOffset>-2152650</wp:posOffset>
                </wp:positionH>
                <wp:positionV relativeFrom="paragraph">
                  <wp:posOffset>1010920</wp:posOffset>
                </wp:positionV>
                <wp:extent cx="785495" cy="293370"/>
                <wp:effectExtent l="0" t="3810" r="5080" b="762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495" cy="293370"/>
                        </a:xfrm>
                        <a:prstGeom prst="rect">
                          <a:avLst/>
                        </a:prstGeom>
                        <a:solidFill>
                          <a:srgbClr val="FFFFFF">
                            <a:alpha val="0"/>
                          </a:srgbClr>
                        </a:solidFill>
                        <a:ln>
                          <a:noFill/>
                        </a:ln>
                        <a:extLst>
                          <a:ext uri="{91240B29-F687-4F45-9708-019B960494DF}">
                            <a14:hiddenLine xmlns:a14="http://schemas.microsoft.com/office/drawing/2010/main" w="0">
                              <a:solidFill>
                                <a:schemeClr val="bg1">
                                  <a:lumMod val="100000"/>
                                  <a:lumOff val="0"/>
                                </a:schemeClr>
                              </a:solidFill>
                              <a:miter lim="800000"/>
                              <a:headEnd/>
                              <a:tailEnd/>
                            </a14:hiddenLine>
                          </a:ext>
                        </a:extLst>
                      </wps:spPr>
                      <wps:txbx>
                        <w:txbxContent>
                          <w:p w:rsidR="00C05F40" w:rsidRPr="00A616DC" w:rsidRDefault="00C05F40" w:rsidP="00434719">
                            <w:pPr>
                              <w:rPr>
                                <w:rFonts w:ascii="Times New Roman" w:hAnsi="Times New Roman" w:cs="Times New Roman"/>
                                <w:b/>
                                <w:sz w:val="24"/>
                                <w:szCs w:val="24"/>
                              </w:rPr>
                            </w:pPr>
                            <w:r w:rsidRPr="00A616DC">
                              <w:rPr>
                                <w:rFonts w:ascii="Times New Roman" w:hAnsi="Times New Roman" w:cs="Times New Roman"/>
                                <w:b/>
                                <w:sz w:val="24"/>
                                <w:szCs w:val="24"/>
                              </w:rPr>
                              <w:t>COX-2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69.5pt;margin-top:79.6pt;width:61.85pt;height:23.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" stroked="f" strokecolor="white [3212]" strokeweight="0">
                <v:fill opacity="0"/>
                <v:textbox>
                  <w:txbxContent>
                    <w:p w:rsidR="00C05F40" w:rsidRPr="00A616DC" w:rsidRDefault="00C05F40" w:rsidP="00434719">
                      <w:pPr>
                        <w:rPr>
                          <w:rFonts w:ascii="Times New Roman" w:hAnsi="Times New Roman" w:cs="Times New Roman"/>
                          <w:b/>
                          <w:sz w:val="24"/>
                          <w:szCs w:val="24"/>
                        </w:rPr>
                      </w:pPr>
                      <w:r w:rsidRPr="00A616DC">
                        <w:rPr>
                          <w:rFonts w:ascii="Times New Roman" w:hAnsi="Times New Roman" w:cs="Times New Roman"/>
                          <w:b/>
                          <w:sz w:val="24"/>
                          <w:szCs w:val="24"/>
                        </w:rPr>
                        <w:t>COX-2</w:t>
                      </w:r>
                    </w:p>
                  </w:txbxContent>
                </v:textbox>
              </v:shape>
            </w:pict>
          </mc:Fallback>
        </mc:AlternateContent>
      </w:r>
    </w:p>
    <w:p w:rsidR="006F5D11" w:rsidRPr="00A25920" w:rsidRDefault="006F5D11" w:rsidP="006F5D11">
      <w:pPr>
        <w:widowControl w:val="0"/>
        <w:snapToGrid w:val="0"/>
        <w:spacing w:after="0" w:line="360" w:lineRule="auto"/>
        <w:ind w:firstLineChars="49" w:firstLine="118"/>
        <w:jc w:val="both"/>
        <w:rPr>
          <w:rFonts w:ascii="Book Antiqua" w:hAnsi="Book Antiqua"/>
          <w:noProof/>
          <w:kern w:val="2"/>
          <w:sz w:val="24"/>
          <w:szCs w:val="24"/>
        </w:rPr>
      </w:pPr>
      <w:r w:rsidRPr="00A25920">
        <w:rPr>
          <w:rFonts w:ascii="Book Antiqua" w:hAnsi="Book Antiqua" w:cs="Times New Roman"/>
          <w:kern w:val="2"/>
          <w:sz w:val="24"/>
          <w:szCs w:val="24"/>
        </w:rPr>
        <w:t>EP</w:t>
      </w:r>
      <w:r w:rsidRPr="00A25920">
        <w:rPr>
          <w:rFonts w:ascii="Book Antiqua" w:hAnsi="Book Antiqua" w:cs="Times New Roman"/>
          <w:kern w:val="2"/>
          <w:sz w:val="24"/>
          <w:szCs w:val="24"/>
          <w:vertAlign w:val="subscript"/>
        </w:rPr>
        <w:t>1</w:t>
      </w:r>
      <w:r w:rsidRPr="00A25920">
        <w:rPr>
          <w:rFonts w:ascii="Book Antiqua" w:hAnsi="Book Antiqua" w:cs="Times New Roman"/>
          <w:kern w:val="2"/>
          <w:sz w:val="24"/>
          <w:szCs w:val="24"/>
        </w:rPr>
        <w:t xml:space="preserve"> receptor</w:t>
      </w:r>
    </w:p>
    <w:p w:rsidR="006F5D11" w:rsidRPr="00A25920" w:rsidRDefault="006F5D11" w:rsidP="00225036">
      <w:pPr>
        <w:widowControl w:val="0"/>
        <w:snapToGrid w:val="0"/>
        <w:spacing w:after="0" w:line="360" w:lineRule="auto"/>
        <w:jc w:val="both"/>
        <w:rPr>
          <w:rFonts w:ascii="Book Antiqua" w:hAnsi="Book Antiqua"/>
          <w:kern w:val="2"/>
          <w:sz w:val="24"/>
          <w:szCs w:val="24"/>
        </w:rPr>
      </w:pPr>
      <w:r w:rsidRPr="00A25920">
        <w:rPr>
          <w:rFonts w:ascii="Book Antiqua" w:hAnsi="Book Antiqua"/>
          <w:noProof/>
          <w:kern w:val="2"/>
          <w:sz w:val="24"/>
          <w:szCs w:val="24"/>
        </w:rPr>
        <w:drawing>
          <wp:inline distT="0" distB="0" distL="0" distR="0" wp14:anchorId="7C6B715D" wp14:editId="40E906CE">
            <wp:extent cx="3120082" cy="2365200"/>
            <wp:effectExtent l="19050" t="0" r="4118" b="0"/>
            <wp:docPr id="4" name="图片 12" descr="1E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EP1.tif"/>
                    <pic:cNvPicPr/>
                  </pic:nvPicPr>
                  <pic:blipFill>
                    <a:blip r:embed="rId12" cstate="print"/>
                    <a:stretch>
                      <a:fillRect/>
                    </a:stretch>
                  </pic:blipFill>
                  <pic:spPr>
                    <a:xfrm>
                      <a:off x="0" y="0"/>
                      <a:ext cx="3120082" cy="2365200"/>
                    </a:xfrm>
                    <a:prstGeom prst="rect">
                      <a:avLst/>
                    </a:prstGeom>
                  </pic:spPr>
                </pic:pic>
              </a:graphicData>
            </a:graphic>
          </wp:inline>
        </w:drawing>
      </w:r>
    </w:p>
    <w:p w:rsidR="00434719" w:rsidRPr="00A25920" w:rsidRDefault="00434719" w:rsidP="00225036">
      <w:pPr>
        <w:widowControl w:val="0"/>
        <w:snapToGrid w:val="0"/>
        <w:spacing w:after="0" w:line="360" w:lineRule="auto"/>
        <w:jc w:val="both"/>
        <w:rPr>
          <w:rFonts w:ascii="Book Antiqua" w:hAnsi="Book Antiqua" w:cs="Times New Roman"/>
          <w:kern w:val="2"/>
          <w:sz w:val="24"/>
          <w:szCs w:val="24"/>
        </w:rPr>
      </w:pPr>
      <w:r w:rsidRPr="00A25920">
        <w:rPr>
          <w:rFonts w:ascii="Book Antiqua" w:hAnsi="Book Antiqua" w:cs="Times New Roman"/>
          <w:b/>
          <w:kern w:val="2"/>
          <w:sz w:val="24"/>
          <w:szCs w:val="24"/>
        </w:rPr>
        <w:t>Figure</w:t>
      </w:r>
      <w:r w:rsidR="009366E8" w:rsidRPr="00A25920">
        <w:rPr>
          <w:rFonts w:ascii="Book Antiqua" w:hAnsi="Book Antiqua" w:cs="Times New Roman" w:hint="eastAsia"/>
          <w:b/>
          <w:kern w:val="2"/>
          <w:sz w:val="24"/>
          <w:szCs w:val="24"/>
        </w:rPr>
        <w:t xml:space="preserve"> </w:t>
      </w:r>
      <w:r w:rsidRPr="00A25920">
        <w:rPr>
          <w:rFonts w:ascii="Book Antiqua" w:hAnsi="Book Antiqua" w:cs="Times New Roman"/>
          <w:b/>
          <w:kern w:val="2"/>
          <w:sz w:val="24"/>
          <w:szCs w:val="24"/>
        </w:rPr>
        <w:t>3</w:t>
      </w:r>
      <w:r w:rsidR="009366E8" w:rsidRPr="00A25920">
        <w:rPr>
          <w:rFonts w:ascii="Book Antiqua" w:hAnsi="Book Antiqua" w:cs="Times New Roman" w:hint="eastAsia"/>
          <w:b/>
          <w:kern w:val="2"/>
          <w:sz w:val="24"/>
          <w:szCs w:val="24"/>
        </w:rPr>
        <w:t xml:space="preserve"> </w:t>
      </w:r>
      <w:r w:rsidRPr="00A25920">
        <w:rPr>
          <w:rFonts w:ascii="Book Antiqua" w:hAnsi="Book Antiqua" w:cs="Times New Roman"/>
          <w:b/>
          <w:kern w:val="2"/>
          <w:sz w:val="24"/>
          <w:szCs w:val="24"/>
        </w:rPr>
        <w:t>Representative micrographs showing different intensities of immunohistochemical stain against COX-2 and EP</w:t>
      </w:r>
      <w:r w:rsidRPr="00A25920">
        <w:rPr>
          <w:rFonts w:ascii="Book Antiqua" w:hAnsi="Book Antiqua" w:cs="Times New Roman"/>
          <w:b/>
          <w:kern w:val="2"/>
          <w:sz w:val="24"/>
          <w:szCs w:val="24"/>
          <w:vertAlign w:val="subscript"/>
        </w:rPr>
        <w:t>1</w:t>
      </w:r>
      <w:r w:rsidRPr="00A25920">
        <w:rPr>
          <w:rFonts w:ascii="Book Antiqua" w:hAnsi="Book Antiqua" w:cs="Times New Roman"/>
          <w:b/>
          <w:kern w:val="2"/>
          <w:sz w:val="24"/>
          <w:szCs w:val="24"/>
        </w:rPr>
        <w:t xml:space="preserve"> receptor in tissues with different histological grades (Edmondson grade I–IV).</w:t>
      </w:r>
      <w:r w:rsidR="009366E8" w:rsidRPr="00A25920">
        <w:rPr>
          <w:rFonts w:ascii="Book Antiqua" w:hAnsi="Book Antiqua" w:hint="eastAsia"/>
          <w:kern w:val="2"/>
          <w:sz w:val="24"/>
          <w:szCs w:val="24"/>
        </w:rPr>
        <w:t xml:space="preserve"> </w:t>
      </w:r>
      <w:r w:rsidRPr="00A25920">
        <w:rPr>
          <w:rFonts w:ascii="Book Antiqua" w:hAnsi="Book Antiqua" w:cs="Times New Roman"/>
          <w:kern w:val="2"/>
          <w:sz w:val="24"/>
          <w:szCs w:val="24"/>
        </w:rPr>
        <w:t>Magnification, 100</w:t>
      </w:r>
      <w:r w:rsidR="009366E8" w:rsidRPr="00A25920">
        <w:rPr>
          <w:rFonts w:ascii="Book Antiqua" w:hAnsi="Book Antiqua" w:cs="Times New Roman" w:hint="eastAsia"/>
          <w:kern w:val="2"/>
          <w:sz w:val="24"/>
          <w:szCs w:val="24"/>
        </w:rPr>
        <w:t xml:space="preserve"> </w:t>
      </w:r>
      <w:r w:rsidRPr="00A25920">
        <w:rPr>
          <w:rFonts w:ascii="Book Antiqua" w:hAnsi="Book Antiqua" w:cs="Times New Roman"/>
          <w:kern w:val="2"/>
          <w:sz w:val="24"/>
          <w:szCs w:val="24"/>
        </w:rPr>
        <w:t>×.</w:t>
      </w:r>
      <w:r w:rsidRPr="00A25920">
        <w:rPr>
          <w:rFonts w:ascii="Book Antiqua" w:hAnsi="Book Antiqua"/>
          <w:kern w:val="2"/>
          <w:sz w:val="24"/>
          <w:szCs w:val="24"/>
        </w:rPr>
        <w:t xml:space="preserve"> </w:t>
      </w:r>
      <w:r w:rsidRPr="00A25920">
        <w:rPr>
          <w:rFonts w:ascii="Book Antiqua" w:hAnsi="Book Antiqua" w:cs="Times New Roman"/>
          <w:kern w:val="2"/>
          <w:sz w:val="24"/>
          <w:szCs w:val="24"/>
        </w:rPr>
        <w:t>COX-2 expression level decreased with lower grade of differentiation, while EP</w:t>
      </w:r>
      <w:r w:rsidRPr="00A25920">
        <w:rPr>
          <w:rFonts w:ascii="Book Antiqua" w:hAnsi="Book Antiqua" w:cs="Times New Roman"/>
          <w:kern w:val="2"/>
          <w:sz w:val="24"/>
          <w:szCs w:val="24"/>
          <w:vertAlign w:val="subscript"/>
        </w:rPr>
        <w:t>1</w:t>
      </w:r>
      <w:r w:rsidRPr="00A25920">
        <w:rPr>
          <w:rFonts w:ascii="Book Antiqua" w:hAnsi="Book Antiqua" w:cs="Times New Roman"/>
          <w:kern w:val="2"/>
          <w:sz w:val="24"/>
          <w:szCs w:val="24"/>
        </w:rPr>
        <w:t xml:space="preserve"> receptor expression increased with lower grade of differentiation.</w:t>
      </w:r>
    </w:p>
    <w:p w:rsidR="00434719" w:rsidRPr="00A25920" w:rsidRDefault="00434719" w:rsidP="00225036">
      <w:pPr>
        <w:widowControl w:val="0"/>
        <w:snapToGrid w:val="0"/>
        <w:spacing w:after="0" w:line="360" w:lineRule="auto"/>
        <w:jc w:val="both"/>
        <w:rPr>
          <w:rFonts w:ascii="Book Antiqua" w:hAnsi="Book Antiqua"/>
          <w:kern w:val="2"/>
          <w:sz w:val="24"/>
          <w:szCs w:val="24"/>
        </w:rPr>
      </w:pPr>
    </w:p>
    <w:sectPr w:rsidR="00434719" w:rsidRPr="00A25920" w:rsidSect="003C7426">
      <w:headerReference w:type="default" r:id="rId1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52E9" w:rsidRDefault="001352E9" w:rsidP="00F03234">
      <w:r>
        <w:separator/>
      </w:r>
    </w:p>
  </w:endnote>
  <w:endnote w:type="continuationSeparator" w:id="0">
    <w:p w:rsidR="001352E9" w:rsidRDefault="001352E9" w:rsidP="00F032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dvPTimes">
    <w:altName w:val="Times New Roman"/>
    <w:panose1 w:val="00000000000000000000"/>
    <w:charset w:val="00"/>
    <w:family w:val="roman"/>
    <w:notTrueType/>
    <w:pitch w:val="default"/>
    <w:sig w:usb0="00000003" w:usb1="00000000" w:usb2="00000000" w:usb3="00000000" w:csb0="00000001" w:csb1="00000000"/>
  </w:font>
  <w:font w:name="AdvP49811">
    <w:altName w:val="Times New Roman"/>
    <w:panose1 w:val="00000000000000000000"/>
    <w:charset w:val="00"/>
    <w:family w:val="roman"/>
    <w:notTrueType/>
    <w:pitch w:val="default"/>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52E9" w:rsidRDefault="001352E9" w:rsidP="00F03234">
      <w:r>
        <w:separator/>
      </w:r>
    </w:p>
  </w:footnote>
  <w:footnote w:type="continuationSeparator" w:id="0">
    <w:p w:rsidR="001352E9" w:rsidRDefault="001352E9" w:rsidP="00F032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F40" w:rsidRDefault="00C05F40" w:rsidP="003B519E">
    <w:pPr>
      <w:pStyle w:val="Header"/>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6"/>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NE.Ref{011EBDC9-C046-4E4D-B6C0-FAEE439A58D8}" w:val=" ADDIN NE.Ref.{011EBDC9-C046-4E4D-B6C0-FAEE439A58D8}&lt;Citation&gt;&lt;Group&gt;&lt;References&gt;&lt;Item&gt;&lt;ID&gt;8338&lt;/ID&gt;&lt;UID&gt;{34A99A7D-77C4-4D54-94B1-6FEA33E48DC1}&lt;/UID&gt;&lt;Title&gt;Artesunate inhibits the growth and induces apoptosis of human gastric cancer cells by downregulating COX-2&lt;/Title&gt;&lt;Template&gt;Journal Article&lt;/Template&gt;&lt;Star&gt;0&lt;/Star&gt;&lt;Tag&gt;0&lt;/Tag&gt;&lt;Author&gt;Zhang, P; Luo, H S; Li, M; Tan, S Y&lt;/Author&gt;&lt;Year&gt;2015&lt;/Year&gt;&lt;Details&gt;&lt;_accession_num&gt;25945055&lt;/_accession_num&gt;&lt;_author_adr&gt;Department of Gastroenterology, Renmin Hospital of Wuhan University, Wuhan, Hubei Province, People&amp;apos;s Republic of China.; Department of Gastroenterology, Renmin Hospital of Wuhan University, Wuhan, Hubei Province, People&amp;apos;s Republic of China.; Department of Gastroenterology, Renmin Hospital of Wuhan University, Wuhan, Hubei Province, People&amp;apos;s Republic of China.; Department of Gastroenterology, Renmin Hospital of Wuhan University, Wuhan, Hubei Province, People&amp;apos;s Republic of China.&lt;/_author_adr&gt;&lt;_created&gt;61149207&lt;/_created&gt;&lt;_date&gt;2015-01-20&lt;/_date&gt;&lt;_date_display&gt;2015&lt;/_date_display&gt;&lt;_doi&gt;10.2147/OTT.S81041&lt;/_doi&gt;&lt;_impact_factor&gt;   2.311&lt;/_impact_factor&gt;&lt;_isbn&gt;1178-6930 (Electronic); 1178-6930 (Linking)&lt;/_isbn&gt;&lt;_journal&gt;Onco Targets Ther&lt;/_journal&gt;&lt;_keywords&gt;COX-2; apoptosis; artesunate; gastric cancer cells&lt;/_keywords&gt;&lt;_language&gt;eng&lt;/_language&gt;&lt;_modified&gt;61149214&lt;/_modified&gt;&lt;_pages&gt;845-54&lt;/_pages&gt;&lt;_tertiary_title&gt;OncoTargets and therapy&lt;/_tertiary_title&gt;&lt;_type_work&gt;Journal Article&lt;/_type_work&gt;&lt;_url&gt;http://www.ncbi.nlm.nih.gov/entrez/query.fcgi?cmd=Retrieve&amp;amp;db=pubmed&amp;amp;dopt=Abstract&amp;amp;list_uids=25945055&amp;amp;query_hl=1&lt;/_url&gt;&lt;_volume&gt;8&lt;/_volume&gt;&lt;/Details&gt;&lt;Extra&gt;&lt;DBUID&gt;{DE509FB4-0C85-4E2B-BBB9-210FED694D73}&lt;/DBUID&gt;&lt;/Extra&gt;&lt;/Item&gt;&lt;/References&gt;&lt;/Group&gt;&lt;Group&gt;&lt;References&gt;&lt;Item&gt;&lt;ID&gt;8339&lt;/ID&gt;&lt;UID&gt;{1BCC8A7C-9458-4AC3-9310-AC8F2AD906E2}&lt;/UID&gt;&lt;Title&gt;P50-associated COX-2 extragenic RNA (PACER) overexpression promotes proliferation and metastasis of osteosarcoma cells by activating COX-2 gene&lt;/Title&gt;&lt;Template&gt;Journal Article&lt;/Template&gt;&lt;Star&gt;0&lt;/Star&gt;&lt;Tag&gt;0&lt;/Tag&gt;&lt;Author&gt;Qian, M; Yang, X; Li, Z; Jiang, C; Song, D; Yan, W; Liu, T; Wu, Z; Kong, J; Wei, H; Xiao, J&lt;/Author&gt;&lt;Year&gt;2015&lt;/Year&gt;&lt;Details&gt;&lt;_accession_num&gt;26476537&lt;/_accession_num&gt;&lt;_author_adr&gt;Spine Tumor Center, Changzheng Hospital, Second Military Medical University, Fengyang Rd 415#, Huangpu District, Shanghai, China.; Spine Tumor Center, Changzheng Hospital, Second Military Medical University, Fengyang Rd 415#, Huangpu District, Shanghai, China.; Spine Tumor Center, Changzheng Hospital, Second Military Medical University, Fengyang Rd 415#, Huangpu District, Shanghai, China.; Spine Tumor Center, Changzheng Hospital, Second Military Medical University, Fengyang Rd 415#, Huangpu District, Shanghai, China.; Spine Tumor Center, Changzheng Hospital, Second Military Medical University, Fengyang Rd 415#, Huangpu District, Shanghai, China.; Spine Tumor Center, Changzheng Hospital, Second Military Medical University, Fengyang Rd 415#, Huangpu District, Shanghai, China.; Spine Tumor Center, Changzheng Hospital, Second Military Medical University, Fengyang Rd 415#, Huangpu District, Shanghai, China.; Spine Tumor Center, Changzheng Hospital, Second Military Medical University, Fengyang Rd 415#, Huangpu District, Shanghai, China.; Spine Tumor Center, Changzheng Hospital, Second Military Medical University, Fengyang Rd 415#, Huangpu District, Shanghai, China.; Spine Tumor Center, Changzheng Hospital, Second Military Medical University, Fengyang Rd 415#, Huangpu District, Shanghai, China. drhfwei@126.com.; Spine Tumor Center, Changzheng Hospital, Second Military Medical University, Fengyang Rd 415#, Huangpu District, Shanghai, China. drxiaojianru@163.com.&lt;/_author_adr&gt;&lt;_created&gt;61149208&lt;/_created&gt;&lt;_date&gt;2015-10-17&lt;/_date&gt;&lt;_date_display&gt;2015 Oct 17&lt;/_date_display&gt;&lt;_doi&gt;10.1007/s13277-015-3838-8&lt;/_doi&gt;&lt;_impact_factor&gt;   3.611&lt;/_impact_factor&gt;&lt;_isbn&gt;1423-0380 (Electronic); 1010-4283 (Linking)&lt;/_isbn&gt;&lt;_journal&gt;Tumour Biol&lt;/_journal&gt;&lt;_keywords&gt;Cell invasion; Cell proliferation; DNA methylation; Long noncoding RNA; Osteosarcoma; P50-associated COX-2 extragenic RNA&lt;/_keywords&gt;&lt;_language&gt;ENG&lt;/_language&gt;&lt;_modified&gt;61149214&lt;/_modified&gt;&lt;_tertiary_title&gt;Tumour biology : the journal of the International Society for Oncodevelopmental_x000d__x000a_      Biology and Medicine&lt;/_tertiary_title&gt;&lt;_type_work&gt;JOURNAL ARTICLE&lt;/_type_work&gt;&lt;_url&gt;http://www.ncbi.nlm.nih.gov/entrez/query.fcgi?cmd=Retrieve&amp;amp;db=pubmed&amp;amp;dopt=Abstract&amp;amp;list_uids=26476537&amp;amp;query_hl=1&lt;/_url&gt;&lt;/Details&gt;&lt;Extra&gt;&lt;DBUID&gt;{DE509FB4-0C85-4E2B-BBB9-210FED694D73}&lt;/DBUID&gt;&lt;/Extra&gt;&lt;/Item&gt;&lt;/References&gt;&lt;/Group&gt;&lt;Group&gt;&lt;References&gt;&lt;Item&gt;&lt;ID&gt;8340&lt;/ID&gt;&lt;UID&gt;{FEDE4868-9A94-4733-A19A-1231E5111C0E}&lt;/UID&gt;&lt;Title&gt;Micro ribonucleic acid (RNA)-101 inhibits cell proliferation and invasion of lung cancer by regulating cyclooxygenase-2&lt;/Title&gt;&lt;Template&gt;Journal Article&lt;/Template&gt;&lt;Star&gt;0&lt;/Star&gt;&lt;Tag&gt;0&lt;/Tag&gt;&lt;Author&gt;Lv, P; Zhang, P; Li, X; Chen, Y&lt;/Author&gt;&lt;Year&gt;2015&lt;/Year&gt;&lt;Details&gt;&lt;_accession_num&gt;26557918&lt;/_accession_num&gt;&lt;_author_adr&gt;Department of Cardiothoracic Surgery, Tianjin Medical University General Hospital Tianjin, China.; Department of Cardiothoracic Surgery, Tianjin Medical University General Hospital Tianjin, China.; Department of Cardiothoracic Surgery, Tianjin Medical University General Hospital Tianjin, China.; Department of Cardiothoracic Surgery, Tianjin Medical University General Hospital Tianjin, China.&lt;/_author_adr&gt;&lt;_collection_scope&gt;SCIE;&lt;/_collection_scope&gt;&lt;_created&gt;61149208&lt;/_created&gt;&lt;_date&gt;2015-11-01&lt;/_date&gt;&lt;_date_display&gt;2015 Nov&lt;/_date_display&gt;&lt;_doi&gt;10.1111/1759-7714.12283&lt;/_doi&gt;&lt;_impact_factor&gt;   0.898&lt;/_impact_factor&gt;&lt;_isbn&gt;1759-7706 (Print); 1759-7706 (Linking)&lt;/_isbn&gt;&lt;_issue&gt;6&lt;/_issue&gt;&lt;_journal&gt;Thorac Cancer&lt;/_journal&gt;&lt;_keywords&gt;COX-2; lung cancer; miRNA-101&lt;/_keywords&gt;&lt;_language&gt;eng&lt;/_language&gt;&lt;_modified&gt;61149214&lt;/_modified&gt;&lt;_pages&gt;778-84&lt;/_pages&gt;&lt;_tertiary_title&gt;Thoracic cancer&lt;/_tertiary_title&gt;&lt;_type_work&gt;Journal Article&lt;/_type_work&gt;&lt;_url&gt;http://www.ncbi.nlm.nih.gov/entrez/query.fcgi?cmd=Retrieve&amp;amp;db=pubmed&amp;amp;dopt=Abstract&amp;amp;list_uids=26557918&amp;amp;query_hl=1&lt;/_url&gt;&lt;_volume&gt;6&lt;/_volume&gt;&lt;/Details&gt;&lt;Extra&gt;&lt;DBUID&gt;{DE509FB4-0C85-4E2B-BBB9-210FED694D73}&lt;/DBUID&gt;&lt;/Extra&gt;&lt;/Item&gt;&lt;/References&gt;&lt;/Group&gt;&lt;/Citation&gt;_x000a_"/>
    <w:docVar w:name="NE.Ref{05A458E8-6D57-42A1-BA84-A15E6D8767BC}" w:val=" ADDIN NE.Ref.{05A458E8-6D57-42A1-BA84-A15E6D8767BC}&lt;Citation&gt;&lt;Group&gt;&lt;References&gt;&lt;Item&gt;&lt;ID&gt;8355&lt;/ID&gt;&lt;UID&gt;{673C4100-9C15-424C-886B-9C85B4D13931}&lt;/UID&gt;&lt;Title&gt;Lysyl oxidase plays a critical role in endothelial cell stimulation to drive tumor angiogenesis&lt;/Title&gt;&lt;Template&gt;Journal Article&lt;/Template&gt;&lt;Star&gt;0&lt;/Star&gt;&lt;Tag&gt;0&lt;/Tag&gt;&lt;Author&gt;Baker, A M; Bird, D; Welti, J C; Gourlaouen, M; Lang, G; Murray, G I; Reynolds, A R; Cox, T R; Erler, J T&lt;/Author&gt;&lt;Year&gt;2013&lt;/Year&gt;&lt;Details&gt;&lt;_accession_num&gt;23188504&lt;/_accession_num&gt;&lt;_author_adr&gt;Hypoxia and Metastasis Team, The Institute of Cancer Research, London, UK.&lt;/_author_adr&gt;&lt;_collection_scope&gt;SCI;SCIE;&lt;/_collection_scope&gt;&lt;_created&gt;61149211&lt;/_created&gt;&lt;_date&gt;2013-01-15&lt;/_date&gt;&lt;_date_display&gt;2013 Jan 15&lt;/_date_display&gt;&lt;_doi&gt;10.1158/0008-5472.CAN-12-2447&lt;/_doi&gt;&lt;_impact_factor&gt;   9.329&lt;/_impact_factor&gt;&lt;_isbn&gt;1538-7445 (Electronic); 0008-5472 (Linking)&lt;/_isbn&gt;&lt;_issue&gt;2&lt;/_issue&gt;&lt;_journal&gt;Cancer Res&lt;/_journal&gt;&lt;_keywords&gt;Animals; Breast Neoplasms/metabolism; Cell Line, Tumor; Cell Movement; Colorectal Neoplasms/*blood supply/*metabolism; Endothelial Cells/*metabolism/pathology; Female; Humans; Mice; Mice, Nude; Neoplasm Transplantation; Neovascularization, Pathologic/*metabolism; Protein-Lysine 6-Oxidase/antagonists &amp;amp; inhibitors/*metabolism; Signal Transduction; Vascular Endothelial Growth Factor A/metabolism&lt;/_keywords&gt;&lt;_language&gt;eng&lt;/_language&gt;&lt;_modified&gt;61149214&lt;/_modified&gt;&lt;_pages&gt;583-94&lt;/_pages&gt;&lt;_tertiary_title&gt;Cancer research&lt;/_tertiary_title&gt;&lt;_type_work&gt;Journal Article; Research Support, Non-U.S. Gov&amp;apos;t&lt;/_type_work&gt;&lt;_url&gt;http://www.ncbi.nlm.nih.gov/entrez/query.fcgi?cmd=Retrieve&amp;amp;db=pubmed&amp;amp;dopt=Abstract&amp;amp;list_uids=23188504&amp;amp;query_hl=1&lt;/_url&gt;&lt;_volume&gt;73&lt;/_volume&gt;&lt;/Details&gt;&lt;Extra&gt;&lt;DBUID&gt;{DE509FB4-0C85-4E2B-BBB9-210FED694D73}&lt;/DBUID&gt;&lt;/Extra&gt;&lt;/Item&gt;&lt;/References&gt;&lt;/Group&gt;&lt;/Citation&gt;_x000a_"/>
    <w:docVar w:name="NE.Ref{12108727-77B2-461D-9A33-0CF64D8B5E82}" w:val=" ADDIN NE.Ref.{12108727-77B2-461D-9A33-0CF64D8B5E82}&lt;Citation&gt;&lt;Group&gt;&lt;References&gt;&lt;Item&gt;&lt;ID&gt;8354&lt;/ID&gt;&lt;UID&gt;{6C9E7181-C236-423E-9DB6-8708C6FB5A3D}&lt;/UID&gt;&lt;Title&gt;Adjuvant therapy with capecitabine postpones recurrence of hepatocellular carcinoma after curative resection: a randomized controlled trial&lt;/Title&gt;&lt;Template&gt;Journal Article&lt;/Template&gt;&lt;Star&gt;0&lt;/Star&gt;&lt;Tag&gt;0&lt;/Tag&gt;&lt;Author&gt;Xia, Y; Qiu, Y; Li, J; Shi, L; Wang, K; Xi, T; Shen, F; Yan, Z; Wu, M&lt;/Author&gt;&lt;Year&gt;2010&lt;/Year&gt;&lt;Details&gt;&lt;_accession_num&gt;20602260&lt;/_accession_num&gt;&lt;_author_adr&gt;The First Department of Comprehensive Treatment, Eastern Hepatobiliary Surgery Hospital, Second Military Medical University, Shanghai, China.&lt;/_author_adr&gt;&lt;_collection_scope&gt;SCI;SCIE;&lt;/_collection_scope&gt;&lt;_created&gt;61149211&lt;/_created&gt;&lt;_date&gt;2010-12-01&lt;/_date&gt;&lt;_date_display&gt;2010 Dec&lt;/_date_display&gt;&lt;_doi&gt;10.1245/s10434-010-1148-3&lt;/_doi&gt;&lt;_impact_factor&gt;   3.930&lt;/_impact_factor&gt;&lt;_isbn&gt;1534-4681 (Electronic); 1068-9265 (Linking)&lt;/_isbn&gt;&lt;_issue&gt;12&lt;/_issue&gt;&lt;_journal&gt;Ann Surg Oncol&lt;/_journal&gt;&lt;_keywords&gt;Adolescent; Adult; Aged; Antimetabolites, Antineoplastic/therapeutic use; Capecitabine; Carcinoma, Hepatocellular/*drug therapy/pathology/*surgery; Chemotherapy, Adjuvant; Combined Modality Therapy; Deoxycytidine/*analogs &amp;amp; derivatives/therapeutic use; Female; Fluorouracil/*analogs &amp;amp; derivatives/therapeutic use; Follow-Up Studies; *Hepatectomy; Humans; Liver Neoplasms/*drug therapy/pathology/*surgery; Male; Middle Aged; Neoplasm Invasiveness; Neoplasm Recurrence, Local/*prevention &amp;amp; control; Neoplasm Staging; Postoperative Care; Prospective Studies; Survival Rate; Treatment Outcome; Young Adult&lt;/_keywords&gt;&lt;_language&gt;eng&lt;/_language&gt;&lt;_modified&gt;61149214&lt;/_modified&gt;&lt;_pages&gt;3137-44&lt;/_pages&gt;&lt;_tertiary_title&gt;Annals of surgical oncology&lt;/_tertiary_title&gt;&lt;_type_work&gt;Journal Article; Randomized Controlled Trial; Research Support, Non-U.S. Gov&amp;apos;t&lt;/_type_work&gt;&lt;_url&gt;http://www.ncbi.nlm.nih.gov/entrez/query.fcgi?cmd=Retrieve&amp;amp;db=pubmed&amp;amp;dopt=Abstract&amp;amp;list_uids=20602260&amp;amp;query_hl=1&lt;/_url&gt;&lt;_volume&gt;17&lt;/_volume&gt;&lt;/Details&gt;&lt;Extra&gt;&lt;DBUID&gt;{DE509FB4-0C85-4E2B-BBB9-210FED694D73}&lt;/DBUID&gt;&lt;/Extra&gt;&lt;/Item&gt;&lt;/References&gt;&lt;/Group&gt;&lt;/Citation&gt;_x000a_"/>
    <w:docVar w:name="NE.Ref{1A6716DB-7013-489F-BF6E-8443D5DA3D0D}" w:val=" ADDIN NE.Ref.{1A6716DB-7013-489F-BF6E-8443D5DA3D0D} ADDIN NE.Ref.{1A6716DB-7013-489F-BF6E-8443D5DA3D0D}&lt;Citation&gt;&lt;Group&gt;&lt;References&gt;&lt;Item&gt;&lt;ID&gt;8377&lt;/ID&gt;&lt;UID&gt;{A1DEB816-BA8B-4762-B48F-782C8BD9D24E}&lt;/UID&gt;&lt;Title&gt;Hepatectomy for hepatocellular carcinoma: toward zero hospital deaths&lt;/Title&gt;&lt;Template&gt;Journal Article&lt;/Template&gt;&lt;Star&gt;0&lt;/Star&gt;&lt;Tag&gt;0&lt;/Tag&gt;&lt;Author&gt;Fan, S T; Lo, C M; Liu, C L; Lam, C M; Yuen, W K; Yeung, C; Wong, J&lt;/Author&gt;&lt;Year&gt;1999&lt;/Year&gt;&lt;Details&gt;&lt;_accession_num&gt;10077043&lt;/_accession_num&gt;&lt;_author_adr&gt;Department of Surgery, The University of Hong Kong, Queen Mary Hospital, Hong Kong.&lt;/_author_adr&gt;&lt;_date_display&gt;1999 Mar&lt;/_date_display&gt;&lt;_date&gt;1999-03-01&lt;/_date&gt;&lt;_isbn&gt;0003-4932 (Print); 0003-4932 (Linking)&lt;/_isbn&gt;&lt;_issue&gt;3&lt;/_issue&gt;&lt;_journal&gt;Ann Surg&lt;/_journal&gt;&lt;_keywords&gt;Adolescent; Adult; Aged; Aged, 80 and over; Carcinoma, Hepatocellular/*surgery; Child; Child, Preschool; Female; Hepatectomy/methods/*mortality; *Hospital Mortality; Humans; Liver Neoplasms/*surgery; Male; Middle Aged; Postoperative Care; Postoperative Complications/epidemiology; Preoperative Care; Prospective Studies&lt;/_keywords&gt;&lt;_language&gt;eng&lt;/_language&gt;&lt;_pages&gt;322-30&lt;/_pages&gt;&lt;_tertiary_title&gt;Annals of surgery&lt;/_tertiary_title&gt;&lt;_type_work&gt;Journal Article; Research Support, Non-U.S. Gov&amp;apos;t&lt;/_type_work&gt;&lt;_url&gt;http://www.ncbi.nlm.nih.gov/entrez/query.fcgi?cmd=Retrieve&amp;amp;db=pubmed&amp;amp;dopt=Abstract&amp;amp;list_uids=10077043&amp;amp;query_hl=1&lt;/_url&gt;&lt;_volume&gt;229&lt;/_volume&gt;&lt;_created&gt;60927689&lt;/_created&gt;&lt;_modified&gt;60927689&lt;/_modified&gt;&lt;_impact_factor&gt;   8.327&lt;/_impact_factor&gt;&lt;_collection_scope&gt;SCI;SCIE;&lt;/_collection_scope&gt;&lt;/Details&gt;&lt;Extra&gt;&lt;DBUID&gt;{DE509FB4-0C85-4E2B-BBB9-210FED694D73}&lt;/DBUID&gt;&lt;/Extra&gt;&lt;/Item&gt;&lt;/References&gt;&lt;/Group&gt;&lt;/Citation&gt;_x000a_"/>
    <w:docVar w:name="NE.Ref{1E144D41-43BF-4A6A-A4A3-0A54AC6CA379}" w:val=" ADDIN NE.Ref.{1E144D41-43BF-4A6A-A4A3-0A54AC6CA379} ADDIN NE.Ref.{1E144D41-43BF-4A6A-A4A3-0A54AC6CA379}&lt;Citation&gt;&lt;Group&gt;&lt;References&gt;&lt;Item&gt;&lt;ID&gt;8405&lt;/ID&gt;&lt;UID&gt;{0423E0F1-BE44-4F1A-82C2-0F1A693734A7}&lt;/UID&gt;&lt;Title&gt;Chemopreventive effects of ONO-8711, a selective prostaglandin E receptor EP(1) antagonist, on breast cancer development&lt;/Title&gt;&lt;Template&gt;Journal Article&lt;/Template&gt;&lt;Star&gt;0&lt;/Star&gt;&lt;Tag&gt;0&lt;/Tag&gt;&lt;Author&gt;Kawamori, T; Uchiya, N; Nakatsugi, S; Watanabe, K; Ohuchida, S; Yamamoto, H; Maruyama, T; Kondo, K; Sugimura, T; Wakabayashi, K&lt;/Author&gt;&lt;Year&gt;2001&lt;/Year&gt;&lt;Details&gt;&lt;_accession_num&gt;11751431&lt;/_accession_num&gt;&lt;_author_adr&gt;Cancer Prevention Division, National Cancer Center Research Institute, 1-1 Tsukiji 5-chome, Chuo-ku, Tokyo 104-0045. tkawamor@gan2.ncc.go.jp&lt;/_author_adr&gt;&lt;_date_display&gt;2001 Dec&lt;/_date_display&gt;&lt;_date&gt;2001-12-01&lt;/_date&gt;&lt;_isbn&gt;0143-3334 (Print); 0143-3334 (Linking)&lt;/_isbn&gt;&lt;_issue&gt;12&lt;/_issue&gt;&lt;_journal&gt;Carcinogenesis&lt;/_journal&gt;&lt;_keywords&gt;Animals; Apoptosis/drug effects; *Bicyclo Compounds/chemistry/*pharmacology/*therapeutic use; Body Weight/drug effects; *Caproates/chemistry/*pharmacology/*therapeutic use; Carcinogens/pharmacology; Cell Division/drug effects; Female; Imidazoles/pharmacology; Mammary Neoplasms, Experimental/chemically induced/*drug therapy/prevention &amp;amp;_x000a_      control; Polymerase Chain Reaction; RNA, Messenger/genetics/metabolism; Rats; Rats, Sprague-Dawley; Receptors, Prostaglandin E/*antagonists &amp;amp; inhibitors/metabolism; Receptors, Prostaglandin E, EP1 Subtype&lt;/_keywords&gt;&lt;_language&gt;eng&lt;/_language&gt;&lt;_pages&gt;2001-4&lt;/_pages&gt;&lt;_tertiary_title&gt;Carcinogenesis&lt;/_tertiary_title&gt;&lt;_type_work&gt;Journal Article; Research Support, Non-U.S. Gov&amp;apos;t&lt;/_type_work&gt;&lt;_url&gt;http://www.ncbi.nlm.nih.gov/entrez/query.fcgi?cmd=Retrieve&amp;amp;db=pubmed&amp;amp;dopt=Abstract&amp;amp;list_uids=11751431&amp;amp;query_hl=1&lt;/_url&gt;&lt;_volume&gt;22&lt;/_volume&gt;&lt;_created&gt;60952939&lt;/_created&gt;&lt;_modified&gt;60952939&lt;/_modified&gt;&lt;_impact_factor&gt;   5.334&lt;/_impact_factor&gt;&lt;_collection_scope&gt;SCI;SCIE;&lt;/_collection_scope&gt;&lt;/Details&gt;&lt;Extra&gt;&lt;DBUID&gt;{DE509FB4-0C85-4E2B-BBB9-210FED694D73}&lt;/DBUID&gt;&lt;/Extra&gt;&lt;/Item&gt;&lt;/References&gt;&lt;/Group&gt;&lt;Group&gt;&lt;References&gt;&lt;Item&gt;&lt;ID&gt;8406&lt;/ID&gt;&lt;UID&gt;{5CCF5E7C-5133-4D41-9E8F-651B47B0540C}&lt;/UID&gt;&lt;Title&gt;Importance of the EP(1) receptor in cutaneous UVB-induced inflammation and tumor  development&lt;/Title&gt;&lt;Template&gt;Journal Article&lt;/Template&gt;&lt;Star&gt;0&lt;/Star&gt;&lt;Tag&gt;0&lt;/Tag&gt;&lt;Author&gt;Tober, K L; Wilgus, T A; Kusewitt, D F; Thomas-Ahner, J M; Maruyama, T; Oberyszyn, T M&lt;/Author&gt;&lt;Year&gt;2006&lt;/Year&gt;&lt;Details&gt;&lt;_accession_num&gt;16417238&lt;/_accession_num&gt;&lt;_author_adr&gt;Department of Pathology, The Ohio State University, Columbus, Ohio 43210, USA.&lt;/_author_adr&gt;&lt;_date_display&gt;2006 Jan&lt;/_date_display&gt;&lt;_date&gt;2006-01-01&lt;/_date&gt;&lt;_doi&gt;10.1038/sj.jid.5700014&lt;/_doi&gt;&lt;_isbn&gt;0022-202X (Print); 0022-202X (Linking)&lt;/_isbn&gt;&lt;_issue&gt;1&lt;/_issue&gt;&lt;_journal&gt;J Invest Dermatol&lt;/_journal&gt;&lt;_keywords&gt;Animals; Cinnamates/therapeutic use; Cyclooxygenase Inhibitors/therapeutic use; Dermatitis/drug therapy/*etiology; Female; Keratinocytes/chemistry; Mice; Mice, Hairless; Pyrazoles/therapeutic use; Receptors, Prostaglandin E/analysis/*antagonists &amp;amp; inhibitors/*physiology; Receptors, Prostaglandin E, EP1 Subtype; Skin/pathology/*radiation effects; Skin Neoplasms/drug therapy/*etiology; Sulfonamides/therapeutic use; Tumor Suppressor Protein p53/analysis; *Ultraviolet Rays&lt;/_keywords&gt;&lt;_language&gt;eng&lt;/_language&gt;&lt;_pages&gt;205-11&lt;/_pages&gt;&lt;_tertiary_title&gt;The Journal of investigative dermatology&lt;/_tertiary_title&gt;&lt;_type_work&gt;Journal Article; Research Support, N.I.H., Extramural&lt;/_type_work&gt;&lt;_url&gt;http://www.ncbi.nlm.nih.gov/entrez/query.fcgi?cmd=Retrieve&amp;amp;db=pubmed&amp;amp;dopt=Abstract&amp;amp;list_uids=16417238&amp;amp;query_hl=1&lt;/_url&gt;&lt;_volume&gt;126&lt;/_volume&gt;&lt;_created&gt;60952941&lt;/_created&gt;&lt;_modified&gt;60952941&lt;/_modified&gt;&lt;_impact_factor&gt;   7.216&lt;/_impact_factor&gt;&lt;_collection_scope&gt;SCI;SCIE;&lt;/_collection_scope&gt;&lt;/Details&gt;&lt;Extra&gt;&lt;DBUID&gt;{DE509FB4-0C85-4E2B-BBB9-210FED694D73}&lt;/DBUID&gt;&lt;/Extra&gt;&lt;/Item&gt;&lt;/References&gt;&lt;/Group&gt;&lt;/Citation&gt;_x000a_"/>
    <w:docVar w:name="NE.Ref{204E2641-13C1-40D7-A3C9-170C1F7507FE}" w:val=" ADDIN NE.Ref.{204E2641-13C1-40D7-A3C9-170C1F7507FE} ADDIN NE.Ref.{204E2641-13C1-40D7-A3C9-170C1F7507FE}&lt;Citation&gt;&lt;Group&gt;&lt;References&gt;&lt;Item&gt;&lt;ID&gt;8376&lt;/ID&gt;&lt;UID&gt;{9ACD2FC2-5F7F-4F00-BF99-AFF99E023AF5}&lt;/UID&gt;&lt;Title&gt;Differential expression of E-prostanoid receptors in human hepatocellular carcinoma&lt;/Title&gt;&lt;Template&gt;Journal Article&lt;/Template&gt;&lt;Star&gt;0&lt;/Star&gt;&lt;Tag&gt;0&lt;/Tag&gt;&lt;Author&gt;Breinig, M; Rieker, R; Eiteneuer, E; Wertenbruch, T; Haugg, A M; Helmke, B M; Schirmacher, P; Kern, M A&lt;/Author&gt;&lt;Year&gt;2008&lt;/Year&gt;&lt;Details&gt;&lt;_accession_num&gt;17918156&lt;/_accession_num&gt;&lt;_author_adr&gt;Department of General Pathology, University Hospital, 69120 Heidelberg, Germany.&lt;/_author_adr&gt;&lt;_date_display&gt;2008 Feb 1&lt;/_date_display&gt;&lt;_date&gt;2008-02-01&lt;/_date&gt;&lt;_doi&gt;10.1002/ijc.23098&lt;/_doi&gt;&lt;_isbn&gt;1097-0215 (Electronic); 0020-7136 (Linking)&lt;/_isbn&gt;&lt;_issue&gt;3&lt;/_issue&gt;&lt;_journal&gt;Int J Cancer&lt;/_journal&gt;&lt;_keywords&gt;Apoptosis/*drug effects; Blotting, Western; Carcinoma, Hepatocellular/etiology/*metabolism/pathology; Cell Survival/drug effects; Cyclooxygenase 2/*metabolism; Female; Humans; Immunoenzyme Techniques; Intramolecular Oxidoreductases/metabolism; Liver/drug effects/metabolism/pathology; Liver Cirrhosis/etiology/metabolism/pathology; Liver Neoplasms/etiology/metabolism/pathology; Male; Receptors, Prostaglandin E/*metabolism; Tissue Array Analysis&lt;/_keywords&gt;&lt;_language&gt;eng&lt;/_language&gt;&lt;_ori_publication&gt;(c) 2007 Wiley-Liss, Inc.&lt;/_ori_publication&gt;&lt;_pages&gt;547-57&lt;/_pages&gt;&lt;_tertiary_title&gt;International journal of cancer. Journal international du cancer&lt;/_tertiary_title&gt;&lt;_type_work&gt;Comparative Study; Journal Article; Research Support, Non-U.S. Gov&amp;apos;t&lt;/_type_work&gt;&lt;_url&gt;http://www.ncbi.nlm.nih.gov/entrez/query.fcgi?cmd=Retrieve&amp;amp;db=pubmed&amp;amp;dopt=Abstract&amp;amp;list_uids=17918156&amp;amp;query_hl=1&lt;/_url&gt;&lt;_volume&gt;122&lt;/_volume&gt;&lt;_created&gt;60927389&lt;/_created&gt;&lt;_modified&gt;60927389&lt;/_modified&gt;&lt;_impact_factor&gt;   5.085&lt;/_impact_factor&gt;&lt;_collection_scope&gt;SCI;SCIE;&lt;/_collection_scope&gt;&lt;/Details&gt;&lt;Extra&gt;&lt;DBUID&gt;{DE509FB4-0C85-4E2B-BBB9-210FED694D73}&lt;/DBUID&gt;&lt;/Extra&gt;&lt;/Item&gt;&lt;/References&gt;&lt;/Group&gt;&lt;/Citation&gt;_x000a_"/>
    <w:docVar w:name="NE.Ref{2B061673-0517-446D-8D1A-232BABFC9D0C}" w:val=" ADDIN NE.Ref.{2B061673-0517-446D-8D1A-232BABFC9D0C} ADDIN NE.Ref.{2B061673-0517-446D-8D1A-232BABFC9D0C}&lt;Citation&gt;&lt;Group&gt;&lt;References&gt;&lt;Item&gt;&lt;ID&gt;8364&lt;/ID&gt;&lt;UID&gt;{0B674862-8EB9-4729-8254-B4145CB76ECA}&lt;/UID&gt;&lt;Title&gt;Global cancer statistics, 2012&lt;/Title&gt;&lt;Template&gt;Journal Article&lt;/Template&gt;&lt;Star&gt;0&lt;/Star&gt;&lt;Tag&gt;0&lt;/Tag&gt;&lt;Author&gt;Torre, L A; Bray, F; Siegel, R L; Ferlay, J; Lortet-Tieulent, J; Jemal, A&lt;/Author&gt;&lt;Year&gt;2015&lt;/Year&gt;&lt;Details&gt;&lt;_accession_num&gt;25651787&lt;/_accession_num&gt;&lt;_author_adr&gt;Epidemiologist, Surveillance and Health Services Research, American Cancer Society, Atlanta, GA.&lt;/_author_adr&gt;&lt;_date_display&gt;2015 Mar&lt;/_date_display&gt;&lt;_date&gt;2015-03-01&lt;/_date&gt;&lt;_doi&gt;10.3322/caac.21262&lt;/_doi&gt;&lt;_isbn&gt;1542-4863 (Electronic); 0007-9235 (Linking)&lt;/_isbn&gt;&lt;_issue&gt;2&lt;/_issue&gt;&lt;_journal&gt;CA Cancer J Clin&lt;/_journal&gt;&lt;_keywords&gt;Body Mass Index; Breast Neoplasms/epidemiology; Colorectal Neoplasms/epidemiology; Developed Countries/*statistics &amp;amp; numerical data; Developing Countries/*statistics &amp;amp; numerical data; Female; Global Health; Humans; Incidence; Liver Neoplasms/epidemiology; Lung Neoplasms/epidemiology; Male; Neoplasms/diagnosis/*epidemiology/etiology/mortality/prevention &amp;amp; control/therapy; Overweight/epidemiology; Poverty; Prevalence; Prostatic Neoplasms/epidemiology; Risk Factors; Sedentary Lifestyle; Smoking/adverse effects; Stomach Neoplasms/epidemiology; Survival Rate; Uterine Cervical Neoplasms/epidemiologycancer; epidemiology; health disparities; incidence; survival&lt;/_keywords&gt;&lt;_language&gt;eng&lt;/_language&gt;&lt;_ori_publication&gt;(c) 2015 American Cancer Society.&lt;/_ori_publication&gt;&lt;_pages&gt;87-108&lt;/_pages&gt;&lt;_tertiary_title&gt;CA: a cancer journal for clinicians&lt;/_tertiary_title&gt;&lt;_type_work&gt;Journal Article&lt;/_type_work&gt;&lt;_url&gt;http://www.ncbi.nlm.nih.gov/entrez/query.fcgi?cmd=Retrieve&amp;amp;db=pubmed&amp;amp;dopt=Abstract&amp;amp;list_uids=25651787&amp;amp;query_hl=1&lt;/_url&gt;&lt;_volume&gt;65&lt;/_volume&gt;&lt;_created&gt;60924659&lt;/_created&gt;&lt;_modified&gt;60924659&lt;/_modified&gt;&lt;_impact_factor&gt; 115.840&lt;/_impact_factor&gt;&lt;/Details&gt;&lt;Extra&gt;&lt;DBUID&gt;{DE509FB4-0C85-4E2B-BBB9-210FED694D73}&lt;/DBUID&gt;&lt;/Extra&gt;&lt;/Item&gt;&lt;/References&gt;&lt;/Group&gt;&lt;/Citation&gt;_x000a_"/>
    <w:docVar w:name="NE.Ref{303553C0-538A-4874-A0B9-605A12D6D945}" w:val=" ADDIN NE.Ref.{303553C0-538A-4874-A0B9-605A12D6D945}&lt;Citation&gt;&lt;Group&gt;&lt;References&gt;&lt;Item&gt;&lt;ID&gt;8372&lt;/ID&gt;&lt;UID&gt;{586D37FA-43ED-49B0-9004-565CBB94DFD7}&lt;/UID&gt;&lt;Title&gt;Prostaglandin E2 promotes hepatocellular carcinoma cell invasion through upregulation of YB-1 protein expression&lt;/Title&gt;&lt;Template&gt;Journal Article&lt;/Template&gt;&lt;Star&gt;0&lt;/Star&gt;&lt;Tag&gt;0&lt;/Tag&gt;&lt;Author&gt;Zhang, H; Cheng, S; Zhang, M; Ma, X; Zhang, L; Wang, Y; Rong, R; Ma, J; Xia, S; &amp;quot;Du M&amp;quot;; Shi, F; Wang, J; Yang, Q; Bai, X; Leng, J&lt;/Author&gt;&lt;Year&gt;2014&lt;/Year&gt;&lt;Details&gt;&lt;_accession_num&gt;24378923&lt;/_accession_num&gt;&lt;_author_adr&gt;Cancer Center, Department of Pathology, Nanjing Medical University, Nanjing 210029, P.R. China.; Cancer Center, Department of Pathology, Nanjing Medical University, Nanjing 210029, P.R. China.; Cancer Center, Department of Pathology, Nanjing Medical University, Nanjing 210029, P.R. China.; Cancer Center, Department of Pathology, Nanjing Medical University, Nanjing 210029, P.R. China.; Cancer Center, Department of Pathology, Nanjing Medical University, Nanjing 210029, P.R. China.; Cancer Center, Department of Pathology, Nanjing Medical University, Nanjing 210029, P.R. China.; Cancer Center, Department of Pathology, Nanjing Medical University, Nanjing 210029, P.R. China.; Cancer Center, Department of Pathology, Nanjing Medical University, Nanjing 210029, P.R. China.; Cancer Center, Department of Pathology, Nanjing Medical University, Nanjing 210029, P.R. China.; Cancer Center, Department of Pathology, Nanjing Medical University, Nanjing 210029, P.R. China.; Cancer Center, Department of Pathology, Nanjing Medical University, Nanjing 210029, P.R. China.; Cancer Center, Department of Pathology, Nanjing Medical University, Nanjing 210029, P.R. China.; Cancer Center, Department of Pathology, Nanjing Medical University, Nanjing 210029, P.R. China.; Cancer Center, Department of Pathology, Nanjing Medical University, Nanjing 210029, P.R. China.; Cancer Center, Department of Pathology, Nanjing Medical University, Nanjing 210029, P.R. China.&lt;/_author_adr&gt;&lt;_date_display&gt;2014 Mar&lt;/_date_display&gt;&lt;_date&gt;2014-03-01&lt;/_date&gt;&lt;_doi&gt;10.3892/ijo.2013.2234&lt;/_doi&gt;&lt;_isbn&gt;1791-2423 (Electronic); 1019-6439 (Linking)&lt;/_isbn&gt;&lt;_issue&gt;3&lt;/_issue&gt;&lt;_journal&gt;Int J Oncol&lt;/_journal&gt;&lt;_keywords&gt;Carcinoma, Hepatocellular/*genetics/pathology; Cell Line, Tumor; Dinoprostone/*genetics/metabolism; Epithelial-Mesenchymal Transition/genetics; Gene Expression Regulation, Neoplastic; Humans; Liver Neoplasms/*genetics/pathology; Neoplasm Invasiveness/genetics/pathology; Phosphorylation; RNA Interference; Signal Transduction/genetics; Y-Box-Binding Protein 1/*biosynthesis&lt;/_keywords&gt;&lt;_language&gt;eng&lt;/_language&gt;&lt;_pages&gt;769-80&lt;/_pages&gt;&lt;_tertiary_title&gt;International journal of oncology&lt;/_tertiary_title&gt;&lt;_type_work&gt;Journal Article; Research Support, Non-U.S. Gov&amp;apos;t&lt;/_type_work&gt;&lt;_url&gt;http://www.ncbi.nlm.nih.gov/entrez/query.fcgi?cmd=Retrieve&amp;amp;db=pubmed&amp;amp;dopt=Abstract&amp;amp;list_uids=24378923&amp;amp;query_hl=1&lt;/_url&gt;&lt;_volume&gt;44&lt;/_volume&gt;&lt;_created&gt;60927127&lt;/_created&gt;&lt;_modified&gt;60927127&lt;/_modified&gt;&lt;_impact_factor&gt;   3.025&lt;/_impact_factor&gt;&lt;_collection_scope&gt;SCI;SCIE;&lt;/_collection_scope&gt;&lt;/Details&gt;&lt;Extra&gt;&lt;DBUID&gt;{DE509FB4-0C85-4E2B-BBB9-210FED694D73}&lt;/DBUID&gt;&lt;/Extra&gt;&lt;/Item&gt;&lt;/References&gt;&lt;/Group&gt;&lt;Group&gt;&lt;References&gt;&lt;Item&gt;&lt;ID&gt;8371&lt;/ID&gt;&lt;UID&gt;{169922B8-4B7B-4DDA-BC2A-77B18E7320C6}&lt;/UID&gt;&lt;Title&gt;ANGPTL4 induction by prostaglandin E2 under hypoxic conditions promotes colorectal cancer progression&lt;/Title&gt;&lt;Template&gt;Journal Article&lt;/Template&gt;&lt;Star&gt;0&lt;/Star&gt;&lt;Tag&gt;0&lt;/Tag&gt;&lt;Author&gt;Kim, S H; Park, Y Y; Kim, S W; Lee, J S; Wang, D; DuBois, R N&lt;/Author&gt;&lt;Year&gt;2011&lt;/Year&gt;&lt;Details&gt;&lt;_accession_num&gt;21937683&lt;/_accession_num&gt;&lt;_author_adr&gt;Department of Cancer Biology, The University of Texas MD Anderson Cancer Center,  Houston, Texas 77030, USA.&lt;/_author_adr&gt;&lt;_date_display&gt;2011 Nov 15&lt;/_date_display&gt;&lt;_date&gt;2011-11-15&lt;/_date&gt;&lt;_doi&gt;10.1158/0008-5472.CAN-11-1262&lt;/_doi&gt;&lt;_isbn&gt;1538-7445 (Electronic); 0008-5472 (Linking)&lt;/_isbn&gt;&lt;_issue&gt;22&lt;/_issue&gt;&lt;_journal&gt;Cancer Res&lt;/_journal&gt;&lt;_keywords&gt;Angiopoietins/*physiology; Animals; *Cell Hypoxia; Cell Line, Tumor; Cell Proliferation/drug effects; Colorectal Neoplasms/etiology/*pathology; Dinoprostone/*pharmacology; Disease Progression; Humans; Mice; Receptors, Prostaglandin E, EP1 Subtype/physiology; STAT1 Transcription Factor/physiology&lt;/_keywords&gt;&lt;_language&gt;eng&lt;/_language&gt;&lt;_ori_publication&gt;(c)2011 AACR&lt;/_ori_publication&gt;&lt;_pages&gt;7010-20&lt;/_pages&gt;&lt;_tertiary_title&gt;Cancer research&lt;/_tertiary_title&gt;&lt;_type_work&gt;Journal Article; Research Support, N.I.H., Extramural&lt;/_type_work&gt;&lt;_url&gt;http://www.ncbi.nlm.nih.gov/entrez/query.fcgi?cmd=Retrieve&amp;amp;db=pubmed&amp;amp;dopt=Abstract&amp;amp;list_uids=21937683&amp;amp;query_hl=1&lt;/_url&gt;&lt;_volume&gt;71&lt;/_volume&gt;&lt;_created&gt;60927125&lt;/_created&gt;&lt;_modified&gt;60927125&lt;/_modified&gt;&lt;_impact_factor&gt;   9.329&lt;/_impact_factor&gt;&lt;_collection_scope&gt;SCI;SCIE;&lt;/_collection_scope&gt;&lt;/Details&gt;&lt;Extra&gt;&lt;DBUID&gt;{DE509FB4-0C85-4E2B-BBB9-210FED694D73}&lt;/DBUID&gt;&lt;/Extra&gt;&lt;/Item&gt;&lt;/References&gt;&lt;/Group&gt;&lt;Group&gt;&lt;References&gt;&lt;Item&gt;&lt;ID&gt;8370&lt;/ID&gt;&lt;UID&gt;{6F0DAC2F-8C64-49BE-B6EF-46C2D0321A0E}&lt;/UID&gt;&lt;Title&gt;Prostaglandin E2/EP1 signaling pathway enhances intercellular adhesion molecule 1 (ICAM-1) expression and cell motility in oral cancer cells&lt;/Title&gt;&lt;Template&gt;Journal Article&lt;/Template&gt;&lt;Star&gt;0&lt;/Star&gt;&lt;Tag&gt;0&lt;/Tag&gt;&lt;Author&gt;Yang, S F; Chen, M K; Hsieh, Y S; Chung, T T; Hsieh, Y H; Lin, C W; Su, J L; Tsai, M H; Tang, C H&lt;/Author&gt;&lt;Year&gt;2010&lt;/Year&gt;&lt;Details&gt;&lt;_accession_num&gt;20647315&lt;/_accession_num&gt;&lt;_author_adr&gt;From the Institute of Medicine, Chung Shan Medical University, Taichung 402, Taiwan.&lt;/_author_adr&gt;&lt;_collection_scope&gt;EI;SCI;SCIE;&lt;/_collection_scope&gt;&lt;_created&gt;60927122&lt;/_created&gt;&lt;_date&gt;2010-09-24&lt;/_date&gt;&lt;_date_display&gt;2010 Sep 24&lt;/_date_display&gt;&lt;_doi&gt;10.1074/jbc.M110.108183&lt;/_doi&gt;&lt;_impact_factor&gt;   4.573&lt;/_impact_factor&gt;&lt;_isbn&gt;1083-351X (Electronic); 0021-9258 (Linking)&lt;/_isbn&gt;&lt;_issue&gt;39&lt;/_issue&gt;&lt;_journal&gt;J Biol Chem&lt;/_journal&gt;&lt;_keywords&gt;Cell Line, Tumor; Cell Movement/*drug effects; Cyclooxygenase 2/biosynthesis; Dinoprostone/metabolism/*pharmacology; Gene Expression Regulation, Neoplastic/*drug effects; Humans; Intercellular Adhesion Molecule-1/*biosynthesis; Mouth Neoplasms/*metabolism/pathology; Oxytocics/metabolism/*pharmacology; Protein Kinase C-delta/metabolism; Protein-Tyrosine Kinases/metabolism; Receptors, Prostaglandin E/*metabolism; Receptors, Prostaglandin E, EP1 Subtype; Signal Transduction/*drug effects; Transcription Factor AP-1/genetics/metabolism; src-Family Kinases&lt;/_keywords&gt;&lt;_language&gt;eng&lt;/_language&gt;&lt;_modified&gt;60952306&lt;/_modified&gt;&lt;_pages&gt;29808-16&lt;/_pages&gt;&lt;_tertiary_title&gt;The Journal of biological chemistry&lt;/_tertiary_title&gt;&lt;_type_work&gt;Journal Article; Research Support, Non-U.S. Gov&amp;apos;t&lt;/_type_work&gt;&lt;_url&gt;http://www.ncbi.nlm.nih.gov/entrez/query.fcgi?cmd=Retrieve&amp;amp;db=pubmed&amp;amp;dopt=Abstract&amp;amp;list_uids=20647315&amp;amp;query_hl=1&lt;/_url&gt;&lt;_volume&gt;285&lt;/_volume&gt;&lt;/Details&gt;&lt;Extra&gt;&lt;DBUID&gt;{DE509FB4-0C85-4E2B-BBB9-210FED694D73}&lt;/DBUID&gt;&lt;/Extra&gt;&lt;/Item&gt;&lt;/References&gt;&lt;/Group&gt;&lt;Group&gt;&lt;References&gt;&lt;Item&gt;&lt;ID&gt;8407&lt;/ID&gt;&lt;UID&gt;{CBCE8CFF-1292-4745-8876-B62249B033BB}&lt;/UID&gt;&lt;Title&gt;Prostaglandin E(2) receptor EP1-mediated phosphorylation of focal adhesion kinase enhances cell adhesion and migration in hepatocellular carcinoma cells&lt;/Title&gt;&lt;Template&gt;Journal Article&lt;/Template&gt;&lt;Star&gt;0&lt;/Star&gt;&lt;Tag&gt;0&lt;/Tag&gt;&lt;Author&gt;Bai, X; Wang, J; Zhang, L; Ma, J; Zhang, H; Xia, S; Zhang, M; Ma, X; Guo, Y; Rong, R; Cheng, S; Shu, W; Wang, Y; Leng, J&lt;/Author&gt;&lt;Year&gt;2013&lt;/Year&gt;&lt;Details&gt;&lt;_accession_num&gt;23525457&lt;/_accession_num&gt;&lt;_author_adr&gt;Cancer Center, Department of Pathology, Nanjing Medical University, Nanjing 210029, PR China.&lt;/_author_adr&gt;&lt;_date_display&gt;2013 May&lt;/_date_display&gt;&lt;_date&gt;2013-05-01&lt;/_date&gt;&lt;_doi&gt;10.3892/ijo.2013.1859&lt;/_doi&gt;&lt;_isbn&gt;1791-2423 (Electronic); 1019-6439 (Linking)&lt;/_isbn&gt;&lt;_issue&gt;5&lt;/_issue&gt;&lt;_journal&gt;Int J Oncol&lt;/_journal&gt;&lt;_keywords&gt;Carcinoma, Hepatocellular/genetics/*metabolism; Cell Adhesion/genetics; Cell Line, Tumor; Cell Movement/genetics; Dinoprostone/agonists/analogs &amp;amp; derivatives/*metabolism/pharmacology; Focal Adhesion Protein-Tyrosine Kinases/genetics/*metabolism; Gene Expression Regulation, Neoplastic/drug effects; Humans; Liver Neoplasms/genetics/*metabolism; Phosphorylation/drug effects; Protein Kinase C/genetics/*metabolism; Receptor, Epidermal Growth Factor/genetics/metabolism; Receptors, Prostaglandin E, EP1 Subtype/genetics/*metabolism; Signal Transduction&lt;/_keywords&gt;&lt;_language&gt;eng&lt;/_language&gt;&lt;_pages&gt;1833-41&lt;/_pages&gt;&lt;_tertiary_title&gt;International journal of oncology&lt;/_tertiary_title&gt;&lt;_type_work&gt;Journal Article; Research Support, Non-U.S. Gov&amp;apos;t&lt;/_type_work&gt;&lt;_url&gt;http://www.ncbi.nlm.nih.gov/entrez/query.fcgi?cmd=Retrieve&amp;amp;db=pubmed&amp;amp;dopt=Abstract&amp;amp;list_uids=23525457&amp;amp;query_hl=1&lt;/_url&gt;&lt;_volume&gt;42&lt;/_volume&gt;&lt;_created&gt;60952988&lt;/_created&gt;&lt;_modified&gt;60952990&lt;/_modified&gt;&lt;_impact_factor&gt;   3.025&lt;/_impact_factor&gt;&lt;_collection_scope&gt;SCI;SCIE;&lt;/_collection_scope&gt;&lt;/Details&gt;&lt;Extra&gt;&lt;DBUID&gt;{DE509FB4-0C85-4E2B-BBB9-210FED694D73}&lt;/DBUID&gt;&lt;/Extra&gt;&lt;/Item&gt;&lt;/References&gt;&lt;/Group&gt;&lt;/Citation&gt;_x000a_"/>
    <w:docVar w:name="NE.Ref{372FF63D-C1A3-4175-B360-8CAB73741A99}" w:val=" ADDIN NE.Ref.{372FF63D-C1A3-4175-B360-8CAB73741A99} ADDIN NE.Ref.{372FF63D-C1A3-4175-B360-8CAB73741A99}&lt;Citation&gt;&lt;Group&gt;&lt;References&gt;&lt;Item&gt;&lt;ID&gt;8395&lt;/ID&gt;&lt;UID&gt;{5D3707A6-413D-438F-B9F7-738F60C14EF5}&lt;/UID&gt;&lt;Title&gt;Prostaglandin E2 stimulates Fas ligand expression via the EP1 receptor in colon cancer cells&lt;/Title&gt;&lt;Template&gt;Journal Article&lt;/Template&gt;&lt;Star&gt;0&lt;/Star&gt;&lt;Tag&gt;0&lt;/Tag&gt;&lt;Author&gt;O&amp;apos;Callaghan, G; Kelly, J; Shanahan, F; Houston, A&lt;/Author&gt;&lt;Year&gt;2008&lt;/Year&gt;&lt;Details&gt;&lt;_accession_num&gt;18648368&lt;/_accession_num&gt;&lt;_author_adr&gt;Department of Medicine, University College Cork, National University of Ireland,  Clinical Science Building, Cork University Hospital, Wilton, Cork, Ireland.&lt;/_author_adr&gt;&lt;_date_display&gt;2008 Aug 5&lt;/_date_display&gt;&lt;_date&gt;2008-08-05&lt;/_date&gt;&lt;_doi&gt;10.1038/sj.bjc.6604490&lt;/_doi&gt;&lt;_isbn&gt;1532-1827 (Electronic); 0007-0920 (Linking)&lt;/_isbn&gt;&lt;_issue&gt;3&lt;/_issue&gt;&lt;_journal&gt;Br J Cancer&lt;/_journal&gt;&lt;_keywords&gt;Blotting, Western; Cell Line, Tumor; Coculture Techniques; Colonic Neoplasms/*metabolism/pathology; Dinoprostone/*pharmacology; Enzyme-Linked Immunosorbent Assay; Fas Ligand Protein/genetics/*metabolism; Fluorescent Antibody Technique; Humans; RNA Interference; RNA, Messenger/genetics; Receptors, Prostaglandin E/*metabolism; Receptors, Prostaglandin E, EP1 Subtype; Signal Transduction&lt;/_keywords&gt;&lt;_language&gt;eng&lt;/_language&gt;&lt;_pages&gt;502-12&lt;/_pages&gt;&lt;_tertiary_title&gt;British journal of cancer&lt;/_tertiary_title&gt;&lt;_type_work&gt;Journal Article; Research Support, Non-U.S. Gov&amp;apos;t&lt;/_type_work&gt;&lt;_url&gt;http://www.ncbi.nlm.nih.gov/entrez/query.fcgi?cmd=Retrieve&amp;amp;db=pubmed&amp;amp;dopt=Abstract&amp;amp;list_uids=18648368&amp;amp;query_hl=1&lt;/_url&gt;&lt;_volume&gt;99&lt;/_volume&gt;&lt;_created&gt;60950476&lt;/_created&gt;&lt;_modified&gt;60950476&lt;/_modified&gt;&lt;_impact_factor&gt;   4.836&lt;/_impact_factor&gt;&lt;/Details&gt;&lt;Extra&gt;&lt;DBUID&gt;{DE509FB4-0C85-4E2B-BBB9-210FED694D73}&lt;/DBUID&gt;&lt;/Extra&gt;&lt;/Item&gt;&lt;/References&gt;&lt;/Group&gt;&lt;Group&gt;&lt;References&gt;&lt;Item&gt;&lt;ID&gt;8401&lt;/ID&gt;&lt;UID&gt;{A1F9A8AC-CBC3-43B1-B416-55190BB2ED8F}&lt;/UID&gt;&lt;Title&gt;Targeting the EP1 receptor reduces Fas ligand expression and increases the antitumor immune response in an in vivo model of colon cancer&lt;/Title&gt;&lt;Template&gt;Journal Article&lt;/Template&gt;&lt;Star&gt;0&lt;/Star&gt;&lt;Tag&gt;0&lt;/Tag&gt;&lt;Author&gt;O&amp;apos;Callaghan, G; Ryan, A; Neary, P; O&amp;apos;Mahony, C; Shanahan, F; Houston, A&lt;/Author&gt;&lt;Year&gt;2013&lt;/Year&gt;&lt;Details&gt;&lt;_accession_num&gt;23390011&lt;/_accession_num&gt;&lt;_author_adr&gt;Department of Medicine, University College Cork, Cork, Ireland.&lt;/_author_adr&gt;&lt;_date_display&gt;2013 Aug 15&lt;/_date_display&gt;&lt;_date&gt;2013-08-15&lt;/_date&gt;&lt;_doi&gt;10.1002/ijc.28076&lt;/_doi&gt;&lt;_isbn&gt;1097-0215 (Electronic); 0020-7136 (Linking)&lt;/_isbn&gt;&lt;_issue&gt;4&lt;/_issue&gt;&lt;_journal&gt;Int J Cancer&lt;/_journal&gt;&lt;_keywords&gt;Animals; Blotting, Western; CD4-Positive T-Lymphocytes/immunology; CD8-Positive T-Lymphocytes/immunology; Colonic Neoplasms/*immunology/pathology; *Disease Models, Animal; Enzyme-Linked Immunosorbent Assay; Fas Ligand Protein/*metabolism; Female; Flow Cytometry; Mice; Mice, Inbred BALB C; Real-Time Polymerase Chain Reaction; Receptors, Prostaglandin E, EP1 Subtype/*drug effects&lt;/_keywords&gt;&lt;_language&gt;eng&lt;/_language&gt;&lt;_ori_publication&gt;Copyright (c) 2013 UICC.&lt;/_ori_publication&gt;&lt;_pages&gt;825-34&lt;/_pages&gt;&lt;_tertiary_title&gt;International journal of cancer. Journal international du cancer&lt;/_tertiary_title&gt;&lt;_type_work&gt;Journal Article; Research Support, Non-U.S. Gov&amp;apos;t&lt;/_type_work&gt;&lt;_url&gt;http://www.ncbi.nlm.nih.gov/entrez/query.fcgi?cmd=Retrieve&amp;amp;db=pubmed&amp;amp;dopt=Abstract&amp;amp;list_uids=23390011&amp;amp;query_hl=1&lt;/_url&gt;&lt;_volume&gt;133&lt;/_volume&gt;&lt;_created&gt;60952340&lt;/_created&gt;&lt;_modified&gt;60952340&lt;/_modified&gt;&lt;_impact_factor&gt;   5.085&lt;/_impact_factor&gt;&lt;_collection_scope&gt;SCI;SCIE;&lt;/_collection_scope&gt;&lt;/Details&gt;&lt;Extra&gt;&lt;DBUID&gt;{DE509FB4-0C85-4E2B-BBB9-210FED694D73}&lt;/DBUID&gt;&lt;/Extra&gt;&lt;/Item&gt;&lt;/References&gt;&lt;/Group&gt;&lt;Group&gt;&lt;References&gt;&lt;Item&gt;&lt;ID&gt;8402&lt;/ID&gt;&lt;UID&gt;{1BE40A2A-6888-48B1-A965-07C2C81C0D27}&lt;/UID&gt;&lt;Title&gt;Fas signal promotes lung cancer growth by recruiting myeloid-derived suppressor cells via cancer cell-derived PGE2&lt;/Title&gt;&lt;Template&gt;Journal Article&lt;/Template&gt;&lt;Star&gt;0&lt;/Star&gt;&lt;Tag&gt;0&lt;/Tag&gt;&lt;Author&gt;Zhang, Y; Liu, Q; Zhang, M; Yu, Y; Liu, X; Cao, X&lt;/Author&gt;&lt;Year&gt;2009&lt;/Year&gt;&lt;Details&gt;&lt;_accession_num&gt;19265159&lt;/_accession_num&gt;&lt;_author_adr&gt;Institute of Immunology, Zhejiang University School of Medicine, Hangzhou, China.&lt;/_author_adr&gt;&lt;_date_display&gt;2009 Mar 15&lt;/_date_display&gt;&lt;_date&gt;2009-03-15&lt;/_date&gt;&lt;_doi&gt;10.4049/jimmunol.0801548&lt;/_doi&gt;&lt;_isbn&gt;1550-6606 (Electronic); 0022-1767 (Linking)&lt;/_isbn&gt;&lt;_issue&gt;6&lt;/_issue&gt;&lt;_journal&gt;J Immunol&lt;/_journal&gt;&lt;_keywords&gt;Animals; Antigens, CD95/biosynthesis/deficiency/genetics/*physiology; Carcinoma, Lewis Lung/*immunology/metabolism/*pathology; Cell Line, Tumor; *Cell Proliferation; Chemotaxis, Leukocyte/*immunology; Dinoprostone/*physiology; Female; Mice; Mice, Inbred C57BL; Mice, Mutant Strains; Myeloid Cells/immunology/metabolism/*pathology; Signal Transduction/genetics/*immunology; T-Lymphocytes, Regulatory/immunology/metabolism/pathology; Tumor Escape/immunology&lt;/_keywords&gt;&lt;_language&gt;eng&lt;/_language&gt;&lt;_pages&gt;3801-8&lt;/_pages&gt;&lt;_tertiary_title&gt;Journal of immunology (Baltimore, Md. : 1950)&lt;/_tertiary_title&gt;&lt;_type_work&gt;Journal Article; Research Support, Non-U.S. Gov&amp;apos;t&lt;/_type_work&gt;&lt;_url&gt;http://www.ncbi.nlm.nih.gov/entrez/query.fcgi?cmd=Retrieve&amp;amp;db=pubmed&amp;amp;dopt=Abstract&amp;amp;list_uids=19265159&amp;amp;query_hl=1&lt;/_url&gt;&lt;_volume&gt;182&lt;/_volume&gt;&lt;_created&gt;60952342&lt;/_created&gt;&lt;_modified&gt;60952342&lt;/_modified&gt;&lt;_impact_factor&gt;   4.922&lt;/_impact_factor&gt;&lt;_collection_scope&gt;SCI;SCIE;&lt;/_collection_scope&gt;&lt;/Details&gt;&lt;Extra&gt;&lt;DBUID&gt;{DE509FB4-0C85-4E2B-BBB9-210FED694D73}&lt;/DBUID&gt;&lt;/Extra&gt;&lt;/Item&gt;&lt;/References&gt;&lt;/Group&gt;&lt;/Citation&gt;_x000a_"/>
    <w:docVar w:name="NE.Ref{39282AAA-226C-4D9A-8DD3-0B36B1D8ADC9}" w:val=" ADDIN NE.Ref.{39282AAA-226C-4D9A-8DD3-0B36B1D8ADC9} ADDIN NE.Ref.{39282AAA-226C-4D9A-8DD3-0B36B1D8ADC9} ADDIN NE.Ref.{204E2641-13C1-40D7-A3C9-170C1F7507FE}&lt;Citation&gt;&lt;Group&gt;&lt;References&gt;&lt;Item&gt;&lt;ID&gt;8376&lt;/ID&gt;&lt;UID&gt;{9ACD2FC2-5F7F-4F00-BF99-AFF99E023AF5}&lt;/UID&gt;&lt;Title&gt;Differential expression of E-prostanoid receptors in human hepatocellular carcinoma&lt;/Title&gt;&lt;Template&gt;Journal Article&lt;/Template&gt;&lt;Star&gt;0&lt;/Star&gt;&lt;Tag&gt;0&lt;/Tag&gt;&lt;Author&gt;Breinig, M; Rieker, R; Eiteneuer, E; Wertenbruch, T; Haugg, A M; Helmke, B M; Schirmacher, P; Kern, M A&lt;/Author&gt;&lt;Year&gt;2008&lt;/Year&gt;&lt;Details&gt;&lt;_accession_num&gt;17918156&lt;/_accession_num&gt;&lt;_author_adr&gt;Department of General Pathology, University Hospital, 69120 Heidelberg, Germany.&lt;/_author_adr&gt;&lt;_date_display&gt;2008 Feb 1&lt;/_date_display&gt;&lt;_date&gt;2008-02-01&lt;/_date&gt;&lt;_doi&gt;10.1002/ijc.23098&lt;/_doi&gt;&lt;_isbn&gt;1097-0215 (Electronic); 0020-7136 (Linking)&lt;/_isbn&gt;&lt;_issue&gt;3&lt;/_issue&gt;&lt;_journal&gt;Int J Cancer&lt;/_journal&gt;&lt;_keywords&gt;Apoptosis/*drug effects; Blotting, Western; Carcinoma, Hepatocellular/etiology/*metabolism/pathology; Cell Survival/drug effects; Cyclooxygenase 2/*metabolism; Female; Humans; Immunoenzyme Techniques; Intramolecular Oxidoreductases/metabolism; Liver/drug effects/metabolism/pathology; Liver Cirrhosis/etiology/metabolism/pathology; Liver Neoplasms/etiology/metabolism/pathology; Male; Receptors, Prostaglandin E/*metabolism; Tissue Array Analysis&lt;/_keywords&gt;&lt;_language&gt;eng&lt;/_language&gt;&lt;_ori_publication&gt;(c) 2007 Wiley-Liss, Inc.&lt;/_ori_publication&gt;&lt;_pages&gt;547-57&lt;/_pages&gt;&lt;_tertiary_title&gt;International journal of cancer. Journal international du cancer&lt;/_tertiary_title&gt;&lt;_type_work&gt;Comparative Study; Journal Article; Research Support, Non-U.S. Gov&amp;apos;t&lt;/_type_work&gt;&lt;_url&gt;http://www.ncbi.nlm.nih.gov/entrez/query.fcgi?cmd=Retrieve&amp;amp;db=pubmed&amp;amp;dopt=Abstract&amp;amp;list_uids=17918156&amp;amp;query_hl=1&lt;/_url&gt;&lt;_volume&gt;122&lt;/_volume&gt;&lt;_created&gt;60927389&lt;/_created&gt;&lt;_modified&gt;60927389&lt;/_modified&gt;&lt;_impact_factor&gt;   5.085&lt;/_impact_factor&gt;&lt;_collection_scope&gt;SCI;SCIE;&lt;/_collection_scope&gt;&lt;/Details&gt;&lt;Extra&gt;&lt;DBUID&gt;{DE509FB4-0C85-4E2B-BBB9-210FED694D73}&lt;/DBUID&gt;&lt;/Extra&gt;&lt;/Item&gt;&lt;/References&gt;&lt;/Group&gt;&lt;/Citation&gt;_x000a_"/>
    <w:docVar w:name="NE.Ref{4A803219-ABD4-430D-83DB-58C50E0C86C6}" w:val=" ADDIN NE.Ref.{4A803219-ABD4-430D-83DB-58C50E0C86C6} ADDIN NE.Ref.{4A803219-ABD4-430D-83DB-58C50E0C86C6}&lt;Citation&gt;&lt;Group&gt;&lt;References&gt;&lt;Item&gt;&lt;ID&gt;8372&lt;/ID&gt;&lt;UID&gt;{586D37FA-43ED-49B0-9004-565CBB94DFD7}&lt;/UID&gt;&lt;Title&gt;Prostaglandin E2 promotes hepatocellular carcinoma cell invasion through upregulation of YB-1 protein expression&lt;/Title&gt;&lt;Template&gt;Journal Article&lt;/Template&gt;&lt;Star&gt;0&lt;/Star&gt;&lt;Tag&gt;0&lt;/Tag&gt;&lt;Author&gt;Zhang, H; Cheng, S; Zhang, M; Ma, X; Zhang, L; Wang, Y; Rong, R; Ma, J; Xia, S; &amp;quot;Du M&amp;quot;; Shi, F; Wang, J; Yang, Q; Bai, X; Leng, J&lt;/Author&gt;&lt;Year&gt;2014&lt;/Year&gt;&lt;Details&gt;&lt;_accession_num&gt;24378923&lt;/_accession_num&gt;&lt;_author_adr&gt;Cancer Center, Department of Pathology, Nanjing Medical University, Nanjing 210029, P.R. China.; Cancer Center, Department of Pathology, Nanjing Medical University, Nanjing 210029, P.R. China.; Cancer Center, Department of Pathology, Nanjing Medical University, Nanjing 210029, P.R. China.; Cancer Center, Department of Pathology, Nanjing Medical University, Nanjing 210029, P.R. China.; Cancer Center, Department of Pathology, Nanjing Medical University, Nanjing 210029, P.R. China.; Cancer Center, Department of Pathology, Nanjing Medical University, Nanjing 210029, P.R. China.; Cancer Center, Department of Pathology, Nanjing Medical University, Nanjing 210029, P.R. China.; Cancer Center, Department of Pathology, Nanjing Medical University, Nanjing 210029, P.R. China.; Cancer Center, Department of Pathology, Nanjing Medical University, Nanjing 210029, P.R. China.; Cancer Center, Department of Pathology, Nanjing Medical University, Nanjing 210029, P.R. China.; Cancer Center, Department of Pathology, Nanjing Medical University, Nanjing 210029, P.R. China.; Cancer Center, Department of Pathology, Nanjing Medical University, Nanjing 210029, P.R. China.; Cancer Center, Department of Pathology, Nanjing Medical University, Nanjing 210029, P.R. China.; Cancer Center, Department of Pathology, Nanjing Medical University, Nanjing 210029, P.R. China.; Cancer Center, Department of Pathology, Nanjing Medical University, Nanjing 210029, P.R. China.&lt;/_author_adr&gt;&lt;_date_display&gt;2014 Mar&lt;/_date_display&gt;&lt;_date&gt;2014-03-01&lt;/_date&gt;&lt;_doi&gt;10.3892/ijo.2013.2234&lt;/_doi&gt;&lt;_isbn&gt;1791-2423 (Electronic); 1019-6439 (Linking)&lt;/_isbn&gt;&lt;_issue&gt;3&lt;/_issue&gt;&lt;_journal&gt;Int J Oncol&lt;/_journal&gt;&lt;_keywords&gt;Carcinoma, Hepatocellular/*genetics/pathology; Cell Line, Tumor; Dinoprostone/*genetics/metabolism; Epithelial-Mesenchymal Transition/genetics; Gene Expression Regulation, Neoplastic; Humans; Liver Neoplasms/*genetics/pathology; Neoplasm Invasiveness/genetics/pathology; Phosphorylation; RNA Interference; Signal Transduction/genetics; Y-Box-Binding Protein 1/*biosynthesis&lt;/_keywords&gt;&lt;_language&gt;eng&lt;/_language&gt;&lt;_pages&gt;769-80&lt;/_pages&gt;&lt;_tertiary_title&gt;International journal of oncology&lt;/_tertiary_title&gt;&lt;_type_work&gt;Journal Article; Research Support, Non-U.S. Gov&amp;apos;t&lt;/_type_work&gt;&lt;_url&gt;http://www.ncbi.nlm.nih.gov/entrez/query.fcgi?cmd=Retrieve&amp;amp;db=pubmed&amp;amp;dopt=Abstract&amp;amp;list_uids=24378923&amp;amp;query_hl=1&lt;/_url&gt;&lt;_volume&gt;44&lt;/_volume&gt;&lt;_created&gt;60927127&lt;/_created&gt;&lt;_modified&gt;60927127&lt;/_modified&gt;&lt;_impact_factor&gt;   3.025&lt;/_impact_factor&gt;&lt;_collection_scope&gt;SCI;SCIE;&lt;/_collection_scope&gt;&lt;/Details&gt;&lt;Extra&gt;&lt;DBUID&gt;{DE509FB4-0C85-4E2B-BBB9-210FED694D73}&lt;/DBUID&gt;&lt;/Extra&gt;&lt;/Item&gt;&lt;/References&gt;&lt;/Group&gt;&lt;Group&gt;&lt;References&gt;&lt;Item&gt;&lt;ID&gt;8371&lt;/ID&gt;&lt;UID&gt;{169922B8-4B7B-4DDA-BC2A-77B18E7320C6}&lt;/UID&gt;&lt;Title&gt;ANGPTL4 induction by prostaglandin E2 under hypoxic conditions promotes colorectal cancer progression&lt;/Title&gt;&lt;Template&gt;Journal Article&lt;/Template&gt;&lt;Star&gt;0&lt;/Star&gt;&lt;Tag&gt;0&lt;/Tag&gt;&lt;Author&gt;Kim, S H; Park, Y Y; Kim, S W; Lee, J S; Wang, D; DuBois, R N&lt;/Author&gt;&lt;Year&gt;2011&lt;/Year&gt;&lt;Details&gt;&lt;_accession_num&gt;21937683&lt;/_accession_num&gt;&lt;_author_adr&gt;Department of Cancer Biology, The University of Texas MD Anderson Cancer Center,  Houston, Texas 77030, USA.&lt;/_author_adr&gt;&lt;_date_display&gt;2011 Nov 15&lt;/_date_display&gt;&lt;_date&gt;2011-11-15&lt;/_date&gt;&lt;_doi&gt;10.1158/0008-5472.CAN-11-1262&lt;/_doi&gt;&lt;_isbn&gt;1538-7445 (Electronic); 0008-5472 (Linking)&lt;/_isbn&gt;&lt;_issue&gt;22&lt;/_issue&gt;&lt;_journal&gt;Cancer Res&lt;/_journal&gt;&lt;_keywords&gt;Angiopoietins/*physiology; Animals; *Cell Hypoxia; Cell Line, Tumor; Cell Proliferation/drug effects; Colorectal Neoplasms/etiology/*pathology; Dinoprostone/*pharmacology; Disease Progression; Humans; Mice; Receptors, Prostaglandin E, EP1 Subtype/physiology; STAT1 Transcription Factor/physiology&lt;/_keywords&gt;&lt;_language&gt;eng&lt;/_language&gt;&lt;_ori_publication&gt;(c)2011 AACR&lt;/_ori_publication&gt;&lt;_pages&gt;7010-20&lt;/_pages&gt;&lt;_tertiary_title&gt;Cancer research&lt;/_tertiary_title&gt;&lt;_type_work&gt;Journal Article; Research Support, N.I.H., Extramural&lt;/_type_work&gt;&lt;_url&gt;http://www.ncbi.nlm.nih.gov/entrez/query.fcgi?cmd=Retrieve&amp;amp;db=pubmed&amp;amp;dopt=Abstract&amp;amp;list_uids=21937683&amp;amp;query_hl=1&lt;/_url&gt;&lt;_volume&gt;71&lt;/_volume&gt;&lt;_created&gt;60927125&lt;/_created&gt;&lt;_modified&gt;60927125&lt;/_modified&gt;&lt;_impact_factor&gt;   9.329&lt;/_impact_factor&gt;&lt;_collection_scope&gt;SCI;SCIE;&lt;/_collection_scope&gt;&lt;/Details&gt;&lt;Extra&gt;&lt;DBUID&gt;{DE509FB4-0C85-4E2B-BBB9-210FED694D73}&lt;/DBUID&gt;&lt;/Extra&gt;&lt;/Item&gt;&lt;/References&gt;&lt;/Group&gt;&lt;Group&gt;&lt;References&gt;&lt;Item&gt;&lt;ID&gt;8370&lt;/ID&gt;&lt;UID&gt;{6F0DAC2F-8C64-49BE-B6EF-46C2D0321A0E}&lt;/UID&gt;&lt;Title&gt;Prostaglandin E2/EP1 signaling pathway enhances intercellular adhesion molecule 1 (ICAM-1) expression and cell motility in oral cancer cells&lt;/Title&gt;&lt;Template&gt;Journal Article&lt;/Template&gt;&lt;Star&gt;0&lt;/Star&gt;&lt;Tag&gt;0&lt;/Tag&gt;&lt;Author&gt;Yang, S F; Chen, M K; Hsieh, Y S; Chung, T T; Hsieh, Y H; Lin, C W; Su, J L; Tsai, M H; Tang, C H&lt;/Author&gt;&lt;Year&gt;2010&lt;/Year&gt;&lt;Details&gt;&lt;_accession_num&gt;20647315&lt;/_accession_num&gt;&lt;_author_adr&gt;From the Institute of Medicine, Chung Shan Medical University, Taichung 402, Taiwan.&lt;/_author_adr&gt;&lt;_collection_scope&gt;EI;SCI;SCIE;&lt;/_collection_scope&gt;&lt;_created&gt;60927122&lt;/_created&gt;&lt;_date&gt;2010-09-24&lt;/_date&gt;&lt;_date_display&gt;2010 Sep 24&lt;/_date_display&gt;&lt;_doi&gt;10.1074/jbc.M110.108183&lt;/_doi&gt;&lt;_impact_factor&gt;   4.573&lt;/_impact_factor&gt;&lt;_isbn&gt;1083-351X (Electronic); 0021-9258 (Linking)&lt;/_isbn&gt;&lt;_issue&gt;39&lt;/_issue&gt;&lt;_journal&gt;J Biol Chem&lt;/_journal&gt;&lt;_keywords&gt;Cell Line, Tumor; Cell Movement/*drug effects; Cyclooxygenase 2/biosynthesis; Dinoprostone/metabolism/*pharmacology; Gene Expression Regulation, Neoplastic/*drug effects; Humans; Intercellular Adhesion Molecule-1/*biosynthesis; Mouth Neoplasms/*metabolism/pathology; Oxytocics/metabolism/*pharmacology; Protein Kinase C-delta/metabolism; Protein-Tyrosine Kinases/metabolism; Receptors, Prostaglandin E/*metabolism; Receptors, Prostaglandin E, EP1 Subtype; Signal Transduction/*drug effects; Transcription Factor AP-1/genetics/metabolism; src-Family Kinases&lt;/_keywords&gt;&lt;_language&gt;eng&lt;/_language&gt;&lt;_modified&gt;60952306&lt;/_modified&gt;&lt;_pages&gt;29808-16&lt;/_pages&gt;&lt;_tertiary_title&gt;The Journal of biological chemistry&lt;/_tertiary_title&gt;&lt;_type_work&gt;Journal Article; Research Support, Non-U.S. Gov&amp;apos;t&lt;/_type_work&gt;&lt;_url&gt;http://www.ncbi.nlm.nih.gov/entrez/query.fcgi?cmd=Retrieve&amp;amp;db=pubmed&amp;amp;dopt=Abstract&amp;amp;list_uids=20647315&amp;amp;query_hl=1&lt;/_url&gt;&lt;_volume&gt;285&lt;/_volume&gt;&lt;/Details&gt;&lt;Extra&gt;&lt;DBUID&gt;{DE509FB4-0C85-4E2B-BBB9-210FED694D73}&lt;/DBUID&gt;&lt;/Extra&gt;&lt;/Item&gt;&lt;/References&gt;&lt;/Group&gt;&lt;Group&gt;&lt;References&gt;&lt;Item&gt;&lt;ID&gt;8407&lt;/ID&gt;&lt;UID&gt;{CBCE8CFF-1292-4745-8876-B62249B033BB}&lt;/UID&gt;&lt;Title&gt;Prostaglandin E(2) receptor EP1-mediated phosphorylation of focal adhesion kinase enhances cell adhesion and migration in hepatocellular carcinoma cells&lt;/Title&gt;&lt;Template&gt;Journal Article&lt;/Template&gt;&lt;Star&gt;0&lt;/Star&gt;&lt;Tag&gt;0&lt;/Tag&gt;&lt;Author&gt;Bai, X; Wang, J; Zhang, L; Ma, J; Zhang, H; Xia, S; Zhang, M; Ma, X; Guo, Y; Rong, R; Cheng, S; Shu, W; Wang, Y; Leng, J&lt;/Author&gt;&lt;Year&gt;2013&lt;/Year&gt;&lt;Details&gt;&lt;_accession_num&gt;23525457&lt;/_accession_num&gt;&lt;_author_adr&gt;Cancer Center, Department of Pathology, Nanjing Medical University, Nanjing 210029, PR China.&lt;/_author_adr&gt;&lt;_date_display&gt;2013 May&lt;/_date_display&gt;&lt;_date&gt;2013-05-01&lt;/_date&gt;&lt;_doi&gt;10.3892/ijo.2013.1859&lt;/_doi&gt;&lt;_isbn&gt;1791-2423 (Electronic); 1019-6439 (Linking)&lt;/_isbn&gt;&lt;_issue&gt;5&lt;/_issue&gt;&lt;_journal&gt;Int J Oncol&lt;/_journal&gt;&lt;_keywords&gt;Carcinoma, Hepatocellular/genetics/*metabolism; Cell Adhesion/genetics; Cell Line, Tumor; Cell Movement/genetics; Dinoprostone/agonists/analogs &amp;amp; derivatives/*metabolism/pharmacology; Focal Adhesion Protein-Tyrosine Kinases/genetics/*metabolism; Gene Expression Regulation, Neoplastic/drug effects; Humans; Liver Neoplasms/genetics/*metabolism; Phosphorylation/drug effects; Protein Kinase C/genetics/*metabolism; Receptor, Epidermal Growth Factor/genetics/metabolism; Receptors, Prostaglandin E, EP1 Subtype/genetics/*metabolism; Signal Transduction&lt;/_keywords&gt;&lt;_language&gt;eng&lt;/_language&gt;&lt;_pages&gt;1833-41&lt;/_pages&gt;&lt;_tertiary_title&gt;International journal of oncology&lt;/_tertiary_title&gt;&lt;_type_work&gt;Journal Article; Research Support, Non-U.S. Gov&amp;apos;t&lt;/_type_work&gt;&lt;_url&gt;http://www.ncbi.nlm.nih.gov/entrez/query.fcgi?cmd=Retrieve&amp;amp;db=pubmed&amp;amp;dopt=Abstract&amp;amp;list_uids=23525457&amp;amp;query_hl=1&lt;/_url&gt;&lt;_volume&gt;42&lt;/_volume&gt;&lt;_created&gt;60952988&lt;/_created&gt;&lt;_modified&gt;60952990&lt;/_modified&gt;&lt;_impact_factor&gt;   3.025&lt;/_impact_factor&gt;&lt;_collection_scope&gt;SCI;SCIE;&lt;/_collection_scope&gt;&lt;/Details&gt;&lt;Extra&gt;&lt;DBUID&gt;{DE509FB4-0C85-4E2B-BBB9-210FED694D73}&lt;/DBUID&gt;&lt;/Extra&gt;&lt;/Item&gt;&lt;/References&gt;&lt;/Group&gt;&lt;/Citation&gt;_x000a_"/>
    <w:docVar w:name="NE.Ref{4D69F8A1-A5C1-4EDE-9ED3-6CBE1DE1ED02}" w:val=" ADDIN NE.Ref.{4D69F8A1-A5C1-4EDE-9ED3-6CBE1DE1ED02} ADDIN NE.Ref.{4D69F8A1-A5C1-4EDE-9ED3-6CBE1DE1ED02}&lt;Citation&gt;&lt;Group&gt;&lt;References&gt;&lt;Item&gt;&lt;ID&gt;8375&lt;/ID&gt;&lt;UID&gt;{7C3BB152-2034-4BB8-8A97-283A3B601613}&lt;/UID&gt;&lt;Title&gt;Prostaglandin E2 receptors and COX enzymes in human hepatocellular carcinoma: role in the regulation of cell growth&lt;/Title&gt;&lt;Template&gt;Journal Article&lt;/Template&gt;&lt;Star&gt;0&lt;/Star&gt;&lt;Tag&gt;0&lt;/Tag&gt;&lt;Author&gt;Cusimano, A; Fodera, D; Lampiasi, N; Azzolina, A; Notarbartolo, M; Giannitrapani, L; D&amp;apos;Alessandro, N; Montalto, G; Cervello, M&lt;/Author&gt;&lt;Year&gt;2009&lt;/Year&gt;&lt;Details&gt;&lt;_accession_num&gt;19250221&lt;/_accession_num&gt;&lt;_author_adr&gt;Institute of Biomedicine and Molecular Immunology Alberto Monroy, National Research Council, Palermo, Italy.&lt;/_author_adr&gt;&lt;_date_display&gt;2009 Feb&lt;/_date_display&gt;&lt;_date&gt;2009-02-01&lt;/_date&gt;&lt;_doi&gt;10.1111/j.1749-6632.2009.03701.x&lt;/_doi&gt;&lt;_isbn&gt;1749-6632 (Electronic); 0077-8923 (Linking)&lt;/_isbn&gt;&lt;_journal&gt;Ann N Y Acad Sci&lt;/_journal&gt;&lt;_keywords&gt;Aged; Carcinoma, Hepatocellular/enzymology/*metabolism/pathology; Cell Division/*physiology; Cell Line, Tumor; Female; Humans; Liver Neoplasms/enzymology/*metabolism/pathology; Male; Middle Aged; Prostaglandin-Endoperoxide Synthases/*metabolism; Receptors, Prostaglandin E/*metabolism/physiology&lt;/_keywords&gt;&lt;_language&gt;eng&lt;/_language&gt;&lt;_pages&gt;300-8&lt;/_pages&gt;&lt;_tertiary_title&gt;Annals of the New York Academy of Sciences&lt;/_tertiary_title&gt;&lt;_type_work&gt;Journal Article; Research Support, Non-U.S. Gov&amp;apos;t&lt;/_type_work&gt;&lt;_url&gt;http://www.ncbi.nlm.nih.gov/entrez/query.fcgi?cmd=Retrieve&amp;amp;db=pubmed&amp;amp;dopt=Abstract&amp;amp;list_uids=19250221&amp;amp;query_hl=1&lt;/_url&gt;&lt;_volume&gt;1155&lt;/_volume&gt;&lt;_created&gt;60927388&lt;/_created&gt;&lt;_modified&gt;60927388&lt;/_modified&gt;&lt;_impact_factor&gt;   4.383&lt;/_impact_factor&gt;&lt;/Details&gt;&lt;Extra&gt;&lt;DBUID&gt;{DE509FB4-0C85-4E2B-BBB9-210FED694D73}&lt;/DBUID&gt;&lt;/Extra&gt;&lt;/Item&gt;&lt;/References&gt;&lt;/Group&gt;&lt;Group&gt;&lt;References&gt;&lt;Item&gt;&lt;ID&gt;8376&lt;/ID&gt;&lt;UID&gt;{9ACD2FC2-5F7F-4F00-BF99-AFF99E023AF5}&lt;/UID&gt;&lt;Title&gt;Differential expression of E-prostanoid receptors in human hepatocellular carcinoma&lt;/Title&gt;&lt;Template&gt;Journal Article&lt;/Template&gt;&lt;Star&gt;0&lt;/Star&gt;&lt;Tag&gt;0&lt;/Tag&gt;&lt;Author&gt;Breinig, M; Rieker, R; Eiteneuer, E; Wertenbruch, T; Haugg, A M; Helmke, B M; Schirmacher, P; Kern, M A&lt;/Author&gt;&lt;Year&gt;2008&lt;/Year&gt;&lt;Details&gt;&lt;_accession_num&gt;17918156&lt;/_accession_num&gt;&lt;_author_adr&gt;Department of General Pathology, University Hospital, 69120 Heidelberg, Germany.&lt;/_author_adr&gt;&lt;_date_display&gt;2008 Feb 1&lt;/_date_display&gt;&lt;_date&gt;2008-02-01&lt;/_date&gt;&lt;_doi&gt;10.1002/ijc.23098&lt;/_doi&gt;&lt;_isbn&gt;1097-0215 (Electronic); 0020-7136 (Linking)&lt;/_isbn&gt;&lt;_issue&gt;3&lt;/_issue&gt;&lt;_journal&gt;Int J Cancer&lt;/_journal&gt;&lt;_keywords&gt;Apoptosis/*drug effects; Blotting, Western; Carcinoma, Hepatocellular/etiology/*metabolism/pathology; Cell Survival/drug effects; Cyclooxygenase 2/*metabolism; Female; Humans; Immunoenzyme Techniques; Intramolecular Oxidoreductases/metabolism; Liver/drug effects/metabolism/pathology; Liver Cirrhosis/etiology/metabolism/pathology; Liver Neoplasms/etiology/metabolism/pathology; Male; Receptors, Prostaglandin E/*metabolism; Tissue Array Analysis&lt;/_keywords&gt;&lt;_language&gt;eng&lt;/_language&gt;&lt;_ori_publication&gt;(c) 2007 Wiley-Liss, Inc.&lt;/_ori_publication&gt;&lt;_pages&gt;547-57&lt;/_pages&gt;&lt;_tertiary_title&gt;International journal of cancer. Journal international du cancer&lt;/_tertiary_title&gt;&lt;_type_work&gt;Comparative Study; Journal Article; Research Support, Non-U.S. Gov&amp;apos;t&lt;/_type_work&gt;&lt;_url&gt;http://www.ncbi.nlm.nih.gov/entrez/query.fcgi?cmd=Retrieve&amp;amp;db=pubmed&amp;amp;dopt=Abstract&amp;amp;list_uids=17918156&amp;amp;query_hl=1&lt;/_url&gt;&lt;_volume&gt;122&lt;/_volume&gt;&lt;_created&gt;60927389&lt;/_created&gt;&lt;_modified&gt;60927389&lt;/_modified&gt;&lt;_impact_factor&gt;   5.085&lt;/_impact_factor&gt;&lt;_collection_scope&gt;SCI;SCIE;&lt;/_collection_scope&gt;&lt;/Details&gt;&lt;Extra&gt;&lt;DBUID&gt;{DE509FB4-0C85-4E2B-BBB9-210FED694D73}&lt;/DBUID&gt;&lt;/Extra&gt;&lt;/Item&gt;&lt;/References&gt;&lt;/Group&gt;&lt;/Citation&gt;_x000a_"/>
    <w:docVar w:name="NE.Ref{5B6D283B-E343-4AB1-B880-7AA8109B10A4}" w:val=" ADDIN NE.Ref.{5B6D283B-E343-4AB1-B880-7AA8109B10A4}&lt;Citation&gt;&lt;Group&gt;&lt;References&gt;&lt;Item&gt;&lt;ID&gt;8361&lt;/ID&gt;&lt;UID&gt;{CE468E55-BA5B-48FE-8679-A47AA42C388D}&lt;/UID&gt;&lt;Title&gt;Targeting the EP1 receptor reduces Fas ligand expression and increases the antitumor immune response in an in vivo model of colon cancer&lt;/Title&gt;&lt;Template&gt;Journal Article&lt;/Template&gt;&lt;Star&gt;0&lt;/Star&gt;&lt;Tag&gt;0&lt;/Tag&gt;&lt;Author&gt;O&amp;apos;Callaghan, G; Ryan, A; Neary, P; O&amp;apos;Mahony, C; Shanahan, F; Houston, A&lt;/Author&gt;&lt;Year&gt;2013&lt;/Year&gt;&lt;Details&gt;&lt;_accession_num&gt;23390011&lt;/_accession_num&gt;&lt;_author_adr&gt;Department of Medicine, University College Cork, Cork, Ireland.&lt;/_author_adr&gt;&lt;_collection_scope&gt;SCI;SCIE;&lt;/_collection_scope&gt;&lt;_created&gt;61149213&lt;/_created&gt;&lt;_date&gt;2013-08-15&lt;/_date&gt;&lt;_date_display&gt;2013 Aug 15&lt;/_date_display&gt;&lt;_doi&gt;10.1002/ijc.28076&lt;/_doi&gt;&lt;_impact_factor&gt;   5.085&lt;/_impact_factor&gt;&lt;_isbn&gt;1097-0215 (Electronic); 0020-7136 (Linking)&lt;/_isbn&gt;&lt;_issue&gt;4&lt;/_issue&gt;&lt;_journal&gt;Int J Cancer&lt;/_journal&gt;&lt;_keywords&gt;Animals; Blotting, Western; CD4-Positive T-Lymphocytes/immunology; CD8-Positive T-Lymphocytes/immunology; Colonic Neoplasms/*immunology/pathology; *Disease Models, Animal; Enzyme-Linked Immunosorbent Assay; Fas Ligand Protein/*metabolism; Female; Flow Cytometry; Mice; Mice, Inbred BALB C; Real-Time Polymerase Chain Reaction; Receptors, Prostaglandin E, EP1 Subtype/*drug effects&lt;/_keywords&gt;&lt;_language&gt;eng&lt;/_language&gt;&lt;_modified&gt;61149214&lt;/_modified&gt;&lt;_ori_publication&gt;Copyright (c) 2013 UICC.&lt;/_ori_publication&gt;&lt;_pages&gt;825-34&lt;/_pages&gt;&lt;_tertiary_title&gt;International journal of cancer&lt;/_tertiary_title&gt;&lt;_type_work&gt;Journal Article; Research Support, Non-U.S. Gov&amp;apos;t&lt;/_type_work&gt;&lt;_url&gt;http://www.ncbi.nlm.nih.gov/entrez/query.fcgi?cmd=Retrieve&amp;amp;db=pubmed&amp;amp;dopt=Abstract&amp;amp;list_uids=23390011&amp;amp;query_hl=1&lt;/_url&gt;&lt;_volume&gt;133&lt;/_volume&gt;&lt;/Details&gt;&lt;Extra&gt;&lt;DBUID&gt;{DE509FB4-0C85-4E2B-BBB9-210FED694D73}&lt;/DBUID&gt;&lt;/Extra&gt;&lt;/Item&gt;&lt;/References&gt;&lt;/Group&gt;&lt;/Citation&gt;_x000a_"/>
    <w:docVar w:name="NE.Ref{5F04A977-61D2-4D50-B56B-9A951B26D80F}" w:val=" ADDIN NE.Ref.{5F04A977-61D2-4D50-B56B-9A951B26D80F}&lt;Citation&gt;&lt;Group&gt;&lt;References&gt;&lt;Item&gt;&lt;ID&gt;8330&lt;/ID&gt;&lt;UID&gt;{9CBA583F-5FBD-4519-9F9E-B354082AFCF3}&lt;/UID&gt;&lt;Title&gt;Global cancer statistics, 2012&lt;/Title&gt;&lt;Template&gt;Journal Article&lt;/Template&gt;&lt;Star&gt;0&lt;/Star&gt;&lt;Tag&gt;0&lt;/Tag&gt;&lt;Author&gt;Torre, L A; Bray, F; Siegel, R L; Ferlay, J; Lortet-Tieulent, J; Jemal, A&lt;/Author&gt;&lt;Year&gt;2015&lt;/Year&gt;&lt;Details&gt;&lt;_accession_num&gt;25651787&lt;/_accession_num&gt;&lt;_author_adr&gt;Epidemiologist, Surveillance and Health Services Research, American Cancer Society, Atlanta, GA.&lt;/_author_adr&gt;&lt;_created&gt;61148851&lt;/_created&gt;&lt;_date&gt;2015-03-01&lt;/_date&gt;&lt;_date_display&gt;2015 Mar&lt;/_date_display&gt;&lt;_doi&gt;10.3322/caac.21262&lt;/_doi&gt;&lt;_impact_factor&gt; 115.840&lt;/_impact_factor&gt;&lt;_isbn&gt;1542-4863 (Electronic); 0007-9235 (Linking)&lt;/_isbn&gt;&lt;_issue&gt;2&lt;/_issue&gt;&lt;_journal&gt;CA Cancer J Clin&lt;/_journal&gt;&lt;_keywords&gt;Body Mass Index; Breast Neoplasms/epidemiology; Colorectal Neoplasms/epidemiology; Developed Countries/*statistics &amp;amp; numerical data; Developing Countries/*statistics &amp;amp; numerical data; Female; Global Health; Humans; Incidence; Liver Neoplasms/epidemiology; Lung Neoplasms/epidemiology; Male; Neoplasms/diagnosis/*epidemiology/etiology/mortality/prevention &amp;amp; control/therapy; Overweight/epidemiology; Poverty; Prevalence; Prostatic Neoplasms/epidemiology; Risk Factors; Sedentary Lifestyle; Smoking/adverse effects; Stomach Neoplasms/epidemiology; Survival Rate; Uterine Cervical Neoplasms/epidemiologycancer; epidemiology; health disparities; incidence; survival&lt;/_keywords&gt;&lt;_language&gt;eng&lt;/_language&gt;&lt;_modified&gt;61149206&lt;/_modified&gt;&lt;_ori_publication&gt;(c) 2015 American Cancer Society.&lt;/_ori_publication&gt;&lt;_pages&gt;87-108&lt;/_pages&gt;&lt;_tertiary_title&gt;CA: a cancer journal for clinicians&lt;/_tertiary_title&gt;&lt;_type_work&gt;Journal Article&lt;/_type_work&gt;&lt;_url&gt;http://www.ncbi.nlm.nih.gov/entrez/query.fcgi?cmd=Retrieve&amp;amp;db=pubmed&amp;amp;dopt=Abstract&amp;amp;list_uids=25651787&amp;amp;query_hl=1&lt;/_url&gt;&lt;_volume&gt;65&lt;/_volume&gt;&lt;/Details&gt;&lt;Extra&gt;&lt;DBUID&gt;{DE509FB4-0C85-4E2B-BBB9-210FED694D73}&lt;/DBUID&gt;&lt;/Extra&gt;&lt;/Item&gt;&lt;/References&gt;&lt;/Group&gt;&lt;Group&gt;&lt;References&gt;&lt;Item&gt;&lt;ID&gt;665&lt;/ID&gt;&lt;UID&gt;{C11159C5-BA6E-458B-9FDA-FCC968212B1D}&lt;/UID&gt;&lt;Title&gt;Blood neutrophil-lymphocyte ratio predicts survival after hepatectomy for hepatocellular carcinoma: A propensity score-based analysis&lt;/Title&gt;&lt;Template&gt;Journal Article&lt;/Template&gt;&lt;Star&gt;0&lt;/Star&gt;&lt;Tag&gt;0&lt;/Tag&gt;&lt;Author&gt;Yang, Hao-Jie; Guo, Zhe; Yang, Yu-Ting; Jiang, Jing-Hang; Qi, Ya-Peng; Li, Ji-Jia; Li, Le-Qun; Xiang, Bang-De&lt;/Author&gt;&lt;Year&gt;2016&lt;/Year&gt;&lt;Details&gt;&lt;_accessed&gt;61246721&lt;/_accessed&gt;&lt;_collection_scope&gt;SCIE;&lt;/_collection_scope&gt;&lt;_created&gt;61246721&lt;/_created&gt;&lt;_db_updated&gt;CrossRef&lt;/_db_updated&gt;&lt;_doi&gt;10.3748/wjg.v22.i21.5088&lt;/_doi&gt;&lt;_impact_factor&gt;   2.787&lt;/_impact_factor&gt;&lt;_isbn&gt;1007-9327&lt;/_isbn&gt;&lt;_issue&gt;21&lt;/_issue&gt;&lt;_journal&gt;World Journal of Gastroenterology&lt;/_journal&gt;&lt;_modified&gt;61323347&lt;/_modified&gt;&lt;_pages&gt;5088&lt;/_pages&gt;&lt;_tertiary_title&gt;WJG&lt;/_tertiary_title&gt;&lt;_url&gt;http://www.wjgnet.com/1007-9327/full/v22/i21/5088.htm_x000d__x000a_http://www.wjgnet.com/1007-9327/full/v22/i21/5088.htm&lt;/_url&gt;&lt;_volume&gt;22&lt;/_volume&gt;&lt;/Details&gt;&lt;Extra&gt;&lt;DBUID&gt;{2CD67888-3FCB-44E3-82C5-A06DDFD9E33F}&lt;/DBUID&gt;&lt;/Extra&gt;&lt;/Item&gt;&lt;/References&gt;&lt;/Group&gt;&lt;/Citation&gt;_x000a_"/>
    <w:docVar w:name="NE.Ref{6460C2D6-EE17-4279-BAEE-4154A2ECABA6}" w:val=" ADDIN NE.Ref.{6460C2D6-EE17-4279-BAEE-4154A2ECABA6} ADDIN NE.Ref.{6460C2D6-EE17-4279-BAEE-4154A2ECABA6}&lt;Citation&gt;&lt;Group&gt;&lt;References&gt;&lt;Item&gt;&lt;ID&gt;8375&lt;/ID&gt;&lt;UID&gt;{7C3BB152-2034-4BB8-8A97-283A3B601613}&lt;/UID&gt;&lt;Title&gt;Prostaglandin E2 receptors and COX enzymes in human hepatocellular carcinoma: role in the regulation of cell growth&lt;/Title&gt;&lt;Template&gt;Journal Article&lt;/Template&gt;&lt;Star&gt;0&lt;/Star&gt;&lt;Tag&gt;0&lt;/Tag&gt;&lt;Author&gt;Cusimano, A; Fodera, D; Lampiasi, N; Azzolina, A; Notarbartolo, M; Giannitrapani, L; D&amp;apos;Alessandro, N; Montalto, G; Cervello, M&lt;/Author&gt;&lt;Year&gt;2009&lt;/Year&gt;&lt;Details&gt;&lt;_accession_num&gt;19250221&lt;/_accession_num&gt;&lt;_author_adr&gt;Institute of Biomedicine and Molecular Immunology Alberto Monroy, National Research Council, Palermo, Italy.&lt;/_author_adr&gt;&lt;_date_display&gt;2009 Feb&lt;/_date_display&gt;&lt;_date&gt;2009-02-01&lt;/_date&gt;&lt;_doi&gt;10.1111/j.1749-6632.2009.03701.x&lt;/_doi&gt;&lt;_isbn&gt;1749-6632 (Electronic); 0077-8923 (Linking)&lt;/_isbn&gt;&lt;_journal&gt;Ann N Y Acad Sci&lt;/_journal&gt;&lt;_keywords&gt;Aged; Carcinoma, Hepatocellular/enzymology/*metabolism/pathology; Cell Division/*physiology; Cell Line, Tumor; Female; Humans; Liver Neoplasms/enzymology/*metabolism/pathology; Male; Middle Aged; Prostaglandin-Endoperoxide Synthases/*metabolism; Receptors, Prostaglandin E/*metabolism/physiology&lt;/_keywords&gt;&lt;_language&gt;eng&lt;/_language&gt;&lt;_pages&gt;300-8&lt;/_pages&gt;&lt;_tertiary_title&gt;Annals of the New York Academy of Sciences&lt;/_tertiary_title&gt;&lt;_type_work&gt;Journal Article; Research Support, Non-U.S. Gov&amp;apos;t&lt;/_type_work&gt;&lt;_url&gt;http://www.ncbi.nlm.nih.gov/entrez/query.fcgi?cmd=Retrieve&amp;amp;db=pubmed&amp;amp;dopt=Abstract&amp;amp;list_uids=19250221&amp;amp;query_hl=1&lt;/_url&gt;&lt;_volume&gt;1155&lt;/_volume&gt;&lt;_created&gt;60927388&lt;/_created&gt;&lt;_modified&gt;60927388&lt;/_modified&gt;&lt;_impact_factor&gt;   4.383&lt;/_impact_factor&gt;&lt;/Details&gt;&lt;Extra&gt;&lt;DBUID&gt;{DE509FB4-0C85-4E2B-BBB9-210FED694D73}&lt;/DBUID&gt;&lt;/Extra&gt;&lt;/Item&gt;&lt;/References&gt;&lt;/Group&gt;&lt;Group&gt;&lt;References&gt;&lt;Item&gt;&lt;ID&gt;8376&lt;/ID&gt;&lt;UID&gt;{9ACD2FC2-5F7F-4F00-BF99-AFF99E023AF5}&lt;/UID&gt;&lt;Title&gt;Differential expression of E-prostanoid receptors in human hepatocellular carcinoma&lt;/Title&gt;&lt;Template&gt;Journal Article&lt;/Template&gt;&lt;Star&gt;0&lt;/Star&gt;&lt;Tag&gt;0&lt;/Tag&gt;&lt;Author&gt;Breinig, M; Rieker, R; Eiteneuer, E; Wertenbruch, T; Haugg, A M; Helmke, B M; Schirmacher, P; Kern, M A&lt;/Author&gt;&lt;Year&gt;2008&lt;/Year&gt;&lt;Details&gt;&lt;_accession_num&gt;17918156&lt;/_accession_num&gt;&lt;_author_adr&gt;Department of General Pathology, University Hospital, 69120 Heidelberg, Germany.&lt;/_author_adr&gt;&lt;_date_display&gt;2008 Feb 1&lt;/_date_display&gt;&lt;_date&gt;2008-02-01&lt;/_date&gt;&lt;_doi&gt;10.1002/ijc.23098&lt;/_doi&gt;&lt;_isbn&gt;1097-0215 (Electronic); 0020-7136 (Linking)&lt;/_isbn&gt;&lt;_issue&gt;3&lt;/_issue&gt;&lt;_journal&gt;Int J Cancer&lt;/_journal&gt;&lt;_keywords&gt;Apoptosis/*drug effects; Blotting, Western; Carcinoma, Hepatocellular/etiology/*metabolism/pathology; Cell Survival/drug effects; Cyclooxygenase 2/*metabolism; Female; Humans; Immunoenzyme Techniques; Intramolecular Oxidoreductases/metabolism; Liver/drug effects/metabolism/pathology; Liver Cirrhosis/etiology/metabolism/pathology; Liver Neoplasms/etiology/metabolism/pathology; Male; Receptors, Prostaglandin E/*metabolism; Tissue Array Analysis&lt;/_keywords&gt;&lt;_language&gt;eng&lt;/_language&gt;&lt;_ori_publication&gt;(c) 2007 Wiley-Liss, Inc.&lt;/_ori_publication&gt;&lt;_pages&gt;547-57&lt;/_pages&gt;&lt;_tertiary_title&gt;International journal of cancer. Journal international du cancer&lt;/_tertiary_title&gt;&lt;_type_work&gt;Comparative Study; Journal Article; Research Support, Non-U.S. Gov&amp;apos;t&lt;/_type_work&gt;&lt;_url&gt;http://www.ncbi.nlm.nih.gov/entrez/query.fcgi?cmd=Retrieve&amp;amp;db=pubmed&amp;amp;dopt=Abstract&amp;amp;list_uids=17918156&amp;amp;query_hl=1&lt;/_url&gt;&lt;_volume&gt;122&lt;/_volume&gt;&lt;_created&gt;60927389&lt;/_created&gt;&lt;_modified&gt;60927389&lt;/_modified&gt;&lt;_impact_factor&gt;   5.085&lt;/_impact_factor&gt;&lt;_collection_scope&gt;SCI;SCIE;&lt;/_collection_scope&gt;&lt;/Details&gt;&lt;Extra&gt;&lt;DBUID&gt;{DE509FB4-0C85-4E2B-BBB9-210FED694D73}&lt;/DBUID&gt;&lt;/Extra&gt;&lt;/Item&gt;&lt;/References&gt;&lt;/Group&gt;&lt;/Citation&gt;_x000a_"/>
    <w:docVar w:name="NE.Ref{64E53FFB-7761-4871-A7CE-C49D9D160CFF}" w:val=" ADDIN NE.Ref.{64E53FFB-7761-4871-A7CE-C49D9D160CFF} ADDIN NE.Ref.{64E53FFB-7761-4871-A7CE-C49D9D160CFF}&lt;Citation&gt;&lt;Group&gt;&lt;References&gt;&lt;Item&gt;&lt;ID&gt;8403&lt;/ID&gt;&lt;UID&gt;{2F54D3CA-7DD8-4ED0-93C5-3154C6C86FDE}&lt;/UID&gt;&lt;Title&gt;Inhibitory effect of a prostaglandin E receptor subtype EP(1) selective antagonist, ONO-8713, on development of azoxymethane-induced aberrant crypt foci  in mice&lt;/Title&gt;&lt;Template&gt;Journal Article&lt;/Template&gt;&lt;Star&gt;0&lt;/Star&gt;&lt;Tag&gt;0&lt;/Tag&gt;&lt;Author&gt;Watanabe, K; Kawamori, T; Nakatsugi, S; Ohta, T; Ohuchida, S; Yamamoto, H; Maruyama, T; Kondo, K; Narumiya, S; Sugimura, T; Wakabayashi, K&lt;/Author&gt;&lt;Year&gt;2000&lt;/Year&gt;&lt;Details&gt;&lt;_accession_num&gt;10840160&lt;/_accession_num&gt;&lt;_author_adr&gt;Cancer Prevention Division, National Cancer Center Research Institute, 1-1 Tsukiji 5-chome, Chuo-ku, 104-0045, Tokyo, Japan.&lt;/_author_adr&gt;&lt;_date_display&gt;2000 Aug 1&lt;/_date_display&gt;&lt;_date&gt;2000-08-01&lt;/_date&gt;&lt;_isbn&gt;0304-3835 (Print); 0304-3835 (Linking)&lt;/_isbn&gt;&lt;_issue&gt;1&lt;/_issue&gt;&lt;_journal&gt;Cancer Lett&lt;/_journal&gt;&lt;_keywords&gt;Animals; Anti-Inflammatory Agents, Non-Steroidal/therapeutic use; Antineoplastic Agents/*therapeutic use; Azoxymethane; Cinnamates/*therapeutic use; Colonic Neoplasms/chemically induced/*prevention &amp;amp; control; Male; Mice; Mice, Inbred C57BL; Precancerous Conditions/chemically induced/*prevention &amp;amp; control; Receptors, Prostaglandin E/*antagonists &amp;amp; inhibitors/physiology; Receptors, Prostaglandin E, EP1 Subtype&lt;/_keywords&gt;&lt;_language&gt;eng&lt;/_language&gt;&lt;_pages&gt;57-61&lt;/_pages&gt;&lt;_tertiary_title&gt;Cancer letters&lt;/_tertiary_title&gt;&lt;_type_work&gt;Journal Article; Research Support, Non-U.S. Gov&amp;apos;t&lt;/_type_work&gt;&lt;_url&gt;http://www.ncbi.nlm.nih.gov/entrez/query.fcgi?cmd=Retrieve&amp;amp;db=pubmed&amp;amp;dopt=Abstract&amp;amp;list_uids=10840160&amp;amp;query_hl=1&lt;/_url&gt;&lt;_volume&gt;156&lt;/_volume&gt;&lt;_created&gt;60952921&lt;/_created&gt;&lt;_modified&gt;60952921&lt;/_modified&gt;&lt;_impact_factor&gt;   5.621&lt;/_impact_factor&gt;&lt;_collection_scope&gt;SCI;SCIE;&lt;/_collection_scope&gt;&lt;/Details&gt;&lt;Extra&gt;&lt;DBUID&gt;{DE509FB4-0C85-4E2B-BBB9-210FED694D73}&lt;/DBUID&gt;&lt;/Extra&gt;&lt;/Item&gt;&lt;/References&gt;&lt;/Group&gt;&lt;Group&gt;&lt;References&gt;&lt;Item&gt;&lt;ID&gt;8404&lt;/ID&gt;&lt;UID&gt;{BAE4FFBB-DE38-4240-B7EA-495AFD6FC3E2}&lt;/UID&gt;&lt;Title&gt;Role of the prostaglandin E receptor subtype EP1 in colon carcinogenesis&lt;/Title&gt;&lt;Template&gt;Journal Article&lt;/Template&gt;&lt;Star&gt;0&lt;/Star&gt;&lt;Tag&gt;0&lt;/Tag&gt;&lt;Author&gt;Watanabe, K; Kawamori, T; Nakatsugi, S; Ohta, T; Ohuchida, S; Yamamoto, H; Maruyama, T; Kondo, K; Ushikubi, F; Narumiya, S; Sugimura, T; Wakabayashi, K&lt;/Author&gt;&lt;Year&gt;1999&lt;/Year&gt;&lt;Details&gt;&lt;_accession_num&gt;10537280&lt;/_accession_num&gt;&lt;_author_adr&gt;Cancer Prevention Division, National Cancer Center Research Institute, Tokyo, Japan.&lt;/_author_adr&gt;&lt;_date_display&gt;1999 Oct 15&lt;/_date_display&gt;&lt;_date&gt;1999-10-15&lt;/_date&gt;&lt;_isbn&gt;0008-5472 (Print); 0008-5472 (Linking)&lt;/_isbn&gt;&lt;_issue&gt;20&lt;/_issue&gt;&lt;_journal&gt;Cancer Res&lt;/_journal&gt;&lt;_keywords&gt;Animals; Azoxymethane/toxicity; Bicyclo Compounds/pharmacology; Caproates/pharmacology; Colonic Neoplasms/*etiology; Male; Mice; Mice, Inbred C57BL; Mice, Knockout; Precancerous Conditions/*etiology; Receptors, Prostaglandin E/antagonists &amp;amp; inhibitors/*physiology; Receptors, Prostaglandin E, EP1 Subtype&lt;/_keywords&gt;&lt;_language&gt;eng&lt;/_language&gt;&lt;_pages&gt;5093-6&lt;/_pages&gt;&lt;_tertiary_title&gt;Cancer research&lt;/_tertiary_title&gt;&lt;_type_work&gt;Journal Article; Research Support, Non-U.S. Gov&amp;apos;t&lt;/_type_work&gt;&lt;_url&gt;http://www.ncbi.nlm.nih.gov/entrez/query.fcgi?cmd=Retrieve&amp;amp;db=pubmed&amp;amp;dopt=Abstract&amp;amp;list_uids=10537280&amp;amp;query_hl=1&lt;/_url&gt;&lt;_volume&gt;59&lt;/_volume&gt;&lt;_created&gt;60952922&lt;/_created&gt;&lt;_modified&gt;60952922&lt;/_modified&gt;&lt;_impact_factor&gt;   9.329&lt;/_impact_factor&gt;&lt;_collection_scope&gt;SCI;SCIE;&lt;/_collection_scope&gt;&lt;/Details&gt;&lt;Extra&gt;&lt;DBUID&gt;{DE509FB4-0C85-4E2B-BBB9-210FED694D73}&lt;/DBUID&gt;&lt;/Extra&gt;&lt;/Item&gt;&lt;/References&gt;&lt;/Group&gt;&lt;/Citation&gt;_x000a_"/>
    <w:docVar w:name="NE.Ref{6DCA4EF5-2FF7-47B0-A7D5-28F0C8CDA551}" w:val=" ADDIN NE.Ref.{6DCA4EF5-2FF7-47B0-A7D5-28F0C8CDA551} ADDIN NE.Ref.{6DCA4EF5-2FF7-47B0-A7D5-28F0C8CDA551}&lt;Citation&gt;&lt;Group&gt;&lt;References&gt;&lt;Item&gt;&lt;ID&gt;8372&lt;/ID&gt;&lt;UID&gt;{586D37FA-43ED-49B0-9004-565CBB94DFD7}&lt;/UID&gt;&lt;Title&gt;Prostaglandin E2 promotes hepatocellular carcinoma cell invasion through upregulation of YB-1 protein expression&lt;/Title&gt;&lt;Template&gt;Journal Article&lt;/Template&gt;&lt;Star&gt;0&lt;/Star&gt;&lt;Tag&gt;0&lt;/Tag&gt;&lt;Author&gt;Zhang, H; Cheng, S; Zhang, M; Ma, X; Zhang, L; Wang, Y; Rong, R; Ma, J; Xia, S; &amp;quot;Du M&amp;quot;; Shi, F; Wang, J; Yang, Q; Bai, X; Leng, J&lt;/Author&gt;&lt;Year&gt;2014&lt;/Year&gt;&lt;Details&gt;&lt;_accession_num&gt;24378923&lt;/_accession_num&gt;&lt;_author_adr&gt;Cancer Center, Department of Pathology, Nanjing Medical University, Nanjing 210029, P.R. China.; Cancer Center, Department of Pathology, Nanjing Medical University, Nanjing 210029, P.R. China.; Cancer Center, Department of Pathology, Nanjing Medical University, Nanjing 210029, P.R. China.; Cancer Center, Department of Pathology, Nanjing Medical University, Nanjing 210029, P.R. China.; Cancer Center, Department of Pathology, Nanjing Medical University, Nanjing 210029, P.R. China.; Cancer Center, Department of Pathology, Nanjing Medical University, Nanjing 210029, P.R. China.; Cancer Center, Department of Pathology, Nanjing Medical University, Nanjing 210029, P.R. China.; Cancer Center, Department of Pathology, Nanjing Medical University, Nanjing 210029, P.R. China.; Cancer Center, Department of Pathology, Nanjing Medical University, Nanjing 210029, P.R. China.; Cancer Center, Department of Pathology, Nanjing Medical University, Nanjing 210029, P.R. China.; Cancer Center, Department of Pathology, Nanjing Medical University, Nanjing 210029, P.R. China.; Cancer Center, Department of Pathology, Nanjing Medical University, Nanjing 210029, P.R. China.; Cancer Center, Department of Pathology, Nanjing Medical University, Nanjing 210029, P.R. China.; Cancer Center, Department of Pathology, Nanjing Medical University, Nanjing 210029, P.R. China.; Cancer Center, Department of Pathology, Nanjing Medical University, Nanjing 210029, P.R. China.&lt;/_author_adr&gt;&lt;_date_display&gt;2014 Mar&lt;/_date_display&gt;&lt;_date&gt;2014-03-01&lt;/_date&gt;&lt;_doi&gt;10.3892/ijo.2013.2234&lt;/_doi&gt;&lt;_isbn&gt;1791-2423 (Electronic); 1019-6439 (Linking)&lt;/_isbn&gt;&lt;_issue&gt;3&lt;/_issue&gt;&lt;_journal&gt;Int J Oncol&lt;/_journal&gt;&lt;_keywords&gt;Carcinoma, Hepatocellular/*genetics/pathology; Cell Line, Tumor; Dinoprostone/*genetics/metabolism; Epithelial-Mesenchymal Transition/genetics; Gene Expression Regulation, Neoplastic; Humans; Liver Neoplasms/*genetics/pathology; Neoplasm Invasiveness/genetics/pathology; Phosphorylation; RNA Interference; Signal Transduction/genetics; Y-Box-Binding Protein 1/*biosynthesis&lt;/_keywords&gt;&lt;_language&gt;eng&lt;/_language&gt;&lt;_pages&gt;769-80&lt;/_pages&gt;&lt;_tertiary_title&gt;International journal of oncology&lt;/_tertiary_title&gt;&lt;_type_work&gt;Journal Article; Research Support, Non-U.S. Gov&amp;apos;t&lt;/_type_work&gt;&lt;_url&gt;http://www.ncbi.nlm.nih.gov/entrez/query.fcgi?cmd=Retrieve&amp;amp;db=pubmed&amp;amp;dopt=Abstract&amp;amp;list_uids=24378923&amp;amp;query_hl=1&lt;/_url&gt;&lt;_volume&gt;44&lt;/_volume&gt;&lt;_created&gt;60927127&lt;/_created&gt;&lt;_modified&gt;60927127&lt;/_modified&gt;&lt;_impact_factor&gt;   3.025&lt;/_impact_factor&gt;&lt;_collection_scope&gt;SCI;SCIE;&lt;/_collection_scope&gt;&lt;/Details&gt;&lt;Extra&gt;&lt;DBUID&gt;{DE509FB4-0C85-4E2B-BBB9-210FED694D73}&lt;/DBUID&gt;&lt;/Extra&gt;&lt;/Item&gt;&lt;/References&gt;&lt;/Group&gt;&lt;Group&gt;&lt;References&gt;&lt;Item&gt;&lt;ID&gt;8371&lt;/ID&gt;&lt;UID&gt;{169922B8-4B7B-4DDA-BC2A-77B18E7320C6}&lt;/UID&gt;&lt;Title&gt;ANGPTL4 induction by prostaglandin E2 under hypoxic conditions promotes colorectal cancer progression&lt;/Title&gt;&lt;Template&gt;Journal Article&lt;/Template&gt;&lt;Star&gt;0&lt;/Star&gt;&lt;Tag&gt;0&lt;/Tag&gt;&lt;Author&gt;Kim, S H; Park, Y Y; Kim, S W; Lee, J S; Wang, D; DuBois, R N&lt;/Author&gt;&lt;Year&gt;2011&lt;/Year&gt;&lt;Details&gt;&lt;_accession_num&gt;21937683&lt;/_accession_num&gt;&lt;_author_adr&gt;Department of Cancer Biology, The University of Texas MD Anderson Cancer Center,  Houston, Texas 77030, USA.&lt;/_author_adr&gt;&lt;_date_display&gt;2011 Nov 15&lt;/_date_display&gt;&lt;_date&gt;2011-11-15&lt;/_date&gt;&lt;_doi&gt;10.1158/0008-5472.CAN-11-1262&lt;/_doi&gt;&lt;_isbn&gt;1538-7445 (Electronic); 0008-5472 (Linking)&lt;/_isbn&gt;&lt;_issue&gt;22&lt;/_issue&gt;&lt;_journal&gt;Cancer Res&lt;/_journal&gt;&lt;_keywords&gt;Angiopoietins/*physiology; Animals; *Cell Hypoxia; Cell Line, Tumor; Cell Proliferation/drug effects; Colorectal Neoplasms/etiology/*pathology; Dinoprostone/*pharmacology; Disease Progression; Humans; Mice; Receptors, Prostaglandin E, EP1 Subtype/physiology; STAT1 Transcription Factor/physiology&lt;/_keywords&gt;&lt;_language&gt;eng&lt;/_language&gt;&lt;_ori_publication&gt;(c)2011 AACR&lt;/_ori_publication&gt;&lt;_pages&gt;7010-20&lt;/_pages&gt;&lt;_tertiary_title&gt;Cancer research&lt;/_tertiary_title&gt;&lt;_type_work&gt;Journal Article; Research Support, N.I.H., Extramural&lt;/_type_work&gt;&lt;_url&gt;http://www.ncbi.nlm.nih.gov/entrez/query.fcgi?cmd=Retrieve&amp;amp;db=pubmed&amp;amp;dopt=Abstract&amp;amp;list_uids=21937683&amp;amp;query_hl=1&lt;/_url&gt;&lt;_volume&gt;71&lt;/_volume&gt;&lt;_created&gt;60927125&lt;/_created&gt;&lt;_modified&gt;60927125&lt;/_modified&gt;&lt;_impact_factor&gt;   9.329&lt;/_impact_factor&gt;&lt;_collection_scope&gt;SCI;SCIE;&lt;/_collection_scope&gt;&lt;/Details&gt;&lt;Extra&gt;&lt;DBUID&gt;{DE509FB4-0C85-4E2B-BBB9-210FED694D73}&lt;/DBUID&gt;&lt;/Extra&gt;&lt;/Item&gt;&lt;/References&gt;&lt;/Group&gt;&lt;Group&gt;&lt;References&gt;&lt;Item&gt;&lt;ID&gt;8370&lt;/ID&gt;&lt;UID&gt;{6F0DAC2F-8C64-49BE-B6EF-46C2D0321A0E}&lt;/UID&gt;&lt;Title&gt;Prostaglandin E2/EP1 signaling pathway enhances intercellular adhesion molecule 1 (ICAM-1) expression and cell motility in oral cancer cells&lt;/Title&gt;&lt;Template&gt;Journal Article&lt;/Template&gt;&lt;Star&gt;0&lt;/Star&gt;&lt;Tag&gt;0&lt;/Tag&gt;&lt;Author&gt;Yang, S F; Chen, M K; Hsieh, Y S; Chung, T T; Hsieh, Y H; Lin, C W; Su, J L; Tsai, M H; Tang, C H&lt;/Author&gt;&lt;Year&gt;2010&lt;/Year&gt;&lt;Details&gt;&lt;_accession_num&gt;20647315&lt;/_accession_num&gt;&lt;_author_adr&gt;From the Institute of Medicine, Chung Shan Medical University, Taichung 402, Taiwan.&lt;/_author_adr&gt;&lt;_collection_scope&gt;EI;SCI;SCIE;&lt;/_collection_scope&gt;&lt;_created&gt;60927122&lt;/_created&gt;&lt;_date&gt;2010-09-24&lt;/_date&gt;&lt;_date_display&gt;2010 Sep 24&lt;/_date_display&gt;&lt;_doi&gt;10.1074/jbc.M110.108183&lt;/_doi&gt;&lt;_impact_factor&gt;   4.573&lt;/_impact_factor&gt;&lt;_isbn&gt;1083-351X (Electronic); 0021-9258 (Linking)&lt;/_isbn&gt;&lt;_issue&gt;39&lt;/_issue&gt;&lt;_journal&gt;J Biol Chem&lt;/_journal&gt;&lt;_keywords&gt;Cell Line, Tumor; Cell Movement/*drug effects; Cyclooxygenase 2/biosynthesis; Dinoprostone/metabolism/*pharmacology; Gene Expression Regulation, Neoplastic/*drug effects; Humans; Intercellular Adhesion Molecule-1/*biosynthesis; Mouth Neoplasms/*metabolism/pathology; Oxytocics/metabolism/*pharmacology; Protein Kinase C-delta/metabolism; Protein-Tyrosine Kinases/metabolism; Receptors, Prostaglandin E/*metabolism; Receptors, Prostaglandin E, EP1 Subtype; Signal Transduction/*drug effects; Transcription Factor AP-1/genetics/metabolism; src-Family Kinases&lt;/_keywords&gt;&lt;_language&gt;eng&lt;/_language&gt;&lt;_modified&gt;60952306&lt;/_modified&gt;&lt;_pages&gt;29808-16&lt;/_pages&gt;&lt;_tertiary_title&gt;The Journal of biological chemistry&lt;/_tertiary_title&gt;&lt;_type_work&gt;Journal Article; Research Support, Non-U.S. Gov&amp;apos;t&lt;/_type_work&gt;&lt;_url&gt;http://www.ncbi.nlm.nih.gov/entrez/query.fcgi?cmd=Retrieve&amp;amp;db=pubmed&amp;amp;dopt=Abstract&amp;amp;list_uids=20647315&amp;amp;query_hl=1&lt;/_url&gt;&lt;_volume&gt;285&lt;/_volume&gt;&lt;/Details&gt;&lt;Extra&gt;&lt;DBUID&gt;{DE509FB4-0C85-4E2B-BBB9-210FED694D73}&lt;/DBUID&gt;&lt;/Extra&gt;&lt;/Item&gt;&lt;/References&gt;&lt;/Group&gt;&lt;Group&gt;&lt;References&gt;&lt;Item&gt;&lt;ID&gt;8379&lt;/ID&gt;&lt;UID&gt;{1D604481-6FC3-48E2-AB65-8BFE8B02AA51}&lt;/UID&gt;&lt;Title&gt;Lysyl oxidase plays a critical role in endothelial cell stimulation to drive tumor angiogenesis&lt;/Title&gt;&lt;Template&gt;Journal Article&lt;/Template&gt;&lt;Star&gt;0&lt;/Star&gt;&lt;Tag&gt;0&lt;/Tag&gt;&lt;Author&gt;Baker, A M; Bird, D; Welti, J C; Gourlaouen, M; Lang, G; Murray, G I; Reynolds, A R; Cox, T R; Erler, J T&lt;/Author&gt;&lt;Year&gt;2013&lt;/Year&gt;&lt;Details&gt;&lt;_accession_num&gt;23188504&lt;/_accession_num&gt;&lt;_author_adr&gt;Hypoxia and Metastasis Team, The Institute of Cancer Research, London, UK.&lt;/_author_adr&gt;&lt;_date_display&gt;2013 Jan 15&lt;/_date_display&gt;&lt;_date&gt;2013-01-15&lt;/_date&gt;&lt;_doi&gt;10.1158/0008-5472.CAN-12-2447&lt;/_doi&gt;&lt;_isbn&gt;1538-7445 (Electronic); 0008-5472 (Linking)&lt;/_isbn&gt;&lt;_issue&gt;2&lt;/_issue&gt;&lt;_journal&gt;Cancer Res&lt;/_journal&gt;&lt;_keywords&gt;Animals; Breast Neoplasms/metabolism; Cell Line, Tumor; Cell Movement; Colorectal Neoplasms/*blood supply/*metabolism; Endothelial Cells/*metabolism/pathology; Female; Humans; Mice; Mice, Nude; Neoplasm Transplantation; Neovascularization, Pathologic/*metabolism; Protein-Lysine 6-Oxidase/antagonists &amp;amp; inhibitors/*metabolism; Signal Transduction; Vascular Endothelial Growth Factor A/metabolism&lt;/_keywords&gt;&lt;_language&gt;eng&lt;/_language&gt;&lt;_pages&gt;583-94&lt;/_pages&gt;&lt;_tertiary_title&gt;Cancer research&lt;/_tertiary_title&gt;&lt;_type_work&gt;Journal Article; Research Support, Non-U.S. Gov&amp;apos;t&lt;/_type_work&gt;&lt;_url&gt;http://www.ncbi.nlm.nih.gov/entrez/query.fcgi?cmd=Retrieve&amp;amp;db=pubmed&amp;amp;dopt=Abstract&amp;amp;list_uids=23188504&amp;amp;query_hl=1&lt;/_url&gt;&lt;_volume&gt;73&lt;/_volume&gt;&lt;_created&gt;60929061&lt;/_created&gt;&lt;_modified&gt;60929061&lt;/_modified&gt;&lt;_impact_factor&gt;   9.329&lt;/_impact_factor&gt;&lt;_collection_scope&gt;SCI;SCIE;&lt;/_collection_scope&gt;&lt;/Details&gt;&lt;Extra&gt;&lt;DBUID&gt;{DE509FB4-0C85-4E2B-BBB9-210FED694D73}&lt;/DBUID&gt;&lt;/Extra&gt;&lt;/Item&gt;&lt;/References&gt;&lt;/Group&gt;&lt;/Citation&gt;_x000a_"/>
    <w:docVar w:name="NE.Ref{6FC2B621-51B3-4A97-8F29-64A6C1ADE16A}" w:val=" ADDIN NE.Ref.{6FC2B621-51B3-4A97-8F29-64A6C1ADE16A} ADDIN NE.Ref.{6FC2B621-51B3-4A97-8F29-64A6C1ADE16A}&lt;Citation&gt;&lt;Group&gt;&lt;References&gt;&lt;Item&gt;&lt;ID&gt;8367&lt;/ID&gt;&lt;UID&gt;{53A5390F-0FC5-4565-86AF-F002057832A2}&lt;/UID&gt;&lt;Title&gt;Clinical significance of Cox-2, Survivin and Bcl-2 expression in hepatocellular carcinoma (HCC)&lt;/Title&gt;&lt;Template&gt;Journal Article&lt;/Template&gt;&lt;Star&gt;0&lt;/Star&gt;&lt;Tag&gt;0&lt;/Tag&gt;&lt;Author&gt;Yang, Y; Zhu, J; Gou, H; Cao, D; Jiang, M; Hou, M&lt;/Author&gt;&lt;Year&gt;2011&lt;/Year&gt;&lt;Details&gt;&lt;_accession_num&gt;20401641&lt;/_accession_num&gt;&lt;_author_adr&gt;Department of Medical Oncology, Cancer Center of West China Hospital, Sichuan University, Chengdu, China.&lt;/_author_adr&gt;&lt;_collection_scope&gt;SCIE;&lt;/_collection_scope&gt;&lt;_created&gt;60926266&lt;/_created&gt;&lt;_date&gt;2011-09-01&lt;/_date&gt;&lt;_date_display&gt;2011 Sep&lt;/_date_display&gt;&lt;_doi&gt;10.1007/s12032-010-9519-y&lt;/_doi&gt;&lt;_impact_factor&gt;   2.634&lt;/_impact_factor&gt;&lt;_isbn&gt;1559-131X (Electronic); 1357-0560 (Linking)&lt;/_isbn&gt;&lt;_issue&gt;3&lt;/_issue&gt;&lt;_journal&gt;Med Oncol&lt;/_journal&gt;&lt;_keywords&gt;Adult; Aged; Carcinoma, Hepatocellular/*metabolism/mortality; Cyclooxygenase 2/*biosynthesis; Female; Humans; Immunohistochemistry; Inhibitor of Apoptosis Proteins/*biosynthesis; Kaplan-Meier Estimate; Liver Neoplasms/*metabolism/mortality; Male; Middle Aged; Prognosis; Proportional Hazards Models; Proto-Oncogene Proteins c-bcl-2/*biosynthesis; Tumor Markers, Biological/analysis&lt;/_keywords&gt;&lt;_language&gt;eng&lt;/_language&gt;&lt;_modified&gt;60950425&lt;/_modified&gt;&lt;_pages&gt;796-803&lt;/_pages&gt;&lt;_tertiary_title&gt;Medical oncology (Northwood, London, England)&lt;/_tertiary_title&gt;&lt;_type_work&gt;Journal Article&lt;/_type_work&gt;&lt;_url&gt;http://www.ncbi.nlm.nih.gov/entrez/query.fcgi?cmd=Retrieve&amp;amp;db=pubmed&amp;amp;dopt=Abstract&amp;amp;list_uids=20401641&amp;amp;query_hl=1&lt;/_url&gt;&lt;_volume&gt;28&lt;/_volume&gt;&lt;/Details&gt;&lt;Extra&gt;&lt;DBUID&gt;{DE509FB4-0C85-4E2B-BBB9-210FED694D73}&lt;/DBUID&gt;&lt;/Extra&gt;&lt;/Item&gt;&lt;/References&gt;&lt;/Group&gt;&lt;Group&gt;&lt;References&gt;&lt;Item&gt;&lt;ID&gt;8365&lt;/ID&gt;&lt;UID&gt;{10473BAD-325A-4153-9258-879F4819A970}&lt;/UID&gt;&lt;Title&gt;Lack of influence of cyclooxygenese-2 expression in hepatocellular carcinomas on  patient survival&lt;/Title&gt;&lt;Template&gt;Journal Article&lt;/Template&gt;&lt;Star&gt;0&lt;/Star&gt;&lt;Tag&gt;0&lt;/Tag&gt;&lt;Author&gt;Yildirim, Y; Ozyilkan, O; Bilezikci, B; Akcali, Z; Haberal, M&lt;/Author&gt;&lt;Year&gt;2008&lt;/Year&gt;&lt;Details&gt;&lt;_accession_num&gt;18712978&lt;/_accession_num&gt;&lt;_author_adr&gt;Department of Medical Oncology, Faculty of Medicine, Baskent University, Fevzi Cakmak Caddesi 12. Sokak 7/5 TR 06490 Bahcelievler, Ankara, Turkey. dryesimyildirim@yahoo.com&lt;/_author_adr&gt;&lt;_created&gt;60926253&lt;/_created&gt;&lt;_date&gt;2008-04-01&lt;/_date&gt;&lt;_date_display&gt;2008 Apr-Jun&lt;/_date_display&gt;&lt;_impact_factor&gt;   2.514&lt;/_impact_factor&gt;&lt;_isbn&gt;1513-7368 (Print); 1513-7368 (Linking)&lt;/_isbn&gt;&lt;_issue&gt;2&lt;/_issue&gt;&lt;_journal&gt;Asian Pac J Cancer Prev&lt;/_journal&gt;&lt;_keywords&gt;Aged; Carcinoma, Hepatocellular/*enzymology/mortality/virology; Cyclooxygenase 2/*metabolism; Female; Hepacivirus/isolation &amp;amp; purification; Hepatitis B/complications/pathology/virology; Hepatitis B virus/isolation &amp;amp; purification; Hepatitis C/complications/pathology/virology; Humans; Immunoenzyme Techniques; Liver Neoplasms/*enzymology/mortality/virology; Male; Middle Aged; Prognosis; Survival Rate&lt;/_keywords&gt;&lt;_language&gt;eng&lt;/_language&gt;&lt;_modified&gt;60926274&lt;/_modified&gt;&lt;_pages&gt;295-8&lt;/_pages&gt;&lt;_tertiary_title&gt;Asian Pacific journal of cancer prevention : APJCP&lt;/_tertiary_title&gt;&lt;_type_work&gt;Journal Article&lt;/_type_work&gt;&lt;_url&gt;http://www.ncbi.nlm.nih.gov/entrez/query.fcgi?cmd=Retrieve&amp;amp;db=pubmed&amp;amp;dopt=Abstract&amp;amp;list_uids=18712978&amp;amp;query_hl=1&lt;/_url&gt;&lt;_volume&gt;9&lt;/_volume&gt;&lt;/Details&gt;&lt;Extra&gt;&lt;DBUID&gt;{DE509FB4-0C85-4E2B-BBB9-210FED694D73}&lt;/DBUID&gt;&lt;/Extra&gt;&lt;/Item&gt;&lt;/References&gt;&lt;/Group&gt;&lt;Group&gt;&lt;References&gt;&lt;Item&gt;&lt;ID&gt;8376&lt;/ID&gt;&lt;UID&gt;{9ACD2FC2-5F7F-4F00-BF99-AFF99E023AF5}&lt;/UID&gt;&lt;Title&gt;Differential expression of E-prostanoid receptors in human hepatocellular carcinoma&lt;/Title&gt;&lt;Template&gt;Journal Article&lt;/Template&gt;&lt;Star&gt;0&lt;/Star&gt;&lt;Tag&gt;0&lt;/Tag&gt;&lt;Author&gt;Breinig, M; Rieker, R; Eiteneuer, E; Wertenbruch, T; Haugg, A M; Helmke, B M; Schirmacher, P; Kern, M A&lt;/Author&gt;&lt;Year&gt;2008&lt;/Year&gt;&lt;Details&gt;&lt;_accession_num&gt;17918156&lt;/_accession_num&gt;&lt;_author_adr&gt;Department of General Pathology, University Hospital, 69120 Heidelberg, Germany.&lt;/_author_adr&gt;&lt;_date_display&gt;2008 Feb 1&lt;/_date_display&gt;&lt;_date&gt;2008-02-01&lt;/_date&gt;&lt;_doi&gt;10.1002/ijc.23098&lt;/_doi&gt;&lt;_isbn&gt;1097-0215 (Electronic); 0020-7136 (Linking)&lt;/_isbn&gt;&lt;_issue&gt;3&lt;/_issue&gt;&lt;_journal&gt;Int J Cancer&lt;/_journal&gt;&lt;_keywords&gt;Apoptosis/*drug effects; Blotting, Western; Carcinoma, Hepatocellular/etiology/*metabolism/pathology; Cell Survival/drug effects; Cyclooxygenase 2/*metabolism; Female; Humans; Immunoenzyme Techniques; Intramolecular Oxidoreductases/metabolism; Liver/drug effects/metabolism/pathology; Liver Cirrhosis/etiology/metabolism/pathology; Liver Neoplasms/etiology/metabolism/pathology; Male; Receptors, Prostaglandin E/*metabolism; Tissue Array Analysis&lt;/_keywords&gt;&lt;_language&gt;eng&lt;/_language&gt;&lt;_ori_publication&gt;(c) 2007 Wiley-Liss, Inc.&lt;/_ori_publication&gt;&lt;_pages&gt;547-57&lt;/_pages&gt;&lt;_tertiary_title&gt;International journal of cancer. Journal international du cancer&lt;/_tertiary_title&gt;&lt;_type_work&gt;Comparative Study; Journal Article; Research Support, Non-U.S. Gov&amp;apos;t&lt;/_type_work&gt;&lt;_url&gt;http://www.ncbi.nlm.nih.gov/entrez/query.fcgi?cmd=Retrieve&amp;amp;db=pubmed&amp;amp;dopt=Abstract&amp;amp;list_uids=17918156&amp;amp;query_hl=1&lt;/_url&gt;&lt;_volume&gt;122&lt;/_volume&gt;&lt;_created&gt;60927389&lt;/_created&gt;&lt;_modified&gt;60927389&lt;/_modified&gt;&lt;_impact_factor&gt;   5.085&lt;/_impact_factor&gt;&lt;_collection_scope&gt;SCI;SCIE;&lt;/_collection_scope&gt;&lt;/Details&gt;&lt;Extra&gt;&lt;DBUID&gt;{DE509FB4-0C85-4E2B-BBB9-210FED694D73}&lt;/DBUID&gt;&lt;/Extra&gt;&lt;/Item&gt;&lt;/References&gt;&lt;/Group&gt;&lt;Group&gt;&lt;References&gt;&lt;Item&gt;&lt;ID&gt;8382&lt;/ID&gt;&lt;UID&gt;{E8888FBC-673F-4FA8-A44A-AE9C8913E815}&lt;/UID&gt;&lt;Title&gt;Expression of cyclooxygenase-2 in human hepatocellular carcinoma: relevance to tumor dedifferentiation&lt;/Title&gt;&lt;Template&gt;Journal Article&lt;/Template&gt;&lt;Star&gt;0&lt;/Star&gt;&lt;Tag&gt;0&lt;/Tag&gt;&lt;Author&gt;Koga, H; Sakisaka, S; Ohishi, M; Kawaguchi, T; Taniguchi, E; Sasatomi, K; Harada, M; Kusaba, T; Tanaka, M; Kimura, R; Nakashima, Y; Nakashima, O; Kojiro, M; Kurohiji, T; Sata, M&lt;/Author&gt;&lt;Year&gt;1999&lt;/Year&gt;&lt;Details&gt;&lt;_accession_num&gt;10051469&lt;/_accession_num&gt;&lt;_author_adr&gt;Second Department of Medicine, Kurume University Research Center for Innovative Cancer Therapy, Kurume, Japan. hirokoga@med.kurume-u.ac.jp&lt;/_author_adr&gt;&lt;_date_display&gt;1999 Mar&lt;/_date_display&gt;&lt;_date&gt;1999-03-01&lt;/_date&gt;&lt;_doi&gt;10.1002/hep.510290355&lt;/_doi&gt;&lt;_isbn&gt;0270-9139 (Print); 0270-9139 (Linking)&lt;/_isbn&gt;&lt;_issue&gt;3&lt;/_issue&gt;&lt;_journal&gt;Hepatology&lt;/_journal&gt;&lt;_keywords&gt;Adult; Aged; Blotting, Western; Carcinoma, Hepatocellular/*enzymology/pathology; Cyclooxygenase 1; Cyclooxygenase 2; Female; Humans; Immunohistochemistry; Isoenzymes/*metabolism; Liver Neoplasms/*enzymology/pathology; Male; Membrane Proteins; Middle Aged; Prostaglandin-Endoperoxide Synthases/*metabolism&lt;/_keywords&gt;&lt;_language&gt;eng&lt;/_language&gt;&lt;_pages&gt;688-96&lt;/_pages&gt;&lt;_tertiary_title&gt;Hepatology (Baltimore, Md.)&lt;/_tertiary_title&gt;&lt;_type_work&gt;Journal Article&lt;/_type_work&gt;&lt;_url&gt;http://www.ncbi.nlm.nih.gov/entrez/query.fcgi?cmd=Retrieve&amp;amp;db=pubmed&amp;amp;dopt=Abstract&amp;amp;list_uids=10051469&amp;amp;query_hl=1&lt;/_url&gt;&lt;_volume&gt;29&lt;/_volume&gt;&lt;_created&gt;60948654&lt;/_created&gt;&lt;_modified&gt;60950427&lt;/_modified&gt;&lt;_impact_factor&gt;  11.055&lt;/_impact_factor&gt;&lt;_collection_scope&gt;SCI;SCIE;&lt;/_collection_scope&gt;&lt;/Details&gt;&lt;Extra&gt;&lt;DBUID&gt;{DE509FB4-0C85-4E2B-BBB9-210FED694D73}&lt;/DBUID&gt;&lt;/Extra&gt;&lt;/Item&gt;&lt;/References&gt;&lt;/Group&gt;&lt;/Citation&gt;_x000a_"/>
    <w:docVar w:name="NE.Ref{73336157-117F-4644-AE54-DA227DC485DE}" w:val=" ADDIN NE.Ref.{73336157-117F-4644-AE54-DA227DC485DE}&lt;Citation&gt;&lt;Group&gt;&lt;References&gt;&lt;Item&gt;&lt;ID&gt;8361&lt;/ID&gt;&lt;UID&gt;{CE468E55-BA5B-48FE-8679-A47AA42C388D}&lt;/UID&gt;&lt;Title&gt;Targeting the EP1 receptor reduces Fas ligand expression and increases the antitumor immune response in an in vivo model of colon cancer&lt;/Title&gt;&lt;Template&gt;Journal Article&lt;/Template&gt;&lt;Star&gt;0&lt;/Star&gt;&lt;Tag&gt;0&lt;/Tag&gt;&lt;Author&gt;O&amp;apos;Callaghan, G; Ryan, A; Neary, P; O&amp;apos;Mahony, C; Shanahan, F; Houston, A&lt;/Author&gt;&lt;Year&gt;2013&lt;/Year&gt;&lt;Details&gt;&lt;_accession_num&gt;23390011&lt;/_accession_num&gt;&lt;_author_adr&gt;Department of Medicine, University College Cork, Cork, Ireland.&lt;/_author_adr&gt;&lt;_collection_scope&gt;SCI;SCIE;&lt;/_collection_scope&gt;&lt;_created&gt;61149213&lt;/_created&gt;&lt;_date&gt;2013-08-15&lt;/_date&gt;&lt;_date_display&gt;2013 Aug 15&lt;/_date_display&gt;&lt;_doi&gt;10.1002/ijc.28076&lt;/_doi&gt;&lt;_impact_factor&gt;   5.085&lt;/_impact_factor&gt;&lt;_isbn&gt;1097-0215 (Electronic); 0020-7136 (Linking)&lt;/_isbn&gt;&lt;_issue&gt;4&lt;/_issue&gt;&lt;_journal&gt;Int J Cancer&lt;/_journal&gt;&lt;_keywords&gt;Animals; Blotting, Western; CD4-Positive T-Lymphocytes/immunology; CD8-Positive T-Lymphocytes/immunology; Colonic Neoplasms/*immunology/pathology; *Disease Models, Animal; Enzyme-Linked Immunosorbent Assay; Fas Ligand Protein/*metabolism; Female; Flow Cytometry; Mice; Mice, Inbred BALB C; Real-Time Polymerase Chain Reaction; Receptors, Prostaglandin E, EP1 Subtype/*drug effects&lt;/_keywords&gt;&lt;_language&gt;eng&lt;/_language&gt;&lt;_modified&gt;61149214&lt;/_modified&gt;&lt;_ori_publication&gt;Copyright (c) 2013 UICC.&lt;/_ori_publication&gt;&lt;_pages&gt;825-34&lt;/_pages&gt;&lt;_tertiary_title&gt;International journal of cancer&lt;/_tertiary_title&gt;&lt;_type_work&gt;Journal Article; Research Support, Non-U.S. Gov&amp;apos;t&lt;/_type_work&gt;&lt;_url&gt;http://www.ncbi.nlm.nih.gov/entrez/query.fcgi?cmd=Retrieve&amp;amp;db=pubmed&amp;amp;dopt=Abstract&amp;amp;list_uids=23390011&amp;amp;query_hl=1&lt;/_url&gt;&lt;_volume&gt;133&lt;/_volume&gt;&lt;/Details&gt;&lt;Extra&gt;&lt;DBUID&gt;{DE509FB4-0C85-4E2B-BBB9-210FED694D73}&lt;/DBUID&gt;&lt;/Extra&gt;&lt;/Item&gt;&lt;/References&gt;&lt;/Group&gt;&lt;Group&gt;&lt;References&gt;&lt;Item&gt;&lt;ID&gt;8362&lt;/ID&gt;&lt;UID&gt;{202BB4B6-0B97-460D-950E-DBC2F407A9D5}&lt;/UID&gt;&lt;Title&gt;Fas signal promotes lung cancer growth by recruiting myeloid-derived suppressor cells via cancer cell-derived PGE2&lt;/Title&gt;&lt;Template&gt;Journal Article&lt;/Template&gt;&lt;Star&gt;0&lt;/Star&gt;&lt;Tag&gt;0&lt;/Tag&gt;&lt;Author&gt;Zhang, Y; Liu, Q; Zhang, M; Yu, Y; Liu, X; Cao, X&lt;/Author&gt;&lt;Year&gt;2009&lt;/Year&gt;&lt;Details&gt;&lt;_accession_num&gt;19265159&lt;/_accession_num&gt;&lt;_author_adr&gt;Institute of Immunology, Zhejiang University School of Medicine, Hangzhou, China.&lt;/_author_adr&gt;&lt;_collection_scope&gt;SCI;SCIE;&lt;/_collection_scope&gt;&lt;_created&gt;61149213&lt;/_created&gt;&lt;_date&gt;2009-03-15&lt;/_date&gt;&lt;_date_display&gt;2009 Mar 15&lt;/_date_display&gt;&lt;_doi&gt;10.4049/jimmunol.0801548&lt;/_doi&gt;&lt;_impact_factor&gt;   4.922&lt;/_impact_factor&gt;&lt;_isbn&gt;1550-6606 (Electronic); 0022-1767 (Linking)&lt;/_isbn&gt;&lt;_issue&gt;6&lt;/_issue&gt;&lt;_journal&gt;J Immunol&lt;/_journal&gt;&lt;_keywords&gt;Animals; Antigens, CD95/biosynthesis/deficiency/genetics/*physiology; Carcinoma, Lewis Lung/*immunology/metabolism/*pathology; Cell Line, Tumor; *Cell Proliferation; Chemotaxis, Leukocyte/*immunology; Dinoprostone/*physiology; Female; Mice; Mice, Inbred C57BL; Mice, Mutant Strains; Myeloid Cells/immunology/metabolism/*pathology; Signal Transduction/genetics/*immunology; T-Lymphocytes, Regulatory/immunology/metabolism/pathology; Tumor Escape/immunology&lt;/_keywords&gt;&lt;_language&gt;eng&lt;/_language&gt;&lt;_modified&gt;61149214&lt;/_modified&gt;&lt;_pages&gt;3801-8&lt;/_pages&gt;&lt;_tertiary_title&gt;Journal of immunology (Baltimore, Md. : 1950)&lt;/_tertiary_title&gt;&lt;_type_work&gt;Journal Article; Research Support, Non-U.S. Gov&amp;apos;t&lt;/_type_work&gt;&lt;_url&gt;http://www.ncbi.nlm.nih.gov/entrez/query.fcgi?cmd=Retrieve&amp;amp;db=pubmed&amp;amp;dopt=Abstract&amp;amp;list_uids=19265159&amp;amp;query_hl=1&lt;/_url&gt;&lt;_volume&gt;182&lt;/_volume&gt;&lt;/Details&gt;&lt;Extra&gt;&lt;DBUID&gt;{DE509FB4-0C85-4E2B-BBB9-210FED694D73}&lt;/DBUID&gt;&lt;/Extra&gt;&lt;/Item&gt;&lt;/References&gt;&lt;/Group&gt;&lt;Group&gt;&lt;References&gt;&lt;Item&gt;&lt;ID&gt;8359&lt;/ID&gt;&lt;UID&gt;{C85EC1D7-EB08-4DD3-80B3-378F72058E1E}&lt;/UID&gt;&lt;Title&gt;Prostaglandin E2 stimulates Fas ligand expression via the EP1 receptor in colon cancer cells&lt;/Title&gt;&lt;Template&gt;Journal Article&lt;/Template&gt;&lt;Star&gt;0&lt;/Star&gt;&lt;Tag&gt;0&lt;/Tag&gt;&lt;Author&gt;O&amp;apos;Callaghan, G; Kelly, J; Shanahan, F; Houston, A&lt;/Author&gt;&lt;Year&gt;2008&lt;/Year&gt;&lt;Details&gt;&lt;_accession_num&gt;18648368&lt;/_accession_num&gt;&lt;_author_adr&gt;Department of Medicine, University College Cork, National University of Ireland,  Clinical Science Building, Cork University Hospital, Wilton, Cork, Ireland.&lt;/_author_adr&gt;&lt;_created&gt;61149212&lt;/_created&gt;&lt;_date&gt;2008-08-05&lt;/_date&gt;&lt;_date_display&gt;2008 Aug 5&lt;/_date_display&gt;&lt;_doi&gt;10.1038/sj.bjc.6604490&lt;/_doi&gt;&lt;_impact_factor&gt;   4.836&lt;/_impact_factor&gt;&lt;_isbn&gt;1532-1827 (Electronic); 0007-0920 (Linking)&lt;/_isbn&gt;&lt;_issue&gt;3&lt;/_issue&gt;&lt;_journal&gt;Br J Cancer&lt;/_journal&gt;&lt;_keywords&gt;Blotting, Western; Cell Line, Tumor; Coculture Techniques; Colonic Neoplasms/*metabolism/pathology; Dinoprostone/*pharmacology; Enzyme-Linked Immunosorbent Assay; Fas Ligand Protein/genetics/*metabolism; Fluorescent Antibody Technique; Humans; RNA Interference; RNA, Messenger/genetics; Receptors, Prostaglandin E/*metabolism; Receptors, Prostaglandin E, EP1 Subtype; Signal Transduction&lt;/_keywords&gt;&lt;_language&gt;eng&lt;/_language&gt;&lt;_modified&gt;61149213&lt;/_modified&gt;&lt;_pages&gt;502-12&lt;/_pages&gt;&lt;_tertiary_title&gt;British journal of cancer&lt;/_tertiary_title&gt;&lt;_type_work&gt;Journal Article; Research Support, Non-U.S. Gov&amp;apos;t&lt;/_type_work&gt;&lt;_url&gt;http://www.ncbi.nlm.nih.gov/entrez/query.fcgi?cmd=Retrieve&amp;amp;db=pubmed&amp;amp;dopt=Abstract&amp;amp;list_uids=18648368&amp;amp;query_hl=1&lt;/_url&gt;&lt;_volume&gt;99&lt;/_volume&gt;&lt;/Details&gt;&lt;Extra&gt;&lt;DBUID&gt;{DE509FB4-0C85-4E2B-BBB9-210FED694D73}&lt;/DBUID&gt;&lt;/Extra&gt;&lt;/Item&gt;&lt;/References&gt;&lt;/Group&gt;&lt;/Citation&gt;_x000a_"/>
    <w:docVar w:name="NE.Ref{89BDC001-FB27-4CD5-951D-4CBC90AD4A82}" w:val=" ADDIN NE.Ref.{89BDC001-FB27-4CD5-951D-4CBC90AD4A82}&lt;Citation&gt;&lt;Group&gt;&lt;References&gt;&lt;Item&gt;&lt;ID&gt;8331&lt;/ID&gt;&lt;UID&gt;{72613C97-3313-4E4B-95EC-085E0AFD895D}&lt;/UID&gt;&lt;Title&gt;COX-2 Promotes Migration and Invasion by the Side Population of Cancer Stem Cell-Like Hepatocellular Carcinoma Cells&lt;/Title&gt;&lt;Template&gt;Journal Article&lt;/Template&gt;&lt;Star&gt;0&lt;/Star&gt;&lt;Tag&gt;0&lt;/Tag&gt;&lt;Author&gt;Guo, Z; Jiang, J H; Zhang, J; Yang, H J; Yang, F Q; Qi, Y P; Zhong, Y P; Su, J; Yang, R R; Li, L Q; Xiang, B D&lt;/Author&gt;&lt;Year&gt;2015&lt;/Year&gt;&lt;Details&gt;&lt;_accession_num&gt;26554780&lt;/_accession_num&gt;&lt;_author_adr&gt;From the Department of Hepatobiliary Surgery, Affiliated Tumor Hospital of Guangxi Medical University, Nanning, P.R. China (ZG, H-JY, F-QY, Y-PQ, L-QL, B-DX); Department of Thyroid and Breast Surgery, The Central Hospital of Wuhan, Wuhan, P.R. China (ZG); Department of General Surgery, The Second People&amp;apos;s Hospital of The Second People&amp;apos;s Hospital of Jingmen, Jingmen, P.R. China (J-HJ);  Department of Ultrasound, Wuhan No. 1 Hospital, Wuhan, P.R. China (JZ); Medical Science Experimental Center, Guangxi Medical University, Nanning, P.R. China (Y-PZ, JS); Department of Immunology, School of Preclinical Medicine, Biological  Targeting Diagnosis and Therapy Research Center, Guangxi Medical University, Nanning, P.R. China (R-RY).&lt;/_author_adr&gt;&lt;_created&gt;61149206&lt;/_created&gt;&lt;_date&gt;2015-11-01&lt;/_date&gt;&lt;_date_display&gt;2015 Nov&lt;/_date_display&gt;&lt;_doi&gt;10.1097/MD.0000000000001806&lt;/_doi&gt;&lt;_impact_factor&gt;   5.723&lt;/_impact_factor&gt;&lt;_isbn&gt;1536-5964 (Electronic); 0025-7974 (Linking)&lt;/_isbn&gt;&lt;_issue&gt;44&lt;/_issue&gt;&lt;_journal&gt;Medicine (Baltimore)&lt;/_journal&gt;&lt;_keywords&gt;Blotting, Western; Carcinoma, Hepatocellular/*genetics/metabolism/pathology; Cell Line, Tumor; Cell Movement; Cyclooxygenase 2/biosynthesis/*genetics; DNA, Neoplasm/*genetics; Flow Cytometry; *Gene Expression Regulation, Neoplastic; Humans; Liver Neoplasms/*genetics/metabolism/pathology; Neoplasm Invasiveness; Neoplastic Stem Cells/*pathology; Real-Time Polymerase Chain Reaction&lt;/_keywords&gt;&lt;_language&gt;eng&lt;/_language&gt;&lt;_modified&gt;61149214&lt;/_modified&gt;&lt;_pages&gt;e1806&lt;/_pages&gt;&lt;_tertiary_title&gt;Medicine&lt;/_tertiary_title&gt;&lt;_type_work&gt;Journal Article; Observational Study; Research Support, Non-U.S. Gov&amp;apos;t&lt;/_type_work&gt;&lt;_url&gt;http://www.ncbi.nlm.nih.gov/entrez/query.fcgi?cmd=Retrieve&amp;amp;db=pubmed&amp;amp;dopt=Abstract&amp;amp;list_uids=26554780&amp;amp;query_hl=1&lt;/_url&gt;&lt;_volume&gt;94&lt;/_volume&gt;&lt;/Details&gt;&lt;Extra&gt;&lt;DBUID&gt;{DE509FB4-0C85-4E2B-BBB9-210FED694D73}&lt;/DBUID&gt;&lt;/Extra&gt;&lt;/Item&gt;&lt;/References&gt;&lt;/Group&gt;&lt;Group&gt;&lt;References&gt;&lt;Item&gt;&lt;ID&gt;8332&lt;/ID&gt;&lt;UID&gt;{A0339C15-CF30-4DD8-84D3-0CAF98689C6D}&lt;/UID&gt;&lt;Title&gt;Prostaglandin E2 promotes hepatocellular carcinoma cell invasion through upregulation of YB-1 protein expression&lt;/Title&gt;&lt;Template&gt;Journal Article&lt;/Template&gt;&lt;Star&gt;0&lt;/Star&gt;&lt;Tag&gt;0&lt;/Tag&gt;&lt;Author&gt;Zhang, H; Cheng, S; Zhang, M; Ma, X; Zhang, L; Wang, Y; Rong, R; Ma, J; Xia, S; &amp;quot;Du M&amp;quot;; Shi, F; Wang, J; Yang, Q; Bai, X; Leng, J&lt;/Author&gt;&lt;Year&gt;2014&lt;/Year&gt;&lt;Details&gt;&lt;_accession_num&gt;24378923&lt;/_accession_num&gt;&lt;_author_adr&gt;Cancer Center, Department of Pathology, Nanjing Medical University, Nanjing 210029, P.R. China.; Cancer Center, Department of Pathology, Nanjing Medical University, Nanjing 210029, P.R. China.; Cancer Center, Department of Pathology, Nanjing Medical University, Nanjing 210029, P.R. China.; Cancer Center, Department of Pathology, Nanjing Medical University, Nanjing 210029, P.R. China.; Cancer Center, Department of Pathology, Nanjing Medical University, Nanjing 210029, P.R. China.; Cancer Center, Department of Pathology, Nanjing Medical University, Nanjing 210029, P.R. China.; Cancer Center, Department of Pathology, Nanjing Medical University, Nanjing 210029, P.R. China.; Cancer Center, Department of Pathology, Nanjing Medical University, Nanjing 210029, P.R. China.; Cancer Center, Department of Pathology, Nanjing Medical University, Nanjing 210029, P.R. China.; Cancer Center, Department of Pathology, Nanjing Medical University, Nanjing 210029, P.R. China.; Cancer Center, Department of Pathology, Nanjing Medical University, Nanjing 210029, P.R. China.; Cancer Center, Department of Pathology, Nanjing Medical University, Nanjing 210029, P.R. China.; Cancer Center, Department of Pathology, Nanjing Medical University, Nanjing 210029, P.R. China.; Cancer Center, Department of Pathology, Nanjing Medical University, Nanjing 210029, P.R. China.; Cancer Center, Department of Pathology, Nanjing Medical University, Nanjing 210029, P.R. China.&lt;/_author_adr&gt;&lt;_collection_scope&gt;SCI;SCIE;&lt;/_collection_scope&gt;&lt;_created&gt;61149206&lt;/_created&gt;&lt;_date&gt;2014-03-01&lt;/_date&gt;&lt;_date_display&gt;2014 Mar&lt;/_date_display&gt;&lt;_doi&gt;10.3892/ijo.2013.2234&lt;/_doi&gt;&lt;_impact_factor&gt;   3.025&lt;/_impact_factor&gt;&lt;_isbn&gt;1791-2423 (Electronic); 1019-6439 (Linking)&lt;/_isbn&gt;&lt;_issue&gt;3&lt;/_issue&gt;&lt;_journal&gt;Int J Oncol&lt;/_journal&gt;&lt;_keywords&gt;Carcinoma, Hepatocellular/*genetics/pathology; Cell Line, Tumor; Dinoprostone/*genetics/metabolism; Epithelial-Mesenchymal Transition/genetics; Gene Expression Regulation, Neoplastic; Humans; Liver Neoplasms/*genetics/pathology; Neoplasm Invasiveness/genetics/pathology; Phosphorylation; RNA Interference; Signal Transduction/genetics; Y-Box-Binding Protein 1/*biosynthesis&lt;/_keywords&gt;&lt;_language&gt;eng&lt;/_language&gt;&lt;_modified&gt;61149214&lt;/_modified&gt;&lt;_pages&gt;769-80&lt;/_pages&gt;&lt;_tertiary_title&gt;International journal of oncology&lt;/_tertiary_title&gt;&lt;_type_work&gt;Journal Article; Research Support, Non-U.S. Gov&amp;apos;t&lt;/_type_work&gt;&lt;_url&gt;http://www.ncbi.nlm.nih.gov/entrez/query.fcgi?cmd=Retrieve&amp;amp;db=pubmed&amp;amp;dopt=Abstract&amp;amp;list_uids=24378923&amp;amp;query_hl=1&lt;/_url&gt;&lt;_volume&gt;44&lt;/_volume&gt;&lt;/Details&gt;&lt;Extra&gt;&lt;DBUID&gt;{DE509FB4-0C85-4E2B-BBB9-210FED694D73}&lt;/DBUID&gt;&lt;/Extra&gt;&lt;/Item&gt;&lt;/References&gt;&lt;/Group&gt;&lt;Group&gt;&lt;References&gt;&lt;Item&gt;&lt;ID&gt;8333&lt;/ID&gt;&lt;UID&gt;{43D303A0-B8AC-4261-BFCA-6B22BFCB5DAD}&lt;/UID&gt;&lt;Title&gt;Prostanoid EP1 receptor as the target of (-)-epigallocatechin-3-gallate in suppressing hepatocellular carcinoma cells in vitro&lt;/Title&gt;&lt;Template&gt;Journal Article&lt;/Template&gt;&lt;Star&gt;0&lt;/Star&gt;&lt;Tag&gt;0&lt;/Tag&gt;&lt;Author&gt;Jin, J; Chang, Y; Wei, W; He, Y F; Hu, S S; Wang, D; Wu, Y J&lt;/Author&gt;&lt;Year&gt;2012&lt;/Year&gt;&lt;Details&gt;&lt;_accession_num&gt;22555372&lt;/_accession_num&gt;&lt;_author_adr&gt;Institute of Clinical Pharmacology, Anhui Medical University, Key Laboratory of Anti-inflammatory and Immunopharmacology of the Education Ministry of China, Hefei, China.&lt;/_author_adr&gt;&lt;_collection_scope&gt;CSCD;SCI;SCIE;中国科技核心期刊;&lt;/_collection_scope&gt;&lt;_created&gt;61149206&lt;/_created&gt;&lt;_date&gt;2012-05-01&lt;/_date&gt;&lt;_date_display&gt;2012 May&lt;/_date_display&gt;&lt;_doi&gt;10.1038/aps.2012.13&lt;/_doi&gt;&lt;_impact_factor&gt;   2.912&lt;/_impact_factor&gt;&lt;_isbn&gt;1745-7254 (Electronic); 1671-4083 (Linking)&lt;/_isbn&gt;&lt;_issue&gt;5&lt;/_issue&gt;&lt;_journal&gt;Acta Pharmacol Sin&lt;/_journal&gt;&lt;_keywords&gt;Alprostadil/analogs &amp;amp; derivatives/pharmacology; Antineoplastic Agents, Phytogenic/*pharmacology; Bicyclo Compounds/pharmacology; Blotting, Western; Caproates/pharmacology; Carcinoma, Hepatocellular/*metabolism/pathology; Catechin/*analogs &amp;amp; derivatives/pharmacology; Cell Movement/*drug effects; Cell Proliferation/*drug effects; Cell Survival/drug effects; Dinoprostone/metabolism; Dose-Response Relationship, Drug; GTP-Binding Protein alpha Subunits, Gq-G11/drug effects/metabolism; Hep G2 Cells; Humans; Immunoassay; Liver Neoplasms/*metabolism/pathology; Neoplasm Invasiveness; Receptors, Prostaglandin E, EP1 Subtype/*drug effects/metabolism; Time Factors&lt;/_keywords&gt;&lt;_language&gt;eng&lt;/_language&gt;&lt;_modified&gt;61149214&lt;/_modified&gt;&lt;_pages&gt;701-9&lt;/_pages&gt;&lt;_tertiary_title&gt;Acta pharmacologica Sinica&lt;/_tertiary_title&gt;&lt;_type_work&gt;Journal Article; Research Support, Non-U.S. Gov&amp;apos;t&lt;/_type_work&gt;&lt;_url&gt;http://www.ncbi.nlm.nih.gov/entrez/query.fcgi?cmd=Retrieve&amp;amp;db=pubmed&amp;amp;dopt=Abstract&amp;amp;list_uids=22555372&amp;amp;query_hl=1&lt;/_url&gt;&lt;_volume&gt;33&lt;/_volume&gt;&lt;/Details&gt;&lt;Extra&gt;&lt;DBUID&gt;{DE509FB4-0C85-4E2B-BBB9-210FED694D73}&lt;/DBUID&gt;&lt;/Extra&gt;&lt;/Item&gt;&lt;/References&gt;&lt;/Group&gt;&lt;Group&gt;&lt;References&gt;&lt;Item&gt;&lt;ID&gt;8334&lt;/ID&gt;&lt;UID&gt;{950CB6AA-D5B8-4F08-AE49-09847F7181DD}&lt;/UID&gt;&lt;Title&gt;ANGPTL4 induction by prostaglandin E2 under hypoxic conditions promotes colorectal cancer progression&lt;/Title&gt;&lt;Template&gt;Journal Article&lt;/Template&gt;&lt;Star&gt;0&lt;/Star&gt;&lt;Tag&gt;0&lt;/Tag&gt;&lt;Author&gt;Kim, S H; Park, Y Y; Kim, S W; Lee, J S; Wang, D; DuBois, R N&lt;/Author&gt;&lt;Year&gt;2011&lt;/Year&gt;&lt;Details&gt;&lt;_accession_num&gt;21937683&lt;/_accession_num&gt;&lt;_author_adr&gt;Department of Cancer Biology, The University of Texas MD Anderson Cancer Center,  Houston, Texas 77030, USA.&lt;/_author_adr&gt;&lt;_collection_scope&gt;SCI;SCIE;&lt;/_collection_scope&gt;&lt;_created&gt;61149206&lt;/_created&gt;&lt;_date&gt;2011-11-15&lt;/_date&gt;&lt;_date_display&gt;2011 Nov 15&lt;/_date_display&gt;&lt;_doi&gt;10.1158/0008-5472.CAN-11-1262&lt;/_doi&gt;&lt;_impact_factor&gt;   9.329&lt;/_impact_factor&gt;&lt;_isbn&gt;1538-7445 (Electronic); 0008-5472 (Linking)&lt;/_isbn&gt;&lt;_issue&gt;22&lt;/_issue&gt;&lt;_journal&gt;Cancer Res&lt;/_journal&gt;&lt;_keywords&gt;Angiopoietins/*physiology; Animals; *Cell Hypoxia; Cell Line, Tumor; Cell Proliferation/drug effects; Colorectal Neoplasms/etiology/*pathology; Dinoprostone/*pharmacology; Disease Progression; Humans; Mice; Receptors, Prostaglandin E, EP1 Subtype/physiology; STAT1 Transcription Factor/physiology&lt;/_keywords&gt;&lt;_language&gt;eng&lt;/_language&gt;&lt;_modified&gt;61149214&lt;/_modified&gt;&lt;_ori_publication&gt;(c)2011 AACR&lt;/_ori_publication&gt;&lt;_pages&gt;7010-20&lt;/_pages&gt;&lt;_tertiary_title&gt;Cancer research&lt;/_tertiary_title&gt;&lt;_type_work&gt;Journal Article; Research Support, N.I.H., Extramural&lt;/_type_work&gt;&lt;_url&gt;http://www.ncbi.nlm.nih.gov/entrez/query.fcgi?cmd=Retrieve&amp;amp;db=pubmed&amp;amp;dopt=Abstract&amp;amp;list_uids=21937683&amp;amp;query_hl=1&lt;/_url&gt;&lt;_volume&gt;71&lt;/_volume&gt;&lt;/Details&gt;&lt;Extra&gt;&lt;DBUID&gt;{DE509FB4-0C85-4E2B-BBB9-210FED694D73}&lt;/DBUID&gt;&lt;/Extra&gt;&lt;/Item&gt;&lt;/References&gt;&lt;/Group&gt;&lt;Group&gt;&lt;References&gt;&lt;Item&gt;&lt;ID&gt;8335&lt;/ID&gt;&lt;UID&gt;{F3C9033A-D010-433F-B4B8-23C9359313FE}&lt;/UID&gt;&lt;Title&gt;Prostaglandin E2 upregulates survivin expression via the EP1 receptor in hepatocellular carcinoma cells&lt;/Title&gt;&lt;Template&gt;Journal Article&lt;/Template&gt;&lt;Star&gt;0&lt;/Star&gt;&lt;Tag&gt;0&lt;/Tag&gt;&lt;Author&gt;Bai, X M; Jiang, H; Ding, J X; Peng, T; Ma, J; Wang, Y H; Zhang, L; Zhang, H; Leng, J&lt;/Author&gt;&lt;Year&gt;2010&lt;/Year&gt;&lt;Details&gt;&lt;_accession_num&gt;20035770&lt;/_accession_num&gt;&lt;_author_adr&gt;Cancer Center, Laboratory of Reproductive Medicine, Department of Pathology, Nanjing Medical University, Nanjing 210029, China. Baixiaoming@njmu.edu.cn&lt;/_author_adr&gt;&lt;_collection_scope&gt;SCI;SCIE;&lt;/_collection_scope&gt;&lt;_created&gt;61149207&lt;/_created&gt;&lt;_date&gt;2010-01-30&lt;/_date&gt;&lt;_date_display&gt;2010 Jan 30&lt;/_date_display&gt;&lt;_doi&gt;10.1016/j.lfs.2009.12.009&lt;/_doi&gt;&lt;_impact_factor&gt;   2.702&lt;/_impact_factor&gt;&lt;_isbn&gt;1879-0631 (Electronic); 0024-3205 (Linking)&lt;/_isbn&gt;&lt;_issue&gt;5-6&lt;/_issue&gt;&lt;_journal&gt;Life Sci&lt;/_journal&gt;&lt;_keywords&gt;Blotting, Western; Carcinoma, Hepatocellular/enzymology/*metabolism/pathology; Cell Line, Tumor; Cell Proliferation; Cyclooxygenase 2/biosynthesis/genetics; Dinoprostone/biosynthesis/*physiology; Humans; Inhibitor of Apoptosis Proteins; Liver Neoplasms/enzymology/*metabolism/pathology; Microtubule-Associated Proteins/*biosynthesis; Phosphatidylinositol 3-Kinases/biosynthesis; Plasmids; RNA Interference; Receptor, Epidermal Growth Factor/biosynthesis; Receptors, Prostaglandin E/agonists/genetics/*metabolism; Receptors, Prostaglandin E, EP1 Subtype; Reverse Transcriptase Polymerase Chain Reaction; Signal Transduction; Transfection; Up-Regulation&lt;/_keywords&gt;&lt;_language&gt;eng&lt;/_language&gt;&lt;_modified&gt;61149214&lt;/_modified&gt;&lt;_ori_publication&gt;Copyright 2009 Elsevier Inc. All rights reserved.&lt;/_ori_publication&gt;&lt;_pages&gt;214-23&lt;/_pages&gt;&lt;_tertiary_title&gt;Life sciences&lt;/_tertiary_title&gt;&lt;_type_work&gt;Journal Article; Research Support, Non-U.S. Gov&amp;apos;t&lt;/_type_work&gt;&lt;_url&gt;http://www.ncbi.nlm.nih.gov/entrez/query.fcgi?cmd=Retrieve&amp;amp;db=pubmed&amp;amp;dopt=Abstract&amp;amp;list_uids=20035770&amp;amp;query_hl=1&lt;/_url&gt;&lt;_volume&gt;86&lt;/_volume&gt;&lt;/Details&gt;&lt;Extra&gt;&lt;DBUID&gt;{DE509FB4-0C85-4E2B-BBB9-210FED694D73}&lt;/DBUID&gt;&lt;/Extra&gt;&lt;/Item&gt;&lt;/References&gt;&lt;/Group&gt;&lt;Group&gt;&lt;References&gt;&lt;Item&gt;&lt;ID&gt;8336&lt;/ID&gt;&lt;UID&gt;{BE2BAC15-A8B2-4BF3-8F51-A52446339A99}&lt;/UID&gt;&lt;Title&gt;Prostaglandin E2 receptor EP1 transactivates EGFR/MET receptor tyrosine kinases and enhances invasiveness in human hepatocellular carcinoma cells&lt;/Title&gt;&lt;Template&gt;Journal Article&lt;/Template&gt;&lt;Star&gt;0&lt;/Star&gt;&lt;Tag&gt;0&lt;/Tag&gt;&lt;Author&gt;Han, C; Michalopoulos, G K; Wu, T&lt;/Author&gt;&lt;Year&gt;2006&lt;/Year&gt;&lt;Details&gt;&lt;_accession_num&gt;16331686&lt;/_accession_num&gt;&lt;_author_adr&gt;Department of Pathology, University of Pittsburgh School of Medicine, Pennsylvania 15213, USA.&lt;/_author_adr&gt;&lt;_collection_scope&gt;SCI;SCIE;&lt;/_collection_scope&gt;&lt;_created&gt;61149207&lt;/_created&gt;&lt;_date&gt;2006-04-01&lt;/_date&gt;&lt;_date_display&gt;2006 Apr&lt;/_date_display&gt;&lt;_doi&gt;10.1002/jcp.20560&lt;/_doi&gt;&lt;_impact_factor&gt;   3.839&lt;/_impact_factor&gt;&lt;_isbn&gt;0021-9541 (Print); 0021-9541 (Linking)&lt;/_isbn&gt;&lt;_issue&gt;1&lt;/_issue&gt;&lt;_journal&gt;J Cell Physiol&lt;/_journal&gt;&lt;_keywords&gt;Alprostadil/analogs &amp;amp; derivatives/pharmacology; Bicyclo Compounds/pharmacology; Caproates/pharmacology; Carcinoma, Hepatocellular/genetics/metabolism/pathology; Cell Line, Tumor; Cell Movement/drug effects/*physiology; Cyclooxygenase 2/analysis/genetics/metabolism; Dinoprostone/pharmacology; Enzyme Activation; Gene Expression/genetics; Humans; Liver Neoplasms/genetics/metabolism/pathology; Membrane Proteins/analysis/genetics/metabolism; Neoplasm Invasiveness; Phosphorylation/drug effects; Protein Binding/drug effects; Protein Kinase Inhibitors/pharmacology; Protein-Tyrosine Kinases/metabolism; Proto-Oncogene Proteins/metabolism; Proto-Oncogene Proteins c-met/*metabolism; RNA Interference; RNA, Small Interfering/genetics; Receptor, Epidermal Growth Factor/antagonists &amp;amp; inhibitors/*metabolism; Receptors, Prostaglandin/genetics/metabolism; Receptors, Prostaglandin E/genetics/*physiology; Receptors, Prostaglandin E, EP1 Subtype; Transfection; src-Family Kinases&lt;/_keywords&gt;&lt;_language&gt;eng&lt;/_language&gt;&lt;_modified&gt;61149214&lt;/_modified&gt;&lt;_pages&gt;261-70&lt;/_pages&gt;&lt;_tertiary_title&gt;Journal of cellular physiology&lt;/_tertiary_title&gt;&lt;_type_work&gt;Journal Article; Research Support, N.I.H., Extramural; Retracted Publication&lt;/_type_work&gt;&lt;_url&gt;http://www.ncbi.nlm.nih.gov/entrez/query.fcgi?cmd=Retrieve&amp;amp;db=pubmed&amp;amp;dopt=Abstract&amp;amp;list_uids=16331686&amp;amp;query_hl=1&lt;/_url&gt;&lt;_volume&gt;207&lt;/_volume&gt;&lt;/Details&gt;&lt;Extra&gt;&lt;DBUID&gt;{DE509FB4-0C85-4E2B-BBB9-210FED694D73}&lt;/DBUID&gt;&lt;/Extra&gt;&lt;/Item&gt;&lt;/References&gt;&lt;/Group&gt;&lt;Group&gt;&lt;References&gt;&lt;Item&gt;&lt;ID&gt;8337&lt;/ID&gt;&lt;UID&gt;{6E8C09D6-4BDB-472C-B142-057E0B7A8923}&lt;/UID&gt;&lt;Title&gt;Prostaglandin EP receptors: targets for treatment and prevention of colorectal cancer?&lt;/Title&gt;&lt;Template&gt;Journal Article&lt;/Template&gt;&lt;Star&gt;0&lt;/Star&gt;&lt;Tag&gt;0&lt;/Tag&gt;&lt;Author&gt;Hull, M A; Ko, S C; Hawcroft, G&lt;/Author&gt;&lt;Year&gt;2004&lt;/Year&gt;&lt;Details&gt;&lt;_accession_num&gt;15299086&lt;/_accession_num&gt;&lt;_author_adr&gt;Molecular Medicine Unit, University of Leeds, Clinical Sciences Building, St. James&amp;apos;s University Hospital, Leeds LS9 7TF, United Kingdom. M.A.Hull@leeds.ac.uk&lt;/_author_adr&gt;&lt;_collection_scope&gt;SCIE;&lt;/_collection_scope&gt;&lt;_created&gt;61149207&lt;/_created&gt;&lt;_date&gt;2004-08-01&lt;/_date&gt;&lt;_date_display&gt;2004 Aug&lt;/_date_display&gt;&lt;_impact_factor&gt;   5.683&lt;/_impact_factor&gt;&lt;_isbn&gt;1535-7163 (Print); 1535-7163 (Linking)&lt;/_isbn&gt;&lt;_issue&gt;8&lt;/_issue&gt;&lt;_journal&gt;Mol Cancer Ther&lt;/_journal&gt;&lt;_keywords&gt;Animals; Cell Line, Tumor; Colorectal Neoplasms/metabolism/*prevention &amp;amp; control/*therapy; Dinoprostone/metabolism; Humans; Mice; Models, Biological; Neoplasms/pathology; Protein Isoforms; Receptors, Prostaglandin/chemistry/*physiology; Signal Transduction&lt;/_keywords&gt;&lt;_language&gt;eng&lt;/_language&gt;&lt;_modified&gt;61149214&lt;/_modified&gt;&lt;_pages&gt;1031-9&lt;/_pages&gt;&lt;_tertiary_title&gt;Molecular cancer therapeutics&lt;/_tertiary_title&gt;&lt;_type_work&gt;Journal Article; Research Support, Non-U.S. Gov&amp;apos;t; Review&lt;/_type_work&gt;&lt;_url&gt;http://www.ncbi.nlm.nih.gov/entrez/query.fcgi?cmd=Retrieve&amp;amp;db=pubmed&amp;amp;dopt=Abstract&amp;amp;list_uids=15299086&amp;amp;query_hl=1&lt;/_url&gt;&lt;_volume&gt;3&lt;/_volume&gt;&lt;/Details&gt;&lt;Extra&gt;&lt;DBUID&gt;{DE509FB4-0C85-4E2B-BBB9-210FED694D73}&lt;/DBUID&gt;&lt;/Extra&gt;&lt;/Item&gt;&lt;/References&gt;&lt;/Group&gt;&lt;/Citation&gt;_x000a_"/>
    <w:docVar w:name="NE.Ref{9ADB321F-0C4A-49D7-9BE6-1AC2ECD63AC1}" w:val=" ADDIN NE.Ref.{9ADB321F-0C4A-49D7-9BE6-1AC2ECD63AC1}&lt;Citation&gt;&lt;Group&gt;&lt;References&gt;&lt;Item&gt;&lt;ID&gt;8331&lt;/ID&gt;&lt;UID&gt;{72613C97-3313-4E4B-95EC-085E0AFD895D}&lt;/UID&gt;&lt;Title&gt;COX-2 Promotes Migration and Invasion by the Side Population of Cancer Stem Cell-Like Hepatocellular Carcinoma Cells&lt;/Title&gt;&lt;Template&gt;Journal Article&lt;/Template&gt;&lt;Star&gt;0&lt;/Star&gt;&lt;Tag&gt;0&lt;/Tag&gt;&lt;Author&gt;Guo, Z; Jiang, J H; Zhang, J; Yang, H J; Yang, F Q; Qi, Y P; Zhong, Y P; Su, J; Yang, R R; Li, L Q; Xiang, B D&lt;/Author&gt;&lt;Year&gt;2015&lt;/Year&gt;&lt;Details&gt;&lt;_accession_num&gt;26554780&lt;/_accession_num&gt;&lt;_author_adr&gt;From the Department of Hepatobiliary Surgery, Affiliated Tumor Hospital of Guangxi Medical University, Nanning, P.R. China (ZG, H-JY, F-QY, Y-PQ, L-QL, B-DX); Department of Thyroid and Breast Surgery, The Central Hospital of Wuhan, Wuhan, P.R. China (ZG); Department of General Surgery, The Second People&amp;apos;s Hospital of The Second People&amp;apos;s Hospital of Jingmen, Jingmen, P.R. China (J-HJ);  Department of Ultrasound, Wuhan No. 1 Hospital, Wuhan, P.R. China (JZ); Medical Science Experimental Center, Guangxi Medical University, Nanning, P.R. China (Y-PZ, JS); Department of Immunology, School of Preclinical Medicine, Biological  Targeting Diagnosis and Therapy Research Center, Guangxi Medical University, Nanning, P.R. China (R-RY).&lt;/_author_adr&gt;&lt;_created&gt;61149206&lt;/_created&gt;&lt;_date&gt;2015-11-01&lt;/_date&gt;&lt;_date_display&gt;2015 Nov&lt;/_date_display&gt;&lt;_doi&gt;10.1097/MD.0000000000001806&lt;/_doi&gt;&lt;_impact_factor&gt;   5.723&lt;/_impact_factor&gt;&lt;_isbn&gt;1536-5964 (Electronic); 0025-7974 (Linking)&lt;/_isbn&gt;&lt;_issue&gt;44&lt;/_issue&gt;&lt;_journal&gt;Medicine (Baltimore)&lt;/_journal&gt;&lt;_keywords&gt;Blotting, Western; Carcinoma, Hepatocellular/*genetics/metabolism/pathology; Cell Line, Tumor; Cell Movement; Cyclooxygenase 2/biosynthesis/*genetics; DNA, Neoplasm/*genetics; Flow Cytometry; *Gene Expression Regulation, Neoplastic; Humans; Liver Neoplasms/*genetics/metabolism/pathology; Neoplasm Invasiveness; Neoplastic Stem Cells/*pathology; Real-Time Polymerase Chain Reaction&lt;/_keywords&gt;&lt;_language&gt;eng&lt;/_language&gt;&lt;_modified&gt;61149214&lt;/_modified&gt;&lt;_pages&gt;e1806&lt;/_pages&gt;&lt;_tertiary_title&gt;Medicine&lt;/_tertiary_title&gt;&lt;_type_work&gt;Journal Article; Observational Study; Research Support, Non-U.S. Gov&amp;apos;t&lt;/_type_work&gt;&lt;_url&gt;http://www.ncbi.nlm.nih.gov/entrez/query.fcgi?cmd=Retrieve&amp;amp;db=pubmed&amp;amp;dopt=Abstract&amp;amp;list_uids=26554780&amp;amp;query_hl=1&lt;/_url&gt;&lt;_volume&gt;94&lt;/_volume&gt;&lt;/Details&gt;&lt;Extra&gt;&lt;DBUID&gt;{DE509FB4-0C85-4E2B-BBB9-210FED694D73}&lt;/DBUID&gt;&lt;/Extra&gt;&lt;/Item&gt;&lt;/References&gt;&lt;/Group&gt;&lt;Group&gt;&lt;References&gt;&lt;Item&gt;&lt;ID&gt;8352&lt;/ID&gt;&lt;UID&gt;{D7F886EE-266A-46C8-8CC0-10CC466B0F00}&lt;/UID&gt;&lt;Title&gt;Prostaglandin E2 receptors and COX enzymes in human hepatocellular carcinoma: role in the regulation of cell growth&lt;/Title&gt;&lt;Template&gt;Journal Article&lt;/Template&gt;&lt;Star&gt;0&lt;/Star&gt;&lt;Tag&gt;0&lt;/Tag&gt;&lt;Author&gt;Cusimano, A; Fodera, D; Lampiasi, N; Azzolina, A; Notarbartolo, M; Giannitrapani, L; D&amp;apos;Alessandro, N; Montalto, G; Cervello, M&lt;/Author&gt;&lt;Year&gt;2009&lt;/Year&gt;&lt;Details&gt;&lt;_accession_num&gt;19250221&lt;/_accession_num&gt;&lt;_author_adr&gt;Institute of Biomedicine and Molecular Immunology Alberto Monroy, National Research Council, Palermo, Italy.&lt;/_author_adr&gt;&lt;_created&gt;61149211&lt;/_created&gt;&lt;_date&gt;2009-02-01&lt;/_date&gt;&lt;_date_display&gt;2009 Feb&lt;/_date_display&gt;&lt;_doi&gt;10.1111/j.1749-6632.2009.03701.x&lt;/_doi&gt;&lt;_impact_factor&gt;   4.383&lt;/_impact_factor&gt;&lt;_isbn&gt;1749-6632 (Electronic); 0077-8923 (Linking)&lt;/_isbn&gt;&lt;_journal&gt;Ann N Y Acad Sci&lt;/_journal&gt;&lt;_keywords&gt;Aged; Carcinoma, Hepatocellular/enzymology/*metabolism/pathology; Cell Division/*physiology; Cell Line, Tumor; Female; Humans; Liver Neoplasms/enzymology/*metabolism/pathology; Male; Middle Aged; Prostaglandin-Endoperoxide Synthases/*metabolism; Receptors, Prostaglandin E/*metabolism/physiology&lt;/_keywords&gt;&lt;_language&gt;eng&lt;/_language&gt;&lt;_modified&gt;61149214&lt;/_modified&gt;&lt;_pages&gt;300-8&lt;/_pages&gt;&lt;_tertiary_title&gt;Annals of the New York Academy of Sciences&lt;/_tertiary_title&gt;&lt;_type_work&gt;Journal Article; Research Support, Non-U.S. Gov&amp;apos;t&lt;/_type_work&gt;&lt;_url&gt;http://www.ncbi.nlm.nih.gov/entrez/query.fcgi?cmd=Retrieve&amp;amp;db=pubmed&amp;amp;dopt=Abstract&amp;amp;list_uids=19250221&amp;amp;query_hl=1&lt;/_url&gt;&lt;_volume&gt;1155&lt;/_volume&gt;&lt;/Details&gt;&lt;Extra&gt;&lt;DBUID&gt;{DE509FB4-0C85-4E2B-BBB9-210FED694D73}&lt;/DBUID&gt;&lt;/Extra&gt;&lt;/Item&gt;&lt;/References&gt;&lt;/Group&gt;&lt;Group&gt;&lt;References&gt;&lt;Item&gt;&lt;ID&gt;8346&lt;/ID&gt;&lt;UID&gt;{5686D9FE-D4F0-40FC-A968-67E4914CC442}&lt;/UID&gt;&lt;Title&gt;Differential expression of E-prostanoid receptors in human hepatocellular carcinoma&lt;/Title&gt;&lt;Template&gt;Journal Article&lt;/Template&gt;&lt;Star&gt;0&lt;/Star&gt;&lt;Tag&gt;0&lt;/Tag&gt;&lt;Author&gt;Breinig, M; Rieker, R; Eiteneuer, E; Wertenbruch, T; Haugg, A M; Helmke, B M; Schirmacher, P; Kern, M A&lt;/Author&gt;&lt;Year&gt;2008&lt;/Year&gt;&lt;Details&gt;&lt;_accession_num&gt;17918156&lt;/_accession_num&gt;&lt;_author_adr&gt;Department of General Pathology, University Hospital, 69120 Heidelberg, Germany.&lt;/_author_adr&gt;&lt;_collection_scope&gt;SCI;SCIE;&lt;/_collection_scope&gt;&lt;_created&gt;61149209&lt;/_created&gt;&lt;_date&gt;2008-02-01&lt;/_date&gt;&lt;_date_display&gt;2008 Feb 1&lt;/_date_display&gt;&lt;_doi&gt;10.1002/ijc.23098&lt;/_doi&gt;&lt;_impact_factor&gt;   5.085&lt;/_impact_factor&gt;&lt;_isbn&gt;1097-0215 (Electronic); 0020-7136 (Linking)&lt;/_isbn&gt;&lt;_issue&gt;3&lt;/_issue&gt;&lt;_journal&gt;Int J Cancer&lt;/_journal&gt;&lt;_keywords&gt;Apoptosis/*drug effects; Blotting, Western; Carcinoma, Hepatocellular/etiology/*metabolism/pathology; Cell Survival/drug effects; Cyclooxygenase 2/*metabolism; Female; Humans; Immunoenzyme Techniques; Intramolecular Oxidoreductases/metabolism; Liver/drug effects/metabolism/pathology; Liver Cirrhosis/etiology/metabolism/pathology; Liver Neoplasms/etiology/metabolism/pathology; Male; Receptors, Prostaglandin E/*metabolism; Tissue Array Analysis&lt;/_keywords&gt;&lt;_language&gt;eng&lt;/_language&gt;&lt;_modified&gt;61149214&lt;/_modified&gt;&lt;_ori_publication&gt;(c) 2007 Wiley-Liss, Inc.&lt;/_ori_publication&gt;&lt;_pages&gt;547-57&lt;/_pages&gt;&lt;_tertiary_title&gt;International journal of cancer&lt;/_tertiary_title&gt;&lt;_type_work&gt;Comparative Study; Journal Article; Research Support, Non-U.S. Gov&amp;apos;t&lt;/_type_work&gt;&lt;_url&gt;http://www.ncbi.nlm.nih.gov/entrez/query.fcgi?cmd=Retrieve&amp;amp;db=pubmed&amp;amp;dopt=Abstract&amp;amp;list_uids=17918156&amp;amp;query_hl=1&lt;/_url&gt;&lt;_volume&gt;122&lt;/_volume&gt;&lt;/Details&gt;&lt;Extra&gt;&lt;DBUID&gt;{DE509FB4-0C85-4E2B-BBB9-210FED694D73}&lt;/DBUID&gt;&lt;/Extra&gt;&lt;/Item&gt;&lt;/References&gt;&lt;/Group&gt;&lt;/Citation&gt;_x000a_"/>
    <w:docVar w:name="NE.Ref{9C16045C-D2CD-429A-9E23-BCD7F157FB5F}" w:val=" ADDIN NE.Ref.{9C16045C-D2CD-429A-9E23-BCD7F157FB5F}&lt;Citation&gt;&lt;Group&gt;&lt;References&gt;&lt;Item&gt;&lt;ID&gt;8352&lt;/ID&gt;&lt;UID&gt;{D7F886EE-266A-46C8-8CC0-10CC466B0F00}&lt;/UID&gt;&lt;Title&gt;Prostaglandin E2 receptors and COX enzymes in human hepatocellular carcinoma: role in the regulation of cell growth&lt;/Title&gt;&lt;Template&gt;Journal Article&lt;/Template&gt;&lt;Star&gt;0&lt;/Star&gt;&lt;Tag&gt;0&lt;/Tag&gt;&lt;Author&gt;Cusimano, A; Fodera, D; Lampiasi, N; Azzolina, A; Notarbartolo, M; Giannitrapani, L; D&amp;apos;Alessandro, N; Montalto, G; Cervello, M&lt;/Author&gt;&lt;Year&gt;2009&lt;/Year&gt;&lt;Details&gt;&lt;_accession_num&gt;19250221&lt;/_accession_num&gt;&lt;_author_adr&gt;Institute of Biomedicine and Molecular Immunology Alberto Monroy, National Research Council, Palermo, Italy.&lt;/_author_adr&gt;&lt;_created&gt;61149211&lt;/_created&gt;&lt;_date&gt;2009-02-01&lt;/_date&gt;&lt;_date_display&gt;2009 Feb&lt;/_date_display&gt;&lt;_doi&gt;10.1111/j.1749-6632.2009.03701.x&lt;/_doi&gt;&lt;_impact_factor&gt;   4.383&lt;/_impact_factor&gt;&lt;_isbn&gt;1749-6632 (Electronic); 0077-8923 (Linking)&lt;/_isbn&gt;&lt;_journal&gt;Ann N Y Acad Sci&lt;/_journal&gt;&lt;_keywords&gt;Aged; Carcinoma, Hepatocellular/enzymology/*metabolism/pathology; Cell Division/*physiology; Cell Line, Tumor; Female; Humans; Liver Neoplasms/enzymology/*metabolism/pathology; Male; Middle Aged; Prostaglandin-Endoperoxide Synthases/*metabolism; Receptors, Prostaglandin E/*metabolism/physiology&lt;/_keywords&gt;&lt;_language&gt;eng&lt;/_language&gt;&lt;_modified&gt;61149214&lt;/_modified&gt;&lt;_pages&gt;300-8&lt;/_pages&gt;&lt;_tertiary_title&gt;Annals of the New York Academy of Sciences&lt;/_tertiary_title&gt;&lt;_type_work&gt;Journal Article; Research Support, Non-U.S. Gov&amp;apos;t&lt;/_type_work&gt;&lt;_url&gt;http://www.ncbi.nlm.nih.gov/entrez/query.fcgi?cmd=Retrieve&amp;amp;db=pubmed&amp;amp;dopt=Abstract&amp;amp;list_uids=19250221&amp;amp;query_hl=1&lt;/_url&gt;&lt;_volume&gt;1155&lt;/_volume&gt;&lt;/Details&gt;&lt;Extra&gt;&lt;DBUID&gt;{DE509FB4-0C85-4E2B-BBB9-210FED694D73}&lt;/DBUID&gt;&lt;/Extra&gt;&lt;/Item&gt;&lt;/References&gt;&lt;/Group&gt;&lt;Group&gt;&lt;References&gt;&lt;Item&gt;&lt;ID&gt;8346&lt;/ID&gt;&lt;UID&gt;{5686D9FE-D4F0-40FC-A968-67E4914CC442}&lt;/UID&gt;&lt;Title&gt;Differential expression of E-prostanoid receptors in human hepatocellular carcinoma&lt;/Title&gt;&lt;Template&gt;Journal Article&lt;/Template&gt;&lt;Star&gt;0&lt;/Star&gt;&lt;Tag&gt;0&lt;/Tag&gt;&lt;Author&gt;Breinig, M; Rieker, R; Eiteneuer, E; Wertenbruch, T; Haugg, A M; Helmke, B M; Schirmacher, P; Kern, M A&lt;/Author&gt;&lt;Year&gt;2008&lt;/Year&gt;&lt;Details&gt;&lt;_accession_num&gt;17918156&lt;/_accession_num&gt;&lt;_author_adr&gt;Department of General Pathology, University Hospital, 69120 Heidelberg, Germany.&lt;/_author_adr&gt;&lt;_collection_scope&gt;SCI;SCIE;&lt;/_collection_scope&gt;&lt;_created&gt;61149209&lt;/_created&gt;&lt;_date&gt;2008-02-01&lt;/_date&gt;&lt;_date_display&gt;2008 Feb 1&lt;/_date_display&gt;&lt;_doi&gt;10.1002/ijc.23098&lt;/_doi&gt;&lt;_impact_factor&gt;   5.085&lt;/_impact_factor&gt;&lt;_isbn&gt;1097-0215 (Electronic); 0020-7136 (Linking)&lt;/_isbn&gt;&lt;_issue&gt;3&lt;/_issue&gt;&lt;_journal&gt;Int J Cancer&lt;/_journal&gt;&lt;_keywords&gt;Apoptosis/*drug effects; Blotting, Western; Carcinoma, Hepatocellular/etiology/*metabolism/pathology; Cell Survival/drug effects; Cyclooxygenase 2/*metabolism; Female; Humans; Immunoenzyme Techniques; Intramolecular Oxidoreductases/metabolism; Liver/drug effects/metabolism/pathology; Liver Cirrhosis/etiology/metabolism/pathology; Liver Neoplasms/etiology/metabolism/pathology; Male; Receptors, Prostaglandin E/*metabolism; Tissue Array Analysis&lt;/_keywords&gt;&lt;_language&gt;eng&lt;/_language&gt;&lt;_modified&gt;61149214&lt;/_modified&gt;&lt;_ori_publication&gt;(c) 2007 Wiley-Liss, Inc.&lt;/_ori_publication&gt;&lt;_pages&gt;547-57&lt;/_pages&gt;&lt;_tertiary_title&gt;International journal of cancer&lt;/_tertiary_title&gt;&lt;_type_work&gt;Comparative Study; Journal Article; Research Support, Non-U.S. Gov&amp;apos;t&lt;/_type_work&gt;&lt;_url&gt;http://www.ncbi.nlm.nih.gov/entrez/query.fcgi?cmd=Retrieve&amp;amp;db=pubmed&amp;amp;dopt=Abstract&amp;amp;list_uids=17918156&amp;amp;query_hl=1&lt;/_url&gt;&lt;_volume&gt;122&lt;/_volume&gt;&lt;/Details&gt;&lt;Extra&gt;&lt;DBUID&gt;{DE509FB4-0C85-4E2B-BBB9-210FED694D73}&lt;/DBUID&gt;&lt;/Extra&gt;&lt;/Item&gt;&lt;/References&gt;&lt;/Group&gt;&lt;/Citation&gt;_x000a_"/>
    <w:docVar w:name="NE.Ref{9F83A705-93EA-4C50-9E43-0DA70833D8D5}" w:val=" ADDIN NE.Ref.{9F83A705-93EA-4C50-9E43-0DA70833D8D5}&lt;Citation&gt;&lt;Group&gt;&lt;References&gt;&lt;Item&gt;&lt;ID&gt;8348&lt;/ID&gt;&lt;UID&gt;{354AC35E-6C8E-4923-827D-BD5EF919F26A}&lt;/UID&gt;&lt;Title&gt;Inhibitory effect of a prostaglandin E receptor subtype EP(1) selective antagonist, ONO-8713, on development of azoxymethane-induced aberrant crypt foci  in mice&lt;/Title&gt;&lt;Template&gt;Journal Article&lt;/Template&gt;&lt;Star&gt;0&lt;/Star&gt;&lt;Tag&gt;0&lt;/Tag&gt;&lt;Author&gt;Watanabe, K; Kawamori, T; Nakatsugi, S; Ohta, T; Ohuchida, S; Yamamoto, H; Maruyama, T; Kondo, K; Narumiya, S; Sugimura, T; Wakabayashi, K&lt;/Author&gt;&lt;Year&gt;2000&lt;/Year&gt;&lt;Details&gt;&lt;_accession_num&gt;10840160&lt;/_accession_num&gt;&lt;_author_adr&gt;Cancer Prevention Division, National Cancer Center Research Institute, 1-1 Tsukiji 5-chome, Chuo-ku, 104-0045, Tokyo, Japan.&lt;/_author_adr&gt;&lt;_collection_scope&gt;SCI;SCIE;&lt;/_collection_scope&gt;&lt;_created&gt;61149210&lt;/_created&gt;&lt;_date&gt;2000-08-01&lt;/_date&gt;&lt;_date_display&gt;2000 Aug 1&lt;/_date_display&gt;&lt;_impact_factor&gt;   5.621&lt;/_impact_factor&gt;&lt;_isbn&gt;0304-3835 (Print); 0304-3835 (Linking)&lt;/_isbn&gt;&lt;_issue&gt;1&lt;/_issue&gt;&lt;_journal&gt;Cancer Lett&lt;/_journal&gt;&lt;_keywords&gt;Animals; Anti-Inflammatory Agents, Non-Steroidal/therapeutic use; Antineoplastic Agents/*therapeutic use; Azoxymethane; Cinnamates/*therapeutic use; Colonic Neoplasms/chemically induced/*prevention &amp;amp; control; Male; Mice; Mice, Inbred C57BL; Precancerous Conditions/chemically induced/*prevention &amp;amp; control; Receptors, Prostaglandin E/*antagonists &amp;amp; inhibitors/physiology; Receptors, Prostaglandin E, EP1 Subtype&lt;/_keywords&gt;&lt;_language&gt;eng&lt;/_language&gt;&lt;_modified&gt;61149214&lt;/_modified&gt;&lt;_pages&gt;57-61&lt;/_pages&gt;&lt;_tertiary_title&gt;Cancer letters&lt;/_tertiary_title&gt;&lt;_type_work&gt;Journal Article; Research Support, Non-U.S. Gov&amp;apos;t&lt;/_type_work&gt;&lt;_url&gt;http://www.ncbi.nlm.nih.gov/entrez/query.fcgi?cmd=Retrieve&amp;amp;db=pubmed&amp;amp;dopt=Abstract&amp;amp;list_uids=10840160&amp;amp;query_hl=1&lt;/_url&gt;&lt;_volume&gt;156&lt;/_volume&gt;&lt;/Details&gt;&lt;Extra&gt;&lt;DBUID&gt;{DE509FB4-0C85-4E2B-BBB9-210FED694D73}&lt;/DBUID&gt;&lt;/Extra&gt;&lt;/Item&gt;&lt;/References&gt;&lt;/Group&gt;&lt;Group&gt;&lt;References&gt;&lt;Item&gt;&lt;ID&gt;8349&lt;/ID&gt;&lt;UID&gt;{D4113831-EF55-40E9-B37B-6D840245D69D}&lt;/UID&gt;&lt;Title&gt;Role of the prostaglandin E receptor subtype EP1 in colon carcinogenesis&lt;/Title&gt;&lt;Template&gt;Journal Article&lt;/Template&gt;&lt;Star&gt;0&lt;/Star&gt;&lt;Tag&gt;0&lt;/Tag&gt;&lt;Author&gt;Watanabe, K; Kawamori, T; Nakatsugi, S; Ohta, T; Ohuchida, S; Yamamoto, H; Maruyama, T; Kondo, K; Ushikubi, F; Narumiya, S; Sugimura, T; Wakabayashi, K&lt;/Author&gt;&lt;Year&gt;1999&lt;/Year&gt;&lt;Details&gt;&lt;_accession_num&gt;10537280&lt;/_accession_num&gt;&lt;_author_adr&gt;Cancer Prevention Division, National Cancer Center Research Institute, Tokyo, Japan.&lt;/_author_adr&gt;&lt;_collection_scope&gt;SCI;SCIE;&lt;/_collection_scope&gt;&lt;_created&gt;61149210&lt;/_created&gt;&lt;_date&gt;1999-10-15&lt;/_date&gt;&lt;_date_display&gt;1999 Oct 15&lt;/_date_display&gt;&lt;_impact_factor&gt;   9.329&lt;/_impact_factor&gt;&lt;_isbn&gt;0008-5472 (Print); 0008-5472 (Linking)&lt;/_isbn&gt;&lt;_issue&gt;20&lt;/_issue&gt;&lt;_journal&gt;Cancer Res&lt;/_journal&gt;&lt;_keywords&gt;Animals; Azoxymethane/toxicity; Bicyclo Compounds/pharmacology; Caproates/pharmacology; Colonic Neoplasms/*etiology; Male; Mice; Mice, Inbred C57BL; Mice, Knockout; Precancerous Conditions/*etiology; Receptors, Prostaglandin E/antagonists &amp;amp; inhibitors/*physiology; Receptors, Prostaglandin E, EP1 Subtype&lt;/_keywords&gt;&lt;_language&gt;eng&lt;/_language&gt;&lt;_modified&gt;61149214&lt;/_modified&gt;&lt;_pages&gt;5093-6&lt;/_pages&gt;&lt;_tertiary_title&gt;Cancer research&lt;/_tertiary_title&gt;&lt;_type_work&gt;Journal Article; Research Support, Non-U.S. Gov&amp;apos;t&lt;/_type_work&gt;&lt;_url&gt;http://www.ncbi.nlm.nih.gov/entrez/query.fcgi?cmd=Retrieve&amp;amp;db=pubmed&amp;amp;dopt=Abstract&amp;amp;list_uids=10537280&amp;amp;query_hl=1&lt;/_url&gt;&lt;_volume&gt;59&lt;/_volume&gt;&lt;/Details&gt;&lt;Extra&gt;&lt;DBUID&gt;{DE509FB4-0C85-4E2B-BBB9-210FED694D73}&lt;/DBUID&gt;&lt;/Extra&gt;&lt;/Item&gt;&lt;/References&gt;&lt;/Group&gt;&lt;/Citation&gt;_x000a_"/>
    <w:docVar w:name="NE.Ref{9F9B38BA-DFD4-4BF0-8DFE-BFB6B3A6C2E9}" w:val=" ADDIN NE.Ref.{9F9B38BA-DFD4-4BF0-8DFE-BFB6B3A6C2E9}&lt;Citation&gt;&lt;Group&gt;&lt;References&gt;&lt;Item&gt;&lt;ID&gt;8346&lt;/ID&gt;&lt;UID&gt;{5686D9FE-D4F0-40FC-A968-67E4914CC442}&lt;/UID&gt;&lt;Title&gt;Differential expression of E-prostanoid receptors in human hepatocellular carcinoma&lt;/Title&gt;&lt;Template&gt;Journal Article&lt;/Template&gt;&lt;Star&gt;0&lt;/Star&gt;&lt;Tag&gt;0&lt;/Tag&gt;&lt;Author&gt;Breinig, M; Rieker, R; Eiteneuer, E; Wertenbruch, T; Haugg, A M; Helmke, B M; Schirmacher, P; Kern, M A&lt;/Author&gt;&lt;Year&gt;2008&lt;/Year&gt;&lt;Details&gt;&lt;_accession_num&gt;17918156&lt;/_accession_num&gt;&lt;_author_adr&gt;Department of General Pathology, University Hospital, 69120 Heidelberg, Germany.&lt;/_author_adr&gt;&lt;_collection_scope&gt;SCI;SCIE;&lt;/_collection_scope&gt;&lt;_created&gt;61149209&lt;/_created&gt;&lt;_date&gt;2008-02-01&lt;/_date&gt;&lt;_date_display&gt;2008 Feb 1&lt;/_date_display&gt;&lt;_doi&gt;10.1002/ijc.23098&lt;/_doi&gt;&lt;_impact_factor&gt;   5.085&lt;/_impact_factor&gt;&lt;_isbn&gt;1097-0215 (Electronic); 0020-7136 (Linking)&lt;/_isbn&gt;&lt;_issue&gt;3&lt;/_issue&gt;&lt;_journal&gt;Int J Cancer&lt;/_journal&gt;&lt;_keywords&gt;Apoptosis/*drug effects; Blotting, Western; Carcinoma, Hepatocellular/etiology/*metabolism/pathology; Cell Survival/drug effects; Cyclooxygenase 2/*metabolism; Female; Humans; Immunoenzyme Techniques; Intramolecular Oxidoreductases/metabolism; Liver/drug effects/metabolism/pathology; Liver Cirrhosis/etiology/metabolism/pathology; Liver Neoplasms/etiology/metabolism/pathology; Male; Receptors, Prostaglandin E/*metabolism; Tissue Array Analysis&lt;/_keywords&gt;&lt;_language&gt;eng&lt;/_language&gt;&lt;_modified&gt;61149214&lt;/_modified&gt;&lt;_ori_publication&gt;(c) 2007 Wiley-Liss, Inc.&lt;/_ori_publication&gt;&lt;_pages&gt;547-57&lt;/_pages&gt;&lt;_tertiary_title&gt;International journal of cancer&lt;/_tertiary_title&gt;&lt;_type_work&gt;Comparative Study; Journal Article; Research Support, Non-U.S. Gov&amp;apos;t&lt;/_type_work&gt;&lt;_url&gt;http://www.ncbi.nlm.nih.gov/entrez/query.fcgi?cmd=Retrieve&amp;amp;db=pubmed&amp;amp;dopt=Abstract&amp;amp;list_uids=17918156&amp;amp;query_hl=1&lt;/_url&gt;&lt;_volume&gt;122&lt;/_volume&gt;&lt;/Details&gt;&lt;Extra&gt;&lt;DBUID&gt;{DE509FB4-0C85-4E2B-BBB9-210FED694D73}&lt;/DBUID&gt;&lt;/Extra&gt;&lt;/Item&gt;&lt;/References&gt;&lt;/Group&gt;&lt;/Citation&gt;_x000a_"/>
    <w:docVar w:name="NE.Ref{A4EDAA57-63F6-4A60-92B7-09AEBEB9DBB9}" w:val=" ADDIN NE.Ref.{A4EDAA57-63F6-4A60-92B7-09AEBEB9DBB9}&lt;Citation&gt;&lt;Group&gt;&lt;References&gt;&lt;Item&gt;&lt;ID&gt;8353&lt;/ID&gt;&lt;UID&gt;{243CCA85-86F0-4E50-844C-B0DDCA3969B4}&lt;/UID&gt;&lt;Title&gt;Hepatectomy for hepatocellular carcinoma: toward zero hospital deaths&lt;/Title&gt;&lt;Template&gt;Journal Article&lt;/Template&gt;&lt;Star&gt;0&lt;/Star&gt;&lt;Tag&gt;0&lt;/Tag&gt;&lt;Author&gt;Fan, S T; Lo, C M; Liu, C L; Lam, C M; Yuen, W K; Yeung, C; Wong, J&lt;/Author&gt;&lt;Year&gt;1999&lt;/Year&gt;&lt;Details&gt;&lt;_accession_num&gt;10077043&lt;/_accession_num&gt;&lt;_author_adr&gt;Department of Surgery, The University of Hong Kong, Queen Mary Hospital, Hong Kong.&lt;/_author_adr&gt;&lt;_collection_scope&gt;SCI;SCIE;&lt;/_collection_scope&gt;&lt;_created&gt;61149211&lt;/_created&gt;&lt;_date&gt;1999-03-01&lt;/_date&gt;&lt;_date_display&gt;1999 Mar&lt;/_date_display&gt;&lt;_impact_factor&gt;   8.327&lt;/_impact_factor&gt;&lt;_isbn&gt;0003-4932 (Print); 0003-4932 (Linking)&lt;/_isbn&gt;&lt;_issue&gt;3&lt;/_issue&gt;&lt;_journal&gt;Ann Surg&lt;/_journal&gt;&lt;_keywords&gt;Adolescent; Adult; Aged; Aged, 80 and over; Carcinoma, Hepatocellular/*surgery; Child; Child, Preschool; Female; Hepatectomy/methods/*mortality; *Hospital Mortality; Humans; Liver Neoplasms/*surgery; Male; Middle Aged; Postoperative Care; Postoperative Complications/epidemiology; Preoperative Care; Prospective Studies&lt;/_keywords&gt;&lt;_language&gt;eng&lt;/_language&gt;&lt;_modified&gt;61149214&lt;/_modified&gt;&lt;_pages&gt;322-30&lt;/_pages&gt;&lt;_tertiary_title&gt;Annals of surgery&lt;/_tertiary_title&gt;&lt;_type_work&gt;Journal Article; Research Support, Non-U.S. Gov&amp;apos;t&lt;/_type_work&gt;&lt;_url&gt;http://www.ncbi.nlm.nih.gov/entrez/query.fcgi?cmd=Retrieve&amp;amp;db=pubmed&amp;amp;dopt=Abstract&amp;amp;list_uids=10077043&amp;amp;query_hl=1&lt;/_url&gt;&lt;_volume&gt;229&lt;/_volume&gt;&lt;/Details&gt;&lt;Extra&gt;&lt;DBUID&gt;{DE509FB4-0C85-4E2B-BBB9-210FED694D73}&lt;/DBUID&gt;&lt;/Extra&gt;&lt;/Item&gt;&lt;/References&gt;&lt;/Group&gt;&lt;/Citation&gt;_x000a_"/>
    <w:docVar w:name="NE.Ref{BA53E507-4203-4C18-A202-048333E7E82B}" w:val=" ADDIN NE.Ref.{BA53E507-4203-4C18-A202-048333E7E82B} ADDIN NE.Ref.{2B061673-0517-446D-8D1A-232BABFC9D0C}&lt;Citation&gt;&lt;Group&gt;&lt;References&gt;&lt;Item&gt;&lt;ID&gt;8364&lt;/ID&gt;&lt;UID&gt;{0B674862-8EB9-4729-8254-B4145CB76ECA}&lt;/UID&gt;&lt;Title&gt;Global cancer statistics, 2012&lt;/Title&gt;&lt;Template&gt;Journal Article&lt;/Template&gt;&lt;Star&gt;0&lt;/Star&gt;&lt;Tag&gt;0&lt;/Tag&gt;&lt;Author&gt;Torre, L A; Bray, F; Siegel, R L; Ferlay, J; Lortet-Tieulent, J; Jemal, A&lt;/Author&gt;&lt;Year&gt;2015&lt;/Year&gt;&lt;Details&gt;&lt;_accession_num&gt;25651787&lt;/_accession_num&gt;&lt;_author_adr&gt;Epidemiologist, Surveillance and Health Services Research, American Cancer Society, Atlanta, GA.&lt;/_author_adr&gt;&lt;_date_display&gt;2015 Mar&lt;/_date_display&gt;&lt;_date&gt;2015-03-01&lt;/_date&gt;&lt;_doi&gt;10.3322/caac.21262&lt;/_doi&gt;&lt;_isbn&gt;1542-4863 (Electronic); 0007-9235 (Linking)&lt;/_isbn&gt;&lt;_issue&gt;2&lt;/_issue&gt;&lt;_journal&gt;CA Cancer J Clin&lt;/_journal&gt;&lt;_keywords&gt;Body Mass Index; Breast Neoplasms/epidemiology; Colorectal Neoplasms/epidemiology; Developed Countries/*statistics &amp;amp; numerical data; Developing Countries/*statistics &amp;amp; numerical data; Female; Global Health; Humans; Incidence; Liver Neoplasms/epidemiology; Lung Neoplasms/epidemiology; Male; Neoplasms/diagnosis/*epidemiology/etiology/mortality/prevention &amp;amp; control/therapy; Overweight/epidemiology; Poverty; Prevalence; Prostatic Neoplasms/epidemiology; Risk Factors; Sedentary Lifestyle; Smoking/adverse effects; Stomach Neoplasms/epidemiology; Survival Rate; Uterine Cervical Neoplasms/epidemiologycancer; epidemiology; health disparities; incidence; survival&lt;/_keywords&gt;&lt;_language&gt;eng&lt;/_language&gt;&lt;_ori_publication&gt;(c) 2015 American Cancer Society.&lt;/_ori_publication&gt;&lt;_pages&gt;87-108&lt;/_pages&gt;&lt;_tertiary_title&gt;CA: a cancer journal for clinicians&lt;/_tertiary_title&gt;&lt;_type_work&gt;Journal Article&lt;/_type_work&gt;&lt;_url&gt;http://www.ncbi.nlm.nih.gov/entrez/query.fcgi?cmd=Retrieve&amp;amp;db=pubmed&amp;amp;dopt=Abstract&amp;amp;list_uids=25651787&amp;amp;query_hl=1&lt;/_url&gt;&lt;_volume&gt;65&lt;/_volume&gt;&lt;_created&gt;60924659&lt;/_created&gt;&lt;_modified&gt;60924659&lt;/_modified&gt;&lt;_impact_factor&gt; 115.840&lt;/_impact_factor&gt;&lt;/Details&gt;&lt;Extra&gt;&lt;DBUID&gt;{DE509FB4-0C85-4E2B-BBB9-210FED694D73}&lt;/DBUID&gt;&lt;/Extra&gt;&lt;/Item&gt;&lt;/References&gt;&lt;/Group&gt;&lt;/Citation&gt;_x000a_"/>
    <w:docVar w:name="NE.Ref{CA7FF5D1-02BF-43B9-B2A6-C7B674C203B6}" w:val=" ADDIN NE.Ref.{CA7FF5D1-02BF-43B9-B2A6-C7B674C203B6}&lt;Citation&gt;&lt;Group&gt;&lt;References&gt;&lt;Item&gt;&lt;ID&gt;8334&lt;/ID&gt;&lt;UID&gt;{950CB6AA-D5B8-4F08-AE49-09847F7181DD}&lt;/UID&gt;&lt;Title&gt;ANGPTL4 induction by prostaglandin E2 under hypoxic conditions promotes colorectal cancer progression&lt;/Title&gt;&lt;Template&gt;Journal Article&lt;/Template&gt;&lt;Star&gt;0&lt;/Star&gt;&lt;Tag&gt;0&lt;/Tag&gt;&lt;Author&gt;Kim, S H; Park, Y Y; Kim, S W; Lee, J S; Wang, D; DuBois, R N&lt;/Author&gt;&lt;Year&gt;2011&lt;/Year&gt;&lt;Details&gt;&lt;_accession_num&gt;21937683&lt;/_accession_num&gt;&lt;_author_adr&gt;Department of Cancer Biology, The University of Texas MD Anderson Cancer Center,  Houston, Texas 77030, USA.&lt;/_author_adr&gt;&lt;_collection_scope&gt;SCI;SCIE;&lt;/_collection_scope&gt;&lt;_created&gt;61149206&lt;/_created&gt;&lt;_date&gt;2011-11-15&lt;/_date&gt;&lt;_date_display&gt;2011 Nov 15&lt;/_date_display&gt;&lt;_doi&gt;10.1158/0008-5472.CAN-11-1262&lt;/_doi&gt;&lt;_impact_factor&gt;   9.329&lt;/_impact_factor&gt;&lt;_isbn&gt;1538-7445 (Electronic); 0008-5472 (Linking)&lt;/_isbn&gt;&lt;_issue&gt;22&lt;/_issue&gt;&lt;_journal&gt;Cancer Res&lt;/_journal&gt;&lt;_keywords&gt;Angiopoietins/*physiology; Animals; *Cell Hypoxia; Cell Line, Tumor; Cell Proliferation/drug effects; Colorectal Neoplasms/etiology/*pathology; Dinoprostone/*pharmacology; Disease Progression; Humans; Mice; Receptors, Prostaglandin E, EP1 Subtype/physiology; STAT1 Transcription Factor/physiology&lt;/_keywords&gt;&lt;_language&gt;eng&lt;/_language&gt;&lt;_modified&gt;61149214&lt;/_modified&gt;&lt;_ori_publication&gt;(c)2011 AACR&lt;/_ori_publication&gt;&lt;_pages&gt;7010-20&lt;/_pages&gt;&lt;_tertiary_title&gt;Cancer research&lt;/_tertiary_title&gt;&lt;_type_work&gt;Journal Article; Research Support, N.I.H., Extramural&lt;/_type_work&gt;&lt;_url&gt;http://www.ncbi.nlm.nih.gov/entrez/query.fcgi?cmd=Retrieve&amp;amp;db=pubmed&amp;amp;dopt=Abstract&amp;amp;list_uids=21937683&amp;amp;query_hl=1&lt;/_url&gt;&lt;_volume&gt;71&lt;/_volume&gt;&lt;/Details&gt;&lt;Extra&gt;&lt;DBUID&gt;{DE509FB4-0C85-4E2B-BBB9-210FED694D73}&lt;/DBUID&gt;&lt;/Extra&gt;&lt;/Item&gt;&lt;/References&gt;&lt;/Group&gt;&lt;Group&gt;&lt;References&gt;&lt;Item&gt;&lt;ID&gt;8358&lt;/ID&gt;&lt;UID&gt;{34BDD84F-7526-4066-AF9B-C585214C3DC7}&lt;/UID&gt;&lt;Title&gt;Direct transcriptional up-regulation of cyclooxygenase-2 by hypoxia-inducible factor (HIF)-1 promotes colorectal tumor cell survival and enhances HIF-1 transcriptional activity during hypoxia&lt;/Title&gt;&lt;Template&gt;Journal Article&lt;/Template&gt;&lt;Star&gt;0&lt;/Star&gt;&lt;Tag&gt;0&lt;/Tag&gt;&lt;Author&gt;Kaidi, A; Qualtrough, D; Williams, A C; Paraskeva, C&lt;/Author&gt;&lt;Year&gt;2006&lt;/Year&gt;&lt;Details&gt;&lt;_accession_num&gt;16818642&lt;/_accession_num&gt;&lt;_author_adr&gt;Cancer Research UK Colorectal Tumour Biology Research Group, Department of Cellular and Molecular Medicine, Faculty of Medical and Veterinary Science, Bristol University, Bristol BS8 1TD, United Kingdom.&lt;/_author_adr&gt;&lt;_collection_scope&gt;SCI;SCIE;&lt;/_collection_scope&gt;&lt;_created&gt;61149212&lt;/_created&gt;&lt;_date&gt;2006-07-01&lt;/_date&gt;&lt;_date_display&gt;2006 Jul 1&lt;/_date_display&gt;&lt;_doi&gt;10.1158/0008-5472.CAN-06-0425&lt;/_doi&gt;&lt;_impact_factor&gt;   9.329&lt;/_impact_factor&gt;&lt;_isbn&gt;0008-5472 (Print); 0008-5472 (Linking)&lt;/_isbn&gt;&lt;_issue&gt;13&lt;/_issue&gt;&lt;_journal&gt;Cancer Res&lt;/_journal&gt;&lt;_keywords&gt;Base Sequence; Cell Growth Processes/physiology; Cell Hypoxia/physiology; Cell Survival/physiology; Colorectal Neoplasms/enzymology/*genetics/metabolism/*pathology; Cyclooxygenase 2/*biosynthesis/genetics; Dinoprostone/metabolism; Gene Expression Regulation, Enzymologic; Gene Expression Regulation, Neoplastic; HCT116 Cells; HT29 Cells; Humans; Hypoxia-Inducible Factor 1, alpha Subunit/genetics/metabolism/*physiology; MAP Kinase Signaling System; Molecular Sequence Data; Promoter Regions, Genetic; Transcription, Genetic; Up-Regulation&lt;/_keywords&gt;&lt;_language&gt;eng&lt;/_language&gt;&lt;_modified&gt;61149214&lt;/_modified&gt;&lt;_pages&gt;6683-91&lt;/_pages&gt;&lt;_tertiary_title&gt;Cancer research&lt;/_tertiary_title&gt;&lt;_type_work&gt;Journal Article; Research Support, Non-U.S. Gov&amp;apos;t&lt;/_type_work&gt;&lt;_url&gt;http://www.ncbi.nlm.nih.gov/entrez/query.fcgi?cmd=Retrieve&amp;amp;db=pubmed&amp;amp;dopt=Abstract&amp;amp;list_uids=16818642&amp;amp;query_hl=1&lt;/_url&gt;&lt;_volume&gt;66&lt;/_volume&gt;&lt;/Details&gt;&lt;Extra&gt;&lt;DBUID&gt;{DE509FB4-0C85-4E2B-BBB9-210FED694D73}&lt;/DBUID&gt;&lt;/Extra&gt;&lt;/Item&gt;&lt;/References&gt;&lt;/Group&gt;&lt;/Citation&gt;_x000a_"/>
    <w:docVar w:name="NE.Ref{CC41D5CF-C5E3-4959-BFD8-7B6AB319DD31}" w:val=" ADDIN NE.Ref.{CC41D5CF-C5E3-4959-BFD8-7B6AB319DD31} ADDIN NE.Ref.{CC41D5CF-C5E3-4959-BFD8-7B6AB319DD31}&lt;Citation&gt;&lt;Group&gt;&lt;References&gt;&lt;Item&gt;&lt;ID&gt;8372&lt;/ID&gt;&lt;UID&gt;{586D37FA-43ED-49B0-9004-565CBB94DFD7}&lt;/UID&gt;&lt;Title&gt;Prostaglandin E2 promotes hepatocellular carcinoma cell invasion through upregulation of YB-1 protein expression&lt;/Title&gt;&lt;Template&gt;Journal Article&lt;/Template&gt;&lt;Star&gt;0&lt;/Star&gt;&lt;Tag&gt;0&lt;/Tag&gt;&lt;Author&gt;Zhang, H; Cheng, S; Zhang, M; Ma, X; Zhang, L; Wang, Y; Rong, R; Ma, J; Xia, S; &amp;quot;Du M&amp;quot;; Shi, F; Wang, J; Yang, Q; Bai, X; Leng, J&lt;/Author&gt;&lt;Year&gt;2014&lt;/Year&gt;&lt;Details&gt;&lt;_accession_num&gt;24378923&lt;/_accession_num&gt;&lt;_author_adr&gt;Cancer Center, Department of Pathology, Nanjing Medical University, Nanjing 210029, P.R. China.; Cancer Center, Department of Pathology, Nanjing Medical University, Nanjing 210029, P.R. China.; Cancer Center, Department of Pathology, Nanjing Medical University, Nanjing 210029, P.R. China.; Cancer Center, Department of Pathology, Nanjing Medical University, Nanjing 210029, P.R. China.; Cancer Center, Department of Pathology, Nanjing Medical University, Nanjing 210029, P.R. China.; Cancer Center, Department of Pathology, Nanjing Medical University, Nanjing 210029, P.R. China.; Cancer Center, Department of Pathology, Nanjing Medical University, Nanjing 210029, P.R. China.; Cancer Center, Department of Pathology, Nanjing Medical University, Nanjing 210029, P.R. China.; Cancer Center, Department of Pathology, Nanjing Medical University, Nanjing 210029, P.R. China.; Cancer Center, Department of Pathology, Nanjing Medical University, Nanjing 210029, P.R. China.; Cancer Center, Department of Pathology, Nanjing Medical University, Nanjing 210029, P.R. China.; Cancer Center, Department of Pathology, Nanjing Medical University, Nanjing 210029, P.R. China.; Cancer Center, Department of Pathology, Nanjing Medical University, Nanjing 210029, P.R. China.; Cancer Center, Department of Pathology, Nanjing Medical University, Nanjing 210029, P.R. China.; Cancer Center, Department of Pathology, Nanjing Medical University, Nanjing 210029, P.R. China.&lt;/_author_adr&gt;&lt;_date_display&gt;2014 Mar&lt;/_date_display&gt;&lt;_date&gt;2014-03-01&lt;/_date&gt;&lt;_doi&gt;10.3892/ijo.2013.2234&lt;/_doi&gt;&lt;_isbn&gt;1791-2423 (Electronic); 1019-6439 (Linking)&lt;/_isbn&gt;&lt;_issue&gt;3&lt;/_issue&gt;&lt;_journal&gt;Int J Oncol&lt;/_journal&gt;&lt;_keywords&gt;Carcinoma, Hepatocellular/*genetics/pathology; Cell Line, Tumor; Dinoprostone/*genetics/metabolism; Epithelial-Mesenchymal Transition/genetics; Gene Expression Regulation, Neoplastic; Humans; Liver Neoplasms/*genetics/pathology; Neoplasm Invasiveness/genetics/pathology; Phosphorylation; RNA Interference; Signal Transduction/genetics; Y-Box-Binding Protein 1/*biosynthesis&lt;/_keywords&gt;&lt;_language&gt;eng&lt;/_language&gt;&lt;_pages&gt;769-80&lt;/_pages&gt;&lt;_tertiary_title&gt;International journal of oncology&lt;/_tertiary_title&gt;&lt;_type_work&gt;Journal Article; Research Support, Non-U.S. Gov&amp;apos;t&lt;/_type_work&gt;&lt;_url&gt;http://www.ncbi.nlm.nih.gov/entrez/query.fcgi?cmd=Retrieve&amp;amp;db=pubmed&amp;amp;dopt=Abstract&amp;amp;list_uids=24378923&amp;amp;query_hl=1&lt;/_url&gt;&lt;_volume&gt;44&lt;/_volume&gt;&lt;_created&gt;60927127&lt;/_created&gt;&lt;_modified&gt;60927127&lt;/_modified&gt;&lt;_impact_factor&gt;   3.025&lt;/_impact_factor&gt;&lt;_collection_scope&gt;SCI;SCIE;&lt;/_collection_scope&gt;&lt;/Details&gt;&lt;Extra&gt;&lt;DBUID&gt;{DE509FB4-0C85-4E2B-BBB9-210FED694D73}&lt;/DBUID&gt;&lt;/Extra&gt;&lt;/Item&gt;&lt;/References&gt;&lt;/Group&gt;&lt;Group&gt;&lt;References&gt;&lt;Item&gt;&lt;ID&gt;8371&lt;/ID&gt;&lt;UID&gt;{169922B8-4B7B-4DDA-BC2A-77B18E7320C6}&lt;/UID&gt;&lt;Title&gt;ANGPTL4 induction by prostaglandin E2 under hypoxic conditions promotes colorectal cancer progression&lt;/Title&gt;&lt;Template&gt;Journal Article&lt;/Template&gt;&lt;Star&gt;0&lt;/Star&gt;&lt;Tag&gt;0&lt;/Tag&gt;&lt;Author&gt;Kim, S H; Park, Y Y; Kim, S W; Lee, J S; Wang, D; DuBois, R N&lt;/Author&gt;&lt;Year&gt;2011&lt;/Year&gt;&lt;Details&gt;&lt;_accession_num&gt;21937683&lt;/_accession_num&gt;&lt;_author_adr&gt;Department of Cancer Biology, The University of Texas MD Anderson Cancer Center,  Houston, Texas 77030, USA.&lt;/_author_adr&gt;&lt;_date_display&gt;2011 Nov 15&lt;/_date_display&gt;&lt;_date&gt;2011-11-15&lt;/_date&gt;&lt;_doi&gt;10.1158/0008-5472.CAN-11-1262&lt;/_doi&gt;&lt;_isbn&gt;1538-7445 (Electronic); 0008-5472 (Linking)&lt;/_isbn&gt;&lt;_issue&gt;22&lt;/_issue&gt;&lt;_journal&gt;Cancer Res&lt;/_journal&gt;&lt;_keywords&gt;Angiopoietins/*physiology; Animals; *Cell Hypoxia; Cell Line, Tumor; Cell Proliferation/drug effects; Colorectal Neoplasms/etiology/*pathology; Dinoprostone/*pharmacology; Disease Progression; Humans; Mice; Receptors, Prostaglandin E, EP1 Subtype/physiology; STAT1 Transcription Factor/physiology&lt;/_keywords&gt;&lt;_language&gt;eng&lt;/_language&gt;&lt;_ori_publication&gt;(c)2011 AACR&lt;/_ori_publication&gt;&lt;_pages&gt;7010-20&lt;/_pages&gt;&lt;_tertiary_title&gt;Cancer research&lt;/_tertiary_title&gt;&lt;_type_work&gt;Journal Article; Research Support, N.I.H., Extramural&lt;/_type_work&gt;&lt;_url&gt;http://www.ncbi.nlm.nih.gov/entrez/query.fcgi?cmd=Retrieve&amp;amp;db=pubmed&amp;amp;dopt=Abstract&amp;amp;list_uids=21937683&amp;amp;query_hl=1&lt;/_url&gt;&lt;_volume&gt;71&lt;/_volume&gt;&lt;_created&gt;60927125&lt;/_created&gt;&lt;_modified&gt;60927125&lt;/_modified&gt;&lt;_impact_factor&gt;   9.329&lt;/_impact_factor&gt;&lt;_collection_scope&gt;SCI;SCIE;&lt;/_collection_scope&gt;&lt;/Details&gt;&lt;Extra&gt;&lt;DBUID&gt;{DE509FB4-0C85-4E2B-BBB9-210FED694D73}&lt;/DBUID&gt;&lt;/Extra&gt;&lt;/Item&gt;&lt;/References&gt;&lt;/Group&gt;&lt;Group&gt;&lt;References&gt;&lt;Item&gt;&lt;ID&gt;8370&lt;/ID&gt;&lt;UID&gt;{6F0DAC2F-8C64-49BE-B6EF-46C2D0321A0E}&lt;/UID&gt;&lt;Title&gt;Prostaglandin E2/EP1 signaling pathway enhances intercellular adhesion molecule 1 (ICAM-1) expression and cell motility in oral cancer cells&lt;/Title&gt;&lt;Template&gt;Journal Article&lt;/Template&gt;&lt;Star&gt;0&lt;/Star&gt;&lt;Tag&gt;0&lt;/Tag&gt;&lt;Author&gt;Yang, S F; Chen, M K; Hsieh, Y S; Chung, T T; Hsieh, Y H; Lin, C W; Su, J L; Tsai, M H; Tang, C H&lt;/Author&gt;&lt;Year&gt;2010&lt;/Year&gt;&lt;Details&gt;&lt;_accession_num&gt;20647315&lt;/_accession_num&gt;&lt;_author_adr&gt;From the Institute of Medicine, Chung Shan Medical University, Taichung 402, Taiwan.&lt;/_author_adr&gt;&lt;_collection_scope&gt;EI;SCI;SCIE;&lt;/_collection_scope&gt;&lt;_created&gt;60927122&lt;/_created&gt;&lt;_date&gt;2010-09-24&lt;/_date&gt;&lt;_date_display&gt;2010 Sep 24&lt;/_date_display&gt;&lt;_doi&gt;10.1074/jbc.M110.108183&lt;/_doi&gt;&lt;_impact_factor&gt;   4.573&lt;/_impact_factor&gt;&lt;_isbn&gt;1083-351X (Electronic); 0021-9258 (Linking)&lt;/_isbn&gt;&lt;_issue&gt;39&lt;/_issue&gt;&lt;_journal&gt;J Biol Chem&lt;/_journal&gt;&lt;_keywords&gt;Cell Line, Tumor; Cell Movement/*drug effects; Cyclooxygenase 2/biosynthesis; Dinoprostone/metabolism/*pharmacology; Gene Expression Regulation, Neoplastic/*drug effects; Humans; Intercellular Adhesion Molecule-1/*biosynthesis; Mouth Neoplasms/*metabolism/pathology; Oxytocics/metabolism/*pharmacology; Protein Kinase C-delta/metabolism; Protein-Tyrosine Kinases/metabolism; Receptors, Prostaglandin E/*metabolism; Receptors, Prostaglandin E, EP1 Subtype; Signal Transduction/*drug effects; Transcription Factor AP-1/genetics/metabolism; src-Family Kinases&lt;/_keywords&gt;&lt;_language&gt;eng&lt;/_language&gt;&lt;_modified&gt;60952306&lt;/_modified&gt;&lt;_pages&gt;29808-16&lt;/_pages&gt;&lt;_tertiary_title&gt;The Journal of biological chemistry&lt;/_tertiary_title&gt;&lt;_type_work&gt;Journal Article; Research Support, Non-U.S. Gov&amp;apos;t&lt;/_type_work&gt;&lt;_url&gt;http://www.ncbi.nlm.nih.gov/entrez/query.fcgi?cmd=Retrieve&amp;amp;db=pubmed&amp;amp;dopt=Abstract&amp;amp;list_uids=20647315&amp;amp;query_hl=1&lt;/_url&gt;&lt;_volume&gt;285&lt;/_volume&gt;&lt;/Details&gt;&lt;Extra&gt;&lt;DBUID&gt;{DE509FB4-0C85-4E2B-BBB9-210FED694D73}&lt;/DBUID&gt;&lt;/Extra&gt;&lt;/Item&gt;&lt;/References&gt;&lt;/Group&gt;&lt;Group&gt;&lt;References&gt;&lt;Item&gt;&lt;ID&gt;8369&lt;/ID&gt;&lt;UID&gt;{4B047A03-C561-4337-A87F-FB9E31141B3E}&lt;/UID&gt;&lt;Title&gt;Prostaglandin E2 receptor EP1 transactivates EGFR/MET receptor tyrosine kinases and enhances invasiveness in human hepatocellular carcinoma cells&lt;/Title&gt;&lt;Template&gt;Journal Article&lt;/Template&gt;&lt;Star&gt;0&lt;/Star&gt;&lt;Tag&gt;0&lt;/Tag&gt;&lt;Author&gt;Han, C; Michalopoulos, G K; Wu, T&lt;/Author&gt;&lt;Year&gt;2006&lt;/Year&gt;&lt;Details&gt;&lt;_accession_num&gt;16331686&lt;/_accession_num&gt;&lt;_author_adr&gt;Department of Pathology, University of Pittsburgh School of Medicine, Pennsylvania 15213, USA.&lt;/_author_adr&gt;&lt;_collection_scope&gt;SCI;SCIE;&lt;/_collection_scope&gt;&lt;_created&gt;60927120&lt;/_created&gt;&lt;_date&gt;2006-04-01&lt;/_date&gt;&lt;_date_display&gt;2006 Apr&lt;/_date_display&gt;&lt;_doi&gt;10.1002/jcp.20560&lt;/_doi&gt;&lt;_impact_factor&gt;   3.839&lt;/_impact_factor&gt;&lt;_isbn&gt;0021-9541 (Print); 0021-9541 (Linking)&lt;/_isbn&gt;&lt;_issue&gt;1&lt;/_issue&gt;&lt;_journal&gt;J Cell Physiol&lt;/_journal&gt;&lt;_keywords&gt;Alprostadil/analogs &amp;amp; derivatives/pharmacology; Bicyclo Compounds/pharmacology; Caproates/pharmacology; Carcinoma, Hepatocellular/genetics/metabolism/pathology; Cell Line, Tumor; Cell Movement/drug effects/*physiology; Cyclooxygenase 2/analysis/genetics/metabolism; Dinoprostone/pharmacology; Enzyme Activation; Gene Expression/genetics; Humans; Liver Neoplasms/genetics/metabolism/pathology; Membrane Proteins/analysis/genetics/metabolism; Neoplasm Invasiveness; Phosphorylation/drug effects; Protein Binding/drug effects; Protein Kinase Inhibitors/pharmacology; Protein-Tyrosine Kinases/metabolism; Proto-Oncogene Proteins/metabolism; Proto-Oncogene Proteins c-met/*metabolism; RNA Interference; RNA, Small Interfering/genetics; Receptor, Epidermal Growth Factor/antagonists &amp;amp; inhibitors/*metabolism; Receptors, Prostaglandin/genetics/metabolism; Receptors, Prostaglandin E/genetics/*physiology; Receptors, Prostaglandin E, EP1 Subtype; Transfection; src-Family Kinases&lt;/_keywords&gt;&lt;_language&gt;eng&lt;/_language&gt;&lt;_modified&gt;60948647&lt;/_modified&gt;&lt;_pages&gt;261-70&lt;/_pages&gt;&lt;_tertiary_title&gt;Journal of cellular physiology&lt;/_tertiary_title&gt;&lt;_type_work&gt;Journal Article; Research Support, N.I.H., Extramural; Retracted Publication&lt;/_type_work&gt;&lt;_url&gt;http://www.ncbi.nlm.nih.gov/entrez/query.fcgi?cmd=Retrieve&amp;amp;db=pubmed&amp;amp;dopt=Abstract&amp;amp;list_uids=16331686&amp;amp;query_hl=1&lt;/_url&gt;&lt;_volume&gt;207&lt;/_volume&gt;&lt;/Details&gt;&lt;Extra&gt;&lt;DBUID&gt;{DE509FB4-0C85-4E2B-BBB9-210FED694D73}&lt;/DBUID&gt;&lt;/Extra&gt;&lt;/Item&gt;&lt;/References&gt;&lt;/Group&gt;&lt;/Citation&gt;_x000a_"/>
    <w:docVar w:name="NE.Ref{CFDEC801-7815-48B7-AEEA-0363B0727ABD}" w:val=" ADDIN NE.Ref.{CFDEC801-7815-48B7-AEEA-0363B0727ABD} ADDIN NE.Ref.{CFDEC801-7815-48B7-AEEA-0363B0727ABD}&lt;Citation&gt;&lt;Group&gt;&lt;References&gt;&lt;Item&gt;&lt;ID&gt;8388&lt;/ID&gt;&lt;UID&gt;{2D614C29-E434-4222-9393-A4D46D8EB558}&lt;/UID&gt;&lt;Title&gt;COX-2 Promotes Migration and Invasion by the Side Population of Cancer Stem Cell-Like Hepatocellular Carcinoma Cells&lt;/Title&gt;&lt;Template&gt;Journal Article&lt;/Template&gt;&lt;Star&gt;0&lt;/Star&gt;&lt;Tag&gt;0&lt;/Tag&gt;&lt;Author&gt;Guo, Z; Jiang, J H; Zhang, J; Yang, H J; Yang, F Q; Qi, Y P; Zhong, Y P; Su, J; Yang, R R; Li, L Q; Xiang, B D&lt;/Author&gt;&lt;Year&gt;2015&lt;/Year&gt;&lt;Details&gt;&lt;_accession_num&gt;26554780&lt;/_accession_num&gt;&lt;_author_adr&gt;From the Department of Hepatobiliary Surgery, Affiliated Tumor Hospital of Guangxi Medical University, Nanning, P.R. China (ZG, H-JY, F-QY, Y-PQ, L-QL, B-DX); Department of Thyroid and Breast Surgery, The Central Hospital of Wuhan, Wuhan, P.R. China (ZG); Department of General Surgery, The Second People&amp;apos;s Hospital of The Second People&amp;apos;s Hospital of Jingmen, Jingmen, P.R. China (J-HJ);  Department of Ultrasound, Wuhan No. 1 Hospital, Wuhan, P.R. China (JZ); Medical Science Experimental Center, Guangxi Medical University, Nanning, P.R. China (Y-PZ, JS); Department of Immunology, School of Preclinical Medicine, Biological  Targeting Diagnosis and Therapy Research Center, Guangxi Medical University, Nanning, P.R. China (R-RY).&lt;/_author_adr&gt;&lt;_created&gt;60950141&lt;/_created&gt;&lt;_date&gt;2015-11-01&lt;/_date&gt;&lt;_date_display&gt;2015 Nov&lt;/_date_display&gt;&lt;_doi&gt;10.1097/MD.0000000000001806&lt;/_doi&gt;&lt;_impact_factor&gt;   5.723&lt;/_impact_factor&gt;&lt;_isbn&gt;1536-5964 (Electronic); 0025-7974 (Linking)&lt;/_isbn&gt;&lt;_issue&gt;44&lt;/_issue&gt;&lt;_journal&gt;Medicine (Baltimore)&lt;/_journal&gt;&lt;_language&gt;eng&lt;/_language&gt;&lt;_modified&gt;60950141&lt;/_modified&gt;&lt;_pages&gt;e1806&lt;/_pages&gt;&lt;_tertiary_title&gt;Medicine&lt;/_tertiary_title&gt;&lt;_type_work&gt;Journal Article&lt;/_type_work&gt;&lt;_url&gt;http://www.ncbi.nlm.nih.gov/entrez/query.fcgi?cmd=Retrieve&amp;amp;db=pubmed&amp;amp;dopt=Abstract&amp;amp;list_uids=26554780&amp;amp;query_hl=1&lt;/_url&gt;&lt;_volume&gt;94&lt;/_volume&gt;&lt;/Details&gt;&lt;Extra&gt;&lt;DBUID&gt;{DE509FB4-0C85-4E2B-BBB9-210FED694D73}&lt;/DBUID&gt;&lt;/Extra&gt;&lt;/Item&gt;&lt;/References&gt;&lt;/Group&gt;&lt;Group&gt;&lt;References&gt;&lt;Item&gt;&lt;ID&gt;8372&lt;/ID&gt;&lt;UID&gt;{586D37FA-43ED-49B0-9004-565CBB94DFD7}&lt;/UID&gt;&lt;Title&gt;Prostaglandin E2 promotes hepatocellular carcinoma cell invasion through upregulation of YB-1 protein expression&lt;/Title&gt;&lt;Template&gt;Journal Article&lt;/Template&gt;&lt;Star&gt;0&lt;/Star&gt;&lt;Tag&gt;0&lt;/Tag&gt;&lt;Author&gt;Zhang, H; Cheng, S; Zhang, M; Ma, X; Zhang, L; Wang, Y; Rong, R; Ma, J; Xia, S; &amp;quot;Du M&amp;quot;; Shi, F; Wang, J; Yang, Q; Bai, X; Leng, J&lt;/Author&gt;&lt;Year&gt;2014&lt;/Year&gt;&lt;Details&gt;&lt;_accession_num&gt;24378923&lt;/_accession_num&gt;&lt;_author_adr&gt;Cancer Center, Department of Pathology, Nanjing Medical University, Nanjing 210029, P.R. China.; Cancer Center, Department of Pathology, Nanjing Medical University, Nanjing 210029, P.R. China.; Cancer Center, Department of Pathology, Nanjing Medical University, Nanjing 210029, P.R. China.; Cancer Center, Department of Pathology, Nanjing Medical University, Nanjing 210029, P.R. China.; Cancer Center, Department of Pathology, Nanjing Medical University, Nanjing 210029, P.R. China.; Cancer Center, Department of Pathology, Nanjing Medical University, Nanjing 210029, P.R. China.; Cancer Center, Department of Pathology, Nanjing Medical University, Nanjing 210029, P.R. China.; Cancer Center, Department of Pathology, Nanjing Medical University, Nanjing 210029, P.R. China.; Cancer Center, Department of Pathology, Nanjing Medical University, Nanjing 210029, P.R. China.; Cancer Center, Department of Pathology, Nanjing Medical University, Nanjing 210029, P.R. China.; Cancer Center, Department of Pathology, Nanjing Medical University, Nanjing 210029, P.R. China.; Cancer Center, Department of Pathology, Nanjing Medical University, Nanjing 210029, P.R. China.; Cancer Center, Department of Pathology, Nanjing Medical University, Nanjing 210029, P.R. China.; Cancer Center, Department of Pathology, Nanjing Medical University, Nanjing 210029, P.R. China.; Cancer Center, Department of Pathology, Nanjing Medical University, Nanjing 210029, P.R. China.&lt;/_author_adr&gt;&lt;_date_display&gt;2014 Mar&lt;/_date_display&gt;&lt;_date&gt;2014-03-01&lt;/_date&gt;&lt;_doi&gt;10.3892/ijo.2013.2234&lt;/_doi&gt;&lt;_isbn&gt;1791-2423 (Electronic); 1019-6439 (Linking)&lt;/_isbn&gt;&lt;_issue&gt;3&lt;/_issue&gt;&lt;_journal&gt;Int J Oncol&lt;/_journal&gt;&lt;_keywords&gt;Carcinoma, Hepatocellular/*genetics/pathology; Cell Line, Tumor; Dinoprostone/*genetics/metabolism; Epithelial-Mesenchymal Transition/genetics; Gene Expression Regulation, Neoplastic; Humans; Liver Neoplasms/*genetics/pathology; Neoplasm Invasiveness/genetics/pathology; Phosphorylation; RNA Interference; Signal Transduction/genetics; Y-Box-Binding Protein 1/*biosynthesis&lt;/_keywords&gt;&lt;_language&gt;eng&lt;/_language&gt;&lt;_pages&gt;769-80&lt;/_pages&gt;&lt;_tertiary_title&gt;International journal of oncology&lt;/_tertiary_title&gt;&lt;_type_work&gt;Journal Article; Research Support, Non-U.S. Gov&amp;apos;t&lt;/_type_work&gt;&lt;_url&gt;http://www.ncbi.nlm.nih.gov/entrez/query.fcgi?cmd=Retrieve&amp;amp;db=pubmed&amp;amp;dopt=Abstract&amp;amp;list_uids=24378923&amp;amp;query_hl=1&lt;/_url&gt;&lt;_volume&gt;44&lt;/_volume&gt;&lt;_created&gt;60927127&lt;/_created&gt;&lt;_modified&gt;60927127&lt;/_modified&gt;&lt;_impact_factor&gt;   3.025&lt;/_impact_factor&gt;&lt;_collection_scope&gt;SCI;SCIE;&lt;/_collection_scope&gt;&lt;/Details&gt;&lt;Extra&gt;&lt;DBUID&gt;{DE509FB4-0C85-4E2B-BBB9-210FED694D73}&lt;/DBUID&gt;&lt;/Extra&gt;&lt;/Item&gt;&lt;/References&gt;&lt;/Group&gt;&lt;Group&gt;&lt;References&gt;&lt;Item&gt;&lt;ID&gt;8387&lt;/ID&gt;&lt;UID&gt;{4367B657-6A14-4702-B0F2-84DC7E626E93}&lt;/UID&gt;&lt;Title&gt;Prostanoid EP1 receptor as the target of (-)-epigallocatechin-3-gallate in suppressing hepatocellular carcinoma cells in vitro&lt;/Title&gt;&lt;Template&gt;Journal Article&lt;/Template&gt;&lt;Star&gt;0&lt;/Star&gt;&lt;Tag&gt;0&lt;/Tag&gt;&lt;Author&gt;Jin, J; Chang, Y; Wei, W; He, Y F; Hu, S S; Wang, D; Wu, Y J&lt;/Author&gt;&lt;Year&gt;2012&lt;/Year&gt;&lt;Details&gt;&lt;_accession_num&gt;22555372&lt;/_accession_num&gt;&lt;_author_adr&gt;Institute of Clinical Pharmacology, Anhui Medical University, Key Laboratory of Anti-inflammatory and Immunopharmacology of the Education Ministry of China, Hefei, China.&lt;/_author_adr&gt;&lt;_collection_scope&gt;CSCD;SCI;SCIE;中国科技核心期刊;&lt;/_collection_scope&gt;&lt;_created&gt;60950140&lt;/_created&gt;&lt;_date&gt;2012-05-01&lt;/_date&gt;&lt;_date_display&gt;2012 May&lt;/_date_display&gt;&lt;_doi&gt;10.1038/aps.2012.13&lt;/_doi&gt;&lt;_impact_factor&gt;   2.912&lt;/_impact_factor&gt;&lt;_isbn&gt;1745-7254 (Electronic); 1671-4083 (Linking)&lt;/_isbn&gt;&lt;_issue&gt;5&lt;/_issue&gt;&lt;_journal&gt;Acta Pharmacol Sin&lt;/_journal&gt;&lt;_keywords&gt;Alprostadil/analogs &amp;amp; derivatives/pharmacology; Antineoplastic Agents, Phytogenic/*pharmacology; Bicyclo Compounds/pharmacology; Blotting, Western; Caproates/pharmacology; Carcinoma, Hepatocellular/*metabolism/pathology; Catechin/*analogs &amp;amp; derivatives/pharmacology; Cell Movement/*drug effects; Cell Proliferation/*drug effects; Cell Survival/drug effects; Dinoprostone/metabolism; Dose-Response Relationship, Drug; GTP-Binding Protein alpha Subunits, Gq-G11/drug effects/metabolism; Hep G2 Cells; Humans; Immunoassay; Liver Neoplasms/*metabolism/pathology; Neoplasm Invasiveness; Receptors, Prostaglandin E, EP1 Subtype/*drug effects/metabolism; Time Factors&lt;/_keywords&gt;&lt;_language&gt;eng&lt;/_language&gt;&lt;_modified&gt;60950140&lt;/_modified&gt;&lt;_pages&gt;701-9&lt;/_pages&gt;&lt;_tertiary_title&gt;Acta pharmacologica Sinica&lt;/_tertiary_title&gt;&lt;_type_work&gt;Journal Article; Research Support, Non-U.S. Gov&amp;apos;t&lt;/_type_work&gt;&lt;_url&gt;http://www.ncbi.nlm.nih.gov/entrez/query.fcgi?cmd=Retrieve&amp;amp;db=pubmed&amp;amp;dopt=Abstract&amp;amp;list_uids=22555372&amp;amp;query_hl=1&lt;/_url&gt;&lt;_volume&gt;33&lt;/_volume&gt;&lt;/Details&gt;&lt;Extra&gt;&lt;DBUID&gt;{DE509FB4-0C85-4E2B-BBB9-210FED694D73}&lt;/DBUID&gt;&lt;/Extra&gt;&lt;/Item&gt;&lt;/References&gt;&lt;/Group&gt;&lt;Group&gt;&lt;References&gt;&lt;Item&gt;&lt;ID&gt;8371&lt;/ID&gt;&lt;UID&gt;{169922B8-4B7B-4DDA-BC2A-77B18E7320C6}&lt;/UID&gt;&lt;Title&gt;ANGPTL4 induction by prostaglandin E2 under hypoxic conditions promotes colorectal cancer progression&lt;/Title&gt;&lt;Template&gt;Journal Article&lt;/Template&gt;&lt;Star&gt;0&lt;/Star&gt;&lt;Tag&gt;0&lt;/Tag&gt;&lt;Author&gt;Kim, S H; Park, Y Y; Kim, S W; Lee, J S; Wang, D; DuBois, R N&lt;/Author&gt;&lt;Year&gt;2011&lt;/Year&gt;&lt;Details&gt;&lt;_accession_num&gt;21937683&lt;/_accession_num&gt;&lt;_author_adr&gt;Department of Cancer Biology, The University of Texas MD Anderson Cancer Center,  Houston, Texas 77030, USA.&lt;/_author_adr&gt;&lt;_date_display&gt;2011 Nov 15&lt;/_date_display&gt;&lt;_date&gt;2011-11-15&lt;/_date&gt;&lt;_doi&gt;10.1158/0008-5472.CAN-11-1262&lt;/_doi&gt;&lt;_isbn&gt;1538-7445 (Electronic); 0008-5472 (Linking)&lt;/_isbn&gt;&lt;_issue&gt;22&lt;/_issue&gt;&lt;_journal&gt;Cancer Res&lt;/_journal&gt;&lt;_keywords&gt;Angiopoietins/*physiology; Animals; *Cell Hypoxia; Cell Line, Tumor; Cell Proliferation/drug effects; Colorectal Neoplasms/etiology/*pathology; Dinoprostone/*pharmacology; Disease Progression; Humans; Mice; Receptors, Prostaglandin E, EP1 Subtype/physiology; STAT1 Transcription Factor/physiology&lt;/_keywords&gt;&lt;_language&gt;eng&lt;/_language&gt;&lt;_ori_publication&gt;(c)2011 AACR&lt;/_ori_publication&gt;&lt;_pages&gt;7010-20&lt;/_pages&gt;&lt;_tertiary_title&gt;Cancer research&lt;/_tertiary_title&gt;&lt;_type_work&gt;Journal Article; Research Support, N.I.H., Extramural&lt;/_type_work&gt;&lt;_url&gt;http://www.ncbi.nlm.nih.gov/entrez/query.fcgi?cmd=Retrieve&amp;amp;db=pubmed&amp;amp;dopt=Abstract&amp;amp;list_uids=21937683&amp;amp;query_hl=1&lt;/_url&gt;&lt;_volume&gt;71&lt;/_volume&gt;&lt;_created&gt;60927125&lt;/_created&gt;&lt;_modified&gt;60927125&lt;/_modified&gt;&lt;_impact_factor&gt;   9.329&lt;/_impact_factor&gt;&lt;_collection_scope&gt;SCI;SCIE;&lt;/_collection_scope&gt;&lt;/Details&gt;&lt;Extra&gt;&lt;DBUID&gt;{DE509FB4-0C85-4E2B-BBB9-210FED694D73}&lt;/DBUID&gt;&lt;/Extra&gt;&lt;/Item&gt;&lt;/References&gt;&lt;/Group&gt;&lt;Group&gt;&lt;References&gt;&lt;Item&gt;&lt;ID&gt;8386&lt;/ID&gt;&lt;UID&gt;{E0535B5F-2E74-4443-845E-CB23B4C5C9A6}&lt;/UID&gt;&lt;Title&gt;Prostaglandin E2 upregulates survivin expression via the EP1 receptor in hepatocellular carcinoma cells&lt;/Title&gt;&lt;Template&gt;Journal Article&lt;/Template&gt;&lt;Star&gt;0&lt;/Star&gt;&lt;Tag&gt;0&lt;/Tag&gt;&lt;Author&gt;Bai, X M; Jiang, H; Ding, J X; Peng, T; Ma, J; Wang, Y H; Zhang, L; Zhang, H; Leng, J&lt;/Author&gt;&lt;Year&gt;2010&lt;/Year&gt;&lt;Details&gt;&lt;_accession_num&gt;20035770&lt;/_accession_num&gt;&lt;_author_adr&gt;Cancer Center, Laboratory of Reproductive Medicine, Department of Pathology, Nanjing Medical University, Nanjing 210029, China. Baixiaoming@njmu.edu.cn&lt;/_author_adr&gt;&lt;_collection_scope&gt;SCI;SCIE;&lt;/_collection_scope&gt;&lt;_created&gt;60950138&lt;/_created&gt;&lt;_date&gt;2010-01-30&lt;/_date&gt;&lt;_date_display&gt;2010 Jan 30&lt;/_date_display&gt;&lt;_doi&gt;10.1016/j.lfs.2009.12.009&lt;/_doi&gt;&lt;_impact_factor&gt;   2.702&lt;/_impact_factor&gt;&lt;_isbn&gt;1879-0631 (Electronic); 0024-3205 (Linking)&lt;/_isbn&gt;&lt;_issue&gt;5-6&lt;/_issue&gt;&lt;_journal&gt;Life Sci&lt;/_journal&gt;&lt;_keywords&gt;Blotting, Western; Carcinoma, Hepatocellular/enzymology/*metabolism/pathology; Cell Line, Tumor; Cell Proliferation; Cyclooxygenase 2/biosynthesis/genetics; Dinoprostone/biosynthesis/*physiology; Humans; Inhibitor of Apoptosis Proteins; Liver Neoplasms/enzymology/*metabolism/pathology; Microtubule-Associated Proteins/*biosynthesis; Phosphatidylinositol 3-Kinases/biosynthesis; Plasmids; RNA Interference; Receptor, Epidermal Growth Factor/biosynthesis; Receptors, Prostaglandin E/agonists/genetics/*metabolism; Receptors, Prostaglandin E, EP1 Subtype; Reverse Transcriptase Polymerase Chain Reaction; Signal Transduction; Transfection; Up-Regulation&lt;/_keywords&gt;&lt;_language&gt;eng&lt;/_language&gt;&lt;_modified&gt;60950138&lt;/_modified&gt;&lt;_ori_publication&gt;Copyright 2009 Elsevier Inc. All rights reserved.&lt;/_ori_publication&gt;&lt;_pages&gt;214-23&lt;/_pages&gt;&lt;_tertiary_title&gt;Life sciences&lt;/_tertiary_title&gt;&lt;_type_work&gt;Journal Article; Research Support, Non-U.S. Gov&amp;apos;t&lt;/_type_work&gt;&lt;_url&gt;http://www.ncbi.nlm.nih.gov/entrez/query.fcgi?cmd=Retrieve&amp;amp;db=pubmed&amp;amp;dopt=Abstract&amp;amp;list_uids=20035770&amp;amp;query_hl=1&lt;/_url&gt;&lt;_volume&gt;86&lt;/_volume&gt;&lt;/Details&gt;&lt;Extra&gt;&lt;DBUID&gt;{DE509FB4-0C85-4E2B-BBB9-210FED694D73}&lt;/DBUID&gt;&lt;/Extra&gt;&lt;/Item&gt;&lt;/References&gt;&lt;/Group&gt;&lt;Group&gt;&lt;References&gt;&lt;Item&gt;&lt;ID&gt;8369&lt;/ID&gt;&lt;UID&gt;{4B047A03-C561-4337-A87F-FB9E31141B3E}&lt;/UID&gt;&lt;Title&gt;Prostaglandin E2 receptor EP1 transactivates EGFR/MET receptor tyrosine kinases and enhances invasiveness in human hepatocellular carcinoma cells&lt;/Title&gt;&lt;Template&gt;Journal Article&lt;/Template&gt;&lt;Star&gt;0&lt;/Star&gt;&lt;Tag&gt;0&lt;/Tag&gt;&lt;Author&gt;Han, C; Michalopoulos, G K; Wu, T&lt;/Author&gt;&lt;Year&gt;2006&lt;/Year&gt;&lt;Details&gt;&lt;_accession_num&gt;16331686&lt;/_accession_num&gt;&lt;_author_adr&gt;Department of Pathology, University of Pittsburgh School of Medicine, Pennsylvania 15213, USA.&lt;/_author_adr&gt;&lt;_collection_scope&gt;SCI;SCIE;&lt;/_collection_scope&gt;&lt;_created&gt;60927120&lt;/_created&gt;&lt;_date&gt;2006-04-01&lt;/_date&gt;&lt;_date_display&gt;2006 Apr&lt;/_date_display&gt;&lt;_doi&gt;10.1002/jcp.20560&lt;/_doi&gt;&lt;_impact_factor&gt;   3.839&lt;/_impact_factor&gt;&lt;_isbn&gt;0021-9541 (Print); 0021-9541 (Linking)&lt;/_isbn&gt;&lt;_issue&gt;1&lt;/_issue&gt;&lt;_journal&gt;J Cell Physiol&lt;/_journal&gt;&lt;_keywords&gt;Alprostadil/analogs &amp;amp; derivatives/pharmacology; Bicyclo Compounds/pharmacology; Caproates/pharmacology; Carcinoma, Hepatocellular/genetics/metabolism/pathology; Cell Line, Tumor; Cell Movement/drug effects/*physiology; Cyclooxygenase 2/analysis/genetics/metabolism; Dinoprostone/pharmacology; Enzyme Activation; Gene Expression/genetics; Humans; Liver Neoplasms/genetics/metabolism/pathology; Membrane Proteins/analysis/genetics/metabolism; Neoplasm Invasiveness; Phosphorylation/drug effects; Protein Binding/drug effects; Protein Kinase Inhibitors/pharmacology; Protein-Tyrosine Kinases/metabolism; Proto-Oncogene Proteins/metabolism; Proto-Oncogene Proteins c-met/*metabolism; RNA Interference; RNA, Small Interfering/genetics; Receptor, Epidermal Growth Factor/antagonists &amp;amp; inhibitors/*metabolism; Receptors, Prostaglandin/genetics/metabolism; Receptors, Prostaglandin E/genetics/*physiology; Receptors, Prostaglandin E, EP1 Subtype; Transfection; src-Family Kinases&lt;/_keywords&gt;&lt;_language&gt;eng&lt;/_language&gt;&lt;_modified&gt;60948647&lt;/_modified&gt;&lt;_pages&gt;261-70&lt;/_pages&gt;&lt;_tertiary_title&gt;Journal of cellular physiology&lt;/_tertiary_title&gt;&lt;_type_work&gt;Journal Article; Research Support, N.I.H., Extramural; Retracted Publication&lt;/_type_work&gt;&lt;_url&gt;http://www.ncbi.nlm.nih.gov/entrez/query.fcgi?cmd=Retrieve&amp;amp;db=pubmed&amp;amp;dopt=Abstract&amp;amp;list_uids=16331686&amp;amp;query_hl=1&lt;/_url&gt;&lt;_volume&gt;207&lt;/_volume&gt;&lt;/Details&gt;&lt;Extra&gt;&lt;DBUID&gt;{DE509FB4-0C85-4E2B-BBB9-210FED694D73}&lt;/DBUID&gt;&lt;/Extra&gt;&lt;/Item&gt;&lt;/References&gt;&lt;/Group&gt;&lt;Group&gt;&lt;References&gt;&lt;Item&gt;&lt;ID&gt;8385&lt;/ID&gt;&lt;UID&gt;{8D3FD797-C008-4D65-8AFA-9A257EB95DAC}&lt;/UID&gt;&lt;Title&gt;Prostaglandin EP receptors: targets for treatment and prevention of colorectal cancer?&lt;/Title&gt;&lt;Template&gt;Journal Article&lt;/Template&gt;&lt;Star&gt;0&lt;/Star&gt;&lt;Tag&gt;0&lt;/Tag&gt;&lt;Author&gt;Hull, M A; Ko, S C; Hawcroft, G&lt;/Author&gt;&lt;Year&gt;2004&lt;/Year&gt;&lt;Details&gt;&lt;_accession_num&gt;15299086&lt;/_accession_num&gt;&lt;_author_adr&gt;Molecular Medicine Unit, University of Leeds, Clinical Sciences Building, St. James&amp;apos;s University Hospital, Leeds LS9 7TF, United Kingdom. M.A.Hull@leeds.ac.uk&lt;/_author_adr&gt;&lt;_collection_scope&gt;SCIE;&lt;/_collection_scope&gt;&lt;_created&gt;60950137&lt;/_created&gt;&lt;_date&gt;2004-08-01&lt;/_date&gt;&lt;_date_display&gt;2004 Aug&lt;/_date_display&gt;&lt;_impact_factor&gt;   5.683&lt;/_impact_factor&gt;&lt;_isbn&gt;1535-7163 (Print); 1535-7163 (Linking)&lt;/_isbn&gt;&lt;_issue&gt;8&lt;/_issue&gt;&lt;_journal&gt;Mol Cancer Ther&lt;/_journal&gt;&lt;_keywords&gt;Animals; Cell Line, Tumor; Colorectal Neoplasms/metabolism/*prevention &amp;amp; control/*therapy; Dinoprostone/metabolism; Humans; Mice; Models, Biological; Neoplasms/pathology; Protein Isoforms; Receptors, Prostaglandin/chemistry/*physiology; Signal Transduction&lt;/_keywords&gt;&lt;_language&gt;eng&lt;/_language&gt;&lt;_modified&gt;60950137&lt;/_modified&gt;&lt;_pages&gt;1031-9&lt;/_pages&gt;&lt;_tertiary_title&gt;Molecular cancer therapeutics&lt;/_tertiary_title&gt;&lt;_type_work&gt;Journal Article; Research Support, Non-U.S. Gov&amp;apos;t; Review&lt;/_type_work&gt;&lt;_url&gt;http://www.ncbi.nlm.nih.gov/entrez/query.fcgi?cmd=Retrieve&amp;amp;db=pubmed&amp;amp;dopt=Abstract&amp;amp;list_uids=15299086&amp;amp;query_hl=1&lt;/_url&gt;&lt;_volume&gt;3&lt;/_volume&gt;&lt;/Details&gt;&lt;Extra&gt;&lt;DBUID&gt;{DE509FB4-0C85-4E2B-BBB9-210FED694D73}&lt;/DBUID&gt;&lt;/Extra&gt;&lt;/Item&gt;&lt;/References&gt;&lt;/Group&gt;&lt;/Citation&gt;_x000a_"/>
    <w:docVar w:name="NE.Ref{D94C85A0-EFDC-468D-A9D7-857B75CCF610}" w:val=" ADDIN NE.Ref.{D94C85A0-EFDC-468D-A9D7-857B75CCF610} ADDIN NE.Ref.{D94C85A0-EFDC-468D-A9D7-857B75CCF610}&lt;Citation&gt;&lt;Group&gt;&lt;References&gt;&lt;Item&gt;&lt;ID&gt;8395&lt;/ID&gt;&lt;UID&gt;{5D3707A6-413D-438F-B9F7-738F60C14EF5}&lt;/UID&gt;&lt;Title&gt;Prostaglandin E2 stimulates Fas ligand expression via the EP1 receptor in colon cancer cells&lt;/Title&gt;&lt;Template&gt;Journal Article&lt;/Template&gt;&lt;Star&gt;0&lt;/Star&gt;&lt;Tag&gt;0&lt;/Tag&gt;&lt;Author&gt;O&amp;apos;Callaghan, G; Kelly, J; Shanahan, F; Houston, A&lt;/Author&gt;&lt;Year&gt;2008&lt;/Year&gt;&lt;Details&gt;&lt;_accession_num&gt;18648368&lt;/_accession_num&gt;&lt;_author_adr&gt;Department of Medicine, University College Cork, National University of Ireland,  Clinical Science Building, Cork University Hospital, Wilton, Cork, Ireland.&lt;/_author_adr&gt;&lt;_date_display&gt;2008 Aug 5&lt;/_date_display&gt;&lt;_date&gt;2008-08-05&lt;/_date&gt;&lt;_doi&gt;10.1038/sj.bjc.6604490&lt;/_doi&gt;&lt;_isbn&gt;1532-1827 (Electronic); 0007-0920 (Linking)&lt;/_isbn&gt;&lt;_issue&gt;3&lt;/_issue&gt;&lt;_journal&gt;Br J Cancer&lt;/_journal&gt;&lt;_keywords&gt;Blotting, Western; Cell Line, Tumor; Coculture Techniques; Colonic Neoplasms/*metabolism/pathology; Dinoprostone/*pharmacology; Enzyme-Linked Immunosorbent Assay; Fas Ligand Protein/genetics/*metabolism; Fluorescent Antibody Technique; Humans; RNA Interference; RNA, Messenger/genetics; Receptors, Prostaglandin E/*metabolism; Receptors, Prostaglandin E, EP1 Subtype; Signal Transduction&lt;/_keywords&gt;&lt;_language&gt;eng&lt;/_language&gt;&lt;_pages&gt;502-12&lt;/_pages&gt;&lt;_tertiary_title&gt;British journal of cancer&lt;/_tertiary_title&gt;&lt;_type_work&gt;Journal Article; Research Support, Non-U.S. Gov&amp;apos;t&lt;/_type_work&gt;&lt;_url&gt;http://www.ncbi.nlm.nih.gov/entrez/query.fcgi?cmd=Retrieve&amp;amp;db=pubmed&amp;amp;dopt=Abstract&amp;amp;list_uids=18648368&amp;amp;query_hl=1&lt;/_url&gt;&lt;_volume&gt;99&lt;/_volume&gt;&lt;_created&gt;60950476&lt;/_created&gt;&lt;_modified&gt;60950476&lt;/_modified&gt;&lt;_impact_factor&gt;   4.836&lt;/_impact_factor&gt;&lt;/Details&gt;&lt;Extra&gt;&lt;DBUID&gt;{DE509FB4-0C85-4E2B-BBB9-210FED694D73}&lt;/DBUID&gt;&lt;/Extra&gt;&lt;/Item&gt;&lt;/References&gt;&lt;/Group&gt;&lt;Group&gt;&lt;References&gt;&lt;Item&gt;&lt;ID&gt;8396&lt;/ID&gt;&lt;UID&gt;{80D89F4E-DC7F-478A-9D01-FB095EB7AF7F}&lt;/UID&gt;&lt;Title&gt;Prostaglandin E receptors&lt;/Title&gt;&lt;Template&gt;Journal Article&lt;/Template&gt;&lt;Star&gt;0&lt;/Star&gt;&lt;Tag&gt;0&lt;/Tag&gt;&lt;Author&gt;Sugimoto, Y; Narumiya, S&lt;/Author&gt;&lt;Year&gt;2007&lt;/Year&gt;&lt;Details&gt;&lt;_accession_num&gt;17329241&lt;/_accession_num&gt;&lt;_author_adr&gt;Department of Physiological Chemistry, Graduate School of Pharmaceutical Sciences, Faculty of Medicine, Kyoto University, Kyoto 606-8501, Japan.&lt;/_author_adr&gt;&lt;_date_display&gt;2007 Apr 20&lt;/_date_display&gt;&lt;_date&gt;2007-04-20&lt;/_date&gt;&lt;_doi&gt;10.1074/jbc.R600038200&lt;/_doi&gt;&lt;_isbn&gt;0021-9258 (Print); 0021-9258 (Linking)&lt;/_isbn&gt;&lt;_issue&gt;16&lt;/_issue&gt;&lt;_journal&gt;J Biol Chem&lt;/_journal&gt;&lt;_keywords&gt;Amino Acid Sequence; Animals; Cloning, Molecular; Dinoprostone/metabolism; *Gene Expression Regulation; Humans; Mice; Mice, Knockout; Models, Chemical; Molecular Sequence Data; Protein Isoforms; Receptors, Prostaglandin E/chemistry/metabolism/*physiology; Sequence Homology, Amino Acid; Signal Transduction&lt;/_keywords&gt;&lt;_language&gt;eng&lt;/_language&gt;&lt;_pages&gt;11613-7&lt;/_pages&gt;&lt;_tertiary_title&gt;The Journal of biological chemistry&lt;/_tertiary_title&gt;&lt;_type_work&gt;Journal Article; Review&lt;/_type_work&gt;&lt;_url&gt;http://www.ncbi.nlm.nih.gov/entrez/query.fcgi?cmd=Retrieve&amp;amp;db=pubmed&amp;amp;dopt=Abstract&amp;amp;list_uids=17329241&amp;amp;query_hl=1&lt;/_url&gt;&lt;_volume&gt;282&lt;/_volume&gt;&lt;_created&gt;60950477&lt;/_created&gt;&lt;_modified&gt;60950477&lt;/_modified&gt;&lt;_impact_factor&gt;   4.573&lt;/_impact_factor&gt;&lt;_collection_scope&gt;EI;SCI;SCIE;&lt;/_collection_scope&gt;&lt;/Details&gt;&lt;Extra&gt;&lt;DBUID&gt;{DE509FB4-0C85-4E2B-BBB9-210FED694D73}&lt;/DBUID&gt;&lt;/Extra&gt;&lt;/Item&gt;&lt;/References&gt;&lt;/Group&gt;&lt;Group&gt;&lt;References&gt;&lt;Item&gt;&lt;ID&gt;8372&lt;/ID&gt;&lt;UID&gt;{586D37FA-43ED-49B0-9004-565CBB94DFD7}&lt;/UID&gt;&lt;Title&gt;Prostaglandin E2 promotes hepatocellular carcinoma cell invasion through upregulation of YB-1 protein expression&lt;/Title&gt;&lt;Template&gt;Journal Article&lt;/Template&gt;&lt;Star&gt;0&lt;/Star&gt;&lt;Tag&gt;0&lt;/Tag&gt;&lt;Author&gt;Zhang, H; Cheng, S; Zhang, M; Ma, X; Zhang, L; Wang, Y; Rong, R; Ma, J; Xia, S; &amp;quot;Du M&amp;quot;; Shi, F; Wang, J; Yang, Q; Bai, X; Leng, J&lt;/Author&gt;&lt;Year&gt;2014&lt;/Year&gt;&lt;Details&gt;&lt;_accession_num&gt;24378923&lt;/_accession_num&gt;&lt;_author_adr&gt;Cancer Center, Department of Pathology, Nanjing Medical University, Nanjing 210029, P.R. China.; Cancer Center, Department of Pathology, Nanjing Medical University, Nanjing 210029, P.R. China.; Cancer Center, Department of Pathology, Nanjing Medical University, Nanjing 210029, P.R. China.; Cancer Center, Department of Pathology, Nanjing Medical University, Nanjing 210029, P.R. China.; Cancer Center, Department of Pathology, Nanjing Medical University, Nanjing 210029, P.R. China.; Cancer Center, Department of Pathology, Nanjing Medical University, Nanjing 210029, P.R. China.; Cancer Center, Department of Pathology, Nanjing Medical University, Nanjing 210029, P.R. China.; Cancer Center, Department of Pathology, Nanjing Medical University, Nanjing 210029, P.R. China.; Cancer Center, Department of Pathology, Nanjing Medical University, Nanjing 210029, P.R. China.; Cancer Center, Department of Pathology, Nanjing Medical University, Nanjing 210029, P.R. China.; Cancer Center, Department of Pathology, Nanjing Medical University, Nanjing 210029, P.R. China.; Cancer Center, Department of Pathology, Nanjing Medical University, Nanjing 210029, P.R. China.; Cancer Center, Department of Pathology, Nanjing Medical University, Nanjing 210029, P.R. China.; Cancer Center, Department of Pathology, Nanjing Medical University, Nanjing 210029, P.R. China.; Cancer Center, Department of Pathology, Nanjing Medical University, Nanjing 210029, P.R. China.&lt;/_author_adr&gt;&lt;_date_display&gt;2014 Mar&lt;/_date_display&gt;&lt;_date&gt;2014-03-01&lt;/_date&gt;&lt;_doi&gt;10.3892/ijo.2013.2234&lt;/_doi&gt;&lt;_isbn&gt;1791-2423 (Electronic); 1019-6439 (Linking)&lt;/_isbn&gt;&lt;_issue&gt;3&lt;/_issue&gt;&lt;_journal&gt;Int J Oncol&lt;/_journal&gt;&lt;_keywords&gt;Carcinoma, Hepatocellular/*genetics/pathology; Cell Line, Tumor; Dinoprostone/*genetics/metabolism; Epithelial-Mesenchymal Transition/genetics; Gene Expression Regulation, Neoplastic; Humans; Liver Neoplasms/*genetics/pathology; Neoplasm Invasiveness/genetics/pathology; Phosphorylation; RNA Interference; Signal Transduction/genetics; Y-Box-Binding Protein 1/*biosynthesis&lt;/_keywords&gt;&lt;_language&gt;eng&lt;/_language&gt;&lt;_pages&gt;769-80&lt;/_pages&gt;&lt;_tertiary_title&gt;International journal of oncology&lt;/_tertiary_title&gt;&lt;_type_work&gt;Journal Article; Research Support, Non-U.S. Gov&amp;apos;t&lt;/_type_work&gt;&lt;_url&gt;http://www.ncbi.nlm.nih.gov/entrez/query.fcgi?cmd=Retrieve&amp;amp;db=pubmed&amp;amp;dopt=Abstract&amp;amp;list_uids=24378923&amp;amp;query_hl=1&lt;/_url&gt;&lt;_volume&gt;44&lt;/_volume&gt;&lt;_created&gt;60927127&lt;/_created&gt;&lt;_modified&gt;60927127&lt;/_modified&gt;&lt;_impact_factor&gt;   3.025&lt;/_impact_factor&gt;&lt;_collection_scope&gt;SCI;SCIE;&lt;/_collection_scope&gt;&lt;/Details&gt;&lt;Extra&gt;&lt;DBUID&gt;{DE509FB4-0C85-4E2B-BBB9-210FED694D73}&lt;/DBUID&gt;&lt;/Extra&gt;&lt;/Item&gt;&lt;/References&gt;&lt;/Group&gt;&lt;Group&gt;&lt;References&gt;&lt;Item&gt;&lt;ID&gt;8375&lt;/ID&gt;&lt;UID&gt;{7C3BB152-2034-4BB8-8A97-283A3B601613}&lt;/UID&gt;&lt;Title&gt;Prostaglandin E2 receptors and COX enzymes in human hepatocellular carcinoma: role in the regulation of cell growth&lt;/Title&gt;&lt;Template&gt;Journal Article&lt;/Template&gt;&lt;Star&gt;0&lt;/Star&gt;&lt;Tag&gt;0&lt;/Tag&gt;&lt;Author&gt;Cusimano, A; Fodera, D; Lampiasi, N; Azzolina, A; Notarbartolo, M; Giannitrapani, L; D&amp;apos;Alessandro, N; Montalto, G; Cervello, M&lt;/Author&gt;&lt;Year&gt;2009&lt;/Year&gt;&lt;Details&gt;&lt;_accession_num&gt;19250221&lt;/_accession_num&gt;&lt;_author_adr&gt;Institute of Biomedicine and Molecular Immunology Alberto Monroy, National Research Council, Palermo, Italy.&lt;/_author_adr&gt;&lt;_date_display&gt;2009 Feb&lt;/_date_display&gt;&lt;_date&gt;2009-02-01&lt;/_date&gt;&lt;_doi&gt;10.1111/j.1749-6632.2009.03701.x&lt;/_doi&gt;&lt;_isbn&gt;1749-6632 (Electronic); 0077-8923 (Linking)&lt;/_isbn&gt;&lt;_journal&gt;Ann N Y Acad Sci&lt;/_journal&gt;&lt;_keywords&gt;Aged; Carcinoma, Hepatocellular/enzymology/*metabolism/pathology; Cell Division/*physiology; Cell Line, Tumor; Female; Humans; Liver Neoplasms/enzymology/*metabolism/pathology; Male; Middle Aged; Prostaglandin-Endoperoxide Synthases/*metabolism; Receptors, Prostaglandin E/*metabolism/physiology&lt;/_keywords&gt;&lt;_language&gt;eng&lt;/_language&gt;&lt;_pages&gt;300-8&lt;/_pages&gt;&lt;_tertiary_title&gt;Annals of the New York Academy of Sciences&lt;/_tertiary_title&gt;&lt;_type_work&gt;Journal Article; Research Support, Non-U.S. Gov&amp;apos;t&lt;/_type_work&gt;&lt;_url&gt;http://www.ncbi.nlm.nih.gov/entrez/query.fcgi?cmd=Retrieve&amp;amp;db=pubmed&amp;amp;dopt=Abstract&amp;amp;list_uids=19250221&amp;amp;query_hl=1&lt;/_url&gt;&lt;_volume&gt;1155&lt;/_volume&gt;&lt;_created&gt;60927388&lt;/_created&gt;&lt;_modified&gt;60927388&lt;/_modified&gt;&lt;_impact_factor&gt;   4.383&lt;/_impact_factor&gt;&lt;/Details&gt;&lt;Extra&gt;&lt;DBUID&gt;{DE509FB4-0C85-4E2B-BBB9-210FED694D73}&lt;/DBUID&gt;&lt;/Extra&gt;&lt;/Item&gt;&lt;/References&gt;&lt;/Group&gt;&lt;/Citation&gt;_x000a_"/>
    <w:docVar w:name="NE.Ref{DE4254DC-D7E2-49BF-ACBE-72DC03B1E143}" w:val=" ADDIN NE.Ref.{DE4254DC-D7E2-49BF-ACBE-72DC03B1E143}&lt;Citation&gt;&lt;Group&gt;&lt;References&gt;&lt;Item&gt;&lt;ID&gt;8332&lt;/ID&gt;&lt;UID&gt;{A0339C15-CF30-4DD8-84D3-0CAF98689C6D}&lt;/UID&gt;&lt;Title&gt;Prostaglandin E2 promotes hepatocellular carcinoma cell invasion through upregulation of YB-1 protein expression&lt;/Title&gt;&lt;Template&gt;Journal Article&lt;/Template&gt;&lt;Star&gt;0&lt;/Star&gt;&lt;Tag&gt;0&lt;/Tag&gt;&lt;Author&gt;Zhang, H; Cheng, S; Zhang, M; Ma, X; Zhang, L; Wang, Y; Rong, R; Ma, J; Xia, S; &amp;quot;Du M&amp;quot;; Shi, F; Wang, J; Yang, Q; Bai, X; Leng, J&lt;/Author&gt;&lt;Year&gt;2014&lt;/Year&gt;&lt;Details&gt;&lt;_accession_num&gt;24378923&lt;/_accession_num&gt;&lt;_author_adr&gt;Cancer Center, Department of Pathology, Nanjing Medical University, Nanjing 210029, P.R. China.; Cancer Center, Department of Pathology, Nanjing Medical University, Nanjing 210029, P.R. China.; Cancer Center, Department of Pathology, Nanjing Medical University, Nanjing 210029, P.R. China.; Cancer Center, Department of Pathology, Nanjing Medical University, Nanjing 210029, P.R. China.; Cancer Center, Department of Pathology, Nanjing Medical University, Nanjing 210029, P.R. China.; Cancer Center, Department of Pathology, Nanjing Medical University, Nanjing 210029, P.R. China.; Cancer Center, Department of Pathology, Nanjing Medical University, Nanjing 210029, P.R. China.; Cancer Center, Department of Pathology, Nanjing Medical University, Nanjing 210029, P.R. China.; Cancer Center, Department of Pathology, Nanjing Medical University, Nanjing 210029, P.R. China.; Cancer Center, Department of Pathology, Nanjing Medical University, Nanjing 210029, P.R. China.; Cancer Center, Department of Pathology, Nanjing Medical University, Nanjing 210029, P.R. China.; Cancer Center, Department of Pathology, Nanjing Medical University, Nanjing 210029, P.R. China.; Cancer Center, Department of Pathology, Nanjing Medical University, Nanjing 210029, P.R. China.; Cancer Center, Department of Pathology, Nanjing Medical University, Nanjing 210029, P.R. China.; Cancer Center, Department of Pathology, Nanjing Medical University, Nanjing 210029, P.R. China.&lt;/_author_adr&gt;&lt;_collection_scope&gt;SCI;SCIE;&lt;/_collection_scope&gt;&lt;_created&gt;61149206&lt;/_created&gt;&lt;_date&gt;2014-03-01&lt;/_date&gt;&lt;_date_display&gt;2014 Mar&lt;/_date_display&gt;&lt;_doi&gt;10.3892/ijo.2013.2234&lt;/_doi&gt;&lt;_impact_factor&gt;   3.025&lt;/_impact_factor&gt;&lt;_isbn&gt;1791-2423 (Electronic); 1019-6439 (Linking)&lt;/_isbn&gt;&lt;_issue&gt;3&lt;/_issue&gt;&lt;_journal&gt;Int J Oncol&lt;/_journal&gt;&lt;_keywords&gt;Carcinoma, Hepatocellular/*genetics/pathology; Cell Line, Tumor; Dinoprostone/*genetics/metabolism; Epithelial-Mesenchymal Transition/genetics; Gene Expression Regulation, Neoplastic; Humans; Liver Neoplasms/*genetics/pathology; Neoplasm Invasiveness/genetics/pathology; Phosphorylation; RNA Interference; Signal Transduction/genetics; Y-Box-Binding Protein 1/*biosynthesis&lt;/_keywords&gt;&lt;_language&gt;eng&lt;/_language&gt;&lt;_modified&gt;61149214&lt;/_modified&gt;&lt;_pages&gt;769-80&lt;/_pages&gt;&lt;_tertiary_title&gt;International journal of oncology&lt;/_tertiary_title&gt;&lt;_type_work&gt;Journal Article; Research Support, Non-U.S. Gov&amp;apos;t&lt;/_type_work&gt;&lt;_url&gt;http://www.ncbi.nlm.nih.gov/entrez/query.fcgi?cmd=Retrieve&amp;amp;db=pubmed&amp;amp;dopt=Abstract&amp;amp;list_uids=24378923&amp;amp;query_hl=1&lt;/_url&gt;&lt;_volume&gt;44&lt;/_volume&gt;&lt;/Details&gt;&lt;Extra&gt;&lt;DBUID&gt;{DE509FB4-0C85-4E2B-BBB9-210FED694D73}&lt;/DBUID&gt;&lt;/Extra&gt;&lt;/Item&gt;&lt;/References&gt;&lt;/Group&gt;&lt;Group&gt;&lt;References&gt;&lt;Item&gt;&lt;ID&gt;8357&lt;/ID&gt;&lt;UID&gt;{84E5865F-3213-494F-A271-5D03CF4EFB7C}&lt;/UID&gt;&lt;Title&gt;Prostaglandin E(2) receptor EP1-mediated phosphorylation of focal adhesion kinase enhances cell adhesion and migration in hepatocellular carcinoma cells&lt;/Title&gt;&lt;Template&gt;Journal Article&lt;/Template&gt;&lt;Star&gt;0&lt;/Star&gt;&lt;Tag&gt;0&lt;/Tag&gt;&lt;Author&gt;Bai, X; Wang, J; Zhang, L; Ma, J; Zhang, H; Xia, S; Zhang, M; Ma, X; Guo, Y; Rong, R; Cheng, S; Shu, W; Wang, Y; Leng, J&lt;/Author&gt;&lt;Year&gt;2013&lt;/Year&gt;&lt;Details&gt;&lt;_accession_num&gt;23525457&lt;/_accession_num&gt;&lt;_author_adr&gt;Cancer Center, Department of Pathology, Nanjing Medical University, Nanjing 210029, PR China.&lt;/_author_adr&gt;&lt;_collection_scope&gt;SCI;SCIE;&lt;/_collection_scope&gt;&lt;_created&gt;61149212&lt;/_created&gt;&lt;_date&gt;2013-05-01&lt;/_date&gt;&lt;_date_display&gt;2013 May&lt;/_date_display&gt;&lt;_doi&gt;10.3892/ijo.2013.1859&lt;/_doi&gt;&lt;_impact_factor&gt;   3.025&lt;/_impact_factor&gt;&lt;_isbn&gt;1791-2423 (Electronic); 1019-6439 (Linking)&lt;/_isbn&gt;&lt;_issue&gt;5&lt;/_issue&gt;&lt;_journal&gt;Int J Oncol&lt;/_journal&gt;&lt;_keywords&gt;Carcinoma, Hepatocellular/genetics/*metabolism; Cell Adhesion/genetics; Cell Line, Tumor; Cell Movement/genetics; Dinoprostone/agonists/analogs &amp;amp; derivatives/*metabolism/pharmacology; Focal Adhesion Protein-Tyrosine Kinases/genetics/*metabolism; Gene Expression Regulation, Neoplastic/drug effects; Humans; Liver Neoplasms/genetics/*metabolism; Phosphorylation/drug effects; Protein Kinase C/genetics/*metabolism; Receptor, Epidermal Growth Factor/genetics/metabolism; Receptors, Prostaglandin E, EP1 Subtype/genetics/*metabolism; Signal Transduction&lt;/_keywords&gt;&lt;_language&gt;eng&lt;/_language&gt;&lt;_modified&gt;61149213&lt;/_modified&gt;&lt;_pages&gt;1833-41&lt;/_pages&gt;&lt;_tertiary_title&gt;International journal of oncology&lt;/_tertiary_title&gt;&lt;_type_work&gt;Journal Article; Research Support, Non-U.S. Gov&amp;apos;t&lt;/_type_work&gt;&lt;_url&gt;http://www.ncbi.nlm.nih.gov/entrez/query.fcgi?cmd=Retrieve&amp;amp;db=pubmed&amp;amp;dopt=Abstract&amp;amp;list_uids=23525457&amp;amp;query_hl=1&lt;/_url&gt;&lt;_volume&gt;42&lt;/_volume&gt;&lt;/Details&gt;&lt;Extra&gt;&lt;DBUID&gt;{DE509FB4-0C85-4E2B-BBB9-210FED694D73}&lt;/DBUID&gt;&lt;/Extra&gt;&lt;/Item&gt;&lt;/References&gt;&lt;/Group&gt;&lt;Group&gt;&lt;References&gt;&lt;Item&gt;&lt;ID&gt;8334&lt;/ID&gt;&lt;UID&gt;{950CB6AA-D5B8-4F08-AE49-09847F7181DD}&lt;/UID&gt;&lt;Title&gt;ANGPTL4 induction by prostaglandin E2 under hypoxic conditions promotes colorectal cancer progression&lt;/Title&gt;&lt;Template&gt;Journal Article&lt;/Template&gt;&lt;Star&gt;0&lt;/Star&gt;&lt;Tag&gt;0&lt;/Tag&gt;&lt;Author&gt;Kim, S H; Park, Y Y; Kim, S W; Lee, J S; Wang, D; DuBois, R N&lt;/Author&gt;&lt;Year&gt;2011&lt;/Year&gt;&lt;Details&gt;&lt;_accession_num&gt;21937683&lt;/_accession_num&gt;&lt;_author_adr&gt;Department of Cancer Biology, The University of Texas MD Anderson Cancer Center,  Houston, Texas 77030, USA.&lt;/_author_adr&gt;&lt;_collection_scope&gt;SCI;SCIE;&lt;/_collection_scope&gt;&lt;_created&gt;61149206&lt;/_created&gt;&lt;_date&gt;2011-11-15&lt;/_date&gt;&lt;_date_display&gt;2011 Nov 15&lt;/_date_display&gt;&lt;_doi&gt;10.1158/0008-5472.CAN-11-1262&lt;/_doi&gt;&lt;_impact_factor&gt;   9.329&lt;/_impact_factor&gt;&lt;_isbn&gt;1538-7445 (Electronic); 0008-5472 (Linking)&lt;/_isbn&gt;&lt;_issue&gt;22&lt;/_issue&gt;&lt;_journal&gt;Cancer Res&lt;/_journal&gt;&lt;_keywords&gt;Angiopoietins/*physiology; Animals; *Cell Hypoxia; Cell Line, Tumor; Cell Proliferation/drug effects; Colorectal Neoplasms/etiology/*pathology; Dinoprostone/*pharmacology; Disease Progression; Humans; Mice; Receptors, Prostaglandin E, EP1 Subtype/physiology; STAT1 Transcription Factor/physiology&lt;/_keywords&gt;&lt;_language&gt;eng&lt;/_language&gt;&lt;_modified&gt;61149214&lt;/_modified&gt;&lt;_ori_publication&gt;(c)2011 AACR&lt;/_ori_publication&gt;&lt;_pages&gt;7010-20&lt;/_pages&gt;&lt;_tertiary_title&gt;Cancer research&lt;/_tertiary_title&gt;&lt;_type_work&gt;Journal Article; Research Support, N.I.H., Extramural&lt;/_type_work&gt;&lt;_url&gt;http://www.ncbi.nlm.nih.gov/entrez/query.fcgi?cmd=Retrieve&amp;amp;db=pubmed&amp;amp;dopt=Abstract&amp;amp;list_uids=21937683&amp;amp;query_hl=1&lt;/_url&gt;&lt;_volume&gt;71&lt;/_volume&gt;&lt;/Details&gt;&lt;Extra&gt;&lt;DBUID&gt;{DE509FB4-0C85-4E2B-BBB9-210FED694D73}&lt;/DBUID&gt;&lt;/Extra&gt;&lt;/Item&gt;&lt;/References&gt;&lt;/Group&gt;&lt;Group&gt;&lt;References&gt;&lt;Item&gt;&lt;ID&gt;8356&lt;/ID&gt;&lt;UID&gt;{26DDD78E-75AD-4E58-A022-72EF451D0072}&lt;/UID&gt;&lt;Title&gt;Prostaglandin E2/EP1 signaling pathway enhances intercellular adhesion molecule 1 (ICAM-1) expression and cell motility in oral cancer cells&lt;/Title&gt;&lt;Template&gt;Journal Article&lt;/Template&gt;&lt;Star&gt;0&lt;/Star&gt;&lt;Tag&gt;0&lt;/Tag&gt;&lt;Author&gt;Yang, S F; Chen, M K; Hsieh, Y S; Chung, T T; Hsieh, Y H; Lin, C W; Su, J L; Tsai, M H; Tang, C H&lt;/Author&gt;&lt;Year&gt;2010&lt;/Year&gt;&lt;Details&gt;&lt;_accession_num&gt;20647315&lt;/_accession_num&gt;&lt;_author_adr&gt;From the Institute of Medicine, Chung Shan Medical University, Taichung 402, Taiwan.&lt;/_author_adr&gt;&lt;_collection_scope&gt;EI;SCI;SCIE;&lt;/_collection_scope&gt;&lt;_created&gt;61149212&lt;/_created&gt;&lt;_date&gt;2010-09-24&lt;/_date&gt;&lt;_date_display&gt;2010 Sep 24&lt;/_date_display&gt;&lt;_doi&gt;10.1074/jbc.M110.108183&lt;/_doi&gt;&lt;_impact_factor&gt;   4.573&lt;/_impact_factor&gt;&lt;_isbn&gt;1083-351X (Electronic); 0021-9258 (Linking)&lt;/_isbn&gt;&lt;_issue&gt;39&lt;/_issue&gt;&lt;_journal&gt;J Biol Chem&lt;/_journal&gt;&lt;_keywords&gt;Cell Line, Tumor; Cell Movement/*drug effects; Cyclooxygenase 2/biosynthesis; Dinoprostone/metabolism/*pharmacology; Gene Expression Regulation, Neoplastic/*drug effects; Humans; Intercellular Adhesion Molecule-1/*biosynthesis; Mouth Neoplasms/*metabolism/pathology; Oxytocics/metabolism/*pharmacology; Protein Kinase C-delta/metabolism; Protein-Tyrosine Kinases/metabolism; Receptors, Prostaglandin E/*metabolism; Receptors, Prostaglandin E, EP1 Subtype; Signal Transduction/*drug effects; Transcription Factor AP-1/genetics/metabolism; src-Family Kinases&lt;/_keywords&gt;&lt;_language&gt;eng&lt;/_language&gt;&lt;_modified&gt;61149214&lt;/_modified&gt;&lt;_pages&gt;29808-16&lt;/_pages&gt;&lt;_tertiary_title&gt;The Journal of biological chemistry&lt;/_tertiary_title&gt;&lt;_type_work&gt;Journal Article; Research Support, Non-U.S. Gov&amp;apos;t&lt;/_type_work&gt;&lt;_url&gt;http://www.ncbi.nlm.nih.gov/entrez/query.fcgi?cmd=Retrieve&amp;amp;db=pubmed&amp;amp;dopt=Abstract&amp;amp;list_uids=20647315&amp;amp;query_hl=1&lt;/_url&gt;&lt;_volume&gt;285&lt;/_volume&gt;&lt;/Details&gt;&lt;Extra&gt;&lt;DBUID&gt;{DE509FB4-0C85-4E2B-BBB9-210FED694D73}&lt;/DBUID&gt;&lt;/Extra&gt;&lt;/Item&gt;&lt;/References&gt;&lt;/Group&gt;&lt;/Citation&gt;_x000a_"/>
    <w:docVar w:name="NE.Ref{DEE6B1D9-A31C-42E7-80D3-150350120E93}" w:val=" ADDIN NE.Ref.{DEE6B1D9-A31C-42E7-80D3-150350120E93} ADDIN NE.Ref.{DEE6B1D9-A31C-42E7-80D3-150350120E93}&lt;Citation&gt;&lt;Group&gt;&lt;References&gt;&lt;Item&gt;&lt;ID&gt;8378&lt;/ID&gt;&lt;UID&gt;{28E4AD2F-9717-4E16-9C29-E1F8DD59C4A9}&lt;/UID&gt;&lt;Title&gt;Adjuvant therapy with capecitabine postpones recurrence of hepatocellular carcinoma after curative resection: a randomized controlled trial&lt;/Title&gt;&lt;Template&gt;Journal Article&lt;/Template&gt;&lt;Star&gt;0&lt;/Star&gt;&lt;Tag&gt;0&lt;/Tag&gt;&lt;Author&gt;Xia, Y; Qiu, Y; Li, J; Shi, L; Wang, K; Xi, T; Shen, F; Yan, Z; Wu, M&lt;/Author&gt;&lt;Year&gt;2010&lt;/Year&gt;&lt;Details&gt;&lt;_accession_num&gt;20602260&lt;/_accession_num&gt;&lt;_author_adr&gt;The First Department of Comprehensive Treatment, Eastern Hepatobiliary Surgery Hospital, Second Military Medical University, Shanghai, China.&lt;/_author_adr&gt;&lt;_date_display&gt;2010 Dec&lt;/_date_display&gt;&lt;_date&gt;2010-12-01&lt;/_date&gt;&lt;_doi&gt;10.1245/s10434-010-1148-3&lt;/_doi&gt;&lt;_isbn&gt;1534-4681 (Electronic); 1068-9265 (Linking)&lt;/_isbn&gt;&lt;_issue&gt;12&lt;/_issue&gt;&lt;_journal&gt;Ann Surg Oncol&lt;/_journal&gt;&lt;_keywords&gt;Adolescent; Adult; Aged; Antimetabolites, Antineoplastic/therapeutic use; Carcinoma, Hepatocellular/*drug therapy/pathology/*surgery; Chemotherapy, Adjuvant; Combined Modality Therapy; Deoxycytidine/*analogs &amp;amp; derivatives/therapeutic use; Female; Fluorouracil/*analogs &amp;amp; derivatives/therapeutic use; Follow-Up Studies; *Hepatectomy; Humans; Liver Neoplasms/*drug therapy/pathology/*surgery; Male; Middle Aged; Neoplasm Invasiveness; Neoplasm Recurrence, Local/*prevention &amp;amp; control; Neoplasm Staging; Postoperative Care; Prospective Studies; Survival Rate; Treatment Outcome; Young Adult&lt;/_keywords&gt;&lt;_language&gt;eng&lt;/_language&gt;&lt;_pages&gt;3137-44&lt;/_pages&gt;&lt;_tertiary_title&gt;Annals of surgical oncology&lt;/_tertiary_title&gt;&lt;_type_work&gt;Journal Article; Randomized Controlled Trial; Research Support, Non-U.S. Gov&amp;apos;t&lt;/_type_work&gt;&lt;_url&gt;http://www.ncbi.nlm.nih.gov/entrez/query.fcgi?cmd=Retrieve&amp;amp;db=pubmed&amp;amp;dopt=Abstract&amp;amp;list_uids=20602260&amp;amp;query_hl=1&lt;/_url&gt;&lt;_volume&gt;17&lt;/_volume&gt;&lt;_created&gt;60927691&lt;/_created&gt;&lt;_modified&gt;60927691&lt;/_modified&gt;&lt;_impact_factor&gt;   3.930&lt;/_impact_factor&gt;&lt;_collection_scope&gt;SCI;SCIE;&lt;/_collection_scope&gt;&lt;/Details&gt;&lt;Extra&gt;&lt;DBUID&gt;{DE509FB4-0C85-4E2B-BBB9-210FED694D73}&lt;/DBUID&gt;&lt;/Extra&gt;&lt;/Item&gt;&lt;/References&gt;&lt;/Group&gt;&lt;/Citation&gt;_x000a_"/>
    <w:docVar w:name="NE.Ref{DFF700A8-9D67-486B-9A47-4CE21DFB34C8}" w:val=" ADDIN NE.Ref.{DFF700A8-9D67-486B-9A47-4CE21DFB34C8}&lt;Citation&gt;&lt;Group&gt;&lt;References&gt;&lt;Item&gt;&lt;ID&gt;8341&lt;/ID&gt;&lt;UID&gt;{0559AE0F-EB19-4A89-9A2E-01054AA7EF43}&lt;/UID&gt;&lt;Title&gt;Up-regulation of cyclooxygenase 2 and matrix metalloproteinases-2 and -9 in cutaneous squamous cell carcinoma: active role of inflammation and tissue remodeling in carcinogenesis&lt;/Title&gt;&lt;Template&gt;Journal Article&lt;/Template&gt;&lt;Star&gt;0&lt;/Star&gt;&lt;Tag&gt;0&lt;/Tag&gt;&lt;Author&gt;Lee, J H; Piao, M S; Choi, J Y; Yun, S J; Lee, J B; Lee, S C&lt;/Author&gt;&lt;Year&gt;2013&lt;/Year&gt;&lt;Details&gt;&lt;_accession_num&gt;23717003&lt;/_accession_num&gt;&lt;_author_adr&gt;Department of Dermatology, Chonnam National University Medical School, Gwangju, Korea.&lt;/_author_adr&gt;&lt;_collection_scope&gt;SCIE;&lt;/_collection_scope&gt;&lt;_created&gt;61149208&lt;/_created&gt;&lt;_date&gt;2013-05-01&lt;/_date&gt;&lt;_date_display&gt;2013 May&lt;/_date_display&gt;&lt;_doi&gt;10.5021/ad.2013.25.2.145&lt;/_doi&gt;&lt;_impact_factor&gt;   1.393&lt;/_impact_factor&gt;&lt;_isbn&gt;1013-9087 (Print); 1013-9087 (Linking)&lt;/_isbn&gt;&lt;_issue&gt;2&lt;/_issue&gt;&lt;_journal&gt;Ann Dermatol&lt;/_journal&gt;&lt;_keywords&gt;Cyclooxygenase 2; MMP-2; MMP-9; SCC&lt;/_keywords&gt;&lt;_language&gt;eng&lt;/_language&gt;&lt;_modified&gt;61149214&lt;/_modified&gt;&lt;_pages&gt;145-51&lt;/_pages&gt;&lt;_tertiary_title&gt;Annals of dermatology&lt;/_tertiary_title&gt;&lt;_type_work&gt;Journal Article&lt;/_type_work&gt;&lt;_url&gt;http://www.ncbi.nlm.nih.gov/entrez/query.fcgi?cmd=Retrieve&amp;amp;db=pubmed&amp;amp;dopt=Abstract&amp;amp;list_uids=23717003&amp;amp;query_hl=1&lt;/_url&gt;&lt;_volume&gt;25&lt;/_volume&gt;&lt;/Details&gt;&lt;Extra&gt;&lt;DBUID&gt;{DE509FB4-0C85-4E2B-BBB9-210FED694D73}&lt;/DBUID&gt;&lt;/Extra&gt;&lt;/Item&gt;&lt;/References&gt;&lt;/Group&gt;&lt;Group&gt;&lt;References&gt;&lt;Item&gt;&lt;ID&gt;8342&lt;/ID&gt;&lt;UID&gt;{0C2A98D8-32C1-410D-A1D6-5C9E458BE134}&lt;/UID&gt;&lt;Title&gt;Clinical relevance of cyclooxygenase-2 and matrix metalloproteinases (MMP-2 and MT1-MMP) in human breast cancer tissue&lt;/Title&gt;&lt;Template&gt;Journal Article&lt;/Template&gt;&lt;Star&gt;0&lt;/Star&gt;&lt;Tag&gt;0&lt;/Tag&gt;&lt;Author&gt;Mohammad, M A; Zeeneldin, A A; Abd, Elmageed ZY; Khalil, E H; Mahdy, S M; Sharada, H M; Sharawy, S K; Abdel-Wahab, A H&lt;/Author&gt;&lt;Year&gt;2012&lt;/Year&gt;&lt;Details&gt;&lt;_accession_num&gt;22527932&lt;/_accession_num&gt;&lt;_author_adr&gt;Department of Cancer Biology, National Cancer Institute, Cairo University, 1 Kasr El-Aini St, Cairo, Egypt.&lt;/_author_adr&gt;&lt;_collection_scope&gt;SCI;SCIE;&lt;/_collection_scope&gt;&lt;_created&gt;61149208&lt;/_created&gt;&lt;_date&gt;2012-07-01&lt;/_date&gt;&lt;_date_display&gt;2012 Jul&lt;/_date_display&gt;&lt;_doi&gt;10.1007/s11010-012-1305-z&lt;/_doi&gt;&lt;_impact_factor&gt;   2.393&lt;/_impact_factor&gt;&lt;_isbn&gt;1573-4919 (Electronic); 0300-8177 (Linking)&lt;/_isbn&gt;&lt;_issue&gt;1-2&lt;/_issue&gt;&lt;_journal&gt;Mol Cell Biochem&lt;/_journal&gt;&lt;_keywords&gt;Adult; Breast Neoplasms/*enzymology/mortality/pathology; Carcinoma, Ductal, Breast/*enzymology/mortality/pathology; Cyclooxygenase 2/*metabolism; Female; Humans; Kaplan-Meier Estimate; Matrix Metalloproteinase 14/*metabolism; Matrix Metalloproteinase 2/*metabolism; Matrix Metalloproteinase 9/metabolism; Middle Aged; Neoplasm Staging; Tumor Burden&lt;/_keywords&gt;&lt;_language&gt;eng&lt;/_language&gt;&lt;_modified&gt;61149214&lt;/_modified&gt;&lt;_pages&gt;269-75&lt;/_pages&gt;&lt;_tertiary_title&gt;Molecular and cellular biochemistry&lt;/_tertiary_title&gt;&lt;_type_work&gt;Journal Article; Research Support, Non-U.S. Gov&amp;apos;t&lt;/_type_work&gt;&lt;_url&gt;http://www.ncbi.nlm.nih.gov/entrez/query.fcgi?cmd=Retrieve&amp;amp;db=pubmed&amp;amp;dopt=Abstract&amp;amp;list_uids=22527932&amp;amp;query_hl=1&lt;/_url&gt;&lt;_volume&gt;366&lt;/_volume&gt;&lt;/Details&gt;&lt;Extra&gt;&lt;DBUID&gt;{DE509FB4-0C85-4E2B-BBB9-210FED694D73}&lt;/DBUID&gt;&lt;/Extra&gt;&lt;/Item&gt;&lt;/References&gt;&lt;/Group&gt;&lt;Group&gt;&lt;References&gt;&lt;Item&gt;&lt;ID&gt;8343&lt;/ID&gt;&lt;UID&gt;{011700CA-F762-4C79-9C40-FB25C88A6764}&lt;/UID&gt;&lt;Title&gt;Expression of 15-hydroxyprostaglandin dehydrogenase and cyclooxygenase-2 in non-small cell lung cancer: Correlations with angiogenesis and prognosis&lt;/Title&gt;&lt;Template&gt;Journal Article&lt;/Template&gt;&lt;Star&gt;0&lt;/Star&gt;&lt;Tag&gt;0&lt;/Tag&gt;&lt;Author&gt;Li, Y; Li, S; Sun, D; Song, L; Liu, X&lt;/Author&gt;&lt;Year&gt;2014&lt;/Year&gt;&lt;Details&gt;&lt;_accession_num&gt;25202373&lt;/_accession_num&gt;&lt;_author_adr&gt;Center of Gerontology and Geriatrics, West China Hospital, West China Medical School, Sichuan University, Chengdu, Sichuan 610041, P.R. China.; National Key Laboratory of Biotherapy, West China Hospital, West China Medical School, Sichuan University, Chengdu, Sichuan 610041, P.R. China.; Department of Geriatrics, Peking University First Hospital, Beijing 100034, P.R.  China.; Department of Geriatrics, Peking University First Hospital, Beijing 100034, P.R.  China.; Department of Geriatrics, Peking University First Hospital, Beijing 100034, P.R.  China.&lt;/_author_adr&gt;&lt;_collection_scope&gt;SCIE;&lt;/_collection_scope&gt;&lt;_created&gt;61149208&lt;/_created&gt;&lt;_date&gt;2014-10-01&lt;/_date&gt;&lt;_date_display&gt;2014 Oct&lt;/_date_display&gt;&lt;_doi&gt;10.3892/ol.2014.2371&lt;/_doi&gt;&lt;_impact_factor&gt;   1.554&lt;/_impact_factor&gt;&lt;_isbn&gt;1792-1074 (Print); 1792-1074 (Linking)&lt;/_isbn&gt;&lt;_issue&gt;4&lt;/_issue&gt;&lt;_journal&gt;Oncol Lett&lt;/_journal&gt;&lt;_keywords&gt;15-hydroxyprostaglandin dehydrogenase; angiogenesis; cyclooxygenase-2; non-small cell lung cancer; prognosis&lt;/_keywords&gt;&lt;_language&gt;ENG&lt;/_language&gt;&lt;_modified&gt;61149214&lt;/_modified&gt;&lt;_pages&gt;1589-1594&lt;/_pages&gt;&lt;_tertiary_title&gt;Oncology letters&lt;/_tertiary_title&gt;&lt;_type_work&gt;JOURNAL ARTICLE&lt;/_type_work&gt;&lt;_url&gt;http://www.ncbi.nlm.nih.gov/entrez/query.fcgi?cmd=Retrieve&amp;amp;db=pubmed&amp;amp;dopt=Abstract&amp;amp;list_uids=25202373&amp;amp;query_hl=1&lt;/_url&gt;&lt;_volume&gt;8&lt;/_volume&gt;&lt;/Details&gt;&lt;Extra&gt;&lt;DBUID&gt;{DE509FB4-0C85-4E2B-BBB9-210FED694D73}&lt;/DBUID&gt;&lt;/Extra&gt;&lt;/Item&gt;&lt;/References&gt;&lt;/Group&gt;&lt;/Citation&gt;_x000a_"/>
    <w:docVar w:name="NE.Ref{E0851ADF-44DC-41A8-B984-7D65375C6FBE}" w:val=" ADDIN NE.Ref.{E0851ADF-44DC-41A8-B984-7D65375C6FBE} ADDIN NE.Ref.{CFDEC801-7815-48B7-AEEA-0363B0727ABD}&lt;Citation&gt;&lt;Group&gt;&lt;References&gt;&lt;Item&gt;&lt;ID&gt;8388&lt;/ID&gt;&lt;UID&gt;{2D614C29-E434-4222-9393-A4D46D8EB558}&lt;/UID&gt;&lt;Title&gt;COX-2 Promotes Migration and Invasion by the Side Population of Cancer Stem Cell-Like Hepatocellular Carcinoma Cells&lt;/Title&gt;&lt;Template&gt;Journal Article&lt;/Template&gt;&lt;Star&gt;0&lt;/Star&gt;&lt;Tag&gt;0&lt;/Tag&gt;&lt;Author&gt;Guo, Z; Jiang, J H; Zhang, J; Yang, H J; Yang, F Q; Qi, Y P; Zhong, Y P; Su, J; Yang, R R; Li, L Q; Xiang, B D&lt;/Author&gt;&lt;Year&gt;2015&lt;/Year&gt;&lt;Details&gt;&lt;_accession_num&gt;26554780&lt;/_accession_num&gt;&lt;_author_adr&gt;From the Department of Hepatobiliary Surgery, Affiliated Tumor Hospital of Guangxi Medical University, Nanning, P.R. China (ZG, H-JY, F-QY, Y-PQ, L-QL, B-DX); Department of Thyroid and Breast Surgery, The Central Hospital of Wuhan, Wuhan, P.R. China (ZG); Department of General Surgery, The Second People&amp;apos;s Hospital of The Second People&amp;apos;s Hospital of Jingmen, Jingmen, P.R. China (J-HJ);  Department of Ultrasound, Wuhan No. 1 Hospital, Wuhan, P.R. China (JZ); Medical Science Experimental Center, Guangxi Medical University, Nanning, P.R. China (Y-PZ, JS); Department of Immunology, School of Preclinical Medicine, Biological  Targeting Diagnosis and Therapy Research Center, Guangxi Medical University, Nanning, P.R. China (R-RY).&lt;/_author_adr&gt;&lt;_created&gt;60950141&lt;/_created&gt;&lt;_date&gt;2015-11-01&lt;/_date&gt;&lt;_date_display&gt;2015 Nov&lt;/_date_display&gt;&lt;_doi&gt;10.1097/MD.0000000000001806&lt;/_doi&gt;&lt;_impact_factor&gt;   5.723&lt;/_impact_factor&gt;&lt;_isbn&gt;1536-5964 (Electronic); 0025-7974 (Linking)&lt;/_isbn&gt;&lt;_issue&gt;44&lt;/_issue&gt;&lt;_journal&gt;Medicine (Baltimore)&lt;/_journal&gt;&lt;_language&gt;eng&lt;/_language&gt;&lt;_modified&gt;60950141&lt;/_modified&gt;&lt;_pages&gt;e1806&lt;/_pages&gt;&lt;_tertiary_title&gt;Medicine&lt;/_tertiary_title&gt;&lt;_type_work&gt;Journal Article&lt;/_type_work&gt;&lt;_url&gt;http://www.ncbi.nlm.nih.gov/entrez/query.fcgi?cmd=Retrieve&amp;amp;db=pubmed&amp;amp;dopt=Abstract&amp;amp;list_uids=26554780&amp;amp;query_hl=1&lt;/_url&gt;&lt;_volume&gt;94&lt;/_volume&gt;&lt;/Details&gt;&lt;Extra&gt;&lt;DBUID&gt;{DE509FB4-0C85-4E2B-BBB9-210FED694D73}&lt;/DBUID&gt;&lt;/Extra&gt;&lt;/Item&gt;&lt;/References&gt;&lt;/Group&gt;&lt;Group&gt;&lt;References&gt;&lt;Item&gt;&lt;ID&gt;8372&lt;/ID&gt;&lt;UID&gt;{586D37FA-43ED-49B0-9004-565CBB94DFD7}&lt;/UID&gt;&lt;Title&gt;Prostaglandin E2 promotes hepatocellular carcinoma cell invasion through upregulation of YB-1 protein expression&lt;/Title&gt;&lt;Template&gt;Journal Article&lt;/Template&gt;&lt;Star&gt;0&lt;/Star&gt;&lt;Tag&gt;0&lt;/Tag&gt;&lt;Author&gt;Zhang, H; Cheng, S; Zhang, M; Ma, X; Zhang, L; Wang, Y; Rong, R; Ma, J; Xia, S; &amp;quot;Du M&amp;quot;; Shi, F; Wang, J; Yang, Q; Bai, X; Leng, J&lt;/Author&gt;&lt;Year&gt;2014&lt;/Year&gt;&lt;Details&gt;&lt;_accession_num&gt;24378923&lt;/_accession_num&gt;&lt;_author_adr&gt;Cancer Center, Department of Pathology, Nanjing Medical University, Nanjing 210029, P.R. China.; Cancer Center, Department of Pathology, Nanjing Medical University, Nanjing 210029, P.R. China.; Cancer Center, Department of Pathology, Nanjing Medical University, Nanjing 210029, P.R. China.; Cancer Center, Department of Pathology, Nanjing Medical University, Nanjing 210029, P.R. China.; Cancer Center, Department of Pathology, Nanjing Medical University, Nanjing 210029, P.R. China.; Cancer Center, Department of Pathology, Nanjing Medical University, Nanjing 210029, P.R. China.; Cancer Center, Department of Pathology, Nanjing Medical University, Nanjing 210029, P.R. China.; Cancer Center, Department of Pathology, Nanjing Medical University, Nanjing 210029, P.R. China.; Cancer Center, Department of Pathology, Nanjing Medical University, Nanjing 210029, P.R. China.; Cancer Center, Department of Pathology, Nanjing Medical University, Nanjing 210029, P.R. China.; Cancer Center, Department of Pathology, Nanjing Medical University, Nanjing 210029, P.R. China.; Cancer Center, Department of Pathology, Nanjing Medical University, Nanjing 210029, P.R. China.; Cancer Center, Department of Pathology, Nanjing Medical University, Nanjing 210029, P.R. China.; Cancer Center, Department of Pathology, Nanjing Medical University, Nanjing 210029, P.R. China.; Cancer Center, Department of Pathology, Nanjing Medical University, Nanjing 210029, P.R. China.&lt;/_author_adr&gt;&lt;_date_display&gt;2014 Mar&lt;/_date_display&gt;&lt;_date&gt;2014-03-01&lt;/_date&gt;&lt;_doi&gt;10.3892/ijo.2013.2234&lt;/_doi&gt;&lt;_isbn&gt;1791-2423 (Electronic); 1019-6439 (Linking)&lt;/_isbn&gt;&lt;_issue&gt;3&lt;/_issue&gt;&lt;_journal&gt;Int J Oncol&lt;/_journal&gt;&lt;_keywords&gt;Carcinoma, Hepatocellular/*genetics/pathology; Cell Line, Tumor; Dinoprostone/*genetics/metabolism; Epithelial-Mesenchymal Transition/genetics; Gene Expression Regulation, Neoplastic; Humans; Liver Neoplasms/*genetics/pathology; Neoplasm Invasiveness/genetics/pathology; Phosphorylation; RNA Interference; Signal Transduction/genetics; Y-Box-Binding Protein 1/*biosynthesis&lt;/_keywords&gt;&lt;_language&gt;eng&lt;/_language&gt;&lt;_pages&gt;769-80&lt;/_pages&gt;&lt;_tertiary_title&gt;International journal of oncology&lt;/_tertiary_title&gt;&lt;_type_work&gt;Journal Article; Research Support, Non-U.S. Gov&amp;apos;t&lt;/_type_work&gt;&lt;_url&gt;http://www.ncbi.nlm.nih.gov/entrez/query.fcgi?cmd=Retrieve&amp;amp;db=pubmed&amp;amp;dopt=Abstract&amp;amp;list_uids=24378923&amp;amp;query_hl=1&lt;/_url&gt;&lt;_volume&gt;44&lt;/_volume&gt;&lt;_created&gt;60927127&lt;/_created&gt;&lt;_modified&gt;60927127&lt;/_modified&gt;&lt;_impact_factor&gt;   3.025&lt;/_impact_factor&gt;&lt;_collection_scope&gt;SCI;SCIE;&lt;/_collection_scope&gt;&lt;/Details&gt;&lt;Extra&gt;&lt;DBUID&gt;{DE509FB4-0C85-4E2B-BBB9-210FED694D73}&lt;/DBUID&gt;&lt;/Extra&gt;&lt;/Item&gt;&lt;/References&gt;&lt;/Group&gt;&lt;Group&gt;&lt;References&gt;&lt;Item&gt;&lt;ID&gt;8387&lt;/ID&gt;&lt;UID&gt;{4367B657-6A14-4702-B0F2-84DC7E626E93}&lt;/UID&gt;&lt;Title&gt;Prostanoid EP1 receptor as the target of (-)-epigallocatechin-3-gallate in suppressing hepatocellular carcinoma cells in vitro&lt;/Title&gt;&lt;Template&gt;Journal Article&lt;/Template&gt;&lt;Star&gt;0&lt;/Star&gt;&lt;Tag&gt;0&lt;/Tag&gt;&lt;Author&gt;Jin, J; Chang, Y; Wei, W; He, Y F; Hu, S S; Wang, D; Wu, Y J&lt;/Author&gt;&lt;Year&gt;2012&lt;/Year&gt;&lt;Details&gt;&lt;_accession_num&gt;22555372&lt;/_accession_num&gt;&lt;_author_adr&gt;Institute of Clinical Pharmacology, Anhui Medical University, Key Laboratory of Anti-inflammatory and Immunopharmacology of the Education Ministry of China, Hefei, China.&lt;/_author_adr&gt;&lt;_collection_scope&gt;CSCD;SCI;SCIE;中国科技核心期刊;&lt;/_collection_scope&gt;&lt;_created&gt;60950140&lt;/_created&gt;&lt;_date&gt;2012-05-01&lt;/_date&gt;&lt;_date_display&gt;2012 May&lt;/_date_display&gt;&lt;_doi&gt;10.1038/aps.2012.13&lt;/_doi&gt;&lt;_impact_factor&gt;   2.912&lt;/_impact_factor&gt;&lt;_isbn&gt;1745-7254 (Electronic); 1671-4083 (Linking)&lt;/_isbn&gt;&lt;_issue&gt;5&lt;/_issue&gt;&lt;_journal&gt;Acta Pharmacol Sin&lt;/_journal&gt;&lt;_keywords&gt;Alprostadil/analogs &amp;amp; derivatives/pharmacology; Antineoplastic Agents, Phytogenic/*pharmacology; Bicyclo Compounds/pharmacology; Blotting, Western; Caproates/pharmacology; Carcinoma, Hepatocellular/*metabolism/pathology; Catechin/*analogs &amp;amp; derivatives/pharmacology; Cell Movement/*drug effects; Cell Proliferation/*drug effects; Cell Survival/drug effects; Dinoprostone/metabolism; Dose-Response Relationship, Drug; GTP-Binding Protein alpha Subunits, Gq-G11/drug effects/metabolism; Hep G2 Cells; Humans; Immunoassay; Liver Neoplasms/*metabolism/pathology; Neoplasm Invasiveness; Receptors, Prostaglandin E, EP1 Subtype/*drug effects/metabolism; Time Factors&lt;/_keywords&gt;&lt;_language&gt;eng&lt;/_language&gt;&lt;_modified&gt;60950140&lt;/_modified&gt;&lt;_pages&gt;701-9&lt;/_pages&gt;&lt;_tertiary_title&gt;Acta pharmacologica Sinica&lt;/_tertiary_title&gt;&lt;_type_work&gt;Journal Article; Research Support, Non-U.S. Gov&amp;apos;t&lt;/_type_work&gt;&lt;_url&gt;http://www.ncbi.nlm.nih.gov/entrez/query.fcgi?cmd=Retrieve&amp;amp;db=pubmed&amp;amp;dopt=Abstract&amp;amp;list_uids=22555372&amp;amp;query_hl=1&lt;/_url&gt;&lt;_volume&gt;33&lt;/_volume&gt;&lt;/Details&gt;&lt;Extra&gt;&lt;DBUID&gt;{DE509FB4-0C85-4E2B-BBB9-210FED694D73}&lt;/DBUID&gt;&lt;/Extra&gt;&lt;/Item&gt;&lt;/References&gt;&lt;/Group&gt;&lt;Group&gt;&lt;References&gt;&lt;Item&gt;&lt;ID&gt;8371&lt;/ID&gt;&lt;UID&gt;{169922B8-4B7B-4DDA-BC2A-77B18E7320C6}&lt;/UID&gt;&lt;Title&gt;ANGPTL4 induction by prostaglandin E2 under hypoxic conditions promotes colorectal cancer progression&lt;/Title&gt;&lt;Template&gt;Journal Article&lt;/Template&gt;&lt;Star&gt;0&lt;/Star&gt;&lt;Tag&gt;0&lt;/Tag&gt;&lt;Author&gt;Kim, S H; Park, Y Y; Kim, S W; Lee, J S; Wang, D; DuBois, R N&lt;/Author&gt;&lt;Year&gt;2011&lt;/Year&gt;&lt;Details&gt;&lt;_accession_num&gt;21937683&lt;/_accession_num&gt;&lt;_author_adr&gt;Department of Cancer Biology, The University of Texas MD Anderson Cancer Center,  Houston, Texas 77030, USA.&lt;/_author_adr&gt;&lt;_date_display&gt;2011 Nov 15&lt;/_date_display&gt;&lt;_date&gt;2011-11-15&lt;/_date&gt;&lt;_doi&gt;10.1158/0008-5472.CAN-11-1262&lt;/_doi&gt;&lt;_isbn&gt;1538-7445 (Electronic); 0008-5472 (Linking)&lt;/_isbn&gt;&lt;_issue&gt;22&lt;/_issue&gt;&lt;_journal&gt;Cancer Res&lt;/_journal&gt;&lt;_keywords&gt;Angiopoietins/*physiology; Animals; *Cell Hypoxia; Cell Line, Tumor; Cell Proliferation/drug effects; Colorectal Neoplasms/etiology/*pathology; Dinoprostone/*pharmacology; Disease Progression; Humans; Mice; Receptors, Prostaglandin E, EP1 Subtype/physiology; STAT1 Transcription Factor/physiology&lt;/_keywords&gt;&lt;_language&gt;eng&lt;/_language&gt;&lt;_ori_publication&gt;(c)2011 AACR&lt;/_ori_publication&gt;&lt;_pages&gt;7010-20&lt;/_pages&gt;&lt;_tertiary_title&gt;Cancer research&lt;/_tertiary_title&gt;&lt;_type_work&gt;Journal Article; Research Support, N.I.H., Extramural&lt;/_type_work&gt;&lt;_url&gt;http://www.ncbi.nlm.nih.gov/entrez/query.fcgi?cmd=Retrieve&amp;amp;db=pubmed&amp;amp;dopt=Abstract&amp;amp;list_uids=21937683&amp;amp;query_hl=1&lt;/_url&gt;&lt;_volume&gt;71&lt;/_volume&gt;&lt;_created&gt;60927125&lt;/_created&gt;&lt;_modified&gt;60927125&lt;/_modified&gt;&lt;_impact_factor&gt;   9.329&lt;/_impact_factor&gt;&lt;_collection_scope&gt;SCI;SCIE;&lt;/_collection_scope&gt;&lt;/Details&gt;&lt;Extra&gt;&lt;DBUID&gt;{DE509FB4-0C85-4E2B-BBB9-210FED694D73}&lt;/DBUID&gt;&lt;/Extra&gt;&lt;/Item&gt;&lt;/References&gt;&lt;/Group&gt;&lt;Group&gt;&lt;References&gt;&lt;Item&gt;&lt;ID&gt;8386&lt;/ID&gt;&lt;UID&gt;{E0535B5F-2E74-4443-845E-CB23B4C5C9A6}&lt;/UID&gt;&lt;Title&gt;Prostaglandin E2 upregulates survivin expression via the EP1 receptor in hepatocellular carcinoma cells&lt;/Title&gt;&lt;Template&gt;Journal Article&lt;/Template&gt;&lt;Star&gt;0&lt;/Star&gt;&lt;Tag&gt;0&lt;/Tag&gt;&lt;Author&gt;Bai, X M; Jiang, H; Ding, J X; Peng, T; Ma, J; Wang, Y H; Zhang, L; Zhang, H; Leng, J&lt;/Author&gt;&lt;Year&gt;2010&lt;/Year&gt;&lt;Details&gt;&lt;_accession_num&gt;20035770&lt;/_accession_num&gt;&lt;_author_adr&gt;Cancer Center, Laboratory of Reproductive Medicine, Department of Pathology, Nanjing Medical University, Nanjing 210029, China. Baixiaoming@njmu.edu.cn&lt;/_author_adr&gt;&lt;_collection_scope&gt;SCI;SCIE;&lt;/_collection_scope&gt;&lt;_created&gt;60950138&lt;/_created&gt;&lt;_date&gt;2010-01-30&lt;/_date&gt;&lt;_date_display&gt;2010 Jan 30&lt;/_date_display&gt;&lt;_doi&gt;10.1016/j.lfs.2009.12.009&lt;/_doi&gt;&lt;_impact_factor&gt;   2.702&lt;/_impact_factor&gt;&lt;_isbn&gt;1879-0631 (Electronic); 0024-3205 (Linking)&lt;/_isbn&gt;&lt;_issue&gt;5-6&lt;/_issue&gt;&lt;_journal&gt;Life Sci&lt;/_journal&gt;&lt;_keywords&gt;Blotting, Western; Carcinoma, Hepatocellular/enzymology/*metabolism/pathology; Cell Line, Tumor; Cell Proliferation; Cyclooxygenase 2/biosynthesis/genetics; Dinoprostone/biosynthesis/*physiology; Humans; Inhibitor of Apoptosis Proteins; Liver Neoplasms/enzymology/*metabolism/pathology; Microtubule-Associated Proteins/*biosynthesis; Phosphatidylinositol 3-Kinases/biosynthesis; Plasmids; RNA Interference; Receptor, Epidermal Growth Factor/biosynthesis; Receptors, Prostaglandin E/agonists/genetics/*metabolism; Receptors, Prostaglandin E, EP1 Subtype; Reverse Transcriptase Polymerase Chain Reaction; Signal Transduction; Transfection; Up-Regulation&lt;/_keywords&gt;&lt;_language&gt;eng&lt;/_language&gt;&lt;_modified&gt;60950138&lt;/_modified&gt;&lt;_ori_publication&gt;Copyright 2009 Elsevier Inc. All rights reserved.&lt;/_ori_publication&gt;&lt;_pages&gt;214-23&lt;/_pages&gt;&lt;_tertiary_title&gt;Life sciences&lt;/_tertiary_title&gt;&lt;_type_work&gt;Journal Article; Research Support, Non-U.S. Gov&amp;apos;t&lt;/_type_work&gt;&lt;_url&gt;http://www.ncbi.nlm.nih.gov/entrez/query.fcgi?cmd=Retrieve&amp;amp;db=pubmed&amp;amp;dopt=Abstract&amp;amp;list_uids=20035770&amp;amp;query_hl=1&lt;/_url&gt;&lt;_volume&gt;86&lt;/_volume&gt;&lt;/Details&gt;&lt;Extra&gt;&lt;DBUID&gt;{DE509FB4-0C85-4E2B-BBB9-210FED694D73}&lt;/DBUID&gt;&lt;/Extra&gt;&lt;/Item&gt;&lt;/References&gt;&lt;/Group&gt;&lt;Group&gt;&lt;References&gt;&lt;Item&gt;&lt;ID&gt;8369&lt;/ID&gt;&lt;UID&gt;{4B047A03-C561-4337-A87F-FB9E31141B3E}&lt;/UID&gt;&lt;Title&gt;Prostaglandin E2 receptor EP1 transactivates EGFR/MET receptor tyrosine kinases and enhances invasiveness in human hepatocellular carcinoma cells&lt;/Title&gt;&lt;Template&gt;Journal Article&lt;/Template&gt;&lt;Star&gt;0&lt;/Star&gt;&lt;Tag&gt;0&lt;/Tag&gt;&lt;Author&gt;Han, C; Michalopoulos, G K; Wu, T&lt;/Author&gt;&lt;Year&gt;2006&lt;/Year&gt;&lt;Details&gt;&lt;_accession_num&gt;16331686&lt;/_accession_num&gt;&lt;_author_adr&gt;Department of Pathology, University of Pittsburgh School of Medicine, Pennsylvania 15213, USA.&lt;/_author_adr&gt;&lt;_collection_scope&gt;SCI;SCIE;&lt;/_collection_scope&gt;&lt;_created&gt;60927120&lt;/_created&gt;&lt;_date&gt;2006-04-01&lt;/_date&gt;&lt;_date_display&gt;2006 Apr&lt;/_date_display&gt;&lt;_doi&gt;10.1002/jcp.20560&lt;/_doi&gt;&lt;_impact_factor&gt;   3.839&lt;/_impact_factor&gt;&lt;_isbn&gt;0021-9541 (Print); 0021-9541 (Linking)&lt;/_isbn&gt;&lt;_issue&gt;1&lt;/_issue&gt;&lt;_journal&gt;J Cell Physiol&lt;/_journal&gt;&lt;_keywords&gt;Alprostadil/analogs &amp;amp; derivatives/pharmacology; Bicyclo Compounds/pharmacology; Caproates/pharmacology; Carcinoma, Hepatocellular/genetics/metabolism/pathology; Cell Line, Tumor; Cell Movement/drug effects/*physiology; Cyclooxygenase 2/analysis/genetics/metabolism; Dinoprostone/pharmacology; Enzyme Activation; Gene Expression/genetics; Humans; Liver Neoplasms/genetics/metabolism/pathology; Membrane Proteins/analysis/genetics/metabolism; Neoplasm Invasiveness; Phosphorylation/drug effects; Protein Binding/drug effects; Protein Kinase Inhibitors/pharmacology; Protein-Tyrosine Kinases/metabolism; Proto-Oncogene Proteins/metabolism; Proto-Oncogene Proteins c-met/*metabolism; RNA Interference; RNA, Small Interfering/genetics; Receptor, Epidermal Growth Factor/antagonists &amp;amp; inhibitors/*metabolism; Receptors, Prostaglandin/genetics/metabolism; Receptors, Prostaglandin E/genetics/*physiology; Receptors, Prostaglandin E, EP1 Subtype; Transfection; src-Family Kinases&lt;/_keywords&gt;&lt;_language&gt;eng&lt;/_language&gt;&lt;_modified&gt;60948647&lt;/_modified&gt;&lt;_pages&gt;261-70&lt;/_pages&gt;&lt;_tertiary_title&gt;Journal of cellular physiology&lt;/_tertiary_title&gt;&lt;_type_work&gt;Journal Article; Research Support, N.I.H., Extramural; Retracted Publication&lt;/_type_work&gt;&lt;_url&gt;http://www.ncbi.nlm.nih.gov/entrez/query.fcgi?cmd=Retrieve&amp;amp;db=pubmed&amp;amp;dopt=Abstract&amp;amp;list_uids=16331686&amp;amp;query_hl=1&lt;/_url&gt;&lt;_volume&gt;207&lt;/_volume&gt;&lt;/Details&gt;&lt;Extra&gt;&lt;DBUID&gt;{DE509FB4-0C85-4E2B-BBB9-210FED694D73}&lt;/DBUID&gt;&lt;/Extra&gt;&lt;/Item&gt;&lt;/References&gt;&lt;/Group&gt;&lt;Group&gt;&lt;References&gt;&lt;Item&gt;&lt;ID&gt;8385&lt;/ID&gt;&lt;UID&gt;{8D3FD797-C008-4D65-8AFA-9A257EB95DAC}&lt;/UID&gt;&lt;Title&gt;Prostaglandin EP receptors: targets for treatment and prevention of colorectal cancer?&lt;/Title&gt;&lt;Template&gt;Journal Article&lt;/Template&gt;&lt;Star&gt;0&lt;/Star&gt;&lt;Tag&gt;0&lt;/Tag&gt;&lt;Author&gt;Hull, M A; Ko, S C; Hawcroft, G&lt;/Author&gt;&lt;Year&gt;2004&lt;/Year&gt;&lt;Details&gt;&lt;_accession_num&gt;15299086&lt;/_accession_num&gt;&lt;_author_adr&gt;Molecular Medicine Unit, University of Leeds, Clinical Sciences Building, St. James&amp;apos;s University Hospital, Leeds LS9 7TF, United Kingdom. M.A.Hull@leeds.ac.uk&lt;/_author_adr&gt;&lt;_collection_scope&gt;SCIE;&lt;/_collection_scope&gt;&lt;_created&gt;60950137&lt;/_created&gt;&lt;_date&gt;2004-08-01&lt;/_date&gt;&lt;_date_display&gt;2004 Aug&lt;/_date_display&gt;&lt;_impact_factor&gt;   5.683&lt;/_impact_factor&gt;&lt;_isbn&gt;1535-7163 (Print); 1535-7163 (Linking)&lt;/_isbn&gt;&lt;_issue&gt;8&lt;/_issue&gt;&lt;_journal&gt;Mol Cancer Ther&lt;/_journal&gt;&lt;_keywords&gt;Animals; Cell Line, Tumor; Colorectal Neoplasms/metabolism/*prevention &amp;amp; control/*therapy; Dinoprostone/metabolism; Humans; Mice; Models, Biological; Neoplasms/pathology; Protein Isoforms; Receptors, Prostaglandin/chemistry/*physiology; Signal Transduction&lt;/_keywords&gt;&lt;_language&gt;eng&lt;/_language&gt;&lt;_modified&gt;60950137&lt;/_modified&gt;&lt;_pages&gt;1031-9&lt;/_pages&gt;&lt;_tertiary_title&gt;Molecular cancer therapeutics&lt;/_tertiary_title&gt;&lt;_type_work&gt;Journal Article; Research Support, Non-U.S. Gov&amp;apos;t; Review&lt;/_type_work&gt;&lt;_url&gt;http://www.ncbi.nlm.nih.gov/entrez/query.fcgi?cmd=Retrieve&amp;amp;db=pubmed&amp;amp;dopt=Abstract&amp;amp;list_uids=15299086&amp;amp;query_hl=1&lt;/_url&gt;&lt;_volume&gt;3&lt;/_volume&gt;&lt;/Details&gt;&lt;Extra&gt;&lt;DBUID&gt;{DE509FB4-0C85-4E2B-BBB9-210FED694D73}&lt;/DBUID&gt;&lt;/Extra&gt;&lt;/Item&gt;&lt;/References&gt;&lt;/Group&gt;&lt;/Citation&gt;_x000a_"/>
    <w:docVar w:name="NE.Ref{E0FB17D8-4887-40E6-AB85-1B5CAC34B91E}" w:val=" ADDIN NE.Ref.{E0FB17D8-4887-40E6-AB85-1B5CAC34B91E} ADDIN NE.Ref.{E0FB17D8-4887-40E6-AB85-1B5CAC34B91E}&lt;Citation&gt;&lt;Group&gt;&lt;References&gt;&lt;Item&gt;&lt;ID&gt;8399&lt;/ID&gt;&lt;UID&gt;{F54698F7-FC82-43C1-B060-E9EDA2F76DFC}&lt;/UID&gt;&lt;Title&gt;Direct transcriptional up-regulation of cyclooxygenase-2 by hypoxia-inducible factor (HIF)-1 promotes colorectal tumor cell survival and enhances HIF-1 transcriptional activity during hypoxia&lt;/Title&gt;&lt;Template&gt;Journal Article&lt;/Template&gt;&lt;Star&gt;0&lt;/Star&gt;&lt;Tag&gt;0&lt;/Tag&gt;&lt;Author&gt;Kaidi, A; Qualtrough, D; Williams, A C; Paraskeva, C&lt;/Author&gt;&lt;Year&gt;2006&lt;/Year&gt;&lt;Details&gt;&lt;_accession_num&gt;16818642&lt;/_accession_num&gt;&lt;_author_adr&gt;Cancer Research UK Colorectal Tumour Biology Research Group, Department of Cellular and Molecular Medicine, Faculty of Medical and Veterinary Science, Bristol University, Bristol BS8 1TD, United Kingdom.&lt;/_author_adr&gt;&lt;_date_display&gt;2006 Jul 1&lt;/_date_display&gt;&lt;_date&gt;2006-07-01&lt;/_date&gt;&lt;_doi&gt;10.1158/0008-5472.CAN-06-0425&lt;/_doi&gt;&lt;_isbn&gt;0008-5472 (Print); 0008-5472 (Linking)&lt;/_isbn&gt;&lt;_issue&gt;13&lt;/_issue&gt;&lt;_journal&gt;Cancer Res&lt;/_journal&gt;&lt;_keywords&gt;Base Sequence; Cell Growth Processes/physiology; Cell Hypoxia/physiology; Cell Survival/physiology; Colorectal Neoplasms/enzymology/*genetics/metabolism/*pathology; Cyclooxygenase 2/*biosynthesis/genetics; Dinoprostone/metabolism; Gene Expression Regulation, Enzymologic; Gene Expression Regulation, Neoplastic; HCT116 Cells; HT29 Cells; Humans; Hypoxia-Inducible Factor 1, alpha Subunit/genetics/metabolism/*physiology; MAP Kinase Signaling System; Molecular Sequence Data; Promoter Regions, Genetic; Transcription, Genetic; Up-Regulation&lt;/_keywords&gt;&lt;_language&gt;eng&lt;/_language&gt;&lt;_pages&gt;6683-91&lt;/_pages&gt;&lt;_tertiary_title&gt;Cancer research&lt;/_tertiary_title&gt;&lt;_type_work&gt;Journal Article; Research Support, Non-U.S. Gov&amp;apos;t&lt;/_type_work&gt;&lt;_url&gt;http://www.ncbi.nlm.nih.gov/entrez/query.fcgi?cmd=Retrieve&amp;amp;db=pubmed&amp;amp;dopt=Abstract&amp;amp;list_uids=16818642&amp;amp;query_hl=1&lt;/_url&gt;&lt;_volume&gt;66&lt;/_volume&gt;&lt;_created&gt;60952326&lt;/_created&gt;&lt;_modified&gt;60952326&lt;/_modified&gt;&lt;_impact_factor&gt;   9.329&lt;/_impact_factor&gt;&lt;_collection_scope&gt;SCI;SCIE;&lt;/_collection_scope&gt;&lt;/Details&gt;&lt;Extra&gt;&lt;DBUID&gt;{DE509FB4-0C85-4E2B-BBB9-210FED694D73}&lt;/DBUID&gt;&lt;/Extra&gt;&lt;/Item&gt;&lt;/References&gt;&lt;/Group&gt;&lt;Group&gt;&lt;References&gt;&lt;Item&gt;&lt;ID&gt;8371&lt;/ID&gt;&lt;UID&gt;{169922B8-4B7B-4DDA-BC2A-77B18E7320C6}&lt;/UID&gt;&lt;Title&gt;ANGPTL4 induction by prostaglandin E2 under hypoxic conditions promotes colorectal cancer progression&lt;/Title&gt;&lt;Template&gt;Journal Article&lt;/Template&gt;&lt;Star&gt;0&lt;/Star&gt;&lt;Tag&gt;0&lt;/Tag&gt;&lt;Author&gt;Kim, S H; Park, Y Y; Kim, S W; Lee, J S; Wang, D; DuBois, R N&lt;/Author&gt;&lt;Year&gt;2011&lt;/Year&gt;&lt;Details&gt;&lt;_accession_num&gt;21937683&lt;/_accession_num&gt;&lt;_author_adr&gt;Department of Cancer Biology, The University of Texas MD Anderson Cancer Center,  Houston, Texas 77030, USA.&lt;/_author_adr&gt;&lt;_date_display&gt;2011 Nov 15&lt;/_date_display&gt;&lt;_date&gt;2011-11-15&lt;/_date&gt;&lt;_doi&gt;10.1158/0008-5472.CAN-11-1262&lt;/_doi&gt;&lt;_isbn&gt;1538-7445 (Electronic); 0008-5472 (Linking)&lt;/_isbn&gt;&lt;_issue&gt;22&lt;/_issue&gt;&lt;_journal&gt;Cancer Res&lt;/_journal&gt;&lt;_keywords&gt;Angiopoietins/*physiology; Animals; *Cell Hypoxia; Cell Line, Tumor; Cell Proliferation/drug effects; Colorectal Neoplasms/etiology/*pathology; Dinoprostone/*pharmacology; Disease Progression; Humans; Mice; Receptors, Prostaglandin E, EP1 Subtype/physiology; STAT1 Transcription Factor/physiology&lt;/_keywords&gt;&lt;_language&gt;eng&lt;/_language&gt;&lt;_ori_publication&gt;(c)2011 AACR&lt;/_ori_publication&gt;&lt;_pages&gt;7010-20&lt;/_pages&gt;&lt;_tertiary_title&gt;Cancer research&lt;/_tertiary_title&gt;&lt;_type_work&gt;Journal Article; Research Support, N.I.H., Extramural&lt;/_type_work&gt;&lt;_url&gt;http://www.ncbi.nlm.nih.gov/entrez/query.fcgi?cmd=Retrieve&amp;amp;db=pubmed&amp;amp;dopt=Abstract&amp;amp;list_uids=21937683&amp;amp;query_hl=1&lt;/_url&gt;&lt;_volume&gt;71&lt;/_volume&gt;&lt;_created&gt;60927125&lt;/_created&gt;&lt;_modified&gt;60927125&lt;/_modified&gt;&lt;_impact_factor&gt;   9.329&lt;/_impact_factor&gt;&lt;_collection_scope&gt;SCI;SCIE;&lt;/_collection_scope&gt;&lt;/Details&gt;&lt;Extra&gt;&lt;DBUID&gt;{DE509FB4-0C85-4E2B-BBB9-210FED694D73}&lt;/DBUID&gt;&lt;/Extra&gt;&lt;/Item&gt;&lt;/References&gt;&lt;/Group&gt;&lt;/Citation&gt;_x000a_"/>
    <w:docVar w:name="NE.Ref{E46F43B0-552C-40FB-A641-279EBA8103BE}" w:val=" ADDIN NE.Ref.{E46F43B0-552C-40FB-A641-279EBA8103BE}&lt;Citation&gt;&lt;Group&gt;&lt;References&gt;&lt;Item&gt;&lt;ID&gt;8350&lt;/ID&gt;&lt;UID&gt;{CF5E1F42-3365-4B0C-89D7-E4C71B1BB218}&lt;/UID&gt;&lt;Title&gt;Chemopreventive effects of ONO-8711, a selective prostaglandin E receptor EP(1) antagonist, on breast cancer development&lt;/Title&gt;&lt;Template&gt;Journal Article&lt;/Template&gt;&lt;Star&gt;0&lt;/Star&gt;&lt;Tag&gt;0&lt;/Tag&gt;&lt;Author&gt;Kawamori, T; Uchiya, N; Nakatsugi, S; Watanabe, K; Ohuchida, S; Yamamoto, H; Maruyama, T; Kondo, K; Sugimura, T; Wakabayashi, K&lt;/Author&gt;&lt;Year&gt;2001&lt;/Year&gt;&lt;Details&gt;&lt;_accession_num&gt;11751431&lt;/_accession_num&gt;&lt;_author_adr&gt;Cancer Prevention Division, National Cancer Center Research Institute, 1-1 Tsukiji 5-chome, Chuo-ku, Tokyo 104-0045. tkawamor@gan2.ncc.go.jp&lt;/_author_adr&gt;&lt;_collection_scope&gt;SCI;SCIE;&lt;/_collection_scope&gt;&lt;_created&gt;61149210&lt;/_created&gt;&lt;_date&gt;2001-12-01&lt;/_date&gt;&lt;_date_display&gt;2001 Dec&lt;/_date_display&gt;&lt;_impact_factor&gt;   5.334&lt;/_impact_factor&gt;&lt;_isbn&gt;0143-3334 (Print); 0143-3334 (Linking)&lt;/_isbn&gt;&lt;_issue&gt;12&lt;/_issue&gt;&lt;_journal&gt;Carcinogenesis&lt;/_journal&gt;&lt;_keywords&gt;Animals; Apoptosis/drug effects; *Bicyclo Compounds/chemistry/*pharmacology/*therapeutic use; Body Weight/drug effects; *Caproates/chemistry/*pharmacology/*therapeutic use; Carcinogens/pharmacology; Cell Division/drug effects; Female; Imidazoles/pharmacology; Mammary Neoplasms, Experimental/chemically induced/*drug therapy/prevention &amp;amp;_x000d__x000a_      control; Polymerase Chain Reaction; RNA, Messenger/genetics/metabolism; Rats; Rats, Sprague-Dawley; Receptors, Prostaglandin E/*antagonists &amp;amp; inhibitors/metabolism; Receptors, Prostaglandin E, EP1 Subtype&lt;/_keywords&gt;&lt;_language&gt;eng&lt;/_language&gt;&lt;_modified&gt;61149210&lt;/_modified&gt;&lt;_pages&gt;2001-4&lt;/_pages&gt;&lt;_tertiary_title&gt;Carcinogenesis&lt;/_tertiary_title&gt;&lt;_type_work&gt;Journal Article; Research Support, Non-U.S. Gov&amp;apos;t&lt;/_type_work&gt;&lt;_url&gt;http://www.ncbi.nlm.nih.gov/entrez/query.fcgi?cmd=Retrieve&amp;amp;db=pubmed&amp;amp;dopt=Abstract&amp;amp;list_uids=11751431&amp;amp;query_hl=1&lt;/_url&gt;&lt;_volume&gt;22&lt;/_volume&gt;&lt;/Details&gt;&lt;Extra&gt;&lt;DBUID&gt;{DE509FB4-0C85-4E2B-BBB9-210FED694D73}&lt;/DBUID&gt;&lt;/Extra&gt;&lt;/Item&gt;&lt;/References&gt;&lt;/Group&gt;&lt;Group&gt;&lt;References&gt;&lt;Item&gt;&lt;ID&gt;8351&lt;/ID&gt;&lt;UID&gt;{95B9046B-C31D-4A27-8725-D1DE5A90F660}&lt;/UID&gt;&lt;Title&gt;Importance of the EP(1) receptor in cutaneous UVB-induced inflammation and tumor  development&lt;/Title&gt;&lt;Template&gt;Journal Article&lt;/Template&gt;&lt;Star&gt;0&lt;/Star&gt;&lt;Tag&gt;0&lt;/Tag&gt;&lt;Author&gt;Tober, K L; Wilgus, T A; Kusewitt, D F; Thomas-Ahner, J M; Maruyama, T; Oberyszyn, T M&lt;/Author&gt;&lt;Year&gt;2006&lt;/Year&gt;&lt;Details&gt;&lt;_accession_num&gt;16417238&lt;/_accession_num&gt;&lt;_author_adr&gt;Department of Pathology, The Ohio State University, Columbus, Ohio 43210, USA.&lt;/_author_adr&gt;&lt;_collection_scope&gt;SCI;SCIE;&lt;/_collection_scope&gt;&lt;_created&gt;61149211&lt;/_created&gt;&lt;_date&gt;2006-01-01&lt;/_date&gt;&lt;_date_display&gt;2006 Jan&lt;/_date_display&gt;&lt;_doi&gt;10.1038/sj.jid.5700014&lt;/_doi&gt;&lt;_impact_factor&gt;   7.216&lt;/_impact_factor&gt;&lt;_isbn&gt;0022-202X (Print); 0022-202X (Linking)&lt;/_isbn&gt;&lt;_issue&gt;1&lt;/_issue&gt;&lt;_journal&gt;J Invest Dermatol&lt;/_journal&gt;&lt;_keywords&gt;Animals; Celecoxib; Cinnamates/therapeutic use; Cyclooxygenase Inhibitors/therapeutic use; Dermatitis/drug therapy/*etiology; Female; Keratinocytes/chemistry; Mice; Mice, Hairless; Pyrazoles/therapeutic use; Receptors, Prostaglandin E/analysis/*antagonists &amp;amp; inhibitors/*physiology; Receptors, Prostaglandin E, EP1 Subtype; Skin/pathology/*radiation effects; Skin Neoplasms/drug therapy/*etiology; Sulfonamides/therapeutic use; Tumor Suppressor Protein p53/analysis; *Ultraviolet Rays&lt;/_keywords&gt;&lt;_language&gt;eng&lt;/_language&gt;&lt;_modified&gt;61149213&lt;/_modified&gt;&lt;_pages&gt;205-11&lt;/_pages&gt;&lt;_tertiary_title&gt;The Journal of investigative dermatology&lt;/_tertiary_title&gt;&lt;_type_work&gt;Journal Article; Research Support, N.I.H., Extramural&lt;/_type_work&gt;&lt;_url&gt;http://www.ncbi.nlm.nih.gov/entrez/query.fcgi?cmd=Retrieve&amp;amp;db=pubmed&amp;amp;dopt=Abstract&amp;amp;list_uids=16417238&amp;amp;query_hl=1&lt;/_url&gt;&lt;_volume&gt;126&lt;/_volume&gt;&lt;/Details&gt;&lt;Extra&gt;&lt;DBUID&gt;{DE509FB4-0C85-4E2B-BBB9-210FED694D73}&lt;/DBUID&gt;&lt;/Extra&gt;&lt;/Item&gt;&lt;/References&gt;&lt;/Group&gt;&lt;/Citation&gt;_x000a_"/>
    <w:docVar w:name="NE.Ref{E5323753-6C08-4A67-A272-A15C8FB6538F}" w:val=" ADDIN NE.Ref.{E5323753-6C08-4A67-A272-A15C8FB6538F} ADDIN NE.Ref.{E5323753-6C08-4A67-A272-A15C8FB6538F}&lt;Citation&gt;&lt;Group&gt;&lt;References&gt;&lt;Item&gt;&lt;ID&gt;8389&lt;/ID&gt;&lt;UID&gt;{DE0F5923-79B5-4842-AD3A-A30607E74132}&lt;/UID&gt;&lt;Title&gt;Artesunate inhibits the growth and induces apoptosis of human gastric cancer cells by downregulating COX-2&lt;/Title&gt;&lt;Template&gt;Journal Article&lt;/Template&gt;&lt;Star&gt;0&lt;/Star&gt;&lt;Tag&gt;0&lt;/Tag&gt;&lt;Author&gt;Zhang, P; Luo, H S; Li, M; Tan, S Y&lt;/Author&gt;&lt;Year&gt;2015&lt;/Year&gt;&lt;Details&gt;&lt;_accession_num&gt;25945055&lt;/_accession_num&gt;&lt;_author_adr&gt;Department of Gastroenterology, Renmin Hospital of Wuhan University, Wuhan, Hubei Province, People&amp;apos;s Republic of China.; Department of Gastroenterology, Renmin Hospital of Wuhan University, Wuhan, Hubei Province, People&amp;apos;s Republic of China.; Department of Gastroenterology, Renmin Hospital of Wuhan University, Wuhan, Hubei Province, People&amp;apos;s Republic of China.; Department of Gastroenterology, Renmin Hospital of Wuhan University, Wuhan, Hubei Province, People&amp;apos;s Republic of China.&lt;/_author_adr&gt;&lt;_date_display&gt;2015&lt;/_date_display&gt;&lt;_date&gt;2015-01-20&lt;/_date&gt;&lt;_doi&gt;10.2147/OTT.S81041&lt;/_doi&gt;&lt;_isbn&gt;1178-6930 (Electronic); 1178-6930 (Linking)&lt;/_isbn&gt;&lt;_journal&gt;Onco Targets Ther&lt;/_journal&gt;&lt;_keywords&gt;COX-2; apoptosis; artesunate; gastric cancer cells&lt;/_keywords&gt;&lt;_language&gt;eng&lt;/_language&gt;&lt;_pages&gt;845-54&lt;/_pages&gt;&lt;_tertiary_title&gt;OncoTargets and therapy&lt;/_tertiary_title&gt;&lt;_type_work&gt;Journal Article&lt;/_type_work&gt;&lt;_url&gt;http://www.ncbi.nlm.nih.gov/entrez/query.fcgi?cmd=Retrieve&amp;amp;db=pubmed&amp;amp;dopt=Abstract&amp;amp;list_uids=25945055&amp;amp;query_hl=1&lt;/_url&gt;&lt;_volume&gt;8&lt;/_volume&gt;&lt;_created&gt;60950151&lt;/_created&gt;&lt;_modified&gt;60950151&lt;/_modified&gt;&lt;_impact_factor&gt;   2.311&lt;/_impact_factor&gt;&lt;/Details&gt;&lt;Extra&gt;&lt;DBUID&gt;{DE509FB4-0C85-4E2B-BBB9-210FED694D73}&lt;/DBUID&gt;&lt;/Extra&gt;&lt;/Item&gt;&lt;/References&gt;&lt;/Group&gt;&lt;Group&gt;&lt;References&gt;&lt;Item&gt;&lt;ID&gt;8390&lt;/ID&gt;&lt;UID&gt;{371033C8-9ACE-4816-94C6-36D98582344F}&lt;/UID&gt;&lt;Title&gt;P50-associated COX-2 extragenic RNA (PACER) overexpression promotes proliferation and metastasis of osteosarcoma cells by activating COX-2 gene&lt;/Title&gt;&lt;Template&gt;Journal Article&lt;/Template&gt;&lt;Star&gt;0&lt;/Star&gt;&lt;Tag&gt;0&lt;/Tag&gt;&lt;Author&gt;Qian, M; Yang, X; Li, Z; Jiang, C; Song, D; Yan, W; Liu, T; Wu, Z; Kong, J; Wei, H; Xiao, J&lt;/Author&gt;&lt;Year&gt;2015&lt;/Year&gt;&lt;Details&gt;&lt;_accession_num&gt;26476537&lt;/_accession_num&gt;&lt;_author_adr&gt;Spine Tumor Center, Changzheng Hospital, Second Military Medical University, Fengyang Rd 415#, Huangpu District, Shanghai, China.; Spine Tumor Center, Changzheng Hospital, Second Military Medical University, Fengyang Rd 415#, Huangpu District, Shanghai, China.; Spine Tumor Center, Changzheng Hospital, Second Military Medical University, Fengyang Rd 415#, Huangpu District, Shanghai, China.; Spine Tumor Center, Changzheng Hospital, Second Military Medical University, Fengyang Rd 415#, Huangpu District, Shanghai, China.; Spine Tumor Center, Changzheng Hospital, Second Military Medical University, Fengyang Rd 415#, Huangpu District, Shanghai, China.; Spine Tumor Center, Changzheng Hospital, Second Military Medical University, Fengyang Rd 415#, Huangpu District, Shanghai, China.; Spine Tumor Center, Changzheng Hospital, Second Military Medical University, Fengyang Rd 415#, Huangpu District, Shanghai, China.; Spine Tumor Center, Changzheng Hospital, Second Military Medical University, Fengyang Rd 415#, Huangpu District, Shanghai, China.; Spine Tumor Center, Changzheng Hospital, Second Military Medical University, Fengyang Rd 415#, Huangpu District, Shanghai, China.; Spine Tumor Center, Changzheng Hospital, Second Military Medical University, Fengyang Rd 415#, Huangpu District, Shanghai, China. drhfwei@126.com.; Spine Tumor Center, Changzheng Hospital, Second Military Medical University, Fengyang Rd 415#, Huangpu District, Shanghai, China. drxiaojianru@163.com.&lt;/_author_adr&gt;&lt;_date_display&gt;2015 Oct 17&lt;/_date_display&gt;&lt;_date&gt;2015-10-17&lt;/_date&gt;&lt;_doi&gt;10.1007/s13277-015-3838-8&lt;/_doi&gt;&lt;_isbn&gt;1423-0380 (Electronic); 1010-4283 (Linking)&lt;/_isbn&gt;&lt;_journal&gt;Tumour Biol&lt;/_journal&gt;&lt;_keywords&gt;Cell invasion; Cell proliferation; DNA methylation; Long noncoding RNA; Osteosarcoma; P50-associated COX-2 extragenic RNA&lt;/_keywords&gt;&lt;_language&gt;ENG&lt;/_language&gt;&lt;_tertiary_title&gt;Tumour biology : the journal of the International Society for Oncodevelopmental_x000a_      Biology and Medicine&lt;/_tertiary_title&gt;&lt;_type_work&gt;JOURNAL ARTICLE&lt;/_type_work&gt;&lt;_url&gt;http://www.ncbi.nlm.nih.gov/entrez/query.fcgi?cmd=Retrieve&amp;amp;db=pubmed&amp;amp;dopt=Abstract&amp;amp;list_uids=26476537&amp;amp;query_hl=1&lt;/_url&gt;&lt;_created&gt;60950152&lt;/_created&gt;&lt;_modified&gt;60950152&lt;/_modified&gt;&lt;_impact_factor&gt;   3.611&lt;/_impact_factor&gt;&lt;/Details&gt;&lt;Extra&gt;&lt;DBUID&gt;{DE509FB4-0C85-4E2B-BBB9-210FED694D73}&lt;/DBUID&gt;&lt;/Extra&gt;&lt;/Item&gt;&lt;/References&gt;&lt;/Group&gt;&lt;Group&gt;&lt;References&gt;&lt;Item&gt;&lt;ID&gt;8391&lt;/ID&gt;&lt;UID&gt;{0F206E62-6487-48C5-9E1D-64D6C5E11979}&lt;/UID&gt;&lt;Title&gt;Micro ribonucleic acid (RNA)-101 inhibits cell proliferation and invasion of lung cancer by regulating cyclooxygenase-2&lt;/Title&gt;&lt;Template&gt;Journal Article&lt;/Template&gt;&lt;Star&gt;0&lt;/Star&gt;&lt;Tag&gt;0&lt;/Tag&gt;&lt;Author&gt;Lv, P; Zhang, P; Li, X; Chen, Y&lt;/Author&gt;&lt;Year&gt;2015&lt;/Year&gt;&lt;Details&gt;&lt;_accession_num&gt;26557918&lt;/_accession_num&gt;&lt;_author_adr&gt;Department of Cardiothoracic Surgery, Tianjin Medical University General Hospital Tianjin, China.; Department of Cardiothoracic Surgery, Tianjin Medical University General Hospital Tianjin, China.; Department of Cardiothoracic Surgery, Tianjin Medical University General Hospital Tianjin, China.; Department of Cardiothoracic Surgery, Tianjin Medical University General Hospital Tianjin, China.&lt;/_author_adr&gt;&lt;_date_display&gt;2015 Nov&lt;/_date_display&gt;&lt;_date&gt;2015-11-01&lt;/_date&gt;&lt;_doi&gt;10.1111/1759-7714.12283&lt;/_doi&gt;&lt;_isbn&gt;1759-7706 (Print); 1759-7706 (Linking)&lt;/_isbn&gt;&lt;_issue&gt;6&lt;/_issue&gt;&lt;_journal&gt;Thorac Cancer&lt;/_journal&gt;&lt;_keywords&gt;COX-2; lung cancer; miRNA-101&lt;/_keywords&gt;&lt;_language&gt;eng&lt;/_language&gt;&lt;_pages&gt;778-84&lt;/_pages&gt;&lt;_tertiary_title&gt;Thoracic cancer&lt;/_tertiary_title&gt;&lt;_type_work&gt;Journal Article&lt;/_type_work&gt;&lt;_url&gt;http://www.ncbi.nlm.nih.gov/entrez/query.fcgi?cmd=Retrieve&amp;amp;db=pubmed&amp;amp;dopt=Abstract&amp;amp;list_uids=26557918&amp;amp;query_hl=1&lt;/_url&gt;&lt;_volume&gt;6&lt;/_volume&gt;&lt;_created&gt;60950152&lt;/_created&gt;&lt;_modified&gt;60950152&lt;/_modified&gt;&lt;_impact_factor&gt;   0.898&lt;/_impact_factor&gt;&lt;_collection_scope&gt;SCIE;&lt;/_collection_scope&gt;&lt;/Details&gt;&lt;Extra&gt;&lt;DBUID&gt;{DE509FB4-0C85-4E2B-BBB9-210FED694D73}&lt;/DBUID&gt;&lt;/Extra&gt;&lt;/Item&gt;&lt;/References&gt;&lt;/Group&gt;&lt;/Citation&gt;_x000a_"/>
    <w:docVar w:name="NE.Ref{E5F217FA-400C-401E-96E8-C64D5ADBB917}" w:val=" ADDIN NE.Ref.{E5F217FA-400C-401E-96E8-C64D5ADBB917}&lt;Citation&gt;&lt;Group&gt;&lt;References&gt;&lt;Item&gt;&lt;ID&gt;8344&lt;/ID&gt;&lt;UID&gt;{BC6A794F-02E6-47AA-8956-37A429708928}&lt;/UID&gt;&lt;Title&gt;Clinical significance of Cox-2, Survivin and Bcl-2 expression in hepatocellular carcinoma (HCC)&lt;/Title&gt;&lt;Template&gt;Journal Article&lt;/Template&gt;&lt;Star&gt;0&lt;/Star&gt;&lt;Tag&gt;0&lt;/Tag&gt;&lt;Author&gt;Yang, Y; Zhu, J; Gou, H; Cao, D; Jiang, M; Hou, M&lt;/Author&gt;&lt;Year&gt;2011&lt;/Year&gt;&lt;Details&gt;&lt;_accession_num&gt;20401641&lt;/_accession_num&gt;&lt;_author_adr&gt;Department of Medical Oncology, Cancer Center of West China Hospital, Sichuan University, Chengdu, China.&lt;/_author_adr&gt;&lt;_collection_scope&gt;SCIE;&lt;/_collection_scope&gt;&lt;_created&gt;61149209&lt;/_created&gt;&lt;_date&gt;2011-09-01&lt;/_date&gt;&lt;_date_display&gt;2011 Sep&lt;/_date_display&gt;&lt;_doi&gt;10.1007/s12032-010-9519-y&lt;/_doi&gt;&lt;_impact_factor&gt;   2.634&lt;/_impact_factor&gt;&lt;_isbn&gt;1559-131X (Electronic); 1357-0560 (Linking)&lt;/_isbn&gt;&lt;_issue&gt;3&lt;/_issue&gt;&lt;_journal&gt;Med Oncol&lt;/_journal&gt;&lt;_keywords&gt;Adult; Aged; Biomarkers, Tumor/analysis; Carcinoma, Hepatocellular/*metabolism/mortality; Cyclooxygenase 2/*biosynthesis; Female; Humans; Immunohistochemistry; Inhibitor of Apoptosis Proteins/*biosynthesis; Kaplan-Meier Estimate; Liver Neoplasms/*metabolism/mortality; Male; Middle Aged; Prognosis; Proportional Hazards Models; Proto-Oncogene Proteins c-bcl-2/*biosynthesis&lt;/_keywords&gt;&lt;_language&gt;eng&lt;/_language&gt;&lt;_modified&gt;61149214&lt;/_modified&gt;&lt;_pages&gt;796-803&lt;/_pages&gt;&lt;_tertiary_title&gt;Medical oncology (Northwood, London, England)&lt;/_tertiary_title&gt;&lt;_type_work&gt;Journal Article&lt;/_type_work&gt;&lt;_url&gt;http://www.ncbi.nlm.nih.gov/entrez/query.fcgi?cmd=Retrieve&amp;amp;db=pubmed&amp;amp;dopt=Abstract&amp;amp;list_uids=20401641&amp;amp;query_hl=1&lt;/_url&gt;&lt;_volume&gt;28&lt;/_volume&gt;&lt;/Details&gt;&lt;Extra&gt;&lt;DBUID&gt;{DE509FB4-0C85-4E2B-BBB9-210FED694D73}&lt;/DBUID&gt;&lt;/Extra&gt;&lt;/Item&gt;&lt;/References&gt;&lt;/Group&gt;&lt;Group&gt;&lt;References&gt;&lt;Item&gt;&lt;ID&gt;8345&lt;/ID&gt;&lt;UID&gt;{05640005-EE17-4607-8958-8C8CBD4964DD}&lt;/UID&gt;&lt;Title&gt;Lack of influence of cyclooxygenese-2 expression in hepatocellular carcinomas on  patient survival&lt;/Title&gt;&lt;Template&gt;Journal Article&lt;/Template&gt;&lt;Star&gt;0&lt;/Star&gt;&lt;Tag&gt;0&lt;/Tag&gt;&lt;Author&gt;Yildirim, Y; Ozyilkan, O; Bilezikci, B; Akcali, Z; Haberal, M&lt;/Author&gt;&lt;Year&gt;2008&lt;/Year&gt;&lt;Details&gt;&lt;_accession_num&gt;18712978&lt;/_accession_num&gt;&lt;_author_adr&gt;Department of Medical Oncology, Faculty of Medicine, Baskent University, Fevzi Cakmak Caddesi 12. Sokak 7/5 TR 06490 Bahcelievler, Ankara, Turkey. dryesimyildirim@yahoo.com&lt;/_author_adr&gt;&lt;_created&gt;61149209&lt;/_created&gt;&lt;_date&gt;2008-04-01&lt;/_date&gt;&lt;_date_display&gt;2008 Apr-Jun&lt;/_date_display&gt;&lt;_impact_factor&gt;   2.514&lt;/_impact_factor&gt;&lt;_isbn&gt;1513-7368 (Print); 1513-7368 (Linking)&lt;/_isbn&gt;&lt;_issue&gt;2&lt;/_issue&gt;&lt;_journal&gt;Asian Pac J Cancer Prev&lt;/_journal&gt;&lt;_keywords&gt;Aged; Carcinoma, Hepatocellular/*enzymology/mortality/virology; Cyclooxygenase 2/*metabolism; Female; Hepacivirus/isolation &amp;amp; purification; Hepatitis B/complications/pathology/virology; Hepatitis B virus/isolation &amp;amp; purification; Hepatitis C/complications/pathology/virology; Humans; Immunoenzyme Techniques; Liver Neoplasms/*enzymology/mortality/virology; Male; Middle Aged; Prognosis; Survival Rate&lt;/_keywords&gt;&lt;_language&gt;eng&lt;/_language&gt;&lt;_modified&gt;61149214&lt;/_modified&gt;&lt;_pages&gt;295-8&lt;/_pages&gt;&lt;_tertiary_title&gt;Asian Pacific journal of cancer prevention : APJCP&lt;/_tertiary_title&gt;&lt;_type_work&gt;Journal Article&lt;/_type_work&gt;&lt;_url&gt;http://www.ncbi.nlm.nih.gov/entrez/query.fcgi?cmd=Retrieve&amp;amp;db=pubmed&amp;amp;dopt=Abstract&amp;amp;list_uids=18712978&amp;amp;query_hl=1&lt;/_url&gt;&lt;_volume&gt;9&lt;/_volume&gt;&lt;/Details&gt;&lt;Extra&gt;&lt;DBUID&gt;{DE509FB4-0C85-4E2B-BBB9-210FED694D73}&lt;/DBUID&gt;&lt;/Extra&gt;&lt;/Item&gt;&lt;/References&gt;&lt;/Group&gt;&lt;Group&gt;&lt;References&gt;&lt;Item&gt;&lt;ID&gt;8346&lt;/ID&gt;&lt;UID&gt;{5686D9FE-D4F0-40FC-A968-67E4914CC442}&lt;/UID&gt;&lt;Title&gt;Differential expression of E-prostanoid receptors in human hepatocellular carcinoma&lt;/Title&gt;&lt;Template&gt;Journal Article&lt;/Template&gt;&lt;Star&gt;0&lt;/Star&gt;&lt;Tag&gt;0&lt;/Tag&gt;&lt;Author&gt;Breinig, M; Rieker, R; Eiteneuer, E; Wertenbruch, T; Haugg, A M; Helmke, B M; Schirmacher, P; Kern, M A&lt;/Author&gt;&lt;Year&gt;2008&lt;/Year&gt;&lt;Details&gt;&lt;_accession_num&gt;17918156&lt;/_accession_num&gt;&lt;_author_adr&gt;Department of General Pathology, University Hospital, 69120 Heidelberg, Germany.&lt;/_author_adr&gt;&lt;_collection_scope&gt;SCI;SCIE;&lt;/_collection_scope&gt;&lt;_created&gt;61149209&lt;/_created&gt;&lt;_date&gt;2008-02-01&lt;/_date&gt;&lt;_date_display&gt;2008 Feb 1&lt;/_date_display&gt;&lt;_doi&gt;10.1002/ijc.23098&lt;/_doi&gt;&lt;_impact_factor&gt;   5.085&lt;/_impact_factor&gt;&lt;_isbn&gt;1097-0215 (Electronic); 0020-7136 (Linking)&lt;/_isbn&gt;&lt;_issue&gt;3&lt;/_issue&gt;&lt;_journal&gt;Int J Cancer&lt;/_journal&gt;&lt;_keywords&gt;Apoptosis/*drug effects; Blotting, Western; Carcinoma, Hepatocellular/etiology/*metabolism/pathology; Cell Survival/drug effects; Cyclooxygenase 2/*metabolism; Female; Humans; Immunoenzyme Techniques; Intramolecular Oxidoreductases/metabolism; Liver/drug effects/metabolism/pathology; Liver Cirrhosis/etiology/metabolism/pathology; Liver Neoplasms/etiology/metabolism/pathology; Male; Receptors, Prostaglandin E/*metabolism; Tissue Array Analysis&lt;/_keywords&gt;&lt;_language&gt;eng&lt;/_language&gt;&lt;_modified&gt;61149214&lt;/_modified&gt;&lt;_ori_publication&gt;(c) 2007 Wiley-Liss, Inc.&lt;/_ori_publication&gt;&lt;_pages&gt;547-57&lt;/_pages&gt;&lt;_tertiary_title&gt;International journal of cancer&lt;/_tertiary_title&gt;&lt;_type_work&gt;Comparative Study; Journal Article; Research Support, Non-U.S. Gov&amp;apos;t&lt;/_type_work&gt;&lt;_url&gt;http://www.ncbi.nlm.nih.gov/entrez/query.fcgi?cmd=Retrieve&amp;amp;db=pubmed&amp;amp;dopt=Abstract&amp;amp;list_uids=17918156&amp;amp;query_hl=1&lt;/_url&gt;&lt;_volume&gt;122&lt;/_volume&gt;&lt;/Details&gt;&lt;Extra&gt;&lt;DBUID&gt;{DE509FB4-0C85-4E2B-BBB9-210FED694D73}&lt;/DBUID&gt;&lt;/Extra&gt;&lt;/Item&gt;&lt;/References&gt;&lt;/Group&gt;&lt;Group&gt;&lt;References&gt;&lt;Item&gt;&lt;ID&gt;8347&lt;/ID&gt;&lt;UID&gt;{79676C86-93C4-4846-8ABD-BCDF72786F89}&lt;/UID&gt;&lt;Title&gt;Expression of cyclooxygenase-2 in human hepatocellular carcinoma: relevance to tumor dedifferentiation&lt;/Title&gt;&lt;Template&gt;Journal Article&lt;/Template&gt;&lt;Star&gt;0&lt;/Star&gt;&lt;Tag&gt;0&lt;/Tag&gt;&lt;Author&gt;Koga, H; Sakisaka, S; Ohishi, M; Kawaguchi, T; Taniguchi, E; Sasatomi, K; Harada, M; Kusaba, T; Tanaka, M; Kimura, R; Nakashima, Y; Nakashima, O; Kojiro, M; Kurohiji, T; Sata, M&lt;/Author&gt;&lt;Year&gt;1999&lt;/Year&gt;&lt;Details&gt;&lt;_accession_num&gt;10051469&lt;/_accession_num&gt;&lt;_author_adr&gt;Second Department of Medicine, Kurume University Research Center for Innovative Cancer Therapy, Kurume, Japan. hirokoga@med.kurume-u.ac.jp&lt;/_author_adr&gt;&lt;_collection_scope&gt;SCI;SCIE;&lt;/_collection_scope&gt;&lt;_created&gt;61149209&lt;/_created&gt;&lt;_date&gt;1999-03-01&lt;/_date&gt;&lt;_date_display&gt;1999 Mar&lt;/_date_display&gt;&lt;_doi&gt;10.1002/hep.510290355&lt;/_doi&gt;&lt;_impact_factor&gt;  11.055&lt;/_impact_factor&gt;&lt;_isbn&gt;0270-9139 (Print); 0270-9139 (Linking)&lt;/_isbn&gt;&lt;_issue&gt;3&lt;/_issue&gt;&lt;_journal&gt;Hepatology&lt;/_journal&gt;&lt;_keywords&gt;Adult; Aged; Blotting, Western; Carcinoma, Hepatocellular/*enzymology/pathology; Cyclooxygenase 1; Cyclooxygenase 2; Female; Humans; Immunohistochemistry; Isoenzymes/*metabolism; Liver Neoplasms/*enzymology/pathology; Male; Membrane Proteins; Middle Aged; Prostaglandin-Endoperoxide Synthases/*metabolism&lt;/_keywords&gt;&lt;_language&gt;eng&lt;/_language&gt;&lt;_modified&gt;61149214&lt;/_modified&gt;&lt;_pages&gt;688-96&lt;/_pages&gt;&lt;_tertiary_title&gt;Hepatology (Baltimore, Md.)&lt;/_tertiary_title&gt;&lt;_type_work&gt;Journal Article&lt;/_type_work&gt;&lt;_url&gt;http://www.ncbi.nlm.nih.gov/entrez/query.fcgi?cmd=Retrieve&amp;amp;db=pubmed&amp;amp;dopt=Abstract&amp;amp;list_uids=10051469&amp;amp;query_hl=1&lt;/_url&gt;&lt;_volume&gt;29&lt;/_volume&gt;&lt;/Details&gt;&lt;Extra&gt;&lt;DBUID&gt;{DE509FB4-0C85-4E2B-BBB9-210FED694D73}&lt;/DBUID&gt;&lt;/Extra&gt;&lt;/Item&gt;&lt;/References&gt;&lt;/Group&gt;&lt;/Citation&gt;_x000a_"/>
    <w:docVar w:name="NE.Ref{E8C2F668-396F-45D9-929D-75BA8DFAC155}" w:val=" ADDIN NE.Ref.{E8C2F668-396F-45D9-929D-75BA8DFAC155} ADDIN NE.Ref.{E8C2F668-396F-45D9-929D-75BA8DFAC155}&lt;Citation&gt;&lt;Group&gt;&lt;References&gt;&lt;Item&gt;&lt;ID&gt;8392&lt;/ID&gt;&lt;UID&gt;{693E3EC8-C386-4EB3-BF20-2C8B08CAF58E}&lt;/UID&gt;&lt;Title&gt;Up-regulation of cyclooxygenase 2 and matrix metalloproteinases-2 and -9 in cutaneous squamous cell carcinoma: active role of inflammation and tissue remodeling in carcinogenesis&lt;/Title&gt;&lt;Template&gt;Journal Article&lt;/Template&gt;&lt;Star&gt;0&lt;/Star&gt;&lt;Tag&gt;0&lt;/Tag&gt;&lt;Author&gt;Lee, J H; Piao, M S; Choi, J Y; Yun, S J; Lee, J B; Lee, S C&lt;/Author&gt;&lt;Year&gt;2013&lt;/Year&gt;&lt;Details&gt;&lt;_accession_num&gt;23717003&lt;/_accession_num&gt;&lt;_author_adr&gt;Department of Dermatology, Chonnam National University Medical School, Gwangju, Korea.&lt;/_author_adr&gt;&lt;_date_display&gt;2013 May&lt;/_date_display&gt;&lt;_date&gt;2013-05-01&lt;/_date&gt;&lt;_doi&gt;10.5021/ad.2013.25.2.145&lt;/_doi&gt;&lt;_isbn&gt;1013-9087 (Print); 1013-9087 (Linking)&lt;/_isbn&gt;&lt;_issue&gt;2&lt;/_issue&gt;&lt;_journal&gt;Ann Dermatol&lt;/_journal&gt;&lt;_keywords&gt;Cyclooxygenase 2; MMP-2; MMP-9; SCC&lt;/_keywords&gt;&lt;_language&gt;eng&lt;/_language&gt;&lt;_pages&gt;145-51&lt;/_pages&gt;&lt;_tertiary_title&gt;Annals of dermatology&lt;/_tertiary_title&gt;&lt;_type_work&gt;Journal Article&lt;/_type_work&gt;&lt;_url&gt;http://www.ncbi.nlm.nih.gov/entrez/query.fcgi?cmd=Retrieve&amp;amp;db=pubmed&amp;amp;dopt=Abstract&amp;amp;list_uids=23717003&amp;amp;query_hl=1&lt;/_url&gt;&lt;_volume&gt;25&lt;/_volume&gt;&lt;_created&gt;60950404&lt;/_created&gt;&lt;_modified&gt;60950404&lt;/_modified&gt;&lt;_impact_factor&gt;   1.393&lt;/_impact_factor&gt;&lt;_collection_scope&gt;SCIE;&lt;/_collection_scope&gt;&lt;/Details&gt;&lt;Extra&gt;&lt;DBUID&gt;{DE509FB4-0C85-4E2B-BBB9-210FED694D73}&lt;/DBUID&gt;&lt;/Extra&gt;&lt;/Item&gt;&lt;/References&gt;&lt;/Group&gt;&lt;Group&gt;&lt;References&gt;&lt;Item&gt;&lt;ID&gt;8393&lt;/ID&gt;&lt;UID&gt;{7FDA63CB-BD69-4EA9-9C1E-FC5B7AA6CF40}&lt;/UID&gt;&lt;Title&gt;Clinical relevance of cyclooxygenase-2 and matrix metalloproteinases (MMP-2 and MT1-MMP) in human breast cancer tissue&lt;/Title&gt;&lt;Template&gt;Journal Article&lt;/Template&gt;&lt;Star&gt;0&lt;/Star&gt;&lt;Tag&gt;0&lt;/Tag&gt;&lt;Author&gt;Mohammad, M A; Zeeneldin, A A; Abd, Elmageed ZY; Khalil, E H; Mahdy, S M; Sharada, H M; Sharawy, S K; Abdel-Wahab, A H&lt;/Author&gt;&lt;Year&gt;2012&lt;/Year&gt;&lt;Details&gt;&lt;_accession_num&gt;22527932&lt;/_accession_num&gt;&lt;_author_adr&gt;Department of Cancer Biology, National Cancer Institute, Cairo University, 1 Kasr El-Aini St, Cairo, Egypt.&lt;/_author_adr&gt;&lt;_date_display&gt;2012 Jul&lt;/_date_display&gt;&lt;_date&gt;2012-07-01&lt;/_date&gt;&lt;_doi&gt;10.1007/s11010-012-1305-z&lt;/_doi&gt;&lt;_isbn&gt;1573-4919 (Electronic); 0300-8177 (Linking)&lt;/_isbn&gt;&lt;_issue&gt;1-2&lt;/_issue&gt;&lt;_journal&gt;Mol Cell Biochem&lt;/_journal&gt;&lt;_keywords&gt;Adult; Breast Neoplasms/*enzymology/mortality/pathology; Carcinoma, Ductal, Breast/*enzymology/mortality/pathology; Cyclooxygenase 2/*metabolism; Female; Humans; Kaplan-Meier Estimate; Matrix Metalloproteinase 14/*metabolism; Matrix Metalloproteinase 2/*metabolism; Matrix Metalloproteinase 9/metabolism; Middle Aged; Neoplasm Staging; Tumor Burden&lt;/_keywords&gt;&lt;_language&gt;eng&lt;/_language&gt;&lt;_pages&gt;269-75&lt;/_pages&gt;&lt;_tertiary_title&gt;Molecular and cellular biochemistry&lt;/_tertiary_title&gt;&lt;_type_work&gt;Journal Article; Research Support, Non-U.S. Gov&amp;apos;t&lt;/_type_work&gt;&lt;_url&gt;http://www.ncbi.nlm.nih.gov/entrez/query.fcgi?cmd=Retrieve&amp;amp;db=pubmed&amp;amp;dopt=Abstract&amp;amp;list_uids=22527932&amp;amp;query_hl=1&lt;/_url&gt;&lt;_volume&gt;366&lt;/_volume&gt;&lt;_created&gt;60950405&lt;/_created&gt;&lt;_modified&gt;60950405&lt;/_modified&gt;&lt;_impact_factor&gt;   2.393&lt;/_impact_factor&gt;&lt;_collection_scope&gt;SCI;SCIE;&lt;/_collection_scope&gt;&lt;/Details&gt;&lt;Extra&gt;&lt;DBUID&gt;{DE509FB4-0C85-4E2B-BBB9-210FED694D73}&lt;/DBUID&gt;&lt;/Extra&gt;&lt;/Item&gt;&lt;/References&gt;&lt;/Group&gt;&lt;Group&gt;&lt;References&gt;&lt;Item&gt;&lt;ID&gt;8394&lt;/ID&gt;&lt;UID&gt;{DE65E4CA-A92F-4172-AA79-883A160B2488}&lt;/UID&gt;&lt;Title&gt;Expression of 15-hydroxyprostaglandin dehydrogenase and cyclooxygenase-2 in non-small cell lung cancer: Correlations with angiogenesis and prognosis&lt;/Title&gt;&lt;Template&gt;Journal Article&lt;/Template&gt;&lt;Star&gt;0&lt;/Star&gt;&lt;Tag&gt;0&lt;/Tag&gt;&lt;Author&gt;Li, Y; Li, S; Sun, D; Song, L; Liu, X&lt;/Author&gt;&lt;Year&gt;2014&lt;/Year&gt;&lt;Details&gt;&lt;_accession_num&gt;25202373&lt;/_accession_num&gt;&lt;_author_adr&gt;Center of Gerontology and Geriatrics, West China Hospital, West China Medical School, Sichuan University, Chengdu, Sichuan 610041, P.R. China.; National Key Laboratory of Biotherapy, West China Hospital, West China Medical School, Sichuan University, Chengdu, Sichuan 610041, P.R. China.; Department of Geriatrics, Peking University First Hospital, Beijing 100034, P.R.  China.; Department of Geriatrics, Peking University First Hospital, Beijing 100034, P.R.  China.; Department of Geriatrics, Peking University First Hospital, Beijing 100034, P.R.  China.&lt;/_author_adr&gt;&lt;_date_display&gt;2014 Oct&lt;/_date_display&gt;&lt;_date&gt;2014-10-01&lt;/_date&gt;&lt;_doi&gt;10.3892/ol.2014.2371&lt;/_doi&gt;&lt;_isbn&gt;1792-1074 (Print); 1792-1074 (Linking)&lt;/_isbn&gt;&lt;_issue&gt;4&lt;/_issue&gt;&lt;_journal&gt;Oncol Lett&lt;/_journal&gt;&lt;_keywords&gt;15-hydroxyprostaglandin dehydrogenase; angiogenesis; cyclooxygenase-2; non-small cell lung cancer; prognosis&lt;/_keywords&gt;&lt;_language&gt;ENG&lt;/_language&gt;&lt;_pages&gt;1589-1594&lt;/_pages&gt;&lt;_tertiary_title&gt;Oncology letters&lt;/_tertiary_title&gt;&lt;_type_work&gt;JOURNAL ARTICLE&lt;/_type_work&gt;&lt;_url&gt;http://www.ncbi.nlm.nih.gov/entrez/query.fcgi?cmd=Retrieve&amp;amp;db=pubmed&amp;amp;dopt=Abstract&amp;amp;list_uids=25202373&amp;amp;query_hl=1&lt;/_url&gt;&lt;_volume&gt;8&lt;/_volume&gt;&lt;_created&gt;60950405&lt;/_created&gt;&lt;_modified&gt;60950405&lt;/_modified&gt;&lt;_impact_factor&gt;   1.554&lt;/_impact_factor&gt;&lt;_collection_scope&gt;SCIE;&lt;/_collection_scope&gt;&lt;/Details&gt;&lt;Extra&gt;&lt;DBUID&gt;{DE509FB4-0C85-4E2B-BBB9-210FED694D73}&lt;/DBUID&gt;&lt;/Extra&gt;&lt;/Item&gt;&lt;/References&gt;&lt;/Group&gt;&lt;/Citation&gt;_x000a_"/>
    <w:docVar w:name="NE.Ref{EFD14FC1-5A89-42C4-B379-D6629D914563}" w:val=" ADDIN NE.Ref.{EFD14FC1-5A89-42C4-B379-D6629D914563} ADDIN NE.Ref.{EFD14FC1-5A89-42C4-B379-D6629D914563}&lt;Citation&gt;&lt;Group&gt;&lt;References&gt;&lt;Item&gt;&lt;ID&gt;8379&lt;/ID&gt;&lt;UID&gt;{1D604481-6FC3-48E2-AB65-8BFE8B02AA51}&lt;/UID&gt;&lt;Title&gt;Lysyl oxidase plays a critical role in endothelial cell stimulation to drive tumor angiogenesis&lt;/Title&gt;&lt;Template&gt;Journal Article&lt;/Template&gt;&lt;Star&gt;0&lt;/Star&gt;&lt;Tag&gt;0&lt;/Tag&gt;&lt;Author&gt;Baker, A M; Bird, D; Welti, J C; Gourlaouen, M; Lang, G; Murray, G I; Reynolds, A R; Cox, T R; Erler, J T&lt;/Author&gt;&lt;Year&gt;2013&lt;/Year&gt;&lt;Details&gt;&lt;_accession_num&gt;23188504&lt;/_accession_num&gt;&lt;_author_adr&gt;Hypoxia and Metastasis Team, The Institute of Cancer Research, London, UK.&lt;/_author_adr&gt;&lt;_date_display&gt;2013 Jan 15&lt;/_date_display&gt;&lt;_date&gt;2013-01-15&lt;/_date&gt;&lt;_doi&gt;10.1158/0008-5472.CAN-12-2447&lt;/_doi&gt;&lt;_isbn&gt;1538-7445 (Electronic); 0008-5472 (Linking)&lt;/_isbn&gt;&lt;_issue&gt;2&lt;/_issue&gt;&lt;_journal&gt;Cancer Res&lt;/_journal&gt;&lt;_keywords&gt;Animals; Breast Neoplasms/metabolism; Cell Line, Tumor; Cell Movement; Colorectal Neoplasms/*blood supply/*metabolism; Endothelial Cells/*metabolism/pathology; Female; Humans; Mice; Mice, Nude; Neoplasm Transplantation; Neovascularization, Pathologic/*metabolism; Protein-Lysine 6-Oxidase/antagonists &amp;amp; inhibitors/*metabolism; Signal Transduction; Vascular Endothelial Growth Factor A/metabolism&lt;/_keywords&gt;&lt;_language&gt;eng&lt;/_language&gt;&lt;_pages&gt;583-94&lt;/_pages&gt;&lt;_tertiary_title&gt;Cancer research&lt;/_tertiary_title&gt;&lt;_type_work&gt;Journal Article; Research Support, Non-U.S. Gov&amp;apos;t&lt;/_type_work&gt;&lt;_url&gt;http://www.ncbi.nlm.nih.gov/entrez/query.fcgi?cmd=Retrieve&amp;amp;db=pubmed&amp;amp;dopt=Abstract&amp;amp;list_uids=23188504&amp;amp;query_hl=1&lt;/_url&gt;&lt;_volume&gt;73&lt;/_volume&gt;&lt;_created&gt;60929061&lt;/_created&gt;&lt;_modified&gt;60929061&lt;/_modified&gt;&lt;_impact_factor&gt;   9.329&lt;/_impact_factor&gt;&lt;_collection_scope&gt;SCI;SCIE;&lt;/_collection_scope&gt;&lt;/Details&gt;&lt;Extra&gt;&lt;DBUID&gt;{DE509FB4-0C85-4E2B-BBB9-210FED694D73}&lt;/DBUID&gt;&lt;/Extra&gt;&lt;/Item&gt;&lt;/References&gt;&lt;/Group&gt;&lt;/Citation&gt;_x000a_"/>
    <w:docVar w:name="NE.Ref{FCCD6D85-62EC-4775-AF36-44E938CABA0C}" w:val=" ADDIN NE.Ref.{FCCD6D85-62EC-4775-AF36-44E938CABA0C}&lt;Citation&gt;&lt;Group&gt;&lt;References&gt;&lt;Item&gt;&lt;ID&gt;8385&lt;/ID&gt;&lt;UID&gt;{B08C5E4C-9263-424E-920D-9DB6118EC5D4}&lt;/UID&gt;&lt;Title&gt;Genetic and pharmacological analysis of prostanoid receptor function&lt;/Title&gt;&lt;Template&gt;Journal Article&lt;/Template&gt;&lt;Star&gt;0&lt;/Star&gt;&lt;Tag&gt;0&lt;/Tag&gt;&lt;Author&gt;Narumiya, S; FitzGerald, G A&lt;/Author&gt;&lt;Year&gt;2001&lt;/Year&gt;&lt;Details&gt;&lt;_accession_num&gt;11435452&lt;/_accession_num&gt;&lt;_author_adr&gt;Department of Pharmacology, Kyoto University Faculty of Medicine, Kyoto, Japan. snaru@mfour.med.kyoto-u.ac.jp&lt;/_author_adr&gt;&lt;_date_display&gt;2001 Jul&lt;/_date_display&gt;&lt;_date&gt;2001-07-01&lt;/_date&gt;&lt;_doi&gt;10.1172/JCI13455&lt;/_doi&gt;&lt;_isbn&gt;0021-9738 (Print); 0021-9738 (Linking)&lt;/_isbn&gt;&lt;_issue&gt;1&lt;/_issue&gt;&lt;_journal&gt;J Clin Invest&lt;/_journal&gt;&lt;_keywords&gt;Animals; Aspirin/therapeutic use; Biological Transport; Bone Resorption; Cell Nucleus/drug effects/metabolism; Colonic Neoplasms/enzymology/prevention &amp;amp; control; Cyclooxygenase Inhibitors/therapeutic use; Drug Design; Female; Fever/etiology; GTP-Binding Proteins/physiology; Humans; Hypersensitivity/metabolism; Inflammation; Ischemia/physiopathology; Mice; Mice, Knockout; Neovascularization, Pathologic/drug therapy; Pain/etiology; Placenta/blood supply; Pregnancy; Prostaglandin Antagonists/pharmacology/therapeutic use; Prostaglandins/agonists/metabolism; Protein Structure, Tertiary; Receptors, Prostaglandin/chemistry/classification/drug_x000d__x000a_      effects/genetics/*physiology; Receptors, Thromboxane/chemistry/classification/drug effects/genetics/*physiology; Signal Transduction; Thromboxanes/metabolism; Vasodilation/physiology&lt;/_keywords&gt;&lt;_language&gt;eng&lt;/_language&gt;&lt;_pages&gt;25-30&lt;/_pages&gt;&lt;_tertiary_title&gt;The Journal of clinical investigation&lt;/_tertiary_title&gt;&lt;_type_work&gt;Journal Article; Review&lt;/_type_work&gt;&lt;_url&gt;http://www.ncbi.nlm.nih.gov/entrez/query.fcgi?cmd=Retrieve&amp;amp;db=pubmed&amp;amp;dopt=Abstract&amp;amp;list_uids=11435452&amp;amp;query_hl=1&lt;/_url&gt;&lt;_volume&gt;108&lt;/_volume&gt;&lt;_created&gt;61150224&lt;/_created&gt;&lt;_modified&gt;61150224&lt;/_modified&gt;&lt;_impact_factor&gt;  13.215&lt;/_impact_factor&gt;&lt;_collection_scope&gt;SCI;SCIE;&lt;/_collection_scope&gt;&lt;/Details&gt;&lt;Extra&gt;&lt;DBUID&gt;{DE509FB4-0C85-4E2B-BBB9-210FED694D73}&lt;/DBUID&gt;&lt;/Extra&gt;&lt;/Item&gt;&lt;/References&gt;&lt;/Group&gt;&lt;/Citation&gt;_x000a_"/>
    <w:docVar w:name="ne_docsoft" w:val="MSWord"/>
    <w:docVar w:name="ne_docversion" w:val="NoteExpress 2.0"/>
    <w:docVar w:name="ne_stylename" w:val="World J Gastroenterology"/>
  </w:docVars>
  <w:rsids>
    <w:rsidRoot w:val="00F03234"/>
    <w:rsid w:val="000079BD"/>
    <w:rsid w:val="00007C9C"/>
    <w:rsid w:val="00011FB9"/>
    <w:rsid w:val="00015726"/>
    <w:rsid w:val="00020477"/>
    <w:rsid w:val="00021AA3"/>
    <w:rsid w:val="00024AE8"/>
    <w:rsid w:val="000273A3"/>
    <w:rsid w:val="00030F6D"/>
    <w:rsid w:val="00033766"/>
    <w:rsid w:val="00056C03"/>
    <w:rsid w:val="00060CFA"/>
    <w:rsid w:val="00064236"/>
    <w:rsid w:val="00065216"/>
    <w:rsid w:val="000757EC"/>
    <w:rsid w:val="000859BD"/>
    <w:rsid w:val="000A76E8"/>
    <w:rsid w:val="000B414A"/>
    <w:rsid w:val="000C286E"/>
    <w:rsid w:val="000C7A9A"/>
    <w:rsid w:val="000D4FB3"/>
    <w:rsid w:val="000D5DD2"/>
    <w:rsid w:val="000E5BA3"/>
    <w:rsid w:val="000F093D"/>
    <w:rsid w:val="00116C8D"/>
    <w:rsid w:val="00123EAA"/>
    <w:rsid w:val="0013171D"/>
    <w:rsid w:val="00133D73"/>
    <w:rsid w:val="001352E9"/>
    <w:rsid w:val="00137CCE"/>
    <w:rsid w:val="0014211F"/>
    <w:rsid w:val="00142E56"/>
    <w:rsid w:val="00145BFD"/>
    <w:rsid w:val="001566DD"/>
    <w:rsid w:val="00161FBE"/>
    <w:rsid w:val="00165D16"/>
    <w:rsid w:val="00172C93"/>
    <w:rsid w:val="001731E3"/>
    <w:rsid w:val="001748C9"/>
    <w:rsid w:val="00177BF1"/>
    <w:rsid w:val="001802B5"/>
    <w:rsid w:val="00181A96"/>
    <w:rsid w:val="00194E62"/>
    <w:rsid w:val="00196FBA"/>
    <w:rsid w:val="001B21BD"/>
    <w:rsid w:val="001C0096"/>
    <w:rsid w:val="001C1FAD"/>
    <w:rsid w:val="001C3772"/>
    <w:rsid w:val="001C5418"/>
    <w:rsid w:val="001C67E1"/>
    <w:rsid w:val="001D12E9"/>
    <w:rsid w:val="001D2B88"/>
    <w:rsid w:val="001D2B9B"/>
    <w:rsid w:val="001E0604"/>
    <w:rsid w:val="001E23CB"/>
    <w:rsid w:val="001E7919"/>
    <w:rsid w:val="001F0141"/>
    <w:rsid w:val="001F3CCC"/>
    <w:rsid w:val="0020165E"/>
    <w:rsid w:val="00225036"/>
    <w:rsid w:val="0022759B"/>
    <w:rsid w:val="0023135D"/>
    <w:rsid w:val="002543E6"/>
    <w:rsid w:val="002645D6"/>
    <w:rsid w:val="0027261B"/>
    <w:rsid w:val="002743C8"/>
    <w:rsid w:val="00292160"/>
    <w:rsid w:val="00292CD7"/>
    <w:rsid w:val="002A09EE"/>
    <w:rsid w:val="002A1218"/>
    <w:rsid w:val="002A278F"/>
    <w:rsid w:val="002B08AA"/>
    <w:rsid w:val="002B4456"/>
    <w:rsid w:val="002C7879"/>
    <w:rsid w:val="002D0588"/>
    <w:rsid w:val="002D39C1"/>
    <w:rsid w:val="002E0A77"/>
    <w:rsid w:val="002E0E11"/>
    <w:rsid w:val="002E1FB5"/>
    <w:rsid w:val="002E472C"/>
    <w:rsid w:val="002F3453"/>
    <w:rsid w:val="00311706"/>
    <w:rsid w:val="003141BC"/>
    <w:rsid w:val="003162C1"/>
    <w:rsid w:val="003200C9"/>
    <w:rsid w:val="00322768"/>
    <w:rsid w:val="003263B4"/>
    <w:rsid w:val="0033114E"/>
    <w:rsid w:val="00332AD0"/>
    <w:rsid w:val="003339E3"/>
    <w:rsid w:val="00343676"/>
    <w:rsid w:val="0035111B"/>
    <w:rsid w:val="00371B18"/>
    <w:rsid w:val="0037319F"/>
    <w:rsid w:val="00373DDA"/>
    <w:rsid w:val="003861E6"/>
    <w:rsid w:val="0039040D"/>
    <w:rsid w:val="00393D9E"/>
    <w:rsid w:val="003A3766"/>
    <w:rsid w:val="003A3D20"/>
    <w:rsid w:val="003A450C"/>
    <w:rsid w:val="003A644B"/>
    <w:rsid w:val="003B519E"/>
    <w:rsid w:val="003C3450"/>
    <w:rsid w:val="003C57DC"/>
    <w:rsid w:val="003C7426"/>
    <w:rsid w:val="003D2815"/>
    <w:rsid w:val="003D508C"/>
    <w:rsid w:val="003E6F02"/>
    <w:rsid w:val="003F0FF5"/>
    <w:rsid w:val="003F16E6"/>
    <w:rsid w:val="003F21A9"/>
    <w:rsid w:val="003F268F"/>
    <w:rsid w:val="003F53FF"/>
    <w:rsid w:val="003F6BB0"/>
    <w:rsid w:val="00403363"/>
    <w:rsid w:val="0040608A"/>
    <w:rsid w:val="00415035"/>
    <w:rsid w:val="00417B59"/>
    <w:rsid w:val="00423C53"/>
    <w:rsid w:val="00434719"/>
    <w:rsid w:val="00450AC3"/>
    <w:rsid w:val="00453CC0"/>
    <w:rsid w:val="00453DE5"/>
    <w:rsid w:val="00457BDF"/>
    <w:rsid w:val="0046090D"/>
    <w:rsid w:val="00462A3E"/>
    <w:rsid w:val="00470A26"/>
    <w:rsid w:val="00470F0D"/>
    <w:rsid w:val="00470FDE"/>
    <w:rsid w:val="00471296"/>
    <w:rsid w:val="00473631"/>
    <w:rsid w:val="00485DB7"/>
    <w:rsid w:val="00490A48"/>
    <w:rsid w:val="0049319C"/>
    <w:rsid w:val="004A041F"/>
    <w:rsid w:val="004A0488"/>
    <w:rsid w:val="004B1B00"/>
    <w:rsid w:val="004B571B"/>
    <w:rsid w:val="004C7AA6"/>
    <w:rsid w:val="004D18CC"/>
    <w:rsid w:val="004D3B71"/>
    <w:rsid w:val="004D4841"/>
    <w:rsid w:val="004D7CA5"/>
    <w:rsid w:val="004E065E"/>
    <w:rsid w:val="004E1077"/>
    <w:rsid w:val="004E34C1"/>
    <w:rsid w:val="004E393B"/>
    <w:rsid w:val="00500895"/>
    <w:rsid w:val="0050231F"/>
    <w:rsid w:val="005047E4"/>
    <w:rsid w:val="00504E55"/>
    <w:rsid w:val="00505B63"/>
    <w:rsid w:val="00510CE9"/>
    <w:rsid w:val="0051210B"/>
    <w:rsid w:val="00525798"/>
    <w:rsid w:val="00527D69"/>
    <w:rsid w:val="00531387"/>
    <w:rsid w:val="005327B4"/>
    <w:rsid w:val="005406A3"/>
    <w:rsid w:val="00542A75"/>
    <w:rsid w:val="0054459F"/>
    <w:rsid w:val="00555606"/>
    <w:rsid w:val="0056345D"/>
    <w:rsid w:val="0056622A"/>
    <w:rsid w:val="00575ECB"/>
    <w:rsid w:val="005929AB"/>
    <w:rsid w:val="005A3FBD"/>
    <w:rsid w:val="005C2F97"/>
    <w:rsid w:val="005D1D1B"/>
    <w:rsid w:val="005D27CC"/>
    <w:rsid w:val="005D784F"/>
    <w:rsid w:val="005E0A41"/>
    <w:rsid w:val="005E3878"/>
    <w:rsid w:val="005E4B4C"/>
    <w:rsid w:val="005E5540"/>
    <w:rsid w:val="005F31EC"/>
    <w:rsid w:val="00602E98"/>
    <w:rsid w:val="006034DE"/>
    <w:rsid w:val="00611CDC"/>
    <w:rsid w:val="00612F54"/>
    <w:rsid w:val="00613860"/>
    <w:rsid w:val="006200D8"/>
    <w:rsid w:val="006251FC"/>
    <w:rsid w:val="0062546B"/>
    <w:rsid w:val="006271F1"/>
    <w:rsid w:val="00627D19"/>
    <w:rsid w:val="00627E9E"/>
    <w:rsid w:val="00637997"/>
    <w:rsid w:val="00644780"/>
    <w:rsid w:val="00644BA3"/>
    <w:rsid w:val="0066439D"/>
    <w:rsid w:val="006664CB"/>
    <w:rsid w:val="00682A7E"/>
    <w:rsid w:val="006839D5"/>
    <w:rsid w:val="006843F9"/>
    <w:rsid w:val="006856A8"/>
    <w:rsid w:val="006860F5"/>
    <w:rsid w:val="00690F68"/>
    <w:rsid w:val="00694438"/>
    <w:rsid w:val="00694579"/>
    <w:rsid w:val="006951AA"/>
    <w:rsid w:val="00697BB2"/>
    <w:rsid w:val="006B25AA"/>
    <w:rsid w:val="006B28B9"/>
    <w:rsid w:val="006C1409"/>
    <w:rsid w:val="006E331F"/>
    <w:rsid w:val="006E77D1"/>
    <w:rsid w:val="006F2FE0"/>
    <w:rsid w:val="006F479F"/>
    <w:rsid w:val="006F5D11"/>
    <w:rsid w:val="00707596"/>
    <w:rsid w:val="007135C7"/>
    <w:rsid w:val="00714714"/>
    <w:rsid w:val="00714997"/>
    <w:rsid w:val="00722025"/>
    <w:rsid w:val="00734856"/>
    <w:rsid w:val="0074227B"/>
    <w:rsid w:val="00751DBF"/>
    <w:rsid w:val="007635BB"/>
    <w:rsid w:val="00780401"/>
    <w:rsid w:val="0078054C"/>
    <w:rsid w:val="0079164E"/>
    <w:rsid w:val="00797BF9"/>
    <w:rsid w:val="007B3D1C"/>
    <w:rsid w:val="007C30C3"/>
    <w:rsid w:val="007C44F4"/>
    <w:rsid w:val="007D38E0"/>
    <w:rsid w:val="007D38F4"/>
    <w:rsid w:val="007D41B1"/>
    <w:rsid w:val="007F31BD"/>
    <w:rsid w:val="007F32F5"/>
    <w:rsid w:val="007F373C"/>
    <w:rsid w:val="007F37F9"/>
    <w:rsid w:val="007F42D8"/>
    <w:rsid w:val="007F5D38"/>
    <w:rsid w:val="008060EF"/>
    <w:rsid w:val="00810AA5"/>
    <w:rsid w:val="00813CBC"/>
    <w:rsid w:val="00837946"/>
    <w:rsid w:val="008514A7"/>
    <w:rsid w:val="00873805"/>
    <w:rsid w:val="00882165"/>
    <w:rsid w:val="00890D06"/>
    <w:rsid w:val="00892D96"/>
    <w:rsid w:val="00895EB3"/>
    <w:rsid w:val="00896541"/>
    <w:rsid w:val="008A239F"/>
    <w:rsid w:val="008A2797"/>
    <w:rsid w:val="008B11FA"/>
    <w:rsid w:val="008C59F4"/>
    <w:rsid w:val="008C730E"/>
    <w:rsid w:val="008D132A"/>
    <w:rsid w:val="008D1F5B"/>
    <w:rsid w:val="008D5A80"/>
    <w:rsid w:val="008E0F37"/>
    <w:rsid w:val="008E1441"/>
    <w:rsid w:val="008F1310"/>
    <w:rsid w:val="008F4A3D"/>
    <w:rsid w:val="00903045"/>
    <w:rsid w:val="009060B7"/>
    <w:rsid w:val="009145F0"/>
    <w:rsid w:val="00921CB4"/>
    <w:rsid w:val="009272C2"/>
    <w:rsid w:val="009366E8"/>
    <w:rsid w:val="00943E29"/>
    <w:rsid w:val="009440EC"/>
    <w:rsid w:val="00944E48"/>
    <w:rsid w:val="00952B19"/>
    <w:rsid w:val="00960918"/>
    <w:rsid w:val="00967186"/>
    <w:rsid w:val="009705CF"/>
    <w:rsid w:val="0097074D"/>
    <w:rsid w:val="00975ECA"/>
    <w:rsid w:val="0097687B"/>
    <w:rsid w:val="009779B4"/>
    <w:rsid w:val="00984ADE"/>
    <w:rsid w:val="009900CD"/>
    <w:rsid w:val="009B3512"/>
    <w:rsid w:val="009B3EAE"/>
    <w:rsid w:val="009B440C"/>
    <w:rsid w:val="009B6168"/>
    <w:rsid w:val="009B65A4"/>
    <w:rsid w:val="009B7057"/>
    <w:rsid w:val="009C0DF9"/>
    <w:rsid w:val="009D13A5"/>
    <w:rsid w:val="009E1240"/>
    <w:rsid w:val="00A001E6"/>
    <w:rsid w:val="00A057C3"/>
    <w:rsid w:val="00A112AA"/>
    <w:rsid w:val="00A11E15"/>
    <w:rsid w:val="00A16FA1"/>
    <w:rsid w:val="00A25920"/>
    <w:rsid w:val="00A32979"/>
    <w:rsid w:val="00A32C4A"/>
    <w:rsid w:val="00A4407D"/>
    <w:rsid w:val="00A44351"/>
    <w:rsid w:val="00A647AF"/>
    <w:rsid w:val="00A650B4"/>
    <w:rsid w:val="00A67858"/>
    <w:rsid w:val="00A73ADC"/>
    <w:rsid w:val="00A75237"/>
    <w:rsid w:val="00A75A1A"/>
    <w:rsid w:val="00A80333"/>
    <w:rsid w:val="00A818CE"/>
    <w:rsid w:val="00A84989"/>
    <w:rsid w:val="00A86203"/>
    <w:rsid w:val="00A8790E"/>
    <w:rsid w:val="00A95563"/>
    <w:rsid w:val="00AA4D59"/>
    <w:rsid w:val="00AA4F52"/>
    <w:rsid w:val="00AB076D"/>
    <w:rsid w:val="00AC6297"/>
    <w:rsid w:val="00AC7692"/>
    <w:rsid w:val="00AC7E13"/>
    <w:rsid w:val="00AD2335"/>
    <w:rsid w:val="00AD32D1"/>
    <w:rsid w:val="00AD5F88"/>
    <w:rsid w:val="00AF03BD"/>
    <w:rsid w:val="00AF71A3"/>
    <w:rsid w:val="00B03E7F"/>
    <w:rsid w:val="00B07250"/>
    <w:rsid w:val="00B1509D"/>
    <w:rsid w:val="00B1783D"/>
    <w:rsid w:val="00B258D3"/>
    <w:rsid w:val="00B368B1"/>
    <w:rsid w:val="00B42A12"/>
    <w:rsid w:val="00B4469C"/>
    <w:rsid w:val="00B45BBB"/>
    <w:rsid w:val="00B549A3"/>
    <w:rsid w:val="00B54DEB"/>
    <w:rsid w:val="00B606FF"/>
    <w:rsid w:val="00B61D11"/>
    <w:rsid w:val="00B66BEE"/>
    <w:rsid w:val="00B813CA"/>
    <w:rsid w:val="00B86A19"/>
    <w:rsid w:val="00BA07D6"/>
    <w:rsid w:val="00BA100E"/>
    <w:rsid w:val="00BA1C77"/>
    <w:rsid w:val="00BA1F4E"/>
    <w:rsid w:val="00BB7595"/>
    <w:rsid w:val="00BC363E"/>
    <w:rsid w:val="00BC66B1"/>
    <w:rsid w:val="00BD218B"/>
    <w:rsid w:val="00BD2BCE"/>
    <w:rsid w:val="00BD3F38"/>
    <w:rsid w:val="00BD50B1"/>
    <w:rsid w:val="00BD5912"/>
    <w:rsid w:val="00BD6484"/>
    <w:rsid w:val="00BE2DB1"/>
    <w:rsid w:val="00BE5F37"/>
    <w:rsid w:val="00C018B1"/>
    <w:rsid w:val="00C05F40"/>
    <w:rsid w:val="00C249A4"/>
    <w:rsid w:val="00C2554C"/>
    <w:rsid w:val="00C32F12"/>
    <w:rsid w:val="00C33A26"/>
    <w:rsid w:val="00C347CD"/>
    <w:rsid w:val="00C410FE"/>
    <w:rsid w:val="00C43692"/>
    <w:rsid w:val="00C47A4B"/>
    <w:rsid w:val="00C5039C"/>
    <w:rsid w:val="00C50944"/>
    <w:rsid w:val="00C67694"/>
    <w:rsid w:val="00C70ABC"/>
    <w:rsid w:val="00C73266"/>
    <w:rsid w:val="00C734B0"/>
    <w:rsid w:val="00C73BB3"/>
    <w:rsid w:val="00C75396"/>
    <w:rsid w:val="00C76116"/>
    <w:rsid w:val="00C772CA"/>
    <w:rsid w:val="00C95B1B"/>
    <w:rsid w:val="00CA2ED3"/>
    <w:rsid w:val="00CA547C"/>
    <w:rsid w:val="00CB221F"/>
    <w:rsid w:val="00CB53A6"/>
    <w:rsid w:val="00CC1FA3"/>
    <w:rsid w:val="00CC22C7"/>
    <w:rsid w:val="00CC26BA"/>
    <w:rsid w:val="00CC417B"/>
    <w:rsid w:val="00CC41CB"/>
    <w:rsid w:val="00CD111F"/>
    <w:rsid w:val="00CD2F78"/>
    <w:rsid w:val="00CD3177"/>
    <w:rsid w:val="00CD692C"/>
    <w:rsid w:val="00CD6A20"/>
    <w:rsid w:val="00CF253F"/>
    <w:rsid w:val="00D00015"/>
    <w:rsid w:val="00D00122"/>
    <w:rsid w:val="00D0073F"/>
    <w:rsid w:val="00D04C70"/>
    <w:rsid w:val="00D165AD"/>
    <w:rsid w:val="00D22955"/>
    <w:rsid w:val="00D34A56"/>
    <w:rsid w:val="00D43CD0"/>
    <w:rsid w:val="00D704CF"/>
    <w:rsid w:val="00D70F1B"/>
    <w:rsid w:val="00D77881"/>
    <w:rsid w:val="00D803C6"/>
    <w:rsid w:val="00D8255D"/>
    <w:rsid w:val="00D87561"/>
    <w:rsid w:val="00D879E5"/>
    <w:rsid w:val="00D9103C"/>
    <w:rsid w:val="00DA2836"/>
    <w:rsid w:val="00DB042A"/>
    <w:rsid w:val="00DB7215"/>
    <w:rsid w:val="00DB78EE"/>
    <w:rsid w:val="00DC0A64"/>
    <w:rsid w:val="00DC1677"/>
    <w:rsid w:val="00DC617F"/>
    <w:rsid w:val="00DC6CC3"/>
    <w:rsid w:val="00DD0F02"/>
    <w:rsid w:val="00DD4D89"/>
    <w:rsid w:val="00DE0317"/>
    <w:rsid w:val="00DE4203"/>
    <w:rsid w:val="00DE4410"/>
    <w:rsid w:val="00DF4164"/>
    <w:rsid w:val="00DF5365"/>
    <w:rsid w:val="00E01944"/>
    <w:rsid w:val="00E040A7"/>
    <w:rsid w:val="00E05882"/>
    <w:rsid w:val="00E13FFC"/>
    <w:rsid w:val="00E31949"/>
    <w:rsid w:val="00E31C76"/>
    <w:rsid w:val="00E34B3D"/>
    <w:rsid w:val="00E43854"/>
    <w:rsid w:val="00E47ECC"/>
    <w:rsid w:val="00E5173A"/>
    <w:rsid w:val="00E54081"/>
    <w:rsid w:val="00E5558F"/>
    <w:rsid w:val="00E60998"/>
    <w:rsid w:val="00E62498"/>
    <w:rsid w:val="00E6532C"/>
    <w:rsid w:val="00E66F4B"/>
    <w:rsid w:val="00E81EA5"/>
    <w:rsid w:val="00E84979"/>
    <w:rsid w:val="00E968F4"/>
    <w:rsid w:val="00EA4E4F"/>
    <w:rsid w:val="00EA6C3B"/>
    <w:rsid w:val="00EB1592"/>
    <w:rsid w:val="00EB1D5B"/>
    <w:rsid w:val="00EB7243"/>
    <w:rsid w:val="00EC0295"/>
    <w:rsid w:val="00ED2FC8"/>
    <w:rsid w:val="00ED3363"/>
    <w:rsid w:val="00ED6731"/>
    <w:rsid w:val="00EE0F8B"/>
    <w:rsid w:val="00EE2480"/>
    <w:rsid w:val="00EE74D1"/>
    <w:rsid w:val="00EF5696"/>
    <w:rsid w:val="00F0190E"/>
    <w:rsid w:val="00F03234"/>
    <w:rsid w:val="00F06800"/>
    <w:rsid w:val="00F246D2"/>
    <w:rsid w:val="00F30863"/>
    <w:rsid w:val="00F361C7"/>
    <w:rsid w:val="00F43C59"/>
    <w:rsid w:val="00F44075"/>
    <w:rsid w:val="00F46831"/>
    <w:rsid w:val="00F502B3"/>
    <w:rsid w:val="00F50916"/>
    <w:rsid w:val="00F525D1"/>
    <w:rsid w:val="00F5642A"/>
    <w:rsid w:val="00F64180"/>
    <w:rsid w:val="00F67A80"/>
    <w:rsid w:val="00F706F5"/>
    <w:rsid w:val="00F911EA"/>
    <w:rsid w:val="00FA0729"/>
    <w:rsid w:val="00FB7EA5"/>
    <w:rsid w:val="00FC1111"/>
    <w:rsid w:val="00FC5C45"/>
    <w:rsid w:val="00FD0384"/>
    <w:rsid w:val="00FD0977"/>
    <w:rsid w:val="00FE476C"/>
    <w:rsid w:val="00FF2E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222181E-8DE5-4B88-B67D-AB754EFEA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0A64"/>
  </w:style>
  <w:style w:type="paragraph" w:styleId="Heading1">
    <w:name w:val="heading 1"/>
    <w:basedOn w:val="Normal"/>
    <w:next w:val="Normal"/>
    <w:link w:val="Heading1Char"/>
    <w:uiPriority w:val="9"/>
    <w:qFormat/>
    <w:rsid w:val="00DC0A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DC0A6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C0A6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C0A6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C0A64"/>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C0A64"/>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C0A6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C0A64"/>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DC0A6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323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F03234"/>
    <w:rPr>
      <w:sz w:val="18"/>
      <w:szCs w:val="18"/>
    </w:rPr>
  </w:style>
  <w:style w:type="paragraph" w:styleId="Footer">
    <w:name w:val="footer"/>
    <w:basedOn w:val="Normal"/>
    <w:link w:val="FooterChar"/>
    <w:uiPriority w:val="99"/>
    <w:unhideWhenUsed/>
    <w:rsid w:val="00F03234"/>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F03234"/>
    <w:rPr>
      <w:sz w:val="18"/>
      <w:szCs w:val="18"/>
    </w:rPr>
  </w:style>
  <w:style w:type="character" w:styleId="CommentReference">
    <w:name w:val="annotation reference"/>
    <w:basedOn w:val="DefaultParagraphFont"/>
    <w:uiPriority w:val="99"/>
    <w:semiHidden/>
    <w:unhideWhenUsed/>
    <w:rsid w:val="009440EC"/>
    <w:rPr>
      <w:sz w:val="18"/>
      <w:szCs w:val="18"/>
    </w:rPr>
  </w:style>
  <w:style w:type="paragraph" w:styleId="CommentText">
    <w:name w:val="annotation text"/>
    <w:basedOn w:val="Normal"/>
    <w:link w:val="CommentTextChar"/>
    <w:uiPriority w:val="99"/>
    <w:semiHidden/>
    <w:unhideWhenUsed/>
    <w:rsid w:val="009440EC"/>
    <w:rPr>
      <w:sz w:val="24"/>
      <w:szCs w:val="24"/>
    </w:rPr>
  </w:style>
  <w:style w:type="character" w:customStyle="1" w:styleId="CommentTextChar">
    <w:name w:val="Comment Text Char"/>
    <w:basedOn w:val="DefaultParagraphFont"/>
    <w:link w:val="CommentText"/>
    <w:uiPriority w:val="99"/>
    <w:semiHidden/>
    <w:rsid w:val="009440EC"/>
    <w:rPr>
      <w:sz w:val="24"/>
      <w:szCs w:val="24"/>
    </w:rPr>
  </w:style>
  <w:style w:type="paragraph" w:styleId="BalloonText">
    <w:name w:val="Balloon Text"/>
    <w:basedOn w:val="Normal"/>
    <w:link w:val="BalloonTextChar"/>
    <w:uiPriority w:val="99"/>
    <w:semiHidden/>
    <w:unhideWhenUsed/>
    <w:rsid w:val="009440EC"/>
    <w:rPr>
      <w:sz w:val="18"/>
      <w:szCs w:val="18"/>
    </w:rPr>
  </w:style>
  <w:style w:type="character" w:customStyle="1" w:styleId="BalloonTextChar">
    <w:name w:val="Balloon Text Char"/>
    <w:basedOn w:val="DefaultParagraphFont"/>
    <w:link w:val="BalloonText"/>
    <w:uiPriority w:val="99"/>
    <w:semiHidden/>
    <w:rsid w:val="009440EC"/>
    <w:rPr>
      <w:sz w:val="18"/>
      <w:szCs w:val="18"/>
    </w:rPr>
  </w:style>
  <w:style w:type="character" w:customStyle="1" w:styleId="Heading1Char">
    <w:name w:val="Heading 1 Char"/>
    <w:basedOn w:val="DefaultParagraphFont"/>
    <w:link w:val="Heading1"/>
    <w:uiPriority w:val="9"/>
    <w:rsid w:val="00DC0A6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DC0A6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DC0A6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DC0A6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DC0A6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DC0A6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DC0A6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DC0A64"/>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DC0A64"/>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DC0A64"/>
    <w:pPr>
      <w:spacing w:line="240" w:lineRule="auto"/>
    </w:pPr>
    <w:rPr>
      <w:b/>
      <w:bCs/>
      <w:color w:val="4F81BD" w:themeColor="accent1"/>
      <w:sz w:val="18"/>
      <w:szCs w:val="18"/>
    </w:rPr>
  </w:style>
  <w:style w:type="paragraph" w:styleId="Title">
    <w:name w:val="Title"/>
    <w:basedOn w:val="Normal"/>
    <w:next w:val="Normal"/>
    <w:link w:val="TitleChar"/>
    <w:uiPriority w:val="10"/>
    <w:qFormat/>
    <w:rsid w:val="00DC0A6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C0A64"/>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DC0A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C0A64"/>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DC0A64"/>
    <w:rPr>
      <w:b/>
      <w:bCs/>
    </w:rPr>
  </w:style>
  <w:style w:type="character" w:styleId="Emphasis">
    <w:name w:val="Emphasis"/>
    <w:basedOn w:val="DefaultParagraphFont"/>
    <w:uiPriority w:val="20"/>
    <w:qFormat/>
    <w:rsid w:val="00DC0A64"/>
    <w:rPr>
      <w:i/>
      <w:iCs/>
    </w:rPr>
  </w:style>
  <w:style w:type="paragraph" w:styleId="NoSpacing">
    <w:name w:val="No Spacing"/>
    <w:uiPriority w:val="1"/>
    <w:qFormat/>
    <w:rsid w:val="00DC0A64"/>
    <w:pPr>
      <w:spacing w:after="0" w:line="240" w:lineRule="auto"/>
    </w:pPr>
  </w:style>
  <w:style w:type="paragraph" w:styleId="ListParagraph">
    <w:name w:val="List Paragraph"/>
    <w:basedOn w:val="Normal"/>
    <w:uiPriority w:val="34"/>
    <w:qFormat/>
    <w:rsid w:val="00DC0A64"/>
    <w:pPr>
      <w:ind w:left="720"/>
      <w:contextualSpacing/>
    </w:pPr>
  </w:style>
  <w:style w:type="paragraph" w:styleId="Quote">
    <w:name w:val="Quote"/>
    <w:basedOn w:val="Normal"/>
    <w:next w:val="Normal"/>
    <w:link w:val="QuoteChar"/>
    <w:uiPriority w:val="29"/>
    <w:qFormat/>
    <w:rsid w:val="00DC0A64"/>
    <w:rPr>
      <w:i/>
      <w:iCs/>
      <w:color w:val="000000" w:themeColor="text1"/>
    </w:rPr>
  </w:style>
  <w:style w:type="character" w:customStyle="1" w:styleId="QuoteChar">
    <w:name w:val="Quote Char"/>
    <w:basedOn w:val="DefaultParagraphFont"/>
    <w:link w:val="Quote"/>
    <w:uiPriority w:val="29"/>
    <w:rsid w:val="00DC0A64"/>
    <w:rPr>
      <w:i/>
      <w:iCs/>
      <w:color w:val="000000" w:themeColor="text1"/>
    </w:rPr>
  </w:style>
  <w:style w:type="paragraph" w:styleId="IntenseQuote">
    <w:name w:val="Intense Quote"/>
    <w:basedOn w:val="Normal"/>
    <w:next w:val="Normal"/>
    <w:link w:val="IntenseQuoteChar"/>
    <w:uiPriority w:val="30"/>
    <w:qFormat/>
    <w:rsid w:val="00DC0A6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C0A64"/>
    <w:rPr>
      <w:b/>
      <w:bCs/>
      <w:i/>
      <w:iCs/>
      <w:color w:val="4F81BD" w:themeColor="accent1"/>
    </w:rPr>
  </w:style>
  <w:style w:type="character" w:styleId="SubtleEmphasis">
    <w:name w:val="Subtle Emphasis"/>
    <w:basedOn w:val="DefaultParagraphFont"/>
    <w:uiPriority w:val="19"/>
    <w:qFormat/>
    <w:rsid w:val="00DC0A64"/>
    <w:rPr>
      <w:i/>
      <w:iCs/>
      <w:color w:val="808080" w:themeColor="text1" w:themeTint="7F"/>
    </w:rPr>
  </w:style>
  <w:style w:type="character" w:styleId="IntenseEmphasis">
    <w:name w:val="Intense Emphasis"/>
    <w:basedOn w:val="DefaultParagraphFont"/>
    <w:uiPriority w:val="21"/>
    <w:qFormat/>
    <w:rsid w:val="00DC0A64"/>
    <w:rPr>
      <w:b/>
      <w:bCs/>
      <w:i/>
      <w:iCs/>
      <w:color w:val="4F81BD" w:themeColor="accent1"/>
    </w:rPr>
  </w:style>
  <w:style w:type="character" w:styleId="SubtleReference">
    <w:name w:val="Subtle Reference"/>
    <w:basedOn w:val="DefaultParagraphFont"/>
    <w:uiPriority w:val="31"/>
    <w:qFormat/>
    <w:rsid w:val="00DC0A64"/>
    <w:rPr>
      <w:smallCaps/>
      <w:color w:val="C0504D" w:themeColor="accent2"/>
      <w:u w:val="single"/>
    </w:rPr>
  </w:style>
  <w:style w:type="character" w:styleId="IntenseReference">
    <w:name w:val="Intense Reference"/>
    <w:basedOn w:val="DefaultParagraphFont"/>
    <w:uiPriority w:val="32"/>
    <w:qFormat/>
    <w:rsid w:val="00DC0A64"/>
    <w:rPr>
      <w:b/>
      <w:bCs/>
      <w:smallCaps/>
      <w:color w:val="C0504D" w:themeColor="accent2"/>
      <w:spacing w:val="5"/>
      <w:u w:val="single"/>
    </w:rPr>
  </w:style>
  <w:style w:type="character" w:styleId="BookTitle">
    <w:name w:val="Book Title"/>
    <w:basedOn w:val="DefaultParagraphFont"/>
    <w:uiPriority w:val="33"/>
    <w:qFormat/>
    <w:rsid w:val="00DC0A64"/>
    <w:rPr>
      <w:b/>
      <w:bCs/>
      <w:smallCaps/>
      <w:spacing w:val="5"/>
    </w:rPr>
  </w:style>
  <w:style w:type="paragraph" w:styleId="TOCHeading">
    <w:name w:val="TOC Heading"/>
    <w:basedOn w:val="Heading1"/>
    <w:next w:val="Normal"/>
    <w:uiPriority w:val="39"/>
    <w:semiHidden/>
    <w:unhideWhenUsed/>
    <w:qFormat/>
    <w:rsid w:val="00DC0A64"/>
    <w:pPr>
      <w:outlineLvl w:val="9"/>
    </w:pPr>
  </w:style>
  <w:style w:type="table" w:styleId="TableGrid">
    <w:name w:val="Table Grid"/>
    <w:basedOn w:val="TableNormal"/>
    <w:uiPriority w:val="59"/>
    <w:rsid w:val="00FD0977"/>
    <w:pPr>
      <w:spacing w:after="0" w:line="240" w:lineRule="auto"/>
    </w:pPr>
    <w:rPr>
      <w:kern w:val="2"/>
      <w:sz w:val="21"/>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225036"/>
    <w:rPr>
      <w:color w:val="0000FF" w:themeColor="hyperlink"/>
      <w:u w:val="single"/>
    </w:rPr>
  </w:style>
  <w:style w:type="paragraph" w:customStyle="1" w:styleId="1">
    <w:name w:val="正文1"/>
    <w:uiPriority w:val="99"/>
    <w:rsid w:val="00225036"/>
    <w:pPr>
      <w:spacing w:after="0"/>
    </w:pPr>
    <w:rPr>
      <w:rFonts w:ascii="Arial" w:eastAsia="SimSun" w:hAnsi="Arial" w:cs="Arial"/>
      <w:color w:val="000000"/>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0843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yhj894924067@163.com" TargetMode="External"/><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creativecommons.org/licenses/by-nc/4.0/" TargetMode="External"/><Relationship Id="rId12" Type="http://schemas.openxmlformats.org/officeDocument/2006/relationships/image" Target="media/image4.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cdsdyrmyy01@163.com.%20Participants" TargetMode="External"/><Relationship Id="rId11" Type="http://schemas.openxmlformats.org/officeDocument/2006/relationships/image" Target="media/image3.tiff"/><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2.tiff"/><Relationship Id="rId4" Type="http://schemas.openxmlformats.org/officeDocument/2006/relationships/footnotes" Target="footnote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5028</Words>
  <Characters>28662</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33623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NE.Rep</dc:description>
  <cp:lastModifiedBy>LS Ma</cp:lastModifiedBy>
  <cp:revision>2</cp:revision>
  <dcterms:created xsi:type="dcterms:W3CDTF">2016-08-30T01:33:00Z</dcterms:created>
  <dcterms:modified xsi:type="dcterms:W3CDTF">2016-08-30T01:33:00Z</dcterms:modified>
</cp:coreProperties>
</file>