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D878" w14:textId="4DF2A902" w:rsidR="008071B3" w:rsidRPr="00210035" w:rsidRDefault="008071B3" w:rsidP="00187707">
      <w:pPr>
        <w:widowControl/>
        <w:wordWrap/>
        <w:autoSpaceDE/>
        <w:autoSpaceDN/>
        <w:spacing w:after="0"/>
        <w:rPr>
          <w:rFonts w:eastAsiaTheme="majorEastAsia" w:cstheme="majorBidi"/>
          <w:b/>
        </w:rPr>
      </w:pPr>
      <w:bookmarkStart w:id="0" w:name="OLE_LINK545"/>
      <w:bookmarkStart w:id="1" w:name="OLE_LINK546"/>
      <w:bookmarkStart w:id="2" w:name="OLE_LINK592"/>
      <w:r w:rsidRPr="00210035">
        <w:rPr>
          <w:b/>
        </w:rPr>
        <w:t xml:space="preserve">Name of </w:t>
      </w:r>
      <w:r w:rsidR="00EE74B9" w:rsidRPr="00210035">
        <w:rPr>
          <w:b/>
        </w:rPr>
        <w:t>journal</w:t>
      </w:r>
      <w:r w:rsidRPr="00210035">
        <w:rPr>
          <w:b/>
        </w:rPr>
        <w:t xml:space="preserve">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r w:rsidRPr="00210035">
        <w:rPr>
          <w:b/>
          <w:i/>
        </w:rPr>
        <w:t xml:space="preserve">World Journal of </w:t>
      </w:r>
      <w:bookmarkStart w:id="8" w:name="OLE_LINK1222"/>
      <w:bookmarkStart w:id="9" w:name="OLE_LINK1223"/>
      <w:r w:rsidRPr="00210035">
        <w:rPr>
          <w:b/>
          <w:i/>
        </w:rPr>
        <w:t>Gastroenterology</w:t>
      </w:r>
      <w:bookmarkEnd w:id="3"/>
      <w:bookmarkEnd w:id="4"/>
      <w:bookmarkEnd w:id="5"/>
      <w:bookmarkEnd w:id="6"/>
      <w:bookmarkEnd w:id="7"/>
      <w:bookmarkEnd w:id="8"/>
      <w:bookmarkEnd w:id="9"/>
    </w:p>
    <w:p w14:paraId="1C78B04E" w14:textId="05B97F99" w:rsidR="00EE74B9" w:rsidRPr="00210035" w:rsidRDefault="00EE74B9" w:rsidP="00187707">
      <w:pPr>
        <w:wordWrap/>
        <w:adjustRightInd w:val="0"/>
        <w:snapToGrid w:val="0"/>
        <w:spacing w:after="0"/>
        <w:rPr>
          <w:rFonts w:eastAsia="SimSun" w:cs="Arial"/>
          <w:b/>
          <w:color w:val="000000"/>
          <w:szCs w:val="24"/>
          <w:lang w:eastAsia="zh-CN"/>
        </w:rPr>
      </w:pPr>
      <w:r w:rsidRPr="00210035">
        <w:rPr>
          <w:rFonts w:cs="Arial"/>
          <w:b/>
          <w:color w:val="000000"/>
          <w:szCs w:val="24"/>
        </w:rPr>
        <w:t>ESPS Manuscript N</w:t>
      </w:r>
      <w:r w:rsidR="00187707">
        <w:rPr>
          <w:rFonts w:cs="Arial"/>
          <w:b/>
          <w:color w:val="000000"/>
          <w:szCs w:val="24"/>
        </w:rPr>
        <w:t>o</w:t>
      </w:r>
      <w:r w:rsidRPr="00210035">
        <w:rPr>
          <w:rFonts w:cs="Arial"/>
          <w:b/>
          <w:color w:val="000000"/>
          <w:szCs w:val="24"/>
        </w:rPr>
        <w:t xml:space="preserve">: </w:t>
      </w:r>
      <w:r w:rsidR="00DB1E36" w:rsidRPr="00210035">
        <w:rPr>
          <w:rFonts w:eastAsia="SimSun" w:cs="Arial"/>
          <w:b/>
          <w:color w:val="000000"/>
          <w:szCs w:val="24"/>
          <w:lang w:eastAsia="zh-CN"/>
        </w:rPr>
        <w:t>28052</w:t>
      </w:r>
    </w:p>
    <w:p w14:paraId="76A5341B" w14:textId="74416811" w:rsidR="008071B3" w:rsidRDefault="008071B3" w:rsidP="00187707">
      <w:pPr>
        <w:wordWrap/>
        <w:spacing w:after="0"/>
        <w:ind w:left="-5" w:right="662"/>
        <w:rPr>
          <w:rFonts w:eastAsia="DengXian"/>
          <w:b/>
          <w:lang w:eastAsia="zh-CN"/>
        </w:rPr>
      </w:pPr>
      <w:r w:rsidRPr="00210035">
        <w:rPr>
          <w:b/>
        </w:rPr>
        <w:t xml:space="preserve">Manuscript </w:t>
      </w:r>
      <w:r w:rsidR="0079707D" w:rsidRPr="00210035">
        <w:rPr>
          <w:b/>
        </w:rPr>
        <w:t>t</w:t>
      </w:r>
      <w:r w:rsidRPr="00210035">
        <w:rPr>
          <w:b/>
        </w:rPr>
        <w:t>ype:</w:t>
      </w:r>
      <w:r w:rsidRPr="00210035">
        <w:rPr>
          <w:b/>
          <w:iCs/>
        </w:rPr>
        <w:t xml:space="preserve"> </w:t>
      </w:r>
      <w:r w:rsidR="00E70A1E">
        <w:rPr>
          <w:b/>
        </w:rPr>
        <w:t>ORIGINAL ARTICLE</w:t>
      </w:r>
    </w:p>
    <w:p w14:paraId="0C424FBC" w14:textId="77777777" w:rsidR="00E70A1E" w:rsidRPr="00E70A1E" w:rsidRDefault="00E70A1E" w:rsidP="00E70A1E">
      <w:pPr>
        <w:wordWrap/>
        <w:spacing w:after="0"/>
        <w:ind w:left="-5" w:right="662"/>
        <w:rPr>
          <w:rFonts w:eastAsia="DengXian"/>
          <w:b/>
          <w:i/>
          <w:iCs/>
          <w:lang w:eastAsia="zh-CN"/>
        </w:rPr>
      </w:pPr>
    </w:p>
    <w:p w14:paraId="59492341" w14:textId="52EE0141" w:rsidR="007B6D55" w:rsidRPr="006827E8" w:rsidRDefault="00E70A1E" w:rsidP="00E70A1E">
      <w:pPr>
        <w:wordWrap/>
        <w:spacing w:after="0"/>
        <w:rPr>
          <w:rFonts w:eastAsia="SimSun"/>
          <w:b/>
          <w:i/>
          <w:szCs w:val="24"/>
          <w:lang w:eastAsia="zh-CN"/>
        </w:rPr>
      </w:pPr>
      <w:r w:rsidRPr="006827E8">
        <w:rPr>
          <w:rFonts w:eastAsia="SimSun"/>
          <w:b/>
          <w:i/>
          <w:szCs w:val="24"/>
          <w:lang w:eastAsia="zh-CN"/>
        </w:rPr>
        <w:t>Observational Study</w:t>
      </w:r>
    </w:p>
    <w:bookmarkEnd w:id="0"/>
    <w:bookmarkEnd w:id="1"/>
    <w:bookmarkEnd w:id="2"/>
    <w:p w14:paraId="5FA27CFB" w14:textId="23B56D43" w:rsidR="008071B3" w:rsidRPr="00E70A1E" w:rsidRDefault="008071B3" w:rsidP="00E70A1E">
      <w:pPr>
        <w:widowControl/>
        <w:wordWrap/>
        <w:autoSpaceDE/>
        <w:autoSpaceDN/>
        <w:spacing w:after="0"/>
        <w:rPr>
          <w:b/>
        </w:rPr>
      </w:pPr>
      <w:r w:rsidRPr="00E70A1E">
        <w:rPr>
          <w:b/>
        </w:rPr>
        <w:t xml:space="preserve">Clinical features of HBsAg seroclearance </w:t>
      </w:r>
      <w:r w:rsidR="00873100" w:rsidRPr="00E70A1E">
        <w:rPr>
          <w:b/>
        </w:rPr>
        <w:t>in</w:t>
      </w:r>
      <w:r w:rsidRPr="00E70A1E">
        <w:rPr>
          <w:b/>
        </w:rPr>
        <w:t xml:space="preserve"> hepatitis B virus carriers in </w:t>
      </w:r>
      <w:r w:rsidR="00440060" w:rsidRPr="00440060">
        <w:rPr>
          <w:b/>
        </w:rPr>
        <w:t>South Korea</w:t>
      </w:r>
      <w:r w:rsidR="006559EC" w:rsidRPr="00E70A1E">
        <w:rPr>
          <w:b/>
        </w:rPr>
        <w:t xml:space="preserve">: </w:t>
      </w:r>
      <w:r w:rsidR="00BB3987" w:rsidRPr="00E70A1E">
        <w:rPr>
          <w:b/>
        </w:rPr>
        <w:t>A</w:t>
      </w:r>
      <w:r w:rsidR="006559EC" w:rsidRPr="00E70A1E">
        <w:rPr>
          <w:b/>
        </w:rPr>
        <w:t xml:space="preserve"> retrospective longitudinal study</w:t>
      </w:r>
    </w:p>
    <w:p w14:paraId="77A1923B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iCs/>
        </w:rPr>
      </w:pPr>
      <w:r w:rsidRPr="00D46607">
        <w:rPr>
          <w:iCs/>
        </w:rPr>
        <w:t>  </w:t>
      </w:r>
    </w:p>
    <w:p w14:paraId="0C73D49A" w14:textId="6A49474C" w:rsidR="008071B3" w:rsidRPr="00D46607" w:rsidRDefault="00C66B96" w:rsidP="00E70A1E">
      <w:pPr>
        <w:widowControl/>
        <w:wordWrap/>
        <w:autoSpaceDE/>
        <w:autoSpaceDN/>
        <w:spacing w:after="0"/>
        <w:rPr>
          <w:iCs/>
        </w:rPr>
      </w:pPr>
      <w:r w:rsidRPr="00D46607">
        <w:rPr>
          <w:iCs/>
          <w:szCs w:val="24"/>
        </w:rPr>
        <w:t>Park YM</w:t>
      </w:r>
      <w:r w:rsidRPr="00E70A1E">
        <w:rPr>
          <w:i/>
          <w:iCs/>
          <w:szCs w:val="24"/>
        </w:rPr>
        <w:t xml:space="preserve"> et al.</w:t>
      </w:r>
      <w:r w:rsidR="008071B3" w:rsidRPr="00D46607">
        <w:rPr>
          <w:iCs/>
        </w:rPr>
        <w:t xml:space="preserve"> Clinical features of HBsAg seroclearance </w:t>
      </w:r>
    </w:p>
    <w:p w14:paraId="066D425F" w14:textId="77777777" w:rsidR="00E05F6E" w:rsidRPr="00D46607" w:rsidRDefault="00E05F6E" w:rsidP="00E70A1E">
      <w:pPr>
        <w:widowControl/>
        <w:wordWrap/>
        <w:autoSpaceDE/>
        <w:autoSpaceDN/>
        <w:spacing w:after="0"/>
        <w:rPr>
          <w:iCs/>
          <w:szCs w:val="24"/>
        </w:rPr>
      </w:pPr>
    </w:p>
    <w:p w14:paraId="3E29F3C0" w14:textId="4CFE0CA8" w:rsidR="008071B3" w:rsidRPr="00D46607" w:rsidRDefault="008071B3" w:rsidP="00E70A1E">
      <w:pPr>
        <w:widowControl/>
        <w:wordWrap/>
        <w:autoSpaceDE/>
        <w:autoSpaceDN/>
        <w:spacing w:after="0"/>
        <w:rPr>
          <w:color w:val="000000"/>
          <w:vertAlign w:val="superscript"/>
        </w:rPr>
      </w:pPr>
      <w:r w:rsidRPr="00D46607">
        <w:rPr>
          <w:color w:val="000000"/>
        </w:rPr>
        <w:t xml:space="preserve">Young Min </w:t>
      </w:r>
      <w:r w:rsidRPr="00D46607">
        <w:rPr>
          <w:color w:val="000000"/>
          <w:szCs w:val="24"/>
        </w:rPr>
        <w:t>Park</w:t>
      </w:r>
      <w:r w:rsidR="00A37047" w:rsidRPr="00D46607">
        <w:rPr>
          <w:color w:val="000000"/>
          <w:szCs w:val="24"/>
        </w:rPr>
        <w:t>,</w:t>
      </w:r>
      <w:r w:rsidRPr="00D46607">
        <w:rPr>
          <w:color w:val="000000"/>
        </w:rPr>
        <w:t xml:space="preserve"> </w:t>
      </w:r>
      <w:r w:rsidR="00D210D3" w:rsidRPr="00D46607">
        <w:rPr>
          <w:color w:val="000000"/>
        </w:rPr>
        <w:t>Seong Gyu</w:t>
      </w:r>
      <w:r w:rsidRPr="00D46607">
        <w:rPr>
          <w:color w:val="000000"/>
        </w:rPr>
        <w:t xml:space="preserve"> </w:t>
      </w:r>
      <w:r w:rsidR="00D210D3" w:rsidRPr="00D46607">
        <w:rPr>
          <w:color w:val="000000"/>
          <w:szCs w:val="24"/>
        </w:rPr>
        <w:t>Lee</w:t>
      </w:r>
    </w:p>
    <w:p w14:paraId="3A9207C5" w14:textId="7A873583" w:rsidR="008071B3" w:rsidRPr="00D46607" w:rsidRDefault="008071B3" w:rsidP="00E70A1E">
      <w:pPr>
        <w:widowControl/>
        <w:wordWrap/>
        <w:autoSpaceDE/>
        <w:autoSpaceDN/>
        <w:spacing w:after="0"/>
      </w:pPr>
    </w:p>
    <w:p w14:paraId="0F40EA8F" w14:textId="393B9174" w:rsidR="008071B3" w:rsidRPr="00D46607" w:rsidRDefault="008071B3" w:rsidP="00E70A1E">
      <w:pPr>
        <w:widowControl/>
        <w:wordWrap/>
        <w:autoSpaceDE/>
        <w:autoSpaceDN/>
        <w:spacing w:after="0"/>
        <w:rPr>
          <w:iCs/>
        </w:rPr>
      </w:pPr>
      <w:r w:rsidRPr="00E70A1E">
        <w:rPr>
          <w:b/>
        </w:rPr>
        <w:t>Young Min Park,</w:t>
      </w:r>
      <w:r w:rsidRPr="00D46607">
        <w:t xml:space="preserve"> </w:t>
      </w:r>
      <w:r w:rsidRPr="00D46607">
        <w:rPr>
          <w:iCs/>
        </w:rPr>
        <w:t>Hepatology Center, Department of Internal Medicine and Biomedical Research Center, Bundang Jesaeng General Hospital, Seongnam-si, Gyeonggi-do</w:t>
      </w:r>
      <w:r w:rsidR="00E70A1E">
        <w:rPr>
          <w:rFonts w:hint="eastAsia"/>
          <w:iCs/>
          <w:lang w:eastAsia="zh-CN"/>
        </w:rPr>
        <w:t xml:space="preserve"> </w:t>
      </w:r>
      <w:r w:rsidR="00E70A1E" w:rsidRPr="00D46607">
        <w:rPr>
          <w:iCs/>
        </w:rPr>
        <w:t>13589</w:t>
      </w:r>
      <w:r w:rsidRPr="00D46607">
        <w:rPr>
          <w:iCs/>
        </w:rPr>
        <w:t xml:space="preserve">, </w:t>
      </w:r>
      <w:r w:rsidR="00E70A1E">
        <w:rPr>
          <w:rFonts w:hint="eastAsia"/>
          <w:iCs/>
          <w:lang w:eastAsia="zh-CN"/>
        </w:rPr>
        <w:t>South</w:t>
      </w:r>
      <w:r w:rsidRPr="00D46607">
        <w:rPr>
          <w:iCs/>
        </w:rPr>
        <w:t xml:space="preserve"> Korea</w:t>
      </w:r>
    </w:p>
    <w:p w14:paraId="48732932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iCs/>
        </w:rPr>
      </w:pPr>
      <w:r w:rsidRPr="00D46607">
        <w:rPr>
          <w:iCs/>
        </w:rPr>
        <w:t> </w:t>
      </w:r>
    </w:p>
    <w:p w14:paraId="05003451" w14:textId="2F9B9742" w:rsidR="008071B3" w:rsidRPr="00D46607" w:rsidRDefault="00D210D3" w:rsidP="00E70A1E">
      <w:pPr>
        <w:widowControl/>
        <w:wordWrap/>
        <w:autoSpaceDE/>
        <w:autoSpaceDN/>
        <w:spacing w:after="0"/>
      </w:pPr>
      <w:r w:rsidRPr="00E70A1E">
        <w:rPr>
          <w:b/>
        </w:rPr>
        <w:t>Seong Gyu</w:t>
      </w:r>
      <w:r w:rsidR="008071B3" w:rsidRPr="00E70A1E">
        <w:rPr>
          <w:b/>
        </w:rPr>
        <w:t xml:space="preserve"> Lee, </w:t>
      </w:r>
      <w:r w:rsidR="008071B3" w:rsidRPr="00D46607">
        <w:t>Department of Laboratory Medicine, Bundang Jesaeng General Hospital</w:t>
      </w:r>
      <w:r w:rsidR="00A37047" w:rsidRPr="00D46607">
        <w:rPr>
          <w:szCs w:val="24"/>
        </w:rPr>
        <w:t xml:space="preserve">, </w:t>
      </w:r>
      <w:r w:rsidR="00A37047" w:rsidRPr="00D46607">
        <w:rPr>
          <w:iCs/>
          <w:szCs w:val="24"/>
        </w:rPr>
        <w:t>Seongnam-si, Gyeonggi-do</w:t>
      </w:r>
      <w:r w:rsidR="00E70A1E">
        <w:rPr>
          <w:rFonts w:hint="eastAsia"/>
          <w:iCs/>
          <w:szCs w:val="24"/>
          <w:lang w:eastAsia="zh-CN"/>
        </w:rPr>
        <w:t xml:space="preserve"> </w:t>
      </w:r>
      <w:r w:rsidR="00E70A1E" w:rsidRPr="00D46607">
        <w:rPr>
          <w:iCs/>
        </w:rPr>
        <w:t>13589</w:t>
      </w:r>
      <w:r w:rsidR="00A37047" w:rsidRPr="00D46607">
        <w:rPr>
          <w:iCs/>
          <w:szCs w:val="24"/>
        </w:rPr>
        <w:t xml:space="preserve">, </w:t>
      </w:r>
      <w:r w:rsidR="00E70A1E">
        <w:rPr>
          <w:rFonts w:hint="eastAsia"/>
          <w:iCs/>
          <w:lang w:eastAsia="zh-CN"/>
        </w:rPr>
        <w:t>South</w:t>
      </w:r>
      <w:r w:rsidR="00E70A1E" w:rsidRPr="00D46607">
        <w:rPr>
          <w:iCs/>
        </w:rPr>
        <w:t xml:space="preserve"> Korea</w:t>
      </w:r>
    </w:p>
    <w:p w14:paraId="7A840949" w14:textId="77777777" w:rsidR="00E620E2" w:rsidRPr="00D46607" w:rsidRDefault="00E620E2" w:rsidP="00E70A1E">
      <w:pPr>
        <w:wordWrap/>
        <w:spacing w:after="0"/>
        <w:rPr>
          <w:szCs w:val="24"/>
        </w:rPr>
      </w:pPr>
    </w:p>
    <w:p w14:paraId="00E53459" w14:textId="12812307" w:rsidR="008071B3" w:rsidRPr="00D46607" w:rsidRDefault="008071B3" w:rsidP="00E70A1E">
      <w:pPr>
        <w:widowControl/>
        <w:wordWrap/>
        <w:autoSpaceDE/>
        <w:autoSpaceDN/>
        <w:spacing w:after="0"/>
        <w:rPr>
          <w:iCs/>
        </w:rPr>
      </w:pPr>
      <w:r w:rsidRPr="00E70A1E">
        <w:rPr>
          <w:b/>
        </w:rPr>
        <w:t>Author contributions:</w:t>
      </w:r>
      <w:r w:rsidRPr="00D46607">
        <w:t xml:space="preserve"> </w:t>
      </w:r>
      <w:r w:rsidRPr="00D46607">
        <w:rPr>
          <w:iCs/>
        </w:rPr>
        <w:t xml:space="preserve">Park </w:t>
      </w:r>
      <w:r w:rsidR="00E70A1E">
        <w:rPr>
          <w:rFonts w:hint="eastAsia"/>
          <w:iCs/>
          <w:lang w:eastAsia="zh-CN"/>
        </w:rPr>
        <w:t xml:space="preserve">YM </w:t>
      </w:r>
      <w:r w:rsidRPr="00D46607">
        <w:rPr>
          <w:iCs/>
        </w:rPr>
        <w:t>collected and analyzed the data, drafted the manuscript</w:t>
      </w:r>
      <w:r w:rsidR="00873100" w:rsidRPr="00D46607">
        <w:rPr>
          <w:iCs/>
        </w:rPr>
        <w:t>,</w:t>
      </w:r>
      <w:r w:rsidRPr="00D46607">
        <w:rPr>
          <w:iCs/>
        </w:rPr>
        <w:t xml:space="preserve"> and approved the final version </w:t>
      </w:r>
      <w:r w:rsidR="00873100" w:rsidRPr="00D46607">
        <w:rPr>
          <w:iCs/>
        </w:rPr>
        <w:t>for publication</w:t>
      </w:r>
      <w:r w:rsidR="00E70A1E">
        <w:rPr>
          <w:rFonts w:hint="eastAsia"/>
          <w:iCs/>
          <w:lang w:eastAsia="zh-CN"/>
        </w:rPr>
        <w:t xml:space="preserve">; </w:t>
      </w:r>
      <w:r w:rsidRPr="00D46607">
        <w:rPr>
          <w:iCs/>
        </w:rPr>
        <w:t xml:space="preserve">Lee </w:t>
      </w:r>
      <w:r w:rsidR="00E70A1E">
        <w:rPr>
          <w:rFonts w:hint="eastAsia"/>
          <w:iCs/>
          <w:lang w:eastAsia="zh-CN"/>
        </w:rPr>
        <w:t xml:space="preserve">SG </w:t>
      </w:r>
      <w:r w:rsidR="002C1314" w:rsidRPr="00D46607">
        <w:t>participated in</w:t>
      </w:r>
      <w:r w:rsidRPr="00D46607">
        <w:rPr>
          <w:iCs/>
        </w:rPr>
        <w:t xml:space="preserve"> </w:t>
      </w:r>
      <w:r w:rsidR="002C1314" w:rsidRPr="00D46607">
        <w:t xml:space="preserve">acquisition, analysis, and interpretation of </w:t>
      </w:r>
      <w:r w:rsidR="0079707D" w:rsidRPr="00D46607">
        <w:t xml:space="preserve">the </w:t>
      </w:r>
      <w:r w:rsidR="002C1314" w:rsidRPr="00D46607">
        <w:t xml:space="preserve">data </w:t>
      </w:r>
      <w:r w:rsidR="0079707D" w:rsidRPr="00D46607">
        <w:t>on serum</w:t>
      </w:r>
      <w:r w:rsidR="00B57CBF" w:rsidRPr="00D46607">
        <w:rPr>
          <w:iCs/>
        </w:rPr>
        <w:t xml:space="preserve"> </w:t>
      </w:r>
      <w:r w:rsidRPr="00D46607">
        <w:rPr>
          <w:iCs/>
        </w:rPr>
        <w:t xml:space="preserve">HBsAg </w:t>
      </w:r>
      <w:r w:rsidR="00873100" w:rsidRPr="00D46607">
        <w:rPr>
          <w:iCs/>
        </w:rPr>
        <w:t>levels</w:t>
      </w:r>
      <w:r w:rsidRPr="00D46607">
        <w:rPr>
          <w:iCs/>
        </w:rPr>
        <w:t>.</w:t>
      </w:r>
    </w:p>
    <w:p w14:paraId="241EED70" w14:textId="77777777" w:rsidR="00E620E2" w:rsidRPr="00E70A1E" w:rsidRDefault="00E620E2" w:rsidP="00E70A1E">
      <w:pPr>
        <w:widowControl/>
        <w:wordWrap/>
        <w:autoSpaceDE/>
        <w:autoSpaceDN/>
        <w:spacing w:after="0"/>
        <w:rPr>
          <w:rFonts w:eastAsia="DengXian"/>
          <w:bCs/>
          <w:iCs/>
          <w:lang w:eastAsia="zh-CN"/>
        </w:rPr>
      </w:pPr>
    </w:p>
    <w:p w14:paraId="3486C7AB" w14:textId="0AF8AFE7" w:rsidR="00E67312" w:rsidRDefault="00915300" w:rsidP="00E70A1E">
      <w:pPr>
        <w:wordWrap/>
        <w:spacing w:after="0"/>
        <w:rPr>
          <w:rFonts w:eastAsia="DengXian"/>
          <w:lang w:eastAsia="zh-CN"/>
        </w:rPr>
      </w:pPr>
      <w:r w:rsidRPr="00D46607">
        <w:rPr>
          <w:rFonts w:eastAsia="Times New Roman" w:cs="Times New Roman"/>
          <w:b/>
          <w:kern w:val="0"/>
          <w:szCs w:val="24"/>
        </w:rPr>
        <w:t>Institutional review board statement</w:t>
      </w:r>
      <w:r w:rsidRPr="00D46607">
        <w:rPr>
          <w:rFonts w:eastAsia="Times New Roman" w:cs="Times New Roman"/>
          <w:kern w:val="0"/>
          <w:szCs w:val="24"/>
        </w:rPr>
        <w:t>:</w:t>
      </w:r>
      <w:r w:rsidR="00BA43E1" w:rsidRPr="00D46607">
        <w:rPr>
          <w:rFonts w:eastAsia="Times New Roman" w:cs="Times New Roman"/>
          <w:kern w:val="0"/>
          <w:szCs w:val="24"/>
        </w:rPr>
        <w:t xml:space="preserve"> </w:t>
      </w:r>
      <w:r w:rsidR="008C1A99" w:rsidRPr="00D46607">
        <w:t>Th</w:t>
      </w:r>
      <w:r w:rsidR="00C655AA" w:rsidRPr="00D46607">
        <w:t>is</w:t>
      </w:r>
      <w:r w:rsidR="004E40BE" w:rsidRPr="00D46607">
        <w:t xml:space="preserve"> study </w:t>
      </w:r>
      <w:r w:rsidR="008C1A99" w:rsidRPr="00D46607">
        <w:t>was approved by</w:t>
      </w:r>
      <w:r w:rsidR="00E67312" w:rsidRPr="00D46607">
        <w:t xml:space="preserve"> </w:t>
      </w:r>
      <w:r w:rsidR="00C655AA" w:rsidRPr="00D46607">
        <w:t xml:space="preserve">the </w:t>
      </w:r>
      <w:r w:rsidR="007533CA" w:rsidRPr="00D46607">
        <w:t>I</w:t>
      </w:r>
      <w:r w:rsidR="008C1A99" w:rsidRPr="00D46607">
        <w:t xml:space="preserve">nstitutional </w:t>
      </w:r>
      <w:r w:rsidR="007533CA" w:rsidRPr="00D46607">
        <w:t>R</w:t>
      </w:r>
      <w:r w:rsidR="008C1A99" w:rsidRPr="00D46607">
        <w:t xml:space="preserve">eview </w:t>
      </w:r>
      <w:r w:rsidR="007533CA" w:rsidRPr="00D46607">
        <w:t>B</w:t>
      </w:r>
      <w:r w:rsidR="008C1A99" w:rsidRPr="00D46607">
        <w:t xml:space="preserve">oard of </w:t>
      </w:r>
      <w:r w:rsidR="00E67312" w:rsidRPr="00D46607">
        <w:t xml:space="preserve">Bundang Jesaeng General Hospital </w:t>
      </w:r>
      <w:r w:rsidR="008C1A99" w:rsidRPr="00D46607">
        <w:t>(</w:t>
      </w:r>
      <w:r w:rsidR="00E90FF0" w:rsidRPr="00D46607">
        <w:t>Seongnam-si, Gyeonggi-do,</w:t>
      </w:r>
      <w:r w:rsidR="00E70A1E" w:rsidRPr="00D46607">
        <w:t xml:space="preserve"> </w:t>
      </w:r>
      <w:r w:rsidR="00E70A1E">
        <w:rPr>
          <w:lang w:eastAsia="zh-CN"/>
        </w:rPr>
        <w:t xml:space="preserve">South </w:t>
      </w:r>
      <w:r w:rsidR="00E90FF0" w:rsidRPr="00D46607">
        <w:t>Korea</w:t>
      </w:r>
      <w:r w:rsidR="008C1A99" w:rsidRPr="00D46607">
        <w:t>).</w:t>
      </w:r>
      <w:r w:rsidR="007533CA" w:rsidRPr="00D46607">
        <w:t xml:space="preserve"> </w:t>
      </w:r>
    </w:p>
    <w:p w14:paraId="508F7A2F" w14:textId="77777777" w:rsidR="00E70A1E" w:rsidRPr="00E70A1E" w:rsidRDefault="00E70A1E" w:rsidP="00E70A1E">
      <w:pPr>
        <w:wordWrap/>
        <w:spacing w:after="0"/>
        <w:rPr>
          <w:rFonts w:eastAsia="DengXian" w:cs="Times New Roman"/>
          <w:kern w:val="0"/>
          <w:szCs w:val="24"/>
          <w:lang w:eastAsia="zh-CN"/>
        </w:rPr>
      </w:pPr>
    </w:p>
    <w:p w14:paraId="73C36BDA" w14:textId="6A23D663" w:rsidR="00915300" w:rsidRDefault="00915300" w:rsidP="00E70A1E">
      <w:pPr>
        <w:widowControl/>
        <w:wordWrap/>
        <w:autoSpaceDE/>
        <w:autoSpaceDN/>
        <w:spacing w:after="0"/>
        <w:rPr>
          <w:rFonts w:eastAsia="DengXian" w:cs="Times New Roman"/>
          <w:kern w:val="0"/>
          <w:szCs w:val="24"/>
          <w:lang w:eastAsia="zh-CN"/>
        </w:rPr>
      </w:pPr>
      <w:r w:rsidRPr="00D46607">
        <w:rPr>
          <w:rFonts w:eastAsia="Times New Roman" w:cs="Times New Roman"/>
          <w:b/>
          <w:kern w:val="0"/>
          <w:szCs w:val="24"/>
        </w:rPr>
        <w:t>Informed consent statement:</w:t>
      </w:r>
      <w:r w:rsidR="00BA43E1" w:rsidRPr="00D46607">
        <w:rPr>
          <w:rFonts w:eastAsia="Times New Roman" w:cs="Times New Roman"/>
          <w:b/>
          <w:kern w:val="0"/>
          <w:szCs w:val="24"/>
        </w:rPr>
        <w:t xml:space="preserve"> </w:t>
      </w:r>
      <w:r w:rsidR="00BA43E1" w:rsidRPr="00D46607">
        <w:rPr>
          <w:rFonts w:eastAsia="Times New Roman" w:cs="Times New Roman"/>
          <w:kern w:val="0"/>
          <w:szCs w:val="24"/>
        </w:rPr>
        <w:t>Informed consent was not obtained</w:t>
      </w:r>
      <w:r w:rsidR="00C514A0" w:rsidRPr="00D46607">
        <w:rPr>
          <w:rFonts w:eastAsia="Times New Roman" w:cs="Times New Roman"/>
          <w:kern w:val="0"/>
          <w:szCs w:val="24"/>
        </w:rPr>
        <w:t>.</w:t>
      </w:r>
    </w:p>
    <w:p w14:paraId="2B4F3CE9" w14:textId="77777777" w:rsidR="00E70A1E" w:rsidRPr="00E70A1E" w:rsidRDefault="00E70A1E" w:rsidP="00E70A1E">
      <w:pPr>
        <w:widowControl/>
        <w:wordWrap/>
        <w:autoSpaceDE/>
        <w:autoSpaceDN/>
        <w:spacing w:after="0"/>
        <w:rPr>
          <w:rFonts w:eastAsia="DengXian" w:cs="Times New Roman"/>
          <w:b/>
          <w:kern w:val="0"/>
          <w:szCs w:val="24"/>
          <w:lang w:eastAsia="zh-CN"/>
        </w:rPr>
      </w:pPr>
    </w:p>
    <w:p w14:paraId="2B0D6E00" w14:textId="07B2B2EC" w:rsidR="00915300" w:rsidRDefault="00915300" w:rsidP="00E70A1E">
      <w:pPr>
        <w:widowControl/>
        <w:wordWrap/>
        <w:autoSpaceDE/>
        <w:autoSpaceDN/>
        <w:spacing w:after="0"/>
        <w:rPr>
          <w:rFonts w:eastAsia="DengXian"/>
          <w:lang w:eastAsia="zh-CN"/>
        </w:rPr>
      </w:pPr>
      <w:r w:rsidRPr="00D46607">
        <w:rPr>
          <w:rFonts w:eastAsia="Times New Roman" w:cs="Times New Roman"/>
          <w:b/>
          <w:kern w:val="0"/>
          <w:szCs w:val="24"/>
        </w:rPr>
        <w:t>Conflict</w:t>
      </w:r>
      <w:r w:rsidR="009738D2" w:rsidRPr="00D46607">
        <w:rPr>
          <w:rFonts w:eastAsia="Times New Roman" w:cs="Times New Roman"/>
          <w:b/>
          <w:kern w:val="0"/>
          <w:szCs w:val="24"/>
        </w:rPr>
        <w:t>s</w:t>
      </w:r>
      <w:r w:rsidR="00187707">
        <w:rPr>
          <w:rFonts w:eastAsia="Times New Roman" w:cs="Times New Roman" w:hint="eastAsia"/>
          <w:b/>
          <w:kern w:val="0"/>
          <w:szCs w:val="24"/>
          <w:lang w:eastAsia="zh-CN"/>
        </w:rPr>
        <w:t>-</w:t>
      </w:r>
      <w:r w:rsidRPr="00D46607">
        <w:rPr>
          <w:rFonts w:eastAsia="Times New Roman" w:cs="Times New Roman"/>
          <w:b/>
          <w:kern w:val="0"/>
          <w:szCs w:val="24"/>
        </w:rPr>
        <w:t>of</w:t>
      </w:r>
      <w:r w:rsidR="00187707">
        <w:rPr>
          <w:rFonts w:eastAsia="Times New Roman" w:cs="Times New Roman" w:hint="eastAsia"/>
          <w:b/>
          <w:kern w:val="0"/>
          <w:szCs w:val="24"/>
          <w:lang w:eastAsia="zh-CN"/>
        </w:rPr>
        <w:t>-</w:t>
      </w:r>
      <w:r w:rsidRPr="00D46607">
        <w:rPr>
          <w:rFonts w:eastAsia="Times New Roman" w:cs="Times New Roman"/>
          <w:b/>
          <w:kern w:val="0"/>
          <w:szCs w:val="24"/>
        </w:rPr>
        <w:t>interest statement:</w:t>
      </w:r>
      <w:r w:rsidRPr="00D46607">
        <w:rPr>
          <w:b/>
          <w:kern w:val="0"/>
        </w:rPr>
        <w:t xml:space="preserve"> </w:t>
      </w:r>
      <w:r w:rsidRPr="00D46607">
        <w:t xml:space="preserve">There </w:t>
      </w:r>
      <w:r w:rsidR="00B57CBF" w:rsidRPr="00D46607">
        <w:t>are</w:t>
      </w:r>
      <w:r w:rsidRPr="00D46607">
        <w:t xml:space="preserve"> no conflict</w:t>
      </w:r>
      <w:r w:rsidR="00B57CBF" w:rsidRPr="00D46607">
        <w:t>s</w:t>
      </w:r>
      <w:r w:rsidRPr="00D46607">
        <w:t xml:space="preserve"> of interest</w:t>
      </w:r>
      <w:r w:rsidR="00E90FF0" w:rsidRPr="00D46607">
        <w:t xml:space="preserve"> to report</w:t>
      </w:r>
      <w:r w:rsidRPr="00D46607">
        <w:t>.</w:t>
      </w:r>
    </w:p>
    <w:p w14:paraId="19E07656" w14:textId="77777777" w:rsidR="00E70A1E" w:rsidRPr="00E70A1E" w:rsidRDefault="00E70A1E" w:rsidP="00E70A1E">
      <w:pPr>
        <w:widowControl/>
        <w:wordWrap/>
        <w:autoSpaceDE/>
        <w:autoSpaceDN/>
        <w:spacing w:after="0"/>
        <w:rPr>
          <w:rFonts w:eastAsia="DengXian" w:cs="Times New Roman"/>
          <w:b/>
          <w:kern w:val="0"/>
          <w:szCs w:val="24"/>
          <w:lang w:eastAsia="zh-CN"/>
        </w:rPr>
      </w:pPr>
    </w:p>
    <w:p w14:paraId="3D41CDBE" w14:textId="1C65F9A9" w:rsidR="00915300" w:rsidRPr="00D46607" w:rsidRDefault="00915300" w:rsidP="00E70A1E">
      <w:pPr>
        <w:widowControl/>
        <w:wordWrap/>
        <w:autoSpaceDE/>
        <w:autoSpaceDN/>
        <w:spacing w:after="0"/>
        <w:rPr>
          <w:b/>
          <w:kern w:val="0"/>
        </w:rPr>
      </w:pPr>
      <w:r w:rsidRPr="00D46607">
        <w:rPr>
          <w:rFonts w:eastAsia="Times New Roman" w:cs="Times New Roman"/>
          <w:b/>
          <w:kern w:val="0"/>
          <w:szCs w:val="24"/>
        </w:rPr>
        <w:t>Data sharing statement:</w:t>
      </w:r>
      <w:r w:rsidRPr="00D46607">
        <w:rPr>
          <w:b/>
          <w:kern w:val="0"/>
        </w:rPr>
        <w:t xml:space="preserve"> </w:t>
      </w:r>
      <w:r w:rsidR="00BA43E1" w:rsidRPr="00D46607">
        <w:t>No ad</w:t>
      </w:r>
      <w:r w:rsidR="004E40BE" w:rsidRPr="00D46607">
        <w:t>ditional data are available.</w:t>
      </w:r>
    </w:p>
    <w:p w14:paraId="5190E9CE" w14:textId="77777777" w:rsidR="00EE74B9" w:rsidRPr="00D46607" w:rsidRDefault="00EE74B9" w:rsidP="00E70A1E">
      <w:pPr>
        <w:wordWrap/>
        <w:spacing w:after="0"/>
        <w:rPr>
          <w:b/>
        </w:rPr>
      </w:pPr>
      <w:bookmarkStart w:id="10" w:name="OLE_LINK589"/>
      <w:bookmarkStart w:id="11" w:name="OLE_LINK590"/>
    </w:p>
    <w:p w14:paraId="3F6660BF" w14:textId="63649E22" w:rsidR="00EE74B9" w:rsidRPr="00D46607" w:rsidRDefault="00EE74B9" w:rsidP="00E70A1E">
      <w:pPr>
        <w:wordWrap/>
        <w:spacing w:after="0"/>
        <w:rPr>
          <w:b/>
          <w:color w:val="000000"/>
          <w:kern w:val="0"/>
        </w:rPr>
      </w:pPr>
      <w:bookmarkStart w:id="12" w:name="OLE_LINK155"/>
      <w:bookmarkStart w:id="13" w:name="OLE_LINK183"/>
      <w:bookmarkStart w:id="14" w:name="OLE_LINK441"/>
      <w:bookmarkEnd w:id="10"/>
      <w:bookmarkEnd w:id="11"/>
      <w:r w:rsidRPr="00D46607">
        <w:rPr>
          <w:b/>
          <w:color w:val="000000"/>
          <w:kern w:val="0"/>
        </w:rPr>
        <w:t xml:space="preserve">Open-Access: </w:t>
      </w:r>
      <w:r w:rsidRPr="00D46607">
        <w:rPr>
          <w:color w:val="000000"/>
          <w:kern w:val="0"/>
        </w:rPr>
        <w:t xml:space="preserve">This article is an open-access article </w:t>
      </w:r>
      <w:r w:rsidR="009738D2" w:rsidRPr="00D46607">
        <w:rPr>
          <w:color w:val="000000"/>
          <w:kern w:val="0"/>
        </w:rPr>
        <w:t>that</w:t>
      </w:r>
      <w:r w:rsidRPr="00D46607">
        <w:rPr>
          <w:color w:val="000000"/>
          <w:kern w:val="0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2"/>
    <w:bookmarkEnd w:id="13"/>
    <w:bookmarkEnd w:id="14"/>
    <w:p w14:paraId="559A6237" w14:textId="77777777" w:rsidR="00EE74B9" w:rsidRPr="00D46607" w:rsidRDefault="00EE74B9" w:rsidP="00E70A1E">
      <w:pPr>
        <w:wordWrap/>
        <w:spacing w:after="0"/>
        <w:rPr>
          <w:rFonts w:cs="Arial Unicode MS"/>
          <w:color w:val="000000"/>
        </w:rPr>
      </w:pPr>
    </w:p>
    <w:p w14:paraId="6679E210" w14:textId="77777777" w:rsidR="00EE74B9" w:rsidRPr="00D46607" w:rsidRDefault="00EE74B9" w:rsidP="00E70A1E">
      <w:pPr>
        <w:wordWrap/>
        <w:spacing w:after="0"/>
        <w:rPr>
          <w:rFonts w:cs="Arial Unicode MS"/>
          <w:color w:val="000000"/>
        </w:rPr>
      </w:pPr>
      <w:r w:rsidRPr="00D46607">
        <w:rPr>
          <w:rFonts w:cs="Arial Unicode MS"/>
          <w:b/>
          <w:color w:val="000000"/>
        </w:rPr>
        <w:t>Manuscript source:</w:t>
      </w:r>
      <w:r w:rsidRPr="00D46607">
        <w:rPr>
          <w:rFonts w:cs="Arial Unicode MS"/>
          <w:color w:val="000000"/>
        </w:rPr>
        <w:t xml:space="preserve"> Invited manuscript</w:t>
      </w:r>
    </w:p>
    <w:p w14:paraId="6CE27154" w14:textId="77777777" w:rsidR="00EE74B9" w:rsidRPr="00D46607" w:rsidRDefault="00EE74B9" w:rsidP="00E70A1E">
      <w:pPr>
        <w:widowControl/>
        <w:wordWrap/>
        <w:autoSpaceDE/>
        <w:autoSpaceDN/>
        <w:spacing w:after="0"/>
        <w:rPr>
          <w:rFonts w:eastAsia="SimSun"/>
          <w:iCs/>
          <w:szCs w:val="24"/>
          <w:lang w:eastAsia="zh-CN"/>
        </w:rPr>
      </w:pPr>
    </w:p>
    <w:p w14:paraId="178EB7B7" w14:textId="79531060" w:rsidR="008071B3" w:rsidRPr="00E70A1E" w:rsidRDefault="008071B3" w:rsidP="00E70A1E">
      <w:pPr>
        <w:widowControl/>
        <w:wordWrap/>
        <w:autoSpaceDE/>
        <w:autoSpaceDN/>
        <w:spacing w:after="0"/>
        <w:rPr>
          <w:rFonts w:eastAsia="DengXian"/>
          <w:iCs/>
          <w:lang w:eastAsia="zh-CN"/>
        </w:rPr>
      </w:pPr>
      <w:r w:rsidRPr="00E70A1E">
        <w:rPr>
          <w:b/>
        </w:rPr>
        <w:t>Correspondence to:</w:t>
      </w:r>
      <w:r w:rsidRPr="00E70A1E">
        <w:rPr>
          <w:b/>
          <w:iCs/>
        </w:rPr>
        <w:t xml:space="preserve"> Young Min Park, MD, PhD</w:t>
      </w:r>
      <w:r w:rsidR="00B162FE" w:rsidRPr="00E70A1E">
        <w:rPr>
          <w:b/>
          <w:iCs/>
          <w:szCs w:val="24"/>
        </w:rPr>
        <w:t>,</w:t>
      </w:r>
      <w:r w:rsidRPr="00D46607">
        <w:rPr>
          <w:iCs/>
        </w:rPr>
        <w:t xml:space="preserve"> Hepatology Center</w:t>
      </w:r>
      <w:r w:rsidR="00E70A1E">
        <w:rPr>
          <w:rFonts w:hint="eastAsia"/>
          <w:iCs/>
          <w:lang w:eastAsia="zh-CN"/>
        </w:rPr>
        <w:t>,</w:t>
      </w:r>
      <w:r w:rsidRPr="00D46607">
        <w:rPr>
          <w:iCs/>
        </w:rPr>
        <w:t xml:space="preserve"> </w:t>
      </w:r>
      <w:r w:rsidR="00E70A1E" w:rsidRPr="00D46607">
        <w:rPr>
          <w:iCs/>
        </w:rPr>
        <w:t xml:space="preserve">Department of Internal Medicine and Biomedical Research Center, </w:t>
      </w:r>
      <w:r w:rsidRPr="00D46607">
        <w:rPr>
          <w:iCs/>
        </w:rPr>
        <w:t>B</w:t>
      </w:r>
      <w:r w:rsidR="00E70A1E">
        <w:rPr>
          <w:iCs/>
        </w:rPr>
        <w:t>undang Jesaeng General Hospital</w:t>
      </w:r>
      <w:r w:rsidR="00E70A1E">
        <w:rPr>
          <w:rFonts w:hint="eastAsia"/>
          <w:iCs/>
          <w:lang w:eastAsia="zh-CN"/>
        </w:rPr>
        <w:t>,</w:t>
      </w:r>
      <w:r w:rsidR="00E70A1E">
        <w:rPr>
          <w:rFonts w:eastAsia="DengXian" w:hint="eastAsia"/>
          <w:iCs/>
          <w:lang w:eastAsia="zh-CN"/>
        </w:rPr>
        <w:t xml:space="preserve"> </w:t>
      </w:r>
      <w:r w:rsidRPr="00D46607">
        <w:rPr>
          <w:iCs/>
        </w:rPr>
        <w:t>20, Seohyeon-ro 180</w:t>
      </w:r>
      <w:r w:rsidR="00E70A1E">
        <w:rPr>
          <w:rFonts w:hint="eastAsia"/>
          <w:iCs/>
          <w:lang w:eastAsia="zh-CN"/>
        </w:rPr>
        <w:t xml:space="preserve"> </w:t>
      </w:r>
      <w:r w:rsidRPr="00D46607">
        <w:rPr>
          <w:iCs/>
        </w:rPr>
        <w:t>beon-gil, Bundang-gu, Seongnam-si, Gyeonggi-do</w:t>
      </w:r>
      <w:r w:rsidR="00E70A1E">
        <w:rPr>
          <w:rFonts w:hint="eastAsia"/>
          <w:iCs/>
          <w:lang w:eastAsia="zh-CN"/>
        </w:rPr>
        <w:t xml:space="preserve"> </w:t>
      </w:r>
      <w:r w:rsidR="00E70A1E" w:rsidRPr="00D46607">
        <w:rPr>
          <w:iCs/>
        </w:rPr>
        <w:t>13589</w:t>
      </w:r>
      <w:r w:rsidRPr="00D46607">
        <w:rPr>
          <w:iCs/>
        </w:rPr>
        <w:t xml:space="preserve">, </w:t>
      </w:r>
      <w:r w:rsidR="00E70A1E">
        <w:rPr>
          <w:rFonts w:hint="eastAsia"/>
          <w:iCs/>
          <w:lang w:eastAsia="zh-CN"/>
        </w:rPr>
        <w:t>South</w:t>
      </w:r>
      <w:r w:rsidRPr="00D46607">
        <w:rPr>
          <w:iCs/>
        </w:rPr>
        <w:t xml:space="preserve"> Korea</w:t>
      </w:r>
      <w:r w:rsidR="00E70A1E">
        <w:rPr>
          <w:rFonts w:hint="eastAsia"/>
          <w:iCs/>
          <w:lang w:eastAsia="zh-CN"/>
        </w:rPr>
        <w:t>.</w:t>
      </w:r>
      <w:r w:rsidR="00E70A1E">
        <w:rPr>
          <w:rFonts w:eastAsia="DengXian" w:hint="eastAsia"/>
          <w:iCs/>
          <w:lang w:eastAsia="zh-CN"/>
        </w:rPr>
        <w:t xml:space="preserve"> </w:t>
      </w:r>
      <w:r w:rsidRPr="00D46607">
        <w:rPr>
          <w:iCs/>
        </w:rPr>
        <w:t>ymp1@outlook.com</w:t>
      </w:r>
    </w:p>
    <w:p w14:paraId="553972A4" w14:textId="169FA6C7" w:rsidR="008071B3" w:rsidRDefault="008071B3" w:rsidP="00E70A1E">
      <w:pPr>
        <w:widowControl/>
        <w:wordWrap/>
        <w:autoSpaceDE/>
        <w:autoSpaceDN/>
        <w:spacing w:after="0"/>
        <w:rPr>
          <w:rFonts w:eastAsia="DengXian"/>
          <w:iCs/>
          <w:lang w:eastAsia="zh-CN"/>
        </w:rPr>
      </w:pPr>
      <w:r w:rsidRPr="00E70A1E">
        <w:rPr>
          <w:b/>
          <w:iCs/>
        </w:rPr>
        <w:t>Telephone</w:t>
      </w:r>
      <w:r w:rsidR="00E70A1E">
        <w:rPr>
          <w:iCs/>
        </w:rPr>
        <w:t>: +82-31-779</w:t>
      </w:r>
      <w:r w:rsidRPr="00D46607">
        <w:rPr>
          <w:iCs/>
        </w:rPr>
        <w:t>0676</w:t>
      </w:r>
    </w:p>
    <w:p w14:paraId="2365A9AA" w14:textId="05CDCF21" w:rsidR="00E70A1E" w:rsidRPr="00D46607" w:rsidRDefault="00E70A1E" w:rsidP="00E70A1E">
      <w:pPr>
        <w:widowControl/>
        <w:wordWrap/>
        <w:autoSpaceDE/>
        <w:autoSpaceDN/>
        <w:spacing w:after="0"/>
        <w:rPr>
          <w:iCs/>
        </w:rPr>
      </w:pPr>
      <w:r w:rsidRPr="00E70A1E">
        <w:rPr>
          <w:b/>
          <w:iCs/>
        </w:rPr>
        <w:t>Fax</w:t>
      </w:r>
      <w:r w:rsidRPr="00D46607">
        <w:rPr>
          <w:iCs/>
        </w:rPr>
        <w:t>: +82-31-7790164</w:t>
      </w:r>
    </w:p>
    <w:p w14:paraId="643D6C03" w14:textId="77777777" w:rsidR="00E70A1E" w:rsidRPr="00E70A1E" w:rsidRDefault="00E70A1E" w:rsidP="00E70A1E">
      <w:pPr>
        <w:widowControl/>
        <w:wordWrap/>
        <w:autoSpaceDE/>
        <w:autoSpaceDN/>
        <w:spacing w:after="0"/>
        <w:rPr>
          <w:rFonts w:eastAsia="DengXian"/>
          <w:iCs/>
          <w:lang w:eastAsia="zh-CN"/>
        </w:rPr>
      </w:pPr>
    </w:p>
    <w:p w14:paraId="5AC4B690" w14:textId="77777777" w:rsidR="00EE74B9" w:rsidRPr="00E70A1E" w:rsidRDefault="00EE74B9" w:rsidP="00E70A1E">
      <w:pPr>
        <w:wordWrap/>
        <w:spacing w:after="0"/>
      </w:pPr>
      <w:bookmarkStart w:id="15" w:name="OLE_LINK476"/>
      <w:bookmarkStart w:id="16" w:name="OLE_LINK477"/>
      <w:bookmarkStart w:id="17" w:name="OLE_LINK117"/>
      <w:bookmarkStart w:id="18" w:name="OLE_LINK528"/>
      <w:bookmarkStart w:id="19" w:name="OLE_LINK557"/>
      <w:r w:rsidRPr="00E70A1E">
        <w:rPr>
          <w:b/>
        </w:rPr>
        <w:t>Received:</w:t>
      </w:r>
      <w:r w:rsidR="00E90FF0" w:rsidRPr="00E70A1E">
        <w:rPr>
          <w:b/>
        </w:rPr>
        <w:t xml:space="preserve"> </w:t>
      </w:r>
      <w:r w:rsidR="00E90FF0" w:rsidRPr="00E70A1E">
        <w:t>June 28, 2016</w:t>
      </w:r>
    </w:p>
    <w:p w14:paraId="479CA973" w14:textId="3F27D45C" w:rsidR="00EE74B9" w:rsidRPr="00E70A1E" w:rsidRDefault="00EE74B9" w:rsidP="00E70A1E">
      <w:pPr>
        <w:wordWrap/>
        <w:spacing w:after="0"/>
      </w:pPr>
      <w:r w:rsidRPr="00E70A1E">
        <w:rPr>
          <w:b/>
        </w:rPr>
        <w:t>Peer-review started:</w:t>
      </w:r>
      <w:r w:rsidR="00E90FF0" w:rsidRPr="00E70A1E">
        <w:rPr>
          <w:b/>
        </w:rPr>
        <w:t xml:space="preserve"> </w:t>
      </w:r>
      <w:r w:rsidR="00E90FF0" w:rsidRPr="00E70A1E">
        <w:t xml:space="preserve">June </w:t>
      </w:r>
      <w:r w:rsidR="00440060">
        <w:rPr>
          <w:rFonts w:hint="eastAsia"/>
          <w:lang w:eastAsia="zh-CN"/>
        </w:rPr>
        <w:t>30</w:t>
      </w:r>
      <w:r w:rsidR="00E90FF0" w:rsidRPr="00E70A1E">
        <w:t>, 2016</w:t>
      </w:r>
    </w:p>
    <w:p w14:paraId="601D7346" w14:textId="3CBDE6B2" w:rsidR="00EE74B9" w:rsidRPr="00E70A1E" w:rsidRDefault="00EE74B9" w:rsidP="00E70A1E">
      <w:pPr>
        <w:wordWrap/>
        <w:spacing w:after="0"/>
      </w:pPr>
      <w:r w:rsidRPr="00E70A1E">
        <w:rPr>
          <w:b/>
        </w:rPr>
        <w:t>First decision:</w:t>
      </w:r>
      <w:r w:rsidR="00E90FF0" w:rsidRPr="00E70A1E">
        <w:rPr>
          <w:b/>
        </w:rPr>
        <w:t xml:space="preserve"> </w:t>
      </w:r>
      <w:r w:rsidR="00E90FF0" w:rsidRPr="00E70A1E">
        <w:t xml:space="preserve">August </w:t>
      </w:r>
      <w:r w:rsidR="00440060">
        <w:rPr>
          <w:rFonts w:hint="eastAsia"/>
          <w:lang w:eastAsia="zh-CN"/>
        </w:rPr>
        <w:t>08</w:t>
      </w:r>
      <w:r w:rsidR="00E90FF0" w:rsidRPr="00E70A1E">
        <w:t>, 2016</w:t>
      </w:r>
    </w:p>
    <w:p w14:paraId="64DC1DBE" w14:textId="631E09A1" w:rsidR="00EE74B9" w:rsidRPr="00E70A1E" w:rsidRDefault="00EE74B9" w:rsidP="00E70A1E">
      <w:pPr>
        <w:wordWrap/>
        <w:spacing w:after="0"/>
      </w:pPr>
      <w:r w:rsidRPr="00E70A1E">
        <w:rPr>
          <w:b/>
        </w:rPr>
        <w:t>Revised:</w:t>
      </w:r>
      <w:r w:rsidR="00E90FF0" w:rsidRPr="00E70A1E">
        <w:rPr>
          <w:b/>
        </w:rPr>
        <w:t xml:space="preserve"> </w:t>
      </w:r>
      <w:r w:rsidR="00E90FF0" w:rsidRPr="00E70A1E">
        <w:t xml:space="preserve">August </w:t>
      </w:r>
      <w:r w:rsidR="00440060">
        <w:rPr>
          <w:rFonts w:hint="eastAsia"/>
          <w:lang w:eastAsia="zh-CN"/>
        </w:rPr>
        <w:t>26</w:t>
      </w:r>
      <w:r w:rsidR="00E90FF0" w:rsidRPr="00E70A1E">
        <w:t>, 2016</w:t>
      </w:r>
    </w:p>
    <w:p w14:paraId="6B6DEFA4" w14:textId="75769F86" w:rsidR="00EE74B9" w:rsidRPr="000D1895" w:rsidRDefault="00EE74B9" w:rsidP="000D1895">
      <w:pPr>
        <w:rPr>
          <w:color w:val="000000"/>
        </w:rPr>
      </w:pPr>
      <w:r w:rsidRPr="00E70A1E">
        <w:rPr>
          <w:b/>
        </w:rPr>
        <w:t>Accepted:</w:t>
      </w:r>
      <w:r w:rsidR="000D1895" w:rsidRPr="000D1895">
        <w:rPr>
          <w:color w:val="000000"/>
        </w:rPr>
        <w:t xml:space="preserve"> </w:t>
      </w:r>
      <w:r w:rsidR="000D1895">
        <w:rPr>
          <w:color w:val="000000"/>
        </w:rPr>
        <w:t>September 28, 2016</w:t>
      </w:r>
      <w:bookmarkStart w:id="20" w:name="_GoBack"/>
      <w:bookmarkEnd w:id="20"/>
      <w:r w:rsidRPr="00E70A1E">
        <w:rPr>
          <w:b/>
        </w:rPr>
        <w:t xml:space="preserve">  </w:t>
      </w:r>
    </w:p>
    <w:p w14:paraId="738F5CD0" w14:textId="77777777" w:rsidR="00EE74B9" w:rsidRPr="00E70A1E" w:rsidRDefault="00EE74B9" w:rsidP="00E70A1E">
      <w:pPr>
        <w:wordWrap/>
        <w:spacing w:after="0"/>
        <w:rPr>
          <w:b/>
        </w:rPr>
      </w:pPr>
      <w:r w:rsidRPr="00E70A1E">
        <w:rPr>
          <w:b/>
        </w:rPr>
        <w:t>Article in press:</w:t>
      </w:r>
    </w:p>
    <w:p w14:paraId="5DE88987" w14:textId="77777777" w:rsidR="00EE74B9" w:rsidRPr="00E70A1E" w:rsidRDefault="00EE74B9" w:rsidP="00E70A1E">
      <w:pPr>
        <w:wordWrap/>
        <w:spacing w:after="0"/>
        <w:rPr>
          <w:b/>
        </w:rPr>
      </w:pPr>
      <w:r w:rsidRPr="00E70A1E">
        <w:rPr>
          <w:b/>
        </w:rPr>
        <w:t>Published online:</w:t>
      </w:r>
    </w:p>
    <w:bookmarkEnd w:id="15"/>
    <w:bookmarkEnd w:id="16"/>
    <w:bookmarkEnd w:id="17"/>
    <w:bookmarkEnd w:id="18"/>
    <w:bookmarkEnd w:id="19"/>
    <w:p w14:paraId="3CF0E486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iCs/>
          <w:szCs w:val="24"/>
        </w:rPr>
      </w:pPr>
    </w:p>
    <w:p w14:paraId="007BB26A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iCs/>
          <w:szCs w:val="24"/>
        </w:rPr>
      </w:pPr>
    </w:p>
    <w:p w14:paraId="247835CC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iCs/>
          <w:szCs w:val="24"/>
        </w:rPr>
      </w:pPr>
      <w:r w:rsidRPr="00D46607">
        <w:rPr>
          <w:iCs/>
          <w:szCs w:val="24"/>
        </w:rPr>
        <w:br w:type="page"/>
      </w:r>
    </w:p>
    <w:p w14:paraId="32B489CF" w14:textId="77777777" w:rsidR="008071B3" w:rsidRPr="00D46607" w:rsidRDefault="008071B3" w:rsidP="00E70A1E">
      <w:pPr>
        <w:pStyle w:val="2"/>
        <w:wordWrap/>
        <w:spacing w:after="0"/>
      </w:pPr>
      <w:r w:rsidRPr="00D46607">
        <w:rPr>
          <w:iCs/>
        </w:rPr>
        <w:lastRenderedPageBreak/>
        <w:t>Abstract</w:t>
      </w:r>
    </w:p>
    <w:p w14:paraId="6D300D37" w14:textId="77777777" w:rsidR="00440060" w:rsidRPr="00440060" w:rsidRDefault="00A627E2" w:rsidP="00E70A1E">
      <w:pPr>
        <w:wordWrap/>
        <w:spacing w:after="0"/>
        <w:rPr>
          <w:rFonts w:eastAsia="DengXian"/>
          <w:b/>
          <w:i/>
          <w:szCs w:val="24"/>
          <w:lang w:eastAsia="zh-CN"/>
        </w:rPr>
      </w:pPr>
      <w:r w:rsidRPr="00440060">
        <w:rPr>
          <w:b/>
          <w:i/>
        </w:rPr>
        <w:t>AIM</w:t>
      </w:r>
    </w:p>
    <w:p w14:paraId="16DE6CE4" w14:textId="6777EAF8" w:rsidR="008071B3" w:rsidRPr="00D46607" w:rsidRDefault="008071B3" w:rsidP="00E70A1E">
      <w:pPr>
        <w:wordWrap/>
        <w:spacing w:after="0"/>
      </w:pPr>
      <w:r w:rsidRPr="009D0E29">
        <w:t xml:space="preserve">To investigate </w:t>
      </w:r>
      <w:r w:rsidR="003E2EA4" w:rsidRPr="009D0E29">
        <w:t xml:space="preserve">the </w:t>
      </w:r>
      <w:r w:rsidRPr="009D0E29">
        <w:t>characteristic features of hepatitis B surface antigen (HBsAg) seroclearance among Ko</w:t>
      </w:r>
      <w:r w:rsidRPr="00D46607">
        <w:t xml:space="preserve">rean </w:t>
      </w:r>
      <w:r w:rsidR="009738D2" w:rsidRPr="00D46607">
        <w:rPr>
          <w:szCs w:val="24"/>
        </w:rPr>
        <w:t>h</w:t>
      </w:r>
      <w:r w:rsidRPr="00D46607">
        <w:rPr>
          <w:szCs w:val="24"/>
        </w:rPr>
        <w:t>epatitis</w:t>
      </w:r>
      <w:r w:rsidRPr="00D46607">
        <w:t xml:space="preserve"> B virus (HBV) carriers. </w:t>
      </w:r>
    </w:p>
    <w:p w14:paraId="7F850380" w14:textId="77777777" w:rsidR="00EE74B9" w:rsidRPr="00D46607" w:rsidRDefault="00EE74B9" w:rsidP="00E70A1E">
      <w:pPr>
        <w:wordWrap/>
        <w:spacing w:after="0"/>
        <w:rPr>
          <w:rFonts w:eastAsia="SimSun"/>
          <w:b/>
          <w:szCs w:val="24"/>
          <w:lang w:eastAsia="zh-CN"/>
        </w:rPr>
      </w:pPr>
    </w:p>
    <w:p w14:paraId="0AAFE3ED" w14:textId="77777777" w:rsidR="00440060" w:rsidRPr="00440060" w:rsidRDefault="00440060" w:rsidP="00E70A1E">
      <w:pPr>
        <w:wordWrap/>
        <w:spacing w:after="0"/>
        <w:rPr>
          <w:rFonts w:eastAsia="DengXian"/>
          <w:b/>
          <w:i/>
          <w:lang w:eastAsia="zh-CN"/>
        </w:rPr>
      </w:pPr>
      <w:r w:rsidRPr="00440060">
        <w:rPr>
          <w:b/>
          <w:i/>
        </w:rPr>
        <w:t>METHODS</w:t>
      </w:r>
    </w:p>
    <w:p w14:paraId="2E411635" w14:textId="18C7B5C5" w:rsidR="008071B3" w:rsidRPr="00D46607" w:rsidRDefault="008071B3" w:rsidP="00E70A1E">
      <w:pPr>
        <w:wordWrap/>
        <w:spacing w:after="0"/>
      </w:pPr>
      <w:r w:rsidRPr="009D0E29">
        <w:t xml:space="preserve">Carriers with HBsAg seroclearance </w:t>
      </w:r>
      <w:r w:rsidR="003E2EA4" w:rsidRPr="009D0E29">
        <w:t xml:space="preserve">were </w:t>
      </w:r>
      <w:r w:rsidRPr="009D0E29">
        <w:t xml:space="preserve">selected by analyzing longitudinal data </w:t>
      </w:r>
      <w:r w:rsidR="003E2EA4" w:rsidRPr="00D46607">
        <w:t xml:space="preserve">collected </w:t>
      </w:r>
      <w:r w:rsidRPr="00D46607">
        <w:t xml:space="preserve">from 2003 to 2015. The period of time from enrollment to the negative conversion of HBsAg (HBsAg-NC) was compared by </w:t>
      </w:r>
      <w:r w:rsidR="003E2EA4" w:rsidRPr="00D46607">
        <w:t>stratifying</w:t>
      </w:r>
      <w:r w:rsidRPr="00D46607">
        <w:t xml:space="preserve"> various factors, including age, sex, hepatitis B e antigen (HBeAg), HBV DNA, </w:t>
      </w:r>
      <w:r w:rsidRPr="009D0E29">
        <w:t xml:space="preserve">sequential changes </w:t>
      </w:r>
      <w:r w:rsidR="003E2EA4" w:rsidRPr="00D46607">
        <w:t>in</w:t>
      </w:r>
      <w:r w:rsidRPr="00D46607">
        <w:t xml:space="preserve"> the signal-to-</w:t>
      </w:r>
      <w:r w:rsidR="00D210D3" w:rsidRPr="00D46607">
        <w:t>cutoff</w:t>
      </w:r>
      <w:r w:rsidRPr="00D46607">
        <w:t xml:space="preserve"> ratio of HBsAg (HBsAg-SCR)</w:t>
      </w:r>
      <w:r w:rsidR="009738D2" w:rsidRPr="00D46607">
        <w:t>, as</w:t>
      </w:r>
      <w:r w:rsidRPr="00D46607">
        <w:t xml:space="preserve"> measured by qualitative HBsAg assay, and chronic liver disease on ultrasonography (US-CLD).</w:t>
      </w:r>
      <w:r w:rsidR="00C86E96" w:rsidRPr="00D46607">
        <w:t xml:space="preserve"> Quantification of HBV DNA and HBsAg (HBsAg-QNT) in </w:t>
      </w:r>
      <w:r w:rsidR="009738D2" w:rsidRPr="00D46607">
        <w:t xml:space="preserve">the </w:t>
      </w:r>
      <w:r w:rsidR="00C86E96" w:rsidRPr="00D46607">
        <w:t xml:space="preserve">serum was </w:t>
      </w:r>
      <w:r w:rsidR="009738D2" w:rsidRPr="00D46607">
        <w:t>performed</w:t>
      </w:r>
      <w:r w:rsidR="00C86E96" w:rsidRPr="00D46607">
        <w:t xml:space="preserve"> by commercial assay. </w:t>
      </w:r>
      <w:r w:rsidR="00A627E2" w:rsidRPr="00D46607">
        <w:t xml:space="preserve"> </w:t>
      </w:r>
    </w:p>
    <w:p w14:paraId="752B30CB" w14:textId="77777777" w:rsidR="008071B3" w:rsidRPr="00D46607" w:rsidRDefault="00A627E2" w:rsidP="00E70A1E">
      <w:pPr>
        <w:wordWrap/>
        <w:spacing w:after="0"/>
        <w:rPr>
          <w:b/>
          <w:szCs w:val="24"/>
        </w:rPr>
      </w:pPr>
      <w:r w:rsidRPr="00D46607">
        <w:rPr>
          <w:szCs w:val="24"/>
        </w:rPr>
        <w:t xml:space="preserve"> </w:t>
      </w:r>
    </w:p>
    <w:p w14:paraId="1FDCC378" w14:textId="77777777" w:rsidR="00440060" w:rsidRPr="00440060" w:rsidRDefault="00440060" w:rsidP="00E70A1E">
      <w:pPr>
        <w:wordWrap/>
        <w:spacing w:after="0"/>
        <w:rPr>
          <w:rFonts w:eastAsia="DengXian"/>
          <w:b/>
          <w:i/>
          <w:lang w:eastAsia="zh-CN"/>
        </w:rPr>
      </w:pPr>
      <w:r w:rsidRPr="00440060">
        <w:rPr>
          <w:b/>
          <w:i/>
        </w:rPr>
        <w:t>RESULTS</w:t>
      </w:r>
    </w:p>
    <w:p w14:paraId="4F0A3B8C" w14:textId="527EFB29" w:rsidR="008071B3" w:rsidRPr="00D46607" w:rsidRDefault="00DD069A" w:rsidP="00E70A1E">
      <w:pPr>
        <w:wordWrap/>
        <w:spacing w:after="0"/>
      </w:pPr>
      <w:r w:rsidRPr="009D0E29">
        <w:t xml:space="preserve">Among </w:t>
      </w:r>
      <w:r w:rsidR="008071B3" w:rsidRPr="009D0E29">
        <w:t>the 1</w:t>
      </w:r>
      <w:r w:rsidR="008071B3" w:rsidRPr="00D46607">
        <w:t xml:space="preserve">919 carriers, 90 (4.7%) </w:t>
      </w:r>
      <w:r w:rsidR="004A65ED" w:rsidRPr="00D46607">
        <w:t>exhibited</w:t>
      </w:r>
      <w:r w:rsidR="000D6042" w:rsidRPr="00D46607">
        <w:t xml:space="preserve"> </w:t>
      </w:r>
      <w:r w:rsidR="008071B3" w:rsidRPr="00D46607">
        <w:t>HBsAg-NC</w:t>
      </w:r>
      <w:r w:rsidR="00B57CBF" w:rsidRPr="00D46607">
        <w:t xml:space="preserve"> </w:t>
      </w:r>
      <w:r w:rsidRPr="009D0E29">
        <w:t xml:space="preserve">at </w:t>
      </w:r>
      <w:r w:rsidR="008071B3" w:rsidRPr="009D0E29">
        <w:t>6.2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±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3.6 years after registration</w:t>
      </w:r>
      <w:r w:rsidR="003E2EA4" w:rsidRPr="00D46607">
        <w:t>,</w:t>
      </w:r>
      <w:r w:rsidR="008071B3" w:rsidRPr="00D46607">
        <w:t xml:space="preserve"> wit</w:t>
      </w:r>
      <w:r w:rsidRPr="00D46607">
        <w:t xml:space="preserve">h no </w:t>
      </w:r>
      <w:r w:rsidR="008071B3" w:rsidRPr="00D46607">
        <w:t>difference</w:t>
      </w:r>
      <w:r w:rsidR="003E2EA4" w:rsidRPr="00D46607">
        <w:t>s</w:t>
      </w:r>
      <w:r w:rsidRPr="00D46607">
        <w:t xml:space="preserve"> observed</w:t>
      </w:r>
      <w:r w:rsidR="00B57CBF" w:rsidRPr="00D46607">
        <w:t xml:space="preserve"> </w:t>
      </w:r>
      <w:r w:rsidR="003E2EA4" w:rsidRPr="00D46607">
        <w:t>among</w:t>
      </w:r>
      <w:r w:rsidR="008071B3" w:rsidRPr="00D46607">
        <w:t xml:space="preserve"> the</w:t>
      </w:r>
      <w:r w:rsidR="00CA7BAD" w:rsidRPr="00D46607">
        <w:t xml:space="preserve"> different</w:t>
      </w:r>
      <w:r w:rsidR="008071B3" w:rsidRPr="00D46607">
        <w:t xml:space="preserve"> age groups. </w:t>
      </w:r>
      <w:r w:rsidR="003E66F0" w:rsidRPr="00D46607">
        <w:t>Among</w:t>
      </w:r>
      <w:r w:rsidR="00B57CBF" w:rsidRPr="00D46607">
        <w:t xml:space="preserve"> these carriers</w:t>
      </w:r>
      <w:r w:rsidR="008071B3" w:rsidRPr="00D46607">
        <w:t xml:space="preserve">, </w:t>
      </w:r>
      <w:r w:rsidR="003E2EA4" w:rsidRPr="00D46607">
        <w:t xml:space="preserve">the percentages </w:t>
      </w:r>
      <w:r w:rsidR="003E66F0" w:rsidRPr="00D46607">
        <w:t xml:space="preserve">of those </w:t>
      </w:r>
      <w:r w:rsidR="003E2EA4" w:rsidRPr="00D46607">
        <w:t xml:space="preserve">with </w:t>
      </w:r>
      <w:r w:rsidR="008071B3" w:rsidRPr="00D46607">
        <w:t xml:space="preserve">asymptomatic liver cirrhosis (LC) and hepatocellular carcinoma (HCC) at registration were 31% and 7.8%, respectively. </w:t>
      </w:r>
      <w:r w:rsidR="00682679" w:rsidRPr="00D46607">
        <w:t xml:space="preserve">The frequency of </w:t>
      </w:r>
      <w:r w:rsidR="008071B3" w:rsidRPr="00D46607">
        <w:t>HBsAg-NC significantly differe</w:t>
      </w:r>
      <w:r w:rsidR="003E66F0" w:rsidRPr="00D46607">
        <w:t>d</w:t>
      </w:r>
      <w:r w:rsidR="008071B3" w:rsidRPr="00D46607">
        <w:t xml:space="preserve"> </w:t>
      </w:r>
      <w:r w:rsidR="003E2EA4" w:rsidRPr="00D46607">
        <w:t>according to</w:t>
      </w:r>
      <w:r w:rsidR="00B57CBF" w:rsidRPr="00D46607">
        <w:t xml:space="preserve"> </w:t>
      </w:r>
      <w:r w:rsidR="003E66F0" w:rsidRPr="00D46607">
        <w:t xml:space="preserve">the </w:t>
      </w:r>
      <w:r w:rsidR="008071B3" w:rsidRPr="00D46607">
        <w:t xml:space="preserve">HBV DNA titer and US-CLD. HBeAg </w:t>
      </w:r>
      <w:r w:rsidR="008071B3" w:rsidRPr="009D0E29">
        <w:t>influenced HBsAg-NC in the</w:t>
      </w:r>
      <w:r w:rsidR="000D5148" w:rsidRPr="009D0E29">
        <w:t xml:space="preserve"> </w:t>
      </w:r>
      <w:r w:rsidR="004A65ED" w:rsidRPr="009D0E29">
        <w:t>40-50</w:t>
      </w:r>
      <w:r w:rsidR="008071B3" w:rsidRPr="00D46607">
        <w:t xml:space="preserve"> and</w:t>
      </w:r>
      <w:r w:rsidR="000D5148" w:rsidRPr="00D46607">
        <w:t xml:space="preserve"> </w:t>
      </w:r>
      <w:r w:rsidR="004A65ED" w:rsidRPr="00D46607">
        <w:t>50-60 year</w:t>
      </w:r>
      <w:r w:rsidR="003E2EA4" w:rsidRPr="00D46607">
        <w:t xml:space="preserve"> age groups</w:t>
      </w:r>
      <w:r w:rsidR="008071B3" w:rsidRPr="00D46607">
        <w:t>. HBsAg-SCR &lt;</w:t>
      </w:r>
      <w:r w:rsidR="00440060">
        <w:rPr>
          <w:rFonts w:hint="eastAsia"/>
          <w:lang w:eastAsia="zh-CN"/>
        </w:rPr>
        <w:t xml:space="preserve"> </w:t>
      </w:r>
      <w:r w:rsidR="008071B3" w:rsidRPr="00D46607">
        <w:t xml:space="preserve">1000 was correlated with </w:t>
      </w:r>
      <w:r w:rsidR="00EA1CAB" w:rsidRPr="00D46607">
        <w:t xml:space="preserve">an </w:t>
      </w:r>
      <w:r w:rsidR="008071B3" w:rsidRPr="00D46607">
        <w:t>HBsAg-QNT &lt;</w:t>
      </w:r>
      <w:r w:rsidR="00440060">
        <w:rPr>
          <w:rFonts w:hint="eastAsia"/>
          <w:lang w:eastAsia="zh-CN"/>
        </w:rPr>
        <w:t xml:space="preserve"> </w:t>
      </w:r>
      <w:r w:rsidR="008071B3" w:rsidRPr="00D46607">
        <w:t xml:space="preserve">200 IU/mL. A gradual decrease </w:t>
      </w:r>
      <w:r w:rsidR="003E2EA4" w:rsidRPr="00D46607">
        <w:t>in</w:t>
      </w:r>
      <w:r w:rsidR="008071B3" w:rsidRPr="00D46607">
        <w:t xml:space="preserve"> </w:t>
      </w:r>
      <w:r w:rsidR="00EA1CAB" w:rsidRPr="00D46607">
        <w:t xml:space="preserve">the </w:t>
      </w:r>
      <w:r w:rsidR="008071B3" w:rsidRPr="00D46607">
        <w:t xml:space="preserve">HBsAg-SCR </w:t>
      </w:r>
      <w:r w:rsidR="00D60CE8" w:rsidRPr="00D46607">
        <w:t xml:space="preserve">to </w:t>
      </w:r>
      <w:r w:rsidR="008071B3" w:rsidRPr="00D46607">
        <w:t>&lt;</w:t>
      </w:r>
      <w:r w:rsidR="00440060">
        <w:rPr>
          <w:rFonts w:hint="eastAsia"/>
          <w:lang w:eastAsia="zh-CN"/>
        </w:rPr>
        <w:t xml:space="preserve"> </w:t>
      </w:r>
      <w:r w:rsidR="008071B3" w:rsidRPr="00D46607">
        <w:t xml:space="preserve">1000 </w:t>
      </w:r>
      <w:r w:rsidR="003E2EA4" w:rsidRPr="00D46607">
        <w:t>predicted</w:t>
      </w:r>
      <w:r w:rsidR="008071B3" w:rsidRPr="00D46607">
        <w:t xml:space="preserve"> HBsAg-NC. Six </w:t>
      </w:r>
      <w:r w:rsidR="003E2EA4" w:rsidRPr="00D46607">
        <w:t xml:space="preserve">patients </w:t>
      </w:r>
      <w:r w:rsidR="008071B3" w:rsidRPr="00D46607">
        <w:t>developed HCC after registration</w:t>
      </w:r>
      <w:r w:rsidR="000923D2" w:rsidRPr="00D46607">
        <w:t>, including</w:t>
      </w:r>
      <w:r w:rsidR="008071B3" w:rsidRPr="00D46607">
        <w:t xml:space="preserve"> two before and four after HBsAg-NC</w:t>
      </w:r>
      <w:r w:rsidR="003E2EA4" w:rsidRPr="00D46607">
        <w:t>.</w:t>
      </w:r>
      <w:r w:rsidR="008071B3" w:rsidRPr="00D46607">
        <w:t xml:space="preserve"> </w:t>
      </w:r>
      <w:r w:rsidR="003E2EA4" w:rsidRPr="00D46607">
        <w:t>T</w:t>
      </w:r>
      <w:r w:rsidR="008071B3" w:rsidRPr="00D46607">
        <w:t xml:space="preserve">he rate </w:t>
      </w:r>
      <w:r w:rsidR="003E2EA4" w:rsidRPr="00D46607">
        <w:t>at which the patients</w:t>
      </w:r>
      <w:r w:rsidR="008071B3" w:rsidRPr="00D46607">
        <w:t xml:space="preserve"> develop</w:t>
      </w:r>
      <w:r w:rsidR="003E2EA4" w:rsidRPr="00D46607">
        <w:t>ed</w:t>
      </w:r>
      <w:r w:rsidR="008071B3" w:rsidRPr="00D46607">
        <w:t xml:space="preserve"> new HCC after HBsAg seroclearance was 4.8%. LC with excessive drinking </w:t>
      </w:r>
      <w:r w:rsidR="003E2EA4" w:rsidRPr="00D46607">
        <w:t>and</w:t>
      </w:r>
      <w:r w:rsidR="008071B3" w:rsidRPr="00D46607">
        <w:t xml:space="preserve"> vertical infection </w:t>
      </w:r>
      <w:r w:rsidR="003E2EA4" w:rsidRPr="00D46607">
        <w:t xml:space="preserve">were </w:t>
      </w:r>
      <w:r w:rsidR="00D60CE8" w:rsidRPr="00D46607">
        <w:t xml:space="preserve">found to be </w:t>
      </w:r>
      <w:r w:rsidR="008071B3" w:rsidRPr="00D46607">
        <w:t xml:space="preserve">risk factors </w:t>
      </w:r>
      <w:r w:rsidR="003E2EA4" w:rsidRPr="00D46607">
        <w:t>for</w:t>
      </w:r>
      <w:r w:rsidR="008071B3" w:rsidRPr="00D46607">
        <w:t xml:space="preserve"> HCC in the HBsAg-NC group.</w:t>
      </w:r>
    </w:p>
    <w:p w14:paraId="27ADFFB2" w14:textId="77777777" w:rsidR="00EE74B9" w:rsidRPr="00D46607" w:rsidRDefault="00EE74B9" w:rsidP="00E70A1E">
      <w:pPr>
        <w:wordWrap/>
        <w:spacing w:after="0"/>
        <w:rPr>
          <w:rFonts w:eastAsia="SimSun"/>
          <w:b/>
          <w:szCs w:val="24"/>
          <w:lang w:eastAsia="zh-CN"/>
        </w:rPr>
      </w:pPr>
    </w:p>
    <w:p w14:paraId="3FE6ECB7" w14:textId="77777777" w:rsidR="00440060" w:rsidRPr="00440060" w:rsidRDefault="00440060" w:rsidP="00E70A1E">
      <w:pPr>
        <w:wordWrap/>
        <w:spacing w:after="0"/>
        <w:rPr>
          <w:rFonts w:eastAsia="DengXian"/>
          <w:b/>
          <w:i/>
          <w:lang w:eastAsia="zh-CN"/>
        </w:rPr>
      </w:pPr>
      <w:r w:rsidRPr="00440060">
        <w:rPr>
          <w:b/>
          <w:i/>
        </w:rPr>
        <w:t>CONCLUSION</w:t>
      </w:r>
    </w:p>
    <w:p w14:paraId="1DFF7603" w14:textId="0A1FC411" w:rsidR="008071B3" w:rsidRPr="00D46607" w:rsidRDefault="003E2EA4" w:rsidP="00E70A1E">
      <w:pPr>
        <w:wordWrap/>
        <w:spacing w:after="0"/>
      </w:pPr>
      <w:r w:rsidRPr="009D0E29">
        <w:lastRenderedPageBreak/>
        <w:t xml:space="preserve">HCC </w:t>
      </w:r>
      <w:r w:rsidR="008071B3" w:rsidRPr="009D0E29">
        <w:t>surveillance should be continued after HBsAg seroclearance.</w:t>
      </w:r>
      <w:r w:rsidR="000D6042" w:rsidRPr="009D0E29">
        <w:t xml:space="preserve"> </w:t>
      </w:r>
      <w:r w:rsidR="00EA1CAB" w:rsidRPr="00D46607">
        <w:t xml:space="preserve">An </w:t>
      </w:r>
      <w:r w:rsidR="008071B3" w:rsidRPr="00D46607">
        <w:t>HBsAg-SCR &lt;</w:t>
      </w:r>
      <w:r w:rsidR="00440060">
        <w:rPr>
          <w:rFonts w:hint="eastAsia"/>
          <w:lang w:eastAsia="zh-CN"/>
        </w:rPr>
        <w:t xml:space="preserve"> </w:t>
      </w:r>
      <w:r w:rsidR="008071B3" w:rsidRPr="00D46607">
        <w:t>1000 and its decrease in sequential test</w:t>
      </w:r>
      <w:r w:rsidR="004C2D57" w:rsidRPr="00D46607">
        <w:t>ing</w:t>
      </w:r>
      <w:r w:rsidR="008071B3" w:rsidRPr="00D46607">
        <w:t xml:space="preserve"> are worth noti</w:t>
      </w:r>
      <w:r w:rsidRPr="00D46607">
        <w:t>ng</w:t>
      </w:r>
      <w:r w:rsidR="008071B3" w:rsidRPr="00D46607">
        <w:t xml:space="preserve"> as predictive marker</w:t>
      </w:r>
      <w:r w:rsidRPr="00D46607">
        <w:t>s</w:t>
      </w:r>
      <w:r w:rsidR="008071B3" w:rsidRPr="00D46607">
        <w:t xml:space="preserve"> of HBsAg loss.</w:t>
      </w:r>
    </w:p>
    <w:p w14:paraId="6C5F0E9B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iCs/>
        </w:rPr>
      </w:pPr>
    </w:p>
    <w:p w14:paraId="15C02F05" w14:textId="38520A96" w:rsidR="008071B3" w:rsidRPr="009D0E29" w:rsidRDefault="008071B3" w:rsidP="00E70A1E">
      <w:pPr>
        <w:widowControl/>
        <w:wordWrap/>
        <w:autoSpaceDE/>
        <w:autoSpaceDN/>
        <w:spacing w:after="0"/>
      </w:pPr>
      <w:r w:rsidRPr="00D46607">
        <w:rPr>
          <w:b/>
          <w:iCs/>
          <w:szCs w:val="24"/>
        </w:rPr>
        <w:t>Key</w:t>
      </w:r>
      <w:r w:rsidR="00EE74B9" w:rsidRPr="00D46607">
        <w:rPr>
          <w:rFonts w:eastAsia="SimSun"/>
          <w:b/>
          <w:iCs/>
          <w:szCs w:val="24"/>
          <w:lang w:eastAsia="zh-CN"/>
        </w:rPr>
        <w:t xml:space="preserve"> </w:t>
      </w:r>
      <w:r w:rsidR="003E2EA4" w:rsidRPr="009D0E29">
        <w:rPr>
          <w:b/>
          <w:iCs/>
          <w:szCs w:val="24"/>
        </w:rPr>
        <w:t>w</w:t>
      </w:r>
      <w:r w:rsidRPr="009D0E29">
        <w:rPr>
          <w:b/>
          <w:iCs/>
          <w:szCs w:val="24"/>
        </w:rPr>
        <w:t>ords</w:t>
      </w:r>
      <w:r w:rsidRPr="00D46607">
        <w:rPr>
          <w:b/>
          <w:iCs/>
        </w:rPr>
        <w:t>:</w:t>
      </w:r>
      <w:r w:rsidRPr="00D46607">
        <w:rPr>
          <w:iCs/>
        </w:rPr>
        <w:t xml:space="preserve"> Hepatitis B virus; </w:t>
      </w:r>
      <w:r w:rsidR="00C86E96" w:rsidRPr="00D46607">
        <w:rPr>
          <w:iCs/>
        </w:rPr>
        <w:t xml:space="preserve">Hepatitis B </w:t>
      </w:r>
      <w:r w:rsidR="00C86E96" w:rsidRPr="00D46607">
        <w:rPr>
          <w:iCs/>
          <w:szCs w:val="24"/>
        </w:rPr>
        <w:t>Surface Antigen</w:t>
      </w:r>
      <w:r w:rsidR="00C86E96" w:rsidRPr="00D46607">
        <w:rPr>
          <w:iCs/>
        </w:rPr>
        <w:t xml:space="preserve">; </w:t>
      </w:r>
      <w:r w:rsidRPr="00D46607">
        <w:rPr>
          <w:iCs/>
        </w:rPr>
        <w:t>HBsAg;</w:t>
      </w:r>
      <w:r w:rsidR="00C86E96" w:rsidRPr="00D46607">
        <w:rPr>
          <w:iCs/>
        </w:rPr>
        <w:t xml:space="preserve"> Seroconversion; Hepatitis B e </w:t>
      </w:r>
      <w:r w:rsidR="00C86E96" w:rsidRPr="00D46607">
        <w:rPr>
          <w:iCs/>
          <w:szCs w:val="24"/>
        </w:rPr>
        <w:t>Antigen</w:t>
      </w:r>
      <w:r w:rsidR="00C86E96" w:rsidRPr="00D46607">
        <w:rPr>
          <w:iCs/>
        </w:rPr>
        <w:t>; HBeAg</w:t>
      </w:r>
      <w:r w:rsidRPr="00D46607">
        <w:rPr>
          <w:iCs/>
        </w:rPr>
        <w:t>; Liver cirrhosis; Hepatocellular carcinoma</w:t>
      </w:r>
    </w:p>
    <w:p w14:paraId="08D89D13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b/>
          <w:i/>
        </w:rPr>
      </w:pPr>
    </w:p>
    <w:p w14:paraId="71A61F7F" w14:textId="77777777" w:rsidR="00EE74B9" w:rsidRPr="009D0E29" w:rsidRDefault="00EE74B9" w:rsidP="00E70A1E">
      <w:pPr>
        <w:wordWrap/>
        <w:spacing w:after="0"/>
        <w:rPr>
          <w:rFonts w:cs="Arial"/>
        </w:rPr>
      </w:pPr>
      <w:bookmarkStart w:id="21" w:name="OLE_LINK55"/>
      <w:bookmarkStart w:id="22" w:name="OLE_LINK56"/>
      <w:bookmarkStart w:id="23" w:name="OLE_LINK105"/>
      <w:bookmarkStart w:id="24" w:name="OLE_LINK116"/>
      <w:bookmarkStart w:id="25" w:name="OLE_LINK89"/>
      <w:r w:rsidRPr="00D46607">
        <w:rPr>
          <w:b/>
        </w:rPr>
        <w:t>©</w:t>
      </w:r>
      <w:bookmarkEnd w:id="21"/>
      <w:bookmarkEnd w:id="22"/>
      <w:r w:rsidRPr="00D46607">
        <w:rPr>
          <w:b/>
        </w:rPr>
        <w:t xml:space="preserve"> </w:t>
      </w:r>
      <w:r w:rsidRPr="009D0E29">
        <w:rPr>
          <w:rFonts w:cs="Arial"/>
          <w:b/>
        </w:rPr>
        <w:t>The Author(s) 201</w:t>
      </w:r>
      <w:r w:rsidRPr="00D46607">
        <w:rPr>
          <w:rFonts w:cs="Arial"/>
          <w:b/>
        </w:rPr>
        <w:t>6</w:t>
      </w:r>
      <w:r w:rsidRPr="009D0E29">
        <w:rPr>
          <w:rFonts w:cs="Arial"/>
          <w:b/>
        </w:rPr>
        <w:t xml:space="preserve">. </w:t>
      </w:r>
      <w:r w:rsidRPr="009D0E29">
        <w:rPr>
          <w:rFonts w:cs="Arial"/>
        </w:rPr>
        <w:t>Published by Baishideng Publishing Group Inc. All rights reserved.</w:t>
      </w:r>
    </w:p>
    <w:bookmarkEnd w:id="23"/>
    <w:bookmarkEnd w:id="24"/>
    <w:bookmarkEnd w:id="25"/>
    <w:p w14:paraId="0D1340C7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rFonts w:eastAsia="SimSun"/>
          <w:iCs/>
          <w:szCs w:val="24"/>
          <w:lang w:eastAsia="zh-CN"/>
        </w:rPr>
      </w:pPr>
    </w:p>
    <w:p w14:paraId="4D04BEF9" w14:textId="59B2CFAC" w:rsidR="008071B3" w:rsidRPr="00D46607" w:rsidRDefault="008071B3" w:rsidP="00E70A1E">
      <w:pPr>
        <w:wordWrap/>
        <w:spacing w:after="0"/>
        <w:rPr>
          <w:b/>
        </w:rPr>
      </w:pPr>
      <w:r w:rsidRPr="00440060">
        <w:rPr>
          <w:b/>
        </w:rPr>
        <w:t>Core tip:</w:t>
      </w:r>
      <w:r w:rsidR="00EE74B9" w:rsidRPr="00D46607">
        <w:rPr>
          <w:rFonts w:eastAsia="SimSun"/>
          <w:lang w:eastAsia="zh-CN"/>
        </w:rPr>
        <w:t xml:space="preserve"> </w:t>
      </w:r>
      <w:r w:rsidRPr="009D0E29">
        <w:t xml:space="preserve">In </w:t>
      </w:r>
      <w:r w:rsidR="00440060">
        <w:rPr>
          <w:rFonts w:hint="eastAsia"/>
          <w:lang w:eastAsia="zh-CN"/>
        </w:rPr>
        <w:t xml:space="preserve">South </w:t>
      </w:r>
      <w:r w:rsidRPr="009D0E29">
        <w:t xml:space="preserve">Korea, where most </w:t>
      </w:r>
      <w:r w:rsidR="00187707" w:rsidRPr="00187707">
        <w:t xml:space="preserve">hepatitis B virus </w:t>
      </w:r>
      <w:r w:rsidRPr="009D0E29">
        <w:t xml:space="preserve">carriers are infected </w:t>
      </w:r>
      <w:r w:rsidR="003E2EA4" w:rsidRPr="009D0E29">
        <w:t>with</w:t>
      </w:r>
      <w:r w:rsidRPr="00D46607">
        <w:t xml:space="preserve"> genotype C, the HBsAg seroclearance rate is 4.7%, and the incidence of </w:t>
      </w:r>
      <w:r w:rsidR="00440060" w:rsidRPr="00D46607">
        <w:t>hepatocellular carcinoma (HCC)</w:t>
      </w:r>
      <w:r w:rsidR="00440060">
        <w:rPr>
          <w:rFonts w:hint="eastAsia"/>
          <w:lang w:eastAsia="zh-CN"/>
        </w:rPr>
        <w:t xml:space="preserve"> </w:t>
      </w:r>
      <w:r w:rsidRPr="00D46607">
        <w:t>after HBsAg loss is 4.8%. In</w:t>
      </w:r>
      <w:r w:rsidR="00317261" w:rsidRPr="00D46607">
        <w:t xml:space="preserve"> </w:t>
      </w:r>
      <w:r w:rsidR="003E2EA4" w:rsidRPr="00D46607">
        <w:t xml:space="preserve">patients </w:t>
      </w:r>
      <w:r w:rsidRPr="00D46607">
        <w:t xml:space="preserve">with HBsAg seroclearance, </w:t>
      </w:r>
      <w:r w:rsidR="003E2EA4" w:rsidRPr="00D46607">
        <w:t xml:space="preserve">the percentages of </w:t>
      </w:r>
      <w:r w:rsidRPr="00D46607">
        <w:t xml:space="preserve">asymptomatic </w:t>
      </w:r>
      <w:r w:rsidR="00187707" w:rsidRPr="00187707">
        <w:t>liver cirrhosis (LC)</w:t>
      </w:r>
      <w:r w:rsidR="00187707">
        <w:rPr>
          <w:rFonts w:hint="eastAsia"/>
          <w:lang w:eastAsia="zh-CN"/>
        </w:rPr>
        <w:t xml:space="preserve"> </w:t>
      </w:r>
      <w:r w:rsidRPr="00D46607">
        <w:t>and HCC are</w:t>
      </w:r>
      <w:r w:rsidR="00B57CBF" w:rsidRPr="00D46607">
        <w:t xml:space="preserve"> </w:t>
      </w:r>
      <w:r w:rsidRPr="00D46607">
        <w:t>31% and 7.8% at enrollment, respective</w:t>
      </w:r>
      <w:r w:rsidR="003E2EA4" w:rsidRPr="00D46607">
        <w:t>ly</w:t>
      </w:r>
      <w:r w:rsidRPr="00D46607">
        <w:t xml:space="preserve">. </w:t>
      </w:r>
      <w:r w:rsidR="004C2D57" w:rsidRPr="00D46607">
        <w:t>A s</w:t>
      </w:r>
      <w:r w:rsidRPr="00D46607">
        <w:t>ignal-to-</w:t>
      </w:r>
      <w:r w:rsidR="00D210D3" w:rsidRPr="00D46607">
        <w:t>cutoff</w:t>
      </w:r>
      <w:r w:rsidRPr="00D46607">
        <w:t xml:space="preserve"> ratio of the qualitative HBsAg (HBsAg-SCR) </w:t>
      </w:r>
      <w:r w:rsidR="003E2EA4" w:rsidRPr="00D46607">
        <w:t xml:space="preserve">level </w:t>
      </w:r>
      <w:r w:rsidR="00081411" w:rsidRPr="00D46607">
        <w:t xml:space="preserve">of </w:t>
      </w:r>
      <w:r w:rsidRPr="00D46607">
        <w:t xml:space="preserve">less than 1000 and its sequential </w:t>
      </w:r>
      <w:r w:rsidR="007F1181" w:rsidRPr="00D46607">
        <w:t>decrease</w:t>
      </w:r>
      <w:r w:rsidRPr="00D46607">
        <w:t xml:space="preserve"> are worth noti</w:t>
      </w:r>
      <w:r w:rsidR="003E2EA4" w:rsidRPr="00D46607">
        <w:t>ng</w:t>
      </w:r>
      <w:r w:rsidRPr="00D46607">
        <w:t xml:space="preserve"> as predictive marker</w:t>
      </w:r>
      <w:r w:rsidR="003E2EA4" w:rsidRPr="00D46607">
        <w:t>s</w:t>
      </w:r>
      <w:r w:rsidRPr="00D46607">
        <w:t xml:space="preserve"> of HBsAg loss. HCC surveillance should be continued after HBsAg seroclearance, </w:t>
      </w:r>
      <w:r w:rsidR="003E2EA4" w:rsidRPr="00D46607">
        <w:t xml:space="preserve">particularly </w:t>
      </w:r>
      <w:r w:rsidRPr="00D46607">
        <w:t xml:space="preserve">in </w:t>
      </w:r>
      <w:r w:rsidR="003E2EA4" w:rsidRPr="00D46607">
        <w:t xml:space="preserve">patients </w:t>
      </w:r>
      <w:r w:rsidRPr="00D46607">
        <w:t>with LC.</w:t>
      </w:r>
    </w:p>
    <w:p w14:paraId="23A2F663" w14:textId="77777777" w:rsidR="008F7280" w:rsidRPr="00D46607" w:rsidRDefault="008F7280" w:rsidP="00E70A1E">
      <w:pPr>
        <w:wordWrap/>
        <w:spacing w:after="0"/>
        <w:rPr>
          <w:szCs w:val="24"/>
        </w:rPr>
      </w:pPr>
    </w:p>
    <w:p w14:paraId="6233271F" w14:textId="6C2A6747" w:rsidR="00A709DB" w:rsidRPr="00D46607" w:rsidRDefault="008F7280" w:rsidP="00E70A1E">
      <w:pPr>
        <w:widowControl/>
        <w:wordWrap/>
        <w:autoSpaceDE/>
        <w:autoSpaceDN/>
        <w:spacing w:after="0"/>
        <w:rPr>
          <w:iCs/>
          <w:szCs w:val="24"/>
        </w:rPr>
      </w:pPr>
      <w:r w:rsidRPr="00D46607">
        <w:rPr>
          <w:color w:val="000000"/>
          <w:szCs w:val="24"/>
        </w:rPr>
        <w:t xml:space="preserve">Park YM, Lee SG. </w:t>
      </w:r>
      <w:r w:rsidR="00440060" w:rsidRPr="00440060">
        <w:rPr>
          <w:iCs/>
          <w:szCs w:val="24"/>
        </w:rPr>
        <w:t xml:space="preserve">Clinical features of HBsAg seroclearance in hepatitis B virus carriers in South Korea: </w:t>
      </w:r>
      <w:r w:rsidR="00973F0A" w:rsidRPr="00440060">
        <w:rPr>
          <w:iCs/>
          <w:szCs w:val="24"/>
        </w:rPr>
        <w:t>A</w:t>
      </w:r>
      <w:r w:rsidR="00440060" w:rsidRPr="00440060">
        <w:rPr>
          <w:iCs/>
          <w:szCs w:val="24"/>
        </w:rPr>
        <w:t xml:space="preserve"> retrospective longitudinal study</w:t>
      </w:r>
      <w:r w:rsidR="00440060">
        <w:rPr>
          <w:rFonts w:eastAsia="DengXian" w:hint="eastAsia"/>
          <w:iCs/>
          <w:szCs w:val="24"/>
          <w:lang w:eastAsia="zh-CN"/>
        </w:rPr>
        <w:t xml:space="preserve">. </w:t>
      </w:r>
      <w:r w:rsidR="00A709DB" w:rsidRPr="00440060">
        <w:rPr>
          <w:i/>
        </w:rPr>
        <w:t xml:space="preserve">World J Gastroenterol </w:t>
      </w:r>
      <w:r w:rsidR="00A709DB" w:rsidRPr="00D46607">
        <w:t>2016; In press</w:t>
      </w:r>
    </w:p>
    <w:p w14:paraId="4A1F39E3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iCs/>
        </w:rPr>
      </w:pPr>
    </w:p>
    <w:p w14:paraId="2AFC94BB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b/>
        </w:rPr>
      </w:pPr>
      <w:r w:rsidRPr="00D46607">
        <w:rPr>
          <w:b/>
        </w:rPr>
        <w:br w:type="page"/>
      </w:r>
    </w:p>
    <w:p w14:paraId="36E2868D" w14:textId="77777777" w:rsidR="008071B3" w:rsidRPr="00D46607" w:rsidRDefault="008071B3" w:rsidP="00E70A1E">
      <w:pPr>
        <w:pStyle w:val="2"/>
        <w:wordWrap/>
        <w:spacing w:after="0"/>
      </w:pPr>
      <w:r w:rsidRPr="00D46607">
        <w:lastRenderedPageBreak/>
        <w:t>INTRODUCTION</w:t>
      </w:r>
    </w:p>
    <w:p w14:paraId="2B50A70A" w14:textId="227CEE41" w:rsidR="008071B3" w:rsidRPr="00D46607" w:rsidRDefault="008071B3" w:rsidP="00E70A1E">
      <w:pPr>
        <w:wordWrap/>
        <w:spacing w:after="0"/>
        <w:rPr>
          <w:szCs w:val="22"/>
        </w:rPr>
      </w:pPr>
      <w:r w:rsidRPr="00D46607">
        <w:rPr>
          <w:szCs w:val="22"/>
        </w:rPr>
        <w:t>Hepatitis B virus (HBV) is the most important cause of liver cirrhosis (LC) and hepatocellular carcinoma (HCC) in endemic areas worldwide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1,2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The natural course of HBV infection </w:t>
      </w:r>
      <w:r w:rsidR="00C71AA1" w:rsidRPr="00D46607">
        <w:rPr>
          <w:szCs w:val="22"/>
        </w:rPr>
        <w:t xml:space="preserve">is associated with </w:t>
      </w:r>
      <w:r w:rsidRPr="00D46607">
        <w:rPr>
          <w:szCs w:val="22"/>
        </w:rPr>
        <w:t>immunological</w:t>
      </w:r>
      <w:r w:rsidR="00C71AA1" w:rsidRPr="00D46607">
        <w:rPr>
          <w:szCs w:val="22"/>
        </w:rPr>
        <w:t xml:space="preserve"> changes that occur</w:t>
      </w:r>
      <w:r w:rsidRPr="00D46607">
        <w:rPr>
          <w:szCs w:val="22"/>
        </w:rPr>
        <w:t xml:space="preserve"> </w:t>
      </w:r>
      <w:r w:rsidR="003E2EA4" w:rsidRPr="00D46607">
        <w:rPr>
          <w:szCs w:val="22"/>
        </w:rPr>
        <w:t xml:space="preserve">in </w:t>
      </w:r>
      <w:r w:rsidRPr="00D46607">
        <w:rPr>
          <w:szCs w:val="22"/>
        </w:rPr>
        <w:t>three phases</w:t>
      </w:r>
      <w:r w:rsidRPr="009D0E29">
        <w:rPr>
          <w:szCs w:val="22"/>
        </w:rPr>
        <w:t>: tolerance, eradication, and recovery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3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These </w:t>
      </w:r>
      <w:r w:rsidR="003E2EA4" w:rsidRPr="00D46607">
        <w:rPr>
          <w:szCs w:val="22"/>
        </w:rPr>
        <w:t xml:space="preserve">phases </w:t>
      </w:r>
      <w:r w:rsidRPr="00D46607">
        <w:rPr>
          <w:szCs w:val="22"/>
        </w:rPr>
        <w:t xml:space="preserve">are classified based on </w:t>
      </w:r>
      <w:r w:rsidR="003E2EA4" w:rsidRPr="00D46607">
        <w:rPr>
          <w:szCs w:val="22"/>
        </w:rPr>
        <w:t xml:space="preserve">the </w:t>
      </w:r>
      <w:r w:rsidRPr="00D46607">
        <w:rPr>
          <w:szCs w:val="22"/>
        </w:rPr>
        <w:t xml:space="preserve">serum aminotransferase level and </w:t>
      </w:r>
      <w:r w:rsidR="00A42992" w:rsidRPr="00D46607">
        <w:t>hepatitis B e antigen (HBeAg</w:t>
      </w:r>
      <w:r w:rsidR="00A42992" w:rsidRPr="00D46607">
        <w:rPr>
          <w:szCs w:val="22"/>
        </w:rPr>
        <w:t xml:space="preserve">) and </w:t>
      </w:r>
      <w:r w:rsidRPr="00D46607">
        <w:rPr>
          <w:szCs w:val="22"/>
        </w:rPr>
        <w:t>HBV DNA titer</w:t>
      </w:r>
      <w:r w:rsidR="003E2EA4" w:rsidRPr="00D46607">
        <w:rPr>
          <w:szCs w:val="22"/>
        </w:rPr>
        <w:t>s</w:t>
      </w:r>
      <w:r w:rsidRPr="00D46607">
        <w:rPr>
          <w:szCs w:val="22"/>
        </w:rPr>
        <w:t>, which represent hepatitis and viral replication, respectively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4,5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</w:t>
      </w:r>
      <w:r w:rsidR="003E2EA4" w:rsidRPr="00D46607">
        <w:rPr>
          <w:szCs w:val="22"/>
        </w:rPr>
        <w:t>R</w:t>
      </w:r>
      <w:r w:rsidRPr="00D46607">
        <w:rPr>
          <w:szCs w:val="22"/>
        </w:rPr>
        <w:t xml:space="preserve">ecovery </w:t>
      </w:r>
      <w:r w:rsidR="00A42992" w:rsidRPr="00D46607">
        <w:rPr>
          <w:szCs w:val="22"/>
        </w:rPr>
        <w:t xml:space="preserve">is defined as </w:t>
      </w:r>
      <w:r w:rsidR="007E7151" w:rsidRPr="00D46607">
        <w:rPr>
          <w:szCs w:val="22"/>
        </w:rPr>
        <w:t xml:space="preserve">ceasing of the self-replicating activity of the HBV genome and its transition to a </w:t>
      </w:r>
      <w:r w:rsidRPr="00D46607">
        <w:rPr>
          <w:szCs w:val="22"/>
        </w:rPr>
        <w:t>non-replicating state</w:t>
      </w:r>
      <w:r w:rsidRPr="009D0E29">
        <w:rPr>
          <w:szCs w:val="22"/>
        </w:rPr>
        <w:t xml:space="preserve">. In general, </w:t>
      </w:r>
      <w:r w:rsidR="009F0C77" w:rsidRPr="009D0E29">
        <w:rPr>
          <w:szCs w:val="22"/>
        </w:rPr>
        <w:t xml:space="preserve">a serum </w:t>
      </w:r>
      <w:r w:rsidRPr="00D46607">
        <w:rPr>
          <w:szCs w:val="22"/>
        </w:rPr>
        <w:t>HBV DNA leve</w:t>
      </w:r>
      <w:r w:rsidR="009F0C77" w:rsidRPr="00D46607">
        <w:rPr>
          <w:szCs w:val="22"/>
        </w:rPr>
        <w:t>l of</w:t>
      </w:r>
      <w:r w:rsidRPr="00D46607">
        <w:rPr>
          <w:szCs w:val="22"/>
        </w:rPr>
        <w:t xml:space="preserve"> below 2</w:t>
      </w:r>
      <w:r w:rsidR="00A42992" w:rsidRPr="00D46607">
        <w:rPr>
          <w:szCs w:val="22"/>
        </w:rPr>
        <w:t>,</w:t>
      </w:r>
      <w:r w:rsidRPr="00D46607">
        <w:rPr>
          <w:szCs w:val="22"/>
        </w:rPr>
        <w:t>000 IU/</w:t>
      </w:r>
      <w:r w:rsidR="00EC2146" w:rsidRPr="00D46607">
        <w:rPr>
          <w:szCs w:val="22"/>
        </w:rPr>
        <w:t xml:space="preserve">mL </w:t>
      </w:r>
      <w:r w:rsidR="009F0C77" w:rsidRPr="00D46607">
        <w:rPr>
          <w:szCs w:val="22"/>
        </w:rPr>
        <w:t>is</w:t>
      </w:r>
      <w:r w:rsidRPr="00D46607">
        <w:rPr>
          <w:szCs w:val="22"/>
        </w:rPr>
        <w:t xml:space="preserve"> </w:t>
      </w:r>
      <w:r w:rsidR="003E2EA4" w:rsidRPr="00D46607">
        <w:rPr>
          <w:szCs w:val="22"/>
        </w:rPr>
        <w:t xml:space="preserve">considered </w:t>
      </w:r>
      <w:r w:rsidR="009F0C77" w:rsidRPr="00D46607">
        <w:rPr>
          <w:szCs w:val="22"/>
        </w:rPr>
        <w:t xml:space="preserve">to indicate an </w:t>
      </w:r>
      <w:r w:rsidRPr="00D46607">
        <w:rPr>
          <w:szCs w:val="22"/>
        </w:rPr>
        <w:t>inactive hepatitis B surface antigen (HBsAg) carrier state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3,5-7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Once </w:t>
      </w:r>
      <w:r w:rsidR="003E2EA4" w:rsidRPr="00D46607">
        <w:rPr>
          <w:szCs w:val="22"/>
        </w:rPr>
        <w:t xml:space="preserve">the </w:t>
      </w:r>
      <w:r w:rsidRPr="00D46607">
        <w:rPr>
          <w:szCs w:val="22"/>
        </w:rPr>
        <w:t xml:space="preserve">HBV genome is inactivated, it remains inert </w:t>
      </w:r>
      <w:r w:rsidR="003E2EA4" w:rsidRPr="00D46607">
        <w:rPr>
          <w:szCs w:val="22"/>
        </w:rPr>
        <w:t xml:space="preserve">throughout </w:t>
      </w:r>
      <w:r w:rsidRPr="00D46607">
        <w:rPr>
          <w:szCs w:val="22"/>
        </w:rPr>
        <w:t xml:space="preserve">life, HBeAg becomes negative, and HBsAg is cleared in approximately 40% </w:t>
      </w:r>
      <w:r w:rsidR="003E2EA4" w:rsidRPr="00D46607">
        <w:rPr>
          <w:szCs w:val="22"/>
        </w:rPr>
        <w:t xml:space="preserve">of patients </w:t>
      </w:r>
      <w:r w:rsidRPr="00D46607">
        <w:rPr>
          <w:szCs w:val="22"/>
        </w:rPr>
        <w:t>after 25 years of follow-up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3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On the other hand, a significant proportion of carriers</w:t>
      </w:r>
      <w:r w:rsidR="007E7151" w:rsidRPr="00D46607">
        <w:rPr>
          <w:szCs w:val="22"/>
        </w:rPr>
        <w:t xml:space="preserve"> with</w:t>
      </w:r>
      <w:r w:rsidRPr="00D46607">
        <w:rPr>
          <w:szCs w:val="22"/>
        </w:rPr>
        <w:t xml:space="preserve"> HBeAg loss </w:t>
      </w:r>
      <w:r w:rsidR="007E7151" w:rsidRPr="00D46607">
        <w:rPr>
          <w:szCs w:val="22"/>
        </w:rPr>
        <w:t xml:space="preserve">harbor the </w:t>
      </w:r>
      <w:r w:rsidRPr="00D46607">
        <w:rPr>
          <w:szCs w:val="22"/>
        </w:rPr>
        <w:t>G1896A</w:t>
      </w:r>
      <w:r w:rsidR="007E7151" w:rsidRPr="00D46607">
        <w:rPr>
          <w:szCs w:val="22"/>
        </w:rPr>
        <w:t xml:space="preserve"> mutation</w:t>
      </w:r>
      <w:r w:rsidRPr="00D46607">
        <w:rPr>
          <w:szCs w:val="22"/>
        </w:rPr>
        <w:t xml:space="preserve">, </w:t>
      </w:r>
      <w:r w:rsidR="003E2EA4" w:rsidRPr="00D46607">
        <w:rPr>
          <w:szCs w:val="22"/>
        </w:rPr>
        <w:t xml:space="preserve">the </w:t>
      </w:r>
      <w:r w:rsidRPr="00D46607">
        <w:rPr>
          <w:szCs w:val="22"/>
        </w:rPr>
        <w:t>so-called e-minus mutation</w:t>
      </w:r>
      <w:r w:rsidRPr="009D0E29">
        <w:rPr>
          <w:szCs w:val="22"/>
          <w:vertAlign w:val="superscript"/>
        </w:rPr>
        <w:t>[</w:t>
      </w:r>
      <w:r w:rsidRPr="009D0E29">
        <w:rPr>
          <w:vertAlign w:val="superscript"/>
        </w:rPr>
        <w:t>2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In Korea, where most HBV </w:t>
      </w:r>
      <w:r w:rsidR="003E2EA4" w:rsidRPr="00D46607">
        <w:rPr>
          <w:szCs w:val="22"/>
        </w:rPr>
        <w:t xml:space="preserve">carriers </w:t>
      </w:r>
      <w:r w:rsidR="00001FBE" w:rsidRPr="00D46607">
        <w:rPr>
          <w:szCs w:val="22"/>
        </w:rPr>
        <w:t>harbor</w:t>
      </w:r>
      <w:r w:rsidR="00C71AA1" w:rsidRPr="00D46607">
        <w:rPr>
          <w:szCs w:val="22"/>
        </w:rPr>
        <w:t xml:space="preserve"> </w:t>
      </w:r>
      <w:r w:rsidRPr="00D46607">
        <w:rPr>
          <w:szCs w:val="22"/>
        </w:rPr>
        <w:t>genotype C2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8-10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,</w:t>
      </w:r>
      <w:r w:rsidRPr="00D46607">
        <w:rPr>
          <w:szCs w:val="22"/>
        </w:rPr>
        <w:t xml:space="preserve"> most carriers over the age of 40 are infected </w:t>
      </w:r>
      <w:r w:rsidR="003E2EA4" w:rsidRPr="00D46607">
        <w:rPr>
          <w:szCs w:val="22"/>
        </w:rPr>
        <w:t>with</w:t>
      </w:r>
      <w:r w:rsidRPr="00D46607">
        <w:rPr>
          <w:szCs w:val="22"/>
        </w:rPr>
        <w:t xml:space="preserve"> HBV with basal core promoter (BCP) double mutations (A1762G and A1764T</w:t>
      </w:r>
      <w:r w:rsidR="00A42992" w:rsidRPr="00D46607">
        <w:rPr>
          <w:szCs w:val="22"/>
        </w:rPr>
        <w:t xml:space="preserve">), and more </w:t>
      </w:r>
      <w:r w:rsidRPr="00D46607">
        <w:rPr>
          <w:szCs w:val="22"/>
        </w:rPr>
        <w:t xml:space="preserve">than half of </w:t>
      </w:r>
      <w:r w:rsidR="00001FBE" w:rsidRPr="00D46607">
        <w:rPr>
          <w:szCs w:val="22"/>
        </w:rPr>
        <w:t>these individuals</w:t>
      </w:r>
      <w:r w:rsidR="00A42992" w:rsidRPr="00D46607">
        <w:rPr>
          <w:szCs w:val="22"/>
        </w:rPr>
        <w:t xml:space="preserve"> </w:t>
      </w:r>
      <w:r w:rsidRPr="00D46607">
        <w:rPr>
          <w:szCs w:val="22"/>
        </w:rPr>
        <w:t xml:space="preserve">have </w:t>
      </w:r>
      <w:r w:rsidR="003E2EA4" w:rsidRPr="00D46607">
        <w:rPr>
          <w:szCs w:val="22"/>
        </w:rPr>
        <w:t xml:space="preserve">the </w:t>
      </w:r>
      <w:r w:rsidRPr="00D46607">
        <w:rPr>
          <w:szCs w:val="22"/>
        </w:rPr>
        <w:t>G1896A mutation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9,10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</w:t>
      </w:r>
      <w:r w:rsidR="00A42992" w:rsidRPr="00D46607">
        <w:rPr>
          <w:szCs w:val="22"/>
        </w:rPr>
        <w:t xml:space="preserve">These </w:t>
      </w:r>
      <w:r w:rsidRPr="00D46607">
        <w:rPr>
          <w:szCs w:val="22"/>
        </w:rPr>
        <w:t xml:space="preserve">mutations </w:t>
      </w:r>
      <w:r w:rsidR="007E7151" w:rsidRPr="00D46607">
        <w:rPr>
          <w:szCs w:val="22"/>
        </w:rPr>
        <w:t>are associated with</w:t>
      </w:r>
      <w:r w:rsidRPr="00D46607">
        <w:rPr>
          <w:szCs w:val="22"/>
        </w:rPr>
        <w:t xml:space="preserve"> </w:t>
      </w:r>
      <w:r w:rsidRPr="009D0E29">
        <w:rPr>
          <w:szCs w:val="22"/>
        </w:rPr>
        <w:t xml:space="preserve">HBeAg-negative chronic hepatitis </w:t>
      </w:r>
      <w:r w:rsidR="003E2EA4" w:rsidRPr="009D0E29">
        <w:rPr>
          <w:szCs w:val="22"/>
        </w:rPr>
        <w:t xml:space="preserve">that is </w:t>
      </w:r>
      <w:r w:rsidRPr="00D46607">
        <w:rPr>
          <w:szCs w:val="22"/>
        </w:rPr>
        <w:t>frequently reactivated</w:t>
      </w:r>
      <w:r w:rsidR="00A42992"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2,11,12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,</w:t>
      </w:r>
      <w:r w:rsidRPr="00D46607">
        <w:rPr>
          <w:szCs w:val="22"/>
        </w:rPr>
        <w:t xml:space="preserve"> </w:t>
      </w:r>
      <w:r w:rsidR="00A42992" w:rsidRPr="00D46607">
        <w:rPr>
          <w:szCs w:val="22"/>
        </w:rPr>
        <w:t xml:space="preserve">and </w:t>
      </w:r>
      <w:r w:rsidRPr="00D46607">
        <w:rPr>
          <w:szCs w:val="22"/>
        </w:rPr>
        <w:t xml:space="preserve">HBeAg seroconversion is associated with </w:t>
      </w:r>
      <w:r w:rsidR="0066782A" w:rsidRPr="00D46607">
        <w:rPr>
          <w:szCs w:val="22"/>
        </w:rPr>
        <w:t xml:space="preserve">the development of LC and HCC in </w:t>
      </w:r>
      <w:r w:rsidRPr="00D46607">
        <w:rPr>
          <w:szCs w:val="22"/>
        </w:rPr>
        <w:t>two-third</w:t>
      </w:r>
      <w:r w:rsidR="003E2EA4" w:rsidRPr="00D46607">
        <w:rPr>
          <w:szCs w:val="22"/>
        </w:rPr>
        <w:t>s</w:t>
      </w:r>
      <w:r w:rsidRPr="00D46607">
        <w:rPr>
          <w:szCs w:val="22"/>
        </w:rPr>
        <w:t xml:space="preserve"> of carriers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2,7,13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</w:t>
      </w:r>
      <w:r w:rsidR="00A42992" w:rsidRPr="00D46607">
        <w:rPr>
          <w:szCs w:val="22"/>
        </w:rPr>
        <w:t xml:space="preserve">Because the </w:t>
      </w:r>
      <w:r w:rsidRPr="00D46607">
        <w:rPr>
          <w:szCs w:val="22"/>
        </w:rPr>
        <w:t>turning point</w:t>
      </w:r>
      <w:r w:rsidR="00AF72DF" w:rsidRPr="00D46607">
        <w:rPr>
          <w:szCs w:val="22"/>
        </w:rPr>
        <w:t xml:space="preserve"> of seroconversion</w:t>
      </w:r>
      <w:r w:rsidRPr="00D46607">
        <w:rPr>
          <w:szCs w:val="22"/>
        </w:rPr>
        <w:t xml:space="preserve"> </w:t>
      </w:r>
      <w:r w:rsidR="00A42992" w:rsidRPr="009D0E29">
        <w:rPr>
          <w:szCs w:val="22"/>
        </w:rPr>
        <w:t xml:space="preserve">generally occurs near </w:t>
      </w:r>
      <w:r w:rsidRPr="009D0E29">
        <w:rPr>
          <w:szCs w:val="22"/>
        </w:rPr>
        <w:t>the age of 40</w:t>
      </w:r>
      <w:r w:rsidR="00A42992"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11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,</w:t>
      </w:r>
      <w:r w:rsidRPr="00D46607">
        <w:rPr>
          <w:szCs w:val="22"/>
        </w:rPr>
        <w:t xml:space="preserve"> the recovery phase and </w:t>
      </w:r>
      <w:r w:rsidR="00AF72DF" w:rsidRPr="00D46607">
        <w:rPr>
          <w:szCs w:val="22"/>
        </w:rPr>
        <w:t xml:space="preserve">timing of </w:t>
      </w:r>
      <w:r w:rsidRPr="00D46607">
        <w:rPr>
          <w:szCs w:val="22"/>
        </w:rPr>
        <w:t xml:space="preserve">mutations </w:t>
      </w:r>
      <w:r w:rsidR="007E7151" w:rsidRPr="00D46607">
        <w:rPr>
          <w:szCs w:val="22"/>
        </w:rPr>
        <w:t>usually overlap with</w:t>
      </w:r>
      <w:r w:rsidRPr="00D46607">
        <w:rPr>
          <w:szCs w:val="22"/>
        </w:rPr>
        <w:t xml:space="preserve"> the development of LC and HCC </w:t>
      </w:r>
      <w:r w:rsidR="00A42992" w:rsidRPr="00D46607">
        <w:rPr>
          <w:szCs w:val="22"/>
        </w:rPr>
        <w:t>at this time</w:t>
      </w:r>
      <w:r w:rsidRPr="009D0E29">
        <w:rPr>
          <w:szCs w:val="22"/>
          <w:vertAlign w:val="superscript"/>
        </w:rPr>
        <w:t>[</w:t>
      </w:r>
      <w:r w:rsidRPr="009D0E29">
        <w:rPr>
          <w:vertAlign w:val="superscript"/>
        </w:rPr>
        <w:t>2,14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</w:t>
      </w:r>
      <w:r w:rsidR="00B43346" w:rsidRPr="00D46607">
        <w:rPr>
          <w:szCs w:val="22"/>
        </w:rPr>
        <w:t xml:space="preserve">However, </w:t>
      </w:r>
      <w:r w:rsidRPr="00D46607">
        <w:rPr>
          <w:szCs w:val="22"/>
        </w:rPr>
        <w:t xml:space="preserve">HCC </w:t>
      </w:r>
      <w:r w:rsidR="00B43346" w:rsidRPr="00D46607">
        <w:rPr>
          <w:szCs w:val="22"/>
        </w:rPr>
        <w:t>may also develop</w:t>
      </w:r>
      <w:r w:rsidRPr="00D46607">
        <w:rPr>
          <w:szCs w:val="22"/>
        </w:rPr>
        <w:t xml:space="preserve"> after HBsAg seroclearance</w:t>
      </w:r>
      <w:r w:rsidRPr="00D46607">
        <w:rPr>
          <w:szCs w:val="22"/>
          <w:vertAlign w:val="superscript"/>
        </w:rPr>
        <w:t>[</w:t>
      </w:r>
      <w:r w:rsidRPr="00D46607">
        <w:rPr>
          <w:vertAlign w:val="superscript"/>
        </w:rPr>
        <w:t>2,14</w:t>
      </w:r>
      <w:r w:rsidRPr="00D46607">
        <w:rPr>
          <w:szCs w:val="22"/>
          <w:vertAlign w:val="superscript"/>
        </w:rPr>
        <w:t>]</w:t>
      </w:r>
      <w:r w:rsidR="003B41C0" w:rsidRPr="00D46607">
        <w:rPr>
          <w:szCs w:val="22"/>
        </w:rPr>
        <w:t>.</w:t>
      </w:r>
      <w:r w:rsidRPr="00D46607">
        <w:rPr>
          <w:szCs w:val="22"/>
        </w:rPr>
        <w:t xml:space="preserve"> These </w:t>
      </w:r>
      <w:r w:rsidR="0066782A" w:rsidRPr="00D46607">
        <w:rPr>
          <w:szCs w:val="22"/>
        </w:rPr>
        <w:t>results highlight the</w:t>
      </w:r>
      <w:r w:rsidRPr="00D46607">
        <w:rPr>
          <w:szCs w:val="22"/>
        </w:rPr>
        <w:t xml:space="preserve"> </w:t>
      </w:r>
      <w:r w:rsidR="00B43346" w:rsidRPr="00D46607">
        <w:rPr>
          <w:szCs w:val="22"/>
        </w:rPr>
        <w:t xml:space="preserve">difficulty </w:t>
      </w:r>
      <w:r w:rsidR="00E15002" w:rsidRPr="00D46607">
        <w:rPr>
          <w:szCs w:val="22"/>
        </w:rPr>
        <w:t>of determining</w:t>
      </w:r>
      <w:r w:rsidRPr="00D46607">
        <w:rPr>
          <w:szCs w:val="22"/>
        </w:rPr>
        <w:t xml:space="preserve"> when and how the negative conversion of HBsAg (HBsAg-NC) in </w:t>
      </w:r>
      <w:r w:rsidR="00E15002" w:rsidRPr="00D46607">
        <w:rPr>
          <w:szCs w:val="22"/>
        </w:rPr>
        <w:t xml:space="preserve">the </w:t>
      </w:r>
      <w:r w:rsidRPr="00D46607">
        <w:rPr>
          <w:szCs w:val="22"/>
        </w:rPr>
        <w:t xml:space="preserve">serum </w:t>
      </w:r>
      <w:r w:rsidR="004A0825">
        <w:rPr>
          <w:szCs w:val="22"/>
        </w:rPr>
        <w:t>takes</w:t>
      </w:r>
      <w:r w:rsidR="000E59D3">
        <w:rPr>
          <w:szCs w:val="22"/>
        </w:rPr>
        <w:t xml:space="preserve"> </w:t>
      </w:r>
      <w:r w:rsidR="004A0825">
        <w:rPr>
          <w:szCs w:val="22"/>
        </w:rPr>
        <w:t xml:space="preserve">the risk </w:t>
      </w:r>
      <w:r w:rsidR="000E59D3">
        <w:rPr>
          <w:szCs w:val="22"/>
        </w:rPr>
        <w:t>out of HCC</w:t>
      </w:r>
      <w:r w:rsidRPr="009D0E29">
        <w:rPr>
          <w:szCs w:val="22"/>
        </w:rPr>
        <w:t xml:space="preserve">. </w:t>
      </w:r>
      <w:r w:rsidR="00E15002" w:rsidRPr="009D0E29">
        <w:rPr>
          <w:szCs w:val="22"/>
        </w:rPr>
        <w:t>Thus</w:t>
      </w:r>
      <w:r w:rsidRPr="00D46607">
        <w:rPr>
          <w:szCs w:val="22"/>
        </w:rPr>
        <w:t xml:space="preserve">, Korean HBV carriers </w:t>
      </w:r>
      <w:r w:rsidR="00B43346" w:rsidRPr="00D46607">
        <w:rPr>
          <w:szCs w:val="22"/>
        </w:rPr>
        <w:t>represent</w:t>
      </w:r>
      <w:r w:rsidRPr="00D46607">
        <w:rPr>
          <w:szCs w:val="22"/>
        </w:rPr>
        <w:t xml:space="preserve"> a good model to study </w:t>
      </w:r>
      <w:r w:rsidR="0066782A" w:rsidRPr="00D46607">
        <w:rPr>
          <w:szCs w:val="22"/>
        </w:rPr>
        <w:t xml:space="preserve">the </w:t>
      </w:r>
      <w:r w:rsidRPr="00D46607">
        <w:rPr>
          <w:szCs w:val="22"/>
        </w:rPr>
        <w:t>clinical significance of HBsAg seroclearance in</w:t>
      </w:r>
      <w:r w:rsidR="00E15002" w:rsidRPr="00D46607">
        <w:rPr>
          <w:szCs w:val="22"/>
        </w:rPr>
        <w:t xml:space="preserve"> </w:t>
      </w:r>
      <w:r w:rsidR="00E92C02" w:rsidRPr="00D46607">
        <w:rPr>
          <w:szCs w:val="22"/>
        </w:rPr>
        <w:t>individuals</w:t>
      </w:r>
      <w:r w:rsidR="00E15002" w:rsidRPr="00D46607">
        <w:rPr>
          <w:szCs w:val="22"/>
        </w:rPr>
        <w:t xml:space="preserve"> with</w:t>
      </w:r>
      <w:r w:rsidRPr="00D46607">
        <w:rPr>
          <w:szCs w:val="22"/>
        </w:rPr>
        <w:t xml:space="preserve"> genotype C</w:t>
      </w:r>
      <w:r w:rsidRPr="009D0E29">
        <w:rPr>
          <w:szCs w:val="22"/>
        </w:rPr>
        <w:t xml:space="preserve">. This study investigated </w:t>
      </w:r>
      <w:r w:rsidR="0066782A" w:rsidRPr="00D46607">
        <w:rPr>
          <w:szCs w:val="22"/>
        </w:rPr>
        <w:t>the</w:t>
      </w:r>
      <w:r w:rsidRPr="00D46607">
        <w:rPr>
          <w:szCs w:val="22"/>
        </w:rPr>
        <w:t xml:space="preserve"> long-term process of HBsAg seroclearance to </w:t>
      </w:r>
      <w:r w:rsidR="00C71AA1" w:rsidRPr="00D46607">
        <w:rPr>
          <w:szCs w:val="22"/>
        </w:rPr>
        <w:t xml:space="preserve">elucidate the </w:t>
      </w:r>
      <w:r w:rsidRPr="00D46607">
        <w:rPr>
          <w:szCs w:val="22"/>
        </w:rPr>
        <w:t>outcome</w:t>
      </w:r>
      <w:r w:rsidR="0066782A" w:rsidRPr="00D46607">
        <w:rPr>
          <w:szCs w:val="22"/>
        </w:rPr>
        <w:t>s</w:t>
      </w:r>
      <w:r w:rsidRPr="00D46607">
        <w:rPr>
          <w:szCs w:val="22"/>
        </w:rPr>
        <w:t xml:space="preserve"> and predictive factors.</w:t>
      </w:r>
    </w:p>
    <w:p w14:paraId="5024FFFA" w14:textId="77777777" w:rsidR="008071B3" w:rsidRPr="00D46607" w:rsidRDefault="008071B3" w:rsidP="00E70A1E">
      <w:pPr>
        <w:widowControl/>
        <w:wordWrap/>
        <w:autoSpaceDE/>
        <w:autoSpaceDN/>
        <w:spacing w:after="0"/>
        <w:rPr>
          <w:szCs w:val="22"/>
        </w:rPr>
      </w:pPr>
      <w:r w:rsidRPr="00D46607">
        <w:rPr>
          <w:szCs w:val="22"/>
        </w:rPr>
        <w:br w:type="page"/>
      </w:r>
    </w:p>
    <w:p w14:paraId="367CEF64" w14:textId="5FD9C27B" w:rsidR="008071B3" w:rsidRPr="00D46607" w:rsidRDefault="00EE74B9" w:rsidP="00E70A1E">
      <w:pPr>
        <w:wordWrap/>
        <w:spacing w:after="0"/>
        <w:rPr>
          <w:rFonts w:eastAsiaTheme="majorEastAsia" w:cstheme="majorBidi"/>
          <w:b/>
          <w:szCs w:val="22"/>
        </w:rPr>
      </w:pPr>
      <w:bookmarkStart w:id="26" w:name="OLE_LINK337"/>
      <w:bookmarkStart w:id="27" w:name="OLE_LINK338"/>
      <w:bookmarkStart w:id="28" w:name="OLE_LINK378"/>
      <w:bookmarkStart w:id="29" w:name="OLE_LINK388"/>
      <w:bookmarkStart w:id="30" w:name="OLE_LINK394"/>
      <w:r w:rsidRPr="00D46607">
        <w:rPr>
          <w:b/>
        </w:rPr>
        <w:lastRenderedPageBreak/>
        <w:t>MATERIALS</w:t>
      </w:r>
      <w:r w:rsidR="008071B3" w:rsidRPr="00D46607">
        <w:rPr>
          <w:rFonts w:eastAsiaTheme="majorEastAsia" w:cstheme="majorBidi"/>
          <w:b/>
          <w:szCs w:val="22"/>
        </w:rPr>
        <w:t xml:space="preserve"> AND METHODS</w:t>
      </w:r>
    </w:p>
    <w:bookmarkEnd w:id="26"/>
    <w:bookmarkEnd w:id="27"/>
    <w:bookmarkEnd w:id="28"/>
    <w:bookmarkEnd w:id="29"/>
    <w:bookmarkEnd w:id="30"/>
    <w:p w14:paraId="71F8936F" w14:textId="77777777" w:rsidR="008071B3" w:rsidRPr="00D46607" w:rsidRDefault="008071B3" w:rsidP="00E70A1E">
      <w:pPr>
        <w:pStyle w:val="20"/>
        <w:wordWrap/>
        <w:spacing w:before="0" w:after="0" w:line="360" w:lineRule="auto"/>
        <w:ind w:left="1104" w:hanging="1099"/>
      </w:pPr>
      <w:r w:rsidRPr="00D46607">
        <w:t>Patients</w:t>
      </w:r>
    </w:p>
    <w:p w14:paraId="683D0DCC" w14:textId="4211DBE0" w:rsidR="008071B3" w:rsidRPr="00D46607" w:rsidRDefault="00C71AA1" w:rsidP="00E70A1E">
      <w:pPr>
        <w:wordWrap/>
        <w:spacing w:after="0"/>
      </w:pPr>
      <w:r w:rsidRPr="00D46607">
        <w:t xml:space="preserve">Among </w:t>
      </w:r>
      <w:r w:rsidR="008071B3" w:rsidRPr="00D46607">
        <w:t xml:space="preserve">chronic HBV carriers who visited the Hepatology Center of Bundang Jesaeng General Hospital between March 2003 and September 2015, all </w:t>
      </w:r>
      <w:r w:rsidR="00913D96" w:rsidRPr="00D46607">
        <w:t>patients</w:t>
      </w:r>
      <w:r w:rsidR="008071B3" w:rsidRPr="00D46607">
        <w:t xml:space="preserve"> with HBsAg seroclearance were recruited. </w:t>
      </w:r>
      <w:r w:rsidR="0066782A" w:rsidRPr="00D46607">
        <w:t>The</w:t>
      </w:r>
      <w:r w:rsidR="008071B3" w:rsidRPr="00D46607">
        <w:t xml:space="preserve"> clinical and laboratory data were</w:t>
      </w:r>
      <w:r w:rsidR="0066782A" w:rsidRPr="00D46607">
        <w:t xml:space="preserve"> retrospectively</w:t>
      </w:r>
      <w:r w:rsidR="008071B3" w:rsidRPr="00D46607">
        <w:t xml:space="preserve"> recorded at baseline and during follow-up. </w:t>
      </w:r>
      <w:r w:rsidR="00B43346" w:rsidRPr="00D46607">
        <w:t>C</w:t>
      </w:r>
      <w:r w:rsidR="008071B3" w:rsidRPr="00D46607">
        <w:t>hronic carrier</w:t>
      </w:r>
      <w:r w:rsidR="00B43346" w:rsidRPr="00D46607">
        <w:t>s</w:t>
      </w:r>
      <w:r w:rsidR="008071B3" w:rsidRPr="00D46607">
        <w:t xml:space="preserve"> </w:t>
      </w:r>
      <w:r w:rsidR="00B43346" w:rsidRPr="00D46607">
        <w:t xml:space="preserve">were </w:t>
      </w:r>
      <w:r w:rsidR="008071B3" w:rsidRPr="00D46607">
        <w:t xml:space="preserve">defined as </w:t>
      </w:r>
      <w:r w:rsidR="00B43346" w:rsidRPr="00D46607">
        <w:t xml:space="preserve">those with </w:t>
      </w:r>
      <w:r w:rsidR="008071B3" w:rsidRPr="00D46607">
        <w:t>HBsAg</w:t>
      </w:r>
      <w:r w:rsidR="00B43346" w:rsidRPr="00D46607">
        <w:t xml:space="preserve"> </w:t>
      </w:r>
      <w:r w:rsidR="008071B3" w:rsidRPr="00D46607">
        <w:t>positiv</w:t>
      </w:r>
      <w:r w:rsidR="00B43346" w:rsidRPr="00D46607">
        <w:t>ity</w:t>
      </w:r>
      <w:r w:rsidR="008071B3" w:rsidRPr="00D46607">
        <w:t xml:space="preserve"> </w:t>
      </w:r>
      <w:r w:rsidR="00B43346" w:rsidRPr="00D46607">
        <w:t xml:space="preserve">on </w:t>
      </w:r>
      <w:r w:rsidR="008071B3" w:rsidRPr="00D46607">
        <w:t>two successive tests performed a</w:t>
      </w:r>
      <w:r w:rsidR="0066782A" w:rsidRPr="00D46607">
        <w:t>t least</w:t>
      </w:r>
      <w:r w:rsidR="008071B3" w:rsidRPr="00D46607">
        <w:t xml:space="preserve"> six</w:t>
      </w:r>
      <w:r w:rsidRPr="00D46607">
        <w:t xml:space="preserve"> </w:t>
      </w:r>
      <w:r w:rsidR="008071B3" w:rsidRPr="00D46607">
        <w:t>month</w:t>
      </w:r>
      <w:r w:rsidRPr="00D46607">
        <w:t>s apart</w:t>
      </w:r>
      <w:r w:rsidR="008071B3" w:rsidRPr="00D46607">
        <w:t xml:space="preserve">. </w:t>
      </w:r>
      <w:r w:rsidR="0066782A" w:rsidRPr="00D46607">
        <w:t>R</w:t>
      </w:r>
      <w:r w:rsidR="008071B3" w:rsidRPr="00D46607">
        <w:t xml:space="preserve">egistration or entry was defined as the initial visit to the center. The baseline data </w:t>
      </w:r>
      <w:r w:rsidRPr="00D46607">
        <w:t xml:space="preserve">included </w:t>
      </w:r>
      <w:r w:rsidR="008071B3" w:rsidRPr="00D46607">
        <w:t xml:space="preserve">the data </w:t>
      </w:r>
      <w:r w:rsidR="0066782A" w:rsidRPr="00D46607">
        <w:t xml:space="preserve">collected </w:t>
      </w:r>
      <w:r w:rsidR="008071B3" w:rsidRPr="00D46607">
        <w:t xml:space="preserve">at the first visit. HBsAg seroclearance was defined as two consecutive negative HBsAg tests </w:t>
      </w:r>
      <w:r w:rsidR="00C85644" w:rsidRPr="00D46607">
        <w:t xml:space="preserve">performed </w:t>
      </w:r>
      <w:r w:rsidR="008071B3" w:rsidRPr="00D46607">
        <w:t xml:space="preserve">at least six months apart. </w:t>
      </w:r>
    </w:p>
    <w:p w14:paraId="09472A59" w14:textId="77777777" w:rsidR="008071B3" w:rsidRPr="00D46607" w:rsidRDefault="008071B3" w:rsidP="00E70A1E">
      <w:pPr>
        <w:wordWrap/>
        <w:spacing w:after="0"/>
        <w:rPr>
          <w:szCs w:val="22"/>
        </w:rPr>
      </w:pPr>
    </w:p>
    <w:p w14:paraId="0A3046A4" w14:textId="2DAC4F39" w:rsidR="008071B3" w:rsidRPr="00D46607" w:rsidRDefault="008071B3" w:rsidP="00E70A1E">
      <w:pPr>
        <w:pStyle w:val="20"/>
        <w:wordWrap/>
        <w:spacing w:before="0" w:after="0" w:line="360" w:lineRule="auto"/>
        <w:ind w:left="1104" w:hanging="1099"/>
      </w:pPr>
      <w:r w:rsidRPr="00D46607">
        <w:t xml:space="preserve">Clinical </w:t>
      </w:r>
      <w:r w:rsidR="00B43346" w:rsidRPr="00D46607">
        <w:t xml:space="preserve">data </w:t>
      </w:r>
      <w:r w:rsidRPr="00D46607">
        <w:t xml:space="preserve">at </w:t>
      </w:r>
      <w:r w:rsidR="00B43346" w:rsidRPr="00D46607">
        <w:t xml:space="preserve">baseline </w:t>
      </w:r>
      <w:r w:rsidRPr="00D46607">
        <w:t xml:space="preserve">and </w:t>
      </w:r>
      <w:r w:rsidR="00B43346" w:rsidRPr="00D46607">
        <w:t>during follow</w:t>
      </w:r>
      <w:r w:rsidRPr="00D46607">
        <w:t>-</w:t>
      </w:r>
      <w:r w:rsidR="0066782A" w:rsidRPr="00D46607">
        <w:t>u</w:t>
      </w:r>
      <w:r w:rsidRPr="00D46607">
        <w:t xml:space="preserve">p </w:t>
      </w:r>
    </w:p>
    <w:p w14:paraId="7912BECB" w14:textId="74B54A89" w:rsidR="008071B3" w:rsidRPr="00D46607" w:rsidRDefault="0066782A" w:rsidP="00E70A1E">
      <w:pPr>
        <w:wordWrap/>
        <w:spacing w:after="0"/>
      </w:pPr>
      <w:r w:rsidRPr="00D46607">
        <w:t>The p</w:t>
      </w:r>
      <w:r w:rsidR="008071B3" w:rsidRPr="00D46607">
        <w:t xml:space="preserve">atients </w:t>
      </w:r>
      <w:r w:rsidR="007134E8" w:rsidRPr="00D46607">
        <w:t xml:space="preserve">underwent </w:t>
      </w:r>
      <w:r w:rsidR="00C85644" w:rsidRPr="00D46607">
        <w:t xml:space="preserve">tests for </w:t>
      </w:r>
      <w:r w:rsidR="008071B3" w:rsidRPr="00D46607">
        <w:t>biochemical liver function, hepatitis B virological markers</w:t>
      </w:r>
      <w:r w:rsidR="00C85644" w:rsidRPr="00D46607">
        <w:t>,</w:t>
      </w:r>
      <w:r w:rsidR="007134E8" w:rsidRPr="00D46607">
        <w:t xml:space="preserve"> </w:t>
      </w:r>
      <w:r w:rsidR="00C85644" w:rsidRPr="00D46607">
        <w:t xml:space="preserve">and </w:t>
      </w:r>
      <w:r w:rsidR="008071B3" w:rsidRPr="00D46607">
        <w:t xml:space="preserve">alpha-fetoprotein (AFP), </w:t>
      </w:r>
      <w:r w:rsidR="00C85644" w:rsidRPr="00D46607">
        <w:t xml:space="preserve">as well as </w:t>
      </w:r>
      <w:r w:rsidR="008071B3" w:rsidRPr="00D46607">
        <w:t>liver ultrasonography</w:t>
      </w:r>
      <w:r w:rsidR="00EC2146" w:rsidRPr="00D46607">
        <w:t xml:space="preserve"> (US)</w:t>
      </w:r>
      <w:r w:rsidR="008071B3" w:rsidRPr="00D46607">
        <w:t xml:space="preserve">. </w:t>
      </w:r>
      <w:r w:rsidRPr="00D46607">
        <w:t>The v</w:t>
      </w:r>
      <w:r w:rsidR="008071B3" w:rsidRPr="00D46607">
        <w:t>irological marker</w:t>
      </w:r>
      <w:r w:rsidR="007134E8" w:rsidRPr="00D46607">
        <w:t>s assessed</w:t>
      </w:r>
      <w:r w:rsidR="008071B3" w:rsidRPr="00D46607">
        <w:t xml:space="preserve"> included HBsAg, anti-HBs, HBeAg, anti-HBe, and HBV DNA. </w:t>
      </w:r>
      <w:r w:rsidRPr="00D46607">
        <w:t>The a</w:t>
      </w:r>
      <w:r w:rsidR="008071B3" w:rsidRPr="00D46607">
        <w:t xml:space="preserve">nti-HBs or anti-HBe test was performed </w:t>
      </w:r>
      <w:r w:rsidR="007134E8" w:rsidRPr="00D46607">
        <w:t xml:space="preserve">as </w:t>
      </w:r>
      <w:r w:rsidR="008071B3" w:rsidRPr="00D46607">
        <w:t xml:space="preserve">clinically indicated. </w:t>
      </w:r>
      <w:r w:rsidRPr="00D46607">
        <w:t>The a</w:t>
      </w:r>
      <w:r w:rsidR="008071B3" w:rsidRPr="00D46607">
        <w:t>nti-HCV</w:t>
      </w:r>
      <w:r w:rsidRPr="00D46607">
        <w:t xml:space="preserve"> test</w:t>
      </w:r>
      <w:r w:rsidR="008071B3" w:rsidRPr="00D46607">
        <w:t xml:space="preserve"> was </w:t>
      </w:r>
      <w:r w:rsidRPr="00D46607">
        <w:t>performed</w:t>
      </w:r>
      <w:r w:rsidR="008071B3" w:rsidRPr="00D46607">
        <w:t xml:space="preserve"> at baseline and </w:t>
      </w:r>
      <w:r w:rsidRPr="00D46607">
        <w:t xml:space="preserve">was </w:t>
      </w:r>
      <w:r w:rsidR="008071B3" w:rsidRPr="00D46607">
        <w:t>repeate</w:t>
      </w:r>
      <w:r w:rsidR="008071B3" w:rsidRPr="00D46607">
        <w:rPr>
          <w:szCs w:val="24"/>
        </w:rPr>
        <w:t xml:space="preserve">d if </w:t>
      </w:r>
      <w:r w:rsidRPr="00D46607">
        <w:rPr>
          <w:szCs w:val="24"/>
        </w:rPr>
        <w:t xml:space="preserve">the </w:t>
      </w:r>
      <w:r w:rsidR="00B43346" w:rsidRPr="00D46607">
        <w:rPr>
          <w:iCs/>
          <w:szCs w:val="24"/>
        </w:rPr>
        <w:t>alanine aminotransferase</w:t>
      </w:r>
      <w:r w:rsidR="00B43346" w:rsidRPr="00D46607">
        <w:rPr>
          <w:szCs w:val="24"/>
        </w:rPr>
        <w:t xml:space="preserve"> (</w:t>
      </w:r>
      <w:r w:rsidR="008071B3" w:rsidRPr="00D46607">
        <w:rPr>
          <w:szCs w:val="24"/>
        </w:rPr>
        <w:t>ALT</w:t>
      </w:r>
      <w:r w:rsidR="00B43346" w:rsidRPr="00D46607">
        <w:rPr>
          <w:szCs w:val="24"/>
        </w:rPr>
        <w:t>)</w:t>
      </w:r>
      <w:r w:rsidR="008071B3" w:rsidRPr="00D46607">
        <w:rPr>
          <w:szCs w:val="24"/>
        </w:rPr>
        <w:t xml:space="preserve"> </w:t>
      </w:r>
      <w:r w:rsidR="008071B3" w:rsidRPr="00D46607">
        <w:t>level</w:t>
      </w:r>
      <w:r w:rsidR="00C85644" w:rsidRPr="00D46607">
        <w:t xml:space="preserve"> was</w:t>
      </w:r>
      <w:r w:rsidR="008071B3" w:rsidRPr="00D46607">
        <w:t xml:space="preserve"> </w:t>
      </w:r>
      <w:r w:rsidR="008071B3" w:rsidRPr="00D46607">
        <w:rPr>
          <w:szCs w:val="24"/>
        </w:rPr>
        <w:t>elevated to more than tw</w:t>
      </w:r>
      <w:r w:rsidR="008071B3" w:rsidRPr="00D46607">
        <w:t>ice the upper limit</w:t>
      </w:r>
      <w:r w:rsidR="00D9089C" w:rsidRPr="00D46607">
        <w:t xml:space="preserve"> of normal</w:t>
      </w:r>
      <w:r w:rsidR="008071B3" w:rsidRPr="00D46607">
        <w:t xml:space="preserve">. </w:t>
      </w:r>
      <w:r w:rsidR="00C85644" w:rsidRPr="00D46607">
        <w:t>The s</w:t>
      </w:r>
      <w:r w:rsidR="008071B3" w:rsidRPr="00D46607">
        <w:t>ignal-to-</w:t>
      </w:r>
      <w:r w:rsidR="00D210D3" w:rsidRPr="00D46607">
        <w:t>cutoff</w:t>
      </w:r>
      <w:r w:rsidR="008071B3" w:rsidRPr="00D46607">
        <w:t xml:space="preserve"> </w:t>
      </w:r>
      <w:r w:rsidR="00D210D3" w:rsidRPr="00D46607">
        <w:t>ratio</w:t>
      </w:r>
      <w:r w:rsidR="008071B3" w:rsidRPr="00D46607">
        <w:t xml:space="preserve"> of </w:t>
      </w:r>
      <w:r w:rsidRPr="00D46607">
        <w:t xml:space="preserve">the </w:t>
      </w:r>
      <w:r w:rsidR="008071B3" w:rsidRPr="00D46607">
        <w:t xml:space="preserve">HBsAg (HBsAg-SCR) </w:t>
      </w:r>
      <w:r w:rsidRPr="00D46607">
        <w:t xml:space="preserve">level </w:t>
      </w:r>
      <w:r w:rsidR="00C85644" w:rsidRPr="00D46607">
        <w:t>was</w:t>
      </w:r>
      <w:r w:rsidRPr="00D46607">
        <w:t xml:space="preserve"> </w:t>
      </w:r>
      <w:r w:rsidR="008071B3" w:rsidRPr="00D46607">
        <w:t xml:space="preserve">measured </w:t>
      </w:r>
      <w:r w:rsidR="00B43346" w:rsidRPr="00D46607">
        <w:t xml:space="preserve">for each patient </w:t>
      </w:r>
      <w:r w:rsidR="00061C6C" w:rsidRPr="00D46607">
        <w:t>by</w:t>
      </w:r>
      <w:r w:rsidR="008071B3" w:rsidRPr="00D46607">
        <w:t xml:space="preserve"> qualitative assay.</w:t>
      </w:r>
    </w:p>
    <w:p w14:paraId="5F2E5AF2" w14:textId="77777777" w:rsidR="008071B3" w:rsidRPr="00D46607" w:rsidRDefault="008071B3" w:rsidP="00E70A1E">
      <w:pPr>
        <w:wordWrap/>
        <w:spacing w:after="0"/>
        <w:rPr>
          <w:szCs w:val="22"/>
        </w:rPr>
      </w:pPr>
    </w:p>
    <w:p w14:paraId="1063D0A8" w14:textId="4C962F0F" w:rsidR="008071B3" w:rsidRPr="00D46607" w:rsidRDefault="008071B3" w:rsidP="00E70A1E">
      <w:pPr>
        <w:pStyle w:val="20"/>
        <w:wordWrap/>
        <w:spacing w:before="0" w:after="0" w:line="360" w:lineRule="auto"/>
        <w:ind w:left="1104" w:hanging="1099"/>
      </w:pPr>
      <w:r w:rsidRPr="00D46607">
        <w:t xml:space="preserve">Methods for </w:t>
      </w:r>
      <w:r w:rsidR="00B43346" w:rsidRPr="00D46607">
        <w:rPr>
          <w:szCs w:val="24"/>
        </w:rPr>
        <w:t>t</w:t>
      </w:r>
      <w:r w:rsidR="0066782A" w:rsidRPr="00D46607">
        <w:rPr>
          <w:szCs w:val="24"/>
        </w:rPr>
        <w:t xml:space="preserve">esting </w:t>
      </w:r>
      <w:r w:rsidR="00B43346" w:rsidRPr="00D46607">
        <w:t>v</w:t>
      </w:r>
      <w:r w:rsidRPr="00D46607">
        <w:t xml:space="preserve">irological </w:t>
      </w:r>
      <w:r w:rsidR="00B43346" w:rsidRPr="00D46607">
        <w:rPr>
          <w:szCs w:val="24"/>
        </w:rPr>
        <w:t>markers</w:t>
      </w:r>
      <w:r w:rsidRPr="00D46607">
        <w:t xml:space="preserve"> </w:t>
      </w:r>
    </w:p>
    <w:p w14:paraId="60486F3B" w14:textId="0C37E407" w:rsidR="008071B3" w:rsidRPr="00D46607" w:rsidRDefault="0066782A" w:rsidP="00E70A1E">
      <w:pPr>
        <w:wordWrap/>
        <w:spacing w:after="0"/>
      </w:pPr>
      <w:r w:rsidRPr="00D46607">
        <w:t xml:space="preserve">The </w:t>
      </w:r>
      <w:r w:rsidR="008071B3" w:rsidRPr="00D46607">
        <w:t xml:space="preserve">HBsAg, anti-HBs, HBeAg and anti-HBe </w:t>
      </w:r>
      <w:r w:rsidRPr="00D46607">
        <w:t xml:space="preserve">levels </w:t>
      </w:r>
      <w:r w:rsidR="008071B3" w:rsidRPr="00D46607">
        <w:t xml:space="preserve">were </w:t>
      </w:r>
      <w:r w:rsidRPr="00D46607">
        <w:t xml:space="preserve">determined </w:t>
      </w:r>
      <w:r w:rsidR="007134E8" w:rsidRPr="00D46607">
        <w:t xml:space="preserve">by </w:t>
      </w:r>
      <w:r w:rsidR="00B43346" w:rsidRPr="00D46607">
        <w:t xml:space="preserve">ARCHITECT </w:t>
      </w:r>
      <w:r w:rsidR="008071B3" w:rsidRPr="00D46607">
        <w:t>qualitative assay, which is a chemiluminescent microparticle immunoassay (CMIA) that measures the resulting chemiluminescent reaction as relative light units</w:t>
      </w:r>
      <w:r w:rsidR="00B43346" w:rsidRPr="00D46607">
        <w:t xml:space="preserve"> (RLUs)</w:t>
      </w:r>
      <w:r w:rsidR="008071B3" w:rsidRPr="00D46607">
        <w:t xml:space="preserve"> (Abbott Laboratories, North Chicago, IL, </w:t>
      </w:r>
      <w:r w:rsidR="00440060" w:rsidRPr="00440060">
        <w:t>United States</w:t>
      </w:r>
      <w:r w:rsidR="008071B3" w:rsidRPr="00D46607">
        <w:t xml:space="preserve">). There is a direct relationship between the amount of HBsAg in </w:t>
      </w:r>
      <w:r w:rsidR="007134E8" w:rsidRPr="00D46607">
        <w:t xml:space="preserve">a </w:t>
      </w:r>
      <w:r w:rsidR="008071B3" w:rsidRPr="00D46607">
        <w:t xml:space="preserve">sample and the RLUs detected </w:t>
      </w:r>
      <w:r w:rsidR="007134E8" w:rsidRPr="00D46607">
        <w:t xml:space="preserve">by </w:t>
      </w:r>
      <w:r w:rsidR="00B43346" w:rsidRPr="00D46607">
        <w:t xml:space="preserve">ARCHITECT assay </w:t>
      </w:r>
      <w:r w:rsidR="008071B3" w:rsidRPr="00D46607">
        <w:t xml:space="preserve">(Abbott Laboratories). </w:t>
      </w:r>
      <w:r w:rsidRPr="00D46607">
        <w:t>The a</w:t>
      </w:r>
      <w:r w:rsidR="008071B3" w:rsidRPr="00D46607">
        <w:t xml:space="preserve">nti-HCV </w:t>
      </w:r>
      <w:r w:rsidRPr="00D46607">
        <w:t>levels were determined using</w:t>
      </w:r>
      <w:r w:rsidR="008071B3" w:rsidRPr="00D46607">
        <w:t xml:space="preserve"> </w:t>
      </w:r>
      <w:r w:rsidR="00C85644" w:rsidRPr="00D46607">
        <w:t xml:space="preserve">a </w:t>
      </w:r>
      <w:r w:rsidR="008071B3" w:rsidRPr="00D46607">
        <w:t xml:space="preserve">third-generation enzyme immunoassay </w:t>
      </w:r>
      <w:r w:rsidR="00EC2146" w:rsidRPr="00D46607">
        <w:t xml:space="preserve">(EIA) </w:t>
      </w:r>
      <w:r w:rsidR="008071B3" w:rsidRPr="00D46607">
        <w:t xml:space="preserve">(Abbott Laboratories). HBV DNA was tested </w:t>
      </w:r>
      <w:r w:rsidRPr="00D46607">
        <w:lastRenderedPageBreak/>
        <w:t>using</w:t>
      </w:r>
      <w:r w:rsidR="008071B3" w:rsidRPr="00D46607">
        <w:t xml:space="preserve"> a commercially available real-time polymerase chain reaction (RT-PCR; Roche </w:t>
      </w:r>
      <w:r w:rsidR="00D9089C" w:rsidRPr="00D46607">
        <w:t>Molecular Systems</w:t>
      </w:r>
      <w:r w:rsidR="008071B3" w:rsidRPr="00D46607">
        <w:t>,</w:t>
      </w:r>
      <w:r w:rsidR="00D9089C" w:rsidRPr="00D46607">
        <w:t xml:space="preserve"> Pleasanton, CA</w:t>
      </w:r>
      <w:r w:rsidR="00061C6C" w:rsidRPr="00D46607">
        <w:t>,</w:t>
      </w:r>
      <w:r w:rsidR="008071B3" w:rsidRPr="00D46607">
        <w:t xml:space="preserve"> </w:t>
      </w:r>
      <w:r w:rsidR="00440060" w:rsidRPr="00440060">
        <w:t>United States</w:t>
      </w:r>
      <w:r w:rsidR="008071B3" w:rsidRPr="00D46607">
        <w:t>)</w:t>
      </w:r>
      <w:r w:rsidRPr="00D46607">
        <w:t>,</w:t>
      </w:r>
      <w:r w:rsidR="008071B3" w:rsidRPr="00D46607">
        <w:t xml:space="preserve"> according to the manufacturer’s instructions. The lower limit of detection (LLD) for both assays is 20 IU/mL. The </w:t>
      </w:r>
      <w:r w:rsidR="00C85644" w:rsidRPr="00D46607">
        <w:t xml:space="preserve">viral load </w:t>
      </w:r>
      <w:r w:rsidR="004209B5" w:rsidRPr="00D46607">
        <w:t xml:space="preserve">data obtained </w:t>
      </w:r>
      <w:r w:rsidRPr="00D46607">
        <w:t xml:space="preserve">with the </w:t>
      </w:r>
      <w:r w:rsidR="008071B3" w:rsidRPr="00D46607">
        <w:t>Roche assay were converted to international reference unit</w:t>
      </w:r>
      <w:r w:rsidR="004209B5" w:rsidRPr="00D46607">
        <w:t>s</w:t>
      </w:r>
      <w:r w:rsidR="008071B3" w:rsidRPr="00D46607">
        <w:t xml:space="preserve"> for analysis </w:t>
      </w:r>
      <w:r w:rsidR="00E92C02" w:rsidRPr="00D46607">
        <w:t>using approximations for</w:t>
      </w:r>
      <w:r w:rsidR="008071B3" w:rsidRPr="00D46607">
        <w:t xml:space="preserve"> </w:t>
      </w:r>
      <w:r w:rsidR="008071B3" w:rsidRPr="009D0E29">
        <w:t>1 pg (28</w:t>
      </w:r>
      <w:r w:rsidR="00D9089C" w:rsidRPr="009D0E29">
        <w:t>3</w:t>
      </w:r>
      <w:r w:rsidR="008071B3" w:rsidRPr="00D46607">
        <w:t>000 copies) and 1 IU/mL (5.8 copies/</w:t>
      </w:r>
      <w:r w:rsidR="00EC2146" w:rsidRPr="00D46607">
        <w:t>mL</w:t>
      </w:r>
      <w:r w:rsidR="008071B3" w:rsidRPr="00D46607">
        <w:t>).</w:t>
      </w:r>
    </w:p>
    <w:p w14:paraId="55E01F19" w14:textId="77777777" w:rsidR="008071B3" w:rsidRPr="00D46607" w:rsidRDefault="008071B3" w:rsidP="00E70A1E">
      <w:pPr>
        <w:wordWrap/>
        <w:spacing w:after="0"/>
        <w:rPr>
          <w:szCs w:val="22"/>
        </w:rPr>
      </w:pPr>
    </w:p>
    <w:p w14:paraId="1215D4CE" w14:textId="639CED16" w:rsidR="008071B3" w:rsidRPr="00D46607" w:rsidRDefault="008071B3" w:rsidP="00E70A1E">
      <w:pPr>
        <w:pStyle w:val="20"/>
        <w:wordWrap/>
        <w:spacing w:before="0" w:after="0" w:line="360" w:lineRule="auto"/>
        <w:ind w:left="1104" w:hanging="1099"/>
      </w:pPr>
      <w:r w:rsidRPr="00D46607">
        <w:t xml:space="preserve">Quantitative HBsAg </w:t>
      </w:r>
      <w:r w:rsidR="00EC2146" w:rsidRPr="00D46607">
        <w:t xml:space="preserve">assay </w:t>
      </w:r>
    </w:p>
    <w:p w14:paraId="6A91AAB1" w14:textId="75D1BCD7" w:rsidR="008071B3" w:rsidRPr="00D46607" w:rsidRDefault="008071B3" w:rsidP="00E70A1E">
      <w:pPr>
        <w:wordWrap/>
        <w:spacing w:after="0"/>
      </w:pPr>
      <w:r w:rsidRPr="00D46607">
        <w:t xml:space="preserve">The data </w:t>
      </w:r>
      <w:r w:rsidR="0066782A" w:rsidRPr="00D46607">
        <w:t>on</w:t>
      </w:r>
      <w:r w:rsidRPr="00D46607">
        <w:t xml:space="preserve"> the HBsAg </w:t>
      </w:r>
      <w:r w:rsidR="0066782A" w:rsidRPr="00D46607">
        <w:t xml:space="preserve">levels in </w:t>
      </w:r>
      <w:r w:rsidRPr="00D46607">
        <w:t xml:space="preserve">177 </w:t>
      </w:r>
      <w:r w:rsidR="0066782A" w:rsidRPr="00D46607">
        <w:t xml:space="preserve">patients were </w:t>
      </w:r>
      <w:r w:rsidRPr="00D46607">
        <w:t xml:space="preserve">separately collected to </w:t>
      </w:r>
      <w:r w:rsidR="0066782A" w:rsidRPr="00D46607">
        <w:t xml:space="preserve">perform </w:t>
      </w:r>
      <w:r w:rsidRPr="00D46607">
        <w:t>correlation analysis with</w:t>
      </w:r>
      <w:r w:rsidR="00EC2146" w:rsidRPr="00D46607">
        <w:t xml:space="preserve"> the</w:t>
      </w:r>
      <w:r w:rsidRPr="00D46607">
        <w:t xml:space="preserve"> HBsAg-SCR</w:t>
      </w:r>
      <w:r w:rsidR="004209B5" w:rsidRPr="00D46607">
        <w:t>s</w:t>
      </w:r>
      <w:r w:rsidRPr="00D46607">
        <w:t xml:space="preserve"> obtained </w:t>
      </w:r>
      <w:r w:rsidR="0066782A" w:rsidRPr="00D46607">
        <w:t>with</w:t>
      </w:r>
      <w:r w:rsidRPr="00D46607">
        <w:t xml:space="preserve"> CMIA, a quantitative test. The HBsAg </w:t>
      </w:r>
      <w:r w:rsidR="0066782A" w:rsidRPr="00D46607">
        <w:t xml:space="preserve">titer </w:t>
      </w:r>
      <w:r w:rsidRPr="00D46607">
        <w:t xml:space="preserve">(HBsAg-QNT) was measured by </w:t>
      </w:r>
      <w:r w:rsidR="00D9089C" w:rsidRPr="00D46607">
        <w:t>electrochemiluminescence immunoassay (ECLIA)</w:t>
      </w:r>
      <w:r w:rsidRPr="00D46607">
        <w:t xml:space="preserve"> using</w:t>
      </w:r>
      <w:r w:rsidR="00D9089C" w:rsidRPr="00D46607">
        <w:t xml:space="preserve"> an Elecsys HBsAg II Quant Assay (</w:t>
      </w:r>
      <w:r w:rsidR="009A615E" w:rsidRPr="00D46607">
        <w:t xml:space="preserve">Roche Diagnostics, Indianapolis, IN, </w:t>
      </w:r>
      <w:r w:rsidR="00440060" w:rsidRPr="00440060">
        <w:t>United States</w:t>
      </w:r>
      <w:r w:rsidRPr="00D46607">
        <w:t xml:space="preserve">), </w:t>
      </w:r>
      <w:r w:rsidR="0066782A" w:rsidRPr="00D46607">
        <w:t>according to</w:t>
      </w:r>
      <w:r w:rsidRPr="00D46607">
        <w:t xml:space="preserve"> the manufacturer’s instructions</w:t>
      </w:r>
      <w:r w:rsidR="00EC2146" w:rsidRPr="00D46607">
        <w:t xml:space="preserve">. This approach quantifies </w:t>
      </w:r>
      <w:r w:rsidRPr="00D46607">
        <w:t>HBsAg against an internal World Health Organization reference standard in IU/mL.</w:t>
      </w:r>
    </w:p>
    <w:p w14:paraId="714E298E" w14:textId="77777777" w:rsidR="008071B3" w:rsidRPr="00D46607" w:rsidRDefault="008071B3" w:rsidP="00E70A1E">
      <w:pPr>
        <w:wordWrap/>
        <w:spacing w:after="0"/>
        <w:rPr>
          <w:szCs w:val="22"/>
        </w:rPr>
      </w:pPr>
    </w:p>
    <w:p w14:paraId="5E9D23F2" w14:textId="78CC69A7" w:rsidR="008071B3" w:rsidRPr="00D46607" w:rsidRDefault="008071B3" w:rsidP="00E70A1E">
      <w:pPr>
        <w:pStyle w:val="20"/>
        <w:wordWrap/>
        <w:spacing w:before="0" w:after="0" w:line="360" w:lineRule="auto"/>
        <w:ind w:left="1104" w:hanging="1099"/>
      </w:pPr>
      <w:r w:rsidRPr="00D46607">
        <w:t xml:space="preserve">Statistical </w:t>
      </w:r>
      <w:r w:rsidR="00EC2146" w:rsidRPr="00D46607">
        <w:t xml:space="preserve">analysis </w:t>
      </w:r>
    </w:p>
    <w:p w14:paraId="45D45D82" w14:textId="0A468A75" w:rsidR="008071B3" w:rsidRPr="00D46607" w:rsidRDefault="00043EA5" w:rsidP="00E70A1E">
      <w:pPr>
        <w:wordWrap/>
        <w:spacing w:after="0"/>
        <w:rPr>
          <w:rFonts w:eastAsiaTheme="majorEastAsia" w:cstheme="majorBidi"/>
          <w:b/>
          <w:szCs w:val="22"/>
        </w:rPr>
      </w:pPr>
      <w:r w:rsidRPr="00D46607">
        <w:t>To compare the characteristics between groups,</w:t>
      </w:r>
      <w:r w:rsidRPr="00D46607" w:rsidDel="0066782A">
        <w:t xml:space="preserve"> </w:t>
      </w:r>
      <w:r w:rsidRPr="00D46607">
        <w:t>e</w:t>
      </w:r>
      <w:r w:rsidR="008071B3" w:rsidRPr="00D46607">
        <w:t xml:space="preserve">ither </w:t>
      </w:r>
      <w:r w:rsidR="0066782A" w:rsidRPr="00D46607">
        <w:t xml:space="preserve">the </w:t>
      </w:r>
      <w:r w:rsidR="008071B3" w:rsidRPr="00D46607">
        <w:t>Chi-squared test or Fisher</w:t>
      </w:r>
      <w:r w:rsidR="0066782A" w:rsidRPr="00D46607">
        <w:t>’s</w:t>
      </w:r>
      <w:r w:rsidR="008071B3" w:rsidRPr="00D46607">
        <w:t xml:space="preserve"> exact test was used </w:t>
      </w:r>
      <w:r w:rsidR="0066782A" w:rsidRPr="00D46607">
        <w:t xml:space="preserve">to analyze </w:t>
      </w:r>
      <w:r w:rsidR="008071B3" w:rsidRPr="00D46607">
        <w:t>categorical variables</w:t>
      </w:r>
      <w:r w:rsidR="00EC2146" w:rsidRPr="00D46607">
        <w:t>,</w:t>
      </w:r>
      <w:r w:rsidR="008071B3" w:rsidRPr="00D46607">
        <w:t xml:space="preserve"> and</w:t>
      </w:r>
      <w:r w:rsidR="00EC2146" w:rsidRPr="00D46607">
        <w:t xml:space="preserve"> </w:t>
      </w:r>
      <w:r w:rsidR="00AD2758" w:rsidRPr="00D46607">
        <w:t>Student’s</w:t>
      </w:r>
      <w:r w:rsidR="008071B3" w:rsidRPr="00D46607">
        <w:t xml:space="preserve"> </w:t>
      </w:r>
      <w:r w:rsidR="008071B3" w:rsidRPr="00440060">
        <w:rPr>
          <w:i/>
        </w:rPr>
        <w:t>t</w:t>
      </w:r>
      <w:r w:rsidR="008071B3" w:rsidRPr="00D46607">
        <w:t xml:space="preserve">-test or Wilcoxon nonparametric test was used </w:t>
      </w:r>
      <w:r w:rsidR="0066782A" w:rsidRPr="00D46607">
        <w:t xml:space="preserve">to analyze </w:t>
      </w:r>
      <w:r w:rsidR="008071B3" w:rsidRPr="00D46607">
        <w:t xml:space="preserve">continuous </w:t>
      </w:r>
      <w:r w:rsidR="008071B3" w:rsidRPr="00D46607">
        <w:rPr>
          <w:rFonts w:cs="Times New Roman"/>
        </w:rPr>
        <w:t xml:space="preserve">variables. </w:t>
      </w:r>
      <w:r w:rsidR="00D77AE1" w:rsidRPr="00D46607">
        <w:rPr>
          <w:rStyle w:val="normaltextrun"/>
          <w:rFonts w:cs="Segoe UI"/>
        </w:rPr>
        <w:t>Statistical</w:t>
      </w:r>
      <w:r w:rsidR="00D77AE1" w:rsidRPr="00D46607">
        <w:rPr>
          <w:rStyle w:val="normaltextrun"/>
          <w:rFonts w:cs="Times New Roman"/>
        </w:rPr>
        <w:t xml:space="preserve"> </w:t>
      </w:r>
      <w:r w:rsidR="00E01422" w:rsidRPr="00D46607">
        <w:rPr>
          <w:rStyle w:val="normaltextrun"/>
          <w:rFonts w:cs="Times New Roman"/>
        </w:rPr>
        <w:t xml:space="preserve">data were </w:t>
      </w:r>
      <w:r w:rsidR="00D77AE1" w:rsidRPr="00D46607">
        <w:rPr>
          <w:rStyle w:val="normaltextrun"/>
          <w:rFonts w:cs="Times New Roman"/>
        </w:rPr>
        <w:t>expressed</w:t>
      </w:r>
      <w:r w:rsidR="00E01422" w:rsidRPr="00D46607">
        <w:rPr>
          <w:rStyle w:val="normaltextrun"/>
          <w:rFonts w:cs="Times New Roman"/>
        </w:rPr>
        <w:t xml:space="preserve"> as the mean</w:t>
      </w:r>
      <w:r w:rsidR="00D77AE1" w:rsidRPr="00D46607">
        <w:rPr>
          <w:rStyle w:val="normaltextrun"/>
          <w:rFonts w:cs="Times New Roman"/>
        </w:rPr>
        <w:t xml:space="preserve"> ± SD. </w:t>
      </w:r>
      <w:r w:rsidR="0066782A" w:rsidRPr="00D46607">
        <w:rPr>
          <w:rFonts w:cs="Times New Roman"/>
        </w:rPr>
        <w:t>The</w:t>
      </w:r>
      <w:r w:rsidR="0066782A" w:rsidRPr="00D46607">
        <w:t xml:space="preserve"> c</w:t>
      </w:r>
      <w:r w:rsidR="008071B3" w:rsidRPr="00D46607">
        <w:t xml:space="preserve">orrelation between </w:t>
      </w:r>
      <w:r w:rsidR="004209B5" w:rsidRPr="00D46607">
        <w:t xml:space="preserve">the </w:t>
      </w:r>
      <w:r w:rsidR="008071B3" w:rsidRPr="00D46607">
        <w:t xml:space="preserve">HBsAg-SCR and </w:t>
      </w:r>
      <w:r w:rsidR="0066782A" w:rsidRPr="00D46607">
        <w:t>HBsAg</w:t>
      </w:r>
      <w:r w:rsidR="008071B3" w:rsidRPr="00D46607">
        <w:t xml:space="preserve">-QNT was analyzed. </w:t>
      </w:r>
      <w:r w:rsidR="0096724A" w:rsidRPr="00D46607">
        <w:t>The s</w:t>
      </w:r>
      <w:r w:rsidR="008071B3" w:rsidRPr="00D46607">
        <w:t>tatistical procedures were performed with R-project version 3.2</w:t>
      </w:r>
      <w:r w:rsidR="008071B3" w:rsidRPr="00D46607">
        <w:rPr>
          <w:vertAlign w:val="superscript"/>
        </w:rPr>
        <w:t>[15]</w:t>
      </w:r>
      <w:r w:rsidR="008071B3" w:rsidRPr="00D46607">
        <w:t xml:space="preserve">. </w:t>
      </w:r>
      <w:r w:rsidR="008071B3" w:rsidRPr="00D46607">
        <w:rPr>
          <w:i/>
        </w:rPr>
        <w:t>P</w:t>
      </w:r>
      <w:r w:rsidR="008071B3" w:rsidRPr="00D46607">
        <w:t xml:space="preserve"> values </w:t>
      </w:r>
      <w:r w:rsidR="004209B5" w:rsidRPr="00D46607">
        <w:t xml:space="preserve">of </w:t>
      </w:r>
      <w:r w:rsidR="008071B3" w:rsidRPr="00D46607">
        <w:t>&lt;</w:t>
      </w:r>
      <w:r w:rsidR="00440060">
        <w:rPr>
          <w:rFonts w:hint="eastAsia"/>
          <w:lang w:eastAsia="zh-CN"/>
        </w:rPr>
        <w:t xml:space="preserve"> </w:t>
      </w:r>
      <w:r w:rsidR="008071B3" w:rsidRPr="00D46607">
        <w:t>0.05 were considered signiﬁcant.</w:t>
      </w:r>
      <w:r w:rsidR="008071B3" w:rsidRPr="00D46607">
        <w:rPr>
          <w:rFonts w:eastAsiaTheme="majorEastAsia" w:cstheme="majorBidi"/>
          <w:b/>
          <w:szCs w:val="22"/>
        </w:rPr>
        <w:br w:type="page"/>
      </w:r>
    </w:p>
    <w:p w14:paraId="7F143045" w14:textId="77777777" w:rsidR="008071B3" w:rsidRPr="00D46607" w:rsidRDefault="008071B3" w:rsidP="00E70A1E">
      <w:pPr>
        <w:keepNext/>
        <w:wordWrap/>
        <w:spacing w:after="0"/>
        <w:outlineLvl w:val="1"/>
        <w:rPr>
          <w:rFonts w:eastAsiaTheme="majorEastAsia" w:cstheme="majorBidi"/>
          <w:b/>
          <w:szCs w:val="22"/>
        </w:rPr>
      </w:pPr>
      <w:r w:rsidRPr="00D46607">
        <w:rPr>
          <w:rFonts w:eastAsiaTheme="majorEastAsia" w:cstheme="majorBidi"/>
          <w:b/>
          <w:szCs w:val="22"/>
        </w:rPr>
        <w:lastRenderedPageBreak/>
        <w:t>RESULTS</w:t>
      </w:r>
    </w:p>
    <w:p w14:paraId="448CC46C" w14:textId="40F19B30" w:rsidR="008071B3" w:rsidRPr="00D46607" w:rsidRDefault="008071B3" w:rsidP="00E70A1E">
      <w:pPr>
        <w:pStyle w:val="1"/>
        <w:wordWrap/>
        <w:spacing w:before="0"/>
      </w:pPr>
      <w:r w:rsidRPr="00D46607">
        <w:t>HBsAg seroclearance rate</w:t>
      </w:r>
    </w:p>
    <w:p w14:paraId="675838BA" w14:textId="3D5CDB38" w:rsidR="008071B3" w:rsidRDefault="002334BE" w:rsidP="00E70A1E">
      <w:pPr>
        <w:wordWrap/>
        <w:spacing w:after="0"/>
        <w:rPr>
          <w:rFonts w:eastAsia="DengXian"/>
          <w:lang w:eastAsia="zh-CN"/>
        </w:rPr>
      </w:pPr>
      <w:r w:rsidRPr="00D46607">
        <w:t>N</w:t>
      </w:r>
      <w:r w:rsidR="008071B3" w:rsidRPr="00D46607">
        <w:t xml:space="preserve">egative </w:t>
      </w:r>
      <w:r w:rsidRPr="00D46607">
        <w:t>sero</w:t>
      </w:r>
      <w:r w:rsidR="008071B3" w:rsidRPr="00D46607">
        <w:t>conversion of HBsAg was observed in 90 of 1</w:t>
      </w:r>
      <w:r w:rsidR="00EC2146" w:rsidRPr="00D46607">
        <w:t>,</w:t>
      </w:r>
      <w:r w:rsidR="008071B3" w:rsidRPr="00D46607">
        <w:t xml:space="preserve">919 carriers (4.7%), </w:t>
      </w:r>
      <w:r w:rsidR="007134E8" w:rsidRPr="00D46607">
        <w:t xml:space="preserve">with an </w:t>
      </w:r>
      <w:r w:rsidR="008071B3" w:rsidRPr="00D46607">
        <w:t xml:space="preserve">estimated annual rate was 0.76%. The rate of HBsAg loss was higher </w:t>
      </w:r>
      <w:r w:rsidR="007134E8" w:rsidRPr="00D46607">
        <w:t xml:space="preserve">in </w:t>
      </w:r>
      <w:r w:rsidRPr="00D46607">
        <w:t xml:space="preserve">the </w:t>
      </w:r>
      <w:r w:rsidR="007134E8" w:rsidRPr="00D46607">
        <w:t xml:space="preserve">carriers over </w:t>
      </w:r>
      <w:r w:rsidR="008071B3" w:rsidRPr="00D46607">
        <w:t xml:space="preserve">the age </w:t>
      </w:r>
      <w:r w:rsidR="00261CD8" w:rsidRPr="00D46607">
        <w:t xml:space="preserve">of </w:t>
      </w:r>
      <w:r w:rsidR="008071B3" w:rsidRPr="00D46607">
        <w:t xml:space="preserve">40 than </w:t>
      </w:r>
      <w:r w:rsidR="00261CD8" w:rsidRPr="00D46607">
        <w:t xml:space="preserve">in </w:t>
      </w:r>
      <w:r w:rsidRPr="00D46607">
        <w:t xml:space="preserve">the </w:t>
      </w:r>
      <w:r w:rsidR="00440060">
        <w:t xml:space="preserve">younger carriers (5.7% </w:t>
      </w:r>
      <w:r w:rsidR="00440060" w:rsidRPr="00440060">
        <w:rPr>
          <w:i/>
        </w:rPr>
        <w:t>vs</w:t>
      </w:r>
      <w:r w:rsidR="008071B3" w:rsidRPr="00D46607">
        <w:t xml:space="preserve"> 2.5%, </w:t>
      </w:r>
      <w:r w:rsidR="008071B3" w:rsidRPr="00D46607">
        <w:rPr>
          <w:i/>
        </w:rPr>
        <w:t>P</w:t>
      </w:r>
      <w:r w:rsidR="00440060">
        <w:rPr>
          <w:rFonts w:hint="eastAsia"/>
          <w:i/>
          <w:lang w:eastAsia="zh-CN"/>
        </w:rPr>
        <w:t xml:space="preserve"> </w:t>
      </w:r>
      <w:r w:rsidR="008071B3" w:rsidRPr="00D46607">
        <w:t>=</w:t>
      </w:r>
      <w:r w:rsidR="00440060">
        <w:rPr>
          <w:rFonts w:hint="eastAsia"/>
          <w:lang w:eastAsia="zh-CN"/>
        </w:rPr>
        <w:t xml:space="preserve"> </w:t>
      </w:r>
      <w:r w:rsidR="008071B3" w:rsidRPr="00D46607">
        <w:t xml:space="preserve">0.001). </w:t>
      </w:r>
      <w:r w:rsidR="007134E8" w:rsidRPr="00D46607">
        <w:t xml:space="preserve">Among </w:t>
      </w:r>
      <w:r w:rsidR="008071B3" w:rsidRPr="00D46607">
        <w:t>the</w:t>
      </w:r>
      <w:r w:rsidR="00261CD8" w:rsidRPr="00D46607">
        <w:t xml:space="preserve"> carriers with</w:t>
      </w:r>
      <w:r w:rsidR="008071B3" w:rsidRPr="00D46607">
        <w:t xml:space="preserve"> HBsAg seroclearance, male predominance was more significant in the</w:t>
      </w:r>
      <w:r w:rsidR="008A0011" w:rsidRPr="00D46607">
        <w:t xml:space="preserve"> </w:t>
      </w:r>
      <w:r w:rsidR="00E92C02" w:rsidRPr="00D46607">
        <w:t>40-50</w:t>
      </w:r>
      <w:r w:rsidR="00EC2146" w:rsidRPr="009D0E29">
        <w:t xml:space="preserve"> and</w:t>
      </w:r>
      <w:r w:rsidR="008A0011" w:rsidRPr="009D0E29">
        <w:t xml:space="preserve"> </w:t>
      </w:r>
      <w:r w:rsidR="00E92C02" w:rsidRPr="009D0E29">
        <w:t>50-60 year</w:t>
      </w:r>
      <w:r w:rsidR="00261CD8" w:rsidRPr="009D0E29">
        <w:t xml:space="preserve"> age groups</w:t>
      </w:r>
      <w:r w:rsidR="008071B3" w:rsidRPr="009D0E29">
        <w:t xml:space="preserve"> than in the</w:t>
      </w:r>
      <w:r w:rsidR="00E92C02" w:rsidRPr="009D0E29">
        <w:t xml:space="preserve"> 30-40</w:t>
      </w:r>
      <w:r w:rsidR="008071B3" w:rsidRPr="009D0E29">
        <w:t xml:space="preserve"> and</w:t>
      </w:r>
      <w:r w:rsidR="008A0011" w:rsidRPr="009D0E29">
        <w:t xml:space="preserve"> </w:t>
      </w:r>
      <w:r w:rsidR="00E92C02" w:rsidRPr="009D0E29">
        <w:t>&gt;</w:t>
      </w:r>
      <w:r w:rsidR="00440060">
        <w:rPr>
          <w:rFonts w:hint="eastAsia"/>
          <w:lang w:eastAsia="zh-CN"/>
        </w:rPr>
        <w:t xml:space="preserve"> </w:t>
      </w:r>
      <w:r w:rsidR="00E92C02" w:rsidRPr="009D0E29">
        <w:t>60 year</w:t>
      </w:r>
      <w:r w:rsidR="008071B3" w:rsidRPr="009D0E29">
        <w:t xml:space="preserve"> </w:t>
      </w:r>
      <w:r w:rsidR="00261CD8" w:rsidRPr="009D0E29">
        <w:t xml:space="preserve">age groups </w:t>
      </w:r>
      <w:r w:rsidR="008071B3" w:rsidRPr="009D0E29">
        <w:t>(</w:t>
      </w:r>
      <w:r w:rsidR="008071B3" w:rsidRPr="00D46607">
        <w:rPr>
          <w:i/>
        </w:rPr>
        <w:t>P</w:t>
      </w:r>
      <w:r w:rsidR="00440060">
        <w:rPr>
          <w:rFonts w:hint="eastAsia"/>
          <w:i/>
          <w:lang w:eastAsia="zh-CN"/>
        </w:rPr>
        <w:t xml:space="preserve"> </w:t>
      </w:r>
      <w:r w:rsidR="008071B3" w:rsidRPr="00D46607">
        <w:t>&lt;</w:t>
      </w:r>
      <w:r w:rsidR="00440060">
        <w:rPr>
          <w:rFonts w:hint="eastAsia"/>
          <w:lang w:eastAsia="zh-CN"/>
        </w:rPr>
        <w:t xml:space="preserve"> </w:t>
      </w:r>
      <w:r w:rsidR="008071B3" w:rsidRPr="00D46607">
        <w:t xml:space="preserve">0.0001). </w:t>
      </w:r>
      <w:r w:rsidR="00EC2146" w:rsidRPr="009D0E29">
        <w:t xml:space="preserve">The </w:t>
      </w:r>
      <w:r w:rsidR="008071B3" w:rsidRPr="009D0E29">
        <w:t xml:space="preserve">period of time </w:t>
      </w:r>
      <w:r w:rsidR="00261CD8" w:rsidRPr="009D0E29">
        <w:t>until</w:t>
      </w:r>
      <w:r w:rsidR="008071B3" w:rsidRPr="009D0E29">
        <w:t xml:space="preserve"> HBsAg </w:t>
      </w:r>
      <w:r w:rsidR="00261CD8" w:rsidRPr="009D0E29">
        <w:t xml:space="preserve">clearance </w:t>
      </w:r>
      <w:r w:rsidR="008071B3" w:rsidRPr="009D0E29">
        <w:t xml:space="preserve">after registration was 6.48 ± 3.76 years. </w:t>
      </w:r>
      <w:r w:rsidR="00261CD8" w:rsidRPr="009D0E29">
        <w:t xml:space="preserve">This value </w:t>
      </w:r>
      <w:r w:rsidR="007134E8" w:rsidRPr="009D0E29">
        <w:t xml:space="preserve">did </w:t>
      </w:r>
      <w:r w:rsidR="008071B3" w:rsidRPr="009D0E29">
        <w:t xml:space="preserve">not significantly differ </w:t>
      </w:r>
      <w:r w:rsidR="00261CD8" w:rsidRPr="009D0E29">
        <w:t>among</w:t>
      </w:r>
      <w:r w:rsidR="008071B3" w:rsidRPr="009D0E29">
        <w:t xml:space="preserve"> the age group</w:t>
      </w:r>
      <w:r w:rsidR="00261CD8" w:rsidRPr="009D0E29">
        <w:t>s</w:t>
      </w:r>
      <w:r w:rsidR="008071B3" w:rsidRPr="009D0E29">
        <w:t xml:space="preserve"> (</w:t>
      </w:r>
      <w:r w:rsidR="008071B3" w:rsidRPr="009D0E29">
        <w:rPr>
          <w:i/>
          <w:szCs w:val="27"/>
        </w:rPr>
        <w:t>P</w:t>
      </w:r>
      <w:r w:rsidR="00440060">
        <w:rPr>
          <w:rFonts w:hint="eastAsia"/>
          <w:i/>
          <w:szCs w:val="27"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0.148) (Table 1)</w:t>
      </w:r>
      <w:r w:rsidR="00261CD8" w:rsidRPr="009D0E29">
        <w:t>.</w:t>
      </w:r>
      <w:r w:rsidR="008071B3" w:rsidRPr="009D0E29">
        <w:t xml:space="preserve"> </w:t>
      </w:r>
    </w:p>
    <w:p w14:paraId="0D4EEA75" w14:textId="77777777" w:rsidR="00440060" w:rsidRPr="00440060" w:rsidRDefault="00440060" w:rsidP="00E70A1E">
      <w:pPr>
        <w:wordWrap/>
        <w:spacing w:after="0"/>
        <w:rPr>
          <w:rFonts w:eastAsia="DengXian"/>
          <w:lang w:eastAsia="zh-CN"/>
        </w:rPr>
      </w:pPr>
    </w:p>
    <w:p w14:paraId="3E851B13" w14:textId="2CF6308A" w:rsidR="008071B3" w:rsidRPr="009D0E29" w:rsidRDefault="00440060" w:rsidP="00E70A1E">
      <w:pPr>
        <w:pStyle w:val="1"/>
        <w:wordWrap/>
        <w:spacing w:before="0"/>
      </w:pPr>
      <w:r w:rsidRPr="009D0E29">
        <w:t xml:space="preserve">Roles </w:t>
      </w:r>
      <w:r w:rsidR="008071B3" w:rsidRPr="009D0E29">
        <w:t>of HBeAg,</w:t>
      </w:r>
      <w:r w:rsidR="002334BE" w:rsidRPr="009D0E29">
        <w:t xml:space="preserve"> the</w:t>
      </w:r>
      <w:r w:rsidR="008071B3" w:rsidRPr="009D0E29">
        <w:t xml:space="preserve"> HBV DNA titer and BCP mutation</w:t>
      </w:r>
      <w:r w:rsidR="00261CD8" w:rsidRPr="009D0E29">
        <w:t>s</w:t>
      </w:r>
      <w:r w:rsidR="008071B3" w:rsidRPr="009D0E29">
        <w:t xml:space="preserve"> in HBsAg seroclearance</w:t>
      </w:r>
    </w:p>
    <w:p w14:paraId="136C8A23" w14:textId="0EA56039" w:rsidR="008071B3" w:rsidRDefault="007134E8" w:rsidP="00E70A1E">
      <w:pPr>
        <w:wordWrap/>
        <w:spacing w:after="0"/>
        <w:rPr>
          <w:rFonts w:eastAsia="DengXian"/>
          <w:lang w:eastAsia="zh-CN"/>
        </w:rPr>
      </w:pPr>
      <w:r w:rsidRPr="009D0E29">
        <w:t xml:space="preserve">Among </w:t>
      </w:r>
      <w:r w:rsidR="008071B3" w:rsidRPr="009D0E29">
        <w:t xml:space="preserve">the 90 carriers with HBsAg seroclearance, 82.2% were HBeAg-negative at registration. </w:t>
      </w:r>
      <w:r w:rsidRPr="009D0E29">
        <w:t xml:space="preserve">Among these </w:t>
      </w:r>
      <w:r w:rsidR="008071B3" w:rsidRPr="009D0E29">
        <w:t xml:space="preserve">HBeAg-negative </w:t>
      </w:r>
      <w:r w:rsidRPr="009D0E29">
        <w:t>carriers</w:t>
      </w:r>
      <w:r w:rsidR="008071B3" w:rsidRPr="009D0E29">
        <w:t xml:space="preserve">, 95.3% had no history of anti-viral treatment and </w:t>
      </w:r>
      <w:r w:rsidR="00E92C02" w:rsidRPr="009D0E29">
        <w:t>were considered to be in</w:t>
      </w:r>
      <w:r w:rsidR="008071B3" w:rsidRPr="009D0E29">
        <w:t xml:space="preserve"> </w:t>
      </w:r>
      <w:r w:rsidR="00261CD8" w:rsidRPr="009D0E29">
        <w:t xml:space="preserve">the </w:t>
      </w:r>
      <w:r w:rsidR="008071B3" w:rsidRPr="009D0E29">
        <w:t xml:space="preserve">inactive phase. The time interval </w:t>
      </w:r>
      <w:r w:rsidR="007B70DE" w:rsidRPr="009D0E29">
        <w:t>to</w:t>
      </w:r>
      <w:r w:rsidR="007B70DE" w:rsidRPr="00D46607">
        <w:t xml:space="preserve"> </w:t>
      </w:r>
      <w:r w:rsidR="008071B3" w:rsidRPr="00D46607">
        <w:t xml:space="preserve">HBsAg </w:t>
      </w:r>
      <w:r w:rsidR="00261CD8" w:rsidRPr="009D0E29">
        <w:t xml:space="preserve">clearance </w:t>
      </w:r>
      <w:r w:rsidR="007B70DE" w:rsidRPr="009D0E29">
        <w:t xml:space="preserve">did </w:t>
      </w:r>
      <w:r w:rsidR="008071B3" w:rsidRPr="009D0E29">
        <w:t xml:space="preserve">not differ between </w:t>
      </w:r>
      <w:r w:rsidR="00261CD8" w:rsidRPr="009D0E29">
        <w:t xml:space="preserve">the </w:t>
      </w:r>
      <w:r w:rsidR="008071B3" w:rsidRPr="009D0E29">
        <w:t xml:space="preserve">HBeAg-positive and negative </w:t>
      </w:r>
      <w:r w:rsidR="007B70DE" w:rsidRPr="009D0E29">
        <w:t xml:space="preserve">carriers </w:t>
      </w:r>
      <w:r w:rsidR="008071B3" w:rsidRPr="009D0E29">
        <w:t>(</w:t>
      </w:r>
      <w:r w:rsidR="008071B3" w:rsidRPr="009D0E29">
        <w:rPr>
          <w:i/>
          <w:iCs/>
        </w:rPr>
        <w:t>P</w:t>
      </w:r>
      <w:r w:rsidR="00440060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0.982). </w:t>
      </w:r>
      <w:r w:rsidR="007B70DE" w:rsidRPr="009D0E29">
        <w:t xml:space="preserve">Among the </w:t>
      </w:r>
      <w:r w:rsidR="008071B3" w:rsidRPr="009D0E29">
        <w:t xml:space="preserve">carriers with HBsAg seroclearance </w:t>
      </w:r>
      <w:r w:rsidR="00261CD8" w:rsidRPr="009D0E29">
        <w:t xml:space="preserve">who had a </w:t>
      </w:r>
      <w:r w:rsidR="008071B3" w:rsidRPr="009D0E29">
        <w:t xml:space="preserve">treatment history, </w:t>
      </w:r>
      <w:r w:rsidR="00261CD8" w:rsidRPr="009D0E29">
        <w:t xml:space="preserve">the time interval </w:t>
      </w:r>
      <w:r w:rsidR="007B70DE" w:rsidRPr="009D0E29">
        <w:t xml:space="preserve">to </w:t>
      </w:r>
      <w:r w:rsidR="00261CD8" w:rsidRPr="009D0E29">
        <w:t>HBsAg clearance</w:t>
      </w:r>
      <w:r w:rsidR="008071B3" w:rsidRPr="009D0E29">
        <w:t xml:space="preserve"> </w:t>
      </w:r>
      <w:r w:rsidR="007B70DE" w:rsidRPr="009D0E29">
        <w:t xml:space="preserve">did </w:t>
      </w:r>
      <w:r w:rsidR="008071B3" w:rsidRPr="009D0E29">
        <w:t>not differ between the</w:t>
      </w:r>
      <w:r w:rsidR="00261CD8" w:rsidRPr="009D0E29">
        <w:t xml:space="preserve"> </w:t>
      </w:r>
      <w:r w:rsidR="008071B3" w:rsidRPr="009D0E29">
        <w:t xml:space="preserve">HBeAg-positive and negative </w:t>
      </w:r>
      <w:r w:rsidR="007B70DE" w:rsidRPr="009D0E29">
        <w:t xml:space="preserve">carriers </w:t>
      </w:r>
      <w:r w:rsidR="00440060">
        <w:t xml:space="preserve">(8.13 ± 3.12 </w:t>
      </w:r>
      <w:r w:rsidR="00440060" w:rsidRPr="00440060">
        <w:rPr>
          <w:i/>
        </w:rPr>
        <w:t>vs</w:t>
      </w:r>
      <w:r w:rsidR="008071B3" w:rsidRPr="009D0E29">
        <w:t xml:space="preserve"> 7.95 ± 3.45 years, </w:t>
      </w:r>
      <w:r w:rsidR="008071B3" w:rsidRPr="009D0E29">
        <w:rPr>
          <w:i/>
          <w:iCs/>
        </w:rPr>
        <w:t>P</w:t>
      </w:r>
      <w:r w:rsidR="00440060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0.4442). </w:t>
      </w:r>
      <w:r w:rsidR="00EC2146" w:rsidRPr="009D0E29">
        <w:rPr>
          <w:rFonts w:cs="Times New Roman"/>
          <w:szCs w:val="24"/>
        </w:rPr>
        <w:t>However, this</w:t>
      </w:r>
      <w:r w:rsidR="00261CD8" w:rsidRPr="009D0E29">
        <w:rPr>
          <w:rFonts w:cs="Times New Roman"/>
          <w:szCs w:val="24"/>
        </w:rPr>
        <w:t xml:space="preserve"> time interval</w:t>
      </w:r>
      <w:r w:rsidR="008071B3" w:rsidRPr="009D0E29">
        <w:rPr>
          <w:rFonts w:cs="Times New Roman"/>
          <w:szCs w:val="24"/>
        </w:rPr>
        <w:t xml:space="preserve"> was </w:t>
      </w:r>
      <w:r w:rsidR="008071B3" w:rsidRPr="009D0E29">
        <w:t xml:space="preserve">longer </w:t>
      </w:r>
      <w:r w:rsidR="007B70DE" w:rsidRPr="009D0E29">
        <w:t xml:space="preserve">for the </w:t>
      </w:r>
      <w:r w:rsidR="008071B3" w:rsidRPr="009D0E29">
        <w:t xml:space="preserve">carriers </w:t>
      </w:r>
      <w:r w:rsidR="007B70DE" w:rsidRPr="009D0E29">
        <w:t xml:space="preserve">who had received </w:t>
      </w:r>
      <w:r w:rsidR="008071B3" w:rsidRPr="009D0E29">
        <w:t xml:space="preserve">treatment than </w:t>
      </w:r>
      <w:r w:rsidR="007B70DE" w:rsidRPr="009D0E29">
        <w:t xml:space="preserve">for those who had not received </w:t>
      </w:r>
      <w:r w:rsidR="008071B3" w:rsidRPr="009D0E29">
        <w:t xml:space="preserve">treatment (7.95 ± 3.34 </w:t>
      </w:r>
      <w:r w:rsidR="00440060" w:rsidRPr="00440060">
        <w:rPr>
          <w:i/>
        </w:rPr>
        <w:t>vs</w:t>
      </w:r>
      <w:r w:rsidR="00440060" w:rsidRPr="009D0E29">
        <w:t xml:space="preserve"> </w:t>
      </w:r>
      <w:r w:rsidR="008071B3" w:rsidRPr="009D0E29">
        <w:t xml:space="preserve">5.52 ± 3.48 years, </w:t>
      </w:r>
      <w:r w:rsidR="008071B3" w:rsidRPr="009D0E29">
        <w:rPr>
          <w:i/>
          <w:iCs/>
        </w:rPr>
        <w:t>P</w:t>
      </w:r>
      <w:r w:rsidR="00440060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0.017), suggesting that anti-viral therapy does not lead to HBsAg seroclearance</w:t>
      </w:r>
      <w:r w:rsidR="008071B3" w:rsidRPr="009D0E29">
        <w:rPr>
          <w:vertAlign w:val="superscript"/>
        </w:rPr>
        <w:t>[16,17]</w:t>
      </w:r>
      <w:r w:rsidR="008071B3" w:rsidRPr="009D0E29">
        <w:t xml:space="preserve">. On the other hand, the </w:t>
      </w:r>
      <w:r w:rsidR="00261CD8" w:rsidRPr="009D0E29">
        <w:t xml:space="preserve">time interval </w:t>
      </w:r>
      <w:r w:rsidR="008071B3" w:rsidRPr="009D0E29">
        <w:t xml:space="preserve">from entry to HBsAg seroclearance was significantly longer </w:t>
      </w:r>
      <w:r w:rsidR="007B70DE" w:rsidRPr="009D0E29">
        <w:t xml:space="preserve">for </w:t>
      </w:r>
      <w:r w:rsidR="008071B3" w:rsidRPr="009D0E29">
        <w:t xml:space="preserve">the HBeAg-positive </w:t>
      </w:r>
      <w:r w:rsidR="007B70DE" w:rsidRPr="009D0E29">
        <w:t xml:space="preserve">carriers </w:t>
      </w:r>
      <w:r w:rsidR="008071B3" w:rsidRPr="009D0E29">
        <w:t xml:space="preserve">than </w:t>
      </w:r>
      <w:r w:rsidR="007B70DE" w:rsidRPr="009D0E29">
        <w:t xml:space="preserve">for </w:t>
      </w:r>
      <w:r w:rsidR="008071B3" w:rsidRPr="009D0E29">
        <w:t xml:space="preserve">the HBeAg-negative </w:t>
      </w:r>
      <w:r w:rsidR="007B70DE" w:rsidRPr="009D0E29">
        <w:t xml:space="preserve">carriers in the 40 s and 50 s age groups </w:t>
      </w:r>
      <w:r w:rsidR="008071B3" w:rsidRPr="009D0E29">
        <w:t>(9.24 ± 2.49</w:t>
      </w:r>
      <w:r w:rsidR="00440060" w:rsidRPr="00440060">
        <w:rPr>
          <w:i/>
        </w:rPr>
        <w:t xml:space="preserve"> vs</w:t>
      </w:r>
      <w:r w:rsidR="008071B3" w:rsidRPr="009D0E29">
        <w:t xml:space="preserve"> 6.18 ± 3.63 years, </w:t>
      </w:r>
      <w:r w:rsidR="008071B3" w:rsidRPr="009D0E29">
        <w:rPr>
          <w:i/>
          <w:iCs/>
        </w:rPr>
        <w:t>P</w:t>
      </w:r>
      <w:r w:rsidR="00440060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0.013) (Table 2)</w:t>
      </w:r>
      <w:r w:rsidR="00261CD8" w:rsidRPr="009D0E29">
        <w:t>.</w:t>
      </w:r>
      <w:r w:rsidR="008071B3" w:rsidRPr="009D0E29">
        <w:t xml:space="preserve"> Likewise, </w:t>
      </w:r>
      <w:r w:rsidR="00261CD8" w:rsidRPr="009D0E29">
        <w:t>the time interval</w:t>
      </w:r>
      <w:r w:rsidR="008071B3" w:rsidRPr="009D0E29">
        <w:t xml:space="preserve"> was significantly longer </w:t>
      </w:r>
      <w:r w:rsidR="007B70DE" w:rsidRPr="009D0E29">
        <w:t xml:space="preserve">for the </w:t>
      </w:r>
      <w:r w:rsidR="008071B3" w:rsidRPr="009D0E29">
        <w:t>carriers</w:t>
      </w:r>
      <w:r w:rsidR="008071B3" w:rsidRPr="009D0E29">
        <w:rPr>
          <w:rFonts w:cs="Times New Roman"/>
          <w:szCs w:val="24"/>
        </w:rPr>
        <w:t xml:space="preserve"> with </w:t>
      </w:r>
      <w:r w:rsidR="007B70DE" w:rsidRPr="009D0E29">
        <w:rPr>
          <w:rFonts w:cs="Times New Roman"/>
          <w:szCs w:val="24"/>
        </w:rPr>
        <w:t xml:space="preserve">an </w:t>
      </w:r>
      <w:r w:rsidR="008071B3" w:rsidRPr="009D0E29">
        <w:rPr>
          <w:rFonts w:cs="Times New Roman"/>
          <w:szCs w:val="24"/>
        </w:rPr>
        <w:t>HBV DNA</w:t>
      </w:r>
      <w:r w:rsidR="00846BB8" w:rsidRPr="009D0E29">
        <w:rPr>
          <w:rFonts w:cs="Times New Roman"/>
          <w:szCs w:val="24"/>
        </w:rPr>
        <w:t xml:space="preserve"> level</w:t>
      </w:r>
      <w:r w:rsidR="007B70DE" w:rsidRPr="009D0E29">
        <w:rPr>
          <w:rFonts w:cs="Times New Roman"/>
          <w:szCs w:val="24"/>
        </w:rPr>
        <w:t xml:space="preserve"> of</w:t>
      </w:r>
      <w:r w:rsidR="008071B3" w:rsidRPr="009D0E29">
        <w:rPr>
          <w:rFonts w:cs="Times New Roman"/>
          <w:szCs w:val="24"/>
        </w:rPr>
        <w:t xml:space="preserve"> &gt;</w:t>
      </w:r>
      <w:r w:rsidR="00440060">
        <w:rPr>
          <w:rFonts w:cs="Times New Roman" w:hint="eastAsia"/>
          <w:szCs w:val="24"/>
          <w:lang w:eastAsia="zh-CN"/>
        </w:rPr>
        <w:t xml:space="preserve"> </w:t>
      </w:r>
      <w:r w:rsidR="008071B3" w:rsidRPr="009D0E29">
        <w:rPr>
          <w:rFonts w:cs="Times New Roman"/>
          <w:szCs w:val="24"/>
        </w:rPr>
        <w:t xml:space="preserve">2000 IU/mL than </w:t>
      </w:r>
      <w:r w:rsidR="007B70DE" w:rsidRPr="009D0E29">
        <w:rPr>
          <w:rFonts w:cs="Times New Roman"/>
          <w:szCs w:val="24"/>
        </w:rPr>
        <w:t xml:space="preserve">for those </w:t>
      </w:r>
      <w:r w:rsidR="008071B3" w:rsidRPr="009D0E29">
        <w:rPr>
          <w:rFonts w:cs="Times New Roman"/>
          <w:szCs w:val="24"/>
        </w:rPr>
        <w:t xml:space="preserve">with </w:t>
      </w:r>
      <w:r w:rsidR="007B70DE" w:rsidRPr="009D0E29">
        <w:rPr>
          <w:rFonts w:cs="Times New Roman"/>
          <w:szCs w:val="24"/>
        </w:rPr>
        <w:t xml:space="preserve">a </w:t>
      </w:r>
      <w:r w:rsidR="00846BB8" w:rsidRPr="009D0E29">
        <w:rPr>
          <w:rFonts w:cs="Times New Roman"/>
          <w:szCs w:val="24"/>
        </w:rPr>
        <w:t>level</w:t>
      </w:r>
      <w:r w:rsidR="007B70DE" w:rsidRPr="009D0E29">
        <w:rPr>
          <w:rFonts w:cs="Times New Roman"/>
          <w:szCs w:val="24"/>
        </w:rPr>
        <w:t xml:space="preserve"> of</w:t>
      </w:r>
      <w:r w:rsidR="00846BB8" w:rsidRPr="009D0E29">
        <w:rPr>
          <w:rFonts w:cs="Times New Roman"/>
          <w:szCs w:val="24"/>
        </w:rPr>
        <w:t xml:space="preserve"> </w:t>
      </w:r>
      <w:r w:rsidR="008071B3" w:rsidRPr="009D0E29">
        <w:rPr>
          <w:rFonts w:cs="Times New Roman"/>
          <w:szCs w:val="24"/>
        </w:rPr>
        <w:t>&lt; 20 IU/mL (</w:t>
      </w:r>
      <w:r w:rsidR="008071B3" w:rsidRPr="009D0E29">
        <w:rPr>
          <w:rFonts w:eastAsia="Times New Roman" w:cs="Times New Roman"/>
          <w:kern w:val="0"/>
          <w:szCs w:val="24"/>
        </w:rPr>
        <w:t xml:space="preserve">8.31 ± 3.26 </w:t>
      </w:r>
      <w:r w:rsidR="00440060" w:rsidRPr="00440060">
        <w:rPr>
          <w:i/>
        </w:rPr>
        <w:t>vs</w:t>
      </w:r>
      <w:r w:rsidR="00440060" w:rsidRPr="009D0E29">
        <w:t xml:space="preserve"> </w:t>
      </w:r>
      <w:r w:rsidR="008071B3" w:rsidRPr="009D0E29">
        <w:rPr>
          <w:rFonts w:eastAsia="Times New Roman" w:cs="Times New Roman"/>
          <w:kern w:val="0"/>
          <w:szCs w:val="24"/>
        </w:rPr>
        <w:t xml:space="preserve">4.92 ± 3.36 years; </w:t>
      </w:r>
      <w:r w:rsidR="008071B3" w:rsidRPr="009D0E29">
        <w:rPr>
          <w:rFonts w:cs="Times New Roman"/>
          <w:i/>
          <w:szCs w:val="24"/>
        </w:rPr>
        <w:t>P</w:t>
      </w:r>
      <w:r w:rsidR="00440060">
        <w:rPr>
          <w:rFonts w:cs="Times New Roman" w:hint="eastAsia"/>
          <w:i/>
          <w:szCs w:val="24"/>
          <w:lang w:eastAsia="zh-CN"/>
        </w:rPr>
        <w:t xml:space="preserve"> </w:t>
      </w:r>
      <w:r w:rsidR="008071B3" w:rsidRPr="009D0E29">
        <w:rPr>
          <w:rFonts w:cs="Times New Roman"/>
          <w:szCs w:val="24"/>
        </w:rPr>
        <w:t>=</w:t>
      </w:r>
      <w:r w:rsidR="00440060">
        <w:rPr>
          <w:rFonts w:cs="Times New Roman" w:hint="eastAsia"/>
          <w:szCs w:val="24"/>
          <w:lang w:eastAsia="zh-CN"/>
        </w:rPr>
        <w:t xml:space="preserve"> </w:t>
      </w:r>
      <w:r w:rsidR="008071B3" w:rsidRPr="009D0E29">
        <w:rPr>
          <w:rFonts w:cs="Times New Roman"/>
          <w:szCs w:val="24"/>
        </w:rPr>
        <w:t xml:space="preserve">0.0005) </w:t>
      </w:r>
      <w:r w:rsidR="008071B3" w:rsidRPr="009D0E29">
        <w:t>(Table 3)</w:t>
      </w:r>
      <w:r w:rsidR="00261CD8" w:rsidRPr="009D0E29">
        <w:t>.</w:t>
      </w:r>
      <w:r w:rsidR="008071B3" w:rsidRPr="009D0E29">
        <w:rPr>
          <w:rFonts w:cs="Times New Roman"/>
          <w:szCs w:val="24"/>
        </w:rPr>
        <w:t xml:space="preserve"> </w:t>
      </w:r>
      <w:r w:rsidR="008071B3" w:rsidRPr="009D0E29">
        <w:rPr>
          <w:rFonts w:cs="Times New Roman"/>
        </w:rPr>
        <w:t xml:space="preserve">Data </w:t>
      </w:r>
      <w:r w:rsidR="00FE6975" w:rsidRPr="009D0E29">
        <w:rPr>
          <w:rFonts w:cs="Times New Roman"/>
        </w:rPr>
        <w:t xml:space="preserve">on </w:t>
      </w:r>
      <w:r w:rsidR="00261CD8" w:rsidRPr="009D0E29">
        <w:rPr>
          <w:rFonts w:cs="Times New Roman"/>
        </w:rPr>
        <w:t>the</w:t>
      </w:r>
      <w:r w:rsidR="008071B3" w:rsidRPr="009D0E29">
        <w:rPr>
          <w:rFonts w:cs="Times New Roman"/>
        </w:rPr>
        <w:t xml:space="preserve"> BCP double mutations, A1762G and A1764T, and </w:t>
      </w:r>
      <w:r w:rsidR="00EC2146" w:rsidRPr="009D0E29">
        <w:rPr>
          <w:rFonts w:cs="Times New Roman"/>
        </w:rPr>
        <w:t xml:space="preserve">the </w:t>
      </w:r>
      <w:r w:rsidR="008071B3" w:rsidRPr="009D0E29">
        <w:rPr>
          <w:rFonts w:cs="Times New Roman"/>
        </w:rPr>
        <w:t xml:space="preserve">e-minus mutation, G1896A, </w:t>
      </w:r>
      <w:r w:rsidR="00261CD8" w:rsidRPr="009D0E29">
        <w:rPr>
          <w:rFonts w:cs="Times New Roman"/>
        </w:rPr>
        <w:t xml:space="preserve">were </w:t>
      </w:r>
      <w:r w:rsidR="008071B3" w:rsidRPr="009D0E29">
        <w:rPr>
          <w:rFonts w:cs="Times New Roman"/>
        </w:rPr>
        <w:t xml:space="preserve">available </w:t>
      </w:r>
      <w:r w:rsidR="00913D96" w:rsidRPr="009D0E29">
        <w:rPr>
          <w:rFonts w:cs="Times New Roman"/>
        </w:rPr>
        <w:t>for</w:t>
      </w:r>
      <w:r w:rsidR="008071B3" w:rsidRPr="009D0E29">
        <w:rPr>
          <w:rFonts w:cs="Times New Roman"/>
        </w:rPr>
        <w:t xml:space="preserve"> </w:t>
      </w:r>
      <w:r w:rsidR="00EC2146" w:rsidRPr="009D0E29">
        <w:rPr>
          <w:rFonts w:cs="Times New Roman"/>
        </w:rPr>
        <w:t xml:space="preserve">18 </w:t>
      </w:r>
      <w:r w:rsidR="00913D96" w:rsidRPr="009D0E29">
        <w:rPr>
          <w:rFonts w:cs="Times New Roman"/>
        </w:rPr>
        <w:t>patients</w:t>
      </w:r>
      <w:r w:rsidR="008071B3" w:rsidRPr="009D0E29">
        <w:rPr>
          <w:rFonts w:cs="Times New Roman"/>
        </w:rPr>
        <w:t>.</w:t>
      </w:r>
      <w:r w:rsidR="008071B3" w:rsidRPr="009D0E29">
        <w:t xml:space="preserve"> Wom</w:t>
      </w:r>
      <w:r w:rsidR="00261CD8" w:rsidRPr="009D0E29">
        <w:t>e</w:t>
      </w:r>
      <w:r w:rsidR="008071B3" w:rsidRPr="009D0E29">
        <w:t xml:space="preserve">n </w:t>
      </w:r>
      <w:r w:rsidR="00261CD8" w:rsidRPr="009D0E29">
        <w:t xml:space="preserve">were </w:t>
      </w:r>
      <w:r w:rsidR="008071B3" w:rsidRPr="009D0E29">
        <w:t>predominant in the wild</w:t>
      </w:r>
      <w:r w:rsidR="00EC2146" w:rsidRPr="009D0E29">
        <w:t>-</w:t>
      </w:r>
      <w:r w:rsidR="00261CD8" w:rsidRPr="009D0E29">
        <w:t>type</w:t>
      </w:r>
      <w:r w:rsidR="002334BE" w:rsidRPr="009D0E29">
        <w:t xml:space="preserve"> BCP</w:t>
      </w:r>
      <w:r w:rsidR="008071B3" w:rsidRPr="009D0E29">
        <w:t xml:space="preserve"> group, </w:t>
      </w:r>
      <w:r w:rsidR="00261CD8" w:rsidRPr="009D0E29">
        <w:t xml:space="preserve">whereas </w:t>
      </w:r>
      <w:r w:rsidR="008071B3" w:rsidRPr="009D0E29">
        <w:t>m</w:t>
      </w:r>
      <w:r w:rsidR="00261CD8" w:rsidRPr="009D0E29">
        <w:t>e</w:t>
      </w:r>
      <w:r w:rsidR="008071B3" w:rsidRPr="009D0E29">
        <w:t>n w</w:t>
      </w:r>
      <w:r w:rsidR="00261CD8" w:rsidRPr="009D0E29">
        <w:t>ere</w:t>
      </w:r>
      <w:r w:rsidR="008071B3" w:rsidRPr="009D0E29">
        <w:t xml:space="preserve"> predominant in the mutant group </w:t>
      </w:r>
      <w:r w:rsidR="008071B3" w:rsidRPr="009D0E29">
        <w:lastRenderedPageBreak/>
        <w:t xml:space="preserve">(male/female = 1/6 </w:t>
      </w:r>
      <w:r w:rsidR="00440060" w:rsidRPr="00440060">
        <w:rPr>
          <w:i/>
        </w:rPr>
        <w:t>vs</w:t>
      </w:r>
      <w:r w:rsidR="008071B3" w:rsidRPr="009D0E29">
        <w:t xml:space="preserve"> 9/2, respectively; </w:t>
      </w:r>
      <w:r w:rsidR="008071B3" w:rsidRPr="009D0E29">
        <w:rPr>
          <w:i/>
        </w:rPr>
        <w:t>P</w:t>
      </w:r>
      <w:r w:rsidR="00440060"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0.0014). </w:t>
      </w:r>
      <w:r w:rsidR="00261CD8" w:rsidRPr="009D0E29">
        <w:t>The</w:t>
      </w:r>
      <w:r w:rsidR="008071B3" w:rsidRPr="009D0E29">
        <w:t xml:space="preserve"> BCP </w:t>
      </w:r>
      <w:r w:rsidR="00FE6975" w:rsidRPr="009D0E29">
        <w:t xml:space="preserve">mutation </w:t>
      </w:r>
      <w:r w:rsidR="008071B3" w:rsidRPr="009D0E29">
        <w:t>carriers</w:t>
      </w:r>
      <w:r w:rsidR="00261CD8" w:rsidRPr="009D0E29">
        <w:t xml:space="preserve"> tended to be older</w:t>
      </w:r>
      <w:r w:rsidR="008071B3" w:rsidRPr="009D0E29">
        <w:t xml:space="preserve"> than the </w:t>
      </w:r>
      <w:r w:rsidR="00EC2146" w:rsidRPr="009D0E29">
        <w:t>wild-</w:t>
      </w:r>
      <w:r w:rsidR="00261CD8" w:rsidRPr="009D0E29">
        <w:t xml:space="preserve">type carriers </w:t>
      </w:r>
      <w:r w:rsidR="008071B3" w:rsidRPr="009D0E29">
        <w:t xml:space="preserve">(41.9 ± 10.8 </w:t>
      </w:r>
      <w:r w:rsidR="00440060" w:rsidRPr="00440060">
        <w:rPr>
          <w:i/>
        </w:rPr>
        <w:t>vs</w:t>
      </w:r>
      <w:r w:rsidR="008071B3" w:rsidRPr="009D0E29">
        <w:t xml:space="preserve"> 48.5 ± 7.6 years old, </w:t>
      </w:r>
      <w:r w:rsidR="008071B3" w:rsidRPr="009D0E29">
        <w:rPr>
          <w:i/>
        </w:rPr>
        <w:t>P</w:t>
      </w:r>
      <w:r w:rsidR="00440060"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0.0725). However, the </w:t>
      </w:r>
      <w:r w:rsidR="00261CD8" w:rsidRPr="009D0E29">
        <w:t xml:space="preserve">time interval </w:t>
      </w:r>
      <w:r w:rsidR="008071B3" w:rsidRPr="009D0E29">
        <w:t xml:space="preserve">from entry to HBsAg seroclearance </w:t>
      </w:r>
      <w:r w:rsidR="00FE6975" w:rsidRPr="009D0E29">
        <w:t xml:space="preserve">did </w:t>
      </w:r>
      <w:r w:rsidR="008071B3" w:rsidRPr="009D0E29">
        <w:t xml:space="preserve">not differ between </w:t>
      </w:r>
      <w:r w:rsidR="00261CD8" w:rsidRPr="009D0E29">
        <w:t>the groups</w:t>
      </w:r>
      <w:r w:rsidR="008071B3" w:rsidRPr="009D0E29">
        <w:t xml:space="preserve">. </w:t>
      </w:r>
    </w:p>
    <w:p w14:paraId="1B38440C" w14:textId="77777777" w:rsidR="00440060" w:rsidRPr="00440060" w:rsidRDefault="00440060" w:rsidP="00E70A1E">
      <w:pPr>
        <w:wordWrap/>
        <w:spacing w:after="0"/>
        <w:rPr>
          <w:rFonts w:eastAsia="DengXian" w:cs="Times New Roman"/>
          <w:szCs w:val="24"/>
          <w:lang w:eastAsia="zh-CN"/>
        </w:rPr>
      </w:pPr>
    </w:p>
    <w:p w14:paraId="45FC1936" w14:textId="52C8BE64" w:rsidR="008071B3" w:rsidRPr="009D0E29" w:rsidRDefault="008071B3" w:rsidP="00E70A1E">
      <w:pPr>
        <w:pStyle w:val="1"/>
        <w:wordWrap/>
        <w:spacing w:before="0"/>
      </w:pPr>
      <w:r w:rsidRPr="009D0E29">
        <w:t>Utility of the signal-to-</w:t>
      </w:r>
      <w:r w:rsidR="00D210D3" w:rsidRPr="009D0E29">
        <w:t>cutoff</w:t>
      </w:r>
      <w:r w:rsidRPr="009D0E29">
        <w:t xml:space="preserve"> ratio of the qualitative HBsAg </w:t>
      </w:r>
      <w:r w:rsidR="00261CD8" w:rsidRPr="009D0E29">
        <w:rPr>
          <w:szCs w:val="24"/>
        </w:rPr>
        <w:t>level</w:t>
      </w:r>
    </w:p>
    <w:p w14:paraId="736004CE" w14:textId="2131A8DF" w:rsidR="008071B3" w:rsidRDefault="00B94D31" w:rsidP="00E70A1E">
      <w:pPr>
        <w:wordWrap/>
        <w:spacing w:after="0"/>
        <w:rPr>
          <w:rFonts w:eastAsia="DengXian"/>
          <w:lang w:eastAsia="zh-CN"/>
        </w:rPr>
      </w:pPr>
      <w:r w:rsidRPr="009D0E29">
        <w:t>A</w:t>
      </w:r>
      <w:r w:rsidR="008071B3" w:rsidRPr="009D0E29">
        <w:t xml:space="preserve"> log-linear</w:t>
      </w:r>
      <w:r w:rsidRPr="009D0E29">
        <w:t>-</w:t>
      </w:r>
      <w:r w:rsidR="008071B3" w:rsidRPr="009D0E29">
        <w:t>shape</w:t>
      </w:r>
      <w:r w:rsidRPr="009D0E29">
        <w:t>d</w:t>
      </w:r>
      <w:r w:rsidR="008071B3" w:rsidRPr="009D0E29">
        <w:t xml:space="preserve"> correlation</w:t>
      </w:r>
      <w:r w:rsidRPr="009D0E29">
        <w:t xml:space="preserve"> was detected</w:t>
      </w:r>
      <w:r w:rsidR="008071B3" w:rsidRPr="009D0E29">
        <w:t xml:space="preserve"> between </w:t>
      </w:r>
      <w:r w:rsidR="002334BE" w:rsidRPr="009D0E29">
        <w:t xml:space="preserve">the </w:t>
      </w:r>
      <w:r w:rsidR="008071B3" w:rsidRPr="009D0E29">
        <w:t xml:space="preserve">HBsAg-SCR and HBsAg-QNT (Figure 1A), and a good correlation </w:t>
      </w:r>
      <w:r w:rsidR="00261CD8" w:rsidRPr="009D0E29">
        <w:t xml:space="preserve">with </w:t>
      </w:r>
      <w:r w:rsidR="008071B3" w:rsidRPr="009D0E29">
        <w:t xml:space="preserve">a linear drift curve was </w:t>
      </w:r>
      <w:r w:rsidR="00261CD8" w:rsidRPr="009D0E29">
        <w:t xml:space="preserve">observed </w:t>
      </w:r>
      <w:r w:rsidR="008071B3" w:rsidRPr="009D0E29">
        <w:t xml:space="preserve">between </w:t>
      </w:r>
      <w:r w:rsidR="002334BE" w:rsidRPr="009D0E29">
        <w:t xml:space="preserve">an </w:t>
      </w:r>
      <w:r w:rsidR="008071B3" w:rsidRPr="009D0E29">
        <w:t>HBsAg-SCR &lt;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1000 and</w:t>
      </w:r>
      <w:r w:rsidR="002334BE" w:rsidRPr="009D0E29">
        <w:t xml:space="preserve"> an</w:t>
      </w:r>
      <w:r w:rsidR="008071B3" w:rsidRPr="009D0E29">
        <w:t xml:space="preserve"> HBsAg-QNT &lt;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100 IU/mL (y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0.0674x + 0.9902, R</w:t>
      </w:r>
      <w:r w:rsidR="007F1181" w:rsidRPr="009D0E29">
        <w:t>²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0.916) (Figure 1B). </w:t>
      </w:r>
      <w:r w:rsidRPr="009D0E29">
        <w:t>N</w:t>
      </w:r>
      <w:r w:rsidR="008071B3" w:rsidRPr="009D0E29">
        <w:t xml:space="preserve">o correlation </w:t>
      </w:r>
      <w:r w:rsidRPr="009D0E29">
        <w:t xml:space="preserve">was observed </w:t>
      </w:r>
      <w:r w:rsidR="008071B3" w:rsidRPr="009D0E29">
        <w:t xml:space="preserve">between </w:t>
      </w:r>
      <w:r w:rsidR="00261CD8" w:rsidRPr="009D0E29">
        <w:t xml:space="preserve">these two </w:t>
      </w:r>
      <w:r w:rsidRPr="009D0E29">
        <w:t xml:space="preserve">values </w:t>
      </w:r>
      <w:r w:rsidR="008071B3" w:rsidRPr="009D0E29">
        <w:t>in</w:t>
      </w:r>
      <w:r w:rsidRPr="009D0E29">
        <w:t xml:space="preserve"> the</w:t>
      </w:r>
      <w:r w:rsidR="008071B3" w:rsidRPr="009D0E29">
        <w:t xml:space="preserve"> </w:t>
      </w:r>
      <w:r w:rsidR="00913D96" w:rsidRPr="009D0E29">
        <w:t>patients</w:t>
      </w:r>
      <w:r w:rsidR="008071B3" w:rsidRPr="009D0E29">
        <w:t xml:space="preserve"> with HBsAg-QNT </w:t>
      </w:r>
      <w:r w:rsidR="00261CD8" w:rsidRPr="009D0E29">
        <w:t>levels</w:t>
      </w:r>
      <w:r w:rsidR="002E6A17" w:rsidRPr="009D0E29">
        <w:t xml:space="preserve"> of</w:t>
      </w:r>
      <w:r w:rsidR="00261CD8" w:rsidRPr="009D0E29">
        <w:t xml:space="preserve"> </w:t>
      </w:r>
      <w:r w:rsidR="008071B3" w:rsidRPr="009D0E29">
        <w:t xml:space="preserve">over 200 IU/mL (Figure 1C). An inverse correlation was </w:t>
      </w:r>
      <w:r w:rsidR="00261CD8" w:rsidRPr="009D0E29">
        <w:t xml:space="preserve">observed </w:t>
      </w:r>
      <w:r w:rsidR="008071B3" w:rsidRPr="009D0E29">
        <w:t xml:space="preserve">in </w:t>
      </w:r>
      <w:r w:rsidRPr="009D0E29">
        <w:t xml:space="preserve">the </w:t>
      </w:r>
      <w:r w:rsidR="00913D96" w:rsidRPr="009D0E29">
        <w:t xml:space="preserve">patients </w:t>
      </w:r>
      <w:r w:rsidR="008071B3" w:rsidRPr="009D0E29">
        <w:t>with very high HBsAg titer</w:t>
      </w:r>
      <w:r w:rsidR="00261CD8" w:rsidRPr="009D0E29">
        <w:t>s of</w:t>
      </w:r>
      <w:r w:rsidR="008071B3" w:rsidRPr="009D0E29">
        <w:t xml:space="preserve"> over 10000 IU/mL (Figure 1D), indicating a </w:t>
      </w:r>
      <w:r w:rsidR="009A615E" w:rsidRPr="009D0E29">
        <w:t>prozone</w:t>
      </w:r>
      <w:r w:rsidR="008071B3" w:rsidRPr="009D0E29">
        <w:t xml:space="preserve"> effect </w:t>
      </w:r>
      <w:r w:rsidR="00261CD8" w:rsidRPr="009D0E29">
        <w:t>on</w:t>
      </w:r>
      <w:r w:rsidR="008071B3" w:rsidRPr="009D0E29">
        <w:t xml:space="preserve"> the HBsAg-SCR caused by excess antigen. Based on the HBsAg-SCR value </w:t>
      </w:r>
      <w:r w:rsidR="00261CD8" w:rsidRPr="009D0E29">
        <w:t xml:space="preserve">of </w:t>
      </w:r>
      <w:r w:rsidR="008071B3" w:rsidRPr="009D0E29">
        <w:t xml:space="preserve">1000, we arbitrarily divided </w:t>
      </w:r>
      <w:r w:rsidR="00261CD8" w:rsidRPr="009D0E29">
        <w:t xml:space="preserve">the </w:t>
      </w:r>
      <w:r w:rsidR="008071B3" w:rsidRPr="009D0E29">
        <w:t xml:space="preserve">90 carriers with HBsAg seroclearance into two groups. In the </w:t>
      </w:r>
      <w:r w:rsidR="00EC2146" w:rsidRPr="009D0E29">
        <w:t>&lt;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1000 group, the period of time from entry to HBsAg seroclearance was significantly shorter </w:t>
      </w:r>
      <w:r w:rsidR="005C58D4" w:rsidRPr="009D0E29">
        <w:t>in the &lt;</w:t>
      </w:r>
      <w:r w:rsidR="00440060">
        <w:rPr>
          <w:rFonts w:hint="eastAsia"/>
          <w:lang w:eastAsia="zh-CN"/>
        </w:rPr>
        <w:t xml:space="preserve"> </w:t>
      </w:r>
      <w:r w:rsidR="00440060">
        <w:t>1</w:t>
      </w:r>
      <w:r w:rsidR="005C58D4" w:rsidRPr="009D0E29">
        <w:t xml:space="preserve">000 group </w:t>
      </w:r>
      <w:r w:rsidR="00F00AE3" w:rsidRPr="009D0E29">
        <w:t>than</w:t>
      </w:r>
      <w:r w:rsidR="005C58D4" w:rsidRPr="009D0E29">
        <w:t xml:space="preserve"> in</w:t>
      </w:r>
      <w:r w:rsidR="008071B3" w:rsidRPr="009D0E29">
        <w:rPr>
          <w:rFonts w:hint="eastAsia"/>
        </w:rPr>
        <w:t xml:space="preserve"> the </w:t>
      </w:r>
      <w:r w:rsidR="00440060">
        <w:rPr>
          <w:rFonts w:hint="eastAsia"/>
        </w:rPr>
        <w:sym w:font="Symbol" w:char="F0B3"/>
      </w:r>
      <w:r w:rsidR="00440060">
        <w:rPr>
          <w:rFonts w:hint="eastAsia"/>
          <w:lang w:eastAsia="zh-CN"/>
        </w:rPr>
        <w:t xml:space="preserve"> </w:t>
      </w:r>
      <w:r w:rsidR="008071B3" w:rsidRPr="009D0E29">
        <w:rPr>
          <w:rFonts w:hint="eastAsia"/>
        </w:rPr>
        <w:t>1</w:t>
      </w:r>
      <w:r w:rsidR="008071B3" w:rsidRPr="009D0E29">
        <w:t>000</w:t>
      </w:r>
      <w:r w:rsidR="00261CD8" w:rsidRPr="009D0E29">
        <w:t xml:space="preserve"> group</w:t>
      </w:r>
      <w:r w:rsidR="008071B3" w:rsidRPr="009D0E29">
        <w:t xml:space="preserve"> (5.07 ± 3.74 </w:t>
      </w:r>
      <w:r w:rsidR="008071B3" w:rsidRPr="00440060">
        <w:rPr>
          <w:i/>
        </w:rPr>
        <w:t>vs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7.47 ± 3.05 years, </w:t>
      </w:r>
      <w:r w:rsidR="008071B3" w:rsidRPr="009D0E29">
        <w:rPr>
          <w:i/>
          <w:iCs/>
        </w:rPr>
        <w:t>P</w:t>
      </w:r>
      <w:r w:rsidR="00440060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0.0008). Moreover, </w:t>
      </w:r>
      <w:r w:rsidR="00FF08B5" w:rsidRPr="009D0E29">
        <w:t xml:space="preserve">a </w:t>
      </w:r>
      <w:r w:rsidR="008071B3" w:rsidRPr="009D0E29">
        <w:t xml:space="preserve">sequential </w:t>
      </w:r>
      <w:r w:rsidR="002A7537">
        <w:t>decrease</w:t>
      </w:r>
      <w:r w:rsidR="002A7537" w:rsidRPr="009D0E29">
        <w:t xml:space="preserve"> </w:t>
      </w:r>
      <w:r w:rsidR="00261CD8" w:rsidRPr="009D0E29">
        <w:t>in the</w:t>
      </w:r>
      <w:r w:rsidR="008071B3" w:rsidRPr="009D0E29">
        <w:t xml:space="preserve"> HBsAg-SCR was </w:t>
      </w:r>
      <w:r w:rsidR="00F913EC" w:rsidRPr="009D0E29">
        <w:t>predictive of</w:t>
      </w:r>
      <w:r w:rsidR="008071B3" w:rsidRPr="009D0E29">
        <w:t xml:space="preserve"> HBsAg-NC in every case (Figure 2)</w:t>
      </w:r>
      <w:r w:rsidR="00261CD8" w:rsidRPr="009D0E29">
        <w:t>.</w:t>
      </w:r>
      <w:r w:rsidR="008071B3" w:rsidRPr="00D46607">
        <w:t xml:space="preserve"> The HBeAg-positive rate was significantly higher in the ≥1</w:t>
      </w:r>
      <w:r w:rsidR="00EC2146" w:rsidRPr="009D0E29">
        <w:t>,</w:t>
      </w:r>
      <w:r w:rsidR="008071B3" w:rsidRPr="009D0E29">
        <w:t xml:space="preserve">000 </w:t>
      </w:r>
      <w:r w:rsidR="00261CD8" w:rsidRPr="009D0E29">
        <w:t xml:space="preserve">group </w:t>
      </w:r>
      <w:r w:rsidR="008071B3" w:rsidRPr="009D0E29">
        <w:t>than in the &lt;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1000</w:t>
      </w:r>
      <w:r w:rsidR="00261CD8" w:rsidRPr="009D0E29">
        <w:t xml:space="preserve"> group</w:t>
      </w:r>
      <w:r w:rsidR="00440060">
        <w:t xml:space="preserve"> (25% </w:t>
      </w:r>
      <w:r w:rsidR="00440060" w:rsidRPr="00440060">
        <w:rPr>
          <w:i/>
        </w:rPr>
        <w:t>vs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11.9%, </w:t>
      </w:r>
      <w:r w:rsidR="008071B3" w:rsidRPr="009D0E29">
        <w:rPr>
          <w:i/>
          <w:iCs/>
        </w:rPr>
        <w:t>P</w:t>
      </w:r>
      <w:r w:rsidR="00440060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0.0057). </w:t>
      </w:r>
      <w:r w:rsidR="002E6A17" w:rsidRPr="009D0E29">
        <w:t>Further, t</w:t>
      </w:r>
      <w:r w:rsidR="00261CD8" w:rsidRPr="009D0E29">
        <w:t>he m</w:t>
      </w:r>
      <w:r w:rsidR="008071B3" w:rsidRPr="009D0E29">
        <w:t xml:space="preserve">ean age </w:t>
      </w:r>
      <w:r w:rsidR="00FF08B5" w:rsidRPr="009D0E29">
        <w:t xml:space="preserve">in </w:t>
      </w:r>
      <w:r w:rsidR="008071B3" w:rsidRPr="009D0E29">
        <w:t>the &lt;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1000 </w:t>
      </w:r>
      <w:r w:rsidR="00261CD8" w:rsidRPr="009D0E29">
        <w:t xml:space="preserve">group tended to be </w:t>
      </w:r>
      <w:r w:rsidR="00FF08B5" w:rsidRPr="009D0E29">
        <w:t xml:space="preserve">higher </w:t>
      </w:r>
      <w:r w:rsidR="008071B3" w:rsidRPr="009D0E29">
        <w:t xml:space="preserve">than </w:t>
      </w:r>
      <w:r w:rsidR="00151D6C" w:rsidRPr="009D0E29">
        <w:t xml:space="preserve">that </w:t>
      </w:r>
      <w:r w:rsidR="00FF08B5" w:rsidRPr="009D0E29">
        <w:t>in the</w:t>
      </w:r>
      <w:r w:rsidR="008071B3" w:rsidRPr="009D0E29">
        <w:rPr>
          <w:rFonts w:hint="eastAsia"/>
        </w:rPr>
        <w:t xml:space="preserve"> </w:t>
      </w:r>
      <w:r w:rsidR="00440060">
        <w:rPr>
          <w:rFonts w:hint="eastAsia"/>
        </w:rPr>
        <w:sym w:font="Symbol" w:char="F0B3"/>
      </w:r>
      <w:r w:rsidR="00440060">
        <w:rPr>
          <w:rFonts w:hint="eastAsia"/>
          <w:lang w:eastAsia="zh-CN"/>
        </w:rPr>
        <w:t xml:space="preserve"> </w:t>
      </w:r>
      <w:r w:rsidR="008071B3" w:rsidRPr="009D0E29">
        <w:rPr>
          <w:rFonts w:hint="eastAsia"/>
        </w:rPr>
        <w:t>1</w:t>
      </w:r>
      <w:r w:rsidR="008071B3" w:rsidRPr="009D0E29">
        <w:t xml:space="preserve">000 </w:t>
      </w:r>
      <w:r w:rsidR="00261CD8" w:rsidRPr="009D0E29">
        <w:t xml:space="preserve">group </w:t>
      </w:r>
      <w:r w:rsidR="008071B3" w:rsidRPr="009D0E29">
        <w:t xml:space="preserve">(46.2 ± 11 </w:t>
      </w:r>
      <w:r w:rsidR="00440060" w:rsidRPr="00440060">
        <w:rPr>
          <w:i/>
        </w:rPr>
        <w:t>vs</w:t>
      </w:r>
      <w:r w:rsidR="008071B3" w:rsidRPr="009D0E29">
        <w:t xml:space="preserve"> 50 ± 11.1 years old, </w:t>
      </w:r>
      <w:r w:rsidR="008071B3" w:rsidRPr="009D0E29">
        <w:rPr>
          <w:i/>
          <w:iCs/>
        </w:rPr>
        <w:t>P</w:t>
      </w:r>
      <w:r w:rsidR="00440060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0.0593). However, there was no difference in the sex ratio</w:t>
      </w:r>
      <w:r w:rsidR="00261CD8" w:rsidRPr="009D0E29">
        <w:t xml:space="preserve"> or</w:t>
      </w:r>
      <w:r w:rsidR="008071B3" w:rsidRPr="009D0E29">
        <w:t xml:space="preserve"> the prevalence of HCC </w:t>
      </w:r>
      <w:r w:rsidR="00FF08B5" w:rsidRPr="009D0E29">
        <w:t xml:space="preserve">or </w:t>
      </w:r>
      <w:r w:rsidR="008071B3" w:rsidRPr="009D0E29">
        <w:t xml:space="preserve">LC between </w:t>
      </w:r>
      <w:r w:rsidR="00261CD8" w:rsidRPr="009D0E29">
        <w:t xml:space="preserve">the </w:t>
      </w:r>
      <w:r w:rsidR="008071B3" w:rsidRPr="009D0E29">
        <w:t>two groups.</w:t>
      </w:r>
    </w:p>
    <w:p w14:paraId="09283D7E" w14:textId="77777777" w:rsidR="00440060" w:rsidRPr="00440060" w:rsidRDefault="00440060" w:rsidP="00E70A1E">
      <w:pPr>
        <w:wordWrap/>
        <w:spacing w:after="0"/>
        <w:rPr>
          <w:rFonts w:eastAsia="DengXian"/>
          <w:lang w:eastAsia="zh-CN"/>
        </w:rPr>
      </w:pPr>
    </w:p>
    <w:p w14:paraId="45A54B05" w14:textId="77777777" w:rsidR="008071B3" w:rsidRPr="009D0E29" w:rsidRDefault="008071B3" w:rsidP="00E70A1E">
      <w:pPr>
        <w:pStyle w:val="1"/>
        <w:wordWrap/>
        <w:spacing w:before="0"/>
      </w:pPr>
      <w:r w:rsidRPr="009D0E29">
        <w:t>Liver cirrhosis and HBsAg seroclearance</w:t>
      </w:r>
    </w:p>
    <w:p w14:paraId="713BE624" w14:textId="3AE76EDD" w:rsidR="008071B3" w:rsidRDefault="008071B3" w:rsidP="00E70A1E">
      <w:pPr>
        <w:wordWrap/>
        <w:spacing w:after="0"/>
        <w:rPr>
          <w:rFonts w:eastAsia="DengXian"/>
          <w:lang w:eastAsia="zh-CN"/>
        </w:rPr>
      </w:pPr>
      <w:r w:rsidRPr="009D0E29">
        <w:t xml:space="preserve">We classified the </w:t>
      </w:r>
      <w:r w:rsidR="00913D96" w:rsidRPr="009D0E29">
        <w:t xml:space="preserve">patients </w:t>
      </w:r>
      <w:r w:rsidRPr="009D0E29">
        <w:t xml:space="preserve">with HBsAg seroclearance into </w:t>
      </w:r>
      <w:r w:rsidR="00151D6C" w:rsidRPr="009D0E29">
        <w:t xml:space="preserve">the following </w:t>
      </w:r>
      <w:r w:rsidRPr="009D0E29">
        <w:t xml:space="preserve">three groups </w:t>
      </w:r>
      <w:r w:rsidR="00913D96" w:rsidRPr="009D0E29">
        <w:t>according to their</w:t>
      </w:r>
      <w:r w:rsidRPr="009D0E29">
        <w:t xml:space="preserve"> US finding</w:t>
      </w:r>
      <w:r w:rsidR="00913D96" w:rsidRPr="009D0E29">
        <w:t>s</w:t>
      </w:r>
      <w:r w:rsidRPr="009D0E29">
        <w:t xml:space="preserve">: normal, non-cirrhotic </w:t>
      </w:r>
      <w:r w:rsidR="00EC2146" w:rsidRPr="009D0E29">
        <w:t>chronic liver disease (</w:t>
      </w:r>
      <w:r w:rsidRPr="009D0E29">
        <w:t>CLD</w:t>
      </w:r>
      <w:r w:rsidR="00EC2146" w:rsidRPr="009D0E29">
        <w:t>)</w:t>
      </w:r>
      <w:r w:rsidRPr="009D0E29">
        <w:t xml:space="preserve"> and cirrhotic. The period of time from </w:t>
      </w:r>
      <w:r w:rsidR="00F913EC" w:rsidRPr="009D0E29">
        <w:t xml:space="preserve">study </w:t>
      </w:r>
      <w:r w:rsidRPr="009D0E29">
        <w:t xml:space="preserve">entry to HBsAg loss was significantly shorter in the </w:t>
      </w:r>
      <w:r w:rsidR="00913D96" w:rsidRPr="009D0E29">
        <w:t xml:space="preserve">normal </w:t>
      </w:r>
      <w:r w:rsidRPr="009D0E29">
        <w:t xml:space="preserve">US group than </w:t>
      </w:r>
      <w:r w:rsidR="00913D96" w:rsidRPr="009D0E29">
        <w:t xml:space="preserve">in </w:t>
      </w:r>
      <w:r w:rsidRPr="009D0E29">
        <w:t xml:space="preserve">the CLD </w:t>
      </w:r>
      <w:r w:rsidR="00FF08B5" w:rsidRPr="009D0E29">
        <w:t xml:space="preserve">and </w:t>
      </w:r>
      <w:r w:rsidRPr="009D0E29">
        <w:t xml:space="preserve">cirrhotic US </w:t>
      </w:r>
      <w:r w:rsidR="00913D96" w:rsidRPr="009D0E29">
        <w:t xml:space="preserve">groups </w:t>
      </w:r>
      <w:r w:rsidRPr="009D0E29">
        <w:t>(</w:t>
      </w:r>
      <w:r w:rsidRPr="009D0E29">
        <w:rPr>
          <w:rFonts w:eastAsia="Times New Roman" w:cs="Times New Roman"/>
          <w:kern w:val="0"/>
          <w:szCs w:val="24"/>
        </w:rPr>
        <w:t xml:space="preserve">5.05 ± 3.92, </w:t>
      </w:r>
      <w:r w:rsidRPr="009D0E29">
        <w:rPr>
          <w:rFonts w:eastAsia="Times New Roman" w:cs="Times New Roman"/>
          <w:kern w:val="0"/>
          <w:szCs w:val="24"/>
        </w:rPr>
        <w:lastRenderedPageBreak/>
        <w:t>6.86 ± 3.51 and 6.8 ± 2.98 years, respectively; n</w:t>
      </w:r>
      <w:r w:rsidRPr="009D0E29">
        <w:rPr>
          <w:rFonts w:cs="Times New Roman"/>
          <w:szCs w:val="24"/>
        </w:rPr>
        <w:t xml:space="preserve">ormal US </w:t>
      </w:r>
      <w:r w:rsidR="00440060" w:rsidRPr="00440060">
        <w:rPr>
          <w:i/>
        </w:rPr>
        <w:t>vs</w:t>
      </w:r>
      <w:r w:rsidRPr="009D0E29">
        <w:rPr>
          <w:rFonts w:cs="Times New Roman"/>
          <w:szCs w:val="24"/>
        </w:rPr>
        <w:t xml:space="preserve"> CLD, </w:t>
      </w:r>
      <w:r w:rsidRPr="009D0E29">
        <w:rPr>
          <w:rFonts w:cs="Times New Roman"/>
          <w:i/>
          <w:szCs w:val="24"/>
        </w:rPr>
        <w:t>P</w:t>
      </w:r>
      <w:r w:rsidR="00440060">
        <w:rPr>
          <w:rFonts w:cs="Times New Roman" w:hint="eastAsia"/>
          <w:i/>
          <w:szCs w:val="24"/>
          <w:lang w:eastAsia="zh-CN"/>
        </w:rPr>
        <w:t xml:space="preserve"> </w:t>
      </w:r>
      <w:r w:rsidRPr="009D0E29">
        <w:rPr>
          <w:rFonts w:cs="Times New Roman"/>
          <w:szCs w:val="24"/>
        </w:rPr>
        <w:t>=</w:t>
      </w:r>
      <w:r w:rsidR="00440060">
        <w:rPr>
          <w:rFonts w:cs="Times New Roman" w:hint="eastAsia"/>
          <w:szCs w:val="24"/>
          <w:lang w:eastAsia="zh-CN"/>
        </w:rPr>
        <w:t xml:space="preserve"> </w:t>
      </w:r>
      <w:r w:rsidRPr="009D0E29">
        <w:rPr>
          <w:rFonts w:cs="Times New Roman"/>
          <w:szCs w:val="24"/>
        </w:rPr>
        <w:t xml:space="preserve">0.0259; normal </w:t>
      </w:r>
      <w:r w:rsidR="00440060" w:rsidRPr="00440060">
        <w:rPr>
          <w:i/>
        </w:rPr>
        <w:t>vs</w:t>
      </w:r>
      <w:r w:rsidRPr="009D0E29">
        <w:rPr>
          <w:rFonts w:cs="Times New Roman"/>
          <w:szCs w:val="24"/>
        </w:rPr>
        <w:t xml:space="preserve"> cirrhotic US, </w:t>
      </w:r>
      <w:r w:rsidRPr="009D0E29">
        <w:rPr>
          <w:rFonts w:cs="Times New Roman"/>
          <w:i/>
          <w:szCs w:val="24"/>
        </w:rPr>
        <w:t>P</w:t>
      </w:r>
      <w:r w:rsidR="00440060">
        <w:rPr>
          <w:rFonts w:cs="Times New Roman" w:hint="eastAsia"/>
          <w:i/>
          <w:szCs w:val="24"/>
          <w:lang w:eastAsia="zh-CN"/>
        </w:rPr>
        <w:t xml:space="preserve"> </w:t>
      </w:r>
      <w:r w:rsidRPr="009D0E29">
        <w:rPr>
          <w:rFonts w:cs="Times New Roman"/>
          <w:szCs w:val="24"/>
        </w:rPr>
        <w:t>=</w:t>
      </w:r>
      <w:r w:rsidR="00440060">
        <w:rPr>
          <w:rFonts w:cs="Times New Roman" w:hint="eastAsia"/>
          <w:szCs w:val="24"/>
          <w:lang w:eastAsia="zh-CN"/>
        </w:rPr>
        <w:t xml:space="preserve"> </w:t>
      </w:r>
      <w:r w:rsidRPr="009D0E29">
        <w:rPr>
          <w:rFonts w:cs="Times New Roman"/>
          <w:szCs w:val="24"/>
        </w:rPr>
        <w:t>0.0366) (Table 4)</w:t>
      </w:r>
      <w:r w:rsidR="00913D96" w:rsidRPr="009D0E29">
        <w:rPr>
          <w:rFonts w:cs="Times New Roman"/>
          <w:szCs w:val="24"/>
        </w:rPr>
        <w:t>.</w:t>
      </w:r>
      <w:r w:rsidRPr="009D0E29">
        <w:rPr>
          <w:rFonts w:cs="Times New Roman"/>
          <w:szCs w:val="24"/>
        </w:rPr>
        <w:t xml:space="preserve"> </w:t>
      </w:r>
      <w:r w:rsidR="00FF08B5" w:rsidRPr="009D0E29">
        <w:rPr>
          <w:rFonts w:cs="Times New Roman"/>
          <w:szCs w:val="24"/>
        </w:rPr>
        <w:t xml:space="preserve">Among </w:t>
      </w:r>
      <w:r w:rsidRPr="009D0E29">
        <w:rPr>
          <w:rFonts w:cs="Times New Roman"/>
          <w:szCs w:val="24"/>
        </w:rPr>
        <w:t xml:space="preserve">the 90 </w:t>
      </w:r>
      <w:r w:rsidR="00913D96" w:rsidRPr="009D0E29">
        <w:rPr>
          <w:rFonts w:cs="Times New Roman"/>
          <w:szCs w:val="24"/>
        </w:rPr>
        <w:t xml:space="preserve">patients </w:t>
      </w:r>
      <w:r w:rsidRPr="009D0E29">
        <w:rPr>
          <w:rFonts w:cs="Times New Roman"/>
          <w:szCs w:val="24"/>
        </w:rPr>
        <w:t>with HBsAg seroclearance, 31%</w:t>
      </w:r>
      <w:r w:rsidRPr="009D0E29">
        <w:t xml:space="preserve"> </w:t>
      </w:r>
      <w:r w:rsidR="00913D96" w:rsidRPr="009D0E29">
        <w:rPr>
          <w:rFonts w:cs="Times New Roman"/>
          <w:szCs w:val="24"/>
        </w:rPr>
        <w:t xml:space="preserve">had </w:t>
      </w:r>
      <w:r w:rsidRPr="009D0E29">
        <w:t>asymptomatic</w:t>
      </w:r>
      <w:r w:rsidR="00913D96" w:rsidRPr="009D0E29">
        <w:t>,</w:t>
      </w:r>
      <w:r w:rsidRPr="009D0E29">
        <w:t xml:space="preserve"> inactive LC without HCC at registration. M</w:t>
      </w:r>
      <w:r w:rsidR="00913D96" w:rsidRPr="009D0E29">
        <w:t>e</w:t>
      </w:r>
      <w:r w:rsidRPr="009D0E29">
        <w:t xml:space="preserve">n </w:t>
      </w:r>
      <w:r w:rsidR="00913D96" w:rsidRPr="009D0E29">
        <w:t>were</w:t>
      </w:r>
      <w:r w:rsidRPr="009D0E29">
        <w:t xml:space="preserve"> predominant in the</w:t>
      </w:r>
      <w:r w:rsidR="00E01422" w:rsidRPr="009D0E29">
        <w:t xml:space="preserve"> 30 s</w:t>
      </w:r>
      <w:r w:rsidRPr="009D0E29">
        <w:t xml:space="preserve"> (3/3) and</w:t>
      </w:r>
      <w:r w:rsidR="00E01422" w:rsidRPr="009D0E29">
        <w:t xml:space="preserve"> 40 s</w:t>
      </w:r>
      <w:r w:rsidRPr="009D0E29">
        <w:t xml:space="preserve"> (9/10)</w:t>
      </w:r>
      <w:r w:rsidR="00913D96" w:rsidRPr="009D0E29">
        <w:t xml:space="preserve"> age groups</w:t>
      </w:r>
      <w:r w:rsidRPr="009D0E29">
        <w:t>, but the proportion of female</w:t>
      </w:r>
      <w:r w:rsidR="00913D96" w:rsidRPr="009D0E29">
        <w:t>s</w:t>
      </w:r>
      <w:r w:rsidRPr="009D0E29">
        <w:t xml:space="preserve"> </w:t>
      </w:r>
      <w:r w:rsidR="008439CE" w:rsidRPr="009D0E29">
        <w:t xml:space="preserve">was </w:t>
      </w:r>
      <w:r w:rsidRPr="009D0E29">
        <w:t>increased in the</w:t>
      </w:r>
      <w:r w:rsidR="00E01422" w:rsidRPr="009D0E29">
        <w:t xml:space="preserve"> 50 s</w:t>
      </w:r>
      <w:r w:rsidRPr="009D0E29">
        <w:t xml:space="preserve"> (3/5) and</w:t>
      </w:r>
      <w:r w:rsidR="00E01422" w:rsidRPr="009D0E29">
        <w:t xml:space="preserve"> 60 s</w:t>
      </w:r>
      <w:r w:rsidRPr="009D0E29">
        <w:t xml:space="preserve"> (5/10)</w:t>
      </w:r>
      <w:r w:rsidR="002E37D9" w:rsidRPr="009D0E29">
        <w:t xml:space="preserve"> age</w:t>
      </w:r>
      <w:r w:rsidR="00913D96" w:rsidRPr="009D0E29">
        <w:t xml:space="preserve"> groups</w:t>
      </w:r>
      <w:r w:rsidRPr="009D0E29">
        <w:t xml:space="preserve">. Five </w:t>
      </w:r>
      <w:r w:rsidR="00913D96" w:rsidRPr="009D0E29">
        <w:t xml:space="preserve">patients </w:t>
      </w:r>
      <w:r w:rsidRPr="009D0E29">
        <w:t xml:space="preserve">(17.9% of 28; </w:t>
      </w:r>
      <w:r w:rsidR="00123919" w:rsidRPr="009D0E29">
        <w:t>male</w:t>
      </w:r>
      <w:r w:rsidRPr="009D0E29">
        <w:t>/</w:t>
      </w:r>
      <w:r w:rsidR="00123919" w:rsidRPr="009D0E29">
        <w:t>female</w:t>
      </w:r>
      <w:r w:rsidRPr="009D0E29">
        <w:t xml:space="preserve"> = 4/1) developed HCC during follow-up, including one before and four after HBsAg loss.</w:t>
      </w:r>
    </w:p>
    <w:p w14:paraId="5B94DDDD" w14:textId="77777777" w:rsidR="00440060" w:rsidRPr="00440060" w:rsidRDefault="00440060" w:rsidP="00E70A1E">
      <w:pPr>
        <w:wordWrap/>
        <w:spacing w:after="0"/>
        <w:rPr>
          <w:rFonts w:eastAsia="DengXian"/>
          <w:lang w:eastAsia="zh-CN"/>
        </w:rPr>
      </w:pPr>
    </w:p>
    <w:p w14:paraId="21F8DF6D" w14:textId="77777777" w:rsidR="008071B3" w:rsidRPr="009D0E29" w:rsidRDefault="008071B3" w:rsidP="00E70A1E">
      <w:pPr>
        <w:pStyle w:val="1"/>
        <w:wordWrap/>
        <w:spacing w:before="0"/>
      </w:pPr>
      <w:r w:rsidRPr="009D0E29">
        <w:t>Hepatocellular carcinoma and HBsAg seroclearance</w:t>
      </w:r>
    </w:p>
    <w:p w14:paraId="63A0253F" w14:textId="1122B6DB" w:rsidR="008071B3" w:rsidRPr="009D0E29" w:rsidRDefault="00064FED" w:rsidP="00E70A1E">
      <w:pPr>
        <w:wordWrap/>
        <w:spacing w:after="0"/>
      </w:pPr>
      <w:r w:rsidRPr="009D0E29">
        <w:t xml:space="preserve">Among </w:t>
      </w:r>
      <w:r w:rsidR="008071B3" w:rsidRPr="009D0E29">
        <w:t xml:space="preserve">the 90 </w:t>
      </w:r>
      <w:r w:rsidR="00913D96" w:rsidRPr="009D0E29">
        <w:t xml:space="preserve">patients </w:t>
      </w:r>
      <w:r w:rsidR="008071B3" w:rsidRPr="009D0E29">
        <w:t xml:space="preserve">with HBsAg seroclearance, thirteen were diagnosed </w:t>
      </w:r>
      <w:r w:rsidR="00913D96" w:rsidRPr="009D0E29">
        <w:t>with</w:t>
      </w:r>
      <w:r w:rsidR="008071B3" w:rsidRPr="009D0E29">
        <w:t xml:space="preserve"> HCC, including seven (7.8%) at registration (HCC group-1) and six (6.7%) during follow-up (HCC group-2). </w:t>
      </w:r>
      <w:r w:rsidRPr="009D0E29">
        <w:t xml:space="preserve">Among </w:t>
      </w:r>
      <w:r w:rsidR="008071B3" w:rsidRPr="009D0E29">
        <w:t>the</w:t>
      </w:r>
      <w:r w:rsidR="00913D96" w:rsidRPr="009D0E29">
        <w:t xml:space="preserve"> patients in</w:t>
      </w:r>
      <w:r w:rsidR="008071B3" w:rsidRPr="009D0E29">
        <w:t xml:space="preserve"> HCC group-2, two developed HCC </w:t>
      </w:r>
      <w:r w:rsidR="00913D96" w:rsidRPr="009D0E29">
        <w:t xml:space="preserve">prior to </w:t>
      </w:r>
      <w:r w:rsidR="008071B3" w:rsidRPr="009D0E29">
        <w:t>HBsAg loss</w:t>
      </w:r>
      <w:r w:rsidR="002E37D9" w:rsidRPr="009D0E29">
        <w:t>,</w:t>
      </w:r>
      <w:r w:rsidR="008071B3" w:rsidRPr="009D0E29">
        <w:t xml:space="preserve"> and four developed HCC </w:t>
      </w:r>
      <w:r w:rsidR="008439CE" w:rsidRPr="009D0E29">
        <w:t xml:space="preserve">at </w:t>
      </w:r>
      <w:r w:rsidR="008071B3" w:rsidRPr="009D0E29">
        <w:t xml:space="preserve">0.66 ± 0.63 years after HBsAg loss, </w:t>
      </w:r>
      <w:r w:rsidR="002E37D9" w:rsidRPr="009D0E29">
        <w:t>corresponding to</w:t>
      </w:r>
      <w:r w:rsidR="008071B3" w:rsidRPr="009D0E29">
        <w:t xml:space="preserve"> </w:t>
      </w:r>
      <w:r w:rsidR="002E37D9" w:rsidRPr="009D0E29">
        <w:t xml:space="preserve">a rate of </w:t>
      </w:r>
      <w:r w:rsidR="008071B3" w:rsidRPr="009D0E29">
        <w:t xml:space="preserve">4.8% </w:t>
      </w:r>
      <w:r w:rsidR="002E37D9" w:rsidRPr="009D0E29">
        <w:t>among</w:t>
      </w:r>
      <w:r w:rsidR="008071B3" w:rsidRPr="009D0E29">
        <w:t xml:space="preserve"> </w:t>
      </w:r>
      <w:r w:rsidR="00913D96" w:rsidRPr="009D0E29">
        <w:t xml:space="preserve">the </w:t>
      </w:r>
      <w:r w:rsidR="008071B3" w:rsidRPr="009D0E29">
        <w:t xml:space="preserve">83 carriers without HCC at entry. There was no difference in the </w:t>
      </w:r>
      <w:r w:rsidR="00913D96" w:rsidRPr="009D0E29">
        <w:t xml:space="preserve">time interval </w:t>
      </w:r>
      <w:r w:rsidR="008071B3" w:rsidRPr="009D0E29">
        <w:t xml:space="preserve">from entry to HBsAg loss between HCC group-1 and </w:t>
      </w:r>
      <w:r w:rsidR="00913D96" w:rsidRPr="009D0E29">
        <w:t>group</w:t>
      </w:r>
      <w:r w:rsidR="008071B3" w:rsidRPr="009D0E29">
        <w:t xml:space="preserve">-2 (6.78 ± 2.77 and 5.77 ± 3.18 years, respectively). </w:t>
      </w:r>
      <w:r w:rsidR="00913D96" w:rsidRPr="009D0E29">
        <w:t>In addition to LC, the r</w:t>
      </w:r>
      <w:r w:rsidR="008071B3" w:rsidRPr="009D0E29">
        <w:t xml:space="preserve">isk factors for HCC </w:t>
      </w:r>
      <w:r w:rsidR="002E37D9" w:rsidRPr="009D0E29">
        <w:t xml:space="preserve">included </w:t>
      </w:r>
      <w:r w:rsidR="008071B3" w:rsidRPr="009D0E29">
        <w:t>excessive drinking in three men and vertical infection in one woman.</w:t>
      </w:r>
    </w:p>
    <w:p w14:paraId="11C1DB20" w14:textId="77777777" w:rsidR="008071B3" w:rsidRPr="009D0E29" w:rsidRDefault="008071B3" w:rsidP="00E70A1E">
      <w:pPr>
        <w:wordWrap/>
        <w:spacing w:after="0"/>
        <w:rPr>
          <w:color w:val="000000"/>
          <w:szCs w:val="22"/>
        </w:rPr>
      </w:pPr>
    </w:p>
    <w:p w14:paraId="55000A0E" w14:textId="77777777" w:rsidR="008071B3" w:rsidRPr="009D0E29" w:rsidRDefault="008071B3" w:rsidP="00E70A1E">
      <w:pPr>
        <w:widowControl/>
        <w:wordWrap/>
        <w:autoSpaceDE/>
        <w:autoSpaceDN/>
        <w:spacing w:after="0"/>
        <w:rPr>
          <w:color w:val="000000"/>
          <w:szCs w:val="22"/>
        </w:rPr>
      </w:pPr>
      <w:r w:rsidRPr="009D0E29">
        <w:rPr>
          <w:color w:val="000000"/>
          <w:szCs w:val="22"/>
        </w:rPr>
        <w:br w:type="page"/>
      </w:r>
    </w:p>
    <w:p w14:paraId="7D8E9419" w14:textId="77777777" w:rsidR="008071B3" w:rsidRPr="009D0E29" w:rsidRDefault="008071B3" w:rsidP="00E70A1E">
      <w:pPr>
        <w:keepNext/>
        <w:wordWrap/>
        <w:spacing w:after="0"/>
        <w:outlineLvl w:val="1"/>
        <w:rPr>
          <w:rFonts w:eastAsiaTheme="majorEastAsia" w:cstheme="majorBidi"/>
          <w:b/>
          <w:szCs w:val="22"/>
        </w:rPr>
      </w:pPr>
      <w:r w:rsidRPr="009D0E29">
        <w:rPr>
          <w:rFonts w:eastAsiaTheme="majorEastAsia" w:cstheme="majorBidi"/>
          <w:b/>
          <w:szCs w:val="22"/>
        </w:rPr>
        <w:lastRenderedPageBreak/>
        <w:t>DISCUSSION</w:t>
      </w:r>
    </w:p>
    <w:p w14:paraId="61D47B31" w14:textId="21BD557C" w:rsidR="008071B3" w:rsidRPr="009D0E29" w:rsidRDefault="008071B3" w:rsidP="00E70A1E">
      <w:pPr>
        <w:wordWrap/>
        <w:spacing w:after="0"/>
      </w:pPr>
      <w:r w:rsidRPr="009D0E29">
        <w:t xml:space="preserve">We summarize here five important key findings regarding HBsAg seroclearance </w:t>
      </w:r>
      <w:r w:rsidR="00913D96" w:rsidRPr="009D0E29">
        <w:t>in</w:t>
      </w:r>
      <w:r w:rsidRPr="009D0E29">
        <w:t xml:space="preserve"> Korean HBV carriers </w:t>
      </w:r>
      <w:r w:rsidR="00913D96" w:rsidRPr="009D0E29">
        <w:t>from</w:t>
      </w:r>
      <w:r w:rsidRPr="009D0E29">
        <w:t xml:space="preserve"> a new perspective. First, HBsAg-SCR, HBeAg, HBV DNA and CLD are factors associated with</w:t>
      </w:r>
      <w:r w:rsidR="00737486" w:rsidRPr="009D0E29">
        <w:t xml:space="preserve"> the</w:t>
      </w:r>
      <w:r w:rsidRPr="009D0E29">
        <w:t xml:space="preserve"> time interval from a given carrier state to HBsAg seroclearance. Second, </w:t>
      </w:r>
      <w:r w:rsidR="00913D96" w:rsidRPr="009D0E29">
        <w:t>the</w:t>
      </w:r>
      <w:r w:rsidRPr="009D0E29">
        <w:t xml:space="preserve"> </w:t>
      </w:r>
      <w:r w:rsidR="00F913EC" w:rsidRPr="009D0E29">
        <w:t>start</w:t>
      </w:r>
      <w:r w:rsidR="00913D96" w:rsidRPr="009D0E29">
        <w:t xml:space="preserve"> </w:t>
      </w:r>
      <w:r w:rsidR="001340D4" w:rsidRPr="009D0E29">
        <w:t xml:space="preserve">of </w:t>
      </w:r>
      <w:r w:rsidR="00F913EC" w:rsidRPr="009D0E29">
        <w:t>a</w:t>
      </w:r>
      <w:r w:rsidRPr="009D0E29">
        <w:t xml:space="preserve"> </w:t>
      </w:r>
      <w:r w:rsidR="00913D96" w:rsidRPr="009D0E29">
        <w:t>decrease</w:t>
      </w:r>
      <w:r w:rsidR="00F913EC" w:rsidRPr="009D0E29">
        <w:t xml:space="preserve"> in</w:t>
      </w:r>
      <w:r w:rsidR="00913D96" w:rsidRPr="009D0E29">
        <w:t xml:space="preserve"> </w:t>
      </w:r>
      <w:r w:rsidRPr="009D0E29">
        <w:t xml:space="preserve">HBsAg-SCR usually </w:t>
      </w:r>
      <w:r w:rsidR="00913D96" w:rsidRPr="009D0E29">
        <w:t>indicates</w:t>
      </w:r>
      <w:r w:rsidRPr="00D46607">
        <w:t xml:space="preserve"> the gradual loss of HBsAg</w:t>
      </w:r>
      <w:r w:rsidR="00D53798">
        <w:t xml:space="preserve"> quantity</w:t>
      </w:r>
      <w:r w:rsidRPr="00D46607">
        <w:t>. Third, asymptomatic</w:t>
      </w:r>
      <w:r w:rsidR="00913D96" w:rsidRPr="009D0E29">
        <w:t>,</w:t>
      </w:r>
      <w:r w:rsidRPr="009D0E29">
        <w:t xml:space="preserve"> inactive LC </w:t>
      </w:r>
      <w:r w:rsidR="00064FED" w:rsidRPr="009D0E29">
        <w:t xml:space="preserve">is present in </w:t>
      </w:r>
      <w:r w:rsidRPr="009D0E29">
        <w:t xml:space="preserve">approximately 30% of carriers with HBsAg seroclearance. Fourth, HCC can develop after HBsAg loss. Fifth, </w:t>
      </w:r>
      <w:r w:rsidR="00913D96" w:rsidRPr="009D0E29">
        <w:t xml:space="preserve">in addition to LC, </w:t>
      </w:r>
      <w:r w:rsidRPr="009D0E29">
        <w:t xml:space="preserve">risk factors </w:t>
      </w:r>
      <w:r w:rsidR="00913D96" w:rsidRPr="009D0E29">
        <w:t>for</w:t>
      </w:r>
      <w:r w:rsidRPr="009D0E29">
        <w:t xml:space="preserve"> HCC may </w:t>
      </w:r>
      <w:r w:rsidR="00737486" w:rsidRPr="009D0E29">
        <w:t xml:space="preserve">include </w:t>
      </w:r>
      <w:r w:rsidRPr="009D0E29">
        <w:t xml:space="preserve">excessive drinking and </w:t>
      </w:r>
      <w:r w:rsidR="00913D96" w:rsidRPr="009D0E29">
        <w:t xml:space="preserve">a </w:t>
      </w:r>
      <w:r w:rsidRPr="009D0E29">
        <w:t xml:space="preserve">family history of HBV infection. </w:t>
      </w:r>
    </w:p>
    <w:p w14:paraId="2F86E73C" w14:textId="7CFE9822" w:rsidR="008071B3" w:rsidRPr="009D0E29" w:rsidRDefault="008071B3" w:rsidP="00E70A1E">
      <w:pPr>
        <w:pStyle w:val="a"/>
        <w:wordWrap/>
        <w:spacing w:after="0"/>
      </w:pPr>
      <w:r w:rsidRPr="009D0E29">
        <w:t>The HBsAg clearance rate seem</w:t>
      </w:r>
      <w:r w:rsidR="008439CE" w:rsidRPr="009D0E29">
        <w:t>s</w:t>
      </w:r>
      <w:r w:rsidRPr="009D0E29">
        <w:t xml:space="preserve"> to be lower in Korea than in other countries. </w:t>
      </w:r>
      <w:r w:rsidR="00913D96" w:rsidRPr="009D0E29">
        <w:t xml:space="preserve">The clearance rate was </w:t>
      </w:r>
      <w:r w:rsidR="008439CE" w:rsidRPr="009D0E29">
        <w:t xml:space="preserve">determined to be </w:t>
      </w:r>
      <w:r w:rsidRPr="009D0E29">
        <w:t xml:space="preserve">0.76% in Korea, </w:t>
      </w:r>
      <w:r w:rsidR="00737486" w:rsidRPr="009D0E29">
        <w:t xml:space="preserve">while other studies have reported rates of </w:t>
      </w:r>
      <w:r w:rsidRPr="009D0E29">
        <w:t>1.15</w:t>
      </w:r>
      <w:r w:rsidR="00440060">
        <w:rPr>
          <w:rFonts w:hint="eastAsia"/>
          <w:lang w:eastAsia="zh-CN"/>
        </w:rPr>
        <w:t>%</w:t>
      </w:r>
      <w:r w:rsidRPr="009D0E29">
        <w:t>-1.6% in Taiwan</w:t>
      </w:r>
      <w:r w:rsidRPr="009D0E29">
        <w:rPr>
          <w:vertAlign w:val="superscript"/>
        </w:rPr>
        <w:t>[6,18]</w:t>
      </w:r>
      <w:r w:rsidR="003B41C0" w:rsidRPr="009D0E29">
        <w:t>,</w:t>
      </w:r>
      <w:r w:rsidRPr="009D0E29">
        <w:t xml:space="preserve"> 1.14% in Kawerau of New</w:t>
      </w:r>
      <w:r w:rsidR="00913D96" w:rsidRPr="009D0E29">
        <w:t xml:space="preserve"> </w:t>
      </w:r>
      <w:r w:rsidRPr="009D0E29">
        <w:t>Zealand</w:t>
      </w:r>
      <w:r w:rsidRPr="009D0E29">
        <w:rPr>
          <w:vertAlign w:val="superscript"/>
        </w:rPr>
        <w:t>[19]</w:t>
      </w:r>
      <w:r w:rsidR="003B41C0" w:rsidRPr="009D0E29">
        <w:t>,</w:t>
      </w:r>
      <w:r w:rsidRPr="009D0E29">
        <w:t xml:space="preserve"> 1-1.9% in Caucasian carriers</w:t>
      </w:r>
      <w:r w:rsidRPr="009D0E29">
        <w:rPr>
          <w:vertAlign w:val="superscript"/>
        </w:rPr>
        <w:t>[5,17]</w:t>
      </w:r>
      <w:r w:rsidR="003B41C0" w:rsidRPr="009D0E29">
        <w:t>,</w:t>
      </w:r>
      <w:r w:rsidRPr="009D0E29">
        <w:t xml:space="preserve"> 2.5% in </w:t>
      </w:r>
      <w:r w:rsidR="00913D96" w:rsidRPr="009D0E29">
        <w:t xml:space="preserve">the </w:t>
      </w:r>
      <w:r w:rsidRPr="009D0E29">
        <w:t>Goto Islands of Japan</w:t>
      </w:r>
      <w:r w:rsidRPr="009D0E29">
        <w:rPr>
          <w:vertAlign w:val="superscript"/>
        </w:rPr>
        <w:t>[20]</w:t>
      </w:r>
      <w:r w:rsidR="003B41C0" w:rsidRPr="009D0E29">
        <w:t>,</w:t>
      </w:r>
      <w:r w:rsidRPr="009D0E29">
        <w:t xml:space="preserve"> and 3.08% in China</w:t>
      </w:r>
      <w:r w:rsidRPr="009D0E29">
        <w:rPr>
          <w:vertAlign w:val="superscript"/>
        </w:rPr>
        <w:t>[21]</w:t>
      </w:r>
      <w:r w:rsidR="003B41C0" w:rsidRPr="009D0E29">
        <w:t>.</w:t>
      </w:r>
      <w:r w:rsidRPr="009D0E29">
        <w:t xml:space="preserve"> </w:t>
      </w:r>
      <w:r w:rsidR="00913D96" w:rsidRPr="009D0E29">
        <w:t>C</w:t>
      </w:r>
      <w:r w:rsidRPr="009D0E29">
        <w:t>ompared with data</w:t>
      </w:r>
      <w:r w:rsidR="00913D96" w:rsidRPr="009D0E29">
        <w:t xml:space="preserve"> from Taiwan</w:t>
      </w:r>
      <w:r w:rsidRPr="009D0E29">
        <w:rPr>
          <w:vertAlign w:val="superscript"/>
        </w:rPr>
        <w:t>[18]</w:t>
      </w:r>
      <w:r w:rsidRPr="009D0E29">
        <w:t xml:space="preserve">, </w:t>
      </w:r>
      <w:r w:rsidR="00913D96" w:rsidRPr="009D0E29">
        <w:t>HBsAg seroclearance</w:t>
      </w:r>
      <w:r w:rsidRPr="009D0E29">
        <w:t xml:space="preserve"> </w:t>
      </w:r>
      <w:r w:rsidR="00737486" w:rsidRPr="009D0E29">
        <w:t xml:space="preserve">in Korea </w:t>
      </w:r>
      <w:r w:rsidR="00064FED" w:rsidRPr="009D0E29">
        <w:t>was</w:t>
      </w:r>
      <w:r w:rsidR="008439CE" w:rsidRPr="009D0E29">
        <w:t xml:space="preserve"> </w:t>
      </w:r>
      <w:r w:rsidRPr="009D0E29">
        <w:t xml:space="preserve">significantly </w:t>
      </w:r>
      <w:r w:rsidR="00913D96" w:rsidRPr="009D0E29">
        <w:t xml:space="preserve">reduced </w:t>
      </w:r>
      <w:r w:rsidRPr="009D0E29">
        <w:t>in all age groups</w:t>
      </w:r>
      <w:r w:rsidR="001340D4" w:rsidRPr="009D0E29">
        <w:t xml:space="preserve"> as follows</w:t>
      </w:r>
      <w:r w:rsidRPr="009D0E29">
        <w:t xml:space="preserve">: 0.55% </w:t>
      </w:r>
      <w:r w:rsidR="00440060" w:rsidRPr="00440060">
        <w:rPr>
          <w:i/>
        </w:rPr>
        <w:t>vs</w:t>
      </w:r>
      <w:r w:rsidRPr="009D0E29">
        <w:t xml:space="preserve"> 0.77% in the</w:t>
      </w:r>
      <w:r w:rsidR="00E01422" w:rsidRPr="009D0E29">
        <w:t xml:space="preserve"> 20</w:t>
      </w:r>
      <w:r w:rsidR="00F913EC" w:rsidRPr="009D0E29">
        <w:t>-30 year</w:t>
      </w:r>
      <w:r w:rsidRPr="009D0E29">
        <w:t>, 0.45%</w:t>
      </w:r>
      <w:r w:rsidR="00440060" w:rsidRPr="00440060">
        <w:rPr>
          <w:i/>
        </w:rPr>
        <w:t xml:space="preserve"> vs</w:t>
      </w:r>
      <w:r w:rsidRPr="009D0E29">
        <w:t xml:space="preserve"> 1.07% in the</w:t>
      </w:r>
      <w:r w:rsidR="00E01422" w:rsidRPr="009D0E29">
        <w:t xml:space="preserve"> 30</w:t>
      </w:r>
      <w:r w:rsidR="00F913EC" w:rsidRPr="009D0E29">
        <w:t>-40 year</w:t>
      </w:r>
      <w:r w:rsidRPr="009D0E29">
        <w:t xml:space="preserve">, 0.92% </w:t>
      </w:r>
      <w:r w:rsidR="00440060" w:rsidRPr="00440060">
        <w:rPr>
          <w:i/>
        </w:rPr>
        <w:t>vs</w:t>
      </w:r>
      <w:r w:rsidR="00440060">
        <w:rPr>
          <w:rFonts w:hint="eastAsia"/>
          <w:lang w:eastAsia="zh-CN"/>
        </w:rPr>
        <w:t xml:space="preserve"> </w:t>
      </w:r>
      <w:r w:rsidRPr="009D0E29">
        <w:t>1.65% in the</w:t>
      </w:r>
      <w:r w:rsidR="00E01422" w:rsidRPr="009D0E29">
        <w:t xml:space="preserve"> 40</w:t>
      </w:r>
      <w:r w:rsidR="00F913EC" w:rsidRPr="009D0E29">
        <w:t>-50 year</w:t>
      </w:r>
      <w:r w:rsidRPr="009D0E29">
        <w:t xml:space="preserve">, and 0.89% </w:t>
      </w:r>
      <w:r w:rsidR="00440060" w:rsidRPr="00440060">
        <w:rPr>
          <w:i/>
        </w:rPr>
        <w:t>vs</w:t>
      </w:r>
      <w:r w:rsidR="00440060">
        <w:rPr>
          <w:rFonts w:hint="eastAsia"/>
          <w:lang w:eastAsia="zh-CN"/>
        </w:rPr>
        <w:t xml:space="preserve"> </w:t>
      </w:r>
      <w:r w:rsidRPr="009D0E29">
        <w:t>1.83% in the</w:t>
      </w:r>
      <w:r w:rsidR="00E01422" w:rsidRPr="009D0E29">
        <w:t xml:space="preserve"> 50</w:t>
      </w:r>
      <w:r w:rsidR="00737486" w:rsidRPr="009D0E29">
        <w:t xml:space="preserve"> and over</w:t>
      </w:r>
      <w:r w:rsidR="001340D4" w:rsidRPr="009D0E29">
        <w:t xml:space="preserve"> age groups</w:t>
      </w:r>
      <w:r w:rsidRPr="009D0E29">
        <w:t xml:space="preserve">. This </w:t>
      </w:r>
      <w:r w:rsidR="00737486" w:rsidRPr="009D0E29">
        <w:t>variability may be due to various</w:t>
      </w:r>
      <w:r w:rsidRPr="00D46607">
        <w:t xml:space="preserve"> factors, such as geographic difference</w:t>
      </w:r>
      <w:r w:rsidR="00913D96" w:rsidRPr="009D0E29">
        <w:t>s</w:t>
      </w:r>
      <w:r w:rsidRPr="009D0E29">
        <w:t xml:space="preserve"> </w:t>
      </w:r>
      <w:r w:rsidR="00913D96" w:rsidRPr="009D0E29">
        <w:t>in</w:t>
      </w:r>
      <w:r w:rsidRPr="009D0E29">
        <w:t xml:space="preserve"> genotypes, age, gender, viral loading and fibrosis at enrollment. </w:t>
      </w:r>
      <w:r w:rsidR="00282D5D" w:rsidRPr="009D0E29">
        <w:t>For instance, a</w:t>
      </w:r>
      <w:r w:rsidR="00737486" w:rsidRPr="009D0E29">
        <w:t>lmost</w:t>
      </w:r>
      <w:r w:rsidRPr="009D0E29">
        <w:t xml:space="preserve"> all Korean carriers are known to be infected with genotype C, </w:t>
      </w:r>
      <w:r w:rsidR="00913D96" w:rsidRPr="009D0E29">
        <w:t xml:space="preserve">whereas 60% and 34% of </w:t>
      </w:r>
      <w:r w:rsidRPr="009D0E29">
        <w:t>Taiwanese carriers are infected with genotype</w:t>
      </w:r>
      <w:r w:rsidR="00913D96" w:rsidRPr="009D0E29">
        <w:t>s</w:t>
      </w:r>
      <w:r w:rsidRPr="009D0E29">
        <w:t xml:space="preserve"> B and C, respectively</w:t>
      </w:r>
      <w:r w:rsidRPr="009D0E29">
        <w:rPr>
          <w:vertAlign w:val="superscript"/>
        </w:rPr>
        <w:t>[6,22]</w:t>
      </w:r>
      <w:r w:rsidR="003B41C0" w:rsidRPr="009D0E29">
        <w:t>.</w:t>
      </w:r>
      <w:r w:rsidRPr="009D0E29">
        <w:t xml:space="preserve"> </w:t>
      </w:r>
    </w:p>
    <w:p w14:paraId="6561B9DE" w14:textId="667E3A93" w:rsidR="008071B3" w:rsidRPr="009D0E29" w:rsidRDefault="008071B3" w:rsidP="00E70A1E">
      <w:pPr>
        <w:pStyle w:val="a"/>
        <w:wordWrap/>
        <w:spacing w:after="0"/>
      </w:pPr>
      <w:r w:rsidRPr="009D0E29">
        <w:t>Carrier</w:t>
      </w:r>
      <w:r w:rsidR="00913D96" w:rsidRPr="009D0E29">
        <w:t>s</w:t>
      </w:r>
      <w:r w:rsidRPr="009D0E29">
        <w:t xml:space="preserve"> with</w:t>
      </w:r>
      <w:r w:rsidR="00737486" w:rsidRPr="009D0E29">
        <w:t xml:space="preserve"> an</w:t>
      </w:r>
      <w:r w:rsidRPr="009D0E29">
        <w:t xml:space="preserve"> initial HBeAg-positive </w:t>
      </w:r>
      <w:r w:rsidR="00913D96" w:rsidRPr="009D0E29">
        <w:t xml:space="preserve">result </w:t>
      </w:r>
      <w:r w:rsidRPr="009D0E29">
        <w:t xml:space="preserve">show </w:t>
      </w:r>
      <w:r w:rsidR="008439CE" w:rsidRPr="009D0E29">
        <w:t xml:space="preserve">the </w:t>
      </w:r>
      <w:r w:rsidR="00241DC0" w:rsidRPr="009D0E29">
        <w:t xml:space="preserve">gradual </w:t>
      </w:r>
      <w:r w:rsidRPr="009D0E29">
        <w:t>negative conversion of HBeAg and HBV DNA before the loss of HBsAg</w:t>
      </w:r>
      <w:r w:rsidRPr="009D0E29">
        <w:rPr>
          <w:vertAlign w:val="superscript"/>
        </w:rPr>
        <w:t>[14]</w:t>
      </w:r>
      <w:r w:rsidR="003B41C0" w:rsidRPr="009D0E29">
        <w:t>.</w:t>
      </w:r>
      <w:r w:rsidRPr="009D0E29">
        <w:t xml:space="preserve"> In carrier</w:t>
      </w:r>
      <w:r w:rsidR="00913D96" w:rsidRPr="009D0E29">
        <w:t>s</w:t>
      </w:r>
      <w:r w:rsidRPr="009D0E29">
        <w:t xml:space="preserve"> with </w:t>
      </w:r>
      <w:r w:rsidR="00913D96" w:rsidRPr="009D0E29">
        <w:t xml:space="preserve">an </w:t>
      </w:r>
      <w:r w:rsidRPr="009D0E29">
        <w:t>initial HBeAg-negative</w:t>
      </w:r>
      <w:r w:rsidR="00913D96" w:rsidRPr="009D0E29">
        <w:t xml:space="preserve"> result</w:t>
      </w:r>
      <w:r w:rsidRPr="009D0E29">
        <w:t xml:space="preserve">, HBV DNA is cleared from </w:t>
      </w:r>
      <w:r w:rsidR="008439CE" w:rsidRPr="009D0E29">
        <w:t xml:space="preserve">the </w:t>
      </w:r>
      <w:r w:rsidRPr="009D0E29">
        <w:t>serum before HBsAg-NC, although low HBV DNA</w:t>
      </w:r>
      <w:r w:rsidR="00BE2877" w:rsidRPr="009D0E29">
        <w:t xml:space="preserve"> titers</w:t>
      </w:r>
      <w:r w:rsidRPr="009D0E29">
        <w:t xml:space="preserve"> </w:t>
      </w:r>
      <w:r w:rsidR="00A53BEC" w:rsidRPr="009D0E29">
        <w:t xml:space="preserve">are </w:t>
      </w:r>
      <w:r w:rsidRPr="009D0E29">
        <w:t xml:space="preserve">persistently detected in some </w:t>
      </w:r>
      <w:r w:rsidR="00913D96" w:rsidRPr="009D0E29">
        <w:t>patients</w:t>
      </w:r>
      <w:r w:rsidRPr="009D0E29">
        <w:rPr>
          <w:vertAlign w:val="superscript"/>
        </w:rPr>
        <w:t>[23]</w:t>
      </w:r>
      <w:r w:rsidR="003B41C0" w:rsidRPr="009D0E29">
        <w:t>.</w:t>
      </w:r>
      <w:r w:rsidRPr="009D0E29">
        <w:t xml:space="preserve"> These </w:t>
      </w:r>
      <w:r w:rsidR="00913D96" w:rsidRPr="009D0E29">
        <w:t xml:space="preserve">results </w:t>
      </w:r>
      <w:r w:rsidRPr="009D0E29">
        <w:t xml:space="preserve">are inter-related in that the HBsAg loss is </w:t>
      </w:r>
      <w:r w:rsidR="00913D96" w:rsidRPr="009D0E29">
        <w:t xml:space="preserve">usually </w:t>
      </w:r>
      <w:r w:rsidRPr="009D0E29">
        <w:t>preceded by a long period of inactive disease</w:t>
      </w:r>
      <w:r w:rsidR="000B5F61" w:rsidRPr="009D0E29">
        <w:rPr>
          <w:vertAlign w:val="superscript"/>
        </w:rPr>
        <w:t>[17]</w:t>
      </w:r>
      <w:r w:rsidR="000B5F61" w:rsidRPr="009D0E29">
        <w:t>.</w:t>
      </w:r>
      <w:r w:rsidRPr="009D0E29">
        <w:rPr>
          <w:vertAlign w:val="superscript"/>
        </w:rPr>
        <w:t xml:space="preserve"> </w:t>
      </w:r>
    </w:p>
    <w:p w14:paraId="71246804" w14:textId="451B22E1" w:rsidR="008071B3" w:rsidRPr="009D0E29" w:rsidRDefault="008071B3" w:rsidP="00E70A1E">
      <w:pPr>
        <w:pStyle w:val="a"/>
        <w:wordWrap/>
        <w:spacing w:after="0"/>
      </w:pPr>
      <w:r w:rsidRPr="009D0E29">
        <w:t xml:space="preserve">The </w:t>
      </w:r>
      <w:r w:rsidR="00737486" w:rsidRPr="009D0E29">
        <w:t xml:space="preserve">time </w:t>
      </w:r>
      <w:r w:rsidRPr="009D0E29">
        <w:t xml:space="preserve">period from entry to HBsAg </w:t>
      </w:r>
      <w:r w:rsidR="00913D96" w:rsidRPr="009D0E29">
        <w:t>loss</w:t>
      </w:r>
      <w:r w:rsidR="00737486" w:rsidRPr="009D0E29">
        <w:t xml:space="preserve"> in our study</w:t>
      </w:r>
      <w:r w:rsidR="00913D96" w:rsidRPr="009D0E29">
        <w:t xml:space="preserve"> </w:t>
      </w:r>
      <w:r w:rsidR="00A53BEC" w:rsidRPr="009D0E29">
        <w:t xml:space="preserve">is </w:t>
      </w:r>
      <w:r w:rsidRPr="009D0E29">
        <w:t>similar to that</w:t>
      </w:r>
      <w:r w:rsidR="008439CE" w:rsidRPr="009D0E29">
        <w:t xml:space="preserve"> reported</w:t>
      </w:r>
      <w:r w:rsidRPr="009D0E29">
        <w:t xml:space="preserve"> </w:t>
      </w:r>
      <w:r w:rsidR="00913D96" w:rsidRPr="009D0E29">
        <w:t>in</w:t>
      </w:r>
      <w:r w:rsidRPr="009D0E29">
        <w:t xml:space="preserve"> a </w:t>
      </w:r>
      <w:r w:rsidR="00BE2877" w:rsidRPr="009D0E29">
        <w:t xml:space="preserve">previous </w:t>
      </w:r>
      <w:r w:rsidRPr="009D0E29">
        <w:t>six</w:t>
      </w:r>
      <w:r w:rsidR="00737486" w:rsidRPr="009D0E29">
        <w:t>-</w:t>
      </w:r>
      <w:r w:rsidRPr="009D0E29">
        <w:t>year</w:t>
      </w:r>
      <w:r w:rsidR="00913D96" w:rsidRPr="009D0E29">
        <w:t xml:space="preserve"> study</w:t>
      </w:r>
      <w:r w:rsidR="00BE2877" w:rsidRPr="009D0E29">
        <w:t xml:space="preserve"> conducted</w:t>
      </w:r>
      <w:r w:rsidR="00913D96" w:rsidRPr="009D0E29">
        <w:t xml:space="preserve"> in China</w:t>
      </w:r>
      <w:r w:rsidRPr="009D0E29">
        <w:rPr>
          <w:vertAlign w:val="superscript"/>
        </w:rPr>
        <w:t>[21]</w:t>
      </w:r>
      <w:r w:rsidR="003B41C0" w:rsidRPr="009D0E29">
        <w:t>.</w:t>
      </w:r>
      <w:r w:rsidRPr="009D0E29">
        <w:t xml:space="preserve"> </w:t>
      </w:r>
      <w:r w:rsidR="00C666C8" w:rsidRPr="009D0E29">
        <w:t>Notably</w:t>
      </w:r>
      <w:r w:rsidR="00BE2877" w:rsidRPr="009D0E29">
        <w:t xml:space="preserve">, no significant differences in this </w:t>
      </w:r>
      <w:r w:rsidR="00913D96" w:rsidRPr="009D0E29">
        <w:t>time</w:t>
      </w:r>
      <w:r w:rsidR="00BE2877" w:rsidRPr="009D0E29">
        <w:t xml:space="preserve"> interval were observed</w:t>
      </w:r>
      <w:r w:rsidR="00913D96" w:rsidRPr="009D0E29">
        <w:t xml:space="preserve"> </w:t>
      </w:r>
      <w:r w:rsidRPr="00D46607">
        <w:t xml:space="preserve">according to age, </w:t>
      </w:r>
      <w:r w:rsidR="00C666C8" w:rsidRPr="00D46607">
        <w:t xml:space="preserve">the </w:t>
      </w:r>
      <w:r w:rsidRPr="009D0E29">
        <w:t xml:space="preserve">HBeAg status </w:t>
      </w:r>
      <w:r w:rsidR="00C666C8" w:rsidRPr="009D0E29">
        <w:t xml:space="preserve">or </w:t>
      </w:r>
      <w:r w:rsidR="00C666C8" w:rsidRPr="009D0E29">
        <w:lastRenderedPageBreak/>
        <w:t xml:space="preserve">the </w:t>
      </w:r>
      <w:r w:rsidRPr="009D0E29">
        <w:t xml:space="preserve">HBV DNA titer at the time of enrollment. </w:t>
      </w:r>
      <w:r w:rsidR="00737486" w:rsidRPr="009D0E29">
        <w:t>Two</w:t>
      </w:r>
      <w:r w:rsidRPr="009D0E29">
        <w:t xml:space="preserve"> opposite </w:t>
      </w:r>
      <w:r w:rsidR="00737486" w:rsidRPr="009D0E29">
        <w:t xml:space="preserve">conclusions have been made </w:t>
      </w:r>
      <w:r w:rsidRPr="009D0E29">
        <w:t xml:space="preserve">regarding the role of HBV DNA in HBsAg seroclearance. One </w:t>
      </w:r>
      <w:r w:rsidR="00737486" w:rsidRPr="009D0E29">
        <w:t xml:space="preserve">is </w:t>
      </w:r>
      <w:r w:rsidRPr="009D0E29">
        <w:t xml:space="preserve">that HBV DNA </w:t>
      </w:r>
      <w:r w:rsidR="00737486" w:rsidRPr="009D0E29">
        <w:t xml:space="preserve">is </w:t>
      </w:r>
      <w:r w:rsidRPr="009D0E29">
        <w:t>not a dependent factor for HBsAg-NC</w:t>
      </w:r>
      <w:r w:rsidRPr="009D0E29">
        <w:rPr>
          <w:vertAlign w:val="superscript"/>
        </w:rPr>
        <w:t>[6,19</w:t>
      </w:r>
      <w:r w:rsidR="00737486" w:rsidRPr="009D0E29">
        <w:rPr>
          <w:vertAlign w:val="superscript"/>
        </w:rPr>
        <w:t>]</w:t>
      </w:r>
      <w:r w:rsidR="00737486" w:rsidRPr="009D0E29">
        <w:t xml:space="preserve">, while the </w:t>
      </w:r>
      <w:r w:rsidRPr="009D0E29">
        <w:t xml:space="preserve">other </w:t>
      </w:r>
      <w:r w:rsidR="00BE2877" w:rsidRPr="009D0E29">
        <w:t xml:space="preserve">suggests </w:t>
      </w:r>
      <w:r w:rsidRPr="009D0E29">
        <w:t xml:space="preserve">that lower viral loads </w:t>
      </w:r>
      <w:r w:rsidR="00D53798">
        <w:t>are predictive</w:t>
      </w:r>
      <w:r w:rsidRPr="009D0E29">
        <w:t xml:space="preserve"> of HBsAg </w:t>
      </w:r>
      <w:r w:rsidR="00D53798">
        <w:t>seroclearance</w:t>
      </w:r>
      <w:r w:rsidRPr="009D0E29">
        <w:rPr>
          <w:vertAlign w:val="superscript"/>
        </w:rPr>
        <w:t>[24]</w:t>
      </w:r>
      <w:r w:rsidR="003B41C0" w:rsidRPr="009D0E29">
        <w:t>.</w:t>
      </w:r>
      <w:r w:rsidRPr="00D46607">
        <w:t xml:space="preserve"> In our study, </w:t>
      </w:r>
      <w:r w:rsidR="00846BB8" w:rsidRPr="00D46607">
        <w:t xml:space="preserve">the </w:t>
      </w:r>
      <w:r w:rsidRPr="009D0E29">
        <w:t xml:space="preserve">HBV DNA titer was associated with </w:t>
      </w:r>
      <w:r w:rsidR="00846BB8" w:rsidRPr="009D0E29">
        <w:t>the</w:t>
      </w:r>
      <w:r w:rsidRPr="009D0E29">
        <w:t xml:space="preserve"> relative period of time from </w:t>
      </w:r>
      <w:r w:rsidR="009D4F5E">
        <w:t xml:space="preserve">detection of </w:t>
      </w:r>
      <w:r w:rsidRPr="009D0E29">
        <w:t>viral activity to HBsAg seroclearance</w:t>
      </w:r>
      <w:r w:rsidR="00737486" w:rsidRPr="009D0E29">
        <w:t xml:space="preserve">, and this </w:t>
      </w:r>
      <w:r w:rsidRPr="009D0E29">
        <w:t xml:space="preserve">period was at least 1.5 times longer in </w:t>
      </w:r>
      <w:r w:rsidR="009219BC" w:rsidRPr="009D0E29">
        <w:t xml:space="preserve">the </w:t>
      </w:r>
      <w:r w:rsidRPr="009D0E29">
        <w:t xml:space="preserve">carriers with HBV DNA </w:t>
      </w:r>
      <w:r w:rsidR="00846BB8" w:rsidRPr="009D0E29">
        <w:t xml:space="preserve">levels </w:t>
      </w:r>
      <w:r w:rsidR="00440060">
        <w:rPr>
          <w:rFonts w:hint="eastAsia"/>
        </w:rPr>
        <w:sym w:font="Symbol" w:char="F0B3"/>
      </w:r>
      <w:r w:rsidR="00440060">
        <w:rPr>
          <w:rFonts w:hint="eastAsia"/>
          <w:lang w:eastAsia="zh-CN"/>
        </w:rPr>
        <w:t xml:space="preserve"> </w:t>
      </w:r>
      <w:r w:rsidRPr="009D0E29">
        <w:rPr>
          <w:rFonts w:hint="eastAsia"/>
        </w:rPr>
        <w:t>2</w:t>
      </w:r>
      <w:r w:rsidRPr="009D0E29">
        <w:t>000 IU/</w:t>
      </w:r>
      <w:r w:rsidR="00B43346" w:rsidRPr="009D0E29">
        <w:t xml:space="preserve">mL </w:t>
      </w:r>
      <w:r w:rsidRPr="009D0E29">
        <w:t xml:space="preserve">than in </w:t>
      </w:r>
      <w:r w:rsidR="008439CE" w:rsidRPr="009D0E29">
        <w:t xml:space="preserve">those </w:t>
      </w:r>
      <w:r w:rsidRPr="009D0E29">
        <w:t xml:space="preserve">with </w:t>
      </w:r>
      <w:r w:rsidR="00846BB8" w:rsidRPr="009D0E29">
        <w:t xml:space="preserve">levels </w:t>
      </w:r>
      <w:r w:rsidRPr="009D0E29">
        <w:t>&lt;</w:t>
      </w:r>
      <w:r w:rsidR="00440060">
        <w:rPr>
          <w:rFonts w:hint="eastAsia"/>
          <w:lang w:eastAsia="zh-CN"/>
        </w:rPr>
        <w:t xml:space="preserve"> </w:t>
      </w:r>
      <w:r w:rsidRPr="009D0E29">
        <w:t>20 IU/</w:t>
      </w:r>
      <w:r w:rsidR="00B43346" w:rsidRPr="009D0E29">
        <w:t>mL</w:t>
      </w:r>
      <w:r w:rsidRPr="009D0E29">
        <w:t xml:space="preserve">. However, HBeAg </w:t>
      </w:r>
      <w:r w:rsidR="009219BC" w:rsidRPr="009D0E29">
        <w:t xml:space="preserve">exhibited </w:t>
      </w:r>
      <w:r w:rsidR="00846BB8" w:rsidRPr="009D0E29">
        <w:t>this</w:t>
      </w:r>
      <w:r w:rsidRPr="009D0E29">
        <w:t xml:space="preserve"> effect only in the</w:t>
      </w:r>
      <w:r w:rsidR="00E01422" w:rsidRPr="009D0E29">
        <w:t xml:space="preserve"> 40 s</w:t>
      </w:r>
      <w:r w:rsidR="00737486" w:rsidRPr="009D0E29">
        <w:t xml:space="preserve"> and</w:t>
      </w:r>
      <w:r w:rsidR="00E01422" w:rsidRPr="009D0E29">
        <w:t xml:space="preserve"> 50 s</w:t>
      </w:r>
      <w:r w:rsidR="00846BB8" w:rsidRPr="009D0E29">
        <w:t xml:space="preserve"> age groups</w:t>
      </w:r>
      <w:r w:rsidRPr="009D0E29">
        <w:t xml:space="preserve">, indicating its age-dependent role in </w:t>
      </w:r>
      <w:r w:rsidR="00846BB8" w:rsidRPr="009D0E29">
        <w:t xml:space="preserve">predicting </w:t>
      </w:r>
      <w:r w:rsidRPr="009D0E29">
        <w:t xml:space="preserve">HBsAg loss, </w:t>
      </w:r>
      <w:r w:rsidR="00BE2877" w:rsidRPr="009D0E29">
        <w:t xml:space="preserve">in </w:t>
      </w:r>
      <w:r w:rsidR="009219BC" w:rsidRPr="009D0E29">
        <w:t>contrast</w:t>
      </w:r>
      <w:r w:rsidR="00BE2877" w:rsidRPr="009D0E29">
        <w:t xml:space="preserve"> with </w:t>
      </w:r>
      <w:r w:rsidR="00846BB8" w:rsidRPr="009D0E29">
        <w:t>the</w:t>
      </w:r>
      <w:r w:rsidRPr="009D0E29">
        <w:t xml:space="preserve"> HBV DNA</w:t>
      </w:r>
      <w:r w:rsidR="00737486" w:rsidRPr="009D0E29">
        <w:t xml:space="preserve"> titer</w:t>
      </w:r>
      <w:r w:rsidRPr="009D0E29">
        <w:t xml:space="preserve">. </w:t>
      </w:r>
    </w:p>
    <w:p w14:paraId="1CB750A6" w14:textId="0BC152B8" w:rsidR="008071B3" w:rsidRPr="009D0E29" w:rsidRDefault="008071B3" w:rsidP="00E70A1E">
      <w:pPr>
        <w:pStyle w:val="a"/>
        <w:wordWrap/>
        <w:spacing w:after="0"/>
      </w:pPr>
      <w:r w:rsidRPr="009D0E29">
        <w:t xml:space="preserve">The baseline HBsAg level </w:t>
      </w:r>
      <w:r w:rsidR="00737486" w:rsidRPr="009D0E29">
        <w:t>is</w:t>
      </w:r>
      <w:r w:rsidRPr="009D0E29">
        <w:t xml:space="preserve"> known to be a better predictor of HBsAg seroclearance than other factors</w:t>
      </w:r>
      <w:r w:rsidRPr="009D0E29">
        <w:rPr>
          <w:vertAlign w:val="superscript"/>
        </w:rPr>
        <w:t>[6,16,19,21,24-26]</w:t>
      </w:r>
      <w:r w:rsidR="003B41C0" w:rsidRPr="009D0E29">
        <w:t>.</w:t>
      </w:r>
      <w:r w:rsidRPr="009D0E29">
        <w:t xml:space="preserve"> </w:t>
      </w:r>
      <w:r w:rsidR="00571578" w:rsidRPr="009D0E29">
        <w:t>T</w:t>
      </w:r>
      <w:r w:rsidRPr="009D0E29">
        <w:t xml:space="preserve">his statement </w:t>
      </w:r>
      <w:r w:rsidR="00571578" w:rsidRPr="009D0E29">
        <w:t>applies</w:t>
      </w:r>
      <w:r w:rsidR="00FE6A80" w:rsidRPr="009D0E29">
        <w:t xml:space="preserve"> </w:t>
      </w:r>
      <w:r w:rsidR="00571578" w:rsidRPr="009D0E29">
        <w:t>to</w:t>
      </w:r>
      <w:r w:rsidRPr="009D0E29">
        <w:t xml:space="preserve"> inactive carrier, in </w:t>
      </w:r>
      <w:r w:rsidR="009219BC" w:rsidRPr="009D0E29">
        <w:t>whom</w:t>
      </w:r>
      <w:r w:rsidR="009219BC" w:rsidRPr="00D46607">
        <w:t xml:space="preserve"> </w:t>
      </w:r>
      <w:r w:rsidR="00846BB8" w:rsidRPr="00D46607">
        <w:t xml:space="preserve">a </w:t>
      </w:r>
      <w:r w:rsidRPr="009D0E29">
        <w:t xml:space="preserve">lower HBsAg </w:t>
      </w:r>
      <w:r w:rsidR="00846BB8" w:rsidRPr="009D0E29">
        <w:t xml:space="preserve">level </w:t>
      </w:r>
      <w:r w:rsidR="009219BC" w:rsidRPr="009D0E29">
        <w:t xml:space="preserve">is more predictive </w:t>
      </w:r>
      <w:r w:rsidRPr="009D0E29">
        <w:t xml:space="preserve">of HBsAg seroclearance. Reportedly, </w:t>
      </w:r>
      <w:r w:rsidR="00846BB8" w:rsidRPr="009D0E29">
        <w:t xml:space="preserve">the </w:t>
      </w:r>
      <w:r w:rsidRPr="009D0E29">
        <w:t xml:space="preserve">optimum cut-off baseline HBsAg </w:t>
      </w:r>
      <w:r w:rsidR="00BE2877" w:rsidRPr="009D0E29">
        <w:t>level</w:t>
      </w:r>
      <w:r w:rsidR="008439CE" w:rsidRPr="009D0E29">
        <w:t xml:space="preserve"> </w:t>
      </w:r>
      <w:r w:rsidR="009219BC" w:rsidRPr="009D0E29">
        <w:t xml:space="preserve">has </w:t>
      </w:r>
      <w:r w:rsidR="00846BB8" w:rsidRPr="009D0E29">
        <w:t>varie</w:t>
      </w:r>
      <w:r w:rsidR="009219BC" w:rsidRPr="009D0E29">
        <w:t>d</w:t>
      </w:r>
      <w:r w:rsidR="008439CE" w:rsidRPr="009D0E29">
        <w:t xml:space="preserve"> among</w:t>
      </w:r>
      <w:r w:rsidR="00FE6A80" w:rsidRPr="009D0E29">
        <w:t xml:space="preserve"> studies</w:t>
      </w:r>
      <w:r w:rsidRPr="009D0E29">
        <w:t xml:space="preserve">, </w:t>
      </w:r>
      <w:r w:rsidR="009219BC" w:rsidRPr="009D0E29">
        <w:t xml:space="preserve">for example, studies have reported levels of </w:t>
      </w:r>
      <w:r w:rsidRPr="009D0E29">
        <w:t>&lt;</w:t>
      </w:r>
      <w:r w:rsidR="00440060">
        <w:rPr>
          <w:rFonts w:hint="eastAsia"/>
          <w:lang w:eastAsia="zh-CN"/>
        </w:rPr>
        <w:t xml:space="preserve"> </w:t>
      </w:r>
      <w:r w:rsidRPr="009D0E29">
        <w:t>10 IU/</w:t>
      </w:r>
      <w:r w:rsidR="00B43346" w:rsidRPr="009D0E29">
        <w:t>mL</w:t>
      </w:r>
      <w:r w:rsidRPr="009D0E29">
        <w:rPr>
          <w:vertAlign w:val="superscript"/>
        </w:rPr>
        <w:t>[6,21]</w:t>
      </w:r>
      <w:r w:rsidR="003B41C0" w:rsidRPr="009D0E29">
        <w:t>,</w:t>
      </w:r>
      <w:r w:rsidRPr="009D0E29">
        <w:t xml:space="preserve"> &lt;</w:t>
      </w:r>
      <w:r w:rsidR="00440060">
        <w:rPr>
          <w:rFonts w:hint="eastAsia"/>
          <w:lang w:eastAsia="zh-CN"/>
        </w:rPr>
        <w:t xml:space="preserve"> </w:t>
      </w:r>
      <w:r w:rsidRPr="009D0E29">
        <w:t>100 IU/mL</w:t>
      </w:r>
      <w:r w:rsidRPr="009D0E29">
        <w:rPr>
          <w:vertAlign w:val="superscript"/>
        </w:rPr>
        <w:t>[19,24]</w:t>
      </w:r>
      <w:r w:rsidR="003B41C0" w:rsidRPr="009D0E29">
        <w:t>,</w:t>
      </w:r>
      <w:r w:rsidRPr="009D0E29">
        <w:t xml:space="preserve"> &lt;</w:t>
      </w:r>
      <w:r w:rsidR="00440060">
        <w:rPr>
          <w:rFonts w:hint="eastAsia"/>
          <w:lang w:eastAsia="zh-CN"/>
        </w:rPr>
        <w:t xml:space="preserve"> </w:t>
      </w:r>
      <w:r w:rsidRPr="009D0E29">
        <w:t>200 IU/mL</w:t>
      </w:r>
      <w:r w:rsidRPr="009D0E29">
        <w:rPr>
          <w:vertAlign w:val="superscript"/>
        </w:rPr>
        <w:t>[25,26]</w:t>
      </w:r>
      <w:r w:rsidR="003B41C0" w:rsidRPr="009D0E29">
        <w:t>,</w:t>
      </w:r>
      <w:r w:rsidRPr="009D0E29">
        <w:t xml:space="preserve"> and &lt;</w:t>
      </w:r>
      <w:r w:rsidR="00440060">
        <w:rPr>
          <w:rFonts w:hint="eastAsia"/>
          <w:lang w:eastAsia="zh-CN"/>
        </w:rPr>
        <w:t xml:space="preserve"> </w:t>
      </w:r>
      <w:r w:rsidRPr="009D0E29">
        <w:t>751 IU/</w:t>
      </w:r>
      <w:r w:rsidR="00B43346" w:rsidRPr="009D0E29">
        <w:t>mL</w:t>
      </w:r>
      <w:r w:rsidRPr="009D0E29">
        <w:rPr>
          <w:vertAlign w:val="superscript"/>
        </w:rPr>
        <w:t>[16]</w:t>
      </w:r>
      <w:r w:rsidR="003B41C0" w:rsidRPr="009D0E29">
        <w:t>.</w:t>
      </w:r>
      <w:r w:rsidRPr="009D0E29">
        <w:t xml:space="preserve"> In addition, it </w:t>
      </w:r>
      <w:r w:rsidR="00BE2877" w:rsidRPr="009D0E29">
        <w:t xml:space="preserve">has been </w:t>
      </w:r>
      <w:r w:rsidRPr="009D0E29">
        <w:t xml:space="preserve">reported that the </w:t>
      </w:r>
      <w:r w:rsidR="00571578" w:rsidRPr="009D0E29">
        <w:t xml:space="preserve">predictive capacity </w:t>
      </w:r>
      <w:r w:rsidRPr="009D0E29">
        <w:t xml:space="preserve">of </w:t>
      </w:r>
      <w:r w:rsidR="00FE6A80" w:rsidRPr="009D0E29">
        <w:t xml:space="preserve">the </w:t>
      </w:r>
      <w:r w:rsidRPr="00D46607">
        <w:t xml:space="preserve">HBsAg </w:t>
      </w:r>
      <w:r w:rsidR="00846BB8" w:rsidRPr="009D0E29">
        <w:t xml:space="preserve">level </w:t>
      </w:r>
      <w:r w:rsidR="00BE2877" w:rsidRPr="009D0E29">
        <w:t xml:space="preserve">can </w:t>
      </w:r>
      <w:r w:rsidRPr="009D0E29">
        <w:t xml:space="preserve">be improved by </w:t>
      </w:r>
      <w:r w:rsidR="009219BC" w:rsidRPr="009D0E29">
        <w:t xml:space="preserve">considering it in combination with </w:t>
      </w:r>
      <w:r w:rsidRPr="009D0E29">
        <w:t>other factors, such as</w:t>
      </w:r>
      <w:r w:rsidR="00846BB8" w:rsidRPr="009D0E29">
        <w:t xml:space="preserve"> </w:t>
      </w:r>
      <w:r w:rsidR="00BE2877" w:rsidRPr="009D0E29">
        <w:t xml:space="preserve">a </w:t>
      </w:r>
      <w:r w:rsidRPr="009D0E29">
        <w:t>normal platelet count</w:t>
      </w:r>
      <w:r w:rsidRPr="009D0E29">
        <w:rPr>
          <w:vertAlign w:val="superscript"/>
        </w:rPr>
        <w:t>[21]</w:t>
      </w:r>
      <w:r w:rsidR="003B41C0" w:rsidRPr="009D0E29">
        <w:t>,</w:t>
      </w:r>
      <w:r w:rsidRPr="009D0E29">
        <w:t xml:space="preserve"> old age</w:t>
      </w:r>
      <w:r w:rsidRPr="009D0E29">
        <w:rPr>
          <w:vertAlign w:val="superscript"/>
        </w:rPr>
        <w:t>[19]</w:t>
      </w:r>
      <w:r w:rsidR="003B41C0" w:rsidRPr="009D0E29">
        <w:t>,</w:t>
      </w:r>
      <w:r w:rsidRPr="009D0E29">
        <w:t xml:space="preserve"> </w:t>
      </w:r>
      <w:r w:rsidR="00BE2877" w:rsidRPr="009D0E29">
        <w:t xml:space="preserve">an </w:t>
      </w:r>
      <w:r w:rsidRPr="009D0E29">
        <w:t>undetectable HBV DNA</w:t>
      </w:r>
      <w:r w:rsidR="00846BB8" w:rsidRPr="009D0E29">
        <w:t xml:space="preserve"> level</w:t>
      </w:r>
      <w:r w:rsidRPr="009D0E29">
        <w:rPr>
          <w:vertAlign w:val="superscript"/>
        </w:rPr>
        <w:t>[24]</w:t>
      </w:r>
      <w:r w:rsidR="003B41C0" w:rsidRPr="009D0E29">
        <w:t>,</w:t>
      </w:r>
      <w:r w:rsidRPr="009D0E29">
        <w:t xml:space="preserve"> </w:t>
      </w:r>
      <w:r w:rsidR="00BE2877" w:rsidRPr="009D0E29">
        <w:t xml:space="preserve">the </w:t>
      </w:r>
      <w:r w:rsidRPr="009D0E29">
        <w:t>HBV DNA level at 12</w:t>
      </w:r>
      <w:r w:rsidR="009219BC" w:rsidRPr="009D0E29">
        <w:t xml:space="preserve"> </w:t>
      </w:r>
      <w:r w:rsidR="00187707">
        <w:rPr>
          <w:rFonts w:hint="eastAsia"/>
          <w:lang w:eastAsia="zh-CN"/>
        </w:rPr>
        <w:t>mo</w:t>
      </w:r>
      <w:r w:rsidRPr="009D0E29">
        <w:t xml:space="preserve"> after HBeAg seroconversion</w:t>
      </w:r>
      <w:r w:rsidRPr="009D0E29">
        <w:rPr>
          <w:vertAlign w:val="superscript"/>
        </w:rPr>
        <w:t>[27]</w:t>
      </w:r>
      <w:r w:rsidR="003B41C0" w:rsidRPr="009D0E29">
        <w:t>,</w:t>
      </w:r>
      <w:r w:rsidRPr="009D0E29">
        <w:t xml:space="preserve"> and </w:t>
      </w:r>
      <w:r w:rsidR="00846BB8" w:rsidRPr="009D0E29">
        <w:t xml:space="preserve">a </w:t>
      </w:r>
      <w:r w:rsidRPr="009D0E29">
        <w:t xml:space="preserve">yearly </w:t>
      </w:r>
      <w:r w:rsidR="00187707">
        <w:rPr>
          <w:rFonts w:hint="eastAsia"/>
        </w:rPr>
        <w:sym w:font="Symbol" w:char="F0B3"/>
      </w:r>
      <w:r w:rsidR="00440060">
        <w:rPr>
          <w:rFonts w:hint="eastAsia"/>
          <w:lang w:eastAsia="zh-CN"/>
        </w:rPr>
        <w:t xml:space="preserve"> </w:t>
      </w:r>
      <w:r w:rsidRPr="009D0E29">
        <w:rPr>
          <w:rFonts w:hint="eastAsia"/>
        </w:rPr>
        <w:t>0.5</w:t>
      </w:r>
      <w:r w:rsidRPr="009D0E29">
        <w:t xml:space="preserve"> log IU/mL reduction</w:t>
      </w:r>
      <w:r w:rsidRPr="009D0E29">
        <w:rPr>
          <w:vertAlign w:val="superscript"/>
        </w:rPr>
        <w:t>[25,26]</w:t>
      </w:r>
      <w:r w:rsidR="003B41C0" w:rsidRPr="009D0E29">
        <w:t>.</w:t>
      </w:r>
      <w:r w:rsidRPr="009D0E29">
        <w:t xml:space="preserve"> </w:t>
      </w:r>
    </w:p>
    <w:p w14:paraId="3F9DB90F" w14:textId="529842ED" w:rsidR="008071B3" w:rsidRPr="009D0E29" w:rsidRDefault="008071B3" w:rsidP="00E70A1E">
      <w:pPr>
        <w:pStyle w:val="a"/>
        <w:wordWrap/>
        <w:spacing w:after="0"/>
      </w:pPr>
      <w:r w:rsidRPr="009D0E29">
        <w:t>Because the quantitative HBsAg test is expensive, we analyzed the utility of the HBsAg-SCR</w:t>
      </w:r>
      <w:r w:rsidR="00FE6A80" w:rsidRPr="009D0E29">
        <w:t xml:space="preserve"> </w:t>
      </w:r>
      <w:r w:rsidRPr="009D0E29">
        <w:t xml:space="preserve">in </w:t>
      </w:r>
      <w:r w:rsidR="00846BB8" w:rsidRPr="009D0E29">
        <w:t>predicting</w:t>
      </w:r>
      <w:r w:rsidRPr="009D0E29">
        <w:t xml:space="preserve"> HBsAg seroclearance. A good linear correlation was </w:t>
      </w:r>
      <w:r w:rsidR="00846BB8" w:rsidRPr="009D0E29">
        <w:t xml:space="preserve">observed </w:t>
      </w:r>
      <w:r w:rsidRPr="009D0E29">
        <w:t xml:space="preserve">between </w:t>
      </w:r>
      <w:r w:rsidR="00FE6A80" w:rsidRPr="009D0E29">
        <w:t xml:space="preserve">an </w:t>
      </w:r>
      <w:r w:rsidRPr="009D0E29">
        <w:t>HBsAg-SCR &lt;</w:t>
      </w:r>
      <w:r w:rsidR="00440060">
        <w:rPr>
          <w:rFonts w:hint="eastAsia"/>
          <w:lang w:eastAsia="zh-CN"/>
        </w:rPr>
        <w:t xml:space="preserve"> </w:t>
      </w:r>
      <w:r w:rsidRPr="009D0E29">
        <w:t>1000 and HBsAg-QNT &lt;</w:t>
      </w:r>
      <w:r w:rsidR="00440060">
        <w:rPr>
          <w:rFonts w:hint="eastAsia"/>
          <w:lang w:eastAsia="zh-CN"/>
        </w:rPr>
        <w:t xml:space="preserve"> </w:t>
      </w:r>
      <w:r w:rsidRPr="009D0E29">
        <w:t xml:space="preserve">200 IU/mL. </w:t>
      </w:r>
      <w:r w:rsidR="009219BC" w:rsidRPr="009D0E29">
        <w:t xml:space="preserve">In addition, </w:t>
      </w:r>
      <w:r w:rsidRPr="009D0E29">
        <w:t xml:space="preserve">a prozone effect </w:t>
      </w:r>
      <w:r w:rsidR="00846BB8" w:rsidRPr="009D0E29">
        <w:t>on</w:t>
      </w:r>
      <w:r w:rsidRPr="009D0E29">
        <w:t xml:space="preserve"> the HBsAg-SCR caused by excess antigen</w:t>
      </w:r>
      <w:r w:rsidR="009219BC" w:rsidRPr="009D0E29">
        <w:t xml:space="preserve"> was observed</w:t>
      </w:r>
      <w:r w:rsidRPr="009D0E29">
        <w:t xml:space="preserve"> among </w:t>
      </w:r>
      <w:r w:rsidR="009219BC" w:rsidRPr="009D0E29">
        <w:t xml:space="preserve">the </w:t>
      </w:r>
      <w:r w:rsidRPr="009D0E29">
        <w:t xml:space="preserve">carriers </w:t>
      </w:r>
      <w:r w:rsidR="00846BB8" w:rsidRPr="009D0E29">
        <w:t xml:space="preserve">with </w:t>
      </w:r>
      <w:r w:rsidRPr="009D0E29">
        <w:t>excessive HBsAg titer</w:t>
      </w:r>
      <w:r w:rsidR="00846BB8" w:rsidRPr="009D0E29">
        <w:t>s of</w:t>
      </w:r>
      <w:r w:rsidRPr="009D0E29">
        <w:t xml:space="preserve"> &gt;</w:t>
      </w:r>
      <w:r w:rsidR="00440060">
        <w:rPr>
          <w:rFonts w:hint="eastAsia"/>
          <w:lang w:eastAsia="zh-CN"/>
        </w:rPr>
        <w:t xml:space="preserve"> </w:t>
      </w:r>
      <w:r w:rsidRPr="009D0E29">
        <w:t>10000 IU/mL, most of who</w:t>
      </w:r>
      <w:r w:rsidR="00846BB8" w:rsidRPr="009D0E29">
        <w:t>m</w:t>
      </w:r>
      <w:r w:rsidRPr="009D0E29">
        <w:t xml:space="preserve"> </w:t>
      </w:r>
      <w:r w:rsidR="009219BC" w:rsidRPr="009D0E29">
        <w:t xml:space="preserve">had </w:t>
      </w:r>
      <w:r w:rsidRPr="009D0E29">
        <w:t xml:space="preserve">a very high serum HBV DNA </w:t>
      </w:r>
      <w:r w:rsidR="00BE2877" w:rsidRPr="009D0E29">
        <w:t xml:space="preserve">level of </w:t>
      </w:r>
      <w:r w:rsidRPr="009D0E29">
        <w:t>&gt;</w:t>
      </w:r>
      <w:r w:rsidR="00440060">
        <w:rPr>
          <w:rFonts w:hint="eastAsia"/>
          <w:lang w:eastAsia="zh-CN"/>
        </w:rPr>
        <w:t xml:space="preserve"> </w:t>
      </w:r>
      <w:r w:rsidRPr="009D0E29">
        <w:t xml:space="preserve">7 log/mL. </w:t>
      </w:r>
      <w:r w:rsidR="00846BB8" w:rsidRPr="009D0E29">
        <w:t>With the exception of</w:t>
      </w:r>
      <w:r w:rsidRPr="009D0E29">
        <w:t xml:space="preserve"> those</w:t>
      </w:r>
      <w:r w:rsidR="00846BB8" w:rsidRPr="009D0E29">
        <w:t xml:space="preserve"> carriers</w:t>
      </w:r>
      <w:r w:rsidRPr="009D0E29">
        <w:t xml:space="preserve"> with highly replicative infection</w:t>
      </w:r>
      <w:r w:rsidR="00846BB8" w:rsidRPr="009D0E29">
        <w:t>s</w:t>
      </w:r>
      <w:r w:rsidRPr="009D0E29">
        <w:t xml:space="preserve">, the HBsAg-SCR was significantly reduced in the HBeAg-negative </w:t>
      </w:r>
      <w:r w:rsidR="00AF0D2D" w:rsidRPr="009D0E29">
        <w:t xml:space="preserve">carriers </w:t>
      </w:r>
      <w:r w:rsidR="00846BB8" w:rsidRPr="009D0E29">
        <w:t xml:space="preserve">compared </w:t>
      </w:r>
      <w:r w:rsidR="009219BC" w:rsidRPr="009D0E29">
        <w:t xml:space="preserve">with </w:t>
      </w:r>
      <w:r w:rsidR="00846BB8" w:rsidRPr="009D0E29">
        <w:t>the</w:t>
      </w:r>
      <w:r w:rsidRPr="009D0E29">
        <w:t xml:space="preserve"> HBeAg-positive</w:t>
      </w:r>
      <w:r w:rsidR="00846BB8" w:rsidRPr="009D0E29">
        <w:t xml:space="preserve"> </w:t>
      </w:r>
      <w:r w:rsidR="00AF0D2D" w:rsidRPr="009D0E29">
        <w:t xml:space="preserve">carriers. </w:t>
      </w:r>
      <w:r w:rsidR="00FE6A80" w:rsidRPr="009D0E29">
        <w:t xml:space="preserve">Moreover, the </w:t>
      </w:r>
      <w:r w:rsidRPr="009D0E29">
        <w:t xml:space="preserve">period of time from a given viral state to HBsAg loss tended to be shorter, </w:t>
      </w:r>
      <w:r w:rsidR="00FE6A80" w:rsidRPr="009D0E29">
        <w:t>as shown i</w:t>
      </w:r>
      <w:r w:rsidR="00FE6A80" w:rsidRPr="00D46607">
        <w:t>n</w:t>
      </w:r>
      <w:r w:rsidRPr="00D46607">
        <w:t xml:space="preserve"> </w:t>
      </w:r>
      <w:r w:rsidR="00FE6A80" w:rsidRPr="009D0E29">
        <w:t>Figure</w:t>
      </w:r>
      <w:r w:rsidRPr="009D0E29">
        <w:t xml:space="preserve"> 2. A gradual decrease in the repeated tests during </w:t>
      </w:r>
      <w:r w:rsidRPr="009D0E29">
        <w:lastRenderedPageBreak/>
        <w:t xml:space="preserve">follow-up usually </w:t>
      </w:r>
      <w:r w:rsidR="00846BB8" w:rsidRPr="009D0E29">
        <w:t>indicated</w:t>
      </w:r>
      <w:r w:rsidRPr="009D0E29">
        <w:t xml:space="preserve"> HBsAg loss within five years. These </w:t>
      </w:r>
      <w:r w:rsidR="00846BB8" w:rsidRPr="009D0E29">
        <w:t xml:space="preserve">results </w:t>
      </w:r>
      <w:r w:rsidRPr="009D0E29">
        <w:t xml:space="preserve">suggest that sequential HBsAg-SCR data </w:t>
      </w:r>
      <w:r w:rsidR="00846BB8" w:rsidRPr="009D0E29">
        <w:t>are</w:t>
      </w:r>
      <w:r w:rsidRPr="009D0E29">
        <w:t xml:space="preserve"> very useful for predicti</w:t>
      </w:r>
      <w:r w:rsidR="00846BB8" w:rsidRPr="009D0E29">
        <w:t>ng</w:t>
      </w:r>
      <w:r w:rsidRPr="009D0E29">
        <w:t xml:space="preserve"> HBsAg seroclearance.   </w:t>
      </w:r>
    </w:p>
    <w:p w14:paraId="20D15C9A" w14:textId="614663F8" w:rsidR="008071B3" w:rsidRPr="009D0E29" w:rsidRDefault="00FD24B0" w:rsidP="00E70A1E">
      <w:pPr>
        <w:pStyle w:val="a"/>
        <w:wordWrap/>
        <w:spacing w:after="0"/>
      </w:pPr>
      <w:r w:rsidRPr="009D0E29">
        <w:t>T</w:t>
      </w:r>
      <w:r w:rsidR="008071B3" w:rsidRPr="009D0E29">
        <w:t>he rate of LC</w:t>
      </w:r>
      <w:r w:rsidRPr="009D0E29">
        <w:t xml:space="preserve"> </w:t>
      </w:r>
      <w:r w:rsidR="008071B3" w:rsidRPr="009D0E29">
        <w:t>at entry</w:t>
      </w:r>
      <w:r w:rsidRPr="009D0E29">
        <w:t xml:space="preserve"> of</w:t>
      </w:r>
      <w:r w:rsidR="008071B3" w:rsidRPr="009D0E29">
        <w:t xml:space="preserve"> 31.1%</w:t>
      </w:r>
      <w:r w:rsidRPr="009D0E29">
        <w:t xml:space="preserve"> for the carriers with HBsAg seroclearance is </w:t>
      </w:r>
      <w:r w:rsidR="008071B3" w:rsidRPr="009D0E29">
        <w:t xml:space="preserve">similar to </w:t>
      </w:r>
      <w:r w:rsidR="00FE6A80" w:rsidRPr="009D0E29">
        <w:t xml:space="preserve">that reported </w:t>
      </w:r>
      <w:r w:rsidR="008071B3" w:rsidRPr="009D0E29">
        <w:t>previous</w:t>
      </w:r>
      <w:r w:rsidR="00FE6A80" w:rsidRPr="009D0E29">
        <w:t>ly</w:t>
      </w:r>
      <w:r w:rsidR="008071B3" w:rsidRPr="009D0E29">
        <w:rPr>
          <w:vertAlign w:val="superscript"/>
        </w:rPr>
        <w:t>[14]</w:t>
      </w:r>
      <w:r w:rsidR="003B41C0" w:rsidRPr="009D0E29">
        <w:t>.</w:t>
      </w:r>
      <w:r w:rsidR="008071B3" w:rsidRPr="009D0E29">
        <w:t xml:space="preserve"> These</w:t>
      </w:r>
      <w:r w:rsidR="00846BB8" w:rsidRPr="009D0E29">
        <w:t xml:space="preserve"> results</w:t>
      </w:r>
      <w:r w:rsidR="008071B3" w:rsidRPr="009D0E29">
        <w:t xml:space="preserve"> indicate that LC </w:t>
      </w:r>
      <w:r w:rsidR="002C671B" w:rsidRPr="009D0E29">
        <w:t xml:space="preserve">is present in </w:t>
      </w:r>
      <w:r w:rsidR="008071B3" w:rsidRPr="009D0E29">
        <w:t xml:space="preserve">an appreciably high rate of carriers with HBsAg seroclearance. On the other hand, significant fibrosis </w:t>
      </w:r>
      <w:r w:rsidR="00E33B36" w:rsidRPr="009D0E29">
        <w:t xml:space="preserve">has been </w:t>
      </w:r>
      <w:r w:rsidR="00846BB8" w:rsidRPr="009D0E29">
        <w:t>reported</w:t>
      </w:r>
      <w:r w:rsidR="00E33B36" w:rsidRPr="009D0E29">
        <w:t xml:space="preserve"> to be</w:t>
      </w:r>
      <w:r w:rsidR="00846BB8" w:rsidRPr="009D0E29">
        <w:t xml:space="preserve"> </w:t>
      </w:r>
      <w:r w:rsidR="008071B3" w:rsidRPr="009D0E29">
        <w:t xml:space="preserve">more prevalent in patients with HBsAg seroclearance </w:t>
      </w:r>
      <w:r w:rsidR="00E33B36" w:rsidRPr="009D0E29">
        <w:t xml:space="preserve">who are </w:t>
      </w:r>
      <w:r w:rsidR="008071B3" w:rsidRPr="009D0E29">
        <w:t>&gt;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 xml:space="preserve">50 years </w:t>
      </w:r>
      <w:r w:rsidR="00E33B36" w:rsidRPr="009D0E29">
        <w:t xml:space="preserve">of age compared with those who are </w:t>
      </w:r>
      <w:r w:rsidR="008071B3" w:rsidRPr="009D0E29">
        <w:t>&lt;</w:t>
      </w:r>
      <w:r w:rsidR="00440060">
        <w:rPr>
          <w:rFonts w:hint="eastAsia"/>
          <w:lang w:eastAsia="zh-CN"/>
        </w:rPr>
        <w:t xml:space="preserve"> </w:t>
      </w:r>
      <w:r w:rsidR="008071B3" w:rsidRPr="009D0E29">
        <w:t>50</w:t>
      </w:r>
      <w:r w:rsidR="00846BB8" w:rsidRPr="009D0E29">
        <w:t xml:space="preserve"> years</w:t>
      </w:r>
      <w:r w:rsidR="00440060">
        <w:t xml:space="preserve"> of age</w:t>
      </w:r>
      <w:r w:rsidR="008071B3" w:rsidRPr="009D0E29">
        <w:rPr>
          <w:vertAlign w:val="superscript"/>
        </w:rPr>
        <w:t>[19,28]</w:t>
      </w:r>
      <w:r w:rsidR="003B41C0" w:rsidRPr="009D0E29">
        <w:t>.</w:t>
      </w:r>
      <w:r w:rsidR="008071B3" w:rsidRPr="009D0E29">
        <w:t xml:space="preserve"> In our study, the prevalence of LC was </w:t>
      </w:r>
      <w:r w:rsidR="00846BB8" w:rsidRPr="009D0E29">
        <w:t>significantly increased</w:t>
      </w:r>
      <w:r w:rsidR="008071B3" w:rsidRPr="009D0E29">
        <w:t xml:space="preserve"> among </w:t>
      </w:r>
      <w:r w:rsidR="003B3771" w:rsidRPr="009D0E29">
        <w:t xml:space="preserve">the </w:t>
      </w:r>
      <w:r w:rsidR="008071B3" w:rsidRPr="009D0E29">
        <w:t>male</w:t>
      </w:r>
      <w:r w:rsidR="00FE6A80" w:rsidRPr="009D0E29">
        <w:t>s</w:t>
      </w:r>
      <w:r w:rsidR="008071B3" w:rsidRPr="009D0E29">
        <w:t xml:space="preserve"> </w:t>
      </w:r>
      <w:r w:rsidR="003B3771" w:rsidRPr="009D0E29">
        <w:t xml:space="preserve">who were </w:t>
      </w:r>
      <w:r w:rsidR="00846BB8" w:rsidRPr="009D0E29">
        <w:t>approximately</w:t>
      </w:r>
      <w:r w:rsidR="008071B3" w:rsidRPr="009D0E29">
        <w:t xml:space="preserve"> forty</w:t>
      </w:r>
      <w:r w:rsidR="00846BB8" w:rsidRPr="009D0E29">
        <w:t xml:space="preserve"> years of age</w:t>
      </w:r>
      <w:r w:rsidR="008071B3" w:rsidRPr="009D0E29">
        <w:t xml:space="preserve">. In addition, </w:t>
      </w:r>
      <w:r w:rsidR="003B3771" w:rsidRPr="009D0E29">
        <w:t xml:space="preserve">the </w:t>
      </w:r>
      <w:r w:rsidR="008071B3" w:rsidRPr="009D0E29">
        <w:t xml:space="preserve">carriers </w:t>
      </w:r>
      <w:r w:rsidR="003B3771" w:rsidRPr="009D0E29">
        <w:t xml:space="preserve">in whom </w:t>
      </w:r>
      <w:r w:rsidR="008071B3" w:rsidRPr="009D0E29">
        <w:t>LC/CLD</w:t>
      </w:r>
      <w:r w:rsidR="00FE6A80" w:rsidRPr="009D0E29">
        <w:t xml:space="preserve"> </w:t>
      </w:r>
      <w:r w:rsidR="003B3771" w:rsidRPr="009D0E29">
        <w:t xml:space="preserve">was detected </w:t>
      </w:r>
      <w:r w:rsidR="00FE6A80" w:rsidRPr="009D0E29">
        <w:t>on</w:t>
      </w:r>
      <w:r w:rsidR="008071B3" w:rsidRPr="009D0E29">
        <w:t xml:space="preserve"> US </w:t>
      </w:r>
      <w:r w:rsidR="002C671B" w:rsidRPr="009D0E29">
        <w:t xml:space="preserve">exhibited </w:t>
      </w:r>
      <w:r w:rsidR="00846BB8" w:rsidRPr="009D0E29">
        <w:t xml:space="preserve">a </w:t>
      </w:r>
      <w:r w:rsidR="008071B3" w:rsidRPr="009D0E29">
        <w:t xml:space="preserve">longer </w:t>
      </w:r>
      <w:r w:rsidR="00846BB8" w:rsidRPr="009D0E29">
        <w:t xml:space="preserve">time interval </w:t>
      </w:r>
      <w:r w:rsidR="008071B3" w:rsidRPr="009D0E29">
        <w:t xml:space="preserve">from entry to HBsAg seroclearance than </w:t>
      </w:r>
      <w:r w:rsidR="003B3771" w:rsidRPr="009D0E29">
        <w:t xml:space="preserve">those </w:t>
      </w:r>
      <w:r w:rsidR="008071B3" w:rsidRPr="009D0E29">
        <w:t xml:space="preserve">with </w:t>
      </w:r>
      <w:r w:rsidR="00846BB8" w:rsidRPr="009D0E29">
        <w:t xml:space="preserve">normal </w:t>
      </w:r>
      <w:r w:rsidR="008071B3" w:rsidRPr="009D0E29">
        <w:t>US</w:t>
      </w:r>
      <w:r w:rsidR="00FE6A80" w:rsidRPr="009D0E29">
        <w:t xml:space="preserve"> results</w:t>
      </w:r>
      <w:r w:rsidR="008071B3" w:rsidRPr="009D0E29">
        <w:t xml:space="preserve">. These </w:t>
      </w:r>
      <w:r w:rsidR="00846BB8" w:rsidRPr="009D0E29">
        <w:t xml:space="preserve">results </w:t>
      </w:r>
      <w:r w:rsidR="008071B3" w:rsidRPr="009D0E29">
        <w:t xml:space="preserve">suggest that the </w:t>
      </w:r>
      <w:r w:rsidR="00846BB8" w:rsidRPr="009D0E29">
        <w:t>cor</w:t>
      </w:r>
      <w:r w:rsidR="008071B3" w:rsidRPr="009D0E29">
        <w:t xml:space="preserve">relation </w:t>
      </w:r>
      <w:r w:rsidR="00846BB8" w:rsidRPr="009D0E29">
        <w:t>between</w:t>
      </w:r>
      <w:r w:rsidR="008071B3" w:rsidRPr="009D0E29">
        <w:t xml:space="preserve"> age </w:t>
      </w:r>
      <w:r w:rsidR="00846BB8" w:rsidRPr="009D0E29">
        <w:t>and</w:t>
      </w:r>
      <w:r w:rsidR="008071B3" w:rsidRPr="009D0E29">
        <w:t xml:space="preserve"> HBsAg loss is meaningful when </w:t>
      </w:r>
      <w:r w:rsidR="00846BB8" w:rsidRPr="009D0E29">
        <w:t xml:space="preserve">it is </w:t>
      </w:r>
      <w:r w:rsidR="008071B3" w:rsidRPr="009D0E29">
        <w:t xml:space="preserve">considered together with gender and LC. </w:t>
      </w:r>
      <w:r w:rsidR="00FE6A80" w:rsidRPr="009D0E29">
        <w:t>In addition,</w:t>
      </w:r>
      <w:r w:rsidR="008071B3" w:rsidRPr="009D0E29">
        <w:t xml:space="preserve"> the frequency of HBsAg loss was higher </w:t>
      </w:r>
      <w:r w:rsidR="003B6942" w:rsidRPr="009D0E29">
        <w:t xml:space="preserve">in the carriers over </w:t>
      </w:r>
      <w:r w:rsidR="008071B3" w:rsidRPr="009D0E29">
        <w:t>the age</w:t>
      </w:r>
      <w:r w:rsidR="003B6942" w:rsidRPr="009D0E29">
        <w:t xml:space="preserve"> of</w:t>
      </w:r>
      <w:r w:rsidR="008071B3" w:rsidRPr="009D0E29">
        <w:t xml:space="preserve"> 40 than </w:t>
      </w:r>
      <w:r w:rsidR="00846BB8" w:rsidRPr="009D0E29">
        <w:t xml:space="preserve">in </w:t>
      </w:r>
      <w:r w:rsidR="008071B3" w:rsidRPr="009D0E29">
        <w:t>the younger carriers</w:t>
      </w:r>
      <w:r w:rsidR="00FE6A80" w:rsidRPr="009D0E29">
        <w:t xml:space="preserve">, and this </w:t>
      </w:r>
      <w:r w:rsidR="00846BB8" w:rsidRPr="009D0E29">
        <w:t xml:space="preserve">trend </w:t>
      </w:r>
      <w:r w:rsidR="003B6942" w:rsidRPr="009D0E29">
        <w:t xml:space="preserve">is </w:t>
      </w:r>
      <w:r w:rsidR="008071B3" w:rsidRPr="009D0E29">
        <w:t xml:space="preserve">similar to </w:t>
      </w:r>
      <w:r w:rsidR="00846BB8" w:rsidRPr="009D0E29">
        <w:t>trends</w:t>
      </w:r>
      <w:r w:rsidR="00FE6A80" w:rsidRPr="009D0E29">
        <w:t xml:space="preserve"> reported</w:t>
      </w:r>
      <w:r w:rsidR="00846BB8" w:rsidRPr="009D0E29">
        <w:t xml:space="preserve"> in </w:t>
      </w:r>
      <w:r w:rsidR="008071B3" w:rsidRPr="009D0E29">
        <w:t>Taiwan</w:t>
      </w:r>
      <w:r w:rsidR="008071B3" w:rsidRPr="009D0E29">
        <w:rPr>
          <w:vertAlign w:val="superscript"/>
        </w:rPr>
        <w:t>[18]</w:t>
      </w:r>
      <w:r w:rsidR="003B41C0" w:rsidRPr="009D0E29">
        <w:t>,</w:t>
      </w:r>
      <w:r w:rsidR="008071B3" w:rsidRPr="009D0E29">
        <w:t xml:space="preserve"> Japan</w:t>
      </w:r>
      <w:r w:rsidR="008071B3" w:rsidRPr="009D0E29">
        <w:rPr>
          <w:vertAlign w:val="superscript"/>
        </w:rPr>
        <w:t>[20]</w:t>
      </w:r>
      <w:r w:rsidR="003B41C0" w:rsidRPr="009D0E29">
        <w:t>,</w:t>
      </w:r>
      <w:r w:rsidR="008071B3" w:rsidRPr="009D0E29">
        <w:t xml:space="preserve"> and New</w:t>
      </w:r>
      <w:r w:rsidR="00846BB8" w:rsidRPr="009D0E29">
        <w:t xml:space="preserve"> </w:t>
      </w:r>
      <w:r w:rsidR="008071B3" w:rsidRPr="009D0E29">
        <w:t>Zealand</w:t>
      </w:r>
      <w:r w:rsidR="008071B3" w:rsidRPr="009D0E29">
        <w:rPr>
          <w:vertAlign w:val="superscript"/>
        </w:rPr>
        <w:t>[29]</w:t>
      </w:r>
      <w:r w:rsidR="003B41C0" w:rsidRPr="009D0E29">
        <w:t>.</w:t>
      </w:r>
      <w:r w:rsidR="008071B3" w:rsidRPr="009D0E29">
        <w:t xml:space="preserve"> These </w:t>
      </w:r>
      <w:r w:rsidR="00846BB8" w:rsidRPr="009D0E29">
        <w:t xml:space="preserve">results </w:t>
      </w:r>
      <w:r w:rsidR="008071B3" w:rsidRPr="009D0E29">
        <w:t xml:space="preserve">might be </w:t>
      </w:r>
      <w:r w:rsidR="00FE6A80" w:rsidRPr="009D0E29">
        <w:t>associated with</w:t>
      </w:r>
      <w:r w:rsidR="008071B3" w:rsidRPr="009D0E29">
        <w:t xml:space="preserve"> </w:t>
      </w:r>
      <w:r w:rsidR="003B6942" w:rsidRPr="009D0E29">
        <w:t xml:space="preserve">a </w:t>
      </w:r>
      <w:r w:rsidR="008071B3" w:rsidRPr="009D0E29">
        <w:t>high rate of HBsAg seroclearance during long</w:t>
      </w:r>
      <w:r w:rsidR="00846BB8" w:rsidRPr="009D0E29">
        <w:t>-</w:t>
      </w:r>
      <w:r w:rsidR="008071B3" w:rsidRPr="009D0E29">
        <w:t>term follow-up, as reported in Chu</w:t>
      </w:r>
      <w:r w:rsidR="003B41C0" w:rsidRPr="009D0E29">
        <w:t xml:space="preserve"> and Liaw</w:t>
      </w:r>
      <w:r w:rsidR="008071B3" w:rsidRPr="009D0E29">
        <w:t>’s study</w:t>
      </w:r>
      <w:r w:rsidR="008071B3" w:rsidRPr="009D0E29">
        <w:rPr>
          <w:vertAlign w:val="superscript"/>
        </w:rPr>
        <w:t>[18]</w:t>
      </w:r>
      <w:r w:rsidR="003B41C0" w:rsidRPr="009D0E29">
        <w:t>.</w:t>
      </w:r>
      <w:r w:rsidR="008071B3" w:rsidRPr="009D0E29">
        <w:t xml:space="preserve"> </w:t>
      </w:r>
    </w:p>
    <w:p w14:paraId="1ADA45DB" w14:textId="1F129B4D" w:rsidR="008071B3" w:rsidRPr="009D0E29" w:rsidRDefault="003B6942" w:rsidP="00E70A1E">
      <w:pPr>
        <w:pStyle w:val="a"/>
        <w:wordWrap/>
        <w:spacing w:after="0"/>
      </w:pPr>
      <w:r w:rsidRPr="009D0E29">
        <w:t>Inactive carriers generally have a good</w:t>
      </w:r>
      <w:r w:rsidR="008071B3" w:rsidRPr="009D0E29">
        <w:t xml:space="preserve"> prognosis. </w:t>
      </w:r>
      <w:r w:rsidR="00FE6A80" w:rsidRPr="009D0E29">
        <w:t>Indeed, n</w:t>
      </w:r>
      <w:r w:rsidR="00846BB8" w:rsidRPr="009D0E29">
        <w:t>one of the patients developed</w:t>
      </w:r>
      <w:r w:rsidR="008071B3" w:rsidRPr="009D0E29">
        <w:t xml:space="preserve"> HCC following HBsAg loss (median follow-up </w:t>
      </w:r>
      <w:r w:rsidRPr="009D0E29">
        <w:t xml:space="preserve">of </w:t>
      </w:r>
      <w:r w:rsidR="008071B3" w:rsidRPr="009D0E29">
        <w:t xml:space="preserve">72 </w:t>
      </w:r>
      <w:r w:rsidR="00187707">
        <w:rPr>
          <w:rFonts w:hint="eastAsia"/>
          <w:lang w:eastAsia="zh-CN"/>
        </w:rPr>
        <w:t>mo</w:t>
      </w:r>
      <w:r w:rsidR="008071B3" w:rsidRPr="009D0E29">
        <w:t xml:space="preserve">) in </w:t>
      </w:r>
      <w:r w:rsidRPr="009D0E29">
        <w:t xml:space="preserve">a </w:t>
      </w:r>
      <w:r w:rsidR="008071B3" w:rsidRPr="009D0E29">
        <w:t>community study</w:t>
      </w:r>
      <w:r w:rsidRPr="009D0E29">
        <w:t xml:space="preserve"> conducted</w:t>
      </w:r>
      <w:r w:rsidR="008071B3" w:rsidRPr="009D0E29">
        <w:t xml:space="preserve"> </w:t>
      </w:r>
      <w:r w:rsidR="00846BB8" w:rsidRPr="009D0E29">
        <w:t>in</w:t>
      </w:r>
      <w:r w:rsidR="008071B3" w:rsidRPr="009D0E29">
        <w:t xml:space="preserve"> </w:t>
      </w:r>
      <w:r w:rsidR="002C671B" w:rsidRPr="009D0E29">
        <w:t xml:space="preserve">Kawerau, </w:t>
      </w:r>
      <w:r w:rsidR="008071B3" w:rsidRPr="009D0E29">
        <w:t>New</w:t>
      </w:r>
      <w:r w:rsidR="00FE6A80" w:rsidRPr="009D0E29">
        <w:t xml:space="preserve"> </w:t>
      </w:r>
      <w:r w:rsidR="008071B3" w:rsidRPr="009D0E29">
        <w:t>Zealand</w:t>
      </w:r>
      <w:r w:rsidR="008071B3" w:rsidRPr="009D0E29">
        <w:rPr>
          <w:vertAlign w:val="superscript"/>
        </w:rPr>
        <w:t>[19]</w:t>
      </w:r>
      <w:r w:rsidR="002C671B" w:rsidRPr="009D0E29">
        <w:t xml:space="preserve">, </w:t>
      </w:r>
      <w:r w:rsidRPr="009D0E29">
        <w:t xml:space="preserve">or </w:t>
      </w:r>
      <w:r w:rsidR="00846BB8" w:rsidRPr="009D0E29">
        <w:t xml:space="preserve">in </w:t>
      </w:r>
      <w:r w:rsidR="008071B3" w:rsidRPr="009D0E29">
        <w:t xml:space="preserve">a study </w:t>
      </w:r>
      <w:r w:rsidR="00846BB8" w:rsidRPr="009D0E29">
        <w:t>of</w:t>
      </w:r>
      <w:r w:rsidR="008071B3" w:rsidRPr="009D0E29">
        <w:t xml:space="preserve"> </w:t>
      </w:r>
      <w:r w:rsidR="00FE6A80" w:rsidRPr="009D0E29">
        <w:t>Caucasian</w:t>
      </w:r>
      <w:r w:rsidR="00846BB8" w:rsidRPr="009D0E29">
        <w:t>s</w:t>
      </w:r>
      <w:r w:rsidR="008071B3" w:rsidRPr="009D0E29">
        <w:rPr>
          <w:vertAlign w:val="superscript"/>
        </w:rPr>
        <w:t>[5]</w:t>
      </w:r>
      <w:r w:rsidR="003B41C0" w:rsidRPr="009D0E29">
        <w:t>.</w:t>
      </w:r>
      <w:r w:rsidR="008071B3" w:rsidRPr="009D0E29">
        <w:t xml:space="preserve"> </w:t>
      </w:r>
      <w:r w:rsidR="00846BB8" w:rsidRPr="009D0E29">
        <w:t>In contrast</w:t>
      </w:r>
      <w:r w:rsidR="008071B3" w:rsidRPr="009D0E29">
        <w:t xml:space="preserve">, in </w:t>
      </w:r>
      <w:r w:rsidRPr="009D0E29">
        <w:t xml:space="preserve">studies performed in </w:t>
      </w:r>
      <w:r w:rsidR="008071B3" w:rsidRPr="009D0E29">
        <w:t xml:space="preserve">Hong Kong and </w:t>
      </w:r>
      <w:r w:rsidR="00846BB8" w:rsidRPr="009D0E29">
        <w:t xml:space="preserve">the </w:t>
      </w:r>
      <w:r w:rsidR="00187707" w:rsidRPr="00187707">
        <w:t>United States</w:t>
      </w:r>
      <w:r w:rsidR="008071B3" w:rsidRPr="009D0E29">
        <w:t>, 1.4</w:t>
      </w:r>
      <w:r w:rsidR="00187707">
        <w:rPr>
          <w:rFonts w:hint="eastAsia"/>
          <w:lang w:eastAsia="zh-CN"/>
        </w:rPr>
        <w:t>%</w:t>
      </w:r>
      <w:r w:rsidR="008071B3" w:rsidRPr="009D0E29">
        <w:t xml:space="preserve">-2.4% </w:t>
      </w:r>
      <w:r w:rsidR="00846BB8" w:rsidRPr="009D0E29">
        <w:t xml:space="preserve">of </w:t>
      </w:r>
      <w:r w:rsidRPr="009D0E29">
        <w:t xml:space="preserve">the </w:t>
      </w:r>
      <w:r w:rsidR="00846BB8" w:rsidRPr="009D0E29">
        <w:t xml:space="preserve">patients </w:t>
      </w:r>
      <w:r w:rsidR="008071B3" w:rsidRPr="009D0E29">
        <w:t>developed HCC after HBsAg seroclearance</w:t>
      </w:r>
      <w:r w:rsidR="008071B3" w:rsidRPr="009D0E29">
        <w:rPr>
          <w:vertAlign w:val="superscript"/>
        </w:rPr>
        <w:t>[7,14,28]</w:t>
      </w:r>
      <w:r w:rsidR="008071B3" w:rsidRPr="009D0E29">
        <w:t xml:space="preserve">. In our study, </w:t>
      </w:r>
      <w:r w:rsidR="00846BB8" w:rsidRPr="009D0E29">
        <w:t xml:space="preserve">4.82% of </w:t>
      </w:r>
      <w:r w:rsidRPr="009D0E29">
        <w:t xml:space="preserve">the </w:t>
      </w:r>
      <w:r w:rsidR="00846BB8" w:rsidRPr="009D0E29">
        <w:t xml:space="preserve">carriers with HBsAg seroclearance developed </w:t>
      </w:r>
      <w:r w:rsidR="008071B3" w:rsidRPr="009D0E29">
        <w:t xml:space="preserve">HCC </w:t>
      </w:r>
      <w:r w:rsidR="00846BB8" w:rsidRPr="009D0E29">
        <w:t>after</w:t>
      </w:r>
      <w:r w:rsidR="008071B3" w:rsidRPr="009D0E29">
        <w:t xml:space="preserve"> HBsAg loss</w:t>
      </w:r>
      <w:r w:rsidR="00FE6A80" w:rsidRPr="009D0E29">
        <w:t xml:space="preserve">, indicating that </w:t>
      </w:r>
      <w:r w:rsidR="008071B3" w:rsidRPr="009D0E29">
        <w:t xml:space="preserve">HBsAg seroclearance does not </w:t>
      </w:r>
      <w:r w:rsidR="00FE6A80" w:rsidRPr="009D0E29">
        <w:t>guarantee</w:t>
      </w:r>
      <w:r w:rsidR="00846BB8" w:rsidRPr="009D0E29">
        <w:t xml:space="preserve"> patient </w:t>
      </w:r>
      <w:r w:rsidR="008071B3" w:rsidRPr="009D0E29">
        <w:t>safe</w:t>
      </w:r>
      <w:r w:rsidR="00FE6A80" w:rsidRPr="009D0E29">
        <w:t>ty</w:t>
      </w:r>
      <w:r w:rsidR="002121E2">
        <w:t xml:space="preserve"> out of HCC</w:t>
      </w:r>
      <w:r w:rsidR="008071B3" w:rsidRPr="009D0E29">
        <w:t xml:space="preserve">. </w:t>
      </w:r>
    </w:p>
    <w:p w14:paraId="42B6A818" w14:textId="1F2AFD59" w:rsidR="008071B3" w:rsidRPr="009D0E29" w:rsidRDefault="008071B3" w:rsidP="00E70A1E">
      <w:pPr>
        <w:pStyle w:val="a"/>
        <w:wordWrap/>
        <w:spacing w:after="0"/>
      </w:pPr>
      <w:r w:rsidRPr="009D0E29">
        <w:t xml:space="preserve">In one study, HBsAg seroclearance </w:t>
      </w:r>
      <w:r w:rsidR="003B6942" w:rsidRPr="009D0E29">
        <w:t xml:space="preserve">in individuals </w:t>
      </w:r>
      <w:r w:rsidRPr="009D0E29">
        <w:t>&lt;</w:t>
      </w:r>
      <w:r w:rsidR="00440060">
        <w:rPr>
          <w:rFonts w:hint="eastAsia"/>
          <w:lang w:eastAsia="zh-CN"/>
        </w:rPr>
        <w:t xml:space="preserve"> </w:t>
      </w:r>
      <w:r w:rsidRPr="009D0E29">
        <w:t>50 years</w:t>
      </w:r>
      <w:r w:rsidR="003B6942" w:rsidRPr="009D0E29">
        <w:t xml:space="preserve"> of age</w:t>
      </w:r>
      <w:r w:rsidRPr="009D0E29">
        <w:t xml:space="preserve"> </w:t>
      </w:r>
      <w:r w:rsidR="003B6942" w:rsidRPr="009D0E29">
        <w:t xml:space="preserve">has been shown to be </w:t>
      </w:r>
      <w:r w:rsidRPr="009D0E29">
        <w:t xml:space="preserve">associated with a lower risk </w:t>
      </w:r>
      <w:r w:rsidR="00846BB8" w:rsidRPr="009D0E29">
        <w:t xml:space="preserve">of </w:t>
      </w:r>
      <w:r w:rsidRPr="009D0E29">
        <w:t>the development of HCC</w:t>
      </w:r>
      <w:r w:rsidRPr="009D0E29">
        <w:rPr>
          <w:vertAlign w:val="superscript"/>
        </w:rPr>
        <w:t>[28]</w:t>
      </w:r>
      <w:r w:rsidR="003B41C0" w:rsidRPr="009D0E29">
        <w:t>.</w:t>
      </w:r>
      <w:r w:rsidRPr="009D0E29">
        <w:t xml:space="preserve"> In another study, </w:t>
      </w:r>
      <w:r w:rsidR="003B6942" w:rsidRPr="009D0E29">
        <w:t xml:space="preserve">a </w:t>
      </w:r>
      <w:r w:rsidRPr="009D0E29">
        <w:t>low baseline level of albumin</w:t>
      </w:r>
      <w:r w:rsidR="002C671B" w:rsidRPr="009D0E29">
        <w:t xml:space="preserve"> and</w:t>
      </w:r>
      <w:r w:rsidRPr="009D0E29">
        <w:t xml:space="preserve"> family histor</w:t>
      </w:r>
      <w:r w:rsidR="002C671B" w:rsidRPr="009D0E29">
        <w:t>ies</w:t>
      </w:r>
      <w:r w:rsidRPr="009D0E29">
        <w:t xml:space="preserve"> of HBsAg positivity</w:t>
      </w:r>
      <w:r w:rsidR="002C671B" w:rsidRPr="009D0E29">
        <w:t xml:space="preserve"> and HCC</w:t>
      </w:r>
      <w:r w:rsidRPr="009D0E29">
        <w:t xml:space="preserve"> </w:t>
      </w:r>
      <w:r w:rsidR="003B6942" w:rsidRPr="009D0E29">
        <w:t xml:space="preserve">have been demonstrated to be </w:t>
      </w:r>
      <w:r w:rsidRPr="009D0E29">
        <w:t xml:space="preserve">associated with a high risk </w:t>
      </w:r>
      <w:r w:rsidR="00846BB8" w:rsidRPr="009D0E29">
        <w:t>of</w:t>
      </w:r>
      <w:r w:rsidRPr="009D0E29">
        <w:t xml:space="preserve"> development of HCC, even </w:t>
      </w:r>
      <w:r w:rsidR="002C671B" w:rsidRPr="009D0E29">
        <w:t>in individuals who are &lt;</w:t>
      </w:r>
      <w:r w:rsidR="00440060">
        <w:rPr>
          <w:rFonts w:hint="eastAsia"/>
          <w:lang w:eastAsia="zh-CN"/>
        </w:rPr>
        <w:t xml:space="preserve"> </w:t>
      </w:r>
      <w:r w:rsidR="002C671B" w:rsidRPr="009D0E29">
        <w:t xml:space="preserve">50 years of </w:t>
      </w:r>
      <w:r w:rsidRPr="009D0E29">
        <w:t>age at the time of HBsAg clearance</w:t>
      </w:r>
      <w:r w:rsidRPr="009D0E29">
        <w:rPr>
          <w:vertAlign w:val="superscript"/>
        </w:rPr>
        <w:t>[14]</w:t>
      </w:r>
      <w:r w:rsidR="003B41C0" w:rsidRPr="009D0E29">
        <w:t>.</w:t>
      </w:r>
      <w:r w:rsidRPr="009D0E29">
        <w:t xml:space="preserve"> In our study, HCC developed </w:t>
      </w:r>
      <w:r w:rsidR="00846BB8" w:rsidRPr="009D0E29">
        <w:t xml:space="preserve">in one patient over 50 years </w:t>
      </w:r>
      <w:r w:rsidR="003B6942" w:rsidRPr="009D0E29">
        <w:t xml:space="preserve">of age </w:t>
      </w:r>
      <w:r w:rsidR="00846BB8" w:rsidRPr="009D0E29">
        <w:t xml:space="preserve">and in </w:t>
      </w:r>
      <w:r w:rsidR="00846BB8" w:rsidRPr="009D0E29">
        <w:lastRenderedPageBreak/>
        <w:t xml:space="preserve">three patients over 60 years </w:t>
      </w:r>
      <w:r w:rsidR="003B6942" w:rsidRPr="009D0E29">
        <w:t xml:space="preserve">of age </w:t>
      </w:r>
      <w:r w:rsidRPr="009D0E29">
        <w:t xml:space="preserve">after HBsAg seroclearance. All </w:t>
      </w:r>
      <w:r w:rsidR="00846BB8" w:rsidRPr="009D0E29">
        <w:t xml:space="preserve">patients </w:t>
      </w:r>
      <w:r w:rsidR="003B6942" w:rsidRPr="009D0E29">
        <w:t xml:space="preserve">had </w:t>
      </w:r>
      <w:r w:rsidRPr="009D0E29">
        <w:t xml:space="preserve">asymptomatic LC at registration and no evidence of deterioration </w:t>
      </w:r>
      <w:r w:rsidR="003B6942" w:rsidRPr="009D0E29">
        <w:t xml:space="preserve">of </w:t>
      </w:r>
      <w:r w:rsidRPr="009D0E29">
        <w:t xml:space="preserve">liver function during follow-up. </w:t>
      </w:r>
      <w:r w:rsidR="00C6043F" w:rsidRPr="009D0E29">
        <w:t xml:space="preserve">In addition, none </w:t>
      </w:r>
      <w:r w:rsidRPr="009D0E29">
        <w:t xml:space="preserve">of </w:t>
      </w:r>
      <w:r w:rsidR="00C6043F" w:rsidRPr="009D0E29">
        <w:t xml:space="preserve">these patients </w:t>
      </w:r>
      <w:r w:rsidRPr="009D0E29">
        <w:t xml:space="preserve">had a family history of HCC. Three men were excessive drinkers, and one woman </w:t>
      </w:r>
      <w:r w:rsidR="00846BB8" w:rsidRPr="009D0E29">
        <w:t>had a</w:t>
      </w:r>
      <w:r w:rsidRPr="009D0E29">
        <w:t xml:space="preserve"> vertical HBV infection.  </w:t>
      </w:r>
    </w:p>
    <w:p w14:paraId="745B69C5" w14:textId="4AB59D89" w:rsidR="008071B3" w:rsidRPr="009D0E29" w:rsidRDefault="008071B3" w:rsidP="00E70A1E">
      <w:pPr>
        <w:pStyle w:val="a"/>
        <w:wordWrap/>
        <w:spacing w:after="0"/>
      </w:pPr>
      <w:r w:rsidRPr="009D0E29">
        <w:t xml:space="preserve">In conclusion, HBsAg seroclearance does not </w:t>
      </w:r>
      <w:r w:rsidR="00846BB8" w:rsidRPr="009D0E29">
        <w:t>indicate safety</w:t>
      </w:r>
      <w:r w:rsidR="0013319C">
        <w:t xml:space="preserve"> out of HCC</w:t>
      </w:r>
      <w:r w:rsidRPr="009D0E29">
        <w:t xml:space="preserve">, </w:t>
      </w:r>
      <w:r w:rsidR="00846BB8" w:rsidRPr="009D0E29">
        <w:t xml:space="preserve">particularly </w:t>
      </w:r>
      <w:r w:rsidRPr="009D0E29">
        <w:t xml:space="preserve">in </w:t>
      </w:r>
      <w:r w:rsidR="003B6942" w:rsidRPr="009D0E29">
        <w:t xml:space="preserve">patients </w:t>
      </w:r>
      <w:r w:rsidRPr="009D0E29">
        <w:t xml:space="preserve">with LC. Spontaneous HBsAg loss might </w:t>
      </w:r>
      <w:r w:rsidR="002C671B" w:rsidRPr="009D0E29">
        <w:t xml:space="preserve">occur in </w:t>
      </w:r>
      <w:r w:rsidRPr="009D0E29">
        <w:t xml:space="preserve">a large </w:t>
      </w:r>
      <w:r w:rsidR="002C671B" w:rsidRPr="009D0E29">
        <w:t xml:space="preserve">proportion </w:t>
      </w:r>
      <w:r w:rsidRPr="009D0E29">
        <w:t xml:space="preserve">of cryptogenic LC </w:t>
      </w:r>
      <w:r w:rsidR="002C671B" w:rsidRPr="009D0E29">
        <w:t xml:space="preserve">and </w:t>
      </w:r>
      <w:r w:rsidRPr="009D0E29">
        <w:t>HCC cases in Korea</w:t>
      </w:r>
      <w:r w:rsidR="00C6043F" w:rsidRPr="009D0E29">
        <w:t xml:space="preserve">, and surveillance </w:t>
      </w:r>
      <w:r w:rsidRPr="009D0E29">
        <w:t>should be continued after HBsAg loss in the same manner as for HBsAg</w:t>
      </w:r>
      <w:r w:rsidR="006D7297" w:rsidRPr="009D0E29">
        <w:t>-</w:t>
      </w:r>
      <w:r w:rsidRPr="009D0E29">
        <w:t>positive patients. Sequential HBsAg</w:t>
      </w:r>
      <w:r w:rsidR="002C671B" w:rsidRPr="009D0E29">
        <w:t>-SCR</w:t>
      </w:r>
      <w:r w:rsidRPr="009D0E29">
        <w:t xml:space="preserve"> </w:t>
      </w:r>
      <w:r w:rsidR="002C671B" w:rsidRPr="009D0E29">
        <w:t xml:space="preserve">data </w:t>
      </w:r>
      <w:r w:rsidRPr="009D0E29">
        <w:t xml:space="preserve">measured </w:t>
      </w:r>
      <w:r w:rsidR="00C6043F" w:rsidRPr="009D0E29">
        <w:t xml:space="preserve">with </w:t>
      </w:r>
      <w:r w:rsidRPr="009D0E29">
        <w:t xml:space="preserve">the conventional test </w:t>
      </w:r>
      <w:r w:rsidR="006D7297" w:rsidRPr="009D0E29">
        <w:t>are</w:t>
      </w:r>
      <w:r w:rsidRPr="009D0E29">
        <w:t xml:space="preserve"> very useful for </w:t>
      </w:r>
      <w:r w:rsidR="006D7297" w:rsidRPr="009D0E29">
        <w:t xml:space="preserve">the </w:t>
      </w:r>
      <w:r w:rsidRPr="009D0E29">
        <w:t>long-term management of carriers</w:t>
      </w:r>
      <w:r w:rsidR="006D7297" w:rsidRPr="009D0E29">
        <w:t>,</w:t>
      </w:r>
      <w:r w:rsidRPr="009D0E29">
        <w:t xml:space="preserve"> </w:t>
      </w:r>
      <w:r w:rsidR="006D7297" w:rsidRPr="009D0E29">
        <w:t>similar to</w:t>
      </w:r>
      <w:r w:rsidRPr="009D0E29">
        <w:t xml:space="preserve"> HBsAg </w:t>
      </w:r>
      <w:r w:rsidR="006D7297" w:rsidRPr="009D0E29">
        <w:t>levels</w:t>
      </w:r>
      <w:r w:rsidRPr="009D0E29">
        <w:t>.   </w:t>
      </w:r>
    </w:p>
    <w:p w14:paraId="7A9EE2EE" w14:textId="77777777" w:rsidR="00B1409B" w:rsidRPr="009D0E29" w:rsidRDefault="00B1409B" w:rsidP="00E70A1E">
      <w:pPr>
        <w:pStyle w:val="a"/>
        <w:wordWrap/>
        <w:spacing w:after="0"/>
        <w:rPr>
          <w:kern w:val="0"/>
        </w:rPr>
      </w:pPr>
    </w:p>
    <w:p w14:paraId="3C74C543" w14:textId="77777777" w:rsidR="00EE74B9" w:rsidRPr="009D0E29" w:rsidRDefault="00EE74B9" w:rsidP="00E70A1E">
      <w:pPr>
        <w:pStyle w:val="2"/>
        <w:wordWrap/>
        <w:spacing w:after="0"/>
        <w:rPr>
          <w:highlight w:val="yellow"/>
        </w:rPr>
      </w:pPr>
      <w:bookmarkStart w:id="31" w:name="OLE_LINK595"/>
      <w:bookmarkStart w:id="32" w:name="OLE_LINK596"/>
      <w:r w:rsidRPr="005A7E60">
        <w:t>COMMENTS</w:t>
      </w:r>
    </w:p>
    <w:p w14:paraId="01C0A75A" w14:textId="4F460FF4" w:rsidR="00EE74B9" w:rsidRPr="009D0E29" w:rsidRDefault="00EE74B9" w:rsidP="00E70A1E">
      <w:pPr>
        <w:wordWrap/>
        <w:spacing w:after="0"/>
        <w:rPr>
          <w:b/>
          <w:bCs/>
        </w:rPr>
      </w:pPr>
      <w:r w:rsidRPr="009D0E29">
        <w:rPr>
          <w:b/>
          <w:bCs/>
          <w:i/>
        </w:rPr>
        <w:t>Background</w:t>
      </w:r>
    </w:p>
    <w:p w14:paraId="3541E403" w14:textId="571DE92D" w:rsidR="001B434A" w:rsidRPr="009D0E29" w:rsidRDefault="001C3E53" w:rsidP="00E70A1E">
      <w:pPr>
        <w:wordWrap/>
        <w:spacing w:after="0"/>
      </w:pPr>
      <w:r w:rsidRPr="009D0E29">
        <w:t xml:space="preserve">Chronic hepatitis B virus (HBV) infection </w:t>
      </w:r>
      <w:r w:rsidR="00A553F4" w:rsidRPr="009D0E29">
        <w:t>follows</w:t>
      </w:r>
      <w:r w:rsidRPr="009D0E29">
        <w:t xml:space="preserve"> a unique natural course, consisting of immune tolerance, eradication, and </w:t>
      </w:r>
      <w:r w:rsidR="003E2DA6" w:rsidRPr="009D0E29">
        <w:t xml:space="preserve">a </w:t>
      </w:r>
      <w:r w:rsidRPr="009D0E29">
        <w:t>recovery phase.</w:t>
      </w:r>
      <w:r w:rsidR="00C34FD6" w:rsidRPr="009D0E29">
        <w:t xml:space="preserve"> </w:t>
      </w:r>
      <w:r w:rsidR="002626A8" w:rsidRPr="009D0E29">
        <w:t xml:space="preserve">Intricate </w:t>
      </w:r>
      <w:r w:rsidR="00C34FD6" w:rsidRPr="009D0E29">
        <w:t xml:space="preserve">changes in the balance between host and viral factors </w:t>
      </w:r>
      <w:r w:rsidR="00B05917" w:rsidRPr="009D0E29">
        <w:t>stimulate</w:t>
      </w:r>
      <w:r w:rsidR="00C34FD6" w:rsidRPr="009D0E29">
        <w:t xml:space="preserve"> the phase transition.</w:t>
      </w:r>
      <w:r w:rsidR="00FD4176" w:rsidRPr="009D0E29">
        <w:t xml:space="preserve"> </w:t>
      </w:r>
      <w:r w:rsidR="00EA436A" w:rsidRPr="009D0E29">
        <w:t xml:space="preserve">Prognosis of </w:t>
      </w:r>
      <w:r w:rsidR="00160F6C" w:rsidRPr="009D0E29">
        <w:t>chronic carriers</w:t>
      </w:r>
      <w:r w:rsidR="00FD4176" w:rsidRPr="009D0E29">
        <w:t xml:space="preserve"> </w:t>
      </w:r>
      <w:r w:rsidR="00EA436A" w:rsidRPr="009D0E29">
        <w:t xml:space="preserve">is </w:t>
      </w:r>
      <w:r w:rsidR="008E4B0D" w:rsidRPr="009D0E29">
        <w:t>determined</w:t>
      </w:r>
      <w:r w:rsidR="00EA436A" w:rsidRPr="009D0E29">
        <w:t xml:space="preserve"> by</w:t>
      </w:r>
      <w:r w:rsidR="00FD4176" w:rsidRPr="009D0E29">
        <w:t xml:space="preserve"> a </w:t>
      </w:r>
      <w:r w:rsidR="00EA436A" w:rsidRPr="009D0E29">
        <w:t xml:space="preserve">complicated </w:t>
      </w:r>
      <w:r w:rsidR="00FD4176" w:rsidRPr="009D0E29">
        <w:t>process</w:t>
      </w:r>
      <w:r w:rsidR="00EA436A" w:rsidRPr="009D0E29">
        <w:t xml:space="preserve"> </w:t>
      </w:r>
      <w:r w:rsidR="002626A8" w:rsidRPr="009D0E29">
        <w:t>with consideration of</w:t>
      </w:r>
      <w:r w:rsidR="00EA436A" w:rsidRPr="009D0E29">
        <w:t xml:space="preserve"> phase transition</w:t>
      </w:r>
      <w:r w:rsidR="00FD4176" w:rsidRPr="009D0E29">
        <w:t xml:space="preserve">. </w:t>
      </w:r>
      <w:r w:rsidR="00160F6C" w:rsidRPr="009D0E29">
        <w:t>Seroclearance of h</w:t>
      </w:r>
      <w:r w:rsidR="00885AA1" w:rsidRPr="009D0E29">
        <w:t>epatitis B surface antigen (</w:t>
      </w:r>
      <w:r w:rsidR="001B434A" w:rsidRPr="009D0E29">
        <w:t>HBsAg</w:t>
      </w:r>
      <w:r w:rsidR="00885AA1" w:rsidRPr="009D0E29">
        <w:t>)</w:t>
      </w:r>
      <w:r w:rsidR="001B434A" w:rsidRPr="009D0E29">
        <w:t xml:space="preserve"> </w:t>
      </w:r>
      <w:r w:rsidRPr="009D0E29">
        <w:t xml:space="preserve">is </w:t>
      </w:r>
      <w:r w:rsidR="00FD4176" w:rsidRPr="009D0E29">
        <w:t>the</w:t>
      </w:r>
      <w:r w:rsidRPr="009D0E29">
        <w:t xml:space="preserve"> </w:t>
      </w:r>
      <w:r w:rsidR="00C34FD6" w:rsidRPr="009D0E29">
        <w:t xml:space="preserve">final step </w:t>
      </w:r>
      <w:r w:rsidRPr="009D0E29">
        <w:t xml:space="preserve">of </w:t>
      </w:r>
      <w:r w:rsidR="003E2DA6" w:rsidRPr="009D0E29">
        <w:t xml:space="preserve">the </w:t>
      </w:r>
      <w:r w:rsidRPr="009D0E29">
        <w:t>recovery phase</w:t>
      </w:r>
      <w:r w:rsidR="00FD4176" w:rsidRPr="009D0E29">
        <w:t>.</w:t>
      </w:r>
      <w:r w:rsidR="00EA436A" w:rsidRPr="009D0E29">
        <w:t xml:space="preserve"> However, </w:t>
      </w:r>
      <w:r w:rsidR="003E2DA6" w:rsidRPr="009D0E29">
        <w:t xml:space="preserve">the </w:t>
      </w:r>
      <w:r w:rsidR="00C34FD6" w:rsidRPr="009D0E29">
        <w:t>clinical features</w:t>
      </w:r>
      <w:r w:rsidR="00FD4176" w:rsidRPr="009D0E29">
        <w:t xml:space="preserve"> of HBsAg seroclearance</w:t>
      </w:r>
      <w:r w:rsidR="00C34FD6" w:rsidRPr="009D0E29">
        <w:t xml:space="preserve"> </w:t>
      </w:r>
      <w:r w:rsidR="003E2DA6" w:rsidRPr="009D0E29">
        <w:t>have</w:t>
      </w:r>
      <w:r w:rsidR="00C34FD6" w:rsidRPr="009D0E29">
        <w:t xml:space="preserve"> not </w:t>
      </w:r>
      <w:r w:rsidR="00EA436A" w:rsidRPr="009D0E29">
        <w:t>yet</w:t>
      </w:r>
      <w:r w:rsidR="00524A7C" w:rsidRPr="009D0E29">
        <w:t xml:space="preserve"> </w:t>
      </w:r>
      <w:r w:rsidR="003E2DA6" w:rsidRPr="009D0E29">
        <w:t>been completely elucidated</w:t>
      </w:r>
      <w:r w:rsidR="001B434A" w:rsidRPr="009D0E29">
        <w:t>.</w:t>
      </w:r>
      <w:r w:rsidR="00C34FD6" w:rsidRPr="009D0E29">
        <w:t xml:space="preserve"> </w:t>
      </w:r>
    </w:p>
    <w:p w14:paraId="3BD51949" w14:textId="77777777" w:rsidR="00EE74B9" w:rsidRPr="00D46607" w:rsidRDefault="00EE74B9" w:rsidP="00E70A1E">
      <w:pPr>
        <w:wordWrap/>
        <w:spacing w:after="0"/>
        <w:rPr>
          <w:b/>
          <w:bCs/>
        </w:rPr>
      </w:pPr>
    </w:p>
    <w:p w14:paraId="7937E952" w14:textId="4DDEEE90" w:rsidR="00EE74B9" w:rsidRPr="00D46607" w:rsidRDefault="00EE74B9" w:rsidP="00E70A1E">
      <w:pPr>
        <w:wordWrap/>
        <w:spacing w:after="0"/>
        <w:rPr>
          <w:b/>
          <w:bCs/>
        </w:rPr>
      </w:pPr>
      <w:r w:rsidRPr="00D46607">
        <w:rPr>
          <w:b/>
          <w:bCs/>
          <w:i/>
        </w:rPr>
        <w:t>Research frontiers</w:t>
      </w:r>
    </w:p>
    <w:p w14:paraId="7ED2DBA3" w14:textId="5318C89B" w:rsidR="00EE74B9" w:rsidRPr="00D46607" w:rsidRDefault="00930DD9" w:rsidP="00E70A1E">
      <w:pPr>
        <w:wordWrap/>
        <w:spacing w:after="0"/>
      </w:pPr>
      <w:r w:rsidRPr="009D0E29">
        <w:t>The r</w:t>
      </w:r>
      <w:r w:rsidR="00291BA2" w:rsidRPr="009D0E29">
        <w:t xml:space="preserve">ecovery phase usually overlaps </w:t>
      </w:r>
      <w:r w:rsidRPr="00D46607">
        <w:t>with</w:t>
      </w:r>
      <w:r w:rsidR="00291BA2" w:rsidRPr="00D46607">
        <w:t xml:space="preserve"> the </w:t>
      </w:r>
      <w:r w:rsidRPr="00D46607">
        <w:t>occurrence</w:t>
      </w:r>
      <w:r w:rsidR="00291BA2" w:rsidRPr="00D46607">
        <w:t xml:space="preserve"> of escape mutations </w:t>
      </w:r>
      <w:r w:rsidRPr="00D46607">
        <w:t>in the</w:t>
      </w:r>
      <w:r w:rsidR="00291BA2" w:rsidRPr="00D46607">
        <w:t xml:space="preserve"> HBV genome and the development of</w:t>
      </w:r>
      <w:r w:rsidR="00885AA1" w:rsidRPr="00D46607">
        <w:t xml:space="preserve"> liver cirrhosis (</w:t>
      </w:r>
      <w:r w:rsidR="00291BA2" w:rsidRPr="00D46607">
        <w:t>LC</w:t>
      </w:r>
      <w:r w:rsidR="00885AA1" w:rsidRPr="00D46607">
        <w:t>)</w:t>
      </w:r>
      <w:r w:rsidR="00291BA2" w:rsidRPr="00D46607">
        <w:t xml:space="preserve"> and </w:t>
      </w:r>
      <w:r w:rsidR="00885AA1" w:rsidRPr="00D46607">
        <w:t>hepatocellular carcinoma (</w:t>
      </w:r>
      <w:r w:rsidR="00291BA2" w:rsidRPr="00D46607">
        <w:t>HCC</w:t>
      </w:r>
      <w:r w:rsidR="00885AA1" w:rsidRPr="00D46607">
        <w:t>)</w:t>
      </w:r>
      <w:r w:rsidR="00291BA2" w:rsidRPr="00D46607">
        <w:t xml:space="preserve">. </w:t>
      </w:r>
      <w:r w:rsidRPr="00D46607">
        <w:t>Thus, it is difficult to determine</w:t>
      </w:r>
      <w:r w:rsidR="00160F6C" w:rsidRPr="00D46607">
        <w:t xml:space="preserve"> </w:t>
      </w:r>
      <w:r w:rsidR="00291BA2" w:rsidRPr="00D46607">
        <w:t xml:space="preserve">when and how the negative conversion of HBsAg </w:t>
      </w:r>
      <w:r w:rsidR="00D77FE7">
        <w:t>has occurred to a sufficient extent to have preventive effects for HCC</w:t>
      </w:r>
      <w:r w:rsidR="00291BA2" w:rsidRPr="009D0E29">
        <w:t>. The research hotspot is clarif</w:t>
      </w:r>
      <w:r w:rsidR="008E4B0D" w:rsidRPr="009D0E29">
        <w:t>ication of</w:t>
      </w:r>
      <w:r w:rsidR="00291BA2" w:rsidRPr="00D46607">
        <w:t xml:space="preserve"> </w:t>
      </w:r>
      <w:r w:rsidRPr="00D46607">
        <w:t xml:space="preserve">the </w:t>
      </w:r>
      <w:r w:rsidR="00291BA2" w:rsidRPr="00D46607">
        <w:t>clinical features associat</w:t>
      </w:r>
      <w:r w:rsidRPr="00D46607">
        <w:t>ed</w:t>
      </w:r>
      <w:r w:rsidR="00291BA2" w:rsidRPr="00D46607">
        <w:t xml:space="preserve"> with spontaneous HBsAg seroclearance</w:t>
      </w:r>
      <w:r w:rsidR="002C088A" w:rsidRPr="00D46607">
        <w:t xml:space="preserve">, including </w:t>
      </w:r>
      <w:r w:rsidRPr="00D46607">
        <w:t xml:space="preserve">the </w:t>
      </w:r>
      <w:r w:rsidR="002C088A" w:rsidRPr="00D46607">
        <w:t xml:space="preserve">outcome and predictive markers, to </w:t>
      </w:r>
      <w:r w:rsidRPr="009D0E29">
        <w:t>facilitate the development of</w:t>
      </w:r>
      <w:r w:rsidR="002C088A" w:rsidRPr="009D0E29">
        <w:t xml:space="preserve"> a </w:t>
      </w:r>
      <w:r w:rsidR="008E4B0D" w:rsidRPr="009D0E29">
        <w:t xml:space="preserve">patient </w:t>
      </w:r>
      <w:r w:rsidR="002C088A" w:rsidRPr="009D0E29">
        <w:t xml:space="preserve">management strategy </w:t>
      </w:r>
      <w:r w:rsidR="008E4B0D" w:rsidRPr="009D0E29">
        <w:t>both</w:t>
      </w:r>
      <w:r w:rsidRPr="009D0E29">
        <w:t xml:space="preserve"> </w:t>
      </w:r>
      <w:r w:rsidR="002C088A" w:rsidRPr="00D46607">
        <w:t xml:space="preserve">during and after </w:t>
      </w:r>
      <w:r w:rsidRPr="00D46607">
        <w:t xml:space="preserve">the </w:t>
      </w:r>
      <w:r w:rsidR="002C088A" w:rsidRPr="00D46607">
        <w:t>recovery phase</w:t>
      </w:r>
      <w:r w:rsidR="00291BA2" w:rsidRPr="00D46607">
        <w:t xml:space="preserve">. </w:t>
      </w:r>
    </w:p>
    <w:p w14:paraId="7A41034F" w14:textId="77777777" w:rsidR="007A5226" w:rsidRPr="00D46607" w:rsidRDefault="007A5226" w:rsidP="00E70A1E">
      <w:pPr>
        <w:wordWrap/>
        <w:spacing w:after="0"/>
        <w:rPr>
          <w:b/>
        </w:rPr>
      </w:pPr>
    </w:p>
    <w:p w14:paraId="2B28DAB9" w14:textId="7C72EBDE" w:rsidR="00EE74B9" w:rsidRPr="00D46607" w:rsidRDefault="00EE74B9" w:rsidP="00E70A1E">
      <w:pPr>
        <w:wordWrap/>
        <w:spacing w:after="0"/>
        <w:rPr>
          <w:b/>
          <w:bCs/>
        </w:rPr>
      </w:pPr>
      <w:r w:rsidRPr="00D46607">
        <w:rPr>
          <w:b/>
          <w:bCs/>
          <w:i/>
        </w:rPr>
        <w:t>Innovations and breakthroughs</w:t>
      </w:r>
    </w:p>
    <w:p w14:paraId="2C8CDE1B" w14:textId="3A864D1E" w:rsidR="005060C6" w:rsidRPr="009D0E29" w:rsidRDefault="00394428" w:rsidP="00E70A1E">
      <w:pPr>
        <w:wordWrap/>
        <w:spacing w:after="0" w:line="373" w:lineRule="auto"/>
        <w:ind w:left="-5" w:right="662"/>
        <w:rPr>
          <w:color w:val="538135" w:themeColor="accent6" w:themeShade="BF"/>
          <w:szCs w:val="24"/>
        </w:rPr>
      </w:pPr>
      <w:r w:rsidRPr="009D0E29">
        <w:rPr>
          <w:szCs w:val="24"/>
        </w:rPr>
        <w:t xml:space="preserve">The </w:t>
      </w:r>
      <w:r w:rsidR="00A02BEC" w:rsidRPr="00D46607">
        <w:rPr>
          <w:szCs w:val="24"/>
        </w:rPr>
        <w:t xml:space="preserve">results of the </w:t>
      </w:r>
      <w:r w:rsidRPr="009D0E29">
        <w:rPr>
          <w:szCs w:val="24"/>
        </w:rPr>
        <w:t xml:space="preserve">present study </w:t>
      </w:r>
      <w:r w:rsidR="00A02BEC" w:rsidRPr="009D0E29">
        <w:rPr>
          <w:szCs w:val="24"/>
        </w:rPr>
        <w:t>have suggested</w:t>
      </w:r>
      <w:r w:rsidRPr="009D0E29">
        <w:rPr>
          <w:szCs w:val="24"/>
        </w:rPr>
        <w:t xml:space="preserve"> that </w:t>
      </w:r>
      <w:r w:rsidR="00A02BEC" w:rsidRPr="009D0E29">
        <w:rPr>
          <w:szCs w:val="24"/>
        </w:rPr>
        <w:t xml:space="preserve">the </w:t>
      </w:r>
      <w:r w:rsidRPr="009D0E29">
        <w:rPr>
          <w:szCs w:val="24"/>
        </w:rPr>
        <w:t xml:space="preserve">phase transition to recovery occurs spontaneously in most </w:t>
      </w:r>
      <w:r w:rsidR="008E4B0D" w:rsidRPr="009D0E29">
        <w:rPr>
          <w:szCs w:val="24"/>
        </w:rPr>
        <w:t>patients</w:t>
      </w:r>
      <w:r w:rsidRPr="009D0E29">
        <w:rPr>
          <w:szCs w:val="24"/>
        </w:rPr>
        <w:t xml:space="preserve"> and </w:t>
      </w:r>
      <w:r w:rsidR="00A02BEC" w:rsidRPr="009D0E29">
        <w:rPr>
          <w:szCs w:val="24"/>
        </w:rPr>
        <w:t xml:space="preserve">that </w:t>
      </w:r>
      <w:r w:rsidRPr="009D0E29">
        <w:rPr>
          <w:szCs w:val="24"/>
        </w:rPr>
        <w:t>asymptomatic LC is prevalent</w:t>
      </w:r>
      <w:r w:rsidR="00A02BEC" w:rsidRPr="009D0E29">
        <w:rPr>
          <w:szCs w:val="24"/>
        </w:rPr>
        <w:t xml:space="preserve"> </w:t>
      </w:r>
      <w:r w:rsidR="008E4B0D" w:rsidRPr="009D0E29">
        <w:rPr>
          <w:szCs w:val="24"/>
        </w:rPr>
        <w:t>among</w:t>
      </w:r>
      <w:r w:rsidR="00A02BEC" w:rsidRPr="009D0E29">
        <w:rPr>
          <w:szCs w:val="24"/>
        </w:rPr>
        <w:t xml:space="preserve"> these patients</w:t>
      </w:r>
      <w:r w:rsidR="00893422" w:rsidRPr="009D0E29">
        <w:rPr>
          <w:szCs w:val="24"/>
        </w:rPr>
        <w:t xml:space="preserve"> (31%)</w:t>
      </w:r>
      <w:r w:rsidRPr="009D0E29">
        <w:rPr>
          <w:szCs w:val="24"/>
        </w:rPr>
        <w:t xml:space="preserve">. </w:t>
      </w:r>
      <w:r w:rsidR="00A02BEC" w:rsidRPr="009D0E29">
        <w:rPr>
          <w:szCs w:val="24"/>
        </w:rPr>
        <w:t>Thus,</w:t>
      </w:r>
      <w:r w:rsidRPr="009D0E29">
        <w:rPr>
          <w:szCs w:val="24"/>
        </w:rPr>
        <w:t xml:space="preserve"> </w:t>
      </w:r>
      <w:r w:rsidR="00A02BEC" w:rsidRPr="009D0E29">
        <w:rPr>
          <w:szCs w:val="24"/>
        </w:rPr>
        <w:t xml:space="preserve">a </w:t>
      </w:r>
      <w:r w:rsidRPr="009D0E29">
        <w:rPr>
          <w:szCs w:val="24"/>
        </w:rPr>
        <w:t xml:space="preserve">significant proportion of chronic carriers are </w:t>
      </w:r>
      <w:r w:rsidR="00A02BEC" w:rsidRPr="009D0E29">
        <w:rPr>
          <w:szCs w:val="24"/>
        </w:rPr>
        <w:t xml:space="preserve">at </w:t>
      </w:r>
      <w:r w:rsidRPr="009D0E29">
        <w:rPr>
          <w:szCs w:val="24"/>
        </w:rPr>
        <w:t>risk</w:t>
      </w:r>
      <w:r w:rsidR="00A02BEC" w:rsidRPr="009D0E29">
        <w:rPr>
          <w:szCs w:val="24"/>
        </w:rPr>
        <w:t xml:space="preserve"> of</w:t>
      </w:r>
      <w:r w:rsidRPr="009D0E29">
        <w:rPr>
          <w:szCs w:val="24"/>
        </w:rPr>
        <w:t xml:space="preserve"> HCC at the time of recovery. </w:t>
      </w:r>
      <w:r w:rsidRPr="00D46607">
        <w:rPr>
          <w:szCs w:val="24"/>
        </w:rPr>
        <w:t xml:space="preserve">In </w:t>
      </w:r>
      <w:r w:rsidR="008E4B0D" w:rsidRPr="009D0E29">
        <w:rPr>
          <w:szCs w:val="24"/>
        </w:rPr>
        <w:t>fact</w:t>
      </w:r>
      <w:r w:rsidRPr="00D46607">
        <w:rPr>
          <w:szCs w:val="24"/>
        </w:rPr>
        <w:t xml:space="preserve">, </w:t>
      </w:r>
      <w:r w:rsidR="00CE6F99" w:rsidRPr="009D0E29">
        <w:rPr>
          <w:szCs w:val="24"/>
        </w:rPr>
        <w:t xml:space="preserve">the </w:t>
      </w:r>
      <w:r w:rsidRPr="00D46607">
        <w:rPr>
          <w:szCs w:val="24"/>
        </w:rPr>
        <w:t xml:space="preserve">data </w:t>
      </w:r>
      <w:r w:rsidR="008E4B0D" w:rsidRPr="009D0E29">
        <w:rPr>
          <w:szCs w:val="24"/>
        </w:rPr>
        <w:t>showed</w:t>
      </w:r>
      <w:r w:rsidRPr="00D46607">
        <w:rPr>
          <w:szCs w:val="24"/>
        </w:rPr>
        <w:t xml:space="preserve"> that HCC developed</w:t>
      </w:r>
      <w:r w:rsidRPr="009D0E29">
        <w:rPr>
          <w:szCs w:val="24"/>
        </w:rPr>
        <w:t xml:space="preserve"> among </w:t>
      </w:r>
      <w:r w:rsidR="00CE6F99" w:rsidRPr="00D46607">
        <w:rPr>
          <w:szCs w:val="24"/>
        </w:rPr>
        <w:t xml:space="preserve">the patients with </w:t>
      </w:r>
      <w:r w:rsidRPr="00D46607">
        <w:rPr>
          <w:szCs w:val="24"/>
        </w:rPr>
        <w:t xml:space="preserve">LC during the recovery phase </w:t>
      </w:r>
      <w:r w:rsidR="00CE6F99" w:rsidRPr="00D46607">
        <w:rPr>
          <w:szCs w:val="24"/>
        </w:rPr>
        <w:t xml:space="preserve">both </w:t>
      </w:r>
      <w:r w:rsidRPr="00D46607">
        <w:rPr>
          <w:szCs w:val="24"/>
        </w:rPr>
        <w:t xml:space="preserve">pre- and post-HBsAg seroclearance. On the other hand, it </w:t>
      </w:r>
      <w:r w:rsidR="00CE6F99" w:rsidRPr="00D46607">
        <w:rPr>
          <w:szCs w:val="24"/>
        </w:rPr>
        <w:t>is</w:t>
      </w:r>
      <w:r w:rsidRPr="00D46607">
        <w:rPr>
          <w:szCs w:val="24"/>
        </w:rPr>
        <w:t xml:space="preserve"> known that </w:t>
      </w:r>
      <w:r w:rsidR="00CE6F99" w:rsidRPr="00D46607">
        <w:rPr>
          <w:szCs w:val="24"/>
        </w:rPr>
        <w:t xml:space="preserve">the </w:t>
      </w:r>
      <w:r w:rsidRPr="00D46607">
        <w:rPr>
          <w:szCs w:val="24"/>
        </w:rPr>
        <w:t>HBsAg quantity</w:t>
      </w:r>
      <w:r w:rsidR="00CE6F99" w:rsidRPr="00D46607">
        <w:rPr>
          <w:szCs w:val="24"/>
        </w:rPr>
        <w:t>,</w:t>
      </w:r>
      <w:r w:rsidRPr="00D46607">
        <w:rPr>
          <w:szCs w:val="24"/>
        </w:rPr>
        <w:t xml:space="preserve"> in combination with </w:t>
      </w:r>
      <w:r w:rsidR="00CE6F99" w:rsidRPr="00D46607">
        <w:rPr>
          <w:szCs w:val="24"/>
        </w:rPr>
        <w:t xml:space="preserve">the </w:t>
      </w:r>
      <w:r w:rsidRPr="00D46607">
        <w:rPr>
          <w:szCs w:val="24"/>
        </w:rPr>
        <w:t>HBV DNA titer</w:t>
      </w:r>
      <w:r w:rsidR="00CE6F99" w:rsidRPr="00D46607">
        <w:rPr>
          <w:szCs w:val="24"/>
        </w:rPr>
        <w:t>,</w:t>
      </w:r>
      <w:r w:rsidRPr="00D46607">
        <w:rPr>
          <w:szCs w:val="24"/>
        </w:rPr>
        <w:t xml:space="preserve"> is a predictive marker for HBsAg seroclearance.</w:t>
      </w:r>
      <w:r w:rsidR="00893422" w:rsidRPr="00D46607">
        <w:rPr>
          <w:szCs w:val="24"/>
        </w:rPr>
        <w:t xml:space="preserve"> W</w:t>
      </w:r>
      <w:r w:rsidRPr="00D46607">
        <w:rPr>
          <w:szCs w:val="24"/>
        </w:rPr>
        <w:t xml:space="preserve">e </w:t>
      </w:r>
      <w:r w:rsidR="00657C04" w:rsidRPr="00D46607">
        <w:rPr>
          <w:szCs w:val="24"/>
        </w:rPr>
        <w:t>have demonstrated</w:t>
      </w:r>
      <w:r w:rsidRPr="00D46607">
        <w:rPr>
          <w:szCs w:val="24"/>
        </w:rPr>
        <w:t xml:space="preserve"> </w:t>
      </w:r>
      <w:r w:rsidR="00265A03" w:rsidRPr="00D46607">
        <w:rPr>
          <w:szCs w:val="24"/>
        </w:rPr>
        <w:t xml:space="preserve">for the </w:t>
      </w:r>
      <w:r w:rsidR="00167A0D" w:rsidRPr="00D46607">
        <w:rPr>
          <w:szCs w:val="24"/>
        </w:rPr>
        <w:t>first</w:t>
      </w:r>
      <w:r w:rsidR="00265A03" w:rsidRPr="00D46607">
        <w:rPr>
          <w:szCs w:val="24"/>
        </w:rPr>
        <w:t xml:space="preserve"> time</w:t>
      </w:r>
      <w:r w:rsidR="00167A0D" w:rsidRPr="00D46607">
        <w:rPr>
          <w:szCs w:val="24"/>
        </w:rPr>
        <w:t xml:space="preserve"> </w:t>
      </w:r>
      <w:r w:rsidRPr="00D46607">
        <w:rPr>
          <w:szCs w:val="24"/>
        </w:rPr>
        <w:t xml:space="preserve">that </w:t>
      </w:r>
      <w:r w:rsidR="00893422" w:rsidRPr="00D46607">
        <w:rPr>
          <w:szCs w:val="24"/>
        </w:rPr>
        <w:t>a</w:t>
      </w:r>
      <w:r w:rsidR="00893422" w:rsidRPr="00D46607">
        <w:t xml:space="preserve"> signal-to-cutoff ratio</w:t>
      </w:r>
      <w:r w:rsidR="00167A0D" w:rsidRPr="00D46607">
        <w:t xml:space="preserve"> </w:t>
      </w:r>
      <w:r w:rsidR="00893422" w:rsidRPr="00D46607">
        <w:t>of the qualitative HBsAg level</w:t>
      </w:r>
      <w:r w:rsidR="00E04B14" w:rsidRPr="00D46607">
        <w:t xml:space="preserve"> (HBsAg-SCR)</w:t>
      </w:r>
      <w:r w:rsidR="00893422" w:rsidRPr="00D46607">
        <w:t xml:space="preserve"> </w:t>
      </w:r>
      <w:r w:rsidR="00657C04" w:rsidRPr="00D46607">
        <w:t xml:space="preserve">of </w:t>
      </w:r>
      <w:r w:rsidR="00893422" w:rsidRPr="00D46607">
        <w:t>&lt;</w:t>
      </w:r>
      <w:r w:rsidR="00440060">
        <w:rPr>
          <w:rFonts w:hint="eastAsia"/>
          <w:lang w:eastAsia="zh-CN"/>
        </w:rPr>
        <w:t xml:space="preserve"> </w:t>
      </w:r>
      <w:r w:rsidR="00440060">
        <w:t>1</w:t>
      </w:r>
      <w:r w:rsidR="00065C5E" w:rsidRPr="00D46607">
        <w:t>000</w:t>
      </w:r>
      <w:r w:rsidR="00893422" w:rsidRPr="00D46607">
        <w:t xml:space="preserve"> and its sequential decrease are </w:t>
      </w:r>
      <w:r w:rsidR="008E4B0D" w:rsidRPr="00D46607">
        <w:t>notable</w:t>
      </w:r>
      <w:r w:rsidR="00893422" w:rsidRPr="00D46607">
        <w:t xml:space="preserve"> predictive markers of HBsAg loss. </w:t>
      </w:r>
      <w:r w:rsidR="00893422" w:rsidRPr="009D0E29">
        <w:t xml:space="preserve">Our data </w:t>
      </w:r>
      <w:r w:rsidR="008E4B0D" w:rsidRPr="009D0E29">
        <w:t>support</w:t>
      </w:r>
      <w:r w:rsidR="00893422" w:rsidRPr="00D46607">
        <w:t xml:space="preserve"> the</w:t>
      </w:r>
      <w:r w:rsidR="009D0E29" w:rsidRPr="00D46607">
        <w:t xml:space="preserve"> value</w:t>
      </w:r>
      <w:r w:rsidR="00893422" w:rsidRPr="00D46607">
        <w:t xml:space="preserve"> </w:t>
      </w:r>
      <w:r w:rsidR="00893422" w:rsidRPr="009D0E29">
        <w:t xml:space="preserve">of </w:t>
      </w:r>
      <w:r w:rsidR="00F42AA2" w:rsidRPr="009D0E29">
        <w:t xml:space="preserve">sequential </w:t>
      </w:r>
      <w:r w:rsidR="00893422" w:rsidRPr="009D0E29">
        <w:t>HBsAg</w:t>
      </w:r>
      <w:r w:rsidR="00167A0D" w:rsidRPr="009D0E29">
        <w:t>-SCR</w:t>
      </w:r>
      <w:r w:rsidR="00893422" w:rsidRPr="009D0E29">
        <w:t xml:space="preserve"> </w:t>
      </w:r>
      <w:r w:rsidR="00F42AA2" w:rsidRPr="009D0E29">
        <w:t>data</w:t>
      </w:r>
      <w:r w:rsidR="00893422" w:rsidRPr="009D0E29">
        <w:t>.</w:t>
      </w:r>
    </w:p>
    <w:p w14:paraId="33318F18" w14:textId="77777777" w:rsidR="00EA0ADE" w:rsidRPr="009D0E29" w:rsidRDefault="00EA0ADE" w:rsidP="00E70A1E">
      <w:pPr>
        <w:wordWrap/>
        <w:spacing w:after="0"/>
        <w:rPr>
          <w:b/>
        </w:rPr>
      </w:pPr>
    </w:p>
    <w:p w14:paraId="0F4B6B08" w14:textId="4D49546F" w:rsidR="00EE74B9" w:rsidRPr="009D0E29" w:rsidRDefault="00EE74B9" w:rsidP="00E70A1E">
      <w:pPr>
        <w:wordWrap/>
        <w:spacing w:after="0"/>
        <w:rPr>
          <w:b/>
          <w:bCs/>
        </w:rPr>
      </w:pPr>
      <w:r w:rsidRPr="009D0E29">
        <w:rPr>
          <w:b/>
          <w:bCs/>
          <w:i/>
        </w:rPr>
        <w:t>Applications</w:t>
      </w:r>
    </w:p>
    <w:p w14:paraId="04C70F2C" w14:textId="5F11C017" w:rsidR="003C7DF9" w:rsidRPr="00B61165" w:rsidRDefault="00657C04" w:rsidP="00E70A1E">
      <w:pPr>
        <w:wordWrap/>
        <w:spacing w:after="0"/>
        <w:rPr>
          <w:rFonts w:eastAsia="Book Antiqua" w:cs="Book Antiqua"/>
          <w:kern w:val="0"/>
          <w:szCs w:val="24"/>
        </w:rPr>
      </w:pPr>
      <w:r w:rsidRPr="00B61165">
        <w:rPr>
          <w:rFonts w:eastAsia="Book Antiqua" w:cs="Book Antiqua"/>
          <w:kern w:val="0"/>
          <w:szCs w:val="24"/>
        </w:rPr>
        <w:t>The results of o</w:t>
      </w:r>
      <w:r w:rsidR="00F1146F" w:rsidRPr="00B61165">
        <w:rPr>
          <w:rFonts w:eastAsia="Book Antiqua" w:cs="Book Antiqua"/>
          <w:kern w:val="0"/>
          <w:szCs w:val="24"/>
        </w:rPr>
        <w:t xml:space="preserve">ur study may </w:t>
      </w:r>
      <w:r w:rsidRPr="00B61165">
        <w:rPr>
          <w:rFonts w:eastAsia="Book Antiqua" w:cs="Book Antiqua"/>
          <w:kern w:val="0"/>
          <w:szCs w:val="24"/>
        </w:rPr>
        <w:t>facilitate the</w:t>
      </w:r>
      <w:r w:rsidR="00F1146F" w:rsidRPr="00B61165">
        <w:rPr>
          <w:rFonts w:eastAsia="Book Antiqua" w:cs="Book Antiqua"/>
          <w:kern w:val="0"/>
          <w:szCs w:val="24"/>
        </w:rPr>
        <w:t xml:space="preserve"> design</w:t>
      </w:r>
      <w:r w:rsidRPr="00B61165">
        <w:rPr>
          <w:rFonts w:eastAsia="Book Antiqua" w:cs="Book Antiqua"/>
          <w:kern w:val="0"/>
          <w:szCs w:val="24"/>
        </w:rPr>
        <w:t xml:space="preserve"> of a</w:t>
      </w:r>
      <w:r w:rsidR="00F1146F" w:rsidRPr="00B61165">
        <w:rPr>
          <w:rFonts w:eastAsia="Book Antiqua" w:cs="Book Antiqua"/>
          <w:kern w:val="0"/>
          <w:szCs w:val="24"/>
        </w:rPr>
        <w:t xml:space="preserve"> management strategy for HBV carriers </w:t>
      </w:r>
      <w:r w:rsidRPr="00B61165">
        <w:rPr>
          <w:rFonts w:eastAsia="Book Antiqua" w:cs="Book Antiqua"/>
          <w:kern w:val="0"/>
          <w:szCs w:val="24"/>
        </w:rPr>
        <w:t>both</w:t>
      </w:r>
      <w:r w:rsidR="00F1146F" w:rsidRPr="00B61165">
        <w:rPr>
          <w:rFonts w:eastAsia="Book Antiqua" w:cs="Book Antiqua"/>
          <w:kern w:val="0"/>
          <w:szCs w:val="24"/>
        </w:rPr>
        <w:t xml:space="preserve"> pre- and post-HBsAg seroclearance. </w:t>
      </w:r>
      <w:r w:rsidRPr="00B61165">
        <w:rPr>
          <w:rFonts w:eastAsia="Book Antiqua" w:cs="Book Antiqua"/>
          <w:kern w:val="0"/>
          <w:szCs w:val="24"/>
        </w:rPr>
        <w:t>In particular</w:t>
      </w:r>
      <w:r w:rsidR="00F1146F" w:rsidRPr="00B61165">
        <w:rPr>
          <w:rFonts w:eastAsia="Book Antiqua" w:cs="Book Antiqua"/>
          <w:kern w:val="0"/>
          <w:szCs w:val="24"/>
        </w:rPr>
        <w:t xml:space="preserve">, </w:t>
      </w:r>
      <w:r w:rsidRPr="00B61165">
        <w:rPr>
          <w:rFonts w:eastAsia="Book Antiqua" w:cs="Book Antiqua"/>
          <w:kern w:val="0"/>
          <w:szCs w:val="24"/>
        </w:rPr>
        <w:t>patients</w:t>
      </w:r>
      <w:r w:rsidR="00F1146F" w:rsidRPr="00B61165">
        <w:rPr>
          <w:rFonts w:eastAsia="Book Antiqua" w:cs="Book Antiqua"/>
          <w:kern w:val="0"/>
          <w:szCs w:val="24"/>
        </w:rPr>
        <w:t xml:space="preserve"> with evidence of chronic liver disease (CLD) or LC should be carefully monitored </w:t>
      </w:r>
      <w:r w:rsidR="005C0AF5" w:rsidRPr="00B61165">
        <w:rPr>
          <w:rFonts w:eastAsia="Book Antiqua" w:cs="Book Antiqua"/>
          <w:kern w:val="0"/>
          <w:szCs w:val="24"/>
        </w:rPr>
        <w:t>for the development of HCC</w:t>
      </w:r>
      <w:r w:rsidRPr="00B61165">
        <w:rPr>
          <w:rFonts w:eastAsia="Book Antiqua" w:cs="Book Antiqua"/>
          <w:kern w:val="0"/>
          <w:szCs w:val="24"/>
        </w:rPr>
        <w:t>,</w:t>
      </w:r>
      <w:r w:rsidR="005C0AF5" w:rsidRPr="00B61165">
        <w:rPr>
          <w:rFonts w:eastAsia="Book Antiqua" w:cs="Book Antiqua"/>
          <w:kern w:val="0"/>
          <w:szCs w:val="24"/>
        </w:rPr>
        <w:t xml:space="preserve"> </w:t>
      </w:r>
      <w:r w:rsidR="00F1146F" w:rsidRPr="00B61165">
        <w:rPr>
          <w:rFonts w:eastAsia="Book Antiqua" w:cs="Book Antiqua"/>
          <w:kern w:val="0"/>
          <w:szCs w:val="24"/>
        </w:rPr>
        <w:t xml:space="preserve">even after the spontaneous loss of HBsAg. </w:t>
      </w:r>
    </w:p>
    <w:p w14:paraId="639DCE31" w14:textId="77777777" w:rsidR="00EE74B9" w:rsidRPr="009D0E29" w:rsidRDefault="00EE74B9" w:rsidP="00E70A1E">
      <w:pPr>
        <w:wordWrap/>
        <w:spacing w:after="0"/>
        <w:rPr>
          <w:rFonts w:cs="Arial"/>
          <w:b/>
          <w:bCs/>
        </w:rPr>
      </w:pPr>
    </w:p>
    <w:p w14:paraId="37FC2B62" w14:textId="11390CAE" w:rsidR="00EE74B9" w:rsidRPr="009D0E29" w:rsidRDefault="00EE74B9" w:rsidP="00E70A1E">
      <w:pPr>
        <w:wordWrap/>
        <w:spacing w:after="0"/>
        <w:rPr>
          <w:rFonts w:cs="Arial"/>
          <w:b/>
          <w:bCs/>
        </w:rPr>
      </w:pPr>
      <w:r w:rsidRPr="009D0E29">
        <w:rPr>
          <w:rFonts w:cs="Arial"/>
          <w:b/>
          <w:bCs/>
          <w:i/>
        </w:rPr>
        <w:t>Terminology</w:t>
      </w:r>
    </w:p>
    <w:p w14:paraId="3CE9EE7C" w14:textId="2C819944" w:rsidR="003C7DF9" w:rsidRPr="009D0E29" w:rsidRDefault="000023A1" w:rsidP="00E70A1E">
      <w:pPr>
        <w:wordWrap/>
        <w:spacing w:after="0" w:line="374" w:lineRule="auto"/>
        <w:ind w:left="-5" w:right="662"/>
      </w:pPr>
      <w:bookmarkStart w:id="33" w:name="OLE_LINK13"/>
      <w:bookmarkStart w:id="34" w:name="OLE_LINK323"/>
      <w:bookmarkStart w:id="35" w:name="OLE_LINK349"/>
      <w:bookmarkStart w:id="36" w:name="OLE_LINK377"/>
      <w:bookmarkStart w:id="37" w:name="OLE_LINK386"/>
      <w:bookmarkStart w:id="38" w:name="OLE_LINK400"/>
      <w:bookmarkStart w:id="39" w:name="OLE_LINK416"/>
      <w:bookmarkStart w:id="40" w:name="OLE_LINK512"/>
      <w:r w:rsidRPr="009D0E29">
        <w:t xml:space="preserve">Serum </w:t>
      </w:r>
      <w:r w:rsidR="00885AA1" w:rsidRPr="009D0E29">
        <w:t>HBsAg</w:t>
      </w:r>
      <w:r w:rsidRPr="009D0E29">
        <w:t xml:space="preserve"> </w:t>
      </w:r>
      <w:r w:rsidR="00885AA1" w:rsidRPr="009D0E29">
        <w:t>positiv</w:t>
      </w:r>
      <w:r w:rsidRPr="009D0E29">
        <w:t>ity</w:t>
      </w:r>
      <w:r w:rsidR="00885AA1" w:rsidRPr="009D0E29">
        <w:t xml:space="preserve"> </w:t>
      </w:r>
      <w:r w:rsidRPr="009D0E29">
        <w:t>lasting for</w:t>
      </w:r>
      <w:r w:rsidR="00885AA1" w:rsidRPr="009D0E29">
        <w:t xml:space="preserve"> six months is a serological </w:t>
      </w:r>
      <w:r w:rsidR="009D0E29" w:rsidRPr="009D0E29">
        <w:t xml:space="preserve">indicator </w:t>
      </w:r>
      <w:r w:rsidRPr="009D0E29">
        <w:t>for</w:t>
      </w:r>
      <w:r w:rsidR="00885AA1" w:rsidRPr="009D0E29">
        <w:t xml:space="preserve"> chronic HBV infection. HBsAg seroclearance </w:t>
      </w:r>
      <w:r w:rsidRPr="009D0E29">
        <w:t>refers to the spontaneous</w:t>
      </w:r>
      <w:r w:rsidR="00885AA1" w:rsidRPr="00D46607">
        <w:t xml:space="preserve"> negative conversion of HBsAg in </w:t>
      </w:r>
      <w:r w:rsidRPr="009D0E29">
        <w:t xml:space="preserve">the </w:t>
      </w:r>
      <w:r w:rsidR="00885AA1" w:rsidRPr="009D0E29">
        <w:t xml:space="preserve">serum. </w:t>
      </w:r>
      <w:r w:rsidR="00E04B14" w:rsidRPr="009D0E29">
        <w:t xml:space="preserve">The </w:t>
      </w:r>
      <w:r w:rsidR="00885AA1" w:rsidRPr="009D0E29">
        <w:t>HBsAg-SCR is the signal-to-cutoff ratio of HBsAg</w:t>
      </w:r>
      <w:r w:rsidRPr="009D0E29">
        <w:t>,</w:t>
      </w:r>
      <w:r w:rsidR="00885AA1" w:rsidRPr="009D0E29">
        <w:t xml:space="preserve"> </w:t>
      </w:r>
      <w:r w:rsidRPr="009D0E29">
        <w:t xml:space="preserve">as </w:t>
      </w:r>
      <w:r w:rsidR="00885AA1" w:rsidRPr="009D0E29">
        <w:t xml:space="preserve">measured by qualitative assay, and </w:t>
      </w:r>
      <w:r w:rsidR="00E04B14" w:rsidRPr="009D0E29">
        <w:t xml:space="preserve">the </w:t>
      </w:r>
      <w:r w:rsidR="00885AA1" w:rsidRPr="009D0E29">
        <w:t xml:space="preserve">HBsAg-QNT is the quantity of HBsAg in </w:t>
      </w:r>
      <w:r w:rsidRPr="009D0E29">
        <w:t xml:space="preserve">the </w:t>
      </w:r>
      <w:r w:rsidR="00885AA1" w:rsidRPr="009D0E29">
        <w:t>serum</w:t>
      </w:r>
      <w:r w:rsidRPr="009D0E29">
        <w:t>,</w:t>
      </w:r>
      <w:r w:rsidR="00885AA1" w:rsidRPr="009D0E29">
        <w:t xml:space="preserve"> </w:t>
      </w:r>
      <w:r w:rsidRPr="009D0E29">
        <w:t xml:space="preserve">as </w:t>
      </w:r>
      <w:r w:rsidR="00885AA1" w:rsidRPr="009D0E29">
        <w:t xml:space="preserve">measured by quantitative assay. </w:t>
      </w:r>
      <w:r w:rsidR="00E04B14" w:rsidRPr="009D0E29">
        <w:t xml:space="preserve">The </w:t>
      </w:r>
      <w:r w:rsidR="00885AA1" w:rsidRPr="009D0E29">
        <w:t xml:space="preserve">HBsAg-SCR </w:t>
      </w:r>
      <w:r w:rsidR="00364D7E">
        <w:t>is determined according to</w:t>
      </w:r>
      <w:r w:rsidR="00364D7E" w:rsidRPr="009D0E29">
        <w:t xml:space="preserve"> </w:t>
      </w:r>
      <w:r w:rsidRPr="009D0E29">
        <w:t>the</w:t>
      </w:r>
      <w:r w:rsidR="00885AA1" w:rsidRPr="009D0E29">
        <w:t xml:space="preserve"> signal intensity of </w:t>
      </w:r>
      <w:r w:rsidRPr="009D0E29">
        <w:t xml:space="preserve">an </w:t>
      </w:r>
      <w:r w:rsidR="00885AA1" w:rsidRPr="009D0E29">
        <w:t>antigen-antibody reaction. We found that</w:t>
      </w:r>
      <w:r w:rsidR="00304D58" w:rsidRPr="009D0E29">
        <w:t xml:space="preserve"> c</w:t>
      </w:r>
      <w:r w:rsidR="003C1693" w:rsidRPr="009D0E29">
        <w:t xml:space="preserve">arriers </w:t>
      </w:r>
      <w:r w:rsidR="00304D58" w:rsidRPr="009D0E29">
        <w:t>with</w:t>
      </w:r>
      <w:r w:rsidRPr="009D0E29">
        <w:t xml:space="preserve"> a</w:t>
      </w:r>
      <w:r w:rsidR="00304D58" w:rsidRPr="009D0E29">
        <w:t xml:space="preserve"> very high HBV DNA titer</w:t>
      </w:r>
      <w:r w:rsidR="003C1693" w:rsidRPr="009D0E29">
        <w:t xml:space="preserve"> </w:t>
      </w:r>
      <w:r w:rsidRPr="009D0E29">
        <w:t xml:space="preserve">of </w:t>
      </w:r>
      <w:r w:rsidR="003C1693" w:rsidRPr="009D0E29">
        <w:t>&gt;</w:t>
      </w:r>
      <w:r w:rsidR="00440060">
        <w:rPr>
          <w:rFonts w:hint="eastAsia"/>
          <w:lang w:eastAsia="zh-CN"/>
        </w:rPr>
        <w:t xml:space="preserve"> </w:t>
      </w:r>
      <w:r w:rsidR="003C1693" w:rsidRPr="009D0E29">
        <w:t>7 log</w:t>
      </w:r>
      <w:r w:rsidR="000E2BD8" w:rsidRPr="009D0E29">
        <w:t>s</w:t>
      </w:r>
      <w:r w:rsidR="003C1693" w:rsidRPr="009D0E29">
        <w:t xml:space="preserve"> IU/mL</w:t>
      </w:r>
      <w:r w:rsidR="00304D58" w:rsidRPr="009D0E29">
        <w:t xml:space="preserve"> </w:t>
      </w:r>
      <w:r w:rsidRPr="009D0E29">
        <w:t>exhibited</w:t>
      </w:r>
      <w:r w:rsidR="00304D58" w:rsidRPr="009D0E29">
        <w:t xml:space="preserve"> a prozone effect,</w:t>
      </w:r>
      <w:r w:rsidR="003C1693" w:rsidRPr="009D0E29">
        <w:t xml:space="preserve"> in which </w:t>
      </w:r>
      <w:r w:rsidR="00E04B14" w:rsidRPr="009D0E29">
        <w:t xml:space="preserve">the </w:t>
      </w:r>
      <w:r w:rsidR="003C1693" w:rsidRPr="009D0E29">
        <w:t xml:space="preserve">HBsAg-SCR </w:t>
      </w:r>
      <w:r w:rsidRPr="009D0E29">
        <w:t>was</w:t>
      </w:r>
      <w:r w:rsidR="00304D58" w:rsidRPr="009D0E29">
        <w:t xml:space="preserve"> paradoxically reduced</w:t>
      </w:r>
      <w:r w:rsidR="003C1693" w:rsidRPr="009D0E29">
        <w:t xml:space="preserve"> </w:t>
      </w:r>
      <w:r w:rsidR="00304D58" w:rsidRPr="009D0E29">
        <w:t xml:space="preserve">by </w:t>
      </w:r>
      <w:r w:rsidRPr="009D0E29">
        <w:t xml:space="preserve">excess </w:t>
      </w:r>
      <w:r w:rsidR="00304D58" w:rsidRPr="009D0E29">
        <w:t>antigen.</w:t>
      </w:r>
      <w:r w:rsidRPr="009D0E29">
        <w:t xml:space="preserve"> In contrast</w:t>
      </w:r>
      <w:r w:rsidR="00304D58" w:rsidRPr="009D0E29">
        <w:t xml:space="preserve">, </w:t>
      </w:r>
      <w:r w:rsidR="003C1693" w:rsidRPr="009D0E29">
        <w:t xml:space="preserve">in </w:t>
      </w:r>
      <w:r w:rsidRPr="009D0E29">
        <w:t xml:space="preserve">the </w:t>
      </w:r>
      <w:r w:rsidR="003C1693" w:rsidRPr="009D0E29">
        <w:t>HBV DNA-</w:t>
      </w:r>
      <w:r w:rsidR="003C1693" w:rsidRPr="009D0E29">
        <w:lastRenderedPageBreak/>
        <w:t>negative</w:t>
      </w:r>
      <w:r w:rsidRPr="009D0E29">
        <w:t xml:space="preserve"> patients</w:t>
      </w:r>
      <w:r w:rsidR="003C1693" w:rsidRPr="009D0E29">
        <w:t xml:space="preserve">, </w:t>
      </w:r>
      <w:r w:rsidR="00E04B14" w:rsidRPr="009D0E29">
        <w:t xml:space="preserve">an </w:t>
      </w:r>
      <w:r w:rsidR="00304D58" w:rsidRPr="009D0E29">
        <w:t>HBsAg-SCR &lt;</w:t>
      </w:r>
      <w:r w:rsidR="00440060">
        <w:rPr>
          <w:rFonts w:hint="eastAsia"/>
          <w:lang w:eastAsia="zh-CN"/>
        </w:rPr>
        <w:t xml:space="preserve"> </w:t>
      </w:r>
      <w:r w:rsidR="00440060">
        <w:t>1</w:t>
      </w:r>
      <w:r w:rsidR="00065C5E" w:rsidRPr="009D0E29">
        <w:t>000</w:t>
      </w:r>
      <w:r w:rsidR="00304D58" w:rsidRPr="009D0E29">
        <w:t xml:space="preserve"> w</w:t>
      </w:r>
      <w:r w:rsidR="003C1693" w:rsidRPr="009D0E29">
        <w:t>as</w:t>
      </w:r>
      <w:r w:rsidR="00304D58" w:rsidRPr="009D0E29">
        <w:t xml:space="preserve"> </w:t>
      </w:r>
      <w:r w:rsidRPr="009D0E29">
        <w:t>strongly</w:t>
      </w:r>
      <w:r w:rsidR="00304D58" w:rsidRPr="009D0E29">
        <w:t xml:space="preserve"> correlated with </w:t>
      </w:r>
      <w:r w:rsidR="00E04B14" w:rsidRPr="009D0E29">
        <w:t xml:space="preserve">an </w:t>
      </w:r>
      <w:r w:rsidR="00304D58" w:rsidRPr="009D0E29">
        <w:t>HBsAg-QNT &lt;</w:t>
      </w:r>
      <w:r w:rsidR="00440060">
        <w:rPr>
          <w:rFonts w:hint="eastAsia"/>
          <w:lang w:eastAsia="zh-CN"/>
        </w:rPr>
        <w:t xml:space="preserve"> </w:t>
      </w:r>
      <w:r w:rsidR="00304D58" w:rsidRPr="009D0E29">
        <w:t>200 IU/mL. Otherwise,</w:t>
      </w:r>
      <w:r w:rsidR="003C1693" w:rsidRPr="009D0E29">
        <w:t xml:space="preserve"> </w:t>
      </w:r>
      <w:r w:rsidR="00E04B14" w:rsidRPr="009D0E29">
        <w:t xml:space="preserve">the </w:t>
      </w:r>
      <w:r w:rsidR="003C1693" w:rsidRPr="009D0E29">
        <w:t>HBsAg-SCR was not correlated with</w:t>
      </w:r>
      <w:r w:rsidR="00304D58" w:rsidRPr="009D0E29">
        <w:t xml:space="preserve"> </w:t>
      </w:r>
      <w:r w:rsidR="00E04B14" w:rsidRPr="009D0E29">
        <w:t xml:space="preserve">the </w:t>
      </w:r>
      <w:r w:rsidR="00304D58" w:rsidRPr="009D0E29">
        <w:t>HBsAg-QNT</w:t>
      </w:r>
      <w:r w:rsidR="00885AA1" w:rsidRPr="009D0E29">
        <w:t xml:space="preserve">. </w:t>
      </w:r>
    </w:p>
    <w:p w14:paraId="756EF285" w14:textId="77777777" w:rsidR="00EE74B9" w:rsidRPr="009D0E29" w:rsidRDefault="00EE74B9" w:rsidP="00E70A1E">
      <w:pPr>
        <w:wordWrap/>
        <w:spacing w:after="0"/>
      </w:pPr>
    </w:p>
    <w:p w14:paraId="3C5AD29A" w14:textId="77777777" w:rsidR="00EE74B9" w:rsidRPr="009D0E29" w:rsidRDefault="00EE74B9" w:rsidP="00E70A1E">
      <w:pPr>
        <w:wordWrap/>
        <w:spacing w:after="0"/>
        <w:rPr>
          <w:b/>
          <w:i/>
        </w:rPr>
      </w:pPr>
      <w:bookmarkStart w:id="41" w:name="OLE_LINK598"/>
      <w:bookmarkStart w:id="42" w:name="OLE_LINK599"/>
      <w:r w:rsidRPr="009D0E29">
        <w:rPr>
          <w:b/>
          <w:i/>
        </w:rPr>
        <w:t>Peer</w:t>
      </w:r>
      <w:r w:rsidRPr="00D46607">
        <w:rPr>
          <w:b/>
          <w:i/>
        </w:rPr>
        <w:t>-</w:t>
      </w:r>
      <w:r w:rsidRPr="009D0E29">
        <w:rPr>
          <w:b/>
          <w:i/>
        </w:rPr>
        <w:t>review</w:t>
      </w: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14:paraId="68D2EACA" w14:textId="5281A0F8" w:rsidR="008071B3" w:rsidRPr="009D0E29" w:rsidRDefault="00A709DB" w:rsidP="00E70A1E">
      <w:pPr>
        <w:widowControl/>
        <w:wordWrap/>
        <w:autoSpaceDE/>
        <w:autoSpaceDN/>
        <w:spacing w:after="0"/>
        <w:rPr>
          <w:color w:val="000000"/>
          <w:kern w:val="0"/>
          <w:szCs w:val="22"/>
        </w:rPr>
      </w:pPr>
      <w:r w:rsidRPr="00D46607">
        <w:rPr>
          <w:szCs w:val="24"/>
        </w:rPr>
        <w:t xml:space="preserve">This invited manuscript written by </w:t>
      </w:r>
      <w:r w:rsidR="00440060">
        <w:rPr>
          <w:szCs w:val="24"/>
        </w:rPr>
        <w:t xml:space="preserve">Park </w:t>
      </w:r>
      <w:r w:rsidR="00440060" w:rsidRPr="00440060">
        <w:rPr>
          <w:i/>
          <w:szCs w:val="24"/>
        </w:rPr>
        <w:t>et al</w:t>
      </w:r>
      <w:r w:rsidRPr="00D46607">
        <w:rPr>
          <w:szCs w:val="24"/>
        </w:rPr>
        <w:t xml:space="preserve"> investigated the clinical features of HBsAg serological clearance among </w:t>
      </w:r>
      <w:r w:rsidR="000023A1" w:rsidRPr="00D46607">
        <w:rPr>
          <w:szCs w:val="24"/>
        </w:rPr>
        <w:t>almost</w:t>
      </w:r>
      <w:r w:rsidRPr="00D46607">
        <w:rPr>
          <w:szCs w:val="24"/>
        </w:rPr>
        <w:t xml:space="preserve"> 2000 Korean HBV carriers. This is a </w:t>
      </w:r>
      <w:r w:rsidR="00C707CD" w:rsidRPr="00D46607">
        <w:rPr>
          <w:szCs w:val="24"/>
        </w:rPr>
        <w:t>valuable</w:t>
      </w:r>
      <w:r w:rsidRPr="00D46607">
        <w:rPr>
          <w:szCs w:val="24"/>
        </w:rPr>
        <w:t xml:space="preserve"> </w:t>
      </w:r>
      <w:r w:rsidR="000023A1" w:rsidRPr="00D46607">
        <w:rPr>
          <w:szCs w:val="24"/>
        </w:rPr>
        <w:t xml:space="preserve">study </w:t>
      </w:r>
      <w:r w:rsidR="000023A1" w:rsidRPr="009D0E29">
        <w:rPr>
          <w:szCs w:val="24"/>
        </w:rPr>
        <w:t>that</w:t>
      </w:r>
      <w:r w:rsidRPr="009D0E29">
        <w:rPr>
          <w:szCs w:val="24"/>
        </w:rPr>
        <w:t xml:space="preserve"> include</w:t>
      </w:r>
      <w:r w:rsidR="00C707CD" w:rsidRPr="00D46607">
        <w:rPr>
          <w:szCs w:val="24"/>
        </w:rPr>
        <w:t>d</w:t>
      </w:r>
      <w:r w:rsidR="000023A1" w:rsidRPr="00D46607">
        <w:rPr>
          <w:szCs w:val="24"/>
        </w:rPr>
        <w:t xml:space="preserve"> </w:t>
      </w:r>
      <w:r w:rsidRPr="00D46607">
        <w:rPr>
          <w:szCs w:val="24"/>
        </w:rPr>
        <w:t>large</w:t>
      </w:r>
      <w:r w:rsidR="000023A1" w:rsidRPr="00D46607">
        <w:rPr>
          <w:szCs w:val="24"/>
        </w:rPr>
        <w:t>-</w:t>
      </w:r>
      <w:r w:rsidRPr="00D46607">
        <w:rPr>
          <w:szCs w:val="24"/>
        </w:rPr>
        <w:t>scale clinical sample analyses</w:t>
      </w:r>
      <w:r w:rsidR="00C707CD" w:rsidRPr="00D46607">
        <w:rPr>
          <w:szCs w:val="24"/>
        </w:rPr>
        <w:t>; the</w:t>
      </w:r>
      <w:r w:rsidRPr="00D46607">
        <w:rPr>
          <w:szCs w:val="24"/>
        </w:rPr>
        <w:t xml:space="preserve"> significant conclusion </w:t>
      </w:r>
      <w:r w:rsidR="00C707CD" w:rsidRPr="009D0E29">
        <w:rPr>
          <w:szCs w:val="24"/>
        </w:rPr>
        <w:t xml:space="preserve">of this study </w:t>
      </w:r>
      <w:r w:rsidR="001C120B" w:rsidRPr="009D0E29">
        <w:rPr>
          <w:szCs w:val="24"/>
        </w:rPr>
        <w:t>is</w:t>
      </w:r>
      <w:r w:rsidR="00C707CD" w:rsidRPr="009D0E29">
        <w:rPr>
          <w:szCs w:val="24"/>
        </w:rPr>
        <w:t xml:space="preserve"> </w:t>
      </w:r>
      <w:r w:rsidRPr="009D0E29">
        <w:rPr>
          <w:szCs w:val="24"/>
        </w:rPr>
        <w:t>that liver cancer surveillance should be continued after HBsAg seroclearance, particularly in patients with cirrhosis. The title describes the contents of the paper. The abstract is informative and completely self-explanatory</w:t>
      </w:r>
      <w:r w:rsidR="000023A1" w:rsidRPr="009D0E29">
        <w:rPr>
          <w:szCs w:val="24"/>
        </w:rPr>
        <w:t>; it</w:t>
      </w:r>
      <w:r w:rsidRPr="009D0E29">
        <w:rPr>
          <w:szCs w:val="24"/>
        </w:rPr>
        <w:t xml:space="preserve"> briefly present</w:t>
      </w:r>
      <w:r w:rsidR="000023A1" w:rsidRPr="009D0E29">
        <w:rPr>
          <w:szCs w:val="24"/>
        </w:rPr>
        <w:t>s</w:t>
      </w:r>
      <w:r w:rsidRPr="009D0E29">
        <w:rPr>
          <w:szCs w:val="24"/>
        </w:rPr>
        <w:t xml:space="preserve"> the topic, state</w:t>
      </w:r>
      <w:r w:rsidR="000023A1" w:rsidRPr="009D0E29">
        <w:rPr>
          <w:szCs w:val="24"/>
        </w:rPr>
        <w:t>s</w:t>
      </w:r>
      <w:r w:rsidRPr="009D0E29">
        <w:rPr>
          <w:szCs w:val="24"/>
        </w:rPr>
        <w:t xml:space="preserve"> the scope of the experiments, </w:t>
      </w:r>
      <w:r w:rsidR="000023A1" w:rsidRPr="009D0E29">
        <w:rPr>
          <w:szCs w:val="24"/>
        </w:rPr>
        <w:t>provides the</w:t>
      </w:r>
      <w:r w:rsidRPr="009D0E29">
        <w:rPr>
          <w:szCs w:val="24"/>
        </w:rPr>
        <w:t xml:space="preserve"> significant data, and </w:t>
      </w:r>
      <w:r w:rsidR="00E01422" w:rsidRPr="009D0E29">
        <w:rPr>
          <w:szCs w:val="24"/>
        </w:rPr>
        <w:t>note</w:t>
      </w:r>
      <w:r w:rsidR="000023A1" w:rsidRPr="009D0E29">
        <w:rPr>
          <w:szCs w:val="24"/>
        </w:rPr>
        <w:t>s the</w:t>
      </w:r>
      <w:r w:rsidRPr="009D0E29">
        <w:rPr>
          <w:szCs w:val="24"/>
        </w:rPr>
        <w:t xml:space="preserve"> major findings and conclusions. The purpose or purported significance of the article is explicitly stated. The research study methods are complete enough to </w:t>
      </w:r>
      <w:r w:rsidR="00885DC3" w:rsidRPr="009D0E29">
        <w:rPr>
          <w:szCs w:val="24"/>
        </w:rPr>
        <w:t>enable</w:t>
      </w:r>
      <w:r w:rsidRPr="009D0E29">
        <w:rPr>
          <w:szCs w:val="24"/>
        </w:rPr>
        <w:t xml:space="preserve"> </w:t>
      </w:r>
      <w:r w:rsidR="00885DC3" w:rsidRPr="009D0E29">
        <w:rPr>
          <w:szCs w:val="24"/>
        </w:rPr>
        <w:t xml:space="preserve">the </w:t>
      </w:r>
      <w:r w:rsidRPr="009D0E29">
        <w:rPr>
          <w:szCs w:val="24"/>
        </w:rPr>
        <w:t>experiments to be reproduced. All figures and table</w:t>
      </w:r>
      <w:r w:rsidR="00885DC3" w:rsidRPr="009D0E29">
        <w:rPr>
          <w:szCs w:val="24"/>
        </w:rPr>
        <w:t>s</w:t>
      </w:r>
      <w:r w:rsidRPr="009D0E29">
        <w:rPr>
          <w:szCs w:val="24"/>
        </w:rPr>
        <w:t xml:space="preserve"> are necessary and appropriate. The discussion interprets the findings in view of the results obtained in this and in past studies on this topic. </w:t>
      </w:r>
      <w:r w:rsidR="008071B3" w:rsidRPr="009D0E29">
        <w:rPr>
          <w:szCs w:val="22"/>
        </w:rPr>
        <w:br w:type="page"/>
      </w:r>
    </w:p>
    <w:p w14:paraId="7B9F7D90" w14:textId="609E1D1A" w:rsidR="008071B3" w:rsidRDefault="008071B3" w:rsidP="00A450C1">
      <w:pPr>
        <w:keepNext/>
        <w:wordWrap/>
        <w:spacing w:after="0"/>
        <w:outlineLvl w:val="1"/>
        <w:rPr>
          <w:rFonts w:eastAsia="DengXian"/>
          <w:kern w:val="0"/>
          <w:lang w:eastAsia="zh-CN"/>
        </w:rPr>
      </w:pPr>
      <w:r w:rsidRPr="009D0E29">
        <w:rPr>
          <w:rFonts w:eastAsiaTheme="majorEastAsia" w:cstheme="majorBidi"/>
          <w:b/>
          <w:szCs w:val="22"/>
        </w:rPr>
        <w:lastRenderedPageBreak/>
        <w:t>REFERENCES</w:t>
      </w:r>
    </w:p>
    <w:p w14:paraId="2ACF3F42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1 </w:t>
      </w:r>
      <w:r w:rsidRPr="00BB2501">
        <w:rPr>
          <w:rFonts w:eastAsia="SimSun" w:cs="SimSun"/>
          <w:b/>
          <w:bCs/>
          <w:kern w:val="0"/>
          <w:szCs w:val="24"/>
        </w:rPr>
        <w:t>Lee WM</w:t>
      </w:r>
      <w:r w:rsidRPr="00BB2501">
        <w:rPr>
          <w:rFonts w:eastAsia="SimSun" w:cs="SimSun"/>
          <w:kern w:val="0"/>
          <w:szCs w:val="24"/>
        </w:rPr>
        <w:t>. Hepatitis B virus infection. </w:t>
      </w:r>
      <w:r w:rsidRPr="00BB2501">
        <w:rPr>
          <w:rFonts w:eastAsia="SimSun" w:cs="SimSun"/>
          <w:i/>
          <w:iCs/>
          <w:kern w:val="0"/>
          <w:szCs w:val="24"/>
        </w:rPr>
        <w:t>N Engl J Med</w:t>
      </w:r>
      <w:r w:rsidRPr="00BB2501">
        <w:rPr>
          <w:rFonts w:eastAsia="SimSun" w:cs="SimSun"/>
          <w:kern w:val="0"/>
          <w:szCs w:val="24"/>
        </w:rPr>
        <w:t> 1997; </w:t>
      </w:r>
      <w:r w:rsidRPr="00BB2501">
        <w:rPr>
          <w:rFonts w:eastAsia="SimSun" w:cs="SimSun"/>
          <w:b/>
          <w:bCs/>
          <w:kern w:val="0"/>
          <w:szCs w:val="24"/>
        </w:rPr>
        <w:t>337</w:t>
      </w:r>
      <w:r w:rsidRPr="00BB2501">
        <w:rPr>
          <w:rFonts w:eastAsia="SimSun" w:cs="SimSun"/>
          <w:kern w:val="0"/>
          <w:szCs w:val="24"/>
        </w:rPr>
        <w:t>: 1733-1745 [PMID: 9392700 DOI: 10.1056/NEJM199712113372406]</w:t>
      </w:r>
    </w:p>
    <w:p w14:paraId="6BBA86E3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2 </w:t>
      </w:r>
      <w:r w:rsidRPr="00BB2501">
        <w:rPr>
          <w:rFonts w:eastAsia="SimSun" w:cs="SimSun"/>
          <w:b/>
          <w:bCs/>
          <w:kern w:val="0"/>
          <w:szCs w:val="24"/>
        </w:rPr>
        <w:t>Yuen MF</w:t>
      </w:r>
      <w:r w:rsidRPr="00BB2501">
        <w:rPr>
          <w:rFonts w:eastAsia="SimSun" w:cs="SimSun"/>
          <w:kern w:val="0"/>
          <w:szCs w:val="24"/>
        </w:rPr>
        <w:t>, Lai CL. Natural history of chronic hepatitis B virus infection. </w:t>
      </w:r>
      <w:r w:rsidRPr="00BB2501">
        <w:rPr>
          <w:rFonts w:eastAsia="SimSun" w:cs="SimSun"/>
          <w:i/>
          <w:iCs/>
          <w:kern w:val="0"/>
          <w:szCs w:val="24"/>
        </w:rPr>
        <w:t>J Gastroenterol Hepatol</w:t>
      </w:r>
      <w:r w:rsidRPr="00BB2501">
        <w:rPr>
          <w:rFonts w:eastAsia="SimSun" w:cs="SimSun"/>
          <w:kern w:val="0"/>
          <w:szCs w:val="24"/>
        </w:rPr>
        <w:t> 2000; </w:t>
      </w:r>
      <w:r w:rsidRPr="00BB2501">
        <w:rPr>
          <w:rFonts w:eastAsia="SimSun" w:cs="SimSun"/>
          <w:b/>
          <w:bCs/>
          <w:kern w:val="0"/>
          <w:szCs w:val="24"/>
        </w:rPr>
        <w:t xml:space="preserve">15 </w:t>
      </w:r>
      <w:r w:rsidRPr="00BB2501">
        <w:rPr>
          <w:rFonts w:eastAsia="SimSun" w:cs="SimSun"/>
          <w:bCs/>
          <w:kern w:val="0"/>
          <w:szCs w:val="24"/>
        </w:rPr>
        <w:t>Suppl</w:t>
      </w:r>
      <w:r w:rsidRPr="00BB2501">
        <w:rPr>
          <w:rFonts w:eastAsia="SimSun" w:cs="SimSun"/>
          <w:kern w:val="0"/>
          <w:szCs w:val="24"/>
        </w:rPr>
        <w:t>: E20-E24 [PMID: 10921377 DOI: 10.1046/j.1440-1746.2000.02123.x]</w:t>
      </w:r>
    </w:p>
    <w:p w14:paraId="6DD5B058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3 </w:t>
      </w:r>
      <w:r w:rsidRPr="00BB2501">
        <w:rPr>
          <w:rFonts w:eastAsia="SimSun" w:cs="SimSun"/>
          <w:b/>
          <w:bCs/>
          <w:kern w:val="0"/>
          <w:szCs w:val="24"/>
        </w:rPr>
        <w:t>Liaw YF</w:t>
      </w:r>
      <w:r w:rsidRPr="00BB2501">
        <w:rPr>
          <w:rFonts w:eastAsia="SimSun" w:cs="SimSun"/>
          <w:kern w:val="0"/>
          <w:szCs w:val="24"/>
        </w:rPr>
        <w:t>, Chu CM. Hepatitis B virus infection. </w:t>
      </w:r>
      <w:r w:rsidRPr="00BB2501">
        <w:rPr>
          <w:rFonts w:eastAsia="SimSun" w:cs="SimSun"/>
          <w:i/>
          <w:iCs/>
          <w:kern w:val="0"/>
          <w:szCs w:val="24"/>
        </w:rPr>
        <w:t>Lancet</w:t>
      </w:r>
      <w:r w:rsidRPr="00BB2501">
        <w:rPr>
          <w:rFonts w:eastAsia="SimSun" w:cs="SimSun"/>
          <w:kern w:val="0"/>
          <w:szCs w:val="24"/>
        </w:rPr>
        <w:t> 2009; </w:t>
      </w:r>
      <w:r w:rsidRPr="00BB2501">
        <w:rPr>
          <w:rFonts w:eastAsia="SimSun" w:cs="SimSun"/>
          <w:b/>
          <w:bCs/>
          <w:kern w:val="0"/>
          <w:szCs w:val="24"/>
        </w:rPr>
        <w:t>373</w:t>
      </w:r>
      <w:r w:rsidRPr="00BB2501">
        <w:rPr>
          <w:rFonts w:eastAsia="SimSun" w:cs="SimSun"/>
          <w:kern w:val="0"/>
          <w:szCs w:val="24"/>
        </w:rPr>
        <w:t>: 582-592 [PMID: 19217993 DOI: 10.1016/S0140-6736(09)60207-5]</w:t>
      </w:r>
    </w:p>
    <w:p w14:paraId="39DAFFCE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4 </w:t>
      </w:r>
      <w:r w:rsidRPr="00BB2501">
        <w:rPr>
          <w:rFonts w:eastAsia="SimSun" w:cs="SimSun"/>
          <w:b/>
          <w:bCs/>
          <w:kern w:val="0"/>
          <w:szCs w:val="24"/>
        </w:rPr>
        <w:t>Shi YH</w:t>
      </w:r>
      <w:r w:rsidRPr="00BB2501">
        <w:rPr>
          <w:rFonts w:eastAsia="SimSun" w:cs="SimSun"/>
          <w:kern w:val="0"/>
          <w:szCs w:val="24"/>
        </w:rPr>
        <w:t>, Shi CH. Molecular characteristics and stages of chronic hepatitis B virus infection. </w:t>
      </w:r>
      <w:r w:rsidRPr="00BB2501">
        <w:rPr>
          <w:rFonts w:eastAsia="SimSun" w:cs="SimSun"/>
          <w:i/>
          <w:iCs/>
          <w:kern w:val="0"/>
          <w:szCs w:val="24"/>
        </w:rPr>
        <w:t>World J Gastroenterol</w:t>
      </w:r>
      <w:r w:rsidRPr="00BB2501">
        <w:rPr>
          <w:rFonts w:eastAsia="SimSun" w:cs="SimSun"/>
          <w:kern w:val="0"/>
          <w:szCs w:val="24"/>
        </w:rPr>
        <w:t> 2009; </w:t>
      </w:r>
      <w:r w:rsidRPr="00BB2501">
        <w:rPr>
          <w:rFonts w:eastAsia="SimSun" w:cs="SimSun"/>
          <w:b/>
          <w:bCs/>
          <w:kern w:val="0"/>
          <w:szCs w:val="24"/>
        </w:rPr>
        <w:t>15</w:t>
      </w:r>
      <w:r w:rsidRPr="00BB2501">
        <w:rPr>
          <w:rFonts w:eastAsia="SimSun" w:cs="SimSun"/>
          <w:kern w:val="0"/>
          <w:szCs w:val="24"/>
        </w:rPr>
        <w:t>: 3099-3105 [PMID: 19575488 DOI: 10.3748/wjg.15.3099]</w:t>
      </w:r>
    </w:p>
    <w:p w14:paraId="2194419A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5 </w:t>
      </w:r>
      <w:r w:rsidRPr="00BB2501">
        <w:rPr>
          <w:rFonts w:eastAsia="SimSun" w:cs="SimSun"/>
          <w:b/>
          <w:bCs/>
          <w:kern w:val="0"/>
          <w:szCs w:val="24"/>
        </w:rPr>
        <w:t>Invernizzi F</w:t>
      </w:r>
      <w:r w:rsidRPr="00BB2501">
        <w:rPr>
          <w:rFonts w:eastAsia="SimSun" w:cs="SimSun"/>
          <w:kern w:val="0"/>
          <w:szCs w:val="24"/>
        </w:rPr>
        <w:t>, Viganò M, Grossi G, Lampertico P. The prognosis and management of inactive HBV carriers. </w:t>
      </w:r>
      <w:r w:rsidRPr="00BB2501">
        <w:rPr>
          <w:rFonts w:eastAsia="SimSun" w:cs="SimSun"/>
          <w:i/>
          <w:iCs/>
          <w:kern w:val="0"/>
          <w:szCs w:val="24"/>
        </w:rPr>
        <w:t>Liver Int</w:t>
      </w:r>
      <w:r w:rsidRPr="00BB2501">
        <w:rPr>
          <w:rFonts w:eastAsia="SimSun" w:cs="SimSun"/>
          <w:kern w:val="0"/>
          <w:szCs w:val="24"/>
        </w:rPr>
        <w:t> 2016; </w:t>
      </w:r>
      <w:r w:rsidRPr="00BB2501">
        <w:rPr>
          <w:rFonts w:eastAsia="SimSun" w:cs="SimSun"/>
          <w:b/>
          <w:bCs/>
          <w:kern w:val="0"/>
          <w:szCs w:val="24"/>
        </w:rPr>
        <w:t>36</w:t>
      </w:r>
      <w:r w:rsidRPr="00BB2501">
        <w:rPr>
          <w:rFonts w:eastAsia="SimSun" w:cs="SimSun"/>
          <w:bCs/>
          <w:kern w:val="0"/>
          <w:szCs w:val="24"/>
        </w:rPr>
        <w:t xml:space="preserve"> Suppl 1</w:t>
      </w:r>
      <w:r w:rsidRPr="00BB2501">
        <w:rPr>
          <w:rFonts w:eastAsia="SimSun" w:cs="SimSun"/>
          <w:kern w:val="0"/>
          <w:szCs w:val="24"/>
        </w:rPr>
        <w:t>: 100-104 [PMID: 26725905 DOI: 10.1111/liv.13006]</w:t>
      </w:r>
    </w:p>
    <w:p w14:paraId="4FA57A86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6 </w:t>
      </w:r>
      <w:r w:rsidRPr="00BB2501">
        <w:rPr>
          <w:rFonts w:eastAsia="SimSun" w:cs="SimSun"/>
          <w:b/>
          <w:bCs/>
          <w:kern w:val="0"/>
          <w:szCs w:val="24"/>
        </w:rPr>
        <w:t>Tseng TC</w:t>
      </w:r>
      <w:r w:rsidRPr="00BB2501">
        <w:rPr>
          <w:rFonts w:eastAsia="SimSun" w:cs="SimSun"/>
          <w:kern w:val="0"/>
          <w:szCs w:val="24"/>
        </w:rPr>
        <w:t>, Liu CJ, Yang HC, Su TH, Wang CC, Chen CL, Kuo SF, Liu CH, Chen PJ, Chen DS, Kao JH. Determinants of spontaneous surface antigen loss in hepatitis B e antigen-negative patients with a low viral load. </w:t>
      </w:r>
      <w:r w:rsidRPr="00BB2501">
        <w:rPr>
          <w:rFonts w:eastAsia="SimSun" w:cs="SimSun"/>
          <w:i/>
          <w:iCs/>
          <w:kern w:val="0"/>
          <w:szCs w:val="24"/>
        </w:rPr>
        <w:t>Hepatology</w:t>
      </w:r>
      <w:r w:rsidRPr="00BB2501">
        <w:rPr>
          <w:rFonts w:eastAsia="SimSun" w:cs="SimSun"/>
          <w:kern w:val="0"/>
          <w:szCs w:val="24"/>
        </w:rPr>
        <w:t> 2012; </w:t>
      </w:r>
      <w:r w:rsidRPr="00BB2501">
        <w:rPr>
          <w:rFonts w:eastAsia="SimSun" w:cs="SimSun"/>
          <w:b/>
          <w:bCs/>
          <w:kern w:val="0"/>
          <w:szCs w:val="24"/>
        </w:rPr>
        <w:t>55</w:t>
      </w:r>
      <w:r w:rsidRPr="00BB2501">
        <w:rPr>
          <w:rFonts w:eastAsia="SimSun" w:cs="SimSun"/>
          <w:kern w:val="0"/>
          <w:szCs w:val="24"/>
        </w:rPr>
        <w:t>: 68-76 [PMID: 21858846 DOI: 10.1002/hep.24615]</w:t>
      </w:r>
    </w:p>
    <w:p w14:paraId="1A5A4EC2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7 </w:t>
      </w:r>
      <w:r w:rsidRPr="00BB2501">
        <w:rPr>
          <w:rFonts w:eastAsia="SimSun" w:cs="SimSun"/>
          <w:b/>
          <w:bCs/>
          <w:kern w:val="0"/>
          <w:szCs w:val="24"/>
        </w:rPr>
        <w:t>Tong MJ</w:t>
      </w:r>
      <w:r w:rsidRPr="00BB2501">
        <w:rPr>
          <w:rFonts w:eastAsia="SimSun" w:cs="SimSun"/>
          <w:kern w:val="0"/>
          <w:szCs w:val="24"/>
        </w:rPr>
        <w:t>, Trieu J. Hepatitis B inactive carriers: clinical course and outcomes. </w:t>
      </w:r>
      <w:r w:rsidRPr="00BB2501">
        <w:rPr>
          <w:rFonts w:eastAsia="SimSun" w:cs="SimSun"/>
          <w:i/>
          <w:iCs/>
          <w:kern w:val="0"/>
          <w:szCs w:val="24"/>
        </w:rPr>
        <w:t>J Dig Dis</w:t>
      </w:r>
      <w:r w:rsidRPr="00BB2501">
        <w:rPr>
          <w:rFonts w:eastAsia="SimSun" w:cs="SimSun"/>
          <w:kern w:val="0"/>
          <w:szCs w:val="24"/>
        </w:rPr>
        <w:t> 2013; </w:t>
      </w:r>
      <w:r w:rsidRPr="00BB2501">
        <w:rPr>
          <w:rFonts w:eastAsia="SimSun" w:cs="SimSun"/>
          <w:b/>
          <w:bCs/>
          <w:kern w:val="0"/>
          <w:szCs w:val="24"/>
        </w:rPr>
        <w:t>14</w:t>
      </w:r>
      <w:r w:rsidRPr="00BB2501">
        <w:rPr>
          <w:rFonts w:eastAsia="SimSun" w:cs="SimSun"/>
          <w:kern w:val="0"/>
          <w:szCs w:val="24"/>
        </w:rPr>
        <w:t>: 311-317 [PMID: 23433008 DOI: 10.1111/1751-2980.12051]</w:t>
      </w:r>
    </w:p>
    <w:p w14:paraId="158C276B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8 </w:t>
      </w:r>
      <w:r w:rsidRPr="00BB2501">
        <w:rPr>
          <w:rFonts w:eastAsia="SimSun" w:cs="SimSun"/>
          <w:b/>
          <w:bCs/>
          <w:kern w:val="0"/>
          <w:szCs w:val="24"/>
        </w:rPr>
        <w:t>Bae SH</w:t>
      </w:r>
      <w:r w:rsidRPr="00BB2501">
        <w:rPr>
          <w:rFonts w:eastAsia="SimSun" w:cs="SimSun"/>
          <w:kern w:val="0"/>
          <w:szCs w:val="24"/>
        </w:rPr>
        <w:t>, Yoon SK, Jang JW, Kim CW, Nam SW, Choi JY, Kim BS, Park YM, Suzuki S, Sugauchi F, Mizokami M. Hepatitis B virus genotype C prevails among chronic carriers of the virus in Korea. </w:t>
      </w:r>
      <w:r w:rsidRPr="00BB2501">
        <w:rPr>
          <w:rFonts w:eastAsia="SimSun" w:cs="SimSun"/>
          <w:i/>
          <w:iCs/>
          <w:kern w:val="0"/>
          <w:szCs w:val="24"/>
        </w:rPr>
        <w:t>J Korean Med Sci</w:t>
      </w:r>
      <w:r w:rsidRPr="00BB2501">
        <w:rPr>
          <w:rFonts w:eastAsia="SimSun" w:cs="SimSun"/>
          <w:kern w:val="0"/>
          <w:szCs w:val="24"/>
        </w:rPr>
        <w:t> 2005; </w:t>
      </w:r>
      <w:r w:rsidRPr="00BB2501">
        <w:rPr>
          <w:rFonts w:eastAsia="SimSun" w:cs="SimSun"/>
          <w:b/>
          <w:bCs/>
          <w:kern w:val="0"/>
          <w:szCs w:val="24"/>
        </w:rPr>
        <w:t>20</w:t>
      </w:r>
      <w:r w:rsidRPr="00BB2501">
        <w:rPr>
          <w:rFonts w:eastAsia="SimSun" w:cs="SimSun"/>
          <w:kern w:val="0"/>
          <w:szCs w:val="24"/>
        </w:rPr>
        <w:t>: 816-820 [PMID: 16224156 DOI: 10.3346/jkms.2005.20.5.816]</w:t>
      </w:r>
    </w:p>
    <w:p w14:paraId="3CD0FD87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9 </w:t>
      </w:r>
      <w:r w:rsidRPr="00BB2501">
        <w:rPr>
          <w:rFonts w:eastAsia="SimSun" w:cs="SimSun"/>
          <w:b/>
          <w:bCs/>
          <w:kern w:val="0"/>
          <w:szCs w:val="24"/>
        </w:rPr>
        <w:t>Jang JW</w:t>
      </w:r>
      <w:r w:rsidRPr="00BB2501">
        <w:rPr>
          <w:rFonts w:eastAsia="SimSun" w:cs="SimSun"/>
          <w:kern w:val="0"/>
          <w:szCs w:val="24"/>
        </w:rPr>
        <w:t>, Chun JY, Park YM, Shin SK, Yoo W, Kim SO, Hong SP. Mutational complex genotype of the hepatitis B virus X</w:t>
      </w:r>
      <w:r w:rsidRPr="00BB2501">
        <w:rPr>
          <w:rFonts w:ascii="Times New Roman" w:eastAsia="MS Mincho" w:hAnsi="Times New Roman" w:cs="Times New Roman"/>
          <w:kern w:val="0"/>
          <w:szCs w:val="24"/>
        </w:rPr>
        <w:t> </w:t>
      </w:r>
      <w:r w:rsidRPr="00BB2501">
        <w:rPr>
          <w:rFonts w:eastAsia="SimSun" w:cs="SimSun"/>
          <w:kern w:val="0"/>
          <w:szCs w:val="24"/>
        </w:rPr>
        <w:t xml:space="preserve">/precore regions as a novel predictive </w:t>
      </w:r>
      <w:r w:rsidRPr="00BB2501">
        <w:rPr>
          <w:rFonts w:eastAsia="SimSun" w:cs="SimSun"/>
          <w:kern w:val="0"/>
          <w:szCs w:val="24"/>
        </w:rPr>
        <w:lastRenderedPageBreak/>
        <w:t>marker for hepatocellular carcinoma. </w:t>
      </w:r>
      <w:r w:rsidRPr="00BB2501">
        <w:rPr>
          <w:rFonts w:eastAsia="SimSun" w:cs="SimSun"/>
          <w:i/>
          <w:iCs/>
          <w:kern w:val="0"/>
          <w:szCs w:val="24"/>
        </w:rPr>
        <w:t>Cancer Sci</w:t>
      </w:r>
      <w:r w:rsidRPr="00BB2501">
        <w:rPr>
          <w:rFonts w:eastAsia="SimSun" w:cs="SimSun"/>
          <w:kern w:val="0"/>
          <w:szCs w:val="24"/>
        </w:rPr>
        <w:t> 2012; </w:t>
      </w:r>
      <w:r w:rsidRPr="00BB2501">
        <w:rPr>
          <w:rFonts w:eastAsia="SimSun" w:cs="SimSun"/>
          <w:b/>
          <w:bCs/>
          <w:kern w:val="0"/>
          <w:szCs w:val="24"/>
        </w:rPr>
        <w:t>103</w:t>
      </w:r>
      <w:r w:rsidRPr="00BB2501">
        <w:rPr>
          <w:rFonts w:eastAsia="SimSun" w:cs="SimSun"/>
          <w:kern w:val="0"/>
          <w:szCs w:val="24"/>
        </w:rPr>
        <w:t>: 296-304 [PMID: 22136288 DOI: 10.1111/j.1349-7006.2011.02170.x]</w:t>
      </w:r>
    </w:p>
    <w:p w14:paraId="389AECB9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10 </w:t>
      </w:r>
      <w:r w:rsidRPr="00BB2501">
        <w:rPr>
          <w:rFonts w:eastAsia="SimSun" w:cs="SimSun"/>
          <w:b/>
          <w:bCs/>
          <w:kern w:val="0"/>
          <w:szCs w:val="24"/>
        </w:rPr>
        <w:t>Park YM</w:t>
      </w:r>
      <w:r w:rsidRPr="00BB2501">
        <w:rPr>
          <w:rFonts w:eastAsia="SimSun" w:cs="SimSun"/>
          <w:kern w:val="0"/>
          <w:szCs w:val="24"/>
        </w:rPr>
        <w:t>, Jang JW, Yoo SH, Kim SH, Oh IM, Park SJ, Jang YS, Lee SJ. Combinations of eight key mutations in the X/preC region and genomic activity of hepatitis B virus are associated with hepatocellular carcinoma. </w:t>
      </w:r>
      <w:r w:rsidRPr="00BB2501">
        <w:rPr>
          <w:rFonts w:eastAsia="SimSun" w:cs="SimSun"/>
          <w:i/>
          <w:iCs/>
          <w:kern w:val="0"/>
          <w:szCs w:val="24"/>
        </w:rPr>
        <w:t>J Viral Hepat</w:t>
      </w:r>
      <w:r w:rsidRPr="00BB2501">
        <w:rPr>
          <w:rFonts w:eastAsia="SimSun" w:cs="SimSun"/>
          <w:kern w:val="0"/>
          <w:szCs w:val="24"/>
        </w:rPr>
        <w:t> 2014; </w:t>
      </w:r>
      <w:r w:rsidRPr="00BB2501">
        <w:rPr>
          <w:rFonts w:eastAsia="SimSun" w:cs="SimSun"/>
          <w:b/>
          <w:bCs/>
          <w:kern w:val="0"/>
          <w:szCs w:val="24"/>
        </w:rPr>
        <w:t>21</w:t>
      </w:r>
      <w:r w:rsidRPr="00BB2501">
        <w:rPr>
          <w:rFonts w:eastAsia="SimSun" w:cs="SimSun"/>
          <w:kern w:val="0"/>
          <w:szCs w:val="24"/>
        </w:rPr>
        <w:t>: 171-177 [PMID: 24344773 DOI: 10.1111/jvh.12134]</w:t>
      </w:r>
    </w:p>
    <w:p w14:paraId="2A785664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11 </w:t>
      </w:r>
      <w:r w:rsidRPr="00BB2501">
        <w:rPr>
          <w:rFonts w:eastAsia="SimSun" w:cs="SimSun"/>
          <w:b/>
          <w:bCs/>
          <w:kern w:val="0"/>
          <w:szCs w:val="24"/>
        </w:rPr>
        <w:t>Park YM</w:t>
      </w:r>
      <w:r w:rsidRPr="00BB2501">
        <w:rPr>
          <w:rFonts w:eastAsia="SimSun" w:cs="SimSun"/>
          <w:kern w:val="0"/>
          <w:szCs w:val="24"/>
        </w:rPr>
        <w:t>. Clinical utility of complex mutations in the core promoter and proximal precore regions of the hepatitis B virus genome. </w:t>
      </w:r>
      <w:r w:rsidRPr="00BB2501">
        <w:rPr>
          <w:rFonts w:eastAsia="SimSun" w:cs="SimSun"/>
          <w:i/>
          <w:iCs/>
          <w:kern w:val="0"/>
          <w:szCs w:val="24"/>
        </w:rPr>
        <w:t>World J Hepatol</w:t>
      </w:r>
      <w:r w:rsidRPr="00BB2501">
        <w:rPr>
          <w:rFonts w:eastAsia="SimSun" w:cs="SimSun"/>
          <w:kern w:val="0"/>
          <w:szCs w:val="24"/>
        </w:rPr>
        <w:t> 2015; </w:t>
      </w:r>
      <w:r w:rsidRPr="00BB2501">
        <w:rPr>
          <w:rFonts w:eastAsia="SimSun" w:cs="SimSun"/>
          <w:b/>
          <w:bCs/>
          <w:kern w:val="0"/>
          <w:szCs w:val="24"/>
        </w:rPr>
        <w:t>7</w:t>
      </w:r>
      <w:r w:rsidRPr="00BB2501">
        <w:rPr>
          <w:rFonts w:eastAsia="SimSun" w:cs="SimSun"/>
          <w:kern w:val="0"/>
          <w:szCs w:val="24"/>
        </w:rPr>
        <w:t>: 113-120 [PMID: 25625002 DOI: 10.4254/wjh.v7.i1.113]</w:t>
      </w:r>
    </w:p>
    <w:p w14:paraId="6597045B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12 </w:t>
      </w:r>
      <w:r w:rsidRPr="00BB2501">
        <w:rPr>
          <w:rFonts w:eastAsia="SimSun" w:cs="SimSun"/>
          <w:b/>
          <w:bCs/>
          <w:kern w:val="0"/>
          <w:szCs w:val="24"/>
        </w:rPr>
        <w:t>Liaw YF</w:t>
      </w:r>
      <w:r w:rsidRPr="00BB2501">
        <w:rPr>
          <w:rFonts w:eastAsia="SimSun" w:cs="SimSun"/>
          <w:kern w:val="0"/>
          <w:szCs w:val="24"/>
        </w:rPr>
        <w:t>. Hepatitis flares and hepatitis B e antigen seroconversion: implication in anti-hepatitis B virus therapy. </w:t>
      </w:r>
      <w:r w:rsidRPr="00BB2501">
        <w:rPr>
          <w:rFonts w:eastAsia="SimSun" w:cs="SimSun"/>
          <w:i/>
          <w:iCs/>
          <w:kern w:val="0"/>
          <w:szCs w:val="24"/>
        </w:rPr>
        <w:t>J Gastroenterol Hepatol</w:t>
      </w:r>
      <w:r w:rsidRPr="00BB2501">
        <w:rPr>
          <w:rFonts w:eastAsia="SimSun" w:cs="SimSun"/>
          <w:kern w:val="0"/>
          <w:szCs w:val="24"/>
        </w:rPr>
        <w:t> 2003; </w:t>
      </w:r>
      <w:r w:rsidRPr="00BB2501">
        <w:rPr>
          <w:rFonts w:eastAsia="SimSun" w:cs="SimSun"/>
          <w:b/>
          <w:bCs/>
          <w:kern w:val="0"/>
          <w:szCs w:val="24"/>
        </w:rPr>
        <w:t>18</w:t>
      </w:r>
      <w:r w:rsidRPr="00BB2501">
        <w:rPr>
          <w:rFonts w:eastAsia="SimSun" w:cs="SimSun"/>
          <w:kern w:val="0"/>
          <w:szCs w:val="24"/>
        </w:rPr>
        <w:t>: 246-252 [PMID: 12603523 DOI: 10.1046/j.1440-1746.2003.02976.x]</w:t>
      </w:r>
    </w:p>
    <w:p w14:paraId="6D8F0294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13 </w:t>
      </w:r>
      <w:r w:rsidRPr="00BB2501">
        <w:rPr>
          <w:rFonts w:eastAsia="SimSun" w:cs="SimSun"/>
          <w:b/>
          <w:bCs/>
          <w:kern w:val="0"/>
          <w:szCs w:val="24"/>
        </w:rPr>
        <w:t>Yapali S</w:t>
      </w:r>
      <w:r w:rsidRPr="00BB2501">
        <w:rPr>
          <w:rFonts w:eastAsia="SimSun" w:cs="SimSun"/>
          <w:kern w:val="0"/>
          <w:szCs w:val="24"/>
        </w:rPr>
        <w:t>, Talaat N, Fontana RJ, Oberhelman K, Lok AS. Outcomes of patients with chronic hepatitis B who do not meet criteria for antiviral treatment at presentation. </w:t>
      </w:r>
      <w:r w:rsidRPr="00BB2501">
        <w:rPr>
          <w:rFonts w:eastAsia="SimSun" w:cs="SimSun"/>
          <w:i/>
          <w:iCs/>
          <w:kern w:val="0"/>
          <w:szCs w:val="24"/>
        </w:rPr>
        <w:t>Clin Gastroenterol Hepatol</w:t>
      </w:r>
      <w:r w:rsidRPr="00BB2501">
        <w:rPr>
          <w:rFonts w:eastAsia="SimSun" w:cs="SimSun"/>
          <w:kern w:val="0"/>
          <w:szCs w:val="24"/>
        </w:rPr>
        <w:t> 2015; </w:t>
      </w:r>
      <w:r w:rsidRPr="00BB2501">
        <w:rPr>
          <w:rFonts w:eastAsia="SimSun" w:cs="SimSun"/>
          <w:b/>
          <w:bCs/>
          <w:kern w:val="0"/>
          <w:szCs w:val="24"/>
        </w:rPr>
        <w:t>13</w:t>
      </w:r>
      <w:r w:rsidRPr="00BB2501">
        <w:rPr>
          <w:rFonts w:eastAsia="SimSun" w:cs="SimSun"/>
          <w:kern w:val="0"/>
          <w:szCs w:val="24"/>
        </w:rPr>
        <w:t>: 193-201.e1 [PMID: 25041863 DOI: 10.1016/j.cgh.2014.07.019]</w:t>
      </w:r>
    </w:p>
    <w:p w14:paraId="2262DAB5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>
        <w:rPr>
          <w:rFonts w:eastAsia="SimSun" w:cs="SimSun" w:hint="eastAsia"/>
          <w:kern w:val="0"/>
          <w:szCs w:val="24"/>
        </w:rPr>
        <w:t xml:space="preserve">14 </w:t>
      </w:r>
      <w:r w:rsidRPr="00BB2501">
        <w:rPr>
          <w:rFonts w:eastAsia="SimSun" w:cs="SimSun"/>
          <w:b/>
          <w:kern w:val="0"/>
          <w:szCs w:val="24"/>
        </w:rPr>
        <w:t>Tong MJ</w:t>
      </w:r>
      <w:r w:rsidRPr="00BB2501">
        <w:rPr>
          <w:rFonts w:eastAsia="SimSun" w:cs="SimSun"/>
          <w:kern w:val="0"/>
          <w:szCs w:val="24"/>
        </w:rPr>
        <w:t xml:space="preserve">, Nguyen MO, Tong LT, Blatt LM. Development of hepatocellular carcinoma after seroclearance of hepatitis B surface antigen. </w:t>
      </w:r>
      <w:r w:rsidRPr="00BB2501">
        <w:rPr>
          <w:rFonts w:eastAsia="SimSun" w:cs="SimSun"/>
          <w:i/>
          <w:kern w:val="0"/>
          <w:szCs w:val="24"/>
        </w:rPr>
        <w:t>Clin Gastroenterol Hepatol</w:t>
      </w:r>
      <w:r w:rsidRPr="00BB2501">
        <w:rPr>
          <w:rFonts w:eastAsia="SimSun" w:cs="SimSun"/>
          <w:kern w:val="0"/>
          <w:szCs w:val="24"/>
        </w:rPr>
        <w:t xml:space="preserve"> 2009; </w:t>
      </w:r>
      <w:r w:rsidRPr="00BB2501">
        <w:rPr>
          <w:rFonts w:eastAsia="SimSun" w:cs="SimSun"/>
          <w:b/>
          <w:kern w:val="0"/>
          <w:szCs w:val="24"/>
        </w:rPr>
        <w:t>7</w:t>
      </w:r>
      <w:r w:rsidRPr="00BB2501">
        <w:rPr>
          <w:rFonts w:eastAsia="SimSun" w:cs="SimSun"/>
          <w:kern w:val="0"/>
          <w:szCs w:val="24"/>
        </w:rPr>
        <w:t>: 889-893 [PMID: 19394445 DOI: 10.1016/j.cgh.2009.04.012]</w:t>
      </w:r>
    </w:p>
    <w:p w14:paraId="456D1DA8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 xml:space="preserve">15 </w:t>
      </w:r>
      <w:r w:rsidRPr="00BB2501">
        <w:rPr>
          <w:rFonts w:eastAsia="SimSun" w:cs="SimSun"/>
          <w:b/>
          <w:kern w:val="0"/>
          <w:szCs w:val="24"/>
        </w:rPr>
        <w:t>Core Team</w:t>
      </w:r>
      <w:r w:rsidRPr="00BB2501">
        <w:rPr>
          <w:rFonts w:eastAsia="SimSun" w:cs="SimSun" w:hint="eastAsia"/>
          <w:b/>
          <w:kern w:val="0"/>
          <w:szCs w:val="24"/>
        </w:rPr>
        <w:t xml:space="preserve"> </w:t>
      </w:r>
      <w:r w:rsidRPr="00BB2501">
        <w:rPr>
          <w:rFonts w:eastAsia="SimSun" w:cs="SimSun"/>
          <w:b/>
          <w:kern w:val="0"/>
          <w:szCs w:val="24"/>
        </w:rPr>
        <w:t>R</w:t>
      </w:r>
      <w:r w:rsidRPr="00BB2501">
        <w:rPr>
          <w:rFonts w:eastAsia="SimSun" w:cs="SimSun"/>
          <w:kern w:val="0"/>
          <w:szCs w:val="24"/>
        </w:rPr>
        <w:t>. R: a language and environment for statistical computing. Vienna, Austria: R Foundation for Statistical Computing, 2015</w:t>
      </w:r>
      <w:r>
        <w:rPr>
          <w:rFonts w:eastAsia="SimSun" w:cs="SimSun" w:hint="eastAsia"/>
          <w:kern w:val="0"/>
          <w:szCs w:val="24"/>
        </w:rPr>
        <w:t>.</w:t>
      </w:r>
      <w:r w:rsidRPr="00BB2501">
        <w:rPr>
          <w:rFonts w:eastAsia="SimSun" w:cs="SimSun"/>
          <w:kern w:val="0"/>
          <w:szCs w:val="24"/>
        </w:rPr>
        <w:t xml:space="preserve"> Available from: URL: http: //www.R-project.org</w:t>
      </w:r>
    </w:p>
    <w:p w14:paraId="06178FF3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16 </w:t>
      </w:r>
      <w:r w:rsidRPr="00BB2501">
        <w:rPr>
          <w:rFonts w:eastAsia="SimSun" w:cs="SimSun"/>
          <w:b/>
          <w:bCs/>
          <w:kern w:val="0"/>
          <w:szCs w:val="24"/>
        </w:rPr>
        <w:t>Fung J</w:t>
      </w:r>
      <w:r w:rsidRPr="00BB2501">
        <w:rPr>
          <w:rFonts w:eastAsia="SimSun" w:cs="SimSun"/>
          <w:kern w:val="0"/>
          <w:szCs w:val="24"/>
        </w:rPr>
        <w:t>, Wong DK, Seto WK, Kopaniszen M, Lai CL, Yuen MF. Hepatitis B surface antigen seroclearance: Relationship to hepatitis B e-antigen seroclearance and hepatitis B e-antigen-negative hepatitis. </w:t>
      </w:r>
      <w:r w:rsidRPr="00BB2501">
        <w:rPr>
          <w:rFonts w:eastAsia="SimSun" w:cs="SimSun"/>
          <w:i/>
          <w:iCs/>
          <w:kern w:val="0"/>
          <w:szCs w:val="24"/>
        </w:rPr>
        <w:t>Am J Gastroenterol</w:t>
      </w:r>
      <w:r w:rsidRPr="00BB2501">
        <w:rPr>
          <w:rFonts w:eastAsia="SimSun" w:cs="SimSun"/>
          <w:kern w:val="0"/>
          <w:szCs w:val="24"/>
        </w:rPr>
        <w:t> 2014; </w:t>
      </w:r>
      <w:r w:rsidRPr="00BB2501">
        <w:rPr>
          <w:rFonts w:eastAsia="SimSun" w:cs="SimSun"/>
          <w:b/>
          <w:bCs/>
          <w:kern w:val="0"/>
          <w:szCs w:val="24"/>
        </w:rPr>
        <w:t>109</w:t>
      </w:r>
      <w:r w:rsidRPr="00BB2501">
        <w:rPr>
          <w:rFonts w:eastAsia="SimSun" w:cs="SimSun"/>
          <w:kern w:val="0"/>
          <w:szCs w:val="24"/>
        </w:rPr>
        <w:t>: 1764-1770 [PMID: 25244963 DOI: 10.1038/ajg.2014.301]</w:t>
      </w:r>
    </w:p>
    <w:p w14:paraId="50FA0F8E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lastRenderedPageBreak/>
        <w:t>17 </w:t>
      </w:r>
      <w:r w:rsidRPr="00BB2501">
        <w:rPr>
          <w:rFonts w:eastAsia="SimSun" w:cs="SimSun"/>
          <w:b/>
          <w:bCs/>
          <w:kern w:val="0"/>
          <w:szCs w:val="24"/>
        </w:rPr>
        <w:t>Moucari R</w:t>
      </w:r>
      <w:r w:rsidRPr="00BB2501">
        <w:rPr>
          <w:rFonts w:eastAsia="SimSun" w:cs="SimSun"/>
          <w:kern w:val="0"/>
          <w:szCs w:val="24"/>
        </w:rPr>
        <w:t>, Marcellin P. [HBsAg seroclearance: prognostic value for the response to treatment and the long-term outcome]. </w:t>
      </w:r>
      <w:r w:rsidRPr="00BB2501">
        <w:rPr>
          <w:rFonts w:eastAsia="SimSun" w:cs="SimSun"/>
          <w:i/>
          <w:iCs/>
          <w:kern w:val="0"/>
          <w:szCs w:val="24"/>
        </w:rPr>
        <w:t>Gastroenterol Clin Biol</w:t>
      </w:r>
      <w:r w:rsidRPr="00BB2501">
        <w:rPr>
          <w:rFonts w:eastAsia="SimSun" w:cs="SimSun"/>
          <w:kern w:val="0"/>
          <w:szCs w:val="24"/>
        </w:rPr>
        <w:t> 2010; </w:t>
      </w:r>
      <w:r w:rsidRPr="00BB2501">
        <w:rPr>
          <w:rFonts w:eastAsia="SimSun" w:cs="SimSun"/>
          <w:b/>
          <w:bCs/>
          <w:kern w:val="0"/>
          <w:szCs w:val="24"/>
        </w:rPr>
        <w:t xml:space="preserve">34 </w:t>
      </w:r>
      <w:r w:rsidRPr="00BB2501">
        <w:rPr>
          <w:rFonts w:eastAsia="SimSun" w:cs="SimSun"/>
          <w:bCs/>
          <w:kern w:val="0"/>
          <w:szCs w:val="24"/>
        </w:rPr>
        <w:t>Suppl 2</w:t>
      </w:r>
      <w:r w:rsidRPr="00BB2501">
        <w:rPr>
          <w:rFonts w:eastAsia="SimSun" w:cs="SimSun"/>
          <w:kern w:val="0"/>
          <w:szCs w:val="24"/>
        </w:rPr>
        <w:t>: S119-S125 [PMID: 21095515 DOI: 10.1016/S0399-8320(10)70031-2]</w:t>
      </w:r>
    </w:p>
    <w:p w14:paraId="24338FDB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18 </w:t>
      </w:r>
      <w:r w:rsidRPr="00BB2501">
        <w:rPr>
          <w:rFonts w:eastAsia="SimSun" w:cs="SimSun"/>
          <w:b/>
          <w:bCs/>
          <w:kern w:val="0"/>
          <w:szCs w:val="24"/>
        </w:rPr>
        <w:t>Chu CM</w:t>
      </w:r>
      <w:r w:rsidRPr="00BB2501">
        <w:rPr>
          <w:rFonts w:eastAsia="SimSun" w:cs="SimSun"/>
          <w:kern w:val="0"/>
          <w:szCs w:val="24"/>
        </w:rPr>
        <w:t>, Liaw YF. HBsAg seroclearance in asymptomatic carriers of high endemic areas: appreciably high rates during a long-term follow-up. </w:t>
      </w:r>
      <w:r w:rsidRPr="00BB2501">
        <w:rPr>
          <w:rFonts w:eastAsia="SimSun" w:cs="SimSun"/>
          <w:i/>
          <w:iCs/>
          <w:kern w:val="0"/>
          <w:szCs w:val="24"/>
        </w:rPr>
        <w:t>Hepatology</w:t>
      </w:r>
      <w:r w:rsidRPr="00BB2501">
        <w:rPr>
          <w:rFonts w:eastAsia="SimSun" w:cs="SimSun"/>
          <w:kern w:val="0"/>
          <w:szCs w:val="24"/>
        </w:rPr>
        <w:t> 2007; </w:t>
      </w:r>
      <w:r w:rsidRPr="00BB2501">
        <w:rPr>
          <w:rFonts w:eastAsia="SimSun" w:cs="SimSun"/>
          <w:b/>
          <w:bCs/>
          <w:kern w:val="0"/>
          <w:szCs w:val="24"/>
        </w:rPr>
        <w:t>45</w:t>
      </w:r>
      <w:r w:rsidRPr="00BB2501">
        <w:rPr>
          <w:rFonts w:eastAsia="SimSun" w:cs="SimSun"/>
          <w:kern w:val="0"/>
          <w:szCs w:val="24"/>
        </w:rPr>
        <w:t>: 1187-1192 [PMID: 17465003 DOI: 10.1002/hep.21612]</w:t>
      </w:r>
    </w:p>
    <w:p w14:paraId="69229328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19 </w:t>
      </w:r>
      <w:r w:rsidRPr="00BB2501">
        <w:rPr>
          <w:rFonts w:eastAsia="SimSun" w:cs="SimSun"/>
          <w:b/>
          <w:bCs/>
          <w:kern w:val="0"/>
          <w:szCs w:val="24"/>
        </w:rPr>
        <w:t>Lim TH</w:t>
      </w:r>
      <w:r w:rsidRPr="00BB2501">
        <w:rPr>
          <w:rFonts w:eastAsia="SimSun" w:cs="SimSun"/>
          <w:kern w:val="0"/>
          <w:szCs w:val="24"/>
        </w:rPr>
        <w:t>, Gane E, Moyes C, Borman B, Cunningham C. HBsAg loss in a New Zealand community study with 28-year follow-up: rates, predictors and long-term outcomes. </w:t>
      </w:r>
      <w:r w:rsidRPr="00BB2501">
        <w:rPr>
          <w:rFonts w:eastAsia="SimSun" w:cs="SimSun"/>
          <w:i/>
          <w:iCs/>
          <w:kern w:val="0"/>
          <w:szCs w:val="24"/>
        </w:rPr>
        <w:t>Hepatol Int</w:t>
      </w:r>
      <w:r w:rsidRPr="00BB2501">
        <w:rPr>
          <w:rFonts w:eastAsia="SimSun" w:cs="SimSun"/>
          <w:kern w:val="0"/>
          <w:szCs w:val="24"/>
        </w:rPr>
        <w:t> 2016; </w:t>
      </w:r>
      <w:r w:rsidRPr="00BB2501">
        <w:rPr>
          <w:rFonts w:eastAsia="SimSun" w:cs="SimSun"/>
          <w:b/>
          <w:bCs/>
          <w:kern w:val="0"/>
          <w:szCs w:val="24"/>
        </w:rPr>
        <w:t>10</w:t>
      </w:r>
      <w:r w:rsidRPr="00BB2501">
        <w:rPr>
          <w:rFonts w:eastAsia="SimSun" w:cs="SimSun"/>
          <w:kern w:val="0"/>
          <w:szCs w:val="24"/>
        </w:rPr>
        <w:t>: 829-837 [PMID: 26957439 DOI: 10.1007/s12072-016-9709-6]</w:t>
      </w:r>
    </w:p>
    <w:p w14:paraId="6E74541F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20 </w:t>
      </w:r>
      <w:r w:rsidRPr="00BB2501">
        <w:rPr>
          <w:rFonts w:eastAsia="SimSun" w:cs="SimSun"/>
          <w:b/>
          <w:bCs/>
          <w:kern w:val="0"/>
          <w:szCs w:val="24"/>
        </w:rPr>
        <w:t>Kato Y</w:t>
      </w:r>
      <w:r w:rsidRPr="00BB2501">
        <w:rPr>
          <w:rFonts w:eastAsia="SimSun" w:cs="SimSun"/>
          <w:kern w:val="0"/>
          <w:szCs w:val="24"/>
        </w:rPr>
        <w:t>, Nakao K, Hamasaki K, Kato H, Nakata K, Kusumoto Y, Eguchi K. Spontaneous loss of hepatitis B surface antigen in chronic carriers, based on a long-term follow-up study in Goto Islands, Japan. </w:t>
      </w:r>
      <w:r w:rsidRPr="00BB2501">
        <w:rPr>
          <w:rFonts w:eastAsia="SimSun" w:cs="SimSun"/>
          <w:i/>
          <w:iCs/>
          <w:kern w:val="0"/>
          <w:szCs w:val="24"/>
        </w:rPr>
        <w:t>J Gastroenterol</w:t>
      </w:r>
      <w:r w:rsidRPr="00BB2501">
        <w:rPr>
          <w:rFonts w:eastAsia="SimSun" w:cs="SimSun"/>
          <w:kern w:val="0"/>
          <w:szCs w:val="24"/>
        </w:rPr>
        <w:t> 2000; </w:t>
      </w:r>
      <w:r w:rsidRPr="00BB2501">
        <w:rPr>
          <w:rFonts w:eastAsia="SimSun" w:cs="SimSun"/>
          <w:b/>
          <w:bCs/>
          <w:kern w:val="0"/>
          <w:szCs w:val="24"/>
        </w:rPr>
        <w:t>35</w:t>
      </w:r>
      <w:r w:rsidRPr="00BB2501">
        <w:rPr>
          <w:rFonts w:eastAsia="SimSun" w:cs="SimSun"/>
          <w:kern w:val="0"/>
          <w:szCs w:val="24"/>
        </w:rPr>
        <w:t>: 201-205 [PMID: 10755689 DOI: 10.1007/s005350050331]</w:t>
      </w:r>
    </w:p>
    <w:p w14:paraId="7FCC2D5B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21 </w:t>
      </w:r>
      <w:r w:rsidRPr="00BB2501">
        <w:rPr>
          <w:rFonts w:eastAsia="SimSun" w:cs="SimSun"/>
          <w:b/>
          <w:bCs/>
          <w:kern w:val="0"/>
          <w:szCs w:val="24"/>
        </w:rPr>
        <w:t>Han ZG</w:t>
      </w:r>
      <w:r w:rsidRPr="00BB2501">
        <w:rPr>
          <w:rFonts w:eastAsia="SimSun" w:cs="SimSun"/>
          <w:kern w:val="0"/>
          <w:szCs w:val="24"/>
        </w:rPr>
        <w:t>, Qie ZH, Qiao WZ. HBsAg spontaneous seroclearance in a cohort of HBeAg-seronegative patients with chronic hepatitis B virus infection. </w:t>
      </w:r>
      <w:r w:rsidRPr="00BB2501">
        <w:rPr>
          <w:rFonts w:eastAsia="SimSun" w:cs="SimSun"/>
          <w:i/>
          <w:iCs/>
          <w:kern w:val="0"/>
          <w:szCs w:val="24"/>
        </w:rPr>
        <w:t>J Med Virol</w:t>
      </w:r>
      <w:r w:rsidRPr="00BB2501">
        <w:rPr>
          <w:rFonts w:eastAsia="SimSun" w:cs="SimSun"/>
          <w:kern w:val="0"/>
          <w:szCs w:val="24"/>
        </w:rPr>
        <w:t> 2016; </w:t>
      </w:r>
      <w:r w:rsidRPr="00BB2501">
        <w:rPr>
          <w:rFonts w:eastAsia="SimSun" w:cs="SimSun"/>
          <w:b/>
          <w:bCs/>
          <w:kern w:val="0"/>
          <w:szCs w:val="24"/>
        </w:rPr>
        <w:t>88</w:t>
      </w:r>
      <w:r w:rsidRPr="00BB2501">
        <w:rPr>
          <w:rFonts w:eastAsia="SimSun" w:cs="SimSun"/>
          <w:kern w:val="0"/>
          <w:szCs w:val="24"/>
        </w:rPr>
        <w:t>: 79-85 [PMID: 26111498 DOI: 10.1002/jmv.24311]</w:t>
      </w:r>
    </w:p>
    <w:p w14:paraId="56F50540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22 </w:t>
      </w:r>
      <w:r w:rsidRPr="00BB2501">
        <w:rPr>
          <w:rFonts w:eastAsia="SimSun" w:cs="SimSun"/>
          <w:b/>
          <w:bCs/>
          <w:kern w:val="0"/>
          <w:szCs w:val="24"/>
        </w:rPr>
        <w:t>Lee CM</w:t>
      </w:r>
      <w:r w:rsidRPr="00BB2501">
        <w:rPr>
          <w:rFonts w:eastAsia="SimSun" w:cs="SimSun"/>
          <w:kern w:val="0"/>
          <w:szCs w:val="24"/>
        </w:rPr>
        <w:t>, Chen CH, Lu SN, Tung HD, Chou WJ, Wang JH, Chen TM, Hung CH, Huang CC, Chen WJ. Prevalence and clinical implications of hepatitis B virus genotypes in southern Taiwan. </w:t>
      </w:r>
      <w:r w:rsidRPr="00BB2501">
        <w:rPr>
          <w:rFonts w:eastAsia="SimSun" w:cs="SimSun"/>
          <w:i/>
          <w:iCs/>
          <w:kern w:val="0"/>
          <w:szCs w:val="24"/>
        </w:rPr>
        <w:t>Scand J Gastroenterol</w:t>
      </w:r>
      <w:r w:rsidRPr="00BB2501">
        <w:rPr>
          <w:rFonts w:eastAsia="SimSun" w:cs="SimSun"/>
          <w:kern w:val="0"/>
          <w:szCs w:val="24"/>
        </w:rPr>
        <w:t> 2003; </w:t>
      </w:r>
      <w:r w:rsidRPr="00BB2501">
        <w:rPr>
          <w:rFonts w:eastAsia="SimSun" w:cs="SimSun"/>
          <w:b/>
          <w:bCs/>
          <w:kern w:val="0"/>
          <w:szCs w:val="24"/>
        </w:rPr>
        <w:t>38</w:t>
      </w:r>
      <w:r w:rsidRPr="00BB2501">
        <w:rPr>
          <w:rFonts w:eastAsia="SimSun" w:cs="SimSun"/>
          <w:kern w:val="0"/>
          <w:szCs w:val="24"/>
        </w:rPr>
        <w:t>: 95-101 [PMID: 12608471 DOI: 10.1080/00365520310000500]</w:t>
      </w:r>
    </w:p>
    <w:p w14:paraId="10D75892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23 </w:t>
      </w:r>
      <w:r w:rsidRPr="00BB2501">
        <w:rPr>
          <w:rFonts w:eastAsia="SimSun" w:cs="SimSun"/>
          <w:b/>
          <w:bCs/>
          <w:kern w:val="0"/>
          <w:szCs w:val="24"/>
        </w:rPr>
        <w:t>Arase Y</w:t>
      </w:r>
      <w:r w:rsidRPr="00BB2501">
        <w:rPr>
          <w:rFonts w:eastAsia="SimSun" w:cs="SimSun"/>
          <w:kern w:val="0"/>
          <w:szCs w:val="24"/>
        </w:rPr>
        <w:t>, Suzuki F, Suzuki Y, Saitoh S, Kobayashi M, Akuta N, Someya T, Hosaka T, Sezaki H, Sato J, Kobayashi M, Ikeda K, Kumada H. Long-term presence of HBV in the sera of chronic hepatitis B patients with HBsAg seroclearance. </w:t>
      </w:r>
      <w:r w:rsidRPr="00BB2501">
        <w:rPr>
          <w:rFonts w:eastAsia="SimSun" w:cs="SimSun"/>
          <w:i/>
          <w:iCs/>
          <w:kern w:val="0"/>
          <w:szCs w:val="24"/>
        </w:rPr>
        <w:t>Intervirology</w:t>
      </w:r>
      <w:r w:rsidRPr="00BB2501">
        <w:rPr>
          <w:rFonts w:eastAsia="SimSun" w:cs="SimSun"/>
          <w:kern w:val="0"/>
          <w:szCs w:val="24"/>
        </w:rPr>
        <w:t> 2007; </w:t>
      </w:r>
      <w:r w:rsidRPr="00BB2501">
        <w:rPr>
          <w:rFonts w:eastAsia="SimSun" w:cs="SimSun"/>
          <w:b/>
          <w:bCs/>
          <w:kern w:val="0"/>
          <w:szCs w:val="24"/>
        </w:rPr>
        <w:t>50</w:t>
      </w:r>
      <w:r w:rsidRPr="00BB2501">
        <w:rPr>
          <w:rFonts w:eastAsia="SimSun" w:cs="SimSun"/>
          <w:kern w:val="0"/>
          <w:szCs w:val="24"/>
        </w:rPr>
        <w:t>: 161-165 [PMID: 17259734 DOI: 10.1159/000098958]</w:t>
      </w:r>
    </w:p>
    <w:p w14:paraId="306D973B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24 </w:t>
      </w:r>
      <w:r w:rsidRPr="00BB2501">
        <w:rPr>
          <w:rFonts w:eastAsia="SimSun" w:cs="SimSun"/>
          <w:b/>
          <w:bCs/>
          <w:kern w:val="0"/>
          <w:szCs w:val="24"/>
        </w:rPr>
        <w:t>Liu J</w:t>
      </w:r>
      <w:r w:rsidRPr="00BB2501">
        <w:rPr>
          <w:rFonts w:eastAsia="SimSun" w:cs="SimSun"/>
          <w:kern w:val="0"/>
          <w:szCs w:val="24"/>
        </w:rPr>
        <w:t xml:space="preserve">, Lee MH, Batrla-Utermann R, Jen CL, Iloeje UH, Lu SN, Wang LY, You SL, Hsiao CK, Yang HI, Chen CJ. A predictive scoring system for the seroclearance of </w:t>
      </w:r>
      <w:r w:rsidRPr="00BB2501">
        <w:rPr>
          <w:rFonts w:eastAsia="SimSun" w:cs="SimSun"/>
          <w:kern w:val="0"/>
          <w:szCs w:val="24"/>
        </w:rPr>
        <w:lastRenderedPageBreak/>
        <w:t>HBsAg in HBeAg-seronegative chronic hepatitis B patients with genotype B or C infection. </w:t>
      </w:r>
      <w:r w:rsidRPr="00BB2501">
        <w:rPr>
          <w:rFonts w:eastAsia="SimSun" w:cs="SimSun"/>
          <w:i/>
          <w:iCs/>
          <w:kern w:val="0"/>
          <w:szCs w:val="24"/>
        </w:rPr>
        <w:t>J Hepatol</w:t>
      </w:r>
      <w:r w:rsidRPr="00BB2501">
        <w:rPr>
          <w:rFonts w:eastAsia="SimSun" w:cs="SimSun"/>
          <w:kern w:val="0"/>
          <w:szCs w:val="24"/>
        </w:rPr>
        <w:t> 2013; </w:t>
      </w:r>
      <w:r w:rsidRPr="00BB2501">
        <w:rPr>
          <w:rFonts w:eastAsia="SimSun" w:cs="SimSun"/>
          <w:b/>
          <w:bCs/>
          <w:kern w:val="0"/>
          <w:szCs w:val="24"/>
        </w:rPr>
        <w:t>58</w:t>
      </w:r>
      <w:r w:rsidRPr="00BB2501">
        <w:rPr>
          <w:rFonts w:eastAsia="SimSun" w:cs="SimSun"/>
          <w:kern w:val="0"/>
          <w:szCs w:val="24"/>
        </w:rPr>
        <w:t>: 853-860 [PMID: 23246508 DOI: 10.1016/j.jhep.2012.12.006]</w:t>
      </w:r>
    </w:p>
    <w:p w14:paraId="774F8321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25 </w:t>
      </w:r>
      <w:r w:rsidRPr="00BB2501">
        <w:rPr>
          <w:rFonts w:eastAsia="SimSun" w:cs="SimSun"/>
          <w:b/>
          <w:bCs/>
          <w:kern w:val="0"/>
          <w:szCs w:val="24"/>
        </w:rPr>
        <w:t>Yu Y</w:t>
      </w:r>
      <w:r w:rsidRPr="00BB2501">
        <w:rPr>
          <w:rFonts w:eastAsia="SimSun" w:cs="SimSun"/>
          <w:kern w:val="0"/>
          <w:szCs w:val="24"/>
        </w:rPr>
        <w:t>, Hou J, Omata M, Wang Y, Li L. Loss of HBsAg and antiviral treatment: from basics to clinical significance. </w:t>
      </w:r>
      <w:r w:rsidRPr="00BB2501">
        <w:rPr>
          <w:rFonts w:eastAsia="SimSun" w:cs="SimSun"/>
          <w:i/>
          <w:iCs/>
          <w:kern w:val="0"/>
          <w:szCs w:val="24"/>
        </w:rPr>
        <w:t>Hepatol Int</w:t>
      </w:r>
      <w:r w:rsidRPr="00BB2501">
        <w:rPr>
          <w:rFonts w:eastAsia="SimSun" w:cs="SimSun"/>
          <w:kern w:val="0"/>
          <w:szCs w:val="24"/>
        </w:rPr>
        <w:t> 2014; </w:t>
      </w:r>
      <w:r w:rsidRPr="00BB2501">
        <w:rPr>
          <w:rFonts w:eastAsia="SimSun" w:cs="SimSun"/>
          <w:b/>
          <w:bCs/>
          <w:kern w:val="0"/>
          <w:szCs w:val="24"/>
        </w:rPr>
        <w:t>8</w:t>
      </w:r>
      <w:r w:rsidRPr="00BB2501">
        <w:rPr>
          <w:rFonts w:eastAsia="SimSun" w:cs="SimSun"/>
          <w:kern w:val="0"/>
          <w:szCs w:val="24"/>
        </w:rPr>
        <w:t>: 39-54 [PMID: 26202405 DOI: 10.1007/s12072-013-9495-3]</w:t>
      </w:r>
    </w:p>
    <w:p w14:paraId="40667AE1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26 </w:t>
      </w:r>
      <w:r w:rsidRPr="00BB2501">
        <w:rPr>
          <w:rFonts w:eastAsia="SimSun" w:cs="SimSun"/>
          <w:b/>
          <w:bCs/>
          <w:kern w:val="0"/>
          <w:szCs w:val="24"/>
        </w:rPr>
        <w:t>Seto WK</w:t>
      </w:r>
      <w:r w:rsidRPr="00BB2501">
        <w:rPr>
          <w:rFonts w:eastAsia="SimSun" w:cs="SimSun"/>
          <w:kern w:val="0"/>
          <w:szCs w:val="24"/>
        </w:rPr>
        <w:t>, Wong DK, Fung J, Hung IF, Fong DY, Yuen JC, Tong T, Lai CL, Yuen MF. A large case-control study on the predictability of hepatitis B surface antigen levels three years before hepatitis B surface antigen seroclearance. </w:t>
      </w:r>
      <w:r w:rsidRPr="00BB2501">
        <w:rPr>
          <w:rFonts w:eastAsia="SimSun" w:cs="SimSun"/>
          <w:i/>
          <w:iCs/>
          <w:kern w:val="0"/>
          <w:szCs w:val="24"/>
        </w:rPr>
        <w:t>Hepatology</w:t>
      </w:r>
      <w:r w:rsidRPr="00BB2501">
        <w:rPr>
          <w:rFonts w:eastAsia="SimSun" w:cs="SimSun"/>
          <w:kern w:val="0"/>
          <w:szCs w:val="24"/>
        </w:rPr>
        <w:t> 2012; </w:t>
      </w:r>
      <w:r w:rsidRPr="00BB2501">
        <w:rPr>
          <w:rFonts w:eastAsia="SimSun" w:cs="SimSun"/>
          <w:b/>
          <w:bCs/>
          <w:kern w:val="0"/>
          <w:szCs w:val="24"/>
        </w:rPr>
        <w:t>56</w:t>
      </w:r>
      <w:r w:rsidRPr="00BB2501">
        <w:rPr>
          <w:rFonts w:eastAsia="SimSun" w:cs="SimSun"/>
          <w:kern w:val="0"/>
          <w:szCs w:val="24"/>
        </w:rPr>
        <w:t>: 812-819 [PMID: 22422518 DOI: 10.1002/hep.25718]</w:t>
      </w:r>
    </w:p>
    <w:p w14:paraId="3684E72D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27 </w:t>
      </w:r>
      <w:r w:rsidRPr="00BB2501">
        <w:rPr>
          <w:rFonts w:eastAsia="SimSun" w:cs="SimSun"/>
          <w:b/>
          <w:bCs/>
          <w:kern w:val="0"/>
          <w:szCs w:val="24"/>
        </w:rPr>
        <w:t>Yang SC</w:t>
      </w:r>
      <w:r w:rsidRPr="00BB2501">
        <w:rPr>
          <w:rFonts w:eastAsia="SimSun" w:cs="SimSun"/>
          <w:kern w:val="0"/>
          <w:szCs w:val="24"/>
        </w:rPr>
        <w:t>, Lu SN, Lee CM, Hu TH, Wang JH, Hung CH, Changchien CS, Chen CH. Combining the HBsAg decline and HBV DNA levels predicts clinical outcomes in patients with spontaneous HBeAg seroconversion. </w:t>
      </w:r>
      <w:r w:rsidRPr="00BB2501">
        <w:rPr>
          <w:rFonts w:eastAsia="SimSun" w:cs="SimSun"/>
          <w:i/>
          <w:iCs/>
          <w:kern w:val="0"/>
          <w:szCs w:val="24"/>
        </w:rPr>
        <w:t>Hepatol Int</w:t>
      </w:r>
      <w:r w:rsidRPr="00BB2501">
        <w:rPr>
          <w:rFonts w:eastAsia="SimSun" w:cs="SimSun"/>
          <w:kern w:val="0"/>
          <w:szCs w:val="24"/>
        </w:rPr>
        <w:t> 2013; </w:t>
      </w:r>
      <w:r w:rsidRPr="00BB2501">
        <w:rPr>
          <w:rFonts w:eastAsia="SimSun" w:cs="SimSun"/>
          <w:b/>
          <w:bCs/>
          <w:kern w:val="0"/>
          <w:szCs w:val="24"/>
        </w:rPr>
        <w:t>7</w:t>
      </w:r>
      <w:r w:rsidRPr="00BB2501">
        <w:rPr>
          <w:rFonts w:eastAsia="SimSun" w:cs="SimSun"/>
          <w:kern w:val="0"/>
          <w:szCs w:val="24"/>
        </w:rPr>
        <w:t>: 489-499 [PMID: 26201781 DOI: 10.1007/s12072-012-9382-3]</w:t>
      </w:r>
    </w:p>
    <w:p w14:paraId="23A5703B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28 </w:t>
      </w:r>
      <w:r w:rsidRPr="00BB2501">
        <w:rPr>
          <w:rFonts w:eastAsia="SimSun" w:cs="SimSun"/>
          <w:b/>
          <w:bCs/>
          <w:kern w:val="0"/>
          <w:szCs w:val="24"/>
        </w:rPr>
        <w:t>Yuen MF</w:t>
      </w:r>
      <w:r w:rsidRPr="00BB2501">
        <w:rPr>
          <w:rFonts w:eastAsia="SimSun" w:cs="SimSun"/>
          <w:kern w:val="0"/>
          <w:szCs w:val="24"/>
        </w:rPr>
        <w:t>, Wong DK, Fung J, Ip P, But D, Hung I, Lau K, Yuen JC, Lai CL. HBsAg Seroclearance in chronic hepatitis B in Asian patients: replicative level and risk of hepatocellular carcinoma. </w:t>
      </w:r>
      <w:r w:rsidRPr="00BB2501">
        <w:rPr>
          <w:rFonts w:eastAsia="SimSun" w:cs="SimSun"/>
          <w:i/>
          <w:iCs/>
          <w:kern w:val="0"/>
          <w:szCs w:val="24"/>
        </w:rPr>
        <w:t>Gastroenterology</w:t>
      </w:r>
      <w:r w:rsidRPr="00BB2501">
        <w:rPr>
          <w:rFonts w:eastAsia="SimSun" w:cs="SimSun"/>
          <w:kern w:val="0"/>
          <w:szCs w:val="24"/>
        </w:rPr>
        <w:t> 2008; </w:t>
      </w:r>
      <w:r w:rsidRPr="00BB2501">
        <w:rPr>
          <w:rFonts w:eastAsia="SimSun" w:cs="SimSun"/>
          <w:b/>
          <w:bCs/>
          <w:kern w:val="0"/>
          <w:szCs w:val="24"/>
        </w:rPr>
        <w:t>135</w:t>
      </w:r>
      <w:r w:rsidRPr="00BB2501">
        <w:rPr>
          <w:rFonts w:eastAsia="SimSun" w:cs="SimSun"/>
          <w:kern w:val="0"/>
          <w:szCs w:val="24"/>
        </w:rPr>
        <w:t>: 1192-1199 [PMID: 18722377 DOI: 10.1053/j.gastro.2008.07.008]</w:t>
      </w:r>
    </w:p>
    <w:p w14:paraId="1CCF5AD5" w14:textId="77777777" w:rsidR="00A450C1" w:rsidRPr="00BB2501" w:rsidRDefault="00A450C1" w:rsidP="00A450C1">
      <w:pPr>
        <w:widowControl/>
        <w:rPr>
          <w:rFonts w:eastAsia="SimSun" w:cs="SimSun"/>
          <w:kern w:val="0"/>
          <w:szCs w:val="24"/>
        </w:rPr>
      </w:pPr>
      <w:r w:rsidRPr="00BB2501">
        <w:rPr>
          <w:rFonts w:eastAsia="SimSun" w:cs="SimSun"/>
          <w:kern w:val="0"/>
          <w:szCs w:val="24"/>
        </w:rPr>
        <w:t>29 </w:t>
      </w:r>
      <w:r w:rsidRPr="00BB2501">
        <w:rPr>
          <w:rFonts w:eastAsia="SimSun" w:cs="SimSun"/>
          <w:b/>
          <w:bCs/>
          <w:kern w:val="0"/>
          <w:szCs w:val="24"/>
        </w:rPr>
        <w:t>Lim TH</w:t>
      </w:r>
      <w:r w:rsidRPr="00BB2501">
        <w:rPr>
          <w:rFonts w:eastAsia="SimSun" w:cs="SimSun"/>
          <w:kern w:val="0"/>
          <w:szCs w:val="24"/>
        </w:rPr>
        <w:t>, Gane E, Moyes C, Borman B, Cunningham C. Serological and clinical outcomes of horizontally transmitted chronic hepatitis B infection in New Zealand Māori: results from a 28-year follow-up study. </w:t>
      </w:r>
      <w:r w:rsidRPr="00BB2501">
        <w:rPr>
          <w:rFonts w:eastAsia="SimSun" w:cs="SimSun"/>
          <w:i/>
          <w:iCs/>
          <w:kern w:val="0"/>
          <w:szCs w:val="24"/>
        </w:rPr>
        <w:t>Gut</w:t>
      </w:r>
      <w:r w:rsidRPr="00BB2501">
        <w:rPr>
          <w:rFonts w:eastAsia="SimSun" w:cs="SimSun"/>
          <w:kern w:val="0"/>
          <w:szCs w:val="24"/>
        </w:rPr>
        <w:t> 2015; </w:t>
      </w:r>
      <w:r w:rsidRPr="00BB2501">
        <w:rPr>
          <w:rFonts w:eastAsia="SimSun" w:cs="SimSun"/>
          <w:b/>
          <w:bCs/>
          <w:kern w:val="0"/>
          <w:szCs w:val="24"/>
        </w:rPr>
        <w:t>64</w:t>
      </w:r>
      <w:r w:rsidRPr="00BB2501">
        <w:rPr>
          <w:rFonts w:eastAsia="SimSun" w:cs="SimSun"/>
          <w:kern w:val="0"/>
          <w:szCs w:val="24"/>
        </w:rPr>
        <w:t>: 966-972 [PMID: 25006011 DOI: 10.1136/gutjnl-2013-306247]</w:t>
      </w:r>
    </w:p>
    <w:p w14:paraId="56D6E2F5" w14:textId="77777777" w:rsidR="004B2649" w:rsidRPr="004B2649" w:rsidRDefault="004B2649" w:rsidP="00E70A1E">
      <w:pPr>
        <w:widowControl/>
        <w:tabs>
          <w:tab w:val="left" w:pos="432"/>
        </w:tabs>
        <w:wordWrap/>
        <w:autoSpaceDE/>
        <w:autoSpaceDN/>
        <w:spacing w:after="0"/>
        <w:contextualSpacing/>
        <w:rPr>
          <w:rFonts w:eastAsia="DengXian"/>
          <w:kern w:val="0"/>
          <w:lang w:eastAsia="zh-CN"/>
        </w:rPr>
      </w:pPr>
    </w:p>
    <w:p w14:paraId="4AEFD761" w14:textId="066F2231" w:rsidR="004B2649" w:rsidRPr="008E0A88" w:rsidRDefault="004B2649" w:rsidP="00C7586A">
      <w:pPr>
        <w:pStyle w:val="ListParagraph"/>
        <w:spacing w:line="360" w:lineRule="auto"/>
        <w:ind w:right="120" w:firstLineChars="0" w:firstLine="0"/>
        <w:jc w:val="right"/>
        <w:rPr>
          <w:rFonts w:ascii="Book Antiqua" w:eastAsia="SimSun" w:hAnsi="Book Antiqua"/>
          <w:b/>
          <w:bCs/>
          <w:color w:val="000000"/>
          <w:lang w:eastAsia="zh-CN"/>
        </w:rPr>
      </w:pPr>
      <w:r w:rsidRPr="00712F63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Strong"/>
          <w:rFonts w:ascii="Book Antiqua" w:eastAsia="SimSun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="00A450C1" w:rsidRPr="00A450C1">
        <w:rPr>
          <w:rFonts w:ascii="Book Antiqua" w:hAnsi="Book Antiqua"/>
          <w:bCs/>
          <w:color w:val="000000"/>
        </w:rPr>
        <w:t>Zhu</w:t>
      </w:r>
      <w:r w:rsidR="00A450C1">
        <w:rPr>
          <w:rFonts w:ascii="Book Antiqua" w:hAnsi="Book Antiqua" w:hint="eastAsia"/>
          <w:bCs/>
          <w:color w:val="000000"/>
          <w:lang w:eastAsia="zh-CN"/>
        </w:rPr>
        <w:t xml:space="preserve"> X</w:t>
      </w:r>
      <w:r w:rsidRPr="00712F63">
        <w:rPr>
          <w:rFonts w:ascii="Book Antiqua" w:hAnsi="Book Antiqua"/>
          <w:bCs/>
          <w:color w:val="000000"/>
        </w:rPr>
        <w:t xml:space="preserve">  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SimSun" w:hAnsi="Book Antiqua"/>
          <w:bCs/>
          <w:color w:val="000000"/>
          <w:lang w:eastAsia="zh-CN"/>
        </w:rPr>
        <w:t>Qi Y</w:t>
      </w:r>
      <w:r w:rsidRPr="00712F63">
        <w:rPr>
          <w:rFonts w:ascii="Book Antiqua" w:hAnsi="Book Antiqua"/>
          <w:b/>
          <w:bCs/>
          <w:color w:val="000000"/>
        </w:rPr>
        <w:t xml:space="preserve">   L-Editor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</w:p>
    <w:p w14:paraId="19C60BFC" w14:textId="77777777" w:rsidR="00C7586A" w:rsidRDefault="00C7586A" w:rsidP="004B2649">
      <w:pPr>
        <w:shd w:val="clear" w:color="auto" w:fill="FFFFFF"/>
        <w:snapToGrid w:val="0"/>
        <w:rPr>
          <w:rFonts w:eastAsia="DengXian" w:cs="Helvetica"/>
          <w:b/>
          <w:lang w:eastAsia="zh-CN"/>
        </w:rPr>
      </w:pPr>
    </w:p>
    <w:p w14:paraId="6E267F93" w14:textId="77777777" w:rsidR="004B2649" w:rsidRPr="008F0DB6" w:rsidRDefault="004B2649" w:rsidP="004B2649">
      <w:pPr>
        <w:shd w:val="clear" w:color="auto" w:fill="FFFFFF"/>
        <w:snapToGrid w:val="0"/>
        <w:rPr>
          <w:rFonts w:cs="Helvetica"/>
          <w:b/>
        </w:rPr>
      </w:pPr>
      <w:r w:rsidRPr="008F0DB6">
        <w:rPr>
          <w:rFonts w:cs="Helvetica"/>
          <w:b/>
        </w:rPr>
        <w:t xml:space="preserve">Specialty type: </w:t>
      </w:r>
      <w:r w:rsidRPr="008F0DB6">
        <w:rPr>
          <w:rFonts w:cs="Helvetica"/>
        </w:rPr>
        <w:t>Gastroenterology and</w:t>
      </w:r>
      <w:r w:rsidRPr="008F0DB6">
        <w:rPr>
          <w:rFonts w:cs="Helvetica" w:hint="eastAsia"/>
        </w:rPr>
        <w:t xml:space="preserve"> </w:t>
      </w:r>
      <w:r w:rsidRPr="008F0DB6">
        <w:rPr>
          <w:rFonts w:cs="Helvetica"/>
        </w:rPr>
        <w:t>hepatology</w:t>
      </w:r>
    </w:p>
    <w:p w14:paraId="55F9145A" w14:textId="461FA8A4" w:rsidR="004B2649" w:rsidRPr="008F0DB6" w:rsidRDefault="004B2649" w:rsidP="004B2649">
      <w:pPr>
        <w:shd w:val="clear" w:color="auto" w:fill="FFFFFF"/>
        <w:snapToGrid w:val="0"/>
        <w:rPr>
          <w:rFonts w:cs="Helvetica"/>
          <w:b/>
        </w:rPr>
      </w:pPr>
      <w:r w:rsidRPr="008F0DB6">
        <w:rPr>
          <w:rFonts w:cs="Helvetica"/>
          <w:b/>
        </w:rPr>
        <w:t xml:space="preserve">Country of origin: </w:t>
      </w:r>
      <w:r w:rsidR="00A450C1" w:rsidRPr="00A450C1">
        <w:rPr>
          <w:rFonts w:cs="Helvetica" w:hint="eastAsia"/>
          <w:lang w:eastAsia="zh-CN"/>
        </w:rPr>
        <w:t>S</w:t>
      </w:r>
      <w:r w:rsidR="00A450C1" w:rsidRPr="00A450C1">
        <w:rPr>
          <w:rFonts w:eastAsia="DengXian" w:cs="Helvetica" w:hint="eastAsia"/>
          <w:lang w:eastAsia="zh-CN"/>
        </w:rPr>
        <w:t xml:space="preserve">outh </w:t>
      </w:r>
      <w:r w:rsidR="00A450C1" w:rsidRPr="00A450C1">
        <w:rPr>
          <w:rFonts w:cs="Helvetica"/>
        </w:rPr>
        <w:t>Korea</w:t>
      </w:r>
    </w:p>
    <w:p w14:paraId="4F8E9464" w14:textId="77777777" w:rsidR="004B2649" w:rsidRPr="008F0DB6" w:rsidRDefault="004B2649" w:rsidP="004B2649">
      <w:pPr>
        <w:shd w:val="clear" w:color="auto" w:fill="FFFFFF"/>
        <w:snapToGrid w:val="0"/>
        <w:rPr>
          <w:rFonts w:cs="Helvetica"/>
          <w:b/>
        </w:rPr>
      </w:pPr>
      <w:r w:rsidRPr="008F0DB6">
        <w:rPr>
          <w:rFonts w:cs="Helvetica"/>
          <w:b/>
        </w:rPr>
        <w:t>Peer-review report classification</w:t>
      </w:r>
    </w:p>
    <w:p w14:paraId="2BDF960C" w14:textId="4A05EFB8" w:rsidR="004B2649" w:rsidRPr="008F0DB6" w:rsidRDefault="004B2649" w:rsidP="004B2649">
      <w:pPr>
        <w:shd w:val="clear" w:color="auto" w:fill="FFFFFF"/>
        <w:snapToGrid w:val="0"/>
        <w:rPr>
          <w:rFonts w:cs="Helvetica"/>
          <w:lang w:eastAsia="zh-CN"/>
        </w:rPr>
      </w:pPr>
      <w:r w:rsidRPr="008F0DB6">
        <w:rPr>
          <w:rFonts w:cs="Helvetica"/>
        </w:rPr>
        <w:lastRenderedPageBreak/>
        <w:t xml:space="preserve">Grade A (Excellent): </w:t>
      </w:r>
      <w:r w:rsidR="00A450C1">
        <w:rPr>
          <w:rFonts w:cs="Helvetica" w:hint="eastAsia"/>
          <w:lang w:eastAsia="zh-CN"/>
        </w:rPr>
        <w:t>A</w:t>
      </w:r>
    </w:p>
    <w:p w14:paraId="3B8C1C68" w14:textId="77777777" w:rsidR="004B2649" w:rsidRPr="008F0DB6" w:rsidRDefault="004B2649" w:rsidP="004B2649">
      <w:pPr>
        <w:shd w:val="clear" w:color="auto" w:fill="FFFFFF"/>
        <w:snapToGrid w:val="0"/>
        <w:rPr>
          <w:rFonts w:cs="Helvetica"/>
        </w:rPr>
      </w:pPr>
      <w:r w:rsidRPr="008F0DB6">
        <w:rPr>
          <w:rFonts w:cs="Helvetica"/>
        </w:rPr>
        <w:t xml:space="preserve">Grade B (Very good): </w:t>
      </w:r>
      <w:r w:rsidRPr="008F0DB6">
        <w:rPr>
          <w:rFonts w:cs="Helvetica" w:hint="eastAsia"/>
        </w:rPr>
        <w:t>0</w:t>
      </w:r>
    </w:p>
    <w:p w14:paraId="092A97A7" w14:textId="77777777" w:rsidR="004B2649" w:rsidRPr="008F0DB6" w:rsidRDefault="004B2649" w:rsidP="004B2649">
      <w:pPr>
        <w:shd w:val="clear" w:color="auto" w:fill="FFFFFF"/>
        <w:snapToGrid w:val="0"/>
        <w:rPr>
          <w:rFonts w:cs="Helvetica"/>
        </w:rPr>
      </w:pPr>
      <w:r w:rsidRPr="008F0DB6">
        <w:rPr>
          <w:rFonts w:cs="Helvetica"/>
        </w:rPr>
        <w:t xml:space="preserve">Grade C (Good): </w:t>
      </w:r>
      <w:r w:rsidRPr="008F0DB6">
        <w:rPr>
          <w:rFonts w:cs="Helvetica" w:hint="eastAsia"/>
        </w:rPr>
        <w:t>0</w:t>
      </w:r>
    </w:p>
    <w:p w14:paraId="42089B4A" w14:textId="77777777" w:rsidR="004B2649" w:rsidRPr="008F0DB6" w:rsidRDefault="004B2649" w:rsidP="004B2649">
      <w:pPr>
        <w:shd w:val="clear" w:color="auto" w:fill="FFFFFF"/>
        <w:snapToGrid w:val="0"/>
        <w:rPr>
          <w:rFonts w:cs="Helvetica"/>
        </w:rPr>
      </w:pPr>
      <w:r w:rsidRPr="008F0DB6">
        <w:rPr>
          <w:rFonts w:cs="Helvetica"/>
        </w:rPr>
        <w:t xml:space="preserve">Grade D (Fair): </w:t>
      </w:r>
      <w:r w:rsidRPr="008F0DB6">
        <w:rPr>
          <w:rFonts w:cs="Helvetica" w:hint="eastAsia"/>
        </w:rPr>
        <w:t>0</w:t>
      </w:r>
    </w:p>
    <w:p w14:paraId="5F3A3382" w14:textId="77777777" w:rsidR="004B2649" w:rsidRPr="008F0DB6" w:rsidRDefault="004B2649" w:rsidP="004B2649">
      <w:pPr>
        <w:shd w:val="clear" w:color="auto" w:fill="FFFFFF"/>
        <w:snapToGrid w:val="0"/>
        <w:rPr>
          <w:rFonts w:cs="Helvetica"/>
        </w:rPr>
      </w:pPr>
      <w:r w:rsidRPr="008F0DB6">
        <w:rPr>
          <w:rFonts w:cs="Helvetica"/>
        </w:rPr>
        <w:t xml:space="preserve">Grade E (Poor): </w:t>
      </w:r>
      <w:r w:rsidRPr="008F0DB6">
        <w:rPr>
          <w:rFonts w:cs="Helvetica" w:hint="eastAsia"/>
        </w:rPr>
        <w:t>0</w:t>
      </w:r>
    </w:p>
    <w:p w14:paraId="2AFBDAD1" w14:textId="77777777" w:rsidR="008071B3" w:rsidRPr="009D0E29" w:rsidRDefault="008071B3" w:rsidP="00E70A1E">
      <w:pPr>
        <w:widowControl/>
        <w:wordWrap/>
        <w:autoSpaceDE/>
        <w:autoSpaceDN/>
        <w:spacing w:after="0"/>
      </w:pPr>
      <w:r w:rsidRPr="009D0E29">
        <w:br w:type="page"/>
      </w:r>
    </w:p>
    <w:p w14:paraId="5C6ACF57" w14:textId="4BFCF129" w:rsidR="008071B3" w:rsidRPr="009D0E29" w:rsidRDefault="004B2649" w:rsidP="00E70A1E">
      <w:pPr>
        <w:pStyle w:val="a0"/>
        <w:wordWrap/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Table 1</w:t>
      </w:r>
      <w:r w:rsidR="008071B3" w:rsidRPr="009D0E29">
        <w:rPr>
          <w:rFonts w:ascii="Book Antiqua" w:hAnsi="Book Antiqua"/>
        </w:rPr>
        <w:t xml:space="preserve"> </w:t>
      </w:r>
      <w:r w:rsidR="0058135D" w:rsidRPr="009D0E29">
        <w:rPr>
          <w:rFonts w:ascii="Book Antiqua" w:hAnsi="Book Antiqua"/>
        </w:rPr>
        <w:t xml:space="preserve">Rate and time interval of </w:t>
      </w:r>
      <w:r w:rsidR="008071B3" w:rsidRPr="009D0E29">
        <w:rPr>
          <w:rFonts w:ascii="Book Antiqua" w:hAnsi="Book Antiqua"/>
        </w:rPr>
        <w:t>HBsAg seroclearance from</w:t>
      </w:r>
      <w:r w:rsidR="0058135D" w:rsidRPr="009D0E29">
        <w:rPr>
          <w:rFonts w:ascii="Book Antiqua" w:hAnsi="Book Antiqua"/>
        </w:rPr>
        <w:t xml:space="preserve"> </w:t>
      </w:r>
      <w:r w:rsidR="008071B3" w:rsidRPr="009D0E29">
        <w:rPr>
          <w:rFonts w:ascii="Book Antiqua" w:hAnsi="Book Antiqua"/>
        </w:rPr>
        <w:t>entry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544"/>
        <w:gridCol w:w="2693"/>
      </w:tblGrid>
      <w:tr w:rsidR="008071B3" w:rsidRPr="004B2649" w14:paraId="5A551535" w14:textId="77777777" w:rsidTr="0058135D">
        <w:trPr>
          <w:trHeight w:val="6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A135EB" w14:textId="77777777" w:rsidR="008071B3" w:rsidRPr="004B2649" w:rsidRDefault="008071B3" w:rsidP="00E70A1E">
            <w:pPr>
              <w:wordWrap/>
              <w:rPr>
                <w:b/>
              </w:rPr>
            </w:pPr>
            <w:r w:rsidRPr="004B2649">
              <w:rPr>
                <w:b/>
              </w:rPr>
              <w:t>Age group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9E2EC5" w14:textId="77777777" w:rsidR="008071B3" w:rsidRPr="004B2649" w:rsidRDefault="008071B3" w:rsidP="00E70A1E">
            <w:pPr>
              <w:wordWrap/>
              <w:rPr>
                <w:b/>
              </w:rPr>
            </w:pPr>
            <w:r w:rsidRPr="004B2649">
              <w:rPr>
                <w:b/>
              </w:rPr>
              <w:t>Total number</w:t>
            </w:r>
          </w:p>
          <w:p w14:paraId="6E751075" w14:textId="77777777" w:rsidR="008071B3" w:rsidRPr="004B2649" w:rsidRDefault="008071B3" w:rsidP="00E70A1E">
            <w:pPr>
              <w:wordWrap/>
              <w:rPr>
                <w:b/>
              </w:rPr>
            </w:pPr>
            <w:r w:rsidRPr="004B2649">
              <w:rPr>
                <w:b/>
              </w:rPr>
              <w:t>(sex ratio)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0550FE" w14:textId="49C90659" w:rsidR="008071B3" w:rsidRPr="004B2649" w:rsidRDefault="004B2649" w:rsidP="00E70A1E">
            <w:pPr>
              <w:wordWrap/>
              <w:rPr>
                <w:b/>
              </w:rPr>
            </w:pPr>
            <w:r>
              <w:rPr>
                <w:rFonts w:hint="eastAsia"/>
                <w:b/>
                <w:vertAlign w:val="superscript"/>
                <w:lang w:eastAsia="zh-CN"/>
              </w:rPr>
              <w:t>1</w:t>
            </w:r>
            <w:r w:rsidR="008071B3" w:rsidRPr="004B2649">
              <w:rPr>
                <w:b/>
              </w:rPr>
              <w:t>HBsAg seroclearance</w:t>
            </w:r>
          </w:p>
          <w:p w14:paraId="1300D6C0" w14:textId="4524D864" w:rsidR="008071B3" w:rsidRPr="004B2649" w:rsidRDefault="004B2649" w:rsidP="00187707">
            <w:pPr>
              <w:wordWrap/>
              <w:rPr>
                <w:b/>
              </w:rPr>
            </w:pPr>
            <w:r w:rsidRPr="004B2649">
              <w:rPr>
                <w:b/>
              </w:rPr>
              <w:t>No</w:t>
            </w:r>
            <w:r w:rsidR="008071B3" w:rsidRPr="004B2649">
              <w:rPr>
                <w:b/>
              </w:rPr>
              <w:t xml:space="preserve">. (rate / </w:t>
            </w:r>
            <w:r w:rsidR="00187707">
              <w:rPr>
                <w:rFonts w:hint="eastAsia"/>
                <w:b/>
                <w:lang w:eastAsia="zh-CN"/>
              </w:rPr>
              <w:t>yr</w:t>
            </w:r>
            <w:r w:rsidR="008071B3" w:rsidRPr="004B2649">
              <w:rPr>
                <w:b/>
              </w:rPr>
              <w:t xml:space="preserve"> / sex ratio)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3B3940" w14:textId="2FB7AAD2" w:rsidR="008071B3" w:rsidRPr="004B2649" w:rsidRDefault="008071B3" w:rsidP="00E70A1E">
            <w:pPr>
              <w:wordWrap/>
              <w:rPr>
                <w:b/>
              </w:rPr>
            </w:pPr>
            <w:r w:rsidRPr="004B2649">
              <w:rPr>
                <w:b/>
              </w:rPr>
              <w:t xml:space="preserve">Time interval </w:t>
            </w:r>
            <w:r w:rsidR="001C120B" w:rsidRPr="004B2649">
              <w:rPr>
                <w:b/>
              </w:rPr>
              <w:t xml:space="preserve">to </w:t>
            </w:r>
            <w:r w:rsidRPr="004B2649">
              <w:rPr>
                <w:b/>
              </w:rPr>
              <w:t>HBsAg seroclearance</w:t>
            </w:r>
          </w:p>
          <w:p w14:paraId="55101A40" w14:textId="75303822" w:rsidR="008071B3" w:rsidRPr="004B2649" w:rsidRDefault="008071B3" w:rsidP="00E70A1E">
            <w:pPr>
              <w:wordWrap/>
              <w:rPr>
                <w:b/>
              </w:rPr>
            </w:pPr>
            <w:r w:rsidRPr="004B2649">
              <w:rPr>
                <w:b/>
              </w:rPr>
              <w:t>(</w:t>
            </w:r>
            <w:r w:rsidR="004B2649">
              <w:rPr>
                <w:rFonts w:hint="eastAsia"/>
                <w:b/>
                <w:lang w:eastAsia="zh-CN"/>
              </w:rPr>
              <w:t>yr</w:t>
            </w:r>
            <w:r w:rsidRPr="004B2649">
              <w:rPr>
                <w:b/>
              </w:rPr>
              <w:t xml:space="preserve">, </w:t>
            </w:r>
            <w:r w:rsidR="001C120B" w:rsidRPr="004B2649">
              <w:rPr>
                <w:b/>
              </w:rPr>
              <w:t>m</w:t>
            </w:r>
            <w:r w:rsidRPr="004B2649">
              <w:rPr>
                <w:b/>
              </w:rPr>
              <w:t>ean ± SD)</w:t>
            </w:r>
          </w:p>
          <w:p w14:paraId="65CBE675" w14:textId="77777777" w:rsidR="008071B3" w:rsidRPr="004B2649" w:rsidRDefault="008071B3" w:rsidP="00E70A1E">
            <w:pPr>
              <w:wordWrap/>
              <w:rPr>
                <w:b/>
              </w:rPr>
            </w:pPr>
          </w:p>
        </w:tc>
      </w:tr>
      <w:tr w:rsidR="008071B3" w:rsidRPr="009D0E29" w14:paraId="36D7AC71" w14:textId="77777777" w:rsidTr="0058135D">
        <w:trPr>
          <w:trHeight w:val="624"/>
        </w:trPr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1B7204" w14:textId="58801494" w:rsidR="008071B3" w:rsidRPr="009D0E29" w:rsidRDefault="008071B3" w:rsidP="00E70A1E">
            <w:pPr>
              <w:wordWrap/>
            </w:pPr>
            <w:r w:rsidRPr="009D0E29">
              <w:t>&lt;</w:t>
            </w:r>
            <w:r w:rsidR="004B2649">
              <w:rPr>
                <w:rFonts w:hint="eastAsia"/>
                <w:lang w:eastAsia="zh-CN"/>
              </w:rPr>
              <w:t xml:space="preserve"> </w:t>
            </w:r>
            <w:r w:rsidRPr="009D0E29">
              <w:t>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F1BC2C" w14:textId="77777777" w:rsidR="008071B3" w:rsidRPr="009D0E29" w:rsidRDefault="008071B3" w:rsidP="00E70A1E">
            <w:pPr>
              <w:wordWrap/>
            </w:pPr>
            <w:r w:rsidRPr="009D0E29">
              <w:t>181 (1.8:1)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CCD115" w14:textId="77777777" w:rsidR="008071B3" w:rsidRPr="009D0E29" w:rsidRDefault="008071B3" w:rsidP="00E70A1E">
            <w:pPr>
              <w:wordWrap/>
            </w:pPr>
            <w:r w:rsidRPr="009D0E29">
              <w:t>4 (2.2% / 0.55% / 3.0:1)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D816" w14:textId="77777777" w:rsidR="008071B3" w:rsidRPr="009D0E29" w:rsidRDefault="008071B3" w:rsidP="00E70A1E">
            <w:pPr>
              <w:wordWrap/>
            </w:pPr>
            <w:r w:rsidRPr="009D0E29">
              <w:t>3.99 ± 2.91</w:t>
            </w:r>
          </w:p>
        </w:tc>
      </w:tr>
      <w:tr w:rsidR="008071B3" w:rsidRPr="009D0E29" w14:paraId="7C8F55E5" w14:textId="77777777" w:rsidTr="0058135D">
        <w:trPr>
          <w:trHeight w:val="624"/>
        </w:trPr>
        <w:tc>
          <w:tcPr>
            <w:tcW w:w="1560" w:type="dxa"/>
            <w:noWrap/>
            <w:vAlign w:val="center"/>
            <w:hideMark/>
          </w:tcPr>
          <w:p w14:paraId="0AFF4CD6" w14:textId="77777777" w:rsidR="008071B3" w:rsidRPr="009D0E29" w:rsidRDefault="008071B3" w:rsidP="00E70A1E">
            <w:pPr>
              <w:wordWrap/>
            </w:pPr>
            <w:r w:rsidRPr="009D0E29">
              <w:t>30-40</w:t>
            </w:r>
          </w:p>
        </w:tc>
        <w:tc>
          <w:tcPr>
            <w:tcW w:w="1842" w:type="dxa"/>
            <w:noWrap/>
            <w:vAlign w:val="center"/>
            <w:hideMark/>
          </w:tcPr>
          <w:p w14:paraId="7F3362CA" w14:textId="77777777" w:rsidR="008071B3" w:rsidRPr="009D0E29" w:rsidRDefault="008071B3" w:rsidP="00E70A1E">
            <w:pPr>
              <w:wordWrap/>
            </w:pPr>
            <w:r w:rsidRPr="009D0E29">
              <w:t>423 (2.3:1)</w:t>
            </w:r>
          </w:p>
        </w:tc>
        <w:tc>
          <w:tcPr>
            <w:tcW w:w="3544" w:type="dxa"/>
            <w:noWrap/>
            <w:vAlign w:val="center"/>
            <w:hideMark/>
          </w:tcPr>
          <w:p w14:paraId="7161D04C" w14:textId="77777777" w:rsidR="008071B3" w:rsidRPr="009D0E29" w:rsidRDefault="008071B3" w:rsidP="00E70A1E">
            <w:pPr>
              <w:wordWrap/>
            </w:pPr>
            <w:r w:rsidRPr="009D0E29">
              <w:t>11 (2.6% / 0.45% / 1.2:1)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E99F" w14:textId="77777777" w:rsidR="008071B3" w:rsidRPr="009D0E29" w:rsidRDefault="008071B3" w:rsidP="00E70A1E">
            <w:pPr>
              <w:wordWrap/>
            </w:pPr>
            <w:r w:rsidRPr="009D0E29">
              <w:t>5.79 ± 4.23</w:t>
            </w:r>
          </w:p>
        </w:tc>
      </w:tr>
      <w:tr w:rsidR="008071B3" w:rsidRPr="009D0E29" w14:paraId="258CA5DE" w14:textId="77777777" w:rsidTr="0058135D">
        <w:trPr>
          <w:trHeight w:val="624"/>
        </w:trPr>
        <w:tc>
          <w:tcPr>
            <w:tcW w:w="1560" w:type="dxa"/>
            <w:noWrap/>
            <w:vAlign w:val="center"/>
            <w:hideMark/>
          </w:tcPr>
          <w:p w14:paraId="21DF29EE" w14:textId="77777777" w:rsidR="008071B3" w:rsidRPr="009D0E29" w:rsidRDefault="008071B3" w:rsidP="00E70A1E">
            <w:pPr>
              <w:wordWrap/>
            </w:pPr>
            <w:r w:rsidRPr="009D0E29">
              <w:t>40-50</w:t>
            </w:r>
          </w:p>
        </w:tc>
        <w:tc>
          <w:tcPr>
            <w:tcW w:w="1842" w:type="dxa"/>
            <w:noWrap/>
            <w:vAlign w:val="center"/>
            <w:hideMark/>
          </w:tcPr>
          <w:p w14:paraId="09584D21" w14:textId="77777777" w:rsidR="008071B3" w:rsidRPr="009D0E29" w:rsidRDefault="008071B3" w:rsidP="00E70A1E">
            <w:pPr>
              <w:wordWrap/>
            </w:pPr>
            <w:r w:rsidRPr="009D0E29">
              <w:t>574 (2.9:1)</w:t>
            </w:r>
          </w:p>
        </w:tc>
        <w:tc>
          <w:tcPr>
            <w:tcW w:w="3544" w:type="dxa"/>
            <w:noWrap/>
            <w:vAlign w:val="center"/>
            <w:hideMark/>
          </w:tcPr>
          <w:p w14:paraId="1B93B146" w14:textId="77777777" w:rsidR="008071B3" w:rsidRPr="009D0E29" w:rsidRDefault="008071B3" w:rsidP="00E70A1E">
            <w:pPr>
              <w:wordWrap/>
            </w:pPr>
            <w:r w:rsidRPr="009D0E29">
              <w:t>36 (6.3% / 0.92% / 4.0:1)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8C72" w14:textId="77777777" w:rsidR="008071B3" w:rsidRPr="009D0E29" w:rsidRDefault="008071B3" w:rsidP="00E70A1E">
            <w:pPr>
              <w:wordWrap/>
            </w:pPr>
            <w:r w:rsidRPr="009D0E29">
              <w:t>6.87 ± 3.5</w:t>
            </w:r>
          </w:p>
        </w:tc>
      </w:tr>
      <w:tr w:rsidR="008071B3" w:rsidRPr="009D0E29" w14:paraId="0DD171DF" w14:textId="77777777" w:rsidTr="0058135D">
        <w:trPr>
          <w:trHeight w:val="624"/>
        </w:trPr>
        <w:tc>
          <w:tcPr>
            <w:tcW w:w="1560" w:type="dxa"/>
            <w:noWrap/>
            <w:vAlign w:val="center"/>
            <w:hideMark/>
          </w:tcPr>
          <w:p w14:paraId="1FC3EED2" w14:textId="77777777" w:rsidR="008071B3" w:rsidRPr="009D0E29" w:rsidRDefault="008071B3" w:rsidP="00E70A1E">
            <w:pPr>
              <w:wordWrap/>
            </w:pPr>
            <w:r w:rsidRPr="009D0E29">
              <w:t>50-60</w:t>
            </w:r>
          </w:p>
        </w:tc>
        <w:tc>
          <w:tcPr>
            <w:tcW w:w="1842" w:type="dxa"/>
            <w:noWrap/>
            <w:vAlign w:val="center"/>
            <w:hideMark/>
          </w:tcPr>
          <w:p w14:paraId="3AADB878" w14:textId="77777777" w:rsidR="008071B3" w:rsidRPr="009D0E29" w:rsidRDefault="008071B3" w:rsidP="00E70A1E">
            <w:pPr>
              <w:wordWrap/>
            </w:pPr>
            <w:r w:rsidRPr="009D0E29">
              <w:t>455 (0.4:1)</w:t>
            </w:r>
          </w:p>
        </w:tc>
        <w:tc>
          <w:tcPr>
            <w:tcW w:w="3544" w:type="dxa"/>
            <w:noWrap/>
            <w:vAlign w:val="center"/>
            <w:hideMark/>
          </w:tcPr>
          <w:p w14:paraId="358AA6B1" w14:textId="77777777" w:rsidR="008071B3" w:rsidRPr="009D0E29" w:rsidRDefault="008071B3" w:rsidP="00E70A1E">
            <w:pPr>
              <w:wordWrap/>
            </w:pPr>
            <w:r w:rsidRPr="009D0E29">
              <w:t>22 (4.8% / 0.79% / 2.7:1)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98A3" w14:textId="77777777" w:rsidR="008071B3" w:rsidRPr="009D0E29" w:rsidRDefault="008071B3" w:rsidP="00E70A1E">
            <w:pPr>
              <w:wordWrap/>
            </w:pPr>
            <w:r w:rsidRPr="009D0E29">
              <w:t>6.15 ± 3.89</w:t>
            </w:r>
          </w:p>
        </w:tc>
      </w:tr>
      <w:tr w:rsidR="008071B3" w:rsidRPr="009D0E29" w14:paraId="24D2DD6F" w14:textId="77777777" w:rsidTr="0058135D">
        <w:trPr>
          <w:trHeight w:val="624"/>
        </w:trPr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0A2485" w14:textId="77777777" w:rsidR="008071B3" w:rsidRPr="009D0E29" w:rsidRDefault="008071B3" w:rsidP="00E70A1E">
            <w:pPr>
              <w:wordWrap/>
            </w:pPr>
            <w:r w:rsidRPr="009D0E29">
              <w:t>&gt;59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27D81D" w14:textId="77777777" w:rsidR="008071B3" w:rsidRPr="009D0E29" w:rsidRDefault="008071B3" w:rsidP="00E70A1E">
            <w:pPr>
              <w:wordWrap/>
            </w:pPr>
            <w:r w:rsidRPr="009D0E29">
              <w:t>286 (1.1:1)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9A832F" w14:textId="77777777" w:rsidR="008071B3" w:rsidRPr="009D0E29" w:rsidRDefault="008071B3" w:rsidP="00E70A1E">
            <w:pPr>
              <w:wordWrap/>
            </w:pPr>
            <w:r w:rsidRPr="009D0E29">
              <w:t>17 (5.9% / 1.05% / 0.9:1)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9A2F" w14:textId="77777777" w:rsidR="008071B3" w:rsidRPr="009D0E29" w:rsidRDefault="008071B3" w:rsidP="00E70A1E">
            <w:pPr>
              <w:wordWrap/>
            </w:pPr>
            <w:r w:rsidRPr="009D0E29">
              <w:t>5.64 ± 3.14</w:t>
            </w:r>
          </w:p>
        </w:tc>
      </w:tr>
      <w:tr w:rsidR="008071B3" w:rsidRPr="009D0E29" w14:paraId="622D80A5" w14:textId="77777777" w:rsidTr="0058135D">
        <w:trPr>
          <w:trHeight w:val="6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85B56E" w14:textId="77777777" w:rsidR="008071B3" w:rsidRPr="009D0E29" w:rsidRDefault="008071B3" w:rsidP="00E70A1E">
            <w:pPr>
              <w:wordWrap/>
            </w:pPr>
            <w:r w:rsidRPr="009D0E29"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8E0916" w14:textId="1F6AEE4B" w:rsidR="008071B3" w:rsidRPr="009D0E29" w:rsidRDefault="008071B3" w:rsidP="00E70A1E">
            <w:pPr>
              <w:wordWrap/>
            </w:pPr>
            <w:r w:rsidRPr="009D0E29">
              <w:t>1</w:t>
            </w:r>
            <w:r w:rsidR="00C6043F" w:rsidRPr="009D0E29">
              <w:t>,</w:t>
            </w:r>
            <w:r w:rsidRPr="009D0E29">
              <w:t>919 (1.4:1)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FF7FCF" w14:textId="77777777" w:rsidR="008071B3" w:rsidRPr="009D0E29" w:rsidRDefault="008071B3" w:rsidP="00E70A1E">
            <w:pPr>
              <w:wordWrap/>
            </w:pPr>
            <w:r w:rsidRPr="009D0E29">
              <w:t>90 (4.7% / 0.76% / 1.9:1)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1AD8" w14:textId="77777777" w:rsidR="008071B3" w:rsidRPr="009D0E29" w:rsidRDefault="008071B3" w:rsidP="00E70A1E">
            <w:pPr>
              <w:wordWrap/>
            </w:pPr>
            <w:r w:rsidRPr="009D0E29">
              <w:t>6.2 ± 3.6</w:t>
            </w:r>
          </w:p>
        </w:tc>
      </w:tr>
    </w:tbl>
    <w:p w14:paraId="06AD3248" w14:textId="2E5E2185" w:rsidR="008071B3" w:rsidRPr="009D0E29" w:rsidRDefault="004B2649" w:rsidP="00E70A1E">
      <w:pPr>
        <w:wordWrap/>
        <w:spacing w:after="0"/>
      </w:pPr>
      <w:r>
        <w:rPr>
          <w:rFonts w:hint="eastAsia"/>
          <w:vertAlign w:val="superscript"/>
          <w:lang w:eastAsia="zh-CN"/>
        </w:rPr>
        <w:t>1</w:t>
      </w:r>
      <w:r w:rsidR="0058135D" w:rsidRPr="009D0E29">
        <w:t>The o</w:t>
      </w:r>
      <w:r w:rsidR="008071B3" w:rsidRPr="009D0E29">
        <w:t>verall rate of HBsAg seroclearance was 4.7%</w:t>
      </w:r>
      <w:r w:rsidR="00C6043F" w:rsidRPr="009D0E29">
        <w:t>,</w:t>
      </w:r>
      <w:r w:rsidR="008071B3" w:rsidRPr="009D0E29">
        <w:t xml:space="preserve"> and </w:t>
      </w:r>
      <w:r w:rsidR="0058135D" w:rsidRPr="009D0E29">
        <w:t xml:space="preserve">the </w:t>
      </w:r>
      <w:r w:rsidR="008071B3" w:rsidRPr="009D0E29">
        <w:t>estimated annual rate of HBsAg seroclearance was 0.76%. The rate of HBsAg seroclearance was significantly higher in the</w:t>
      </w:r>
      <w:r w:rsidR="00E01422" w:rsidRPr="009D0E29">
        <w:t xml:space="preserve"> 40</w:t>
      </w:r>
      <w:r w:rsidR="00BB0BE9" w:rsidRPr="009D0E29">
        <w:t>-50 and 50-</w:t>
      </w:r>
      <w:r w:rsidR="008071B3" w:rsidRPr="009D0E29">
        <w:t>60</w:t>
      </w:r>
      <w:r w:rsidR="00BB0BE9" w:rsidRPr="009D0E29">
        <w:t xml:space="preserve"> year</w:t>
      </w:r>
      <w:r w:rsidR="008071B3" w:rsidRPr="009D0E29">
        <w:t xml:space="preserve"> </w:t>
      </w:r>
      <w:r w:rsidR="0058135D" w:rsidRPr="009D0E29">
        <w:t xml:space="preserve">age </w:t>
      </w:r>
      <w:r w:rsidR="008071B3" w:rsidRPr="009D0E29">
        <w:t xml:space="preserve">groups than </w:t>
      </w:r>
      <w:r w:rsidR="00AD2758" w:rsidRPr="009D0E29">
        <w:t xml:space="preserve">in </w:t>
      </w:r>
      <w:r w:rsidR="008071B3" w:rsidRPr="009D0E29">
        <w:t>the</w:t>
      </w:r>
      <w:r w:rsidR="00E01422" w:rsidRPr="009D0E29">
        <w:t xml:space="preserve"> 20</w:t>
      </w:r>
      <w:r w:rsidR="00BB0BE9" w:rsidRPr="009D0E29">
        <w:t xml:space="preserve">-30 and </w:t>
      </w:r>
      <w:r w:rsidR="008071B3" w:rsidRPr="009D0E29">
        <w:t>30</w:t>
      </w:r>
      <w:r w:rsidR="00BB0BE9" w:rsidRPr="009D0E29">
        <w:t>-40 year</w:t>
      </w:r>
      <w:r w:rsidR="0058135D" w:rsidRPr="009D0E29">
        <w:t xml:space="preserve"> age groups</w:t>
      </w:r>
      <w:r w:rsidR="008071B3" w:rsidRPr="009D0E29">
        <w:t xml:space="preserve"> (</w:t>
      </w:r>
      <w:r w:rsidR="008071B3" w:rsidRPr="00D46607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D46607">
        <w:t>=</w:t>
      </w:r>
      <w:r>
        <w:rPr>
          <w:rFonts w:hint="eastAsia"/>
          <w:lang w:eastAsia="zh-CN"/>
        </w:rPr>
        <w:t xml:space="preserve"> </w:t>
      </w:r>
      <w:r w:rsidR="008071B3" w:rsidRPr="00D46607">
        <w:t xml:space="preserve">0.001). Male predominance was </w:t>
      </w:r>
      <w:r w:rsidR="0058135D" w:rsidRPr="00D46607">
        <w:t xml:space="preserve">observed </w:t>
      </w:r>
      <w:r w:rsidR="008071B3" w:rsidRPr="009D0E29">
        <w:t>in the</w:t>
      </w:r>
      <w:r w:rsidR="00E01422" w:rsidRPr="009D0E29">
        <w:t xml:space="preserve"> 40 s</w:t>
      </w:r>
      <w:r w:rsidR="008071B3" w:rsidRPr="009D0E29">
        <w:t xml:space="preserve"> and</w:t>
      </w:r>
      <w:r w:rsidR="00E01422" w:rsidRPr="009D0E29">
        <w:t xml:space="preserve"> 50 s</w:t>
      </w:r>
      <w:r w:rsidR="0058135D" w:rsidRPr="009D0E29">
        <w:t xml:space="preserve"> age groups</w:t>
      </w:r>
      <w:r w:rsidR="008071B3" w:rsidRPr="009D0E29">
        <w:t xml:space="preserve"> </w:t>
      </w:r>
      <w:r w:rsidR="0058135D" w:rsidRPr="009D0E29">
        <w:t xml:space="preserve">but was </w:t>
      </w:r>
      <w:r w:rsidR="008071B3" w:rsidRPr="009D0E29">
        <w:t>not clear in the</w:t>
      </w:r>
      <w:r w:rsidR="00E01422" w:rsidRPr="009D0E29">
        <w:t xml:space="preserve"> </w:t>
      </w:r>
      <w:r w:rsidR="00BB0BE9" w:rsidRPr="009D0E29">
        <w:t>&gt;</w:t>
      </w:r>
      <w:r>
        <w:rPr>
          <w:rFonts w:hint="eastAsia"/>
          <w:lang w:eastAsia="zh-CN"/>
        </w:rPr>
        <w:t xml:space="preserve"> </w:t>
      </w:r>
      <w:r w:rsidR="00BB0BE9" w:rsidRPr="009D0E29">
        <w:t>59 year</w:t>
      </w:r>
      <w:r w:rsidR="0058135D" w:rsidRPr="009D0E29">
        <w:t xml:space="preserve"> age group</w:t>
      </w:r>
      <w:r w:rsidR="008071B3" w:rsidRPr="009D0E29">
        <w:t>. The time interval from entry to HBsAg loss was longer in the</w:t>
      </w:r>
      <w:r w:rsidR="00E01422" w:rsidRPr="009D0E29">
        <w:t xml:space="preserve"> 40</w:t>
      </w:r>
      <w:r w:rsidR="00BB0BE9" w:rsidRPr="009D0E29">
        <w:t>-50 and 50-</w:t>
      </w:r>
      <w:r w:rsidR="008071B3" w:rsidRPr="009D0E29">
        <w:t>60</w:t>
      </w:r>
      <w:r w:rsidR="00BB0BE9" w:rsidRPr="009D0E29">
        <w:t xml:space="preserve"> year</w:t>
      </w:r>
      <w:r w:rsidR="0058135D" w:rsidRPr="009D0E29">
        <w:t xml:space="preserve"> age groups</w:t>
      </w:r>
      <w:r w:rsidR="008071B3" w:rsidRPr="009D0E29">
        <w:t xml:space="preserve"> than </w:t>
      </w:r>
      <w:r w:rsidR="0058135D" w:rsidRPr="009D0E29">
        <w:t xml:space="preserve">in </w:t>
      </w:r>
      <w:r w:rsidR="008071B3" w:rsidRPr="009D0E29">
        <w:t>the</w:t>
      </w:r>
      <w:r w:rsidR="00E01422" w:rsidRPr="009D0E29">
        <w:t xml:space="preserve"> 20</w:t>
      </w:r>
      <w:r w:rsidR="00BB0BE9" w:rsidRPr="009D0E29">
        <w:t xml:space="preserve">-30 and </w:t>
      </w:r>
      <w:r w:rsidR="008071B3" w:rsidRPr="009D0E29">
        <w:t>30</w:t>
      </w:r>
      <w:r w:rsidR="00BB0BE9" w:rsidRPr="009D0E29">
        <w:t>-40 year</w:t>
      </w:r>
      <w:r w:rsidR="0058135D" w:rsidRPr="009D0E29">
        <w:t xml:space="preserve"> age groups</w:t>
      </w:r>
      <w:r w:rsidR="008071B3" w:rsidRPr="009D0E29">
        <w:t>.</w:t>
      </w:r>
    </w:p>
    <w:p w14:paraId="3D6E9CB1" w14:textId="77777777" w:rsidR="008071B3" w:rsidRPr="009D0E29" w:rsidRDefault="008071B3" w:rsidP="00E70A1E">
      <w:pPr>
        <w:wordWrap/>
        <w:spacing w:after="0"/>
      </w:pPr>
    </w:p>
    <w:p w14:paraId="577E1667" w14:textId="77777777" w:rsidR="008071B3" w:rsidRPr="009D0E29" w:rsidRDefault="008071B3" w:rsidP="00E70A1E">
      <w:pPr>
        <w:wordWrap/>
        <w:spacing w:after="0"/>
      </w:pPr>
    </w:p>
    <w:p w14:paraId="1B2E6109" w14:textId="77777777" w:rsidR="008071B3" w:rsidRPr="009D0E29" w:rsidRDefault="008071B3" w:rsidP="00E70A1E">
      <w:pPr>
        <w:wordWrap/>
        <w:spacing w:after="0"/>
      </w:pPr>
      <w:r w:rsidRPr="009D0E29">
        <w:br w:type="page"/>
      </w:r>
    </w:p>
    <w:p w14:paraId="5D4D5429" w14:textId="56529F56" w:rsidR="008071B3" w:rsidRPr="009D0E29" w:rsidRDefault="008071B3" w:rsidP="00E70A1E">
      <w:pPr>
        <w:pStyle w:val="a0"/>
        <w:wordWrap/>
        <w:spacing w:after="0"/>
        <w:rPr>
          <w:rFonts w:ascii="Book Antiqua" w:hAnsi="Book Antiqua"/>
          <w:lang w:eastAsia="zh-CN"/>
        </w:rPr>
      </w:pPr>
      <w:r w:rsidRPr="009D0E29">
        <w:rPr>
          <w:rFonts w:ascii="Book Antiqua" w:hAnsi="Book Antiqua"/>
        </w:rPr>
        <w:lastRenderedPageBreak/>
        <w:t xml:space="preserve">Table 2. Comparison of </w:t>
      </w:r>
      <w:r w:rsidR="0058135D" w:rsidRPr="009D0E29">
        <w:rPr>
          <w:rFonts w:ascii="Book Antiqua" w:hAnsi="Book Antiqua"/>
        </w:rPr>
        <w:t xml:space="preserve">the </w:t>
      </w:r>
      <w:r w:rsidRPr="009D0E29">
        <w:rPr>
          <w:rFonts w:ascii="Book Antiqua" w:hAnsi="Book Antiqua"/>
        </w:rPr>
        <w:t xml:space="preserve">time interval </w:t>
      </w:r>
      <w:r w:rsidR="001C120B" w:rsidRPr="009D0E29">
        <w:rPr>
          <w:rFonts w:ascii="Book Antiqua" w:hAnsi="Book Antiqua"/>
        </w:rPr>
        <w:t xml:space="preserve">to </w:t>
      </w:r>
      <w:r w:rsidRPr="009D0E29">
        <w:rPr>
          <w:rFonts w:ascii="Book Antiqua" w:hAnsi="Book Antiqua"/>
        </w:rPr>
        <w:t>HBsAg seroclearance between carriers with and without HBeAg at entry</w:t>
      </w:r>
      <w:r w:rsidR="004B2649">
        <w:rPr>
          <w:rFonts w:ascii="Book Antiqua" w:hAnsi="Book Antiqua" w:hint="eastAsia"/>
          <w:lang w:eastAsia="zh-CN"/>
        </w:rPr>
        <w:t xml:space="preserve"> </w:t>
      </w:r>
    </w:p>
    <w:tbl>
      <w:tblPr>
        <w:tblW w:w="98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9"/>
        <w:gridCol w:w="1597"/>
        <w:gridCol w:w="2589"/>
        <w:gridCol w:w="1559"/>
        <w:gridCol w:w="2572"/>
      </w:tblGrid>
      <w:tr w:rsidR="008071B3" w:rsidRPr="009D0E29" w14:paraId="7DCE4CEB" w14:textId="77777777" w:rsidTr="005054B0">
        <w:trPr>
          <w:trHeight w:val="340"/>
        </w:trPr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8414" w14:textId="77777777" w:rsidR="008071B3" w:rsidRPr="004B2649" w:rsidRDefault="008071B3" w:rsidP="00E70A1E">
            <w:pPr>
              <w:wordWrap/>
              <w:spacing w:after="0"/>
              <w:rPr>
                <w:b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F5A4" w14:textId="77777777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HBeAg-positive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7085" w14:textId="77777777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HBeAg-negative</w:t>
            </w:r>
          </w:p>
        </w:tc>
      </w:tr>
      <w:tr w:rsidR="004B2649" w:rsidRPr="009D0E29" w14:paraId="11D3BC7F" w14:textId="77777777" w:rsidTr="005054B0">
        <w:trPr>
          <w:trHeight w:val="340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D2D2" w14:textId="77777777" w:rsidR="004B2649" w:rsidRPr="004B2649" w:rsidRDefault="004B2649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Age group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C171" w14:textId="23925F3E" w:rsidR="004B2649" w:rsidRPr="004B2649" w:rsidRDefault="004B2649" w:rsidP="004B2649">
            <w:pPr>
              <w:wordWrap/>
              <w:spacing w:after="0"/>
              <w:rPr>
                <w:rFonts w:eastAsia="SimSun" w:cs="SimSun"/>
                <w:b/>
                <w:lang w:eastAsia="zh-CN"/>
              </w:rPr>
            </w:pPr>
            <w:r w:rsidRPr="004B2649">
              <w:rPr>
                <w:rFonts w:eastAsia="SimSun" w:cs="SimSun"/>
                <w:b/>
                <w:i/>
                <w:lang w:eastAsia="zh-CN"/>
              </w:rPr>
              <w:t>n</w:t>
            </w:r>
            <w:r w:rsidRPr="004B2649">
              <w:rPr>
                <w:rFonts w:eastAsia="SimSun" w:cs="SimSun"/>
                <w:b/>
                <w:lang w:eastAsia="zh-CN"/>
              </w:rPr>
              <w:t xml:space="preserve"> (%)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EF55" w14:textId="219CD001" w:rsidR="004B2649" w:rsidRPr="004B2649" w:rsidRDefault="004B2649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Years (mean ± SD)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5D48" w14:textId="3C1588A2" w:rsidR="004B2649" w:rsidRPr="004B2649" w:rsidRDefault="004B2649" w:rsidP="00E70A1E">
            <w:pPr>
              <w:wordWrap/>
              <w:spacing w:after="0"/>
              <w:rPr>
                <w:b/>
              </w:rPr>
            </w:pPr>
            <w:r w:rsidRPr="004B2649">
              <w:rPr>
                <w:rFonts w:eastAsia="SimSun" w:cs="SimSun"/>
                <w:b/>
                <w:i/>
                <w:lang w:eastAsia="zh-CN"/>
              </w:rPr>
              <w:t>n</w:t>
            </w:r>
            <w:r w:rsidRPr="004B2649">
              <w:rPr>
                <w:rFonts w:eastAsia="SimSun" w:cs="SimSun"/>
                <w:b/>
                <w:lang w:eastAsia="zh-CN"/>
              </w:rPr>
              <w:t xml:space="preserve"> (%)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5EFD" w14:textId="762CEDC3" w:rsidR="004B2649" w:rsidRPr="004B2649" w:rsidRDefault="004B2649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Years (mean ± SD)</w:t>
            </w:r>
          </w:p>
        </w:tc>
      </w:tr>
      <w:tr w:rsidR="004B2649" w:rsidRPr="009D0E29" w14:paraId="61AC7B23" w14:textId="77777777" w:rsidTr="005054B0">
        <w:trPr>
          <w:trHeight w:val="34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0A8A" w14:textId="6C38B3B2" w:rsidR="004B2649" w:rsidRPr="009D0E29" w:rsidRDefault="004B2649" w:rsidP="00E70A1E">
            <w:pPr>
              <w:wordWrap/>
              <w:spacing w:after="0"/>
            </w:pPr>
            <w:r w:rsidRPr="009D0E29">
              <w:t>&lt;</w:t>
            </w:r>
            <w:r>
              <w:rPr>
                <w:rFonts w:hint="eastAsia"/>
                <w:lang w:eastAsia="zh-CN"/>
              </w:rPr>
              <w:t xml:space="preserve"> </w:t>
            </w:r>
            <w:r w:rsidRPr="009D0E29"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EAA" w14:textId="303C8205" w:rsidR="004B2649" w:rsidRPr="009D0E29" w:rsidRDefault="004B2649" w:rsidP="00E70A1E">
            <w:pPr>
              <w:wordWrap/>
              <w:spacing w:after="0"/>
            </w:pPr>
            <w:r>
              <w:t>1 (25</w:t>
            </w:r>
            <w:r w:rsidRPr="009D0E29"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91E2" w14:textId="77777777" w:rsidR="004B2649" w:rsidRPr="009D0E29" w:rsidRDefault="004B2649" w:rsidP="00E70A1E">
            <w:pPr>
              <w:wordWrap/>
              <w:spacing w:after="0"/>
            </w:pPr>
            <w:r w:rsidRPr="009D0E29">
              <w:t>8.15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5893" w14:textId="0509FC19" w:rsidR="004B2649" w:rsidRPr="009D0E29" w:rsidRDefault="004B2649" w:rsidP="00E70A1E">
            <w:pPr>
              <w:wordWrap/>
              <w:spacing w:after="0"/>
            </w:pPr>
            <w:r>
              <w:t>3 (75</w:t>
            </w:r>
            <w:r w:rsidRPr="009D0E29"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F890" w14:textId="77777777" w:rsidR="004B2649" w:rsidRPr="009D0E29" w:rsidRDefault="004B2649" w:rsidP="00E70A1E">
            <w:pPr>
              <w:wordWrap/>
              <w:spacing w:after="0"/>
            </w:pPr>
            <w:r w:rsidRPr="009D0E29">
              <w:t>2.6 ± 1.06</w:t>
            </w:r>
          </w:p>
        </w:tc>
      </w:tr>
      <w:tr w:rsidR="004B2649" w:rsidRPr="009D0E29" w14:paraId="6A4AE53D" w14:textId="77777777" w:rsidTr="005054B0">
        <w:trPr>
          <w:trHeight w:val="340"/>
        </w:trPr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CADA" w14:textId="77777777" w:rsidR="004B2649" w:rsidRPr="009D0E29" w:rsidRDefault="004B2649" w:rsidP="00E70A1E">
            <w:pPr>
              <w:wordWrap/>
              <w:spacing w:after="0"/>
            </w:pPr>
            <w:r w:rsidRPr="009D0E29">
              <w:t>30-40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DE91" w14:textId="78473F66" w:rsidR="004B2649" w:rsidRPr="009D0E29" w:rsidRDefault="004B2649" w:rsidP="00E70A1E">
            <w:pPr>
              <w:wordWrap/>
              <w:spacing w:after="0"/>
            </w:pPr>
            <w:r>
              <w:t>4 (36.4</w:t>
            </w:r>
            <w:r w:rsidRPr="009D0E29">
              <w:t>)</w:t>
            </w:r>
          </w:p>
        </w:tc>
        <w:tc>
          <w:tcPr>
            <w:tcW w:w="2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448F" w14:textId="77777777" w:rsidR="004B2649" w:rsidRPr="009D0E29" w:rsidRDefault="004B2649" w:rsidP="00E70A1E">
            <w:pPr>
              <w:wordWrap/>
              <w:spacing w:after="0"/>
            </w:pPr>
            <w:r w:rsidRPr="009D0E29">
              <w:t>5.87 ± 4.9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DA5E" w14:textId="37919524" w:rsidR="004B2649" w:rsidRPr="009D0E29" w:rsidRDefault="004B2649" w:rsidP="00E70A1E">
            <w:pPr>
              <w:wordWrap/>
              <w:spacing w:after="0"/>
            </w:pPr>
            <w:r>
              <w:t>7 (63.6</w:t>
            </w:r>
            <w:r w:rsidRPr="009D0E29">
              <w:t>)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3FBB" w14:textId="77777777" w:rsidR="004B2649" w:rsidRPr="009D0E29" w:rsidRDefault="004B2649" w:rsidP="00E70A1E">
            <w:pPr>
              <w:wordWrap/>
              <w:spacing w:after="0"/>
            </w:pPr>
            <w:r w:rsidRPr="009D0E29">
              <w:t>5.75 ± 4.21</w:t>
            </w:r>
          </w:p>
        </w:tc>
      </w:tr>
      <w:tr w:rsidR="004B2649" w:rsidRPr="009D0E29" w14:paraId="35EE778A" w14:textId="77777777" w:rsidTr="005054B0">
        <w:trPr>
          <w:trHeight w:val="34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3C2F" w14:textId="77777777" w:rsidR="004B2649" w:rsidRPr="009D0E29" w:rsidRDefault="004B2649" w:rsidP="00E70A1E">
            <w:pPr>
              <w:wordWrap/>
              <w:spacing w:after="0"/>
            </w:pPr>
            <w:r w:rsidRPr="009D0E29">
              <w:t>40-50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CDE9" w14:textId="5AC7DC33" w:rsidR="004B2649" w:rsidRPr="009D0E29" w:rsidRDefault="004B2649" w:rsidP="00E70A1E">
            <w:pPr>
              <w:wordWrap/>
              <w:spacing w:after="0"/>
            </w:pPr>
            <w:r>
              <w:t>6 (16.7</w:t>
            </w:r>
            <w:r w:rsidRPr="009D0E29"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40A1" w14:textId="77777777" w:rsidR="004B2649" w:rsidRPr="009D0E29" w:rsidRDefault="004B2649" w:rsidP="00E70A1E">
            <w:pPr>
              <w:wordWrap/>
              <w:spacing w:after="0"/>
            </w:pPr>
            <w:r w:rsidRPr="009D0E29">
              <w:t>9.24 ± 2.84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4A4A" w14:textId="6CA1540F" w:rsidR="004B2649" w:rsidRPr="009D0E29" w:rsidRDefault="004B2649" w:rsidP="00E70A1E">
            <w:pPr>
              <w:wordWrap/>
              <w:spacing w:after="0"/>
            </w:pPr>
            <w:r>
              <w:t>30 (83.3</w:t>
            </w:r>
            <w:r w:rsidRPr="009D0E29"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BEA3" w14:textId="77777777" w:rsidR="004B2649" w:rsidRPr="009D0E29" w:rsidRDefault="004B2649" w:rsidP="00E70A1E">
            <w:pPr>
              <w:wordWrap/>
              <w:spacing w:after="0"/>
            </w:pPr>
            <w:r w:rsidRPr="009D0E29">
              <w:t>6.4 ± 3.46</w:t>
            </w:r>
          </w:p>
        </w:tc>
      </w:tr>
      <w:tr w:rsidR="004B2649" w:rsidRPr="009D0E29" w14:paraId="6ABC0C00" w14:textId="77777777" w:rsidTr="005054B0">
        <w:trPr>
          <w:trHeight w:val="34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BA95" w14:textId="77777777" w:rsidR="004B2649" w:rsidRPr="009D0E29" w:rsidRDefault="004B2649" w:rsidP="00E70A1E">
            <w:pPr>
              <w:wordWrap/>
              <w:spacing w:after="0"/>
            </w:pPr>
            <w:r w:rsidRPr="009D0E29">
              <w:t>50-60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AA9E" w14:textId="3B62E84F" w:rsidR="004B2649" w:rsidRPr="009D0E29" w:rsidRDefault="004B2649" w:rsidP="00E70A1E">
            <w:pPr>
              <w:wordWrap/>
              <w:spacing w:after="0"/>
            </w:pPr>
            <w:r>
              <w:t>2 (9.1</w:t>
            </w:r>
            <w:r w:rsidRPr="009D0E29"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239F" w14:textId="77777777" w:rsidR="004B2649" w:rsidRPr="009D0E29" w:rsidRDefault="004B2649" w:rsidP="00E70A1E">
            <w:pPr>
              <w:wordWrap/>
              <w:spacing w:after="0"/>
            </w:pPr>
            <w:r w:rsidRPr="009D0E29">
              <w:t>9.22 ± 1.71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7BC1" w14:textId="42B346B2" w:rsidR="004B2649" w:rsidRPr="009D0E29" w:rsidRDefault="004B2649" w:rsidP="00E70A1E">
            <w:pPr>
              <w:wordWrap/>
              <w:spacing w:after="0"/>
            </w:pPr>
            <w:r>
              <w:t>20 (90.9</w:t>
            </w:r>
            <w:r w:rsidRPr="009D0E29"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71A8" w14:textId="77777777" w:rsidR="004B2649" w:rsidRPr="009D0E29" w:rsidRDefault="004B2649" w:rsidP="00E70A1E">
            <w:pPr>
              <w:wordWrap/>
              <w:spacing w:after="0"/>
            </w:pPr>
            <w:r w:rsidRPr="009D0E29">
              <w:t>5.84 ± 3.93</w:t>
            </w:r>
          </w:p>
        </w:tc>
      </w:tr>
      <w:tr w:rsidR="004B2649" w:rsidRPr="009D0E29" w14:paraId="61F4C2B2" w14:textId="77777777" w:rsidTr="005054B0">
        <w:trPr>
          <w:trHeight w:val="34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143" w14:textId="1C54C858" w:rsidR="004B2649" w:rsidRPr="009D0E29" w:rsidRDefault="004B2649" w:rsidP="00E70A1E">
            <w:pPr>
              <w:wordWrap/>
              <w:spacing w:after="0"/>
            </w:pPr>
            <w:r w:rsidRPr="009D0E29">
              <w:t>&gt;</w:t>
            </w:r>
            <w:r>
              <w:rPr>
                <w:rFonts w:hint="eastAsia"/>
                <w:lang w:eastAsia="zh-CN"/>
              </w:rPr>
              <w:t xml:space="preserve"> </w:t>
            </w:r>
            <w:r w:rsidRPr="009D0E29">
              <w:t>59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5B71" w14:textId="55E76859" w:rsidR="004B2649" w:rsidRPr="009D0E29" w:rsidRDefault="004B2649" w:rsidP="00E70A1E">
            <w:pPr>
              <w:wordWrap/>
              <w:spacing w:after="0"/>
            </w:pPr>
            <w:r>
              <w:t>3 (17.6</w:t>
            </w:r>
            <w:r w:rsidRPr="009D0E29"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F1AA" w14:textId="77777777" w:rsidR="004B2649" w:rsidRPr="009D0E29" w:rsidRDefault="004B2649" w:rsidP="00E70A1E">
            <w:pPr>
              <w:wordWrap/>
              <w:spacing w:after="0"/>
            </w:pPr>
            <w:r w:rsidRPr="009D0E29">
              <w:t>3.38 ± 1.81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EB17" w14:textId="46F88B41" w:rsidR="004B2649" w:rsidRPr="009D0E29" w:rsidRDefault="004B2649" w:rsidP="00E70A1E">
            <w:pPr>
              <w:wordWrap/>
              <w:spacing w:after="0"/>
            </w:pPr>
            <w:r>
              <w:t>14 (82.4</w:t>
            </w:r>
            <w:r w:rsidRPr="009D0E29"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8D26" w14:textId="77777777" w:rsidR="004B2649" w:rsidRPr="009D0E29" w:rsidRDefault="004B2649" w:rsidP="00E70A1E">
            <w:pPr>
              <w:wordWrap/>
              <w:spacing w:after="0"/>
            </w:pPr>
            <w:r w:rsidRPr="009D0E29">
              <w:t>6.12 ± 3.2</w:t>
            </w:r>
          </w:p>
        </w:tc>
      </w:tr>
      <w:tr w:rsidR="004B2649" w:rsidRPr="009D0E29" w14:paraId="4220A837" w14:textId="77777777" w:rsidTr="005054B0">
        <w:trPr>
          <w:trHeight w:val="340"/>
        </w:trPr>
        <w:tc>
          <w:tcPr>
            <w:tcW w:w="1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02FB" w14:textId="77777777" w:rsidR="004B2649" w:rsidRPr="009D0E29" w:rsidRDefault="004B2649" w:rsidP="00E70A1E">
            <w:pPr>
              <w:wordWrap/>
              <w:spacing w:after="0"/>
            </w:pPr>
            <w:r w:rsidRPr="009D0E29">
              <w:t>Total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0245" w14:textId="35063D4E" w:rsidR="004B2649" w:rsidRPr="009D0E29" w:rsidRDefault="004B2649" w:rsidP="00E70A1E">
            <w:pPr>
              <w:wordWrap/>
              <w:spacing w:after="0"/>
            </w:pPr>
            <w:r>
              <w:t>16 (17.8</w:t>
            </w:r>
            <w:r w:rsidRPr="009D0E29">
              <w:t>)</w:t>
            </w:r>
          </w:p>
        </w:tc>
        <w:tc>
          <w:tcPr>
            <w:tcW w:w="25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D58C" w14:textId="77777777" w:rsidR="004B2649" w:rsidRPr="009D0E29" w:rsidRDefault="004B2649" w:rsidP="00E70A1E">
            <w:pPr>
              <w:wordWrap/>
              <w:spacing w:after="0"/>
            </w:pPr>
            <w:r w:rsidRPr="009D0E29">
              <w:t>7.23 ± 3.71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5CD0" w14:textId="3A7866B1" w:rsidR="004B2649" w:rsidRPr="009D0E29" w:rsidRDefault="004B2649" w:rsidP="00E70A1E">
            <w:pPr>
              <w:wordWrap/>
              <w:spacing w:after="0"/>
            </w:pPr>
            <w:r>
              <w:t>74 (82.2</w:t>
            </w:r>
            <w:r w:rsidRPr="009D0E29">
              <w:t>)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6245" w14:textId="77777777" w:rsidR="004B2649" w:rsidRPr="009D0E29" w:rsidRDefault="004B2649" w:rsidP="00E70A1E">
            <w:pPr>
              <w:wordWrap/>
              <w:spacing w:after="0"/>
            </w:pPr>
            <w:r w:rsidRPr="009D0E29">
              <w:t>5.98 ± 3.2</w:t>
            </w:r>
          </w:p>
        </w:tc>
      </w:tr>
    </w:tbl>
    <w:p w14:paraId="79E213D4" w14:textId="1DF9F245" w:rsidR="008071B3" w:rsidRPr="009D0E29" w:rsidRDefault="0058135D" w:rsidP="00E70A1E">
      <w:pPr>
        <w:wordWrap/>
        <w:spacing w:after="0"/>
      </w:pPr>
      <w:r w:rsidRPr="009D0E29">
        <w:t>Overall</w:t>
      </w:r>
      <w:r w:rsidR="008071B3" w:rsidRPr="009D0E29">
        <w:t xml:space="preserve">, </w:t>
      </w:r>
      <w:r w:rsidR="00767644" w:rsidRPr="009D0E29">
        <w:t xml:space="preserve">the </w:t>
      </w:r>
      <w:r w:rsidR="008071B3" w:rsidRPr="009D0E29">
        <w:t xml:space="preserve">time interval of HBsAg seroclearance </w:t>
      </w:r>
      <w:r w:rsidR="001C120B" w:rsidRPr="009D0E29">
        <w:t xml:space="preserve">did </w:t>
      </w:r>
      <w:r w:rsidR="008071B3" w:rsidRPr="009D0E29">
        <w:t xml:space="preserve">not differ between </w:t>
      </w:r>
      <w:r w:rsidRPr="009D0E29">
        <w:t xml:space="preserve">the </w:t>
      </w:r>
      <w:r w:rsidR="008071B3" w:rsidRPr="009D0E29">
        <w:t>two groups (</w:t>
      </w:r>
      <w:r w:rsidR="008071B3" w:rsidRPr="009D0E29">
        <w:rPr>
          <w:i/>
          <w:iCs/>
        </w:rPr>
        <w:t>P</w:t>
      </w:r>
      <w:r w:rsidR="004B2649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B2649">
        <w:rPr>
          <w:rFonts w:hint="eastAsia"/>
          <w:lang w:eastAsia="zh-CN"/>
        </w:rPr>
        <w:t xml:space="preserve"> </w:t>
      </w:r>
      <w:r w:rsidR="008071B3" w:rsidRPr="009D0E29">
        <w:t xml:space="preserve">0.982). However, when limited </w:t>
      </w:r>
      <w:r w:rsidRPr="009D0E29">
        <w:t xml:space="preserve">to </w:t>
      </w:r>
      <w:r w:rsidR="008071B3" w:rsidRPr="009D0E29">
        <w:t>the</w:t>
      </w:r>
      <w:r w:rsidR="00E01422" w:rsidRPr="009D0E29">
        <w:t xml:space="preserve"> 40 s</w:t>
      </w:r>
      <w:r w:rsidR="008071B3" w:rsidRPr="009D0E29">
        <w:t>-50</w:t>
      </w:r>
      <w:r w:rsidR="00BB0BE9" w:rsidRPr="009D0E29">
        <w:t xml:space="preserve"> </w:t>
      </w:r>
      <w:r w:rsidR="008071B3" w:rsidRPr="009D0E29">
        <w:t>s</w:t>
      </w:r>
      <w:r w:rsidRPr="009D0E29">
        <w:t xml:space="preserve"> age groups</w:t>
      </w:r>
      <w:r w:rsidR="008071B3" w:rsidRPr="009D0E29">
        <w:t xml:space="preserve">, </w:t>
      </w:r>
      <w:r w:rsidRPr="009D0E29">
        <w:t xml:space="preserve">the </w:t>
      </w:r>
      <w:r w:rsidR="008071B3" w:rsidRPr="009D0E29">
        <w:t xml:space="preserve">time interval </w:t>
      </w:r>
      <w:r w:rsidR="001C120B" w:rsidRPr="009D0E29">
        <w:t xml:space="preserve">to </w:t>
      </w:r>
      <w:r w:rsidR="008071B3" w:rsidRPr="009D0E29">
        <w:t>HBsAg seroclearance was significantly longer in the HB</w:t>
      </w:r>
      <w:r w:rsidR="00C213A5" w:rsidRPr="009D0E29">
        <w:t>e</w:t>
      </w:r>
      <w:r w:rsidR="008071B3" w:rsidRPr="009D0E29">
        <w:t xml:space="preserve">Ag-positive group than in the HBeAg-negative </w:t>
      </w:r>
      <w:r w:rsidRPr="009D0E29">
        <w:t xml:space="preserve">group </w:t>
      </w:r>
      <w:r w:rsidR="008071B3" w:rsidRPr="009D0E29">
        <w:t>(</w:t>
      </w:r>
      <w:r w:rsidR="008071B3" w:rsidRPr="009D0E29">
        <w:rPr>
          <w:i/>
          <w:iCs/>
        </w:rPr>
        <w:t>P</w:t>
      </w:r>
      <w:r w:rsidR="004B2649">
        <w:rPr>
          <w:rFonts w:hint="eastAsia"/>
          <w:i/>
          <w:iCs/>
          <w:lang w:eastAsia="zh-CN"/>
        </w:rPr>
        <w:t xml:space="preserve"> </w:t>
      </w:r>
      <w:r w:rsidR="008071B3" w:rsidRPr="009D0E29">
        <w:t>=</w:t>
      </w:r>
      <w:r w:rsidR="004B2649">
        <w:rPr>
          <w:rFonts w:hint="eastAsia"/>
          <w:lang w:eastAsia="zh-CN"/>
        </w:rPr>
        <w:t xml:space="preserve"> </w:t>
      </w:r>
      <w:r w:rsidR="008071B3" w:rsidRPr="009D0E29">
        <w:t>0.013)</w:t>
      </w:r>
      <w:r w:rsidR="001C120B" w:rsidRPr="009D0E29">
        <w:t>,</w:t>
      </w:r>
      <w:r w:rsidR="008071B3" w:rsidRPr="009D0E29">
        <w:t xml:space="preserve"> </w:t>
      </w:r>
      <w:r w:rsidRPr="009D0E29">
        <w:t xml:space="preserve">but </w:t>
      </w:r>
      <w:r w:rsidR="002542AC" w:rsidRPr="009D0E29">
        <w:t xml:space="preserve">it </w:t>
      </w:r>
      <w:r w:rsidR="009D0E29" w:rsidRPr="009D0E29">
        <w:t>did not significantly differ</w:t>
      </w:r>
      <w:r w:rsidR="008071B3" w:rsidRPr="009D0E29">
        <w:t xml:space="preserve"> in </w:t>
      </w:r>
      <w:r w:rsidRPr="009D0E29">
        <w:t xml:space="preserve">the </w:t>
      </w:r>
      <w:r w:rsidR="008071B3" w:rsidRPr="009D0E29">
        <w:t>other age groups. In the</w:t>
      </w:r>
      <w:r w:rsidR="00E01422" w:rsidRPr="00D46607">
        <w:t xml:space="preserve"> 60 s</w:t>
      </w:r>
      <w:r w:rsidRPr="00D46607">
        <w:t xml:space="preserve"> age group</w:t>
      </w:r>
      <w:r w:rsidR="008071B3" w:rsidRPr="009D0E29">
        <w:t xml:space="preserve">, </w:t>
      </w:r>
      <w:r w:rsidRPr="009D0E29">
        <w:t xml:space="preserve">the </w:t>
      </w:r>
      <w:r w:rsidR="008071B3" w:rsidRPr="009D0E29">
        <w:t xml:space="preserve">time interval </w:t>
      </w:r>
      <w:r w:rsidRPr="009D0E29">
        <w:t>to</w:t>
      </w:r>
      <w:r w:rsidR="008071B3" w:rsidRPr="009D0E29">
        <w:t xml:space="preserve"> HBsAg seroclearance </w:t>
      </w:r>
      <w:r w:rsidR="001C120B" w:rsidRPr="009D0E29">
        <w:t xml:space="preserve">did </w:t>
      </w:r>
      <w:r w:rsidR="008071B3" w:rsidRPr="009D0E29">
        <w:t xml:space="preserve">not differ between </w:t>
      </w:r>
      <w:r w:rsidRPr="009D0E29">
        <w:t xml:space="preserve">the </w:t>
      </w:r>
      <w:r w:rsidR="008071B3" w:rsidRPr="009D0E29">
        <w:t xml:space="preserve">HBeAg-positive and negative </w:t>
      </w:r>
      <w:r w:rsidR="002542AC" w:rsidRPr="009D0E29">
        <w:t>groups</w:t>
      </w:r>
      <w:r w:rsidR="001C120B" w:rsidRPr="009D0E29">
        <w:t xml:space="preserve"> </w:t>
      </w:r>
      <w:r w:rsidR="008071B3" w:rsidRPr="009D0E29">
        <w:t>(</w:t>
      </w:r>
      <w:r w:rsidR="008071B3" w:rsidRPr="009D0E29">
        <w:rPr>
          <w:i/>
        </w:rPr>
        <w:t>P</w:t>
      </w:r>
      <w:r w:rsidR="004B2649"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 w:rsidR="004B2649">
        <w:rPr>
          <w:rFonts w:hint="eastAsia"/>
          <w:lang w:eastAsia="zh-CN"/>
        </w:rPr>
        <w:t xml:space="preserve"> </w:t>
      </w:r>
      <w:r w:rsidR="008071B3" w:rsidRPr="009D0E29">
        <w:t xml:space="preserve">0.1208). </w:t>
      </w:r>
    </w:p>
    <w:p w14:paraId="711FB009" w14:textId="77777777" w:rsidR="008071B3" w:rsidRPr="009D0E29" w:rsidRDefault="008071B3" w:rsidP="00E70A1E">
      <w:pPr>
        <w:wordWrap/>
        <w:spacing w:after="0"/>
      </w:pPr>
    </w:p>
    <w:p w14:paraId="67B14B91" w14:textId="77777777" w:rsidR="008071B3" w:rsidRPr="009D0E29" w:rsidRDefault="008071B3" w:rsidP="00E70A1E">
      <w:pPr>
        <w:wordWrap/>
        <w:spacing w:after="0"/>
      </w:pPr>
      <w:r w:rsidRPr="009D0E29">
        <w:br w:type="page"/>
      </w:r>
    </w:p>
    <w:p w14:paraId="17ACF516" w14:textId="5C9C630C" w:rsidR="008071B3" w:rsidRPr="009D0E29" w:rsidRDefault="004B2649" w:rsidP="00E70A1E">
      <w:pPr>
        <w:pStyle w:val="a0"/>
        <w:wordWrap/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Table 3</w:t>
      </w:r>
      <w:r>
        <w:rPr>
          <w:rFonts w:ascii="Book Antiqua" w:hAnsi="Book Antiqua" w:hint="eastAsia"/>
          <w:lang w:eastAsia="zh-CN"/>
        </w:rPr>
        <w:t xml:space="preserve"> </w:t>
      </w:r>
      <w:r w:rsidR="008071B3" w:rsidRPr="009D0E29">
        <w:rPr>
          <w:rFonts w:ascii="Book Antiqua" w:hAnsi="Book Antiqua"/>
        </w:rPr>
        <w:t xml:space="preserve">Comparison of </w:t>
      </w:r>
      <w:r w:rsidR="00767644" w:rsidRPr="009D0E29">
        <w:rPr>
          <w:rFonts w:ascii="Book Antiqua" w:hAnsi="Book Antiqua"/>
        </w:rPr>
        <w:t xml:space="preserve">the </w:t>
      </w:r>
      <w:r w:rsidR="008071B3" w:rsidRPr="009D0E29">
        <w:rPr>
          <w:rFonts w:ascii="Book Antiqua" w:hAnsi="Book Antiqua"/>
        </w:rPr>
        <w:t xml:space="preserve">time interval </w:t>
      </w:r>
      <w:r w:rsidR="007D055A" w:rsidRPr="009D0E29">
        <w:rPr>
          <w:rFonts w:ascii="Book Antiqua" w:hAnsi="Book Antiqua"/>
        </w:rPr>
        <w:t xml:space="preserve">to </w:t>
      </w:r>
      <w:r w:rsidR="008071B3" w:rsidRPr="009D0E29">
        <w:rPr>
          <w:rFonts w:ascii="Book Antiqua" w:hAnsi="Book Antiqua"/>
        </w:rPr>
        <w:t xml:space="preserve">HBsAg seroclearance </w:t>
      </w:r>
      <w:r w:rsidR="0058135D" w:rsidRPr="009D0E29">
        <w:rPr>
          <w:rFonts w:ascii="Book Antiqua" w:hAnsi="Book Antiqua"/>
        </w:rPr>
        <w:t>in</w:t>
      </w:r>
      <w:r w:rsidR="008071B3" w:rsidRPr="009D0E29">
        <w:rPr>
          <w:rFonts w:ascii="Book Antiqua" w:hAnsi="Book Antiqua"/>
        </w:rPr>
        <w:t xml:space="preserve"> </w:t>
      </w:r>
      <w:r w:rsidR="0058135D" w:rsidRPr="009D0E29">
        <w:rPr>
          <w:rFonts w:ascii="Book Antiqua" w:hAnsi="Book Antiqua"/>
        </w:rPr>
        <w:t>each</w:t>
      </w:r>
      <w:r w:rsidR="008071B3" w:rsidRPr="009D0E29">
        <w:rPr>
          <w:rFonts w:ascii="Book Antiqua" w:hAnsi="Book Antiqua"/>
        </w:rPr>
        <w:t xml:space="preserve"> age group </w:t>
      </w:r>
      <w:r w:rsidR="0058135D" w:rsidRPr="009D0E29">
        <w:rPr>
          <w:rFonts w:ascii="Book Antiqua" w:hAnsi="Book Antiqua"/>
        </w:rPr>
        <w:t>with</w:t>
      </w:r>
      <w:r w:rsidR="008071B3" w:rsidRPr="009D0E29">
        <w:rPr>
          <w:rFonts w:ascii="Book Antiqua" w:hAnsi="Book Antiqua"/>
        </w:rPr>
        <w:t xml:space="preserve"> the</w:t>
      </w:r>
      <w:r w:rsidR="007D055A" w:rsidRPr="009D0E29">
        <w:rPr>
          <w:rFonts w:ascii="Book Antiqua" w:hAnsi="Book Antiqua"/>
        </w:rPr>
        <w:t xml:space="preserve"> serum</w:t>
      </w:r>
      <w:r w:rsidR="008071B3" w:rsidRPr="009D0E29">
        <w:rPr>
          <w:rFonts w:ascii="Book Antiqua" w:hAnsi="Book Antiqua"/>
        </w:rPr>
        <w:t xml:space="preserve"> HBV DNA titer at entry</w:t>
      </w:r>
    </w:p>
    <w:tbl>
      <w:tblPr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9"/>
        <w:gridCol w:w="851"/>
        <w:gridCol w:w="1984"/>
        <w:gridCol w:w="993"/>
        <w:gridCol w:w="1955"/>
        <w:gridCol w:w="964"/>
        <w:gridCol w:w="2042"/>
      </w:tblGrid>
      <w:tr w:rsidR="008071B3" w:rsidRPr="009D0E29" w14:paraId="2E5DCC4B" w14:textId="77777777" w:rsidTr="004B2649">
        <w:trPr>
          <w:trHeight w:val="360"/>
        </w:trPr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306AF" w14:textId="77777777" w:rsidR="008071B3" w:rsidRPr="004B2649" w:rsidRDefault="008071B3" w:rsidP="00E70A1E">
            <w:pPr>
              <w:wordWrap/>
              <w:spacing w:after="0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46288" w14:textId="05FBA33B" w:rsidR="008071B3" w:rsidRPr="004B2649" w:rsidRDefault="008071B3" w:rsidP="004B2649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HBV DNA &lt;</w:t>
            </w:r>
            <w:r w:rsidR="004B2649">
              <w:rPr>
                <w:rFonts w:hint="eastAsia"/>
                <w:b/>
                <w:lang w:eastAsia="zh-CN"/>
              </w:rPr>
              <w:t xml:space="preserve"> </w:t>
            </w:r>
            <w:r w:rsidRPr="004B2649">
              <w:rPr>
                <w:b/>
              </w:rPr>
              <w:t>20</w:t>
            </w:r>
            <w:r w:rsidR="004B2649">
              <w:rPr>
                <w:rFonts w:hint="eastAsia"/>
                <w:b/>
                <w:vertAlign w:val="superscript"/>
                <w:lang w:eastAsia="zh-CN"/>
              </w:rPr>
              <w:t>1</w:t>
            </w:r>
            <w:r w:rsidRPr="004B2649">
              <w:rPr>
                <w:b/>
              </w:rPr>
              <w:t xml:space="preserve"> IU/</w:t>
            </w:r>
            <w:r w:rsidR="00B43346" w:rsidRPr="004B2649">
              <w:rPr>
                <w:b/>
              </w:rPr>
              <w:t>mL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D805" w14:textId="12736FF7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HBV DNA 20-2000 IU/</w:t>
            </w:r>
            <w:r w:rsidR="00B43346" w:rsidRPr="004B2649">
              <w:rPr>
                <w:b/>
              </w:rPr>
              <w:t>mL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FFEC6" w14:textId="28B7137D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HBV DNA &gt;</w:t>
            </w:r>
            <w:r w:rsidR="004B2649">
              <w:rPr>
                <w:rFonts w:hint="eastAsia"/>
                <w:b/>
                <w:lang w:eastAsia="zh-CN"/>
              </w:rPr>
              <w:t xml:space="preserve"> </w:t>
            </w:r>
            <w:r w:rsidRPr="004B2649">
              <w:rPr>
                <w:b/>
              </w:rPr>
              <w:t>2000 IU/</w:t>
            </w:r>
            <w:r w:rsidR="00B43346" w:rsidRPr="004B2649">
              <w:rPr>
                <w:b/>
              </w:rPr>
              <w:t>mL</w:t>
            </w:r>
          </w:p>
        </w:tc>
      </w:tr>
      <w:tr w:rsidR="008071B3" w:rsidRPr="009D0E29" w14:paraId="17FD6BE8" w14:textId="77777777" w:rsidTr="004B2649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3555" w14:textId="77777777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Age group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E0C8" w14:textId="77777777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94FDE" w14:textId="2BEDCAEC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Years (</w:t>
            </w:r>
            <w:r w:rsidR="007D055A" w:rsidRPr="004B2649">
              <w:rPr>
                <w:b/>
              </w:rPr>
              <w:t>m</w:t>
            </w:r>
            <w:r w:rsidRPr="004B2649">
              <w:rPr>
                <w:b/>
              </w:rPr>
              <w:t>ean ± SD)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D11D" w14:textId="77777777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No.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1ABB" w14:textId="2598D4AA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Years (</w:t>
            </w:r>
            <w:r w:rsidR="007D055A" w:rsidRPr="004B2649">
              <w:rPr>
                <w:b/>
              </w:rPr>
              <w:t>m</w:t>
            </w:r>
            <w:r w:rsidRPr="004B2649">
              <w:rPr>
                <w:b/>
              </w:rPr>
              <w:t>ean ± SD)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3F91" w14:textId="77777777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No.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6A08" w14:textId="7F8F9FA8" w:rsidR="008071B3" w:rsidRPr="004B2649" w:rsidRDefault="008071B3" w:rsidP="00E70A1E">
            <w:pPr>
              <w:wordWrap/>
              <w:spacing w:after="0"/>
              <w:rPr>
                <w:b/>
              </w:rPr>
            </w:pPr>
            <w:r w:rsidRPr="004B2649">
              <w:rPr>
                <w:b/>
              </w:rPr>
              <w:t>Years (</w:t>
            </w:r>
            <w:r w:rsidR="007D055A" w:rsidRPr="004B2649">
              <w:rPr>
                <w:b/>
              </w:rPr>
              <w:t>m</w:t>
            </w:r>
            <w:r w:rsidRPr="004B2649">
              <w:rPr>
                <w:b/>
              </w:rPr>
              <w:t>ean ± SD)</w:t>
            </w:r>
          </w:p>
        </w:tc>
      </w:tr>
      <w:tr w:rsidR="008071B3" w:rsidRPr="009D0E29" w14:paraId="759C4A8D" w14:textId="77777777" w:rsidTr="004B2649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6331" w14:textId="63E0850E" w:rsidR="008071B3" w:rsidRPr="009D0E29" w:rsidRDefault="008071B3" w:rsidP="00E70A1E">
            <w:pPr>
              <w:wordWrap/>
              <w:spacing w:after="0"/>
            </w:pPr>
            <w:r w:rsidRPr="009D0E29">
              <w:t>&lt;</w:t>
            </w:r>
            <w:r w:rsidR="004B2649">
              <w:rPr>
                <w:rFonts w:hint="eastAsia"/>
                <w:lang w:eastAsia="zh-CN"/>
              </w:rPr>
              <w:t xml:space="preserve"> </w:t>
            </w:r>
            <w:r w:rsidRPr="009D0E29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4CAE" w14:textId="77777777" w:rsidR="008071B3" w:rsidRPr="009D0E29" w:rsidRDefault="008071B3" w:rsidP="00E70A1E">
            <w:pPr>
              <w:wordWrap/>
              <w:spacing w:after="0"/>
            </w:pPr>
            <w:r w:rsidRPr="009D0E29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8F0C" w14:textId="77777777" w:rsidR="008071B3" w:rsidRPr="009D0E29" w:rsidRDefault="008071B3" w:rsidP="00E70A1E">
            <w:pPr>
              <w:wordWrap/>
              <w:spacing w:after="0"/>
            </w:pPr>
            <w:r w:rsidRPr="009D0E29">
              <w:t>2.31 ± 1.32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7F0C" w14:textId="77777777" w:rsidR="008071B3" w:rsidRPr="009D0E29" w:rsidRDefault="008071B3" w:rsidP="00E70A1E">
            <w:pPr>
              <w:wordWrap/>
              <w:spacing w:after="0"/>
            </w:pPr>
            <w:r w:rsidRPr="009D0E29"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D855" w14:textId="77777777" w:rsidR="008071B3" w:rsidRPr="009D0E29" w:rsidRDefault="008071B3" w:rsidP="00E70A1E">
            <w:pPr>
              <w:wordWrap/>
              <w:spacing w:after="0"/>
            </w:pPr>
            <w:r w:rsidRPr="009D0E29">
              <w:t>5.67 ± 3.51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2113" w14:textId="77777777" w:rsidR="008071B3" w:rsidRPr="009D0E29" w:rsidRDefault="008071B3" w:rsidP="00E70A1E">
            <w:pPr>
              <w:wordWrap/>
              <w:spacing w:after="0"/>
            </w:pPr>
            <w:r w:rsidRPr="009D0E29"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BAD5" w14:textId="77777777" w:rsidR="008071B3" w:rsidRPr="009D0E29" w:rsidRDefault="008071B3" w:rsidP="00E70A1E">
            <w:pPr>
              <w:wordWrap/>
              <w:spacing w:after="0"/>
            </w:pPr>
            <w:r w:rsidRPr="009D0E29">
              <w:t>0</w:t>
            </w:r>
          </w:p>
        </w:tc>
      </w:tr>
      <w:tr w:rsidR="008071B3" w:rsidRPr="009D0E29" w14:paraId="4F2DEAF7" w14:textId="77777777" w:rsidTr="004B2649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06E0" w14:textId="77777777" w:rsidR="008071B3" w:rsidRPr="009D0E29" w:rsidRDefault="008071B3" w:rsidP="00E70A1E">
            <w:pPr>
              <w:wordWrap/>
              <w:spacing w:after="0"/>
            </w:pPr>
            <w:r w:rsidRPr="009D0E29">
              <w:t>30-40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7864" w14:textId="77777777" w:rsidR="008071B3" w:rsidRPr="009D0E29" w:rsidRDefault="008071B3" w:rsidP="00E70A1E">
            <w:pPr>
              <w:wordWrap/>
              <w:spacing w:after="0"/>
            </w:pPr>
            <w:r w:rsidRPr="009D0E29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9D4D" w14:textId="77777777" w:rsidR="008071B3" w:rsidRPr="009D0E29" w:rsidRDefault="008071B3" w:rsidP="00E70A1E">
            <w:pPr>
              <w:wordWrap/>
              <w:spacing w:after="0"/>
            </w:pPr>
            <w:r w:rsidRPr="009D0E29">
              <w:t>6.42 ± 4.82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47F2" w14:textId="77777777" w:rsidR="008071B3" w:rsidRPr="009D0E29" w:rsidRDefault="008071B3" w:rsidP="00E70A1E">
            <w:pPr>
              <w:wordWrap/>
              <w:spacing w:after="0"/>
            </w:pPr>
            <w:r w:rsidRPr="009D0E29"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F8DD" w14:textId="77777777" w:rsidR="008071B3" w:rsidRPr="009D0E29" w:rsidRDefault="008071B3" w:rsidP="00E70A1E">
            <w:pPr>
              <w:wordWrap/>
              <w:spacing w:after="0"/>
            </w:pPr>
            <w:r w:rsidRPr="009D0E29">
              <w:t>3.72 ± 4.01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09FA" w14:textId="77777777" w:rsidR="008071B3" w:rsidRPr="009D0E29" w:rsidRDefault="008071B3" w:rsidP="00E70A1E">
            <w:pPr>
              <w:wordWrap/>
              <w:spacing w:after="0"/>
            </w:pPr>
            <w:r w:rsidRPr="009D0E29"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B7E8" w14:textId="77777777" w:rsidR="008071B3" w:rsidRPr="009D0E29" w:rsidRDefault="008071B3" w:rsidP="00E70A1E">
            <w:pPr>
              <w:wordWrap/>
              <w:spacing w:after="0"/>
            </w:pPr>
            <w:r w:rsidRPr="009D0E29">
              <w:t>7.72 ± 3.92</w:t>
            </w:r>
          </w:p>
        </w:tc>
      </w:tr>
      <w:tr w:rsidR="008071B3" w:rsidRPr="009D0E29" w14:paraId="59059963" w14:textId="77777777" w:rsidTr="004B2649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DB9A" w14:textId="77777777" w:rsidR="008071B3" w:rsidRPr="009D0E29" w:rsidRDefault="008071B3" w:rsidP="00E70A1E">
            <w:pPr>
              <w:wordWrap/>
              <w:spacing w:after="0"/>
            </w:pPr>
            <w:r w:rsidRPr="009D0E29">
              <w:t>40-50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5C92" w14:textId="77777777" w:rsidR="008071B3" w:rsidRPr="009D0E29" w:rsidRDefault="008071B3" w:rsidP="00E70A1E">
            <w:pPr>
              <w:wordWrap/>
              <w:spacing w:after="0"/>
            </w:pPr>
            <w:r w:rsidRPr="009D0E29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44E" w14:textId="77777777" w:rsidR="008071B3" w:rsidRPr="009D0E29" w:rsidRDefault="008071B3" w:rsidP="00E70A1E">
            <w:pPr>
              <w:wordWrap/>
              <w:spacing w:after="0"/>
            </w:pPr>
            <w:r w:rsidRPr="009D0E29">
              <w:t>5.73 ± 3.73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0EB4" w14:textId="77777777" w:rsidR="008071B3" w:rsidRPr="009D0E29" w:rsidRDefault="008071B3" w:rsidP="00E70A1E">
            <w:pPr>
              <w:wordWrap/>
              <w:spacing w:after="0"/>
            </w:pPr>
            <w:r w:rsidRPr="009D0E29">
              <w:t>14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FC56" w14:textId="77777777" w:rsidR="008071B3" w:rsidRPr="009D0E29" w:rsidRDefault="008071B3" w:rsidP="00E70A1E">
            <w:pPr>
              <w:wordWrap/>
              <w:spacing w:after="0"/>
            </w:pPr>
            <w:r w:rsidRPr="009D0E29">
              <w:t>6.71 ± 3.36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4D46" w14:textId="77777777" w:rsidR="008071B3" w:rsidRPr="009D0E29" w:rsidRDefault="008071B3" w:rsidP="00E70A1E">
            <w:pPr>
              <w:wordWrap/>
              <w:spacing w:after="0"/>
            </w:pPr>
            <w:r w:rsidRPr="009D0E29"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750E" w14:textId="77777777" w:rsidR="008071B3" w:rsidRPr="009D0E29" w:rsidRDefault="008071B3" w:rsidP="00E70A1E">
            <w:pPr>
              <w:wordWrap/>
              <w:spacing w:after="0"/>
            </w:pPr>
            <w:r w:rsidRPr="009D0E29">
              <w:t>8.47 ± 3.11</w:t>
            </w:r>
          </w:p>
        </w:tc>
      </w:tr>
      <w:tr w:rsidR="008071B3" w:rsidRPr="009D0E29" w14:paraId="652E2450" w14:textId="77777777" w:rsidTr="005054B0">
        <w:trPr>
          <w:trHeight w:val="360"/>
        </w:trPr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5C2E" w14:textId="77777777" w:rsidR="008071B3" w:rsidRPr="009D0E29" w:rsidRDefault="008071B3" w:rsidP="00E70A1E">
            <w:pPr>
              <w:wordWrap/>
              <w:spacing w:after="0"/>
            </w:pPr>
            <w:r w:rsidRPr="009D0E29">
              <w:t>50-60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3C29" w14:textId="77777777" w:rsidR="008071B3" w:rsidRPr="009D0E29" w:rsidRDefault="008071B3" w:rsidP="00E70A1E">
            <w:pPr>
              <w:wordWrap/>
              <w:spacing w:after="0"/>
            </w:pPr>
            <w:r w:rsidRPr="009D0E29">
              <w:t>12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B680" w14:textId="77777777" w:rsidR="008071B3" w:rsidRPr="009D0E29" w:rsidRDefault="008071B3" w:rsidP="00E70A1E">
            <w:pPr>
              <w:wordWrap/>
              <w:spacing w:after="0"/>
            </w:pPr>
            <w:r w:rsidRPr="009D0E29">
              <w:t>3.94 ± 2.99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42E4" w14:textId="77777777" w:rsidR="008071B3" w:rsidRPr="009D0E29" w:rsidRDefault="008071B3" w:rsidP="00E70A1E">
            <w:pPr>
              <w:wordWrap/>
              <w:spacing w:after="0"/>
            </w:pPr>
            <w:r w:rsidRPr="009D0E29">
              <w:t>6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D801" w14:textId="77777777" w:rsidR="008071B3" w:rsidRPr="009D0E29" w:rsidRDefault="008071B3" w:rsidP="00E70A1E">
            <w:pPr>
              <w:wordWrap/>
              <w:spacing w:after="0"/>
            </w:pPr>
            <w:r w:rsidRPr="009D0E29">
              <w:t>8.36 ± 3.43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7A87" w14:textId="77777777" w:rsidR="008071B3" w:rsidRPr="009D0E29" w:rsidRDefault="008071B3" w:rsidP="00E70A1E">
            <w:pPr>
              <w:wordWrap/>
              <w:spacing w:after="0"/>
            </w:pPr>
            <w:r w:rsidRPr="009D0E29">
              <w:t>4</w:t>
            </w: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508D" w14:textId="77777777" w:rsidR="008071B3" w:rsidRPr="009D0E29" w:rsidRDefault="008071B3" w:rsidP="00E70A1E">
            <w:pPr>
              <w:wordWrap/>
              <w:spacing w:after="0"/>
            </w:pPr>
            <w:r w:rsidRPr="009D0E29">
              <w:t>9.47 ± 3.11</w:t>
            </w:r>
          </w:p>
        </w:tc>
      </w:tr>
      <w:tr w:rsidR="008071B3" w:rsidRPr="009D0E29" w14:paraId="4017FAA8" w14:textId="77777777" w:rsidTr="004B2649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EAE7" w14:textId="38A92948" w:rsidR="008071B3" w:rsidRPr="009D0E29" w:rsidRDefault="008071B3" w:rsidP="00E70A1E">
            <w:pPr>
              <w:wordWrap/>
              <w:spacing w:after="0"/>
            </w:pPr>
            <w:r w:rsidRPr="009D0E29">
              <w:t>&gt;</w:t>
            </w:r>
            <w:r w:rsidR="004B2649">
              <w:rPr>
                <w:rFonts w:hint="eastAsia"/>
                <w:lang w:eastAsia="zh-CN"/>
              </w:rPr>
              <w:t xml:space="preserve"> </w:t>
            </w:r>
            <w:r w:rsidRPr="009D0E29"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7198" w14:textId="77777777" w:rsidR="008071B3" w:rsidRPr="009D0E29" w:rsidRDefault="008071B3" w:rsidP="00E70A1E">
            <w:pPr>
              <w:wordWrap/>
              <w:spacing w:after="0"/>
            </w:pPr>
            <w:r w:rsidRPr="009D0E29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873E" w14:textId="77777777" w:rsidR="008071B3" w:rsidRPr="009D0E29" w:rsidRDefault="008071B3" w:rsidP="00E70A1E">
            <w:pPr>
              <w:wordWrap/>
              <w:spacing w:after="0"/>
            </w:pPr>
            <w:r w:rsidRPr="009D0E29">
              <w:t>5.07 ± 2.85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4A1C" w14:textId="77777777" w:rsidR="008071B3" w:rsidRPr="009D0E29" w:rsidRDefault="008071B3" w:rsidP="00E70A1E">
            <w:pPr>
              <w:wordWrap/>
              <w:spacing w:after="0"/>
            </w:pPr>
            <w:r w:rsidRPr="009D0E29"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11D4" w14:textId="77777777" w:rsidR="008071B3" w:rsidRPr="009D0E29" w:rsidRDefault="008071B3" w:rsidP="00E70A1E">
            <w:pPr>
              <w:wordWrap/>
              <w:spacing w:after="0"/>
            </w:pPr>
            <w:r w:rsidRPr="009D0E29">
              <w:t>5.95 ± 3.28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BCF1" w14:textId="77777777" w:rsidR="008071B3" w:rsidRPr="009D0E29" w:rsidRDefault="008071B3" w:rsidP="00E70A1E">
            <w:pPr>
              <w:wordWrap/>
              <w:spacing w:after="0"/>
            </w:pPr>
            <w:r w:rsidRPr="009D0E29"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5BF8" w14:textId="77777777" w:rsidR="008071B3" w:rsidRPr="009D0E29" w:rsidRDefault="008071B3" w:rsidP="00E70A1E">
            <w:pPr>
              <w:wordWrap/>
              <w:spacing w:after="0"/>
            </w:pPr>
            <w:r w:rsidRPr="009D0E29">
              <w:t>6.82 ± 4.6</w:t>
            </w:r>
          </w:p>
        </w:tc>
      </w:tr>
      <w:tr w:rsidR="008071B3" w:rsidRPr="009D0E29" w14:paraId="74592B08" w14:textId="77777777" w:rsidTr="005054B0">
        <w:trPr>
          <w:trHeight w:val="360"/>
        </w:trPr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D665" w14:textId="77777777" w:rsidR="008071B3" w:rsidRPr="009D0E29" w:rsidRDefault="008071B3" w:rsidP="00E70A1E">
            <w:pPr>
              <w:wordWrap/>
              <w:spacing w:after="0"/>
            </w:pPr>
            <w:r w:rsidRPr="009D0E29">
              <w:t>SUM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D8F4" w14:textId="77777777" w:rsidR="008071B3" w:rsidRPr="009D0E29" w:rsidRDefault="008071B3" w:rsidP="00E70A1E">
            <w:pPr>
              <w:wordWrap/>
              <w:spacing w:after="0"/>
            </w:pPr>
            <w:r w:rsidRPr="009D0E29">
              <w:t>39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D0A7" w14:textId="77777777" w:rsidR="008071B3" w:rsidRPr="009D0E29" w:rsidRDefault="008071B3" w:rsidP="00E70A1E">
            <w:pPr>
              <w:wordWrap/>
              <w:spacing w:after="0"/>
            </w:pPr>
            <w:r w:rsidRPr="009D0E29">
              <w:t>4.92 ± 3.36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3922" w14:textId="77777777" w:rsidR="008071B3" w:rsidRPr="009D0E29" w:rsidRDefault="008071B3" w:rsidP="00E70A1E">
            <w:pPr>
              <w:wordWrap/>
              <w:spacing w:after="0"/>
            </w:pPr>
            <w:r w:rsidRPr="009D0E29">
              <w:t>31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BC79" w14:textId="77777777" w:rsidR="008071B3" w:rsidRPr="009D0E29" w:rsidRDefault="008071B3" w:rsidP="00E70A1E">
            <w:pPr>
              <w:wordWrap/>
              <w:spacing w:after="0"/>
            </w:pPr>
            <w:r w:rsidRPr="009D0E29">
              <w:t>6.45 ± 3.49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2FD3" w14:textId="77777777" w:rsidR="008071B3" w:rsidRPr="009D0E29" w:rsidRDefault="008071B3" w:rsidP="00E70A1E">
            <w:pPr>
              <w:wordWrap/>
              <w:spacing w:after="0"/>
            </w:pPr>
            <w:r w:rsidRPr="009D0E29">
              <w:t>20</w:t>
            </w:r>
          </w:p>
        </w:tc>
        <w:tc>
          <w:tcPr>
            <w:tcW w:w="2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582A" w14:textId="77777777" w:rsidR="008071B3" w:rsidRPr="009D0E29" w:rsidRDefault="008071B3" w:rsidP="00E70A1E">
            <w:pPr>
              <w:wordWrap/>
              <w:spacing w:after="0"/>
            </w:pPr>
            <w:r w:rsidRPr="009D0E29">
              <w:t>8.31 ± 3.26</w:t>
            </w:r>
          </w:p>
        </w:tc>
      </w:tr>
    </w:tbl>
    <w:p w14:paraId="1BD4C1B4" w14:textId="1B0FA273" w:rsidR="008071B3" w:rsidRPr="009D0E29" w:rsidRDefault="004B2649" w:rsidP="00E70A1E">
      <w:pPr>
        <w:wordWrap/>
        <w:spacing w:after="0"/>
      </w:pPr>
      <w:r>
        <w:rPr>
          <w:rFonts w:hint="eastAsia"/>
          <w:vertAlign w:val="superscript"/>
          <w:lang w:eastAsia="zh-CN"/>
        </w:rPr>
        <w:t>1</w:t>
      </w:r>
      <w:r w:rsidR="008071B3" w:rsidRPr="009D0E29">
        <w:t>Th</w:t>
      </w:r>
      <w:r w:rsidR="0058135D" w:rsidRPr="009D0E29">
        <w:t>e</w:t>
      </w:r>
      <w:r w:rsidR="008071B3" w:rsidRPr="009D0E29">
        <w:t xml:space="preserve"> 20 IU/</w:t>
      </w:r>
      <w:r w:rsidR="00B43346" w:rsidRPr="009D0E29">
        <w:t xml:space="preserve">mL </w:t>
      </w:r>
      <w:r w:rsidR="0058135D" w:rsidRPr="009D0E29">
        <w:t xml:space="preserve">value </w:t>
      </w:r>
      <w:r w:rsidR="008071B3" w:rsidRPr="009D0E29">
        <w:t xml:space="preserve">is the cut-off level </w:t>
      </w:r>
      <w:r w:rsidR="0058135D" w:rsidRPr="009D0E29">
        <w:t xml:space="preserve">for </w:t>
      </w:r>
      <w:r w:rsidR="008071B3" w:rsidRPr="009D0E29">
        <w:t xml:space="preserve">HBV DNA detected by </w:t>
      </w:r>
      <w:r w:rsidR="00B43346" w:rsidRPr="009D0E29">
        <w:t>real-</w:t>
      </w:r>
      <w:r w:rsidR="008071B3" w:rsidRPr="009D0E29">
        <w:t>time</w:t>
      </w:r>
      <w:r w:rsidR="00B43346" w:rsidRPr="009D0E29">
        <w:t xml:space="preserve"> </w:t>
      </w:r>
      <w:r w:rsidR="008071B3" w:rsidRPr="009D0E29">
        <w:t xml:space="preserve">polymerase chain reaction. The </w:t>
      </w:r>
      <w:r w:rsidR="0058135D" w:rsidRPr="009D0E29">
        <w:t xml:space="preserve">time interval </w:t>
      </w:r>
      <w:r w:rsidR="007D055A" w:rsidRPr="009D0E29">
        <w:t xml:space="preserve">to </w:t>
      </w:r>
      <w:r w:rsidR="008071B3" w:rsidRPr="009D0E29">
        <w:t xml:space="preserve">HBsAg seroclearance was very significantly </w:t>
      </w:r>
      <w:r w:rsidR="0058135D" w:rsidRPr="009D0E29">
        <w:t xml:space="preserve">reduced </w:t>
      </w:r>
      <w:r w:rsidR="00767644" w:rsidRPr="009D0E29">
        <w:t>i</w:t>
      </w:r>
      <w:r w:rsidR="008071B3" w:rsidRPr="009D0E29">
        <w:t>n the HBV DNA &lt;</w:t>
      </w:r>
      <w:r>
        <w:rPr>
          <w:rFonts w:hint="eastAsia"/>
          <w:lang w:eastAsia="zh-CN"/>
        </w:rPr>
        <w:t xml:space="preserve"> </w:t>
      </w:r>
      <w:r w:rsidR="008071B3" w:rsidRPr="009D0E29">
        <w:t>20 IU/</w:t>
      </w:r>
      <w:r w:rsidR="00B43346" w:rsidRPr="009D0E29">
        <w:t xml:space="preserve">mL </w:t>
      </w:r>
      <w:r w:rsidR="008071B3" w:rsidRPr="009D0E29">
        <w:t xml:space="preserve">group </w:t>
      </w:r>
      <w:r w:rsidR="00AD2758" w:rsidRPr="009D0E29">
        <w:t>compared with</w:t>
      </w:r>
      <w:r w:rsidR="0058135D" w:rsidRPr="009D0E29">
        <w:t xml:space="preserve"> the</w:t>
      </w:r>
      <w:r w:rsidR="008071B3" w:rsidRPr="009D0E29">
        <w:t xml:space="preserve"> &gt;</w:t>
      </w:r>
      <w:r>
        <w:rPr>
          <w:rFonts w:hint="eastAsia"/>
          <w:lang w:eastAsia="zh-CN"/>
        </w:rPr>
        <w:t xml:space="preserve"> </w:t>
      </w:r>
      <w:r w:rsidR="008071B3" w:rsidRPr="009D0E29">
        <w:t>2000 IU/</w:t>
      </w:r>
      <w:r w:rsidR="00B43346" w:rsidRPr="009D0E29">
        <w:t xml:space="preserve">mL </w:t>
      </w:r>
      <w:r w:rsidR="0058135D" w:rsidRPr="009D0E29">
        <w:t>group</w:t>
      </w:r>
      <w:r w:rsidR="008071B3" w:rsidRPr="009D0E29">
        <w:t xml:space="preserve"> (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>0.0005)</w:t>
      </w:r>
      <w:r w:rsidR="0058135D" w:rsidRPr="009D0E29">
        <w:t>.</w:t>
      </w:r>
      <w:r w:rsidR="008071B3" w:rsidRPr="009D0E29">
        <w:t xml:space="preserve"> The difference </w:t>
      </w:r>
      <w:r w:rsidR="0058135D" w:rsidRPr="009D0E29">
        <w:t>in the</w:t>
      </w:r>
      <w:r w:rsidR="008071B3" w:rsidRPr="009D0E29">
        <w:t xml:space="preserve"> time interval </w:t>
      </w:r>
      <w:r w:rsidR="007D055A" w:rsidRPr="009D0E29">
        <w:t xml:space="preserve">to </w:t>
      </w:r>
      <w:r w:rsidR="008071B3" w:rsidRPr="009D0E29">
        <w:t>HBsAg seroclearance was slightly significant between the HBV DNA &lt;</w:t>
      </w:r>
      <w:r>
        <w:rPr>
          <w:rFonts w:hint="eastAsia"/>
          <w:lang w:eastAsia="zh-CN"/>
        </w:rPr>
        <w:t xml:space="preserve"> </w:t>
      </w:r>
      <w:r w:rsidR="008071B3" w:rsidRPr="009D0E29">
        <w:t>20 IU/</w:t>
      </w:r>
      <w:r w:rsidR="00B43346" w:rsidRPr="009D0E29">
        <w:t xml:space="preserve">mL </w:t>
      </w:r>
      <w:r w:rsidR="008071B3" w:rsidRPr="009D0E29">
        <w:t>and 20-2000 IU/</w:t>
      </w:r>
      <w:r w:rsidR="00B43346" w:rsidRPr="009D0E29">
        <w:t xml:space="preserve">mL </w:t>
      </w:r>
      <w:r w:rsidR="008071B3" w:rsidRPr="009D0E29">
        <w:t>group</w:t>
      </w:r>
      <w:r w:rsidR="0058135D" w:rsidRPr="009D0E29">
        <w:t>s</w:t>
      </w:r>
      <w:r w:rsidR="008071B3" w:rsidRPr="009D0E29">
        <w:t xml:space="preserve"> and between the HBV DNA &gt;</w:t>
      </w:r>
      <w:r>
        <w:rPr>
          <w:rFonts w:hint="eastAsia"/>
          <w:lang w:eastAsia="zh-CN"/>
        </w:rPr>
        <w:t xml:space="preserve"> </w:t>
      </w:r>
      <w:r w:rsidR="008071B3" w:rsidRPr="009D0E29">
        <w:t>2000 IU/</w:t>
      </w:r>
      <w:r w:rsidR="00B43346" w:rsidRPr="009D0E29">
        <w:t xml:space="preserve">mL </w:t>
      </w:r>
      <w:r w:rsidR="008071B3" w:rsidRPr="009D0E29">
        <w:t>and 20-2000 IU/</w:t>
      </w:r>
      <w:r w:rsidR="00B43346" w:rsidRPr="009D0E29">
        <w:t xml:space="preserve">mL </w:t>
      </w:r>
      <w:r w:rsidR="008071B3" w:rsidRPr="009D0E29">
        <w:t>group</w:t>
      </w:r>
      <w:r w:rsidR="0058135D" w:rsidRPr="009D0E29">
        <w:t>s</w:t>
      </w:r>
      <w:r w:rsidR="008071B3" w:rsidRPr="009D0E29">
        <w:t xml:space="preserve"> (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 xml:space="preserve">0.0671 and 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>0.0624, respectively)</w:t>
      </w:r>
      <w:r w:rsidR="0058135D" w:rsidRPr="009D0E29">
        <w:t>.</w:t>
      </w:r>
    </w:p>
    <w:p w14:paraId="4C17CA2A" w14:textId="77777777" w:rsidR="008071B3" w:rsidRPr="009D0E29" w:rsidRDefault="008071B3" w:rsidP="00E70A1E">
      <w:pPr>
        <w:wordWrap/>
        <w:spacing w:after="0"/>
      </w:pPr>
      <w:r w:rsidRPr="009D0E29">
        <w:br w:type="page"/>
      </w:r>
    </w:p>
    <w:p w14:paraId="47B39ACE" w14:textId="515F8EAC" w:rsidR="008071B3" w:rsidRPr="009D0E29" w:rsidRDefault="004B2649" w:rsidP="00E70A1E">
      <w:pPr>
        <w:pStyle w:val="a0"/>
        <w:wordWrap/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Table 4</w:t>
      </w:r>
      <w:r>
        <w:rPr>
          <w:rFonts w:ascii="Book Antiqua" w:hAnsi="Book Antiqua" w:hint="eastAsia"/>
          <w:lang w:eastAsia="zh-CN"/>
        </w:rPr>
        <w:t xml:space="preserve"> </w:t>
      </w:r>
      <w:r w:rsidR="008071B3" w:rsidRPr="009D0E29">
        <w:rPr>
          <w:rFonts w:ascii="Book Antiqua" w:hAnsi="Book Antiqua"/>
        </w:rPr>
        <w:t xml:space="preserve">Comparison of the </w:t>
      </w:r>
      <w:r w:rsidR="00853939" w:rsidRPr="009D0E29">
        <w:rPr>
          <w:rFonts w:ascii="Book Antiqua" w:hAnsi="Book Antiqua"/>
        </w:rPr>
        <w:t xml:space="preserve">time to </w:t>
      </w:r>
      <w:r w:rsidR="008071B3" w:rsidRPr="009D0E29">
        <w:rPr>
          <w:rFonts w:ascii="Book Antiqua" w:hAnsi="Book Antiqua"/>
        </w:rPr>
        <w:t xml:space="preserve">HBsAg seroclearance </w:t>
      </w:r>
      <w:r w:rsidR="0058135D" w:rsidRPr="009D0E29">
        <w:rPr>
          <w:rFonts w:ascii="Book Antiqua" w:hAnsi="Book Antiqua"/>
        </w:rPr>
        <w:t>in each</w:t>
      </w:r>
      <w:r w:rsidR="008071B3" w:rsidRPr="009D0E29">
        <w:rPr>
          <w:rFonts w:ascii="Book Antiqua" w:hAnsi="Book Antiqua"/>
        </w:rPr>
        <w:t xml:space="preserve"> age group </w:t>
      </w:r>
      <w:r w:rsidR="0058135D" w:rsidRPr="009D0E29">
        <w:rPr>
          <w:rFonts w:ascii="Book Antiqua" w:hAnsi="Book Antiqua"/>
        </w:rPr>
        <w:t>with</w:t>
      </w:r>
      <w:r w:rsidR="008071B3" w:rsidRPr="009D0E29">
        <w:rPr>
          <w:rFonts w:ascii="Book Antiqua" w:hAnsi="Book Antiqua"/>
        </w:rPr>
        <w:t xml:space="preserve"> the ultrasonography stage of chronic liver disease </w:t>
      </w:r>
    </w:p>
    <w:tbl>
      <w:tblPr>
        <w:tblW w:w="10040" w:type="dxa"/>
        <w:tblInd w:w="-318" w:type="dxa"/>
        <w:tblLook w:val="04A0" w:firstRow="1" w:lastRow="0" w:firstColumn="1" w:lastColumn="0" w:noHBand="0" w:noVBand="1"/>
      </w:tblPr>
      <w:tblGrid>
        <w:gridCol w:w="1311"/>
        <w:gridCol w:w="708"/>
        <w:gridCol w:w="2268"/>
        <w:gridCol w:w="610"/>
        <w:gridCol w:w="2265"/>
        <w:gridCol w:w="610"/>
        <w:gridCol w:w="2268"/>
      </w:tblGrid>
      <w:tr w:rsidR="008071B3" w:rsidRPr="009D0E29" w14:paraId="22D31F8C" w14:textId="77777777" w:rsidTr="004B2649">
        <w:trPr>
          <w:trHeight w:val="360"/>
        </w:trPr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99BE" w14:textId="77777777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Age group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DDBF" w14:textId="77777777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Normal US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CC6A" w14:textId="77777777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Non-cirrhotic CLD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EB27" w14:textId="77777777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Cirrhotic US</w:t>
            </w:r>
          </w:p>
        </w:tc>
      </w:tr>
      <w:tr w:rsidR="008071B3" w:rsidRPr="009D0E29" w14:paraId="5AE298CA" w14:textId="77777777" w:rsidTr="004B2649">
        <w:trPr>
          <w:trHeight w:val="360"/>
        </w:trPr>
        <w:tc>
          <w:tcPr>
            <w:tcW w:w="131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263" w14:textId="77777777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01A" w14:textId="77777777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No.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51DD" w14:textId="16E35B4E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Year (</w:t>
            </w:r>
            <w:r w:rsidR="00853939" w:rsidRPr="004B2649">
              <w:rPr>
                <w:b/>
                <w:bCs/>
              </w:rPr>
              <w:t>m</w:t>
            </w:r>
            <w:r w:rsidRPr="004B2649">
              <w:rPr>
                <w:b/>
                <w:bCs/>
              </w:rPr>
              <w:t>ean ± SD)</w:t>
            </w:r>
          </w:p>
        </w:tc>
        <w:tc>
          <w:tcPr>
            <w:tcW w:w="6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51E" w14:textId="77777777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No.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73A" w14:textId="190A2F38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Year (</w:t>
            </w:r>
            <w:r w:rsidR="00853939" w:rsidRPr="004B2649">
              <w:rPr>
                <w:b/>
                <w:bCs/>
              </w:rPr>
              <w:t>m</w:t>
            </w:r>
            <w:r w:rsidRPr="004B2649">
              <w:rPr>
                <w:b/>
                <w:bCs/>
              </w:rPr>
              <w:t>ean ± SD)</w:t>
            </w:r>
          </w:p>
        </w:tc>
        <w:tc>
          <w:tcPr>
            <w:tcW w:w="6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20F" w14:textId="77777777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No.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CF96" w14:textId="3E908D3A" w:rsidR="008071B3" w:rsidRPr="004B2649" w:rsidRDefault="008071B3" w:rsidP="00E70A1E">
            <w:pPr>
              <w:wordWrap/>
              <w:spacing w:after="0"/>
              <w:rPr>
                <w:b/>
                <w:bCs/>
              </w:rPr>
            </w:pPr>
            <w:r w:rsidRPr="004B2649">
              <w:rPr>
                <w:b/>
                <w:bCs/>
              </w:rPr>
              <w:t>Year (</w:t>
            </w:r>
            <w:r w:rsidR="00853939" w:rsidRPr="004B2649">
              <w:rPr>
                <w:b/>
                <w:bCs/>
              </w:rPr>
              <w:t>m</w:t>
            </w:r>
            <w:r w:rsidRPr="004B2649">
              <w:rPr>
                <w:b/>
                <w:bCs/>
              </w:rPr>
              <w:t>ean ± SD)</w:t>
            </w:r>
          </w:p>
        </w:tc>
      </w:tr>
      <w:tr w:rsidR="008071B3" w:rsidRPr="009D0E29" w14:paraId="436C9725" w14:textId="77777777" w:rsidTr="004B2649">
        <w:trPr>
          <w:trHeight w:val="360"/>
        </w:trPr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5B6B" w14:textId="59F13C8B" w:rsidR="008071B3" w:rsidRPr="009D0E29" w:rsidRDefault="008071B3" w:rsidP="00E70A1E">
            <w:pPr>
              <w:wordWrap/>
              <w:spacing w:after="0"/>
            </w:pPr>
            <w:r w:rsidRPr="009D0E29">
              <w:t>&lt;</w:t>
            </w:r>
            <w:r w:rsidR="004B2649">
              <w:rPr>
                <w:rFonts w:hint="eastAsia"/>
                <w:lang w:eastAsia="zh-CN"/>
              </w:rPr>
              <w:t xml:space="preserve"> </w:t>
            </w:r>
            <w:r w:rsidRPr="009D0E29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F022" w14:textId="77777777" w:rsidR="008071B3" w:rsidRPr="009D0E29" w:rsidRDefault="008071B3" w:rsidP="00E70A1E">
            <w:pPr>
              <w:wordWrap/>
              <w:spacing w:after="0"/>
            </w:pPr>
            <w:r w:rsidRPr="009D0E2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4782" w14:textId="77777777" w:rsidR="008071B3" w:rsidRPr="009D0E29" w:rsidRDefault="008071B3" w:rsidP="00E70A1E">
            <w:pPr>
              <w:wordWrap/>
              <w:spacing w:after="0"/>
            </w:pPr>
            <w:r w:rsidRPr="009D0E29">
              <w:t>2.29 ± 1.28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0326" w14:textId="77777777" w:rsidR="008071B3" w:rsidRPr="009D0E29" w:rsidRDefault="008071B3" w:rsidP="00E70A1E">
            <w:pPr>
              <w:wordWrap/>
              <w:spacing w:after="0"/>
            </w:pPr>
            <w:r w:rsidRPr="009D0E29"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6FC4" w14:textId="77777777" w:rsidR="008071B3" w:rsidRPr="009D0E29" w:rsidRDefault="008071B3" w:rsidP="00E70A1E">
            <w:pPr>
              <w:wordWrap/>
              <w:spacing w:after="0"/>
            </w:pPr>
            <w:r w:rsidRPr="009D0E29">
              <w:t>5.7 ± 3.47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9D6E" w14:textId="77777777" w:rsidR="008071B3" w:rsidRPr="009D0E29" w:rsidRDefault="008071B3" w:rsidP="00E70A1E">
            <w:pPr>
              <w:wordWrap/>
              <w:spacing w:after="0"/>
            </w:pPr>
            <w:r w:rsidRPr="009D0E2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35AA" w14:textId="77777777" w:rsidR="008071B3" w:rsidRPr="009D0E29" w:rsidRDefault="008071B3" w:rsidP="00E70A1E">
            <w:pPr>
              <w:wordWrap/>
              <w:spacing w:after="0"/>
            </w:pPr>
            <w:r w:rsidRPr="009D0E29">
              <w:t>-</w:t>
            </w:r>
          </w:p>
        </w:tc>
      </w:tr>
      <w:tr w:rsidR="008071B3" w:rsidRPr="009D0E29" w14:paraId="490E382A" w14:textId="77777777" w:rsidTr="004B2649">
        <w:trPr>
          <w:trHeight w:val="3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3EDC" w14:textId="77777777" w:rsidR="008071B3" w:rsidRPr="009D0E29" w:rsidRDefault="008071B3" w:rsidP="00E70A1E">
            <w:pPr>
              <w:wordWrap/>
              <w:spacing w:after="0"/>
            </w:pPr>
            <w:r w:rsidRPr="009D0E29">
              <w:t>30-40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3E48" w14:textId="77777777" w:rsidR="008071B3" w:rsidRPr="009D0E29" w:rsidRDefault="008071B3" w:rsidP="00E70A1E">
            <w:pPr>
              <w:wordWrap/>
              <w:spacing w:after="0"/>
            </w:pPr>
            <w:r w:rsidRPr="009D0E29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517C" w14:textId="77777777" w:rsidR="008071B3" w:rsidRPr="009D0E29" w:rsidRDefault="008071B3" w:rsidP="00E70A1E">
            <w:pPr>
              <w:wordWrap/>
              <w:spacing w:after="0"/>
            </w:pPr>
            <w:r w:rsidRPr="009D0E29">
              <w:t>5.48 ± 4.59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C94D" w14:textId="77777777" w:rsidR="008071B3" w:rsidRPr="009D0E29" w:rsidRDefault="008071B3" w:rsidP="00E70A1E">
            <w:pPr>
              <w:wordWrap/>
              <w:spacing w:after="0"/>
            </w:pPr>
            <w:r w:rsidRPr="009D0E29"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8535" w14:textId="77777777" w:rsidR="008071B3" w:rsidRPr="009D0E29" w:rsidRDefault="008071B3" w:rsidP="00E70A1E">
            <w:pPr>
              <w:wordWrap/>
              <w:spacing w:after="0"/>
            </w:pPr>
            <w:r w:rsidRPr="009D0E29">
              <w:t>5.56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345E" w14:textId="77777777" w:rsidR="008071B3" w:rsidRPr="009D0E29" w:rsidRDefault="008071B3" w:rsidP="00E70A1E">
            <w:pPr>
              <w:wordWrap/>
              <w:spacing w:after="0"/>
            </w:pPr>
            <w:r w:rsidRPr="009D0E29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EC91" w14:textId="77777777" w:rsidR="008071B3" w:rsidRPr="009D0E29" w:rsidRDefault="008071B3" w:rsidP="00E70A1E">
            <w:pPr>
              <w:wordWrap/>
              <w:spacing w:after="0"/>
            </w:pPr>
            <w:r w:rsidRPr="009D0E29">
              <w:t>5.60</w:t>
            </w:r>
          </w:p>
        </w:tc>
      </w:tr>
      <w:tr w:rsidR="008071B3" w:rsidRPr="009D0E29" w14:paraId="7FEF0B24" w14:textId="77777777" w:rsidTr="004B2649">
        <w:trPr>
          <w:trHeight w:val="3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73A8" w14:textId="77777777" w:rsidR="008071B3" w:rsidRPr="009D0E29" w:rsidRDefault="008071B3" w:rsidP="00E70A1E">
            <w:pPr>
              <w:wordWrap/>
              <w:spacing w:after="0"/>
            </w:pPr>
            <w:r w:rsidRPr="009D0E29">
              <w:t>40-50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A0C" w14:textId="77777777" w:rsidR="008071B3" w:rsidRPr="009D0E29" w:rsidRDefault="008071B3" w:rsidP="00E70A1E">
            <w:pPr>
              <w:wordWrap/>
              <w:spacing w:after="0"/>
            </w:pPr>
            <w:r w:rsidRPr="009D0E29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1C47" w14:textId="77777777" w:rsidR="008071B3" w:rsidRPr="009D0E29" w:rsidRDefault="008071B3" w:rsidP="00E70A1E">
            <w:pPr>
              <w:wordWrap/>
              <w:spacing w:after="0"/>
            </w:pPr>
            <w:r w:rsidRPr="009D0E29">
              <w:t>5.7 ± 4.07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BB8A" w14:textId="77777777" w:rsidR="008071B3" w:rsidRPr="009D0E29" w:rsidRDefault="008071B3" w:rsidP="00E70A1E">
            <w:pPr>
              <w:wordWrap/>
              <w:spacing w:after="0"/>
            </w:pPr>
            <w:r w:rsidRPr="009D0E29"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7E9D" w14:textId="77777777" w:rsidR="008071B3" w:rsidRPr="009D0E29" w:rsidRDefault="008071B3" w:rsidP="00E70A1E">
            <w:pPr>
              <w:wordWrap/>
              <w:spacing w:after="0"/>
            </w:pPr>
            <w:r w:rsidRPr="009D0E29">
              <w:t>7.2 ± 3.63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32F0" w14:textId="77777777" w:rsidR="008071B3" w:rsidRPr="009D0E29" w:rsidRDefault="008071B3" w:rsidP="00E70A1E">
            <w:pPr>
              <w:wordWrap/>
              <w:spacing w:after="0"/>
            </w:pPr>
            <w:r w:rsidRPr="009D0E29"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FC39" w14:textId="77777777" w:rsidR="008071B3" w:rsidRPr="009D0E29" w:rsidRDefault="008071B3" w:rsidP="00E70A1E">
            <w:pPr>
              <w:wordWrap/>
              <w:spacing w:after="0"/>
            </w:pPr>
            <w:r w:rsidRPr="009D0E29">
              <w:t>7.35 ± 2.86</w:t>
            </w:r>
          </w:p>
        </w:tc>
      </w:tr>
      <w:tr w:rsidR="008071B3" w:rsidRPr="009D0E29" w14:paraId="56D996DB" w14:textId="77777777" w:rsidTr="004B2649">
        <w:trPr>
          <w:trHeight w:val="3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6EA0" w14:textId="77777777" w:rsidR="008071B3" w:rsidRPr="009D0E29" w:rsidRDefault="008071B3" w:rsidP="00E70A1E">
            <w:pPr>
              <w:wordWrap/>
              <w:spacing w:after="0"/>
            </w:pPr>
            <w:r w:rsidRPr="009D0E29">
              <w:t>50-60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9E0E" w14:textId="77777777" w:rsidR="008071B3" w:rsidRPr="009D0E29" w:rsidRDefault="008071B3" w:rsidP="00E70A1E">
            <w:pPr>
              <w:wordWrap/>
              <w:spacing w:after="0"/>
            </w:pPr>
            <w:r w:rsidRPr="009D0E29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662F" w14:textId="77777777" w:rsidR="008071B3" w:rsidRPr="009D0E29" w:rsidRDefault="008071B3" w:rsidP="00E70A1E">
            <w:pPr>
              <w:wordWrap/>
              <w:spacing w:after="0"/>
            </w:pPr>
            <w:r w:rsidRPr="009D0E29">
              <w:t>5 ± 4.23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16E1" w14:textId="77777777" w:rsidR="008071B3" w:rsidRPr="009D0E29" w:rsidRDefault="008071B3" w:rsidP="00E70A1E">
            <w:pPr>
              <w:wordWrap/>
              <w:spacing w:after="0"/>
            </w:pPr>
            <w:r w:rsidRPr="009D0E29"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8E9B" w14:textId="77777777" w:rsidR="008071B3" w:rsidRPr="009D0E29" w:rsidRDefault="008071B3" w:rsidP="00E70A1E">
            <w:pPr>
              <w:wordWrap/>
              <w:spacing w:after="0"/>
            </w:pPr>
            <w:r w:rsidRPr="009D0E29">
              <w:t>6.59 ± 4.3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941F" w14:textId="77777777" w:rsidR="008071B3" w:rsidRPr="009D0E29" w:rsidRDefault="008071B3" w:rsidP="00E70A1E">
            <w:pPr>
              <w:wordWrap/>
              <w:spacing w:after="0"/>
            </w:pPr>
            <w:r w:rsidRPr="009D0E29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2B80" w14:textId="77777777" w:rsidR="008071B3" w:rsidRPr="009D0E29" w:rsidRDefault="008071B3" w:rsidP="00E70A1E">
            <w:pPr>
              <w:wordWrap/>
              <w:spacing w:after="0"/>
            </w:pPr>
            <w:r w:rsidRPr="009D0E29">
              <w:t>7.51 ± 2.38</w:t>
            </w:r>
          </w:p>
        </w:tc>
      </w:tr>
      <w:tr w:rsidR="008071B3" w:rsidRPr="009D0E29" w14:paraId="478F090B" w14:textId="77777777" w:rsidTr="004B2649">
        <w:trPr>
          <w:trHeight w:val="3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22BA" w14:textId="16AC7518" w:rsidR="008071B3" w:rsidRPr="009D0E29" w:rsidRDefault="008071B3" w:rsidP="00E70A1E">
            <w:pPr>
              <w:wordWrap/>
              <w:spacing w:after="0"/>
            </w:pPr>
            <w:r w:rsidRPr="009D0E29">
              <w:t>&gt;</w:t>
            </w:r>
            <w:r w:rsidR="004B2649">
              <w:rPr>
                <w:rFonts w:hint="eastAsia"/>
                <w:lang w:eastAsia="zh-CN"/>
              </w:rPr>
              <w:t xml:space="preserve"> </w:t>
            </w:r>
            <w:r w:rsidRPr="009D0E29"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2B3C" w14:textId="77777777" w:rsidR="008071B3" w:rsidRPr="009D0E29" w:rsidRDefault="008071B3" w:rsidP="00E70A1E">
            <w:pPr>
              <w:wordWrap/>
              <w:spacing w:after="0"/>
            </w:pPr>
            <w:r w:rsidRPr="009D0E29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8BC4" w14:textId="77777777" w:rsidR="008071B3" w:rsidRPr="009D0E29" w:rsidRDefault="008071B3" w:rsidP="00E70A1E">
            <w:pPr>
              <w:wordWrap/>
              <w:spacing w:after="0"/>
            </w:pPr>
            <w:r w:rsidRPr="009D0E29">
              <w:t>3.81 ± 1.49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87E" w14:textId="77777777" w:rsidR="008071B3" w:rsidRPr="009D0E29" w:rsidRDefault="008071B3" w:rsidP="00E70A1E">
            <w:pPr>
              <w:wordWrap/>
              <w:spacing w:after="0"/>
            </w:pPr>
            <w:r w:rsidRPr="009D0E29"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8EE5" w14:textId="77777777" w:rsidR="008071B3" w:rsidRPr="009D0E29" w:rsidRDefault="008071B3" w:rsidP="00E70A1E">
            <w:pPr>
              <w:wordWrap/>
              <w:spacing w:after="0"/>
            </w:pPr>
            <w:r w:rsidRPr="009D0E29">
              <w:t>6.91 ± 3.17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A7DA" w14:textId="77777777" w:rsidR="008071B3" w:rsidRPr="009D0E29" w:rsidRDefault="008071B3" w:rsidP="00E70A1E">
            <w:pPr>
              <w:wordWrap/>
              <w:spacing w:after="0"/>
            </w:pPr>
            <w:r w:rsidRPr="009D0E29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4D08" w14:textId="77777777" w:rsidR="008071B3" w:rsidRPr="009D0E29" w:rsidRDefault="008071B3" w:rsidP="00E70A1E">
            <w:pPr>
              <w:wordWrap/>
              <w:spacing w:after="0"/>
            </w:pPr>
            <w:r w:rsidRPr="009D0E29">
              <w:t>5.14 ± 3.42</w:t>
            </w:r>
          </w:p>
        </w:tc>
      </w:tr>
      <w:tr w:rsidR="008071B3" w:rsidRPr="009D0E29" w14:paraId="6C37E885" w14:textId="77777777" w:rsidTr="004B2649">
        <w:trPr>
          <w:trHeight w:val="360"/>
        </w:trPr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BC5E" w14:textId="77777777" w:rsidR="008071B3" w:rsidRPr="009D0E29" w:rsidRDefault="008071B3" w:rsidP="00E70A1E">
            <w:pPr>
              <w:wordWrap/>
              <w:spacing w:after="0"/>
            </w:pPr>
            <w:r w:rsidRPr="009D0E29">
              <w:t>SUM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94608" w14:textId="77777777" w:rsidR="008071B3" w:rsidRPr="009D0E29" w:rsidRDefault="008071B3" w:rsidP="00E70A1E">
            <w:pPr>
              <w:wordWrap/>
              <w:spacing w:after="0"/>
            </w:pPr>
            <w:r w:rsidRPr="009D0E29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5941" w14:textId="77777777" w:rsidR="008071B3" w:rsidRPr="009D0E29" w:rsidRDefault="008071B3" w:rsidP="00E70A1E">
            <w:pPr>
              <w:wordWrap/>
              <w:spacing w:after="0"/>
            </w:pPr>
            <w:r w:rsidRPr="009D0E29">
              <w:t>5.05 ± 3.92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DCDE" w14:textId="77777777" w:rsidR="008071B3" w:rsidRPr="009D0E29" w:rsidRDefault="008071B3" w:rsidP="00E70A1E">
            <w:pPr>
              <w:wordWrap/>
              <w:spacing w:after="0"/>
            </w:pPr>
            <w:r w:rsidRPr="009D0E29"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0AB5" w14:textId="77777777" w:rsidR="008071B3" w:rsidRPr="009D0E29" w:rsidRDefault="008071B3" w:rsidP="00E70A1E">
            <w:pPr>
              <w:wordWrap/>
              <w:spacing w:after="0"/>
            </w:pPr>
            <w:r w:rsidRPr="009D0E29">
              <w:t>6.86 ± 3.51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CEB2" w14:textId="77777777" w:rsidR="008071B3" w:rsidRPr="009D0E29" w:rsidRDefault="008071B3" w:rsidP="00E70A1E">
            <w:pPr>
              <w:wordWrap/>
              <w:spacing w:after="0"/>
            </w:pPr>
            <w:r w:rsidRPr="009D0E29"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4FC4" w14:textId="77777777" w:rsidR="008071B3" w:rsidRPr="009D0E29" w:rsidRDefault="008071B3" w:rsidP="00E70A1E">
            <w:pPr>
              <w:wordWrap/>
              <w:spacing w:after="0"/>
            </w:pPr>
            <w:r w:rsidRPr="009D0E29">
              <w:t>6.8 ± 2.98</w:t>
            </w:r>
          </w:p>
        </w:tc>
      </w:tr>
    </w:tbl>
    <w:p w14:paraId="37E019BF" w14:textId="248BBFBA" w:rsidR="008071B3" w:rsidRPr="009D0E29" w:rsidRDefault="004B2649" w:rsidP="00E70A1E">
      <w:pPr>
        <w:wordWrap/>
        <w:spacing w:after="0"/>
      </w:pPr>
      <w:r w:rsidRPr="009D0E29">
        <w:t xml:space="preserve">Chronic </w:t>
      </w:r>
      <w:r w:rsidR="008071B3" w:rsidRPr="009D0E29">
        <w:t xml:space="preserve">liver disease </w:t>
      </w:r>
      <w:r w:rsidR="00213128">
        <w:rPr>
          <w:rFonts w:hint="eastAsia"/>
          <w:lang w:eastAsia="zh-CN"/>
        </w:rPr>
        <w:t>(</w:t>
      </w:r>
      <w:r w:rsidR="00213128" w:rsidRPr="009D0E29">
        <w:t>CLD</w:t>
      </w:r>
      <w:r w:rsidR="00213128">
        <w:rPr>
          <w:rFonts w:hint="eastAsia"/>
          <w:lang w:eastAsia="zh-CN"/>
        </w:rPr>
        <w:t xml:space="preserve">) </w:t>
      </w:r>
      <w:r w:rsidR="008071B3" w:rsidRPr="009D0E29">
        <w:t xml:space="preserve">showing coarse parenchymal texture in </w:t>
      </w:r>
      <w:r w:rsidR="00213128" w:rsidRPr="00213128">
        <w:t xml:space="preserve">ultrasonography </w:t>
      </w:r>
      <w:r w:rsidR="00213128">
        <w:rPr>
          <w:rFonts w:hint="eastAsia"/>
          <w:lang w:eastAsia="zh-CN"/>
        </w:rPr>
        <w:t>(</w:t>
      </w:r>
      <w:r w:rsidR="008071B3" w:rsidRPr="009D0E29">
        <w:t>US</w:t>
      </w:r>
      <w:r w:rsidR="00213128">
        <w:rPr>
          <w:rFonts w:hint="eastAsia"/>
          <w:lang w:eastAsia="zh-CN"/>
        </w:rPr>
        <w:t>)</w:t>
      </w:r>
      <w:r w:rsidR="008071B3" w:rsidRPr="009D0E29">
        <w:t xml:space="preserve">. The </w:t>
      </w:r>
      <w:r w:rsidR="0058135D" w:rsidRPr="009D0E29">
        <w:t xml:space="preserve">time interval </w:t>
      </w:r>
      <w:r w:rsidR="0003686C" w:rsidRPr="009D0E29">
        <w:t xml:space="preserve">to </w:t>
      </w:r>
      <w:r w:rsidR="008071B3" w:rsidRPr="009D0E29">
        <w:t xml:space="preserve">HBsAg seroclearance was significantly shorter in </w:t>
      </w:r>
      <w:r w:rsidR="0003686C" w:rsidRPr="009D0E29">
        <w:t xml:space="preserve">the </w:t>
      </w:r>
      <w:r w:rsidR="008071B3" w:rsidRPr="009D0E29">
        <w:t xml:space="preserve">carriers with normal US than </w:t>
      </w:r>
      <w:r w:rsidR="0058135D" w:rsidRPr="009D0E29">
        <w:t xml:space="preserve">in </w:t>
      </w:r>
      <w:r w:rsidR="008071B3" w:rsidRPr="009D0E29">
        <w:t xml:space="preserve">those with non-cirrhotic CLD (US-CLD) or cirrhotic US (US-LC). There was no difference in the time interval </w:t>
      </w:r>
      <w:r w:rsidR="0003686C" w:rsidRPr="009D0E29">
        <w:t xml:space="preserve">to </w:t>
      </w:r>
      <w:r w:rsidR="008071B3" w:rsidRPr="009D0E29">
        <w:t xml:space="preserve">HBsAg seroclearance between </w:t>
      </w:r>
      <w:r w:rsidR="0003686C" w:rsidRPr="009D0E29">
        <w:t xml:space="preserve">the </w:t>
      </w:r>
      <w:r w:rsidR="008071B3" w:rsidRPr="009D0E29">
        <w:t xml:space="preserve">carriers with US-CLD and </w:t>
      </w:r>
      <w:r w:rsidR="0003686C" w:rsidRPr="009D0E29">
        <w:t xml:space="preserve">those with </w:t>
      </w:r>
      <w:r w:rsidR="008071B3" w:rsidRPr="009D0E29">
        <w:t>US-LC. Age did not significant</w:t>
      </w:r>
      <w:r w:rsidR="0003686C" w:rsidRPr="009D0E29">
        <w:t>ly</w:t>
      </w:r>
      <w:r w:rsidR="008071B3" w:rsidRPr="009D0E29">
        <w:t xml:space="preserve"> impact the difference </w:t>
      </w:r>
      <w:r w:rsidR="0058135D" w:rsidRPr="009D0E29">
        <w:t>in the</w:t>
      </w:r>
      <w:r w:rsidR="008071B3" w:rsidRPr="009D0E29">
        <w:t xml:space="preserve"> </w:t>
      </w:r>
      <w:r w:rsidR="0058135D" w:rsidRPr="009D0E29">
        <w:t xml:space="preserve">time interval </w:t>
      </w:r>
      <w:r w:rsidR="0003686C" w:rsidRPr="009D0E29">
        <w:t xml:space="preserve">to </w:t>
      </w:r>
      <w:r w:rsidR="008071B3" w:rsidRPr="009D0E29">
        <w:t>the disap</w:t>
      </w:r>
      <w:r>
        <w:t xml:space="preserve">pearance of HBsAg. Normal US </w:t>
      </w:r>
      <w:r w:rsidRPr="004B2649">
        <w:rPr>
          <w:i/>
        </w:rPr>
        <w:t>vs</w:t>
      </w:r>
      <w:r w:rsidR="008071B3" w:rsidRPr="009D0E29">
        <w:t xml:space="preserve"> US-CLD, 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 xml:space="preserve">0.0259; </w:t>
      </w:r>
      <w:r w:rsidR="0003686C" w:rsidRPr="009D0E29">
        <w:t>n</w:t>
      </w:r>
      <w:r w:rsidR="008071B3" w:rsidRPr="009D0E29">
        <w:t xml:space="preserve">ormal US </w:t>
      </w:r>
      <w:r w:rsidRPr="004B2649">
        <w:rPr>
          <w:i/>
        </w:rPr>
        <w:t>vs</w:t>
      </w:r>
      <w:r w:rsidR="008071B3" w:rsidRPr="009D0E29">
        <w:t xml:space="preserve"> US-LC, 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 xml:space="preserve">0.0366; </w:t>
      </w:r>
      <w:r w:rsidR="0003686C" w:rsidRPr="009D0E29">
        <w:t xml:space="preserve">and </w:t>
      </w:r>
      <w:r w:rsidR="008071B3" w:rsidRPr="009D0E29">
        <w:t xml:space="preserve">US-CLD </w:t>
      </w:r>
      <w:r w:rsidRPr="004B2649">
        <w:rPr>
          <w:i/>
        </w:rPr>
        <w:t>vs</w:t>
      </w:r>
      <w:r w:rsidR="008071B3" w:rsidRPr="009D0E29">
        <w:t xml:space="preserve"> US-LC, 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>0.4724. However, there was no significant difference among the</w:t>
      </w:r>
      <w:r w:rsidR="00E01422" w:rsidRPr="00D46607">
        <w:t xml:space="preserve"> 40</w:t>
      </w:r>
      <w:r w:rsidR="00364D7E">
        <w:t xml:space="preserve"> </w:t>
      </w:r>
      <w:r w:rsidR="00E01422" w:rsidRPr="009D0E29">
        <w:t>s</w:t>
      </w:r>
      <w:r w:rsidR="008071B3" w:rsidRPr="009D0E29">
        <w:t>-50</w:t>
      </w:r>
      <w:r w:rsidR="00BB0BE9" w:rsidRPr="009D0E29">
        <w:t xml:space="preserve"> </w:t>
      </w:r>
      <w:r w:rsidR="008071B3" w:rsidRPr="009D0E29">
        <w:t>s</w:t>
      </w:r>
      <w:r w:rsidR="00C213A5" w:rsidRPr="009D0E29">
        <w:t xml:space="preserve"> age groups</w:t>
      </w:r>
      <w:r w:rsidR="008071B3" w:rsidRPr="009D0E29">
        <w:t xml:space="preserve"> according to the stage of CLD: </w:t>
      </w:r>
      <w:r w:rsidR="0003686C" w:rsidRPr="009D0E29">
        <w:t>n</w:t>
      </w:r>
      <w:r w:rsidR="008071B3" w:rsidRPr="009D0E29">
        <w:t xml:space="preserve">ormal US </w:t>
      </w:r>
      <w:r w:rsidRPr="004B2649">
        <w:rPr>
          <w:i/>
        </w:rPr>
        <w:t>vs</w:t>
      </w:r>
      <w:r w:rsidRPr="009D0E29">
        <w:t xml:space="preserve"> </w:t>
      </w:r>
      <w:r w:rsidR="008071B3" w:rsidRPr="009D0E29">
        <w:t xml:space="preserve">US-CLD, 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 xml:space="preserve">0.091; </w:t>
      </w:r>
      <w:r w:rsidR="0003686C" w:rsidRPr="009D0E29">
        <w:t>n</w:t>
      </w:r>
      <w:r w:rsidR="008071B3" w:rsidRPr="009D0E29">
        <w:t xml:space="preserve">ormal US </w:t>
      </w:r>
      <w:r w:rsidRPr="004B2649">
        <w:rPr>
          <w:i/>
        </w:rPr>
        <w:t>vs</w:t>
      </w:r>
      <w:r w:rsidR="008071B3" w:rsidRPr="009D0E29">
        <w:t xml:space="preserve"> US-LC, 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 xml:space="preserve">0.0678; </w:t>
      </w:r>
      <w:r w:rsidR="0003686C" w:rsidRPr="009D0E29">
        <w:t xml:space="preserve">and </w:t>
      </w:r>
      <w:r w:rsidR="008071B3" w:rsidRPr="009D0E29">
        <w:t>US-CLD</w:t>
      </w:r>
      <w:r w:rsidRPr="004B2649">
        <w:rPr>
          <w:i/>
        </w:rPr>
        <w:t xml:space="preserve"> vs</w:t>
      </w:r>
      <w:r w:rsidR="008071B3" w:rsidRPr="009D0E29">
        <w:t xml:space="preserve"> US-LC, </w:t>
      </w:r>
      <w:r w:rsidR="008071B3" w:rsidRPr="009D0E29">
        <w:rPr>
          <w:i/>
        </w:rPr>
        <w:t>P</w:t>
      </w:r>
      <w:r>
        <w:rPr>
          <w:rFonts w:hint="eastAsia"/>
          <w:i/>
          <w:lang w:eastAsia="zh-CN"/>
        </w:rPr>
        <w:t xml:space="preserve"> </w:t>
      </w:r>
      <w:r w:rsidR="008071B3" w:rsidRPr="009D0E29">
        <w:t>=</w:t>
      </w:r>
      <w:r>
        <w:rPr>
          <w:rFonts w:hint="eastAsia"/>
          <w:lang w:eastAsia="zh-CN"/>
        </w:rPr>
        <w:t xml:space="preserve"> </w:t>
      </w:r>
      <w:r w:rsidR="008071B3" w:rsidRPr="009D0E29">
        <w:t xml:space="preserve">0.3579. </w:t>
      </w:r>
    </w:p>
    <w:p w14:paraId="2B488FBA" w14:textId="77777777" w:rsidR="008071B3" w:rsidRPr="009D0E29" w:rsidRDefault="008071B3" w:rsidP="00E70A1E">
      <w:pPr>
        <w:wordWrap/>
        <w:spacing w:after="0"/>
      </w:pPr>
    </w:p>
    <w:p w14:paraId="19BE9629" w14:textId="77777777" w:rsidR="008071B3" w:rsidRPr="009D0E29" w:rsidRDefault="008071B3" w:rsidP="00E70A1E">
      <w:pPr>
        <w:wordWrap/>
        <w:spacing w:after="0"/>
      </w:pPr>
      <w:r w:rsidRPr="009D0E29">
        <w:br w:type="page"/>
      </w:r>
    </w:p>
    <w:p w14:paraId="0EF7BD48" w14:textId="77777777" w:rsidR="00213128" w:rsidRPr="00EE74B9" w:rsidRDefault="00213128" w:rsidP="00213128">
      <w:pPr>
        <w:rPr>
          <w:szCs w:val="24"/>
        </w:rPr>
      </w:pPr>
      <w:r w:rsidRPr="00EE74B9">
        <w:rPr>
          <w:noProof/>
          <w:szCs w:val="24"/>
          <w:lang w:eastAsia="zh-CN"/>
        </w:rPr>
        <w:lastRenderedPageBreak/>
        <w:drawing>
          <wp:inline distT="0" distB="0" distL="0" distR="0" wp14:anchorId="554DE697" wp14:editId="289401A7">
            <wp:extent cx="5419725" cy="2943225"/>
            <wp:effectExtent l="0" t="0" r="9525" b="9525"/>
            <wp:docPr id="9" name="차트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252B5A" w14:textId="4895E2CD" w:rsidR="00213128" w:rsidRPr="00EE74B9" w:rsidRDefault="00213128" w:rsidP="00213128">
      <w:pPr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A</w:t>
      </w:r>
    </w:p>
    <w:p w14:paraId="19B78B2F" w14:textId="77777777" w:rsidR="00213128" w:rsidRPr="00EE74B9" w:rsidRDefault="00213128" w:rsidP="00213128">
      <w:pPr>
        <w:rPr>
          <w:szCs w:val="24"/>
        </w:rPr>
      </w:pPr>
      <w:r w:rsidRPr="00EE74B9">
        <w:rPr>
          <w:noProof/>
          <w:szCs w:val="24"/>
          <w:lang w:eastAsia="zh-CN"/>
        </w:rPr>
        <w:drawing>
          <wp:inline distT="0" distB="0" distL="0" distR="0" wp14:anchorId="5110327E" wp14:editId="756DE8E8">
            <wp:extent cx="5367338" cy="3000375"/>
            <wp:effectExtent l="0" t="0" r="5080" b="9525"/>
            <wp:docPr id="10" name="차트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2F7E94" w14:textId="46968C39" w:rsidR="00213128" w:rsidRPr="00213128" w:rsidRDefault="00213128" w:rsidP="00213128">
      <w:pPr>
        <w:pStyle w:val="a0"/>
        <w:rPr>
          <w:rFonts w:ascii="Book Antiqua" w:eastAsia="DengXian" w:hAnsi="Book Antiqua"/>
          <w:szCs w:val="24"/>
          <w:lang w:eastAsia="zh-CN"/>
        </w:rPr>
      </w:pPr>
      <w:r w:rsidRPr="00EE74B9">
        <w:rPr>
          <w:rFonts w:ascii="Book Antiqua" w:hAnsi="Book Antiqua"/>
          <w:szCs w:val="24"/>
        </w:rPr>
        <w:t>B</w:t>
      </w:r>
    </w:p>
    <w:p w14:paraId="3163498A" w14:textId="77777777" w:rsidR="00213128" w:rsidRPr="00EE74B9" w:rsidRDefault="00213128" w:rsidP="00213128">
      <w:pPr>
        <w:rPr>
          <w:szCs w:val="24"/>
        </w:rPr>
      </w:pPr>
    </w:p>
    <w:p w14:paraId="49090734" w14:textId="77777777" w:rsidR="00213128" w:rsidRPr="00EE74B9" w:rsidRDefault="00213128" w:rsidP="00213128">
      <w:pPr>
        <w:rPr>
          <w:szCs w:val="24"/>
        </w:rPr>
      </w:pPr>
    </w:p>
    <w:p w14:paraId="3C1CB7CC" w14:textId="77777777" w:rsidR="00213128" w:rsidRPr="00EE74B9" w:rsidRDefault="00213128" w:rsidP="00213128">
      <w:pPr>
        <w:rPr>
          <w:szCs w:val="24"/>
        </w:rPr>
      </w:pPr>
      <w:r w:rsidRPr="00EE74B9">
        <w:rPr>
          <w:noProof/>
          <w:szCs w:val="24"/>
          <w:lang w:eastAsia="zh-CN"/>
        </w:rPr>
        <w:lastRenderedPageBreak/>
        <w:drawing>
          <wp:inline distT="0" distB="0" distL="0" distR="0" wp14:anchorId="148D0405" wp14:editId="00DFF156">
            <wp:extent cx="5490845" cy="2990850"/>
            <wp:effectExtent l="0" t="0" r="14605" b="0"/>
            <wp:docPr id="11" name="차트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C3E4DA" w14:textId="2454CC46" w:rsidR="00213128" w:rsidRPr="00EE74B9" w:rsidRDefault="00213128" w:rsidP="00213128">
      <w:pPr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C</w:t>
      </w:r>
    </w:p>
    <w:p w14:paraId="63BFB3BA" w14:textId="77777777" w:rsidR="00213128" w:rsidRPr="00EE74B9" w:rsidRDefault="00213128" w:rsidP="00213128">
      <w:pPr>
        <w:rPr>
          <w:szCs w:val="24"/>
        </w:rPr>
      </w:pPr>
      <w:r w:rsidRPr="00EE74B9">
        <w:rPr>
          <w:noProof/>
          <w:szCs w:val="24"/>
          <w:lang w:eastAsia="zh-CN"/>
        </w:rPr>
        <w:drawing>
          <wp:inline distT="0" distB="0" distL="0" distR="0" wp14:anchorId="2A3A2897" wp14:editId="1433F31D">
            <wp:extent cx="5510213" cy="3000375"/>
            <wp:effectExtent l="0" t="0" r="14605" b="9525"/>
            <wp:docPr id="12" name="차트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5ED0AB" w14:textId="642D6A93" w:rsidR="00213128" w:rsidRPr="00EE74B9" w:rsidRDefault="00213128" w:rsidP="00213128">
      <w:pPr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D</w:t>
      </w:r>
    </w:p>
    <w:p w14:paraId="6C7811C0" w14:textId="77777777" w:rsidR="00213128" w:rsidRPr="00EE74B9" w:rsidRDefault="00213128" w:rsidP="00213128">
      <w:pPr>
        <w:rPr>
          <w:szCs w:val="24"/>
        </w:rPr>
      </w:pPr>
      <w:r w:rsidRPr="00EE74B9">
        <w:rPr>
          <w:szCs w:val="24"/>
        </w:rPr>
        <w:br w:type="page"/>
      </w:r>
    </w:p>
    <w:p w14:paraId="117996CB" w14:textId="77777777" w:rsidR="008071B3" w:rsidRPr="009D0E29" w:rsidRDefault="008071B3" w:rsidP="00E70A1E">
      <w:pPr>
        <w:wordWrap/>
        <w:spacing w:after="0"/>
        <w:rPr>
          <w:b/>
        </w:rPr>
      </w:pPr>
    </w:p>
    <w:p w14:paraId="456372D4" w14:textId="429E7C42" w:rsidR="008071B3" w:rsidRPr="004B2649" w:rsidRDefault="004B2649" w:rsidP="00E70A1E">
      <w:pPr>
        <w:wordWrap/>
        <w:spacing w:after="0"/>
        <w:rPr>
          <w:b/>
        </w:rPr>
      </w:pPr>
      <w:r>
        <w:rPr>
          <w:b/>
        </w:rPr>
        <w:t>Figure 1</w:t>
      </w:r>
      <w:r>
        <w:rPr>
          <w:rFonts w:hint="eastAsia"/>
          <w:b/>
          <w:lang w:eastAsia="zh-CN"/>
        </w:rPr>
        <w:t xml:space="preserve"> </w:t>
      </w:r>
      <w:r w:rsidRPr="004B2649">
        <w:rPr>
          <w:b/>
        </w:rPr>
        <w:t>Signal</w:t>
      </w:r>
      <w:r w:rsidR="008071B3" w:rsidRPr="004B2649">
        <w:rPr>
          <w:b/>
        </w:rPr>
        <w:t>-to-</w:t>
      </w:r>
      <w:r w:rsidR="00A61AE9" w:rsidRPr="004B2649">
        <w:rPr>
          <w:b/>
        </w:rPr>
        <w:t>cutoff</w:t>
      </w:r>
      <w:r w:rsidR="008071B3" w:rsidRPr="004B2649">
        <w:rPr>
          <w:b/>
        </w:rPr>
        <w:t xml:space="preserve"> ratio of HBsAg (HBsAg-SCR) </w:t>
      </w:r>
      <w:r w:rsidR="00C213A5" w:rsidRPr="004B2649">
        <w:rPr>
          <w:b/>
        </w:rPr>
        <w:t xml:space="preserve">was </w:t>
      </w:r>
      <w:r w:rsidR="008071B3" w:rsidRPr="004B2649">
        <w:rPr>
          <w:b/>
        </w:rPr>
        <w:t xml:space="preserve">measured </w:t>
      </w:r>
      <w:r w:rsidR="007F7DF8" w:rsidRPr="004B2649">
        <w:rPr>
          <w:b/>
        </w:rPr>
        <w:t>by</w:t>
      </w:r>
      <w:r w:rsidR="008071B3" w:rsidRPr="004B2649">
        <w:rPr>
          <w:b/>
        </w:rPr>
        <w:t xml:space="preserve"> qualitative assay </w:t>
      </w:r>
      <w:r w:rsidR="00C213A5" w:rsidRPr="004B2649">
        <w:rPr>
          <w:b/>
        </w:rPr>
        <w:t>and</w:t>
      </w:r>
      <w:r w:rsidR="00CE06FD" w:rsidRPr="004B2649">
        <w:rPr>
          <w:b/>
        </w:rPr>
        <w:t xml:space="preserve"> </w:t>
      </w:r>
      <w:r w:rsidR="00C213A5" w:rsidRPr="004B2649">
        <w:rPr>
          <w:b/>
        </w:rPr>
        <w:t xml:space="preserve">partially </w:t>
      </w:r>
      <w:r w:rsidR="008071B3" w:rsidRPr="004B2649">
        <w:rPr>
          <w:b/>
        </w:rPr>
        <w:t>reflects the quantit</w:t>
      </w:r>
      <w:r w:rsidR="006C29AC" w:rsidRPr="004B2649">
        <w:rPr>
          <w:b/>
        </w:rPr>
        <w:t>y</w:t>
      </w:r>
      <w:r w:rsidR="008071B3" w:rsidRPr="004B2649">
        <w:rPr>
          <w:b/>
        </w:rPr>
        <w:t xml:space="preserve"> of HBsAg (HBsAg-QNT) in </w:t>
      </w:r>
      <w:r w:rsidR="007F7DF8" w:rsidRPr="004B2649">
        <w:rPr>
          <w:b/>
        </w:rPr>
        <w:t xml:space="preserve">the </w:t>
      </w:r>
      <w:r w:rsidR="008071B3" w:rsidRPr="004B2649">
        <w:rPr>
          <w:b/>
        </w:rPr>
        <w:t>serum</w:t>
      </w:r>
      <w:r w:rsidR="00C213A5" w:rsidRPr="004B2649">
        <w:rPr>
          <w:b/>
        </w:rPr>
        <w:t>.</w:t>
      </w:r>
      <w:r w:rsidR="008071B3" w:rsidRPr="004B2649">
        <w:rPr>
          <w:b/>
        </w:rPr>
        <w:t xml:space="preserve"> </w:t>
      </w:r>
      <w:r w:rsidR="008071B3" w:rsidRPr="009D0E29">
        <w:t>A</w:t>
      </w:r>
      <w:r w:rsidR="009A0721" w:rsidRPr="009D0E29">
        <w:t>:</w:t>
      </w:r>
      <w:r w:rsidR="008071B3" w:rsidRPr="009D0E29">
        <w:t xml:space="preserve"> </w:t>
      </w:r>
      <w:r w:rsidR="007F7DF8" w:rsidRPr="009D0E29">
        <w:rPr>
          <w:szCs w:val="24"/>
        </w:rPr>
        <w:t>T</w:t>
      </w:r>
      <w:r w:rsidR="009A0721" w:rsidRPr="009D0E29">
        <w:rPr>
          <w:szCs w:val="24"/>
        </w:rPr>
        <w:t>here</w:t>
      </w:r>
      <w:r w:rsidR="009A0721" w:rsidRPr="009D0E29">
        <w:t xml:space="preserve"> was</w:t>
      </w:r>
      <w:r w:rsidR="008071B3" w:rsidRPr="009D0E29">
        <w:t xml:space="preserve"> a log-linear correlation between </w:t>
      </w:r>
      <w:r w:rsidR="00135A46" w:rsidRPr="009D0E29">
        <w:t xml:space="preserve">the </w:t>
      </w:r>
      <w:r w:rsidR="008071B3" w:rsidRPr="009D0E29">
        <w:t>HBsAg-SCR and HBsAg-QNT</w:t>
      </w:r>
      <w:r w:rsidR="00FE7B49" w:rsidRPr="009D0E29">
        <w:t>;</w:t>
      </w:r>
      <w:r w:rsidR="008071B3" w:rsidRPr="009D0E29">
        <w:t xml:space="preserve"> B</w:t>
      </w:r>
      <w:r w:rsidR="009A0721" w:rsidRPr="009D0E29">
        <w:t xml:space="preserve">: </w:t>
      </w:r>
      <w:r w:rsidRPr="009D0E29">
        <w:t xml:space="preserve">There </w:t>
      </w:r>
      <w:r w:rsidR="009A0721" w:rsidRPr="009D0E29">
        <w:t>was</w:t>
      </w:r>
      <w:r w:rsidR="008071B3" w:rsidRPr="009D0E29">
        <w:t xml:space="preserve"> a good correlation </w:t>
      </w:r>
      <w:r w:rsidR="00C213A5" w:rsidRPr="009D0E29">
        <w:t xml:space="preserve">with </w:t>
      </w:r>
      <w:r w:rsidR="008071B3" w:rsidRPr="009D0E29">
        <w:t>a linear drift curve between</w:t>
      </w:r>
      <w:r w:rsidR="00CE06FD" w:rsidRPr="009D0E29">
        <w:t xml:space="preserve"> </w:t>
      </w:r>
      <w:r w:rsidR="00135A46" w:rsidRPr="009D0E29">
        <w:t xml:space="preserve">an </w:t>
      </w:r>
      <w:r w:rsidR="008071B3" w:rsidRPr="009D0E29">
        <w:t>HBsAg-SCR &lt;</w:t>
      </w:r>
      <w:r>
        <w:rPr>
          <w:rFonts w:hint="eastAsia"/>
          <w:lang w:eastAsia="zh-CN"/>
        </w:rPr>
        <w:t xml:space="preserve"> </w:t>
      </w:r>
      <w:r w:rsidR="008071B3" w:rsidRPr="009D0E29">
        <w:t xml:space="preserve">1000 and </w:t>
      </w:r>
      <w:r w:rsidR="00135A46" w:rsidRPr="009D0E29">
        <w:t xml:space="preserve">an </w:t>
      </w:r>
      <w:r w:rsidR="008071B3" w:rsidRPr="009D0E29">
        <w:t>HBsAg-QNT &lt;</w:t>
      </w:r>
      <w:r>
        <w:rPr>
          <w:rFonts w:hint="eastAsia"/>
          <w:lang w:eastAsia="zh-CN"/>
        </w:rPr>
        <w:t xml:space="preserve"> </w:t>
      </w:r>
      <w:r w:rsidR="008071B3" w:rsidRPr="009D0E29">
        <w:t>100 IU/mL (y = 0.0674x + 0.9902, R² = 0.916</w:t>
      </w:r>
      <w:r w:rsidR="00FE7B49" w:rsidRPr="009D0E29">
        <w:t>);</w:t>
      </w:r>
      <w:r w:rsidR="008071B3" w:rsidRPr="009D0E29">
        <w:t xml:space="preserve"> </w:t>
      </w:r>
      <w:r w:rsidR="009A0721" w:rsidRPr="009D0E29">
        <w:t>C:</w:t>
      </w:r>
      <w:r w:rsidR="00CE06FD" w:rsidRPr="009D0E29">
        <w:t xml:space="preserve"> </w:t>
      </w:r>
      <w:r w:rsidR="008071B3" w:rsidRPr="009D0E29">
        <w:t xml:space="preserve">HBsAg-QNT </w:t>
      </w:r>
      <w:r w:rsidR="00C213A5" w:rsidRPr="009D0E29">
        <w:rPr>
          <w:szCs w:val="24"/>
        </w:rPr>
        <w:t>levels</w:t>
      </w:r>
      <w:r w:rsidR="00C213A5" w:rsidRPr="009D0E29">
        <w:t xml:space="preserve"> </w:t>
      </w:r>
      <w:r w:rsidR="007F7DF8" w:rsidRPr="009D0E29">
        <w:t xml:space="preserve">of </w:t>
      </w:r>
      <w:r w:rsidR="00C213A5" w:rsidRPr="009D0E29">
        <w:t>greater than</w:t>
      </w:r>
      <w:r w:rsidR="008071B3" w:rsidRPr="009D0E29">
        <w:t xml:space="preserve"> 200 IU/mL </w:t>
      </w:r>
      <w:r w:rsidR="007F7DF8" w:rsidRPr="009D0E29">
        <w:rPr>
          <w:szCs w:val="24"/>
        </w:rPr>
        <w:t>were</w:t>
      </w:r>
      <w:r w:rsidR="00C213A5" w:rsidRPr="009D0E29">
        <w:rPr>
          <w:szCs w:val="24"/>
        </w:rPr>
        <w:t xml:space="preserve"> </w:t>
      </w:r>
      <w:r w:rsidR="008071B3" w:rsidRPr="009D0E29">
        <w:rPr>
          <w:szCs w:val="24"/>
        </w:rPr>
        <w:t>no</w:t>
      </w:r>
      <w:r w:rsidR="007F7DF8" w:rsidRPr="009D0E29">
        <w:rPr>
          <w:szCs w:val="24"/>
        </w:rPr>
        <w:t>t</w:t>
      </w:r>
      <w:r w:rsidR="008071B3" w:rsidRPr="009D0E29">
        <w:rPr>
          <w:szCs w:val="24"/>
        </w:rPr>
        <w:t xml:space="preserve"> correlat</w:t>
      </w:r>
      <w:r w:rsidR="007F7DF8" w:rsidRPr="009D0E29">
        <w:rPr>
          <w:szCs w:val="24"/>
        </w:rPr>
        <w:t>ed</w:t>
      </w:r>
      <w:r w:rsidR="008071B3" w:rsidRPr="009D0E29">
        <w:t xml:space="preserve"> with</w:t>
      </w:r>
      <w:r w:rsidR="00C213A5" w:rsidRPr="009D0E29">
        <w:t xml:space="preserve"> </w:t>
      </w:r>
      <w:r w:rsidR="00135A46" w:rsidRPr="009D0E29">
        <w:t xml:space="preserve">the </w:t>
      </w:r>
      <w:r w:rsidR="008071B3" w:rsidRPr="009D0E29">
        <w:t>HBsAg-SCR</w:t>
      </w:r>
      <w:r w:rsidR="00CD018F" w:rsidRPr="009D0E29">
        <w:t>;</w:t>
      </w:r>
      <w:r w:rsidR="009A0721" w:rsidRPr="009D0E29">
        <w:t xml:space="preserve"> D:</w:t>
      </w:r>
      <w:r w:rsidR="00C213A5" w:rsidRPr="009D0E29">
        <w:t xml:space="preserve"> </w:t>
      </w:r>
      <w:r w:rsidRPr="009D0E29">
        <w:t xml:space="preserve">Very </w:t>
      </w:r>
      <w:r w:rsidR="008071B3" w:rsidRPr="009D0E29">
        <w:t xml:space="preserve">high HBsAg </w:t>
      </w:r>
      <w:r w:rsidR="008071B3" w:rsidRPr="009D0E29">
        <w:rPr>
          <w:szCs w:val="24"/>
        </w:rPr>
        <w:t>titer</w:t>
      </w:r>
      <w:r w:rsidR="009A0721" w:rsidRPr="009D0E29">
        <w:rPr>
          <w:szCs w:val="24"/>
        </w:rPr>
        <w:t>s</w:t>
      </w:r>
      <w:r w:rsidR="00C213A5" w:rsidRPr="009D0E29">
        <w:rPr>
          <w:szCs w:val="24"/>
        </w:rPr>
        <w:t xml:space="preserve"> </w:t>
      </w:r>
      <w:r w:rsidR="007F7DF8" w:rsidRPr="009D0E29">
        <w:rPr>
          <w:szCs w:val="24"/>
        </w:rPr>
        <w:t xml:space="preserve">of </w:t>
      </w:r>
      <w:r w:rsidR="00C213A5" w:rsidRPr="009D0E29">
        <w:rPr>
          <w:szCs w:val="24"/>
        </w:rPr>
        <w:t>more than</w:t>
      </w:r>
      <w:r w:rsidR="00C213A5" w:rsidRPr="009D0E29">
        <w:t xml:space="preserve"> </w:t>
      </w:r>
      <w:r w:rsidR="008071B3" w:rsidRPr="009D0E29">
        <w:t>10000 IU/mL</w:t>
      </w:r>
      <w:r w:rsidR="008071B3" w:rsidRPr="009D0E29">
        <w:rPr>
          <w:szCs w:val="24"/>
        </w:rPr>
        <w:t xml:space="preserve"> </w:t>
      </w:r>
      <w:r w:rsidR="007F7DF8" w:rsidRPr="009D0E29">
        <w:rPr>
          <w:szCs w:val="24"/>
        </w:rPr>
        <w:t>were</w:t>
      </w:r>
      <w:r w:rsidR="009A0721" w:rsidRPr="009D0E29">
        <w:rPr>
          <w:szCs w:val="24"/>
        </w:rPr>
        <w:t xml:space="preserve"> </w:t>
      </w:r>
      <w:r w:rsidR="008071B3" w:rsidRPr="009D0E29">
        <w:rPr>
          <w:szCs w:val="24"/>
        </w:rPr>
        <w:t>inverse</w:t>
      </w:r>
      <w:r w:rsidR="007F7DF8" w:rsidRPr="009D0E29">
        <w:rPr>
          <w:szCs w:val="24"/>
        </w:rPr>
        <w:t>ly</w:t>
      </w:r>
      <w:r w:rsidR="008071B3" w:rsidRPr="009D0E29">
        <w:rPr>
          <w:szCs w:val="24"/>
        </w:rPr>
        <w:t xml:space="preserve"> correlat</w:t>
      </w:r>
      <w:r w:rsidR="007F7DF8" w:rsidRPr="009D0E29">
        <w:rPr>
          <w:szCs w:val="24"/>
        </w:rPr>
        <w:t>ed</w:t>
      </w:r>
      <w:r w:rsidR="008071B3" w:rsidRPr="009D0E29">
        <w:rPr>
          <w:szCs w:val="24"/>
        </w:rPr>
        <w:t xml:space="preserve"> with</w:t>
      </w:r>
      <w:r w:rsidR="00135A46" w:rsidRPr="009D0E29">
        <w:rPr>
          <w:szCs w:val="24"/>
        </w:rPr>
        <w:t xml:space="preserve"> the</w:t>
      </w:r>
      <w:r w:rsidR="008071B3" w:rsidRPr="009D0E29">
        <w:rPr>
          <w:szCs w:val="24"/>
        </w:rPr>
        <w:t xml:space="preserve"> HBsAg-SCR</w:t>
      </w:r>
      <w:r w:rsidR="00CD018F" w:rsidRPr="009D0E29">
        <w:t>, which was caused by a prozone effect</w:t>
      </w:r>
      <w:r w:rsidR="008071B3" w:rsidRPr="009D0E29">
        <w:t>.</w:t>
      </w:r>
    </w:p>
    <w:p w14:paraId="52D699CB" w14:textId="77777777" w:rsidR="00213128" w:rsidRDefault="00213128" w:rsidP="00213128">
      <w:pPr>
        <w:rPr>
          <w:rFonts w:eastAsia="DengXian"/>
          <w:szCs w:val="24"/>
          <w:lang w:eastAsia="zh-CN"/>
        </w:rPr>
      </w:pPr>
    </w:p>
    <w:p w14:paraId="0E9AAC0E" w14:textId="77777777" w:rsidR="00213128" w:rsidRPr="00EE74B9" w:rsidRDefault="00213128" w:rsidP="00213128">
      <w:pPr>
        <w:rPr>
          <w:szCs w:val="24"/>
        </w:rPr>
      </w:pPr>
      <w:r w:rsidRPr="00EE74B9">
        <w:rPr>
          <w:noProof/>
          <w:szCs w:val="24"/>
          <w:lang w:eastAsia="zh-CN"/>
        </w:rPr>
        <w:drawing>
          <wp:inline distT="0" distB="0" distL="0" distR="0" wp14:anchorId="7958D087" wp14:editId="5F44B1C5">
            <wp:extent cx="6188710" cy="4681220"/>
            <wp:effectExtent l="0" t="0" r="2540" b="5080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C75200" w14:textId="0DD6E2D5" w:rsidR="00213128" w:rsidRPr="00EE74B9" w:rsidRDefault="00213128" w:rsidP="00213128">
      <w:pPr>
        <w:rPr>
          <w:szCs w:val="24"/>
        </w:rPr>
      </w:pPr>
      <w:r>
        <w:rPr>
          <w:rFonts w:hint="eastAsia"/>
          <w:szCs w:val="24"/>
          <w:lang w:eastAsia="zh-CN"/>
        </w:rPr>
        <w:t>A</w:t>
      </w:r>
      <w:r w:rsidRPr="00EE74B9">
        <w:rPr>
          <w:szCs w:val="24"/>
        </w:rPr>
        <w:br w:type="page"/>
      </w:r>
    </w:p>
    <w:p w14:paraId="1AF6F42A" w14:textId="77777777" w:rsidR="00213128" w:rsidRPr="00EE74B9" w:rsidRDefault="00213128" w:rsidP="00213128">
      <w:pPr>
        <w:rPr>
          <w:szCs w:val="24"/>
        </w:rPr>
      </w:pPr>
      <w:r w:rsidRPr="00EE74B9">
        <w:rPr>
          <w:noProof/>
          <w:szCs w:val="24"/>
          <w:lang w:eastAsia="zh-CN"/>
        </w:rPr>
        <w:lastRenderedPageBreak/>
        <w:drawing>
          <wp:inline distT="0" distB="0" distL="0" distR="0" wp14:anchorId="6964AD9A" wp14:editId="5664E162">
            <wp:extent cx="6188710" cy="4665345"/>
            <wp:effectExtent l="0" t="0" r="2540" b="1905"/>
            <wp:docPr id="8" name="차트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019FF7" w14:textId="07C8AFF1" w:rsidR="00213128" w:rsidRPr="00EE74B9" w:rsidRDefault="00213128" w:rsidP="00213128">
      <w:pPr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B</w:t>
      </w:r>
    </w:p>
    <w:p w14:paraId="4C627CC1" w14:textId="77777777" w:rsidR="00213128" w:rsidRPr="00EE74B9" w:rsidRDefault="00213128" w:rsidP="00213128">
      <w:pPr>
        <w:rPr>
          <w:szCs w:val="24"/>
        </w:rPr>
      </w:pPr>
    </w:p>
    <w:p w14:paraId="13390F01" w14:textId="77777777" w:rsidR="008071B3" w:rsidRPr="004B2649" w:rsidRDefault="008071B3" w:rsidP="00E70A1E">
      <w:pPr>
        <w:wordWrap/>
        <w:spacing w:after="0"/>
      </w:pPr>
    </w:p>
    <w:p w14:paraId="3FD0E712" w14:textId="00E7F61E" w:rsidR="008071B3" w:rsidRPr="004B2649" w:rsidRDefault="004B2649" w:rsidP="00E70A1E">
      <w:pPr>
        <w:wordWrap/>
        <w:spacing w:after="0"/>
        <w:rPr>
          <w:rFonts w:eastAsia="DengXian"/>
          <w:b/>
          <w:lang w:eastAsia="zh-CN"/>
        </w:rPr>
      </w:pPr>
      <w:r>
        <w:rPr>
          <w:b/>
        </w:rPr>
        <w:t>Figure 2</w:t>
      </w:r>
      <w:r>
        <w:rPr>
          <w:rFonts w:eastAsia="DengXian" w:hint="eastAsia"/>
          <w:b/>
          <w:lang w:eastAsia="zh-CN"/>
        </w:rPr>
        <w:t xml:space="preserve"> </w:t>
      </w:r>
      <w:r w:rsidR="008071B3" w:rsidRPr="004B2649">
        <w:rPr>
          <w:b/>
        </w:rPr>
        <w:t>This figure shows the sequential change</w:t>
      </w:r>
      <w:r w:rsidR="00B80B76" w:rsidRPr="004B2649">
        <w:rPr>
          <w:b/>
        </w:rPr>
        <w:t>s</w:t>
      </w:r>
      <w:r w:rsidR="008071B3" w:rsidRPr="004B2649">
        <w:rPr>
          <w:b/>
        </w:rPr>
        <w:t xml:space="preserve"> </w:t>
      </w:r>
      <w:r w:rsidR="00C213A5" w:rsidRPr="004B2649">
        <w:rPr>
          <w:b/>
        </w:rPr>
        <w:t>in the</w:t>
      </w:r>
      <w:r w:rsidR="008071B3" w:rsidRPr="004B2649">
        <w:rPr>
          <w:b/>
        </w:rPr>
        <w:t xml:space="preserve"> HBsAg-SCR in</w:t>
      </w:r>
      <w:r w:rsidR="007F7DF8" w:rsidRPr="004B2649">
        <w:rPr>
          <w:b/>
        </w:rPr>
        <w:t xml:space="preserve"> the patients</w:t>
      </w:r>
      <w:r w:rsidR="008071B3" w:rsidRPr="004B2649">
        <w:rPr>
          <w:b/>
        </w:rPr>
        <w:t xml:space="preserve"> </w:t>
      </w:r>
      <w:r w:rsidR="00C213A5" w:rsidRPr="004B2649">
        <w:rPr>
          <w:b/>
        </w:rPr>
        <w:t xml:space="preserve">with </w:t>
      </w:r>
      <w:r w:rsidR="008071B3" w:rsidRPr="004B2649">
        <w:rPr>
          <w:b/>
        </w:rPr>
        <w:t>negative conversion of HBsAg (HBsAg-NC) during the follow-up period after registration.</w:t>
      </w:r>
      <w:r w:rsidR="008071B3" w:rsidRPr="009D0E29">
        <w:t xml:space="preserve"> A</w:t>
      </w:r>
      <w:r w:rsidR="009A0721" w:rsidRPr="009D0E29">
        <w:t>:</w:t>
      </w:r>
      <w:r w:rsidR="00E37AA1" w:rsidRPr="009D0E29">
        <w:t xml:space="preserve"> </w:t>
      </w:r>
      <w:r w:rsidR="009A0721" w:rsidRPr="009D0E29">
        <w:t>HBsAg-SCR</w:t>
      </w:r>
      <w:r w:rsidR="006C29AC" w:rsidRPr="009D0E29">
        <w:t>s</w:t>
      </w:r>
      <w:r w:rsidR="009A0721" w:rsidRPr="009D0E29">
        <w:t xml:space="preserve"> in </w:t>
      </w:r>
      <w:r w:rsidR="007F7DF8" w:rsidRPr="009D0E29">
        <w:t xml:space="preserve">the patients </w:t>
      </w:r>
      <w:r w:rsidR="009A0721" w:rsidRPr="009D0E29">
        <w:t>with</w:t>
      </w:r>
      <w:r w:rsidR="008071B3" w:rsidRPr="009D0E29">
        <w:t xml:space="preserve"> HBsAg-NC </w:t>
      </w:r>
      <w:r w:rsidR="00FC2720" w:rsidRPr="009D0E29">
        <w:t>after</w:t>
      </w:r>
      <w:r w:rsidR="008071B3" w:rsidRPr="009D0E29">
        <w:t xml:space="preserve"> 5 years </w:t>
      </w:r>
      <w:r w:rsidR="00C213A5" w:rsidRPr="009D0E29">
        <w:t>post-entry</w:t>
      </w:r>
      <w:r w:rsidR="00FE7B49" w:rsidRPr="009D0E29">
        <w:t>;</w:t>
      </w:r>
      <w:r w:rsidR="00FC2720" w:rsidRPr="009D0E29">
        <w:t xml:space="preserve"> B: HBsAg-SCR</w:t>
      </w:r>
      <w:r w:rsidR="006C29AC" w:rsidRPr="009D0E29">
        <w:t>s</w:t>
      </w:r>
      <w:r w:rsidR="00FC2720" w:rsidRPr="009D0E29">
        <w:t xml:space="preserve"> in </w:t>
      </w:r>
      <w:r w:rsidR="007F7DF8" w:rsidRPr="009D0E29">
        <w:t xml:space="preserve">the patients </w:t>
      </w:r>
      <w:r w:rsidR="00FC2720" w:rsidRPr="009D0E29">
        <w:t xml:space="preserve">with HBsAg-NC </w:t>
      </w:r>
      <w:r w:rsidR="003F6286" w:rsidRPr="009D0E29">
        <w:t>before</w:t>
      </w:r>
      <w:r w:rsidR="00FC2720" w:rsidRPr="009D0E29">
        <w:t xml:space="preserve"> 5 years post-entry</w:t>
      </w:r>
      <w:r w:rsidR="008071B3" w:rsidRPr="009D0E29">
        <w:t>.</w:t>
      </w:r>
    </w:p>
    <w:p w14:paraId="4C3D79C6" w14:textId="77777777" w:rsidR="008071B3" w:rsidRPr="009D0E29" w:rsidRDefault="008071B3" w:rsidP="00E70A1E">
      <w:pPr>
        <w:wordWrap/>
        <w:spacing w:after="0"/>
      </w:pPr>
    </w:p>
    <w:p w14:paraId="5D79F1EC" w14:textId="77777777" w:rsidR="008C639A" w:rsidRPr="009D0E29" w:rsidRDefault="008C639A" w:rsidP="00E70A1E">
      <w:pPr>
        <w:widowControl/>
        <w:wordWrap/>
        <w:autoSpaceDE/>
        <w:autoSpaceDN/>
        <w:spacing w:after="0"/>
      </w:pPr>
    </w:p>
    <w:sectPr w:rsidR="008C639A" w:rsidRPr="009D0E29" w:rsidSect="005C3951"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7BED" w14:textId="77777777" w:rsidR="007F5505" w:rsidRDefault="007F5505">
      <w:pPr>
        <w:spacing w:after="0" w:line="240" w:lineRule="auto"/>
      </w:pPr>
      <w:r>
        <w:separator/>
      </w:r>
    </w:p>
  </w:endnote>
  <w:endnote w:type="continuationSeparator" w:id="0">
    <w:p w14:paraId="209203F6" w14:textId="77777777" w:rsidR="007F5505" w:rsidRDefault="007F5505">
      <w:pPr>
        <w:spacing w:after="0" w:line="240" w:lineRule="auto"/>
      </w:pPr>
      <w:r>
        <w:continuationSeparator/>
      </w:r>
    </w:p>
  </w:endnote>
  <w:endnote w:type="continuationNotice" w:id="1">
    <w:p w14:paraId="753E660F" w14:textId="77777777" w:rsidR="007F5505" w:rsidRDefault="007F5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9407"/>
      <w:docPartObj>
        <w:docPartGallery w:val="Page Numbers (Bottom of Page)"/>
        <w:docPartUnique/>
      </w:docPartObj>
    </w:sdtPr>
    <w:sdtEndPr/>
    <w:sdtContent>
      <w:p w14:paraId="52E3B5BB" w14:textId="40316267" w:rsidR="001830FE" w:rsidRDefault="001830F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F22" w:rsidRPr="00FD3F22">
          <w:rPr>
            <w:noProof/>
            <w:lang w:val="ko-KR"/>
          </w:rPr>
          <w:t>29</w:t>
        </w:r>
        <w:r>
          <w:fldChar w:fldCharType="end"/>
        </w:r>
      </w:p>
    </w:sdtContent>
  </w:sdt>
  <w:p w14:paraId="04BFA832" w14:textId="77777777" w:rsidR="001830FE" w:rsidRDefault="00183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67FF" w14:textId="77777777" w:rsidR="007F5505" w:rsidRDefault="007F5505">
      <w:pPr>
        <w:spacing w:after="0" w:line="240" w:lineRule="auto"/>
      </w:pPr>
      <w:r>
        <w:separator/>
      </w:r>
    </w:p>
  </w:footnote>
  <w:footnote w:type="continuationSeparator" w:id="0">
    <w:p w14:paraId="355A7734" w14:textId="77777777" w:rsidR="007F5505" w:rsidRDefault="007F5505">
      <w:pPr>
        <w:spacing w:after="0" w:line="240" w:lineRule="auto"/>
      </w:pPr>
      <w:r>
        <w:continuationSeparator/>
      </w:r>
    </w:p>
  </w:footnote>
  <w:footnote w:type="continuationNotice" w:id="1">
    <w:p w14:paraId="76C3930C" w14:textId="77777777" w:rsidR="007F5505" w:rsidRDefault="007F55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195"/>
    <w:multiLevelType w:val="multilevel"/>
    <w:tmpl w:val="D0FA93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16214"/>
    <w:multiLevelType w:val="multilevel"/>
    <w:tmpl w:val="BB0A13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576CA"/>
    <w:multiLevelType w:val="multilevel"/>
    <w:tmpl w:val="00DC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B1888"/>
    <w:multiLevelType w:val="multilevel"/>
    <w:tmpl w:val="9A345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E258D"/>
    <w:multiLevelType w:val="multilevel"/>
    <w:tmpl w:val="7B4A5D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11AAA"/>
    <w:multiLevelType w:val="multilevel"/>
    <w:tmpl w:val="431E33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E0D67"/>
    <w:multiLevelType w:val="multilevel"/>
    <w:tmpl w:val="D7567F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E5F95"/>
    <w:multiLevelType w:val="multilevel"/>
    <w:tmpl w:val="4B021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B163A"/>
    <w:multiLevelType w:val="multilevel"/>
    <w:tmpl w:val="B9F6A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E6811"/>
    <w:multiLevelType w:val="multilevel"/>
    <w:tmpl w:val="48B01B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74D36"/>
    <w:multiLevelType w:val="multilevel"/>
    <w:tmpl w:val="B86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32271"/>
    <w:multiLevelType w:val="multilevel"/>
    <w:tmpl w:val="0C7AE8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D107B"/>
    <w:multiLevelType w:val="multilevel"/>
    <w:tmpl w:val="E54888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C7E90"/>
    <w:multiLevelType w:val="multilevel"/>
    <w:tmpl w:val="4308F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A3AEB"/>
    <w:multiLevelType w:val="multilevel"/>
    <w:tmpl w:val="0A2446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53058"/>
    <w:multiLevelType w:val="multilevel"/>
    <w:tmpl w:val="AC0A76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C0BE9"/>
    <w:multiLevelType w:val="multilevel"/>
    <w:tmpl w:val="4C1EA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517FE"/>
    <w:multiLevelType w:val="multilevel"/>
    <w:tmpl w:val="41A00F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23233"/>
    <w:multiLevelType w:val="multilevel"/>
    <w:tmpl w:val="3D5442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C6F6D"/>
    <w:multiLevelType w:val="multilevel"/>
    <w:tmpl w:val="E21E1B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4A7C07"/>
    <w:multiLevelType w:val="multilevel"/>
    <w:tmpl w:val="FB98C0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C046B"/>
    <w:multiLevelType w:val="multilevel"/>
    <w:tmpl w:val="455C657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76478"/>
    <w:multiLevelType w:val="multilevel"/>
    <w:tmpl w:val="38D21C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4052AD"/>
    <w:multiLevelType w:val="multilevel"/>
    <w:tmpl w:val="1CC410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D4FEF"/>
    <w:multiLevelType w:val="multilevel"/>
    <w:tmpl w:val="95BCE4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147718"/>
    <w:multiLevelType w:val="multilevel"/>
    <w:tmpl w:val="6EC4E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434AE"/>
    <w:multiLevelType w:val="multilevel"/>
    <w:tmpl w:val="8786A9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61FA3"/>
    <w:multiLevelType w:val="multilevel"/>
    <w:tmpl w:val="C204919E"/>
    <w:lvl w:ilvl="0">
      <w:numFmt w:val="decimal"/>
      <w:lvlText w:val="%1"/>
      <w:lvlJc w:val="left"/>
      <w:pPr>
        <w:ind w:left="22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1D28E6"/>
    <w:multiLevelType w:val="multilevel"/>
    <w:tmpl w:val="7426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6A715B"/>
    <w:multiLevelType w:val="multilevel"/>
    <w:tmpl w:val="F8D493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B36B1"/>
    <w:multiLevelType w:val="multilevel"/>
    <w:tmpl w:val="BD8EA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18"/>
  </w:num>
  <w:num w:numId="8">
    <w:abstractNumId w:val="19"/>
  </w:num>
  <w:num w:numId="9">
    <w:abstractNumId w:val="23"/>
  </w:num>
  <w:num w:numId="10">
    <w:abstractNumId w:val="24"/>
  </w:num>
  <w:num w:numId="11">
    <w:abstractNumId w:val="15"/>
  </w:num>
  <w:num w:numId="12">
    <w:abstractNumId w:val="22"/>
  </w:num>
  <w:num w:numId="13">
    <w:abstractNumId w:val="26"/>
  </w:num>
  <w:num w:numId="14">
    <w:abstractNumId w:val="30"/>
  </w:num>
  <w:num w:numId="15">
    <w:abstractNumId w:val="1"/>
  </w:num>
  <w:num w:numId="16">
    <w:abstractNumId w:val="9"/>
  </w:num>
  <w:num w:numId="17">
    <w:abstractNumId w:val="0"/>
  </w:num>
  <w:num w:numId="18">
    <w:abstractNumId w:val="14"/>
  </w:num>
  <w:num w:numId="19">
    <w:abstractNumId w:val="4"/>
  </w:num>
  <w:num w:numId="20">
    <w:abstractNumId w:val="29"/>
  </w:num>
  <w:num w:numId="21">
    <w:abstractNumId w:val="5"/>
  </w:num>
  <w:num w:numId="22">
    <w:abstractNumId w:val="12"/>
  </w:num>
  <w:num w:numId="23">
    <w:abstractNumId w:val="6"/>
  </w:num>
  <w:num w:numId="24">
    <w:abstractNumId w:val="21"/>
  </w:num>
  <w:num w:numId="25">
    <w:abstractNumId w:val="17"/>
  </w:num>
  <w:num w:numId="26">
    <w:abstractNumId w:val="11"/>
  </w:num>
  <w:num w:numId="27">
    <w:abstractNumId w:val="20"/>
  </w:num>
  <w:num w:numId="28">
    <w:abstractNumId w:val="25"/>
  </w:num>
  <w:num w:numId="29">
    <w:abstractNumId w:val="7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071B3"/>
    <w:rsid w:val="00001FBE"/>
    <w:rsid w:val="000023A1"/>
    <w:rsid w:val="00005746"/>
    <w:rsid w:val="0002480F"/>
    <w:rsid w:val="0003686C"/>
    <w:rsid w:val="00043EA5"/>
    <w:rsid w:val="000606EE"/>
    <w:rsid w:val="00061C6C"/>
    <w:rsid w:val="00064591"/>
    <w:rsid w:val="00064FED"/>
    <w:rsid w:val="00065C5E"/>
    <w:rsid w:val="0007569A"/>
    <w:rsid w:val="00081411"/>
    <w:rsid w:val="000923D2"/>
    <w:rsid w:val="000A3639"/>
    <w:rsid w:val="000B5F61"/>
    <w:rsid w:val="000C668A"/>
    <w:rsid w:val="000D1895"/>
    <w:rsid w:val="000D5148"/>
    <w:rsid w:val="000D5CBB"/>
    <w:rsid w:val="000D6042"/>
    <w:rsid w:val="000E047E"/>
    <w:rsid w:val="000E2BD8"/>
    <w:rsid w:val="000E4BCE"/>
    <w:rsid w:val="000E59D3"/>
    <w:rsid w:val="000F070E"/>
    <w:rsid w:val="00100558"/>
    <w:rsid w:val="00114ABD"/>
    <w:rsid w:val="00121A5D"/>
    <w:rsid w:val="00123919"/>
    <w:rsid w:val="0013319C"/>
    <w:rsid w:val="001340D4"/>
    <w:rsid w:val="00135A46"/>
    <w:rsid w:val="00151D6C"/>
    <w:rsid w:val="0015493C"/>
    <w:rsid w:val="00160F6C"/>
    <w:rsid w:val="00167A0D"/>
    <w:rsid w:val="001830FE"/>
    <w:rsid w:val="00187707"/>
    <w:rsid w:val="001B08B5"/>
    <w:rsid w:val="001B3731"/>
    <w:rsid w:val="001B434A"/>
    <w:rsid w:val="001C120B"/>
    <w:rsid w:val="001C3E53"/>
    <w:rsid w:val="001D4C49"/>
    <w:rsid w:val="001E24BE"/>
    <w:rsid w:val="00210035"/>
    <w:rsid w:val="002121E2"/>
    <w:rsid w:val="002130E7"/>
    <w:rsid w:val="00213128"/>
    <w:rsid w:val="00214685"/>
    <w:rsid w:val="002334BE"/>
    <w:rsid w:val="00241DC0"/>
    <w:rsid w:val="00243CCE"/>
    <w:rsid w:val="00251AC2"/>
    <w:rsid w:val="002542AC"/>
    <w:rsid w:val="00261CD8"/>
    <w:rsid w:val="002626A8"/>
    <w:rsid w:val="00265A03"/>
    <w:rsid w:val="0026660A"/>
    <w:rsid w:val="00282800"/>
    <w:rsid w:val="00282D5D"/>
    <w:rsid w:val="00291BA2"/>
    <w:rsid w:val="002A5564"/>
    <w:rsid w:val="002A7537"/>
    <w:rsid w:val="002B1644"/>
    <w:rsid w:val="002B48D7"/>
    <w:rsid w:val="002C088A"/>
    <w:rsid w:val="002C1314"/>
    <w:rsid w:val="002C397E"/>
    <w:rsid w:val="002C4605"/>
    <w:rsid w:val="002C671B"/>
    <w:rsid w:val="002D3125"/>
    <w:rsid w:val="002D6526"/>
    <w:rsid w:val="002E09AF"/>
    <w:rsid w:val="002E37D9"/>
    <w:rsid w:val="002E6A17"/>
    <w:rsid w:val="00304D58"/>
    <w:rsid w:val="003061D4"/>
    <w:rsid w:val="0031143E"/>
    <w:rsid w:val="00314966"/>
    <w:rsid w:val="00317261"/>
    <w:rsid w:val="0032553D"/>
    <w:rsid w:val="0033143B"/>
    <w:rsid w:val="00364D7E"/>
    <w:rsid w:val="00364D81"/>
    <w:rsid w:val="00394428"/>
    <w:rsid w:val="00396194"/>
    <w:rsid w:val="003A4CC9"/>
    <w:rsid w:val="003A6E3F"/>
    <w:rsid w:val="003A75B7"/>
    <w:rsid w:val="003B3771"/>
    <w:rsid w:val="003B41C0"/>
    <w:rsid w:val="003B6942"/>
    <w:rsid w:val="003C1693"/>
    <w:rsid w:val="003C7DF9"/>
    <w:rsid w:val="003E07B2"/>
    <w:rsid w:val="003E2DA6"/>
    <w:rsid w:val="003E2EA4"/>
    <w:rsid w:val="003E66F0"/>
    <w:rsid w:val="003F6286"/>
    <w:rsid w:val="00405BBF"/>
    <w:rsid w:val="00416410"/>
    <w:rsid w:val="004209B5"/>
    <w:rsid w:val="00421516"/>
    <w:rsid w:val="00430F2E"/>
    <w:rsid w:val="0043325D"/>
    <w:rsid w:val="00440060"/>
    <w:rsid w:val="00466052"/>
    <w:rsid w:val="00472135"/>
    <w:rsid w:val="004A0825"/>
    <w:rsid w:val="004A65ED"/>
    <w:rsid w:val="004A73CA"/>
    <w:rsid w:val="004A7800"/>
    <w:rsid w:val="004B2649"/>
    <w:rsid w:val="004C2D57"/>
    <w:rsid w:val="004C3E39"/>
    <w:rsid w:val="004C778A"/>
    <w:rsid w:val="004E1DF2"/>
    <w:rsid w:val="004E40BE"/>
    <w:rsid w:val="004F1B93"/>
    <w:rsid w:val="004F49F5"/>
    <w:rsid w:val="005054B0"/>
    <w:rsid w:val="005060C6"/>
    <w:rsid w:val="005149F0"/>
    <w:rsid w:val="005212F6"/>
    <w:rsid w:val="00524A7C"/>
    <w:rsid w:val="00540EA9"/>
    <w:rsid w:val="005605B7"/>
    <w:rsid w:val="0056200B"/>
    <w:rsid w:val="00571578"/>
    <w:rsid w:val="00577A59"/>
    <w:rsid w:val="0058135D"/>
    <w:rsid w:val="005937D5"/>
    <w:rsid w:val="005942A6"/>
    <w:rsid w:val="005A260A"/>
    <w:rsid w:val="005A731C"/>
    <w:rsid w:val="005A7E60"/>
    <w:rsid w:val="005C0AF5"/>
    <w:rsid w:val="005C3951"/>
    <w:rsid w:val="005C58D4"/>
    <w:rsid w:val="00630144"/>
    <w:rsid w:val="00630928"/>
    <w:rsid w:val="0065111E"/>
    <w:rsid w:val="006559EC"/>
    <w:rsid w:val="00657C04"/>
    <w:rsid w:val="0066782A"/>
    <w:rsid w:val="00682679"/>
    <w:rsid w:val="006827E8"/>
    <w:rsid w:val="006B4D25"/>
    <w:rsid w:val="006C29AC"/>
    <w:rsid w:val="006D7297"/>
    <w:rsid w:val="006E0700"/>
    <w:rsid w:val="007038CC"/>
    <w:rsid w:val="00712E37"/>
    <w:rsid w:val="007134E8"/>
    <w:rsid w:val="00717C80"/>
    <w:rsid w:val="00730B89"/>
    <w:rsid w:val="00737486"/>
    <w:rsid w:val="00746F94"/>
    <w:rsid w:val="007510EA"/>
    <w:rsid w:val="00752B71"/>
    <w:rsid w:val="007533CA"/>
    <w:rsid w:val="00767644"/>
    <w:rsid w:val="00791E7A"/>
    <w:rsid w:val="0079707D"/>
    <w:rsid w:val="007A5226"/>
    <w:rsid w:val="007B38D1"/>
    <w:rsid w:val="007B4974"/>
    <w:rsid w:val="007B4E89"/>
    <w:rsid w:val="007B6D55"/>
    <w:rsid w:val="007B70DE"/>
    <w:rsid w:val="007D055A"/>
    <w:rsid w:val="007D4113"/>
    <w:rsid w:val="007D739E"/>
    <w:rsid w:val="007E456F"/>
    <w:rsid w:val="007E7151"/>
    <w:rsid w:val="007F1181"/>
    <w:rsid w:val="007F5505"/>
    <w:rsid w:val="007F7DF8"/>
    <w:rsid w:val="0080219E"/>
    <w:rsid w:val="008071B3"/>
    <w:rsid w:val="008175A9"/>
    <w:rsid w:val="008207B2"/>
    <w:rsid w:val="00824BFE"/>
    <w:rsid w:val="008439CE"/>
    <w:rsid w:val="00844F11"/>
    <w:rsid w:val="00846BB8"/>
    <w:rsid w:val="00853939"/>
    <w:rsid w:val="008644E0"/>
    <w:rsid w:val="0087238B"/>
    <w:rsid w:val="00873100"/>
    <w:rsid w:val="0087324E"/>
    <w:rsid w:val="0087760A"/>
    <w:rsid w:val="0088118B"/>
    <w:rsid w:val="00884397"/>
    <w:rsid w:val="00885AA1"/>
    <w:rsid w:val="00885DC3"/>
    <w:rsid w:val="00887875"/>
    <w:rsid w:val="00891628"/>
    <w:rsid w:val="00893422"/>
    <w:rsid w:val="008A0011"/>
    <w:rsid w:val="008C1A99"/>
    <w:rsid w:val="008C639A"/>
    <w:rsid w:val="008E4B0D"/>
    <w:rsid w:val="008F7280"/>
    <w:rsid w:val="009016E4"/>
    <w:rsid w:val="009113B6"/>
    <w:rsid w:val="00913D96"/>
    <w:rsid w:val="00915300"/>
    <w:rsid w:val="009219BC"/>
    <w:rsid w:val="0092717A"/>
    <w:rsid w:val="009306B8"/>
    <w:rsid w:val="00930DD9"/>
    <w:rsid w:val="00937B1B"/>
    <w:rsid w:val="00941D1B"/>
    <w:rsid w:val="009470D7"/>
    <w:rsid w:val="0096724A"/>
    <w:rsid w:val="009738D2"/>
    <w:rsid w:val="00973F0A"/>
    <w:rsid w:val="009A0721"/>
    <w:rsid w:val="009A615E"/>
    <w:rsid w:val="009B027F"/>
    <w:rsid w:val="009B1DB3"/>
    <w:rsid w:val="009B346D"/>
    <w:rsid w:val="009D0610"/>
    <w:rsid w:val="009D0E29"/>
    <w:rsid w:val="009D2E8F"/>
    <w:rsid w:val="009D4F5E"/>
    <w:rsid w:val="009F0C77"/>
    <w:rsid w:val="00A01A98"/>
    <w:rsid w:val="00A02BC0"/>
    <w:rsid w:val="00A02BEC"/>
    <w:rsid w:val="00A15B7A"/>
    <w:rsid w:val="00A23C7F"/>
    <w:rsid w:val="00A3113A"/>
    <w:rsid w:val="00A3470D"/>
    <w:rsid w:val="00A36412"/>
    <w:rsid w:val="00A37047"/>
    <w:rsid w:val="00A40FED"/>
    <w:rsid w:val="00A42992"/>
    <w:rsid w:val="00A450C1"/>
    <w:rsid w:val="00A53BEC"/>
    <w:rsid w:val="00A553F4"/>
    <w:rsid w:val="00A61AC2"/>
    <w:rsid w:val="00A61AE9"/>
    <w:rsid w:val="00A627E2"/>
    <w:rsid w:val="00A709DB"/>
    <w:rsid w:val="00A85D70"/>
    <w:rsid w:val="00AA20AD"/>
    <w:rsid w:val="00AA29CA"/>
    <w:rsid w:val="00AB6B8A"/>
    <w:rsid w:val="00AC0E90"/>
    <w:rsid w:val="00AD2758"/>
    <w:rsid w:val="00AE1AB1"/>
    <w:rsid w:val="00AE534F"/>
    <w:rsid w:val="00AF0D2D"/>
    <w:rsid w:val="00AF72DF"/>
    <w:rsid w:val="00B04542"/>
    <w:rsid w:val="00B05917"/>
    <w:rsid w:val="00B07D98"/>
    <w:rsid w:val="00B1279F"/>
    <w:rsid w:val="00B1409B"/>
    <w:rsid w:val="00B162FE"/>
    <w:rsid w:val="00B214B3"/>
    <w:rsid w:val="00B26E46"/>
    <w:rsid w:val="00B374CA"/>
    <w:rsid w:val="00B40D94"/>
    <w:rsid w:val="00B42AD3"/>
    <w:rsid w:val="00B43346"/>
    <w:rsid w:val="00B57CBF"/>
    <w:rsid w:val="00B61165"/>
    <w:rsid w:val="00B651C2"/>
    <w:rsid w:val="00B80B76"/>
    <w:rsid w:val="00B94D31"/>
    <w:rsid w:val="00B979F7"/>
    <w:rsid w:val="00BA43E1"/>
    <w:rsid w:val="00BB0BE9"/>
    <w:rsid w:val="00BB3987"/>
    <w:rsid w:val="00BD43F6"/>
    <w:rsid w:val="00BE2877"/>
    <w:rsid w:val="00BE7034"/>
    <w:rsid w:val="00BF1707"/>
    <w:rsid w:val="00C213A5"/>
    <w:rsid w:val="00C34FD6"/>
    <w:rsid w:val="00C350E9"/>
    <w:rsid w:val="00C3720C"/>
    <w:rsid w:val="00C41214"/>
    <w:rsid w:val="00C45814"/>
    <w:rsid w:val="00C508A9"/>
    <w:rsid w:val="00C514A0"/>
    <w:rsid w:val="00C6043F"/>
    <w:rsid w:val="00C655AA"/>
    <w:rsid w:val="00C666C8"/>
    <w:rsid w:val="00C66B96"/>
    <w:rsid w:val="00C707CD"/>
    <w:rsid w:val="00C71AA1"/>
    <w:rsid w:val="00C74CB9"/>
    <w:rsid w:val="00C7586A"/>
    <w:rsid w:val="00C81A7F"/>
    <w:rsid w:val="00C83052"/>
    <w:rsid w:val="00C85644"/>
    <w:rsid w:val="00C86E96"/>
    <w:rsid w:val="00C91F41"/>
    <w:rsid w:val="00CA358B"/>
    <w:rsid w:val="00CA57F1"/>
    <w:rsid w:val="00CA7BAD"/>
    <w:rsid w:val="00CD018F"/>
    <w:rsid w:val="00CE06FD"/>
    <w:rsid w:val="00CE59BE"/>
    <w:rsid w:val="00CE6F99"/>
    <w:rsid w:val="00CF5F53"/>
    <w:rsid w:val="00D210D3"/>
    <w:rsid w:val="00D25236"/>
    <w:rsid w:val="00D3600D"/>
    <w:rsid w:val="00D46607"/>
    <w:rsid w:val="00D53798"/>
    <w:rsid w:val="00D60CE8"/>
    <w:rsid w:val="00D77AE1"/>
    <w:rsid w:val="00D77FE7"/>
    <w:rsid w:val="00D9089C"/>
    <w:rsid w:val="00DA7CA0"/>
    <w:rsid w:val="00DB1E36"/>
    <w:rsid w:val="00DD069A"/>
    <w:rsid w:val="00DD4C03"/>
    <w:rsid w:val="00DE1459"/>
    <w:rsid w:val="00DE4B0C"/>
    <w:rsid w:val="00DF375D"/>
    <w:rsid w:val="00E01422"/>
    <w:rsid w:val="00E03DE7"/>
    <w:rsid w:val="00E04B14"/>
    <w:rsid w:val="00E05F6E"/>
    <w:rsid w:val="00E13A96"/>
    <w:rsid w:val="00E15002"/>
    <w:rsid w:val="00E33B36"/>
    <w:rsid w:val="00E37AA1"/>
    <w:rsid w:val="00E51E43"/>
    <w:rsid w:val="00E52080"/>
    <w:rsid w:val="00E620E2"/>
    <w:rsid w:val="00E63F74"/>
    <w:rsid w:val="00E67312"/>
    <w:rsid w:val="00E70A1E"/>
    <w:rsid w:val="00E819ED"/>
    <w:rsid w:val="00E847DB"/>
    <w:rsid w:val="00E90FF0"/>
    <w:rsid w:val="00E92C02"/>
    <w:rsid w:val="00EA0ADE"/>
    <w:rsid w:val="00EA1CAB"/>
    <w:rsid w:val="00EA436A"/>
    <w:rsid w:val="00EA4A88"/>
    <w:rsid w:val="00EB5DE7"/>
    <w:rsid w:val="00EC2146"/>
    <w:rsid w:val="00ED1F64"/>
    <w:rsid w:val="00ED5B1F"/>
    <w:rsid w:val="00EE2CC2"/>
    <w:rsid w:val="00EE4386"/>
    <w:rsid w:val="00EE47C3"/>
    <w:rsid w:val="00EE74B9"/>
    <w:rsid w:val="00EF2FEF"/>
    <w:rsid w:val="00F00AE3"/>
    <w:rsid w:val="00F02AFB"/>
    <w:rsid w:val="00F1146F"/>
    <w:rsid w:val="00F20BA0"/>
    <w:rsid w:val="00F30D90"/>
    <w:rsid w:val="00F42AA2"/>
    <w:rsid w:val="00F602BF"/>
    <w:rsid w:val="00F913EC"/>
    <w:rsid w:val="00FC2720"/>
    <w:rsid w:val="00FC3BA0"/>
    <w:rsid w:val="00FC4B29"/>
    <w:rsid w:val="00FD24B0"/>
    <w:rsid w:val="00FD3F22"/>
    <w:rsid w:val="00FD4176"/>
    <w:rsid w:val="00FE6975"/>
    <w:rsid w:val="00FE6A80"/>
    <w:rsid w:val="00FE6AE9"/>
    <w:rsid w:val="00FE7B49"/>
    <w:rsid w:val="00FF08B5"/>
    <w:rsid w:val="00FF501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D57EA"/>
  <w15:docId w15:val="{52AED0B1-AF23-4285-BF72-9A9C73E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DB"/>
    <w:pPr>
      <w:widowControl w:val="0"/>
      <w:wordWrap w:val="0"/>
      <w:autoSpaceDE w:val="0"/>
      <w:autoSpaceDN w:val="0"/>
      <w:spacing w:line="360" w:lineRule="auto"/>
    </w:pPr>
    <w:rPr>
      <w:rFonts w:ascii="Book Antiqua" w:hAnsi="Book Antiqua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B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1B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1B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1B3"/>
    <w:rPr>
      <w:rFonts w:asciiTheme="majorHAnsi" w:eastAsiaTheme="majorEastAsia" w:hAnsiTheme="majorHAnsi" w:cstheme="majorBidi"/>
      <w:sz w:val="24"/>
      <w:szCs w:val="20"/>
    </w:rPr>
  </w:style>
  <w:style w:type="paragraph" w:customStyle="1" w:styleId="a">
    <w:name w:val="논문 본문"/>
    <w:basedOn w:val="Normal"/>
    <w:link w:val="Char"/>
    <w:qFormat/>
    <w:rsid w:val="00B1409B"/>
    <w:pPr>
      <w:suppressAutoHyphens/>
      <w:autoSpaceDE/>
      <w:autoSpaceDN/>
      <w:ind w:firstLineChars="150" w:firstLine="360"/>
      <w:contextualSpacing/>
      <w:textAlignment w:val="center"/>
    </w:pPr>
    <w:rPr>
      <w:rFonts w:cs="Arial"/>
      <w:color w:val="000000"/>
      <w:szCs w:val="24"/>
    </w:rPr>
  </w:style>
  <w:style w:type="character" w:customStyle="1" w:styleId="Char">
    <w:name w:val="논문 본문 Char"/>
    <w:basedOn w:val="DefaultParagraphFont"/>
    <w:link w:val="a"/>
    <w:rsid w:val="008071B3"/>
    <w:rPr>
      <w:rFonts w:ascii="Book Antiqua" w:hAnsi="Book Antiqua" w:cs="Arial"/>
      <w:color w:val="000000"/>
      <w:sz w:val="24"/>
      <w:szCs w:val="24"/>
    </w:rPr>
  </w:style>
  <w:style w:type="paragraph" w:customStyle="1" w:styleId="2">
    <w:name w:val="논문 제목2"/>
    <w:basedOn w:val="Heading2"/>
    <w:link w:val="2Char"/>
    <w:autoRedefine/>
    <w:qFormat/>
    <w:rsid w:val="00A709DB"/>
    <w:rPr>
      <w:rFonts w:ascii="Book Antiqua" w:hAnsi="Book Antiqua"/>
      <w:b/>
    </w:rPr>
  </w:style>
  <w:style w:type="character" w:customStyle="1" w:styleId="2Char">
    <w:name w:val="논문 제목2 Char"/>
    <w:basedOn w:val="Heading2Char"/>
    <w:link w:val="2"/>
    <w:rsid w:val="00AD2758"/>
    <w:rPr>
      <w:rFonts w:ascii="Book Antiqua" w:eastAsiaTheme="majorEastAsia" w:hAnsi="Book Antiqua" w:cstheme="majorBidi"/>
      <w:b/>
      <w:sz w:val="24"/>
      <w:szCs w:val="20"/>
    </w:rPr>
  </w:style>
  <w:style w:type="paragraph" w:customStyle="1" w:styleId="3">
    <w:name w:val="논문 제목3"/>
    <w:basedOn w:val="a"/>
    <w:link w:val="3Char"/>
    <w:autoRedefine/>
    <w:qFormat/>
    <w:rsid w:val="008071B3"/>
    <w:pPr>
      <w:spacing w:after="0"/>
      <w:ind w:firstLineChars="100" w:firstLine="240"/>
    </w:pPr>
  </w:style>
  <w:style w:type="character" w:customStyle="1" w:styleId="3Char">
    <w:name w:val="논문 제목3 Char"/>
    <w:basedOn w:val="Char"/>
    <w:link w:val="3"/>
    <w:rsid w:val="008071B3"/>
    <w:rPr>
      <w:rFonts w:ascii="Times New Roman" w:hAnsi="Times New Roman" w:cs="Arial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B3"/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071B3"/>
    <w:pPr>
      <w:widowControl/>
      <w:wordWrap/>
      <w:autoSpaceDE/>
      <w:autoSpaceDN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071B3"/>
    <w:pPr>
      <w:spacing w:after="0"/>
      <w:jc w:val="center"/>
    </w:pPr>
    <w:rPr>
      <w:rFonts w:cs="Times New Roman"/>
      <w:noProof/>
      <w:color w:val="000000"/>
    </w:rPr>
  </w:style>
  <w:style w:type="character" w:customStyle="1" w:styleId="EndNoteBibliographyTitleChar">
    <w:name w:val="EndNote Bibliography Title Char"/>
    <w:basedOn w:val="Char"/>
    <w:link w:val="EndNoteBibliographyTitle"/>
    <w:rsid w:val="008071B3"/>
    <w:rPr>
      <w:rFonts w:ascii="Times New Roman" w:hAnsi="Times New Roman" w:cs="Times New Roman"/>
      <w:noProof/>
      <w:color w:val="000000"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071B3"/>
    <w:pPr>
      <w:spacing w:line="240" w:lineRule="auto"/>
    </w:pPr>
    <w:rPr>
      <w:rFonts w:cs="Times New Roman"/>
      <w:noProof/>
      <w:color w:val="000000"/>
    </w:rPr>
  </w:style>
  <w:style w:type="character" w:customStyle="1" w:styleId="EndNoteBibliographyChar">
    <w:name w:val="EndNote Bibliography Char"/>
    <w:basedOn w:val="Char"/>
    <w:link w:val="EndNoteBibliography"/>
    <w:rsid w:val="008071B3"/>
    <w:rPr>
      <w:rFonts w:ascii="Times New Roman" w:hAnsi="Times New Roman" w:cs="Times New Roman"/>
      <w:noProof/>
      <w:color w:val="000000"/>
      <w:sz w:val="24"/>
      <w:szCs w:val="20"/>
    </w:rPr>
  </w:style>
  <w:style w:type="paragraph" w:customStyle="1" w:styleId="20">
    <w:name w:val="논문소제목2"/>
    <w:basedOn w:val="Normal"/>
    <w:link w:val="2Char0"/>
    <w:autoRedefine/>
    <w:qFormat/>
    <w:rsid w:val="00B43346"/>
    <w:pPr>
      <w:keepNext/>
      <w:spacing w:before="320" w:after="320" w:line="480" w:lineRule="auto"/>
      <w:ind w:leftChars="2" w:left="1196" w:hangingChars="458" w:hanging="1191"/>
      <w:outlineLvl w:val="2"/>
    </w:pPr>
    <w:rPr>
      <w:rFonts w:eastAsiaTheme="majorEastAsia" w:cstheme="majorBidi"/>
      <w:b/>
      <w:i/>
      <w:szCs w:val="22"/>
    </w:rPr>
  </w:style>
  <w:style w:type="paragraph" w:customStyle="1" w:styleId="1">
    <w:name w:val="논문소제목1"/>
    <w:basedOn w:val="20"/>
    <w:link w:val="1Char"/>
    <w:autoRedefine/>
    <w:qFormat/>
    <w:rsid w:val="00430F2E"/>
    <w:pPr>
      <w:spacing w:after="0"/>
      <w:ind w:leftChars="0" w:left="1099" w:hanging="1099"/>
    </w:pPr>
    <w:rPr>
      <w:szCs w:val="20"/>
    </w:rPr>
  </w:style>
  <w:style w:type="character" w:customStyle="1" w:styleId="2Char0">
    <w:name w:val="논문소제목2 Char"/>
    <w:basedOn w:val="DefaultParagraphFont"/>
    <w:link w:val="20"/>
    <w:rsid w:val="00B43346"/>
    <w:rPr>
      <w:rFonts w:ascii="Times New Roman" w:eastAsiaTheme="majorEastAsia" w:hAnsi="Times New Roman" w:cstheme="majorBidi"/>
      <w:b/>
      <w:i/>
      <w:sz w:val="24"/>
    </w:rPr>
  </w:style>
  <w:style w:type="table" w:styleId="TableGrid">
    <w:name w:val="Table Grid"/>
    <w:basedOn w:val="TableNormal"/>
    <w:uiPriority w:val="39"/>
    <w:rsid w:val="0080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논문소제목1 Char"/>
    <w:basedOn w:val="2Char"/>
    <w:link w:val="1"/>
    <w:rsid w:val="008071B3"/>
    <w:rPr>
      <w:rFonts w:ascii="Book Antiqua" w:eastAsiaTheme="majorEastAsia" w:hAnsi="Book Antiqua" w:cstheme="majorBidi"/>
      <w:b/>
      <w:i/>
      <w:sz w:val="24"/>
      <w:szCs w:val="20"/>
    </w:rPr>
  </w:style>
  <w:style w:type="paragraph" w:customStyle="1" w:styleId="a0">
    <w:name w:val="표제목"/>
    <w:basedOn w:val="Heading3"/>
    <w:link w:val="Char0"/>
    <w:autoRedefine/>
    <w:qFormat/>
    <w:rsid w:val="00AD2758"/>
    <w:pPr>
      <w:ind w:leftChars="0" w:left="0" w:firstLineChars="0" w:firstLine="0"/>
    </w:pPr>
    <w:rPr>
      <w:rFonts w:ascii="Times New Roman" w:hAnsi="Times New Roman"/>
      <w:b/>
    </w:rPr>
  </w:style>
  <w:style w:type="character" w:customStyle="1" w:styleId="Char0">
    <w:name w:val="표제목 Char"/>
    <w:basedOn w:val="Heading3Char"/>
    <w:link w:val="a0"/>
    <w:rsid w:val="00AD2758"/>
    <w:rPr>
      <w:rFonts w:ascii="Times New Roman" w:eastAsiaTheme="majorEastAsia" w:hAnsi="Times New Roman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B3"/>
    <w:rPr>
      <w:rFonts w:ascii="Times New Roman" w:hAnsi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79F7"/>
  </w:style>
  <w:style w:type="character" w:customStyle="1" w:styleId="DateChar">
    <w:name w:val="Date Char"/>
    <w:basedOn w:val="DefaultParagraphFont"/>
    <w:link w:val="Date"/>
    <w:uiPriority w:val="99"/>
    <w:semiHidden/>
    <w:rsid w:val="00B979F7"/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A4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5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813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13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135D"/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5D"/>
    <w:rPr>
      <w:rFonts w:ascii="Times New Roman" w:hAnsi="Times New Roman"/>
      <w:b/>
      <w:bCs/>
      <w:szCs w:val="20"/>
    </w:rPr>
  </w:style>
  <w:style w:type="paragraph" w:styleId="Revision">
    <w:name w:val="Revision"/>
    <w:hidden/>
    <w:uiPriority w:val="99"/>
    <w:semiHidden/>
    <w:rsid w:val="00AD2758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B374CA"/>
    <w:pPr>
      <w:widowControl/>
      <w:wordWrap/>
      <w:autoSpaceDE/>
      <w:autoSpaceDN/>
      <w:spacing w:after="0" w:line="240" w:lineRule="auto"/>
    </w:pPr>
    <w:rPr>
      <w:rFonts w:eastAsia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B374CA"/>
  </w:style>
  <w:style w:type="character" w:customStyle="1" w:styleId="eop">
    <w:name w:val="eop"/>
    <w:basedOn w:val="DefaultParagraphFont"/>
    <w:rsid w:val="00B374CA"/>
  </w:style>
  <w:style w:type="character" w:styleId="Strong">
    <w:name w:val="Strong"/>
    <w:uiPriority w:val="22"/>
    <w:qFormat/>
    <w:rsid w:val="00EE438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E4386"/>
  </w:style>
  <w:style w:type="character" w:customStyle="1" w:styleId="word-border">
    <w:name w:val="word-border"/>
    <w:basedOn w:val="DefaultParagraphFont"/>
    <w:rsid w:val="00EE4386"/>
  </w:style>
  <w:style w:type="character" w:customStyle="1" w:styleId="apple-converted-space">
    <w:name w:val="apple-converted-space"/>
    <w:basedOn w:val="DefaultParagraphFont"/>
    <w:rsid w:val="00EE4386"/>
  </w:style>
  <w:style w:type="character" w:styleId="HTMLTypewriter">
    <w:name w:val="HTML Typewriter"/>
    <w:basedOn w:val="DefaultParagraphFont"/>
    <w:uiPriority w:val="99"/>
    <w:semiHidden/>
    <w:unhideWhenUsed/>
    <w:rsid w:val="00EE438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B2649"/>
    <w:pPr>
      <w:widowControl/>
      <w:suppressAutoHyphens/>
      <w:wordWrap/>
      <w:autoSpaceDE/>
      <w:autoSpaceDN/>
      <w:spacing w:after="0" w:line="240" w:lineRule="auto"/>
      <w:ind w:firstLineChars="200" w:firstLine="420"/>
      <w:jc w:val="left"/>
    </w:pPr>
    <w:rPr>
      <w:rFonts w:ascii="Times New Roman" w:eastAsia="Lucida Sans Unicode" w:hAnsi="Times New Roman" w:cs="Mangal"/>
      <w:kern w:val="1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6717">
                                                  <w:marLeft w:val="55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00350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3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73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4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0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36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70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89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57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01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54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9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83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d5b305cd7fa1fe6/myPapers/HBVpapers/sAgLoss/&#54364;&#47732;%20&#51221;&#49457;%20&#48708;&#44368;&#44208;&#44284;-2014&#45380;&#51088;&#47308;%20GRAPH%20correlation%20&#48516;&#49437;-4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d5b305cd7fa1fe6/myPapers/HBVpapers/sAgLoss/sgn90_sAgtiterD1_sgnTim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'[표면 정성 비교결과-2014년자료 GRAPH correlation 분석-4.xlsx]allData_Graph_SCObyQNT'!$AG$1</c:f>
              <c:strCache>
                <c:ptCount val="1"/>
                <c:pt idx="0">
                  <c:v>SG_SCR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og"/>
            <c:dispRSqr val="1"/>
            <c:dispEq val="1"/>
            <c:trendlineLbl>
              <c:layout>
                <c:manualLayout>
                  <c:x val="-9.5125693938370573E-2"/>
                  <c:y val="0.4105861767279090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'[표면 정성 비교결과-2014년자료 GRAPH correlation 분석-4.xlsx]allData_Graph_SCObyQNT'!$AF$2:$AF$150</c:f>
              <c:numCache>
                <c:formatCode>General</c:formatCode>
                <c:ptCount val="149"/>
                <c:pt idx="0">
                  <c:v>0.05</c:v>
                </c:pt>
                <c:pt idx="1">
                  <c:v>0.05</c:v>
                </c:pt>
                <c:pt idx="2">
                  <c:v>0.06</c:v>
                </c:pt>
                <c:pt idx="3">
                  <c:v>0.08</c:v>
                </c:pt>
                <c:pt idx="4">
                  <c:v>0.22</c:v>
                </c:pt>
                <c:pt idx="5">
                  <c:v>0.24</c:v>
                </c:pt>
                <c:pt idx="6">
                  <c:v>0.33</c:v>
                </c:pt>
                <c:pt idx="7">
                  <c:v>0.36</c:v>
                </c:pt>
                <c:pt idx="8">
                  <c:v>0.49</c:v>
                </c:pt>
                <c:pt idx="9">
                  <c:v>0.82</c:v>
                </c:pt>
                <c:pt idx="10">
                  <c:v>1.43</c:v>
                </c:pt>
                <c:pt idx="11">
                  <c:v>1.53</c:v>
                </c:pt>
                <c:pt idx="12">
                  <c:v>2.79</c:v>
                </c:pt>
                <c:pt idx="13">
                  <c:v>3.06</c:v>
                </c:pt>
                <c:pt idx="14">
                  <c:v>3.14</c:v>
                </c:pt>
                <c:pt idx="15">
                  <c:v>4.0599999999999996</c:v>
                </c:pt>
                <c:pt idx="16">
                  <c:v>4.5</c:v>
                </c:pt>
                <c:pt idx="17">
                  <c:v>4.79</c:v>
                </c:pt>
                <c:pt idx="18">
                  <c:v>4.92</c:v>
                </c:pt>
                <c:pt idx="19">
                  <c:v>7.88</c:v>
                </c:pt>
                <c:pt idx="20">
                  <c:v>9.15</c:v>
                </c:pt>
                <c:pt idx="21">
                  <c:v>9.2799999999999994</c:v>
                </c:pt>
                <c:pt idx="22">
                  <c:v>22.58</c:v>
                </c:pt>
                <c:pt idx="23">
                  <c:v>26.4</c:v>
                </c:pt>
                <c:pt idx="24">
                  <c:v>27.9</c:v>
                </c:pt>
                <c:pt idx="25">
                  <c:v>29.86</c:v>
                </c:pt>
                <c:pt idx="26">
                  <c:v>32.5</c:v>
                </c:pt>
                <c:pt idx="27">
                  <c:v>36.590000000000003</c:v>
                </c:pt>
                <c:pt idx="28">
                  <c:v>42.41</c:v>
                </c:pt>
                <c:pt idx="29">
                  <c:v>43.67</c:v>
                </c:pt>
                <c:pt idx="30">
                  <c:v>43.67</c:v>
                </c:pt>
                <c:pt idx="31">
                  <c:v>45.53</c:v>
                </c:pt>
                <c:pt idx="32">
                  <c:v>51.83</c:v>
                </c:pt>
                <c:pt idx="33">
                  <c:v>63.2</c:v>
                </c:pt>
                <c:pt idx="34">
                  <c:v>65.44</c:v>
                </c:pt>
                <c:pt idx="35">
                  <c:v>68.02</c:v>
                </c:pt>
                <c:pt idx="36">
                  <c:v>68.02</c:v>
                </c:pt>
                <c:pt idx="37">
                  <c:v>72.75</c:v>
                </c:pt>
                <c:pt idx="38">
                  <c:v>109.4</c:v>
                </c:pt>
                <c:pt idx="39">
                  <c:v>114.5</c:v>
                </c:pt>
                <c:pt idx="40">
                  <c:v>115.5</c:v>
                </c:pt>
                <c:pt idx="41">
                  <c:v>115.8</c:v>
                </c:pt>
                <c:pt idx="42">
                  <c:v>116.3</c:v>
                </c:pt>
                <c:pt idx="43">
                  <c:v>116.9</c:v>
                </c:pt>
                <c:pt idx="44">
                  <c:v>118.3</c:v>
                </c:pt>
                <c:pt idx="45">
                  <c:v>124.5</c:v>
                </c:pt>
                <c:pt idx="46">
                  <c:v>132.6</c:v>
                </c:pt>
                <c:pt idx="47">
                  <c:v>151.5</c:v>
                </c:pt>
                <c:pt idx="48">
                  <c:v>167.5</c:v>
                </c:pt>
                <c:pt idx="49">
                  <c:v>195.6</c:v>
                </c:pt>
                <c:pt idx="50">
                  <c:v>219.6</c:v>
                </c:pt>
                <c:pt idx="51">
                  <c:v>220.4</c:v>
                </c:pt>
                <c:pt idx="52">
                  <c:v>249.4</c:v>
                </c:pt>
                <c:pt idx="53">
                  <c:v>250.9</c:v>
                </c:pt>
                <c:pt idx="54">
                  <c:v>252.7</c:v>
                </c:pt>
                <c:pt idx="55">
                  <c:v>252.9</c:v>
                </c:pt>
                <c:pt idx="56">
                  <c:v>252.9</c:v>
                </c:pt>
                <c:pt idx="57">
                  <c:v>260.8</c:v>
                </c:pt>
                <c:pt idx="58">
                  <c:v>280.7</c:v>
                </c:pt>
                <c:pt idx="59">
                  <c:v>341.7</c:v>
                </c:pt>
                <c:pt idx="60">
                  <c:v>341.7</c:v>
                </c:pt>
                <c:pt idx="61">
                  <c:v>356.9</c:v>
                </c:pt>
                <c:pt idx="62">
                  <c:v>451.9</c:v>
                </c:pt>
                <c:pt idx="63">
                  <c:v>461.9</c:v>
                </c:pt>
                <c:pt idx="64">
                  <c:v>498.8</c:v>
                </c:pt>
                <c:pt idx="65">
                  <c:v>528.4</c:v>
                </c:pt>
                <c:pt idx="66">
                  <c:v>533.20000000000005</c:v>
                </c:pt>
                <c:pt idx="67">
                  <c:v>533.6</c:v>
                </c:pt>
                <c:pt idx="68">
                  <c:v>535.9</c:v>
                </c:pt>
                <c:pt idx="69">
                  <c:v>542.70000000000005</c:v>
                </c:pt>
                <c:pt idx="70">
                  <c:v>566.9</c:v>
                </c:pt>
                <c:pt idx="71">
                  <c:v>568.20000000000005</c:v>
                </c:pt>
                <c:pt idx="72">
                  <c:v>576.20000000000005</c:v>
                </c:pt>
                <c:pt idx="73">
                  <c:v>576.5</c:v>
                </c:pt>
                <c:pt idx="74">
                  <c:v>582</c:v>
                </c:pt>
                <c:pt idx="75">
                  <c:v>582.20000000000005</c:v>
                </c:pt>
                <c:pt idx="76">
                  <c:v>587.5</c:v>
                </c:pt>
                <c:pt idx="77">
                  <c:v>623.70000000000005</c:v>
                </c:pt>
                <c:pt idx="78">
                  <c:v>641.9</c:v>
                </c:pt>
                <c:pt idx="79">
                  <c:v>652.29999999999995</c:v>
                </c:pt>
                <c:pt idx="80">
                  <c:v>663.1</c:v>
                </c:pt>
                <c:pt idx="81">
                  <c:v>698.5</c:v>
                </c:pt>
                <c:pt idx="82">
                  <c:v>708.9</c:v>
                </c:pt>
                <c:pt idx="83">
                  <c:v>763.3</c:v>
                </c:pt>
                <c:pt idx="84">
                  <c:v>784.9</c:v>
                </c:pt>
                <c:pt idx="85">
                  <c:v>838.7</c:v>
                </c:pt>
                <c:pt idx="86">
                  <c:v>843.2</c:v>
                </c:pt>
                <c:pt idx="87">
                  <c:v>865.2</c:v>
                </c:pt>
                <c:pt idx="88">
                  <c:v>881.6</c:v>
                </c:pt>
                <c:pt idx="89">
                  <c:v>902.4</c:v>
                </c:pt>
                <c:pt idx="90">
                  <c:v>984.5</c:v>
                </c:pt>
                <c:pt idx="91">
                  <c:v>994.7</c:v>
                </c:pt>
                <c:pt idx="92">
                  <c:v>1000</c:v>
                </c:pt>
                <c:pt idx="93">
                  <c:v>1054</c:v>
                </c:pt>
                <c:pt idx="94">
                  <c:v>1118</c:v>
                </c:pt>
                <c:pt idx="95">
                  <c:v>1219</c:v>
                </c:pt>
                <c:pt idx="96">
                  <c:v>1278</c:v>
                </c:pt>
                <c:pt idx="97">
                  <c:v>1284</c:v>
                </c:pt>
                <c:pt idx="98">
                  <c:v>1289</c:v>
                </c:pt>
                <c:pt idx="99">
                  <c:v>1337</c:v>
                </c:pt>
                <c:pt idx="100">
                  <c:v>1351</c:v>
                </c:pt>
                <c:pt idx="101">
                  <c:v>1428</c:v>
                </c:pt>
                <c:pt idx="102">
                  <c:v>1728</c:v>
                </c:pt>
                <c:pt idx="103">
                  <c:v>1789</c:v>
                </c:pt>
                <c:pt idx="104">
                  <c:v>1798</c:v>
                </c:pt>
                <c:pt idx="105">
                  <c:v>2086</c:v>
                </c:pt>
                <c:pt idx="106">
                  <c:v>2142</c:v>
                </c:pt>
                <c:pt idx="107">
                  <c:v>2194</c:v>
                </c:pt>
                <c:pt idx="108">
                  <c:v>2206</c:v>
                </c:pt>
                <c:pt idx="109">
                  <c:v>2211</c:v>
                </c:pt>
                <c:pt idx="110">
                  <c:v>2243</c:v>
                </c:pt>
                <c:pt idx="111">
                  <c:v>2273</c:v>
                </c:pt>
                <c:pt idx="112">
                  <c:v>2275</c:v>
                </c:pt>
                <c:pt idx="113">
                  <c:v>2296</c:v>
                </c:pt>
                <c:pt idx="114">
                  <c:v>2398</c:v>
                </c:pt>
                <c:pt idx="115">
                  <c:v>2437</c:v>
                </c:pt>
                <c:pt idx="116">
                  <c:v>2538</c:v>
                </c:pt>
                <c:pt idx="117">
                  <c:v>2582</c:v>
                </c:pt>
                <c:pt idx="118">
                  <c:v>2605</c:v>
                </c:pt>
                <c:pt idx="119">
                  <c:v>2979</c:v>
                </c:pt>
                <c:pt idx="120">
                  <c:v>3050</c:v>
                </c:pt>
                <c:pt idx="121">
                  <c:v>3142</c:v>
                </c:pt>
                <c:pt idx="122">
                  <c:v>3269</c:v>
                </c:pt>
                <c:pt idx="123">
                  <c:v>3365.74</c:v>
                </c:pt>
                <c:pt idx="124">
                  <c:v>3467</c:v>
                </c:pt>
                <c:pt idx="125">
                  <c:v>4062</c:v>
                </c:pt>
                <c:pt idx="126">
                  <c:v>4076</c:v>
                </c:pt>
                <c:pt idx="127">
                  <c:v>4130</c:v>
                </c:pt>
                <c:pt idx="128">
                  <c:v>4164</c:v>
                </c:pt>
                <c:pt idx="129">
                  <c:v>4177</c:v>
                </c:pt>
                <c:pt idx="130">
                  <c:v>4351</c:v>
                </c:pt>
                <c:pt idx="131">
                  <c:v>4377</c:v>
                </c:pt>
                <c:pt idx="132">
                  <c:v>4389</c:v>
                </c:pt>
                <c:pt idx="133">
                  <c:v>4587</c:v>
                </c:pt>
                <c:pt idx="134">
                  <c:v>4752</c:v>
                </c:pt>
                <c:pt idx="135">
                  <c:v>4757</c:v>
                </c:pt>
                <c:pt idx="136">
                  <c:v>4759</c:v>
                </c:pt>
                <c:pt idx="137">
                  <c:v>4764</c:v>
                </c:pt>
                <c:pt idx="138">
                  <c:v>4834</c:v>
                </c:pt>
                <c:pt idx="139">
                  <c:v>4945</c:v>
                </c:pt>
                <c:pt idx="140">
                  <c:v>5003</c:v>
                </c:pt>
                <c:pt idx="141">
                  <c:v>5026</c:v>
                </c:pt>
                <c:pt idx="142">
                  <c:v>5065</c:v>
                </c:pt>
                <c:pt idx="143">
                  <c:v>5114</c:v>
                </c:pt>
                <c:pt idx="144">
                  <c:v>5308</c:v>
                </c:pt>
                <c:pt idx="145">
                  <c:v>5561</c:v>
                </c:pt>
                <c:pt idx="146">
                  <c:v>5975</c:v>
                </c:pt>
                <c:pt idx="147">
                  <c:v>6113</c:v>
                </c:pt>
                <c:pt idx="148">
                  <c:v>6995</c:v>
                </c:pt>
              </c:numCache>
            </c:numRef>
          </c:xVal>
          <c:yVal>
            <c:numRef>
              <c:f>'[표면 정성 비교결과-2014년자료 GRAPH correlation 분석-4.xlsx]allData_Graph_SCObyQNT'!$AG$2:$AG$150</c:f>
              <c:numCache>
                <c:formatCode>General</c:formatCode>
                <c:ptCount val="149"/>
                <c:pt idx="0">
                  <c:v>0.25</c:v>
                </c:pt>
                <c:pt idx="1">
                  <c:v>0.66</c:v>
                </c:pt>
                <c:pt idx="2">
                  <c:v>0.98</c:v>
                </c:pt>
                <c:pt idx="3">
                  <c:v>1.75</c:v>
                </c:pt>
                <c:pt idx="4">
                  <c:v>4.13</c:v>
                </c:pt>
                <c:pt idx="5">
                  <c:v>1.61</c:v>
                </c:pt>
                <c:pt idx="6">
                  <c:v>0.307</c:v>
                </c:pt>
                <c:pt idx="7">
                  <c:v>1.48</c:v>
                </c:pt>
                <c:pt idx="8">
                  <c:v>7.89</c:v>
                </c:pt>
                <c:pt idx="9">
                  <c:v>4.43</c:v>
                </c:pt>
                <c:pt idx="10">
                  <c:v>22.41</c:v>
                </c:pt>
                <c:pt idx="11">
                  <c:v>10.15</c:v>
                </c:pt>
                <c:pt idx="12">
                  <c:v>28.26</c:v>
                </c:pt>
                <c:pt idx="13">
                  <c:v>52.2</c:v>
                </c:pt>
                <c:pt idx="14">
                  <c:v>91.92</c:v>
                </c:pt>
                <c:pt idx="15">
                  <c:v>129.35</c:v>
                </c:pt>
                <c:pt idx="16">
                  <c:v>63.82</c:v>
                </c:pt>
                <c:pt idx="17">
                  <c:v>79.83</c:v>
                </c:pt>
                <c:pt idx="18">
                  <c:v>18.3</c:v>
                </c:pt>
                <c:pt idx="19">
                  <c:v>82.11</c:v>
                </c:pt>
                <c:pt idx="20">
                  <c:v>70.47</c:v>
                </c:pt>
                <c:pt idx="21">
                  <c:v>273.60000000000002</c:v>
                </c:pt>
                <c:pt idx="22">
                  <c:v>363.86</c:v>
                </c:pt>
                <c:pt idx="23">
                  <c:v>254.94</c:v>
                </c:pt>
                <c:pt idx="24">
                  <c:v>323.27</c:v>
                </c:pt>
                <c:pt idx="25">
                  <c:v>709</c:v>
                </c:pt>
                <c:pt idx="26">
                  <c:v>201</c:v>
                </c:pt>
                <c:pt idx="27">
                  <c:v>483.19</c:v>
                </c:pt>
                <c:pt idx="28">
                  <c:v>505.43</c:v>
                </c:pt>
                <c:pt idx="29">
                  <c:v>591.14</c:v>
                </c:pt>
                <c:pt idx="30">
                  <c:v>820.56</c:v>
                </c:pt>
                <c:pt idx="31">
                  <c:v>1148</c:v>
                </c:pt>
                <c:pt idx="32">
                  <c:v>1311</c:v>
                </c:pt>
                <c:pt idx="33">
                  <c:v>1569</c:v>
                </c:pt>
                <c:pt idx="34">
                  <c:v>844.82</c:v>
                </c:pt>
                <c:pt idx="35">
                  <c:v>998.7</c:v>
                </c:pt>
                <c:pt idx="36">
                  <c:v>1158</c:v>
                </c:pt>
                <c:pt idx="37">
                  <c:v>936.43</c:v>
                </c:pt>
                <c:pt idx="38">
                  <c:v>2295</c:v>
                </c:pt>
                <c:pt idx="39">
                  <c:v>2564</c:v>
                </c:pt>
                <c:pt idx="40">
                  <c:v>1547.77</c:v>
                </c:pt>
                <c:pt idx="41">
                  <c:v>1333</c:v>
                </c:pt>
                <c:pt idx="42">
                  <c:v>2473</c:v>
                </c:pt>
                <c:pt idx="43">
                  <c:v>1933.25</c:v>
                </c:pt>
                <c:pt idx="44">
                  <c:v>2172</c:v>
                </c:pt>
                <c:pt idx="45">
                  <c:v>1652</c:v>
                </c:pt>
                <c:pt idx="46">
                  <c:v>1481</c:v>
                </c:pt>
                <c:pt idx="47">
                  <c:v>2323.21</c:v>
                </c:pt>
                <c:pt idx="48">
                  <c:v>3570</c:v>
                </c:pt>
                <c:pt idx="49">
                  <c:v>2217</c:v>
                </c:pt>
                <c:pt idx="50">
                  <c:v>3524</c:v>
                </c:pt>
                <c:pt idx="51">
                  <c:v>2442.0500000000002</c:v>
                </c:pt>
                <c:pt idx="52">
                  <c:v>3224.05</c:v>
                </c:pt>
                <c:pt idx="53">
                  <c:v>2865.55</c:v>
                </c:pt>
                <c:pt idx="54">
                  <c:v>4111.6499999999996</c:v>
                </c:pt>
                <c:pt idx="55">
                  <c:v>2441</c:v>
                </c:pt>
                <c:pt idx="56">
                  <c:v>3015.16</c:v>
                </c:pt>
                <c:pt idx="57">
                  <c:v>2101.66</c:v>
                </c:pt>
                <c:pt idx="58">
                  <c:v>2775.06</c:v>
                </c:pt>
                <c:pt idx="59">
                  <c:v>4307</c:v>
                </c:pt>
                <c:pt idx="60">
                  <c:v>4307</c:v>
                </c:pt>
                <c:pt idx="61">
                  <c:v>4231.2</c:v>
                </c:pt>
                <c:pt idx="62">
                  <c:v>6560</c:v>
                </c:pt>
                <c:pt idx="63">
                  <c:v>3973.91</c:v>
                </c:pt>
                <c:pt idx="64">
                  <c:v>3086.76</c:v>
                </c:pt>
                <c:pt idx="65">
                  <c:v>5238</c:v>
                </c:pt>
                <c:pt idx="66">
                  <c:v>4409.8599999999997</c:v>
                </c:pt>
                <c:pt idx="67">
                  <c:v>4085.61</c:v>
                </c:pt>
                <c:pt idx="68">
                  <c:v>5012.3999999999996</c:v>
                </c:pt>
                <c:pt idx="69">
                  <c:v>3205.96</c:v>
                </c:pt>
                <c:pt idx="70">
                  <c:v>4618.29</c:v>
                </c:pt>
                <c:pt idx="71">
                  <c:v>4871.5</c:v>
                </c:pt>
                <c:pt idx="72">
                  <c:v>3887.4</c:v>
                </c:pt>
                <c:pt idx="73">
                  <c:v>4478.92</c:v>
                </c:pt>
                <c:pt idx="74">
                  <c:v>4060.68</c:v>
                </c:pt>
                <c:pt idx="75">
                  <c:v>3583.08</c:v>
                </c:pt>
                <c:pt idx="76">
                  <c:v>3092.17</c:v>
                </c:pt>
                <c:pt idx="77">
                  <c:v>4625.07</c:v>
                </c:pt>
                <c:pt idx="78">
                  <c:v>3170.61</c:v>
                </c:pt>
                <c:pt idx="79">
                  <c:v>3884.33</c:v>
                </c:pt>
                <c:pt idx="80">
                  <c:v>4694.7299999999996</c:v>
                </c:pt>
                <c:pt idx="81">
                  <c:v>7884</c:v>
                </c:pt>
                <c:pt idx="82">
                  <c:v>4852.3100000000004</c:v>
                </c:pt>
                <c:pt idx="83">
                  <c:v>6542</c:v>
                </c:pt>
                <c:pt idx="84">
                  <c:v>4846.3999999999996</c:v>
                </c:pt>
                <c:pt idx="85">
                  <c:v>3418.96</c:v>
                </c:pt>
                <c:pt idx="86">
                  <c:v>3137.43</c:v>
                </c:pt>
                <c:pt idx="87">
                  <c:v>2649.17</c:v>
                </c:pt>
                <c:pt idx="88">
                  <c:v>4337.9399999999996</c:v>
                </c:pt>
                <c:pt idx="89">
                  <c:v>4714.01</c:v>
                </c:pt>
                <c:pt idx="90">
                  <c:v>4605.2</c:v>
                </c:pt>
                <c:pt idx="91">
                  <c:v>4604.28</c:v>
                </c:pt>
                <c:pt idx="92">
                  <c:v>4761.26</c:v>
                </c:pt>
                <c:pt idx="93">
                  <c:v>4373.62</c:v>
                </c:pt>
                <c:pt idx="94">
                  <c:v>5121.1400000000003</c:v>
                </c:pt>
                <c:pt idx="95">
                  <c:v>4686.71</c:v>
                </c:pt>
                <c:pt idx="96">
                  <c:v>4661.4399999999996</c:v>
                </c:pt>
                <c:pt idx="97">
                  <c:v>5147.58</c:v>
                </c:pt>
                <c:pt idx="98">
                  <c:v>4059.05</c:v>
                </c:pt>
                <c:pt idx="99">
                  <c:v>4441.78</c:v>
                </c:pt>
                <c:pt idx="100">
                  <c:v>4824.4399999999996</c:v>
                </c:pt>
                <c:pt idx="101">
                  <c:v>4047.72</c:v>
                </c:pt>
                <c:pt idx="102">
                  <c:v>4741.8100000000004</c:v>
                </c:pt>
                <c:pt idx="103">
                  <c:v>4741</c:v>
                </c:pt>
                <c:pt idx="104">
                  <c:v>3963.53</c:v>
                </c:pt>
                <c:pt idx="105">
                  <c:v>4926.8900000000003</c:v>
                </c:pt>
                <c:pt idx="106">
                  <c:v>4785.07</c:v>
                </c:pt>
                <c:pt idx="107">
                  <c:v>5097.28</c:v>
                </c:pt>
                <c:pt idx="108">
                  <c:v>4512.92</c:v>
                </c:pt>
                <c:pt idx="109">
                  <c:v>4022</c:v>
                </c:pt>
                <c:pt idx="110">
                  <c:v>3811.85</c:v>
                </c:pt>
                <c:pt idx="111">
                  <c:v>5368.34</c:v>
                </c:pt>
                <c:pt idx="112">
                  <c:v>4759.41</c:v>
                </c:pt>
                <c:pt idx="113">
                  <c:v>4789.1000000000004</c:v>
                </c:pt>
                <c:pt idx="114">
                  <c:v>4282.21</c:v>
                </c:pt>
                <c:pt idx="115">
                  <c:v>4252.95</c:v>
                </c:pt>
                <c:pt idx="116">
                  <c:v>3991.29</c:v>
                </c:pt>
                <c:pt idx="117">
                  <c:v>4478</c:v>
                </c:pt>
                <c:pt idx="118">
                  <c:v>3464.93</c:v>
                </c:pt>
                <c:pt idx="119">
                  <c:v>4680.12</c:v>
                </c:pt>
                <c:pt idx="120">
                  <c:v>4147.3900000000003</c:v>
                </c:pt>
                <c:pt idx="121">
                  <c:v>4943.47</c:v>
                </c:pt>
                <c:pt idx="122">
                  <c:v>4973.1400000000003</c:v>
                </c:pt>
                <c:pt idx="123">
                  <c:v>3850.38</c:v>
                </c:pt>
                <c:pt idx="124">
                  <c:v>4078.27</c:v>
                </c:pt>
                <c:pt idx="125">
                  <c:v>4138.13</c:v>
                </c:pt>
                <c:pt idx="126">
                  <c:v>5443.71</c:v>
                </c:pt>
                <c:pt idx="127">
                  <c:v>2609.79</c:v>
                </c:pt>
                <c:pt idx="128">
                  <c:v>3602.76</c:v>
                </c:pt>
                <c:pt idx="129">
                  <c:v>3978.16</c:v>
                </c:pt>
                <c:pt idx="130">
                  <c:v>4259.79</c:v>
                </c:pt>
                <c:pt idx="131">
                  <c:v>4218.1499999999996</c:v>
                </c:pt>
                <c:pt idx="132">
                  <c:v>4464.5200000000004</c:v>
                </c:pt>
                <c:pt idx="133">
                  <c:v>3884.18</c:v>
                </c:pt>
                <c:pt idx="134">
                  <c:v>4042.64</c:v>
                </c:pt>
                <c:pt idx="135">
                  <c:v>4556.51</c:v>
                </c:pt>
                <c:pt idx="136">
                  <c:v>3542.74</c:v>
                </c:pt>
                <c:pt idx="137">
                  <c:v>3465.97</c:v>
                </c:pt>
                <c:pt idx="138">
                  <c:v>3645.7</c:v>
                </c:pt>
                <c:pt idx="139">
                  <c:v>2844.98</c:v>
                </c:pt>
                <c:pt idx="140">
                  <c:v>3825.63</c:v>
                </c:pt>
                <c:pt idx="141">
                  <c:v>3228.97</c:v>
                </c:pt>
                <c:pt idx="142">
                  <c:v>4072.07</c:v>
                </c:pt>
                <c:pt idx="143">
                  <c:v>3327.37</c:v>
                </c:pt>
                <c:pt idx="144">
                  <c:v>3703.49</c:v>
                </c:pt>
                <c:pt idx="145">
                  <c:v>3505.21</c:v>
                </c:pt>
                <c:pt idx="146">
                  <c:v>3523.83</c:v>
                </c:pt>
                <c:pt idx="147">
                  <c:v>4424.51</c:v>
                </c:pt>
                <c:pt idx="148">
                  <c:v>3977.52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778-404F-A785-F38D985E9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59168"/>
        <c:axId val="718059560"/>
      </c:scatterChart>
      <c:valAx>
        <c:axId val="718059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HBsAg-QNT, IU/mL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8059560"/>
        <c:crosses val="autoZero"/>
        <c:crossBetween val="midCat"/>
      </c:valAx>
      <c:valAx>
        <c:axId val="718059560"/>
        <c:scaling>
          <c:orientation val="minMax"/>
          <c:max val="6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HBsAg-SCR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80591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HBsAg-QNT by HBsAg-SCR: 1-1000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'[표면 정성 비교결과-2014년자료 GRAPH correlation 분석-4.xlsx]Graph_QNTbySCO'!$B$1</c:f>
              <c:strCache>
                <c:ptCount val="1"/>
                <c:pt idx="0">
                  <c:v>SG_QNT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30673175417683773"/>
                  <c:y val="-4.432979210931967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'[표면 정성 비교결과-2014년자료 GRAPH correlation 분석-4.xlsx]Graph_QNTbySCO'!$A$2:$A$35</c:f>
              <c:numCache>
                <c:formatCode>General</c:formatCode>
                <c:ptCount val="34"/>
                <c:pt idx="0">
                  <c:v>0.25</c:v>
                </c:pt>
                <c:pt idx="1">
                  <c:v>0.307</c:v>
                </c:pt>
                <c:pt idx="2">
                  <c:v>0.66</c:v>
                </c:pt>
                <c:pt idx="3">
                  <c:v>0.98</c:v>
                </c:pt>
                <c:pt idx="4">
                  <c:v>1.48</c:v>
                </c:pt>
                <c:pt idx="5">
                  <c:v>1.61</c:v>
                </c:pt>
                <c:pt idx="6">
                  <c:v>1.75</c:v>
                </c:pt>
                <c:pt idx="7">
                  <c:v>4.13</c:v>
                </c:pt>
                <c:pt idx="8">
                  <c:v>4.43</c:v>
                </c:pt>
                <c:pt idx="9">
                  <c:v>7.89</c:v>
                </c:pt>
                <c:pt idx="10">
                  <c:v>10.15</c:v>
                </c:pt>
                <c:pt idx="11">
                  <c:v>18.3</c:v>
                </c:pt>
                <c:pt idx="12">
                  <c:v>22.41</c:v>
                </c:pt>
                <c:pt idx="13">
                  <c:v>28.26</c:v>
                </c:pt>
                <c:pt idx="14">
                  <c:v>52.2</c:v>
                </c:pt>
                <c:pt idx="15">
                  <c:v>63.82</c:v>
                </c:pt>
                <c:pt idx="16">
                  <c:v>70.47</c:v>
                </c:pt>
                <c:pt idx="17">
                  <c:v>79.83</c:v>
                </c:pt>
                <c:pt idx="18">
                  <c:v>82.11</c:v>
                </c:pt>
                <c:pt idx="19">
                  <c:v>91.92</c:v>
                </c:pt>
                <c:pt idx="20">
                  <c:v>129.35</c:v>
                </c:pt>
                <c:pt idx="21">
                  <c:v>201</c:v>
                </c:pt>
                <c:pt idx="22">
                  <c:v>254.94</c:v>
                </c:pt>
                <c:pt idx="23">
                  <c:v>273.60000000000002</c:v>
                </c:pt>
                <c:pt idx="24">
                  <c:v>323.27</c:v>
                </c:pt>
                <c:pt idx="25">
                  <c:v>363.86</c:v>
                </c:pt>
                <c:pt idx="26">
                  <c:v>483.19</c:v>
                </c:pt>
                <c:pt idx="27">
                  <c:v>505.43</c:v>
                </c:pt>
                <c:pt idx="28">
                  <c:v>591.14</c:v>
                </c:pt>
                <c:pt idx="29">
                  <c:v>709</c:v>
                </c:pt>
                <c:pt idx="30">
                  <c:v>820.56</c:v>
                </c:pt>
                <c:pt idx="31">
                  <c:v>844.82</c:v>
                </c:pt>
                <c:pt idx="32">
                  <c:v>936.43</c:v>
                </c:pt>
                <c:pt idx="33">
                  <c:v>998.7</c:v>
                </c:pt>
              </c:numCache>
            </c:numRef>
          </c:xVal>
          <c:yVal>
            <c:numRef>
              <c:f>'[표면 정성 비교결과-2014년자료 GRAPH correlation 분석-4.xlsx]Graph_QNTbySCO'!$B$2:$B$35</c:f>
              <c:numCache>
                <c:formatCode>General</c:formatCode>
                <c:ptCount val="34"/>
                <c:pt idx="0">
                  <c:v>0.05</c:v>
                </c:pt>
                <c:pt idx="1">
                  <c:v>0.33</c:v>
                </c:pt>
                <c:pt idx="2">
                  <c:v>0.05</c:v>
                </c:pt>
                <c:pt idx="3">
                  <c:v>0.06</c:v>
                </c:pt>
                <c:pt idx="4">
                  <c:v>0.36</c:v>
                </c:pt>
                <c:pt idx="5">
                  <c:v>0.24</c:v>
                </c:pt>
                <c:pt idx="6">
                  <c:v>0.08</c:v>
                </c:pt>
                <c:pt idx="7">
                  <c:v>0.22</c:v>
                </c:pt>
                <c:pt idx="8">
                  <c:v>0.82</c:v>
                </c:pt>
                <c:pt idx="9">
                  <c:v>0.49</c:v>
                </c:pt>
                <c:pt idx="10">
                  <c:v>1.53</c:v>
                </c:pt>
                <c:pt idx="11">
                  <c:v>4.92</c:v>
                </c:pt>
                <c:pt idx="12">
                  <c:v>1.43</c:v>
                </c:pt>
                <c:pt idx="13">
                  <c:v>2.79</c:v>
                </c:pt>
                <c:pt idx="14">
                  <c:v>3.06</c:v>
                </c:pt>
                <c:pt idx="15">
                  <c:v>4.5</c:v>
                </c:pt>
                <c:pt idx="16">
                  <c:v>9.15</c:v>
                </c:pt>
                <c:pt idx="17">
                  <c:v>4.79</c:v>
                </c:pt>
                <c:pt idx="18">
                  <c:v>7.88</c:v>
                </c:pt>
                <c:pt idx="19">
                  <c:v>3.14</c:v>
                </c:pt>
                <c:pt idx="20">
                  <c:v>4.0599999999999996</c:v>
                </c:pt>
                <c:pt idx="21">
                  <c:v>32.5</c:v>
                </c:pt>
                <c:pt idx="22">
                  <c:v>26.4</c:v>
                </c:pt>
                <c:pt idx="23">
                  <c:v>9.2799999999999994</c:v>
                </c:pt>
                <c:pt idx="24">
                  <c:v>27.9</c:v>
                </c:pt>
                <c:pt idx="25">
                  <c:v>22.58</c:v>
                </c:pt>
                <c:pt idx="26">
                  <c:v>36.590000000000003</c:v>
                </c:pt>
                <c:pt idx="27">
                  <c:v>42.41</c:v>
                </c:pt>
                <c:pt idx="28">
                  <c:v>43.67</c:v>
                </c:pt>
                <c:pt idx="29">
                  <c:v>29.86</c:v>
                </c:pt>
                <c:pt idx="30">
                  <c:v>43.67</c:v>
                </c:pt>
                <c:pt idx="31">
                  <c:v>65.44</c:v>
                </c:pt>
                <c:pt idx="32">
                  <c:v>72.75</c:v>
                </c:pt>
                <c:pt idx="33">
                  <c:v>68.02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1ED-4FD4-B676-03E5F81B7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7953288"/>
        <c:axId val="717953680"/>
      </c:scatterChart>
      <c:valAx>
        <c:axId val="717953288"/>
        <c:scaling>
          <c:orientation val="minMax"/>
          <c:max val="1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HBsAg-SCR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7953680"/>
        <c:crosses val="autoZero"/>
        <c:crossBetween val="midCat"/>
      </c:valAx>
      <c:valAx>
        <c:axId val="717953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HBsAg-QNT, IU/mL</a:t>
                </a:r>
                <a:endParaRPr lang="ko-KR"/>
              </a:p>
            </c:rich>
          </c:tx>
          <c:layout>
            <c:manualLayout>
              <c:xMode val="edge"/>
              <c:yMode val="edge"/>
              <c:x val="2.2222222222222223E-2"/>
              <c:y val="0.2136457421988917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79532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HBsAg-SCR by HBsAg-QNT: &gt;200 IU/mL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905539864688045"/>
                  <c:y val="-0.328879305588944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'[표면 정성 비교결과-2014년자료 GRAPH correlation 분석-4.xlsx]allData_Graph_SCObyQNT'!$AF$52:$AF$150</c:f>
              <c:numCache>
                <c:formatCode>General</c:formatCode>
                <c:ptCount val="99"/>
                <c:pt idx="0">
                  <c:v>219.6</c:v>
                </c:pt>
                <c:pt idx="1">
                  <c:v>220.4</c:v>
                </c:pt>
                <c:pt idx="2">
                  <c:v>249.4</c:v>
                </c:pt>
                <c:pt idx="3">
                  <c:v>250.9</c:v>
                </c:pt>
                <c:pt idx="4">
                  <c:v>252.7</c:v>
                </c:pt>
                <c:pt idx="5">
                  <c:v>252.9</c:v>
                </c:pt>
                <c:pt idx="6">
                  <c:v>252.9</c:v>
                </c:pt>
                <c:pt idx="7">
                  <c:v>260.8</c:v>
                </c:pt>
                <c:pt idx="8">
                  <c:v>280.7</c:v>
                </c:pt>
                <c:pt idx="9">
                  <c:v>341.7</c:v>
                </c:pt>
                <c:pt idx="10">
                  <c:v>341.7</c:v>
                </c:pt>
                <c:pt idx="11">
                  <c:v>356.9</c:v>
                </c:pt>
                <c:pt idx="12">
                  <c:v>451.9</c:v>
                </c:pt>
                <c:pt idx="13">
                  <c:v>461.9</c:v>
                </c:pt>
                <c:pt idx="14">
                  <c:v>498.8</c:v>
                </c:pt>
                <c:pt idx="15">
                  <c:v>528.4</c:v>
                </c:pt>
                <c:pt idx="16">
                  <c:v>533.20000000000005</c:v>
                </c:pt>
                <c:pt idx="17">
                  <c:v>533.6</c:v>
                </c:pt>
                <c:pt idx="18">
                  <c:v>535.9</c:v>
                </c:pt>
                <c:pt idx="19">
                  <c:v>542.70000000000005</c:v>
                </c:pt>
                <c:pt idx="20">
                  <c:v>566.9</c:v>
                </c:pt>
                <c:pt idx="21">
                  <c:v>568.20000000000005</c:v>
                </c:pt>
                <c:pt idx="22">
                  <c:v>576.20000000000005</c:v>
                </c:pt>
                <c:pt idx="23">
                  <c:v>576.5</c:v>
                </c:pt>
                <c:pt idx="24">
                  <c:v>582</c:v>
                </c:pt>
                <c:pt idx="25">
                  <c:v>582.20000000000005</c:v>
                </c:pt>
                <c:pt idx="26">
                  <c:v>587.5</c:v>
                </c:pt>
                <c:pt idx="27">
                  <c:v>623.70000000000005</c:v>
                </c:pt>
                <c:pt idx="28">
                  <c:v>641.9</c:v>
                </c:pt>
                <c:pt idx="29">
                  <c:v>652.29999999999995</c:v>
                </c:pt>
                <c:pt idx="30">
                  <c:v>663.1</c:v>
                </c:pt>
                <c:pt idx="31">
                  <c:v>698.5</c:v>
                </c:pt>
                <c:pt idx="32">
                  <c:v>708.9</c:v>
                </c:pt>
                <c:pt idx="33">
                  <c:v>763.3</c:v>
                </c:pt>
                <c:pt idx="34">
                  <c:v>784.9</c:v>
                </c:pt>
                <c:pt idx="35">
                  <c:v>838.7</c:v>
                </c:pt>
                <c:pt idx="36">
                  <c:v>843.2</c:v>
                </c:pt>
                <c:pt idx="37">
                  <c:v>865.2</c:v>
                </c:pt>
                <c:pt idx="38">
                  <c:v>881.6</c:v>
                </c:pt>
                <c:pt idx="39">
                  <c:v>902.4</c:v>
                </c:pt>
                <c:pt idx="40">
                  <c:v>984.5</c:v>
                </c:pt>
                <c:pt idx="41">
                  <c:v>994.7</c:v>
                </c:pt>
                <c:pt idx="42">
                  <c:v>1000</c:v>
                </c:pt>
                <c:pt idx="43">
                  <c:v>1054</c:v>
                </c:pt>
                <c:pt idx="44">
                  <c:v>1118</c:v>
                </c:pt>
                <c:pt idx="45">
                  <c:v>1219</c:v>
                </c:pt>
                <c:pt idx="46">
                  <c:v>1278</c:v>
                </c:pt>
                <c:pt idx="47">
                  <c:v>1284</c:v>
                </c:pt>
                <c:pt idx="48">
                  <c:v>1289</c:v>
                </c:pt>
                <c:pt idx="49">
                  <c:v>1337</c:v>
                </c:pt>
                <c:pt idx="50">
                  <c:v>1351</c:v>
                </c:pt>
                <c:pt idx="51">
                  <c:v>1428</c:v>
                </c:pt>
                <c:pt idx="52">
                  <c:v>1728</c:v>
                </c:pt>
                <c:pt idx="53">
                  <c:v>1789</c:v>
                </c:pt>
                <c:pt idx="54">
                  <c:v>1798</c:v>
                </c:pt>
                <c:pt idx="55">
                  <c:v>2086</c:v>
                </c:pt>
                <c:pt idx="56">
                  <c:v>2142</c:v>
                </c:pt>
                <c:pt idx="57">
                  <c:v>2194</c:v>
                </c:pt>
                <c:pt idx="58">
                  <c:v>2206</c:v>
                </c:pt>
                <c:pt idx="59">
                  <c:v>2211</c:v>
                </c:pt>
                <c:pt idx="60">
                  <c:v>2243</c:v>
                </c:pt>
                <c:pt idx="61">
                  <c:v>2273</c:v>
                </c:pt>
                <c:pt idx="62">
                  <c:v>2275</c:v>
                </c:pt>
                <c:pt idx="63">
                  <c:v>2296</c:v>
                </c:pt>
                <c:pt idx="64">
                  <c:v>2398</c:v>
                </c:pt>
                <c:pt idx="65">
                  <c:v>2437</c:v>
                </c:pt>
                <c:pt idx="66">
                  <c:v>2538</c:v>
                </c:pt>
                <c:pt idx="67">
                  <c:v>2582</c:v>
                </c:pt>
                <c:pt idx="68">
                  <c:v>2605</c:v>
                </c:pt>
                <c:pt idx="69">
                  <c:v>2979</c:v>
                </c:pt>
                <c:pt idx="70">
                  <c:v>3050</c:v>
                </c:pt>
                <c:pt idx="71">
                  <c:v>3142</c:v>
                </c:pt>
                <c:pt idx="72">
                  <c:v>3269</c:v>
                </c:pt>
                <c:pt idx="73">
                  <c:v>3365.74</c:v>
                </c:pt>
                <c:pt idx="74">
                  <c:v>3467</c:v>
                </c:pt>
                <c:pt idx="75">
                  <c:v>4062</c:v>
                </c:pt>
                <c:pt idx="76">
                  <c:v>4076</c:v>
                </c:pt>
                <c:pt idx="77">
                  <c:v>4130</c:v>
                </c:pt>
                <c:pt idx="78">
                  <c:v>4164</c:v>
                </c:pt>
                <c:pt idx="79">
                  <c:v>4177</c:v>
                </c:pt>
                <c:pt idx="80">
                  <c:v>4351</c:v>
                </c:pt>
                <c:pt idx="81">
                  <c:v>4377</c:v>
                </c:pt>
                <c:pt idx="82">
                  <c:v>4389</c:v>
                </c:pt>
                <c:pt idx="83">
                  <c:v>4587</c:v>
                </c:pt>
                <c:pt idx="84">
                  <c:v>4752</c:v>
                </c:pt>
                <c:pt idx="85">
                  <c:v>4757</c:v>
                </c:pt>
                <c:pt idx="86">
                  <c:v>4759</c:v>
                </c:pt>
                <c:pt idx="87">
                  <c:v>4764</c:v>
                </c:pt>
                <c:pt idx="88">
                  <c:v>4834</c:v>
                </c:pt>
                <c:pt idx="89">
                  <c:v>4945</c:v>
                </c:pt>
                <c:pt idx="90">
                  <c:v>5003</c:v>
                </c:pt>
                <c:pt idx="91">
                  <c:v>5026</c:v>
                </c:pt>
                <c:pt idx="92">
                  <c:v>5065</c:v>
                </c:pt>
                <c:pt idx="93">
                  <c:v>5114</c:v>
                </c:pt>
                <c:pt idx="94">
                  <c:v>5308</c:v>
                </c:pt>
                <c:pt idx="95">
                  <c:v>5561</c:v>
                </c:pt>
                <c:pt idx="96">
                  <c:v>5975</c:v>
                </c:pt>
                <c:pt idx="97">
                  <c:v>6113</c:v>
                </c:pt>
                <c:pt idx="98">
                  <c:v>6995</c:v>
                </c:pt>
              </c:numCache>
            </c:numRef>
          </c:xVal>
          <c:yVal>
            <c:numRef>
              <c:f>'[표면 정성 비교결과-2014년자료 GRAPH correlation 분석-4.xlsx]allData_Graph_SCObyQNT'!$AG$52:$AG$150</c:f>
              <c:numCache>
                <c:formatCode>General</c:formatCode>
                <c:ptCount val="99"/>
                <c:pt idx="0">
                  <c:v>3524</c:v>
                </c:pt>
                <c:pt idx="1">
                  <c:v>2442.0500000000002</c:v>
                </c:pt>
                <c:pt idx="2">
                  <c:v>3224.05</c:v>
                </c:pt>
                <c:pt idx="3">
                  <c:v>2865.55</c:v>
                </c:pt>
                <c:pt idx="4">
                  <c:v>4111.6499999999996</c:v>
                </c:pt>
                <c:pt idx="5">
                  <c:v>2441</c:v>
                </c:pt>
                <c:pt idx="6">
                  <c:v>3015.16</c:v>
                </c:pt>
                <c:pt idx="7">
                  <c:v>2101.66</c:v>
                </c:pt>
                <c:pt idx="8">
                  <c:v>2775.06</c:v>
                </c:pt>
                <c:pt idx="9">
                  <c:v>4307</c:v>
                </c:pt>
                <c:pt idx="10">
                  <c:v>4307</c:v>
                </c:pt>
                <c:pt idx="11">
                  <c:v>4231.2</c:v>
                </c:pt>
                <c:pt idx="12">
                  <c:v>6560</c:v>
                </c:pt>
                <c:pt idx="13">
                  <c:v>3973.91</c:v>
                </c:pt>
                <c:pt idx="14">
                  <c:v>3086.76</c:v>
                </c:pt>
                <c:pt idx="15">
                  <c:v>5238</c:v>
                </c:pt>
                <c:pt idx="16">
                  <c:v>4409.8599999999997</c:v>
                </c:pt>
                <c:pt idx="17">
                  <c:v>4085.61</c:v>
                </c:pt>
                <c:pt idx="18">
                  <c:v>5012.3999999999996</c:v>
                </c:pt>
                <c:pt idx="19">
                  <c:v>3205.96</c:v>
                </c:pt>
                <c:pt idx="20">
                  <c:v>4618.29</c:v>
                </c:pt>
                <c:pt idx="21">
                  <c:v>4871.5</c:v>
                </c:pt>
                <c:pt idx="22">
                  <c:v>3887.4</c:v>
                </c:pt>
                <c:pt idx="23">
                  <c:v>4478.92</c:v>
                </c:pt>
                <c:pt idx="24">
                  <c:v>4060.68</c:v>
                </c:pt>
                <c:pt idx="25">
                  <c:v>3583.08</c:v>
                </c:pt>
                <c:pt idx="26">
                  <c:v>3092.17</c:v>
                </c:pt>
                <c:pt idx="27">
                  <c:v>4625.07</c:v>
                </c:pt>
                <c:pt idx="28">
                  <c:v>3170.61</c:v>
                </c:pt>
                <c:pt idx="29">
                  <c:v>3884.33</c:v>
                </c:pt>
                <c:pt idx="30">
                  <c:v>4694.7299999999996</c:v>
                </c:pt>
                <c:pt idx="31">
                  <c:v>7884</c:v>
                </c:pt>
                <c:pt idx="32">
                  <c:v>4852.3100000000004</c:v>
                </c:pt>
                <c:pt idx="33">
                  <c:v>6542</c:v>
                </c:pt>
                <c:pt idx="34">
                  <c:v>4846.3999999999996</c:v>
                </c:pt>
                <c:pt idx="35">
                  <c:v>3418.96</c:v>
                </c:pt>
                <c:pt idx="36">
                  <c:v>3137.43</c:v>
                </c:pt>
                <c:pt idx="37">
                  <c:v>2649.17</c:v>
                </c:pt>
                <c:pt idx="38">
                  <c:v>4337.9399999999996</c:v>
                </c:pt>
                <c:pt idx="39">
                  <c:v>4714.01</c:v>
                </c:pt>
                <c:pt idx="40">
                  <c:v>4605.2</c:v>
                </c:pt>
                <c:pt idx="41">
                  <c:v>4604.28</c:v>
                </c:pt>
                <c:pt idx="42">
                  <c:v>4761.26</c:v>
                </c:pt>
                <c:pt idx="43">
                  <c:v>4373.62</c:v>
                </c:pt>
                <c:pt idx="44">
                  <c:v>5121.1400000000003</c:v>
                </c:pt>
                <c:pt idx="45">
                  <c:v>4686.71</c:v>
                </c:pt>
                <c:pt idx="46">
                  <c:v>4661.4399999999996</c:v>
                </c:pt>
                <c:pt idx="47">
                  <c:v>5147.58</c:v>
                </c:pt>
                <c:pt idx="48">
                  <c:v>4059.05</c:v>
                </c:pt>
                <c:pt idx="49">
                  <c:v>4441.78</c:v>
                </c:pt>
                <c:pt idx="50">
                  <c:v>4824.4399999999996</c:v>
                </c:pt>
                <c:pt idx="51">
                  <c:v>4047.72</c:v>
                </c:pt>
                <c:pt idx="52">
                  <c:v>4741.8100000000004</c:v>
                </c:pt>
                <c:pt idx="53">
                  <c:v>4741</c:v>
                </c:pt>
                <c:pt idx="54">
                  <c:v>3963.53</c:v>
                </c:pt>
                <c:pt idx="55">
                  <c:v>4926.8900000000003</c:v>
                </c:pt>
                <c:pt idx="56">
                  <c:v>4785.07</c:v>
                </c:pt>
                <c:pt idx="57">
                  <c:v>5097.28</c:v>
                </c:pt>
                <c:pt idx="58">
                  <c:v>4512.92</c:v>
                </c:pt>
                <c:pt idx="59">
                  <c:v>4022</c:v>
                </c:pt>
                <c:pt idx="60">
                  <c:v>3811.85</c:v>
                </c:pt>
                <c:pt idx="61">
                  <c:v>5368.34</c:v>
                </c:pt>
                <c:pt idx="62">
                  <c:v>4759.41</c:v>
                </c:pt>
                <c:pt idx="63">
                  <c:v>4789.1000000000004</c:v>
                </c:pt>
                <c:pt idx="64">
                  <c:v>4282.21</c:v>
                </c:pt>
                <c:pt idx="65">
                  <c:v>4252.95</c:v>
                </c:pt>
                <c:pt idx="66">
                  <c:v>3991.29</c:v>
                </c:pt>
                <c:pt idx="67">
                  <c:v>4478</c:v>
                </c:pt>
                <c:pt idx="68">
                  <c:v>3464.93</c:v>
                </c:pt>
                <c:pt idx="69">
                  <c:v>4680.12</c:v>
                </c:pt>
                <c:pt idx="70">
                  <c:v>4147.3900000000003</c:v>
                </c:pt>
                <c:pt idx="71">
                  <c:v>4943.47</c:v>
                </c:pt>
                <c:pt idx="72">
                  <c:v>4973.1400000000003</c:v>
                </c:pt>
                <c:pt idx="73">
                  <c:v>3850.38</c:v>
                </c:pt>
                <c:pt idx="74">
                  <c:v>4078.27</c:v>
                </c:pt>
                <c:pt idx="75">
                  <c:v>4138.13</c:v>
                </c:pt>
                <c:pt idx="76">
                  <c:v>5443.71</c:v>
                </c:pt>
                <c:pt idx="77">
                  <c:v>2609.79</c:v>
                </c:pt>
                <c:pt idx="78">
                  <c:v>3602.76</c:v>
                </c:pt>
                <c:pt idx="79">
                  <c:v>3978.16</c:v>
                </c:pt>
                <c:pt idx="80">
                  <c:v>4259.79</c:v>
                </c:pt>
                <c:pt idx="81">
                  <c:v>4218.1499999999996</c:v>
                </c:pt>
                <c:pt idx="82">
                  <c:v>4464.5200000000004</c:v>
                </c:pt>
                <c:pt idx="83">
                  <c:v>3884.18</c:v>
                </c:pt>
                <c:pt idx="84">
                  <c:v>4042.64</c:v>
                </c:pt>
                <c:pt idx="85">
                  <c:v>4556.51</c:v>
                </c:pt>
                <c:pt idx="86">
                  <c:v>3542.74</c:v>
                </c:pt>
                <c:pt idx="87">
                  <c:v>3465.97</c:v>
                </c:pt>
                <c:pt idx="88">
                  <c:v>3645.7</c:v>
                </c:pt>
                <c:pt idx="89">
                  <c:v>2844.98</c:v>
                </c:pt>
                <c:pt idx="90">
                  <c:v>3825.63</c:v>
                </c:pt>
                <c:pt idx="91">
                  <c:v>3228.97</c:v>
                </c:pt>
                <c:pt idx="92">
                  <c:v>4072.07</c:v>
                </c:pt>
                <c:pt idx="93">
                  <c:v>3327.37</c:v>
                </c:pt>
                <c:pt idx="94">
                  <c:v>3703.49</c:v>
                </c:pt>
                <c:pt idx="95">
                  <c:v>3505.21</c:v>
                </c:pt>
                <c:pt idx="96">
                  <c:v>3523.83</c:v>
                </c:pt>
                <c:pt idx="97">
                  <c:v>4424.51</c:v>
                </c:pt>
                <c:pt idx="98">
                  <c:v>3977.52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46-4638-8262-830AFA46C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7954464"/>
        <c:axId val="717954856"/>
      </c:scatterChart>
      <c:valAx>
        <c:axId val="717954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HBsAg-QNT, IU/mL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7954856"/>
        <c:crosses val="autoZero"/>
        <c:crossBetween val="midCat"/>
      </c:valAx>
      <c:valAx>
        <c:axId val="7179548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HBsAg-SCR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79544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HBsAg-SCR by HBsAg-QNT: &gt;7500</a:t>
            </a:r>
            <a:endParaRPr lang="ko-KR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og"/>
            <c:dispRSqr val="1"/>
            <c:dispEq val="1"/>
            <c:trendlineLbl>
              <c:layout>
                <c:manualLayout>
                  <c:x val="-0.23003284990979478"/>
                  <c:y val="-0.5288042328042328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'[표면 정성 비교결과-2014년자료 GRAPH correlation 분석-4.xlsx]allData_Graph_SCObyQNT'!$AF$151:$AF$175</c:f>
              <c:numCache>
                <c:formatCode>General</c:formatCode>
                <c:ptCount val="25"/>
                <c:pt idx="0">
                  <c:v>7508</c:v>
                </c:pt>
                <c:pt idx="1">
                  <c:v>9474</c:v>
                </c:pt>
                <c:pt idx="2">
                  <c:v>9630</c:v>
                </c:pt>
                <c:pt idx="3">
                  <c:v>10178</c:v>
                </c:pt>
                <c:pt idx="4">
                  <c:v>10354</c:v>
                </c:pt>
                <c:pt idx="5">
                  <c:v>10414</c:v>
                </c:pt>
                <c:pt idx="6">
                  <c:v>11456</c:v>
                </c:pt>
                <c:pt idx="7">
                  <c:v>11789</c:v>
                </c:pt>
                <c:pt idx="8">
                  <c:v>11901</c:v>
                </c:pt>
                <c:pt idx="9">
                  <c:v>14238</c:v>
                </c:pt>
                <c:pt idx="10">
                  <c:v>15115</c:v>
                </c:pt>
                <c:pt idx="11">
                  <c:v>15895</c:v>
                </c:pt>
                <c:pt idx="12">
                  <c:v>18900</c:v>
                </c:pt>
                <c:pt idx="13">
                  <c:v>20623</c:v>
                </c:pt>
                <c:pt idx="14">
                  <c:v>20850</c:v>
                </c:pt>
                <c:pt idx="15">
                  <c:v>22577</c:v>
                </c:pt>
                <c:pt idx="16">
                  <c:v>39324</c:v>
                </c:pt>
                <c:pt idx="17">
                  <c:v>44143</c:v>
                </c:pt>
                <c:pt idx="18">
                  <c:v>44401</c:v>
                </c:pt>
                <c:pt idx="19">
                  <c:v>48214</c:v>
                </c:pt>
                <c:pt idx="20">
                  <c:v>57800</c:v>
                </c:pt>
                <c:pt idx="21">
                  <c:v>58040</c:v>
                </c:pt>
                <c:pt idx="22">
                  <c:v>77700</c:v>
                </c:pt>
                <c:pt idx="23">
                  <c:v>86920</c:v>
                </c:pt>
                <c:pt idx="24">
                  <c:v>201600</c:v>
                </c:pt>
              </c:numCache>
            </c:numRef>
          </c:xVal>
          <c:yVal>
            <c:numRef>
              <c:f>'[표면 정성 비교결과-2014년자료 GRAPH correlation 분석-4.xlsx]allData_Graph_SCObyQNT'!$AG$151:$AG$175</c:f>
              <c:numCache>
                <c:formatCode>General</c:formatCode>
                <c:ptCount val="25"/>
                <c:pt idx="0">
                  <c:v>3357.51</c:v>
                </c:pt>
                <c:pt idx="1">
                  <c:v>2528.39</c:v>
                </c:pt>
                <c:pt idx="2">
                  <c:v>3317.22</c:v>
                </c:pt>
                <c:pt idx="3">
                  <c:v>3316.64</c:v>
                </c:pt>
                <c:pt idx="4">
                  <c:v>3068.41</c:v>
                </c:pt>
                <c:pt idx="5">
                  <c:v>3312.19</c:v>
                </c:pt>
                <c:pt idx="6">
                  <c:v>2858.7</c:v>
                </c:pt>
                <c:pt idx="7">
                  <c:v>2721.7</c:v>
                </c:pt>
                <c:pt idx="8">
                  <c:v>3626.83</c:v>
                </c:pt>
                <c:pt idx="9">
                  <c:v>3064.24</c:v>
                </c:pt>
                <c:pt idx="10">
                  <c:v>3027.17</c:v>
                </c:pt>
                <c:pt idx="11">
                  <c:v>2780.77</c:v>
                </c:pt>
                <c:pt idx="12">
                  <c:v>2392</c:v>
                </c:pt>
                <c:pt idx="13">
                  <c:v>1665.53</c:v>
                </c:pt>
                <c:pt idx="14">
                  <c:v>2097.5</c:v>
                </c:pt>
                <c:pt idx="15">
                  <c:v>1579.09</c:v>
                </c:pt>
                <c:pt idx="16">
                  <c:v>1809</c:v>
                </c:pt>
                <c:pt idx="17">
                  <c:v>1999.06</c:v>
                </c:pt>
                <c:pt idx="18">
                  <c:v>1542</c:v>
                </c:pt>
                <c:pt idx="19">
                  <c:v>2092.4299999999998</c:v>
                </c:pt>
                <c:pt idx="20">
                  <c:v>1206.8599999999999</c:v>
                </c:pt>
                <c:pt idx="21">
                  <c:v>1658</c:v>
                </c:pt>
                <c:pt idx="22">
                  <c:v>1077.8699999999999</c:v>
                </c:pt>
                <c:pt idx="23">
                  <c:v>819.53</c:v>
                </c:pt>
                <c:pt idx="24">
                  <c:v>651.80999999999995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C0D-4037-BBF7-37D78371C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7956424"/>
        <c:axId val="718013320"/>
      </c:scatterChart>
      <c:valAx>
        <c:axId val="717956424"/>
        <c:scaling>
          <c:orientation val="minMax"/>
          <c:max val="21000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HBsAg-QNT, IU/mL</a:t>
                </a:r>
                <a:endParaRPr lang="ko-KR"/>
              </a:p>
            </c:rich>
          </c:tx>
          <c:layout>
            <c:manualLayout>
              <c:xMode val="edge"/>
              <c:yMode val="edge"/>
              <c:x val="0.41250928049423852"/>
              <c:y val="0.8898148148148148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8013320"/>
        <c:crosses val="autoZero"/>
        <c:crossBetween val="midCat"/>
      </c:valAx>
      <c:valAx>
        <c:axId val="7180133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HBsAg-SCR</a:t>
                </a:r>
                <a:endParaRPr lang="ko-KR"/>
              </a:p>
            </c:rich>
          </c:tx>
          <c:layout>
            <c:manualLayout>
              <c:xMode val="edge"/>
              <c:yMode val="edge"/>
              <c:x val="1.3828866506612358E-2"/>
              <c:y val="0.3104979585885097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7956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803149606299"/>
          <c:y val="4.6296296296296301E-2"/>
          <c:w val="0.85853018372703405"/>
          <c:h val="0.84167468649752097"/>
        </c:manualLayout>
      </c:layout>
      <c:scatterChart>
        <c:scatterStyle val="lineMarker"/>
        <c:varyColors val="0"/>
        <c:ser>
          <c:idx val="0"/>
          <c:order val="0"/>
          <c:tx>
            <c:strRef>
              <c:f>GraphSeparate!$B$1</c:f>
              <c:strCache>
                <c:ptCount val="1"/>
                <c:pt idx="0">
                  <c:v>신만섭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GraphSeparate!$B$2:$B$30</c:f>
              <c:numCache>
                <c:formatCode>General</c:formatCode>
                <c:ptCount val="29"/>
                <c:pt idx="0">
                  <c:v>0</c:v>
                </c:pt>
                <c:pt idx="1">
                  <c:v>3388.1</c:v>
                </c:pt>
                <c:pt idx="2">
                  <c:v>3331</c:v>
                </c:pt>
                <c:pt idx="3">
                  <c:v>1562.3</c:v>
                </c:pt>
                <c:pt idx="4">
                  <c:v>720.9</c:v>
                </c:pt>
                <c:pt idx="5">
                  <c:v>2960</c:v>
                </c:pt>
                <c:pt idx="6">
                  <c:v>2965.3</c:v>
                </c:pt>
                <c:pt idx="7">
                  <c:v>3248.9</c:v>
                </c:pt>
                <c:pt idx="8">
                  <c:v>3641.7</c:v>
                </c:pt>
                <c:pt idx="9">
                  <c:v>2726.8</c:v>
                </c:pt>
                <c:pt idx="10">
                  <c:v>2619.1</c:v>
                </c:pt>
                <c:pt idx="11">
                  <c:v>1927.2</c:v>
                </c:pt>
                <c:pt idx="12">
                  <c:v>1658.2</c:v>
                </c:pt>
                <c:pt idx="13">
                  <c:v>1151.3</c:v>
                </c:pt>
                <c:pt idx="14">
                  <c:v>1400.5</c:v>
                </c:pt>
                <c:pt idx="15">
                  <c:v>2273.1</c:v>
                </c:pt>
                <c:pt idx="16">
                  <c:v>2246.6</c:v>
                </c:pt>
                <c:pt idx="17">
                  <c:v>1548.2</c:v>
                </c:pt>
                <c:pt idx="18">
                  <c:v>146.33000000000001</c:v>
                </c:pt>
                <c:pt idx="19">
                  <c:v>99.65</c:v>
                </c:pt>
                <c:pt idx="20">
                  <c:v>84.81</c:v>
                </c:pt>
                <c:pt idx="21">
                  <c:v>34.93</c:v>
                </c:pt>
                <c:pt idx="22">
                  <c:v>26.06</c:v>
                </c:pt>
                <c:pt idx="23">
                  <c:v>23.8</c:v>
                </c:pt>
                <c:pt idx="24">
                  <c:v>19.920000000000002</c:v>
                </c:pt>
                <c:pt idx="25">
                  <c:v>7.89</c:v>
                </c:pt>
                <c:pt idx="26">
                  <c:v>1.84</c:v>
                </c:pt>
                <c:pt idx="27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F05-4C1C-9EDA-173343D309BE}"/>
            </c:ext>
          </c:extLst>
        </c:ser>
        <c:ser>
          <c:idx val="1"/>
          <c:order val="1"/>
          <c:tx>
            <c:strRef>
              <c:f>GraphSeparate!$C$1</c:f>
              <c:strCache>
                <c:ptCount val="1"/>
                <c:pt idx="0">
                  <c:v>임영옥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GraphSeparate!$C$2:$C$30</c:f>
              <c:numCache>
                <c:formatCode>General</c:formatCode>
                <c:ptCount val="29"/>
                <c:pt idx="0">
                  <c:v>0</c:v>
                </c:pt>
                <c:pt idx="1">
                  <c:v>2740</c:v>
                </c:pt>
                <c:pt idx="2">
                  <c:v>3820.9</c:v>
                </c:pt>
                <c:pt idx="3">
                  <c:v>2535.8000000000002</c:v>
                </c:pt>
                <c:pt idx="4">
                  <c:v>4065.1</c:v>
                </c:pt>
                <c:pt idx="5">
                  <c:v>3583</c:v>
                </c:pt>
                <c:pt idx="6">
                  <c:v>3973.2</c:v>
                </c:pt>
                <c:pt idx="7">
                  <c:v>4282.7</c:v>
                </c:pt>
                <c:pt idx="8">
                  <c:v>3843.1</c:v>
                </c:pt>
                <c:pt idx="9">
                  <c:v>2142.8000000000002</c:v>
                </c:pt>
                <c:pt idx="10">
                  <c:v>1898.5</c:v>
                </c:pt>
                <c:pt idx="11">
                  <c:v>2108.27</c:v>
                </c:pt>
                <c:pt idx="12">
                  <c:v>2632.41</c:v>
                </c:pt>
                <c:pt idx="13">
                  <c:v>1571.59</c:v>
                </c:pt>
                <c:pt idx="14">
                  <c:v>1559.56</c:v>
                </c:pt>
                <c:pt idx="15">
                  <c:v>1386.33</c:v>
                </c:pt>
                <c:pt idx="16">
                  <c:v>835.16</c:v>
                </c:pt>
                <c:pt idx="17">
                  <c:v>857</c:v>
                </c:pt>
                <c:pt idx="18">
                  <c:v>426.66</c:v>
                </c:pt>
                <c:pt idx="19">
                  <c:v>225.59</c:v>
                </c:pt>
                <c:pt idx="20">
                  <c:v>36.630000000000003</c:v>
                </c:pt>
                <c:pt idx="21">
                  <c:v>5.6499999999999977</c:v>
                </c:pt>
                <c:pt idx="22">
                  <c:v>1</c:v>
                </c:pt>
                <c:pt idx="2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F05-4C1C-9EDA-173343D309BE}"/>
            </c:ext>
          </c:extLst>
        </c:ser>
        <c:ser>
          <c:idx val="2"/>
          <c:order val="2"/>
          <c:tx>
            <c:strRef>
              <c:f>GraphSeparate!$D$1</c:f>
              <c:strCache>
                <c:ptCount val="1"/>
                <c:pt idx="0">
                  <c:v>나종문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GraphSeparate!$D$2:$D$30</c:f>
              <c:numCache>
                <c:formatCode>General</c:formatCode>
                <c:ptCount val="29"/>
                <c:pt idx="0">
                  <c:v>0</c:v>
                </c:pt>
                <c:pt idx="1">
                  <c:v>1710</c:v>
                </c:pt>
                <c:pt idx="2">
                  <c:v>919.30000000000007</c:v>
                </c:pt>
                <c:pt idx="3">
                  <c:v>1433.5</c:v>
                </c:pt>
                <c:pt idx="4">
                  <c:v>1611</c:v>
                </c:pt>
                <c:pt idx="5">
                  <c:v>2396.6999999999998</c:v>
                </c:pt>
                <c:pt idx="6">
                  <c:v>1845.6</c:v>
                </c:pt>
                <c:pt idx="7">
                  <c:v>1556.3</c:v>
                </c:pt>
                <c:pt idx="8">
                  <c:v>1235.9000000000001</c:v>
                </c:pt>
                <c:pt idx="9">
                  <c:v>868.1</c:v>
                </c:pt>
                <c:pt idx="10">
                  <c:v>689.19</c:v>
                </c:pt>
                <c:pt idx="11">
                  <c:v>641.16</c:v>
                </c:pt>
                <c:pt idx="12">
                  <c:v>282.35000000000002</c:v>
                </c:pt>
                <c:pt idx="13">
                  <c:v>223.33</c:v>
                </c:pt>
                <c:pt idx="14">
                  <c:v>95.12</c:v>
                </c:pt>
                <c:pt idx="15">
                  <c:v>86.89</c:v>
                </c:pt>
                <c:pt idx="16">
                  <c:v>27.98</c:v>
                </c:pt>
                <c:pt idx="17">
                  <c:v>2.2000000000000002</c:v>
                </c:pt>
                <c:pt idx="18">
                  <c:v>2.14</c:v>
                </c:pt>
                <c:pt idx="19">
                  <c:v>0.91</c:v>
                </c:pt>
                <c:pt idx="2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F05-4C1C-9EDA-173343D309BE}"/>
            </c:ext>
          </c:extLst>
        </c:ser>
        <c:ser>
          <c:idx val="3"/>
          <c:order val="3"/>
          <c:tx>
            <c:strRef>
              <c:f>GraphSeparate!$E$1</c:f>
              <c:strCache>
                <c:ptCount val="1"/>
                <c:pt idx="0">
                  <c:v>김영직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GraphSeparate!$E$2:$E$30</c:f>
              <c:numCache>
                <c:formatCode>General</c:formatCode>
                <c:ptCount val="29"/>
                <c:pt idx="0">
                  <c:v>0</c:v>
                </c:pt>
                <c:pt idx="1">
                  <c:v>2960</c:v>
                </c:pt>
                <c:pt idx="2">
                  <c:v>2500</c:v>
                </c:pt>
                <c:pt idx="3">
                  <c:v>845</c:v>
                </c:pt>
                <c:pt idx="4">
                  <c:v>1772.8</c:v>
                </c:pt>
                <c:pt idx="5">
                  <c:v>1555.9</c:v>
                </c:pt>
                <c:pt idx="6">
                  <c:v>1506.5</c:v>
                </c:pt>
                <c:pt idx="7">
                  <c:v>1264.7</c:v>
                </c:pt>
                <c:pt idx="8">
                  <c:v>562.70000000000005</c:v>
                </c:pt>
                <c:pt idx="9">
                  <c:v>409.27</c:v>
                </c:pt>
                <c:pt idx="10">
                  <c:v>328.4</c:v>
                </c:pt>
                <c:pt idx="11">
                  <c:v>198.33</c:v>
                </c:pt>
                <c:pt idx="12">
                  <c:v>189.16</c:v>
                </c:pt>
                <c:pt idx="13">
                  <c:v>113.47</c:v>
                </c:pt>
                <c:pt idx="14">
                  <c:v>125.06</c:v>
                </c:pt>
                <c:pt idx="15">
                  <c:v>78.89</c:v>
                </c:pt>
                <c:pt idx="16">
                  <c:v>47.9</c:v>
                </c:pt>
                <c:pt idx="17">
                  <c:v>48.48</c:v>
                </c:pt>
                <c:pt idx="18">
                  <c:v>45.98</c:v>
                </c:pt>
                <c:pt idx="19">
                  <c:v>13.99</c:v>
                </c:pt>
                <c:pt idx="2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F05-4C1C-9EDA-173343D309BE}"/>
            </c:ext>
          </c:extLst>
        </c:ser>
        <c:ser>
          <c:idx val="4"/>
          <c:order val="4"/>
          <c:tx>
            <c:strRef>
              <c:f>GraphSeparate!$F$1</c:f>
              <c:strCache>
                <c:ptCount val="1"/>
                <c:pt idx="0">
                  <c:v>양찬모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GraphSeparate!$F$2:$F$30</c:f>
              <c:numCache>
                <c:formatCode>General</c:formatCode>
                <c:ptCount val="29"/>
                <c:pt idx="0">
                  <c:v>0</c:v>
                </c:pt>
                <c:pt idx="1">
                  <c:v>4230</c:v>
                </c:pt>
                <c:pt idx="2">
                  <c:v>2420</c:v>
                </c:pt>
                <c:pt idx="3">
                  <c:v>2971.4</c:v>
                </c:pt>
                <c:pt idx="4">
                  <c:v>1805.8</c:v>
                </c:pt>
                <c:pt idx="5">
                  <c:v>3424.6</c:v>
                </c:pt>
                <c:pt idx="6">
                  <c:v>3153.2</c:v>
                </c:pt>
                <c:pt idx="7">
                  <c:v>2737.8</c:v>
                </c:pt>
                <c:pt idx="8">
                  <c:v>4557.4000000000005</c:v>
                </c:pt>
                <c:pt idx="9">
                  <c:v>3550.4</c:v>
                </c:pt>
                <c:pt idx="10">
                  <c:v>2572.9</c:v>
                </c:pt>
                <c:pt idx="11">
                  <c:v>2310.1999999999998</c:v>
                </c:pt>
                <c:pt idx="12">
                  <c:v>2457.6</c:v>
                </c:pt>
                <c:pt idx="13">
                  <c:v>1755.02</c:v>
                </c:pt>
                <c:pt idx="14">
                  <c:v>1574.55</c:v>
                </c:pt>
                <c:pt idx="15">
                  <c:v>77.61</c:v>
                </c:pt>
                <c:pt idx="16">
                  <c:v>5.89</c:v>
                </c:pt>
                <c:pt idx="17">
                  <c:v>2.95</c:v>
                </c:pt>
                <c:pt idx="18">
                  <c:v>1.21</c:v>
                </c:pt>
                <c:pt idx="19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F05-4C1C-9EDA-173343D309BE}"/>
            </c:ext>
          </c:extLst>
        </c:ser>
        <c:ser>
          <c:idx val="5"/>
          <c:order val="5"/>
          <c:tx>
            <c:strRef>
              <c:f>GraphSeparate!$G$1</c:f>
              <c:strCache>
                <c:ptCount val="1"/>
                <c:pt idx="0">
                  <c:v>권종연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GraphSeparate!$G$2:$G$30</c:f>
              <c:numCache>
                <c:formatCode>General</c:formatCode>
                <c:ptCount val="29"/>
                <c:pt idx="0">
                  <c:v>0</c:v>
                </c:pt>
                <c:pt idx="1">
                  <c:v>2301.3000000000002</c:v>
                </c:pt>
                <c:pt idx="2">
                  <c:v>1718.4</c:v>
                </c:pt>
                <c:pt idx="3">
                  <c:v>3215.3</c:v>
                </c:pt>
                <c:pt idx="4">
                  <c:v>3000</c:v>
                </c:pt>
                <c:pt idx="5">
                  <c:v>3724.5</c:v>
                </c:pt>
                <c:pt idx="6">
                  <c:v>3839.9</c:v>
                </c:pt>
                <c:pt idx="7">
                  <c:v>4869.8</c:v>
                </c:pt>
                <c:pt idx="8">
                  <c:v>3666</c:v>
                </c:pt>
                <c:pt idx="9">
                  <c:v>2359.6999999999998</c:v>
                </c:pt>
                <c:pt idx="10">
                  <c:v>2718.6</c:v>
                </c:pt>
                <c:pt idx="11">
                  <c:v>1649.7</c:v>
                </c:pt>
                <c:pt idx="12">
                  <c:v>2159.4699999999998</c:v>
                </c:pt>
                <c:pt idx="13">
                  <c:v>622.78</c:v>
                </c:pt>
                <c:pt idx="14">
                  <c:v>152.19</c:v>
                </c:pt>
                <c:pt idx="15">
                  <c:v>44.7</c:v>
                </c:pt>
                <c:pt idx="16">
                  <c:v>30.17</c:v>
                </c:pt>
                <c:pt idx="17">
                  <c:v>18.75</c:v>
                </c:pt>
                <c:pt idx="18">
                  <c:v>14.54</c:v>
                </c:pt>
                <c:pt idx="19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F05-4C1C-9EDA-173343D309BE}"/>
            </c:ext>
          </c:extLst>
        </c:ser>
        <c:ser>
          <c:idx val="6"/>
          <c:order val="6"/>
          <c:tx>
            <c:strRef>
              <c:f>GraphSeparate!$H$1</c:f>
              <c:strCache>
                <c:ptCount val="1"/>
                <c:pt idx="0">
                  <c:v>양찬모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GraphSeparate!$H$2:$H$30</c:f>
              <c:numCache>
                <c:formatCode>General</c:formatCode>
                <c:ptCount val="29"/>
                <c:pt idx="0">
                  <c:v>0</c:v>
                </c:pt>
                <c:pt idx="1">
                  <c:v>4230</c:v>
                </c:pt>
                <c:pt idx="2">
                  <c:v>2420</c:v>
                </c:pt>
                <c:pt idx="3">
                  <c:v>2971.4</c:v>
                </c:pt>
                <c:pt idx="4">
                  <c:v>1805.8</c:v>
                </c:pt>
                <c:pt idx="5">
                  <c:v>3424.6</c:v>
                </c:pt>
                <c:pt idx="6">
                  <c:v>3153.2</c:v>
                </c:pt>
                <c:pt idx="7">
                  <c:v>2737.8</c:v>
                </c:pt>
                <c:pt idx="8">
                  <c:v>4557.4000000000005</c:v>
                </c:pt>
                <c:pt idx="9">
                  <c:v>3550.4</c:v>
                </c:pt>
                <c:pt idx="10">
                  <c:v>2572.9</c:v>
                </c:pt>
                <c:pt idx="11">
                  <c:v>2310.1999999999998</c:v>
                </c:pt>
                <c:pt idx="12">
                  <c:v>2457.6</c:v>
                </c:pt>
                <c:pt idx="13">
                  <c:v>1755.02</c:v>
                </c:pt>
                <c:pt idx="14">
                  <c:v>1574.55</c:v>
                </c:pt>
                <c:pt idx="15">
                  <c:v>77.61</c:v>
                </c:pt>
                <c:pt idx="16">
                  <c:v>5.89</c:v>
                </c:pt>
                <c:pt idx="17">
                  <c:v>2.95</c:v>
                </c:pt>
                <c:pt idx="18">
                  <c:v>1.21</c:v>
                </c:pt>
                <c:pt idx="19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F05-4C1C-9EDA-173343D309BE}"/>
            </c:ext>
          </c:extLst>
        </c:ser>
        <c:ser>
          <c:idx val="7"/>
          <c:order val="7"/>
          <c:tx>
            <c:strRef>
              <c:f>GraphSeparate!$I$1</c:f>
              <c:strCache>
                <c:ptCount val="1"/>
                <c:pt idx="0">
                  <c:v>황기연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GraphSeparate!$I$2:$I$30</c:f>
              <c:numCache>
                <c:formatCode>General</c:formatCode>
                <c:ptCount val="29"/>
                <c:pt idx="0">
                  <c:v>0</c:v>
                </c:pt>
                <c:pt idx="1">
                  <c:v>1230</c:v>
                </c:pt>
                <c:pt idx="2">
                  <c:v>1904.6</c:v>
                </c:pt>
                <c:pt idx="3">
                  <c:v>1951.5</c:v>
                </c:pt>
                <c:pt idx="4">
                  <c:v>2101.4</c:v>
                </c:pt>
                <c:pt idx="5">
                  <c:v>1152.5999999999999</c:v>
                </c:pt>
                <c:pt idx="6">
                  <c:v>1129.9000000000001</c:v>
                </c:pt>
                <c:pt idx="7">
                  <c:v>520.90000000000009</c:v>
                </c:pt>
                <c:pt idx="8">
                  <c:v>205.29</c:v>
                </c:pt>
                <c:pt idx="9">
                  <c:v>204.62</c:v>
                </c:pt>
                <c:pt idx="10">
                  <c:v>263.51</c:v>
                </c:pt>
                <c:pt idx="11">
                  <c:v>224.07</c:v>
                </c:pt>
                <c:pt idx="12">
                  <c:v>179.23</c:v>
                </c:pt>
                <c:pt idx="13">
                  <c:v>211.45</c:v>
                </c:pt>
                <c:pt idx="14">
                  <c:v>208.85</c:v>
                </c:pt>
                <c:pt idx="15">
                  <c:v>73.600000000000009</c:v>
                </c:pt>
                <c:pt idx="16">
                  <c:v>0.5</c:v>
                </c:pt>
                <c:pt idx="17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F05-4C1C-9EDA-173343D309BE}"/>
            </c:ext>
          </c:extLst>
        </c:ser>
        <c:ser>
          <c:idx val="8"/>
          <c:order val="8"/>
          <c:tx>
            <c:strRef>
              <c:f>GraphSeparate!$J$1</c:f>
              <c:strCache>
                <c:ptCount val="1"/>
                <c:pt idx="0">
                  <c:v>이병선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GraphSeparate!$J$2:$J$30</c:f>
              <c:numCache>
                <c:formatCode>General</c:formatCode>
                <c:ptCount val="29"/>
                <c:pt idx="0">
                  <c:v>0</c:v>
                </c:pt>
                <c:pt idx="1">
                  <c:v>3191</c:v>
                </c:pt>
                <c:pt idx="2">
                  <c:v>2680</c:v>
                </c:pt>
                <c:pt idx="3">
                  <c:v>2393.9</c:v>
                </c:pt>
                <c:pt idx="4">
                  <c:v>3861.3</c:v>
                </c:pt>
                <c:pt idx="5">
                  <c:v>2721.4</c:v>
                </c:pt>
                <c:pt idx="6">
                  <c:v>2957.1</c:v>
                </c:pt>
                <c:pt idx="7">
                  <c:v>2861.7</c:v>
                </c:pt>
                <c:pt idx="8">
                  <c:v>3649</c:v>
                </c:pt>
                <c:pt idx="9">
                  <c:v>3395.7</c:v>
                </c:pt>
                <c:pt idx="10">
                  <c:v>2454</c:v>
                </c:pt>
                <c:pt idx="11">
                  <c:v>1858.8</c:v>
                </c:pt>
                <c:pt idx="12">
                  <c:v>1571.9</c:v>
                </c:pt>
                <c:pt idx="13">
                  <c:v>1754.3</c:v>
                </c:pt>
                <c:pt idx="14">
                  <c:v>394.87</c:v>
                </c:pt>
                <c:pt idx="15">
                  <c:v>131.66999999999999</c:v>
                </c:pt>
                <c:pt idx="16">
                  <c:v>11.1</c:v>
                </c:pt>
                <c:pt idx="17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3F05-4C1C-9EDA-173343D309BE}"/>
            </c:ext>
          </c:extLst>
        </c:ser>
        <c:ser>
          <c:idx val="9"/>
          <c:order val="9"/>
          <c:tx>
            <c:strRef>
              <c:f>GraphSeparate!$K$1</c:f>
              <c:strCache>
                <c:ptCount val="1"/>
                <c:pt idx="0">
                  <c:v>조진형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GraphSeparate!$K$2:$K$30</c:f>
              <c:numCache>
                <c:formatCode>General</c:formatCode>
                <c:ptCount val="29"/>
                <c:pt idx="0">
                  <c:v>0</c:v>
                </c:pt>
                <c:pt idx="1">
                  <c:v>3690</c:v>
                </c:pt>
                <c:pt idx="2">
                  <c:v>1490</c:v>
                </c:pt>
                <c:pt idx="3">
                  <c:v>2708</c:v>
                </c:pt>
                <c:pt idx="4">
                  <c:v>1365.7</c:v>
                </c:pt>
                <c:pt idx="5">
                  <c:v>2815.9</c:v>
                </c:pt>
                <c:pt idx="6">
                  <c:v>2504.9</c:v>
                </c:pt>
                <c:pt idx="7">
                  <c:v>2437.9</c:v>
                </c:pt>
                <c:pt idx="8">
                  <c:v>3037.3</c:v>
                </c:pt>
                <c:pt idx="9">
                  <c:v>2622.9</c:v>
                </c:pt>
                <c:pt idx="10">
                  <c:v>1723.4</c:v>
                </c:pt>
                <c:pt idx="11">
                  <c:v>966.5</c:v>
                </c:pt>
                <c:pt idx="12">
                  <c:v>773.7</c:v>
                </c:pt>
                <c:pt idx="13">
                  <c:v>202.43</c:v>
                </c:pt>
                <c:pt idx="14">
                  <c:v>36.03</c:v>
                </c:pt>
                <c:pt idx="15">
                  <c:v>3.71</c:v>
                </c:pt>
                <c:pt idx="16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3F05-4C1C-9EDA-173343D309BE}"/>
            </c:ext>
          </c:extLst>
        </c:ser>
        <c:ser>
          <c:idx val="10"/>
          <c:order val="10"/>
          <c:tx>
            <c:strRef>
              <c:f>GraphSeparate!$L$1</c:f>
              <c:strCache>
                <c:ptCount val="1"/>
                <c:pt idx="0">
                  <c:v>천창모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GraphSeparate!$L$2:$L$30</c:f>
              <c:numCache>
                <c:formatCode>General</c:formatCode>
                <c:ptCount val="29"/>
                <c:pt idx="0">
                  <c:v>0</c:v>
                </c:pt>
                <c:pt idx="1">
                  <c:v>2238</c:v>
                </c:pt>
                <c:pt idx="2">
                  <c:v>2012.2</c:v>
                </c:pt>
                <c:pt idx="3">
                  <c:v>1335.4</c:v>
                </c:pt>
                <c:pt idx="4">
                  <c:v>1590.9</c:v>
                </c:pt>
                <c:pt idx="5">
                  <c:v>1739.7</c:v>
                </c:pt>
                <c:pt idx="6">
                  <c:v>1581.36</c:v>
                </c:pt>
                <c:pt idx="7">
                  <c:v>2039.1</c:v>
                </c:pt>
                <c:pt idx="8">
                  <c:v>2501.42</c:v>
                </c:pt>
                <c:pt idx="9">
                  <c:v>2766.42</c:v>
                </c:pt>
                <c:pt idx="10">
                  <c:v>1452.78</c:v>
                </c:pt>
                <c:pt idx="11">
                  <c:v>48.14</c:v>
                </c:pt>
                <c:pt idx="12">
                  <c:v>20.68</c:v>
                </c:pt>
                <c:pt idx="13">
                  <c:v>15.94</c:v>
                </c:pt>
                <c:pt idx="14">
                  <c:v>17.91</c:v>
                </c:pt>
                <c:pt idx="15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3F05-4C1C-9EDA-173343D309BE}"/>
            </c:ext>
          </c:extLst>
        </c:ser>
        <c:ser>
          <c:idx val="11"/>
          <c:order val="11"/>
          <c:tx>
            <c:strRef>
              <c:f>GraphSeparate!$M$1</c:f>
              <c:strCache>
                <c:ptCount val="1"/>
                <c:pt idx="0">
                  <c:v>조일래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GraphSeparate!$M$2:$M$30</c:f>
              <c:numCache>
                <c:formatCode>General</c:formatCode>
                <c:ptCount val="29"/>
                <c:pt idx="0">
                  <c:v>0</c:v>
                </c:pt>
                <c:pt idx="1">
                  <c:v>3630</c:v>
                </c:pt>
                <c:pt idx="2">
                  <c:v>2870</c:v>
                </c:pt>
                <c:pt idx="3">
                  <c:v>3000</c:v>
                </c:pt>
                <c:pt idx="4">
                  <c:v>3364</c:v>
                </c:pt>
                <c:pt idx="5">
                  <c:v>3408</c:v>
                </c:pt>
                <c:pt idx="6">
                  <c:v>2336.91</c:v>
                </c:pt>
                <c:pt idx="7">
                  <c:v>2565.59</c:v>
                </c:pt>
                <c:pt idx="8">
                  <c:v>2403.0100000000002</c:v>
                </c:pt>
                <c:pt idx="9">
                  <c:v>2557.13</c:v>
                </c:pt>
                <c:pt idx="10">
                  <c:v>1493.2</c:v>
                </c:pt>
                <c:pt idx="11">
                  <c:v>518.8399999999998</c:v>
                </c:pt>
                <c:pt idx="12">
                  <c:v>31.4</c:v>
                </c:pt>
                <c:pt idx="13">
                  <c:v>3.81</c:v>
                </c:pt>
                <c:pt idx="14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3F05-4C1C-9EDA-173343D309BE}"/>
            </c:ext>
          </c:extLst>
        </c:ser>
        <c:ser>
          <c:idx val="12"/>
          <c:order val="12"/>
          <c:tx>
            <c:strRef>
              <c:f>GraphSeparate!$N$1</c:f>
              <c:strCache>
                <c:ptCount val="1"/>
                <c:pt idx="0">
                  <c:v>배영희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GraphSeparate!$N$2:$N$30</c:f>
              <c:numCache>
                <c:formatCode>General</c:formatCode>
                <c:ptCount val="29"/>
                <c:pt idx="0">
                  <c:v>0</c:v>
                </c:pt>
                <c:pt idx="1">
                  <c:v>2923</c:v>
                </c:pt>
                <c:pt idx="2">
                  <c:v>2267.9</c:v>
                </c:pt>
                <c:pt idx="3">
                  <c:v>2716.4</c:v>
                </c:pt>
                <c:pt idx="4">
                  <c:v>2582.8000000000002</c:v>
                </c:pt>
                <c:pt idx="5">
                  <c:v>2505.1</c:v>
                </c:pt>
                <c:pt idx="6">
                  <c:v>2436.1</c:v>
                </c:pt>
                <c:pt idx="7">
                  <c:v>2001.3</c:v>
                </c:pt>
                <c:pt idx="8">
                  <c:v>1471.3</c:v>
                </c:pt>
                <c:pt idx="9">
                  <c:v>1273.5999999999999</c:v>
                </c:pt>
                <c:pt idx="10">
                  <c:v>1508.7</c:v>
                </c:pt>
                <c:pt idx="11">
                  <c:v>49.63</c:v>
                </c:pt>
                <c:pt idx="12">
                  <c:v>24.71</c:v>
                </c:pt>
                <c:pt idx="13">
                  <c:v>4.96</c:v>
                </c:pt>
                <c:pt idx="14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3F05-4C1C-9EDA-173343D309BE}"/>
            </c:ext>
          </c:extLst>
        </c:ser>
        <c:ser>
          <c:idx val="13"/>
          <c:order val="13"/>
          <c:tx>
            <c:strRef>
              <c:f>GraphSeparate!$O$1</c:f>
              <c:strCache>
                <c:ptCount val="1"/>
                <c:pt idx="0">
                  <c:v>강애진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GraphSeparate!$O$2:$O$30</c:f>
              <c:numCache>
                <c:formatCode>General</c:formatCode>
                <c:ptCount val="29"/>
                <c:pt idx="0">
                  <c:v>0</c:v>
                </c:pt>
                <c:pt idx="1">
                  <c:v>1734.4</c:v>
                </c:pt>
                <c:pt idx="2">
                  <c:v>2308</c:v>
                </c:pt>
                <c:pt idx="3">
                  <c:v>2104.27</c:v>
                </c:pt>
                <c:pt idx="4">
                  <c:v>2085.77</c:v>
                </c:pt>
                <c:pt idx="5">
                  <c:v>1722.34</c:v>
                </c:pt>
                <c:pt idx="6">
                  <c:v>2442.81</c:v>
                </c:pt>
                <c:pt idx="7">
                  <c:v>2578.89</c:v>
                </c:pt>
                <c:pt idx="8">
                  <c:v>2286.0300000000002</c:v>
                </c:pt>
                <c:pt idx="9">
                  <c:v>1873.09</c:v>
                </c:pt>
                <c:pt idx="10">
                  <c:v>2298</c:v>
                </c:pt>
                <c:pt idx="11">
                  <c:v>1272</c:v>
                </c:pt>
                <c:pt idx="12">
                  <c:v>30.39</c:v>
                </c:pt>
                <c:pt idx="1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3F05-4C1C-9EDA-173343D309BE}"/>
            </c:ext>
          </c:extLst>
        </c:ser>
        <c:ser>
          <c:idx val="14"/>
          <c:order val="14"/>
          <c:tx>
            <c:strRef>
              <c:f>GraphSeparate!$P$1</c:f>
              <c:strCache>
                <c:ptCount val="1"/>
                <c:pt idx="0">
                  <c:v>송보영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GraphSeparate!$P$2:$P$30</c:f>
              <c:numCache>
                <c:formatCode>General</c:formatCode>
                <c:ptCount val="29"/>
                <c:pt idx="0">
                  <c:v>0</c:v>
                </c:pt>
                <c:pt idx="1">
                  <c:v>3059</c:v>
                </c:pt>
                <c:pt idx="2">
                  <c:v>2404.4</c:v>
                </c:pt>
                <c:pt idx="3">
                  <c:v>3236.3</c:v>
                </c:pt>
                <c:pt idx="4">
                  <c:v>3527.1</c:v>
                </c:pt>
                <c:pt idx="5">
                  <c:v>2350.1</c:v>
                </c:pt>
                <c:pt idx="6">
                  <c:v>4037.1</c:v>
                </c:pt>
                <c:pt idx="7">
                  <c:v>4160.4000000000005</c:v>
                </c:pt>
                <c:pt idx="8">
                  <c:v>2754.8</c:v>
                </c:pt>
                <c:pt idx="9">
                  <c:v>2066.1999999999998</c:v>
                </c:pt>
                <c:pt idx="10">
                  <c:v>1372.2</c:v>
                </c:pt>
                <c:pt idx="11">
                  <c:v>825</c:v>
                </c:pt>
                <c:pt idx="12">
                  <c:v>67.91</c:v>
                </c:pt>
                <c:pt idx="1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3F05-4C1C-9EDA-173343D309BE}"/>
            </c:ext>
          </c:extLst>
        </c:ser>
        <c:ser>
          <c:idx val="15"/>
          <c:order val="15"/>
          <c:tx>
            <c:strRef>
              <c:f>GraphSeparate!$Q$1</c:f>
              <c:strCache>
                <c:ptCount val="1"/>
                <c:pt idx="0">
                  <c:v>형용욱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GraphSeparate!$Q$2:$Q$30</c:f>
              <c:numCache>
                <c:formatCode>General</c:formatCode>
                <c:ptCount val="29"/>
                <c:pt idx="0">
                  <c:v>0</c:v>
                </c:pt>
                <c:pt idx="1">
                  <c:v>2218.9</c:v>
                </c:pt>
                <c:pt idx="2">
                  <c:v>832.7</c:v>
                </c:pt>
                <c:pt idx="3">
                  <c:v>730.8</c:v>
                </c:pt>
                <c:pt idx="4">
                  <c:v>1389.6</c:v>
                </c:pt>
                <c:pt idx="5">
                  <c:v>2475.8000000000002</c:v>
                </c:pt>
                <c:pt idx="6">
                  <c:v>3183.1</c:v>
                </c:pt>
                <c:pt idx="7">
                  <c:v>1790.9</c:v>
                </c:pt>
                <c:pt idx="8">
                  <c:v>829.2</c:v>
                </c:pt>
                <c:pt idx="9">
                  <c:v>1874.6</c:v>
                </c:pt>
                <c:pt idx="10">
                  <c:v>48.6</c:v>
                </c:pt>
                <c:pt idx="11">
                  <c:v>27.3</c:v>
                </c:pt>
                <c:pt idx="12">
                  <c:v>23.4</c:v>
                </c:pt>
                <c:pt idx="1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3F05-4C1C-9EDA-173343D309BE}"/>
            </c:ext>
          </c:extLst>
        </c:ser>
        <c:ser>
          <c:idx val="16"/>
          <c:order val="16"/>
          <c:tx>
            <c:strRef>
              <c:f>GraphSeparate!$R$1</c:f>
              <c:strCache>
                <c:ptCount val="1"/>
                <c:pt idx="0">
                  <c:v>신정섭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GraphSeparate!$R$2:$R$30</c:f>
              <c:numCache>
                <c:formatCode>General</c:formatCode>
                <c:ptCount val="29"/>
                <c:pt idx="0">
                  <c:v>0</c:v>
                </c:pt>
                <c:pt idx="1">
                  <c:v>3201.9</c:v>
                </c:pt>
                <c:pt idx="2">
                  <c:v>3201.9</c:v>
                </c:pt>
                <c:pt idx="3">
                  <c:v>2656.1</c:v>
                </c:pt>
                <c:pt idx="4">
                  <c:v>2310</c:v>
                </c:pt>
                <c:pt idx="5">
                  <c:v>1984.5</c:v>
                </c:pt>
                <c:pt idx="6">
                  <c:v>4149.7000000000007</c:v>
                </c:pt>
                <c:pt idx="7">
                  <c:v>2839.6</c:v>
                </c:pt>
                <c:pt idx="8">
                  <c:v>3061.7</c:v>
                </c:pt>
                <c:pt idx="9">
                  <c:v>3305.43</c:v>
                </c:pt>
                <c:pt idx="10">
                  <c:v>4543.9000000000005</c:v>
                </c:pt>
                <c:pt idx="11">
                  <c:v>4326.18</c:v>
                </c:pt>
                <c:pt idx="12">
                  <c:v>1423.43</c:v>
                </c:pt>
                <c:pt idx="1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3F05-4C1C-9EDA-173343D309BE}"/>
            </c:ext>
          </c:extLst>
        </c:ser>
        <c:ser>
          <c:idx val="17"/>
          <c:order val="17"/>
          <c:tx>
            <c:strRef>
              <c:f>GraphSeparate!$S$1</c:f>
              <c:strCache>
                <c:ptCount val="1"/>
                <c:pt idx="0">
                  <c:v>엄영문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  <c:pt idx="12">
                  <c:v>66</c:v>
                </c:pt>
                <c:pt idx="13">
                  <c:v>72</c:v>
                </c:pt>
                <c:pt idx="14">
                  <c:v>78</c:v>
                </c:pt>
                <c:pt idx="15">
                  <c:v>84</c:v>
                </c:pt>
                <c:pt idx="16">
                  <c:v>90</c:v>
                </c:pt>
                <c:pt idx="17">
                  <c:v>96</c:v>
                </c:pt>
                <c:pt idx="18">
                  <c:v>102</c:v>
                </c:pt>
                <c:pt idx="19">
                  <c:v>108</c:v>
                </c:pt>
                <c:pt idx="20">
                  <c:v>114</c:v>
                </c:pt>
                <c:pt idx="21">
                  <c:v>120</c:v>
                </c:pt>
                <c:pt idx="22">
                  <c:v>126</c:v>
                </c:pt>
                <c:pt idx="23">
                  <c:v>132</c:v>
                </c:pt>
                <c:pt idx="24">
                  <c:v>138</c:v>
                </c:pt>
                <c:pt idx="25">
                  <c:v>144</c:v>
                </c:pt>
                <c:pt idx="26">
                  <c:v>150</c:v>
                </c:pt>
                <c:pt idx="27">
                  <c:v>156</c:v>
                </c:pt>
                <c:pt idx="28">
                  <c:v>162</c:v>
                </c:pt>
              </c:numCache>
            </c:numRef>
          </c:xVal>
          <c:yVal>
            <c:numRef>
              <c:f>GraphSeparate!$S$2:$S$30</c:f>
              <c:numCache>
                <c:formatCode>General</c:formatCode>
                <c:ptCount val="29"/>
                <c:pt idx="0">
                  <c:v>0</c:v>
                </c:pt>
                <c:pt idx="1">
                  <c:v>4210</c:v>
                </c:pt>
                <c:pt idx="2">
                  <c:v>1056.3</c:v>
                </c:pt>
                <c:pt idx="3">
                  <c:v>250.2</c:v>
                </c:pt>
                <c:pt idx="4">
                  <c:v>444.8</c:v>
                </c:pt>
                <c:pt idx="5">
                  <c:v>536.6</c:v>
                </c:pt>
                <c:pt idx="6">
                  <c:v>524.20000000000005</c:v>
                </c:pt>
                <c:pt idx="7">
                  <c:v>103.3</c:v>
                </c:pt>
                <c:pt idx="8">
                  <c:v>298.5</c:v>
                </c:pt>
                <c:pt idx="9">
                  <c:v>276.2</c:v>
                </c:pt>
                <c:pt idx="10">
                  <c:v>42.9</c:v>
                </c:pt>
                <c:pt idx="11">
                  <c:v>39.700000000000003</c:v>
                </c:pt>
                <c:pt idx="12">
                  <c:v>22.1</c:v>
                </c:pt>
                <c:pt idx="1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3F05-4C1C-9EDA-173343D30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14104"/>
        <c:axId val="718014496"/>
      </c:scatterChart>
      <c:valAx>
        <c:axId val="718014104"/>
        <c:scaling>
          <c:orientation val="minMax"/>
          <c:max val="12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0" i="0" u="none" strike="noStrike" baseline="0">
                    <a:solidFill>
                      <a:sysClr val="windowText" lastClr="000000"/>
                    </a:solidFill>
                    <a:effectLst/>
                  </a:rPr>
                  <a:t>Duration from entry to HBsAg seroclearance, months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8014496"/>
        <c:crosses val="autoZero"/>
        <c:crossBetween val="midCat"/>
      </c:valAx>
      <c:valAx>
        <c:axId val="7180144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HBsAg-SCR, </a:t>
                </a:r>
                <a:r>
                  <a:rPr lang="en-US"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signal-to-cutoff ratio</a:t>
                </a:r>
                <a:endParaRPr lang="ko-KR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80141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GraphSeparate!$U$1</c:f>
              <c:strCache>
                <c:ptCount val="1"/>
                <c:pt idx="0">
                  <c:v>김승희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GraphSeparate!$U$2:$U$13</c:f>
              <c:numCache>
                <c:formatCode>General</c:formatCode>
                <c:ptCount val="12"/>
                <c:pt idx="0">
                  <c:v>0</c:v>
                </c:pt>
                <c:pt idx="1">
                  <c:v>2210.3000000000002</c:v>
                </c:pt>
                <c:pt idx="2">
                  <c:v>2029.7</c:v>
                </c:pt>
                <c:pt idx="3">
                  <c:v>2455.8000000000002</c:v>
                </c:pt>
                <c:pt idx="4">
                  <c:v>3264.5</c:v>
                </c:pt>
                <c:pt idx="5">
                  <c:v>2390.1</c:v>
                </c:pt>
                <c:pt idx="6">
                  <c:v>1496.3</c:v>
                </c:pt>
                <c:pt idx="7">
                  <c:v>1201.8</c:v>
                </c:pt>
                <c:pt idx="8">
                  <c:v>617.29999999999995</c:v>
                </c:pt>
                <c:pt idx="9">
                  <c:v>652.90000000000009</c:v>
                </c:pt>
                <c:pt idx="10">
                  <c:v>3.06</c:v>
                </c:pt>
                <c:pt idx="11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480-4F39-8491-0C639227E9A2}"/>
            </c:ext>
          </c:extLst>
        </c:ser>
        <c:ser>
          <c:idx val="1"/>
          <c:order val="1"/>
          <c:tx>
            <c:strRef>
              <c:f>GraphSeparate!$V$1</c:f>
              <c:strCache>
                <c:ptCount val="1"/>
                <c:pt idx="0">
                  <c:v>장진구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GraphSeparate!$V$2:$V$13</c:f>
              <c:numCache>
                <c:formatCode>General</c:formatCode>
                <c:ptCount val="12"/>
                <c:pt idx="0">
                  <c:v>0</c:v>
                </c:pt>
                <c:pt idx="1">
                  <c:v>1954.4</c:v>
                </c:pt>
                <c:pt idx="2">
                  <c:v>1057.2</c:v>
                </c:pt>
                <c:pt idx="3">
                  <c:v>1392.9</c:v>
                </c:pt>
                <c:pt idx="4">
                  <c:v>990</c:v>
                </c:pt>
                <c:pt idx="5">
                  <c:v>380.79999999999978</c:v>
                </c:pt>
                <c:pt idx="6">
                  <c:v>252.8</c:v>
                </c:pt>
                <c:pt idx="7">
                  <c:v>7.1199999999999983</c:v>
                </c:pt>
                <c:pt idx="8">
                  <c:v>5.91</c:v>
                </c:pt>
                <c:pt idx="9">
                  <c:v>2.83</c:v>
                </c:pt>
                <c:pt idx="10">
                  <c:v>0.36</c:v>
                </c:pt>
                <c:pt idx="11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480-4F39-8491-0C639227E9A2}"/>
            </c:ext>
          </c:extLst>
        </c:ser>
        <c:ser>
          <c:idx val="2"/>
          <c:order val="2"/>
          <c:tx>
            <c:strRef>
              <c:f>GraphSeparate!$W$1</c:f>
              <c:strCache>
                <c:ptCount val="1"/>
                <c:pt idx="0">
                  <c:v>정창욱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GraphSeparate!$W$2:$W$13</c:f>
              <c:numCache>
                <c:formatCode>General</c:formatCode>
                <c:ptCount val="12"/>
                <c:pt idx="0">
                  <c:v>0</c:v>
                </c:pt>
                <c:pt idx="1">
                  <c:v>3330</c:v>
                </c:pt>
                <c:pt idx="2">
                  <c:v>3272.5</c:v>
                </c:pt>
                <c:pt idx="3">
                  <c:v>2560.4</c:v>
                </c:pt>
                <c:pt idx="4">
                  <c:v>3557.2</c:v>
                </c:pt>
                <c:pt idx="5">
                  <c:v>3190</c:v>
                </c:pt>
                <c:pt idx="6">
                  <c:v>4043.8</c:v>
                </c:pt>
                <c:pt idx="7">
                  <c:v>3811.4</c:v>
                </c:pt>
                <c:pt idx="8">
                  <c:v>3152.5</c:v>
                </c:pt>
                <c:pt idx="9">
                  <c:v>1629</c:v>
                </c:pt>
                <c:pt idx="1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480-4F39-8491-0C639227E9A2}"/>
            </c:ext>
          </c:extLst>
        </c:ser>
        <c:ser>
          <c:idx val="3"/>
          <c:order val="3"/>
          <c:tx>
            <c:strRef>
              <c:f>GraphSeparate!$X$1</c:f>
              <c:strCache>
                <c:ptCount val="1"/>
                <c:pt idx="0">
                  <c:v>장삼순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GraphSeparate!$X$2:$X$13</c:f>
              <c:numCache>
                <c:formatCode>General</c:formatCode>
                <c:ptCount val="12"/>
                <c:pt idx="0">
                  <c:v>0</c:v>
                </c:pt>
                <c:pt idx="1">
                  <c:v>895.8</c:v>
                </c:pt>
                <c:pt idx="2">
                  <c:v>1681.7</c:v>
                </c:pt>
                <c:pt idx="3">
                  <c:v>911.7</c:v>
                </c:pt>
                <c:pt idx="4">
                  <c:v>636.70000000000005</c:v>
                </c:pt>
                <c:pt idx="5">
                  <c:v>507.29999999999978</c:v>
                </c:pt>
                <c:pt idx="6">
                  <c:v>489.6</c:v>
                </c:pt>
                <c:pt idx="7">
                  <c:v>303.2</c:v>
                </c:pt>
                <c:pt idx="8">
                  <c:v>20.04</c:v>
                </c:pt>
                <c:pt idx="9">
                  <c:v>6.01</c:v>
                </c:pt>
                <c:pt idx="1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480-4F39-8491-0C639227E9A2}"/>
            </c:ext>
          </c:extLst>
        </c:ser>
        <c:ser>
          <c:idx val="4"/>
          <c:order val="4"/>
          <c:tx>
            <c:strRef>
              <c:f>GraphSeparate!$Y$1</c:f>
              <c:strCache>
                <c:ptCount val="1"/>
                <c:pt idx="0">
                  <c:v>정현숙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GraphSeparate!$Y$2:$Y$13</c:f>
              <c:numCache>
                <c:formatCode>General</c:formatCode>
                <c:ptCount val="12"/>
                <c:pt idx="0">
                  <c:v>0</c:v>
                </c:pt>
                <c:pt idx="1">
                  <c:v>2145.3000000000002</c:v>
                </c:pt>
                <c:pt idx="2">
                  <c:v>1988.4</c:v>
                </c:pt>
                <c:pt idx="3">
                  <c:v>2952.8</c:v>
                </c:pt>
                <c:pt idx="4">
                  <c:v>2899</c:v>
                </c:pt>
                <c:pt idx="5">
                  <c:v>2196.1</c:v>
                </c:pt>
                <c:pt idx="6">
                  <c:v>1648.06</c:v>
                </c:pt>
                <c:pt idx="7">
                  <c:v>363.56</c:v>
                </c:pt>
                <c:pt idx="8">
                  <c:v>3.98</c:v>
                </c:pt>
                <c:pt idx="9">
                  <c:v>1</c:v>
                </c:pt>
                <c:pt idx="1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480-4F39-8491-0C639227E9A2}"/>
            </c:ext>
          </c:extLst>
        </c:ser>
        <c:ser>
          <c:idx val="5"/>
          <c:order val="5"/>
          <c:tx>
            <c:strRef>
              <c:f>GraphSeparate!$Z$1</c:f>
              <c:strCache>
                <c:ptCount val="1"/>
                <c:pt idx="0">
                  <c:v>이회남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GraphSeparate!$Z$2:$Z$13</c:f>
              <c:numCache>
                <c:formatCode>General</c:formatCode>
                <c:ptCount val="12"/>
                <c:pt idx="0">
                  <c:v>0</c:v>
                </c:pt>
                <c:pt idx="1">
                  <c:v>2819.9</c:v>
                </c:pt>
                <c:pt idx="2">
                  <c:v>2319.6</c:v>
                </c:pt>
                <c:pt idx="3">
                  <c:v>2131.1999999999998</c:v>
                </c:pt>
                <c:pt idx="4">
                  <c:v>2105.4</c:v>
                </c:pt>
                <c:pt idx="5">
                  <c:v>1370</c:v>
                </c:pt>
                <c:pt idx="6">
                  <c:v>1135.5</c:v>
                </c:pt>
                <c:pt idx="7">
                  <c:v>184.6</c:v>
                </c:pt>
                <c:pt idx="8">
                  <c:v>74.099999999999994</c:v>
                </c:pt>
                <c:pt idx="9">
                  <c:v>38.9</c:v>
                </c:pt>
                <c:pt idx="1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4480-4F39-8491-0C639227E9A2}"/>
            </c:ext>
          </c:extLst>
        </c:ser>
        <c:ser>
          <c:idx val="6"/>
          <c:order val="6"/>
          <c:tx>
            <c:strRef>
              <c:f>GraphSeparate!$AA$1</c:f>
              <c:strCache>
                <c:ptCount val="1"/>
                <c:pt idx="0">
                  <c:v>조은숙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GraphSeparate!$AA$2:$AA$13</c:f>
              <c:numCache>
                <c:formatCode>General</c:formatCode>
                <c:ptCount val="12"/>
                <c:pt idx="0">
                  <c:v>0</c:v>
                </c:pt>
                <c:pt idx="1">
                  <c:v>2161.6</c:v>
                </c:pt>
                <c:pt idx="2">
                  <c:v>2593.1999999999998</c:v>
                </c:pt>
                <c:pt idx="3">
                  <c:v>2644.6</c:v>
                </c:pt>
                <c:pt idx="4">
                  <c:v>2455.8000000000002</c:v>
                </c:pt>
                <c:pt idx="5">
                  <c:v>1077.2</c:v>
                </c:pt>
                <c:pt idx="6">
                  <c:v>625.79999999999995</c:v>
                </c:pt>
                <c:pt idx="7">
                  <c:v>15.55</c:v>
                </c:pt>
                <c:pt idx="8">
                  <c:v>1.07</c:v>
                </c:pt>
                <c:pt idx="9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4480-4F39-8491-0C639227E9A2}"/>
            </c:ext>
          </c:extLst>
        </c:ser>
        <c:ser>
          <c:idx val="7"/>
          <c:order val="7"/>
          <c:tx>
            <c:strRef>
              <c:f>GraphSeparate!$AB$1</c:f>
              <c:strCache>
                <c:ptCount val="1"/>
                <c:pt idx="0">
                  <c:v>이종만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GraphSeparate!$AB$2:$AB$13</c:f>
              <c:numCache>
                <c:formatCode>General</c:formatCode>
                <c:ptCount val="12"/>
                <c:pt idx="0">
                  <c:v>0</c:v>
                </c:pt>
                <c:pt idx="1">
                  <c:v>640</c:v>
                </c:pt>
                <c:pt idx="2">
                  <c:v>433.8</c:v>
                </c:pt>
                <c:pt idx="3">
                  <c:v>107.4</c:v>
                </c:pt>
                <c:pt idx="4">
                  <c:v>40.700000000000003</c:v>
                </c:pt>
                <c:pt idx="5">
                  <c:v>65.900000000000006</c:v>
                </c:pt>
                <c:pt idx="6">
                  <c:v>104</c:v>
                </c:pt>
                <c:pt idx="7">
                  <c:v>49</c:v>
                </c:pt>
                <c:pt idx="8">
                  <c:v>27.79999999999999</c:v>
                </c:pt>
                <c:pt idx="9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4480-4F39-8491-0C639227E9A2}"/>
            </c:ext>
          </c:extLst>
        </c:ser>
        <c:ser>
          <c:idx val="8"/>
          <c:order val="8"/>
          <c:tx>
            <c:strRef>
              <c:f>GraphSeparate!$AC$1</c:f>
              <c:strCache>
                <c:ptCount val="1"/>
                <c:pt idx="0">
                  <c:v>김종인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GraphSeparate!$AC$2:$AC$13</c:f>
              <c:numCache>
                <c:formatCode>General</c:formatCode>
                <c:ptCount val="12"/>
                <c:pt idx="0">
                  <c:v>0</c:v>
                </c:pt>
                <c:pt idx="1">
                  <c:v>64.64</c:v>
                </c:pt>
                <c:pt idx="2">
                  <c:v>13.46</c:v>
                </c:pt>
                <c:pt idx="3">
                  <c:v>11.9</c:v>
                </c:pt>
                <c:pt idx="4">
                  <c:v>15.22</c:v>
                </c:pt>
                <c:pt idx="5">
                  <c:v>27.63</c:v>
                </c:pt>
                <c:pt idx="6">
                  <c:v>27.69</c:v>
                </c:pt>
                <c:pt idx="7">
                  <c:v>8.3700000000000028</c:v>
                </c:pt>
                <c:pt idx="8">
                  <c:v>6.29</c:v>
                </c:pt>
                <c:pt idx="9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4480-4F39-8491-0C639227E9A2}"/>
            </c:ext>
          </c:extLst>
        </c:ser>
        <c:ser>
          <c:idx val="9"/>
          <c:order val="9"/>
          <c:tx>
            <c:strRef>
              <c:f>GraphSeparate!$AD$1</c:f>
              <c:strCache>
                <c:ptCount val="1"/>
                <c:pt idx="0">
                  <c:v>강덕임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GraphSeparate!$AD$2:$AD$13</c:f>
              <c:numCache>
                <c:formatCode>General</c:formatCode>
                <c:ptCount val="12"/>
                <c:pt idx="0">
                  <c:v>0</c:v>
                </c:pt>
                <c:pt idx="1">
                  <c:v>1150</c:v>
                </c:pt>
                <c:pt idx="2">
                  <c:v>820.40000000000009</c:v>
                </c:pt>
                <c:pt idx="3">
                  <c:v>1490.2</c:v>
                </c:pt>
                <c:pt idx="4">
                  <c:v>1397.7</c:v>
                </c:pt>
                <c:pt idx="5">
                  <c:v>795.2</c:v>
                </c:pt>
                <c:pt idx="6">
                  <c:v>125</c:v>
                </c:pt>
                <c:pt idx="7">
                  <c:v>41.4</c:v>
                </c:pt>
                <c:pt idx="8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4480-4F39-8491-0C639227E9A2}"/>
            </c:ext>
          </c:extLst>
        </c:ser>
        <c:ser>
          <c:idx val="10"/>
          <c:order val="10"/>
          <c:tx>
            <c:strRef>
              <c:f>GraphSeparate!$AE$1</c:f>
              <c:strCache>
                <c:ptCount val="1"/>
                <c:pt idx="0">
                  <c:v>윤영환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GraphSeparate!$AE$2:$AE$13</c:f>
              <c:numCache>
                <c:formatCode>General</c:formatCode>
                <c:ptCount val="12"/>
                <c:pt idx="0">
                  <c:v>0</c:v>
                </c:pt>
                <c:pt idx="1">
                  <c:v>850</c:v>
                </c:pt>
                <c:pt idx="2">
                  <c:v>1428.4</c:v>
                </c:pt>
                <c:pt idx="3">
                  <c:v>1886.3</c:v>
                </c:pt>
                <c:pt idx="4">
                  <c:v>1936.9</c:v>
                </c:pt>
                <c:pt idx="5">
                  <c:v>2851.4</c:v>
                </c:pt>
                <c:pt idx="6">
                  <c:v>1361.5</c:v>
                </c:pt>
                <c:pt idx="7">
                  <c:v>0.98</c:v>
                </c:pt>
                <c:pt idx="8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4480-4F39-8491-0C639227E9A2}"/>
            </c:ext>
          </c:extLst>
        </c:ser>
        <c:ser>
          <c:idx val="11"/>
          <c:order val="11"/>
          <c:tx>
            <c:strRef>
              <c:f>GraphSeparate!$AF$1</c:f>
              <c:strCache>
                <c:ptCount val="1"/>
                <c:pt idx="0">
                  <c:v>강덕만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GraphSeparate!$AF$2:$AF$13</c:f>
              <c:numCache>
                <c:formatCode>General</c:formatCode>
                <c:ptCount val="12"/>
                <c:pt idx="0">
                  <c:v>0</c:v>
                </c:pt>
                <c:pt idx="1">
                  <c:v>2150</c:v>
                </c:pt>
                <c:pt idx="2">
                  <c:v>1195.5</c:v>
                </c:pt>
                <c:pt idx="3">
                  <c:v>2080.6</c:v>
                </c:pt>
                <c:pt idx="4">
                  <c:v>1491.1</c:v>
                </c:pt>
                <c:pt idx="5">
                  <c:v>922.4</c:v>
                </c:pt>
                <c:pt idx="6">
                  <c:v>178.3</c:v>
                </c:pt>
                <c:pt idx="7">
                  <c:v>82.2</c:v>
                </c:pt>
                <c:pt idx="8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4480-4F39-8491-0C639227E9A2}"/>
            </c:ext>
          </c:extLst>
        </c:ser>
        <c:ser>
          <c:idx val="12"/>
          <c:order val="12"/>
          <c:tx>
            <c:strRef>
              <c:f>GraphSeparate!$AG$1</c:f>
              <c:strCache>
                <c:ptCount val="1"/>
                <c:pt idx="0">
                  <c:v>공숙영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GraphSeparate!$AG$2:$AG$13</c:f>
              <c:numCache>
                <c:formatCode>General</c:formatCode>
                <c:ptCount val="12"/>
                <c:pt idx="0">
                  <c:v>0</c:v>
                </c:pt>
                <c:pt idx="1">
                  <c:v>5206</c:v>
                </c:pt>
                <c:pt idx="2">
                  <c:v>827.90000000000009</c:v>
                </c:pt>
                <c:pt idx="3">
                  <c:v>771.3</c:v>
                </c:pt>
                <c:pt idx="4">
                  <c:v>22.34</c:v>
                </c:pt>
                <c:pt idx="5">
                  <c:v>7.68</c:v>
                </c:pt>
                <c:pt idx="6">
                  <c:v>2.29</c:v>
                </c:pt>
                <c:pt idx="7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4480-4F39-8491-0C639227E9A2}"/>
            </c:ext>
          </c:extLst>
        </c:ser>
        <c:ser>
          <c:idx val="13"/>
          <c:order val="13"/>
          <c:tx>
            <c:strRef>
              <c:f>GraphSeparate!$AH$1</c:f>
              <c:strCache>
                <c:ptCount val="1"/>
                <c:pt idx="0">
                  <c:v>이규인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GraphSeparate!$AH$2:$AH$13</c:f>
              <c:numCache>
                <c:formatCode>General</c:formatCode>
                <c:ptCount val="12"/>
                <c:pt idx="0">
                  <c:v>0</c:v>
                </c:pt>
                <c:pt idx="1">
                  <c:v>197.7</c:v>
                </c:pt>
                <c:pt idx="2">
                  <c:v>124.7</c:v>
                </c:pt>
                <c:pt idx="3">
                  <c:v>68.099999999999994</c:v>
                </c:pt>
                <c:pt idx="4">
                  <c:v>68.099999999999994</c:v>
                </c:pt>
                <c:pt idx="5">
                  <c:v>37.799999999999997</c:v>
                </c:pt>
                <c:pt idx="6">
                  <c:v>12.3</c:v>
                </c:pt>
                <c:pt idx="7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480-4F39-8491-0C639227E9A2}"/>
            </c:ext>
          </c:extLst>
        </c:ser>
        <c:ser>
          <c:idx val="14"/>
          <c:order val="14"/>
          <c:tx>
            <c:strRef>
              <c:f>GraphSeparate!$AI$1</c:f>
              <c:strCache>
                <c:ptCount val="1"/>
                <c:pt idx="0">
                  <c:v>정래명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GraphSeparate!$AI$2:$AI$13</c:f>
              <c:numCache>
                <c:formatCode>General</c:formatCode>
                <c:ptCount val="12"/>
                <c:pt idx="0">
                  <c:v>0</c:v>
                </c:pt>
                <c:pt idx="1">
                  <c:v>1070</c:v>
                </c:pt>
                <c:pt idx="2">
                  <c:v>1434.4</c:v>
                </c:pt>
                <c:pt idx="3">
                  <c:v>615</c:v>
                </c:pt>
                <c:pt idx="4">
                  <c:v>326.3</c:v>
                </c:pt>
                <c:pt idx="5">
                  <c:v>438.9</c:v>
                </c:pt>
                <c:pt idx="6">
                  <c:v>21</c:v>
                </c:pt>
                <c:pt idx="7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4480-4F39-8491-0C639227E9A2}"/>
            </c:ext>
          </c:extLst>
        </c:ser>
        <c:ser>
          <c:idx val="15"/>
          <c:order val="15"/>
          <c:tx>
            <c:strRef>
              <c:f>GraphSeparate!$AJ$1</c:f>
              <c:strCache>
                <c:ptCount val="1"/>
                <c:pt idx="0">
                  <c:v>주숙희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GraphSeparate!$AJ$2:$AJ$13</c:f>
              <c:numCache>
                <c:formatCode>General</c:formatCode>
                <c:ptCount val="12"/>
                <c:pt idx="0">
                  <c:v>0</c:v>
                </c:pt>
                <c:pt idx="1">
                  <c:v>2624.5</c:v>
                </c:pt>
                <c:pt idx="2">
                  <c:v>916.7</c:v>
                </c:pt>
                <c:pt idx="3">
                  <c:v>403.6</c:v>
                </c:pt>
                <c:pt idx="4">
                  <c:v>497.8</c:v>
                </c:pt>
                <c:pt idx="5">
                  <c:v>39.32</c:v>
                </c:pt>
                <c:pt idx="6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4480-4F39-8491-0C639227E9A2}"/>
            </c:ext>
          </c:extLst>
        </c:ser>
        <c:ser>
          <c:idx val="16"/>
          <c:order val="16"/>
          <c:tx>
            <c:strRef>
              <c:f>GraphSeparate!$AK$1</c:f>
              <c:strCache>
                <c:ptCount val="1"/>
                <c:pt idx="0">
                  <c:v>조명천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GraphSeparate!$AK$2:$AK$13</c:f>
              <c:numCache>
                <c:formatCode>General</c:formatCode>
                <c:ptCount val="12"/>
                <c:pt idx="0">
                  <c:v>0</c:v>
                </c:pt>
                <c:pt idx="1">
                  <c:v>1890</c:v>
                </c:pt>
                <c:pt idx="2">
                  <c:v>1327.6</c:v>
                </c:pt>
                <c:pt idx="3">
                  <c:v>2089.5</c:v>
                </c:pt>
                <c:pt idx="4">
                  <c:v>538.9</c:v>
                </c:pt>
                <c:pt idx="5">
                  <c:v>36.4</c:v>
                </c:pt>
                <c:pt idx="6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4480-4F39-8491-0C639227E9A2}"/>
            </c:ext>
          </c:extLst>
        </c:ser>
        <c:ser>
          <c:idx val="17"/>
          <c:order val="17"/>
          <c:tx>
            <c:strRef>
              <c:f>GraphSeparate!$AL$1</c:f>
              <c:strCache>
                <c:ptCount val="1"/>
                <c:pt idx="0">
                  <c:v>박임순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GraphSeparate!$AL$2:$AL$13</c:f>
              <c:numCache>
                <c:formatCode>General</c:formatCode>
                <c:ptCount val="12"/>
                <c:pt idx="0">
                  <c:v>0</c:v>
                </c:pt>
                <c:pt idx="1">
                  <c:v>50.42</c:v>
                </c:pt>
                <c:pt idx="2">
                  <c:v>65.77</c:v>
                </c:pt>
                <c:pt idx="3">
                  <c:v>9.48</c:v>
                </c:pt>
                <c:pt idx="4">
                  <c:v>2.16</c:v>
                </c:pt>
                <c:pt idx="5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4480-4F39-8491-0C639227E9A2}"/>
            </c:ext>
          </c:extLst>
        </c:ser>
        <c:ser>
          <c:idx val="18"/>
          <c:order val="18"/>
          <c:tx>
            <c:strRef>
              <c:f>GraphSeparate!$AM$1</c:f>
              <c:strCache>
                <c:ptCount val="1"/>
                <c:pt idx="0">
                  <c:v>백영숙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GraphSeparate!$AM$2:$AM$13</c:f>
              <c:numCache>
                <c:formatCode>General</c:formatCode>
                <c:ptCount val="12"/>
                <c:pt idx="0">
                  <c:v>0</c:v>
                </c:pt>
                <c:pt idx="1">
                  <c:v>2288</c:v>
                </c:pt>
                <c:pt idx="2">
                  <c:v>1669.5</c:v>
                </c:pt>
                <c:pt idx="3">
                  <c:v>658.2</c:v>
                </c:pt>
                <c:pt idx="4">
                  <c:v>11.93</c:v>
                </c:pt>
                <c:pt idx="5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4480-4F39-8491-0C639227E9A2}"/>
            </c:ext>
          </c:extLst>
        </c:ser>
        <c:ser>
          <c:idx val="19"/>
          <c:order val="19"/>
          <c:tx>
            <c:strRef>
              <c:f>GraphSeparate!$AN$1</c:f>
              <c:strCache>
                <c:ptCount val="1"/>
                <c:pt idx="0">
                  <c:v>이필순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GraphSeparate!$AN$2:$AN$13</c:f>
              <c:numCache>
                <c:formatCode>General</c:formatCode>
                <c:ptCount val="12"/>
                <c:pt idx="0">
                  <c:v>0</c:v>
                </c:pt>
                <c:pt idx="1">
                  <c:v>750</c:v>
                </c:pt>
                <c:pt idx="2">
                  <c:v>68.2</c:v>
                </c:pt>
                <c:pt idx="3">
                  <c:v>34.5</c:v>
                </c:pt>
                <c:pt idx="4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4480-4F39-8491-0C639227E9A2}"/>
            </c:ext>
          </c:extLst>
        </c:ser>
        <c:ser>
          <c:idx val="20"/>
          <c:order val="20"/>
          <c:tx>
            <c:strRef>
              <c:f>GraphSeparate!$AO$1</c:f>
              <c:strCache>
                <c:ptCount val="1"/>
                <c:pt idx="0">
                  <c:v>송창수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GraphSeparate!$T$2:$T$13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42</c:v>
                </c:pt>
                <c:pt idx="9">
                  <c:v>48</c:v>
                </c:pt>
                <c:pt idx="10">
                  <c:v>54</c:v>
                </c:pt>
                <c:pt idx="11">
                  <c:v>60</c:v>
                </c:pt>
              </c:numCache>
            </c:numRef>
          </c:xVal>
          <c:yVal>
            <c:numRef>
              <c:f>GraphSeparate!$AO$2:$AO$13</c:f>
              <c:numCache>
                <c:formatCode>General</c:formatCode>
                <c:ptCount val="12"/>
                <c:pt idx="0">
                  <c:v>0</c:v>
                </c:pt>
                <c:pt idx="1">
                  <c:v>2765.9</c:v>
                </c:pt>
                <c:pt idx="2">
                  <c:v>846.4</c:v>
                </c:pt>
                <c:pt idx="3">
                  <c:v>95.09</c:v>
                </c:pt>
                <c:pt idx="4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4480-4F39-8491-0C639227E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015280"/>
        <c:axId val="718015672"/>
      </c:scatterChart>
      <c:valAx>
        <c:axId val="718015280"/>
        <c:scaling>
          <c:orientation val="minMax"/>
          <c:max val="60"/>
        </c:scaling>
        <c:delete val="0"/>
        <c:axPos val="b"/>
        <c:title>
          <c:tx>
            <c:rich>
              <a:bodyPr rot="0" vert="horz"/>
              <a:lstStyle/>
              <a:p>
                <a:pPr algn="ctr" rtl="0">
                  <a:defRPr/>
                </a:pPr>
                <a:r>
                  <a:rPr lang="en-US" b="0"/>
                  <a:t>Duration from entry to HBsAg seroclearance, months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718015672"/>
        <c:crosses val="autoZero"/>
        <c:crossBetween val="midCat"/>
      </c:valAx>
      <c:valAx>
        <c:axId val="7180156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HBsAg-SCR, signal-to-cutoff ratio</a:t>
                </a:r>
                <a:endParaRPr lang="ko-KR" b="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7180152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D612A-E30E-481D-909C-3EDE72CD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6073</Words>
  <Characters>34620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ymp</dc:creator>
  <cp:lastModifiedBy>LS Ma</cp:lastModifiedBy>
  <cp:revision>2</cp:revision>
  <cp:lastPrinted>2016-08-26T07:24:00Z</cp:lastPrinted>
  <dcterms:created xsi:type="dcterms:W3CDTF">2016-09-27T20:08:00Z</dcterms:created>
  <dcterms:modified xsi:type="dcterms:W3CDTF">2016-09-27T20:08:00Z</dcterms:modified>
</cp:coreProperties>
</file>