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3A952" w14:textId="327171B1" w:rsidR="00E3190B" w:rsidRPr="00B758E7" w:rsidRDefault="00E3190B" w:rsidP="00EE05FE">
      <w:pPr>
        <w:spacing w:line="360" w:lineRule="auto"/>
        <w:jc w:val="both"/>
        <w:rPr>
          <w:rFonts w:ascii="Book Antiqua" w:hAnsi="Book Antiqua"/>
          <w:b/>
        </w:rPr>
      </w:pPr>
      <w:r w:rsidRPr="00B758E7">
        <w:rPr>
          <w:rFonts w:ascii="Book Antiqua" w:hAnsi="Book Antiqua"/>
          <w:b/>
        </w:rPr>
        <w:t xml:space="preserve">Name of Journal: </w:t>
      </w:r>
      <w:r w:rsidRPr="00B758E7">
        <w:rPr>
          <w:rFonts w:ascii="Book Antiqua" w:hAnsi="Book Antiqua"/>
          <w:b/>
          <w:i/>
          <w:iCs/>
        </w:rPr>
        <w:t xml:space="preserve">World Journal of </w:t>
      </w:r>
      <w:proofErr w:type="spellStart"/>
      <w:r w:rsidRPr="00B758E7">
        <w:rPr>
          <w:rFonts w:ascii="Book Antiqua" w:hAnsi="Book Antiqua"/>
          <w:b/>
          <w:i/>
          <w:iCs/>
        </w:rPr>
        <w:t>Hepatology</w:t>
      </w:r>
      <w:proofErr w:type="spellEnd"/>
    </w:p>
    <w:p w14:paraId="42039451" w14:textId="0E81373B" w:rsidR="00E3190B" w:rsidRPr="00B758E7" w:rsidRDefault="00E3190B" w:rsidP="00EE05FE">
      <w:pPr>
        <w:spacing w:line="360" w:lineRule="auto"/>
        <w:jc w:val="both"/>
        <w:rPr>
          <w:rFonts w:ascii="Book Antiqua" w:hAnsi="Book Antiqua"/>
          <w:b/>
          <w:lang w:eastAsia="zh-CN"/>
        </w:rPr>
      </w:pPr>
      <w:r w:rsidRPr="00B758E7">
        <w:rPr>
          <w:rFonts w:ascii="Book Antiqua" w:hAnsi="Book Antiqua"/>
          <w:b/>
        </w:rPr>
        <w:t xml:space="preserve">ESPS Manuscript NO: </w:t>
      </w:r>
      <w:r w:rsidRPr="00B758E7">
        <w:rPr>
          <w:rFonts w:ascii="Book Antiqua" w:hAnsi="Book Antiqua"/>
          <w:b/>
          <w:lang w:eastAsia="zh-CN"/>
        </w:rPr>
        <w:t>28239</w:t>
      </w:r>
    </w:p>
    <w:p w14:paraId="1E5DC5FD" w14:textId="1389B957" w:rsidR="00E3190B" w:rsidRPr="00B758E7" w:rsidRDefault="00E3190B" w:rsidP="00EE05FE">
      <w:pPr>
        <w:spacing w:line="360" w:lineRule="auto"/>
        <w:jc w:val="both"/>
        <w:rPr>
          <w:rFonts w:ascii="Book Antiqua" w:hAnsi="Book Antiqua"/>
          <w:b/>
        </w:rPr>
      </w:pPr>
      <w:r w:rsidRPr="00B758E7">
        <w:rPr>
          <w:rFonts w:ascii="Book Antiqua" w:hAnsi="Book Antiqua"/>
          <w:b/>
        </w:rPr>
        <w:t xml:space="preserve">Manuscript Type: </w:t>
      </w:r>
      <w:r w:rsidR="00D57832" w:rsidRPr="00B758E7">
        <w:rPr>
          <w:rFonts w:ascii="Book Antiqua" w:hAnsi="Book Antiqua"/>
          <w:b/>
        </w:rPr>
        <w:t>Original Article</w:t>
      </w:r>
    </w:p>
    <w:p w14:paraId="1F74A3E2" w14:textId="77777777" w:rsidR="00964EEB" w:rsidRPr="00B758E7" w:rsidRDefault="00964EEB" w:rsidP="00EE05FE">
      <w:pPr>
        <w:spacing w:line="360" w:lineRule="auto"/>
        <w:jc w:val="both"/>
        <w:rPr>
          <w:rFonts w:ascii="Book Antiqua" w:hAnsi="Book Antiqua"/>
          <w:b/>
        </w:rPr>
      </w:pPr>
    </w:p>
    <w:p w14:paraId="5E58881C" w14:textId="1E43458C" w:rsidR="008D251D" w:rsidRPr="00B758E7" w:rsidRDefault="00E3190B" w:rsidP="00EE05FE">
      <w:pPr>
        <w:spacing w:line="360" w:lineRule="auto"/>
        <w:jc w:val="both"/>
        <w:rPr>
          <w:rFonts w:ascii="Book Antiqua" w:hAnsi="Book Antiqua"/>
          <w:b/>
          <w:i/>
          <w:lang w:eastAsia="zh-CN"/>
        </w:rPr>
      </w:pPr>
      <w:r w:rsidRPr="00B758E7">
        <w:rPr>
          <w:rFonts w:ascii="Book Antiqua" w:hAnsi="Book Antiqua"/>
          <w:b/>
          <w:i/>
        </w:rPr>
        <w:t>Retrospective Cohort Study</w:t>
      </w:r>
    </w:p>
    <w:p w14:paraId="5AB9B815" w14:textId="3ED0F339" w:rsidR="00964EEB" w:rsidRPr="00B758E7" w:rsidRDefault="00964EEB" w:rsidP="00EE05FE">
      <w:pPr>
        <w:spacing w:line="360" w:lineRule="auto"/>
        <w:jc w:val="both"/>
        <w:rPr>
          <w:rFonts w:ascii="Book Antiqua" w:hAnsi="Book Antiqua"/>
          <w:b/>
        </w:rPr>
      </w:pPr>
      <w:r w:rsidRPr="00B758E7">
        <w:rPr>
          <w:rFonts w:ascii="Book Antiqua" w:hAnsi="Book Antiqua"/>
          <w:b/>
        </w:rPr>
        <w:t xml:space="preserve">Spontaneous </w:t>
      </w:r>
      <w:r w:rsidR="000336C5" w:rsidRPr="00B758E7">
        <w:rPr>
          <w:rFonts w:ascii="Book Antiqua" w:hAnsi="Book Antiqua"/>
          <w:b/>
        </w:rPr>
        <w:t>bacterial peritonitis prevalence in pre-transplant patients and its effect on survival and graft loss post-transplant</w:t>
      </w:r>
    </w:p>
    <w:p w14:paraId="056A8878" w14:textId="77777777" w:rsidR="008D251D" w:rsidRPr="00B758E7" w:rsidRDefault="008D251D" w:rsidP="00EE05FE">
      <w:pPr>
        <w:spacing w:line="360" w:lineRule="auto"/>
        <w:jc w:val="both"/>
        <w:rPr>
          <w:rFonts w:ascii="Book Antiqua" w:hAnsi="Book Antiqua"/>
          <w:b/>
          <w:lang w:eastAsia="zh-CN"/>
        </w:rPr>
      </w:pPr>
    </w:p>
    <w:p w14:paraId="62D6B8A3" w14:textId="58106824" w:rsidR="008D251D" w:rsidRPr="00B758E7" w:rsidRDefault="000336C5" w:rsidP="00EE05FE">
      <w:pPr>
        <w:spacing w:line="360" w:lineRule="auto"/>
        <w:jc w:val="both"/>
        <w:rPr>
          <w:rFonts w:ascii="Book Antiqua" w:hAnsi="Book Antiqua"/>
        </w:rPr>
      </w:pPr>
      <w:r w:rsidRPr="00B758E7">
        <w:rPr>
          <w:rFonts w:ascii="Book Antiqua" w:hAnsi="Book Antiqua"/>
        </w:rPr>
        <w:t xml:space="preserve">Shah NL </w:t>
      </w:r>
      <w:r w:rsidRPr="00B758E7">
        <w:rPr>
          <w:rFonts w:ascii="Book Antiqua" w:hAnsi="Book Antiqua"/>
          <w:i/>
        </w:rPr>
        <w:t>et al</w:t>
      </w:r>
      <w:r w:rsidRPr="00B758E7">
        <w:rPr>
          <w:rFonts w:ascii="Book Antiqua" w:hAnsi="Book Antiqua"/>
        </w:rPr>
        <w:t>.</w:t>
      </w:r>
      <w:r w:rsidR="008D251D" w:rsidRPr="00B758E7">
        <w:rPr>
          <w:rFonts w:ascii="Book Antiqua" w:hAnsi="Book Antiqua"/>
        </w:rPr>
        <w:t xml:space="preserve"> Spontaneou</w:t>
      </w:r>
      <w:r w:rsidRPr="00B758E7">
        <w:rPr>
          <w:rFonts w:ascii="Book Antiqua" w:hAnsi="Book Antiqua"/>
        </w:rPr>
        <w:t>s bacterial peritonitis and its effect on transplant g</w:t>
      </w:r>
      <w:r w:rsidR="008D251D" w:rsidRPr="00B758E7">
        <w:rPr>
          <w:rFonts w:ascii="Book Antiqua" w:hAnsi="Book Antiqua"/>
        </w:rPr>
        <w:t>rafts</w:t>
      </w:r>
    </w:p>
    <w:p w14:paraId="21D7ED6D" w14:textId="77777777" w:rsidR="00964EEB" w:rsidRPr="00B758E7" w:rsidRDefault="00964EEB" w:rsidP="00EE05FE">
      <w:pPr>
        <w:spacing w:line="360" w:lineRule="auto"/>
        <w:jc w:val="both"/>
        <w:rPr>
          <w:rFonts w:ascii="Book Antiqua" w:hAnsi="Book Antiqua"/>
          <w:b/>
        </w:rPr>
      </w:pPr>
    </w:p>
    <w:p w14:paraId="56B9E651" w14:textId="047D9403" w:rsidR="00EA64D6" w:rsidRPr="00B758E7" w:rsidRDefault="00EA64D6" w:rsidP="00EE05FE">
      <w:pPr>
        <w:pStyle w:val="Header"/>
        <w:tabs>
          <w:tab w:val="clear" w:pos="4320"/>
          <w:tab w:val="clear" w:pos="8640"/>
        </w:tabs>
        <w:spacing w:line="360" w:lineRule="auto"/>
        <w:jc w:val="both"/>
        <w:rPr>
          <w:rFonts w:ascii="Book Antiqua" w:hAnsi="Book Antiqua"/>
          <w:b/>
        </w:rPr>
      </w:pPr>
      <w:proofErr w:type="spellStart"/>
      <w:r w:rsidRPr="00B758E7">
        <w:rPr>
          <w:rFonts w:ascii="Book Antiqua" w:hAnsi="Book Antiqua" w:cs="Arial"/>
          <w:b/>
        </w:rPr>
        <w:t>Neeral</w:t>
      </w:r>
      <w:proofErr w:type="spellEnd"/>
      <w:r w:rsidRPr="00B758E7">
        <w:rPr>
          <w:rFonts w:ascii="Book Antiqua" w:hAnsi="Book Antiqua" w:cs="Arial"/>
          <w:b/>
        </w:rPr>
        <w:t xml:space="preserve"> L Shah, Nicolas M </w:t>
      </w:r>
      <w:proofErr w:type="spellStart"/>
      <w:r w:rsidRPr="00B758E7">
        <w:rPr>
          <w:rFonts w:ascii="Book Antiqua" w:hAnsi="Book Antiqua" w:cs="Arial"/>
          <w:b/>
        </w:rPr>
        <w:t>Intagliata</w:t>
      </w:r>
      <w:proofErr w:type="spellEnd"/>
      <w:r w:rsidRPr="00B758E7">
        <w:rPr>
          <w:rFonts w:ascii="Book Antiqua" w:hAnsi="Book Antiqua" w:cs="Arial"/>
          <w:b/>
        </w:rPr>
        <w:t>, Zachary H Henry, Curtis K Argo, Patrick G Northup</w:t>
      </w:r>
    </w:p>
    <w:p w14:paraId="137F840F" w14:textId="77777777" w:rsidR="00964EEB" w:rsidRPr="00B758E7" w:rsidRDefault="00964EEB" w:rsidP="00EE05FE">
      <w:pPr>
        <w:spacing w:line="360" w:lineRule="auto"/>
        <w:jc w:val="both"/>
        <w:rPr>
          <w:rFonts w:ascii="Book Antiqua" w:hAnsi="Book Antiqua"/>
          <w:b/>
          <w:lang w:eastAsia="zh-CN"/>
        </w:rPr>
      </w:pPr>
    </w:p>
    <w:p w14:paraId="56DDCD28" w14:textId="53B147CD" w:rsidR="00EA64D6" w:rsidRPr="00B758E7" w:rsidRDefault="004F615E" w:rsidP="00EE05FE">
      <w:pPr>
        <w:pStyle w:val="Header"/>
        <w:tabs>
          <w:tab w:val="clear" w:pos="4320"/>
          <w:tab w:val="clear" w:pos="8640"/>
        </w:tabs>
        <w:spacing w:line="360" w:lineRule="auto"/>
        <w:jc w:val="both"/>
        <w:rPr>
          <w:rFonts w:ascii="Book Antiqua" w:eastAsia="宋体" w:hAnsi="Book Antiqua"/>
          <w:b/>
          <w:lang w:eastAsia="zh-CN"/>
        </w:rPr>
      </w:pPr>
      <w:proofErr w:type="spellStart"/>
      <w:r w:rsidRPr="00B758E7">
        <w:rPr>
          <w:rFonts w:ascii="Book Antiqua" w:hAnsi="Book Antiqua" w:cs="Arial"/>
          <w:b/>
        </w:rPr>
        <w:t>Neeral</w:t>
      </w:r>
      <w:proofErr w:type="spellEnd"/>
      <w:r w:rsidRPr="00B758E7">
        <w:rPr>
          <w:rFonts w:ascii="Book Antiqua" w:hAnsi="Book Antiqua" w:cs="Arial"/>
          <w:b/>
        </w:rPr>
        <w:t xml:space="preserve"> L Shah, Nicolas M </w:t>
      </w:r>
      <w:proofErr w:type="spellStart"/>
      <w:r w:rsidRPr="00B758E7">
        <w:rPr>
          <w:rFonts w:ascii="Book Antiqua" w:hAnsi="Book Antiqua" w:cs="Arial"/>
          <w:b/>
        </w:rPr>
        <w:t>Intagliata</w:t>
      </w:r>
      <w:proofErr w:type="spellEnd"/>
      <w:r w:rsidRPr="00B758E7">
        <w:rPr>
          <w:rFonts w:ascii="Book Antiqua" w:hAnsi="Book Antiqua" w:cs="Arial"/>
          <w:b/>
        </w:rPr>
        <w:t>, Zachary H Henry, Curtis K Argo, Patrick G Northup</w:t>
      </w:r>
      <w:r w:rsidRPr="00B758E7">
        <w:rPr>
          <w:rFonts w:ascii="Book Antiqua" w:eastAsia="宋体" w:hAnsi="Book Antiqua" w:cs="Arial"/>
          <w:b/>
          <w:lang w:eastAsia="zh-CN"/>
        </w:rPr>
        <w:t xml:space="preserve">, </w:t>
      </w:r>
      <w:r w:rsidR="00964EEB" w:rsidRPr="00B758E7">
        <w:rPr>
          <w:rFonts w:ascii="Book Antiqua" w:hAnsi="Book Antiqua" w:cs="Arial"/>
        </w:rPr>
        <w:t xml:space="preserve">Division of Gastroenterology and </w:t>
      </w:r>
      <w:proofErr w:type="spellStart"/>
      <w:r w:rsidR="00964EEB" w:rsidRPr="00B758E7">
        <w:rPr>
          <w:rFonts w:ascii="Book Antiqua" w:hAnsi="Book Antiqua" w:cs="Arial"/>
        </w:rPr>
        <w:t>Hepat</w:t>
      </w:r>
      <w:r w:rsidR="008D251D" w:rsidRPr="00B758E7">
        <w:rPr>
          <w:rFonts w:ascii="Book Antiqua" w:hAnsi="Book Antiqua" w:cs="Arial"/>
        </w:rPr>
        <w:t>ology</w:t>
      </w:r>
      <w:proofErr w:type="spellEnd"/>
      <w:r w:rsidR="008D251D" w:rsidRPr="00B758E7">
        <w:rPr>
          <w:rFonts w:ascii="Book Antiqua" w:hAnsi="Book Antiqua" w:cs="Arial"/>
        </w:rPr>
        <w:t xml:space="preserve">, Department of Medicine, </w:t>
      </w:r>
      <w:r w:rsidR="00964EEB" w:rsidRPr="00B758E7">
        <w:rPr>
          <w:rFonts w:ascii="Book Antiqua" w:hAnsi="Book Antiqua" w:cs="Arial"/>
        </w:rPr>
        <w:t>University of Virginia, Charlottesville, VA</w:t>
      </w:r>
      <w:r w:rsidR="00B95C0A" w:rsidRPr="00B758E7">
        <w:rPr>
          <w:rFonts w:ascii="Book Antiqua" w:hAnsi="Book Antiqua" w:cs="Arial"/>
        </w:rPr>
        <w:t xml:space="preserve"> 22908, U</w:t>
      </w:r>
      <w:r w:rsidR="00595268" w:rsidRPr="00B758E7">
        <w:rPr>
          <w:rFonts w:ascii="Book Antiqua" w:eastAsia="宋体" w:hAnsi="Book Antiqua" w:cs="Arial"/>
          <w:lang w:eastAsia="zh-CN"/>
        </w:rPr>
        <w:t xml:space="preserve">nited </w:t>
      </w:r>
      <w:r w:rsidR="00B95C0A" w:rsidRPr="00B758E7">
        <w:rPr>
          <w:rFonts w:ascii="Book Antiqua" w:hAnsi="Book Antiqua" w:cs="Arial"/>
        </w:rPr>
        <w:t>S</w:t>
      </w:r>
      <w:r w:rsidR="00595268" w:rsidRPr="00B758E7">
        <w:rPr>
          <w:rFonts w:ascii="Book Antiqua" w:eastAsia="宋体" w:hAnsi="Book Antiqua" w:cs="Arial"/>
          <w:lang w:eastAsia="zh-CN"/>
        </w:rPr>
        <w:t>tates</w:t>
      </w:r>
    </w:p>
    <w:p w14:paraId="0E06865E" w14:textId="34599D06" w:rsidR="008D251D" w:rsidRPr="00B758E7" w:rsidRDefault="008D251D" w:rsidP="00EE05FE">
      <w:pPr>
        <w:spacing w:line="360" w:lineRule="auto"/>
        <w:jc w:val="both"/>
        <w:rPr>
          <w:rFonts w:ascii="Book Antiqua" w:hAnsi="Book Antiqua" w:cs="Arial"/>
          <w:lang w:eastAsia="zh-CN"/>
        </w:rPr>
      </w:pPr>
    </w:p>
    <w:p w14:paraId="6B6B54D4" w14:textId="5BEE4C66" w:rsidR="008D251D" w:rsidRPr="00B758E7" w:rsidRDefault="004F615E" w:rsidP="00EE05FE">
      <w:pPr>
        <w:spacing w:line="360" w:lineRule="auto"/>
        <w:jc w:val="both"/>
        <w:rPr>
          <w:rFonts w:ascii="Book Antiqua" w:hAnsi="Book Antiqua" w:cs="Arial"/>
          <w:lang w:eastAsia="zh-CN"/>
        </w:rPr>
      </w:pPr>
      <w:r w:rsidRPr="00B758E7">
        <w:rPr>
          <w:rFonts w:ascii="Book Antiqua" w:hAnsi="Book Antiqua"/>
          <w:b/>
        </w:rPr>
        <w:t>Author contributions:</w:t>
      </w:r>
      <w:r w:rsidRPr="00B758E7">
        <w:rPr>
          <w:rFonts w:ascii="Book Antiqua" w:hAnsi="Book Antiqua"/>
        </w:rPr>
        <w:t xml:space="preserve"> </w:t>
      </w:r>
      <w:r w:rsidR="008D251D" w:rsidRPr="00B758E7">
        <w:rPr>
          <w:rFonts w:ascii="Book Antiqua" w:hAnsi="Book Antiqua" w:cs="Arial"/>
        </w:rPr>
        <w:t xml:space="preserve">Shah NL and Northup </w:t>
      </w:r>
      <w:r w:rsidRPr="00B758E7">
        <w:rPr>
          <w:rFonts w:ascii="Book Antiqua" w:hAnsi="Book Antiqua" w:cs="Arial"/>
        </w:rPr>
        <w:t xml:space="preserve">PG </w:t>
      </w:r>
      <w:r w:rsidRPr="00B758E7">
        <w:rPr>
          <w:rFonts w:ascii="Book Antiqua" w:hAnsi="Book Antiqua" w:cs="Arial"/>
          <w:lang w:eastAsia="zh-CN"/>
        </w:rPr>
        <w:t xml:space="preserve">and </w:t>
      </w:r>
      <w:r w:rsidRPr="00B758E7">
        <w:rPr>
          <w:rFonts w:ascii="Book Antiqua" w:hAnsi="Book Antiqua" w:cs="Arial"/>
        </w:rPr>
        <w:t xml:space="preserve">performed </w:t>
      </w:r>
      <w:r w:rsidR="008D251D" w:rsidRPr="00B758E7">
        <w:rPr>
          <w:rFonts w:ascii="Book Antiqua" w:hAnsi="Book Antiqua" w:cs="Arial"/>
        </w:rPr>
        <w:t xml:space="preserve">designed research; </w:t>
      </w:r>
      <w:r w:rsidRPr="00B758E7">
        <w:rPr>
          <w:rFonts w:ascii="Book Antiqua" w:hAnsi="Book Antiqua" w:cs="Arial"/>
        </w:rPr>
        <w:t>Northup PG</w:t>
      </w:r>
      <w:r w:rsidR="008D251D" w:rsidRPr="00B758E7">
        <w:rPr>
          <w:rFonts w:ascii="Book Antiqua" w:hAnsi="Book Antiqua" w:cs="Arial"/>
        </w:rPr>
        <w:t xml:space="preserve"> analyzed data</w:t>
      </w:r>
      <w:r w:rsidRPr="00B758E7">
        <w:rPr>
          <w:rFonts w:ascii="Book Antiqua" w:hAnsi="Book Antiqua" w:cs="Arial"/>
          <w:lang w:eastAsia="zh-CN"/>
        </w:rPr>
        <w:t>;</w:t>
      </w:r>
      <w:r w:rsidR="008D251D" w:rsidRPr="00B758E7">
        <w:rPr>
          <w:rFonts w:ascii="Book Antiqua" w:hAnsi="Book Antiqua" w:cs="Arial"/>
        </w:rPr>
        <w:t xml:space="preserve"> Shah</w:t>
      </w:r>
      <w:r w:rsidRPr="00B758E7">
        <w:rPr>
          <w:rFonts w:ascii="Book Antiqua" w:hAnsi="Book Antiqua" w:cs="Arial"/>
          <w:lang w:eastAsia="zh-CN"/>
        </w:rPr>
        <w:t xml:space="preserve"> </w:t>
      </w:r>
      <w:r w:rsidRPr="00B758E7">
        <w:rPr>
          <w:rFonts w:ascii="Book Antiqua" w:hAnsi="Book Antiqua" w:cs="Arial"/>
        </w:rPr>
        <w:t>NL</w:t>
      </w:r>
      <w:r w:rsidR="008D251D" w:rsidRPr="00B758E7">
        <w:rPr>
          <w:rFonts w:ascii="Book Antiqua" w:hAnsi="Book Antiqua" w:cs="Arial"/>
        </w:rPr>
        <w:t xml:space="preserve">, </w:t>
      </w:r>
      <w:proofErr w:type="spellStart"/>
      <w:r w:rsidR="008D251D" w:rsidRPr="00B758E7">
        <w:rPr>
          <w:rFonts w:ascii="Book Antiqua" w:hAnsi="Book Antiqua" w:cs="Arial"/>
        </w:rPr>
        <w:t>Intagliata</w:t>
      </w:r>
      <w:proofErr w:type="spellEnd"/>
      <w:r w:rsidRPr="00B758E7">
        <w:rPr>
          <w:rFonts w:ascii="Book Antiqua" w:hAnsi="Book Antiqua" w:cs="Arial"/>
          <w:lang w:eastAsia="zh-CN"/>
        </w:rPr>
        <w:t xml:space="preserve"> </w:t>
      </w:r>
      <w:r w:rsidRPr="00B758E7">
        <w:rPr>
          <w:rFonts w:ascii="Book Antiqua" w:hAnsi="Book Antiqua" w:cs="Arial"/>
        </w:rPr>
        <w:t>NM</w:t>
      </w:r>
      <w:r w:rsidR="008D251D" w:rsidRPr="00B758E7">
        <w:rPr>
          <w:rFonts w:ascii="Book Antiqua" w:hAnsi="Book Antiqua" w:cs="Arial"/>
        </w:rPr>
        <w:t>, Henry</w:t>
      </w:r>
      <w:r w:rsidRPr="00B758E7">
        <w:rPr>
          <w:rFonts w:ascii="Book Antiqua" w:hAnsi="Book Antiqua" w:cs="Arial"/>
          <w:lang w:eastAsia="zh-CN"/>
        </w:rPr>
        <w:t xml:space="preserve"> </w:t>
      </w:r>
      <w:r w:rsidRPr="00B758E7">
        <w:rPr>
          <w:rFonts w:ascii="Book Antiqua" w:hAnsi="Book Antiqua" w:cs="Arial"/>
        </w:rPr>
        <w:t>ZH</w:t>
      </w:r>
      <w:r w:rsidR="008D251D" w:rsidRPr="00B758E7">
        <w:rPr>
          <w:rFonts w:ascii="Book Antiqua" w:hAnsi="Book Antiqua" w:cs="Arial"/>
        </w:rPr>
        <w:t>, Argo</w:t>
      </w:r>
      <w:r w:rsidRPr="00B758E7">
        <w:rPr>
          <w:rFonts w:ascii="Book Antiqua" w:hAnsi="Book Antiqua" w:cs="Arial"/>
          <w:lang w:eastAsia="zh-CN"/>
        </w:rPr>
        <w:t xml:space="preserve"> </w:t>
      </w:r>
      <w:r w:rsidRPr="00B758E7">
        <w:rPr>
          <w:rFonts w:ascii="Book Antiqua" w:hAnsi="Book Antiqua" w:cs="Arial"/>
        </w:rPr>
        <w:t>CK</w:t>
      </w:r>
      <w:r w:rsidR="008D251D" w:rsidRPr="00B758E7">
        <w:rPr>
          <w:rFonts w:ascii="Book Antiqua" w:hAnsi="Book Antiqua" w:cs="Arial"/>
        </w:rPr>
        <w:t xml:space="preserve"> and Northup </w:t>
      </w:r>
      <w:r w:rsidRPr="00B758E7">
        <w:rPr>
          <w:rFonts w:ascii="Book Antiqua" w:hAnsi="Book Antiqua" w:cs="Arial"/>
        </w:rPr>
        <w:t xml:space="preserve">PG </w:t>
      </w:r>
      <w:r w:rsidR="008D251D" w:rsidRPr="00B758E7">
        <w:rPr>
          <w:rFonts w:ascii="Book Antiqua" w:hAnsi="Book Antiqua" w:cs="Arial"/>
        </w:rPr>
        <w:t>wrote the paper.</w:t>
      </w:r>
    </w:p>
    <w:p w14:paraId="5FF5DC44" w14:textId="77777777" w:rsidR="004F615E" w:rsidRPr="00B758E7" w:rsidRDefault="004F615E" w:rsidP="00EE05FE">
      <w:pPr>
        <w:spacing w:line="360" w:lineRule="auto"/>
        <w:jc w:val="both"/>
        <w:rPr>
          <w:rFonts w:ascii="Book Antiqua" w:hAnsi="Book Antiqua" w:cs="Arial"/>
          <w:b/>
          <w:lang w:eastAsia="zh-CN"/>
        </w:rPr>
      </w:pPr>
    </w:p>
    <w:p w14:paraId="62049689" w14:textId="57105558" w:rsidR="00EA64D6" w:rsidRPr="00B758E7" w:rsidRDefault="00595268" w:rsidP="00EE05FE">
      <w:pPr>
        <w:autoSpaceDE w:val="0"/>
        <w:autoSpaceDN w:val="0"/>
        <w:adjustRightInd w:val="0"/>
        <w:spacing w:line="360" w:lineRule="auto"/>
        <w:jc w:val="both"/>
        <w:rPr>
          <w:rFonts w:ascii="Book Antiqua" w:hAnsi="Book Antiqua"/>
          <w:b/>
          <w:bCs/>
          <w:iCs/>
          <w:lang w:eastAsia="zh-CN"/>
        </w:rPr>
      </w:pPr>
      <w:r w:rsidRPr="00B758E7">
        <w:rPr>
          <w:rFonts w:ascii="Book Antiqua" w:hAnsi="Book Antiqua"/>
          <w:b/>
        </w:rPr>
        <w:t>Institutional review board statement</w:t>
      </w:r>
      <w:r w:rsidRPr="00B758E7">
        <w:rPr>
          <w:rFonts w:ascii="Book Antiqua" w:hAnsi="Book Antiqua"/>
          <w:b/>
          <w:bCs/>
          <w:iCs/>
        </w:rPr>
        <w:t>:</w:t>
      </w:r>
      <w:r w:rsidRPr="00B758E7">
        <w:rPr>
          <w:rFonts w:ascii="Book Antiqua" w:hAnsi="Book Antiqua"/>
          <w:lang w:val="en-GB"/>
        </w:rPr>
        <w:t xml:space="preserve"> </w:t>
      </w:r>
      <w:r w:rsidR="00B95C0A" w:rsidRPr="00B758E7">
        <w:rPr>
          <w:rFonts w:ascii="Book Antiqua" w:hAnsi="Book Antiqua"/>
          <w:bCs/>
          <w:iCs/>
        </w:rPr>
        <w:t>Study approved by IRB at University of Virginia</w:t>
      </w:r>
      <w:r w:rsidRPr="00B758E7">
        <w:rPr>
          <w:rFonts w:ascii="Book Antiqua" w:hAnsi="Book Antiqua"/>
          <w:bCs/>
          <w:iCs/>
          <w:lang w:eastAsia="zh-CN"/>
        </w:rPr>
        <w:t>.</w:t>
      </w:r>
    </w:p>
    <w:p w14:paraId="56986ED7" w14:textId="77777777" w:rsidR="00595268" w:rsidRPr="00B758E7" w:rsidRDefault="00595268" w:rsidP="00EE05FE">
      <w:pPr>
        <w:autoSpaceDE w:val="0"/>
        <w:autoSpaceDN w:val="0"/>
        <w:adjustRightInd w:val="0"/>
        <w:spacing w:line="360" w:lineRule="auto"/>
        <w:jc w:val="both"/>
        <w:rPr>
          <w:rFonts w:ascii="Book Antiqua" w:hAnsi="Book Antiqua"/>
          <w:b/>
          <w:bCs/>
          <w:iCs/>
          <w:lang w:val="en-GB"/>
        </w:rPr>
      </w:pPr>
    </w:p>
    <w:p w14:paraId="650FF004" w14:textId="2FB7297B" w:rsidR="00EA64D6" w:rsidRPr="00B758E7" w:rsidRDefault="00595268" w:rsidP="00EE05FE">
      <w:pPr>
        <w:pStyle w:val="Default"/>
        <w:spacing w:line="360" w:lineRule="auto"/>
        <w:jc w:val="both"/>
        <w:rPr>
          <w:rFonts w:ascii="Book Antiqua" w:hAnsi="Book Antiqua"/>
          <w:color w:val="auto"/>
        </w:rPr>
      </w:pPr>
      <w:r w:rsidRPr="00B758E7">
        <w:rPr>
          <w:rFonts w:ascii="Book Antiqua" w:hAnsi="Book Antiqua"/>
          <w:b/>
          <w:color w:val="auto"/>
        </w:rPr>
        <w:t>Informed consent statement</w:t>
      </w:r>
      <w:r w:rsidRPr="00B758E7">
        <w:rPr>
          <w:rFonts w:ascii="Book Antiqua" w:hAnsi="Book Antiqua"/>
          <w:b/>
          <w:bCs/>
          <w:iCs/>
          <w:color w:val="auto"/>
          <w:lang w:eastAsia="zh-CN"/>
        </w:rPr>
        <w:t xml:space="preserve">: </w:t>
      </w:r>
      <w:r w:rsidR="00B95C0A" w:rsidRPr="00B758E7">
        <w:rPr>
          <w:rFonts w:ascii="Book Antiqua" w:hAnsi="Book Antiqua"/>
          <w:bCs/>
          <w:iCs/>
          <w:color w:val="auto"/>
        </w:rPr>
        <w:t>A cohort study on a de-identified population did not</w:t>
      </w:r>
      <w:r w:rsidRPr="00B758E7">
        <w:rPr>
          <w:rFonts w:ascii="Book Antiqua" w:hAnsi="Book Antiqua"/>
          <w:color w:val="auto"/>
        </w:rPr>
        <w:t xml:space="preserve"> require consent</w:t>
      </w:r>
      <w:r w:rsidRPr="00B758E7">
        <w:rPr>
          <w:rFonts w:ascii="Book Antiqua" w:hAnsi="Book Antiqua"/>
          <w:bCs/>
          <w:iCs/>
          <w:color w:val="auto"/>
          <w:lang w:eastAsia="zh-CN"/>
        </w:rPr>
        <w:t>.</w:t>
      </w:r>
      <w:r w:rsidR="00B95C0A" w:rsidRPr="00B758E7">
        <w:rPr>
          <w:rFonts w:ascii="Book Antiqua" w:hAnsi="Book Antiqua"/>
          <w:bCs/>
          <w:iCs/>
          <w:color w:val="auto"/>
        </w:rPr>
        <w:t xml:space="preserve"> </w:t>
      </w:r>
    </w:p>
    <w:p w14:paraId="57C0AF04" w14:textId="77777777" w:rsidR="00EA64D6" w:rsidRPr="00B758E7" w:rsidRDefault="00EA64D6" w:rsidP="00EE05FE">
      <w:pPr>
        <w:spacing w:line="360" w:lineRule="auto"/>
        <w:jc w:val="both"/>
        <w:rPr>
          <w:rFonts w:ascii="Book Antiqua" w:hAnsi="Book Antiqua" w:cs="Arial"/>
          <w:b/>
          <w:lang w:eastAsia="zh-CN"/>
        </w:rPr>
      </w:pPr>
    </w:p>
    <w:p w14:paraId="0FA228DA" w14:textId="1B8412B4" w:rsidR="008D251D" w:rsidRPr="00B758E7" w:rsidRDefault="00595268" w:rsidP="00EE05FE">
      <w:pPr>
        <w:spacing w:line="360" w:lineRule="auto"/>
        <w:jc w:val="both"/>
        <w:rPr>
          <w:rFonts w:ascii="Book Antiqua" w:hAnsi="Book Antiqua" w:cs="Arial"/>
        </w:rPr>
      </w:pPr>
      <w:r w:rsidRPr="00B758E7">
        <w:rPr>
          <w:rFonts w:ascii="Book Antiqua" w:hAnsi="Book Antiqua"/>
          <w:b/>
        </w:rPr>
        <w:t>Conflict-of-interest statement</w:t>
      </w:r>
      <w:r w:rsidRPr="00B758E7">
        <w:rPr>
          <w:rFonts w:ascii="Book Antiqua" w:hAnsi="Book Antiqua" w:cs="TimesNewRomanPS-BoldItalicMT"/>
          <w:b/>
          <w:bCs/>
          <w:iCs/>
          <w:lang w:eastAsia="zh-CN"/>
        </w:rPr>
        <w:t>:</w:t>
      </w:r>
      <w:r w:rsidR="008D251D" w:rsidRPr="00B758E7">
        <w:rPr>
          <w:rFonts w:ascii="Book Antiqua" w:hAnsi="Book Antiqua" w:cs="Arial"/>
        </w:rPr>
        <w:t xml:space="preserve"> We have no conflicts of interest to report.</w:t>
      </w:r>
    </w:p>
    <w:p w14:paraId="7479D261" w14:textId="77777777" w:rsidR="00595268" w:rsidRPr="00B758E7" w:rsidRDefault="00595268" w:rsidP="00EE05FE">
      <w:pPr>
        <w:spacing w:line="360" w:lineRule="auto"/>
        <w:jc w:val="both"/>
        <w:rPr>
          <w:rFonts w:ascii="Book Antiqua" w:hAnsi="Book Antiqua" w:cs="TimesNewRomanPS-BoldItalicMT"/>
          <w:b/>
          <w:bCs/>
          <w:iCs/>
          <w:lang w:eastAsia="zh-CN"/>
        </w:rPr>
      </w:pPr>
    </w:p>
    <w:p w14:paraId="5B05F2F5" w14:textId="0088C223" w:rsidR="008D251D" w:rsidRPr="00B758E7" w:rsidRDefault="00595268" w:rsidP="00EE05FE">
      <w:pPr>
        <w:spacing w:line="360" w:lineRule="auto"/>
        <w:jc w:val="both"/>
        <w:rPr>
          <w:rFonts w:ascii="Book Antiqua" w:hAnsi="Book Antiqua" w:cs="Arial"/>
          <w:lang w:eastAsia="zh-CN"/>
        </w:rPr>
      </w:pPr>
      <w:r w:rsidRPr="00B758E7">
        <w:rPr>
          <w:rFonts w:ascii="Book Antiqua" w:hAnsi="Book Antiqua" w:cs="TimesNewRomanPS-BoldItalicMT"/>
          <w:b/>
          <w:bCs/>
          <w:iCs/>
        </w:rPr>
        <w:t xml:space="preserve">Data sharing </w:t>
      </w:r>
      <w:r w:rsidRPr="00B758E7">
        <w:rPr>
          <w:rFonts w:ascii="Book Antiqua" w:hAnsi="Book Antiqua"/>
          <w:b/>
        </w:rPr>
        <w:t>statement</w:t>
      </w:r>
      <w:r w:rsidRPr="00B758E7">
        <w:rPr>
          <w:rFonts w:ascii="Book Antiqua" w:hAnsi="Book Antiqua" w:cs="TimesNewRomanPS-BoldItalicMT"/>
          <w:b/>
          <w:bCs/>
          <w:iCs/>
          <w:lang w:eastAsia="zh-CN"/>
        </w:rPr>
        <w:t>:</w:t>
      </w:r>
      <w:r w:rsidRPr="00B758E7">
        <w:rPr>
          <w:rFonts w:ascii="Book Antiqua" w:hAnsi="Book Antiqua"/>
          <w:lang w:val="en-GB"/>
        </w:rPr>
        <w:t xml:space="preserve"> </w:t>
      </w:r>
      <w:r w:rsidR="008D251D" w:rsidRPr="00B758E7">
        <w:rPr>
          <w:rFonts w:ascii="Book Antiqua" w:hAnsi="Book Antiqua" w:cs="Arial"/>
        </w:rPr>
        <w:t>No additional data is available</w:t>
      </w:r>
      <w:r w:rsidRPr="00B758E7">
        <w:rPr>
          <w:rFonts w:ascii="Book Antiqua" w:hAnsi="Book Antiqua" w:cs="Arial"/>
          <w:lang w:eastAsia="zh-CN"/>
        </w:rPr>
        <w:t>.</w:t>
      </w:r>
    </w:p>
    <w:p w14:paraId="40C4EE99" w14:textId="77777777" w:rsidR="00595268" w:rsidRPr="00B758E7" w:rsidRDefault="00595268" w:rsidP="00EE05FE">
      <w:pPr>
        <w:spacing w:line="360" w:lineRule="auto"/>
        <w:jc w:val="both"/>
        <w:rPr>
          <w:rFonts w:ascii="Book Antiqua" w:hAnsi="Book Antiqua" w:cs="Arial"/>
          <w:lang w:eastAsia="zh-CN"/>
        </w:rPr>
      </w:pPr>
    </w:p>
    <w:p w14:paraId="1523BF1E" w14:textId="77777777" w:rsidR="00595268" w:rsidRPr="00B758E7" w:rsidRDefault="00595268" w:rsidP="00EE05FE">
      <w:pPr>
        <w:pStyle w:val="CommentText"/>
        <w:adjustRightInd w:val="0"/>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B758E7">
        <w:rPr>
          <w:rFonts w:ascii="Book Antiqua" w:hAnsi="Book Antiqua"/>
          <w:b/>
          <w:sz w:val="24"/>
          <w:szCs w:val="24"/>
        </w:rPr>
        <w:lastRenderedPageBreak/>
        <w:t xml:space="preserve">Open-Access: </w:t>
      </w:r>
      <w:r w:rsidRPr="00B758E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5E023122" w14:textId="77777777" w:rsidR="00595268" w:rsidRPr="00B758E7" w:rsidRDefault="00595268" w:rsidP="00EE05FE">
      <w:pPr>
        <w:spacing w:line="360" w:lineRule="auto"/>
        <w:jc w:val="both"/>
        <w:rPr>
          <w:rFonts w:ascii="Book Antiqua" w:hAnsi="Book Antiqua" w:cs="Arial"/>
          <w:lang w:eastAsia="zh-CN"/>
        </w:rPr>
      </w:pPr>
    </w:p>
    <w:p w14:paraId="7F556D74" w14:textId="0B54EF5C" w:rsidR="00595268" w:rsidRPr="00B758E7" w:rsidRDefault="00595268" w:rsidP="00EE05FE">
      <w:pPr>
        <w:spacing w:line="360" w:lineRule="auto"/>
        <w:jc w:val="both"/>
        <w:rPr>
          <w:rFonts w:ascii="Book Antiqua" w:hAnsi="Book Antiqua" w:cs="宋体"/>
          <w:lang w:eastAsia="zh-CN"/>
        </w:rPr>
      </w:pPr>
      <w:r w:rsidRPr="00B758E7">
        <w:rPr>
          <w:rFonts w:ascii="Book Antiqua" w:hAnsi="Book Antiqua" w:cs="宋体"/>
          <w:b/>
        </w:rPr>
        <w:t>Manuscript source:</w:t>
      </w:r>
      <w:r w:rsidRPr="00B758E7">
        <w:rPr>
          <w:rFonts w:ascii="Book Antiqua" w:hAnsi="Book Antiqua" w:cs="宋体"/>
        </w:rPr>
        <w:t> Invited manuscript</w:t>
      </w:r>
    </w:p>
    <w:p w14:paraId="38244BD0" w14:textId="77777777" w:rsidR="00595268" w:rsidRPr="00B758E7" w:rsidRDefault="00595268" w:rsidP="00EE05FE">
      <w:pPr>
        <w:spacing w:line="360" w:lineRule="auto"/>
        <w:jc w:val="both"/>
        <w:rPr>
          <w:rFonts w:ascii="Book Antiqua" w:hAnsi="Book Antiqua" w:cs="Arial"/>
          <w:lang w:eastAsia="zh-CN"/>
        </w:rPr>
      </w:pPr>
    </w:p>
    <w:p w14:paraId="637D3E08" w14:textId="6BA7B145" w:rsidR="00595268" w:rsidRPr="00B758E7" w:rsidRDefault="00595268" w:rsidP="00EE05FE">
      <w:pPr>
        <w:spacing w:line="360" w:lineRule="auto"/>
        <w:jc w:val="both"/>
        <w:rPr>
          <w:rFonts w:ascii="Book Antiqua" w:hAnsi="Book Antiqua" w:cs="Arial"/>
          <w:lang w:eastAsia="zh-CN"/>
        </w:rPr>
      </w:pPr>
      <w:r w:rsidRPr="00B758E7">
        <w:rPr>
          <w:rFonts w:ascii="Book Antiqua" w:hAnsi="Book Antiqua"/>
          <w:b/>
        </w:rPr>
        <w:t>Correspondence to:</w:t>
      </w:r>
      <w:r w:rsidR="008D251D" w:rsidRPr="00B758E7">
        <w:rPr>
          <w:rFonts w:ascii="Book Antiqua" w:hAnsi="Book Antiqua" w:cs="Arial"/>
        </w:rPr>
        <w:t xml:space="preserve"> </w:t>
      </w:r>
      <w:proofErr w:type="spellStart"/>
      <w:r w:rsidRPr="00B758E7">
        <w:rPr>
          <w:rFonts w:ascii="Book Antiqua" w:hAnsi="Book Antiqua" w:cs="Arial"/>
          <w:b/>
        </w:rPr>
        <w:t>Neeral</w:t>
      </w:r>
      <w:proofErr w:type="spellEnd"/>
      <w:r w:rsidRPr="00B758E7">
        <w:rPr>
          <w:rFonts w:ascii="Book Antiqua" w:hAnsi="Book Antiqua" w:cs="Arial"/>
          <w:b/>
        </w:rPr>
        <w:t xml:space="preserve"> L Shah</w:t>
      </w:r>
      <w:r w:rsidR="008D251D" w:rsidRPr="00B758E7">
        <w:rPr>
          <w:rFonts w:ascii="Book Antiqua" w:hAnsi="Book Antiqua" w:cs="Arial"/>
          <w:b/>
        </w:rPr>
        <w:t>, MD,</w:t>
      </w:r>
      <w:r w:rsidR="008D251D" w:rsidRPr="00B758E7">
        <w:rPr>
          <w:rFonts w:ascii="Book Antiqua" w:hAnsi="Book Antiqua" w:cs="Arial"/>
        </w:rPr>
        <w:t xml:space="preserve"> </w:t>
      </w:r>
      <w:r w:rsidRPr="00B758E7">
        <w:rPr>
          <w:rFonts w:ascii="Book Antiqua" w:hAnsi="Book Antiqua" w:cs="Arial"/>
        </w:rPr>
        <w:t xml:space="preserve">Division of Gastroenterology and </w:t>
      </w:r>
      <w:proofErr w:type="spellStart"/>
      <w:r w:rsidRPr="00B758E7">
        <w:rPr>
          <w:rFonts w:ascii="Book Antiqua" w:hAnsi="Book Antiqua" w:cs="Arial"/>
        </w:rPr>
        <w:t>Hepatology</w:t>
      </w:r>
      <w:proofErr w:type="spellEnd"/>
      <w:r w:rsidRPr="00B758E7">
        <w:rPr>
          <w:rFonts w:ascii="Book Antiqua" w:hAnsi="Book Antiqua" w:cs="Arial"/>
        </w:rPr>
        <w:t>, Department of Medicine, University of Virginia, Jefferson Park Avenue</w:t>
      </w:r>
      <w:r w:rsidRPr="00B758E7">
        <w:rPr>
          <w:rFonts w:ascii="Book Antiqua" w:hAnsi="Book Antiqua" w:cs="Arial"/>
          <w:lang w:eastAsia="zh-CN"/>
        </w:rPr>
        <w:t>,</w:t>
      </w:r>
      <w:r w:rsidRPr="00B758E7">
        <w:rPr>
          <w:rFonts w:ascii="Book Antiqua" w:hAnsi="Book Antiqua" w:cs="Arial"/>
        </w:rPr>
        <w:t xml:space="preserve"> PO Box 800708,</w:t>
      </w:r>
      <w:r w:rsidRPr="00B758E7">
        <w:rPr>
          <w:rFonts w:ascii="Book Antiqua" w:hAnsi="Book Antiqua" w:cs="Arial"/>
          <w:lang w:eastAsia="zh-CN"/>
        </w:rPr>
        <w:t xml:space="preserve"> </w:t>
      </w:r>
      <w:r w:rsidRPr="00B758E7">
        <w:rPr>
          <w:rFonts w:ascii="Book Antiqua" w:hAnsi="Book Antiqua" w:cs="Arial"/>
        </w:rPr>
        <w:t>Charlottesville, VA 22908, U</w:t>
      </w:r>
      <w:r w:rsidRPr="00B758E7">
        <w:rPr>
          <w:rFonts w:ascii="Book Antiqua" w:hAnsi="Book Antiqua" w:cs="Arial"/>
          <w:lang w:eastAsia="zh-CN"/>
        </w:rPr>
        <w:t xml:space="preserve">nited </w:t>
      </w:r>
      <w:r w:rsidRPr="00B758E7">
        <w:rPr>
          <w:rFonts w:ascii="Book Antiqua" w:hAnsi="Book Antiqua" w:cs="Arial"/>
        </w:rPr>
        <w:t>S</w:t>
      </w:r>
      <w:r w:rsidRPr="00B758E7">
        <w:rPr>
          <w:rFonts w:ascii="Book Antiqua" w:hAnsi="Book Antiqua" w:cs="Arial"/>
          <w:lang w:eastAsia="zh-CN"/>
        </w:rPr>
        <w:t xml:space="preserve">tates. </w:t>
      </w:r>
      <w:hyperlink r:id="rId8" w:history="1">
        <w:r w:rsidRPr="00B758E7">
          <w:rPr>
            <w:rStyle w:val="Hyperlink"/>
            <w:rFonts w:ascii="Book Antiqua" w:hAnsi="Book Antiqua" w:cs="Arial"/>
            <w:color w:val="auto"/>
            <w:u w:val="none"/>
          </w:rPr>
          <w:t>neeral.shah@virginia.edu</w:t>
        </w:r>
      </w:hyperlink>
    </w:p>
    <w:p w14:paraId="7D63E67B" w14:textId="78BC8EE7" w:rsidR="00B95C0A" w:rsidRPr="00B758E7" w:rsidRDefault="00EA64D6" w:rsidP="00EE05FE">
      <w:pPr>
        <w:spacing w:line="360" w:lineRule="auto"/>
        <w:jc w:val="both"/>
        <w:rPr>
          <w:rFonts w:ascii="Book Antiqua" w:hAnsi="Book Antiqua"/>
          <w:b/>
        </w:rPr>
      </w:pPr>
      <w:r w:rsidRPr="00B758E7">
        <w:rPr>
          <w:rFonts w:ascii="Book Antiqua" w:hAnsi="Book Antiqua"/>
          <w:b/>
        </w:rPr>
        <w:t xml:space="preserve">Telephone: </w:t>
      </w:r>
      <w:r w:rsidR="00595268" w:rsidRPr="00B758E7">
        <w:rPr>
          <w:rFonts w:ascii="Book Antiqua" w:hAnsi="Book Antiqua"/>
        </w:rPr>
        <w:t>+</w:t>
      </w:r>
      <w:r w:rsidR="00B95C0A" w:rsidRPr="00B758E7">
        <w:rPr>
          <w:rFonts w:ascii="Book Antiqua" w:hAnsi="Book Antiqua"/>
        </w:rPr>
        <w:t>1</w:t>
      </w:r>
      <w:r w:rsidR="00595268" w:rsidRPr="00B758E7">
        <w:rPr>
          <w:rFonts w:ascii="Book Antiqua" w:hAnsi="Book Antiqua"/>
          <w:lang w:eastAsia="zh-CN"/>
        </w:rPr>
        <w:t>-</w:t>
      </w:r>
      <w:r w:rsidR="00595268" w:rsidRPr="00B758E7">
        <w:rPr>
          <w:rFonts w:ascii="Book Antiqua" w:hAnsi="Book Antiqua"/>
        </w:rPr>
        <w:t>434-924</w:t>
      </w:r>
      <w:r w:rsidR="00B95C0A" w:rsidRPr="00B758E7">
        <w:rPr>
          <w:rFonts w:ascii="Book Antiqua" w:hAnsi="Book Antiqua"/>
        </w:rPr>
        <w:t>2626</w:t>
      </w:r>
    </w:p>
    <w:p w14:paraId="757C04A9" w14:textId="05ECB655" w:rsidR="00EA64D6" w:rsidRPr="00B758E7" w:rsidRDefault="00EA64D6" w:rsidP="00EE05FE">
      <w:pPr>
        <w:spacing w:line="360" w:lineRule="auto"/>
        <w:jc w:val="both"/>
        <w:rPr>
          <w:rFonts w:ascii="Book Antiqua" w:hAnsi="Book Antiqua"/>
          <w:b/>
        </w:rPr>
      </w:pPr>
      <w:r w:rsidRPr="00B758E7">
        <w:rPr>
          <w:rFonts w:ascii="Book Antiqua" w:hAnsi="Book Antiqua"/>
          <w:b/>
        </w:rPr>
        <w:t>Fax:</w:t>
      </w:r>
      <w:r w:rsidR="00595268" w:rsidRPr="00B758E7">
        <w:rPr>
          <w:rFonts w:ascii="Book Antiqua" w:hAnsi="Book Antiqua"/>
          <w:b/>
        </w:rPr>
        <w:t xml:space="preserve"> </w:t>
      </w:r>
      <w:r w:rsidR="00595268" w:rsidRPr="00B758E7">
        <w:rPr>
          <w:rFonts w:ascii="Book Antiqua" w:hAnsi="Book Antiqua"/>
        </w:rPr>
        <w:t>+1</w:t>
      </w:r>
      <w:r w:rsidR="00595268" w:rsidRPr="00B758E7">
        <w:rPr>
          <w:rFonts w:ascii="Book Antiqua" w:hAnsi="Book Antiqua"/>
          <w:lang w:eastAsia="zh-CN"/>
        </w:rPr>
        <w:t>-</w:t>
      </w:r>
      <w:r w:rsidR="00595268" w:rsidRPr="00B758E7">
        <w:rPr>
          <w:rFonts w:ascii="Book Antiqua" w:hAnsi="Book Antiqua"/>
        </w:rPr>
        <w:t>434-244</w:t>
      </w:r>
      <w:r w:rsidR="00B95C0A" w:rsidRPr="00B758E7">
        <w:rPr>
          <w:rFonts w:ascii="Book Antiqua" w:hAnsi="Book Antiqua"/>
        </w:rPr>
        <w:t>7586</w:t>
      </w:r>
    </w:p>
    <w:p w14:paraId="31A0E7BC" w14:textId="77777777" w:rsidR="00EA64D6" w:rsidRPr="00B758E7" w:rsidRDefault="00EA64D6" w:rsidP="00EE05FE">
      <w:pPr>
        <w:spacing w:line="360" w:lineRule="auto"/>
        <w:jc w:val="both"/>
        <w:rPr>
          <w:rFonts w:ascii="Book Antiqua" w:hAnsi="Book Antiqua" w:cs="Arial"/>
          <w:lang w:eastAsia="zh-CN"/>
        </w:rPr>
      </w:pPr>
    </w:p>
    <w:p w14:paraId="256B33C2" w14:textId="5044E906" w:rsidR="00595268" w:rsidRPr="00B758E7" w:rsidRDefault="00595268" w:rsidP="00EE05FE">
      <w:pPr>
        <w:spacing w:line="360" w:lineRule="auto"/>
        <w:jc w:val="both"/>
        <w:rPr>
          <w:rFonts w:ascii="Book Antiqua" w:hAnsi="Book Antiqua"/>
          <w:b/>
        </w:rPr>
      </w:pPr>
      <w:r w:rsidRPr="00B758E7">
        <w:rPr>
          <w:rFonts w:ascii="Book Antiqua" w:hAnsi="Book Antiqua"/>
          <w:b/>
        </w:rPr>
        <w:t>Received:</w:t>
      </w:r>
      <w:r w:rsidR="00CE2E49" w:rsidRPr="00B758E7">
        <w:rPr>
          <w:rFonts w:ascii="Book Antiqua" w:hAnsi="Book Antiqua"/>
          <w:b/>
          <w:lang w:eastAsia="zh-CN"/>
        </w:rPr>
        <w:t xml:space="preserve"> </w:t>
      </w:r>
      <w:r w:rsidR="00CE2E49" w:rsidRPr="00B758E7">
        <w:rPr>
          <w:rFonts w:ascii="Book Antiqua" w:hAnsi="Book Antiqua"/>
          <w:lang w:eastAsia="zh-CN"/>
        </w:rPr>
        <w:t>June 28, 2016</w:t>
      </w:r>
      <w:r w:rsidR="00AC64F2" w:rsidRPr="00B758E7">
        <w:rPr>
          <w:rFonts w:ascii="Book Antiqua" w:hAnsi="Book Antiqua"/>
        </w:rPr>
        <w:t xml:space="preserve"> </w:t>
      </w:r>
    </w:p>
    <w:p w14:paraId="1CAD5D37" w14:textId="37D1754C" w:rsidR="00595268" w:rsidRPr="00B758E7" w:rsidRDefault="00595268" w:rsidP="00EE05FE">
      <w:pPr>
        <w:spacing w:line="360" w:lineRule="auto"/>
        <w:jc w:val="both"/>
        <w:rPr>
          <w:rFonts w:ascii="Book Antiqua" w:hAnsi="Book Antiqua"/>
          <w:b/>
        </w:rPr>
      </w:pPr>
      <w:r w:rsidRPr="00B758E7">
        <w:rPr>
          <w:rFonts w:ascii="Book Antiqua" w:hAnsi="Book Antiqua"/>
          <w:b/>
        </w:rPr>
        <w:t>Peer-review started:</w:t>
      </w:r>
      <w:r w:rsidR="00CE2E49" w:rsidRPr="00B758E7">
        <w:rPr>
          <w:rFonts w:ascii="Book Antiqua" w:hAnsi="Book Antiqua"/>
          <w:lang w:eastAsia="zh-CN"/>
        </w:rPr>
        <w:t xml:space="preserve"> June 30, 2016</w:t>
      </w:r>
      <w:r w:rsidR="00AC64F2" w:rsidRPr="00B758E7">
        <w:rPr>
          <w:rFonts w:ascii="Book Antiqua" w:hAnsi="Book Antiqua"/>
        </w:rPr>
        <w:t xml:space="preserve"> </w:t>
      </w:r>
    </w:p>
    <w:p w14:paraId="41DDC240" w14:textId="10F16A3C" w:rsidR="00595268" w:rsidRPr="00B758E7" w:rsidRDefault="00595268" w:rsidP="00EE05FE">
      <w:pPr>
        <w:spacing w:line="360" w:lineRule="auto"/>
        <w:jc w:val="both"/>
        <w:rPr>
          <w:rFonts w:ascii="Book Antiqua" w:hAnsi="Book Antiqua"/>
          <w:b/>
          <w:lang w:eastAsia="zh-CN"/>
        </w:rPr>
      </w:pPr>
      <w:r w:rsidRPr="00B758E7">
        <w:rPr>
          <w:rFonts w:ascii="Book Antiqua" w:hAnsi="Book Antiqua"/>
          <w:b/>
        </w:rPr>
        <w:t>First decision:</w:t>
      </w:r>
      <w:r w:rsidR="00CE2E49" w:rsidRPr="00B758E7">
        <w:rPr>
          <w:rFonts w:ascii="Book Antiqua" w:hAnsi="Book Antiqua"/>
          <w:b/>
          <w:lang w:eastAsia="zh-CN"/>
        </w:rPr>
        <w:t xml:space="preserve"> </w:t>
      </w:r>
      <w:r w:rsidR="00CE2E49" w:rsidRPr="00B758E7">
        <w:rPr>
          <w:rFonts w:ascii="Book Antiqua" w:hAnsi="Book Antiqua"/>
          <w:lang w:eastAsia="zh-CN"/>
        </w:rPr>
        <w:t>August 5, 2016</w:t>
      </w:r>
    </w:p>
    <w:p w14:paraId="7371DEB9" w14:textId="153A2157" w:rsidR="00595268" w:rsidRPr="00B758E7" w:rsidRDefault="00595268" w:rsidP="00EE05FE">
      <w:pPr>
        <w:spacing w:line="360" w:lineRule="auto"/>
        <w:jc w:val="both"/>
        <w:rPr>
          <w:rFonts w:ascii="Book Antiqua" w:hAnsi="Book Antiqua"/>
          <w:b/>
        </w:rPr>
      </w:pPr>
      <w:r w:rsidRPr="00B758E7">
        <w:rPr>
          <w:rFonts w:ascii="Book Antiqua" w:hAnsi="Book Antiqua"/>
          <w:b/>
        </w:rPr>
        <w:t xml:space="preserve">Revised: </w:t>
      </w:r>
      <w:r w:rsidR="00E862DF">
        <w:rPr>
          <w:rFonts w:ascii="Book Antiqua" w:hAnsi="Book Antiqua" w:hint="eastAsia"/>
          <w:lang w:eastAsia="zh-CN"/>
        </w:rPr>
        <w:t>October 25</w:t>
      </w:r>
      <w:r w:rsidR="00CE2E49" w:rsidRPr="00B758E7">
        <w:rPr>
          <w:rFonts w:ascii="Book Antiqua" w:hAnsi="Book Antiqua"/>
          <w:lang w:eastAsia="zh-CN"/>
        </w:rPr>
        <w:t>, 2016</w:t>
      </w:r>
      <w:r w:rsidRPr="00B758E7">
        <w:rPr>
          <w:rFonts w:ascii="Book Antiqua" w:hAnsi="Book Antiqua"/>
          <w:b/>
        </w:rPr>
        <w:t xml:space="preserve"> </w:t>
      </w:r>
    </w:p>
    <w:p w14:paraId="727A585D" w14:textId="5064CE30" w:rsidR="00595268" w:rsidRPr="00EF48FF" w:rsidRDefault="00595268" w:rsidP="00EF48FF">
      <w:pPr>
        <w:rPr>
          <w:rFonts w:ascii="Book Antiqua" w:hAnsi="Book Antiqua"/>
          <w:iCs/>
        </w:rPr>
      </w:pPr>
      <w:r w:rsidRPr="00B758E7">
        <w:rPr>
          <w:rFonts w:ascii="Book Antiqua" w:hAnsi="Book Antiqua"/>
          <w:b/>
        </w:rPr>
        <w:t>Accepted:</w:t>
      </w:r>
      <w:r w:rsidR="00AC64F2" w:rsidRPr="00B758E7">
        <w:rPr>
          <w:rFonts w:ascii="Book Antiqua" w:hAnsi="Book Antiqua"/>
          <w:b/>
        </w:rPr>
        <w:t xml:space="preserve"> </w:t>
      </w:r>
      <w:r w:rsidR="00EF48FF">
        <w:rPr>
          <w:rStyle w:val="Emphasis"/>
        </w:rPr>
        <w:t>November</w:t>
      </w:r>
      <w:r w:rsidR="00EF48FF">
        <w:rPr>
          <w:rStyle w:val="Emphasis"/>
          <w:rFonts w:ascii="宋体" w:hAnsi="宋体" w:cs="宋体" w:hint="eastAsia"/>
        </w:rPr>
        <w:t xml:space="preserve"> 16</w:t>
      </w:r>
      <w:r w:rsidR="00EF48FF" w:rsidRPr="00235CD4">
        <w:rPr>
          <w:rStyle w:val="Emphasis"/>
        </w:rPr>
        <w:t>,</w:t>
      </w:r>
      <w:r w:rsidR="00EF48FF">
        <w:rPr>
          <w:rStyle w:val="Emphasis"/>
        </w:rPr>
        <w:t xml:space="preserve"> 2016</w:t>
      </w:r>
      <w:bookmarkStart w:id="4" w:name="_GoBack"/>
      <w:bookmarkEnd w:id="4"/>
    </w:p>
    <w:p w14:paraId="5A9CDD0C" w14:textId="4DFE1161" w:rsidR="00595268" w:rsidRPr="00B758E7" w:rsidRDefault="00595268" w:rsidP="00EE05FE">
      <w:pPr>
        <w:spacing w:line="360" w:lineRule="auto"/>
        <w:jc w:val="both"/>
        <w:rPr>
          <w:rFonts w:ascii="Book Antiqua" w:hAnsi="Book Antiqua"/>
          <w:b/>
        </w:rPr>
      </w:pPr>
      <w:r w:rsidRPr="00B758E7">
        <w:rPr>
          <w:rFonts w:ascii="Book Antiqua" w:hAnsi="Book Antiqua"/>
          <w:b/>
        </w:rPr>
        <w:t>Article in press:</w:t>
      </w:r>
      <w:r w:rsidR="00AC64F2" w:rsidRPr="00B758E7">
        <w:rPr>
          <w:rFonts w:ascii="Book Antiqua" w:hAnsi="Book Antiqua"/>
        </w:rPr>
        <w:t xml:space="preserve"> </w:t>
      </w:r>
    </w:p>
    <w:p w14:paraId="4ED8F98A" w14:textId="77777777" w:rsidR="00595268" w:rsidRPr="00B758E7" w:rsidRDefault="00595268" w:rsidP="00EE05FE">
      <w:pPr>
        <w:spacing w:line="360" w:lineRule="auto"/>
        <w:jc w:val="both"/>
        <w:rPr>
          <w:rFonts w:ascii="Book Antiqua" w:hAnsi="Book Antiqua"/>
          <w:b/>
        </w:rPr>
      </w:pPr>
      <w:r w:rsidRPr="00B758E7">
        <w:rPr>
          <w:rFonts w:ascii="Book Antiqua" w:hAnsi="Book Antiqua"/>
          <w:b/>
        </w:rPr>
        <w:t xml:space="preserve">Published online: </w:t>
      </w:r>
    </w:p>
    <w:p w14:paraId="651B83B7" w14:textId="77777777" w:rsidR="00595268" w:rsidRPr="00B758E7" w:rsidRDefault="00595268" w:rsidP="00EE05FE">
      <w:pPr>
        <w:spacing w:line="360" w:lineRule="auto"/>
        <w:jc w:val="both"/>
        <w:rPr>
          <w:rFonts w:ascii="Book Antiqua" w:hAnsi="Book Antiqua" w:cs="Arial"/>
          <w:lang w:eastAsia="zh-CN"/>
        </w:rPr>
      </w:pPr>
    </w:p>
    <w:p w14:paraId="6C5B439A" w14:textId="77777777" w:rsidR="00CE2E49" w:rsidRPr="00B758E7" w:rsidRDefault="00964EEB" w:rsidP="00EE05FE">
      <w:pPr>
        <w:spacing w:line="360" w:lineRule="auto"/>
        <w:jc w:val="both"/>
        <w:rPr>
          <w:rFonts w:ascii="Book Antiqua" w:hAnsi="Book Antiqua" w:cs="Arial"/>
          <w:lang w:eastAsia="zh-CN"/>
        </w:rPr>
      </w:pPr>
      <w:r w:rsidRPr="00B758E7">
        <w:rPr>
          <w:rFonts w:ascii="Book Antiqua" w:hAnsi="Book Antiqua" w:cs="Arial"/>
        </w:rPr>
        <w:br w:type="page"/>
      </w:r>
    </w:p>
    <w:p w14:paraId="40EE7D74" w14:textId="74F2662C" w:rsidR="00CE2E49" w:rsidRPr="00B758E7" w:rsidRDefault="00CE2E49" w:rsidP="00EE05FE">
      <w:pPr>
        <w:spacing w:line="360" w:lineRule="auto"/>
        <w:jc w:val="both"/>
        <w:rPr>
          <w:rFonts w:ascii="Book Antiqua" w:hAnsi="Book Antiqua" w:cs="Arial"/>
          <w:b/>
          <w:lang w:eastAsia="zh-CN"/>
        </w:rPr>
      </w:pPr>
      <w:r w:rsidRPr="00B758E7">
        <w:rPr>
          <w:rFonts w:ascii="Book Antiqua" w:hAnsi="Book Antiqua" w:cs="Arial"/>
          <w:b/>
          <w:lang w:eastAsia="zh-CN"/>
        </w:rPr>
        <w:lastRenderedPageBreak/>
        <w:t>Abstract</w:t>
      </w:r>
    </w:p>
    <w:p w14:paraId="12468A04" w14:textId="749C4BC3" w:rsidR="00CE2E49" w:rsidRPr="00B758E7" w:rsidRDefault="00CE2E49" w:rsidP="00EE05FE">
      <w:pPr>
        <w:spacing w:line="360" w:lineRule="auto"/>
        <w:jc w:val="both"/>
        <w:rPr>
          <w:rFonts w:ascii="Book Antiqua" w:hAnsi="Book Antiqua" w:cs="Arial"/>
          <w:i/>
          <w:lang w:eastAsia="zh-CN"/>
        </w:rPr>
      </w:pPr>
      <w:r w:rsidRPr="00B758E7">
        <w:rPr>
          <w:rFonts w:ascii="Book Antiqua" w:hAnsi="Book Antiqua" w:cs="Arial"/>
          <w:b/>
          <w:i/>
        </w:rPr>
        <w:t>AIM</w:t>
      </w:r>
    </w:p>
    <w:p w14:paraId="726CCB56" w14:textId="1727BBFE" w:rsidR="005C05E2" w:rsidRPr="00B758E7" w:rsidRDefault="00520CF6" w:rsidP="00EE05FE">
      <w:pPr>
        <w:spacing w:line="360" w:lineRule="auto"/>
        <w:jc w:val="both"/>
        <w:rPr>
          <w:rFonts w:ascii="Book Antiqua" w:hAnsi="Book Antiqua"/>
          <w:lang w:eastAsia="zh-CN"/>
        </w:rPr>
      </w:pPr>
      <w:r w:rsidRPr="00B758E7">
        <w:rPr>
          <w:rFonts w:ascii="Book Antiqua" w:hAnsi="Book Antiqua"/>
          <w:lang w:eastAsia="zh-CN"/>
        </w:rPr>
        <w:t xml:space="preserve">To </w:t>
      </w:r>
      <w:r w:rsidRPr="00B758E7">
        <w:rPr>
          <w:rFonts w:ascii="Book Antiqua" w:hAnsi="Book Antiqua"/>
        </w:rPr>
        <w:t>i</w:t>
      </w:r>
      <w:r w:rsidR="005C05E2" w:rsidRPr="00B758E7">
        <w:rPr>
          <w:rFonts w:ascii="Book Antiqua" w:hAnsi="Book Antiqua"/>
        </w:rPr>
        <w:t xml:space="preserve">nvestigate the incidence of </w:t>
      </w:r>
      <w:r w:rsidRPr="00B758E7">
        <w:rPr>
          <w:rFonts w:ascii="Book Antiqua" w:hAnsi="Book Antiqua"/>
        </w:rPr>
        <w:t>spontaneous bacterial peritonitis (SBP)</w:t>
      </w:r>
      <w:r w:rsidR="005C05E2" w:rsidRPr="00B758E7">
        <w:rPr>
          <w:rFonts w:ascii="Book Antiqua" w:hAnsi="Book Antiqua"/>
        </w:rPr>
        <w:t xml:space="preserve"> in pre-transplant patients and its effect on post transplant mortality and graft failure.</w:t>
      </w:r>
      <w:r w:rsidR="00AC64F2" w:rsidRPr="00B758E7">
        <w:rPr>
          <w:rFonts w:ascii="Book Antiqua" w:hAnsi="Book Antiqua"/>
        </w:rPr>
        <w:t xml:space="preserve"> </w:t>
      </w:r>
    </w:p>
    <w:p w14:paraId="3BE48E68" w14:textId="77777777" w:rsidR="00520CF6" w:rsidRPr="00B758E7" w:rsidRDefault="00520CF6" w:rsidP="00EE05FE">
      <w:pPr>
        <w:spacing w:line="360" w:lineRule="auto"/>
        <w:jc w:val="both"/>
        <w:rPr>
          <w:rFonts w:ascii="Book Antiqua" w:hAnsi="Book Antiqua"/>
          <w:lang w:eastAsia="zh-CN"/>
        </w:rPr>
      </w:pPr>
    </w:p>
    <w:p w14:paraId="3049A6B6" w14:textId="24BABEAA" w:rsidR="00520CF6" w:rsidRPr="00B758E7" w:rsidRDefault="00520CF6" w:rsidP="00EE05FE">
      <w:pPr>
        <w:spacing w:line="360" w:lineRule="auto"/>
        <w:jc w:val="both"/>
        <w:rPr>
          <w:rFonts w:ascii="Book Antiqua" w:hAnsi="Book Antiqua"/>
          <w:b/>
          <w:i/>
          <w:lang w:eastAsia="zh-CN"/>
        </w:rPr>
      </w:pPr>
      <w:r w:rsidRPr="00B758E7">
        <w:rPr>
          <w:rFonts w:ascii="Book Antiqua" w:hAnsi="Book Antiqua"/>
          <w:b/>
          <w:i/>
        </w:rPr>
        <w:t>METHODS</w:t>
      </w:r>
    </w:p>
    <w:p w14:paraId="11BB980B" w14:textId="01469E90" w:rsidR="005C05E2" w:rsidRPr="00B758E7" w:rsidRDefault="005C05E2" w:rsidP="00EE05FE">
      <w:pPr>
        <w:spacing w:line="360" w:lineRule="auto"/>
        <w:jc w:val="both"/>
        <w:rPr>
          <w:rFonts w:ascii="Book Antiqua" w:hAnsi="Book Antiqua"/>
          <w:lang w:eastAsia="zh-CN"/>
        </w:rPr>
      </w:pPr>
      <w:r w:rsidRPr="00B758E7">
        <w:rPr>
          <w:rFonts w:ascii="Book Antiqua" w:hAnsi="Book Antiqua"/>
        </w:rPr>
        <w:t>We conducted a retrospective cohort study of patient records from the OPTN data set.</w:t>
      </w:r>
      <w:r w:rsidR="00AC64F2" w:rsidRPr="00B758E7">
        <w:rPr>
          <w:rFonts w:ascii="Book Antiqua" w:hAnsi="Book Antiqua"/>
        </w:rPr>
        <w:t xml:space="preserve"> </w:t>
      </w:r>
      <w:r w:rsidRPr="00B758E7">
        <w:rPr>
          <w:rFonts w:ascii="Book Antiqua" w:hAnsi="Book Antiqua"/>
        </w:rPr>
        <w:t xml:space="preserve">Patients were identified by the presence of </w:t>
      </w:r>
      <w:r w:rsidR="00520CF6" w:rsidRPr="00B758E7">
        <w:rPr>
          <w:rFonts w:ascii="Book Antiqua" w:hAnsi="Book Antiqua"/>
        </w:rPr>
        <w:t>SBP</w:t>
      </w:r>
      <w:r w:rsidRPr="00B758E7">
        <w:rPr>
          <w:rFonts w:ascii="Book Antiqua" w:hAnsi="Book Antiqua"/>
        </w:rPr>
        <w:t xml:space="preserve"> pre-transplant. </w:t>
      </w:r>
      <w:proofErr w:type="spellStart"/>
      <w:r w:rsidRPr="00B758E7">
        <w:rPr>
          <w:rFonts w:ascii="Book Antiqua" w:hAnsi="Book Antiqua"/>
        </w:rPr>
        <w:t>Univariate</w:t>
      </w:r>
      <w:proofErr w:type="spellEnd"/>
      <w:r w:rsidRPr="00B758E7">
        <w:rPr>
          <w:rFonts w:ascii="Book Antiqua" w:hAnsi="Book Antiqua"/>
        </w:rPr>
        <w:t xml:space="preserve"> post-transplant survival models were constructed using the Kaplan-Meier technique and multivariate models were constructed using the Cox proportional hazards model.</w:t>
      </w:r>
      <w:r w:rsidR="00AC64F2" w:rsidRPr="00B758E7">
        <w:rPr>
          <w:rFonts w:ascii="Book Antiqua" w:hAnsi="Book Antiqua"/>
        </w:rPr>
        <w:t xml:space="preserve"> </w:t>
      </w:r>
      <w:r w:rsidRPr="00B758E7">
        <w:rPr>
          <w:rFonts w:ascii="Book Antiqua" w:hAnsi="Book Antiqua"/>
        </w:rPr>
        <w:t>Variables that affected post-transplant graft survival were identified in the SBP population.</w:t>
      </w:r>
      <w:r w:rsidR="00AC64F2" w:rsidRPr="00B758E7">
        <w:rPr>
          <w:rFonts w:ascii="Book Antiqua" w:hAnsi="Book Antiqua"/>
        </w:rPr>
        <w:t xml:space="preserve"> </w:t>
      </w:r>
    </w:p>
    <w:p w14:paraId="0F71D0EE" w14:textId="77777777" w:rsidR="00520CF6" w:rsidRPr="00B758E7" w:rsidRDefault="00520CF6" w:rsidP="00EE05FE">
      <w:pPr>
        <w:spacing w:line="360" w:lineRule="auto"/>
        <w:jc w:val="both"/>
        <w:rPr>
          <w:rFonts w:ascii="Book Antiqua" w:hAnsi="Book Antiqua"/>
          <w:lang w:eastAsia="zh-CN"/>
        </w:rPr>
      </w:pPr>
    </w:p>
    <w:p w14:paraId="3128EE91" w14:textId="3A2E6A29" w:rsidR="00520CF6" w:rsidRPr="00B758E7" w:rsidRDefault="00520CF6" w:rsidP="00EE05FE">
      <w:pPr>
        <w:spacing w:line="360" w:lineRule="auto"/>
        <w:jc w:val="both"/>
        <w:rPr>
          <w:rFonts w:ascii="Book Antiqua" w:hAnsi="Book Antiqua"/>
          <w:b/>
          <w:i/>
          <w:lang w:eastAsia="zh-CN"/>
        </w:rPr>
      </w:pPr>
      <w:r w:rsidRPr="00B758E7">
        <w:rPr>
          <w:rFonts w:ascii="Book Antiqua" w:hAnsi="Book Antiqua"/>
          <w:b/>
          <w:i/>
        </w:rPr>
        <w:t>RESULTS</w:t>
      </w:r>
    </w:p>
    <w:p w14:paraId="13E7DEE1" w14:textId="5FF63CC1" w:rsidR="005C05E2" w:rsidRPr="00B758E7" w:rsidRDefault="00AC64F2" w:rsidP="00EE05FE">
      <w:pPr>
        <w:spacing w:line="360" w:lineRule="auto"/>
        <w:jc w:val="both"/>
        <w:rPr>
          <w:rFonts w:ascii="Book Antiqua" w:hAnsi="Book Antiqua"/>
          <w:lang w:eastAsia="zh-CN"/>
        </w:rPr>
      </w:pPr>
      <w:r w:rsidRPr="00B758E7">
        <w:rPr>
          <w:rFonts w:ascii="Book Antiqua" w:hAnsi="Book Antiqua"/>
        </w:rPr>
        <w:t>Forty-seven thousand eight hundred and eighty</w:t>
      </w:r>
      <w:r w:rsidR="005C05E2" w:rsidRPr="00B758E7">
        <w:rPr>
          <w:rFonts w:ascii="Book Antiqua" w:hAnsi="Book Antiqua"/>
        </w:rPr>
        <w:t xml:space="preserve"> patient records were included in the </w:t>
      </w:r>
      <w:r w:rsidRPr="00B758E7">
        <w:rPr>
          <w:rFonts w:ascii="Book Antiqua" w:hAnsi="Book Antiqua"/>
        </w:rPr>
        <w:t>analysis for both groups, and 1</w:t>
      </w:r>
      <w:r w:rsidR="005C05E2" w:rsidRPr="00B758E7">
        <w:rPr>
          <w:rFonts w:ascii="Book Antiqua" w:hAnsi="Book Antiqua"/>
        </w:rPr>
        <w:t>966 (4.11%) patients were identified in the data set as having pre-transplant SBP.</w:t>
      </w:r>
      <w:r w:rsidRPr="00B758E7">
        <w:rPr>
          <w:rFonts w:ascii="Book Antiqua" w:hAnsi="Book Antiqua"/>
        </w:rPr>
        <w:t xml:space="preserve"> </w:t>
      </w:r>
      <w:r w:rsidR="008D4813" w:rsidRPr="00B758E7">
        <w:rPr>
          <w:rFonts w:ascii="Book Antiqua" w:hAnsi="Book Antiqua"/>
        </w:rPr>
        <w:t>Patients that had pre-transplant SBP had higher rates of graft l</w:t>
      </w:r>
      <w:r w:rsidRPr="00B758E7">
        <w:rPr>
          <w:rFonts w:ascii="Book Antiqua" w:hAnsi="Book Antiqua"/>
        </w:rPr>
        <w:t xml:space="preserve">oss from recurrent </w:t>
      </w:r>
      <w:r w:rsidR="003633B2" w:rsidRPr="00B758E7">
        <w:rPr>
          <w:rFonts w:ascii="Book Antiqua" w:hAnsi="Book Antiqua"/>
        </w:rPr>
        <w:t xml:space="preserve">hepatitis C </w:t>
      </w:r>
      <w:r w:rsidR="003633B2" w:rsidRPr="00B758E7">
        <w:rPr>
          <w:rFonts w:ascii="Book Antiqua" w:hAnsi="Book Antiqua"/>
          <w:lang w:eastAsia="zh-CN"/>
        </w:rPr>
        <w:t xml:space="preserve">virus </w:t>
      </w:r>
      <w:r w:rsidR="003633B2" w:rsidRPr="00B758E7">
        <w:rPr>
          <w:rFonts w:ascii="Book Antiqua" w:hAnsi="Book Antiqua"/>
        </w:rPr>
        <w:t>(HCV)</w:t>
      </w:r>
      <w:r w:rsidRPr="00B758E7">
        <w:rPr>
          <w:rFonts w:ascii="Book Antiqua" w:hAnsi="Book Antiqua"/>
        </w:rPr>
        <w:t xml:space="preserve"> (3.6% </w:t>
      </w:r>
      <w:proofErr w:type="spellStart"/>
      <w:r w:rsidRPr="00B758E7">
        <w:rPr>
          <w:rFonts w:ascii="Book Antiqua" w:hAnsi="Book Antiqua"/>
          <w:i/>
        </w:rPr>
        <w:t>vs</w:t>
      </w:r>
      <w:proofErr w:type="spellEnd"/>
      <w:r w:rsidR="008D4813" w:rsidRPr="00B758E7">
        <w:rPr>
          <w:rFonts w:ascii="Book Antiqua" w:hAnsi="Book Antiqua"/>
        </w:rPr>
        <w:t xml:space="preserve"> 2.0%, </w:t>
      </w:r>
      <w:r w:rsidRPr="00B758E7">
        <w:rPr>
          <w:rFonts w:ascii="Book Antiqua" w:hAnsi="Book Antiqua"/>
          <w:i/>
        </w:rPr>
        <w:t>P</w:t>
      </w:r>
      <w:r w:rsidRPr="00B758E7">
        <w:rPr>
          <w:rFonts w:ascii="Book Antiqua" w:hAnsi="Book Antiqua"/>
          <w:lang w:eastAsia="zh-CN"/>
        </w:rPr>
        <w:t xml:space="preserve"> </w:t>
      </w:r>
      <w:r w:rsidR="008D4813" w:rsidRPr="00B758E7">
        <w:rPr>
          <w:rFonts w:ascii="Book Antiqua" w:hAnsi="Book Antiqua"/>
        </w:rPr>
        <w:t>&lt;</w:t>
      </w:r>
      <w:r w:rsidRPr="00B758E7">
        <w:rPr>
          <w:rFonts w:ascii="Book Antiqua" w:hAnsi="Book Antiqua"/>
          <w:lang w:eastAsia="zh-CN"/>
        </w:rPr>
        <w:t xml:space="preserve"> </w:t>
      </w:r>
      <w:r w:rsidR="008D4813" w:rsidRPr="00B758E7">
        <w:rPr>
          <w:rFonts w:ascii="Book Antiqua" w:hAnsi="Book Antiqua"/>
        </w:rPr>
        <w:t xml:space="preserve">0.0001), infections leading to graft loss (1.9% </w:t>
      </w:r>
      <w:proofErr w:type="spellStart"/>
      <w:r w:rsidR="008D4813" w:rsidRPr="00B758E7">
        <w:rPr>
          <w:rFonts w:ascii="Book Antiqua" w:hAnsi="Book Antiqua"/>
          <w:i/>
        </w:rPr>
        <w:t>vs</w:t>
      </w:r>
      <w:proofErr w:type="spellEnd"/>
      <w:r w:rsidR="008D4813" w:rsidRPr="00B758E7">
        <w:rPr>
          <w:rFonts w:ascii="Book Antiqua" w:hAnsi="Book Antiqua"/>
        </w:rPr>
        <w:t xml:space="preserve"> 1.3%, </w:t>
      </w:r>
      <w:r w:rsidRPr="00B758E7">
        <w:rPr>
          <w:rFonts w:ascii="Book Antiqua" w:hAnsi="Book Antiqua"/>
          <w:i/>
        </w:rPr>
        <w:t>P</w:t>
      </w:r>
      <w:r w:rsidRPr="00B758E7">
        <w:rPr>
          <w:rFonts w:ascii="Book Antiqua" w:hAnsi="Book Antiqua"/>
        </w:rPr>
        <w:t xml:space="preserve"> </w:t>
      </w:r>
      <w:r w:rsidR="008D4813" w:rsidRPr="00B758E7">
        <w:rPr>
          <w:rFonts w:ascii="Book Antiqua" w:hAnsi="Book Antiqua"/>
        </w:rPr>
        <w:t>=</w:t>
      </w:r>
      <w:r w:rsidRPr="00B758E7">
        <w:rPr>
          <w:rFonts w:ascii="Book Antiqua" w:hAnsi="Book Antiqua"/>
          <w:lang w:eastAsia="zh-CN"/>
        </w:rPr>
        <w:t xml:space="preserve"> </w:t>
      </w:r>
      <w:r w:rsidR="008D4813" w:rsidRPr="00B758E7">
        <w:rPr>
          <w:rFonts w:ascii="Book Antiqua" w:hAnsi="Book Antiqua"/>
        </w:rPr>
        <w:t xml:space="preserve">0.02), primary non-function (4.3% </w:t>
      </w:r>
      <w:proofErr w:type="spellStart"/>
      <w:r w:rsidRPr="00B758E7">
        <w:rPr>
          <w:rFonts w:ascii="Book Antiqua" w:hAnsi="Book Antiqua"/>
          <w:i/>
        </w:rPr>
        <w:t>vs</w:t>
      </w:r>
      <w:proofErr w:type="spellEnd"/>
      <w:r w:rsidR="008D4813" w:rsidRPr="00B758E7">
        <w:rPr>
          <w:rFonts w:ascii="Book Antiqua" w:hAnsi="Book Antiqua"/>
        </w:rPr>
        <w:t xml:space="preserve"> 3.0%, </w:t>
      </w:r>
      <w:r w:rsidRPr="00B758E7">
        <w:rPr>
          <w:rFonts w:ascii="Book Antiqua" w:hAnsi="Book Antiqua"/>
          <w:i/>
        </w:rPr>
        <w:t>P</w:t>
      </w:r>
      <w:r w:rsidRPr="00B758E7">
        <w:rPr>
          <w:rFonts w:ascii="Book Antiqua" w:hAnsi="Book Antiqua"/>
        </w:rPr>
        <w:t xml:space="preserve"> </w:t>
      </w:r>
      <w:r w:rsidR="008D4813" w:rsidRPr="00B758E7">
        <w:rPr>
          <w:rFonts w:ascii="Book Antiqua" w:hAnsi="Book Antiqua"/>
        </w:rPr>
        <w:t>&lt;</w:t>
      </w:r>
      <w:r w:rsidRPr="00B758E7">
        <w:rPr>
          <w:rFonts w:ascii="Book Antiqua" w:hAnsi="Book Antiqua"/>
          <w:lang w:eastAsia="zh-CN"/>
        </w:rPr>
        <w:t xml:space="preserve"> </w:t>
      </w:r>
      <w:r w:rsidR="008D4813" w:rsidRPr="00B758E7">
        <w:rPr>
          <w:rFonts w:ascii="Book Antiqua" w:hAnsi="Book Antiqua"/>
        </w:rPr>
        <w:t xml:space="preserve">0.0001) and chronic rejection (1.1% </w:t>
      </w:r>
      <w:proofErr w:type="spellStart"/>
      <w:r w:rsidRPr="00B758E7">
        <w:rPr>
          <w:rFonts w:ascii="Book Antiqua" w:hAnsi="Book Antiqua"/>
          <w:i/>
        </w:rPr>
        <w:t>vs</w:t>
      </w:r>
      <w:proofErr w:type="spellEnd"/>
      <w:r w:rsidR="008D4813" w:rsidRPr="00B758E7">
        <w:rPr>
          <w:rFonts w:ascii="Book Antiqua" w:hAnsi="Book Antiqua"/>
        </w:rPr>
        <w:t xml:space="preserve"> 0.7%, </w:t>
      </w:r>
      <w:r w:rsidRPr="00B758E7">
        <w:rPr>
          <w:rFonts w:ascii="Book Antiqua" w:hAnsi="Book Antiqua"/>
          <w:i/>
        </w:rPr>
        <w:t>P</w:t>
      </w:r>
      <w:r w:rsidRPr="00B758E7">
        <w:rPr>
          <w:rFonts w:ascii="Book Antiqua" w:hAnsi="Book Antiqua"/>
        </w:rPr>
        <w:t xml:space="preserve"> </w:t>
      </w:r>
      <w:r w:rsidR="008D4813" w:rsidRPr="00B758E7">
        <w:rPr>
          <w:rFonts w:ascii="Book Antiqua" w:hAnsi="Book Antiqua"/>
        </w:rPr>
        <w:t>=</w:t>
      </w:r>
      <w:r w:rsidRPr="00B758E7">
        <w:rPr>
          <w:rFonts w:ascii="Book Antiqua" w:hAnsi="Book Antiqua"/>
          <w:lang w:eastAsia="zh-CN"/>
        </w:rPr>
        <w:t xml:space="preserve"> </w:t>
      </w:r>
      <w:r w:rsidR="008D4813" w:rsidRPr="00B758E7">
        <w:rPr>
          <w:rFonts w:ascii="Book Antiqua" w:hAnsi="Book Antiqua"/>
        </w:rPr>
        <w:t>0.04).</w:t>
      </w:r>
      <w:r w:rsidRPr="00B758E7">
        <w:rPr>
          <w:rFonts w:ascii="Book Antiqua" w:hAnsi="Book Antiqua"/>
        </w:rPr>
        <w:t xml:space="preserve"> </w:t>
      </w:r>
      <w:r w:rsidR="008D4813" w:rsidRPr="00B758E7">
        <w:rPr>
          <w:rFonts w:ascii="Book Antiqua" w:hAnsi="Book Antiqua"/>
        </w:rPr>
        <w:t xml:space="preserve">Kaplan-Meier survival analysis showed a statistically significant difference in all-cause survival in patients with a history of SBP </w:t>
      </w:r>
      <w:proofErr w:type="spellStart"/>
      <w:r w:rsidR="008D4813" w:rsidRPr="00B758E7">
        <w:rPr>
          <w:rFonts w:ascii="Book Antiqua" w:hAnsi="Book Antiqua"/>
          <w:i/>
        </w:rPr>
        <w:t>vs</w:t>
      </w:r>
      <w:proofErr w:type="spellEnd"/>
      <w:r w:rsidR="008D4813" w:rsidRPr="00B758E7">
        <w:rPr>
          <w:rFonts w:ascii="Book Antiqua" w:hAnsi="Book Antiqua"/>
        </w:rPr>
        <w:t xml:space="preserve"> those without (</w:t>
      </w:r>
      <w:r w:rsidRPr="00B758E7">
        <w:rPr>
          <w:rFonts w:ascii="Book Antiqua" w:hAnsi="Book Antiqua"/>
          <w:i/>
        </w:rPr>
        <w:t>P</w:t>
      </w:r>
      <w:r w:rsidRPr="00B758E7">
        <w:rPr>
          <w:rFonts w:ascii="Book Antiqua" w:hAnsi="Book Antiqua"/>
        </w:rPr>
        <w:t xml:space="preserve"> </w:t>
      </w:r>
      <w:r w:rsidR="008D4813" w:rsidRPr="00B758E7">
        <w:rPr>
          <w:rFonts w:ascii="Book Antiqua" w:hAnsi="Book Antiqua"/>
        </w:rPr>
        <w:t>&lt;</w:t>
      </w:r>
      <w:r w:rsidRPr="00B758E7">
        <w:rPr>
          <w:rFonts w:ascii="Book Antiqua" w:hAnsi="Book Antiqua"/>
          <w:lang w:eastAsia="zh-CN"/>
        </w:rPr>
        <w:t xml:space="preserve"> </w:t>
      </w:r>
      <w:r w:rsidR="008D4813" w:rsidRPr="00B758E7">
        <w:rPr>
          <w:rFonts w:ascii="Book Antiqua" w:hAnsi="Book Antiqua"/>
        </w:rPr>
        <w:t>0.0001).</w:t>
      </w:r>
      <w:r w:rsidRPr="00B758E7">
        <w:rPr>
          <w:rFonts w:ascii="Book Antiqua" w:hAnsi="Book Antiqua"/>
        </w:rPr>
        <w:t xml:space="preserve"> </w:t>
      </w:r>
      <w:r w:rsidR="008D4813" w:rsidRPr="00B758E7">
        <w:rPr>
          <w:rFonts w:ascii="Book Antiqua" w:hAnsi="Book Antiqua"/>
        </w:rPr>
        <w:t>Pre-transplant history of SBP was independently predictive of mortality due to recurrent HCV (HR 1.11, 95%CI</w:t>
      </w:r>
      <w:r w:rsidRPr="00B758E7">
        <w:rPr>
          <w:rFonts w:ascii="Book Antiqua" w:hAnsi="Book Antiqua"/>
          <w:lang w:eastAsia="zh-CN"/>
        </w:rPr>
        <w:t>:</w:t>
      </w:r>
      <w:r w:rsidR="008D4813" w:rsidRPr="00B758E7">
        <w:rPr>
          <w:rFonts w:ascii="Book Antiqua" w:hAnsi="Book Antiqua"/>
        </w:rPr>
        <w:t xml:space="preserve"> 1.02-1.21, </w:t>
      </w:r>
      <w:r w:rsidRPr="00B758E7">
        <w:rPr>
          <w:rFonts w:ascii="Book Antiqua" w:hAnsi="Book Antiqua"/>
          <w:i/>
        </w:rPr>
        <w:t>P</w:t>
      </w:r>
      <w:r w:rsidRPr="00B758E7">
        <w:rPr>
          <w:rFonts w:ascii="Book Antiqua" w:hAnsi="Book Antiqua"/>
        </w:rPr>
        <w:t xml:space="preserve"> </w:t>
      </w:r>
      <w:r w:rsidR="008D4813" w:rsidRPr="00B758E7">
        <w:rPr>
          <w:rFonts w:ascii="Book Antiqua" w:hAnsi="Book Antiqua"/>
        </w:rPr>
        <w:t>&lt;</w:t>
      </w:r>
      <w:r w:rsidRPr="00B758E7">
        <w:rPr>
          <w:rFonts w:ascii="Book Antiqua" w:hAnsi="Book Antiqua"/>
          <w:lang w:eastAsia="zh-CN"/>
        </w:rPr>
        <w:t xml:space="preserve"> </w:t>
      </w:r>
      <w:r w:rsidR="008D4813" w:rsidRPr="00B758E7">
        <w:rPr>
          <w:rFonts w:ascii="Book Antiqua" w:hAnsi="Book Antiqua"/>
        </w:rPr>
        <w:t>0.017) after liver transplantation.</w:t>
      </w:r>
    </w:p>
    <w:p w14:paraId="630A2B64" w14:textId="77777777" w:rsidR="003633B2" w:rsidRPr="00B758E7" w:rsidRDefault="003633B2" w:rsidP="00EE05FE">
      <w:pPr>
        <w:spacing w:line="360" w:lineRule="auto"/>
        <w:jc w:val="both"/>
        <w:rPr>
          <w:rFonts w:ascii="Book Antiqua" w:hAnsi="Book Antiqua"/>
          <w:lang w:eastAsia="zh-CN"/>
        </w:rPr>
      </w:pPr>
    </w:p>
    <w:p w14:paraId="5F52D3B9" w14:textId="10C91820" w:rsidR="003633B2" w:rsidRPr="00B758E7" w:rsidRDefault="003633B2" w:rsidP="00EE05FE">
      <w:pPr>
        <w:spacing w:line="360" w:lineRule="auto"/>
        <w:jc w:val="both"/>
        <w:rPr>
          <w:rFonts w:ascii="Book Antiqua" w:hAnsi="Book Antiqua"/>
          <w:b/>
          <w:i/>
          <w:lang w:eastAsia="zh-CN"/>
        </w:rPr>
      </w:pPr>
      <w:r w:rsidRPr="00B758E7">
        <w:rPr>
          <w:rFonts w:ascii="Book Antiqua" w:hAnsi="Book Antiqua"/>
          <w:b/>
          <w:i/>
        </w:rPr>
        <w:t>CONCLUSION</w:t>
      </w:r>
    </w:p>
    <w:p w14:paraId="1FA3C4B1" w14:textId="07915852" w:rsidR="00580831" w:rsidRPr="00B758E7" w:rsidRDefault="00580831" w:rsidP="00EE05FE">
      <w:pPr>
        <w:spacing w:line="360" w:lineRule="auto"/>
        <w:jc w:val="both"/>
        <w:rPr>
          <w:rFonts w:ascii="Book Antiqua" w:hAnsi="Book Antiqua"/>
        </w:rPr>
      </w:pPr>
      <w:r w:rsidRPr="00B758E7">
        <w:rPr>
          <w:rFonts w:ascii="Book Antiqua" w:hAnsi="Book Antiqua"/>
        </w:rPr>
        <w:t>HCV patients prior to the advent of directing acting anti-viral agents had a higher incidence of pre-transplant SBP than other patients on the liver transplant wait list. SBP history pre-transplant resulted in a higher rate of graft loss due to recurrent HCV infection and chronic rejection.</w:t>
      </w:r>
      <w:r w:rsidR="00AC64F2" w:rsidRPr="00B758E7">
        <w:rPr>
          <w:rFonts w:ascii="Book Antiqua" w:hAnsi="Book Antiqua"/>
        </w:rPr>
        <w:t xml:space="preserve"> </w:t>
      </w:r>
    </w:p>
    <w:p w14:paraId="6B824080" w14:textId="77777777" w:rsidR="00580831" w:rsidRPr="00B758E7" w:rsidRDefault="00580831" w:rsidP="00EE05FE">
      <w:pPr>
        <w:spacing w:line="360" w:lineRule="auto"/>
        <w:jc w:val="both"/>
        <w:rPr>
          <w:rFonts w:ascii="Book Antiqua" w:hAnsi="Book Antiqua"/>
        </w:rPr>
      </w:pPr>
    </w:p>
    <w:p w14:paraId="7EF158E5" w14:textId="2BDF3EA6" w:rsidR="00580831" w:rsidRPr="00B758E7" w:rsidRDefault="00580831" w:rsidP="00EE05FE">
      <w:pPr>
        <w:spacing w:line="360" w:lineRule="auto"/>
        <w:jc w:val="both"/>
        <w:rPr>
          <w:rFonts w:ascii="Book Antiqua" w:hAnsi="Book Antiqua"/>
          <w:lang w:eastAsia="zh-CN"/>
        </w:rPr>
      </w:pPr>
      <w:r w:rsidRPr="00B758E7">
        <w:rPr>
          <w:rFonts w:ascii="Book Antiqua" w:hAnsi="Book Antiqua"/>
          <w:b/>
        </w:rPr>
        <w:t xml:space="preserve">Key </w:t>
      </w:r>
      <w:r w:rsidR="00B758E7" w:rsidRPr="00B758E7">
        <w:rPr>
          <w:rFonts w:ascii="Book Antiqua" w:hAnsi="Book Antiqua"/>
          <w:b/>
        </w:rPr>
        <w:t>w</w:t>
      </w:r>
      <w:r w:rsidRPr="00B758E7">
        <w:rPr>
          <w:rFonts w:ascii="Book Antiqua" w:hAnsi="Book Antiqua"/>
          <w:b/>
        </w:rPr>
        <w:t xml:space="preserve">ords: </w:t>
      </w:r>
      <w:r w:rsidRPr="00B758E7">
        <w:rPr>
          <w:rFonts w:ascii="Book Antiqua" w:hAnsi="Book Antiqua"/>
        </w:rPr>
        <w:t xml:space="preserve">Spontaneous </w:t>
      </w:r>
      <w:r w:rsidR="00B758E7" w:rsidRPr="00B758E7">
        <w:rPr>
          <w:rFonts w:ascii="Book Antiqua" w:hAnsi="Book Antiqua"/>
        </w:rPr>
        <w:t>bacterial peritoni</w:t>
      </w:r>
      <w:r w:rsidRPr="00B758E7">
        <w:rPr>
          <w:rFonts w:ascii="Book Antiqua" w:hAnsi="Book Antiqua"/>
        </w:rPr>
        <w:t>tis</w:t>
      </w:r>
      <w:r w:rsidR="00B758E7" w:rsidRPr="00B758E7">
        <w:rPr>
          <w:rFonts w:ascii="Book Antiqua" w:hAnsi="Book Antiqua"/>
          <w:lang w:eastAsia="zh-CN"/>
        </w:rPr>
        <w:t>;</w:t>
      </w:r>
      <w:r w:rsidRPr="00B758E7">
        <w:rPr>
          <w:rFonts w:ascii="Book Antiqua" w:hAnsi="Book Antiqua"/>
        </w:rPr>
        <w:t xml:space="preserve"> Liver </w:t>
      </w:r>
      <w:r w:rsidR="00B758E7" w:rsidRPr="00B758E7">
        <w:rPr>
          <w:rFonts w:ascii="Book Antiqua" w:hAnsi="Book Antiqua"/>
        </w:rPr>
        <w:t>t</w:t>
      </w:r>
      <w:r w:rsidRPr="00B758E7">
        <w:rPr>
          <w:rFonts w:ascii="Book Antiqua" w:hAnsi="Book Antiqua"/>
        </w:rPr>
        <w:t>ransplant</w:t>
      </w:r>
      <w:r w:rsidR="00B758E7" w:rsidRPr="00B758E7">
        <w:rPr>
          <w:rFonts w:ascii="Book Antiqua" w:hAnsi="Book Antiqua"/>
          <w:lang w:eastAsia="zh-CN"/>
        </w:rPr>
        <w:t>;</w:t>
      </w:r>
      <w:r w:rsidRPr="00B758E7">
        <w:rPr>
          <w:rFonts w:ascii="Book Antiqua" w:hAnsi="Book Antiqua"/>
        </w:rPr>
        <w:t xml:space="preserve"> Graft </w:t>
      </w:r>
      <w:r w:rsidR="00B758E7" w:rsidRPr="00B758E7">
        <w:rPr>
          <w:rFonts w:ascii="Book Antiqua" w:hAnsi="Book Antiqua"/>
        </w:rPr>
        <w:t>f</w:t>
      </w:r>
      <w:r w:rsidRPr="00B758E7">
        <w:rPr>
          <w:rFonts w:ascii="Book Antiqua" w:hAnsi="Book Antiqua"/>
        </w:rPr>
        <w:t>ailure</w:t>
      </w:r>
      <w:r w:rsidR="00B758E7" w:rsidRPr="00B758E7">
        <w:rPr>
          <w:rFonts w:ascii="Book Antiqua" w:hAnsi="Book Antiqua"/>
          <w:lang w:eastAsia="zh-CN"/>
        </w:rPr>
        <w:t>;</w:t>
      </w:r>
      <w:r w:rsidRPr="00B758E7">
        <w:rPr>
          <w:rFonts w:ascii="Book Antiqua" w:hAnsi="Book Antiqua"/>
        </w:rPr>
        <w:t xml:space="preserve"> Hepatitis C</w:t>
      </w:r>
    </w:p>
    <w:p w14:paraId="2E733894" w14:textId="77777777" w:rsidR="00B758E7" w:rsidRPr="00B758E7" w:rsidRDefault="00B758E7" w:rsidP="00EE05FE">
      <w:pPr>
        <w:spacing w:line="360" w:lineRule="auto"/>
        <w:jc w:val="both"/>
        <w:rPr>
          <w:rFonts w:ascii="Book Antiqua" w:hAnsi="Book Antiqua"/>
          <w:lang w:eastAsia="zh-CN"/>
        </w:rPr>
      </w:pPr>
    </w:p>
    <w:p w14:paraId="5CE597B6" w14:textId="77777777" w:rsidR="00B758E7" w:rsidRPr="00B758E7" w:rsidRDefault="00B758E7" w:rsidP="00EE05FE">
      <w:pPr>
        <w:spacing w:line="360" w:lineRule="auto"/>
        <w:jc w:val="both"/>
        <w:rPr>
          <w:rFonts w:ascii="Book Antiqua" w:hAnsi="Book Antiqua" w:cs="Arial"/>
        </w:rPr>
      </w:pPr>
      <w:proofErr w:type="gramStart"/>
      <w:r w:rsidRPr="00B758E7">
        <w:rPr>
          <w:rFonts w:ascii="Book Antiqua" w:hAnsi="Book Antiqua"/>
          <w:b/>
        </w:rPr>
        <w:t xml:space="preserve">© </w:t>
      </w:r>
      <w:r w:rsidRPr="00B758E7">
        <w:rPr>
          <w:rFonts w:ascii="Book Antiqua" w:hAnsi="Book Antiqua" w:cs="Arial"/>
          <w:b/>
        </w:rPr>
        <w:t>The Author(s) 2016.</w:t>
      </w:r>
      <w:proofErr w:type="gramEnd"/>
      <w:r w:rsidRPr="00B758E7">
        <w:rPr>
          <w:rFonts w:ascii="Book Antiqua" w:hAnsi="Book Antiqua" w:cs="Arial"/>
        </w:rPr>
        <w:t xml:space="preserve"> Published by </w:t>
      </w:r>
      <w:proofErr w:type="spellStart"/>
      <w:r w:rsidRPr="00B758E7">
        <w:rPr>
          <w:rFonts w:ascii="Book Antiqua" w:hAnsi="Book Antiqua" w:cs="Arial"/>
        </w:rPr>
        <w:t>Baishideng</w:t>
      </w:r>
      <w:proofErr w:type="spellEnd"/>
      <w:r w:rsidRPr="00B758E7">
        <w:rPr>
          <w:rFonts w:ascii="Book Antiqua" w:hAnsi="Book Antiqua" w:cs="Arial"/>
        </w:rPr>
        <w:t xml:space="preserve"> Publishing Group Inc. All rights reserved.</w:t>
      </w:r>
    </w:p>
    <w:p w14:paraId="154E4A2E" w14:textId="77777777" w:rsidR="00B758E7" w:rsidRPr="00B758E7" w:rsidRDefault="00B758E7" w:rsidP="00EE05FE">
      <w:pPr>
        <w:spacing w:line="360" w:lineRule="auto"/>
        <w:jc w:val="both"/>
        <w:rPr>
          <w:rFonts w:ascii="Book Antiqua" w:hAnsi="Book Antiqua"/>
          <w:lang w:eastAsia="zh-CN"/>
        </w:rPr>
      </w:pPr>
    </w:p>
    <w:p w14:paraId="4422F0AA" w14:textId="75C69F85" w:rsidR="008D4813" w:rsidRPr="00B758E7" w:rsidRDefault="00580831" w:rsidP="00EE05FE">
      <w:pPr>
        <w:spacing w:line="360" w:lineRule="auto"/>
        <w:jc w:val="both"/>
        <w:rPr>
          <w:rFonts w:ascii="Book Antiqua" w:hAnsi="Book Antiqua"/>
          <w:lang w:eastAsia="zh-CN"/>
        </w:rPr>
      </w:pPr>
      <w:r w:rsidRPr="00B758E7">
        <w:rPr>
          <w:rFonts w:ascii="Book Antiqua" w:hAnsi="Book Antiqua"/>
          <w:b/>
        </w:rPr>
        <w:t xml:space="preserve">Core </w:t>
      </w:r>
      <w:r w:rsidR="00B758E7" w:rsidRPr="00B758E7">
        <w:rPr>
          <w:rFonts w:ascii="Book Antiqua" w:hAnsi="Book Antiqua"/>
          <w:b/>
        </w:rPr>
        <w:t>t</w:t>
      </w:r>
      <w:r w:rsidRPr="00B758E7">
        <w:rPr>
          <w:rFonts w:ascii="Book Antiqua" w:hAnsi="Book Antiqua"/>
          <w:b/>
        </w:rPr>
        <w:t>ip:</w:t>
      </w:r>
      <w:r w:rsidRPr="00B758E7">
        <w:rPr>
          <w:rFonts w:ascii="Book Antiqua" w:hAnsi="Book Antiqua"/>
        </w:rPr>
        <w:t xml:space="preserve"> Prevention of </w:t>
      </w:r>
      <w:r w:rsidR="00B758E7" w:rsidRPr="00B758E7">
        <w:rPr>
          <w:rFonts w:ascii="Book Antiqua" w:hAnsi="Book Antiqua"/>
        </w:rPr>
        <w:t>spontaneous bacterial peritonitis (SBP)</w:t>
      </w:r>
      <w:r w:rsidRPr="00B758E7">
        <w:rPr>
          <w:rFonts w:ascii="Book Antiqua" w:hAnsi="Book Antiqua"/>
        </w:rPr>
        <w:t xml:space="preserve"> pre-transplant may affect graft outcomes and ultimately patient survival post-transplant.</w:t>
      </w:r>
      <w:r w:rsidR="00AC64F2" w:rsidRPr="00B758E7">
        <w:rPr>
          <w:rFonts w:ascii="Book Antiqua" w:hAnsi="Book Antiqua"/>
        </w:rPr>
        <w:t xml:space="preserve"> </w:t>
      </w:r>
      <w:r w:rsidRPr="00B758E7">
        <w:rPr>
          <w:rFonts w:ascii="Book Antiqua" w:hAnsi="Book Antiqua"/>
        </w:rPr>
        <w:t xml:space="preserve">Patients with </w:t>
      </w:r>
      <w:r w:rsidR="003633B2" w:rsidRPr="00B758E7">
        <w:rPr>
          <w:rFonts w:ascii="Book Antiqua" w:hAnsi="Book Antiqua"/>
        </w:rPr>
        <w:t xml:space="preserve">hepatitis C </w:t>
      </w:r>
      <w:r w:rsidR="003633B2" w:rsidRPr="00B758E7">
        <w:rPr>
          <w:rFonts w:ascii="Book Antiqua" w:hAnsi="Book Antiqua"/>
          <w:lang w:eastAsia="zh-CN"/>
        </w:rPr>
        <w:t xml:space="preserve">virus </w:t>
      </w:r>
      <w:r w:rsidR="003633B2" w:rsidRPr="00B758E7">
        <w:rPr>
          <w:rFonts w:ascii="Book Antiqua" w:hAnsi="Book Antiqua"/>
        </w:rPr>
        <w:t>(HCV)</w:t>
      </w:r>
      <w:r w:rsidRPr="00B758E7">
        <w:rPr>
          <w:rFonts w:ascii="Book Antiqua" w:hAnsi="Book Antiqua"/>
        </w:rPr>
        <w:t xml:space="preserve"> in whom therapy is deferred until the time of transplant due to hepatic </w:t>
      </w:r>
      <w:proofErr w:type="spellStart"/>
      <w:r w:rsidRPr="00B758E7">
        <w:rPr>
          <w:rFonts w:ascii="Book Antiqua" w:hAnsi="Book Antiqua"/>
        </w:rPr>
        <w:t>decompensation</w:t>
      </w:r>
      <w:proofErr w:type="spellEnd"/>
      <w:r w:rsidRPr="00B758E7">
        <w:rPr>
          <w:rFonts w:ascii="Book Antiqua" w:hAnsi="Book Antiqua"/>
        </w:rPr>
        <w:t>, may benefit from expedited treatment if they possess a history of SBP to avoid complications related to HCV recurrence.</w:t>
      </w:r>
    </w:p>
    <w:p w14:paraId="52DB575C" w14:textId="77777777" w:rsidR="00B758E7" w:rsidRPr="00B758E7" w:rsidRDefault="00B758E7" w:rsidP="00EE05FE">
      <w:pPr>
        <w:spacing w:line="360" w:lineRule="auto"/>
        <w:jc w:val="both"/>
        <w:rPr>
          <w:rFonts w:ascii="Book Antiqua" w:hAnsi="Book Antiqua"/>
          <w:b/>
          <w:lang w:eastAsia="zh-CN"/>
        </w:rPr>
      </w:pPr>
    </w:p>
    <w:p w14:paraId="2457528B" w14:textId="5F1E19A8" w:rsidR="00D40B8A" w:rsidRPr="00B758E7" w:rsidRDefault="00B758E7" w:rsidP="00EE05FE">
      <w:pPr>
        <w:spacing w:line="360" w:lineRule="auto"/>
        <w:jc w:val="both"/>
        <w:rPr>
          <w:rFonts w:ascii="Book Antiqua" w:hAnsi="Book Antiqua"/>
          <w:lang w:eastAsia="zh-CN"/>
        </w:rPr>
      </w:pPr>
      <w:r w:rsidRPr="00B758E7">
        <w:rPr>
          <w:rFonts w:ascii="Book Antiqua" w:hAnsi="Book Antiqua" w:cs="Arial"/>
        </w:rPr>
        <w:t>Shah</w:t>
      </w:r>
      <w:r w:rsidRPr="00B758E7">
        <w:rPr>
          <w:rFonts w:ascii="Book Antiqua" w:hAnsi="Book Antiqua" w:cs="Arial"/>
          <w:lang w:eastAsia="zh-CN"/>
        </w:rPr>
        <w:t xml:space="preserve"> NL</w:t>
      </w:r>
      <w:r w:rsidRPr="00B758E7">
        <w:rPr>
          <w:rFonts w:ascii="Book Antiqua" w:hAnsi="Book Antiqua" w:cs="Arial"/>
        </w:rPr>
        <w:t xml:space="preserve">, </w:t>
      </w:r>
      <w:proofErr w:type="spellStart"/>
      <w:r w:rsidRPr="00B758E7">
        <w:rPr>
          <w:rFonts w:ascii="Book Antiqua" w:hAnsi="Book Antiqua" w:cs="Arial"/>
        </w:rPr>
        <w:t>Intagliata</w:t>
      </w:r>
      <w:proofErr w:type="spellEnd"/>
      <w:r w:rsidRPr="00B758E7">
        <w:rPr>
          <w:rFonts w:ascii="Book Antiqua" w:hAnsi="Book Antiqua" w:cs="Arial"/>
          <w:lang w:eastAsia="zh-CN"/>
        </w:rPr>
        <w:t xml:space="preserve"> NM</w:t>
      </w:r>
      <w:r w:rsidRPr="00B758E7">
        <w:rPr>
          <w:rFonts w:ascii="Book Antiqua" w:hAnsi="Book Antiqua" w:cs="Arial"/>
        </w:rPr>
        <w:t>, Henry</w:t>
      </w:r>
      <w:r w:rsidRPr="00B758E7">
        <w:rPr>
          <w:rFonts w:ascii="Book Antiqua" w:hAnsi="Book Antiqua" w:cs="Arial"/>
          <w:lang w:eastAsia="zh-CN"/>
        </w:rPr>
        <w:t xml:space="preserve"> ZH</w:t>
      </w:r>
      <w:r w:rsidRPr="00B758E7">
        <w:rPr>
          <w:rFonts w:ascii="Book Antiqua" w:hAnsi="Book Antiqua" w:cs="Arial"/>
        </w:rPr>
        <w:t>, Argo</w:t>
      </w:r>
      <w:r w:rsidRPr="00B758E7">
        <w:rPr>
          <w:rFonts w:ascii="Book Antiqua" w:hAnsi="Book Antiqua" w:cs="Arial"/>
          <w:lang w:eastAsia="zh-CN"/>
        </w:rPr>
        <w:t xml:space="preserve"> CK</w:t>
      </w:r>
      <w:r w:rsidRPr="00B758E7">
        <w:rPr>
          <w:rFonts w:ascii="Book Antiqua" w:hAnsi="Book Antiqua" w:cs="Arial"/>
        </w:rPr>
        <w:t>, Northup</w:t>
      </w:r>
      <w:r w:rsidRPr="00B758E7">
        <w:rPr>
          <w:rFonts w:ascii="Book Antiqua" w:hAnsi="Book Antiqua" w:cs="Arial"/>
          <w:lang w:eastAsia="zh-CN"/>
        </w:rPr>
        <w:t xml:space="preserve"> PG.</w:t>
      </w:r>
      <w:r w:rsidRPr="00B758E7">
        <w:rPr>
          <w:rFonts w:ascii="Book Antiqua" w:hAnsi="Book Antiqua"/>
        </w:rPr>
        <w:t xml:space="preserve"> Spontaneous bacterial peritonitis prevalence in pre-transplant patients and its effect on survival and graft loss post-transplant</w:t>
      </w:r>
      <w:r w:rsidRPr="00B758E7">
        <w:rPr>
          <w:rFonts w:ascii="Book Antiqua" w:hAnsi="Book Antiqua"/>
          <w:lang w:eastAsia="zh-CN"/>
        </w:rPr>
        <w:t>.</w:t>
      </w:r>
      <w:r w:rsidRPr="00B758E7">
        <w:rPr>
          <w:rFonts w:ascii="Book Antiqua" w:hAnsi="Book Antiqua"/>
          <w:i/>
          <w:iCs/>
        </w:rPr>
        <w:t xml:space="preserve"> World J </w:t>
      </w:r>
      <w:proofErr w:type="spellStart"/>
      <w:r w:rsidRPr="00B758E7">
        <w:rPr>
          <w:rFonts w:ascii="Book Antiqua" w:hAnsi="Book Antiqua"/>
          <w:i/>
          <w:iCs/>
        </w:rPr>
        <w:t>Hepatol</w:t>
      </w:r>
      <w:proofErr w:type="spellEnd"/>
      <w:r w:rsidRPr="00B758E7">
        <w:rPr>
          <w:rFonts w:ascii="Book Antiqua" w:hAnsi="Book Antiqua"/>
          <w:i/>
          <w:iCs/>
          <w:lang w:eastAsia="zh-CN"/>
        </w:rPr>
        <w:t xml:space="preserve"> </w:t>
      </w:r>
      <w:r w:rsidRPr="00B758E7">
        <w:rPr>
          <w:rFonts w:ascii="Book Antiqua" w:hAnsi="Book Antiqua"/>
          <w:iCs/>
          <w:lang w:eastAsia="zh-CN"/>
        </w:rPr>
        <w:t xml:space="preserve">2016; </w:t>
      </w:r>
      <w:proofErr w:type="gramStart"/>
      <w:r w:rsidRPr="00B758E7">
        <w:rPr>
          <w:rFonts w:ascii="Book Antiqua" w:hAnsi="Book Antiqua"/>
          <w:iCs/>
          <w:lang w:eastAsia="zh-CN"/>
        </w:rPr>
        <w:t>In</w:t>
      </w:r>
      <w:proofErr w:type="gramEnd"/>
      <w:r w:rsidRPr="00B758E7">
        <w:rPr>
          <w:rFonts w:ascii="Book Antiqua" w:hAnsi="Book Antiqua"/>
          <w:iCs/>
          <w:lang w:eastAsia="zh-CN"/>
        </w:rPr>
        <w:t xml:space="preserve"> press</w:t>
      </w:r>
    </w:p>
    <w:p w14:paraId="49A56A05" w14:textId="77777777" w:rsidR="00774210" w:rsidRPr="00B758E7" w:rsidRDefault="00774210" w:rsidP="00EE05FE">
      <w:pPr>
        <w:spacing w:line="360" w:lineRule="auto"/>
        <w:jc w:val="both"/>
        <w:rPr>
          <w:rFonts w:ascii="Book Antiqua" w:hAnsi="Book Antiqua"/>
          <w:b/>
        </w:rPr>
      </w:pPr>
      <w:r w:rsidRPr="00B758E7">
        <w:rPr>
          <w:rFonts w:ascii="Book Antiqua" w:hAnsi="Book Antiqua"/>
          <w:b/>
        </w:rPr>
        <w:br w:type="page"/>
      </w:r>
    </w:p>
    <w:p w14:paraId="4FA920A0" w14:textId="2B6926A4" w:rsidR="00964EEB" w:rsidRPr="00B758E7" w:rsidRDefault="00B758E7" w:rsidP="00EE05FE">
      <w:pPr>
        <w:spacing w:line="360" w:lineRule="auto"/>
        <w:jc w:val="both"/>
        <w:rPr>
          <w:rFonts w:ascii="Book Antiqua" w:hAnsi="Book Antiqua"/>
          <w:b/>
        </w:rPr>
      </w:pPr>
      <w:r w:rsidRPr="00B758E7">
        <w:rPr>
          <w:rFonts w:ascii="Book Antiqua" w:hAnsi="Book Antiqua"/>
          <w:b/>
        </w:rPr>
        <w:lastRenderedPageBreak/>
        <w:t>INTRODUCTION</w:t>
      </w:r>
    </w:p>
    <w:p w14:paraId="0A577E21" w14:textId="5E626075" w:rsidR="00E14528" w:rsidRPr="00B758E7" w:rsidRDefault="00964EEB" w:rsidP="00EE05FE">
      <w:pPr>
        <w:spacing w:line="360" w:lineRule="auto"/>
        <w:jc w:val="both"/>
        <w:rPr>
          <w:rFonts w:ascii="Book Antiqua" w:hAnsi="Book Antiqua"/>
        </w:rPr>
      </w:pPr>
      <w:r w:rsidRPr="00B758E7">
        <w:rPr>
          <w:rFonts w:ascii="Book Antiqua" w:hAnsi="Book Antiqua"/>
        </w:rPr>
        <w:t>According to the Scientific Registry of Transplant Recipients (SR</w:t>
      </w:r>
      <w:r w:rsidR="00B758E7">
        <w:rPr>
          <w:rFonts w:ascii="Book Antiqua" w:hAnsi="Book Antiqua"/>
        </w:rPr>
        <w:t>TR) database, since 2005 over 6</w:t>
      </w:r>
      <w:r w:rsidRPr="00B758E7">
        <w:rPr>
          <w:rFonts w:ascii="Book Antiqua" w:hAnsi="Book Antiqua"/>
        </w:rPr>
        <w:t xml:space="preserve">000 liver transplants have been performed on an annual basis. Hepatitis C </w:t>
      </w:r>
      <w:r w:rsidR="003633B2" w:rsidRPr="00B758E7">
        <w:rPr>
          <w:rFonts w:ascii="Book Antiqua" w:hAnsi="Book Antiqua"/>
          <w:lang w:eastAsia="zh-CN"/>
        </w:rPr>
        <w:t xml:space="preserve">virus </w:t>
      </w:r>
      <w:r w:rsidRPr="00B758E7">
        <w:rPr>
          <w:rFonts w:ascii="Book Antiqua" w:hAnsi="Book Antiqua"/>
        </w:rPr>
        <w:t>(HCV) has consistently been the most common indication for liver transplantation</w:t>
      </w:r>
      <w:r w:rsidR="00107701" w:rsidRPr="00B758E7">
        <w:rPr>
          <w:rFonts w:ascii="Book Antiqua" w:hAnsi="Book Antiqua"/>
        </w:rPr>
        <w:t xml:space="preserve"> and challenging due to the possibility of viral recurrence post-transplant.</w:t>
      </w:r>
      <w:r w:rsidR="00AC64F2" w:rsidRPr="00B758E7">
        <w:rPr>
          <w:rFonts w:ascii="Book Antiqua" w:hAnsi="Book Antiqua"/>
        </w:rPr>
        <w:t xml:space="preserve"> </w:t>
      </w:r>
      <w:r w:rsidR="00107701" w:rsidRPr="00B758E7">
        <w:rPr>
          <w:rFonts w:ascii="Book Antiqua" w:hAnsi="Book Antiqua"/>
        </w:rPr>
        <w:t xml:space="preserve">Recurrent HCV had been a major problem for patients post liver transplantation, but with the new </w:t>
      </w:r>
      <w:r w:rsidR="00DF711B" w:rsidRPr="00B758E7">
        <w:rPr>
          <w:rFonts w:ascii="Book Antiqua" w:hAnsi="Book Antiqua"/>
        </w:rPr>
        <w:t>direct acting anti-viral (DAA) therapies</w:t>
      </w:r>
      <w:r w:rsidR="00107701" w:rsidRPr="00B758E7">
        <w:rPr>
          <w:rFonts w:ascii="Book Antiqua" w:hAnsi="Book Antiqua"/>
        </w:rPr>
        <w:t xml:space="preserve">, this problem is </w:t>
      </w:r>
      <w:r w:rsidR="00ED0D6D" w:rsidRPr="00B758E7">
        <w:rPr>
          <w:rFonts w:ascii="Book Antiqua" w:hAnsi="Book Antiqua"/>
        </w:rPr>
        <w:t xml:space="preserve">steadily </w:t>
      </w:r>
      <w:r w:rsidR="00107701" w:rsidRPr="00B758E7">
        <w:rPr>
          <w:rFonts w:ascii="Book Antiqua" w:hAnsi="Book Antiqua"/>
        </w:rPr>
        <w:t xml:space="preserve">declining. </w:t>
      </w:r>
      <w:r w:rsidR="00ED0D6D" w:rsidRPr="00B758E7">
        <w:rPr>
          <w:rFonts w:ascii="Book Antiqua" w:hAnsi="Book Antiqua"/>
        </w:rPr>
        <w:t xml:space="preserve">Even with resolution of this challenge, </w:t>
      </w:r>
      <w:r w:rsidR="00E14528" w:rsidRPr="00B758E7">
        <w:rPr>
          <w:rFonts w:ascii="Book Antiqua" w:hAnsi="Book Antiqua"/>
        </w:rPr>
        <w:t xml:space="preserve">identifying factors that may </w:t>
      </w:r>
      <w:r w:rsidR="00ED0D6D" w:rsidRPr="00B758E7">
        <w:rPr>
          <w:rFonts w:ascii="Book Antiqua" w:hAnsi="Book Antiqua"/>
        </w:rPr>
        <w:t>accelerate graft loss or damage is still essential.</w:t>
      </w:r>
      <w:r w:rsidR="00AC64F2" w:rsidRPr="00B758E7">
        <w:rPr>
          <w:rFonts w:ascii="Book Antiqua" w:hAnsi="Book Antiqua"/>
        </w:rPr>
        <w:t xml:space="preserve"> </w:t>
      </w:r>
    </w:p>
    <w:p w14:paraId="26557B75" w14:textId="3C06454E" w:rsidR="00964EEB" w:rsidRPr="00B758E7" w:rsidRDefault="00964EEB" w:rsidP="00EE05FE">
      <w:pPr>
        <w:spacing w:line="360" w:lineRule="auto"/>
        <w:ind w:firstLineChars="100" w:firstLine="240"/>
        <w:jc w:val="both"/>
        <w:rPr>
          <w:rFonts w:ascii="Book Antiqua" w:hAnsi="Book Antiqua"/>
        </w:rPr>
      </w:pPr>
      <w:r w:rsidRPr="00B758E7">
        <w:rPr>
          <w:rFonts w:ascii="Book Antiqua" w:hAnsi="Book Antiqua"/>
        </w:rPr>
        <w:t xml:space="preserve">Originally established for mortality post </w:t>
      </w:r>
      <w:proofErr w:type="spellStart"/>
      <w:r w:rsidRPr="00B758E7">
        <w:rPr>
          <w:rFonts w:ascii="Book Antiqua" w:hAnsi="Book Antiqua"/>
        </w:rPr>
        <w:t>transjugular</w:t>
      </w:r>
      <w:proofErr w:type="spellEnd"/>
      <w:r w:rsidRPr="00B758E7">
        <w:rPr>
          <w:rFonts w:ascii="Book Antiqua" w:hAnsi="Book Antiqua"/>
        </w:rPr>
        <w:t xml:space="preserve"> intrahepatic </w:t>
      </w:r>
      <w:proofErr w:type="spellStart"/>
      <w:r w:rsidRPr="00B758E7">
        <w:rPr>
          <w:rFonts w:ascii="Book Antiqua" w:hAnsi="Book Antiqua"/>
        </w:rPr>
        <w:t>portosystemic</w:t>
      </w:r>
      <w:proofErr w:type="spellEnd"/>
      <w:r w:rsidRPr="00B758E7">
        <w:rPr>
          <w:rFonts w:ascii="Book Antiqua" w:hAnsi="Book Antiqua"/>
        </w:rPr>
        <w:t xml:space="preserve"> shunts (TIPS), the laboratory based Model for End Stage Liver Disease (MELD</w:t>
      </w:r>
      <w:r w:rsidR="00E14528" w:rsidRPr="00B758E7">
        <w:rPr>
          <w:rFonts w:ascii="Book Antiqua" w:hAnsi="Book Antiqua"/>
        </w:rPr>
        <w:t xml:space="preserve"> and MELD-Na</w:t>
      </w:r>
      <w:r w:rsidRPr="00B758E7">
        <w:rPr>
          <w:rFonts w:ascii="Book Antiqua" w:hAnsi="Book Antiqua"/>
        </w:rPr>
        <w:t xml:space="preserve">) is now the primary measure for liver organ allocation in the United </w:t>
      </w:r>
      <w:proofErr w:type="gramStart"/>
      <w:r w:rsidRPr="00B758E7">
        <w:rPr>
          <w:rFonts w:ascii="Book Antiqua" w:hAnsi="Book Antiqua"/>
        </w:rPr>
        <w:t>States</w:t>
      </w:r>
      <w:r w:rsidR="00B758E7">
        <w:rPr>
          <w:rFonts w:ascii="Book Antiqua" w:hAnsi="Book Antiqua" w:hint="eastAsia"/>
          <w:vertAlign w:val="superscript"/>
          <w:lang w:eastAsia="zh-CN"/>
        </w:rPr>
        <w:t>[</w:t>
      </w:r>
      <w:proofErr w:type="gramEnd"/>
      <w:r w:rsidR="00B758E7">
        <w:rPr>
          <w:rFonts w:ascii="Book Antiqua" w:hAnsi="Book Antiqua" w:hint="eastAsia"/>
          <w:vertAlign w:val="superscript"/>
          <w:lang w:eastAsia="zh-CN"/>
        </w:rPr>
        <w:t>1]</w:t>
      </w:r>
      <w:r w:rsidRPr="00B758E7">
        <w:rPr>
          <w:rFonts w:ascii="Book Antiqua" w:hAnsi="Book Antiqua"/>
        </w:rPr>
        <w:t>. Since the use of MELD began in 2002, wait list mortality has significantly decreased as patients are prioritized effectively, however patients on the wait list still suffer from complications of end stage liver disease and portal hypertension such as gastrointestinal bleeding, encephalopathy, ascites, renal failure, and infection</w:t>
      </w:r>
      <w:r w:rsidR="00B758E7">
        <w:rPr>
          <w:rFonts w:ascii="Book Antiqua" w:hAnsi="Book Antiqua" w:hint="eastAsia"/>
          <w:vertAlign w:val="superscript"/>
          <w:lang w:eastAsia="zh-CN"/>
        </w:rPr>
        <w:t>[2]</w:t>
      </w:r>
      <w:r w:rsidRPr="00B758E7">
        <w:rPr>
          <w:rFonts w:ascii="Book Antiqua" w:hAnsi="Book Antiqua"/>
        </w:rPr>
        <w:t>.</w:t>
      </w:r>
      <w:r w:rsidR="00B758E7" w:rsidRPr="00B758E7">
        <w:rPr>
          <w:rFonts w:ascii="Book Antiqua" w:hAnsi="Book Antiqua"/>
        </w:rPr>
        <w:t xml:space="preserve"> </w:t>
      </w:r>
    </w:p>
    <w:p w14:paraId="386E0F78" w14:textId="6840EE44" w:rsidR="00964EEB" w:rsidRPr="00B758E7" w:rsidRDefault="00964EEB" w:rsidP="00EE05FE">
      <w:pPr>
        <w:spacing w:line="360" w:lineRule="auto"/>
        <w:ind w:firstLineChars="100" w:firstLine="240"/>
        <w:jc w:val="both"/>
        <w:rPr>
          <w:rFonts w:ascii="Book Antiqua" w:hAnsi="Book Antiqua"/>
        </w:rPr>
      </w:pPr>
      <w:r w:rsidRPr="00B758E7">
        <w:rPr>
          <w:rFonts w:ascii="Book Antiqua" w:hAnsi="Book Antiqua"/>
        </w:rPr>
        <w:t xml:space="preserve">Liver disease patients, with decreased levels of complement proteins and decreased </w:t>
      </w:r>
      <w:proofErr w:type="spellStart"/>
      <w:r w:rsidRPr="00B758E7">
        <w:rPr>
          <w:rFonts w:ascii="Book Antiqua" w:hAnsi="Book Antiqua"/>
        </w:rPr>
        <w:t>opsonization</w:t>
      </w:r>
      <w:proofErr w:type="spellEnd"/>
      <w:r w:rsidRPr="00B758E7">
        <w:rPr>
          <w:rFonts w:ascii="Book Antiqua" w:hAnsi="Book Antiqua"/>
        </w:rPr>
        <w:t xml:space="preserve">, live in a relatively </w:t>
      </w:r>
      <w:proofErr w:type="spellStart"/>
      <w:r w:rsidRPr="00B758E7">
        <w:rPr>
          <w:rFonts w:ascii="Book Antiqua" w:hAnsi="Book Antiqua"/>
        </w:rPr>
        <w:t>immunocompromised</w:t>
      </w:r>
      <w:proofErr w:type="spellEnd"/>
      <w:r w:rsidRPr="00B758E7">
        <w:rPr>
          <w:rFonts w:ascii="Book Antiqua" w:hAnsi="Book Antiqua"/>
        </w:rPr>
        <w:t xml:space="preserve"> state and are at high risk of developing bacterial, viral, or fungal </w:t>
      </w:r>
      <w:proofErr w:type="gramStart"/>
      <w:r w:rsidRPr="00B758E7">
        <w:rPr>
          <w:rFonts w:ascii="Book Antiqua" w:hAnsi="Book Antiqua"/>
        </w:rPr>
        <w:t>infections</w:t>
      </w:r>
      <w:r w:rsidR="00B758E7">
        <w:rPr>
          <w:rFonts w:ascii="Book Antiqua" w:hAnsi="Book Antiqua" w:hint="eastAsia"/>
          <w:vertAlign w:val="superscript"/>
          <w:lang w:eastAsia="zh-CN"/>
        </w:rPr>
        <w:t>[</w:t>
      </w:r>
      <w:proofErr w:type="gramEnd"/>
      <w:r w:rsidR="00B758E7">
        <w:rPr>
          <w:rFonts w:ascii="Book Antiqua" w:hAnsi="Book Antiqua" w:hint="eastAsia"/>
          <w:vertAlign w:val="superscript"/>
          <w:lang w:eastAsia="zh-CN"/>
        </w:rPr>
        <w:t>3]</w:t>
      </w:r>
      <w:r w:rsidRPr="00B758E7">
        <w:rPr>
          <w:rFonts w:ascii="Book Antiqua" w:hAnsi="Book Antiqua"/>
        </w:rPr>
        <w:t>. Ascites reportedly occurs in 7</w:t>
      </w:r>
      <w:r w:rsidR="00B758E7">
        <w:rPr>
          <w:rFonts w:ascii="Book Antiqua" w:hAnsi="Book Antiqua" w:hint="eastAsia"/>
          <w:lang w:eastAsia="zh-CN"/>
        </w:rPr>
        <w:t>%</w:t>
      </w:r>
      <w:r w:rsidRPr="00B758E7">
        <w:rPr>
          <w:rFonts w:ascii="Book Antiqua" w:hAnsi="Book Antiqua"/>
        </w:rPr>
        <w:t xml:space="preserve"> to 23% of hospitalized end stage liver disease </w:t>
      </w:r>
      <w:proofErr w:type="gramStart"/>
      <w:r w:rsidRPr="00B758E7">
        <w:rPr>
          <w:rFonts w:ascii="Book Antiqua" w:hAnsi="Book Antiqua"/>
        </w:rPr>
        <w:t>patients</w:t>
      </w:r>
      <w:r w:rsidR="00B758E7">
        <w:rPr>
          <w:rFonts w:ascii="Book Antiqua" w:hAnsi="Book Antiqua" w:hint="eastAsia"/>
          <w:vertAlign w:val="superscript"/>
          <w:lang w:eastAsia="zh-CN"/>
        </w:rPr>
        <w:t>[</w:t>
      </w:r>
      <w:proofErr w:type="gramEnd"/>
      <w:r w:rsidR="00B758E7">
        <w:rPr>
          <w:rFonts w:ascii="Book Antiqua" w:hAnsi="Book Antiqua" w:hint="eastAsia"/>
          <w:vertAlign w:val="superscript"/>
          <w:lang w:eastAsia="zh-CN"/>
        </w:rPr>
        <w:t>4]</w:t>
      </w:r>
      <w:r w:rsidRPr="00B758E7">
        <w:rPr>
          <w:rFonts w:ascii="Book Antiqua" w:hAnsi="Book Antiqua"/>
        </w:rPr>
        <w:t xml:space="preserve">. An initial episode of spontaneous bacterial peritonitis (SBP) occurs in about 10% of these </w:t>
      </w:r>
      <w:proofErr w:type="gramStart"/>
      <w:r w:rsidRPr="00B758E7">
        <w:rPr>
          <w:rFonts w:ascii="Book Antiqua" w:hAnsi="Book Antiqua"/>
        </w:rPr>
        <w:t>patients</w:t>
      </w:r>
      <w:r w:rsidR="00B758E7">
        <w:rPr>
          <w:rFonts w:ascii="Book Antiqua" w:hAnsi="Book Antiqua" w:hint="eastAsia"/>
          <w:vertAlign w:val="superscript"/>
          <w:lang w:eastAsia="zh-CN"/>
        </w:rPr>
        <w:t>[</w:t>
      </w:r>
      <w:proofErr w:type="gramEnd"/>
      <w:r w:rsidR="00B758E7">
        <w:rPr>
          <w:rFonts w:ascii="Book Antiqua" w:hAnsi="Book Antiqua" w:hint="eastAsia"/>
          <w:vertAlign w:val="superscript"/>
          <w:lang w:eastAsia="zh-CN"/>
        </w:rPr>
        <w:t>5]</w:t>
      </w:r>
      <w:r w:rsidRPr="00B758E7">
        <w:rPr>
          <w:rFonts w:ascii="Book Antiqua" w:hAnsi="Book Antiqua"/>
        </w:rPr>
        <w:t>. Infection related to SBP can have severe ramifications in the development of renal failure and mortality of patients while on the transplant wait list.</w:t>
      </w:r>
      <w:r w:rsidR="00AC64F2" w:rsidRPr="00B758E7">
        <w:rPr>
          <w:rFonts w:ascii="Book Antiqua" w:hAnsi="Book Antiqua"/>
        </w:rPr>
        <w:t xml:space="preserve"> </w:t>
      </w:r>
    </w:p>
    <w:p w14:paraId="715451DF" w14:textId="3F6A2F98" w:rsidR="00964EEB" w:rsidRPr="00B758E7" w:rsidRDefault="00964EEB" w:rsidP="00EE05FE">
      <w:pPr>
        <w:spacing w:line="360" w:lineRule="auto"/>
        <w:ind w:firstLineChars="100" w:firstLine="240"/>
        <w:jc w:val="both"/>
        <w:rPr>
          <w:rFonts w:ascii="Book Antiqua" w:hAnsi="Book Antiqua"/>
        </w:rPr>
      </w:pPr>
      <w:r w:rsidRPr="00B758E7">
        <w:rPr>
          <w:rFonts w:ascii="Book Antiqua" w:hAnsi="Book Antiqua"/>
        </w:rPr>
        <w:t xml:space="preserve">The utility of MELD in organ allocation is well established, but its extrapolation to post-transplant survival or graft outcomes is still unclear. Further, in the post MELD era, limited studies have investigated the role of SBP on post-transplant </w:t>
      </w:r>
      <w:proofErr w:type="gramStart"/>
      <w:r w:rsidRPr="00B758E7">
        <w:rPr>
          <w:rFonts w:ascii="Book Antiqua" w:hAnsi="Book Antiqua"/>
        </w:rPr>
        <w:t>outcomes</w:t>
      </w:r>
      <w:r w:rsidR="00B758E7">
        <w:rPr>
          <w:rFonts w:ascii="Book Antiqua" w:hAnsi="Book Antiqua" w:hint="eastAsia"/>
          <w:vertAlign w:val="superscript"/>
          <w:lang w:eastAsia="zh-CN"/>
        </w:rPr>
        <w:t>[</w:t>
      </w:r>
      <w:proofErr w:type="gramEnd"/>
      <w:r w:rsidR="00B758E7">
        <w:rPr>
          <w:rFonts w:ascii="Book Antiqua" w:hAnsi="Book Antiqua" w:hint="eastAsia"/>
          <w:vertAlign w:val="superscript"/>
          <w:lang w:eastAsia="zh-CN"/>
        </w:rPr>
        <w:t>6]</w:t>
      </w:r>
      <w:r w:rsidRPr="00B758E7">
        <w:rPr>
          <w:rFonts w:ascii="Book Antiqua" w:hAnsi="Book Antiqua"/>
        </w:rPr>
        <w:t>. Therefore, in order to understand the role of infections on post-transplant outcomes, we aimed to investigate the inc</w:t>
      </w:r>
      <w:r w:rsidR="00ED0D6D" w:rsidRPr="00B758E7">
        <w:rPr>
          <w:rFonts w:ascii="Book Antiqua" w:hAnsi="Book Antiqua"/>
        </w:rPr>
        <w:t>idence of SBP in pre-transplant</w:t>
      </w:r>
      <w:r w:rsidRPr="00B758E7">
        <w:rPr>
          <w:rFonts w:ascii="Book Antiqua" w:hAnsi="Book Antiqua"/>
        </w:rPr>
        <w:t xml:space="preserve"> patients and its effe</w:t>
      </w:r>
      <w:r w:rsidR="00ED0D6D" w:rsidRPr="00B758E7">
        <w:rPr>
          <w:rFonts w:ascii="Book Antiqua" w:hAnsi="Book Antiqua"/>
        </w:rPr>
        <w:t>ct on post transplant mortality and</w:t>
      </w:r>
      <w:r w:rsidRPr="00B758E7">
        <w:rPr>
          <w:rFonts w:ascii="Book Antiqua" w:hAnsi="Book Antiqua"/>
        </w:rPr>
        <w:t xml:space="preserve"> graft failure</w:t>
      </w:r>
      <w:r w:rsidR="00ED0D6D" w:rsidRPr="00B758E7">
        <w:rPr>
          <w:rFonts w:ascii="Book Antiqua" w:hAnsi="Book Antiqua"/>
        </w:rPr>
        <w:t xml:space="preserve"> in the era prior to DAA therapy</w:t>
      </w:r>
      <w:r w:rsidRPr="00B758E7">
        <w:rPr>
          <w:rFonts w:ascii="Book Antiqua" w:hAnsi="Book Antiqua"/>
        </w:rPr>
        <w:t>.</w:t>
      </w:r>
      <w:r w:rsidR="00AC64F2" w:rsidRPr="00B758E7">
        <w:rPr>
          <w:rFonts w:ascii="Book Antiqua" w:hAnsi="Book Antiqua"/>
        </w:rPr>
        <w:t xml:space="preserve"> </w:t>
      </w:r>
    </w:p>
    <w:p w14:paraId="591512DC" w14:textId="77777777" w:rsidR="00DB558B" w:rsidRPr="00B758E7" w:rsidRDefault="00DB558B" w:rsidP="00EE05FE">
      <w:pPr>
        <w:spacing w:line="360" w:lineRule="auto"/>
        <w:jc w:val="both"/>
        <w:rPr>
          <w:rFonts w:ascii="Book Antiqua" w:hAnsi="Book Antiqua"/>
        </w:rPr>
      </w:pPr>
    </w:p>
    <w:p w14:paraId="06F47D41" w14:textId="45BD22A4" w:rsidR="00964EEB" w:rsidRPr="00B758E7" w:rsidRDefault="00B758E7" w:rsidP="00EE05FE">
      <w:pPr>
        <w:spacing w:line="360" w:lineRule="auto"/>
        <w:jc w:val="both"/>
        <w:rPr>
          <w:rFonts w:ascii="Book Antiqua" w:hAnsi="Book Antiqua"/>
          <w:b/>
          <w:lang w:eastAsia="zh-CN"/>
        </w:rPr>
      </w:pPr>
      <w:r>
        <w:rPr>
          <w:rFonts w:ascii="Book Antiqua" w:hAnsi="Book Antiqua"/>
          <w:b/>
          <w:lang w:eastAsia="zh-CN"/>
        </w:rPr>
        <w:lastRenderedPageBreak/>
        <w:t xml:space="preserve">MATERIALS AND </w:t>
      </w:r>
      <w:r w:rsidRPr="00B758E7">
        <w:rPr>
          <w:rFonts w:ascii="Book Antiqua" w:hAnsi="Book Antiqua"/>
          <w:b/>
        </w:rPr>
        <w:t>METHODS</w:t>
      </w:r>
    </w:p>
    <w:p w14:paraId="6C75D750" w14:textId="6E18D594" w:rsidR="00964EEB" w:rsidRPr="00B758E7" w:rsidRDefault="00964EEB" w:rsidP="00EE05FE">
      <w:pPr>
        <w:pStyle w:val="NoSpacing"/>
        <w:spacing w:line="360" w:lineRule="auto"/>
        <w:jc w:val="both"/>
        <w:rPr>
          <w:rFonts w:ascii="Book Antiqua" w:hAnsi="Book Antiqua"/>
        </w:rPr>
      </w:pPr>
      <w:r w:rsidRPr="00B758E7">
        <w:rPr>
          <w:rFonts w:ascii="Book Antiqua" w:hAnsi="Book Antiqua"/>
        </w:rPr>
        <w:t>We investigated the U</w:t>
      </w:r>
      <w:r w:rsidR="00B758E7">
        <w:rPr>
          <w:rFonts w:ascii="Book Antiqua" w:eastAsia="宋体" w:hAnsi="Book Antiqua" w:hint="eastAsia"/>
          <w:lang w:eastAsia="zh-CN"/>
        </w:rPr>
        <w:t xml:space="preserve">nited </w:t>
      </w:r>
      <w:r w:rsidR="00B758E7">
        <w:rPr>
          <w:rFonts w:ascii="Book Antiqua" w:hAnsi="Book Antiqua"/>
        </w:rPr>
        <w:t>S</w:t>
      </w:r>
      <w:r w:rsidR="00B758E7">
        <w:rPr>
          <w:rFonts w:ascii="Book Antiqua" w:eastAsia="宋体" w:hAnsi="Book Antiqua" w:hint="eastAsia"/>
          <w:lang w:eastAsia="zh-CN"/>
        </w:rPr>
        <w:t>tates</w:t>
      </w:r>
      <w:r w:rsidRPr="00B758E7">
        <w:rPr>
          <w:rFonts w:ascii="Book Antiqua" w:hAnsi="Book Antiqua"/>
        </w:rPr>
        <w:t xml:space="preserve"> organ procurement and transplant network (OPTN) dataset for liver transplants from February 2002 until November 2009 for liver graft recipients with a reported history of pre-transplant SBP.</w:t>
      </w:r>
      <w:r w:rsidR="00AC64F2" w:rsidRPr="00B758E7">
        <w:rPr>
          <w:rFonts w:ascii="Book Antiqua" w:hAnsi="Book Antiqua"/>
        </w:rPr>
        <w:t xml:space="preserve"> </w:t>
      </w:r>
      <w:r w:rsidRPr="00B758E7">
        <w:rPr>
          <w:rFonts w:ascii="Book Antiqua" w:hAnsi="Book Antiqua"/>
        </w:rPr>
        <w:t>All patients who eventually underwent liver transplantation were included in the analysis. If the patient did not have a history of SBP or if the question was left blank (or “</w:t>
      </w:r>
      <w:r w:rsidR="00B758E7" w:rsidRPr="00B758E7">
        <w:rPr>
          <w:rFonts w:ascii="Book Antiqua" w:hAnsi="Book Antiqua"/>
        </w:rPr>
        <w:t>u</w:t>
      </w:r>
      <w:r w:rsidRPr="00B758E7">
        <w:rPr>
          <w:rFonts w:ascii="Book Antiqua" w:hAnsi="Book Antiqua"/>
        </w:rPr>
        <w:t xml:space="preserve">nknown” was selected) on the Adult Liver Transplant Recipient Registration Worksheet submitted to the United Network for Organ Sharing (UNOS), the recipient was assumed to not have </w:t>
      </w:r>
      <w:proofErr w:type="spellStart"/>
      <w:r w:rsidRPr="00B758E7">
        <w:rPr>
          <w:rFonts w:ascii="Book Antiqua" w:hAnsi="Book Antiqua"/>
        </w:rPr>
        <w:t>pretransplant</w:t>
      </w:r>
      <w:proofErr w:type="spellEnd"/>
      <w:r w:rsidRPr="00B758E7">
        <w:rPr>
          <w:rFonts w:ascii="Book Antiqua" w:hAnsi="Book Antiqua"/>
        </w:rPr>
        <w:t xml:space="preserve"> SBP. The population with a history of SBP was compared to those without the history of SBP for multiple pre- and post-transplant characteristics.</w:t>
      </w:r>
      <w:r w:rsidR="00AC64F2" w:rsidRPr="00B758E7">
        <w:rPr>
          <w:rFonts w:ascii="Book Antiqua" w:hAnsi="Book Antiqua"/>
        </w:rPr>
        <w:t xml:space="preserve"> </w:t>
      </w:r>
      <w:r w:rsidRPr="00B758E7">
        <w:rPr>
          <w:rFonts w:ascii="Book Antiqua" w:hAnsi="Book Antiqua"/>
        </w:rPr>
        <w:t xml:space="preserve">Recipient etiology of disease was categorized as </w:t>
      </w:r>
      <w:r w:rsidR="00B95C0A" w:rsidRPr="00B758E7">
        <w:rPr>
          <w:rFonts w:ascii="Book Antiqua" w:hAnsi="Book Antiqua"/>
        </w:rPr>
        <w:t>HCV</w:t>
      </w:r>
      <w:r w:rsidRPr="00B758E7">
        <w:rPr>
          <w:rFonts w:ascii="Book Antiqua" w:hAnsi="Book Antiqua"/>
        </w:rPr>
        <w:t xml:space="preserve">, hepatitis B, non-alcoholic </w:t>
      </w:r>
      <w:proofErr w:type="spellStart"/>
      <w:r w:rsidRPr="00B758E7">
        <w:rPr>
          <w:rFonts w:ascii="Book Antiqua" w:hAnsi="Book Antiqua"/>
        </w:rPr>
        <w:t>steatohepatitis</w:t>
      </w:r>
      <w:proofErr w:type="spellEnd"/>
      <w:r w:rsidRPr="00B758E7">
        <w:rPr>
          <w:rFonts w:ascii="Book Antiqua" w:hAnsi="Book Antiqua"/>
        </w:rPr>
        <w:t xml:space="preserve"> or cryptogenic, alcohol alone, </w:t>
      </w:r>
      <w:proofErr w:type="spellStart"/>
      <w:r w:rsidRPr="00B758E7">
        <w:rPr>
          <w:rFonts w:ascii="Book Antiqua" w:hAnsi="Book Antiqua"/>
        </w:rPr>
        <w:t>cholestatic</w:t>
      </w:r>
      <w:proofErr w:type="spellEnd"/>
      <w:r w:rsidRPr="00B758E7">
        <w:rPr>
          <w:rFonts w:ascii="Book Antiqua" w:hAnsi="Book Antiqua"/>
        </w:rPr>
        <w:t xml:space="preserve"> liver disease, autoimmune, liver malignancy, or other. Etiologies of graft failure included biliary, de novo autoimmune hepatitis, recurrent (non-viral) disease, infection, primary non-function, recurrent viral hepatitis, acute rejection, chronic rejection, and vascular thrombosis.</w:t>
      </w:r>
      <w:r w:rsidR="00AC64F2" w:rsidRPr="00B758E7">
        <w:rPr>
          <w:rFonts w:ascii="Book Antiqua" w:hAnsi="Book Antiqua"/>
        </w:rPr>
        <w:t xml:space="preserve"> </w:t>
      </w:r>
      <w:r w:rsidRPr="00B758E7">
        <w:rPr>
          <w:rFonts w:ascii="Book Antiqua" w:hAnsi="Book Antiqua"/>
        </w:rPr>
        <w:t>Laboratory (non-exception) MELD scores were used for all recipients.</w:t>
      </w:r>
    </w:p>
    <w:p w14:paraId="3A5B760E" w14:textId="4723537F" w:rsidR="00964EEB" w:rsidRPr="00B758E7" w:rsidRDefault="00964EEB" w:rsidP="00EE05FE">
      <w:pPr>
        <w:pStyle w:val="NoSpacing"/>
        <w:spacing w:line="360" w:lineRule="auto"/>
        <w:ind w:firstLineChars="100" w:firstLine="240"/>
        <w:jc w:val="both"/>
        <w:rPr>
          <w:rFonts w:ascii="Book Antiqua" w:hAnsi="Book Antiqua"/>
          <w:noProof/>
        </w:rPr>
      </w:pPr>
      <w:r w:rsidRPr="00B758E7">
        <w:rPr>
          <w:rFonts w:ascii="Book Antiqua" w:hAnsi="Book Antiqua"/>
        </w:rPr>
        <w:t xml:space="preserve">Demographics, recipient, donor, and surgical characteristics were compared between groups using the </w:t>
      </w:r>
      <w:r w:rsidR="00D57832" w:rsidRPr="00D57832">
        <w:rPr>
          <w:rFonts w:ascii="Book Antiqua" w:hAnsi="Book Antiqua"/>
          <w:i/>
        </w:rPr>
        <w:sym w:font="Symbol" w:char="F063"/>
      </w:r>
      <w:r w:rsidR="00D57832" w:rsidRPr="00D57832">
        <w:rPr>
          <w:rFonts w:ascii="Book Antiqua" w:eastAsia="宋体" w:hAnsi="Book Antiqua" w:hint="eastAsia"/>
          <w:vertAlign w:val="superscript"/>
          <w:lang w:eastAsia="zh-CN"/>
        </w:rPr>
        <w:t>2</w:t>
      </w:r>
      <w:r w:rsidRPr="00B758E7">
        <w:rPr>
          <w:rFonts w:ascii="Book Antiqua" w:hAnsi="Book Antiqua"/>
        </w:rPr>
        <w:t xml:space="preserve"> test for categorical variables and the Student </w:t>
      </w:r>
      <w:r w:rsidRPr="00D57832">
        <w:rPr>
          <w:rFonts w:ascii="Book Antiqua" w:hAnsi="Book Antiqua"/>
          <w:i/>
        </w:rPr>
        <w:t>t</w:t>
      </w:r>
      <w:r w:rsidRPr="00B758E7">
        <w:rPr>
          <w:rFonts w:ascii="Book Antiqua" w:hAnsi="Book Antiqua"/>
        </w:rPr>
        <w:t>-test for continuous variables.</w:t>
      </w:r>
      <w:r w:rsidR="00AC64F2" w:rsidRPr="00B758E7">
        <w:rPr>
          <w:rFonts w:ascii="Book Antiqua" w:hAnsi="Book Antiqua"/>
        </w:rPr>
        <w:t xml:space="preserve"> </w:t>
      </w:r>
      <w:proofErr w:type="spellStart"/>
      <w:r w:rsidRPr="00B758E7">
        <w:rPr>
          <w:rFonts w:ascii="Book Antiqua" w:hAnsi="Book Antiqua"/>
        </w:rPr>
        <w:t>Univariate</w:t>
      </w:r>
      <w:proofErr w:type="spellEnd"/>
      <w:r w:rsidRPr="00B758E7">
        <w:rPr>
          <w:rFonts w:ascii="Book Antiqua" w:hAnsi="Book Antiqua"/>
        </w:rPr>
        <w:t xml:space="preserve"> post-transplant survival models were constructed using the Kaplan-Meier technique and multivariate models were constructed using the Cox proportional hazards model. Variables known to influence post-transplant survival from previous studies or those variables found to be significant in the </w:t>
      </w:r>
      <w:proofErr w:type="spellStart"/>
      <w:r w:rsidRPr="00B758E7">
        <w:rPr>
          <w:rFonts w:ascii="Book Antiqua" w:hAnsi="Book Antiqua"/>
        </w:rPr>
        <w:t>univariate</w:t>
      </w:r>
      <w:proofErr w:type="spellEnd"/>
      <w:r w:rsidRPr="00B758E7">
        <w:rPr>
          <w:rFonts w:ascii="Book Antiqua" w:hAnsi="Book Antiqua"/>
        </w:rPr>
        <w:t xml:space="preserve"> analysis to a level of less than 0.20 were included in multivariate models using a whole model (non-stepwise) analysis. Because of the finding of a relationship between SBP and graft failure due to recurrent HCV, a multivariate logistic regression model was developed to determine those variables independently predictive of recurrent HCV. No data imputation was used. All statistical testing was two sided and the level of type one error deemed to be statistically significant was assumed to be less than or equal to 0.05. All dataset manipulation and analysis was performed using SAS (version 9.2, Cary, NC, </w:t>
      </w:r>
      <w:r w:rsidRPr="00B758E7">
        <w:rPr>
          <w:rFonts w:ascii="Book Antiqua" w:hAnsi="Book Antiqua"/>
        </w:rPr>
        <w:lastRenderedPageBreak/>
        <w:t>U</w:t>
      </w:r>
      <w:r w:rsidR="00B758E7">
        <w:rPr>
          <w:rFonts w:ascii="Book Antiqua" w:eastAsia="宋体" w:hAnsi="Book Antiqua" w:hint="eastAsia"/>
          <w:lang w:eastAsia="zh-CN"/>
        </w:rPr>
        <w:t xml:space="preserve">nited </w:t>
      </w:r>
      <w:r w:rsidRPr="00B758E7">
        <w:rPr>
          <w:rFonts w:ascii="Book Antiqua" w:hAnsi="Book Antiqua"/>
        </w:rPr>
        <w:t>S</w:t>
      </w:r>
      <w:r w:rsidR="00B758E7">
        <w:rPr>
          <w:rFonts w:ascii="Book Antiqua" w:eastAsia="宋体" w:hAnsi="Book Antiqua" w:hint="eastAsia"/>
          <w:lang w:eastAsia="zh-CN"/>
        </w:rPr>
        <w:t>tates</w:t>
      </w:r>
      <w:r w:rsidRPr="00B758E7">
        <w:rPr>
          <w:rFonts w:ascii="Book Antiqua" w:hAnsi="Book Antiqua"/>
        </w:rPr>
        <w:t>).</w:t>
      </w:r>
      <w:r w:rsidR="00AC64F2" w:rsidRPr="00B758E7">
        <w:rPr>
          <w:rFonts w:ascii="Book Antiqua" w:hAnsi="Book Antiqua"/>
        </w:rPr>
        <w:t xml:space="preserve"> </w:t>
      </w:r>
      <w:r w:rsidRPr="00B758E7">
        <w:rPr>
          <w:rFonts w:ascii="Book Antiqua" w:hAnsi="Book Antiqua"/>
        </w:rPr>
        <w:t>Local institutional review board approval was not required for analysis of this de-identified dataset.</w:t>
      </w:r>
      <w:r w:rsidR="00B66B98" w:rsidRPr="00B758E7">
        <w:rPr>
          <w:rFonts w:ascii="Book Antiqua" w:hAnsi="Book Antiqua"/>
          <w:noProof/>
        </w:rPr>
        <w:t xml:space="preserve"> </w:t>
      </w:r>
    </w:p>
    <w:p w14:paraId="52F4CF98" w14:textId="77777777" w:rsidR="00DB558B" w:rsidRPr="00B758E7" w:rsidRDefault="00DB558B" w:rsidP="00EE05FE">
      <w:pPr>
        <w:spacing w:line="360" w:lineRule="auto"/>
        <w:jc w:val="both"/>
        <w:rPr>
          <w:rFonts w:ascii="Book Antiqua" w:hAnsi="Book Antiqua"/>
          <w:b/>
          <w:noProof/>
        </w:rPr>
      </w:pPr>
    </w:p>
    <w:p w14:paraId="61CCBE7E" w14:textId="4D82A82A" w:rsidR="00964EEB" w:rsidRPr="00B758E7" w:rsidRDefault="00B758E7" w:rsidP="00EE05FE">
      <w:pPr>
        <w:spacing w:line="360" w:lineRule="auto"/>
        <w:jc w:val="both"/>
        <w:rPr>
          <w:rFonts w:ascii="Book Antiqua" w:hAnsi="Book Antiqua"/>
          <w:b/>
          <w:noProof/>
        </w:rPr>
      </w:pPr>
      <w:r w:rsidRPr="00B758E7">
        <w:rPr>
          <w:rFonts w:ascii="Book Antiqua" w:hAnsi="Book Antiqua"/>
          <w:b/>
          <w:noProof/>
        </w:rPr>
        <w:t>RESULTS</w:t>
      </w:r>
    </w:p>
    <w:p w14:paraId="06B4C596" w14:textId="5FC7133E" w:rsidR="00964EEB" w:rsidRPr="00B758E7" w:rsidRDefault="00964EEB" w:rsidP="00EE05FE">
      <w:pPr>
        <w:spacing w:line="360" w:lineRule="auto"/>
        <w:jc w:val="both"/>
        <w:rPr>
          <w:rFonts w:ascii="Book Antiqua" w:hAnsi="Book Antiqua"/>
          <w:noProof/>
        </w:rPr>
      </w:pPr>
      <w:r w:rsidRPr="00B758E7">
        <w:rPr>
          <w:rFonts w:ascii="Book Antiqua" w:hAnsi="Book Antiqua"/>
          <w:noProof/>
        </w:rPr>
        <w:t xml:space="preserve">The OPTN data </w:t>
      </w:r>
      <w:r w:rsidR="00EE05FE">
        <w:rPr>
          <w:rFonts w:ascii="Book Antiqua" w:hAnsi="Book Antiqua"/>
          <w:noProof/>
        </w:rPr>
        <w:t>set contained information on 47</w:t>
      </w:r>
      <w:r w:rsidRPr="00B758E7">
        <w:rPr>
          <w:rFonts w:ascii="Book Antiqua" w:hAnsi="Book Antiqua"/>
          <w:noProof/>
        </w:rPr>
        <w:t>880 patients transplanted during the study period.</w:t>
      </w:r>
      <w:r w:rsidR="00AC64F2" w:rsidRPr="00B758E7">
        <w:rPr>
          <w:rFonts w:ascii="Book Antiqua" w:hAnsi="Book Antiqua"/>
          <w:noProof/>
        </w:rPr>
        <w:t xml:space="preserve"> </w:t>
      </w:r>
      <w:r w:rsidRPr="00B758E7">
        <w:rPr>
          <w:rFonts w:ascii="Book Antiqua" w:hAnsi="Book Antiqua"/>
          <w:noProof/>
        </w:rPr>
        <w:t>The charactersitics of the study population are outlined in</w:t>
      </w:r>
      <w:r w:rsidR="00EE05FE">
        <w:rPr>
          <w:rFonts w:ascii="Book Antiqua" w:hAnsi="Book Antiqua"/>
          <w:noProof/>
        </w:rPr>
        <w:t xml:space="preserve"> Table 1. Of this population, 1</w:t>
      </w:r>
      <w:r w:rsidRPr="00B758E7">
        <w:rPr>
          <w:rFonts w:ascii="Book Antiqua" w:hAnsi="Book Antiqua"/>
          <w:noProof/>
        </w:rPr>
        <w:t>966 (4.11%) patients were reported to have a history of pre-transplant SBP.</w:t>
      </w:r>
      <w:r w:rsidR="00AC64F2" w:rsidRPr="00B758E7">
        <w:rPr>
          <w:rFonts w:ascii="Book Antiqua" w:hAnsi="Book Antiqua"/>
          <w:noProof/>
        </w:rPr>
        <w:t xml:space="preserve"> </w:t>
      </w:r>
      <w:r w:rsidRPr="00B758E7">
        <w:rPr>
          <w:rFonts w:ascii="Book Antiqua" w:hAnsi="Book Antiqua"/>
          <w:noProof/>
        </w:rPr>
        <w:t>Patients with a history of SBP tended to be older (50.5 mean</w:t>
      </w:r>
      <w:r w:rsidR="00EE05FE">
        <w:rPr>
          <w:rFonts w:ascii="Book Antiqua" w:hAnsi="Book Antiqua"/>
          <w:noProof/>
        </w:rPr>
        <w:t xml:space="preserve"> years in the SBP population </w:t>
      </w:r>
      <w:r w:rsidR="00EE05FE" w:rsidRPr="00EE05FE">
        <w:rPr>
          <w:rFonts w:ascii="Book Antiqua" w:hAnsi="Book Antiqua"/>
          <w:i/>
          <w:noProof/>
        </w:rPr>
        <w:t>vs</w:t>
      </w:r>
      <w:r w:rsidRPr="00B758E7">
        <w:rPr>
          <w:rFonts w:ascii="Book Antiqua" w:hAnsi="Book Antiqua"/>
          <w:noProof/>
        </w:rPr>
        <w:t xml:space="preserve"> 48.0 in the non-SBP population, </w:t>
      </w:r>
      <w:r w:rsidR="00EE05FE" w:rsidRPr="00EE05FE">
        <w:rPr>
          <w:rFonts w:ascii="Book Antiqua" w:hAnsi="Book Antiqua"/>
          <w:i/>
          <w:noProof/>
        </w:rPr>
        <w:t>P</w:t>
      </w:r>
      <w:r w:rsidR="00EE05FE">
        <w:rPr>
          <w:rFonts w:ascii="Book Antiqua" w:hAnsi="Book Antiqua" w:hint="eastAsia"/>
          <w:i/>
          <w:noProof/>
          <w:lang w:eastAsia="zh-CN"/>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 xml:space="preserve">0.0001), male (72.7% </w:t>
      </w:r>
      <w:r w:rsidR="00EE05FE" w:rsidRPr="00EE05FE">
        <w:rPr>
          <w:rFonts w:ascii="Book Antiqua" w:hAnsi="Book Antiqua"/>
          <w:i/>
          <w:noProof/>
        </w:rPr>
        <w:t>vs</w:t>
      </w:r>
      <w:r w:rsidRPr="00B758E7">
        <w:rPr>
          <w:rFonts w:ascii="Book Antiqua" w:hAnsi="Book Antiqua"/>
          <w:noProof/>
        </w:rPr>
        <w:t xml:space="preserve"> 65.2%,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 xml:space="preserve">0.0001), and have a higher MELD score at the time of liver transplantation (25.3 </w:t>
      </w:r>
      <w:r w:rsidR="00EE05FE" w:rsidRPr="00EE05FE">
        <w:rPr>
          <w:rFonts w:ascii="Book Antiqua" w:hAnsi="Book Antiqua"/>
          <w:i/>
          <w:noProof/>
        </w:rPr>
        <w:t>vs</w:t>
      </w:r>
      <w:r w:rsidRPr="00B758E7">
        <w:rPr>
          <w:rFonts w:ascii="Book Antiqua" w:hAnsi="Book Antiqua"/>
          <w:noProof/>
        </w:rPr>
        <w:t xml:space="preserve"> 20.3,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0.0001). The etiology of liver disease was sigificantly different between those recipients who had pretransplant SBP compared to those that did not.</w:t>
      </w:r>
      <w:r w:rsidR="00AC64F2" w:rsidRPr="00B758E7">
        <w:rPr>
          <w:rFonts w:ascii="Book Antiqua" w:hAnsi="Book Antiqua"/>
          <w:noProof/>
        </w:rPr>
        <w:t xml:space="preserve"> </w:t>
      </w:r>
      <w:r w:rsidR="00B95C0A" w:rsidRPr="00B758E7">
        <w:rPr>
          <w:rFonts w:ascii="Book Antiqua" w:hAnsi="Book Antiqua"/>
          <w:noProof/>
        </w:rPr>
        <w:t>HCV</w:t>
      </w:r>
      <w:r w:rsidRPr="00B758E7">
        <w:rPr>
          <w:rFonts w:ascii="Book Antiqua" w:hAnsi="Book Antiqua"/>
          <w:noProof/>
        </w:rPr>
        <w:t xml:space="preserve"> was signficantly more prevelant in the SBP population (41.1% </w:t>
      </w:r>
      <w:r w:rsidR="00EE05FE" w:rsidRPr="00EE05FE">
        <w:rPr>
          <w:rFonts w:ascii="Book Antiqua" w:hAnsi="Book Antiqua"/>
          <w:i/>
          <w:noProof/>
        </w:rPr>
        <w:t>vs</w:t>
      </w:r>
      <w:r w:rsidRPr="00B758E7">
        <w:rPr>
          <w:rFonts w:ascii="Book Antiqua" w:hAnsi="Book Antiqua"/>
          <w:noProof/>
        </w:rPr>
        <w:t xml:space="preserve"> 29.5%,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 xml:space="preserve">0.0001). </w:t>
      </w:r>
    </w:p>
    <w:p w14:paraId="66686659" w14:textId="1D97A666" w:rsidR="00964EEB" w:rsidRPr="00B758E7" w:rsidRDefault="00964EEB" w:rsidP="00EE05FE">
      <w:pPr>
        <w:spacing w:line="360" w:lineRule="auto"/>
        <w:ind w:firstLineChars="100" w:firstLine="240"/>
        <w:jc w:val="both"/>
        <w:rPr>
          <w:rFonts w:ascii="Book Antiqua" w:hAnsi="Book Antiqua"/>
          <w:noProof/>
        </w:rPr>
      </w:pPr>
      <w:r w:rsidRPr="00B758E7">
        <w:rPr>
          <w:rFonts w:ascii="Book Antiqua" w:hAnsi="Book Antiqua"/>
          <w:noProof/>
        </w:rPr>
        <w:t xml:space="preserve">Table 2 shows the distribution and causes of graft failure in the post-transplant time period. While overall graft loss was uncommon, compared to those without a history of SBP, patients that had pre-transplant SBP had higher rates of graft loss from recurrent HCV (3.6% </w:t>
      </w:r>
      <w:r w:rsidR="00EE05FE" w:rsidRPr="00EE05FE">
        <w:rPr>
          <w:rFonts w:ascii="Book Antiqua" w:hAnsi="Book Antiqua"/>
          <w:i/>
          <w:noProof/>
        </w:rPr>
        <w:t>vs</w:t>
      </w:r>
      <w:r w:rsidRPr="00B758E7">
        <w:rPr>
          <w:rFonts w:ascii="Book Antiqua" w:hAnsi="Book Antiqua"/>
          <w:noProof/>
        </w:rPr>
        <w:t xml:space="preserve"> 2.0%,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 xml:space="preserve">0.0001), infections leading to graft loss (1.9% </w:t>
      </w:r>
      <w:r w:rsidR="00EE05FE" w:rsidRPr="00EE05FE">
        <w:rPr>
          <w:rFonts w:ascii="Book Antiqua" w:hAnsi="Book Antiqua"/>
          <w:i/>
          <w:noProof/>
        </w:rPr>
        <w:t>vs</w:t>
      </w:r>
      <w:r w:rsidRPr="00B758E7">
        <w:rPr>
          <w:rFonts w:ascii="Book Antiqua" w:hAnsi="Book Antiqua"/>
          <w:noProof/>
        </w:rPr>
        <w:t xml:space="preserve"> 1.3%,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w:t>
      </w:r>
      <w:r w:rsidR="00EE05FE">
        <w:rPr>
          <w:rFonts w:ascii="Book Antiqua" w:hAnsi="Book Antiqua" w:hint="eastAsia"/>
          <w:noProof/>
          <w:lang w:eastAsia="zh-CN"/>
        </w:rPr>
        <w:t xml:space="preserve"> </w:t>
      </w:r>
      <w:r w:rsidRPr="00B758E7">
        <w:rPr>
          <w:rFonts w:ascii="Book Antiqua" w:hAnsi="Book Antiqua"/>
          <w:noProof/>
        </w:rPr>
        <w:t xml:space="preserve">0.02), primary non-function (4.3% </w:t>
      </w:r>
      <w:r w:rsidR="00EE05FE" w:rsidRPr="00EE05FE">
        <w:rPr>
          <w:rFonts w:ascii="Book Antiqua" w:hAnsi="Book Antiqua"/>
          <w:i/>
          <w:noProof/>
        </w:rPr>
        <w:t>vs</w:t>
      </w:r>
      <w:r w:rsidRPr="00B758E7">
        <w:rPr>
          <w:rFonts w:ascii="Book Antiqua" w:hAnsi="Book Antiqua"/>
          <w:noProof/>
        </w:rPr>
        <w:t xml:space="preserve"> 3.0%,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 xml:space="preserve">0.0001) and chronic rejection (1.1% </w:t>
      </w:r>
      <w:r w:rsidR="00EE05FE" w:rsidRPr="00EE05FE">
        <w:rPr>
          <w:rFonts w:ascii="Book Antiqua" w:hAnsi="Book Antiqua"/>
          <w:i/>
          <w:noProof/>
        </w:rPr>
        <w:t>vs</w:t>
      </w:r>
      <w:r w:rsidRPr="00B758E7">
        <w:rPr>
          <w:rFonts w:ascii="Book Antiqua" w:hAnsi="Book Antiqua"/>
          <w:noProof/>
        </w:rPr>
        <w:t xml:space="preserve"> 0.7%,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w:t>
      </w:r>
      <w:r w:rsidR="00EE05FE">
        <w:rPr>
          <w:rFonts w:ascii="Book Antiqua" w:hAnsi="Book Antiqua" w:hint="eastAsia"/>
          <w:noProof/>
          <w:lang w:eastAsia="zh-CN"/>
        </w:rPr>
        <w:t xml:space="preserve"> </w:t>
      </w:r>
      <w:r w:rsidRPr="00B758E7">
        <w:rPr>
          <w:rFonts w:ascii="Book Antiqua" w:hAnsi="Book Antiqua"/>
          <w:noProof/>
        </w:rPr>
        <w:t>0.04).</w:t>
      </w:r>
      <w:r w:rsidR="00AC64F2" w:rsidRPr="00B758E7">
        <w:rPr>
          <w:rFonts w:ascii="Book Antiqua" w:hAnsi="Book Antiqua"/>
          <w:noProof/>
        </w:rPr>
        <w:t xml:space="preserve"> </w:t>
      </w:r>
      <w:r w:rsidRPr="00B758E7">
        <w:rPr>
          <w:rFonts w:ascii="Book Antiqua" w:hAnsi="Book Antiqua"/>
          <w:noProof/>
        </w:rPr>
        <w:t>In regards to all-cause survival, patients having pre-transplant SBP had worse unadjusted one year post-transplant survival (82.8%</w:t>
      </w:r>
      <w:r w:rsidR="00EE05FE" w:rsidRPr="00EE05FE">
        <w:rPr>
          <w:rFonts w:ascii="Book Antiqua" w:hAnsi="Book Antiqua"/>
          <w:i/>
          <w:noProof/>
        </w:rPr>
        <w:t xml:space="preserve"> vs</w:t>
      </w:r>
      <w:r w:rsidRPr="00B758E7">
        <w:rPr>
          <w:rFonts w:ascii="Book Antiqua" w:hAnsi="Book Antiqua"/>
          <w:noProof/>
        </w:rPr>
        <w:t xml:space="preserve"> 86.5%,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 xml:space="preserve">0.0001) and this difference widened at two years (76.5% </w:t>
      </w:r>
      <w:r w:rsidR="00EE05FE" w:rsidRPr="00EE05FE">
        <w:rPr>
          <w:rFonts w:ascii="Book Antiqua" w:hAnsi="Book Antiqua"/>
          <w:i/>
          <w:noProof/>
        </w:rPr>
        <w:t>vs</w:t>
      </w:r>
      <w:r w:rsidRPr="00B758E7">
        <w:rPr>
          <w:rFonts w:ascii="Book Antiqua" w:hAnsi="Book Antiqua"/>
          <w:noProof/>
        </w:rPr>
        <w:t xml:space="preserve"> 81.6%,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0.0001). Figure 1 shows the Kaplan-Meier survival analysis.</w:t>
      </w:r>
      <w:r w:rsidR="00AC64F2" w:rsidRPr="00B758E7">
        <w:rPr>
          <w:rFonts w:ascii="Book Antiqua" w:hAnsi="Book Antiqua"/>
          <w:noProof/>
        </w:rPr>
        <w:t xml:space="preserve"> </w:t>
      </w:r>
      <w:r w:rsidRPr="00B758E7">
        <w:rPr>
          <w:rFonts w:ascii="Book Antiqua" w:hAnsi="Book Antiqua"/>
          <w:noProof/>
        </w:rPr>
        <w:t xml:space="preserve">There was a statistically significant difference in all-cause survival in patients with a history of SBP </w:t>
      </w:r>
      <w:r w:rsidRPr="004F3260">
        <w:rPr>
          <w:rFonts w:ascii="Book Antiqua" w:hAnsi="Book Antiqua"/>
          <w:i/>
          <w:noProof/>
        </w:rPr>
        <w:t>vs</w:t>
      </w:r>
      <w:r w:rsidRPr="00B758E7">
        <w:rPr>
          <w:rFonts w:ascii="Book Antiqua" w:hAnsi="Book Antiqua"/>
          <w:noProof/>
        </w:rPr>
        <w:t xml:space="preserve"> those without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 xml:space="preserve">0.0001). </w:t>
      </w:r>
    </w:p>
    <w:p w14:paraId="6D39216E" w14:textId="1F7C47C2" w:rsidR="00964EEB" w:rsidRPr="00B758E7" w:rsidRDefault="00964EEB" w:rsidP="00EE05FE">
      <w:pPr>
        <w:spacing w:line="360" w:lineRule="auto"/>
        <w:ind w:firstLineChars="100" w:firstLine="240"/>
        <w:jc w:val="both"/>
        <w:rPr>
          <w:rFonts w:ascii="Book Antiqua" w:hAnsi="Book Antiqua"/>
          <w:noProof/>
        </w:rPr>
      </w:pPr>
      <w:r w:rsidRPr="00B758E7">
        <w:rPr>
          <w:rFonts w:ascii="Book Antiqua" w:hAnsi="Book Antiqua"/>
          <w:noProof/>
        </w:rPr>
        <w:t xml:space="preserve">In order to account for multiple factors influencing graft loss in this population, we developed a multivariable logistic regression model including factors known to affect survival rates: </w:t>
      </w:r>
      <w:r w:rsidR="00EE05FE" w:rsidRPr="00B758E7">
        <w:rPr>
          <w:rFonts w:ascii="Book Antiqua" w:hAnsi="Book Antiqua"/>
          <w:noProof/>
        </w:rPr>
        <w:t>A</w:t>
      </w:r>
      <w:r w:rsidRPr="00B758E7">
        <w:rPr>
          <w:rFonts w:ascii="Book Antiqua" w:hAnsi="Book Antiqua"/>
          <w:noProof/>
        </w:rPr>
        <w:t xml:space="preserve">ge of recipient, age of donor, MELD score, history of previous transplant, and history of </w:t>
      </w:r>
      <w:r w:rsidR="00B95C0A" w:rsidRPr="00B758E7">
        <w:rPr>
          <w:rFonts w:ascii="Book Antiqua" w:hAnsi="Book Antiqua"/>
          <w:noProof/>
        </w:rPr>
        <w:t>HCV</w:t>
      </w:r>
      <w:r w:rsidRPr="00B758E7">
        <w:rPr>
          <w:rFonts w:ascii="Book Antiqua" w:hAnsi="Book Antiqua"/>
          <w:noProof/>
        </w:rPr>
        <w:t>.</w:t>
      </w:r>
      <w:r w:rsidR="00AC64F2" w:rsidRPr="00B758E7">
        <w:rPr>
          <w:rFonts w:ascii="Book Antiqua" w:hAnsi="Book Antiqua"/>
          <w:noProof/>
        </w:rPr>
        <w:t xml:space="preserve"> </w:t>
      </w:r>
      <w:r w:rsidRPr="00B758E7">
        <w:rPr>
          <w:rFonts w:ascii="Book Antiqua" w:hAnsi="Book Antiqua"/>
          <w:noProof/>
        </w:rPr>
        <w:t>Table 3 shows the results of this analysis. A pre-transplant history of SBP was found to be an independent risk factor for post-transplant graft failure imparting a 57% increased risk</w:t>
      </w:r>
      <w:r w:rsidR="00EE05FE">
        <w:rPr>
          <w:rFonts w:ascii="Book Antiqua" w:hAnsi="Book Antiqua"/>
          <w:noProof/>
        </w:rPr>
        <w:t xml:space="preserve"> of graft failure (OR 1.57, 95%</w:t>
      </w:r>
      <w:r w:rsidRPr="00B758E7">
        <w:rPr>
          <w:rFonts w:ascii="Book Antiqua" w:hAnsi="Book Antiqua"/>
          <w:noProof/>
        </w:rPr>
        <w:t>CI</w:t>
      </w:r>
      <w:r w:rsidR="00EE05FE">
        <w:rPr>
          <w:rFonts w:ascii="Book Antiqua" w:hAnsi="Book Antiqua" w:hint="eastAsia"/>
          <w:noProof/>
          <w:lang w:eastAsia="zh-CN"/>
        </w:rPr>
        <w:t>:</w:t>
      </w:r>
      <w:r w:rsidRPr="00B758E7">
        <w:rPr>
          <w:rFonts w:ascii="Book Antiqua" w:hAnsi="Book Antiqua"/>
          <w:noProof/>
        </w:rPr>
        <w:t xml:space="preserve"> 1.22-2.02,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 xml:space="preserve">0.001). Table 4 shows the results of a mutivariate proprortional hazards survival </w:t>
      </w:r>
      <w:r w:rsidRPr="00B758E7">
        <w:rPr>
          <w:rFonts w:ascii="Book Antiqua" w:hAnsi="Book Antiqua"/>
          <w:noProof/>
        </w:rPr>
        <w:lastRenderedPageBreak/>
        <w:t>model predicting death due to recurrent HCV.</w:t>
      </w:r>
      <w:r w:rsidR="00AC64F2" w:rsidRPr="00B758E7">
        <w:rPr>
          <w:rFonts w:ascii="Book Antiqua" w:hAnsi="Book Antiqua"/>
          <w:noProof/>
        </w:rPr>
        <w:t xml:space="preserve"> </w:t>
      </w:r>
      <w:r w:rsidRPr="00B758E7">
        <w:rPr>
          <w:rFonts w:ascii="Book Antiqua" w:hAnsi="Book Antiqua"/>
          <w:noProof/>
        </w:rPr>
        <w:t>Once again, a pre-transplant history of SBP was independently predictive of mortality due</w:t>
      </w:r>
      <w:r w:rsidR="00EE05FE">
        <w:rPr>
          <w:rFonts w:ascii="Book Antiqua" w:hAnsi="Book Antiqua"/>
          <w:noProof/>
        </w:rPr>
        <w:t xml:space="preserve"> to recurrent HCV (HR 1.11, 95%</w:t>
      </w:r>
      <w:r w:rsidRPr="00B758E7">
        <w:rPr>
          <w:rFonts w:ascii="Book Antiqua" w:hAnsi="Book Antiqua"/>
          <w:noProof/>
        </w:rPr>
        <w:t>CI</w:t>
      </w:r>
      <w:r w:rsidR="00EE05FE">
        <w:rPr>
          <w:rFonts w:ascii="Book Antiqua" w:hAnsi="Book Antiqua" w:hint="eastAsia"/>
          <w:noProof/>
          <w:lang w:eastAsia="zh-CN"/>
        </w:rPr>
        <w:t>:</w:t>
      </w:r>
      <w:r w:rsidRPr="00B758E7">
        <w:rPr>
          <w:rFonts w:ascii="Book Antiqua" w:hAnsi="Book Antiqua"/>
          <w:noProof/>
        </w:rPr>
        <w:t xml:space="preserve"> 1.02-1.21, </w:t>
      </w:r>
      <w:r w:rsidR="00EE05FE" w:rsidRPr="00EE05FE">
        <w:rPr>
          <w:rFonts w:ascii="Book Antiqua" w:hAnsi="Book Antiqua"/>
          <w:i/>
          <w:noProof/>
        </w:rPr>
        <w:t>P</w:t>
      </w:r>
      <w:r w:rsidR="00EE05FE" w:rsidRPr="00B758E7">
        <w:rPr>
          <w:rFonts w:ascii="Book Antiqua" w:hAnsi="Book Antiqua"/>
          <w:noProof/>
        </w:rPr>
        <w:t xml:space="preserve"> </w:t>
      </w:r>
      <w:r w:rsidRPr="00B758E7">
        <w:rPr>
          <w:rFonts w:ascii="Book Antiqua" w:hAnsi="Book Antiqua"/>
          <w:noProof/>
        </w:rPr>
        <w:t>&lt;</w:t>
      </w:r>
      <w:r w:rsidR="00EE05FE">
        <w:rPr>
          <w:rFonts w:ascii="Book Antiqua" w:hAnsi="Book Antiqua" w:hint="eastAsia"/>
          <w:noProof/>
          <w:lang w:eastAsia="zh-CN"/>
        </w:rPr>
        <w:t xml:space="preserve"> </w:t>
      </w:r>
      <w:r w:rsidRPr="00B758E7">
        <w:rPr>
          <w:rFonts w:ascii="Book Antiqua" w:hAnsi="Book Antiqua"/>
          <w:noProof/>
        </w:rPr>
        <w:t>0.017) after liver transplantation.</w:t>
      </w:r>
    </w:p>
    <w:p w14:paraId="11AAECB8" w14:textId="77777777" w:rsidR="00DB558B" w:rsidRPr="00B758E7" w:rsidRDefault="00DB558B" w:rsidP="00EE05FE">
      <w:pPr>
        <w:spacing w:line="360" w:lineRule="auto"/>
        <w:jc w:val="both"/>
        <w:rPr>
          <w:rFonts w:ascii="Book Antiqua" w:hAnsi="Book Antiqua"/>
          <w:noProof/>
        </w:rPr>
      </w:pPr>
    </w:p>
    <w:p w14:paraId="43C45965" w14:textId="2132B471" w:rsidR="00964EEB" w:rsidRPr="00B758E7" w:rsidRDefault="00EE05FE" w:rsidP="00EE05FE">
      <w:pPr>
        <w:spacing w:line="360" w:lineRule="auto"/>
        <w:jc w:val="both"/>
        <w:rPr>
          <w:rFonts w:ascii="Book Antiqua" w:hAnsi="Book Antiqua"/>
          <w:b/>
          <w:noProof/>
        </w:rPr>
      </w:pPr>
      <w:r w:rsidRPr="00B758E7">
        <w:rPr>
          <w:rFonts w:ascii="Book Antiqua" w:hAnsi="Book Antiqua"/>
          <w:b/>
          <w:noProof/>
        </w:rPr>
        <w:t>DISCUSSION</w:t>
      </w:r>
    </w:p>
    <w:p w14:paraId="5EA648D6" w14:textId="31FE5716" w:rsidR="00964EEB" w:rsidRPr="00B758E7" w:rsidRDefault="00964EEB" w:rsidP="00EE05FE">
      <w:pPr>
        <w:spacing w:line="360" w:lineRule="auto"/>
        <w:jc w:val="both"/>
        <w:rPr>
          <w:rFonts w:ascii="Book Antiqua" w:hAnsi="Book Antiqua"/>
          <w:noProof/>
        </w:rPr>
      </w:pPr>
      <w:r w:rsidRPr="00B758E7">
        <w:rPr>
          <w:rFonts w:ascii="Book Antiqua" w:hAnsi="Book Antiqua"/>
          <w:noProof/>
        </w:rPr>
        <w:t xml:space="preserve">We have shown that </w:t>
      </w:r>
      <w:r w:rsidR="00D8426D" w:rsidRPr="00B758E7">
        <w:rPr>
          <w:rFonts w:ascii="Book Antiqua" w:hAnsi="Book Antiqua"/>
          <w:noProof/>
        </w:rPr>
        <w:t xml:space="preserve">HCV </w:t>
      </w:r>
      <w:r w:rsidRPr="00B758E7">
        <w:rPr>
          <w:rFonts w:ascii="Book Antiqua" w:hAnsi="Book Antiqua"/>
          <w:noProof/>
        </w:rPr>
        <w:t xml:space="preserve">patients </w:t>
      </w:r>
      <w:r w:rsidR="00D8426D" w:rsidRPr="00B758E7">
        <w:rPr>
          <w:rFonts w:ascii="Book Antiqua" w:hAnsi="Book Antiqua"/>
          <w:noProof/>
        </w:rPr>
        <w:t xml:space="preserve">prior to the advent of </w:t>
      </w:r>
      <w:r w:rsidR="00B758E7" w:rsidRPr="00B758E7">
        <w:rPr>
          <w:rFonts w:ascii="Book Antiqua" w:hAnsi="Book Antiqua"/>
        </w:rPr>
        <w:t>DAA</w:t>
      </w:r>
      <w:r w:rsidR="00D8426D" w:rsidRPr="00B758E7">
        <w:rPr>
          <w:rFonts w:ascii="Book Antiqua" w:hAnsi="Book Antiqua"/>
          <w:noProof/>
        </w:rPr>
        <w:t xml:space="preserve"> agents </w:t>
      </w:r>
      <w:r w:rsidRPr="00B758E7">
        <w:rPr>
          <w:rFonts w:ascii="Book Antiqua" w:hAnsi="Book Antiqua"/>
          <w:noProof/>
        </w:rPr>
        <w:t>had a higher incidence of pre-transplant SBP than other patients on the liver transplant wait list.</w:t>
      </w:r>
      <w:r w:rsidR="00AC64F2" w:rsidRPr="00B758E7">
        <w:rPr>
          <w:rFonts w:ascii="Book Antiqua" w:hAnsi="Book Antiqua"/>
          <w:noProof/>
        </w:rPr>
        <w:t xml:space="preserve"> </w:t>
      </w:r>
      <w:r w:rsidRPr="00B758E7">
        <w:rPr>
          <w:rFonts w:ascii="Book Antiqua" w:hAnsi="Book Antiqua"/>
          <w:noProof/>
        </w:rPr>
        <w:t>Further, SBP history resulted in a higher rate of graft loss due to recurrent HCV infection and chronic rejection.</w:t>
      </w:r>
      <w:r w:rsidR="00AC64F2" w:rsidRPr="00B758E7">
        <w:rPr>
          <w:rFonts w:ascii="Book Antiqua" w:hAnsi="Book Antiqua"/>
          <w:noProof/>
        </w:rPr>
        <w:t xml:space="preserve"> </w:t>
      </w:r>
      <w:r w:rsidRPr="00B758E7">
        <w:rPr>
          <w:rFonts w:ascii="Book Antiqua" w:hAnsi="Book Antiqua"/>
          <w:noProof/>
        </w:rPr>
        <w:t>This group also had an 11.2% greater risk of post-transplant mortality.</w:t>
      </w:r>
      <w:r w:rsidR="00AC64F2" w:rsidRPr="00B758E7">
        <w:rPr>
          <w:rFonts w:ascii="Book Antiqua" w:hAnsi="Book Antiqua"/>
          <w:noProof/>
        </w:rPr>
        <w:t xml:space="preserve"> </w:t>
      </w:r>
      <w:r w:rsidRPr="00B758E7">
        <w:rPr>
          <w:rFonts w:ascii="Book Antiqua" w:hAnsi="Book Antiqua"/>
          <w:noProof/>
        </w:rPr>
        <w:t>In a multivariate Cox regression model, SBP was found to be an independent risk factor for post-transplant mortality.</w:t>
      </w:r>
      <w:r w:rsidR="00AC64F2" w:rsidRPr="00B758E7">
        <w:rPr>
          <w:rFonts w:ascii="Book Antiqua" w:hAnsi="Book Antiqua"/>
          <w:noProof/>
        </w:rPr>
        <w:t xml:space="preserve"> </w:t>
      </w:r>
    </w:p>
    <w:p w14:paraId="2C452F15" w14:textId="4A2E9208" w:rsidR="00964EEB" w:rsidRPr="00B758E7" w:rsidRDefault="00964EEB" w:rsidP="00EE05FE">
      <w:pPr>
        <w:spacing w:line="360" w:lineRule="auto"/>
        <w:ind w:firstLineChars="100" w:firstLine="240"/>
        <w:jc w:val="both"/>
        <w:rPr>
          <w:rFonts w:ascii="Book Antiqua" w:hAnsi="Book Antiqua"/>
          <w:noProof/>
        </w:rPr>
      </w:pPr>
      <w:r w:rsidRPr="00B758E7">
        <w:rPr>
          <w:rFonts w:ascii="Book Antiqua" w:hAnsi="Book Antiqua"/>
          <w:noProof/>
        </w:rPr>
        <w:t>Patie</w:t>
      </w:r>
      <w:r w:rsidR="00103252" w:rsidRPr="00B758E7">
        <w:rPr>
          <w:rFonts w:ascii="Book Antiqua" w:hAnsi="Book Antiqua"/>
          <w:noProof/>
        </w:rPr>
        <w:t>nts with a diagnosis of active HCV infection at the time of transplant have</w:t>
      </w:r>
      <w:r w:rsidRPr="00B758E7">
        <w:rPr>
          <w:rFonts w:ascii="Book Antiqua" w:hAnsi="Book Antiqua"/>
          <w:noProof/>
        </w:rPr>
        <w:t xml:space="preserve"> a known predisposition to graft failure due to HCV recurrence.</w:t>
      </w:r>
      <w:r w:rsidR="00AC64F2" w:rsidRPr="00B758E7">
        <w:rPr>
          <w:rFonts w:ascii="Book Antiqua" w:hAnsi="Book Antiqua"/>
          <w:noProof/>
        </w:rPr>
        <w:t xml:space="preserve"> </w:t>
      </w:r>
      <w:r w:rsidRPr="00B758E7">
        <w:rPr>
          <w:rFonts w:ascii="Book Antiqua" w:hAnsi="Book Antiqua"/>
          <w:noProof/>
        </w:rPr>
        <w:t xml:space="preserve">However, the rate of progression </w:t>
      </w:r>
      <w:r w:rsidR="00D8426D" w:rsidRPr="00B758E7">
        <w:rPr>
          <w:rFonts w:ascii="Book Antiqua" w:hAnsi="Book Antiqua"/>
          <w:noProof/>
        </w:rPr>
        <w:t xml:space="preserve">to cirrhosis and graft failure </w:t>
      </w:r>
      <w:r w:rsidR="00103252" w:rsidRPr="00B758E7">
        <w:rPr>
          <w:rFonts w:ascii="Book Antiqua" w:hAnsi="Book Antiqua"/>
          <w:noProof/>
        </w:rPr>
        <w:t>is</w:t>
      </w:r>
      <w:r w:rsidRPr="00B758E7">
        <w:rPr>
          <w:rFonts w:ascii="Book Antiqua" w:hAnsi="Book Antiqua"/>
          <w:noProof/>
        </w:rPr>
        <w:t xml:space="preserve"> unpredictable.</w:t>
      </w:r>
      <w:r w:rsidR="00AC64F2" w:rsidRPr="00B758E7">
        <w:rPr>
          <w:rFonts w:ascii="Book Antiqua" w:hAnsi="Book Antiqua"/>
          <w:noProof/>
        </w:rPr>
        <w:t xml:space="preserve"> </w:t>
      </w:r>
      <w:r w:rsidRPr="00B758E7">
        <w:rPr>
          <w:rFonts w:ascii="Book Antiqua" w:hAnsi="Book Antiqua"/>
          <w:noProof/>
        </w:rPr>
        <w:t>Certain known risk factors such as the donor’s age, post-transplant CMV infection, HIV co-infection, the use of T cell depleting therapies, pulsed steroids,</w:t>
      </w:r>
      <w:r w:rsidR="00AC64F2" w:rsidRPr="00B758E7">
        <w:rPr>
          <w:rFonts w:ascii="Book Antiqua" w:hAnsi="Book Antiqua"/>
          <w:noProof/>
        </w:rPr>
        <w:t xml:space="preserve"> </w:t>
      </w:r>
      <w:r w:rsidRPr="00B758E7">
        <w:rPr>
          <w:rFonts w:ascii="Book Antiqua" w:hAnsi="Book Antiqua"/>
          <w:noProof/>
        </w:rPr>
        <w:t>and other donor risk factors have all been associated with poorer outcomes</w:t>
      </w:r>
      <w:r w:rsidR="00EE05FE">
        <w:rPr>
          <w:rFonts w:ascii="Book Antiqua" w:hAnsi="Book Antiqua" w:hint="eastAsia"/>
          <w:noProof/>
          <w:vertAlign w:val="superscript"/>
          <w:lang w:eastAsia="zh-CN"/>
        </w:rPr>
        <w:t>[7]</w:t>
      </w:r>
      <w:r w:rsidRPr="00B758E7">
        <w:rPr>
          <w:rFonts w:ascii="Book Antiqua" w:hAnsi="Book Antiqua"/>
          <w:noProof/>
        </w:rPr>
        <w:t>.</w:t>
      </w:r>
      <w:r w:rsidR="00AC64F2" w:rsidRPr="00B758E7">
        <w:rPr>
          <w:rFonts w:ascii="Book Antiqua" w:hAnsi="Book Antiqua"/>
          <w:noProof/>
        </w:rPr>
        <w:t xml:space="preserve"> </w:t>
      </w:r>
      <w:r w:rsidRPr="00B758E7">
        <w:rPr>
          <w:rFonts w:ascii="Book Antiqua" w:hAnsi="Book Antiqua"/>
          <w:noProof/>
        </w:rPr>
        <w:t>SBP has not been studied in this regard.</w:t>
      </w:r>
      <w:r w:rsidR="00AC64F2" w:rsidRPr="00B758E7">
        <w:rPr>
          <w:rFonts w:ascii="Book Antiqua" w:hAnsi="Book Antiqua"/>
          <w:noProof/>
        </w:rPr>
        <w:t xml:space="preserve"> </w:t>
      </w:r>
      <w:r w:rsidRPr="00B758E7">
        <w:rPr>
          <w:rFonts w:ascii="Book Antiqua" w:hAnsi="Book Antiqua"/>
          <w:noProof/>
        </w:rPr>
        <w:t>Our results show that a history of pre-transplant SBP may contribute to worse survival and an increased risk of graft failure.</w:t>
      </w:r>
      <w:r w:rsidR="00AC64F2" w:rsidRPr="00B758E7">
        <w:rPr>
          <w:rFonts w:ascii="Book Antiqua" w:hAnsi="Book Antiqua"/>
          <w:noProof/>
        </w:rPr>
        <w:t xml:space="preserve"> </w:t>
      </w:r>
      <w:r w:rsidRPr="00B758E7">
        <w:rPr>
          <w:rFonts w:ascii="Book Antiqua" w:hAnsi="Book Antiqua"/>
          <w:noProof/>
        </w:rPr>
        <w:t xml:space="preserve">As our study shows, 40% of pre-transplant SBP patients </w:t>
      </w:r>
      <w:r w:rsidR="00873CD1" w:rsidRPr="00B758E7">
        <w:rPr>
          <w:rFonts w:ascii="Book Antiqua" w:hAnsi="Book Antiqua"/>
          <w:noProof/>
        </w:rPr>
        <w:t xml:space="preserve">in this cohort </w:t>
      </w:r>
      <w:r w:rsidRPr="00B758E7">
        <w:rPr>
          <w:rFonts w:ascii="Book Antiqua" w:hAnsi="Book Antiqua"/>
          <w:noProof/>
        </w:rPr>
        <w:t>suffer</w:t>
      </w:r>
      <w:r w:rsidR="00873CD1" w:rsidRPr="00B758E7">
        <w:rPr>
          <w:rFonts w:ascii="Book Antiqua" w:hAnsi="Book Antiqua"/>
          <w:noProof/>
        </w:rPr>
        <w:t>ed</w:t>
      </w:r>
      <w:r w:rsidRPr="00B758E7">
        <w:rPr>
          <w:rFonts w:ascii="Book Antiqua" w:hAnsi="Book Antiqua"/>
          <w:noProof/>
        </w:rPr>
        <w:t xml:space="preserve"> from HCV, whereas only 30% of a control, non-SBP pre-transplant group suffer</w:t>
      </w:r>
      <w:r w:rsidR="00873CD1" w:rsidRPr="00B758E7">
        <w:rPr>
          <w:rFonts w:ascii="Book Antiqua" w:hAnsi="Book Antiqua"/>
          <w:noProof/>
        </w:rPr>
        <w:t>ed</w:t>
      </w:r>
      <w:r w:rsidRPr="00B758E7">
        <w:rPr>
          <w:rFonts w:ascii="Book Antiqua" w:hAnsi="Book Antiqua"/>
          <w:noProof/>
        </w:rPr>
        <w:t xml:space="preserve"> from HCV.</w:t>
      </w:r>
      <w:r w:rsidR="00AC64F2" w:rsidRPr="00B758E7">
        <w:rPr>
          <w:rFonts w:ascii="Book Antiqua" w:hAnsi="Book Antiqua"/>
          <w:noProof/>
        </w:rPr>
        <w:t xml:space="preserve"> </w:t>
      </w:r>
    </w:p>
    <w:p w14:paraId="650D3E71" w14:textId="55CF1071" w:rsidR="00873CD1" w:rsidRPr="00B758E7" w:rsidRDefault="00873CD1" w:rsidP="00EE05FE">
      <w:pPr>
        <w:spacing w:line="360" w:lineRule="auto"/>
        <w:ind w:firstLineChars="100" w:firstLine="240"/>
        <w:jc w:val="both"/>
        <w:rPr>
          <w:rFonts w:ascii="Book Antiqua" w:hAnsi="Book Antiqua"/>
        </w:rPr>
      </w:pPr>
      <w:r w:rsidRPr="00B758E7">
        <w:rPr>
          <w:rFonts w:ascii="Book Antiqua" w:hAnsi="Book Antiqua"/>
        </w:rPr>
        <w:t>Prior treatment regimens, which included interferon, to decrease HCV levels in pre-transplant candidates possessed</w:t>
      </w:r>
      <w:r w:rsidR="009B774D" w:rsidRPr="00B758E7">
        <w:rPr>
          <w:rFonts w:ascii="Book Antiqua" w:hAnsi="Book Antiqua"/>
        </w:rPr>
        <w:t xml:space="preserve"> their</w:t>
      </w:r>
      <w:r w:rsidRPr="00B758E7">
        <w:rPr>
          <w:rFonts w:ascii="Book Antiqua" w:hAnsi="Book Antiqua"/>
        </w:rPr>
        <w:t xml:space="preserve"> own risks and had shown an increase the rate of bacterial infections in these </w:t>
      </w:r>
      <w:proofErr w:type="gramStart"/>
      <w:r w:rsidRPr="00B758E7">
        <w:rPr>
          <w:rFonts w:ascii="Book Antiqua" w:hAnsi="Book Antiqua"/>
        </w:rPr>
        <w:t>patients</w:t>
      </w:r>
      <w:r w:rsidR="00EE05FE">
        <w:rPr>
          <w:rFonts w:ascii="Book Antiqua" w:hAnsi="Book Antiqua" w:hint="eastAsia"/>
          <w:vertAlign w:val="superscript"/>
          <w:lang w:eastAsia="zh-CN"/>
        </w:rPr>
        <w:t>[</w:t>
      </w:r>
      <w:proofErr w:type="gramEnd"/>
      <w:r w:rsidR="00EE05FE">
        <w:rPr>
          <w:rFonts w:ascii="Book Antiqua" w:hAnsi="Book Antiqua" w:hint="eastAsia"/>
          <w:vertAlign w:val="superscript"/>
          <w:lang w:eastAsia="zh-CN"/>
        </w:rPr>
        <w:t>8]</w:t>
      </w:r>
      <w:r w:rsidRPr="00B758E7">
        <w:rPr>
          <w:rFonts w:ascii="Book Antiqua" w:hAnsi="Book Antiqua"/>
        </w:rPr>
        <w:t xml:space="preserve">. The rate of infection, especially the incidence of SBP in patients not receiving prophylaxis therapy, in Child Pugh B/C patients was higher than matched </w:t>
      </w:r>
      <w:proofErr w:type="gramStart"/>
      <w:r w:rsidRPr="00B758E7">
        <w:rPr>
          <w:rFonts w:ascii="Book Antiqua" w:hAnsi="Book Antiqua"/>
        </w:rPr>
        <w:t>controls</w:t>
      </w:r>
      <w:r w:rsidR="00EE05FE">
        <w:rPr>
          <w:rFonts w:ascii="Book Antiqua" w:hAnsi="Book Antiqua" w:hint="eastAsia"/>
          <w:vertAlign w:val="superscript"/>
          <w:lang w:eastAsia="zh-CN"/>
        </w:rPr>
        <w:t>[</w:t>
      </w:r>
      <w:proofErr w:type="gramEnd"/>
      <w:r w:rsidR="00EE05FE">
        <w:rPr>
          <w:rFonts w:ascii="Book Antiqua" w:hAnsi="Book Antiqua" w:hint="eastAsia"/>
          <w:vertAlign w:val="superscript"/>
          <w:lang w:eastAsia="zh-CN"/>
        </w:rPr>
        <w:t>8]</w:t>
      </w:r>
      <w:r w:rsidRPr="00B758E7">
        <w:rPr>
          <w:rFonts w:ascii="Book Antiqua" w:hAnsi="Book Antiqua"/>
        </w:rPr>
        <w:t>.</w:t>
      </w:r>
      <w:r w:rsidR="00103252" w:rsidRPr="00B758E7">
        <w:rPr>
          <w:rFonts w:ascii="Book Antiqua" w:hAnsi="Book Antiqua"/>
        </w:rPr>
        <w:t xml:space="preserve"> </w:t>
      </w:r>
      <w:r w:rsidRPr="00B758E7">
        <w:rPr>
          <w:rFonts w:ascii="Book Antiqua" w:hAnsi="Book Antiqua"/>
        </w:rPr>
        <w:t xml:space="preserve">Several etiologies had been proposed, including the </w:t>
      </w:r>
      <w:proofErr w:type="spellStart"/>
      <w:r w:rsidRPr="00B758E7">
        <w:rPr>
          <w:rFonts w:ascii="Book Antiqua" w:hAnsi="Book Antiqua"/>
        </w:rPr>
        <w:t>neutropenic</w:t>
      </w:r>
      <w:proofErr w:type="spellEnd"/>
      <w:r w:rsidRPr="00B758E7">
        <w:rPr>
          <w:rFonts w:ascii="Book Antiqua" w:hAnsi="Book Antiqua"/>
        </w:rPr>
        <w:t xml:space="preserve"> and </w:t>
      </w:r>
      <w:proofErr w:type="spellStart"/>
      <w:r w:rsidRPr="00B758E7">
        <w:rPr>
          <w:rFonts w:ascii="Book Antiqua" w:hAnsi="Book Antiqua"/>
        </w:rPr>
        <w:t>granulo</w:t>
      </w:r>
      <w:proofErr w:type="spellEnd"/>
      <w:r w:rsidRPr="00B758E7">
        <w:rPr>
          <w:rFonts w:ascii="Book Antiqua" w:hAnsi="Book Antiqua"/>
        </w:rPr>
        <w:t>-toxic effect of interferon causing an increase susceptibility to bacterial infections.</w:t>
      </w:r>
      <w:r w:rsidR="00AC64F2" w:rsidRPr="00B758E7">
        <w:rPr>
          <w:rFonts w:ascii="Book Antiqua" w:hAnsi="Book Antiqua"/>
        </w:rPr>
        <w:t xml:space="preserve"> </w:t>
      </w:r>
      <w:r w:rsidRPr="00B758E7">
        <w:rPr>
          <w:rFonts w:ascii="Book Antiqua" w:hAnsi="Book Antiqua"/>
        </w:rPr>
        <w:t>These studies show an increased risk of infection, including SBP, in HCV patients with poor liver function.</w:t>
      </w:r>
      <w:r w:rsidR="00AC64F2" w:rsidRPr="00B758E7">
        <w:rPr>
          <w:rFonts w:ascii="Book Antiqua" w:hAnsi="Book Antiqua"/>
        </w:rPr>
        <w:t xml:space="preserve"> </w:t>
      </w:r>
      <w:r w:rsidRPr="00B758E7">
        <w:rPr>
          <w:rFonts w:ascii="Book Antiqua" w:hAnsi="Book Antiqua"/>
        </w:rPr>
        <w:t xml:space="preserve">With our data showing the deleterious effect of SBP on transplant outcomes, it </w:t>
      </w:r>
      <w:r w:rsidR="00103252" w:rsidRPr="00B758E7">
        <w:rPr>
          <w:rFonts w:ascii="Book Antiqua" w:hAnsi="Book Antiqua"/>
        </w:rPr>
        <w:t>supports</w:t>
      </w:r>
      <w:r w:rsidR="009B774D" w:rsidRPr="00B758E7">
        <w:rPr>
          <w:rFonts w:ascii="Book Antiqua" w:hAnsi="Book Antiqua"/>
        </w:rPr>
        <w:t xml:space="preserve"> the</w:t>
      </w:r>
      <w:r w:rsidRPr="00B758E7">
        <w:rPr>
          <w:rFonts w:ascii="Book Antiqua" w:hAnsi="Book Antiqua"/>
        </w:rPr>
        <w:t xml:space="preserve"> careful </w:t>
      </w:r>
      <w:r w:rsidR="009B774D" w:rsidRPr="00B758E7">
        <w:rPr>
          <w:rFonts w:ascii="Book Antiqua" w:hAnsi="Book Antiqua"/>
        </w:rPr>
        <w:t>choice</w:t>
      </w:r>
      <w:r w:rsidRPr="00B758E7">
        <w:rPr>
          <w:rFonts w:ascii="Book Antiqua" w:hAnsi="Book Antiqua"/>
        </w:rPr>
        <w:t xml:space="preserve"> of HCV patients </w:t>
      </w:r>
      <w:r w:rsidR="009B774D" w:rsidRPr="00B758E7">
        <w:rPr>
          <w:rFonts w:ascii="Book Antiqua" w:hAnsi="Book Antiqua"/>
        </w:rPr>
        <w:t xml:space="preserve">that were </w:t>
      </w:r>
      <w:r w:rsidR="009B774D" w:rsidRPr="00B758E7">
        <w:rPr>
          <w:rFonts w:ascii="Book Antiqua" w:hAnsi="Book Antiqua"/>
        </w:rPr>
        <w:lastRenderedPageBreak/>
        <w:t xml:space="preserve">selected </w:t>
      </w:r>
      <w:r w:rsidR="00103252" w:rsidRPr="00B758E7">
        <w:rPr>
          <w:rFonts w:ascii="Book Antiqua" w:hAnsi="Book Antiqua"/>
        </w:rPr>
        <w:t xml:space="preserve">in the past </w:t>
      </w:r>
      <w:r w:rsidR="009B774D" w:rsidRPr="00B758E7">
        <w:rPr>
          <w:rFonts w:ascii="Book Antiqua" w:hAnsi="Book Antiqua"/>
        </w:rPr>
        <w:t xml:space="preserve">to undergo interferon based therapies </w:t>
      </w:r>
      <w:r w:rsidRPr="00B758E7">
        <w:rPr>
          <w:rFonts w:ascii="Book Antiqua" w:hAnsi="Book Antiqua"/>
        </w:rPr>
        <w:t xml:space="preserve">pre-transplant and the importance of SBP prophylaxis in this group with proper </w:t>
      </w:r>
      <w:proofErr w:type="gramStart"/>
      <w:r w:rsidRPr="00B758E7">
        <w:rPr>
          <w:rFonts w:ascii="Book Antiqua" w:hAnsi="Book Antiqua"/>
        </w:rPr>
        <w:t>indications</w:t>
      </w:r>
      <w:r w:rsidR="00EE05FE">
        <w:rPr>
          <w:rFonts w:ascii="Book Antiqua" w:hAnsi="Book Antiqua" w:hint="eastAsia"/>
          <w:vertAlign w:val="superscript"/>
          <w:lang w:eastAsia="zh-CN"/>
        </w:rPr>
        <w:t>[</w:t>
      </w:r>
      <w:proofErr w:type="gramEnd"/>
      <w:r w:rsidR="00EE05FE">
        <w:rPr>
          <w:rFonts w:ascii="Book Antiqua" w:hAnsi="Book Antiqua" w:hint="eastAsia"/>
          <w:vertAlign w:val="superscript"/>
          <w:lang w:eastAsia="zh-CN"/>
        </w:rPr>
        <w:t>8,9]</w:t>
      </w:r>
      <w:r w:rsidRPr="00B758E7">
        <w:rPr>
          <w:rFonts w:ascii="Book Antiqua" w:hAnsi="Book Antiqua"/>
        </w:rPr>
        <w:t xml:space="preserve">. </w:t>
      </w:r>
    </w:p>
    <w:p w14:paraId="454EFEC4" w14:textId="7D09261E" w:rsidR="00964EEB" w:rsidRPr="00B758E7" w:rsidRDefault="00964EEB" w:rsidP="00EE05FE">
      <w:pPr>
        <w:spacing w:line="360" w:lineRule="auto"/>
        <w:ind w:firstLineChars="100" w:firstLine="240"/>
        <w:jc w:val="both"/>
        <w:rPr>
          <w:rFonts w:ascii="Book Antiqua" w:hAnsi="Book Antiqua"/>
        </w:rPr>
      </w:pPr>
      <w:r w:rsidRPr="00B758E7">
        <w:rPr>
          <w:rFonts w:ascii="Book Antiqua" w:hAnsi="Book Antiqua"/>
        </w:rPr>
        <w:t xml:space="preserve">Limited studies from the pre-MELD era did not show that pre-transplant SBP influenced post-transplant outcomes. </w:t>
      </w:r>
      <w:r w:rsidR="00CD26FC" w:rsidRPr="00B758E7">
        <w:rPr>
          <w:rFonts w:ascii="Book Antiqua" w:hAnsi="Book Antiqua"/>
        </w:rPr>
        <w:t>A study following</w:t>
      </w:r>
      <w:r w:rsidRPr="00B758E7">
        <w:rPr>
          <w:rFonts w:ascii="Book Antiqua" w:hAnsi="Book Antiqua"/>
        </w:rPr>
        <w:t xml:space="preserve"> 100 </w:t>
      </w:r>
      <w:proofErr w:type="gramStart"/>
      <w:r w:rsidRPr="00B758E7">
        <w:rPr>
          <w:rFonts w:ascii="Book Antiqua" w:hAnsi="Book Antiqua"/>
        </w:rPr>
        <w:t>patients,</w:t>
      </w:r>
      <w:proofErr w:type="gramEnd"/>
      <w:r w:rsidRPr="00B758E7">
        <w:rPr>
          <w:rFonts w:ascii="Book Antiqua" w:hAnsi="Book Antiqua"/>
        </w:rPr>
        <w:t xml:space="preserve"> showed that 32% of patients developed a pre-transplant infection.</w:t>
      </w:r>
      <w:r w:rsidR="00AC64F2" w:rsidRPr="00B758E7">
        <w:rPr>
          <w:rFonts w:ascii="Book Antiqua" w:hAnsi="Book Antiqua"/>
        </w:rPr>
        <w:t xml:space="preserve"> </w:t>
      </w:r>
      <w:r w:rsidRPr="00B758E7">
        <w:rPr>
          <w:rFonts w:ascii="Book Antiqua" w:hAnsi="Book Antiqua"/>
        </w:rPr>
        <w:t>The infections ranged from SBP (35.6%), blood stream infections (28.9%), cellulitis (13.3%), pneumonia (8.9%), urinary tract infections (6.7%), and other infections (6.7%)</w:t>
      </w:r>
      <w:r w:rsidR="00EE05FE">
        <w:rPr>
          <w:rFonts w:ascii="Book Antiqua" w:hAnsi="Book Antiqua" w:hint="eastAsia"/>
          <w:vertAlign w:val="superscript"/>
          <w:lang w:eastAsia="zh-CN"/>
        </w:rPr>
        <w:t>[10]</w:t>
      </w:r>
      <w:r w:rsidRPr="00B758E7">
        <w:rPr>
          <w:rFonts w:ascii="Book Antiqua" w:hAnsi="Book Antiqua"/>
        </w:rPr>
        <w:t>. After following this group, the study found that patients with pre-transplant infections were less likely to be transplanted from home and required longer hospital stays, but the mortality at 90 and 180 d post-transplant did not differ significantly compared to individuals without pre-transplant infections.</w:t>
      </w:r>
      <w:r w:rsidR="00AC64F2" w:rsidRPr="00B758E7">
        <w:rPr>
          <w:rFonts w:ascii="Book Antiqua" w:hAnsi="Book Antiqua"/>
        </w:rPr>
        <w:t xml:space="preserve"> </w:t>
      </w:r>
      <w:r w:rsidRPr="00B758E7">
        <w:rPr>
          <w:rFonts w:ascii="Book Antiqua" w:hAnsi="Book Antiqua"/>
        </w:rPr>
        <w:t xml:space="preserve">As shown by our Kaplan Meier survival curves in Figure 1, the survival of the two groups </w:t>
      </w:r>
      <w:r w:rsidR="00CD26FC" w:rsidRPr="00B758E7">
        <w:rPr>
          <w:rFonts w:ascii="Book Antiqua" w:hAnsi="Book Antiqua"/>
        </w:rPr>
        <w:t xml:space="preserve">from our analysis of the OPTN database </w:t>
      </w:r>
      <w:r w:rsidRPr="00B758E7">
        <w:rPr>
          <w:rFonts w:ascii="Book Antiqua" w:hAnsi="Book Antiqua"/>
        </w:rPr>
        <w:t>seems to be similar, but then diverges significantly starting at day 250.</w:t>
      </w:r>
      <w:r w:rsidR="00AC64F2" w:rsidRPr="00B758E7">
        <w:rPr>
          <w:rFonts w:ascii="Book Antiqua" w:hAnsi="Book Antiqua"/>
        </w:rPr>
        <w:t xml:space="preserve"> </w:t>
      </w:r>
      <w:r w:rsidRPr="00B758E7">
        <w:rPr>
          <w:rFonts w:ascii="Book Antiqua" w:hAnsi="Book Antiqua"/>
        </w:rPr>
        <w:t xml:space="preserve">Therefore, even though </w:t>
      </w:r>
      <w:r w:rsidR="00CD26FC" w:rsidRPr="00B758E7">
        <w:rPr>
          <w:rFonts w:ascii="Book Antiqua" w:hAnsi="Book Antiqua"/>
        </w:rPr>
        <w:t>the previously mentioned</w:t>
      </w:r>
      <w:r w:rsidRPr="00B758E7">
        <w:rPr>
          <w:rFonts w:ascii="Book Antiqua" w:hAnsi="Book Antiqua"/>
        </w:rPr>
        <w:t xml:space="preserve"> study did not find differences in survival, we feel that with longer follow-up this difference could have been statistically significant. </w:t>
      </w:r>
    </w:p>
    <w:p w14:paraId="79A37A7B" w14:textId="7C38C99D" w:rsidR="00964EEB" w:rsidRPr="00B758E7" w:rsidRDefault="00CD26FC" w:rsidP="00EE05FE">
      <w:pPr>
        <w:spacing w:line="360" w:lineRule="auto"/>
        <w:ind w:firstLineChars="100" w:firstLine="240"/>
        <w:jc w:val="both"/>
        <w:rPr>
          <w:rFonts w:ascii="Book Antiqua" w:hAnsi="Book Antiqua"/>
        </w:rPr>
      </w:pPr>
      <w:r w:rsidRPr="00B758E7">
        <w:rPr>
          <w:rFonts w:ascii="Book Antiqua" w:hAnsi="Book Antiqua"/>
        </w:rPr>
        <w:t>A</w:t>
      </w:r>
      <w:r w:rsidR="00103252" w:rsidRPr="00B758E7">
        <w:rPr>
          <w:rFonts w:ascii="Book Antiqua" w:hAnsi="Book Antiqua"/>
        </w:rPr>
        <w:t>nother</w:t>
      </w:r>
      <w:r w:rsidRPr="00B758E7">
        <w:rPr>
          <w:rFonts w:ascii="Book Antiqua" w:hAnsi="Book Antiqua"/>
        </w:rPr>
        <w:t xml:space="preserve"> single center study,</w:t>
      </w:r>
      <w:r w:rsidR="00964EEB" w:rsidRPr="00B758E7">
        <w:rPr>
          <w:rFonts w:ascii="Book Antiqua" w:hAnsi="Book Antiqua"/>
        </w:rPr>
        <w:t xml:space="preserve"> reported that patients with a history of SBP had more severe liver disease as measured by MELD and CTP score, but had similar post-transplant mortality to those without a history of </w:t>
      </w:r>
      <w:proofErr w:type="gramStart"/>
      <w:r w:rsidR="00964EEB" w:rsidRPr="00B758E7">
        <w:rPr>
          <w:rFonts w:ascii="Book Antiqua" w:hAnsi="Book Antiqua"/>
        </w:rPr>
        <w:t>SBP</w:t>
      </w:r>
      <w:r w:rsidR="00EE05FE">
        <w:rPr>
          <w:rFonts w:ascii="Book Antiqua" w:hAnsi="Book Antiqua" w:hint="eastAsia"/>
          <w:vertAlign w:val="superscript"/>
          <w:lang w:eastAsia="zh-CN"/>
        </w:rPr>
        <w:t>[</w:t>
      </w:r>
      <w:proofErr w:type="gramEnd"/>
      <w:r w:rsidR="00EE05FE">
        <w:rPr>
          <w:rFonts w:ascii="Book Antiqua" w:hAnsi="Book Antiqua" w:hint="eastAsia"/>
          <w:vertAlign w:val="superscript"/>
          <w:lang w:eastAsia="zh-CN"/>
        </w:rPr>
        <w:t>11]</w:t>
      </w:r>
      <w:r w:rsidR="00964EEB" w:rsidRPr="00B758E7">
        <w:rPr>
          <w:rFonts w:ascii="Book Antiqua" w:hAnsi="Book Antiqua"/>
        </w:rPr>
        <w:t>. The patients who developed SBP most commonly suffered from liver disease related to HCV or alcohol.</w:t>
      </w:r>
      <w:r w:rsidR="00AC64F2" w:rsidRPr="00B758E7">
        <w:rPr>
          <w:rFonts w:ascii="Book Antiqua" w:hAnsi="Book Antiqua"/>
        </w:rPr>
        <w:t xml:space="preserve"> </w:t>
      </w:r>
      <w:r w:rsidR="00964EEB" w:rsidRPr="00B758E7">
        <w:rPr>
          <w:rFonts w:ascii="Book Antiqua" w:hAnsi="Book Antiqua"/>
        </w:rPr>
        <w:t>The mean follow up time period for this study was 3 years.</w:t>
      </w:r>
      <w:r w:rsidR="00AC64F2" w:rsidRPr="00B758E7">
        <w:rPr>
          <w:rFonts w:ascii="Book Antiqua" w:hAnsi="Book Antiqua"/>
        </w:rPr>
        <w:t xml:space="preserve"> </w:t>
      </w:r>
      <w:r w:rsidR="00964EEB" w:rsidRPr="00B758E7">
        <w:rPr>
          <w:rFonts w:ascii="Book Antiqua" w:hAnsi="Book Antiqua"/>
        </w:rPr>
        <w:t xml:space="preserve">While mortality or infection rates were not affected, these patients were more likely to require abdominal surgery 1 year post transplant for hernia repairs, bleeding, and vascular </w:t>
      </w:r>
      <w:proofErr w:type="gramStart"/>
      <w:r w:rsidR="00964EEB" w:rsidRPr="00B758E7">
        <w:rPr>
          <w:rFonts w:ascii="Book Antiqua" w:hAnsi="Book Antiqua"/>
        </w:rPr>
        <w:t>complications</w:t>
      </w:r>
      <w:r w:rsidR="00EE05FE">
        <w:rPr>
          <w:rFonts w:ascii="Book Antiqua" w:hAnsi="Book Antiqua" w:hint="eastAsia"/>
          <w:vertAlign w:val="superscript"/>
          <w:lang w:eastAsia="zh-CN"/>
        </w:rPr>
        <w:t>[</w:t>
      </w:r>
      <w:proofErr w:type="gramEnd"/>
      <w:r w:rsidR="00EE05FE">
        <w:rPr>
          <w:rFonts w:ascii="Book Antiqua" w:hAnsi="Book Antiqua" w:hint="eastAsia"/>
          <w:vertAlign w:val="superscript"/>
          <w:lang w:eastAsia="zh-CN"/>
        </w:rPr>
        <w:t>11]</w:t>
      </w:r>
      <w:r w:rsidR="00964EEB" w:rsidRPr="00B758E7">
        <w:rPr>
          <w:rFonts w:ascii="Book Antiqua" w:hAnsi="Book Antiqua"/>
        </w:rPr>
        <w:t>.</w:t>
      </w:r>
      <w:r w:rsidRPr="00B758E7">
        <w:rPr>
          <w:rFonts w:ascii="Book Antiqua" w:hAnsi="Book Antiqua"/>
        </w:rPr>
        <w:t xml:space="preserve"> This study reinforces our findings of the large burden of SBP on pre-transplant cirrhosis patients and the </w:t>
      </w:r>
      <w:r w:rsidR="00964EEB" w:rsidRPr="00B758E7">
        <w:rPr>
          <w:rFonts w:ascii="Book Antiqua" w:hAnsi="Book Antiqua"/>
        </w:rPr>
        <w:t>higher rate of SBP in HCV patients.</w:t>
      </w:r>
      <w:r w:rsidR="00AC64F2" w:rsidRPr="00B758E7">
        <w:rPr>
          <w:rFonts w:ascii="Book Antiqua" w:hAnsi="Book Antiqua"/>
        </w:rPr>
        <w:t xml:space="preserve"> </w:t>
      </w:r>
      <w:r w:rsidRPr="00B758E7">
        <w:rPr>
          <w:rFonts w:ascii="Book Antiqua" w:hAnsi="Book Antiqua"/>
        </w:rPr>
        <w:t>However, the</w:t>
      </w:r>
      <w:r w:rsidR="00103252" w:rsidRPr="00B758E7">
        <w:rPr>
          <w:rFonts w:ascii="Book Antiqua" w:hAnsi="Book Antiqua"/>
        </w:rPr>
        <w:t xml:space="preserve"> relatively small sample size</w:t>
      </w:r>
      <w:r w:rsidR="00964EEB" w:rsidRPr="00B758E7">
        <w:rPr>
          <w:rFonts w:ascii="Book Antiqua" w:hAnsi="Book Antiqua"/>
        </w:rPr>
        <w:t xml:space="preserve"> and </w:t>
      </w:r>
      <w:r w:rsidRPr="00B758E7">
        <w:rPr>
          <w:rFonts w:ascii="Book Antiqua" w:hAnsi="Book Antiqua"/>
        </w:rPr>
        <w:t xml:space="preserve">inclusion of patients </w:t>
      </w:r>
      <w:r w:rsidR="00964EEB" w:rsidRPr="00B758E7">
        <w:rPr>
          <w:rFonts w:ascii="Book Antiqua" w:hAnsi="Book Antiqua"/>
        </w:rPr>
        <w:t>transplanted in the pre-MELD era</w:t>
      </w:r>
      <w:r w:rsidRPr="00B758E7">
        <w:rPr>
          <w:rFonts w:ascii="Book Antiqua" w:hAnsi="Book Antiqua"/>
        </w:rPr>
        <w:t xml:space="preserve"> may not be as applicable to the general population</w:t>
      </w:r>
      <w:r w:rsidR="00964EEB" w:rsidRPr="00B758E7">
        <w:rPr>
          <w:rFonts w:ascii="Book Antiqua" w:hAnsi="Book Antiqua"/>
        </w:rPr>
        <w:t>.</w:t>
      </w:r>
      <w:r w:rsidR="00AC64F2" w:rsidRPr="00B758E7">
        <w:rPr>
          <w:rFonts w:ascii="Book Antiqua" w:hAnsi="Book Antiqua"/>
        </w:rPr>
        <w:t xml:space="preserve"> </w:t>
      </w:r>
      <w:r w:rsidR="00964EEB" w:rsidRPr="00B758E7">
        <w:rPr>
          <w:rFonts w:ascii="Book Antiqua" w:hAnsi="Book Antiqua"/>
        </w:rPr>
        <w:t>Our cohort studies the transplants occurring after 2002, and includes a multi-center analysis with almost 4</w:t>
      </w:r>
      <w:r w:rsidR="00E862DF">
        <w:rPr>
          <w:rFonts w:ascii="Book Antiqua" w:hAnsi="Book Antiqua"/>
        </w:rPr>
        <w:t>8</w:t>
      </w:r>
      <w:r w:rsidR="00964EEB" w:rsidRPr="00B758E7">
        <w:rPr>
          <w:rFonts w:ascii="Book Antiqua" w:hAnsi="Book Antiqua"/>
        </w:rPr>
        <w:t>000 patient records.</w:t>
      </w:r>
      <w:r w:rsidR="00AC64F2" w:rsidRPr="00B758E7">
        <w:rPr>
          <w:rFonts w:ascii="Book Antiqua" w:hAnsi="Book Antiqua"/>
        </w:rPr>
        <w:t xml:space="preserve"> </w:t>
      </w:r>
    </w:p>
    <w:p w14:paraId="0F9EAA6A" w14:textId="383B975A" w:rsidR="00964EEB" w:rsidRPr="00B758E7" w:rsidRDefault="00964EEB" w:rsidP="00EE05FE">
      <w:pPr>
        <w:spacing w:line="360" w:lineRule="auto"/>
        <w:ind w:firstLineChars="100" w:firstLine="240"/>
        <w:jc w:val="both"/>
        <w:rPr>
          <w:rFonts w:ascii="Book Antiqua" w:hAnsi="Book Antiqua"/>
        </w:rPr>
      </w:pPr>
      <w:r w:rsidRPr="00B758E7">
        <w:rPr>
          <w:rFonts w:ascii="Book Antiqua" w:hAnsi="Book Antiqua"/>
        </w:rPr>
        <w:t>There are several limitations to our study.</w:t>
      </w:r>
      <w:r w:rsidR="00AC64F2" w:rsidRPr="00B758E7">
        <w:rPr>
          <w:rFonts w:ascii="Book Antiqua" w:hAnsi="Book Antiqua"/>
        </w:rPr>
        <w:t xml:space="preserve"> </w:t>
      </w:r>
      <w:r w:rsidRPr="00B758E7">
        <w:rPr>
          <w:rFonts w:ascii="Book Antiqua" w:hAnsi="Book Antiqua"/>
        </w:rPr>
        <w:t>One of the major limitations is the incomplete reporting of SBP in the OPTN database.</w:t>
      </w:r>
      <w:r w:rsidR="00AC64F2" w:rsidRPr="00B758E7">
        <w:rPr>
          <w:rFonts w:ascii="Book Antiqua" w:hAnsi="Book Antiqua"/>
        </w:rPr>
        <w:t xml:space="preserve"> </w:t>
      </w:r>
      <w:r w:rsidRPr="00B758E7">
        <w:rPr>
          <w:rFonts w:ascii="Book Antiqua" w:hAnsi="Book Antiqua"/>
        </w:rPr>
        <w:t xml:space="preserve">We believe it is safe to assume that reported instances of SBP are accurate and have a clear documented episode recognized </w:t>
      </w:r>
      <w:r w:rsidRPr="00B758E7">
        <w:rPr>
          <w:rFonts w:ascii="Book Antiqua" w:hAnsi="Book Antiqua"/>
        </w:rPr>
        <w:lastRenderedPageBreak/>
        <w:t>by the listing health care provider</w:t>
      </w:r>
      <w:r w:rsidR="00873CD1" w:rsidRPr="00B758E7">
        <w:rPr>
          <w:rFonts w:ascii="Book Antiqua" w:hAnsi="Book Antiqua"/>
        </w:rPr>
        <w:t>,</w:t>
      </w:r>
      <w:r w:rsidRPr="00B758E7">
        <w:rPr>
          <w:rFonts w:ascii="Book Antiqua" w:hAnsi="Book Antiqua"/>
        </w:rPr>
        <w:t xml:space="preserve"> which prompted this designation.</w:t>
      </w:r>
      <w:r w:rsidR="00AC64F2" w:rsidRPr="00B758E7">
        <w:rPr>
          <w:rFonts w:ascii="Book Antiqua" w:hAnsi="Book Antiqua"/>
        </w:rPr>
        <w:t xml:space="preserve"> </w:t>
      </w:r>
      <w:r w:rsidRPr="00B758E7">
        <w:rPr>
          <w:rFonts w:ascii="Book Antiqua" w:hAnsi="Book Antiqua"/>
        </w:rPr>
        <w:t>However, the low rates of patients with SBP pre-transplant as compared to other studies in the literature, raises the speculation of recall bias from reporting centers on patient’s history of SBP.</w:t>
      </w:r>
      <w:r w:rsidR="00AC64F2" w:rsidRPr="00B758E7">
        <w:rPr>
          <w:rFonts w:ascii="Book Antiqua" w:hAnsi="Book Antiqua"/>
        </w:rPr>
        <w:t xml:space="preserve"> </w:t>
      </w:r>
      <w:r w:rsidRPr="00B758E7">
        <w:rPr>
          <w:rFonts w:ascii="Book Antiqua" w:hAnsi="Book Antiqua"/>
        </w:rPr>
        <w:t>The exact determination of SBP may not be uniform across all centers, and without full accessibility to numbers of SBP episodes, exact cell counts, or ascites fluid analysis we are dependent solely on information from the database.</w:t>
      </w:r>
      <w:r w:rsidR="00AC64F2" w:rsidRPr="00B758E7">
        <w:rPr>
          <w:rFonts w:ascii="Book Antiqua" w:hAnsi="Book Antiqua"/>
        </w:rPr>
        <w:t xml:space="preserve"> </w:t>
      </w:r>
      <w:r w:rsidRPr="00B758E7">
        <w:rPr>
          <w:rFonts w:ascii="Book Antiqua" w:hAnsi="Book Antiqua"/>
        </w:rPr>
        <w:t>Further, those patients with severe infection due to SBP were likely excluded from transplant listing.</w:t>
      </w:r>
      <w:r w:rsidR="00AC64F2" w:rsidRPr="00B758E7">
        <w:rPr>
          <w:rFonts w:ascii="Book Antiqua" w:hAnsi="Book Antiqua"/>
        </w:rPr>
        <w:t xml:space="preserve"> </w:t>
      </w:r>
      <w:r w:rsidRPr="00B758E7">
        <w:rPr>
          <w:rFonts w:ascii="Book Antiqua" w:hAnsi="Book Antiqua"/>
        </w:rPr>
        <w:t xml:space="preserve">Finally, while we may assume that survival statistics and graft loss are accurate in the OPTN database, other post-transplant variables are often incomplete including immunosuppression data and other details regarding HCV </w:t>
      </w:r>
      <w:proofErr w:type="gramStart"/>
      <w:r w:rsidRPr="00B758E7">
        <w:rPr>
          <w:rFonts w:ascii="Book Antiqua" w:hAnsi="Book Antiqua"/>
        </w:rPr>
        <w:t>recurrence</w:t>
      </w:r>
      <w:r w:rsidR="00EE05FE">
        <w:rPr>
          <w:rFonts w:ascii="Book Antiqua" w:hAnsi="Book Antiqua" w:hint="eastAsia"/>
          <w:vertAlign w:val="superscript"/>
          <w:lang w:eastAsia="zh-CN"/>
        </w:rPr>
        <w:t>[</w:t>
      </w:r>
      <w:proofErr w:type="gramEnd"/>
      <w:r w:rsidR="00EE05FE">
        <w:rPr>
          <w:rFonts w:ascii="Book Antiqua" w:hAnsi="Book Antiqua" w:hint="eastAsia"/>
          <w:vertAlign w:val="superscript"/>
          <w:lang w:eastAsia="zh-CN"/>
        </w:rPr>
        <w:t>12]</w:t>
      </w:r>
      <w:r w:rsidRPr="00B758E7">
        <w:rPr>
          <w:rFonts w:ascii="Book Antiqua" w:hAnsi="Book Antiqua"/>
        </w:rPr>
        <w:t>.</w:t>
      </w:r>
      <w:r w:rsidR="00AC64F2" w:rsidRPr="00B758E7">
        <w:rPr>
          <w:rFonts w:ascii="Book Antiqua" w:hAnsi="Book Antiqua"/>
          <w:vertAlign w:val="superscript"/>
        </w:rPr>
        <w:t xml:space="preserve"> </w:t>
      </w:r>
      <w:r w:rsidRPr="00B758E7">
        <w:rPr>
          <w:rFonts w:ascii="Book Antiqua" w:hAnsi="Book Antiqua"/>
        </w:rPr>
        <w:t>By using a worst case scenario analysis, if we assume that all patients in the OPTN database without data entered for SBP are included in the control group.</w:t>
      </w:r>
      <w:r w:rsidR="00AC64F2" w:rsidRPr="00B758E7">
        <w:rPr>
          <w:rFonts w:ascii="Book Antiqua" w:hAnsi="Book Antiqua"/>
        </w:rPr>
        <w:t xml:space="preserve"> </w:t>
      </w:r>
      <w:r w:rsidRPr="00B758E7">
        <w:rPr>
          <w:rFonts w:ascii="Book Antiqua" w:hAnsi="Book Antiqua"/>
        </w:rPr>
        <w:t xml:space="preserve">Any </w:t>
      </w:r>
      <w:r w:rsidR="00B66B98" w:rsidRPr="00B758E7">
        <w:rPr>
          <w:rFonts w:ascii="Book Antiqua" w:hAnsi="Book Antiqua"/>
        </w:rPr>
        <w:t>mortality</w:t>
      </w:r>
      <w:r w:rsidRPr="00B758E7">
        <w:rPr>
          <w:rFonts w:ascii="Book Antiqua" w:hAnsi="Book Antiqua"/>
        </w:rPr>
        <w:t xml:space="preserve"> registered in these patients would only reduce the differences between our groups.</w:t>
      </w:r>
      <w:r w:rsidR="00AC64F2" w:rsidRPr="00B758E7">
        <w:rPr>
          <w:rFonts w:ascii="Book Antiqua" w:hAnsi="Book Antiqua"/>
        </w:rPr>
        <w:t xml:space="preserve"> </w:t>
      </w:r>
    </w:p>
    <w:p w14:paraId="7B69ACBE" w14:textId="42319A0E" w:rsidR="00260A08" w:rsidRDefault="00964EEB" w:rsidP="00EE05FE">
      <w:pPr>
        <w:spacing w:line="360" w:lineRule="auto"/>
        <w:ind w:firstLineChars="100" w:firstLine="240"/>
        <w:jc w:val="both"/>
        <w:rPr>
          <w:rFonts w:ascii="Book Antiqua" w:hAnsi="Book Antiqua"/>
          <w:lang w:eastAsia="zh-CN"/>
        </w:rPr>
      </w:pPr>
      <w:r w:rsidRPr="00B758E7">
        <w:rPr>
          <w:rFonts w:ascii="Book Antiqua" w:hAnsi="Book Antiqua"/>
          <w:noProof/>
        </w:rPr>
        <w:t>It has been shown that HCV patients being treated with interferon</w:t>
      </w:r>
      <w:r w:rsidR="00103252" w:rsidRPr="00B758E7">
        <w:rPr>
          <w:rFonts w:ascii="Book Antiqua" w:hAnsi="Book Antiqua"/>
          <w:noProof/>
        </w:rPr>
        <w:t xml:space="preserve"> based therapies were </w:t>
      </w:r>
      <w:r w:rsidRPr="00B758E7">
        <w:rPr>
          <w:rFonts w:ascii="Book Antiqua" w:hAnsi="Book Antiqua"/>
          <w:noProof/>
        </w:rPr>
        <w:t xml:space="preserve">at an increased risk of developing </w:t>
      </w:r>
      <w:proofErr w:type="gramStart"/>
      <w:r w:rsidRPr="00B758E7">
        <w:rPr>
          <w:rFonts w:ascii="Book Antiqua" w:hAnsi="Book Antiqua"/>
          <w:noProof/>
        </w:rPr>
        <w:t>SBP</w:t>
      </w:r>
      <w:r w:rsidR="00EE05FE">
        <w:rPr>
          <w:rFonts w:ascii="Book Antiqua" w:hAnsi="Book Antiqua" w:hint="eastAsia"/>
          <w:vertAlign w:val="superscript"/>
          <w:lang w:eastAsia="zh-CN"/>
        </w:rPr>
        <w:t>[</w:t>
      </w:r>
      <w:proofErr w:type="gramEnd"/>
      <w:r w:rsidR="00EE05FE">
        <w:rPr>
          <w:rFonts w:ascii="Book Antiqua" w:hAnsi="Book Antiqua" w:hint="eastAsia"/>
          <w:vertAlign w:val="superscript"/>
          <w:lang w:eastAsia="zh-CN"/>
        </w:rPr>
        <w:t>8]</w:t>
      </w:r>
      <w:r w:rsidRPr="00EE05FE">
        <w:rPr>
          <w:rFonts w:ascii="Book Antiqua" w:hAnsi="Book Antiqua"/>
          <w:noProof/>
        </w:rPr>
        <w:t>.</w:t>
      </w:r>
      <w:r w:rsidR="00AC64F2" w:rsidRPr="00B758E7">
        <w:rPr>
          <w:rFonts w:ascii="Book Antiqua" w:hAnsi="Book Antiqua"/>
          <w:noProof/>
          <w:vertAlign w:val="superscript"/>
        </w:rPr>
        <w:t xml:space="preserve"> </w:t>
      </w:r>
      <w:r w:rsidR="00103252" w:rsidRPr="00B758E7">
        <w:rPr>
          <w:rFonts w:ascii="Book Antiqua" w:hAnsi="Book Antiqua"/>
          <w:noProof/>
        </w:rPr>
        <w:t>It is unclear if this association is due to the underlying viral hepatitis disease process or related to the treatment regimen that were used.</w:t>
      </w:r>
      <w:r w:rsidR="00AC64F2" w:rsidRPr="00B758E7">
        <w:rPr>
          <w:rFonts w:ascii="Book Antiqua" w:hAnsi="Book Antiqua"/>
          <w:noProof/>
        </w:rPr>
        <w:t xml:space="preserve"> </w:t>
      </w:r>
      <w:r w:rsidR="00103252" w:rsidRPr="00B758E7">
        <w:rPr>
          <w:rFonts w:ascii="Book Antiqua" w:hAnsi="Book Antiqua"/>
          <w:noProof/>
        </w:rPr>
        <w:t xml:space="preserve">Regardless, stronger surveillance measures and antibiotic prophylaxis </w:t>
      </w:r>
      <w:r w:rsidRPr="00B758E7">
        <w:rPr>
          <w:rFonts w:ascii="Book Antiqua" w:hAnsi="Book Antiqua"/>
          <w:noProof/>
        </w:rPr>
        <w:t>pre-transplant SBP may be necessary to improve post-transplant outcomes.</w:t>
      </w:r>
      <w:r w:rsidR="00AC64F2" w:rsidRPr="00B758E7">
        <w:rPr>
          <w:rFonts w:ascii="Book Antiqua" w:hAnsi="Book Antiqua"/>
          <w:noProof/>
        </w:rPr>
        <w:t xml:space="preserve"> </w:t>
      </w:r>
      <w:r w:rsidR="00103252" w:rsidRPr="00B758E7">
        <w:rPr>
          <w:rFonts w:ascii="Book Antiqua" w:hAnsi="Book Antiqua"/>
          <w:noProof/>
        </w:rPr>
        <w:t xml:space="preserve">Also, </w:t>
      </w:r>
      <w:r w:rsidR="00103252" w:rsidRPr="00B758E7">
        <w:rPr>
          <w:rFonts w:ascii="Book Antiqua" w:hAnsi="Book Antiqua"/>
        </w:rPr>
        <w:t xml:space="preserve">the new issue as we transition fully to DAA regimens is the decision to treat </w:t>
      </w:r>
      <w:r w:rsidR="00260A08" w:rsidRPr="00B758E7">
        <w:rPr>
          <w:rFonts w:ascii="Book Antiqua" w:hAnsi="Book Antiqua"/>
        </w:rPr>
        <w:t xml:space="preserve">cirrhosis patients </w:t>
      </w:r>
      <w:r w:rsidR="00EE05FE">
        <w:rPr>
          <w:rFonts w:ascii="Book Antiqua" w:hAnsi="Book Antiqua"/>
        </w:rPr>
        <w:t xml:space="preserve">pre </w:t>
      </w:r>
      <w:proofErr w:type="spellStart"/>
      <w:r w:rsidR="00EE05FE" w:rsidRPr="00EE05FE">
        <w:rPr>
          <w:rFonts w:ascii="Book Antiqua" w:hAnsi="Book Antiqua"/>
          <w:i/>
        </w:rPr>
        <w:t>vs</w:t>
      </w:r>
      <w:proofErr w:type="spellEnd"/>
      <w:r w:rsidR="00103252" w:rsidRPr="00B758E7">
        <w:rPr>
          <w:rFonts w:ascii="Book Antiqua" w:hAnsi="Book Antiqua"/>
        </w:rPr>
        <w:t xml:space="preserve"> post-</w:t>
      </w:r>
      <w:proofErr w:type="gramStart"/>
      <w:r w:rsidR="00103252" w:rsidRPr="00B758E7">
        <w:rPr>
          <w:rFonts w:ascii="Book Antiqua" w:hAnsi="Book Antiqua"/>
        </w:rPr>
        <w:t>transplant</w:t>
      </w:r>
      <w:r w:rsidR="00EE05FE">
        <w:rPr>
          <w:rFonts w:ascii="Book Antiqua" w:hAnsi="Book Antiqua" w:hint="eastAsia"/>
          <w:vertAlign w:val="superscript"/>
          <w:lang w:eastAsia="zh-CN"/>
        </w:rPr>
        <w:t>[</w:t>
      </w:r>
      <w:proofErr w:type="gramEnd"/>
      <w:r w:rsidR="00EE05FE">
        <w:rPr>
          <w:rFonts w:ascii="Book Antiqua" w:hAnsi="Book Antiqua" w:hint="eastAsia"/>
          <w:vertAlign w:val="superscript"/>
          <w:lang w:eastAsia="zh-CN"/>
        </w:rPr>
        <w:t>13,14]</w:t>
      </w:r>
      <w:r w:rsidR="00103252" w:rsidRPr="00B758E7">
        <w:rPr>
          <w:rFonts w:ascii="Book Antiqua" w:hAnsi="Book Antiqua"/>
        </w:rPr>
        <w:t>.</w:t>
      </w:r>
      <w:r w:rsidR="00AC64F2" w:rsidRPr="00B758E7">
        <w:rPr>
          <w:rFonts w:ascii="Book Antiqua" w:hAnsi="Book Antiqua"/>
        </w:rPr>
        <w:t xml:space="preserve"> </w:t>
      </w:r>
      <w:r w:rsidR="00103252" w:rsidRPr="00B758E7">
        <w:rPr>
          <w:rFonts w:ascii="Book Antiqua" w:hAnsi="Book Antiqua"/>
        </w:rPr>
        <w:t xml:space="preserve">If patients live in a region with a relatively high average MELD at time of transplant, treating HCV infection pre-transplant may put these patients into MELD “purgatory” </w:t>
      </w:r>
      <w:r w:rsidR="00EE05FE">
        <w:rPr>
          <w:rFonts w:ascii="Book Antiqua" w:hAnsi="Book Antiqua" w:hint="eastAsia"/>
          <w:lang w:eastAsia="zh-CN"/>
        </w:rPr>
        <w:t>-</w:t>
      </w:r>
      <w:r w:rsidR="00103252" w:rsidRPr="00B758E7">
        <w:rPr>
          <w:rFonts w:ascii="Book Antiqua" w:hAnsi="Book Antiqua"/>
        </w:rPr>
        <w:t xml:space="preserve"> stable MELD that will not increase transplant prioritization, but </w:t>
      </w:r>
      <w:r w:rsidR="00260A08" w:rsidRPr="00B758E7">
        <w:rPr>
          <w:rFonts w:ascii="Book Antiqua" w:hAnsi="Book Antiqua"/>
        </w:rPr>
        <w:t>continued low quality of life</w:t>
      </w:r>
      <w:r w:rsidR="00EE05FE">
        <w:rPr>
          <w:rFonts w:ascii="Book Antiqua" w:hAnsi="Book Antiqua" w:hint="eastAsia"/>
          <w:vertAlign w:val="superscript"/>
          <w:lang w:eastAsia="zh-CN"/>
        </w:rPr>
        <w:t>[15]</w:t>
      </w:r>
      <w:r w:rsidR="00103252" w:rsidRPr="00B758E7">
        <w:rPr>
          <w:rFonts w:ascii="Book Antiqua" w:hAnsi="Book Antiqua"/>
        </w:rPr>
        <w:t>.</w:t>
      </w:r>
      <w:r w:rsidR="00AC64F2" w:rsidRPr="00B758E7">
        <w:rPr>
          <w:rFonts w:ascii="Book Antiqua" w:hAnsi="Book Antiqua"/>
        </w:rPr>
        <w:t xml:space="preserve"> </w:t>
      </w:r>
      <w:r w:rsidR="00103252" w:rsidRPr="00B758E7">
        <w:rPr>
          <w:rFonts w:ascii="Book Antiqua" w:hAnsi="Book Antiqua"/>
        </w:rPr>
        <w:t xml:space="preserve">Due to the low rates of drug interactions between </w:t>
      </w:r>
      <w:r w:rsidR="00260A08" w:rsidRPr="00B758E7">
        <w:rPr>
          <w:rFonts w:ascii="Book Antiqua" w:hAnsi="Book Antiqua"/>
        </w:rPr>
        <w:t>the DAAs</w:t>
      </w:r>
      <w:r w:rsidR="00103252" w:rsidRPr="00B758E7">
        <w:rPr>
          <w:rFonts w:ascii="Book Antiqua" w:hAnsi="Book Antiqua"/>
        </w:rPr>
        <w:t xml:space="preserve"> and immunosuppression, some patients at higher MELD are deferred for therapy until after transplant.</w:t>
      </w:r>
      <w:r w:rsidR="00AC64F2" w:rsidRPr="00B758E7">
        <w:rPr>
          <w:rFonts w:ascii="Book Antiqua" w:hAnsi="Book Antiqua"/>
        </w:rPr>
        <w:t xml:space="preserve"> </w:t>
      </w:r>
      <w:r w:rsidR="00260A08" w:rsidRPr="00B758E7">
        <w:rPr>
          <w:rFonts w:ascii="Book Antiqua" w:hAnsi="Book Antiqua"/>
        </w:rPr>
        <w:t>From these results and our experience prior to the advent of DAAs, in those HCV patients we deem necessary to treat post-transplant, we should consider prioritizing therapy in those with a history of SBP.</w:t>
      </w:r>
      <w:r w:rsidR="00AC64F2" w:rsidRPr="00B758E7">
        <w:rPr>
          <w:rFonts w:ascii="Book Antiqua" w:hAnsi="Book Antiqua"/>
        </w:rPr>
        <w:t xml:space="preserve"> </w:t>
      </w:r>
      <w:r w:rsidR="00260A08" w:rsidRPr="00B758E7">
        <w:rPr>
          <w:rFonts w:ascii="Book Antiqua" w:hAnsi="Book Antiqua"/>
        </w:rPr>
        <w:t xml:space="preserve">Further, we should strive to reduce donor risk factors, minimize pulsed steroids or T cell depleting immunosuppression to prevent post-transplant HCV recurrence and graft </w:t>
      </w:r>
      <w:proofErr w:type="gramStart"/>
      <w:r w:rsidR="00260A08" w:rsidRPr="00B758E7">
        <w:rPr>
          <w:rFonts w:ascii="Book Antiqua" w:hAnsi="Book Antiqua"/>
        </w:rPr>
        <w:t>failure</w:t>
      </w:r>
      <w:r w:rsidR="00EE05FE">
        <w:rPr>
          <w:rFonts w:ascii="Book Antiqua" w:hAnsi="Book Antiqua" w:hint="eastAsia"/>
          <w:vertAlign w:val="superscript"/>
          <w:lang w:eastAsia="zh-CN"/>
        </w:rPr>
        <w:t>[</w:t>
      </w:r>
      <w:proofErr w:type="gramEnd"/>
      <w:r w:rsidR="00EE05FE">
        <w:rPr>
          <w:rFonts w:ascii="Book Antiqua" w:hAnsi="Book Antiqua" w:hint="eastAsia"/>
          <w:vertAlign w:val="superscript"/>
          <w:lang w:eastAsia="zh-CN"/>
        </w:rPr>
        <w:t>16,17]</w:t>
      </w:r>
      <w:r w:rsidR="00260A08" w:rsidRPr="00B758E7">
        <w:rPr>
          <w:rFonts w:ascii="Book Antiqua" w:hAnsi="Book Antiqua"/>
        </w:rPr>
        <w:t xml:space="preserve">. </w:t>
      </w:r>
      <w:r w:rsidR="00103252" w:rsidRPr="00B758E7">
        <w:rPr>
          <w:rFonts w:ascii="Book Antiqua" w:hAnsi="Book Antiqua"/>
        </w:rPr>
        <w:t xml:space="preserve">Over time, we predict the number of transplants performed in the </w:t>
      </w:r>
      <w:r w:rsidR="00103252" w:rsidRPr="00B758E7">
        <w:rPr>
          <w:rFonts w:ascii="Book Antiqua" w:hAnsi="Book Antiqua"/>
        </w:rPr>
        <w:lastRenderedPageBreak/>
        <w:t>United States stemming from HCV infection to decrease, but the decis</w:t>
      </w:r>
      <w:r w:rsidR="00260A08" w:rsidRPr="00B758E7">
        <w:rPr>
          <w:rFonts w:ascii="Book Antiqua" w:hAnsi="Book Antiqua"/>
        </w:rPr>
        <w:t xml:space="preserve">ion to treat these patients around the time of </w:t>
      </w:r>
      <w:r w:rsidR="00103252" w:rsidRPr="00B758E7">
        <w:rPr>
          <w:rFonts w:ascii="Book Antiqua" w:hAnsi="Book Antiqua"/>
        </w:rPr>
        <w:t xml:space="preserve">transplant </w:t>
      </w:r>
      <w:r w:rsidR="00260A08" w:rsidRPr="00B758E7">
        <w:rPr>
          <w:rFonts w:ascii="Book Antiqua" w:hAnsi="Book Antiqua"/>
        </w:rPr>
        <w:t xml:space="preserve">and avoiding SBP </w:t>
      </w:r>
      <w:r w:rsidR="00103252" w:rsidRPr="00B758E7">
        <w:rPr>
          <w:rFonts w:ascii="Book Antiqua" w:hAnsi="Book Antiqua"/>
        </w:rPr>
        <w:t>will continue to be a challenge.</w:t>
      </w:r>
    </w:p>
    <w:p w14:paraId="03EFEF58" w14:textId="77777777" w:rsidR="00EE05FE" w:rsidRPr="00E862DF" w:rsidRDefault="00EE05FE" w:rsidP="00E862DF">
      <w:pPr>
        <w:spacing w:line="360" w:lineRule="auto"/>
        <w:ind w:firstLineChars="100" w:firstLine="240"/>
        <w:jc w:val="both"/>
        <w:rPr>
          <w:rFonts w:ascii="Book Antiqua" w:hAnsi="Book Antiqua"/>
          <w:lang w:eastAsia="zh-CN"/>
        </w:rPr>
      </w:pPr>
    </w:p>
    <w:p w14:paraId="2CEAA992" w14:textId="77777777" w:rsidR="00B05D9D" w:rsidRPr="00E8209B" w:rsidRDefault="00B05D9D" w:rsidP="00E862DF">
      <w:pPr>
        <w:autoSpaceDE w:val="0"/>
        <w:autoSpaceDN w:val="0"/>
        <w:adjustRightInd w:val="0"/>
        <w:spacing w:line="360" w:lineRule="auto"/>
        <w:jc w:val="both"/>
        <w:rPr>
          <w:rFonts w:ascii="Book Antiqua" w:hAnsi="Book Antiqua"/>
          <w:b/>
        </w:rPr>
      </w:pPr>
      <w:r w:rsidRPr="00E8209B">
        <w:rPr>
          <w:rFonts w:ascii="Book Antiqua" w:hAnsi="Book Antiqua"/>
          <w:b/>
        </w:rPr>
        <w:t>COMMENTS</w:t>
      </w:r>
    </w:p>
    <w:p w14:paraId="1D8D061F" w14:textId="77777777" w:rsidR="00E862DF" w:rsidRPr="00E8209B" w:rsidRDefault="00E862DF" w:rsidP="00E862DF">
      <w:pPr>
        <w:pStyle w:val="ListParagraph"/>
        <w:autoSpaceDE w:val="0"/>
        <w:autoSpaceDN w:val="0"/>
        <w:adjustRightInd w:val="0"/>
        <w:spacing w:line="360" w:lineRule="auto"/>
        <w:ind w:firstLineChars="0" w:firstLine="0"/>
        <w:rPr>
          <w:rFonts w:ascii="Book Antiqua" w:eastAsia="宋体" w:hAnsi="Book Antiqua"/>
          <w:b/>
          <w:i/>
          <w:sz w:val="24"/>
          <w:szCs w:val="24"/>
        </w:rPr>
      </w:pPr>
      <w:r w:rsidRPr="00E8209B">
        <w:rPr>
          <w:rFonts w:ascii="Book Antiqua" w:hAnsi="Book Antiqua"/>
          <w:b/>
          <w:i/>
          <w:sz w:val="24"/>
          <w:szCs w:val="24"/>
        </w:rPr>
        <w:t xml:space="preserve">Background </w:t>
      </w:r>
    </w:p>
    <w:p w14:paraId="46FAB518" w14:textId="6A413D74" w:rsidR="007A0147" w:rsidRPr="00E8209B" w:rsidRDefault="007A0147" w:rsidP="00E862DF">
      <w:pPr>
        <w:pStyle w:val="ListParagraph"/>
        <w:autoSpaceDE w:val="0"/>
        <w:autoSpaceDN w:val="0"/>
        <w:adjustRightInd w:val="0"/>
        <w:spacing w:line="360" w:lineRule="auto"/>
        <w:ind w:firstLineChars="0" w:firstLine="0"/>
        <w:rPr>
          <w:rFonts w:ascii="Book Antiqua" w:eastAsia="宋体" w:hAnsi="Book Antiqua"/>
          <w:sz w:val="24"/>
          <w:szCs w:val="24"/>
        </w:rPr>
      </w:pPr>
      <w:r w:rsidRPr="00E8209B">
        <w:rPr>
          <w:rFonts w:ascii="Book Antiqua" w:hAnsi="Book Antiqua"/>
          <w:sz w:val="24"/>
          <w:szCs w:val="24"/>
        </w:rPr>
        <w:t>This study examines the effect of spo</w:t>
      </w:r>
      <w:r w:rsidR="00CE6714" w:rsidRPr="00E8209B">
        <w:rPr>
          <w:rFonts w:ascii="Book Antiqua" w:hAnsi="Book Antiqua"/>
          <w:sz w:val="24"/>
          <w:szCs w:val="24"/>
        </w:rPr>
        <w:t>ntaneous bacterial peritonitis i</w:t>
      </w:r>
      <w:r w:rsidRPr="00E8209B">
        <w:rPr>
          <w:rFonts w:ascii="Book Antiqua" w:hAnsi="Book Antiqua"/>
          <w:sz w:val="24"/>
          <w:szCs w:val="24"/>
        </w:rPr>
        <w:t xml:space="preserve">n cirrhosis patients on the wait list for liver transplantation. Using the patients identified in the OPTN/UNOS database, in the era prior to direct acting anti-viral agents, we investigated the effect of </w:t>
      </w:r>
      <w:r w:rsidR="00E862DF" w:rsidRPr="00E8209B">
        <w:rPr>
          <w:rFonts w:ascii="Book Antiqua" w:hAnsi="Book Antiqua"/>
          <w:sz w:val="24"/>
          <w:szCs w:val="24"/>
        </w:rPr>
        <w:t xml:space="preserve">spontaneous bacterial peritonitis (SBP) </w:t>
      </w:r>
      <w:r w:rsidRPr="00E8209B">
        <w:rPr>
          <w:rFonts w:ascii="Book Antiqua" w:hAnsi="Book Antiqua"/>
          <w:sz w:val="24"/>
          <w:szCs w:val="24"/>
        </w:rPr>
        <w:t xml:space="preserve">on liver transplant graft loss and post-transplant mortality.  </w:t>
      </w:r>
    </w:p>
    <w:p w14:paraId="0544AABE" w14:textId="77777777" w:rsidR="00E862DF" w:rsidRPr="00E8209B" w:rsidRDefault="00E862DF" w:rsidP="00E862DF">
      <w:pPr>
        <w:pStyle w:val="ListParagraph"/>
        <w:autoSpaceDE w:val="0"/>
        <w:autoSpaceDN w:val="0"/>
        <w:adjustRightInd w:val="0"/>
        <w:spacing w:line="360" w:lineRule="auto"/>
        <w:ind w:firstLineChars="0" w:firstLine="0"/>
        <w:rPr>
          <w:rFonts w:ascii="Book Antiqua" w:eastAsia="宋体" w:hAnsi="Book Antiqua"/>
          <w:sz w:val="24"/>
          <w:szCs w:val="24"/>
        </w:rPr>
      </w:pPr>
    </w:p>
    <w:p w14:paraId="53DB02D6" w14:textId="34E7CFE0" w:rsidR="00E862DF" w:rsidRPr="00E8209B" w:rsidRDefault="00E862DF" w:rsidP="00E862DF">
      <w:pPr>
        <w:pStyle w:val="ListParagraph"/>
        <w:autoSpaceDE w:val="0"/>
        <w:autoSpaceDN w:val="0"/>
        <w:adjustRightInd w:val="0"/>
        <w:spacing w:line="360" w:lineRule="auto"/>
        <w:ind w:firstLineChars="0" w:firstLine="0"/>
        <w:rPr>
          <w:rFonts w:ascii="Book Antiqua" w:hAnsi="Book Antiqua"/>
          <w:b/>
          <w:i/>
          <w:sz w:val="24"/>
          <w:szCs w:val="24"/>
        </w:rPr>
      </w:pPr>
      <w:r w:rsidRPr="00E8209B">
        <w:rPr>
          <w:rFonts w:ascii="Book Antiqua" w:hAnsi="Book Antiqua"/>
          <w:b/>
          <w:i/>
          <w:sz w:val="24"/>
          <w:szCs w:val="24"/>
        </w:rPr>
        <w:t xml:space="preserve">Research frontiers </w:t>
      </w:r>
    </w:p>
    <w:p w14:paraId="1EE250D5" w14:textId="33F35EAC" w:rsidR="00CE6714" w:rsidRPr="00E8209B" w:rsidRDefault="007A0147" w:rsidP="00E862DF">
      <w:pPr>
        <w:pStyle w:val="ListParagraph"/>
        <w:autoSpaceDE w:val="0"/>
        <w:autoSpaceDN w:val="0"/>
        <w:adjustRightInd w:val="0"/>
        <w:spacing w:line="360" w:lineRule="auto"/>
        <w:ind w:firstLineChars="0" w:firstLine="0"/>
        <w:rPr>
          <w:rFonts w:ascii="Book Antiqua" w:eastAsia="宋体" w:hAnsi="Book Antiqua"/>
          <w:sz w:val="24"/>
          <w:szCs w:val="24"/>
        </w:rPr>
      </w:pPr>
      <w:r w:rsidRPr="00E8209B">
        <w:rPr>
          <w:rFonts w:ascii="Book Antiqua" w:hAnsi="Book Antiqua"/>
          <w:sz w:val="24"/>
          <w:szCs w:val="24"/>
        </w:rPr>
        <w:t xml:space="preserve">Future studies focused on the </w:t>
      </w:r>
      <w:r w:rsidR="00CE6714" w:rsidRPr="00E8209B">
        <w:rPr>
          <w:rFonts w:ascii="Book Antiqua" w:hAnsi="Book Antiqua"/>
          <w:sz w:val="24"/>
          <w:szCs w:val="24"/>
        </w:rPr>
        <w:t xml:space="preserve">prevention of pre-transplant infections, like SBP, and the </w:t>
      </w:r>
      <w:r w:rsidRPr="00E8209B">
        <w:rPr>
          <w:rFonts w:ascii="Book Antiqua" w:hAnsi="Book Antiqua"/>
          <w:sz w:val="24"/>
          <w:szCs w:val="24"/>
        </w:rPr>
        <w:t xml:space="preserve">effect of </w:t>
      </w:r>
      <w:r w:rsidR="00E862DF" w:rsidRPr="00E8209B">
        <w:rPr>
          <w:rFonts w:ascii="Book Antiqua" w:hAnsi="Book Antiqua"/>
          <w:sz w:val="24"/>
          <w:szCs w:val="24"/>
        </w:rPr>
        <w:t>direct acting anti-viral (DAA)</w:t>
      </w:r>
      <w:r w:rsidRPr="00E8209B">
        <w:rPr>
          <w:rFonts w:ascii="Book Antiqua" w:hAnsi="Book Antiqua"/>
          <w:sz w:val="24"/>
          <w:szCs w:val="24"/>
        </w:rPr>
        <w:t xml:space="preserve"> therapies on graft loss</w:t>
      </w:r>
      <w:r w:rsidR="00CE6714" w:rsidRPr="00E8209B">
        <w:rPr>
          <w:rFonts w:ascii="Book Antiqua" w:hAnsi="Book Antiqua"/>
          <w:sz w:val="24"/>
          <w:szCs w:val="24"/>
        </w:rPr>
        <w:t xml:space="preserve"> and mortality</w:t>
      </w:r>
      <w:r w:rsidRPr="00E8209B">
        <w:rPr>
          <w:rFonts w:ascii="Book Antiqua" w:hAnsi="Book Antiqua"/>
          <w:sz w:val="24"/>
          <w:szCs w:val="24"/>
        </w:rPr>
        <w:t xml:space="preserve"> is a potential </w:t>
      </w:r>
      <w:r w:rsidR="00CE6714" w:rsidRPr="00E8209B">
        <w:rPr>
          <w:rFonts w:ascii="Book Antiqua" w:hAnsi="Book Antiqua"/>
          <w:sz w:val="24"/>
          <w:szCs w:val="24"/>
        </w:rPr>
        <w:t>area to study</w:t>
      </w:r>
      <w:r w:rsidRPr="00E8209B">
        <w:rPr>
          <w:rFonts w:ascii="Book Antiqua" w:hAnsi="Book Antiqua"/>
          <w:sz w:val="24"/>
          <w:szCs w:val="24"/>
        </w:rPr>
        <w:t xml:space="preserve">.  </w:t>
      </w:r>
      <w:r w:rsidR="00CE6714" w:rsidRPr="00E8209B">
        <w:rPr>
          <w:rFonts w:ascii="Book Antiqua" w:hAnsi="Book Antiqua"/>
          <w:sz w:val="24"/>
          <w:szCs w:val="24"/>
        </w:rPr>
        <w:t>Further, as th</w:t>
      </w:r>
      <w:r w:rsidR="00E862DF" w:rsidRPr="00E8209B">
        <w:rPr>
          <w:rFonts w:ascii="Book Antiqua" w:hAnsi="Book Antiqua"/>
          <w:sz w:val="24"/>
          <w:szCs w:val="24"/>
        </w:rPr>
        <w:t xml:space="preserve">e treatment paradigm for pre </w:t>
      </w:r>
      <w:proofErr w:type="spellStart"/>
      <w:r w:rsidR="00E862DF" w:rsidRPr="00E8209B">
        <w:rPr>
          <w:rFonts w:ascii="Book Antiqua" w:hAnsi="Book Antiqua"/>
          <w:i/>
          <w:sz w:val="24"/>
          <w:szCs w:val="24"/>
        </w:rPr>
        <w:t>vs</w:t>
      </w:r>
      <w:proofErr w:type="spellEnd"/>
      <w:r w:rsidR="00CE6714" w:rsidRPr="00E8209B">
        <w:rPr>
          <w:rFonts w:ascii="Book Antiqua" w:hAnsi="Book Antiqua"/>
          <w:sz w:val="24"/>
          <w:szCs w:val="24"/>
        </w:rPr>
        <w:t xml:space="preserve"> post</w:t>
      </w:r>
      <w:r w:rsidR="00E862DF" w:rsidRPr="00E8209B">
        <w:rPr>
          <w:rFonts w:ascii="Book Antiqua" w:eastAsia="宋体" w:hAnsi="Book Antiqua" w:hint="eastAsia"/>
          <w:sz w:val="24"/>
          <w:szCs w:val="24"/>
        </w:rPr>
        <w:t>-</w:t>
      </w:r>
      <w:r w:rsidR="00CE6714" w:rsidRPr="00E8209B">
        <w:rPr>
          <w:rFonts w:ascii="Book Antiqua" w:hAnsi="Book Antiqua"/>
          <w:sz w:val="24"/>
          <w:szCs w:val="24"/>
        </w:rPr>
        <w:t xml:space="preserve">transplant </w:t>
      </w:r>
      <w:r w:rsidR="00E862DF" w:rsidRPr="00E8209B">
        <w:rPr>
          <w:rFonts w:ascii="Book Antiqua" w:hAnsi="Book Antiqua"/>
          <w:sz w:val="24"/>
          <w:szCs w:val="24"/>
        </w:rPr>
        <w:t>hepatitis C virus (HCV)</w:t>
      </w:r>
      <w:r w:rsidR="00CE6714" w:rsidRPr="00E8209B">
        <w:rPr>
          <w:rFonts w:ascii="Book Antiqua" w:hAnsi="Book Antiqua"/>
          <w:sz w:val="24"/>
          <w:szCs w:val="24"/>
        </w:rPr>
        <w:t xml:space="preserve"> therapy changes, it may be worthwhile to examine the change it produces in graft loss from HCV complications.  </w:t>
      </w:r>
    </w:p>
    <w:p w14:paraId="3C1EA45C" w14:textId="77777777" w:rsidR="00E862DF" w:rsidRPr="00E8209B" w:rsidRDefault="00E862DF" w:rsidP="00E862DF">
      <w:pPr>
        <w:pStyle w:val="ListParagraph"/>
        <w:autoSpaceDE w:val="0"/>
        <w:autoSpaceDN w:val="0"/>
        <w:adjustRightInd w:val="0"/>
        <w:spacing w:line="360" w:lineRule="auto"/>
        <w:ind w:firstLineChars="0" w:firstLine="0"/>
        <w:rPr>
          <w:rFonts w:ascii="Book Antiqua" w:eastAsia="宋体" w:hAnsi="Book Antiqua"/>
          <w:sz w:val="24"/>
          <w:szCs w:val="24"/>
        </w:rPr>
      </w:pPr>
    </w:p>
    <w:p w14:paraId="214EAA4B" w14:textId="59AA2BBF" w:rsidR="00E862DF" w:rsidRPr="00E8209B" w:rsidRDefault="00E862DF" w:rsidP="00E862DF">
      <w:pPr>
        <w:pStyle w:val="ListParagraph"/>
        <w:autoSpaceDE w:val="0"/>
        <w:autoSpaceDN w:val="0"/>
        <w:adjustRightInd w:val="0"/>
        <w:spacing w:line="360" w:lineRule="auto"/>
        <w:ind w:firstLineChars="0" w:firstLine="0"/>
        <w:rPr>
          <w:rFonts w:ascii="Book Antiqua" w:hAnsi="Book Antiqua"/>
          <w:b/>
          <w:i/>
          <w:sz w:val="24"/>
          <w:szCs w:val="24"/>
        </w:rPr>
      </w:pPr>
      <w:r w:rsidRPr="00E8209B">
        <w:rPr>
          <w:rFonts w:ascii="Book Antiqua" w:hAnsi="Book Antiqua"/>
          <w:b/>
          <w:i/>
          <w:sz w:val="24"/>
          <w:szCs w:val="24"/>
        </w:rPr>
        <w:t xml:space="preserve">Innovations and breakthroughs </w:t>
      </w:r>
    </w:p>
    <w:p w14:paraId="5740C2C2" w14:textId="61E7C839" w:rsidR="00EE05FE" w:rsidRPr="00E8209B" w:rsidRDefault="00CE6714" w:rsidP="00E862DF">
      <w:pPr>
        <w:pStyle w:val="ListParagraph"/>
        <w:autoSpaceDE w:val="0"/>
        <w:autoSpaceDN w:val="0"/>
        <w:adjustRightInd w:val="0"/>
        <w:spacing w:line="360" w:lineRule="auto"/>
        <w:ind w:firstLineChars="0" w:firstLine="0"/>
        <w:rPr>
          <w:rFonts w:ascii="Book Antiqua" w:eastAsia="宋体" w:hAnsi="Book Antiqua"/>
          <w:sz w:val="24"/>
          <w:szCs w:val="24"/>
        </w:rPr>
      </w:pPr>
      <w:r w:rsidRPr="00E8209B">
        <w:rPr>
          <w:rFonts w:ascii="Book Antiqua" w:hAnsi="Book Antiqua"/>
          <w:sz w:val="24"/>
          <w:szCs w:val="24"/>
        </w:rPr>
        <w:t>From our knowledge, this is the first article to assess the effect of SBP on post transplant outcomes from the OPTN dataset.  Further it provides a collective experience of our outcomes from the pre-DAA therapy era which can be used as a basis for future comparison.</w:t>
      </w:r>
    </w:p>
    <w:p w14:paraId="705D2B68" w14:textId="77777777" w:rsidR="00E862DF" w:rsidRPr="00E8209B" w:rsidRDefault="00E862DF" w:rsidP="00E862DF">
      <w:pPr>
        <w:pStyle w:val="ListParagraph"/>
        <w:autoSpaceDE w:val="0"/>
        <w:autoSpaceDN w:val="0"/>
        <w:adjustRightInd w:val="0"/>
        <w:spacing w:line="360" w:lineRule="auto"/>
        <w:ind w:firstLineChars="0" w:firstLine="0"/>
        <w:rPr>
          <w:rFonts w:ascii="Book Antiqua" w:eastAsia="宋体" w:hAnsi="Book Antiqua"/>
          <w:sz w:val="24"/>
          <w:szCs w:val="24"/>
        </w:rPr>
      </w:pPr>
    </w:p>
    <w:p w14:paraId="33375370" w14:textId="77777777" w:rsidR="00E862DF" w:rsidRPr="00E8209B" w:rsidRDefault="00E862DF" w:rsidP="00E862DF">
      <w:pPr>
        <w:pStyle w:val="ListParagraph"/>
        <w:autoSpaceDE w:val="0"/>
        <w:autoSpaceDN w:val="0"/>
        <w:adjustRightInd w:val="0"/>
        <w:spacing w:line="360" w:lineRule="auto"/>
        <w:ind w:firstLineChars="0" w:firstLine="0"/>
        <w:rPr>
          <w:rFonts w:ascii="Book Antiqua" w:eastAsia="宋体" w:hAnsi="Book Antiqua"/>
          <w:b/>
          <w:i/>
          <w:sz w:val="24"/>
          <w:szCs w:val="24"/>
        </w:rPr>
      </w:pPr>
      <w:r w:rsidRPr="00E8209B">
        <w:rPr>
          <w:rFonts w:ascii="Book Antiqua" w:hAnsi="Book Antiqua"/>
          <w:b/>
          <w:i/>
          <w:sz w:val="24"/>
          <w:szCs w:val="24"/>
        </w:rPr>
        <w:t xml:space="preserve">Applications </w:t>
      </w:r>
    </w:p>
    <w:p w14:paraId="179D95B4" w14:textId="6C88B5E5" w:rsidR="007A0147" w:rsidRPr="00E8209B" w:rsidRDefault="00CE6714" w:rsidP="00E862DF">
      <w:pPr>
        <w:pStyle w:val="ListParagraph"/>
        <w:autoSpaceDE w:val="0"/>
        <w:autoSpaceDN w:val="0"/>
        <w:adjustRightInd w:val="0"/>
        <w:spacing w:line="360" w:lineRule="auto"/>
        <w:ind w:firstLineChars="0" w:firstLine="0"/>
        <w:rPr>
          <w:rFonts w:ascii="Book Antiqua" w:eastAsia="宋体" w:hAnsi="Book Antiqua"/>
          <w:sz w:val="24"/>
          <w:szCs w:val="24"/>
        </w:rPr>
      </w:pPr>
      <w:r w:rsidRPr="00E8209B">
        <w:rPr>
          <w:rFonts w:ascii="Book Antiqua" w:hAnsi="Book Antiqua"/>
          <w:sz w:val="24"/>
          <w:szCs w:val="24"/>
        </w:rPr>
        <w:t>This article has shown the importance of avoiding SBP infections in the pre-transplant population.  Aggressive prophylaxis and treatment of this infection may have long term implications with regards to graft survival and mortality.</w:t>
      </w:r>
    </w:p>
    <w:p w14:paraId="53B6F399" w14:textId="77777777" w:rsidR="00E862DF" w:rsidRPr="00E8209B" w:rsidRDefault="00E862DF" w:rsidP="00E862DF">
      <w:pPr>
        <w:pStyle w:val="ListParagraph"/>
        <w:autoSpaceDE w:val="0"/>
        <w:autoSpaceDN w:val="0"/>
        <w:adjustRightInd w:val="0"/>
        <w:spacing w:line="360" w:lineRule="auto"/>
        <w:ind w:firstLineChars="0" w:firstLine="0"/>
        <w:rPr>
          <w:rFonts w:ascii="Book Antiqua" w:eastAsia="宋体" w:hAnsi="Book Antiqua"/>
          <w:sz w:val="24"/>
          <w:szCs w:val="24"/>
        </w:rPr>
      </w:pPr>
    </w:p>
    <w:p w14:paraId="38D2BDF6" w14:textId="77777777" w:rsidR="00E862DF" w:rsidRPr="00E8209B" w:rsidRDefault="00E862DF" w:rsidP="00E862DF">
      <w:pPr>
        <w:pStyle w:val="ListParagraph"/>
        <w:autoSpaceDE w:val="0"/>
        <w:autoSpaceDN w:val="0"/>
        <w:adjustRightInd w:val="0"/>
        <w:spacing w:line="360" w:lineRule="auto"/>
        <w:ind w:firstLineChars="0" w:firstLine="0"/>
        <w:rPr>
          <w:rFonts w:ascii="Book Antiqua" w:hAnsi="Book Antiqua"/>
          <w:b/>
          <w:i/>
          <w:sz w:val="24"/>
          <w:szCs w:val="24"/>
        </w:rPr>
      </w:pPr>
      <w:r w:rsidRPr="00E8209B">
        <w:rPr>
          <w:rFonts w:ascii="Book Antiqua" w:hAnsi="Book Antiqua"/>
          <w:b/>
          <w:i/>
          <w:sz w:val="24"/>
          <w:szCs w:val="24"/>
        </w:rPr>
        <w:t xml:space="preserve">Terminology </w:t>
      </w:r>
    </w:p>
    <w:p w14:paraId="7ECBD680" w14:textId="34B0C02F" w:rsidR="00CE6714" w:rsidRPr="00E8209B" w:rsidRDefault="00CE6714" w:rsidP="00E862DF">
      <w:pPr>
        <w:pStyle w:val="ListParagraph"/>
        <w:autoSpaceDE w:val="0"/>
        <w:autoSpaceDN w:val="0"/>
        <w:adjustRightInd w:val="0"/>
        <w:spacing w:line="360" w:lineRule="auto"/>
        <w:ind w:firstLineChars="0" w:firstLine="0"/>
        <w:rPr>
          <w:rFonts w:ascii="Book Antiqua" w:eastAsia="宋体" w:hAnsi="Book Antiqua"/>
          <w:sz w:val="24"/>
          <w:szCs w:val="24"/>
        </w:rPr>
      </w:pPr>
      <w:r w:rsidRPr="00E8209B">
        <w:rPr>
          <w:rFonts w:ascii="Book Antiqua" w:hAnsi="Book Antiqua"/>
          <w:sz w:val="24"/>
          <w:szCs w:val="24"/>
        </w:rPr>
        <w:lastRenderedPageBreak/>
        <w:t>SBP</w:t>
      </w:r>
      <w:r w:rsidR="00E862DF" w:rsidRPr="00E8209B">
        <w:rPr>
          <w:rFonts w:ascii="Book Antiqua" w:eastAsia="宋体" w:hAnsi="Book Antiqua" w:hint="eastAsia"/>
          <w:sz w:val="24"/>
          <w:szCs w:val="24"/>
        </w:rPr>
        <w:t xml:space="preserve">: </w:t>
      </w:r>
      <w:r w:rsidR="00E862DF" w:rsidRPr="00E8209B">
        <w:rPr>
          <w:rFonts w:ascii="Book Antiqua" w:hAnsi="Book Antiqua"/>
          <w:sz w:val="24"/>
          <w:szCs w:val="24"/>
        </w:rPr>
        <w:t>S</w:t>
      </w:r>
      <w:r w:rsidRPr="00E8209B">
        <w:rPr>
          <w:rFonts w:ascii="Book Antiqua" w:hAnsi="Book Antiqua"/>
          <w:sz w:val="24"/>
          <w:szCs w:val="24"/>
        </w:rPr>
        <w:t xml:space="preserve">pontaneous bacterial peritonitis </w:t>
      </w:r>
      <w:r w:rsidR="00E862DF" w:rsidRPr="00E8209B">
        <w:rPr>
          <w:rFonts w:ascii="Book Antiqua" w:eastAsia="宋体" w:hAnsi="Book Antiqua" w:hint="eastAsia"/>
          <w:sz w:val="24"/>
          <w:szCs w:val="24"/>
        </w:rPr>
        <w:t>-</w:t>
      </w:r>
      <w:r w:rsidRPr="00E8209B">
        <w:rPr>
          <w:rFonts w:ascii="Book Antiqua" w:hAnsi="Book Antiqua"/>
          <w:sz w:val="24"/>
          <w:szCs w:val="24"/>
        </w:rPr>
        <w:t xml:space="preserve"> infection found in the ascites fluid in the peritoneum; DAA</w:t>
      </w:r>
      <w:r w:rsidR="00E862DF" w:rsidRPr="00E8209B">
        <w:rPr>
          <w:rFonts w:ascii="Book Antiqua" w:eastAsia="宋体" w:hAnsi="Book Antiqua" w:hint="eastAsia"/>
          <w:sz w:val="24"/>
          <w:szCs w:val="24"/>
        </w:rPr>
        <w:t>:</w:t>
      </w:r>
      <w:r w:rsidRPr="00E8209B">
        <w:rPr>
          <w:rFonts w:ascii="Book Antiqua" w:hAnsi="Book Antiqua"/>
          <w:sz w:val="24"/>
          <w:szCs w:val="24"/>
        </w:rPr>
        <w:t xml:space="preserve"> </w:t>
      </w:r>
      <w:r w:rsidR="00E862DF" w:rsidRPr="00E8209B">
        <w:rPr>
          <w:rFonts w:ascii="Book Antiqua" w:hAnsi="Book Antiqua"/>
          <w:sz w:val="24"/>
          <w:szCs w:val="24"/>
        </w:rPr>
        <w:t>D</w:t>
      </w:r>
      <w:r w:rsidRPr="00E8209B">
        <w:rPr>
          <w:rFonts w:ascii="Book Antiqua" w:hAnsi="Book Antiqua"/>
          <w:sz w:val="24"/>
          <w:szCs w:val="24"/>
        </w:rPr>
        <w:t xml:space="preserve">irect acting anti-viral therapies </w:t>
      </w:r>
      <w:r w:rsidR="00E862DF" w:rsidRPr="00E8209B">
        <w:rPr>
          <w:rFonts w:ascii="Book Antiqua" w:eastAsia="宋体" w:hAnsi="Book Antiqua" w:hint="eastAsia"/>
          <w:sz w:val="24"/>
          <w:szCs w:val="24"/>
        </w:rPr>
        <w:t>-</w:t>
      </w:r>
      <w:r w:rsidRPr="00E8209B">
        <w:rPr>
          <w:rFonts w:ascii="Book Antiqua" w:hAnsi="Book Antiqua"/>
          <w:sz w:val="24"/>
          <w:szCs w:val="24"/>
        </w:rPr>
        <w:t xml:space="preserve"> the new class of HCV medications which directly inhibits replication; OPTN/UNOS</w:t>
      </w:r>
      <w:r w:rsidR="00E862DF" w:rsidRPr="00E8209B">
        <w:rPr>
          <w:rFonts w:ascii="Book Antiqua" w:eastAsia="宋体" w:hAnsi="Book Antiqua" w:hint="eastAsia"/>
          <w:sz w:val="24"/>
          <w:szCs w:val="24"/>
        </w:rPr>
        <w:t>:</w:t>
      </w:r>
      <w:r w:rsidRPr="00E8209B">
        <w:rPr>
          <w:rFonts w:ascii="Book Antiqua" w:hAnsi="Book Antiqua"/>
          <w:sz w:val="24"/>
          <w:szCs w:val="24"/>
        </w:rPr>
        <w:t xml:space="preserve"> </w:t>
      </w:r>
      <w:r w:rsidR="00E862DF" w:rsidRPr="00E8209B">
        <w:rPr>
          <w:rFonts w:ascii="Book Antiqua" w:hAnsi="Book Antiqua"/>
          <w:sz w:val="24"/>
          <w:szCs w:val="24"/>
        </w:rPr>
        <w:t>T</w:t>
      </w:r>
      <w:r w:rsidRPr="00E8209B">
        <w:rPr>
          <w:rFonts w:ascii="Book Antiqua" w:hAnsi="Book Antiqua"/>
          <w:sz w:val="24"/>
          <w:szCs w:val="24"/>
        </w:rPr>
        <w:t xml:space="preserve">he national organization responsible for managing organ allocation, </w:t>
      </w:r>
      <w:r w:rsidR="00F279D6" w:rsidRPr="00E8209B">
        <w:rPr>
          <w:rFonts w:ascii="Book Antiqua" w:hAnsi="Book Antiqua"/>
          <w:sz w:val="24"/>
          <w:szCs w:val="24"/>
        </w:rPr>
        <w:t>obtaining</w:t>
      </w:r>
      <w:r w:rsidRPr="00E8209B">
        <w:rPr>
          <w:rFonts w:ascii="Book Antiqua" w:hAnsi="Book Antiqua"/>
          <w:sz w:val="24"/>
          <w:szCs w:val="24"/>
        </w:rPr>
        <w:t xml:space="preserve"> </w:t>
      </w:r>
      <w:r w:rsidR="00F279D6" w:rsidRPr="00E8209B">
        <w:rPr>
          <w:rFonts w:ascii="Book Antiqua" w:hAnsi="Book Antiqua"/>
          <w:sz w:val="24"/>
          <w:szCs w:val="24"/>
        </w:rPr>
        <w:t xml:space="preserve">individual center’s </w:t>
      </w:r>
      <w:r w:rsidRPr="00E8209B">
        <w:rPr>
          <w:rFonts w:ascii="Book Antiqua" w:hAnsi="Book Antiqua"/>
          <w:sz w:val="24"/>
          <w:szCs w:val="24"/>
        </w:rPr>
        <w:t>data on transplantation, an</w:t>
      </w:r>
      <w:r w:rsidR="00F279D6" w:rsidRPr="00E8209B">
        <w:rPr>
          <w:rFonts w:ascii="Book Antiqua" w:hAnsi="Book Antiqua"/>
          <w:sz w:val="24"/>
          <w:szCs w:val="24"/>
        </w:rPr>
        <w:t>d reporting collective outcomes</w:t>
      </w:r>
      <w:r w:rsidR="00E862DF" w:rsidRPr="00E8209B">
        <w:rPr>
          <w:rFonts w:ascii="Book Antiqua" w:eastAsia="宋体" w:hAnsi="Book Antiqua" w:hint="eastAsia"/>
          <w:sz w:val="24"/>
          <w:szCs w:val="24"/>
        </w:rPr>
        <w:t>.</w:t>
      </w:r>
    </w:p>
    <w:p w14:paraId="4D724AEA" w14:textId="77777777" w:rsidR="00E862DF" w:rsidRPr="00E8209B" w:rsidRDefault="00E862DF" w:rsidP="00E862DF">
      <w:pPr>
        <w:pStyle w:val="ListParagraph"/>
        <w:autoSpaceDE w:val="0"/>
        <w:autoSpaceDN w:val="0"/>
        <w:adjustRightInd w:val="0"/>
        <w:spacing w:line="360" w:lineRule="auto"/>
        <w:ind w:firstLineChars="0" w:firstLine="0"/>
        <w:rPr>
          <w:rFonts w:ascii="Book Antiqua" w:eastAsia="宋体" w:hAnsi="Book Antiqua"/>
          <w:sz w:val="24"/>
          <w:szCs w:val="24"/>
        </w:rPr>
      </w:pPr>
    </w:p>
    <w:p w14:paraId="7BC9A85B" w14:textId="1303F7A2" w:rsidR="00E862DF" w:rsidRPr="00E8209B" w:rsidRDefault="00E862DF" w:rsidP="00E862DF">
      <w:pPr>
        <w:pStyle w:val="ListParagraph"/>
        <w:autoSpaceDE w:val="0"/>
        <w:autoSpaceDN w:val="0"/>
        <w:adjustRightInd w:val="0"/>
        <w:spacing w:line="360" w:lineRule="auto"/>
        <w:ind w:firstLineChars="0" w:firstLine="0"/>
        <w:rPr>
          <w:rFonts w:ascii="Book Antiqua" w:eastAsia="宋体" w:hAnsi="Book Antiqua"/>
          <w:b/>
          <w:i/>
          <w:sz w:val="24"/>
          <w:szCs w:val="24"/>
        </w:rPr>
      </w:pPr>
      <w:r w:rsidRPr="00E8209B">
        <w:rPr>
          <w:rFonts w:ascii="Book Antiqua" w:eastAsia="宋体" w:hAnsi="Book Antiqua"/>
          <w:b/>
          <w:i/>
          <w:sz w:val="24"/>
          <w:szCs w:val="24"/>
        </w:rPr>
        <w:t>P</w:t>
      </w:r>
      <w:r w:rsidRPr="00E8209B">
        <w:rPr>
          <w:rFonts w:ascii="Book Antiqua" w:eastAsia="宋体" w:hAnsi="Book Antiqua" w:hint="eastAsia"/>
          <w:b/>
          <w:i/>
          <w:sz w:val="24"/>
          <w:szCs w:val="24"/>
        </w:rPr>
        <w:t>eer-review</w:t>
      </w:r>
    </w:p>
    <w:p w14:paraId="0474E1B8" w14:textId="26CE52F9" w:rsidR="00E862DF" w:rsidRPr="00E8209B" w:rsidRDefault="00E8209B" w:rsidP="00E862DF">
      <w:pPr>
        <w:pStyle w:val="ListParagraph"/>
        <w:autoSpaceDE w:val="0"/>
        <w:autoSpaceDN w:val="0"/>
        <w:adjustRightInd w:val="0"/>
        <w:spacing w:line="360" w:lineRule="auto"/>
        <w:ind w:firstLineChars="0" w:firstLine="0"/>
        <w:rPr>
          <w:rFonts w:ascii="Book Antiqua" w:eastAsia="宋体" w:hAnsi="Book Antiqua"/>
          <w:sz w:val="24"/>
          <w:szCs w:val="24"/>
        </w:rPr>
      </w:pPr>
      <w:r w:rsidRPr="00E8209B">
        <w:rPr>
          <w:rFonts w:ascii="Book Antiqua" w:eastAsia="宋体" w:hAnsi="Book Antiqua" w:hint="eastAsia"/>
          <w:sz w:val="24"/>
          <w:szCs w:val="24"/>
        </w:rPr>
        <w:t>This is a good paper.</w:t>
      </w:r>
    </w:p>
    <w:p w14:paraId="315B6123" w14:textId="77777777" w:rsidR="00F279D6" w:rsidRPr="007A0147" w:rsidRDefault="00F279D6" w:rsidP="00F279D6">
      <w:pPr>
        <w:pStyle w:val="ListParagraph"/>
        <w:autoSpaceDE w:val="0"/>
        <w:autoSpaceDN w:val="0"/>
        <w:adjustRightInd w:val="0"/>
        <w:spacing w:line="360" w:lineRule="auto"/>
        <w:ind w:left="720" w:firstLineChars="0" w:firstLine="0"/>
        <w:rPr>
          <w:rFonts w:ascii="Book Antiqua" w:hAnsi="Book Antiqua"/>
          <w:b/>
        </w:rPr>
      </w:pPr>
    </w:p>
    <w:p w14:paraId="744AEF70" w14:textId="77777777" w:rsidR="00E8209B" w:rsidRDefault="00E8209B">
      <w:pPr>
        <w:rPr>
          <w:rFonts w:ascii="Book Antiqua" w:hAnsi="Book Antiqua"/>
          <w:b/>
        </w:rPr>
      </w:pPr>
      <w:r>
        <w:rPr>
          <w:rFonts w:ascii="Book Antiqua" w:hAnsi="Book Antiqua"/>
          <w:b/>
        </w:rPr>
        <w:br w:type="page"/>
      </w:r>
    </w:p>
    <w:p w14:paraId="60B1ECB6" w14:textId="400754BF" w:rsidR="00964EEB" w:rsidRPr="00E8209B" w:rsidRDefault="00EA64D6" w:rsidP="00E8209B">
      <w:pPr>
        <w:spacing w:line="360" w:lineRule="auto"/>
        <w:jc w:val="both"/>
        <w:rPr>
          <w:rFonts w:ascii="Book Antiqua" w:hAnsi="Book Antiqua"/>
          <w:b/>
          <w:lang w:eastAsia="zh-CN"/>
        </w:rPr>
      </w:pPr>
      <w:r w:rsidRPr="00E8209B">
        <w:rPr>
          <w:rFonts w:ascii="Book Antiqua" w:hAnsi="Book Antiqua"/>
          <w:b/>
        </w:rPr>
        <w:lastRenderedPageBreak/>
        <w:t>REFERENCES</w:t>
      </w:r>
    </w:p>
    <w:p w14:paraId="528DF315" w14:textId="6946D9DE"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1 </w:t>
      </w:r>
      <w:proofErr w:type="spellStart"/>
      <w:r w:rsidRPr="00E8209B">
        <w:rPr>
          <w:rFonts w:ascii="Book Antiqua" w:hAnsi="Book Antiqua" w:cs="宋体"/>
          <w:b/>
          <w:bCs/>
          <w:lang w:eastAsia="zh-CN"/>
        </w:rPr>
        <w:t>Malinchoc</w:t>
      </w:r>
      <w:proofErr w:type="spellEnd"/>
      <w:r w:rsidRPr="00E8209B">
        <w:rPr>
          <w:rFonts w:ascii="Book Antiqua" w:hAnsi="Book Antiqua" w:cs="宋体"/>
          <w:b/>
          <w:bCs/>
          <w:lang w:eastAsia="zh-CN"/>
        </w:rPr>
        <w:t xml:space="preserve"> M</w:t>
      </w:r>
      <w:r w:rsidRPr="00E8209B">
        <w:rPr>
          <w:rFonts w:ascii="Book Antiqua" w:hAnsi="Book Antiqua" w:cs="宋体"/>
          <w:lang w:eastAsia="zh-CN"/>
        </w:rPr>
        <w:t xml:space="preserve">, </w:t>
      </w:r>
      <w:proofErr w:type="spellStart"/>
      <w:r w:rsidRPr="00E8209B">
        <w:rPr>
          <w:rFonts w:ascii="Book Antiqua" w:hAnsi="Book Antiqua" w:cs="宋体"/>
          <w:lang w:eastAsia="zh-CN"/>
        </w:rPr>
        <w:t>Kamath</w:t>
      </w:r>
      <w:proofErr w:type="spellEnd"/>
      <w:r w:rsidRPr="00E8209B">
        <w:rPr>
          <w:rFonts w:ascii="Book Antiqua" w:hAnsi="Book Antiqua" w:cs="宋体"/>
          <w:lang w:eastAsia="zh-CN"/>
        </w:rPr>
        <w:t xml:space="preserve"> PS, Gordon FD, </w:t>
      </w:r>
      <w:proofErr w:type="spellStart"/>
      <w:r w:rsidRPr="00E8209B">
        <w:rPr>
          <w:rFonts w:ascii="Book Antiqua" w:hAnsi="Book Antiqua" w:cs="宋体"/>
          <w:lang w:eastAsia="zh-CN"/>
        </w:rPr>
        <w:t>Peine</w:t>
      </w:r>
      <w:proofErr w:type="spellEnd"/>
      <w:r w:rsidRPr="00E8209B">
        <w:rPr>
          <w:rFonts w:ascii="Book Antiqua" w:hAnsi="Book Antiqua" w:cs="宋体"/>
          <w:lang w:eastAsia="zh-CN"/>
        </w:rPr>
        <w:t xml:space="preserve"> CJ, Rank J, </w:t>
      </w:r>
      <w:proofErr w:type="spellStart"/>
      <w:r w:rsidRPr="00E8209B">
        <w:rPr>
          <w:rFonts w:ascii="Book Antiqua" w:hAnsi="Book Antiqua" w:cs="宋体"/>
          <w:lang w:eastAsia="zh-CN"/>
        </w:rPr>
        <w:t>ter</w:t>
      </w:r>
      <w:proofErr w:type="spellEnd"/>
      <w:r w:rsidRPr="00E8209B">
        <w:rPr>
          <w:rFonts w:ascii="Book Antiqua" w:hAnsi="Book Antiqua" w:cs="宋体"/>
          <w:lang w:eastAsia="zh-CN"/>
        </w:rPr>
        <w:t xml:space="preserve"> Borg PC. A model to predict poor survival in patients undergoing </w:t>
      </w:r>
      <w:proofErr w:type="spellStart"/>
      <w:r w:rsidRPr="00E8209B">
        <w:rPr>
          <w:rFonts w:ascii="Book Antiqua" w:hAnsi="Book Antiqua" w:cs="宋体"/>
          <w:lang w:eastAsia="zh-CN"/>
        </w:rPr>
        <w:t>transjugular</w:t>
      </w:r>
      <w:proofErr w:type="spellEnd"/>
      <w:r w:rsidRPr="00E8209B">
        <w:rPr>
          <w:rFonts w:ascii="Book Antiqua" w:hAnsi="Book Antiqua" w:cs="宋体"/>
          <w:lang w:eastAsia="zh-CN"/>
        </w:rPr>
        <w:t xml:space="preserve"> intrahepatic </w:t>
      </w:r>
      <w:proofErr w:type="spellStart"/>
      <w:r w:rsidRPr="00E8209B">
        <w:rPr>
          <w:rFonts w:ascii="Book Antiqua" w:hAnsi="Book Antiqua" w:cs="宋体"/>
          <w:lang w:eastAsia="zh-CN"/>
        </w:rPr>
        <w:t>portosystemic</w:t>
      </w:r>
      <w:proofErr w:type="spellEnd"/>
      <w:r w:rsidRPr="00E8209B">
        <w:rPr>
          <w:rFonts w:ascii="Book Antiqua" w:hAnsi="Book Antiqua" w:cs="宋体"/>
          <w:lang w:eastAsia="zh-CN"/>
        </w:rPr>
        <w:t xml:space="preserve"> shunts. </w:t>
      </w:r>
      <w:proofErr w:type="spellStart"/>
      <w:r w:rsidRPr="00E8209B">
        <w:rPr>
          <w:rFonts w:ascii="Book Antiqua" w:hAnsi="Book Antiqua" w:cs="宋体"/>
          <w:i/>
          <w:iCs/>
          <w:lang w:eastAsia="zh-CN"/>
        </w:rPr>
        <w:t>Hepatology</w:t>
      </w:r>
      <w:proofErr w:type="spellEnd"/>
      <w:r w:rsidRPr="00E8209B">
        <w:rPr>
          <w:rFonts w:ascii="Book Antiqua" w:hAnsi="Book Antiqua" w:cs="宋体"/>
          <w:lang w:eastAsia="zh-CN"/>
        </w:rPr>
        <w:t xml:space="preserve"> 2000; </w:t>
      </w:r>
      <w:r w:rsidRPr="00E8209B">
        <w:rPr>
          <w:rFonts w:ascii="Book Antiqua" w:hAnsi="Book Antiqua" w:cs="宋体"/>
          <w:b/>
          <w:bCs/>
          <w:lang w:eastAsia="zh-CN"/>
        </w:rPr>
        <w:t>31</w:t>
      </w:r>
      <w:r w:rsidRPr="00E8209B">
        <w:rPr>
          <w:rFonts w:ascii="Book Antiqua" w:hAnsi="Book Antiqua" w:cs="宋体"/>
          <w:lang w:eastAsia="zh-CN"/>
        </w:rPr>
        <w:t>: 864-871 [PMID: 107</w:t>
      </w:r>
      <w:r>
        <w:rPr>
          <w:rFonts w:ascii="Book Antiqua" w:hAnsi="Book Antiqua" w:cs="宋体"/>
          <w:lang w:eastAsia="zh-CN"/>
        </w:rPr>
        <w:t>33541 DOI: 10.1053/he.2000.5852</w:t>
      </w:r>
      <w:r w:rsidRPr="00E8209B">
        <w:rPr>
          <w:rFonts w:ascii="Book Antiqua" w:hAnsi="Book Antiqua" w:cs="宋体"/>
          <w:lang w:eastAsia="zh-CN"/>
        </w:rPr>
        <w:t>]</w:t>
      </w:r>
    </w:p>
    <w:p w14:paraId="2AB351C9" w14:textId="320FC9BD" w:rsidR="00E8209B" w:rsidRPr="00E8209B" w:rsidRDefault="00E8209B" w:rsidP="00E8209B">
      <w:pPr>
        <w:spacing w:line="360" w:lineRule="auto"/>
        <w:jc w:val="both"/>
        <w:rPr>
          <w:rFonts w:ascii="Book Antiqua" w:hAnsi="Book Antiqua" w:cs="宋体"/>
          <w:lang w:eastAsia="zh-CN"/>
        </w:rPr>
      </w:pPr>
      <w:proofErr w:type="gramStart"/>
      <w:r w:rsidRPr="00E8209B">
        <w:rPr>
          <w:rFonts w:ascii="Book Antiqua" w:hAnsi="Book Antiqua" w:cs="宋体"/>
          <w:lang w:eastAsia="zh-CN"/>
        </w:rPr>
        <w:t xml:space="preserve">2 </w:t>
      </w:r>
      <w:proofErr w:type="spellStart"/>
      <w:r w:rsidRPr="00E8209B">
        <w:rPr>
          <w:rFonts w:ascii="Book Antiqua" w:hAnsi="Book Antiqua" w:cs="宋体"/>
          <w:b/>
          <w:bCs/>
          <w:lang w:eastAsia="zh-CN"/>
        </w:rPr>
        <w:t>Kamath</w:t>
      </w:r>
      <w:proofErr w:type="spellEnd"/>
      <w:r w:rsidRPr="00E8209B">
        <w:rPr>
          <w:rFonts w:ascii="Book Antiqua" w:hAnsi="Book Antiqua" w:cs="宋体"/>
          <w:b/>
          <w:bCs/>
          <w:lang w:eastAsia="zh-CN"/>
        </w:rPr>
        <w:t xml:space="preserve"> PS</w:t>
      </w:r>
      <w:r w:rsidRPr="00E8209B">
        <w:rPr>
          <w:rFonts w:ascii="Book Antiqua" w:hAnsi="Book Antiqua" w:cs="宋体"/>
          <w:lang w:eastAsia="zh-CN"/>
        </w:rPr>
        <w:t>, Kim WR.</w:t>
      </w:r>
      <w:proofErr w:type="gramEnd"/>
      <w:r w:rsidRPr="00E8209B">
        <w:rPr>
          <w:rFonts w:ascii="Book Antiqua" w:hAnsi="Book Antiqua" w:cs="宋体"/>
          <w:lang w:eastAsia="zh-CN"/>
        </w:rPr>
        <w:t xml:space="preserve"> </w:t>
      </w:r>
      <w:proofErr w:type="gramStart"/>
      <w:r w:rsidRPr="00E8209B">
        <w:rPr>
          <w:rFonts w:ascii="Book Antiqua" w:hAnsi="Book Antiqua" w:cs="宋体"/>
          <w:lang w:eastAsia="zh-CN"/>
        </w:rPr>
        <w:t>The model for end-stage liver disease (MELD).</w:t>
      </w:r>
      <w:proofErr w:type="gramEnd"/>
      <w:r w:rsidRPr="00E8209B">
        <w:rPr>
          <w:rFonts w:ascii="Book Antiqua" w:hAnsi="Book Antiqua" w:cs="宋体"/>
          <w:lang w:eastAsia="zh-CN"/>
        </w:rPr>
        <w:t xml:space="preserve"> </w:t>
      </w:r>
      <w:proofErr w:type="spellStart"/>
      <w:r w:rsidRPr="00E8209B">
        <w:rPr>
          <w:rFonts w:ascii="Book Antiqua" w:hAnsi="Book Antiqua" w:cs="宋体"/>
          <w:i/>
          <w:iCs/>
          <w:lang w:eastAsia="zh-CN"/>
        </w:rPr>
        <w:t>Hepatology</w:t>
      </w:r>
      <w:proofErr w:type="spellEnd"/>
      <w:r w:rsidRPr="00E8209B">
        <w:rPr>
          <w:rFonts w:ascii="Book Antiqua" w:hAnsi="Book Antiqua" w:cs="宋体"/>
          <w:lang w:eastAsia="zh-CN"/>
        </w:rPr>
        <w:t xml:space="preserve"> 2007; </w:t>
      </w:r>
      <w:r w:rsidRPr="00E8209B">
        <w:rPr>
          <w:rFonts w:ascii="Book Antiqua" w:hAnsi="Book Antiqua" w:cs="宋体"/>
          <w:b/>
          <w:bCs/>
          <w:lang w:eastAsia="zh-CN"/>
        </w:rPr>
        <w:t>45</w:t>
      </w:r>
      <w:r w:rsidRPr="00E8209B">
        <w:rPr>
          <w:rFonts w:ascii="Book Antiqua" w:hAnsi="Book Antiqua" w:cs="宋体"/>
          <w:lang w:eastAsia="zh-CN"/>
        </w:rPr>
        <w:t xml:space="preserve">: 797-805 [PMID: </w:t>
      </w:r>
      <w:r>
        <w:rPr>
          <w:rFonts w:ascii="Book Antiqua" w:hAnsi="Book Antiqua" w:cs="宋体"/>
          <w:lang w:eastAsia="zh-CN"/>
        </w:rPr>
        <w:t>17326206 DOI: 10.1002/hep.21563</w:t>
      </w:r>
      <w:r w:rsidRPr="00E8209B">
        <w:rPr>
          <w:rFonts w:ascii="Book Antiqua" w:hAnsi="Book Antiqua" w:cs="宋体"/>
          <w:lang w:eastAsia="zh-CN"/>
        </w:rPr>
        <w:t>]</w:t>
      </w:r>
    </w:p>
    <w:p w14:paraId="3C5547BD" w14:textId="7EEBB542"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3 </w:t>
      </w:r>
      <w:r w:rsidRPr="00E8209B">
        <w:rPr>
          <w:rFonts w:ascii="Book Antiqua" w:hAnsi="Book Antiqua" w:cs="宋体"/>
          <w:b/>
          <w:bCs/>
          <w:lang w:eastAsia="zh-CN"/>
        </w:rPr>
        <w:t>Ono Y</w:t>
      </w:r>
      <w:r w:rsidRPr="00E8209B">
        <w:rPr>
          <w:rFonts w:ascii="Book Antiqua" w:hAnsi="Book Antiqua" w:cs="宋体"/>
          <w:lang w:eastAsia="zh-CN"/>
        </w:rPr>
        <w:t xml:space="preserve">, Watanabe T, Matsumoto K, Ito T, Kunii O, Goldstein E. </w:t>
      </w:r>
      <w:proofErr w:type="spellStart"/>
      <w:r w:rsidRPr="00E8209B">
        <w:rPr>
          <w:rFonts w:ascii="Book Antiqua" w:hAnsi="Book Antiqua" w:cs="宋体"/>
          <w:lang w:eastAsia="zh-CN"/>
        </w:rPr>
        <w:t>Opsonophagocytic</w:t>
      </w:r>
      <w:proofErr w:type="spellEnd"/>
      <w:r w:rsidRPr="00E8209B">
        <w:rPr>
          <w:rFonts w:ascii="Book Antiqua" w:hAnsi="Book Antiqua" w:cs="宋体"/>
          <w:lang w:eastAsia="zh-CN"/>
        </w:rPr>
        <w:t xml:space="preserve"> dysfunction in patients with liver cirrhosis and low responses to tumor necrosis factor-alpha and lipopolysaccharide in patients' blood. </w:t>
      </w:r>
      <w:r w:rsidRPr="00E8209B">
        <w:rPr>
          <w:rFonts w:ascii="Book Antiqua" w:hAnsi="Book Antiqua" w:cs="宋体"/>
          <w:i/>
          <w:iCs/>
          <w:lang w:eastAsia="zh-CN"/>
        </w:rPr>
        <w:t xml:space="preserve">J Infect </w:t>
      </w:r>
      <w:proofErr w:type="spellStart"/>
      <w:r w:rsidRPr="00E8209B">
        <w:rPr>
          <w:rFonts w:ascii="Book Antiqua" w:hAnsi="Book Antiqua" w:cs="宋体"/>
          <w:i/>
          <w:iCs/>
          <w:lang w:eastAsia="zh-CN"/>
        </w:rPr>
        <w:t>Chemother</w:t>
      </w:r>
      <w:proofErr w:type="spellEnd"/>
      <w:r w:rsidRPr="00E8209B">
        <w:rPr>
          <w:rFonts w:ascii="Book Antiqua" w:hAnsi="Book Antiqua" w:cs="宋体"/>
          <w:lang w:eastAsia="zh-CN"/>
        </w:rPr>
        <w:t xml:space="preserve"> 2004; </w:t>
      </w:r>
      <w:r w:rsidRPr="00E8209B">
        <w:rPr>
          <w:rFonts w:ascii="Book Antiqua" w:hAnsi="Book Antiqua" w:cs="宋体"/>
          <w:b/>
          <w:bCs/>
          <w:lang w:eastAsia="zh-CN"/>
        </w:rPr>
        <w:t>10</w:t>
      </w:r>
      <w:r w:rsidRPr="00E8209B">
        <w:rPr>
          <w:rFonts w:ascii="Book Antiqua" w:hAnsi="Book Antiqua" w:cs="宋体"/>
          <w:lang w:eastAsia="zh-CN"/>
        </w:rPr>
        <w:t>: 200-207 [PMID: 15365859</w:t>
      </w:r>
      <w:r>
        <w:rPr>
          <w:rFonts w:ascii="Book Antiqua" w:hAnsi="Book Antiqua" w:cs="宋体"/>
          <w:lang w:eastAsia="zh-CN"/>
        </w:rPr>
        <w:t xml:space="preserve"> DOI: 10.1007/s10156-004-0321-7</w:t>
      </w:r>
      <w:r w:rsidRPr="00E8209B">
        <w:rPr>
          <w:rFonts w:ascii="Book Antiqua" w:hAnsi="Book Antiqua" w:cs="宋体"/>
          <w:lang w:eastAsia="zh-CN"/>
        </w:rPr>
        <w:t>]</w:t>
      </w:r>
    </w:p>
    <w:p w14:paraId="2EADEE96" w14:textId="77777777" w:rsidR="00E8209B" w:rsidRPr="00E8209B" w:rsidRDefault="00E8209B" w:rsidP="00E8209B">
      <w:pPr>
        <w:spacing w:line="360" w:lineRule="auto"/>
        <w:jc w:val="both"/>
        <w:rPr>
          <w:rFonts w:ascii="Book Antiqua" w:hAnsi="Book Antiqua" w:cs="宋体"/>
          <w:lang w:eastAsia="zh-CN"/>
        </w:rPr>
      </w:pPr>
      <w:proofErr w:type="gramStart"/>
      <w:r w:rsidRPr="00E8209B">
        <w:rPr>
          <w:rFonts w:ascii="Book Antiqua" w:hAnsi="Book Antiqua" w:cs="宋体"/>
          <w:lang w:eastAsia="zh-CN"/>
        </w:rPr>
        <w:t xml:space="preserve">4 </w:t>
      </w:r>
      <w:r w:rsidRPr="00E8209B">
        <w:rPr>
          <w:rFonts w:ascii="Book Antiqua" w:hAnsi="Book Antiqua" w:cs="宋体"/>
          <w:b/>
          <w:bCs/>
          <w:lang w:eastAsia="zh-CN"/>
        </w:rPr>
        <w:t>Runyon BA</w:t>
      </w:r>
      <w:r w:rsidRPr="00E8209B">
        <w:rPr>
          <w:rFonts w:ascii="Book Antiqua" w:hAnsi="Book Antiqua" w:cs="宋体"/>
          <w:lang w:eastAsia="zh-CN"/>
        </w:rPr>
        <w:t>.</w:t>
      </w:r>
      <w:proofErr w:type="gramEnd"/>
      <w:r w:rsidRPr="00E8209B">
        <w:rPr>
          <w:rFonts w:ascii="Book Antiqua" w:hAnsi="Book Antiqua" w:cs="宋体"/>
          <w:lang w:eastAsia="zh-CN"/>
        </w:rPr>
        <w:t xml:space="preserve"> Low-protein-concentration </w:t>
      </w:r>
      <w:proofErr w:type="spellStart"/>
      <w:r w:rsidRPr="00E8209B">
        <w:rPr>
          <w:rFonts w:ascii="Book Antiqua" w:hAnsi="Book Antiqua" w:cs="宋体"/>
          <w:lang w:eastAsia="zh-CN"/>
        </w:rPr>
        <w:t>ascitic</w:t>
      </w:r>
      <w:proofErr w:type="spellEnd"/>
      <w:r w:rsidRPr="00E8209B">
        <w:rPr>
          <w:rFonts w:ascii="Book Antiqua" w:hAnsi="Book Antiqua" w:cs="宋体"/>
          <w:lang w:eastAsia="zh-CN"/>
        </w:rPr>
        <w:t xml:space="preserve"> fluid is predisposed to spontaneous bacterial peritonitis. </w:t>
      </w:r>
      <w:r w:rsidRPr="00E8209B">
        <w:rPr>
          <w:rFonts w:ascii="Book Antiqua" w:hAnsi="Book Antiqua" w:cs="宋体"/>
          <w:i/>
          <w:iCs/>
          <w:lang w:eastAsia="zh-CN"/>
        </w:rPr>
        <w:t>Gastroenterology</w:t>
      </w:r>
      <w:r w:rsidRPr="00E8209B">
        <w:rPr>
          <w:rFonts w:ascii="Book Antiqua" w:hAnsi="Book Antiqua" w:cs="宋体"/>
          <w:lang w:eastAsia="zh-CN"/>
        </w:rPr>
        <w:t xml:space="preserve"> 1986; </w:t>
      </w:r>
      <w:r w:rsidRPr="00E8209B">
        <w:rPr>
          <w:rFonts w:ascii="Book Antiqua" w:hAnsi="Book Antiqua" w:cs="宋体"/>
          <w:b/>
          <w:bCs/>
          <w:lang w:eastAsia="zh-CN"/>
        </w:rPr>
        <w:t>91</w:t>
      </w:r>
      <w:r w:rsidRPr="00E8209B">
        <w:rPr>
          <w:rFonts w:ascii="Book Antiqua" w:hAnsi="Book Antiqua" w:cs="宋体"/>
          <w:lang w:eastAsia="zh-CN"/>
        </w:rPr>
        <w:t>: 1343-1346 [PMID: 3770358]</w:t>
      </w:r>
    </w:p>
    <w:p w14:paraId="61A6AA8F" w14:textId="77777777" w:rsidR="00E8209B" w:rsidRPr="00E8209B" w:rsidRDefault="00E8209B" w:rsidP="00E8209B">
      <w:pPr>
        <w:spacing w:line="360" w:lineRule="auto"/>
        <w:jc w:val="both"/>
        <w:rPr>
          <w:rFonts w:ascii="Book Antiqua" w:hAnsi="Book Antiqua" w:cs="宋体"/>
          <w:lang w:eastAsia="zh-CN"/>
        </w:rPr>
      </w:pPr>
      <w:proofErr w:type="gramStart"/>
      <w:r w:rsidRPr="00E8209B">
        <w:rPr>
          <w:rFonts w:ascii="Book Antiqua" w:hAnsi="Book Antiqua" w:cs="宋体"/>
          <w:lang w:eastAsia="zh-CN"/>
        </w:rPr>
        <w:t xml:space="preserve">5 </w:t>
      </w:r>
      <w:proofErr w:type="spellStart"/>
      <w:r w:rsidRPr="00E8209B">
        <w:rPr>
          <w:rFonts w:ascii="Book Antiqua" w:hAnsi="Book Antiqua" w:cs="宋体"/>
          <w:b/>
          <w:bCs/>
          <w:lang w:eastAsia="zh-CN"/>
        </w:rPr>
        <w:t>Cheruvattath</w:t>
      </w:r>
      <w:proofErr w:type="spellEnd"/>
      <w:r w:rsidRPr="00E8209B">
        <w:rPr>
          <w:rFonts w:ascii="Book Antiqua" w:hAnsi="Book Antiqua" w:cs="宋体"/>
          <w:b/>
          <w:bCs/>
          <w:lang w:eastAsia="zh-CN"/>
        </w:rPr>
        <w:t xml:space="preserve"> R</w:t>
      </w:r>
      <w:r w:rsidRPr="00E8209B">
        <w:rPr>
          <w:rFonts w:ascii="Book Antiqua" w:hAnsi="Book Antiqua" w:cs="宋体"/>
          <w:lang w:eastAsia="zh-CN"/>
        </w:rPr>
        <w:t xml:space="preserve">, </w:t>
      </w:r>
      <w:proofErr w:type="spellStart"/>
      <w:r w:rsidRPr="00E8209B">
        <w:rPr>
          <w:rFonts w:ascii="Book Antiqua" w:hAnsi="Book Antiqua" w:cs="宋体"/>
          <w:lang w:eastAsia="zh-CN"/>
        </w:rPr>
        <w:t>Balan</w:t>
      </w:r>
      <w:proofErr w:type="spellEnd"/>
      <w:r w:rsidRPr="00E8209B">
        <w:rPr>
          <w:rFonts w:ascii="Book Antiqua" w:hAnsi="Book Antiqua" w:cs="宋体"/>
          <w:lang w:eastAsia="zh-CN"/>
        </w:rPr>
        <w:t xml:space="preserve"> V. Infections in Patients With End-stage Liver Disease.</w:t>
      </w:r>
      <w:proofErr w:type="gramEnd"/>
      <w:r w:rsidRPr="00E8209B">
        <w:rPr>
          <w:rFonts w:ascii="Book Antiqua" w:hAnsi="Book Antiqua" w:cs="宋体"/>
          <w:lang w:eastAsia="zh-CN"/>
        </w:rPr>
        <w:t xml:space="preserve"> </w:t>
      </w:r>
      <w:r w:rsidRPr="00E8209B">
        <w:rPr>
          <w:rFonts w:ascii="Book Antiqua" w:hAnsi="Book Antiqua" w:cs="宋体"/>
          <w:i/>
          <w:iCs/>
          <w:lang w:eastAsia="zh-CN"/>
        </w:rPr>
        <w:t xml:space="preserve">J </w:t>
      </w:r>
      <w:proofErr w:type="spellStart"/>
      <w:r w:rsidRPr="00E8209B">
        <w:rPr>
          <w:rFonts w:ascii="Book Antiqua" w:hAnsi="Book Antiqua" w:cs="宋体"/>
          <w:i/>
          <w:iCs/>
          <w:lang w:eastAsia="zh-CN"/>
        </w:rPr>
        <w:t>Clin</w:t>
      </w:r>
      <w:proofErr w:type="spellEnd"/>
      <w:r w:rsidRPr="00E8209B">
        <w:rPr>
          <w:rFonts w:ascii="Book Antiqua" w:hAnsi="Book Antiqua" w:cs="宋体"/>
          <w:i/>
          <w:iCs/>
          <w:lang w:eastAsia="zh-CN"/>
        </w:rPr>
        <w:t xml:space="preserve"> </w:t>
      </w:r>
      <w:proofErr w:type="spellStart"/>
      <w:r w:rsidRPr="00E8209B">
        <w:rPr>
          <w:rFonts w:ascii="Book Antiqua" w:hAnsi="Book Antiqua" w:cs="宋体"/>
          <w:i/>
          <w:iCs/>
          <w:lang w:eastAsia="zh-CN"/>
        </w:rPr>
        <w:t>Gastroenterol</w:t>
      </w:r>
      <w:proofErr w:type="spellEnd"/>
      <w:r w:rsidRPr="00E8209B">
        <w:rPr>
          <w:rFonts w:ascii="Book Antiqua" w:hAnsi="Book Antiqua" w:cs="宋体"/>
          <w:lang w:eastAsia="zh-CN"/>
        </w:rPr>
        <w:t xml:space="preserve"> 2007; </w:t>
      </w:r>
      <w:r w:rsidRPr="00E8209B">
        <w:rPr>
          <w:rFonts w:ascii="Book Antiqua" w:hAnsi="Book Antiqua" w:cs="宋体"/>
          <w:b/>
          <w:bCs/>
          <w:lang w:eastAsia="zh-CN"/>
        </w:rPr>
        <w:t>41</w:t>
      </w:r>
      <w:r w:rsidRPr="00E8209B">
        <w:rPr>
          <w:rFonts w:ascii="Book Antiqua" w:hAnsi="Book Antiqua" w:cs="宋体"/>
          <w:lang w:eastAsia="zh-CN"/>
        </w:rPr>
        <w:t>: 403-411 [PMID: 17413611 DOI: 10.1097/01.mcg.0000248018.08515.f9]</w:t>
      </w:r>
    </w:p>
    <w:p w14:paraId="51EA2762" w14:textId="10981452"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6 </w:t>
      </w:r>
      <w:r w:rsidRPr="00E8209B">
        <w:rPr>
          <w:rFonts w:ascii="Book Antiqua" w:hAnsi="Book Antiqua" w:cs="宋体"/>
          <w:b/>
          <w:bCs/>
          <w:lang w:eastAsia="zh-CN"/>
        </w:rPr>
        <w:t>Leong J</w:t>
      </w:r>
      <w:r w:rsidRPr="00E8209B">
        <w:rPr>
          <w:rFonts w:ascii="Book Antiqua" w:hAnsi="Book Antiqua" w:cs="宋体"/>
          <w:lang w:eastAsia="zh-CN"/>
        </w:rPr>
        <w:t xml:space="preserve">, </w:t>
      </w:r>
      <w:proofErr w:type="spellStart"/>
      <w:r w:rsidRPr="00E8209B">
        <w:rPr>
          <w:rFonts w:ascii="Book Antiqua" w:hAnsi="Book Antiqua" w:cs="宋体"/>
          <w:lang w:eastAsia="zh-CN"/>
        </w:rPr>
        <w:t>Huprikar</w:t>
      </w:r>
      <w:proofErr w:type="spellEnd"/>
      <w:r w:rsidRPr="00E8209B">
        <w:rPr>
          <w:rFonts w:ascii="Book Antiqua" w:hAnsi="Book Antiqua" w:cs="宋体"/>
          <w:lang w:eastAsia="zh-CN"/>
        </w:rPr>
        <w:t xml:space="preserve"> S, </w:t>
      </w:r>
      <w:proofErr w:type="spellStart"/>
      <w:r w:rsidRPr="00E8209B">
        <w:rPr>
          <w:rFonts w:ascii="Book Antiqua" w:hAnsi="Book Antiqua" w:cs="宋体"/>
          <w:lang w:eastAsia="zh-CN"/>
        </w:rPr>
        <w:t>Schiano</w:t>
      </w:r>
      <w:proofErr w:type="spellEnd"/>
      <w:r w:rsidRPr="00E8209B">
        <w:rPr>
          <w:rFonts w:ascii="Book Antiqua" w:hAnsi="Book Antiqua" w:cs="宋体"/>
          <w:lang w:eastAsia="zh-CN"/>
        </w:rPr>
        <w:t xml:space="preserve"> T. Outcomes of spontaneous bacterial peritonitis in liver transplant recipients with allograft failure. </w:t>
      </w:r>
      <w:proofErr w:type="spellStart"/>
      <w:r w:rsidRPr="00E8209B">
        <w:rPr>
          <w:rFonts w:ascii="Book Antiqua" w:hAnsi="Book Antiqua" w:cs="宋体"/>
          <w:i/>
          <w:iCs/>
          <w:lang w:eastAsia="zh-CN"/>
        </w:rPr>
        <w:t>Transpl</w:t>
      </w:r>
      <w:proofErr w:type="spellEnd"/>
      <w:r w:rsidRPr="00E8209B">
        <w:rPr>
          <w:rFonts w:ascii="Book Antiqua" w:hAnsi="Book Antiqua" w:cs="宋体"/>
          <w:i/>
          <w:iCs/>
          <w:lang w:eastAsia="zh-CN"/>
        </w:rPr>
        <w:t xml:space="preserve"> Infect Dis</w:t>
      </w:r>
      <w:r w:rsidRPr="00E8209B">
        <w:rPr>
          <w:rFonts w:ascii="Book Antiqua" w:hAnsi="Book Antiqua" w:cs="宋体"/>
          <w:lang w:eastAsia="zh-CN"/>
        </w:rPr>
        <w:t xml:space="preserve"> 2016; </w:t>
      </w:r>
      <w:r w:rsidRPr="00E8209B">
        <w:rPr>
          <w:rFonts w:ascii="Book Antiqua" w:hAnsi="Book Antiqua" w:cs="宋体"/>
          <w:b/>
          <w:bCs/>
          <w:lang w:eastAsia="zh-CN"/>
        </w:rPr>
        <w:t>18</w:t>
      </w:r>
      <w:r w:rsidRPr="00E8209B">
        <w:rPr>
          <w:rFonts w:ascii="Book Antiqua" w:hAnsi="Book Antiqua" w:cs="宋体"/>
          <w:lang w:eastAsia="zh-CN"/>
        </w:rPr>
        <w:t>: 545-551 [PMID: 27261101 DOI: 10.1111/tid.</w:t>
      </w:r>
      <w:r>
        <w:rPr>
          <w:rFonts w:ascii="Book Antiqua" w:hAnsi="Book Antiqua" w:cs="宋体"/>
          <w:lang w:eastAsia="zh-CN"/>
        </w:rPr>
        <w:t>12565</w:t>
      </w:r>
      <w:r w:rsidRPr="00E8209B">
        <w:rPr>
          <w:rFonts w:ascii="Book Antiqua" w:hAnsi="Book Antiqua" w:cs="宋体"/>
          <w:lang w:eastAsia="zh-CN"/>
        </w:rPr>
        <w:t>]</w:t>
      </w:r>
    </w:p>
    <w:p w14:paraId="1EF5C8F9" w14:textId="77777777"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7 </w:t>
      </w:r>
      <w:r w:rsidRPr="00E8209B">
        <w:rPr>
          <w:rFonts w:ascii="Book Antiqua" w:hAnsi="Book Antiqua" w:cs="宋体"/>
          <w:b/>
          <w:bCs/>
          <w:lang w:eastAsia="zh-CN"/>
        </w:rPr>
        <w:t>Watt K</w:t>
      </w:r>
      <w:r w:rsidRPr="00E8209B">
        <w:rPr>
          <w:rFonts w:ascii="Book Antiqua" w:hAnsi="Book Antiqua" w:cs="宋体"/>
          <w:lang w:eastAsia="zh-CN"/>
        </w:rPr>
        <w:t xml:space="preserve">, Veldt B, Charlton M. </w:t>
      </w:r>
      <w:proofErr w:type="gramStart"/>
      <w:r w:rsidRPr="00E8209B">
        <w:rPr>
          <w:rFonts w:ascii="Book Antiqua" w:hAnsi="Book Antiqua" w:cs="宋体"/>
          <w:lang w:eastAsia="zh-CN"/>
        </w:rPr>
        <w:t>A practical guide to the management of HCV infection following liver transplantation.</w:t>
      </w:r>
      <w:proofErr w:type="gramEnd"/>
      <w:r w:rsidRPr="00E8209B">
        <w:rPr>
          <w:rFonts w:ascii="Book Antiqua" w:hAnsi="Book Antiqua" w:cs="宋体"/>
          <w:lang w:eastAsia="zh-CN"/>
        </w:rPr>
        <w:t xml:space="preserve"> </w:t>
      </w:r>
      <w:r w:rsidRPr="00E8209B">
        <w:rPr>
          <w:rFonts w:ascii="Book Antiqua" w:hAnsi="Book Antiqua" w:cs="宋体"/>
          <w:i/>
          <w:iCs/>
          <w:lang w:eastAsia="zh-CN"/>
        </w:rPr>
        <w:t>Am J Transplant</w:t>
      </w:r>
      <w:r w:rsidRPr="00E8209B">
        <w:rPr>
          <w:rFonts w:ascii="Book Antiqua" w:hAnsi="Book Antiqua" w:cs="宋体"/>
          <w:lang w:eastAsia="zh-CN"/>
        </w:rPr>
        <w:t xml:space="preserve"> 2009; </w:t>
      </w:r>
      <w:r w:rsidRPr="00E8209B">
        <w:rPr>
          <w:rFonts w:ascii="Book Antiqua" w:hAnsi="Book Antiqua" w:cs="宋体"/>
          <w:b/>
          <w:bCs/>
          <w:lang w:eastAsia="zh-CN"/>
        </w:rPr>
        <w:t>9</w:t>
      </w:r>
      <w:r w:rsidRPr="00E8209B">
        <w:rPr>
          <w:rFonts w:ascii="Book Antiqua" w:hAnsi="Book Antiqua" w:cs="宋体"/>
          <w:lang w:eastAsia="zh-CN"/>
        </w:rPr>
        <w:t>: 1707-1713 [PMID: 19538491 DOI: 10.1111/j.1600-6143.2009.02702.x]</w:t>
      </w:r>
    </w:p>
    <w:p w14:paraId="562BC149" w14:textId="64742D66"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8 </w:t>
      </w:r>
      <w:proofErr w:type="spellStart"/>
      <w:r w:rsidRPr="00E8209B">
        <w:rPr>
          <w:rFonts w:ascii="Book Antiqua" w:hAnsi="Book Antiqua" w:cs="宋体"/>
          <w:b/>
          <w:bCs/>
          <w:lang w:eastAsia="zh-CN"/>
        </w:rPr>
        <w:t>Carrión</w:t>
      </w:r>
      <w:proofErr w:type="spellEnd"/>
      <w:r w:rsidRPr="00E8209B">
        <w:rPr>
          <w:rFonts w:ascii="Book Antiqua" w:hAnsi="Book Antiqua" w:cs="宋体"/>
          <w:b/>
          <w:bCs/>
          <w:lang w:eastAsia="zh-CN"/>
        </w:rPr>
        <w:t xml:space="preserve"> JA</w:t>
      </w:r>
      <w:r w:rsidRPr="00E8209B">
        <w:rPr>
          <w:rFonts w:ascii="Book Antiqua" w:hAnsi="Book Antiqua" w:cs="宋体"/>
          <w:lang w:eastAsia="zh-CN"/>
        </w:rPr>
        <w:t xml:space="preserve">, </w:t>
      </w:r>
      <w:proofErr w:type="spellStart"/>
      <w:r w:rsidRPr="00E8209B">
        <w:rPr>
          <w:rFonts w:ascii="Book Antiqua" w:hAnsi="Book Antiqua" w:cs="宋体"/>
          <w:lang w:eastAsia="zh-CN"/>
        </w:rPr>
        <w:t>Martínez</w:t>
      </w:r>
      <w:proofErr w:type="spellEnd"/>
      <w:r w:rsidRPr="00E8209B">
        <w:rPr>
          <w:rFonts w:ascii="Book Antiqua" w:hAnsi="Book Antiqua" w:cs="宋体"/>
          <w:lang w:eastAsia="zh-CN"/>
        </w:rPr>
        <w:t xml:space="preserve">-Bauer E, </w:t>
      </w:r>
      <w:proofErr w:type="spellStart"/>
      <w:r w:rsidRPr="00E8209B">
        <w:rPr>
          <w:rFonts w:ascii="Book Antiqua" w:hAnsi="Book Antiqua" w:cs="宋体"/>
          <w:lang w:eastAsia="zh-CN"/>
        </w:rPr>
        <w:t>Crespo</w:t>
      </w:r>
      <w:proofErr w:type="spellEnd"/>
      <w:r w:rsidRPr="00E8209B">
        <w:rPr>
          <w:rFonts w:ascii="Book Antiqua" w:hAnsi="Book Antiqua" w:cs="宋体"/>
          <w:lang w:eastAsia="zh-CN"/>
        </w:rPr>
        <w:t xml:space="preserve"> G, </w:t>
      </w:r>
      <w:proofErr w:type="spellStart"/>
      <w:r w:rsidRPr="00E8209B">
        <w:rPr>
          <w:rFonts w:ascii="Book Antiqua" w:hAnsi="Book Antiqua" w:cs="宋体"/>
          <w:lang w:eastAsia="zh-CN"/>
        </w:rPr>
        <w:t>Ramírez</w:t>
      </w:r>
      <w:proofErr w:type="spellEnd"/>
      <w:r w:rsidRPr="00E8209B">
        <w:rPr>
          <w:rFonts w:ascii="Book Antiqua" w:hAnsi="Book Antiqua" w:cs="宋体"/>
          <w:lang w:eastAsia="zh-CN"/>
        </w:rPr>
        <w:t xml:space="preserve"> S, Pérez-del-</w:t>
      </w:r>
      <w:proofErr w:type="spellStart"/>
      <w:r w:rsidRPr="00E8209B">
        <w:rPr>
          <w:rFonts w:ascii="Book Antiqua" w:hAnsi="Book Antiqua" w:cs="宋体"/>
          <w:lang w:eastAsia="zh-CN"/>
        </w:rPr>
        <w:t>Pulgar</w:t>
      </w:r>
      <w:proofErr w:type="spellEnd"/>
      <w:r w:rsidRPr="00E8209B">
        <w:rPr>
          <w:rFonts w:ascii="Book Antiqua" w:hAnsi="Book Antiqua" w:cs="宋体"/>
          <w:lang w:eastAsia="zh-CN"/>
        </w:rPr>
        <w:t xml:space="preserve"> S, </w:t>
      </w:r>
      <w:proofErr w:type="spellStart"/>
      <w:r w:rsidRPr="00E8209B">
        <w:rPr>
          <w:rFonts w:ascii="Book Antiqua" w:hAnsi="Book Antiqua" w:cs="宋体"/>
          <w:lang w:eastAsia="zh-CN"/>
        </w:rPr>
        <w:t>García-Valdecasas</w:t>
      </w:r>
      <w:proofErr w:type="spellEnd"/>
      <w:r w:rsidRPr="00E8209B">
        <w:rPr>
          <w:rFonts w:ascii="Book Antiqua" w:hAnsi="Book Antiqua" w:cs="宋体"/>
          <w:lang w:eastAsia="zh-CN"/>
        </w:rPr>
        <w:t xml:space="preserve"> JC, </w:t>
      </w:r>
      <w:proofErr w:type="spellStart"/>
      <w:r w:rsidRPr="00E8209B">
        <w:rPr>
          <w:rFonts w:ascii="Book Antiqua" w:hAnsi="Book Antiqua" w:cs="宋体"/>
          <w:lang w:eastAsia="zh-CN"/>
        </w:rPr>
        <w:t>Navasa</w:t>
      </w:r>
      <w:proofErr w:type="spellEnd"/>
      <w:r w:rsidRPr="00E8209B">
        <w:rPr>
          <w:rFonts w:ascii="Book Antiqua" w:hAnsi="Book Antiqua" w:cs="宋体"/>
          <w:lang w:eastAsia="zh-CN"/>
        </w:rPr>
        <w:t xml:space="preserve"> M, </w:t>
      </w:r>
      <w:proofErr w:type="spellStart"/>
      <w:r w:rsidRPr="00E8209B">
        <w:rPr>
          <w:rFonts w:ascii="Book Antiqua" w:hAnsi="Book Antiqua" w:cs="宋体"/>
          <w:lang w:eastAsia="zh-CN"/>
        </w:rPr>
        <w:t>Forns</w:t>
      </w:r>
      <w:proofErr w:type="spellEnd"/>
      <w:r w:rsidRPr="00E8209B">
        <w:rPr>
          <w:rFonts w:ascii="Book Antiqua" w:hAnsi="Book Antiqua" w:cs="宋体"/>
          <w:lang w:eastAsia="zh-CN"/>
        </w:rPr>
        <w:t xml:space="preserve"> X. Antiviral therapy increases the risk of bacterial infections in HCV-infected cirrhotic patients awaiting liver transplantation: A retrospective study. </w:t>
      </w:r>
      <w:r w:rsidRPr="00E8209B">
        <w:rPr>
          <w:rFonts w:ascii="Book Antiqua" w:hAnsi="Book Antiqua" w:cs="宋体"/>
          <w:i/>
          <w:iCs/>
          <w:lang w:eastAsia="zh-CN"/>
        </w:rPr>
        <w:t xml:space="preserve">J </w:t>
      </w:r>
      <w:proofErr w:type="spellStart"/>
      <w:r w:rsidRPr="00E8209B">
        <w:rPr>
          <w:rFonts w:ascii="Book Antiqua" w:hAnsi="Book Antiqua" w:cs="宋体"/>
          <w:i/>
          <w:iCs/>
          <w:lang w:eastAsia="zh-CN"/>
        </w:rPr>
        <w:t>Hepatol</w:t>
      </w:r>
      <w:proofErr w:type="spellEnd"/>
      <w:r w:rsidRPr="00E8209B">
        <w:rPr>
          <w:rFonts w:ascii="Book Antiqua" w:hAnsi="Book Antiqua" w:cs="宋体"/>
          <w:lang w:eastAsia="zh-CN"/>
        </w:rPr>
        <w:t xml:space="preserve"> 2009; </w:t>
      </w:r>
      <w:r w:rsidRPr="00E8209B">
        <w:rPr>
          <w:rFonts w:ascii="Book Antiqua" w:hAnsi="Book Antiqua" w:cs="宋体"/>
          <w:b/>
          <w:bCs/>
          <w:lang w:eastAsia="zh-CN"/>
        </w:rPr>
        <w:t>50</w:t>
      </w:r>
      <w:r w:rsidRPr="00E8209B">
        <w:rPr>
          <w:rFonts w:ascii="Book Antiqua" w:hAnsi="Book Antiqua" w:cs="宋体"/>
          <w:lang w:eastAsia="zh-CN"/>
        </w:rPr>
        <w:t xml:space="preserve">: 719-728 [PMID: 19217183 </w:t>
      </w:r>
      <w:r>
        <w:rPr>
          <w:rFonts w:ascii="Book Antiqua" w:hAnsi="Book Antiqua" w:cs="宋体"/>
          <w:lang w:eastAsia="zh-CN"/>
        </w:rPr>
        <w:t>DOI: 10.1016/j.jhep.2008.11.015</w:t>
      </w:r>
      <w:r w:rsidRPr="00E8209B">
        <w:rPr>
          <w:rFonts w:ascii="Book Antiqua" w:hAnsi="Book Antiqua" w:cs="宋体"/>
          <w:lang w:eastAsia="zh-CN"/>
        </w:rPr>
        <w:t>]</w:t>
      </w:r>
    </w:p>
    <w:p w14:paraId="67A2FCA3" w14:textId="77777777"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9 </w:t>
      </w:r>
      <w:proofErr w:type="spellStart"/>
      <w:r w:rsidRPr="00E8209B">
        <w:rPr>
          <w:rFonts w:ascii="Book Antiqua" w:hAnsi="Book Antiqua" w:cs="宋体"/>
          <w:b/>
          <w:bCs/>
          <w:lang w:eastAsia="zh-CN"/>
        </w:rPr>
        <w:t>Rimola</w:t>
      </w:r>
      <w:proofErr w:type="spellEnd"/>
      <w:r w:rsidRPr="00E8209B">
        <w:rPr>
          <w:rFonts w:ascii="Book Antiqua" w:hAnsi="Book Antiqua" w:cs="宋体"/>
          <w:b/>
          <w:bCs/>
          <w:lang w:eastAsia="zh-CN"/>
        </w:rPr>
        <w:t xml:space="preserve"> A</w:t>
      </w:r>
      <w:r w:rsidRPr="00E8209B">
        <w:rPr>
          <w:rFonts w:ascii="Book Antiqua" w:hAnsi="Book Antiqua" w:cs="宋体"/>
          <w:lang w:eastAsia="zh-CN"/>
        </w:rPr>
        <w:t xml:space="preserve">, </w:t>
      </w:r>
      <w:proofErr w:type="spellStart"/>
      <w:r w:rsidRPr="00E8209B">
        <w:rPr>
          <w:rFonts w:ascii="Book Antiqua" w:hAnsi="Book Antiqua" w:cs="宋体"/>
          <w:lang w:eastAsia="zh-CN"/>
        </w:rPr>
        <w:t>García-Tsao</w:t>
      </w:r>
      <w:proofErr w:type="spellEnd"/>
      <w:r w:rsidRPr="00E8209B">
        <w:rPr>
          <w:rFonts w:ascii="Book Antiqua" w:hAnsi="Book Antiqua" w:cs="宋体"/>
          <w:lang w:eastAsia="zh-CN"/>
        </w:rPr>
        <w:t xml:space="preserve"> G, </w:t>
      </w:r>
      <w:proofErr w:type="spellStart"/>
      <w:r w:rsidRPr="00E8209B">
        <w:rPr>
          <w:rFonts w:ascii="Book Antiqua" w:hAnsi="Book Antiqua" w:cs="宋体"/>
          <w:lang w:eastAsia="zh-CN"/>
        </w:rPr>
        <w:t>Navasa</w:t>
      </w:r>
      <w:proofErr w:type="spellEnd"/>
      <w:r w:rsidRPr="00E8209B">
        <w:rPr>
          <w:rFonts w:ascii="Book Antiqua" w:hAnsi="Book Antiqua" w:cs="宋体"/>
          <w:lang w:eastAsia="zh-CN"/>
        </w:rPr>
        <w:t xml:space="preserve"> M, </w:t>
      </w:r>
      <w:proofErr w:type="spellStart"/>
      <w:r w:rsidRPr="00E8209B">
        <w:rPr>
          <w:rFonts w:ascii="Book Antiqua" w:hAnsi="Book Antiqua" w:cs="宋体"/>
          <w:lang w:eastAsia="zh-CN"/>
        </w:rPr>
        <w:t>Piddock</w:t>
      </w:r>
      <w:proofErr w:type="spellEnd"/>
      <w:r w:rsidRPr="00E8209B">
        <w:rPr>
          <w:rFonts w:ascii="Book Antiqua" w:hAnsi="Book Antiqua" w:cs="宋体"/>
          <w:lang w:eastAsia="zh-CN"/>
        </w:rPr>
        <w:t xml:space="preserve"> LJ, </w:t>
      </w:r>
      <w:proofErr w:type="spellStart"/>
      <w:r w:rsidRPr="00E8209B">
        <w:rPr>
          <w:rFonts w:ascii="Book Antiqua" w:hAnsi="Book Antiqua" w:cs="宋体"/>
          <w:lang w:eastAsia="zh-CN"/>
        </w:rPr>
        <w:t>Planas</w:t>
      </w:r>
      <w:proofErr w:type="spellEnd"/>
      <w:r w:rsidRPr="00E8209B">
        <w:rPr>
          <w:rFonts w:ascii="Book Antiqua" w:hAnsi="Book Antiqua" w:cs="宋体"/>
          <w:lang w:eastAsia="zh-CN"/>
        </w:rPr>
        <w:t xml:space="preserve"> R, Bernard B, </w:t>
      </w:r>
      <w:proofErr w:type="spellStart"/>
      <w:r w:rsidRPr="00E8209B">
        <w:rPr>
          <w:rFonts w:ascii="Book Antiqua" w:hAnsi="Book Antiqua" w:cs="宋体"/>
          <w:lang w:eastAsia="zh-CN"/>
        </w:rPr>
        <w:t>Inadomi</w:t>
      </w:r>
      <w:proofErr w:type="spellEnd"/>
      <w:r w:rsidRPr="00E8209B">
        <w:rPr>
          <w:rFonts w:ascii="Book Antiqua" w:hAnsi="Book Antiqua" w:cs="宋体"/>
          <w:lang w:eastAsia="zh-CN"/>
        </w:rPr>
        <w:t xml:space="preserve"> JM. Diagnosis, treatment and prophylaxis of spontaneous bacterial peritonitis: a consensus document. </w:t>
      </w:r>
      <w:proofErr w:type="gramStart"/>
      <w:r w:rsidRPr="00E8209B">
        <w:rPr>
          <w:rFonts w:ascii="Book Antiqua" w:hAnsi="Book Antiqua" w:cs="宋体"/>
          <w:lang w:eastAsia="zh-CN"/>
        </w:rPr>
        <w:t>International Ascites Club.</w:t>
      </w:r>
      <w:proofErr w:type="gramEnd"/>
      <w:r w:rsidRPr="00E8209B">
        <w:rPr>
          <w:rFonts w:ascii="Book Antiqua" w:hAnsi="Book Antiqua" w:cs="宋体"/>
          <w:lang w:eastAsia="zh-CN"/>
        </w:rPr>
        <w:t xml:space="preserve"> </w:t>
      </w:r>
      <w:r w:rsidRPr="00E8209B">
        <w:rPr>
          <w:rFonts w:ascii="Book Antiqua" w:hAnsi="Book Antiqua" w:cs="宋体"/>
          <w:i/>
          <w:iCs/>
          <w:lang w:eastAsia="zh-CN"/>
        </w:rPr>
        <w:t xml:space="preserve">J </w:t>
      </w:r>
      <w:proofErr w:type="spellStart"/>
      <w:r w:rsidRPr="00E8209B">
        <w:rPr>
          <w:rFonts w:ascii="Book Antiqua" w:hAnsi="Book Antiqua" w:cs="宋体"/>
          <w:i/>
          <w:iCs/>
          <w:lang w:eastAsia="zh-CN"/>
        </w:rPr>
        <w:t>Hepatol</w:t>
      </w:r>
      <w:proofErr w:type="spellEnd"/>
      <w:r w:rsidRPr="00E8209B">
        <w:rPr>
          <w:rFonts w:ascii="Book Antiqua" w:hAnsi="Book Antiqua" w:cs="宋体"/>
          <w:lang w:eastAsia="zh-CN"/>
        </w:rPr>
        <w:t xml:space="preserve"> 2000; </w:t>
      </w:r>
      <w:r w:rsidRPr="00E8209B">
        <w:rPr>
          <w:rFonts w:ascii="Book Antiqua" w:hAnsi="Book Antiqua" w:cs="宋体"/>
          <w:b/>
          <w:bCs/>
          <w:lang w:eastAsia="zh-CN"/>
        </w:rPr>
        <w:t>32</w:t>
      </w:r>
      <w:r w:rsidRPr="00E8209B">
        <w:rPr>
          <w:rFonts w:ascii="Book Antiqua" w:hAnsi="Book Antiqua" w:cs="宋体"/>
          <w:lang w:eastAsia="zh-CN"/>
        </w:rPr>
        <w:t>: 142-153 [PMID: 10673079]</w:t>
      </w:r>
    </w:p>
    <w:p w14:paraId="72C2E15D" w14:textId="59372E1D" w:rsidR="00E8209B" w:rsidRPr="00E8209B" w:rsidRDefault="00E8209B" w:rsidP="00E8209B">
      <w:pPr>
        <w:spacing w:line="360" w:lineRule="auto"/>
        <w:jc w:val="both"/>
        <w:rPr>
          <w:rFonts w:ascii="Book Antiqua" w:hAnsi="Book Antiqua" w:cs="宋体"/>
          <w:lang w:eastAsia="zh-CN"/>
        </w:rPr>
      </w:pPr>
      <w:proofErr w:type="gramStart"/>
      <w:r w:rsidRPr="00E8209B">
        <w:rPr>
          <w:rFonts w:ascii="Book Antiqua" w:hAnsi="Book Antiqua" w:cs="宋体"/>
          <w:lang w:eastAsia="zh-CN"/>
        </w:rPr>
        <w:lastRenderedPageBreak/>
        <w:t xml:space="preserve">10 </w:t>
      </w:r>
      <w:r w:rsidRPr="00E8209B">
        <w:rPr>
          <w:rFonts w:ascii="Book Antiqua" w:hAnsi="Book Antiqua" w:cs="宋体"/>
          <w:b/>
          <w:bCs/>
          <w:lang w:eastAsia="zh-CN"/>
        </w:rPr>
        <w:t>Sun HY</w:t>
      </w:r>
      <w:r w:rsidRPr="00E8209B">
        <w:rPr>
          <w:rFonts w:ascii="Book Antiqua" w:hAnsi="Book Antiqua" w:cs="宋体"/>
          <w:lang w:eastAsia="zh-CN"/>
        </w:rPr>
        <w:t xml:space="preserve">, </w:t>
      </w:r>
      <w:proofErr w:type="spellStart"/>
      <w:r w:rsidRPr="00E8209B">
        <w:rPr>
          <w:rFonts w:ascii="Book Antiqua" w:hAnsi="Book Antiqua" w:cs="宋体"/>
          <w:lang w:eastAsia="zh-CN"/>
        </w:rPr>
        <w:t>Cacciarelli</w:t>
      </w:r>
      <w:proofErr w:type="spellEnd"/>
      <w:r w:rsidRPr="00E8209B">
        <w:rPr>
          <w:rFonts w:ascii="Book Antiqua" w:hAnsi="Book Antiqua" w:cs="宋体"/>
          <w:lang w:eastAsia="zh-CN"/>
        </w:rPr>
        <w:t xml:space="preserve"> TV, Singh N. Impact of </w:t>
      </w:r>
      <w:proofErr w:type="spellStart"/>
      <w:r w:rsidRPr="00E8209B">
        <w:rPr>
          <w:rFonts w:ascii="Book Antiqua" w:hAnsi="Book Antiqua" w:cs="宋体"/>
          <w:lang w:eastAsia="zh-CN"/>
        </w:rPr>
        <w:t>pretransplant</w:t>
      </w:r>
      <w:proofErr w:type="spellEnd"/>
      <w:r w:rsidRPr="00E8209B">
        <w:rPr>
          <w:rFonts w:ascii="Book Antiqua" w:hAnsi="Book Antiqua" w:cs="宋体"/>
          <w:lang w:eastAsia="zh-CN"/>
        </w:rPr>
        <w:t xml:space="preserve"> infections on clinical outcomes of liver transplant recipients.</w:t>
      </w:r>
      <w:proofErr w:type="gramEnd"/>
      <w:r w:rsidRPr="00E8209B">
        <w:rPr>
          <w:rFonts w:ascii="Book Antiqua" w:hAnsi="Book Antiqua" w:cs="宋体"/>
          <w:lang w:eastAsia="zh-CN"/>
        </w:rPr>
        <w:t xml:space="preserve"> </w:t>
      </w:r>
      <w:r w:rsidRPr="00E8209B">
        <w:rPr>
          <w:rFonts w:ascii="Book Antiqua" w:hAnsi="Book Antiqua" w:cs="宋体"/>
          <w:i/>
          <w:iCs/>
          <w:lang w:eastAsia="zh-CN"/>
        </w:rPr>
        <w:t xml:space="preserve">Liver </w:t>
      </w:r>
      <w:proofErr w:type="spellStart"/>
      <w:r w:rsidRPr="00E8209B">
        <w:rPr>
          <w:rFonts w:ascii="Book Antiqua" w:hAnsi="Book Antiqua" w:cs="宋体"/>
          <w:i/>
          <w:iCs/>
          <w:lang w:eastAsia="zh-CN"/>
        </w:rPr>
        <w:t>Transpl</w:t>
      </w:r>
      <w:proofErr w:type="spellEnd"/>
      <w:r w:rsidRPr="00E8209B">
        <w:rPr>
          <w:rFonts w:ascii="Book Antiqua" w:hAnsi="Book Antiqua" w:cs="宋体"/>
          <w:lang w:eastAsia="zh-CN"/>
        </w:rPr>
        <w:t xml:space="preserve"> 2010; </w:t>
      </w:r>
      <w:r w:rsidRPr="00E8209B">
        <w:rPr>
          <w:rFonts w:ascii="Book Antiqua" w:hAnsi="Book Antiqua" w:cs="宋体"/>
          <w:b/>
          <w:bCs/>
          <w:lang w:eastAsia="zh-CN"/>
        </w:rPr>
        <w:t>16</w:t>
      </w:r>
      <w:r w:rsidRPr="00E8209B">
        <w:rPr>
          <w:rFonts w:ascii="Book Antiqua" w:hAnsi="Book Antiqua" w:cs="宋体"/>
          <w:lang w:eastAsia="zh-CN"/>
        </w:rPr>
        <w:t>: 222-228 [PMID:</w:t>
      </w:r>
      <w:r>
        <w:rPr>
          <w:rFonts w:ascii="Book Antiqua" w:hAnsi="Book Antiqua" w:cs="宋体"/>
          <w:lang w:eastAsia="zh-CN"/>
        </w:rPr>
        <w:t xml:space="preserve"> 20104499 DOI: 10.1002/lt.21982</w:t>
      </w:r>
      <w:r w:rsidRPr="00E8209B">
        <w:rPr>
          <w:rFonts w:ascii="Book Antiqua" w:hAnsi="Book Antiqua" w:cs="宋体"/>
          <w:lang w:eastAsia="zh-CN"/>
        </w:rPr>
        <w:t>]</w:t>
      </w:r>
    </w:p>
    <w:p w14:paraId="394C990F" w14:textId="1854A4F5"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11 </w:t>
      </w:r>
      <w:proofErr w:type="spellStart"/>
      <w:r w:rsidRPr="00E8209B">
        <w:rPr>
          <w:rFonts w:ascii="Book Antiqua" w:hAnsi="Book Antiqua" w:cs="宋体"/>
          <w:b/>
          <w:bCs/>
          <w:lang w:eastAsia="zh-CN"/>
        </w:rPr>
        <w:t>Mounzer</w:t>
      </w:r>
      <w:proofErr w:type="spellEnd"/>
      <w:r w:rsidRPr="00E8209B">
        <w:rPr>
          <w:rFonts w:ascii="Book Antiqua" w:hAnsi="Book Antiqua" w:cs="宋体"/>
          <w:b/>
          <w:bCs/>
          <w:lang w:eastAsia="zh-CN"/>
        </w:rPr>
        <w:t xml:space="preserve"> R</w:t>
      </w:r>
      <w:r w:rsidRPr="00E8209B">
        <w:rPr>
          <w:rFonts w:ascii="Book Antiqua" w:hAnsi="Book Antiqua" w:cs="宋体"/>
          <w:lang w:eastAsia="zh-CN"/>
        </w:rPr>
        <w:t xml:space="preserve">, Malik SM, Nasr J, </w:t>
      </w:r>
      <w:proofErr w:type="spellStart"/>
      <w:r w:rsidRPr="00E8209B">
        <w:rPr>
          <w:rFonts w:ascii="Book Antiqua" w:hAnsi="Book Antiqua" w:cs="宋体"/>
          <w:lang w:eastAsia="zh-CN"/>
        </w:rPr>
        <w:t>Madani</w:t>
      </w:r>
      <w:proofErr w:type="spellEnd"/>
      <w:r w:rsidRPr="00E8209B">
        <w:rPr>
          <w:rFonts w:ascii="Book Antiqua" w:hAnsi="Book Antiqua" w:cs="宋体"/>
          <w:lang w:eastAsia="zh-CN"/>
        </w:rPr>
        <w:t xml:space="preserve"> B, </w:t>
      </w:r>
      <w:proofErr w:type="spellStart"/>
      <w:r w:rsidRPr="00E8209B">
        <w:rPr>
          <w:rFonts w:ascii="Book Antiqua" w:hAnsi="Book Antiqua" w:cs="宋体"/>
          <w:lang w:eastAsia="zh-CN"/>
        </w:rPr>
        <w:t>Devera</w:t>
      </w:r>
      <w:proofErr w:type="spellEnd"/>
      <w:r w:rsidRPr="00E8209B">
        <w:rPr>
          <w:rFonts w:ascii="Book Antiqua" w:hAnsi="Book Antiqua" w:cs="宋体"/>
          <w:lang w:eastAsia="zh-CN"/>
        </w:rPr>
        <w:t xml:space="preserve"> ME, Ahmad J. Spontaneous bacterial peritonitis before liver transplantation does not affect patient survival. </w:t>
      </w:r>
      <w:proofErr w:type="spellStart"/>
      <w:r w:rsidRPr="00E8209B">
        <w:rPr>
          <w:rFonts w:ascii="Book Antiqua" w:hAnsi="Book Antiqua" w:cs="宋体"/>
          <w:i/>
          <w:iCs/>
          <w:lang w:eastAsia="zh-CN"/>
        </w:rPr>
        <w:t>Clin</w:t>
      </w:r>
      <w:proofErr w:type="spellEnd"/>
      <w:r w:rsidRPr="00E8209B">
        <w:rPr>
          <w:rFonts w:ascii="Book Antiqua" w:hAnsi="Book Antiqua" w:cs="宋体"/>
          <w:i/>
          <w:iCs/>
          <w:lang w:eastAsia="zh-CN"/>
        </w:rPr>
        <w:t xml:space="preserve"> </w:t>
      </w:r>
      <w:proofErr w:type="spellStart"/>
      <w:r w:rsidRPr="00E8209B">
        <w:rPr>
          <w:rFonts w:ascii="Book Antiqua" w:hAnsi="Book Antiqua" w:cs="宋体"/>
          <w:i/>
          <w:iCs/>
          <w:lang w:eastAsia="zh-CN"/>
        </w:rPr>
        <w:t>Gastroenterol</w:t>
      </w:r>
      <w:proofErr w:type="spellEnd"/>
      <w:r w:rsidRPr="00E8209B">
        <w:rPr>
          <w:rFonts w:ascii="Book Antiqua" w:hAnsi="Book Antiqua" w:cs="宋体"/>
          <w:i/>
          <w:iCs/>
          <w:lang w:eastAsia="zh-CN"/>
        </w:rPr>
        <w:t xml:space="preserve"> </w:t>
      </w:r>
      <w:proofErr w:type="spellStart"/>
      <w:r w:rsidRPr="00E8209B">
        <w:rPr>
          <w:rFonts w:ascii="Book Antiqua" w:hAnsi="Book Antiqua" w:cs="宋体"/>
          <w:i/>
          <w:iCs/>
          <w:lang w:eastAsia="zh-CN"/>
        </w:rPr>
        <w:t>Hepatol</w:t>
      </w:r>
      <w:proofErr w:type="spellEnd"/>
      <w:r w:rsidRPr="00E8209B">
        <w:rPr>
          <w:rFonts w:ascii="Book Antiqua" w:hAnsi="Book Antiqua" w:cs="宋体"/>
          <w:lang w:eastAsia="zh-CN"/>
        </w:rPr>
        <w:t xml:space="preserve"> 2010; </w:t>
      </w:r>
      <w:r w:rsidRPr="00E8209B">
        <w:rPr>
          <w:rFonts w:ascii="Book Antiqua" w:hAnsi="Book Antiqua" w:cs="宋体"/>
          <w:b/>
          <w:bCs/>
          <w:lang w:eastAsia="zh-CN"/>
        </w:rPr>
        <w:t>8</w:t>
      </w:r>
      <w:r w:rsidRPr="00E8209B">
        <w:rPr>
          <w:rFonts w:ascii="Book Antiqua" w:hAnsi="Book Antiqua" w:cs="宋体"/>
          <w:lang w:eastAsia="zh-CN"/>
        </w:rPr>
        <w:t>: 623-628.e1 [PMID: 20417723</w:t>
      </w:r>
      <w:r>
        <w:rPr>
          <w:rFonts w:ascii="Book Antiqua" w:hAnsi="Book Antiqua" w:cs="宋体"/>
          <w:lang w:eastAsia="zh-CN"/>
        </w:rPr>
        <w:t xml:space="preserve"> DOI: 10.1016/j.cgh.2010.04.013</w:t>
      </w:r>
      <w:r w:rsidRPr="00E8209B">
        <w:rPr>
          <w:rFonts w:ascii="Book Antiqua" w:hAnsi="Book Antiqua" w:cs="宋体"/>
          <w:lang w:eastAsia="zh-CN"/>
        </w:rPr>
        <w:t>]</w:t>
      </w:r>
    </w:p>
    <w:p w14:paraId="4A989A0F" w14:textId="452C684C"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12 </w:t>
      </w:r>
      <w:r w:rsidRPr="00E8209B">
        <w:rPr>
          <w:rFonts w:ascii="Book Antiqua" w:hAnsi="Book Antiqua" w:cs="宋体"/>
          <w:b/>
          <w:bCs/>
          <w:lang w:eastAsia="zh-CN"/>
        </w:rPr>
        <w:t>Gillespie BW</w:t>
      </w:r>
      <w:r w:rsidRPr="00E8209B">
        <w:rPr>
          <w:rFonts w:ascii="Book Antiqua" w:hAnsi="Book Antiqua" w:cs="宋体"/>
          <w:lang w:eastAsia="zh-CN"/>
        </w:rPr>
        <w:t xml:space="preserve">, Merion RM, Ortiz-Rios E, Tong L, </w:t>
      </w:r>
      <w:proofErr w:type="spellStart"/>
      <w:r w:rsidRPr="00E8209B">
        <w:rPr>
          <w:rFonts w:ascii="Book Antiqua" w:hAnsi="Book Antiqua" w:cs="宋体"/>
          <w:lang w:eastAsia="zh-CN"/>
        </w:rPr>
        <w:t>Shaked</w:t>
      </w:r>
      <w:proofErr w:type="spellEnd"/>
      <w:r w:rsidRPr="00E8209B">
        <w:rPr>
          <w:rFonts w:ascii="Book Antiqua" w:hAnsi="Book Antiqua" w:cs="宋体"/>
          <w:lang w:eastAsia="zh-CN"/>
        </w:rPr>
        <w:t xml:space="preserve"> A, Brown RS, </w:t>
      </w:r>
      <w:proofErr w:type="spellStart"/>
      <w:r w:rsidRPr="00E8209B">
        <w:rPr>
          <w:rFonts w:ascii="Book Antiqua" w:hAnsi="Book Antiqua" w:cs="宋体"/>
          <w:lang w:eastAsia="zh-CN"/>
        </w:rPr>
        <w:t>Ojo</w:t>
      </w:r>
      <w:proofErr w:type="spellEnd"/>
      <w:r w:rsidRPr="00E8209B">
        <w:rPr>
          <w:rFonts w:ascii="Book Antiqua" w:hAnsi="Book Antiqua" w:cs="宋体"/>
          <w:lang w:eastAsia="zh-CN"/>
        </w:rPr>
        <w:t xml:space="preserve"> AO, Hayashi PH, Berg CL, </w:t>
      </w:r>
      <w:proofErr w:type="spellStart"/>
      <w:r w:rsidRPr="00E8209B">
        <w:rPr>
          <w:rFonts w:ascii="Book Antiqua" w:hAnsi="Book Antiqua" w:cs="宋体"/>
          <w:lang w:eastAsia="zh-CN"/>
        </w:rPr>
        <w:t>Abecassis</w:t>
      </w:r>
      <w:proofErr w:type="spellEnd"/>
      <w:r w:rsidRPr="00E8209B">
        <w:rPr>
          <w:rFonts w:ascii="Book Antiqua" w:hAnsi="Book Antiqua" w:cs="宋体"/>
          <w:lang w:eastAsia="zh-CN"/>
        </w:rPr>
        <w:t xml:space="preserve"> MM, Ashworth AS, </w:t>
      </w:r>
      <w:proofErr w:type="spellStart"/>
      <w:r w:rsidRPr="00E8209B">
        <w:rPr>
          <w:rFonts w:ascii="Book Antiqua" w:hAnsi="Book Antiqua" w:cs="宋体"/>
          <w:lang w:eastAsia="zh-CN"/>
        </w:rPr>
        <w:t>Friese</w:t>
      </w:r>
      <w:proofErr w:type="spellEnd"/>
      <w:r w:rsidRPr="00E8209B">
        <w:rPr>
          <w:rFonts w:ascii="Book Antiqua" w:hAnsi="Book Antiqua" w:cs="宋体"/>
          <w:lang w:eastAsia="zh-CN"/>
        </w:rPr>
        <w:t xml:space="preserve"> CE, Hong JC, Trotter JF, Everhart JE. </w:t>
      </w:r>
      <w:proofErr w:type="gramStart"/>
      <w:r w:rsidRPr="00E8209B">
        <w:rPr>
          <w:rFonts w:ascii="Book Antiqua" w:hAnsi="Book Antiqua" w:cs="宋体"/>
          <w:lang w:eastAsia="zh-CN"/>
        </w:rPr>
        <w:t>Database comparison of the adult-to-adult living donor liver transplantation cohort study (A2ALL) and the SRTR U.S. Transplant Registry.</w:t>
      </w:r>
      <w:proofErr w:type="gramEnd"/>
      <w:r w:rsidRPr="00E8209B">
        <w:rPr>
          <w:rFonts w:ascii="Book Antiqua" w:hAnsi="Book Antiqua" w:cs="宋体"/>
          <w:lang w:eastAsia="zh-CN"/>
        </w:rPr>
        <w:t xml:space="preserve"> </w:t>
      </w:r>
      <w:r w:rsidRPr="00E8209B">
        <w:rPr>
          <w:rFonts w:ascii="Book Antiqua" w:hAnsi="Book Antiqua" w:cs="宋体"/>
          <w:i/>
          <w:iCs/>
          <w:lang w:eastAsia="zh-CN"/>
        </w:rPr>
        <w:t>Am J Transplant</w:t>
      </w:r>
      <w:r w:rsidRPr="00E8209B">
        <w:rPr>
          <w:rFonts w:ascii="Book Antiqua" w:hAnsi="Book Antiqua" w:cs="宋体"/>
          <w:lang w:eastAsia="zh-CN"/>
        </w:rPr>
        <w:t xml:space="preserve"> 2010; </w:t>
      </w:r>
      <w:r w:rsidRPr="00E8209B">
        <w:rPr>
          <w:rFonts w:ascii="Book Antiqua" w:hAnsi="Book Antiqua" w:cs="宋体"/>
          <w:b/>
          <w:bCs/>
          <w:lang w:eastAsia="zh-CN"/>
        </w:rPr>
        <w:t>10</w:t>
      </w:r>
      <w:r w:rsidRPr="00E8209B">
        <w:rPr>
          <w:rFonts w:ascii="Book Antiqua" w:hAnsi="Book Antiqua" w:cs="宋体"/>
          <w:lang w:eastAsia="zh-CN"/>
        </w:rPr>
        <w:t>: 1621-1633 [PMID: 20199501 DOI: 1</w:t>
      </w:r>
      <w:r>
        <w:rPr>
          <w:rFonts w:ascii="Book Antiqua" w:hAnsi="Book Antiqua" w:cs="宋体"/>
          <w:lang w:eastAsia="zh-CN"/>
        </w:rPr>
        <w:t>0.1111/j.1600-6143.2010.03039.x</w:t>
      </w:r>
      <w:r w:rsidRPr="00E8209B">
        <w:rPr>
          <w:rFonts w:ascii="Book Antiqua" w:hAnsi="Book Antiqua" w:cs="宋体"/>
          <w:lang w:eastAsia="zh-CN"/>
        </w:rPr>
        <w:t>]</w:t>
      </w:r>
    </w:p>
    <w:p w14:paraId="5B5B0179" w14:textId="3A52AFF7"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13 </w:t>
      </w:r>
      <w:r w:rsidRPr="00E8209B">
        <w:rPr>
          <w:rFonts w:ascii="Book Antiqua" w:hAnsi="Book Antiqua" w:cs="宋体"/>
          <w:b/>
          <w:bCs/>
          <w:lang w:eastAsia="zh-CN"/>
        </w:rPr>
        <w:t>Russo FP</w:t>
      </w:r>
      <w:r w:rsidRPr="00E8209B">
        <w:rPr>
          <w:rFonts w:ascii="Book Antiqua" w:hAnsi="Book Antiqua" w:cs="宋体"/>
          <w:lang w:eastAsia="zh-CN"/>
        </w:rPr>
        <w:t xml:space="preserve">, </w:t>
      </w:r>
      <w:proofErr w:type="spellStart"/>
      <w:r w:rsidRPr="00E8209B">
        <w:rPr>
          <w:rFonts w:ascii="Book Antiqua" w:hAnsi="Book Antiqua" w:cs="宋体"/>
          <w:lang w:eastAsia="zh-CN"/>
        </w:rPr>
        <w:t>Zanetto</w:t>
      </w:r>
      <w:proofErr w:type="spellEnd"/>
      <w:r w:rsidRPr="00E8209B">
        <w:rPr>
          <w:rFonts w:ascii="Book Antiqua" w:hAnsi="Book Antiqua" w:cs="宋体"/>
          <w:lang w:eastAsia="zh-CN"/>
        </w:rPr>
        <w:t xml:space="preserve"> A, </w:t>
      </w:r>
      <w:proofErr w:type="spellStart"/>
      <w:r w:rsidRPr="00E8209B">
        <w:rPr>
          <w:rFonts w:ascii="Book Antiqua" w:hAnsi="Book Antiqua" w:cs="宋体"/>
          <w:lang w:eastAsia="zh-CN"/>
        </w:rPr>
        <w:t>Burra</w:t>
      </w:r>
      <w:proofErr w:type="spellEnd"/>
      <w:r w:rsidRPr="00E8209B">
        <w:rPr>
          <w:rFonts w:ascii="Book Antiqua" w:hAnsi="Book Antiqua" w:cs="宋体"/>
          <w:lang w:eastAsia="zh-CN"/>
        </w:rPr>
        <w:t xml:space="preserve"> P. Timing for treatment of HCV recurrence after liver transplantation: the earlier the better. </w:t>
      </w:r>
      <w:proofErr w:type="spellStart"/>
      <w:r w:rsidRPr="00E8209B">
        <w:rPr>
          <w:rFonts w:ascii="Book Antiqua" w:hAnsi="Book Antiqua" w:cs="宋体"/>
          <w:i/>
          <w:iCs/>
          <w:lang w:eastAsia="zh-CN"/>
        </w:rPr>
        <w:t>Transpl</w:t>
      </w:r>
      <w:proofErr w:type="spellEnd"/>
      <w:r w:rsidRPr="00E8209B">
        <w:rPr>
          <w:rFonts w:ascii="Book Antiqua" w:hAnsi="Book Antiqua" w:cs="宋体"/>
          <w:i/>
          <w:iCs/>
          <w:lang w:eastAsia="zh-CN"/>
        </w:rPr>
        <w:t xml:space="preserve"> </w:t>
      </w:r>
      <w:proofErr w:type="spellStart"/>
      <w:r w:rsidRPr="00E8209B">
        <w:rPr>
          <w:rFonts w:ascii="Book Antiqua" w:hAnsi="Book Antiqua" w:cs="宋体"/>
          <w:i/>
          <w:iCs/>
          <w:lang w:eastAsia="zh-CN"/>
        </w:rPr>
        <w:t>Int</w:t>
      </w:r>
      <w:proofErr w:type="spellEnd"/>
      <w:r w:rsidRPr="00E8209B">
        <w:rPr>
          <w:rFonts w:ascii="Book Antiqua" w:hAnsi="Book Antiqua" w:cs="宋体"/>
          <w:lang w:eastAsia="zh-CN"/>
        </w:rPr>
        <w:t xml:space="preserve"> 2016; </w:t>
      </w:r>
      <w:r w:rsidRPr="00E8209B">
        <w:rPr>
          <w:rFonts w:ascii="Book Antiqua" w:hAnsi="Book Antiqua" w:cs="宋体"/>
          <w:b/>
          <w:bCs/>
          <w:lang w:eastAsia="zh-CN"/>
        </w:rPr>
        <w:t>29</w:t>
      </w:r>
      <w:r w:rsidRPr="00E8209B">
        <w:rPr>
          <w:rFonts w:ascii="Book Antiqua" w:hAnsi="Book Antiqua" w:cs="宋体"/>
          <w:lang w:eastAsia="zh-CN"/>
        </w:rPr>
        <w:t xml:space="preserve">: 694-697 [PMID: </w:t>
      </w:r>
      <w:r>
        <w:rPr>
          <w:rFonts w:ascii="Book Antiqua" w:hAnsi="Book Antiqua" w:cs="宋体"/>
          <w:lang w:eastAsia="zh-CN"/>
        </w:rPr>
        <w:t>26713429 DOI: 10.1111/tri.12739</w:t>
      </w:r>
      <w:r w:rsidRPr="00E8209B">
        <w:rPr>
          <w:rFonts w:ascii="Book Antiqua" w:hAnsi="Book Antiqua" w:cs="宋体"/>
          <w:lang w:eastAsia="zh-CN"/>
        </w:rPr>
        <w:t>]</w:t>
      </w:r>
    </w:p>
    <w:p w14:paraId="4D54587F" w14:textId="77777777"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14 </w:t>
      </w:r>
      <w:proofErr w:type="spellStart"/>
      <w:r w:rsidRPr="00E8209B">
        <w:rPr>
          <w:rFonts w:ascii="Book Antiqua" w:hAnsi="Book Antiqua" w:cs="宋体"/>
          <w:b/>
          <w:bCs/>
          <w:lang w:eastAsia="zh-CN"/>
        </w:rPr>
        <w:t>Suraweera</w:t>
      </w:r>
      <w:proofErr w:type="spellEnd"/>
      <w:r w:rsidRPr="00E8209B">
        <w:rPr>
          <w:rFonts w:ascii="Book Antiqua" w:hAnsi="Book Antiqua" w:cs="宋体"/>
          <w:b/>
          <w:bCs/>
          <w:lang w:eastAsia="zh-CN"/>
        </w:rPr>
        <w:t xml:space="preserve"> D</w:t>
      </w:r>
      <w:r w:rsidRPr="00E8209B">
        <w:rPr>
          <w:rFonts w:ascii="Book Antiqua" w:hAnsi="Book Antiqua" w:cs="宋体"/>
          <w:lang w:eastAsia="zh-CN"/>
        </w:rPr>
        <w:t xml:space="preserve">, Saab EG, Tong MJ, Saab S. Timing of Hepatitis C Antiviral Therapy in Liver Transplant Recipients With Direct-acting Agents. </w:t>
      </w:r>
      <w:proofErr w:type="spellStart"/>
      <w:r w:rsidRPr="00E8209B">
        <w:rPr>
          <w:rFonts w:ascii="Book Antiqua" w:hAnsi="Book Antiqua" w:cs="宋体"/>
          <w:i/>
          <w:iCs/>
          <w:lang w:eastAsia="zh-CN"/>
        </w:rPr>
        <w:t>Exp</w:t>
      </w:r>
      <w:proofErr w:type="spellEnd"/>
      <w:r w:rsidRPr="00E8209B">
        <w:rPr>
          <w:rFonts w:ascii="Book Antiqua" w:hAnsi="Book Antiqua" w:cs="宋体"/>
          <w:i/>
          <w:iCs/>
          <w:lang w:eastAsia="zh-CN"/>
        </w:rPr>
        <w:t xml:space="preserve"> </w:t>
      </w:r>
      <w:proofErr w:type="spellStart"/>
      <w:r w:rsidRPr="00E8209B">
        <w:rPr>
          <w:rFonts w:ascii="Book Antiqua" w:hAnsi="Book Antiqua" w:cs="宋体"/>
          <w:i/>
          <w:iCs/>
          <w:lang w:eastAsia="zh-CN"/>
        </w:rPr>
        <w:t>Clin</w:t>
      </w:r>
      <w:proofErr w:type="spellEnd"/>
      <w:r w:rsidRPr="00E8209B">
        <w:rPr>
          <w:rFonts w:ascii="Book Antiqua" w:hAnsi="Book Antiqua" w:cs="宋体"/>
          <w:i/>
          <w:iCs/>
          <w:lang w:eastAsia="zh-CN"/>
        </w:rPr>
        <w:t xml:space="preserve"> Transplant</w:t>
      </w:r>
      <w:r w:rsidRPr="00E8209B">
        <w:rPr>
          <w:rFonts w:ascii="Book Antiqua" w:hAnsi="Book Antiqua" w:cs="宋体"/>
          <w:lang w:eastAsia="zh-CN"/>
        </w:rPr>
        <w:t xml:space="preserve"> 2016; </w:t>
      </w:r>
      <w:r w:rsidRPr="00E8209B">
        <w:rPr>
          <w:rFonts w:ascii="Book Antiqua" w:hAnsi="Book Antiqua" w:cs="宋体"/>
          <w:b/>
          <w:bCs/>
          <w:lang w:eastAsia="zh-CN"/>
        </w:rPr>
        <w:t>14</w:t>
      </w:r>
      <w:r w:rsidRPr="00E8209B">
        <w:rPr>
          <w:rFonts w:ascii="Book Antiqua" w:hAnsi="Book Antiqua" w:cs="宋体"/>
          <w:lang w:eastAsia="zh-CN"/>
        </w:rPr>
        <w:t>: 243-251 [PMID: 27221717]</w:t>
      </w:r>
    </w:p>
    <w:p w14:paraId="37D3DC4D" w14:textId="48DEF1B6" w:rsidR="00E8209B" w:rsidRPr="00E8209B" w:rsidRDefault="00E8209B" w:rsidP="00E8209B">
      <w:pPr>
        <w:spacing w:line="360" w:lineRule="auto"/>
        <w:jc w:val="both"/>
        <w:rPr>
          <w:rFonts w:ascii="Book Antiqua" w:hAnsi="Book Antiqua" w:cs="宋体"/>
          <w:lang w:eastAsia="zh-CN"/>
        </w:rPr>
      </w:pPr>
      <w:proofErr w:type="gramStart"/>
      <w:r w:rsidRPr="00E8209B">
        <w:rPr>
          <w:rFonts w:ascii="Book Antiqua" w:hAnsi="Book Antiqua" w:cs="宋体"/>
          <w:lang w:eastAsia="zh-CN"/>
        </w:rPr>
        <w:t xml:space="preserve">15 </w:t>
      </w:r>
      <w:r w:rsidRPr="00E8209B">
        <w:rPr>
          <w:rFonts w:ascii="Book Antiqua" w:hAnsi="Book Antiqua" w:cs="宋体"/>
          <w:b/>
          <w:bCs/>
          <w:lang w:eastAsia="zh-CN"/>
        </w:rPr>
        <w:t>Carrion AF</w:t>
      </w:r>
      <w:proofErr w:type="gramEnd"/>
      <w:r w:rsidRPr="00E8209B">
        <w:rPr>
          <w:rFonts w:ascii="Book Antiqua" w:hAnsi="Book Antiqua" w:cs="宋体"/>
          <w:lang w:eastAsia="zh-CN"/>
        </w:rPr>
        <w:t xml:space="preserve">, </w:t>
      </w:r>
      <w:proofErr w:type="spellStart"/>
      <w:r w:rsidRPr="00E8209B">
        <w:rPr>
          <w:rFonts w:ascii="Book Antiqua" w:hAnsi="Book Antiqua" w:cs="宋体"/>
          <w:lang w:eastAsia="zh-CN"/>
        </w:rPr>
        <w:t>Khaderi</w:t>
      </w:r>
      <w:proofErr w:type="spellEnd"/>
      <w:r w:rsidRPr="00E8209B">
        <w:rPr>
          <w:rFonts w:ascii="Book Antiqua" w:hAnsi="Book Antiqua" w:cs="宋体"/>
          <w:lang w:eastAsia="zh-CN"/>
        </w:rPr>
        <w:t xml:space="preserve"> SA, </w:t>
      </w:r>
      <w:proofErr w:type="spellStart"/>
      <w:r w:rsidRPr="00E8209B">
        <w:rPr>
          <w:rFonts w:ascii="Book Antiqua" w:hAnsi="Book Antiqua" w:cs="宋体"/>
          <w:lang w:eastAsia="zh-CN"/>
        </w:rPr>
        <w:t>Sussman</w:t>
      </w:r>
      <w:proofErr w:type="spellEnd"/>
      <w:r w:rsidRPr="00E8209B">
        <w:rPr>
          <w:rFonts w:ascii="Book Antiqua" w:hAnsi="Book Antiqua" w:cs="宋体"/>
          <w:lang w:eastAsia="zh-CN"/>
        </w:rPr>
        <w:t xml:space="preserve"> NL. </w:t>
      </w:r>
      <w:proofErr w:type="gramStart"/>
      <w:r w:rsidRPr="00E8209B">
        <w:rPr>
          <w:rFonts w:ascii="Book Antiqua" w:hAnsi="Book Antiqua" w:cs="宋体"/>
          <w:lang w:eastAsia="zh-CN"/>
        </w:rPr>
        <w:t>Model for end-stage liver disease limbo, model for end-stage liver disease purgatory, and the dilemma of treating hepatitis C in patients awaiting liver transplantation.</w:t>
      </w:r>
      <w:proofErr w:type="gramEnd"/>
      <w:r w:rsidRPr="00E8209B">
        <w:rPr>
          <w:rFonts w:ascii="Book Antiqua" w:hAnsi="Book Antiqua" w:cs="宋体"/>
          <w:lang w:eastAsia="zh-CN"/>
        </w:rPr>
        <w:t xml:space="preserve"> </w:t>
      </w:r>
      <w:r w:rsidRPr="00E8209B">
        <w:rPr>
          <w:rFonts w:ascii="Book Antiqua" w:hAnsi="Book Antiqua" w:cs="宋体"/>
          <w:i/>
          <w:iCs/>
          <w:lang w:eastAsia="zh-CN"/>
        </w:rPr>
        <w:t xml:space="preserve">Liver </w:t>
      </w:r>
      <w:proofErr w:type="spellStart"/>
      <w:r w:rsidRPr="00E8209B">
        <w:rPr>
          <w:rFonts w:ascii="Book Antiqua" w:hAnsi="Book Antiqua" w:cs="宋体"/>
          <w:i/>
          <w:iCs/>
          <w:lang w:eastAsia="zh-CN"/>
        </w:rPr>
        <w:t>Transpl</w:t>
      </w:r>
      <w:proofErr w:type="spellEnd"/>
      <w:r w:rsidRPr="00E8209B">
        <w:rPr>
          <w:rFonts w:ascii="Book Antiqua" w:hAnsi="Book Antiqua" w:cs="宋体"/>
          <w:lang w:eastAsia="zh-CN"/>
        </w:rPr>
        <w:t xml:space="preserve"> 2016; </w:t>
      </w:r>
      <w:r w:rsidRPr="00E8209B">
        <w:rPr>
          <w:rFonts w:ascii="Book Antiqua" w:hAnsi="Book Antiqua" w:cs="宋体"/>
          <w:b/>
          <w:bCs/>
          <w:lang w:eastAsia="zh-CN"/>
        </w:rPr>
        <w:t>22</w:t>
      </w:r>
      <w:r w:rsidRPr="00E8209B">
        <w:rPr>
          <w:rFonts w:ascii="Book Antiqua" w:hAnsi="Book Antiqua" w:cs="宋体"/>
          <w:lang w:eastAsia="zh-CN"/>
        </w:rPr>
        <w:t>: 279-280 [PMID:</w:t>
      </w:r>
      <w:r>
        <w:rPr>
          <w:rFonts w:ascii="Book Antiqua" w:hAnsi="Book Antiqua" w:cs="宋体"/>
          <w:lang w:eastAsia="zh-CN"/>
        </w:rPr>
        <w:t xml:space="preserve"> 26663608 DOI: 10.1002/lt.24383</w:t>
      </w:r>
      <w:r w:rsidRPr="00E8209B">
        <w:rPr>
          <w:rFonts w:ascii="Book Antiqua" w:hAnsi="Book Antiqua" w:cs="宋体"/>
          <w:lang w:eastAsia="zh-CN"/>
        </w:rPr>
        <w:t>]</w:t>
      </w:r>
    </w:p>
    <w:p w14:paraId="55B7397B" w14:textId="0DEC26EF" w:rsidR="00E8209B" w:rsidRPr="00E8209B" w:rsidRDefault="00E8209B" w:rsidP="00E8209B">
      <w:pPr>
        <w:spacing w:line="360" w:lineRule="auto"/>
        <w:jc w:val="both"/>
        <w:rPr>
          <w:rFonts w:ascii="Book Antiqua" w:hAnsi="Book Antiqua" w:cs="宋体"/>
          <w:lang w:eastAsia="zh-CN"/>
        </w:rPr>
      </w:pPr>
      <w:r w:rsidRPr="00E8209B">
        <w:rPr>
          <w:rFonts w:ascii="Book Antiqua" w:hAnsi="Book Antiqua" w:cs="宋体"/>
          <w:lang w:eastAsia="zh-CN"/>
        </w:rPr>
        <w:t xml:space="preserve">16 </w:t>
      </w:r>
      <w:r w:rsidRPr="00E8209B">
        <w:rPr>
          <w:rFonts w:ascii="Book Antiqua" w:hAnsi="Book Antiqua" w:cs="宋体"/>
          <w:b/>
          <w:bCs/>
          <w:lang w:eastAsia="zh-CN"/>
        </w:rPr>
        <w:t>Everson GT</w:t>
      </w:r>
      <w:r w:rsidRPr="00E8209B">
        <w:rPr>
          <w:rFonts w:ascii="Book Antiqua" w:hAnsi="Book Antiqua" w:cs="宋体"/>
          <w:lang w:eastAsia="zh-CN"/>
        </w:rPr>
        <w:t xml:space="preserve">, Trotter J, Forman L, </w:t>
      </w:r>
      <w:proofErr w:type="spellStart"/>
      <w:r w:rsidRPr="00E8209B">
        <w:rPr>
          <w:rFonts w:ascii="Book Antiqua" w:hAnsi="Book Antiqua" w:cs="宋体"/>
          <w:lang w:eastAsia="zh-CN"/>
        </w:rPr>
        <w:t>Kugelmas</w:t>
      </w:r>
      <w:proofErr w:type="spellEnd"/>
      <w:r w:rsidRPr="00E8209B">
        <w:rPr>
          <w:rFonts w:ascii="Book Antiqua" w:hAnsi="Book Antiqua" w:cs="宋体"/>
          <w:lang w:eastAsia="zh-CN"/>
        </w:rPr>
        <w:t xml:space="preserve"> M, </w:t>
      </w:r>
      <w:proofErr w:type="spellStart"/>
      <w:r w:rsidRPr="00E8209B">
        <w:rPr>
          <w:rFonts w:ascii="Book Antiqua" w:hAnsi="Book Antiqua" w:cs="宋体"/>
          <w:lang w:eastAsia="zh-CN"/>
        </w:rPr>
        <w:t>Halprin</w:t>
      </w:r>
      <w:proofErr w:type="spellEnd"/>
      <w:r w:rsidRPr="00E8209B">
        <w:rPr>
          <w:rFonts w:ascii="Book Antiqua" w:hAnsi="Book Antiqua" w:cs="宋体"/>
          <w:lang w:eastAsia="zh-CN"/>
        </w:rPr>
        <w:t xml:space="preserve"> A, Fey B, Ray C. Treatment of advanced hepatitis C with a low accelerating dosage regimen of antiviral therapy. </w:t>
      </w:r>
      <w:proofErr w:type="spellStart"/>
      <w:r w:rsidRPr="00E8209B">
        <w:rPr>
          <w:rFonts w:ascii="Book Antiqua" w:hAnsi="Book Antiqua" w:cs="宋体"/>
          <w:i/>
          <w:iCs/>
          <w:lang w:eastAsia="zh-CN"/>
        </w:rPr>
        <w:t>Hepatology</w:t>
      </w:r>
      <w:proofErr w:type="spellEnd"/>
      <w:r w:rsidRPr="00E8209B">
        <w:rPr>
          <w:rFonts w:ascii="Book Antiqua" w:hAnsi="Book Antiqua" w:cs="宋体"/>
          <w:lang w:eastAsia="zh-CN"/>
        </w:rPr>
        <w:t xml:space="preserve"> 2005; </w:t>
      </w:r>
      <w:r w:rsidRPr="00E8209B">
        <w:rPr>
          <w:rFonts w:ascii="Book Antiqua" w:hAnsi="Book Antiqua" w:cs="宋体"/>
          <w:b/>
          <w:bCs/>
          <w:lang w:eastAsia="zh-CN"/>
        </w:rPr>
        <w:t>42</w:t>
      </w:r>
      <w:r w:rsidRPr="00E8209B">
        <w:rPr>
          <w:rFonts w:ascii="Book Antiqua" w:hAnsi="Book Antiqua" w:cs="宋体"/>
          <w:lang w:eastAsia="zh-CN"/>
        </w:rPr>
        <w:t>: 255-262 [PMID: 16025497 DOI: 10.</w:t>
      </w:r>
      <w:r>
        <w:rPr>
          <w:rFonts w:ascii="Book Antiqua" w:hAnsi="Book Antiqua" w:cs="宋体"/>
          <w:lang w:eastAsia="zh-CN"/>
        </w:rPr>
        <w:t>1002/hep.20793</w:t>
      </w:r>
      <w:r w:rsidRPr="00E8209B">
        <w:rPr>
          <w:rFonts w:ascii="Book Antiqua" w:hAnsi="Book Antiqua" w:cs="宋体"/>
          <w:lang w:eastAsia="zh-CN"/>
        </w:rPr>
        <w:t>]</w:t>
      </w:r>
    </w:p>
    <w:p w14:paraId="712516C5" w14:textId="77777777" w:rsidR="00E8209B" w:rsidRPr="00E8209B" w:rsidRDefault="00E8209B" w:rsidP="00E8209B">
      <w:pPr>
        <w:spacing w:line="360" w:lineRule="auto"/>
        <w:jc w:val="both"/>
        <w:rPr>
          <w:rFonts w:ascii="Book Antiqua" w:hAnsi="Book Antiqua" w:cs="宋体"/>
          <w:lang w:eastAsia="zh-CN"/>
        </w:rPr>
      </w:pPr>
      <w:proofErr w:type="gramStart"/>
      <w:r w:rsidRPr="00E8209B">
        <w:rPr>
          <w:rFonts w:ascii="Book Antiqua" w:hAnsi="Book Antiqua" w:cs="宋体"/>
          <w:lang w:eastAsia="zh-CN"/>
        </w:rPr>
        <w:t xml:space="preserve">17 </w:t>
      </w:r>
      <w:proofErr w:type="spellStart"/>
      <w:r w:rsidRPr="00E8209B">
        <w:rPr>
          <w:rFonts w:ascii="Book Antiqua" w:hAnsi="Book Antiqua" w:cs="宋体"/>
          <w:b/>
          <w:bCs/>
          <w:lang w:eastAsia="zh-CN"/>
        </w:rPr>
        <w:t>Bhat</w:t>
      </w:r>
      <w:proofErr w:type="spellEnd"/>
      <w:r w:rsidRPr="00E8209B">
        <w:rPr>
          <w:rFonts w:ascii="Book Antiqua" w:hAnsi="Book Antiqua" w:cs="宋体"/>
          <w:b/>
          <w:bCs/>
          <w:lang w:eastAsia="zh-CN"/>
        </w:rPr>
        <w:t xml:space="preserve"> I</w:t>
      </w:r>
      <w:r w:rsidRPr="00E8209B">
        <w:rPr>
          <w:rFonts w:ascii="Book Antiqua" w:hAnsi="Book Antiqua" w:cs="宋体"/>
          <w:lang w:eastAsia="zh-CN"/>
        </w:rPr>
        <w:t>, Mukherjee S. Hepatitis C recurrence after liver transplantation.</w:t>
      </w:r>
      <w:proofErr w:type="gramEnd"/>
      <w:r w:rsidRPr="00E8209B">
        <w:rPr>
          <w:rFonts w:ascii="Book Antiqua" w:hAnsi="Book Antiqua" w:cs="宋体"/>
          <w:lang w:eastAsia="zh-CN"/>
        </w:rPr>
        <w:t xml:space="preserve"> </w:t>
      </w:r>
      <w:proofErr w:type="spellStart"/>
      <w:r w:rsidRPr="00E8209B">
        <w:rPr>
          <w:rFonts w:ascii="Book Antiqua" w:hAnsi="Book Antiqua" w:cs="宋体"/>
          <w:i/>
          <w:iCs/>
          <w:lang w:eastAsia="zh-CN"/>
        </w:rPr>
        <w:t>Panminerva</w:t>
      </w:r>
      <w:proofErr w:type="spellEnd"/>
      <w:r w:rsidRPr="00E8209B">
        <w:rPr>
          <w:rFonts w:ascii="Book Antiqua" w:hAnsi="Book Antiqua" w:cs="宋体"/>
          <w:i/>
          <w:iCs/>
          <w:lang w:eastAsia="zh-CN"/>
        </w:rPr>
        <w:t xml:space="preserve"> Med</w:t>
      </w:r>
      <w:r w:rsidRPr="00E8209B">
        <w:rPr>
          <w:rFonts w:ascii="Book Antiqua" w:hAnsi="Book Antiqua" w:cs="宋体"/>
          <w:lang w:eastAsia="zh-CN"/>
        </w:rPr>
        <w:t xml:space="preserve"> 2009; </w:t>
      </w:r>
      <w:r w:rsidRPr="00E8209B">
        <w:rPr>
          <w:rFonts w:ascii="Book Antiqua" w:hAnsi="Book Antiqua" w:cs="宋体"/>
          <w:b/>
          <w:bCs/>
          <w:lang w:eastAsia="zh-CN"/>
        </w:rPr>
        <w:t>51</w:t>
      </w:r>
      <w:r w:rsidRPr="00E8209B">
        <w:rPr>
          <w:rFonts w:ascii="Book Antiqua" w:hAnsi="Book Antiqua" w:cs="宋体"/>
          <w:lang w:eastAsia="zh-CN"/>
        </w:rPr>
        <w:t>: 235-247 [PMID: 20195234]</w:t>
      </w:r>
    </w:p>
    <w:p w14:paraId="4B35072E" w14:textId="77777777" w:rsidR="00E862DF" w:rsidRPr="00E8209B" w:rsidRDefault="00E862DF" w:rsidP="00E8209B">
      <w:pPr>
        <w:spacing w:line="360" w:lineRule="auto"/>
        <w:jc w:val="both"/>
        <w:rPr>
          <w:rFonts w:ascii="Book Antiqua" w:hAnsi="Book Antiqua"/>
          <w:noProof/>
          <w:lang w:eastAsia="zh-CN"/>
        </w:rPr>
      </w:pPr>
    </w:p>
    <w:p w14:paraId="24D2FA87" w14:textId="2B483437" w:rsidR="00B66B98" w:rsidRPr="00E8209B" w:rsidRDefault="00EE05FE" w:rsidP="00E8209B">
      <w:pPr>
        <w:pStyle w:val="NoSpacing"/>
        <w:spacing w:line="360" w:lineRule="auto"/>
        <w:jc w:val="right"/>
        <w:rPr>
          <w:rFonts w:ascii="Book Antiqua" w:hAnsi="Book Antiqua"/>
        </w:rPr>
      </w:pPr>
      <w:r w:rsidRPr="00E8209B">
        <w:rPr>
          <w:rFonts w:ascii="Book Antiqua" w:hAnsi="Book Antiqua"/>
          <w:b/>
        </w:rPr>
        <w:t xml:space="preserve">P-Reviewer: </w:t>
      </w:r>
      <w:r w:rsidRPr="00E8209B">
        <w:rPr>
          <w:rFonts w:ascii="Book Antiqua" w:hAnsi="Book Antiqua"/>
          <w:color w:val="000000"/>
        </w:rPr>
        <w:t>El-</w:t>
      </w:r>
      <w:proofErr w:type="spellStart"/>
      <w:r w:rsidRPr="00E8209B">
        <w:rPr>
          <w:rFonts w:ascii="Book Antiqua" w:hAnsi="Book Antiqua"/>
          <w:color w:val="000000"/>
        </w:rPr>
        <w:t>Shabrawi</w:t>
      </w:r>
      <w:proofErr w:type="spellEnd"/>
      <w:r w:rsidRPr="00E8209B">
        <w:rPr>
          <w:rFonts w:ascii="Book Antiqua" w:eastAsia="宋体" w:hAnsi="Book Antiqua"/>
          <w:color w:val="000000"/>
          <w:lang w:eastAsia="zh-CN"/>
        </w:rPr>
        <w:t xml:space="preserve"> MHH, </w:t>
      </w:r>
      <w:proofErr w:type="spellStart"/>
      <w:r w:rsidRPr="00E8209B">
        <w:rPr>
          <w:rFonts w:ascii="Book Antiqua" w:hAnsi="Book Antiqua"/>
          <w:color w:val="000000"/>
        </w:rPr>
        <w:t>Stanciu</w:t>
      </w:r>
      <w:proofErr w:type="spellEnd"/>
      <w:r w:rsidRPr="00E8209B">
        <w:rPr>
          <w:rFonts w:ascii="Book Antiqua" w:eastAsia="宋体" w:hAnsi="Book Antiqua"/>
          <w:color w:val="000000"/>
          <w:lang w:eastAsia="zh-CN"/>
        </w:rPr>
        <w:t xml:space="preserve"> C </w:t>
      </w:r>
      <w:r w:rsidRPr="00E8209B">
        <w:rPr>
          <w:rFonts w:ascii="Book Antiqua" w:hAnsi="Book Antiqua"/>
          <w:b/>
        </w:rPr>
        <w:t xml:space="preserve">S-Editor: </w:t>
      </w:r>
      <w:proofErr w:type="spellStart"/>
      <w:r w:rsidRPr="00E8209B">
        <w:rPr>
          <w:rFonts w:ascii="Book Antiqua" w:hAnsi="Book Antiqua"/>
        </w:rPr>
        <w:t>Ji</w:t>
      </w:r>
      <w:proofErr w:type="spellEnd"/>
      <w:r w:rsidRPr="00E8209B">
        <w:rPr>
          <w:rFonts w:ascii="Book Antiqua" w:hAnsi="Book Antiqua"/>
        </w:rPr>
        <w:t xml:space="preserve"> FF</w:t>
      </w:r>
      <w:r w:rsidRPr="00E8209B">
        <w:rPr>
          <w:rFonts w:ascii="Book Antiqua" w:hAnsi="Book Antiqua"/>
          <w:b/>
        </w:rPr>
        <w:t xml:space="preserve"> L-Editor: E-Editor:</w:t>
      </w:r>
    </w:p>
    <w:p w14:paraId="4CE1E2E9" w14:textId="77777777" w:rsidR="00B66B98" w:rsidRPr="00B758E7" w:rsidRDefault="00B66B98" w:rsidP="00EE05FE">
      <w:pPr>
        <w:spacing w:line="360" w:lineRule="auto"/>
        <w:jc w:val="both"/>
        <w:rPr>
          <w:rFonts w:ascii="Book Antiqua" w:hAnsi="Book Antiqua"/>
        </w:rPr>
      </w:pPr>
      <w:r w:rsidRPr="00B758E7">
        <w:rPr>
          <w:rFonts w:ascii="Book Antiqua" w:hAnsi="Book Antiqua"/>
        </w:rPr>
        <w:br w:type="page"/>
      </w:r>
    </w:p>
    <w:p w14:paraId="10CAE4A2" w14:textId="7FD0F5B2" w:rsidR="00B66B98" w:rsidRPr="00552772" w:rsidRDefault="00552772" w:rsidP="00EE05FE">
      <w:pPr>
        <w:pStyle w:val="NoSpacing"/>
        <w:spacing w:line="360" w:lineRule="auto"/>
        <w:jc w:val="both"/>
        <w:rPr>
          <w:rFonts w:ascii="Book Antiqua" w:eastAsia="宋体" w:hAnsi="Book Antiqua"/>
          <w:b/>
          <w:lang w:eastAsia="zh-CN"/>
        </w:rPr>
      </w:pPr>
      <w:r w:rsidRPr="00552772">
        <w:rPr>
          <w:rFonts w:ascii="Book Antiqua" w:hAnsi="Book Antiqua"/>
          <w:b/>
        </w:rPr>
        <w:lastRenderedPageBreak/>
        <w:t>Table 1 Population characteristics</w:t>
      </w:r>
    </w:p>
    <w:p w14:paraId="52B1C21D" w14:textId="77777777" w:rsidR="00B66B98" w:rsidRPr="00B758E7" w:rsidRDefault="00B66B98" w:rsidP="00EE05FE">
      <w:pPr>
        <w:pStyle w:val="NoSpacing"/>
        <w:spacing w:line="360" w:lineRule="auto"/>
        <w:jc w:val="both"/>
        <w:rPr>
          <w:rFonts w:ascii="Book Antiqua" w:hAnsi="Book Antiqua"/>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2"/>
        <w:gridCol w:w="2391"/>
        <w:gridCol w:w="2284"/>
        <w:gridCol w:w="2162"/>
      </w:tblGrid>
      <w:tr w:rsidR="00B758E7" w:rsidRPr="00B758E7" w14:paraId="5436EBFB" w14:textId="77777777" w:rsidTr="00552772">
        <w:trPr>
          <w:trHeight w:val="27"/>
        </w:trPr>
        <w:tc>
          <w:tcPr>
            <w:tcW w:w="2835" w:type="dxa"/>
            <w:shd w:val="clear" w:color="auto" w:fill="auto"/>
            <w:tcMar>
              <w:top w:w="72" w:type="dxa"/>
              <w:left w:w="144" w:type="dxa"/>
              <w:bottom w:w="72" w:type="dxa"/>
              <w:right w:w="144" w:type="dxa"/>
            </w:tcMar>
            <w:vAlign w:val="bottom"/>
          </w:tcPr>
          <w:p w14:paraId="0870B345" w14:textId="455D1CF0"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Population </w:t>
            </w:r>
            <w:r w:rsidR="00552772" w:rsidRPr="00B758E7">
              <w:rPr>
                <w:rFonts w:ascii="Book Antiqua" w:hAnsi="Book Antiqua"/>
                <w:b/>
              </w:rPr>
              <w:t>c</w:t>
            </w:r>
            <w:r w:rsidRPr="00B758E7">
              <w:rPr>
                <w:rFonts w:ascii="Book Antiqua" w:hAnsi="Book Antiqua"/>
                <w:b/>
              </w:rPr>
              <w:t>haracteristic</w:t>
            </w:r>
          </w:p>
        </w:tc>
        <w:tc>
          <w:tcPr>
            <w:tcW w:w="2835" w:type="dxa"/>
            <w:shd w:val="clear" w:color="auto" w:fill="auto"/>
            <w:tcMar>
              <w:top w:w="72" w:type="dxa"/>
              <w:left w:w="144" w:type="dxa"/>
              <w:bottom w:w="72" w:type="dxa"/>
              <w:right w:w="144" w:type="dxa"/>
            </w:tcMar>
            <w:vAlign w:val="bottom"/>
          </w:tcPr>
          <w:p w14:paraId="669A24A6" w14:textId="53861885" w:rsidR="00B66B98" w:rsidRPr="00B758E7" w:rsidRDefault="00B66B98" w:rsidP="00EE05FE">
            <w:pPr>
              <w:pStyle w:val="NoSpacing"/>
              <w:spacing w:line="360" w:lineRule="auto"/>
              <w:jc w:val="both"/>
              <w:rPr>
                <w:rFonts w:ascii="Book Antiqua" w:hAnsi="Book Antiqua"/>
                <w:b/>
                <w:bCs/>
              </w:rPr>
            </w:pPr>
            <w:r w:rsidRPr="00B758E7">
              <w:rPr>
                <w:rFonts w:ascii="Book Antiqua" w:hAnsi="Book Antiqua"/>
                <w:b/>
                <w:bCs/>
              </w:rPr>
              <w:t xml:space="preserve">History of </w:t>
            </w:r>
            <w:r w:rsidR="00552772" w:rsidRPr="00B758E7">
              <w:rPr>
                <w:rFonts w:ascii="Book Antiqua" w:hAnsi="Book Antiqua"/>
                <w:b/>
                <w:bCs/>
              </w:rPr>
              <w:t>p</w:t>
            </w:r>
            <w:r w:rsidRPr="00B758E7">
              <w:rPr>
                <w:rFonts w:ascii="Book Antiqua" w:hAnsi="Book Antiqua"/>
                <w:b/>
                <w:bCs/>
              </w:rPr>
              <w:t>re-transplant SBP</w:t>
            </w:r>
          </w:p>
          <w:p w14:paraId="427CD231" w14:textId="3A04DD9A" w:rsidR="00B66B98" w:rsidRPr="00B758E7" w:rsidRDefault="00B66B98" w:rsidP="00EE05FE">
            <w:pPr>
              <w:pStyle w:val="NoSpacing"/>
              <w:spacing w:line="360" w:lineRule="auto"/>
              <w:jc w:val="both"/>
              <w:rPr>
                <w:rFonts w:ascii="Book Antiqua" w:hAnsi="Book Antiqua"/>
              </w:rPr>
            </w:pPr>
            <w:r w:rsidRPr="00B758E7">
              <w:rPr>
                <w:rFonts w:ascii="Book Antiqua" w:hAnsi="Book Antiqua"/>
                <w:b/>
                <w:bCs/>
              </w:rPr>
              <w:t>(</w:t>
            </w:r>
            <w:r w:rsidRPr="00552772">
              <w:rPr>
                <w:rFonts w:ascii="Book Antiqua" w:hAnsi="Book Antiqua"/>
                <w:b/>
                <w:bCs/>
                <w:i/>
              </w:rPr>
              <w:t>n</w:t>
            </w:r>
            <w:r w:rsidR="00552772">
              <w:rPr>
                <w:rFonts w:ascii="Book Antiqua" w:eastAsia="宋体" w:hAnsi="Book Antiqua" w:hint="eastAsia"/>
                <w:b/>
                <w:bCs/>
                <w:lang w:eastAsia="zh-CN"/>
              </w:rPr>
              <w:t xml:space="preserve"> </w:t>
            </w:r>
            <w:r w:rsidRPr="00B758E7">
              <w:rPr>
                <w:rFonts w:ascii="Book Antiqua" w:hAnsi="Book Antiqua"/>
                <w:b/>
                <w:bCs/>
              </w:rPr>
              <w:t>=</w:t>
            </w:r>
            <w:r w:rsidR="00552772">
              <w:rPr>
                <w:rFonts w:ascii="Book Antiqua" w:eastAsia="宋体" w:hAnsi="Book Antiqua" w:hint="eastAsia"/>
                <w:b/>
                <w:bCs/>
                <w:lang w:eastAsia="zh-CN"/>
              </w:rPr>
              <w:t xml:space="preserve"> </w:t>
            </w:r>
            <w:r w:rsidR="00552772">
              <w:rPr>
                <w:rFonts w:ascii="Book Antiqua" w:hAnsi="Book Antiqua"/>
                <w:b/>
                <w:bCs/>
              </w:rPr>
              <w:t>1</w:t>
            </w:r>
            <w:r w:rsidRPr="00B758E7">
              <w:rPr>
                <w:rFonts w:ascii="Book Antiqua" w:hAnsi="Book Antiqua"/>
                <w:b/>
                <w:bCs/>
              </w:rPr>
              <w:t>966)</w:t>
            </w:r>
          </w:p>
        </w:tc>
        <w:tc>
          <w:tcPr>
            <w:tcW w:w="2835" w:type="dxa"/>
            <w:shd w:val="clear" w:color="auto" w:fill="auto"/>
            <w:tcMar>
              <w:top w:w="72" w:type="dxa"/>
              <w:left w:w="144" w:type="dxa"/>
              <w:bottom w:w="72" w:type="dxa"/>
              <w:right w:w="144" w:type="dxa"/>
            </w:tcMar>
            <w:vAlign w:val="bottom"/>
          </w:tcPr>
          <w:p w14:paraId="49986C21" w14:textId="508C861D" w:rsidR="00B66B98" w:rsidRPr="00B758E7" w:rsidRDefault="00B66B98" w:rsidP="00EE05FE">
            <w:pPr>
              <w:pStyle w:val="NoSpacing"/>
              <w:spacing w:line="360" w:lineRule="auto"/>
              <w:jc w:val="both"/>
              <w:rPr>
                <w:rFonts w:ascii="Book Antiqua" w:hAnsi="Book Antiqua"/>
                <w:b/>
                <w:bCs/>
              </w:rPr>
            </w:pPr>
            <w:r w:rsidRPr="00B758E7">
              <w:rPr>
                <w:rFonts w:ascii="Book Antiqua" w:hAnsi="Book Antiqua"/>
                <w:b/>
                <w:bCs/>
              </w:rPr>
              <w:t xml:space="preserve">No </w:t>
            </w:r>
            <w:r w:rsidR="00552772" w:rsidRPr="00B758E7">
              <w:rPr>
                <w:rFonts w:ascii="Book Antiqua" w:hAnsi="Book Antiqua"/>
                <w:b/>
                <w:bCs/>
              </w:rPr>
              <w:t>h</w:t>
            </w:r>
            <w:r w:rsidRPr="00B758E7">
              <w:rPr>
                <w:rFonts w:ascii="Book Antiqua" w:hAnsi="Book Antiqua"/>
                <w:b/>
                <w:bCs/>
              </w:rPr>
              <w:t>istory of SBP</w:t>
            </w:r>
          </w:p>
          <w:p w14:paraId="77790F04" w14:textId="63A35CD0" w:rsidR="00B66B98" w:rsidRPr="00B758E7" w:rsidRDefault="00B66B98" w:rsidP="00EE05FE">
            <w:pPr>
              <w:pStyle w:val="NoSpacing"/>
              <w:spacing w:line="360" w:lineRule="auto"/>
              <w:jc w:val="both"/>
              <w:rPr>
                <w:rFonts w:ascii="Book Antiqua" w:hAnsi="Book Antiqua"/>
              </w:rPr>
            </w:pPr>
            <w:r w:rsidRPr="00B758E7">
              <w:rPr>
                <w:rFonts w:ascii="Book Antiqua" w:hAnsi="Book Antiqua"/>
                <w:b/>
                <w:bCs/>
              </w:rPr>
              <w:t>(</w:t>
            </w:r>
            <w:r w:rsidRPr="00552772">
              <w:rPr>
                <w:rFonts w:ascii="Book Antiqua" w:hAnsi="Book Antiqua"/>
                <w:b/>
                <w:bCs/>
                <w:i/>
              </w:rPr>
              <w:t>n</w:t>
            </w:r>
            <w:r w:rsidR="00552772">
              <w:rPr>
                <w:rFonts w:ascii="Book Antiqua" w:eastAsia="宋体" w:hAnsi="Book Antiqua" w:hint="eastAsia"/>
                <w:b/>
                <w:bCs/>
                <w:lang w:eastAsia="zh-CN"/>
              </w:rPr>
              <w:t xml:space="preserve"> </w:t>
            </w:r>
            <w:r w:rsidRPr="00B758E7">
              <w:rPr>
                <w:rFonts w:ascii="Book Antiqua" w:hAnsi="Book Antiqua"/>
                <w:b/>
                <w:bCs/>
              </w:rPr>
              <w:t>=</w:t>
            </w:r>
            <w:r w:rsidR="00552772">
              <w:rPr>
                <w:rFonts w:ascii="Book Antiqua" w:eastAsia="宋体" w:hAnsi="Book Antiqua" w:hint="eastAsia"/>
                <w:b/>
                <w:bCs/>
                <w:lang w:eastAsia="zh-CN"/>
              </w:rPr>
              <w:t xml:space="preserve"> </w:t>
            </w:r>
            <w:r w:rsidR="00552772">
              <w:rPr>
                <w:rFonts w:ascii="Book Antiqua" w:hAnsi="Book Antiqua"/>
                <w:b/>
                <w:bCs/>
              </w:rPr>
              <w:t>45</w:t>
            </w:r>
            <w:r w:rsidRPr="00B758E7">
              <w:rPr>
                <w:rFonts w:ascii="Book Antiqua" w:hAnsi="Book Antiqua"/>
                <w:b/>
                <w:bCs/>
              </w:rPr>
              <w:t>914)</w:t>
            </w:r>
          </w:p>
        </w:tc>
        <w:tc>
          <w:tcPr>
            <w:tcW w:w="2835" w:type="dxa"/>
            <w:shd w:val="clear" w:color="auto" w:fill="auto"/>
            <w:vAlign w:val="bottom"/>
          </w:tcPr>
          <w:p w14:paraId="7A421545" w14:textId="7E0A0272" w:rsidR="00B66B98" w:rsidRPr="00B758E7" w:rsidRDefault="00552772" w:rsidP="00EE05FE">
            <w:pPr>
              <w:pStyle w:val="NoSpacing"/>
              <w:spacing w:line="360" w:lineRule="auto"/>
              <w:jc w:val="both"/>
              <w:rPr>
                <w:rFonts w:ascii="Book Antiqua" w:hAnsi="Book Antiqua"/>
                <w:b/>
                <w:bCs/>
              </w:rPr>
            </w:pPr>
            <w:r w:rsidRPr="00552772">
              <w:rPr>
                <w:rFonts w:ascii="Book Antiqua" w:hAnsi="Book Antiqua"/>
                <w:b/>
                <w:bCs/>
                <w:i/>
              </w:rPr>
              <w:t>P</w:t>
            </w:r>
            <w:r w:rsidR="00B66B98" w:rsidRPr="00B758E7">
              <w:rPr>
                <w:rFonts w:ascii="Book Antiqua" w:hAnsi="Book Antiqua"/>
                <w:b/>
                <w:bCs/>
              </w:rPr>
              <w:t>-value</w:t>
            </w:r>
          </w:p>
        </w:tc>
      </w:tr>
      <w:tr w:rsidR="00B758E7" w:rsidRPr="00B758E7" w14:paraId="1B995378" w14:textId="77777777" w:rsidTr="00552772">
        <w:trPr>
          <w:trHeight w:val="26"/>
        </w:trPr>
        <w:tc>
          <w:tcPr>
            <w:tcW w:w="2835" w:type="dxa"/>
            <w:shd w:val="clear" w:color="auto" w:fill="auto"/>
            <w:tcMar>
              <w:top w:w="72" w:type="dxa"/>
              <w:left w:w="144" w:type="dxa"/>
              <w:bottom w:w="72" w:type="dxa"/>
              <w:right w:w="144" w:type="dxa"/>
            </w:tcMar>
            <w:vAlign w:val="bottom"/>
          </w:tcPr>
          <w:p w14:paraId="5A07D605" w14:textId="3AD187F6" w:rsidR="00B66B98" w:rsidRPr="00552772" w:rsidRDefault="00552772" w:rsidP="00EE05FE">
            <w:pPr>
              <w:pStyle w:val="NoSpacing"/>
              <w:spacing w:line="360" w:lineRule="auto"/>
              <w:jc w:val="both"/>
              <w:rPr>
                <w:rFonts w:ascii="Book Antiqua" w:eastAsia="宋体" w:hAnsi="Book Antiqua"/>
                <w:b/>
                <w:lang w:eastAsia="zh-CN"/>
              </w:rPr>
            </w:pPr>
            <w:r>
              <w:rPr>
                <w:rFonts w:ascii="Book Antiqua" w:hAnsi="Book Antiqua"/>
                <w:b/>
              </w:rPr>
              <w:t>Recipient age</w:t>
            </w:r>
            <w:r>
              <w:rPr>
                <w:rFonts w:ascii="Book Antiqua" w:eastAsia="宋体" w:hAnsi="Book Antiqua" w:hint="eastAsia"/>
                <w:b/>
                <w:lang w:eastAsia="zh-CN"/>
              </w:rPr>
              <w:t>,</w:t>
            </w:r>
            <w:r>
              <w:rPr>
                <w:rFonts w:ascii="Book Antiqua" w:hAnsi="Book Antiqua"/>
                <w:b/>
              </w:rPr>
              <w:t xml:space="preserve"> </w:t>
            </w:r>
            <w:proofErr w:type="spellStart"/>
            <w:r>
              <w:rPr>
                <w:rFonts w:ascii="Book Antiqua" w:hAnsi="Book Antiqua"/>
                <w:b/>
              </w:rPr>
              <w:t>yr</w:t>
            </w:r>
            <w:proofErr w:type="spellEnd"/>
          </w:p>
        </w:tc>
        <w:tc>
          <w:tcPr>
            <w:tcW w:w="2835" w:type="dxa"/>
            <w:shd w:val="clear" w:color="auto" w:fill="auto"/>
            <w:tcMar>
              <w:top w:w="72" w:type="dxa"/>
              <w:left w:w="144" w:type="dxa"/>
              <w:bottom w:w="72" w:type="dxa"/>
              <w:right w:w="144" w:type="dxa"/>
            </w:tcMar>
            <w:vAlign w:val="center"/>
          </w:tcPr>
          <w:p w14:paraId="79AA75D9"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50.51 (49.96-51.07)</w:t>
            </w:r>
          </w:p>
        </w:tc>
        <w:tc>
          <w:tcPr>
            <w:tcW w:w="2835" w:type="dxa"/>
            <w:shd w:val="clear" w:color="auto" w:fill="auto"/>
            <w:tcMar>
              <w:top w:w="72" w:type="dxa"/>
              <w:left w:w="144" w:type="dxa"/>
              <w:bottom w:w="72" w:type="dxa"/>
              <w:right w:w="144" w:type="dxa"/>
            </w:tcMar>
            <w:vAlign w:val="center"/>
          </w:tcPr>
          <w:p w14:paraId="1B780596"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47.97 (47.81-48.13)</w:t>
            </w:r>
          </w:p>
        </w:tc>
        <w:tc>
          <w:tcPr>
            <w:tcW w:w="2835" w:type="dxa"/>
            <w:shd w:val="clear" w:color="auto" w:fill="auto"/>
            <w:vAlign w:val="center"/>
          </w:tcPr>
          <w:p w14:paraId="667B19CA" w14:textId="3293A9FF"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552772">
              <w:rPr>
                <w:rFonts w:ascii="Book Antiqua" w:eastAsia="宋体" w:hAnsi="Book Antiqua" w:hint="eastAsia"/>
                <w:lang w:eastAsia="zh-CN"/>
              </w:rPr>
              <w:t xml:space="preserve"> </w:t>
            </w:r>
            <w:r w:rsidRPr="00B758E7">
              <w:rPr>
                <w:rFonts w:ascii="Book Antiqua" w:hAnsi="Book Antiqua"/>
              </w:rPr>
              <w:t>0.0001</w:t>
            </w:r>
          </w:p>
        </w:tc>
      </w:tr>
      <w:tr w:rsidR="00B758E7" w:rsidRPr="00B758E7" w14:paraId="52DC25C2" w14:textId="77777777" w:rsidTr="00552772">
        <w:trPr>
          <w:trHeight w:val="26"/>
        </w:trPr>
        <w:tc>
          <w:tcPr>
            <w:tcW w:w="2835" w:type="dxa"/>
            <w:shd w:val="clear" w:color="auto" w:fill="auto"/>
            <w:tcMar>
              <w:top w:w="72" w:type="dxa"/>
              <w:left w:w="144" w:type="dxa"/>
              <w:bottom w:w="72" w:type="dxa"/>
              <w:right w:w="144" w:type="dxa"/>
            </w:tcMar>
            <w:vAlign w:val="bottom"/>
          </w:tcPr>
          <w:p w14:paraId="6423EA73" w14:textId="1DAAEA3B" w:rsidR="00B66B98" w:rsidRPr="00552772" w:rsidRDefault="00552772" w:rsidP="00EE05FE">
            <w:pPr>
              <w:pStyle w:val="NoSpacing"/>
              <w:spacing w:line="360" w:lineRule="auto"/>
              <w:jc w:val="both"/>
              <w:rPr>
                <w:rFonts w:ascii="Book Antiqua" w:eastAsia="宋体" w:hAnsi="Book Antiqua"/>
                <w:b/>
                <w:lang w:eastAsia="zh-CN"/>
              </w:rPr>
            </w:pPr>
            <w:r>
              <w:rPr>
                <w:rFonts w:ascii="Book Antiqua" w:hAnsi="Book Antiqua"/>
                <w:b/>
              </w:rPr>
              <w:t xml:space="preserve">Donor age, </w:t>
            </w:r>
            <w:proofErr w:type="spellStart"/>
            <w:r>
              <w:rPr>
                <w:rFonts w:ascii="Book Antiqua" w:hAnsi="Book Antiqua"/>
                <w:b/>
              </w:rPr>
              <w:t>yr</w:t>
            </w:r>
            <w:proofErr w:type="spellEnd"/>
          </w:p>
        </w:tc>
        <w:tc>
          <w:tcPr>
            <w:tcW w:w="2835" w:type="dxa"/>
            <w:shd w:val="clear" w:color="auto" w:fill="auto"/>
            <w:tcMar>
              <w:top w:w="72" w:type="dxa"/>
              <w:left w:w="144" w:type="dxa"/>
              <w:bottom w:w="72" w:type="dxa"/>
              <w:right w:w="144" w:type="dxa"/>
            </w:tcMar>
            <w:vAlign w:val="center"/>
          </w:tcPr>
          <w:p w14:paraId="50E61F09"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38.08 (38.84-39.61)</w:t>
            </w:r>
          </w:p>
        </w:tc>
        <w:tc>
          <w:tcPr>
            <w:tcW w:w="2835" w:type="dxa"/>
            <w:shd w:val="clear" w:color="auto" w:fill="auto"/>
            <w:tcMar>
              <w:top w:w="72" w:type="dxa"/>
              <w:left w:w="144" w:type="dxa"/>
              <w:bottom w:w="72" w:type="dxa"/>
              <w:right w:w="144" w:type="dxa"/>
            </w:tcMar>
            <w:vAlign w:val="center"/>
          </w:tcPr>
          <w:p w14:paraId="27416D45"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38.29 (38.12-38.46)</w:t>
            </w:r>
          </w:p>
        </w:tc>
        <w:tc>
          <w:tcPr>
            <w:tcW w:w="2835" w:type="dxa"/>
            <w:shd w:val="clear" w:color="auto" w:fill="auto"/>
            <w:vAlign w:val="center"/>
          </w:tcPr>
          <w:p w14:paraId="1409B11B"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0.165</w:t>
            </w:r>
          </w:p>
        </w:tc>
      </w:tr>
      <w:tr w:rsidR="00B758E7" w:rsidRPr="00B758E7" w14:paraId="3687CCC7" w14:textId="77777777" w:rsidTr="00552772">
        <w:trPr>
          <w:trHeight w:val="26"/>
        </w:trPr>
        <w:tc>
          <w:tcPr>
            <w:tcW w:w="2835" w:type="dxa"/>
            <w:shd w:val="clear" w:color="auto" w:fill="auto"/>
            <w:tcMar>
              <w:top w:w="72" w:type="dxa"/>
              <w:left w:w="144" w:type="dxa"/>
              <w:bottom w:w="72" w:type="dxa"/>
              <w:right w:w="144" w:type="dxa"/>
            </w:tcMar>
            <w:vAlign w:val="bottom"/>
          </w:tcPr>
          <w:p w14:paraId="62A17238"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MELD score at transplant </w:t>
            </w:r>
          </w:p>
        </w:tc>
        <w:tc>
          <w:tcPr>
            <w:tcW w:w="2835" w:type="dxa"/>
            <w:shd w:val="clear" w:color="auto" w:fill="auto"/>
            <w:tcMar>
              <w:top w:w="72" w:type="dxa"/>
              <w:left w:w="144" w:type="dxa"/>
              <w:bottom w:w="72" w:type="dxa"/>
              <w:right w:w="144" w:type="dxa"/>
            </w:tcMar>
            <w:vAlign w:val="center"/>
          </w:tcPr>
          <w:p w14:paraId="66A7BA03"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25.28 (24.83-25.74)</w:t>
            </w:r>
          </w:p>
        </w:tc>
        <w:tc>
          <w:tcPr>
            <w:tcW w:w="2835" w:type="dxa"/>
            <w:shd w:val="clear" w:color="auto" w:fill="auto"/>
            <w:tcMar>
              <w:top w:w="72" w:type="dxa"/>
              <w:left w:w="144" w:type="dxa"/>
              <w:bottom w:w="72" w:type="dxa"/>
              <w:right w:w="144" w:type="dxa"/>
            </w:tcMar>
            <w:vAlign w:val="center"/>
          </w:tcPr>
          <w:p w14:paraId="4B9805F7"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20.34 (20.25-20.44)</w:t>
            </w:r>
          </w:p>
        </w:tc>
        <w:tc>
          <w:tcPr>
            <w:tcW w:w="2835" w:type="dxa"/>
            <w:shd w:val="clear" w:color="auto" w:fill="auto"/>
            <w:vAlign w:val="center"/>
          </w:tcPr>
          <w:p w14:paraId="2229BEC2" w14:textId="65ED67C3"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552772">
              <w:rPr>
                <w:rFonts w:ascii="Book Antiqua" w:eastAsia="宋体" w:hAnsi="Book Antiqua" w:hint="eastAsia"/>
                <w:lang w:eastAsia="zh-CN"/>
              </w:rPr>
              <w:t xml:space="preserve"> </w:t>
            </w:r>
            <w:r w:rsidRPr="00B758E7">
              <w:rPr>
                <w:rFonts w:ascii="Book Antiqua" w:hAnsi="Book Antiqua"/>
              </w:rPr>
              <w:t>0.0001</w:t>
            </w:r>
          </w:p>
        </w:tc>
      </w:tr>
      <w:tr w:rsidR="00B758E7" w:rsidRPr="00B758E7" w14:paraId="4317D5DE" w14:textId="77777777" w:rsidTr="00552772">
        <w:trPr>
          <w:trHeight w:val="26"/>
        </w:trPr>
        <w:tc>
          <w:tcPr>
            <w:tcW w:w="2835" w:type="dxa"/>
            <w:shd w:val="clear" w:color="auto" w:fill="auto"/>
            <w:tcMar>
              <w:top w:w="72" w:type="dxa"/>
              <w:left w:w="144" w:type="dxa"/>
              <w:bottom w:w="72" w:type="dxa"/>
              <w:right w:w="144" w:type="dxa"/>
            </w:tcMar>
            <w:vAlign w:val="bottom"/>
          </w:tcPr>
          <w:p w14:paraId="12C7BFE5"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Male </w:t>
            </w:r>
          </w:p>
        </w:tc>
        <w:tc>
          <w:tcPr>
            <w:tcW w:w="2835" w:type="dxa"/>
            <w:shd w:val="clear" w:color="auto" w:fill="auto"/>
            <w:tcMar>
              <w:top w:w="72" w:type="dxa"/>
              <w:left w:w="144" w:type="dxa"/>
              <w:bottom w:w="72" w:type="dxa"/>
              <w:right w:w="144" w:type="dxa"/>
            </w:tcMar>
            <w:vAlign w:val="center"/>
          </w:tcPr>
          <w:p w14:paraId="14196041" w14:textId="2E497B13" w:rsidR="00B66B98" w:rsidRPr="00B758E7" w:rsidRDefault="00552772" w:rsidP="00EE05FE">
            <w:pPr>
              <w:pStyle w:val="NoSpacing"/>
              <w:spacing w:line="360" w:lineRule="auto"/>
              <w:jc w:val="both"/>
              <w:rPr>
                <w:rFonts w:ascii="Book Antiqua" w:hAnsi="Book Antiqua"/>
              </w:rPr>
            </w:pPr>
            <w:r>
              <w:rPr>
                <w:rFonts w:ascii="Book Antiqua" w:hAnsi="Book Antiqua"/>
              </w:rPr>
              <w:t>1</w:t>
            </w:r>
            <w:r w:rsidR="00B66B98" w:rsidRPr="00B758E7">
              <w:rPr>
                <w:rFonts w:ascii="Book Antiqua" w:hAnsi="Book Antiqua"/>
              </w:rPr>
              <w:t>429 (72.69)</w:t>
            </w:r>
          </w:p>
        </w:tc>
        <w:tc>
          <w:tcPr>
            <w:tcW w:w="2835" w:type="dxa"/>
            <w:shd w:val="clear" w:color="auto" w:fill="auto"/>
            <w:tcMar>
              <w:top w:w="72" w:type="dxa"/>
              <w:left w:w="144" w:type="dxa"/>
              <w:bottom w:w="72" w:type="dxa"/>
              <w:right w:w="144" w:type="dxa"/>
            </w:tcMar>
            <w:vAlign w:val="center"/>
          </w:tcPr>
          <w:p w14:paraId="2C8E4999" w14:textId="079881E1" w:rsidR="00B66B98" w:rsidRPr="00B758E7" w:rsidRDefault="00552772" w:rsidP="00EE05FE">
            <w:pPr>
              <w:pStyle w:val="NoSpacing"/>
              <w:spacing w:line="360" w:lineRule="auto"/>
              <w:jc w:val="both"/>
              <w:rPr>
                <w:rFonts w:ascii="Book Antiqua" w:hAnsi="Book Antiqua"/>
              </w:rPr>
            </w:pPr>
            <w:r>
              <w:rPr>
                <w:rFonts w:ascii="Book Antiqua" w:hAnsi="Book Antiqua"/>
              </w:rPr>
              <w:t>29</w:t>
            </w:r>
            <w:r w:rsidR="00B66B98" w:rsidRPr="00B758E7">
              <w:rPr>
                <w:rFonts w:ascii="Book Antiqua" w:hAnsi="Book Antiqua"/>
              </w:rPr>
              <w:t>950 (65.23)</w:t>
            </w:r>
          </w:p>
        </w:tc>
        <w:tc>
          <w:tcPr>
            <w:tcW w:w="2835" w:type="dxa"/>
            <w:shd w:val="clear" w:color="auto" w:fill="auto"/>
            <w:vAlign w:val="center"/>
          </w:tcPr>
          <w:p w14:paraId="69AA3DF5" w14:textId="5FB292A8"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552772">
              <w:rPr>
                <w:rFonts w:ascii="Book Antiqua" w:eastAsia="宋体" w:hAnsi="Book Antiqua" w:hint="eastAsia"/>
                <w:lang w:eastAsia="zh-CN"/>
              </w:rPr>
              <w:t xml:space="preserve"> </w:t>
            </w:r>
            <w:r w:rsidRPr="00B758E7">
              <w:rPr>
                <w:rFonts w:ascii="Book Antiqua" w:hAnsi="Book Antiqua"/>
              </w:rPr>
              <w:t>0.0001</w:t>
            </w:r>
          </w:p>
        </w:tc>
      </w:tr>
      <w:tr w:rsidR="00B758E7" w:rsidRPr="00B758E7" w14:paraId="550377FC" w14:textId="77777777" w:rsidTr="00552772">
        <w:trPr>
          <w:trHeight w:val="26"/>
        </w:trPr>
        <w:tc>
          <w:tcPr>
            <w:tcW w:w="2835" w:type="dxa"/>
            <w:shd w:val="clear" w:color="auto" w:fill="auto"/>
            <w:tcMar>
              <w:top w:w="72" w:type="dxa"/>
              <w:left w:w="144" w:type="dxa"/>
              <w:bottom w:w="72" w:type="dxa"/>
              <w:right w:w="144" w:type="dxa"/>
            </w:tcMar>
            <w:vAlign w:val="center"/>
          </w:tcPr>
          <w:p w14:paraId="047474C7"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Ethnicity African American </w:t>
            </w:r>
          </w:p>
        </w:tc>
        <w:tc>
          <w:tcPr>
            <w:tcW w:w="2835" w:type="dxa"/>
            <w:shd w:val="clear" w:color="auto" w:fill="auto"/>
            <w:tcMar>
              <w:top w:w="72" w:type="dxa"/>
              <w:left w:w="144" w:type="dxa"/>
              <w:bottom w:w="72" w:type="dxa"/>
              <w:right w:w="144" w:type="dxa"/>
            </w:tcMar>
            <w:vAlign w:val="center"/>
          </w:tcPr>
          <w:p w14:paraId="02B0A294"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149 (7.58)</w:t>
            </w:r>
          </w:p>
        </w:tc>
        <w:tc>
          <w:tcPr>
            <w:tcW w:w="2835" w:type="dxa"/>
            <w:shd w:val="clear" w:color="auto" w:fill="auto"/>
            <w:tcMar>
              <w:top w:w="72" w:type="dxa"/>
              <w:left w:w="144" w:type="dxa"/>
              <w:bottom w:w="72" w:type="dxa"/>
              <w:right w:w="144" w:type="dxa"/>
            </w:tcMar>
            <w:vAlign w:val="center"/>
          </w:tcPr>
          <w:p w14:paraId="4D59C8A7" w14:textId="1C76E4FD" w:rsidR="00B66B98" w:rsidRPr="00B758E7" w:rsidRDefault="00552772" w:rsidP="00EE05FE">
            <w:pPr>
              <w:pStyle w:val="NoSpacing"/>
              <w:spacing w:line="360" w:lineRule="auto"/>
              <w:jc w:val="both"/>
              <w:rPr>
                <w:rFonts w:ascii="Book Antiqua" w:hAnsi="Book Antiqua"/>
              </w:rPr>
            </w:pPr>
            <w:r>
              <w:rPr>
                <w:rFonts w:ascii="Book Antiqua" w:hAnsi="Book Antiqua"/>
              </w:rPr>
              <w:t>4</w:t>
            </w:r>
            <w:r w:rsidR="00B66B98" w:rsidRPr="00B758E7">
              <w:rPr>
                <w:rFonts w:ascii="Book Antiqua" w:hAnsi="Book Antiqua"/>
              </w:rPr>
              <w:t>591 (10.00)</w:t>
            </w:r>
          </w:p>
        </w:tc>
        <w:tc>
          <w:tcPr>
            <w:tcW w:w="2835" w:type="dxa"/>
            <w:shd w:val="clear" w:color="auto" w:fill="auto"/>
            <w:vAlign w:val="center"/>
          </w:tcPr>
          <w:p w14:paraId="0873940D"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0.027</w:t>
            </w:r>
          </w:p>
        </w:tc>
      </w:tr>
      <w:tr w:rsidR="00B758E7" w:rsidRPr="00B758E7" w14:paraId="40660D44" w14:textId="77777777" w:rsidTr="00552772">
        <w:trPr>
          <w:trHeight w:val="26"/>
        </w:trPr>
        <w:tc>
          <w:tcPr>
            <w:tcW w:w="2835" w:type="dxa"/>
            <w:shd w:val="clear" w:color="auto" w:fill="auto"/>
            <w:tcMar>
              <w:top w:w="72" w:type="dxa"/>
              <w:left w:w="144" w:type="dxa"/>
              <w:bottom w:w="72" w:type="dxa"/>
              <w:right w:w="144" w:type="dxa"/>
            </w:tcMar>
            <w:vAlign w:val="bottom"/>
          </w:tcPr>
          <w:p w14:paraId="011EE068"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Etiology of recipient liver disease</w:t>
            </w:r>
            <w:r w:rsidRPr="00B758E7">
              <w:rPr>
                <w:rFonts w:ascii="Book Antiqua" w:hAnsi="Book Antiqua"/>
                <w:b/>
              </w:rPr>
              <w:t xml:space="preserve"> </w:t>
            </w:r>
          </w:p>
        </w:tc>
        <w:tc>
          <w:tcPr>
            <w:tcW w:w="2835" w:type="dxa"/>
            <w:shd w:val="clear" w:color="auto" w:fill="auto"/>
            <w:tcMar>
              <w:top w:w="72" w:type="dxa"/>
              <w:left w:w="144" w:type="dxa"/>
              <w:bottom w:w="72" w:type="dxa"/>
              <w:right w:w="144" w:type="dxa"/>
            </w:tcMar>
            <w:vAlign w:val="center"/>
          </w:tcPr>
          <w:p w14:paraId="1893B1CD" w14:textId="77777777" w:rsidR="00B66B98" w:rsidRPr="00B758E7" w:rsidRDefault="00B66B98" w:rsidP="00EE05FE">
            <w:pPr>
              <w:pStyle w:val="NoSpacing"/>
              <w:spacing w:line="360" w:lineRule="auto"/>
              <w:jc w:val="both"/>
              <w:rPr>
                <w:rFonts w:ascii="Book Antiqua" w:hAnsi="Book Antiqua"/>
              </w:rPr>
            </w:pPr>
          </w:p>
        </w:tc>
        <w:tc>
          <w:tcPr>
            <w:tcW w:w="2835" w:type="dxa"/>
            <w:shd w:val="clear" w:color="auto" w:fill="auto"/>
            <w:tcMar>
              <w:top w:w="72" w:type="dxa"/>
              <w:left w:w="144" w:type="dxa"/>
              <w:bottom w:w="72" w:type="dxa"/>
              <w:right w:w="144" w:type="dxa"/>
            </w:tcMar>
            <w:vAlign w:val="center"/>
          </w:tcPr>
          <w:p w14:paraId="7518CBE7" w14:textId="77777777" w:rsidR="00B66B98" w:rsidRPr="00B758E7" w:rsidRDefault="00B66B98" w:rsidP="00EE05FE">
            <w:pPr>
              <w:pStyle w:val="NoSpacing"/>
              <w:spacing w:line="360" w:lineRule="auto"/>
              <w:jc w:val="both"/>
              <w:rPr>
                <w:rFonts w:ascii="Book Antiqua" w:hAnsi="Book Antiqua"/>
              </w:rPr>
            </w:pPr>
          </w:p>
        </w:tc>
        <w:tc>
          <w:tcPr>
            <w:tcW w:w="2835" w:type="dxa"/>
            <w:shd w:val="clear" w:color="auto" w:fill="auto"/>
            <w:vAlign w:val="center"/>
          </w:tcPr>
          <w:p w14:paraId="53535EBB" w14:textId="183B8D56"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552772">
              <w:rPr>
                <w:rFonts w:ascii="Book Antiqua" w:eastAsia="宋体" w:hAnsi="Book Antiqua" w:hint="eastAsia"/>
                <w:lang w:eastAsia="zh-CN"/>
              </w:rPr>
              <w:t xml:space="preserve"> </w:t>
            </w:r>
            <w:r w:rsidRPr="00B758E7">
              <w:rPr>
                <w:rFonts w:ascii="Book Antiqua" w:hAnsi="Book Antiqua"/>
              </w:rPr>
              <w:t>0.0001</w:t>
            </w:r>
          </w:p>
        </w:tc>
      </w:tr>
      <w:tr w:rsidR="00B758E7" w:rsidRPr="00B758E7" w14:paraId="6292D7F4" w14:textId="77777777" w:rsidTr="00552772">
        <w:trPr>
          <w:trHeight w:val="26"/>
        </w:trPr>
        <w:tc>
          <w:tcPr>
            <w:tcW w:w="2835" w:type="dxa"/>
            <w:shd w:val="clear" w:color="auto" w:fill="auto"/>
            <w:tcMar>
              <w:top w:w="72" w:type="dxa"/>
              <w:left w:w="144" w:type="dxa"/>
              <w:bottom w:w="72" w:type="dxa"/>
              <w:right w:w="144" w:type="dxa"/>
            </w:tcMar>
            <w:vAlign w:val="center"/>
          </w:tcPr>
          <w:p w14:paraId="2617C1AC"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Alcohol alone </w:t>
            </w:r>
          </w:p>
        </w:tc>
        <w:tc>
          <w:tcPr>
            <w:tcW w:w="2835" w:type="dxa"/>
            <w:shd w:val="clear" w:color="auto" w:fill="auto"/>
            <w:tcMar>
              <w:top w:w="72" w:type="dxa"/>
              <w:left w:w="144" w:type="dxa"/>
              <w:bottom w:w="72" w:type="dxa"/>
              <w:right w:w="144" w:type="dxa"/>
            </w:tcMar>
            <w:vAlign w:val="center"/>
          </w:tcPr>
          <w:p w14:paraId="786DA066"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318 (16.17)</w:t>
            </w:r>
          </w:p>
        </w:tc>
        <w:tc>
          <w:tcPr>
            <w:tcW w:w="2835" w:type="dxa"/>
            <w:shd w:val="clear" w:color="auto" w:fill="auto"/>
            <w:tcMar>
              <w:top w:w="72" w:type="dxa"/>
              <w:left w:w="144" w:type="dxa"/>
              <w:bottom w:w="72" w:type="dxa"/>
              <w:right w:w="144" w:type="dxa"/>
            </w:tcMar>
            <w:vAlign w:val="center"/>
          </w:tcPr>
          <w:p w14:paraId="20AF5CBF" w14:textId="73ABF3D2" w:rsidR="00B66B98" w:rsidRPr="00B758E7" w:rsidRDefault="00552772" w:rsidP="00EE05FE">
            <w:pPr>
              <w:pStyle w:val="NoSpacing"/>
              <w:spacing w:line="360" w:lineRule="auto"/>
              <w:jc w:val="both"/>
              <w:rPr>
                <w:rFonts w:ascii="Book Antiqua" w:hAnsi="Book Antiqua"/>
              </w:rPr>
            </w:pPr>
            <w:r>
              <w:rPr>
                <w:rFonts w:ascii="Book Antiqua" w:hAnsi="Book Antiqua"/>
              </w:rPr>
              <w:t>4</w:t>
            </w:r>
            <w:r w:rsidR="00B66B98" w:rsidRPr="00B758E7">
              <w:rPr>
                <w:rFonts w:ascii="Book Antiqua" w:hAnsi="Book Antiqua"/>
              </w:rPr>
              <w:t>621 (10.06)</w:t>
            </w:r>
          </w:p>
        </w:tc>
        <w:tc>
          <w:tcPr>
            <w:tcW w:w="2835" w:type="dxa"/>
            <w:shd w:val="clear" w:color="auto" w:fill="auto"/>
            <w:vAlign w:val="center"/>
          </w:tcPr>
          <w:p w14:paraId="0285D040" w14:textId="77777777" w:rsidR="00B66B98" w:rsidRPr="00B758E7" w:rsidRDefault="00B66B98" w:rsidP="00EE05FE">
            <w:pPr>
              <w:pStyle w:val="NoSpacing"/>
              <w:spacing w:line="360" w:lineRule="auto"/>
              <w:jc w:val="both"/>
              <w:rPr>
                <w:rFonts w:ascii="Book Antiqua" w:hAnsi="Book Antiqua"/>
              </w:rPr>
            </w:pPr>
          </w:p>
        </w:tc>
      </w:tr>
      <w:tr w:rsidR="00B758E7" w:rsidRPr="00B758E7" w14:paraId="5A198DE9" w14:textId="77777777" w:rsidTr="00552772">
        <w:trPr>
          <w:trHeight w:val="26"/>
        </w:trPr>
        <w:tc>
          <w:tcPr>
            <w:tcW w:w="2835" w:type="dxa"/>
            <w:shd w:val="clear" w:color="auto" w:fill="auto"/>
            <w:tcMar>
              <w:top w:w="72" w:type="dxa"/>
              <w:left w:w="144" w:type="dxa"/>
              <w:bottom w:w="72" w:type="dxa"/>
              <w:right w:w="144" w:type="dxa"/>
            </w:tcMar>
            <w:vAlign w:val="center"/>
          </w:tcPr>
          <w:p w14:paraId="36738808"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Autoimmune </w:t>
            </w:r>
          </w:p>
        </w:tc>
        <w:tc>
          <w:tcPr>
            <w:tcW w:w="2835" w:type="dxa"/>
            <w:shd w:val="clear" w:color="auto" w:fill="auto"/>
            <w:tcMar>
              <w:top w:w="72" w:type="dxa"/>
              <w:left w:w="144" w:type="dxa"/>
              <w:bottom w:w="72" w:type="dxa"/>
              <w:right w:w="144" w:type="dxa"/>
            </w:tcMar>
            <w:vAlign w:val="center"/>
          </w:tcPr>
          <w:p w14:paraId="093663F7"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64 (3.26)</w:t>
            </w:r>
          </w:p>
        </w:tc>
        <w:tc>
          <w:tcPr>
            <w:tcW w:w="2835" w:type="dxa"/>
            <w:shd w:val="clear" w:color="auto" w:fill="auto"/>
            <w:tcMar>
              <w:top w:w="72" w:type="dxa"/>
              <w:left w:w="144" w:type="dxa"/>
              <w:bottom w:w="72" w:type="dxa"/>
              <w:right w:w="144" w:type="dxa"/>
            </w:tcMar>
            <w:vAlign w:val="center"/>
          </w:tcPr>
          <w:p w14:paraId="06A5B208" w14:textId="21B4823C" w:rsidR="00B66B98" w:rsidRPr="00B758E7" w:rsidRDefault="00552772" w:rsidP="00EE05FE">
            <w:pPr>
              <w:pStyle w:val="NoSpacing"/>
              <w:spacing w:line="360" w:lineRule="auto"/>
              <w:jc w:val="both"/>
              <w:rPr>
                <w:rFonts w:ascii="Book Antiqua" w:hAnsi="Book Antiqua"/>
              </w:rPr>
            </w:pPr>
            <w:r>
              <w:rPr>
                <w:rFonts w:ascii="Book Antiqua" w:hAnsi="Book Antiqua"/>
              </w:rPr>
              <w:t>1</w:t>
            </w:r>
            <w:r w:rsidR="00B66B98" w:rsidRPr="00B758E7">
              <w:rPr>
                <w:rFonts w:ascii="Book Antiqua" w:hAnsi="Book Antiqua"/>
              </w:rPr>
              <w:t>149 (2.50)</w:t>
            </w:r>
          </w:p>
        </w:tc>
        <w:tc>
          <w:tcPr>
            <w:tcW w:w="2835" w:type="dxa"/>
            <w:shd w:val="clear" w:color="auto" w:fill="auto"/>
            <w:vAlign w:val="center"/>
          </w:tcPr>
          <w:p w14:paraId="1DAB9255" w14:textId="77777777" w:rsidR="00B66B98" w:rsidRPr="00B758E7" w:rsidRDefault="00B66B98" w:rsidP="00EE05FE">
            <w:pPr>
              <w:pStyle w:val="NoSpacing"/>
              <w:spacing w:line="360" w:lineRule="auto"/>
              <w:jc w:val="both"/>
              <w:rPr>
                <w:rFonts w:ascii="Book Antiqua" w:hAnsi="Book Antiqua"/>
              </w:rPr>
            </w:pPr>
          </w:p>
        </w:tc>
      </w:tr>
      <w:tr w:rsidR="00B758E7" w:rsidRPr="00B758E7" w14:paraId="11E945D6" w14:textId="77777777" w:rsidTr="00552772">
        <w:trPr>
          <w:trHeight w:val="26"/>
        </w:trPr>
        <w:tc>
          <w:tcPr>
            <w:tcW w:w="2835" w:type="dxa"/>
            <w:shd w:val="clear" w:color="auto" w:fill="auto"/>
            <w:tcMar>
              <w:top w:w="72" w:type="dxa"/>
              <w:left w:w="144" w:type="dxa"/>
              <w:bottom w:w="72" w:type="dxa"/>
              <w:right w:w="144" w:type="dxa"/>
            </w:tcMar>
            <w:vAlign w:val="center"/>
          </w:tcPr>
          <w:p w14:paraId="216604FB" w14:textId="77777777" w:rsidR="00B66B98" w:rsidRPr="00B758E7" w:rsidRDefault="00B66B98" w:rsidP="00EE05FE">
            <w:pPr>
              <w:pStyle w:val="NoSpacing"/>
              <w:spacing w:line="360" w:lineRule="auto"/>
              <w:jc w:val="both"/>
              <w:rPr>
                <w:rFonts w:ascii="Book Antiqua" w:hAnsi="Book Antiqua"/>
                <w:b/>
              </w:rPr>
            </w:pPr>
            <w:proofErr w:type="spellStart"/>
            <w:r w:rsidRPr="00B758E7">
              <w:rPr>
                <w:rFonts w:ascii="Book Antiqua" w:hAnsi="Book Antiqua"/>
                <w:b/>
              </w:rPr>
              <w:t>Cholestatic</w:t>
            </w:r>
            <w:proofErr w:type="spellEnd"/>
            <w:r w:rsidRPr="00B758E7">
              <w:rPr>
                <w:rFonts w:ascii="Book Antiqua" w:hAnsi="Book Antiqua"/>
                <w:b/>
              </w:rPr>
              <w:t xml:space="preserve"> disease </w:t>
            </w:r>
          </w:p>
        </w:tc>
        <w:tc>
          <w:tcPr>
            <w:tcW w:w="2835" w:type="dxa"/>
            <w:shd w:val="clear" w:color="auto" w:fill="auto"/>
            <w:tcMar>
              <w:top w:w="72" w:type="dxa"/>
              <w:left w:w="144" w:type="dxa"/>
              <w:bottom w:w="72" w:type="dxa"/>
              <w:right w:w="144" w:type="dxa"/>
            </w:tcMar>
            <w:vAlign w:val="center"/>
          </w:tcPr>
          <w:p w14:paraId="61D9C2C9"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113 (5.75)</w:t>
            </w:r>
          </w:p>
        </w:tc>
        <w:tc>
          <w:tcPr>
            <w:tcW w:w="2835" w:type="dxa"/>
            <w:shd w:val="clear" w:color="auto" w:fill="auto"/>
            <w:tcMar>
              <w:top w:w="72" w:type="dxa"/>
              <w:left w:w="144" w:type="dxa"/>
              <w:bottom w:w="72" w:type="dxa"/>
              <w:right w:w="144" w:type="dxa"/>
            </w:tcMar>
            <w:vAlign w:val="center"/>
          </w:tcPr>
          <w:p w14:paraId="7A127C4C" w14:textId="65B2EE6A" w:rsidR="00B66B98" w:rsidRPr="00B758E7" w:rsidRDefault="00552772" w:rsidP="00EE05FE">
            <w:pPr>
              <w:pStyle w:val="NoSpacing"/>
              <w:spacing w:line="360" w:lineRule="auto"/>
              <w:jc w:val="both"/>
              <w:rPr>
                <w:rFonts w:ascii="Book Antiqua" w:hAnsi="Book Antiqua"/>
              </w:rPr>
            </w:pPr>
            <w:r>
              <w:rPr>
                <w:rFonts w:ascii="Book Antiqua" w:hAnsi="Book Antiqua"/>
              </w:rPr>
              <w:t>3</w:t>
            </w:r>
            <w:r w:rsidR="00B66B98" w:rsidRPr="00B758E7">
              <w:rPr>
                <w:rFonts w:ascii="Book Antiqua" w:hAnsi="Book Antiqua"/>
              </w:rPr>
              <w:t>337 (7.27)</w:t>
            </w:r>
          </w:p>
        </w:tc>
        <w:tc>
          <w:tcPr>
            <w:tcW w:w="2835" w:type="dxa"/>
            <w:shd w:val="clear" w:color="auto" w:fill="auto"/>
            <w:vAlign w:val="center"/>
          </w:tcPr>
          <w:p w14:paraId="3237634D" w14:textId="77777777" w:rsidR="00B66B98" w:rsidRPr="00B758E7" w:rsidRDefault="00B66B98" w:rsidP="00EE05FE">
            <w:pPr>
              <w:pStyle w:val="NoSpacing"/>
              <w:spacing w:line="360" w:lineRule="auto"/>
              <w:jc w:val="both"/>
              <w:rPr>
                <w:rFonts w:ascii="Book Antiqua" w:hAnsi="Book Antiqua"/>
              </w:rPr>
            </w:pPr>
          </w:p>
        </w:tc>
      </w:tr>
      <w:tr w:rsidR="00B758E7" w:rsidRPr="00B758E7" w14:paraId="2A9C99D7" w14:textId="77777777" w:rsidTr="00552772">
        <w:trPr>
          <w:trHeight w:val="26"/>
        </w:trPr>
        <w:tc>
          <w:tcPr>
            <w:tcW w:w="2835" w:type="dxa"/>
            <w:shd w:val="clear" w:color="auto" w:fill="auto"/>
            <w:tcMar>
              <w:top w:w="72" w:type="dxa"/>
              <w:left w:w="144" w:type="dxa"/>
              <w:bottom w:w="72" w:type="dxa"/>
              <w:right w:w="144" w:type="dxa"/>
            </w:tcMar>
            <w:vAlign w:val="center"/>
          </w:tcPr>
          <w:p w14:paraId="3D28D372"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Hepatitis B </w:t>
            </w:r>
          </w:p>
        </w:tc>
        <w:tc>
          <w:tcPr>
            <w:tcW w:w="2835" w:type="dxa"/>
            <w:shd w:val="clear" w:color="auto" w:fill="auto"/>
            <w:tcMar>
              <w:top w:w="72" w:type="dxa"/>
              <w:left w:w="144" w:type="dxa"/>
              <w:bottom w:w="72" w:type="dxa"/>
              <w:right w:w="144" w:type="dxa"/>
            </w:tcMar>
            <w:vAlign w:val="center"/>
          </w:tcPr>
          <w:p w14:paraId="624498CD"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69 (3.51)</w:t>
            </w:r>
          </w:p>
        </w:tc>
        <w:tc>
          <w:tcPr>
            <w:tcW w:w="2835" w:type="dxa"/>
            <w:shd w:val="clear" w:color="auto" w:fill="auto"/>
            <w:tcMar>
              <w:top w:w="72" w:type="dxa"/>
              <w:left w:w="144" w:type="dxa"/>
              <w:bottom w:w="72" w:type="dxa"/>
              <w:right w:w="144" w:type="dxa"/>
            </w:tcMar>
            <w:vAlign w:val="center"/>
          </w:tcPr>
          <w:p w14:paraId="7CA6C8E2" w14:textId="417F45A5" w:rsidR="00B66B98" w:rsidRPr="00B758E7" w:rsidRDefault="00552772" w:rsidP="00EE05FE">
            <w:pPr>
              <w:pStyle w:val="NoSpacing"/>
              <w:spacing w:line="360" w:lineRule="auto"/>
              <w:jc w:val="both"/>
              <w:rPr>
                <w:rFonts w:ascii="Book Antiqua" w:hAnsi="Book Antiqua"/>
              </w:rPr>
            </w:pPr>
            <w:r>
              <w:rPr>
                <w:rFonts w:ascii="Book Antiqua" w:hAnsi="Book Antiqua"/>
              </w:rPr>
              <w:t>1</w:t>
            </w:r>
            <w:r w:rsidR="00B66B98" w:rsidRPr="00B758E7">
              <w:rPr>
                <w:rFonts w:ascii="Book Antiqua" w:hAnsi="Book Antiqua"/>
              </w:rPr>
              <w:t>014 (2.21)</w:t>
            </w:r>
          </w:p>
        </w:tc>
        <w:tc>
          <w:tcPr>
            <w:tcW w:w="2835" w:type="dxa"/>
            <w:shd w:val="clear" w:color="auto" w:fill="auto"/>
            <w:vAlign w:val="center"/>
          </w:tcPr>
          <w:p w14:paraId="25759332" w14:textId="77777777" w:rsidR="00B66B98" w:rsidRPr="00B758E7" w:rsidRDefault="00B66B98" w:rsidP="00EE05FE">
            <w:pPr>
              <w:pStyle w:val="NoSpacing"/>
              <w:spacing w:line="360" w:lineRule="auto"/>
              <w:jc w:val="both"/>
              <w:rPr>
                <w:rFonts w:ascii="Book Antiqua" w:hAnsi="Book Antiqua"/>
              </w:rPr>
            </w:pPr>
          </w:p>
        </w:tc>
      </w:tr>
      <w:tr w:rsidR="00B758E7" w:rsidRPr="00B758E7" w14:paraId="3A49E356" w14:textId="77777777" w:rsidTr="00552772">
        <w:trPr>
          <w:trHeight w:val="26"/>
        </w:trPr>
        <w:tc>
          <w:tcPr>
            <w:tcW w:w="2835" w:type="dxa"/>
            <w:shd w:val="clear" w:color="auto" w:fill="auto"/>
            <w:tcMar>
              <w:top w:w="72" w:type="dxa"/>
              <w:left w:w="144" w:type="dxa"/>
              <w:bottom w:w="72" w:type="dxa"/>
              <w:right w:w="144" w:type="dxa"/>
            </w:tcMar>
            <w:vAlign w:val="center"/>
          </w:tcPr>
          <w:p w14:paraId="54C69B2E"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Hepatitis C </w:t>
            </w:r>
          </w:p>
        </w:tc>
        <w:tc>
          <w:tcPr>
            <w:tcW w:w="2835" w:type="dxa"/>
            <w:shd w:val="clear" w:color="auto" w:fill="auto"/>
            <w:tcMar>
              <w:top w:w="72" w:type="dxa"/>
              <w:left w:w="144" w:type="dxa"/>
              <w:bottom w:w="72" w:type="dxa"/>
              <w:right w:w="144" w:type="dxa"/>
            </w:tcMar>
            <w:vAlign w:val="center"/>
          </w:tcPr>
          <w:p w14:paraId="623C17E3"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809 (41.15)</w:t>
            </w:r>
          </w:p>
        </w:tc>
        <w:tc>
          <w:tcPr>
            <w:tcW w:w="2835" w:type="dxa"/>
            <w:shd w:val="clear" w:color="auto" w:fill="auto"/>
            <w:tcMar>
              <w:top w:w="72" w:type="dxa"/>
              <w:left w:w="144" w:type="dxa"/>
              <w:bottom w:w="72" w:type="dxa"/>
              <w:right w:w="144" w:type="dxa"/>
            </w:tcMar>
            <w:vAlign w:val="center"/>
          </w:tcPr>
          <w:p w14:paraId="366D5A0C" w14:textId="6A5334E3" w:rsidR="00B66B98" w:rsidRPr="00B758E7" w:rsidRDefault="00552772" w:rsidP="00EE05FE">
            <w:pPr>
              <w:pStyle w:val="NoSpacing"/>
              <w:spacing w:line="360" w:lineRule="auto"/>
              <w:jc w:val="both"/>
              <w:rPr>
                <w:rFonts w:ascii="Book Antiqua" w:hAnsi="Book Antiqua"/>
              </w:rPr>
            </w:pPr>
            <w:r>
              <w:rPr>
                <w:rFonts w:ascii="Book Antiqua" w:hAnsi="Book Antiqua"/>
              </w:rPr>
              <w:t>13</w:t>
            </w:r>
            <w:r w:rsidR="00B66B98" w:rsidRPr="00B758E7">
              <w:rPr>
                <w:rFonts w:ascii="Book Antiqua" w:hAnsi="Book Antiqua"/>
              </w:rPr>
              <w:t>557 (29.53)</w:t>
            </w:r>
          </w:p>
        </w:tc>
        <w:tc>
          <w:tcPr>
            <w:tcW w:w="2835" w:type="dxa"/>
            <w:shd w:val="clear" w:color="auto" w:fill="auto"/>
            <w:vAlign w:val="center"/>
          </w:tcPr>
          <w:p w14:paraId="1C245E7F" w14:textId="77777777" w:rsidR="00B66B98" w:rsidRPr="00B758E7" w:rsidRDefault="00B66B98" w:rsidP="00EE05FE">
            <w:pPr>
              <w:pStyle w:val="NoSpacing"/>
              <w:spacing w:line="360" w:lineRule="auto"/>
              <w:jc w:val="both"/>
              <w:rPr>
                <w:rFonts w:ascii="Book Antiqua" w:hAnsi="Book Antiqua"/>
              </w:rPr>
            </w:pPr>
          </w:p>
        </w:tc>
      </w:tr>
      <w:tr w:rsidR="00B758E7" w:rsidRPr="00B758E7" w14:paraId="4C5A0212" w14:textId="77777777" w:rsidTr="00552772">
        <w:trPr>
          <w:trHeight w:val="26"/>
        </w:trPr>
        <w:tc>
          <w:tcPr>
            <w:tcW w:w="2835" w:type="dxa"/>
            <w:shd w:val="clear" w:color="auto" w:fill="auto"/>
            <w:tcMar>
              <w:top w:w="72" w:type="dxa"/>
              <w:left w:w="144" w:type="dxa"/>
              <w:bottom w:w="72" w:type="dxa"/>
              <w:right w:w="144" w:type="dxa"/>
            </w:tcMar>
            <w:vAlign w:val="center"/>
          </w:tcPr>
          <w:p w14:paraId="3FA332BC"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Liver malignancy </w:t>
            </w:r>
          </w:p>
        </w:tc>
        <w:tc>
          <w:tcPr>
            <w:tcW w:w="2835" w:type="dxa"/>
            <w:shd w:val="clear" w:color="auto" w:fill="auto"/>
            <w:tcMar>
              <w:top w:w="72" w:type="dxa"/>
              <w:left w:w="144" w:type="dxa"/>
              <w:bottom w:w="72" w:type="dxa"/>
              <w:right w:w="144" w:type="dxa"/>
            </w:tcMar>
            <w:vAlign w:val="center"/>
          </w:tcPr>
          <w:p w14:paraId="72DE1DA0"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126 (6.41)</w:t>
            </w:r>
          </w:p>
        </w:tc>
        <w:tc>
          <w:tcPr>
            <w:tcW w:w="2835" w:type="dxa"/>
            <w:shd w:val="clear" w:color="auto" w:fill="auto"/>
            <w:tcMar>
              <w:top w:w="72" w:type="dxa"/>
              <w:left w:w="144" w:type="dxa"/>
              <w:bottom w:w="72" w:type="dxa"/>
              <w:right w:w="144" w:type="dxa"/>
            </w:tcMar>
            <w:vAlign w:val="center"/>
          </w:tcPr>
          <w:p w14:paraId="4E238054" w14:textId="25A2924F" w:rsidR="00B66B98" w:rsidRPr="00B758E7" w:rsidRDefault="00552772" w:rsidP="00EE05FE">
            <w:pPr>
              <w:pStyle w:val="NoSpacing"/>
              <w:spacing w:line="360" w:lineRule="auto"/>
              <w:jc w:val="both"/>
              <w:rPr>
                <w:rFonts w:ascii="Book Antiqua" w:hAnsi="Book Antiqua"/>
              </w:rPr>
            </w:pPr>
            <w:r>
              <w:rPr>
                <w:rFonts w:ascii="Book Antiqua" w:hAnsi="Book Antiqua"/>
              </w:rPr>
              <w:t>6</w:t>
            </w:r>
            <w:r w:rsidR="00B66B98" w:rsidRPr="00B758E7">
              <w:rPr>
                <w:rFonts w:ascii="Book Antiqua" w:hAnsi="Book Antiqua"/>
              </w:rPr>
              <w:t>435 (14.02)</w:t>
            </w:r>
          </w:p>
        </w:tc>
        <w:tc>
          <w:tcPr>
            <w:tcW w:w="2835" w:type="dxa"/>
            <w:shd w:val="clear" w:color="auto" w:fill="auto"/>
            <w:vAlign w:val="center"/>
          </w:tcPr>
          <w:p w14:paraId="42FF0470" w14:textId="77777777" w:rsidR="00B66B98" w:rsidRPr="00B758E7" w:rsidRDefault="00B66B98" w:rsidP="00EE05FE">
            <w:pPr>
              <w:pStyle w:val="NoSpacing"/>
              <w:spacing w:line="360" w:lineRule="auto"/>
              <w:jc w:val="both"/>
              <w:rPr>
                <w:rFonts w:ascii="Book Antiqua" w:hAnsi="Book Antiqua"/>
              </w:rPr>
            </w:pPr>
          </w:p>
        </w:tc>
      </w:tr>
      <w:tr w:rsidR="00B758E7" w:rsidRPr="00B758E7" w14:paraId="17029A88" w14:textId="77777777" w:rsidTr="00552772">
        <w:trPr>
          <w:trHeight w:val="26"/>
        </w:trPr>
        <w:tc>
          <w:tcPr>
            <w:tcW w:w="2835" w:type="dxa"/>
            <w:shd w:val="clear" w:color="auto" w:fill="auto"/>
            <w:tcMar>
              <w:top w:w="72" w:type="dxa"/>
              <w:left w:w="144" w:type="dxa"/>
              <w:bottom w:w="72" w:type="dxa"/>
              <w:right w:w="144" w:type="dxa"/>
            </w:tcMar>
            <w:vAlign w:val="center"/>
          </w:tcPr>
          <w:p w14:paraId="340E4E06" w14:textId="26C01934" w:rsidR="00B66B98" w:rsidRPr="00B758E7" w:rsidRDefault="00552772" w:rsidP="00EE05FE">
            <w:pPr>
              <w:pStyle w:val="NoSpacing"/>
              <w:spacing w:line="360" w:lineRule="auto"/>
              <w:jc w:val="both"/>
              <w:rPr>
                <w:rFonts w:ascii="Book Antiqua" w:hAnsi="Book Antiqua"/>
                <w:b/>
              </w:rPr>
            </w:pPr>
            <w:r>
              <w:rPr>
                <w:rFonts w:ascii="Book Antiqua" w:hAnsi="Book Antiqua"/>
                <w:b/>
              </w:rPr>
              <w:t>NASH/</w:t>
            </w:r>
            <w:r w:rsidR="00B66B98" w:rsidRPr="00B758E7">
              <w:rPr>
                <w:rFonts w:ascii="Book Antiqua" w:hAnsi="Book Antiqua"/>
                <w:b/>
              </w:rPr>
              <w:t xml:space="preserve">cryptogenic </w:t>
            </w:r>
          </w:p>
        </w:tc>
        <w:tc>
          <w:tcPr>
            <w:tcW w:w="2835" w:type="dxa"/>
            <w:shd w:val="clear" w:color="auto" w:fill="auto"/>
            <w:tcMar>
              <w:top w:w="72" w:type="dxa"/>
              <w:left w:w="144" w:type="dxa"/>
              <w:bottom w:w="72" w:type="dxa"/>
              <w:right w:w="144" w:type="dxa"/>
            </w:tcMar>
            <w:vAlign w:val="center"/>
          </w:tcPr>
          <w:p w14:paraId="23D3FBB9"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175 (8.90)</w:t>
            </w:r>
          </w:p>
        </w:tc>
        <w:tc>
          <w:tcPr>
            <w:tcW w:w="2835" w:type="dxa"/>
            <w:shd w:val="clear" w:color="auto" w:fill="auto"/>
            <w:tcMar>
              <w:top w:w="72" w:type="dxa"/>
              <w:left w:w="144" w:type="dxa"/>
              <w:bottom w:w="72" w:type="dxa"/>
              <w:right w:w="144" w:type="dxa"/>
            </w:tcMar>
            <w:vAlign w:val="center"/>
          </w:tcPr>
          <w:p w14:paraId="166C9CE2" w14:textId="1D437655" w:rsidR="00B66B98" w:rsidRPr="00B758E7" w:rsidRDefault="00552772" w:rsidP="00EE05FE">
            <w:pPr>
              <w:pStyle w:val="NoSpacing"/>
              <w:spacing w:line="360" w:lineRule="auto"/>
              <w:jc w:val="both"/>
              <w:rPr>
                <w:rFonts w:ascii="Book Antiqua" w:hAnsi="Book Antiqua"/>
              </w:rPr>
            </w:pPr>
            <w:r>
              <w:rPr>
                <w:rFonts w:ascii="Book Antiqua" w:hAnsi="Book Antiqua"/>
              </w:rPr>
              <w:t>4</w:t>
            </w:r>
            <w:r w:rsidR="00B66B98" w:rsidRPr="00B758E7">
              <w:rPr>
                <w:rFonts w:ascii="Book Antiqua" w:hAnsi="Book Antiqua"/>
              </w:rPr>
              <w:t>214 (9.18)</w:t>
            </w:r>
          </w:p>
        </w:tc>
        <w:tc>
          <w:tcPr>
            <w:tcW w:w="2835" w:type="dxa"/>
            <w:shd w:val="clear" w:color="auto" w:fill="auto"/>
            <w:vAlign w:val="center"/>
          </w:tcPr>
          <w:p w14:paraId="5FCB582D" w14:textId="77777777" w:rsidR="00B66B98" w:rsidRPr="00B758E7" w:rsidRDefault="00B66B98" w:rsidP="00EE05FE">
            <w:pPr>
              <w:pStyle w:val="NoSpacing"/>
              <w:spacing w:line="360" w:lineRule="auto"/>
              <w:jc w:val="both"/>
              <w:rPr>
                <w:rFonts w:ascii="Book Antiqua" w:hAnsi="Book Antiqua"/>
              </w:rPr>
            </w:pPr>
          </w:p>
        </w:tc>
      </w:tr>
      <w:tr w:rsidR="00B758E7" w:rsidRPr="00B758E7" w14:paraId="445EC288" w14:textId="77777777" w:rsidTr="00552772">
        <w:trPr>
          <w:trHeight w:val="26"/>
        </w:trPr>
        <w:tc>
          <w:tcPr>
            <w:tcW w:w="2835" w:type="dxa"/>
            <w:shd w:val="clear" w:color="auto" w:fill="auto"/>
            <w:tcMar>
              <w:top w:w="72" w:type="dxa"/>
              <w:left w:w="144" w:type="dxa"/>
              <w:bottom w:w="72" w:type="dxa"/>
              <w:right w:w="144" w:type="dxa"/>
            </w:tcMar>
            <w:vAlign w:val="center"/>
          </w:tcPr>
          <w:p w14:paraId="59EF0143"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Other </w:t>
            </w:r>
          </w:p>
        </w:tc>
        <w:tc>
          <w:tcPr>
            <w:tcW w:w="2835" w:type="dxa"/>
            <w:shd w:val="clear" w:color="auto" w:fill="auto"/>
            <w:tcMar>
              <w:top w:w="72" w:type="dxa"/>
              <w:left w:w="144" w:type="dxa"/>
              <w:bottom w:w="72" w:type="dxa"/>
              <w:right w:w="144" w:type="dxa"/>
            </w:tcMar>
            <w:vAlign w:val="center"/>
          </w:tcPr>
          <w:p w14:paraId="41104779"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292 (14.85)</w:t>
            </w:r>
          </w:p>
        </w:tc>
        <w:tc>
          <w:tcPr>
            <w:tcW w:w="2835" w:type="dxa"/>
            <w:shd w:val="clear" w:color="auto" w:fill="auto"/>
            <w:tcMar>
              <w:top w:w="72" w:type="dxa"/>
              <w:left w:w="144" w:type="dxa"/>
              <w:bottom w:w="72" w:type="dxa"/>
              <w:right w:w="144" w:type="dxa"/>
            </w:tcMar>
            <w:vAlign w:val="center"/>
          </w:tcPr>
          <w:p w14:paraId="2892C885" w14:textId="105AB934" w:rsidR="00B66B98" w:rsidRPr="00B758E7" w:rsidRDefault="00552772" w:rsidP="00EE05FE">
            <w:pPr>
              <w:pStyle w:val="NoSpacing"/>
              <w:spacing w:line="360" w:lineRule="auto"/>
              <w:jc w:val="both"/>
              <w:rPr>
                <w:rFonts w:ascii="Book Antiqua" w:hAnsi="Book Antiqua"/>
              </w:rPr>
            </w:pPr>
            <w:r>
              <w:rPr>
                <w:rFonts w:ascii="Book Antiqua" w:hAnsi="Book Antiqua"/>
              </w:rPr>
              <w:t>11</w:t>
            </w:r>
            <w:r w:rsidR="00B66B98" w:rsidRPr="00B758E7">
              <w:rPr>
                <w:rFonts w:ascii="Book Antiqua" w:hAnsi="Book Antiqua"/>
              </w:rPr>
              <w:t>587 (25.24)</w:t>
            </w:r>
          </w:p>
        </w:tc>
        <w:tc>
          <w:tcPr>
            <w:tcW w:w="2835" w:type="dxa"/>
            <w:shd w:val="clear" w:color="auto" w:fill="auto"/>
            <w:vAlign w:val="center"/>
          </w:tcPr>
          <w:p w14:paraId="22236ECF" w14:textId="77777777" w:rsidR="00B66B98" w:rsidRPr="00B758E7" w:rsidRDefault="00B66B98" w:rsidP="00EE05FE">
            <w:pPr>
              <w:pStyle w:val="NoSpacing"/>
              <w:spacing w:line="360" w:lineRule="auto"/>
              <w:jc w:val="both"/>
              <w:rPr>
                <w:rFonts w:ascii="Book Antiqua" w:hAnsi="Book Antiqua"/>
              </w:rPr>
            </w:pPr>
          </w:p>
        </w:tc>
      </w:tr>
      <w:tr w:rsidR="00B758E7" w:rsidRPr="00B758E7" w14:paraId="4D2E71AB" w14:textId="77777777" w:rsidTr="00552772">
        <w:trPr>
          <w:trHeight w:val="26"/>
        </w:trPr>
        <w:tc>
          <w:tcPr>
            <w:tcW w:w="2835" w:type="dxa"/>
            <w:shd w:val="clear" w:color="auto" w:fill="auto"/>
            <w:tcMar>
              <w:top w:w="72" w:type="dxa"/>
              <w:left w:w="144" w:type="dxa"/>
              <w:bottom w:w="72" w:type="dxa"/>
              <w:right w:w="144" w:type="dxa"/>
            </w:tcMar>
            <w:vAlign w:val="center"/>
          </w:tcPr>
          <w:p w14:paraId="0259B241"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Liver </w:t>
            </w:r>
            <w:proofErr w:type="spellStart"/>
            <w:r w:rsidRPr="00B758E7">
              <w:rPr>
                <w:rFonts w:ascii="Book Antiqua" w:hAnsi="Book Antiqua"/>
                <w:b/>
              </w:rPr>
              <w:t>retransplantation</w:t>
            </w:r>
            <w:proofErr w:type="spellEnd"/>
          </w:p>
        </w:tc>
        <w:tc>
          <w:tcPr>
            <w:tcW w:w="2835" w:type="dxa"/>
            <w:shd w:val="clear" w:color="auto" w:fill="auto"/>
            <w:tcMar>
              <w:top w:w="72" w:type="dxa"/>
              <w:left w:w="144" w:type="dxa"/>
              <w:bottom w:w="72" w:type="dxa"/>
              <w:right w:w="144" w:type="dxa"/>
            </w:tcMar>
            <w:vAlign w:val="center"/>
          </w:tcPr>
          <w:p w14:paraId="461808BB"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145 (7.38)</w:t>
            </w:r>
          </w:p>
        </w:tc>
        <w:tc>
          <w:tcPr>
            <w:tcW w:w="2835" w:type="dxa"/>
            <w:shd w:val="clear" w:color="auto" w:fill="auto"/>
            <w:tcMar>
              <w:top w:w="72" w:type="dxa"/>
              <w:left w:w="144" w:type="dxa"/>
              <w:bottom w:w="72" w:type="dxa"/>
              <w:right w:w="144" w:type="dxa"/>
            </w:tcMar>
            <w:vAlign w:val="center"/>
          </w:tcPr>
          <w:p w14:paraId="2313D2B7" w14:textId="542DD909" w:rsidR="00B66B98" w:rsidRPr="00B758E7" w:rsidRDefault="00552772" w:rsidP="00EE05FE">
            <w:pPr>
              <w:pStyle w:val="NoSpacing"/>
              <w:spacing w:line="360" w:lineRule="auto"/>
              <w:jc w:val="both"/>
              <w:rPr>
                <w:rFonts w:ascii="Book Antiqua" w:hAnsi="Book Antiqua"/>
              </w:rPr>
            </w:pPr>
            <w:r>
              <w:rPr>
                <w:rFonts w:ascii="Book Antiqua" w:hAnsi="Book Antiqua"/>
              </w:rPr>
              <w:t>3</w:t>
            </w:r>
            <w:r w:rsidR="00B66B98" w:rsidRPr="00B758E7">
              <w:rPr>
                <w:rFonts w:ascii="Book Antiqua" w:hAnsi="Book Antiqua"/>
              </w:rPr>
              <w:t>711 (8.08)</w:t>
            </w:r>
          </w:p>
        </w:tc>
        <w:tc>
          <w:tcPr>
            <w:tcW w:w="2835" w:type="dxa"/>
            <w:shd w:val="clear" w:color="auto" w:fill="auto"/>
            <w:vAlign w:val="center"/>
          </w:tcPr>
          <w:p w14:paraId="4A878CB9"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0.259</w:t>
            </w:r>
          </w:p>
        </w:tc>
      </w:tr>
    </w:tbl>
    <w:p w14:paraId="09CB8C82" w14:textId="77777777" w:rsidR="00B66B98" w:rsidRPr="00B758E7" w:rsidRDefault="00B66B98" w:rsidP="00EE05FE">
      <w:pPr>
        <w:pStyle w:val="NoSpacing"/>
        <w:spacing w:line="360" w:lineRule="auto"/>
        <w:jc w:val="both"/>
        <w:rPr>
          <w:rFonts w:ascii="Book Antiqua" w:hAnsi="Book Antiqua"/>
        </w:rPr>
      </w:pPr>
    </w:p>
    <w:p w14:paraId="0E6EA601" w14:textId="36DC1E10" w:rsidR="00552772" w:rsidRPr="00EB65B9" w:rsidRDefault="00552772" w:rsidP="00552772">
      <w:pPr>
        <w:pStyle w:val="NoSpacing"/>
        <w:spacing w:line="360" w:lineRule="auto"/>
        <w:jc w:val="both"/>
        <w:rPr>
          <w:rFonts w:ascii="Book Antiqua" w:eastAsia="宋体" w:hAnsi="Book Antiqua"/>
          <w:lang w:eastAsia="zh-CN"/>
        </w:rPr>
      </w:pPr>
      <w:r w:rsidRPr="00B758E7">
        <w:rPr>
          <w:rFonts w:ascii="Book Antiqua" w:hAnsi="Book Antiqua"/>
        </w:rPr>
        <w:t>Categorical variables are expressed as number and column percent. Continuous variables are expressed as mean and 95%</w:t>
      </w:r>
      <w:r w:rsidR="00EB65B9">
        <w:rPr>
          <w:rFonts w:ascii="Book Antiqua" w:eastAsia="宋体" w:hAnsi="Book Antiqua" w:hint="eastAsia"/>
          <w:lang w:eastAsia="zh-CN"/>
        </w:rPr>
        <w:t>CI</w:t>
      </w:r>
      <w:r w:rsidRPr="00B758E7">
        <w:rPr>
          <w:rFonts w:ascii="Book Antiqua" w:hAnsi="Book Antiqua"/>
        </w:rPr>
        <w:t>s unless otherwise specified.</w:t>
      </w:r>
      <w:r w:rsidR="00EB65B9" w:rsidRPr="00EB65B9">
        <w:rPr>
          <w:rFonts w:ascii="Book Antiqua" w:hAnsi="Book Antiqua"/>
          <w:bCs/>
        </w:rPr>
        <w:t xml:space="preserve"> SBP</w:t>
      </w:r>
      <w:r w:rsidR="00EB65B9" w:rsidRPr="00EB65B9">
        <w:rPr>
          <w:rFonts w:ascii="Book Antiqua" w:eastAsia="宋体" w:hAnsi="Book Antiqua" w:hint="eastAsia"/>
          <w:bCs/>
          <w:lang w:eastAsia="zh-CN"/>
        </w:rPr>
        <w:t xml:space="preserve">: </w:t>
      </w:r>
      <w:r w:rsidR="00EB65B9" w:rsidRPr="00EB65B9">
        <w:rPr>
          <w:rFonts w:ascii="Book Antiqua" w:hAnsi="Book Antiqua"/>
        </w:rPr>
        <w:t>Spontaneous bacterial peritonitis</w:t>
      </w:r>
      <w:r w:rsidR="00EB65B9" w:rsidRPr="00EB65B9">
        <w:rPr>
          <w:rFonts w:ascii="Book Antiqua" w:eastAsia="宋体" w:hAnsi="Book Antiqua" w:hint="eastAsia"/>
          <w:lang w:eastAsia="zh-CN"/>
        </w:rPr>
        <w:t>;</w:t>
      </w:r>
      <w:r w:rsidR="00EB65B9" w:rsidRPr="00EB65B9">
        <w:rPr>
          <w:rFonts w:ascii="Book Antiqua" w:hAnsi="Book Antiqua"/>
        </w:rPr>
        <w:t xml:space="preserve"> MELD</w:t>
      </w:r>
      <w:r w:rsidR="00EB65B9" w:rsidRPr="00EB65B9">
        <w:rPr>
          <w:rFonts w:ascii="Book Antiqua" w:eastAsia="宋体" w:hAnsi="Book Antiqua" w:hint="eastAsia"/>
          <w:lang w:eastAsia="zh-CN"/>
        </w:rPr>
        <w:t xml:space="preserve">: </w:t>
      </w:r>
      <w:r w:rsidR="00EB65B9" w:rsidRPr="00EB65B9">
        <w:rPr>
          <w:rFonts w:ascii="Book Antiqua" w:hAnsi="Book Antiqua"/>
        </w:rPr>
        <w:t>Model for End Stage Liver Disease</w:t>
      </w:r>
      <w:r w:rsidR="00EB65B9" w:rsidRPr="00EB65B9">
        <w:rPr>
          <w:rFonts w:ascii="Book Antiqua" w:eastAsia="宋体" w:hAnsi="Book Antiqua" w:hint="eastAsia"/>
          <w:lang w:eastAsia="zh-CN"/>
        </w:rPr>
        <w:t>;</w:t>
      </w:r>
      <w:r w:rsidR="00EB65B9" w:rsidRPr="00EB65B9">
        <w:rPr>
          <w:rFonts w:ascii="Book Antiqua" w:hAnsi="Book Antiqua"/>
        </w:rPr>
        <w:t xml:space="preserve"> NASH</w:t>
      </w:r>
      <w:r w:rsidR="00EB65B9" w:rsidRPr="00EB65B9">
        <w:rPr>
          <w:rFonts w:ascii="Book Antiqua" w:hAnsi="Book Antiqua" w:hint="eastAsia"/>
        </w:rPr>
        <w:t>:</w:t>
      </w:r>
      <w:r w:rsidR="00EB65B9" w:rsidRPr="00EB65B9">
        <w:rPr>
          <w:rFonts w:ascii="Book Antiqua" w:hAnsi="Book Antiqua"/>
        </w:rPr>
        <w:t xml:space="preserve"> Nonalcoholic </w:t>
      </w:r>
      <w:proofErr w:type="spellStart"/>
      <w:r w:rsidR="00EB65B9" w:rsidRPr="00EB65B9">
        <w:rPr>
          <w:rFonts w:ascii="Book Antiqua" w:hAnsi="Book Antiqua"/>
        </w:rPr>
        <w:t>steatohepatitis</w:t>
      </w:r>
      <w:proofErr w:type="spellEnd"/>
      <w:r w:rsidR="00EB65B9" w:rsidRPr="00EB65B9">
        <w:rPr>
          <w:rFonts w:ascii="Book Antiqua" w:hAnsi="Book Antiqua" w:hint="eastAsia"/>
        </w:rPr>
        <w:t>.</w:t>
      </w:r>
    </w:p>
    <w:p w14:paraId="60DA1378" w14:textId="77777777" w:rsidR="00B66B98" w:rsidRPr="00B758E7" w:rsidRDefault="00B66B98" w:rsidP="00EE05FE">
      <w:pPr>
        <w:spacing w:line="360" w:lineRule="auto"/>
        <w:jc w:val="both"/>
        <w:rPr>
          <w:rFonts w:ascii="Book Antiqua" w:hAnsi="Book Antiqua"/>
        </w:rPr>
      </w:pPr>
      <w:r w:rsidRPr="00B758E7">
        <w:rPr>
          <w:rFonts w:ascii="Book Antiqua" w:hAnsi="Book Antiqua"/>
        </w:rPr>
        <w:br w:type="page"/>
      </w:r>
    </w:p>
    <w:p w14:paraId="41683D69" w14:textId="4BFBEE76" w:rsidR="00B66B98" w:rsidRPr="00A81ACC" w:rsidRDefault="00A81ACC" w:rsidP="00EE05FE">
      <w:pPr>
        <w:pStyle w:val="NoSpacing"/>
        <w:spacing w:line="360" w:lineRule="auto"/>
        <w:jc w:val="both"/>
        <w:rPr>
          <w:rFonts w:ascii="Book Antiqua" w:eastAsia="宋体" w:hAnsi="Book Antiqua"/>
          <w:b/>
          <w:lang w:eastAsia="zh-CN"/>
        </w:rPr>
      </w:pPr>
      <w:r w:rsidRPr="00A81ACC">
        <w:rPr>
          <w:rFonts w:ascii="Book Antiqua" w:hAnsi="Book Antiqua"/>
          <w:b/>
        </w:rPr>
        <w:lastRenderedPageBreak/>
        <w:t>Table 2</w:t>
      </w:r>
      <w:r w:rsidR="00B66B98" w:rsidRPr="00A81ACC">
        <w:rPr>
          <w:rFonts w:ascii="Book Antiqua" w:hAnsi="Book Antiqua"/>
          <w:b/>
        </w:rPr>
        <w:t xml:space="preserve"> Cause of graft failure in patients with</w:t>
      </w:r>
      <w:r w:rsidRPr="00A81ACC">
        <w:rPr>
          <w:rFonts w:ascii="Book Antiqua" w:hAnsi="Book Antiqua"/>
          <w:b/>
        </w:rPr>
        <w:t xml:space="preserve"> and without a history of spontaneous bacterial peritonitis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44"/>
        <w:gridCol w:w="2246"/>
        <w:gridCol w:w="1925"/>
        <w:gridCol w:w="1594"/>
      </w:tblGrid>
      <w:tr w:rsidR="00B758E7" w:rsidRPr="00B758E7" w14:paraId="6320E230" w14:textId="77777777" w:rsidTr="00A81ACC">
        <w:trPr>
          <w:trHeight w:val="27"/>
        </w:trPr>
        <w:tc>
          <w:tcPr>
            <w:tcW w:w="3744" w:type="dxa"/>
            <w:shd w:val="clear" w:color="auto" w:fill="auto"/>
            <w:tcMar>
              <w:top w:w="72" w:type="dxa"/>
              <w:left w:w="144" w:type="dxa"/>
              <w:bottom w:w="72" w:type="dxa"/>
              <w:right w:w="144" w:type="dxa"/>
            </w:tcMar>
            <w:vAlign w:val="bottom"/>
          </w:tcPr>
          <w:p w14:paraId="5708B8D7" w14:textId="694D9E63"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Cause of </w:t>
            </w:r>
            <w:r w:rsidR="00A81ACC" w:rsidRPr="00B758E7">
              <w:rPr>
                <w:rFonts w:ascii="Book Antiqua" w:hAnsi="Book Antiqua"/>
                <w:b/>
              </w:rPr>
              <w:t>graft failu</w:t>
            </w:r>
            <w:r w:rsidRPr="00B758E7">
              <w:rPr>
                <w:rFonts w:ascii="Book Antiqua" w:hAnsi="Book Antiqua"/>
                <w:b/>
              </w:rPr>
              <w:t>re</w:t>
            </w:r>
          </w:p>
        </w:tc>
        <w:tc>
          <w:tcPr>
            <w:tcW w:w="2246" w:type="dxa"/>
            <w:shd w:val="clear" w:color="auto" w:fill="auto"/>
            <w:tcMar>
              <w:top w:w="72" w:type="dxa"/>
              <w:left w:w="144" w:type="dxa"/>
              <w:bottom w:w="72" w:type="dxa"/>
              <w:right w:w="144" w:type="dxa"/>
            </w:tcMar>
            <w:vAlign w:val="bottom"/>
          </w:tcPr>
          <w:p w14:paraId="04A7E5D4" w14:textId="3A267292" w:rsidR="00B66B98" w:rsidRPr="00B758E7" w:rsidRDefault="00B66B98" w:rsidP="00EE05FE">
            <w:pPr>
              <w:pStyle w:val="NoSpacing"/>
              <w:spacing w:line="360" w:lineRule="auto"/>
              <w:jc w:val="both"/>
              <w:rPr>
                <w:rFonts w:ascii="Book Antiqua" w:hAnsi="Book Antiqua"/>
                <w:b/>
                <w:bCs/>
              </w:rPr>
            </w:pPr>
            <w:r w:rsidRPr="00B758E7">
              <w:rPr>
                <w:rFonts w:ascii="Book Antiqua" w:hAnsi="Book Antiqua"/>
                <w:b/>
                <w:bCs/>
              </w:rPr>
              <w:t xml:space="preserve">History of </w:t>
            </w:r>
            <w:r w:rsidR="00A81ACC" w:rsidRPr="00B758E7">
              <w:rPr>
                <w:rFonts w:ascii="Book Antiqua" w:hAnsi="Book Antiqua"/>
                <w:b/>
                <w:bCs/>
              </w:rPr>
              <w:t>p</w:t>
            </w:r>
            <w:r w:rsidRPr="00B758E7">
              <w:rPr>
                <w:rFonts w:ascii="Book Antiqua" w:hAnsi="Book Antiqua"/>
                <w:b/>
                <w:bCs/>
              </w:rPr>
              <w:t>re-transplant SBP</w:t>
            </w:r>
          </w:p>
          <w:p w14:paraId="3828A1B3" w14:textId="21E10AC8" w:rsidR="00B66B98" w:rsidRPr="00B758E7" w:rsidRDefault="00B66B98" w:rsidP="00EE05FE">
            <w:pPr>
              <w:pStyle w:val="NoSpacing"/>
              <w:spacing w:line="360" w:lineRule="auto"/>
              <w:jc w:val="both"/>
              <w:rPr>
                <w:rFonts w:ascii="Book Antiqua" w:hAnsi="Book Antiqua"/>
              </w:rPr>
            </w:pPr>
            <w:r w:rsidRPr="00B758E7">
              <w:rPr>
                <w:rFonts w:ascii="Book Antiqua" w:hAnsi="Book Antiqua"/>
                <w:b/>
                <w:bCs/>
              </w:rPr>
              <w:t>(</w:t>
            </w:r>
            <w:r w:rsidRPr="00A81ACC">
              <w:rPr>
                <w:rFonts w:ascii="Book Antiqua" w:hAnsi="Book Antiqua"/>
                <w:b/>
                <w:bCs/>
                <w:i/>
              </w:rPr>
              <w:t>n</w:t>
            </w:r>
            <w:r w:rsidR="00A81ACC">
              <w:rPr>
                <w:rFonts w:ascii="Book Antiqua" w:eastAsia="宋体" w:hAnsi="Book Antiqua" w:hint="eastAsia"/>
                <w:b/>
                <w:bCs/>
                <w:lang w:eastAsia="zh-CN"/>
              </w:rPr>
              <w:t xml:space="preserve"> </w:t>
            </w:r>
            <w:r w:rsidRPr="00B758E7">
              <w:rPr>
                <w:rFonts w:ascii="Book Antiqua" w:hAnsi="Book Antiqua"/>
                <w:b/>
                <w:bCs/>
              </w:rPr>
              <w:t>=</w:t>
            </w:r>
            <w:r w:rsidR="00A81ACC">
              <w:rPr>
                <w:rFonts w:ascii="Book Antiqua" w:eastAsia="宋体" w:hAnsi="Book Antiqua" w:hint="eastAsia"/>
                <w:b/>
                <w:bCs/>
                <w:lang w:eastAsia="zh-CN"/>
              </w:rPr>
              <w:t xml:space="preserve"> </w:t>
            </w:r>
            <w:r w:rsidR="00A81ACC">
              <w:rPr>
                <w:rFonts w:ascii="Book Antiqua" w:hAnsi="Book Antiqua"/>
                <w:b/>
                <w:bCs/>
              </w:rPr>
              <w:t>1</w:t>
            </w:r>
            <w:r w:rsidRPr="00B758E7">
              <w:rPr>
                <w:rFonts w:ascii="Book Antiqua" w:hAnsi="Book Antiqua"/>
                <w:b/>
                <w:bCs/>
              </w:rPr>
              <w:t>966)</w:t>
            </w:r>
          </w:p>
        </w:tc>
        <w:tc>
          <w:tcPr>
            <w:tcW w:w="1925" w:type="dxa"/>
            <w:shd w:val="clear" w:color="auto" w:fill="auto"/>
            <w:tcMar>
              <w:top w:w="72" w:type="dxa"/>
              <w:left w:w="144" w:type="dxa"/>
              <w:bottom w:w="72" w:type="dxa"/>
              <w:right w:w="144" w:type="dxa"/>
            </w:tcMar>
            <w:vAlign w:val="bottom"/>
          </w:tcPr>
          <w:p w14:paraId="09D025E6" w14:textId="3655AF27" w:rsidR="00B66B98" w:rsidRPr="00B758E7" w:rsidRDefault="00B66B98" w:rsidP="00EE05FE">
            <w:pPr>
              <w:pStyle w:val="NoSpacing"/>
              <w:spacing w:line="360" w:lineRule="auto"/>
              <w:jc w:val="both"/>
              <w:rPr>
                <w:rFonts w:ascii="Book Antiqua" w:hAnsi="Book Antiqua"/>
                <w:b/>
                <w:bCs/>
              </w:rPr>
            </w:pPr>
            <w:r w:rsidRPr="00B758E7">
              <w:rPr>
                <w:rFonts w:ascii="Book Antiqua" w:hAnsi="Book Antiqua"/>
                <w:b/>
                <w:bCs/>
              </w:rPr>
              <w:t xml:space="preserve">No </w:t>
            </w:r>
            <w:r w:rsidR="00A81ACC" w:rsidRPr="00B758E7">
              <w:rPr>
                <w:rFonts w:ascii="Book Antiqua" w:hAnsi="Book Antiqua"/>
                <w:b/>
                <w:bCs/>
              </w:rPr>
              <w:t>h</w:t>
            </w:r>
            <w:r w:rsidRPr="00B758E7">
              <w:rPr>
                <w:rFonts w:ascii="Book Antiqua" w:hAnsi="Book Antiqua"/>
                <w:b/>
                <w:bCs/>
              </w:rPr>
              <w:t>istory of SBP</w:t>
            </w:r>
          </w:p>
          <w:p w14:paraId="114AA22D" w14:textId="13111175" w:rsidR="00B66B98" w:rsidRPr="00B758E7" w:rsidRDefault="00A81ACC" w:rsidP="00EE05FE">
            <w:pPr>
              <w:pStyle w:val="NoSpacing"/>
              <w:spacing w:line="360" w:lineRule="auto"/>
              <w:jc w:val="both"/>
              <w:rPr>
                <w:rFonts w:ascii="Book Antiqua" w:hAnsi="Book Antiqua"/>
              </w:rPr>
            </w:pPr>
            <w:r>
              <w:rPr>
                <w:rFonts w:ascii="Book Antiqua" w:hAnsi="Book Antiqua"/>
                <w:b/>
                <w:bCs/>
              </w:rPr>
              <w:t>(</w:t>
            </w:r>
            <w:r w:rsidRPr="00A81ACC">
              <w:rPr>
                <w:rFonts w:ascii="Book Antiqua" w:hAnsi="Book Antiqua"/>
                <w:b/>
                <w:bCs/>
                <w:i/>
              </w:rPr>
              <w:t>n</w:t>
            </w:r>
            <w:r>
              <w:rPr>
                <w:rFonts w:ascii="Book Antiqua" w:eastAsia="宋体" w:hAnsi="Book Antiqua" w:hint="eastAsia"/>
                <w:b/>
                <w:bCs/>
                <w:lang w:eastAsia="zh-CN"/>
              </w:rPr>
              <w:t xml:space="preserve"> </w:t>
            </w:r>
            <w:r>
              <w:rPr>
                <w:rFonts w:ascii="Book Antiqua" w:hAnsi="Book Antiqua"/>
                <w:b/>
                <w:bCs/>
              </w:rPr>
              <w:t>=</w:t>
            </w:r>
            <w:r>
              <w:rPr>
                <w:rFonts w:ascii="Book Antiqua" w:eastAsia="宋体" w:hAnsi="Book Antiqua" w:hint="eastAsia"/>
                <w:b/>
                <w:bCs/>
                <w:lang w:eastAsia="zh-CN"/>
              </w:rPr>
              <w:t xml:space="preserve"> </w:t>
            </w:r>
            <w:r>
              <w:rPr>
                <w:rFonts w:ascii="Book Antiqua" w:hAnsi="Book Antiqua"/>
                <w:b/>
                <w:bCs/>
              </w:rPr>
              <w:t>45</w:t>
            </w:r>
            <w:r w:rsidR="00B66B98" w:rsidRPr="00B758E7">
              <w:rPr>
                <w:rFonts w:ascii="Book Antiqua" w:hAnsi="Book Antiqua"/>
                <w:b/>
                <w:bCs/>
              </w:rPr>
              <w:t>914)</w:t>
            </w:r>
          </w:p>
        </w:tc>
        <w:tc>
          <w:tcPr>
            <w:tcW w:w="1594" w:type="dxa"/>
            <w:shd w:val="clear" w:color="auto" w:fill="auto"/>
            <w:vAlign w:val="bottom"/>
          </w:tcPr>
          <w:p w14:paraId="773C65F8" w14:textId="33CB8EC1" w:rsidR="00B66B98" w:rsidRPr="00B758E7" w:rsidRDefault="00A81ACC" w:rsidP="00EE05FE">
            <w:pPr>
              <w:pStyle w:val="NoSpacing"/>
              <w:spacing w:line="360" w:lineRule="auto"/>
              <w:jc w:val="both"/>
              <w:rPr>
                <w:rFonts w:ascii="Book Antiqua" w:hAnsi="Book Antiqua"/>
                <w:b/>
                <w:bCs/>
              </w:rPr>
            </w:pPr>
            <w:r w:rsidRPr="00A81ACC">
              <w:rPr>
                <w:rFonts w:ascii="Book Antiqua" w:hAnsi="Book Antiqua"/>
                <w:b/>
                <w:bCs/>
                <w:i/>
              </w:rPr>
              <w:t>P</w:t>
            </w:r>
            <w:r w:rsidR="00B66B98" w:rsidRPr="00B758E7">
              <w:rPr>
                <w:rFonts w:ascii="Book Antiqua" w:hAnsi="Book Antiqua"/>
                <w:b/>
                <w:bCs/>
              </w:rPr>
              <w:t>-value</w:t>
            </w:r>
          </w:p>
        </w:tc>
      </w:tr>
      <w:tr w:rsidR="00B758E7" w:rsidRPr="00B758E7" w14:paraId="056880E9" w14:textId="77777777" w:rsidTr="00A81ACC">
        <w:trPr>
          <w:trHeight w:val="26"/>
        </w:trPr>
        <w:tc>
          <w:tcPr>
            <w:tcW w:w="3744" w:type="dxa"/>
            <w:shd w:val="clear" w:color="auto" w:fill="auto"/>
            <w:tcMar>
              <w:top w:w="72" w:type="dxa"/>
              <w:left w:w="144" w:type="dxa"/>
              <w:bottom w:w="72" w:type="dxa"/>
              <w:right w:w="144" w:type="dxa"/>
            </w:tcMar>
            <w:vAlign w:val="bottom"/>
          </w:tcPr>
          <w:p w14:paraId="7F923874"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 xml:space="preserve">Biliary </w:t>
            </w:r>
          </w:p>
        </w:tc>
        <w:tc>
          <w:tcPr>
            <w:tcW w:w="2246" w:type="dxa"/>
            <w:shd w:val="clear" w:color="auto" w:fill="auto"/>
            <w:tcMar>
              <w:top w:w="72" w:type="dxa"/>
              <w:left w:w="144" w:type="dxa"/>
              <w:bottom w:w="72" w:type="dxa"/>
              <w:right w:w="144" w:type="dxa"/>
            </w:tcMar>
            <w:vAlign w:val="center"/>
          </w:tcPr>
          <w:p w14:paraId="278CC55C"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24 (1.22)</w:t>
            </w:r>
          </w:p>
        </w:tc>
        <w:tc>
          <w:tcPr>
            <w:tcW w:w="1925" w:type="dxa"/>
            <w:shd w:val="clear" w:color="auto" w:fill="auto"/>
            <w:tcMar>
              <w:top w:w="72" w:type="dxa"/>
              <w:left w:w="144" w:type="dxa"/>
              <w:bottom w:w="72" w:type="dxa"/>
              <w:right w:w="144" w:type="dxa"/>
            </w:tcMar>
            <w:vAlign w:val="center"/>
          </w:tcPr>
          <w:p w14:paraId="5E7C20C7"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423 (0.92)</w:t>
            </w:r>
          </w:p>
        </w:tc>
        <w:tc>
          <w:tcPr>
            <w:tcW w:w="1594" w:type="dxa"/>
            <w:shd w:val="clear" w:color="auto" w:fill="auto"/>
            <w:vAlign w:val="center"/>
          </w:tcPr>
          <w:p w14:paraId="5B0261A3"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0.176</w:t>
            </w:r>
          </w:p>
        </w:tc>
      </w:tr>
      <w:tr w:rsidR="00B758E7" w:rsidRPr="00B758E7" w14:paraId="0EDB43A4" w14:textId="77777777" w:rsidTr="00A81ACC">
        <w:trPr>
          <w:trHeight w:val="26"/>
        </w:trPr>
        <w:tc>
          <w:tcPr>
            <w:tcW w:w="3744" w:type="dxa"/>
            <w:shd w:val="clear" w:color="auto" w:fill="auto"/>
            <w:tcMar>
              <w:top w:w="72" w:type="dxa"/>
              <w:left w:w="144" w:type="dxa"/>
              <w:bottom w:w="72" w:type="dxa"/>
              <w:right w:w="144" w:type="dxa"/>
            </w:tcMar>
            <w:vAlign w:val="bottom"/>
          </w:tcPr>
          <w:p w14:paraId="15262431" w14:textId="77777777" w:rsidR="00B66B98" w:rsidRPr="00B758E7" w:rsidRDefault="00B66B98" w:rsidP="00EE05FE">
            <w:pPr>
              <w:pStyle w:val="NoSpacing"/>
              <w:spacing w:line="360" w:lineRule="auto"/>
              <w:jc w:val="both"/>
              <w:rPr>
                <w:rFonts w:ascii="Book Antiqua" w:hAnsi="Book Antiqua"/>
                <w:b/>
              </w:rPr>
            </w:pPr>
            <w:r w:rsidRPr="00D57832">
              <w:rPr>
                <w:rFonts w:ascii="Book Antiqua" w:hAnsi="Book Antiqua"/>
                <w:b/>
                <w:i/>
              </w:rPr>
              <w:t>De novo</w:t>
            </w:r>
            <w:r w:rsidRPr="00B758E7">
              <w:rPr>
                <w:rFonts w:ascii="Book Antiqua" w:hAnsi="Book Antiqua"/>
                <w:b/>
              </w:rPr>
              <w:t xml:space="preserve"> autoimmune hepatitis</w:t>
            </w:r>
          </w:p>
        </w:tc>
        <w:tc>
          <w:tcPr>
            <w:tcW w:w="2246" w:type="dxa"/>
            <w:shd w:val="clear" w:color="auto" w:fill="auto"/>
            <w:tcMar>
              <w:top w:w="72" w:type="dxa"/>
              <w:left w:w="144" w:type="dxa"/>
              <w:bottom w:w="72" w:type="dxa"/>
              <w:right w:w="144" w:type="dxa"/>
            </w:tcMar>
            <w:vAlign w:val="center"/>
          </w:tcPr>
          <w:p w14:paraId="73473275"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2 (0.10)</w:t>
            </w:r>
          </w:p>
        </w:tc>
        <w:tc>
          <w:tcPr>
            <w:tcW w:w="1925" w:type="dxa"/>
            <w:shd w:val="clear" w:color="auto" w:fill="auto"/>
            <w:tcMar>
              <w:top w:w="72" w:type="dxa"/>
              <w:left w:w="144" w:type="dxa"/>
              <w:bottom w:w="72" w:type="dxa"/>
              <w:right w:w="144" w:type="dxa"/>
            </w:tcMar>
            <w:vAlign w:val="center"/>
          </w:tcPr>
          <w:p w14:paraId="0D67975C"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17 (0.04)</w:t>
            </w:r>
          </w:p>
        </w:tc>
        <w:tc>
          <w:tcPr>
            <w:tcW w:w="1594" w:type="dxa"/>
            <w:shd w:val="clear" w:color="auto" w:fill="auto"/>
            <w:vAlign w:val="center"/>
          </w:tcPr>
          <w:p w14:paraId="5A266AC7"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0.182</w:t>
            </w:r>
          </w:p>
        </w:tc>
      </w:tr>
      <w:tr w:rsidR="00B758E7" w:rsidRPr="00B758E7" w14:paraId="3BE7A4A1" w14:textId="77777777" w:rsidTr="00A81ACC">
        <w:trPr>
          <w:trHeight w:val="26"/>
        </w:trPr>
        <w:tc>
          <w:tcPr>
            <w:tcW w:w="3744" w:type="dxa"/>
            <w:shd w:val="clear" w:color="auto" w:fill="auto"/>
            <w:tcMar>
              <w:top w:w="72" w:type="dxa"/>
              <w:left w:w="144" w:type="dxa"/>
              <w:bottom w:w="72" w:type="dxa"/>
              <w:right w:w="144" w:type="dxa"/>
            </w:tcMar>
            <w:vAlign w:val="bottom"/>
          </w:tcPr>
          <w:p w14:paraId="0CBE9AE9"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Recurrent viral hepatitis</w:t>
            </w:r>
          </w:p>
        </w:tc>
        <w:tc>
          <w:tcPr>
            <w:tcW w:w="2246" w:type="dxa"/>
            <w:shd w:val="clear" w:color="auto" w:fill="auto"/>
            <w:tcMar>
              <w:top w:w="72" w:type="dxa"/>
              <w:left w:w="144" w:type="dxa"/>
              <w:bottom w:w="72" w:type="dxa"/>
              <w:right w:w="144" w:type="dxa"/>
            </w:tcMar>
            <w:vAlign w:val="center"/>
          </w:tcPr>
          <w:p w14:paraId="07499631"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71 (3.61)</w:t>
            </w:r>
          </w:p>
        </w:tc>
        <w:tc>
          <w:tcPr>
            <w:tcW w:w="1925" w:type="dxa"/>
            <w:shd w:val="clear" w:color="auto" w:fill="auto"/>
            <w:tcMar>
              <w:top w:w="72" w:type="dxa"/>
              <w:left w:w="144" w:type="dxa"/>
              <w:bottom w:w="72" w:type="dxa"/>
              <w:right w:w="144" w:type="dxa"/>
            </w:tcMar>
            <w:vAlign w:val="center"/>
          </w:tcPr>
          <w:p w14:paraId="2D139C76"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936 (2.04)</w:t>
            </w:r>
          </w:p>
        </w:tc>
        <w:tc>
          <w:tcPr>
            <w:tcW w:w="1594" w:type="dxa"/>
            <w:shd w:val="clear" w:color="auto" w:fill="auto"/>
            <w:vAlign w:val="center"/>
          </w:tcPr>
          <w:p w14:paraId="6466195B" w14:textId="61C22649"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A81ACC">
              <w:rPr>
                <w:rFonts w:ascii="Book Antiqua" w:eastAsia="宋体" w:hAnsi="Book Antiqua" w:hint="eastAsia"/>
                <w:lang w:eastAsia="zh-CN"/>
              </w:rPr>
              <w:t xml:space="preserve"> </w:t>
            </w:r>
            <w:r w:rsidRPr="00B758E7">
              <w:rPr>
                <w:rFonts w:ascii="Book Antiqua" w:hAnsi="Book Antiqua"/>
              </w:rPr>
              <w:t>0.0001</w:t>
            </w:r>
          </w:p>
        </w:tc>
      </w:tr>
      <w:tr w:rsidR="00B758E7" w:rsidRPr="00B758E7" w14:paraId="2614458C" w14:textId="77777777" w:rsidTr="00A81ACC">
        <w:trPr>
          <w:trHeight w:val="26"/>
        </w:trPr>
        <w:tc>
          <w:tcPr>
            <w:tcW w:w="3744" w:type="dxa"/>
            <w:shd w:val="clear" w:color="auto" w:fill="auto"/>
            <w:tcMar>
              <w:top w:w="72" w:type="dxa"/>
              <w:left w:w="144" w:type="dxa"/>
              <w:bottom w:w="72" w:type="dxa"/>
              <w:right w:w="144" w:type="dxa"/>
            </w:tcMar>
            <w:vAlign w:val="bottom"/>
          </w:tcPr>
          <w:p w14:paraId="40A395E5"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Infection</w:t>
            </w:r>
          </w:p>
        </w:tc>
        <w:tc>
          <w:tcPr>
            <w:tcW w:w="2246" w:type="dxa"/>
            <w:shd w:val="clear" w:color="auto" w:fill="auto"/>
            <w:tcMar>
              <w:top w:w="72" w:type="dxa"/>
              <w:left w:w="144" w:type="dxa"/>
              <w:bottom w:w="72" w:type="dxa"/>
              <w:right w:w="144" w:type="dxa"/>
            </w:tcMar>
            <w:vAlign w:val="center"/>
          </w:tcPr>
          <w:p w14:paraId="5EBA5120"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37 (1.88)</w:t>
            </w:r>
          </w:p>
        </w:tc>
        <w:tc>
          <w:tcPr>
            <w:tcW w:w="1925" w:type="dxa"/>
            <w:shd w:val="clear" w:color="auto" w:fill="auto"/>
            <w:tcMar>
              <w:top w:w="72" w:type="dxa"/>
              <w:left w:w="144" w:type="dxa"/>
              <w:bottom w:w="72" w:type="dxa"/>
              <w:right w:w="144" w:type="dxa"/>
            </w:tcMar>
            <w:vAlign w:val="center"/>
          </w:tcPr>
          <w:p w14:paraId="2CC717C9"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585 (1.27)</w:t>
            </w:r>
          </w:p>
        </w:tc>
        <w:tc>
          <w:tcPr>
            <w:tcW w:w="1594" w:type="dxa"/>
            <w:shd w:val="clear" w:color="auto" w:fill="auto"/>
            <w:vAlign w:val="center"/>
          </w:tcPr>
          <w:p w14:paraId="6CE847B8"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0.020</w:t>
            </w:r>
          </w:p>
        </w:tc>
      </w:tr>
      <w:tr w:rsidR="00B758E7" w:rsidRPr="00B758E7" w14:paraId="6D5D337D" w14:textId="77777777" w:rsidTr="00A81ACC">
        <w:trPr>
          <w:trHeight w:val="26"/>
        </w:trPr>
        <w:tc>
          <w:tcPr>
            <w:tcW w:w="3744" w:type="dxa"/>
            <w:shd w:val="clear" w:color="auto" w:fill="auto"/>
            <w:tcMar>
              <w:top w:w="72" w:type="dxa"/>
              <w:left w:w="144" w:type="dxa"/>
              <w:bottom w:w="72" w:type="dxa"/>
              <w:right w:w="144" w:type="dxa"/>
            </w:tcMar>
            <w:vAlign w:val="center"/>
          </w:tcPr>
          <w:p w14:paraId="72BCCE51"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Primary non-function</w:t>
            </w:r>
          </w:p>
        </w:tc>
        <w:tc>
          <w:tcPr>
            <w:tcW w:w="2246" w:type="dxa"/>
            <w:shd w:val="clear" w:color="auto" w:fill="auto"/>
            <w:tcMar>
              <w:top w:w="72" w:type="dxa"/>
              <w:left w:w="144" w:type="dxa"/>
              <w:bottom w:w="72" w:type="dxa"/>
              <w:right w:w="144" w:type="dxa"/>
            </w:tcMar>
            <w:vAlign w:val="center"/>
          </w:tcPr>
          <w:p w14:paraId="5043FE0C"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84 (4.27)</w:t>
            </w:r>
          </w:p>
        </w:tc>
        <w:tc>
          <w:tcPr>
            <w:tcW w:w="1925" w:type="dxa"/>
            <w:shd w:val="clear" w:color="auto" w:fill="auto"/>
            <w:tcMar>
              <w:top w:w="72" w:type="dxa"/>
              <w:left w:w="144" w:type="dxa"/>
              <w:bottom w:w="72" w:type="dxa"/>
              <w:right w:w="144" w:type="dxa"/>
            </w:tcMar>
            <w:vAlign w:val="center"/>
          </w:tcPr>
          <w:p w14:paraId="5B75FFAE" w14:textId="24AA2CCB" w:rsidR="00B66B98" w:rsidRPr="00B758E7" w:rsidRDefault="00D57832" w:rsidP="00EE05FE">
            <w:pPr>
              <w:pStyle w:val="NoSpacing"/>
              <w:spacing w:line="360" w:lineRule="auto"/>
              <w:jc w:val="both"/>
              <w:rPr>
                <w:rFonts w:ascii="Book Antiqua" w:hAnsi="Book Antiqua"/>
              </w:rPr>
            </w:pPr>
            <w:r>
              <w:rPr>
                <w:rFonts w:ascii="Book Antiqua" w:hAnsi="Book Antiqua"/>
              </w:rPr>
              <w:t>1</w:t>
            </w:r>
            <w:r w:rsidR="00B66B98" w:rsidRPr="00B758E7">
              <w:rPr>
                <w:rFonts w:ascii="Book Antiqua" w:hAnsi="Book Antiqua"/>
              </w:rPr>
              <w:t>352 (2.94)</w:t>
            </w:r>
          </w:p>
        </w:tc>
        <w:tc>
          <w:tcPr>
            <w:tcW w:w="1594" w:type="dxa"/>
            <w:shd w:val="clear" w:color="auto" w:fill="auto"/>
            <w:vAlign w:val="center"/>
          </w:tcPr>
          <w:p w14:paraId="58DE9093" w14:textId="7043B50E"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A81ACC">
              <w:rPr>
                <w:rFonts w:ascii="Book Antiqua" w:eastAsia="宋体" w:hAnsi="Book Antiqua" w:hint="eastAsia"/>
                <w:lang w:eastAsia="zh-CN"/>
              </w:rPr>
              <w:t xml:space="preserve"> </w:t>
            </w:r>
            <w:r w:rsidRPr="00B758E7">
              <w:rPr>
                <w:rFonts w:ascii="Book Antiqua" w:hAnsi="Book Antiqua"/>
              </w:rPr>
              <w:t>0.0001</w:t>
            </w:r>
          </w:p>
        </w:tc>
      </w:tr>
      <w:tr w:rsidR="00B758E7" w:rsidRPr="00B758E7" w14:paraId="3EEBEA99" w14:textId="77777777" w:rsidTr="00A81ACC">
        <w:trPr>
          <w:trHeight w:val="26"/>
        </w:trPr>
        <w:tc>
          <w:tcPr>
            <w:tcW w:w="3744" w:type="dxa"/>
            <w:shd w:val="clear" w:color="auto" w:fill="auto"/>
            <w:tcMar>
              <w:top w:w="72" w:type="dxa"/>
              <w:left w:w="144" w:type="dxa"/>
              <w:bottom w:w="72" w:type="dxa"/>
              <w:right w:w="144" w:type="dxa"/>
            </w:tcMar>
            <w:vAlign w:val="bottom"/>
          </w:tcPr>
          <w:p w14:paraId="2B8D2551"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Recurrent non-viral disease</w:t>
            </w:r>
          </w:p>
        </w:tc>
        <w:tc>
          <w:tcPr>
            <w:tcW w:w="2246" w:type="dxa"/>
            <w:shd w:val="clear" w:color="auto" w:fill="auto"/>
            <w:tcMar>
              <w:top w:w="72" w:type="dxa"/>
              <w:left w:w="144" w:type="dxa"/>
              <w:bottom w:w="72" w:type="dxa"/>
              <w:right w:w="144" w:type="dxa"/>
            </w:tcMar>
            <w:vAlign w:val="center"/>
          </w:tcPr>
          <w:p w14:paraId="60DD6546"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26 (1.32)</w:t>
            </w:r>
          </w:p>
        </w:tc>
        <w:tc>
          <w:tcPr>
            <w:tcW w:w="1925" w:type="dxa"/>
            <w:shd w:val="clear" w:color="auto" w:fill="auto"/>
            <w:tcMar>
              <w:top w:w="72" w:type="dxa"/>
              <w:left w:w="144" w:type="dxa"/>
              <w:bottom w:w="72" w:type="dxa"/>
              <w:right w:w="144" w:type="dxa"/>
            </w:tcMar>
            <w:vAlign w:val="center"/>
          </w:tcPr>
          <w:p w14:paraId="288307E5"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547 (1.19)</w:t>
            </w:r>
          </w:p>
        </w:tc>
        <w:tc>
          <w:tcPr>
            <w:tcW w:w="1594" w:type="dxa"/>
            <w:shd w:val="clear" w:color="auto" w:fill="auto"/>
            <w:vAlign w:val="center"/>
          </w:tcPr>
          <w:p w14:paraId="45D2B163"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0.600</w:t>
            </w:r>
          </w:p>
        </w:tc>
      </w:tr>
      <w:tr w:rsidR="00B758E7" w:rsidRPr="00B758E7" w14:paraId="30FE791B" w14:textId="77777777" w:rsidTr="00A81ACC">
        <w:trPr>
          <w:trHeight w:val="26"/>
        </w:trPr>
        <w:tc>
          <w:tcPr>
            <w:tcW w:w="3744" w:type="dxa"/>
            <w:shd w:val="clear" w:color="auto" w:fill="auto"/>
            <w:tcMar>
              <w:top w:w="72" w:type="dxa"/>
              <w:left w:w="144" w:type="dxa"/>
              <w:bottom w:w="72" w:type="dxa"/>
              <w:right w:w="144" w:type="dxa"/>
            </w:tcMar>
            <w:vAlign w:val="center"/>
          </w:tcPr>
          <w:p w14:paraId="7B93BBEE"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Acute rejection</w:t>
            </w:r>
          </w:p>
        </w:tc>
        <w:tc>
          <w:tcPr>
            <w:tcW w:w="2246" w:type="dxa"/>
            <w:shd w:val="clear" w:color="auto" w:fill="auto"/>
            <w:tcMar>
              <w:top w:w="72" w:type="dxa"/>
              <w:left w:w="144" w:type="dxa"/>
              <w:bottom w:w="72" w:type="dxa"/>
              <w:right w:w="144" w:type="dxa"/>
            </w:tcMar>
            <w:vAlign w:val="center"/>
          </w:tcPr>
          <w:p w14:paraId="6D9D9D2F"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18 (0.92)</w:t>
            </w:r>
          </w:p>
        </w:tc>
        <w:tc>
          <w:tcPr>
            <w:tcW w:w="1925" w:type="dxa"/>
            <w:shd w:val="clear" w:color="auto" w:fill="auto"/>
            <w:tcMar>
              <w:top w:w="72" w:type="dxa"/>
              <w:left w:w="144" w:type="dxa"/>
              <w:bottom w:w="72" w:type="dxa"/>
              <w:right w:w="144" w:type="dxa"/>
            </w:tcMar>
            <w:vAlign w:val="center"/>
          </w:tcPr>
          <w:p w14:paraId="52A3FA80"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289 (0.63)</w:t>
            </w:r>
          </w:p>
        </w:tc>
        <w:tc>
          <w:tcPr>
            <w:tcW w:w="1594" w:type="dxa"/>
            <w:shd w:val="clear" w:color="auto" w:fill="auto"/>
            <w:vAlign w:val="center"/>
          </w:tcPr>
          <w:p w14:paraId="77CDE606"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0.120</w:t>
            </w:r>
          </w:p>
        </w:tc>
      </w:tr>
      <w:tr w:rsidR="00B758E7" w:rsidRPr="00B758E7" w14:paraId="716DD192" w14:textId="77777777" w:rsidTr="00A81ACC">
        <w:trPr>
          <w:trHeight w:val="26"/>
        </w:trPr>
        <w:tc>
          <w:tcPr>
            <w:tcW w:w="3744" w:type="dxa"/>
            <w:shd w:val="clear" w:color="auto" w:fill="auto"/>
            <w:tcMar>
              <w:top w:w="72" w:type="dxa"/>
              <w:left w:w="144" w:type="dxa"/>
              <w:bottom w:w="72" w:type="dxa"/>
              <w:right w:w="144" w:type="dxa"/>
            </w:tcMar>
            <w:vAlign w:val="center"/>
          </w:tcPr>
          <w:p w14:paraId="2D78BD47"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Chronic rejection</w:t>
            </w:r>
          </w:p>
        </w:tc>
        <w:tc>
          <w:tcPr>
            <w:tcW w:w="2246" w:type="dxa"/>
            <w:shd w:val="clear" w:color="auto" w:fill="auto"/>
            <w:tcMar>
              <w:top w:w="72" w:type="dxa"/>
              <w:left w:w="144" w:type="dxa"/>
              <w:bottom w:w="72" w:type="dxa"/>
              <w:right w:w="144" w:type="dxa"/>
            </w:tcMar>
            <w:vAlign w:val="center"/>
          </w:tcPr>
          <w:p w14:paraId="0C0216AD"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21 (1.07)</w:t>
            </w:r>
          </w:p>
        </w:tc>
        <w:tc>
          <w:tcPr>
            <w:tcW w:w="1925" w:type="dxa"/>
            <w:shd w:val="clear" w:color="auto" w:fill="auto"/>
            <w:tcMar>
              <w:top w:w="72" w:type="dxa"/>
              <w:left w:w="144" w:type="dxa"/>
              <w:bottom w:w="72" w:type="dxa"/>
              <w:right w:w="144" w:type="dxa"/>
            </w:tcMar>
            <w:vAlign w:val="center"/>
          </w:tcPr>
          <w:p w14:paraId="472CA212"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312 (0.68)</w:t>
            </w:r>
          </w:p>
        </w:tc>
        <w:tc>
          <w:tcPr>
            <w:tcW w:w="1594" w:type="dxa"/>
            <w:shd w:val="clear" w:color="auto" w:fill="auto"/>
            <w:vAlign w:val="center"/>
          </w:tcPr>
          <w:p w14:paraId="1652615C"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0.042</w:t>
            </w:r>
          </w:p>
        </w:tc>
      </w:tr>
      <w:tr w:rsidR="00B758E7" w:rsidRPr="00B758E7" w14:paraId="199D2DC7" w14:textId="77777777" w:rsidTr="00A81ACC">
        <w:trPr>
          <w:trHeight w:val="26"/>
        </w:trPr>
        <w:tc>
          <w:tcPr>
            <w:tcW w:w="3744" w:type="dxa"/>
            <w:shd w:val="clear" w:color="auto" w:fill="auto"/>
            <w:tcMar>
              <w:top w:w="72" w:type="dxa"/>
              <w:left w:w="144" w:type="dxa"/>
              <w:bottom w:w="72" w:type="dxa"/>
              <w:right w:w="144" w:type="dxa"/>
            </w:tcMar>
            <w:vAlign w:val="center"/>
          </w:tcPr>
          <w:p w14:paraId="1D0DD55D"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rPr>
              <w:t>Vascular thrombosis</w:t>
            </w:r>
          </w:p>
        </w:tc>
        <w:tc>
          <w:tcPr>
            <w:tcW w:w="2246" w:type="dxa"/>
            <w:shd w:val="clear" w:color="auto" w:fill="auto"/>
            <w:tcMar>
              <w:top w:w="72" w:type="dxa"/>
              <w:left w:w="144" w:type="dxa"/>
              <w:bottom w:w="72" w:type="dxa"/>
              <w:right w:w="144" w:type="dxa"/>
            </w:tcMar>
            <w:vAlign w:val="center"/>
          </w:tcPr>
          <w:p w14:paraId="36BF060F"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44 (2.24)</w:t>
            </w:r>
          </w:p>
        </w:tc>
        <w:tc>
          <w:tcPr>
            <w:tcW w:w="1925" w:type="dxa"/>
            <w:shd w:val="clear" w:color="auto" w:fill="auto"/>
            <w:tcMar>
              <w:top w:w="72" w:type="dxa"/>
              <w:left w:w="144" w:type="dxa"/>
              <w:bottom w:w="72" w:type="dxa"/>
              <w:right w:w="144" w:type="dxa"/>
            </w:tcMar>
            <w:vAlign w:val="center"/>
          </w:tcPr>
          <w:p w14:paraId="59584CE8"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811 (1.77)</w:t>
            </w:r>
          </w:p>
        </w:tc>
        <w:tc>
          <w:tcPr>
            <w:tcW w:w="1594" w:type="dxa"/>
            <w:shd w:val="clear" w:color="auto" w:fill="auto"/>
            <w:vAlign w:val="center"/>
          </w:tcPr>
          <w:p w14:paraId="2B8B49DB"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0.122</w:t>
            </w:r>
          </w:p>
        </w:tc>
      </w:tr>
    </w:tbl>
    <w:p w14:paraId="3DF1EF41" w14:textId="289ACD83" w:rsidR="00B66B98" w:rsidRPr="004F3260" w:rsidRDefault="004F3260" w:rsidP="00EE05FE">
      <w:pPr>
        <w:pStyle w:val="NoSpacing"/>
        <w:spacing w:line="360" w:lineRule="auto"/>
        <w:jc w:val="both"/>
        <w:rPr>
          <w:rFonts w:ascii="Book Antiqua" w:eastAsia="宋体" w:hAnsi="Book Antiqua"/>
          <w:lang w:eastAsia="zh-CN"/>
        </w:rPr>
      </w:pPr>
      <w:r w:rsidRPr="00EB65B9">
        <w:rPr>
          <w:rFonts w:ascii="Book Antiqua" w:hAnsi="Book Antiqua"/>
          <w:bCs/>
        </w:rPr>
        <w:t>SBP</w:t>
      </w:r>
      <w:r w:rsidRPr="00EB65B9">
        <w:rPr>
          <w:rFonts w:ascii="Book Antiqua" w:eastAsia="宋体" w:hAnsi="Book Antiqua" w:hint="eastAsia"/>
          <w:bCs/>
          <w:lang w:eastAsia="zh-CN"/>
        </w:rPr>
        <w:t xml:space="preserve">: </w:t>
      </w:r>
      <w:r w:rsidRPr="00EB65B9">
        <w:rPr>
          <w:rFonts w:ascii="Book Antiqua" w:hAnsi="Book Antiqua"/>
        </w:rPr>
        <w:t>Spontaneous bacterial peritonitis</w:t>
      </w:r>
      <w:r>
        <w:rPr>
          <w:rFonts w:ascii="Book Antiqua" w:eastAsia="宋体" w:hAnsi="Book Antiqua" w:hint="eastAsia"/>
          <w:lang w:eastAsia="zh-CN"/>
        </w:rPr>
        <w:t>.</w:t>
      </w:r>
    </w:p>
    <w:p w14:paraId="057460CA" w14:textId="77777777" w:rsidR="00B66B98" w:rsidRPr="00B758E7" w:rsidRDefault="00B66B98" w:rsidP="00EE05FE">
      <w:pPr>
        <w:spacing w:line="360" w:lineRule="auto"/>
        <w:jc w:val="both"/>
        <w:rPr>
          <w:rFonts w:ascii="Book Antiqua" w:hAnsi="Book Antiqua"/>
        </w:rPr>
      </w:pPr>
      <w:r w:rsidRPr="00B758E7">
        <w:rPr>
          <w:rFonts w:ascii="Book Antiqua" w:hAnsi="Book Antiqua"/>
        </w:rPr>
        <w:br w:type="page"/>
      </w:r>
    </w:p>
    <w:p w14:paraId="5CB1E67E" w14:textId="6B815D7D" w:rsidR="00B66B98" w:rsidRPr="004F3260" w:rsidRDefault="004F3260" w:rsidP="00EE05FE">
      <w:pPr>
        <w:pStyle w:val="NoSpacing"/>
        <w:spacing w:line="360" w:lineRule="auto"/>
        <w:jc w:val="both"/>
        <w:rPr>
          <w:rFonts w:ascii="Book Antiqua" w:eastAsia="宋体" w:hAnsi="Book Antiqua"/>
          <w:b/>
          <w:lang w:eastAsia="zh-CN"/>
        </w:rPr>
      </w:pPr>
      <w:r w:rsidRPr="004F3260">
        <w:rPr>
          <w:rFonts w:ascii="Book Antiqua" w:hAnsi="Book Antiqua"/>
          <w:b/>
        </w:rPr>
        <w:lastRenderedPageBreak/>
        <w:t>Table 3</w:t>
      </w:r>
      <w:r w:rsidR="00B66B98" w:rsidRPr="004F3260">
        <w:rPr>
          <w:rFonts w:ascii="Book Antiqua" w:hAnsi="Book Antiqua"/>
          <w:b/>
        </w:rPr>
        <w:t xml:space="preserve"> </w:t>
      </w:r>
      <w:proofErr w:type="spellStart"/>
      <w:r w:rsidR="00B66B98" w:rsidRPr="004F3260">
        <w:rPr>
          <w:rFonts w:ascii="Book Antiqua" w:hAnsi="Book Antiqua"/>
          <w:b/>
        </w:rPr>
        <w:t>Mutlivariate</w:t>
      </w:r>
      <w:proofErr w:type="spellEnd"/>
      <w:r w:rsidR="00B66B98" w:rsidRPr="004F3260">
        <w:rPr>
          <w:rFonts w:ascii="Book Antiqua" w:hAnsi="Book Antiqua"/>
          <w:b/>
        </w:rPr>
        <w:t xml:space="preserve"> analysis of independent predictors of graft failure d</w:t>
      </w:r>
      <w:r w:rsidRPr="004F3260">
        <w:rPr>
          <w:rFonts w:ascii="Book Antiqua" w:hAnsi="Book Antiqua"/>
          <w:b/>
        </w:rPr>
        <w:t>ue to recurrent viral hepatitis</w:t>
      </w:r>
    </w:p>
    <w:p w14:paraId="2FE46A0F" w14:textId="77777777" w:rsidR="00B66B98" w:rsidRPr="00B758E7" w:rsidRDefault="00B66B98" w:rsidP="00EE05FE">
      <w:pPr>
        <w:pStyle w:val="NoSpacing"/>
        <w:spacing w:line="360" w:lineRule="auto"/>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64"/>
        <w:gridCol w:w="1260"/>
        <w:gridCol w:w="1890"/>
        <w:gridCol w:w="1890"/>
      </w:tblGrid>
      <w:tr w:rsidR="00B758E7" w:rsidRPr="00B758E7" w14:paraId="347371B6" w14:textId="77777777" w:rsidTr="004F3260">
        <w:trPr>
          <w:trHeight w:val="26"/>
        </w:trPr>
        <w:tc>
          <w:tcPr>
            <w:tcW w:w="4464" w:type="dxa"/>
            <w:shd w:val="clear" w:color="auto" w:fill="auto"/>
            <w:tcMar>
              <w:top w:w="72" w:type="dxa"/>
              <w:left w:w="144" w:type="dxa"/>
              <w:bottom w:w="72" w:type="dxa"/>
              <w:right w:w="144" w:type="dxa"/>
            </w:tcMar>
            <w:vAlign w:val="bottom"/>
          </w:tcPr>
          <w:p w14:paraId="68C585B5" w14:textId="2F8A2008" w:rsidR="00B66B98" w:rsidRPr="00B758E7" w:rsidRDefault="00AC64F2" w:rsidP="00EE05FE">
            <w:pPr>
              <w:pStyle w:val="NoSpacing"/>
              <w:spacing w:line="360" w:lineRule="auto"/>
              <w:jc w:val="both"/>
              <w:rPr>
                <w:rFonts w:ascii="Book Antiqua" w:hAnsi="Book Antiqua"/>
              </w:rPr>
            </w:pPr>
            <w:r w:rsidRPr="00B758E7">
              <w:rPr>
                <w:rFonts w:ascii="Book Antiqua" w:hAnsi="Book Antiqua"/>
                <w:b/>
                <w:bCs/>
              </w:rPr>
              <w:t xml:space="preserve"> </w:t>
            </w:r>
          </w:p>
        </w:tc>
        <w:tc>
          <w:tcPr>
            <w:tcW w:w="1260" w:type="dxa"/>
            <w:shd w:val="clear" w:color="auto" w:fill="auto"/>
            <w:tcMar>
              <w:top w:w="72" w:type="dxa"/>
              <w:left w:w="144" w:type="dxa"/>
              <w:bottom w:w="72" w:type="dxa"/>
              <w:right w:w="144" w:type="dxa"/>
            </w:tcMar>
            <w:vAlign w:val="bottom"/>
          </w:tcPr>
          <w:p w14:paraId="7CA75CCC" w14:textId="76219557" w:rsidR="00B66B98" w:rsidRPr="00B758E7" w:rsidRDefault="00B66B98" w:rsidP="00EE05FE">
            <w:pPr>
              <w:pStyle w:val="NoSpacing"/>
              <w:spacing w:line="360" w:lineRule="auto"/>
              <w:jc w:val="both"/>
              <w:rPr>
                <w:rFonts w:ascii="Book Antiqua" w:hAnsi="Book Antiqua"/>
              </w:rPr>
            </w:pPr>
            <w:r w:rsidRPr="00B758E7">
              <w:rPr>
                <w:rFonts w:ascii="Book Antiqua" w:hAnsi="Book Antiqua"/>
                <w:b/>
                <w:bCs/>
              </w:rPr>
              <w:t xml:space="preserve">Odds </w:t>
            </w:r>
            <w:r w:rsidR="004F3260" w:rsidRPr="00B758E7">
              <w:rPr>
                <w:rFonts w:ascii="Book Antiqua" w:hAnsi="Book Antiqua"/>
                <w:b/>
                <w:bCs/>
              </w:rPr>
              <w:t>r</w:t>
            </w:r>
            <w:r w:rsidRPr="00B758E7">
              <w:rPr>
                <w:rFonts w:ascii="Book Antiqua" w:hAnsi="Book Antiqua"/>
                <w:b/>
                <w:bCs/>
              </w:rPr>
              <w:t>atio</w:t>
            </w:r>
          </w:p>
        </w:tc>
        <w:tc>
          <w:tcPr>
            <w:tcW w:w="1890" w:type="dxa"/>
            <w:shd w:val="clear" w:color="auto" w:fill="auto"/>
            <w:tcMar>
              <w:top w:w="72" w:type="dxa"/>
              <w:left w:w="144" w:type="dxa"/>
              <w:bottom w:w="72" w:type="dxa"/>
              <w:right w:w="144" w:type="dxa"/>
            </w:tcMar>
            <w:vAlign w:val="bottom"/>
          </w:tcPr>
          <w:p w14:paraId="3B9FFB77" w14:textId="0816B05C" w:rsidR="00B66B98" w:rsidRPr="00B758E7" w:rsidRDefault="004F3260" w:rsidP="00EE05FE">
            <w:pPr>
              <w:pStyle w:val="NoSpacing"/>
              <w:spacing w:line="360" w:lineRule="auto"/>
              <w:jc w:val="both"/>
              <w:rPr>
                <w:rFonts w:ascii="Book Antiqua" w:hAnsi="Book Antiqua"/>
              </w:rPr>
            </w:pPr>
            <w:r>
              <w:rPr>
                <w:rFonts w:ascii="Book Antiqua" w:hAnsi="Book Antiqua"/>
                <w:b/>
                <w:bCs/>
              </w:rPr>
              <w:t>95%</w:t>
            </w:r>
            <w:r w:rsidR="00B66B98" w:rsidRPr="00B758E7">
              <w:rPr>
                <w:rFonts w:ascii="Book Antiqua" w:hAnsi="Book Antiqua"/>
                <w:b/>
                <w:bCs/>
              </w:rPr>
              <w:t>CI</w:t>
            </w:r>
          </w:p>
        </w:tc>
        <w:tc>
          <w:tcPr>
            <w:tcW w:w="1890" w:type="dxa"/>
            <w:shd w:val="clear" w:color="auto" w:fill="auto"/>
            <w:tcMar>
              <w:top w:w="72" w:type="dxa"/>
              <w:left w:w="144" w:type="dxa"/>
              <w:bottom w:w="72" w:type="dxa"/>
              <w:right w:w="144" w:type="dxa"/>
            </w:tcMar>
            <w:vAlign w:val="bottom"/>
          </w:tcPr>
          <w:p w14:paraId="037ED9BA" w14:textId="4CD9A683" w:rsidR="00B66B98" w:rsidRPr="00B758E7" w:rsidRDefault="004F3260" w:rsidP="00EE05FE">
            <w:pPr>
              <w:pStyle w:val="NoSpacing"/>
              <w:spacing w:line="360" w:lineRule="auto"/>
              <w:jc w:val="both"/>
              <w:rPr>
                <w:rFonts w:ascii="Book Antiqua" w:hAnsi="Book Antiqua"/>
                <w:b/>
              </w:rPr>
            </w:pPr>
            <w:r w:rsidRPr="004F3260">
              <w:rPr>
                <w:rFonts w:ascii="Book Antiqua" w:hAnsi="Book Antiqua"/>
                <w:b/>
                <w:i/>
              </w:rPr>
              <w:t>P</w:t>
            </w:r>
            <w:r w:rsidR="00B66B98" w:rsidRPr="00B758E7">
              <w:rPr>
                <w:rFonts w:ascii="Book Antiqua" w:hAnsi="Book Antiqua"/>
                <w:b/>
              </w:rPr>
              <w:t>-value</w:t>
            </w:r>
          </w:p>
        </w:tc>
      </w:tr>
      <w:tr w:rsidR="00B758E7" w:rsidRPr="00B758E7" w14:paraId="6C4BCF0B" w14:textId="77777777" w:rsidTr="004F3260">
        <w:trPr>
          <w:trHeight w:val="26"/>
        </w:trPr>
        <w:tc>
          <w:tcPr>
            <w:tcW w:w="4464" w:type="dxa"/>
            <w:shd w:val="clear" w:color="auto" w:fill="auto"/>
            <w:tcMar>
              <w:top w:w="72" w:type="dxa"/>
              <w:left w:w="144" w:type="dxa"/>
              <w:bottom w:w="72" w:type="dxa"/>
              <w:right w:w="144" w:type="dxa"/>
            </w:tcMar>
            <w:vAlign w:val="center"/>
          </w:tcPr>
          <w:p w14:paraId="4BDE3559"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History of pre-transplant SBP</w:t>
            </w:r>
          </w:p>
        </w:tc>
        <w:tc>
          <w:tcPr>
            <w:tcW w:w="1260" w:type="dxa"/>
            <w:shd w:val="clear" w:color="auto" w:fill="auto"/>
            <w:tcMar>
              <w:top w:w="72" w:type="dxa"/>
              <w:left w:w="144" w:type="dxa"/>
              <w:bottom w:w="72" w:type="dxa"/>
              <w:right w:w="144" w:type="dxa"/>
            </w:tcMar>
            <w:vAlign w:val="center"/>
          </w:tcPr>
          <w:p w14:paraId="26B17631"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1.567</w:t>
            </w:r>
          </w:p>
        </w:tc>
        <w:tc>
          <w:tcPr>
            <w:tcW w:w="1890" w:type="dxa"/>
            <w:shd w:val="clear" w:color="auto" w:fill="auto"/>
            <w:tcMar>
              <w:top w:w="72" w:type="dxa"/>
              <w:left w:w="144" w:type="dxa"/>
              <w:bottom w:w="72" w:type="dxa"/>
              <w:right w:w="144" w:type="dxa"/>
            </w:tcMar>
            <w:vAlign w:val="center"/>
          </w:tcPr>
          <w:p w14:paraId="01100DFF"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1.218-2.017</w:t>
            </w:r>
          </w:p>
        </w:tc>
        <w:tc>
          <w:tcPr>
            <w:tcW w:w="1890" w:type="dxa"/>
            <w:shd w:val="clear" w:color="auto" w:fill="auto"/>
            <w:tcMar>
              <w:top w:w="72" w:type="dxa"/>
              <w:left w:w="144" w:type="dxa"/>
              <w:bottom w:w="72" w:type="dxa"/>
              <w:right w:w="144" w:type="dxa"/>
            </w:tcMar>
            <w:vAlign w:val="center"/>
          </w:tcPr>
          <w:p w14:paraId="5FF59B18" w14:textId="54D5C502"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4F3260">
              <w:rPr>
                <w:rFonts w:ascii="Book Antiqua" w:eastAsia="宋体" w:hAnsi="Book Antiqua" w:hint="eastAsia"/>
                <w:lang w:eastAsia="zh-CN"/>
              </w:rPr>
              <w:t xml:space="preserve"> </w:t>
            </w:r>
            <w:r w:rsidRPr="00B758E7">
              <w:rPr>
                <w:rFonts w:ascii="Book Antiqua" w:hAnsi="Book Antiqua"/>
              </w:rPr>
              <w:t>0.001</w:t>
            </w:r>
          </w:p>
        </w:tc>
      </w:tr>
      <w:tr w:rsidR="00B758E7" w:rsidRPr="00B758E7" w14:paraId="01293D37" w14:textId="77777777" w:rsidTr="004F3260">
        <w:trPr>
          <w:trHeight w:val="26"/>
        </w:trPr>
        <w:tc>
          <w:tcPr>
            <w:tcW w:w="4464" w:type="dxa"/>
            <w:shd w:val="clear" w:color="auto" w:fill="auto"/>
            <w:tcMar>
              <w:top w:w="72" w:type="dxa"/>
              <w:left w:w="144" w:type="dxa"/>
              <w:bottom w:w="72" w:type="dxa"/>
              <w:right w:w="144" w:type="dxa"/>
            </w:tcMar>
            <w:vAlign w:val="center"/>
          </w:tcPr>
          <w:p w14:paraId="3352D0CF" w14:textId="66484C88" w:rsidR="00B66B98" w:rsidRPr="00B758E7" w:rsidRDefault="00B66B98" w:rsidP="004F3260">
            <w:pPr>
              <w:pStyle w:val="NoSpacing"/>
              <w:spacing w:line="360" w:lineRule="auto"/>
              <w:jc w:val="both"/>
              <w:rPr>
                <w:rFonts w:ascii="Book Antiqua" w:hAnsi="Book Antiqua"/>
                <w:b/>
                <w:lang w:val="de-DE"/>
              </w:rPr>
            </w:pPr>
            <w:r w:rsidRPr="00B758E7">
              <w:rPr>
                <w:rFonts w:ascii="Book Antiqua" w:hAnsi="Book Antiqua"/>
                <w:b/>
                <w:bCs/>
                <w:lang w:val="de-DE"/>
              </w:rPr>
              <w:t>Hepatitis C</w:t>
            </w:r>
            <w:r w:rsidRPr="00B758E7">
              <w:rPr>
                <w:rFonts w:ascii="Book Antiqua" w:hAnsi="Book Antiqua"/>
                <w:b/>
                <w:lang w:val="de-DE"/>
              </w:rPr>
              <w:t xml:space="preserve"> (</w:t>
            </w:r>
            <w:r w:rsidRPr="004F3260">
              <w:rPr>
                <w:rFonts w:ascii="Book Antiqua" w:hAnsi="Book Antiqua"/>
                <w:b/>
                <w:i/>
                <w:lang w:val="de-DE"/>
              </w:rPr>
              <w:t xml:space="preserve">vs </w:t>
            </w:r>
            <w:r w:rsidRPr="00B758E7">
              <w:rPr>
                <w:rFonts w:ascii="Book Antiqua" w:hAnsi="Book Antiqua"/>
                <w:b/>
                <w:lang w:val="de-DE"/>
              </w:rPr>
              <w:t>hepatitis B)</w:t>
            </w:r>
          </w:p>
        </w:tc>
        <w:tc>
          <w:tcPr>
            <w:tcW w:w="1260" w:type="dxa"/>
            <w:shd w:val="clear" w:color="auto" w:fill="auto"/>
            <w:tcMar>
              <w:top w:w="72" w:type="dxa"/>
              <w:left w:w="144" w:type="dxa"/>
              <w:bottom w:w="72" w:type="dxa"/>
              <w:right w:w="144" w:type="dxa"/>
            </w:tcMar>
            <w:vAlign w:val="center"/>
          </w:tcPr>
          <w:p w14:paraId="0B2159C3"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6.777</w:t>
            </w:r>
          </w:p>
        </w:tc>
        <w:tc>
          <w:tcPr>
            <w:tcW w:w="1890" w:type="dxa"/>
            <w:shd w:val="clear" w:color="auto" w:fill="auto"/>
            <w:tcMar>
              <w:top w:w="72" w:type="dxa"/>
              <w:left w:w="144" w:type="dxa"/>
              <w:bottom w:w="72" w:type="dxa"/>
              <w:right w:w="144" w:type="dxa"/>
            </w:tcMar>
            <w:vAlign w:val="center"/>
          </w:tcPr>
          <w:p w14:paraId="197D4909" w14:textId="312A980D" w:rsidR="00B66B98" w:rsidRPr="00B758E7" w:rsidRDefault="00AC64F2" w:rsidP="00EE05FE">
            <w:pPr>
              <w:pStyle w:val="NoSpacing"/>
              <w:spacing w:line="360" w:lineRule="auto"/>
              <w:jc w:val="both"/>
              <w:rPr>
                <w:rFonts w:ascii="Book Antiqua" w:hAnsi="Book Antiqua"/>
              </w:rPr>
            </w:pPr>
            <w:r w:rsidRPr="00B758E7">
              <w:rPr>
                <w:rFonts w:ascii="Book Antiqua" w:hAnsi="Book Antiqua" w:cs="SAS Monospace"/>
              </w:rPr>
              <w:t xml:space="preserve"> </w:t>
            </w:r>
            <w:r w:rsidR="00B66B98" w:rsidRPr="00B758E7">
              <w:rPr>
                <w:rFonts w:ascii="Book Antiqua" w:hAnsi="Book Antiqua" w:cs="SAS Monospace"/>
              </w:rPr>
              <w:t>5.864-7.832</w:t>
            </w:r>
          </w:p>
        </w:tc>
        <w:tc>
          <w:tcPr>
            <w:tcW w:w="1890" w:type="dxa"/>
            <w:shd w:val="clear" w:color="auto" w:fill="auto"/>
            <w:tcMar>
              <w:top w:w="72" w:type="dxa"/>
              <w:left w:w="144" w:type="dxa"/>
              <w:bottom w:w="72" w:type="dxa"/>
              <w:right w:w="144" w:type="dxa"/>
            </w:tcMar>
            <w:vAlign w:val="center"/>
          </w:tcPr>
          <w:p w14:paraId="7667A4C6" w14:textId="27F3BA44"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4F3260">
              <w:rPr>
                <w:rFonts w:ascii="Book Antiqua" w:eastAsia="宋体" w:hAnsi="Book Antiqua" w:hint="eastAsia"/>
                <w:lang w:eastAsia="zh-CN"/>
              </w:rPr>
              <w:t xml:space="preserve"> </w:t>
            </w:r>
            <w:r w:rsidRPr="00B758E7">
              <w:rPr>
                <w:rFonts w:ascii="Book Antiqua" w:hAnsi="Book Antiqua"/>
              </w:rPr>
              <w:t>0.0001</w:t>
            </w:r>
          </w:p>
        </w:tc>
      </w:tr>
      <w:tr w:rsidR="00B758E7" w:rsidRPr="00B758E7" w14:paraId="0C670949" w14:textId="77777777" w:rsidTr="004F3260">
        <w:trPr>
          <w:trHeight w:val="45"/>
        </w:trPr>
        <w:tc>
          <w:tcPr>
            <w:tcW w:w="4464" w:type="dxa"/>
            <w:shd w:val="clear" w:color="auto" w:fill="auto"/>
            <w:tcMar>
              <w:top w:w="72" w:type="dxa"/>
              <w:left w:w="144" w:type="dxa"/>
              <w:bottom w:w="72" w:type="dxa"/>
              <w:right w:w="144" w:type="dxa"/>
            </w:tcMar>
            <w:vAlign w:val="center"/>
          </w:tcPr>
          <w:p w14:paraId="261E0F12"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Previous transplant</w:t>
            </w:r>
          </w:p>
        </w:tc>
        <w:tc>
          <w:tcPr>
            <w:tcW w:w="1260" w:type="dxa"/>
            <w:shd w:val="clear" w:color="auto" w:fill="auto"/>
            <w:tcMar>
              <w:top w:w="72" w:type="dxa"/>
              <w:left w:w="144" w:type="dxa"/>
              <w:bottom w:w="72" w:type="dxa"/>
              <w:right w:w="144" w:type="dxa"/>
            </w:tcMar>
            <w:vAlign w:val="center"/>
          </w:tcPr>
          <w:p w14:paraId="6A34DFD5"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2.349</w:t>
            </w:r>
          </w:p>
        </w:tc>
        <w:tc>
          <w:tcPr>
            <w:tcW w:w="1890" w:type="dxa"/>
            <w:shd w:val="clear" w:color="auto" w:fill="auto"/>
            <w:tcMar>
              <w:top w:w="72" w:type="dxa"/>
              <w:left w:w="144" w:type="dxa"/>
              <w:bottom w:w="72" w:type="dxa"/>
              <w:right w:w="144" w:type="dxa"/>
            </w:tcMar>
            <w:vAlign w:val="center"/>
          </w:tcPr>
          <w:p w14:paraId="097BDFDD"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1.923-2.868</w:t>
            </w:r>
          </w:p>
        </w:tc>
        <w:tc>
          <w:tcPr>
            <w:tcW w:w="1890" w:type="dxa"/>
            <w:shd w:val="clear" w:color="auto" w:fill="auto"/>
            <w:tcMar>
              <w:top w:w="72" w:type="dxa"/>
              <w:left w:w="144" w:type="dxa"/>
              <w:bottom w:w="72" w:type="dxa"/>
              <w:right w:w="144" w:type="dxa"/>
            </w:tcMar>
            <w:vAlign w:val="center"/>
          </w:tcPr>
          <w:p w14:paraId="7047C540" w14:textId="4C3D82B1"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4F3260">
              <w:rPr>
                <w:rFonts w:ascii="Book Antiqua" w:eastAsia="宋体" w:hAnsi="Book Antiqua" w:hint="eastAsia"/>
                <w:lang w:eastAsia="zh-CN"/>
              </w:rPr>
              <w:t xml:space="preserve"> </w:t>
            </w:r>
            <w:r w:rsidRPr="00B758E7">
              <w:rPr>
                <w:rFonts w:ascii="Book Antiqua" w:hAnsi="Book Antiqua"/>
              </w:rPr>
              <w:t>0.0001</w:t>
            </w:r>
          </w:p>
        </w:tc>
      </w:tr>
      <w:tr w:rsidR="00B758E7" w:rsidRPr="00B758E7" w14:paraId="6DE0968E" w14:textId="77777777" w:rsidTr="004F3260">
        <w:trPr>
          <w:trHeight w:val="26"/>
        </w:trPr>
        <w:tc>
          <w:tcPr>
            <w:tcW w:w="4464" w:type="dxa"/>
            <w:shd w:val="clear" w:color="auto" w:fill="auto"/>
            <w:tcMar>
              <w:top w:w="72" w:type="dxa"/>
              <w:left w:w="144" w:type="dxa"/>
              <w:bottom w:w="72" w:type="dxa"/>
              <w:right w:w="144" w:type="dxa"/>
            </w:tcMar>
            <w:vAlign w:val="center"/>
          </w:tcPr>
          <w:p w14:paraId="67DBF1AF"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MELD</w:t>
            </w:r>
            <w:r w:rsidRPr="00B758E7">
              <w:rPr>
                <w:rFonts w:ascii="Book Antiqua" w:hAnsi="Book Antiqua"/>
                <w:b/>
              </w:rPr>
              <w:t xml:space="preserve"> at transplant</w:t>
            </w:r>
          </w:p>
        </w:tc>
        <w:tc>
          <w:tcPr>
            <w:tcW w:w="1260" w:type="dxa"/>
            <w:shd w:val="clear" w:color="auto" w:fill="auto"/>
            <w:tcMar>
              <w:top w:w="72" w:type="dxa"/>
              <w:left w:w="144" w:type="dxa"/>
              <w:bottom w:w="72" w:type="dxa"/>
              <w:right w:w="144" w:type="dxa"/>
            </w:tcMar>
            <w:vAlign w:val="center"/>
          </w:tcPr>
          <w:p w14:paraId="7BD3C14E"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0.989</w:t>
            </w:r>
          </w:p>
        </w:tc>
        <w:tc>
          <w:tcPr>
            <w:tcW w:w="1890" w:type="dxa"/>
            <w:shd w:val="clear" w:color="auto" w:fill="auto"/>
            <w:tcMar>
              <w:top w:w="72" w:type="dxa"/>
              <w:left w:w="144" w:type="dxa"/>
              <w:bottom w:w="72" w:type="dxa"/>
              <w:right w:w="144" w:type="dxa"/>
            </w:tcMar>
            <w:vAlign w:val="center"/>
          </w:tcPr>
          <w:p w14:paraId="05ABBB69" w14:textId="17233219" w:rsidR="00B66B98" w:rsidRPr="00B758E7" w:rsidRDefault="00AC64F2" w:rsidP="00EE05FE">
            <w:pPr>
              <w:pStyle w:val="NoSpacing"/>
              <w:spacing w:line="360" w:lineRule="auto"/>
              <w:jc w:val="both"/>
              <w:rPr>
                <w:rFonts w:ascii="Book Antiqua" w:hAnsi="Book Antiqua"/>
              </w:rPr>
            </w:pPr>
            <w:r w:rsidRPr="00B758E7">
              <w:rPr>
                <w:rFonts w:ascii="Book Antiqua" w:hAnsi="Book Antiqua" w:cs="SAS Monospace"/>
              </w:rPr>
              <w:t xml:space="preserve"> </w:t>
            </w:r>
            <w:r w:rsidR="00B66B98" w:rsidRPr="00B758E7">
              <w:rPr>
                <w:rFonts w:ascii="Book Antiqua" w:hAnsi="Book Antiqua" w:cs="SAS Monospace"/>
              </w:rPr>
              <w:t>0.982-0.996</w:t>
            </w:r>
          </w:p>
        </w:tc>
        <w:tc>
          <w:tcPr>
            <w:tcW w:w="1890" w:type="dxa"/>
            <w:shd w:val="clear" w:color="auto" w:fill="auto"/>
            <w:tcMar>
              <w:top w:w="72" w:type="dxa"/>
              <w:left w:w="144" w:type="dxa"/>
              <w:bottom w:w="72" w:type="dxa"/>
              <w:right w:w="144" w:type="dxa"/>
            </w:tcMar>
            <w:vAlign w:val="center"/>
          </w:tcPr>
          <w:p w14:paraId="2841582E"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0.0014</w:t>
            </w:r>
          </w:p>
        </w:tc>
      </w:tr>
      <w:tr w:rsidR="00B758E7" w:rsidRPr="00B758E7" w14:paraId="3E0538B1" w14:textId="77777777" w:rsidTr="004F3260">
        <w:trPr>
          <w:trHeight w:val="26"/>
        </w:trPr>
        <w:tc>
          <w:tcPr>
            <w:tcW w:w="4464" w:type="dxa"/>
            <w:shd w:val="clear" w:color="auto" w:fill="auto"/>
            <w:tcMar>
              <w:top w:w="72" w:type="dxa"/>
              <w:left w:w="144" w:type="dxa"/>
              <w:bottom w:w="72" w:type="dxa"/>
              <w:right w:w="144" w:type="dxa"/>
            </w:tcMar>
            <w:vAlign w:val="center"/>
          </w:tcPr>
          <w:p w14:paraId="5BFCA81E" w14:textId="5105CAF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 xml:space="preserve">Age of </w:t>
            </w:r>
            <w:r w:rsidR="004F3260" w:rsidRPr="00B758E7">
              <w:rPr>
                <w:rFonts w:ascii="Book Antiqua" w:hAnsi="Book Antiqua"/>
                <w:b/>
                <w:bCs/>
              </w:rPr>
              <w:t>r</w:t>
            </w:r>
            <w:r w:rsidRPr="00B758E7">
              <w:rPr>
                <w:rFonts w:ascii="Book Antiqua" w:hAnsi="Book Antiqua"/>
                <w:b/>
                <w:bCs/>
              </w:rPr>
              <w:t>ecipient</w:t>
            </w:r>
            <w:r w:rsidRPr="00B758E7">
              <w:rPr>
                <w:rFonts w:ascii="Book Antiqua" w:hAnsi="Book Antiqua"/>
                <w:b/>
              </w:rPr>
              <w:t xml:space="preserve"> </w:t>
            </w:r>
          </w:p>
        </w:tc>
        <w:tc>
          <w:tcPr>
            <w:tcW w:w="1260" w:type="dxa"/>
            <w:shd w:val="clear" w:color="auto" w:fill="auto"/>
            <w:tcMar>
              <w:top w:w="72" w:type="dxa"/>
              <w:left w:w="144" w:type="dxa"/>
              <w:bottom w:w="72" w:type="dxa"/>
              <w:right w:w="144" w:type="dxa"/>
            </w:tcMar>
            <w:vAlign w:val="center"/>
          </w:tcPr>
          <w:p w14:paraId="06CA5B59"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0.992</w:t>
            </w:r>
          </w:p>
        </w:tc>
        <w:tc>
          <w:tcPr>
            <w:tcW w:w="1890" w:type="dxa"/>
            <w:shd w:val="clear" w:color="auto" w:fill="auto"/>
            <w:tcMar>
              <w:top w:w="72" w:type="dxa"/>
              <w:left w:w="144" w:type="dxa"/>
              <w:bottom w:w="72" w:type="dxa"/>
              <w:right w:w="144" w:type="dxa"/>
            </w:tcMar>
            <w:vAlign w:val="center"/>
          </w:tcPr>
          <w:p w14:paraId="1C1F0DA5"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0.986-0.997</w:t>
            </w:r>
          </w:p>
        </w:tc>
        <w:tc>
          <w:tcPr>
            <w:tcW w:w="1890" w:type="dxa"/>
            <w:shd w:val="clear" w:color="auto" w:fill="auto"/>
            <w:tcMar>
              <w:top w:w="72" w:type="dxa"/>
              <w:left w:w="144" w:type="dxa"/>
              <w:bottom w:w="72" w:type="dxa"/>
              <w:right w:w="144" w:type="dxa"/>
            </w:tcMar>
            <w:vAlign w:val="center"/>
          </w:tcPr>
          <w:p w14:paraId="6E5B4223"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0.0041</w:t>
            </w:r>
          </w:p>
        </w:tc>
      </w:tr>
      <w:tr w:rsidR="00B758E7" w:rsidRPr="00B758E7" w14:paraId="1F8571D9" w14:textId="77777777" w:rsidTr="004F3260">
        <w:trPr>
          <w:trHeight w:val="26"/>
        </w:trPr>
        <w:tc>
          <w:tcPr>
            <w:tcW w:w="4464" w:type="dxa"/>
            <w:shd w:val="clear" w:color="auto" w:fill="auto"/>
            <w:tcMar>
              <w:top w:w="72" w:type="dxa"/>
              <w:left w:w="144" w:type="dxa"/>
              <w:bottom w:w="72" w:type="dxa"/>
              <w:right w:w="144" w:type="dxa"/>
            </w:tcMar>
            <w:vAlign w:val="center"/>
          </w:tcPr>
          <w:p w14:paraId="695CC16E" w14:textId="0E66CC5D"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 xml:space="preserve">Age of </w:t>
            </w:r>
            <w:r w:rsidR="004F3260" w:rsidRPr="00B758E7">
              <w:rPr>
                <w:rFonts w:ascii="Book Antiqua" w:hAnsi="Book Antiqua"/>
                <w:b/>
                <w:bCs/>
              </w:rPr>
              <w:t>d</w:t>
            </w:r>
            <w:r w:rsidRPr="00B758E7">
              <w:rPr>
                <w:rFonts w:ascii="Book Antiqua" w:hAnsi="Book Antiqua"/>
                <w:b/>
                <w:bCs/>
              </w:rPr>
              <w:t>onor</w:t>
            </w:r>
            <w:r w:rsidRPr="00B758E7">
              <w:rPr>
                <w:rFonts w:ascii="Book Antiqua" w:hAnsi="Book Antiqua"/>
                <w:b/>
              </w:rPr>
              <w:t xml:space="preserve"> </w:t>
            </w:r>
          </w:p>
        </w:tc>
        <w:tc>
          <w:tcPr>
            <w:tcW w:w="1260" w:type="dxa"/>
            <w:shd w:val="clear" w:color="auto" w:fill="auto"/>
            <w:tcMar>
              <w:top w:w="72" w:type="dxa"/>
              <w:left w:w="144" w:type="dxa"/>
              <w:bottom w:w="72" w:type="dxa"/>
              <w:right w:w="144" w:type="dxa"/>
            </w:tcMar>
            <w:vAlign w:val="center"/>
          </w:tcPr>
          <w:p w14:paraId="26757EB7"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1.023</w:t>
            </w:r>
          </w:p>
        </w:tc>
        <w:tc>
          <w:tcPr>
            <w:tcW w:w="1890" w:type="dxa"/>
            <w:shd w:val="clear" w:color="auto" w:fill="auto"/>
            <w:tcMar>
              <w:top w:w="72" w:type="dxa"/>
              <w:left w:w="144" w:type="dxa"/>
              <w:bottom w:w="72" w:type="dxa"/>
              <w:right w:w="144" w:type="dxa"/>
            </w:tcMar>
            <w:vAlign w:val="center"/>
          </w:tcPr>
          <w:p w14:paraId="048AFF96"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1.019-1.027</w:t>
            </w:r>
          </w:p>
        </w:tc>
        <w:tc>
          <w:tcPr>
            <w:tcW w:w="1890" w:type="dxa"/>
            <w:shd w:val="clear" w:color="auto" w:fill="auto"/>
            <w:tcMar>
              <w:top w:w="72" w:type="dxa"/>
              <w:left w:w="144" w:type="dxa"/>
              <w:bottom w:w="72" w:type="dxa"/>
              <w:right w:w="144" w:type="dxa"/>
            </w:tcMar>
            <w:vAlign w:val="center"/>
          </w:tcPr>
          <w:p w14:paraId="637BCD72" w14:textId="6ECB9EC8"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4F3260">
              <w:rPr>
                <w:rFonts w:ascii="Book Antiqua" w:eastAsia="宋体" w:hAnsi="Book Antiqua" w:hint="eastAsia"/>
                <w:lang w:eastAsia="zh-CN"/>
              </w:rPr>
              <w:t xml:space="preserve"> </w:t>
            </w:r>
            <w:r w:rsidRPr="00B758E7">
              <w:rPr>
                <w:rFonts w:ascii="Book Antiqua" w:hAnsi="Book Antiqua"/>
              </w:rPr>
              <w:t>0.0001</w:t>
            </w:r>
          </w:p>
        </w:tc>
      </w:tr>
    </w:tbl>
    <w:p w14:paraId="5D6D46BB" w14:textId="77777777" w:rsidR="00B66B98" w:rsidRPr="00B758E7" w:rsidRDefault="00B66B98" w:rsidP="00EE05FE">
      <w:pPr>
        <w:pStyle w:val="NoSpacing"/>
        <w:spacing w:line="360" w:lineRule="auto"/>
        <w:jc w:val="both"/>
        <w:rPr>
          <w:rFonts w:ascii="Book Antiqua" w:hAnsi="Book Antiqua"/>
        </w:rPr>
      </w:pPr>
    </w:p>
    <w:p w14:paraId="1ADA83CF" w14:textId="77777777" w:rsidR="004F3260" w:rsidRDefault="004F3260" w:rsidP="00EE05FE">
      <w:pPr>
        <w:pStyle w:val="NoSpacing"/>
        <w:spacing w:line="360" w:lineRule="auto"/>
        <w:jc w:val="both"/>
        <w:rPr>
          <w:rFonts w:ascii="Book Antiqua" w:eastAsia="宋体" w:hAnsi="Book Antiqua"/>
          <w:lang w:eastAsia="zh-CN"/>
        </w:rPr>
      </w:pPr>
      <w:r w:rsidRPr="00EB65B9">
        <w:rPr>
          <w:rFonts w:ascii="Book Antiqua" w:hAnsi="Book Antiqua"/>
          <w:bCs/>
        </w:rPr>
        <w:t>SBP</w:t>
      </w:r>
      <w:r w:rsidRPr="00EB65B9">
        <w:rPr>
          <w:rFonts w:ascii="Book Antiqua" w:eastAsia="宋体" w:hAnsi="Book Antiqua" w:hint="eastAsia"/>
          <w:bCs/>
          <w:lang w:eastAsia="zh-CN"/>
        </w:rPr>
        <w:t xml:space="preserve">: </w:t>
      </w:r>
      <w:r w:rsidRPr="00EB65B9">
        <w:rPr>
          <w:rFonts w:ascii="Book Antiqua" w:hAnsi="Book Antiqua"/>
        </w:rPr>
        <w:t>Spontaneous bacterial peritonitis</w:t>
      </w:r>
      <w:r w:rsidRPr="00EB65B9">
        <w:rPr>
          <w:rFonts w:ascii="Book Antiqua" w:eastAsia="宋体" w:hAnsi="Book Antiqua" w:hint="eastAsia"/>
          <w:lang w:eastAsia="zh-CN"/>
        </w:rPr>
        <w:t>;</w:t>
      </w:r>
      <w:r w:rsidRPr="00EB65B9">
        <w:rPr>
          <w:rFonts w:ascii="Book Antiqua" w:hAnsi="Book Antiqua"/>
        </w:rPr>
        <w:t xml:space="preserve"> MELD</w:t>
      </w:r>
      <w:r w:rsidRPr="00EB65B9">
        <w:rPr>
          <w:rFonts w:ascii="Book Antiqua" w:eastAsia="宋体" w:hAnsi="Book Antiqua" w:hint="eastAsia"/>
          <w:lang w:eastAsia="zh-CN"/>
        </w:rPr>
        <w:t xml:space="preserve">: </w:t>
      </w:r>
      <w:r w:rsidRPr="00EB65B9">
        <w:rPr>
          <w:rFonts w:ascii="Book Antiqua" w:hAnsi="Book Antiqua"/>
        </w:rPr>
        <w:t>Model for End Stage Liver Disease</w:t>
      </w:r>
      <w:r>
        <w:rPr>
          <w:rFonts w:ascii="Book Antiqua" w:eastAsia="宋体" w:hAnsi="Book Antiqua" w:hint="eastAsia"/>
          <w:lang w:eastAsia="zh-CN"/>
        </w:rPr>
        <w:t>.</w:t>
      </w:r>
    </w:p>
    <w:p w14:paraId="443F56EA" w14:textId="4BFF561E" w:rsidR="00B66B98" w:rsidRPr="004F3260" w:rsidRDefault="00B66B98" w:rsidP="00EE05FE">
      <w:pPr>
        <w:pStyle w:val="NoSpacing"/>
        <w:spacing w:line="360" w:lineRule="auto"/>
        <w:jc w:val="both"/>
        <w:rPr>
          <w:rFonts w:ascii="Book Antiqua" w:eastAsia="宋体" w:hAnsi="Book Antiqua"/>
          <w:lang w:eastAsia="zh-CN"/>
        </w:rPr>
      </w:pPr>
      <w:r w:rsidRPr="00B758E7">
        <w:rPr>
          <w:rFonts w:ascii="Book Antiqua" w:hAnsi="Book Antiqua"/>
          <w:b/>
        </w:rPr>
        <w:br w:type="page"/>
      </w:r>
      <w:r w:rsidR="004F3260" w:rsidRPr="004F3260">
        <w:rPr>
          <w:rFonts w:ascii="Book Antiqua" w:hAnsi="Book Antiqua"/>
          <w:b/>
        </w:rPr>
        <w:lastRenderedPageBreak/>
        <w:t>Table 4</w:t>
      </w:r>
      <w:r w:rsidRPr="004F3260">
        <w:rPr>
          <w:rFonts w:ascii="Book Antiqua" w:hAnsi="Book Antiqua"/>
          <w:b/>
        </w:rPr>
        <w:t xml:space="preserve"> </w:t>
      </w:r>
      <w:proofErr w:type="spellStart"/>
      <w:r w:rsidRPr="004F3260">
        <w:rPr>
          <w:rFonts w:ascii="Book Antiqua" w:hAnsi="Book Antiqua"/>
          <w:b/>
        </w:rPr>
        <w:t>Mutlivariate</w:t>
      </w:r>
      <w:proofErr w:type="spellEnd"/>
      <w:r w:rsidRPr="004F3260">
        <w:rPr>
          <w:rFonts w:ascii="Book Antiqua" w:hAnsi="Book Antiqua"/>
          <w:b/>
        </w:rPr>
        <w:t xml:space="preserve"> analysis of independent predictors of all cause surviv</w:t>
      </w:r>
      <w:r w:rsidR="004F3260" w:rsidRPr="004F3260">
        <w:rPr>
          <w:rFonts w:ascii="Book Antiqua" w:hAnsi="Book Antiqua"/>
          <w:b/>
        </w:rPr>
        <w:t>al due to recurrent hepatitis C</w:t>
      </w:r>
    </w:p>
    <w:p w14:paraId="4CF626D3" w14:textId="77777777" w:rsidR="00B66B98" w:rsidRPr="00B758E7" w:rsidRDefault="00B66B98" w:rsidP="00EE05FE">
      <w:pPr>
        <w:spacing w:line="360" w:lineRule="auto"/>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64"/>
        <w:gridCol w:w="1530"/>
        <w:gridCol w:w="2250"/>
        <w:gridCol w:w="1260"/>
      </w:tblGrid>
      <w:tr w:rsidR="00B758E7" w:rsidRPr="00B758E7" w14:paraId="1CF4136D" w14:textId="77777777" w:rsidTr="004F3260">
        <w:trPr>
          <w:trHeight w:val="26"/>
        </w:trPr>
        <w:tc>
          <w:tcPr>
            <w:tcW w:w="4464" w:type="dxa"/>
            <w:shd w:val="clear" w:color="auto" w:fill="auto"/>
            <w:tcMar>
              <w:top w:w="72" w:type="dxa"/>
              <w:left w:w="144" w:type="dxa"/>
              <w:bottom w:w="72" w:type="dxa"/>
              <w:right w:w="144" w:type="dxa"/>
            </w:tcMar>
            <w:vAlign w:val="bottom"/>
          </w:tcPr>
          <w:p w14:paraId="1A3C4200" w14:textId="5814EEC8" w:rsidR="00B66B98" w:rsidRPr="00B758E7" w:rsidRDefault="00AC64F2" w:rsidP="00EE05FE">
            <w:pPr>
              <w:pStyle w:val="NoSpacing"/>
              <w:spacing w:line="360" w:lineRule="auto"/>
              <w:jc w:val="both"/>
              <w:rPr>
                <w:rFonts w:ascii="Book Antiqua" w:hAnsi="Book Antiqua"/>
              </w:rPr>
            </w:pPr>
            <w:r w:rsidRPr="00B758E7">
              <w:rPr>
                <w:rFonts w:ascii="Book Antiqua" w:hAnsi="Book Antiqua"/>
                <w:b/>
                <w:bCs/>
              </w:rPr>
              <w:t xml:space="preserve"> </w:t>
            </w:r>
          </w:p>
        </w:tc>
        <w:tc>
          <w:tcPr>
            <w:tcW w:w="1530" w:type="dxa"/>
            <w:shd w:val="clear" w:color="auto" w:fill="auto"/>
            <w:tcMar>
              <w:top w:w="72" w:type="dxa"/>
              <w:left w:w="144" w:type="dxa"/>
              <w:bottom w:w="72" w:type="dxa"/>
              <w:right w:w="144" w:type="dxa"/>
            </w:tcMar>
            <w:vAlign w:val="bottom"/>
          </w:tcPr>
          <w:p w14:paraId="14BCA935" w14:textId="30072259" w:rsidR="00B66B98" w:rsidRPr="00B758E7" w:rsidRDefault="00B66B98" w:rsidP="00EE05FE">
            <w:pPr>
              <w:pStyle w:val="NoSpacing"/>
              <w:spacing w:line="360" w:lineRule="auto"/>
              <w:jc w:val="both"/>
              <w:rPr>
                <w:rFonts w:ascii="Book Antiqua" w:hAnsi="Book Antiqua"/>
              </w:rPr>
            </w:pPr>
            <w:r w:rsidRPr="00B758E7">
              <w:rPr>
                <w:rFonts w:ascii="Book Antiqua" w:hAnsi="Book Antiqua"/>
                <w:b/>
                <w:bCs/>
              </w:rPr>
              <w:t xml:space="preserve">Hazard </w:t>
            </w:r>
            <w:r w:rsidR="004F3260" w:rsidRPr="00B758E7">
              <w:rPr>
                <w:rFonts w:ascii="Book Antiqua" w:hAnsi="Book Antiqua"/>
                <w:b/>
                <w:bCs/>
              </w:rPr>
              <w:t>r</w:t>
            </w:r>
            <w:r w:rsidRPr="00B758E7">
              <w:rPr>
                <w:rFonts w:ascii="Book Antiqua" w:hAnsi="Book Antiqua"/>
                <w:b/>
                <w:bCs/>
              </w:rPr>
              <w:t>atio</w:t>
            </w:r>
          </w:p>
        </w:tc>
        <w:tc>
          <w:tcPr>
            <w:tcW w:w="2250" w:type="dxa"/>
            <w:shd w:val="clear" w:color="auto" w:fill="auto"/>
            <w:tcMar>
              <w:top w:w="72" w:type="dxa"/>
              <w:left w:w="144" w:type="dxa"/>
              <w:bottom w:w="72" w:type="dxa"/>
              <w:right w:w="144" w:type="dxa"/>
            </w:tcMar>
            <w:vAlign w:val="bottom"/>
          </w:tcPr>
          <w:p w14:paraId="24B41A5E" w14:textId="2F142407" w:rsidR="00B66B98" w:rsidRPr="00B758E7" w:rsidRDefault="004F3260" w:rsidP="00EE05FE">
            <w:pPr>
              <w:pStyle w:val="NoSpacing"/>
              <w:spacing w:line="360" w:lineRule="auto"/>
              <w:jc w:val="both"/>
              <w:rPr>
                <w:rFonts w:ascii="Book Antiqua" w:hAnsi="Book Antiqua"/>
              </w:rPr>
            </w:pPr>
            <w:r>
              <w:rPr>
                <w:rFonts w:ascii="Book Antiqua" w:hAnsi="Book Antiqua"/>
                <w:b/>
                <w:bCs/>
              </w:rPr>
              <w:t>95%</w:t>
            </w:r>
            <w:r w:rsidR="00B66B98" w:rsidRPr="00B758E7">
              <w:rPr>
                <w:rFonts w:ascii="Book Antiqua" w:hAnsi="Book Antiqua"/>
                <w:b/>
                <w:bCs/>
              </w:rPr>
              <w:t>CI</w:t>
            </w:r>
          </w:p>
        </w:tc>
        <w:tc>
          <w:tcPr>
            <w:tcW w:w="1260" w:type="dxa"/>
            <w:shd w:val="clear" w:color="auto" w:fill="auto"/>
            <w:tcMar>
              <w:top w:w="72" w:type="dxa"/>
              <w:left w:w="144" w:type="dxa"/>
              <w:bottom w:w="72" w:type="dxa"/>
              <w:right w:w="144" w:type="dxa"/>
            </w:tcMar>
            <w:vAlign w:val="bottom"/>
          </w:tcPr>
          <w:p w14:paraId="2C643FE6" w14:textId="2EADCA6D" w:rsidR="00B66B98" w:rsidRPr="00B758E7" w:rsidRDefault="004F3260" w:rsidP="00EE05FE">
            <w:pPr>
              <w:pStyle w:val="NoSpacing"/>
              <w:spacing w:line="360" w:lineRule="auto"/>
              <w:jc w:val="both"/>
              <w:rPr>
                <w:rFonts w:ascii="Book Antiqua" w:hAnsi="Book Antiqua"/>
                <w:b/>
              </w:rPr>
            </w:pPr>
            <w:r w:rsidRPr="004F3260">
              <w:rPr>
                <w:rFonts w:ascii="Book Antiqua" w:hAnsi="Book Antiqua"/>
                <w:b/>
                <w:i/>
              </w:rPr>
              <w:t>P</w:t>
            </w:r>
            <w:r w:rsidR="00B66B98" w:rsidRPr="00B758E7">
              <w:rPr>
                <w:rFonts w:ascii="Book Antiqua" w:hAnsi="Book Antiqua"/>
                <w:b/>
              </w:rPr>
              <w:t>-value</w:t>
            </w:r>
          </w:p>
        </w:tc>
      </w:tr>
      <w:tr w:rsidR="00B758E7" w:rsidRPr="00B758E7" w14:paraId="53CDA3C0" w14:textId="77777777" w:rsidTr="004F3260">
        <w:trPr>
          <w:trHeight w:val="26"/>
        </w:trPr>
        <w:tc>
          <w:tcPr>
            <w:tcW w:w="4464" w:type="dxa"/>
            <w:shd w:val="clear" w:color="auto" w:fill="auto"/>
            <w:tcMar>
              <w:top w:w="72" w:type="dxa"/>
              <w:left w:w="144" w:type="dxa"/>
              <w:bottom w:w="72" w:type="dxa"/>
              <w:right w:w="144" w:type="dxa"/>
            </w:tcMar>
            <w:vAlign w:val="center"/>
          </w:tcPr>
          <w:p w14:paraId="5A9A1144"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History of pre-transplant SBP</w:t>
            </w:r>
          </w:p>
        </w:tc>
        <w:tc>
          <w:tcPr>
            <w:tcW w:w="1530" w:type="dxa"/>
            <w:shd w:val="clear" w:color="auto" w:fill="auto"/>
            <w:tcMar>
              <w:top w:w="72" w:type="dxa"/>
              <w:left w:w="144" w:type="dxa"/>
              <w:bottom w:w="72" w:type="dxa"/>
              <w:right w:w="144" w:type="dxa"/>
            </w:tcMar>
            <w:vAlign w:val="center"/>
          </w:tcPr>
          <w:p w14:paraId="63954148" w14:textId="42AEFF3F"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1.112</w:t>
            </w:r>
            <w:r w:rsidR="00AC64F2" w:rsidRPr="00B758E7">
              <w:rPr>
                <w:rFonts w:ascii="Book Antiqua" w:hAnsi="Book Antiqua" w:cs="SAS Monospace"/>
              </w:rPr>
              <w:t xml:space="preserve"> </w:t>
            </w:r>
          </w:p>
        </w:tc>
        <w:tc>
          <w:tcPr>
            <w:tcW w:w="2250" w:type="dxa"/>
            <w:shd w:val="clear" w:color="auto" w:fill="auto"/>
            <w:tcMar>
              <w:top w:w="72" w:type="dxa"/>
              <w:left w:w="144" w:type="dxa"/>
              <w:bottom w:w="72" w:type="dxa"/>
              <w:right w:w="144" w:type="dxa"/>
            </w:tcMar>
            <w:vAlign w:val="center"/>
          </w:tcPr>
          <w:p w14:paraId="6FF6505A"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1.019-1.212</w:t>
            </w:r>
          </w:p>
        </w:tc>
        <w:tc>
          <w:tcPr>
            <w:tcW w:w="1260" w:type="dxa"/>
            <w:shd w:val="clear" w:color="auto" w:fill="auto"/>
            <w:tcMar>
              <w:top w:w="72" w:type="dxa"/>
              <w:left w:w="144" w:type="dxa"/>
              <w:bottom w:w="72" w:type="dxa"/>
              <w:right w:w="144" w:type="dxa"/>
            </w:tcMar>
            <w:vAlign w:val="center"/>
          </w:tcPr>
          <w:p w14:paraId="57758DCC"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0.017</w:t>
            </w:r>
          </w:p>
        </w:tc>
      </w:tr>
      <w:tr w:rsidR="00B758E7" w:rsidRPr="00B758E7" w14:paraId="41A5EF77" w14:textId="77777777" w:rsidTr="004F3260">
        <w:trPr>
          <w:trHeight w:val="26"/>
        </w:trPr>
        <w:tc>
          <w:tcPr>
            <w:tcW w:w="4464" w:type="dxa"/>
            <w:shd w:val="clear" w:color="auto" w:fill="auto"/>
            <w:tcMar>
              <w:top w:w="72" w:type="dxa"/>
              <w:left w:w="144" w:type="dxa"/>
              <w:bottom w:w="72" w:type="dxa"/>
              <w:right w:w="144" w:type="dxa"/>
            </w:tcMar>
            <w:vAlign w:val="center"/>
          </w:tcPr>
          <w:p w14:paraId="130FD205"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Hepatitis C</w:t>
            </w:r>
            <w:r w:rsidRPr="00B758E7">
              <w:rPr>
                <w:rFonts w:ascii="Book Antiqua" w:hAnsi="Book Antiqua"/>
                <w:b/>
              </w:rPr>
              <w:t xml:space="preserve"> </w:t>
            </w:r>
          </w:p>
        </w:tc>
        <w:tc>
          <w:tcPr>
            <w:tcW w:w="1530" w:type="dxa"/>
            <w:shd w:val="clear" w:color="auto" w:fill="auto"/>
            <w:tcMar>
              <w:top w:w="72" w:type="dxa"/>
              <w:left w:w="144" w:type="dxa"/>
              <w:bottom w:w="72" w:type="dxa"/>
              <w:right w:w="144" w:type="dxa"/>
            </w:tcMar>
            <w:vAlign w:val="center"/>
          </w:tcPr>
          <w:p w14:paraId="60F8D86A" w14:textId="1093427C"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1.176</w:t>
            </w:r>
            <w:r w:rsidR="00AC64F2" w:rsidRPr="00B758E7">
              <w:rPr>
                <w:rFonts w:ascii="Book Antiqua" w:hAnsi="Book Antiqua" w:cs="SAS Monospace"/>
              </w:rPr>
              <w:t xml:space="preserve"> </w:t>
            </w:r>
          </w:p>
        </w:tc>
        <w:tc>
          <w:tcPr>
            <w:tcW w:w="2250" w:type="dxa"/>
            <w:shd w:val="clear" w:color="auto" w:fill="auto"/>
            <w:tcMar>
              <w:top w:w="72" w:type="dxa"/>
              <w:left w:w="144" w:type="dxa"/>
              <w:bottom w:w="72" w:type="dxa"/>
              <w:right w:w="144" w:type="dxa"/>
            </w:tcMar>
            <w:vAlign w:val="center"/>
          </w:tcPr>
          <w:p w14:paraId="4593491A"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1.126-1.228</w:t>
            </w:r>
          </w:p>
        </w:tc>
        <w:tc>
          <w:tcPr>
            <w:tcW w:w="1260" w:type="dxa"/>
            <w:shd w:val="clear" w:color="auto" w:fill="auto"/>
            <w:tcMar>
              <w:top w:w="72" w:type="dxa"/>
              <w:left w:w="144" w:type="dxa"/>
              <w:bottom w:w="72" w:type="dxa"/>
              <w:right w:w="144" w:type="dxa"/>
            </w:tcMar>
            <w:vAlign w:val="center"/>
          </w:tcPr>
          <w:p w14:paraId="3E68482E" w14:textId="5C3B7364"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4F3260">
              <w:rPr>
                <w:rFonts w:ascii="Book Antiqua" w:eastAsia="宋体" w:hAnsi="Book Antiqua" w:hint="eastAsia"/>
                <w:lang w:eastAsia="zh-CN"/>
              </w:rPr>
              <w:t xml:space="preserve"> </w:t>
            </w:r>
            <w:r w:rsidRPr="00B758E7">
              <w:rPr>
                <w:rFonts w:ascii="Book Antiqua" w:hAnsi="Book Antiqua"/>
              </w:rPr>
              <w:t>0.0001</w:t>
            </w:r>
          </w:p>
        </w:tc>
      </w:tr>
      <w:tr w:rsidR="00B758E7" w:rsidRPr="00B758E7" w14:paraId="21A10B69" w14:textId="77777777" w:rsidTr="004F3260">
        <w:trPr>
          <w:trHeight w:val="45"/>
        </w:trPr>
        <w:tc>
          <w:tcPr>
            <w:tcW w:w="4464" w:type="dxa"/>
            <w:shd w:val="clear" w:color="auto" w:fill="auto"/>
            <w:tcMar>
              <w:top w:w="72" w:type="dxa"/>
              <w:left w:w="144" w:type="dxa"/>
              <w:bottom w:w="72" w:type="dxa"/>
              <w:right w:w="144" w:type="dxa"/>
            </w:tcMar>
            <w:vAlign w:val="center"/>
          </w:tcPr>
          <w:p w14:paraId="15E09182"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Previous transplant</w:t>
            </w:r>
          </w:p>
        </w:tc>
        <w:tc>
          <w:tcPr>
            <w:tcW w:w="1530" w:type="dxa"/>
            <w:shd w:val="clear" w:color="auto" w:fill="auto"/>
            <w:tcMar>
              <w:top w:w="72" w:type="dxa"/>
              <w:left w:w="144" w:type="dxa"/>
              <w:bottom w:w="72" w:type="dxa"/>
              <w:right w:w="144" w:type="dxa"/>
            </w:tcMar>
            <w:vAlign w:val="center"/>
          </w:tcPr>
          <w:p w14:paraId="633AE391" w14:textId="16A5FC6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1.979</w:t>
            </w:r>
            <w:r w:rsidR="00AC64F2" w:rsidRPr="00B758E7">
              <w:rPr>
                <w:rFonts w:ascii="Book Antiqua" w:hAnsi="Book Antiqua" w:cs="SAS Monospace"/>
              </w:rPr>
              <w:t xml:space="preserve"> </w:t>
            </w:r>
          </w:p>
        </w:tc>
        <w:tc>
          <w:tcPr>
            <w:tcW w:w="2250" w:type="dxa"/>
            <w:shd w:val="clear" w:color="auto" w:fill="auto"/>
            <w:tcMar>
              <w:top w:w="72" w:type="dxa"/>
              <w:left w:w="144" w:type="dxa"/>
              <w:bottom w:w="72" w:type="dxa"/>
              <w:right w:w="144" w:type="dxa"/>
            </w:tcMar>
            <w:vAlign w:val="center"/>
          </w:tcPr>
          <w:p w14:paraId="65392C7B"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1.860-2.107</w:t>
            </w:r>
          </w:p>
        </w:tc>
        <w:tc>
          <w:tcPr>
            <w:tcW w:w="1260" w:type="dxa"/>
            <w:shd w:val="clear" w:color="auto" w:fill="auto"/>
            <w:tcMar>
              <w:top w:w="72" w:type="dxa"/>
              <w:left w:w="144" w:type="dxa"/>
              <w:bottom w:w="72" w:type="dxa"/>
              <w:right w:w="144" w:type="dxa"/>
            </w:tcMar>
            <w:vAlign w:val="center"/>
          </w:tcPr>
          <w:p w14:paraId="5D6C5FB8" w14:textId="6FC69B3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4F3260">
              <w:rPr>
                <w:rFonts w:ascii="Book Antiqua" w:eastAsia="宋体" w:hAnsi="Book Antiqua" w:hint="eastAsia"/>
                <w:lang w:eastAsia="zh-CN"/>
              </w:rPr>
              <w:t xml:space="preserve"> </w:t>
            </w:r>
            <w:r w:rsidRPr="00B758E7">
              <w:rPr>
                <w:rFonts w:ascii="Book Antiqua" w:hAnsi="Book Antiqua"/>
              </w:rPr>
              <w:t>0.0001</w:t>
            </w:r>
          </w:p>
        </w:tc>
      </w:tr>
      <w:tr w:rsidR="00B758E7" w:rsidRPr="00B758E7" w14:paraId="2B1D1167" w14:textId="77777777" w:rsidTr="004F3260">
        <w:trPr>
          <w:trHeight w:val="45"/>
        </w:trPr>
        <w:tc>
          <w:tcPr>
            <w:tcW w:w="4464" w:type="dxa"/>
            <w:shd w:val="clear" w:color="auto" w:fill="auto"/>
            <w:tcMar>
              <w:top w:w="72" w:type="dxa"/>
              <w:left w:w="144" w:type="dxa"/>
              <w:bottom w:w="72" w:type="dxa"/>
              <w:right w:w="144" w:type="dxa"/>
            </w:tcMar>
            <w:vAlign w:val="center"/>
          </w:tcPr>
          <w:p w14:paraId="3A3F6E65" w14:textId="77777777" w:rsidR="00B66B98" w:rsidRPr="00B758E7" w:rsidRDefault="00B66B98" w:rsidP="00EE05FE">
            <w:pPr>
              <w:pStyle w:val="NoSpacing"/>
              <w:spacing w:line="360" w:lineRule="auto"/>
              <w:jc w:val="both"/>
              <w:rPr>
                <w:rFonts w:ascii="Book Antiqua" w:hAnsi="Book Antiqua"/>
                <w:b/>
                <w:bCs/>
              </w:rPr>
            </w:pPr>
            <w:r w:rsidRPr="00B758E7">
              <w:rPr>
                <w:rFonts w:ascii="Book Antiqua" w:hAnsi="Book Antiqua"/>
                <w:b/>
                <w:bCs/>
              </w:rPr>
              <w:t>Gender male</w:t>
            </w:r>
          </w:p>
        </w:tc>
        <w:tc>
          <w:tcPr>
            <w:tcW w:w="1530" w:type="dxa"/>
            <w:shd w:val="clear" w:color="auto" w:fill="auto"/>
            <w:tcMar>
              <w:top w:w="72" w:type="dxa"/>
              <w:left w:w="144" w:type="dxa"/>
              <w:bottom w:w="72" w:type="dxa"/>
              <w:right w:w="144" w:type="dxa"/>
            </w:tcMar>
            <w:vAlign w:val="center"/>
          </w:tcPr>
          <w:p w14:paraId="2E7AFBD3" w14:textId="798A5095"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0.983</w:t>
            </w:r>
            <w:r w:rsidR="00AC64F2" w:rsidRPr="00B758E7">
              <w:rPr>
                <w:rFonts w:ascii="Book Antiqua" w:hAnsi="Book Antiqua" w:cs="SAS Monospace"/>
              </w:rPr>
              <w:t xml:space="preserve"> </w:t>
            </w:r>
          </w:p>
        </w:tc>
        <w:tc>
          <w:tcPr>
            <w:tcW w:w="2250" w:type="dxa"/>
            <w:shd w:val="clear" w:color="auto" w:fill="auto"/>
            <w:tcMar>
              <w:top w:w="72" w:type="dxa"/>
              <w:left w:w="144" w:type="dxa"/>
              <w:bottom w:w="72" w:type="dxa"/>
              <w:right w:w="144" w:type="dxa"/>
            </w:tcMar>
            <w:vAlign w:val="center"/>
          </w:tcPr>
          <w:p w14:paraId="3F1B8D0B"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0.941-1.027</w:t>
            </w:r>
          </w:p>
        </w:tc>
        <w:tc>
          <w:tcPr>
            <w:tcW w:w="1260" w:type="dxa"/>
            <w:shd w:val="clear" w:color="auto" w:fill="auto"/>
            <w:tcMar>
              <w:top w:w="72" w:type="dxa"/>
              <w:left w:w="144" w:type="dxa"/>
              <w:bottom w:w="72" w:type="dxa"/>
              <w:right w:w="144" w:type="dxa"/>
            </w:tcMar>
            <w:vAlign w:val="center"/>
          </w:tcPr>
          <w:p w14:paraId="1EFEAC1A"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0.443</w:t>
            </w:r>
          </w:p>
        </w:tc>
      </w:tr>
      <w:tr w:rsidR="00B758E7" w:rsidRPr="00B758E7" w14:paraId="7C475AE2" w14:textId="77777777" w:rsidTr="004F3260">
        <w:trPr>
          <w:trHeight w:val="45"/>
        </w:trPr>
        <w:tc>
          <w:tcPr>
            <w:tcW w:w="4464" w:type="dxa"/>
            <w:shd w:val="clear" w:color="auto" w:fill="auto"/>
            <w:tcMar>
              <w:top w:w="72" w:type="dxa"/>
              <w:left w:w="144" w:type="dxa"/>
              <w:bottom w:w="72" w:type="dxa"/>
              <w:right w:w="144" w:type="dxa"/>
            </w:tcMar>
            <w:vAlign w:val="center"/>
          </w:tcPr>
          <w:p w14:paraId="1531597D" w14:textId="77777777" w:rsidR="00B66B98" w:rsidRPr="00B758E7" w:rsidRDefault="00B66B98" w:rsidP="00EE05FE">
            <w:pPr>
              <w:pStyle w:val="NoSpacing"/>
              <w:spacing w:line="360" w:lineRule="auto"/>
              <w:jc w:val="both"/>
              <w:rPr>
                <w:rFonts w:ascii="Book Antiqua" w:hAnsi="Book Antiqua"/>
                <w:b/>
                <w:bCs/>
              </w:rPr>
            </w:pPr>
            <w:r w:rsidRPr="00B758E7">
              <w:rPr>
                <w:rFonts w:ascii="Book Antiqua" w:hAnsi="Book Antiqua"/>
                <w:b/>
                <w:bCs/>
              </w:rPr>
              <w:t>Ethnicity non-African American</w:t>
            </w:r>
          </w:p>
        </w:tc>
        <w:tc>
          <w:tcPr>
            <w:tcW w:w="1530" w:type="dxa"/>
            <w:shd w:val="clear" w:color="auto" w:fill="auto"/>
            <w:tcMar>
              <w:top w:w="72" w:type="dxa"/>
              <w:left w:w="144" w:type="dxa"/>
              <w:bottom w:w="72" w:type="dxa"/>
              <w:right w:w="144" w:type="dxa"/>
            </w:tcMar>
            <w:vAlign w:val="center"/>
          </w:tcPr>
          <w:p w14:paraId="2142C550" w14:textId="70BC5ADD"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0.921</w:t>
            </w:r>
            <w:r w:rsidR="00AC64F2" w:rsidRPr="00B758E7">
              <w:rPr>
                <w:rFonts w:ascii="Book Antiqua" w:hAnsi="Book Antiqua" w:cs="SAS Monospace"/>
              </w:rPr>
              <w:t xml:space="preserve"> </w:t>
            </w:r>
          </w:p>
        </w:tc>
        <w:tc>
          <w:tcPr>
            <w:tcW w:w="2250" w:type="dxa"/>
            <w:shd w:val="clear" w:color="auto" w:fill="auto"/>
            <w:tcMar>
              <w:top w:w="72" w:type="dxa"/>
              <w:left w:w="144" w:type="dxa"/>
              <w:bottom w:w="72" w:type="dxa"/>
              <w:right w:w="144" w:type="dxa"/>
            </w:tcMar>
            <w:vAlign w:val="center"/>
          </w:tcPr>
          <w:p w14:paraId="19984AAF"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0.866-0.980</w:t>
            </w:r>
          </w:p>
        </w:tc>
        <w:tc>
          <w:tcPr>
            <w:tcW w:w="1260" w:type="dxa"/>
            <w:shd w:val="clear" w:color="auto" w:fill="auto"/>
            <w:tcMar>
              <w:top w:w="72" w:type="dxa"/>
              <w:left w:w="144" w:type="dxa"/>
              <w:bottom w:w="72" w:type="dxa"/>
              <w:right w:w="144" w:type="dxa"/>
            </w:tcMar>
            <w:vAlign w:val="center"/>
          </w:tcPr>
          <w:p w14:paraId="0275CD08"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0.010</w:t>
            </w:r>
          </w:p>
        </w:tc>
      </w:tr>
      <w:tr w:rsidR="00B758E7" w:rsidRPr="00B758E7" w14:paraId="0BF00AE0" w14:textId="77777777" w:rsidTr="004F3260">
        <w:trPr>
          <w:trHeight w:val="26"/>
        </w:trPr>
        <w:tc>
          <w:tcPr>
            <w:tcW w:w="4464" w:type="dxa"/>
            <w:shd w:val="clear" w:color="auto" w:fill="auto"/>
            <w:tcMar>
              <w:top w:w="72" w:type="dxa"/>
              <w:left w:w="144" w:type="dxa"/>
              <w:bottom w:w="72" w:type="dxa"/>
              <w:right w:w="144" w:type="dxa"/>
            </w:tcMar>
            <w:vAlign w:val="center"/>
          </w:tcPr>
          <w:p w14:paraId="58768C09" w14:textId="77777777"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MELD</w:t>
            </w:r>
            <w:r w:rsidRPr="00B758E7">
              <w:rPr>
                <w:rFonts w:ascii="Book Antiqua" w:hAnsi="Book Antiqua"/>
                <w:b/>
              </w:rPr>
              <w:t xml:space="preserve"> at transplant</w:t>
            </w:r>
          </w:p>
        </w:tc>
        <w:tc>
          <w:tcPr>
            <w:tcW w:w="1530" w:type="dxa"/>
            <w:shd w:val="clear" w:color="auto" w:fill="auto"/>
            <w:tcMar>
              <w:top w:w="72" w:type="dxa"/>
              <w:left w:w="144" w:type="dxa"/>
              <w:bottom w:w="72" w:type="dxa"/>
              <w:right w:w="144" w:type="dxa"/>
            </w:tcMar>
            <w:vAlign w:val="center"/>
          </w:tcPr>
          <w:p w14:paraId="56E71075" w14:textId="0A13CF78"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1.016</w:t>
            </w:r>
            <w:r w:rsidR="00AC64F2" w:rsidRPr="00B758E7">
              <w:rPr>
                <w:rFonts w:ascii="Book Antiqua" w:hAnsi="Book Antiqua" w:cs="SAS Monospace"/>
              </w:rPr>
              <w:t xml:space="preserve"> </w:t>
            </w:r>
          </w:p>
        </w:tc>
        <w:tc>
          <w:tcPr>
            <w:tcW w:w="2250" w:type="dxa"/>
            <w:shd w:val="clear" w:color="auto" w:fill="auto"/>
            <w:tcMar>
              <w:top w:w="72" w:type="dxa"/>
              <w:left w:w="144" w:type="dxa"/>
              <w:bottom w:w="72" w:type="dxa"/>
              <w:right w:w="144" w:type="dxa"/>
            </w:tcMar>
            <w:vAlign w:val="center"/>
          </w:tcPr>
          <w:p w14:paraId="796F3483"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1.014-1.018</w:t>
            </w:r>
          </w:p>
        </w:tc>
        <w:tc>
          <w:tcPr>
            <w:tcW w:w="1260" w:type="dxa"/>
            <w:shd w:val="clear" w:color="auto" w:fill="auto"/>
            <w:tcMar>
              <w:top w:w="72" w:type="dxa"/>
              <w:left w:w="144" w:type="dxa"/>
              <w:bottom w:w="72" w:type="dxa"/>
              <w:right w:w="144" w:type="dxa"/>
            </w:tcMar>
            <w:vAlign w:val="center"/>
          </w:tcPr>
          <w:p w14:paraId="3A3E87E4" w14:textId="313D8FA8"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4F3260">
              <w:rPr>
                <w:rFonts w:ascii="Book Antiqua" w:eastAsia="宋体" w:hAnsi="Book Antiqua" w:hint="eastAsia"/>
                <w:lang w:eastAsia="zh-CN"/>
              </w:rPr>
              <w:t xml:space="preserve"> </w:t>
            </w:r>
            <w:r w:rsidRPr="00B758E7">
              <w:rPr>
                <w:rFonts w:ascii="Book Antiqua" w:hAnsi="Book Antiqua"/>
              </w:rPr>
              <w:t>0.0001</w:t>
            </w:r>
          </w:p>
        </w:tc>
      </w:tr>
      <w:tr w:rsidR="00B758E7" w:rsidRPr="00B758E7" w14:paraId="2DC5504D" w14:textId="77777777" w:rsidTr="004F3260">
        <w:trPr>
          <w:trHeight w:val="26"/>
        </w:trPr>
        <w:tc>
          <w:tcPr>
            <w:tcW w:w="4464" w:type="dxa"/>
            <w:shd w:val="clear" w:color="auto" w:fill="auto"/>
            <w:tcMar>
              <w:top w:w="72" w:type="dxa"/>
              <w:left w:w="144" w:type="dxa"/>
              <w:bottom w:w="72" w:type="dxa"/>
              <w:right w:w="144" w:type="dxa"/>
            </w:tcMar>
            <w:vAlign w:val="center"/>
          </w:tcPr>
          <w:p w14:paraId="12DDED13" w14:textId="3F30D650"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 xml:space="preserve">Age of </w:t>
            </w:r>
            <w:r w:rsidR="004F3260" w:rsidRPr="00B758E7">
              <w:rPr>
                <w:rFonts w:ascii="Book Antiqua" w:hAnsi="Book Antiqua"/>
                <w:b/>
                <w:bCs/>
              </w:rPr>
              <w:t>re</w:t>
            </w:r>
            <w:r w:rsidRPr="00B758E7">
              <w:rPr>
                <w:rFonts w:ascii="Book Antiqua" w:hAnsi="Book Antiqua"/>
                <w:b/>
                <w:bCs/>
              </w:rPr>
              <w:t>cipient</w:t>
            </w:r>
            <w:r w:rsidRPr="00B758E7">
              <w:rPr>
                <w:rFonts w:ascii="Book Antiqua" w:hAnsi="Book Antiqua"/>
                <w:b/>
              </w:rPr>
              <w:t xml:space="preserve"> </w:t>
            </w:r>
          </w:p>
        </w:tc>
        <w:tc>
          <w:tcPr>
            <w:tcW w:w="1530" w:type="dxa"/>
            <w:shd w:val="clear" w:color="auto" w:fill="auto"/>
            <w:tcMar>
              <w:top w:w="72" w:type="dxa"/>
              <w:left w:w="144" w:type="dxa"/>
              <w:bottom w:w="72" w:type="dxa"/>
              <w:right w:w="144" w:type="dxa"/>
            </w:tcMar>
            <w:vAlign w:val="center"/>
          </w:tcPr>
          <w:p w14:paraId="66DCA022" w14:textId="006C9D3D"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1.009</w:t>
            </w:r>
            <w:r w:rsidR="00AC64F2" w:rsidRPr="00B758E7">
              <w:rPr>
                <w:rFonts w:ascii="Book Antiqua" w:hAnsi="Book Antiqua" w:cs="SAS Monospace"/>
              </w:rPr>
              <w:t xml:space="preserve"> </w:t>
            </w:r>
          </w:p>
        </w:tc>
        <w:tc>
          <w:tcPr>
            <w:tcW w:w="2250" w:type="dxa"/>
            <w:shd w:val="clear" w:color="auto" w:fill="auto"/>
            <w:tcMar>
              <w:top w:w="72" w:type="dxa"/>
              <w:left w:w="144" w:type="dxa"/>
              <w:bottom w:w="72" w:type="dxa"/>
              <w:right w:w="144" w:type="dxa"/>
            </w:tcMar>
            <w:vAlign w:val="center"/>
          </w:tcPr>
          <w:p w14:paraId="38F814F7"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1.007-1.010</w:t>
            </w:r>
          </w:p>
        </w:tc>
        <w:tc>
          <w:tcPr>
            <w:tcW w:w="1260" w:type="dxa"/>
            <w:shd w:val="clear" w:color="auto" w:fill="auto"/>
            <w:tcMar>
              <w:top w:w="72" w:type="dxa"/>
              <w:left w:w="144" w:type="dxa"/>
              <w:bottom w:w="72" w:type="dxa"/>
              <w:right w:w="144" w:type="dxa"/>
            </w:tcMar>
            <w:vAlign w:val="center"/>
          </w:tcPr>
          <w:p w14:paraId="20490EB1" w14:textId="21BCF17B"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4F3260">
              <w:rPr>
                <w:rFonts w:ascii="Book Antiqua" w:eastAsia="宋体" w:hAnsi="Book Antiqua" w:hint="eastAsia"/>
                <w:lang w:eastAsia="zh-CN"/>
              </w:rPr>
              <w:t xml:space="preserve"> </w:t>
            </w:r>
            <w:r w:rsidRPr="00B758E7">
              <w:rPr>
                <w:rFonts w:ascii="Book Antiqua" w:hAnsi="Book Antiqua"/>
              </w:rPr>
              <w:t>0.0001</w:t>
            </w:r>
          </w:p>
        </w:tc>
      </w:tr>
      <w:tr w:rsidR="00B758E7" w:rsidRPr="00B758E7" w14:paraId="5EAAC894" w14:textId="77777777" w:rsidTr="004F3260">
        <w:trPr>
          <w:trHeight w:val="26"/>
        </w:trPr>
        <w:tc>
          <w:tcPr>
            <w:tcW w:w="4464" w:type="dxa"/>
            <w:shd w:val="clear" w:color="auto" w:fill="auto"/>
            <w:tcMar>
              <w:top w:w="72" w:type="dxa"/>
              <w:left w:w="144" w:type="dxa"/>
              <w:bottom w:w="72" w:type="dxa"/>
              <w:right w:w="144" w:type="dxa"/>
            </w:tcMar>
            <w:vAlign w:val="center"/>
          </w:tcPr>
          <w:p w14:paraId="05A67610" w14:textId="177E3E40" w:rsidR="00B66B98" w:rsidRPr="00B758E7" w:rsidRDefault="00B66B98" w:rsidP="00EE05FE">
            <w:pPr>
              <w:pStyle w:val="NoSpacing"/>
              <w:spacing w:line="360" w:lineRule="auto"/>
              <w:jc w:val="both"/>
              <w:rPr>
                <w:rFonts w:ascii="Book Antiqua" w:hAnsi="Book Antiqua"/>
                <w:b/>
              </w:rPr>
            </w:pPr>
            <w:r w:rsidRPr="00B758E7">
              <w:rPr>
                <w:rFonts w:ascii="Book Antiqua" w:hAnsi="Book Antiqua"/>
                <w:b/>
                <w:bCs/>
              </w:rPr>
              <w:t xml:space="preserve">Age of </w:t>
            </w:r>
            <w:r w:rsidR="004F3260" w:rsidRPr="00B758E7">
              <w:rPr>
                <w:rFonts w:ascii="Book Antiqua" w:hAnsi="Book Antiqua"/>
                <w:b/>
                <w:bCs/>
              </w:rPr>
              <w:t>d</w:t>
            </w:r>
            <w:r w:rsidRPr="00B758E7">
              <w:rPr>
                <w:rFonts w:ascii="Book Antiqua" w:hAnsi="Book Antiqua"/>
                <w:b/>
                <w:bCs/>
              </w:rPr>
              <w:t>onor</w:t>
            </w:r>
            <w:r w:rsidRPr="00B758E7">
              <w:rPr>
                <w:rFonts w:ascii="Book Antiqua" w:hAnsi="Book Antiqua"/>
                <w:b/>
              </w:rPr>
              <w:t xml:space="preserve"> </w:t>
            </w:r>
          </w:p>
        </w:tc>
        <w:tc>
          <w:tcPr>
            <w:tcW w:w="1530" w:type="dxa"/>
            <w:shd w:val="clear" w:color="auto" w:fill="auto"/>
            <w:tcMar>
              <w:top w:w="72" w:type="dxa"/>
              <w:left w:w="144" w:type="dxa"/>
              <w:bottom w:w="72" w:type="dxa"/>
              <w:right w:w="144" w:type="dxa"/>
            </w:tcMar>
            <w:vAlign w:val="center"/>
          </w:tcPr>
          <w:p w14:paraId="5E0C005A" w14:textId="55DB99A8"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1.009</w:t>
            </w:r>
            <w:r w:rsidR="00AC64F2" w:rsidRPr="00B758E7">
              <w:rPr>
                <w:rFonts w:ascii="Book Antiqua" w:hAnsi="Book Antiqua" w:cs="SAS Monospace"/>
              </w:rPr>
              <w:t xml:space="preserve"> </w:t>
            </w:r>
          </w:p>
        </w:tc>
        <w:tc>
          <w:tcPr>
            <w:tcW w:w="2250" w:type="dxa"/>
            <w:shd w:val="clear" w:color="auto" w:fill="auto"/>
            <w:tcMar>
              <w:top w:w="72" w:type="dxa"/>
              <w:left w:w="144" w:type="dxa"/>
              <w:bottom w:w="72" w:type="dxa"/>
              <w:right w:w="144" w:type="dxa"/>
            </w:tcMar>
            <w:vAlign w:val="center"/>
          </w:tcPr>
          <w:p w14:paraId="0D7673E9" w14:textId="77777777" w:rsidR="00B66B98" w:rsidRPr="00B758E7" w:rsidRDefault="00B66B98" w:rsidP="00EE05FE">
            <w:pPr>
              <w:pStyle w:val="NoSpacing"/>
              <w:spacing w:line="360" w:lineRule="auto"/>
              <w:jc w:val="both"/>
              <w:rPr>
                <w:rFonts w:ascii="Book Antiqua" w:hAnsi="Book Antiqua"/>
              </w:rPr>
            </w:pPr>
            <w:r w:rsidRPr="00B758E7">
              <w:rPr>
                <w:rFonts w:ascii="Book Antiqua" w:hAnsi="Book Antiqua" w:cs="SAS Monospace"/>
              </w:rPr>
              <w:t>1.008-1.010</w:t>
            </w:r>
          </w:p>
        </w:tc>
        <w:tc>
          <w:tcPr>
            <w:tcW w:w="1260" w:type="dxa"/>
            <w:shd w:val="clear" w:color="auto" w:fill="auto"/>
            <w:tcMar>
              <w:top w:w="72" w:type="dxa"/>
              <w:left w:w="144" w:type="dxa"/>
              <w:bottom w:w="72" w:type="dxa"/>
              <w:right w:w="144" w:type="dxa"/>
            </w:tcMar>
            <w:vAlign w:val="center"/>
          </w:tcPr>
          <w:p w14:paraId="144964C0" w14:textId="6888C02A" w:rsidR="00B66B98" w:rsidRPr="00B758E7" w:rsidRDefault="00B66B98" w:rsidP="00EE05FE">
            <w:pPr>
              <w:pStyle w:val="NoSpacing"/>
              <w:spacing w:line="360" w:lineRule="auto"/>
              <w:jc w:val="both"/>
              <w:rPr>
                <w:rFonts w:ascii="Book Antiqua" w:hAnsi="Book Antiqua"/>
              </w:rPr>
            </w:pPr>
            <w:r w:rsidRPr="00B758E7">
              <w:rPr>
                <w:rFonts w:ascii="Book Antiqua" w:hAnsi="Book Antiqua"/>
              </w:rPr>
              <w:t>&lt;</w:t>
            </w:r>
            <w:r w:rsidR="004F3260">
              <w:rPr>
                <w:rFonts w:ascii="Book Antiqua" w:eastAsia="宋体" w:hAnsi="Book Antiqua" w:hint="eastAsia"/>
                <w:lang w:eastAsia="zh-CN"/>
              </w:rPr>
              <w:t xml:space="preserve"> </w:t>
            </w:r>
            <w:r w:rsidRPr="00B758E7">
              <w:rPr>
                <w:rFonts w:ascii="Book Antiqua" w:hAnsi="Book Antiqua"/>
              </w:rPr>
              <w:t>0.0001</w:t>
            </w:r>
          </w:p>
        </w:tc>
      </w:tr>
    </w:tbl>
    <w:p w14:paraId="0CD6FA20" w14:textId="77777777" w:rsidR="004F3260" w:rsidRDefault="004F3260" w:rsidP="00EE05FE">
      <w:pPr>
        <w:pStyle w:val="NoSpacing"/>
        <w:spacing w:line="360" w:lineRule="auto"/>
        <w:jc w:val="both"/>
        <w:rPr>
          <w:rFonts w:ascii="Book Antiqua" w:eastAsia="宋体" w:hAnsi="Book Antiqua"/>
          <w:lang w:eastAsia="zh-CN"/>
        </w:rPr>
      </w:pPr>
      <w:r w:rsidRPr="00EB65B9">
        <w:rPr>
          <w:rFonts w:ascii="Book Antiqua" w:hAnsi="Book Antiqua"/>
          <w:bCs/>
        </w:rPr>
        <w:t>SBP</w:t>
      </w:r>
      <w:r w:rsidRPr="00EB65B9">
        <w:rPr>
          <w:rFonts w:ascii="Book Antiqua" w:eastAsia="宋体" w:hAnsi="Book Antiqua" w:hint="eastAsia"/>
          <w:bCs/>
          <w:lang w:eastAsia="zh-CN"/>
        </w:rPr>
        <w:t xml:space="preserve">: </w:t>
      </w:r>
      <w:r w:rsidRPr="00EB65B9">
        <w:rPr>
          <w:rFonts w:ascii="Book Antiqua" w:hAnsi="Book Antiqua"/>
        </w:rPr>
        <w:t>Spontaneous bacterial peritonitis</w:t>
      </w:r>
      <w:r w:rsidRPr="00EB65B9">
        <w:rPr>
          <w:rFonts w:ascii="Book Antiqua" w:eastAsia="宋体" w:hAnsi="Book Antiqua" w:hint="eastAsia"/>
          <w:lang w:eastAsia="zh-CN"/>
        </w:rPr>
        <w:t>;</w:t>
      </w:r>
      <w:r w:rsidRPr="00EB65B9">
        <w:rPr>
          <w:rFonts w:ascii="Book Antiqua" w:hAnsi="Book Antiqua"/>
        </w:rPr>
        <w:t xml:space="preserve"> MELD</w:t>
      </w:r>
      <w:r w:rsidRPr="00EB65B9">
        <w:rPr>
          <w:rFonts w:ascii="Book Antiqua" w:eastAsia="宋体" w:hAnsi="Book Antiqua" w:hint="eastAsia"/>
          <w:lang w:eastAsia="zh-CN"/>
        </w:rPr>
        <w:t xml:space="preserve">: </w:t>
      </w:r>
      <w:r w:rsidRPr="00EB65B9">
        <w:rPr>
          <w:rFonts w:ascii="Book Antiqua" w:hAnsi="Book Antiqua"/>
        </w:rPr>
        <w:t>Model for End Stage Liver Disease</w:t>
      </w:r>
      <w:r>
        <w:rPr>
          <w:rFonts w:ascii="Book Antiqua" w:eastAsia="宋体" w:hAnsi="Book Antiqua" w:hint="eastAsia"/>
          <w:lang w:eastAsia="zh-CN"/>
        </w:rPr>
        <w:t>.</w:t>
      </w:r>
    </w:p>
    <w:p w14:paraId="3898790F" w14:textId="77777777" w:rsidR="004F3260" w:rsidRDefault="004F3260">
      <w:pPr>
        <w:rPr>
          <w:rFonts w:ascii="Book Antiqua" w:hAnsi="Book Antiqua"/>
          <w:lang w:eastAsia="zh-CN"/>
        </w:rPr>
      </w:pPr>
      <w:r>
        <w:rPr>
          <w:rFonts w:ascii="Book Antiqua" w:hAnsi="Book Antiqua"/>
          <w:lang w:eastAsia="zh-CN"/>
        </w:rPr>
        <w:br w:type="page"/>
      </w:r>
    </w:p>
    <w:p w14:paraId="4C6909A4" w14:textId="77777777" w:rsidR="004F3260" w:rsidRDefault="004F3260" w:rsidP="00EE05FE">
      <w:pPr>
        <w:pStyle w:val="NoSpacing"/>
        <w:spacing w:line="360" w:lineRule="auto"/>
        <w:jc w:val="both"/>
        <w:rPr>
          <w:rFonts w:ascii="Book Antiqua" w:eastAsia="宋体" w:hAnsi="Book Antiqua"/>
          <w:b/>
          <w:lang w:eastAsia="zh-CN"/>
        </w:rPr>
      </w:pPr>
    </w:p>
    <w:p w14:paraId="322B212A" w14:textId="77777777" w:rsidR="00B66B98" w:rsidRPr="00B758E7" w:rsidRDefault="00F176D2" w:rsidP="00EE05FE">
      <w:pPr>
        <w:spacing w:line="360" w:lineRule="auto"/>
        <w:jc w:val="both"/>
        <w:rPr>
          <w:rFonts w:ascii="Book Antiqua" w:hAnsi="Book Antiqua"/>
          <w:noProof/>
        </w:rPr>
      </w:pPr>
      <w:r w:rsidRPr="00B758E7">
        <w:rPr>
          <w:rFonts w:ascii="Book Antiqua" w:hAnsi="Book Antiqua"/>
          <w:noProof/>
        </w:rPr>
        <w:drawing>
          <wp:inline distT="0" distB="0" distL="0" distR="0" wp14:anchorId="395BA956" wp14:editId="0C7C07EF">
            <wp:extent cx="4800600" cy="3319145"/>
            <wp:effectExtent l="0" t="0" r="0" b="8255"/>
            <wp:docPr id="1" name="Picture 3" descr="C:\Documents and Settings\pgn5qs\Desktop\SBP_Survival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gn5qs\Desktop\SBP_Survival_gra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3319145"/>
                    </a:xfrm>
                    <a:prstGeom prst="rect">
                      <a:avLst/>
                    </a:prstGeom>
                    <a:noFill/>
                    <a:ln>
                      <a:noFill/>
                    </a:ln>
                  </pic:spPr>
                </pic:pic>
              </a:graphicData>
            </a:graphic>
          </wp:inline>
        </w:drawing>
      </w:r>
    </w:p>
    <w:p w14:paraId="26EABD35" w14:textId="786D797C" w:rsidR="004F3260" w:rsidRPr="004F3260" w:rsidRDefault="004F3260" w:rsidP="004F3260">
      <w:pPr>
        <w:pStyle w:val="NoSpacing"/>
        <w:spacing w:line="360" w:lineRule="auto"/>
        <w:jc w:val="both"/>
        <w:rPr>
          <w:rFonts w:ascii="Book Antiqua" w:eastAsia="宋体" w:hAnsi="Book Antiqua"/>
          <w:b/>
          <w:lang w:eastAsia="zh-CN"/>
        </w:rPr>
      </w:pPr>
      <w:r w:rsidRPr="004F3260">
        <w:rPr>
          <w:rFonts w:ascii="Book Antiqua" w:hAnsi="Book Antiqua"/>
          <w:b/>
        </w:rPr>
        <w:t>Figure 1 Kaplan-Meier post-transplant survival analysis of patients with a history of pre-transplant spontaneous bacterial peritonitis.</w:t>
      </w:r>
      <w:r w:rsidRPr="004F3260">
        <w:rPr>
          <w:rFonts w:ascii="Book Antiqua" w:hAnsi="Book Antiqua"/>
          <w:bCs/>
        </w:rPr>
        <w:t xml:space="preserve"> </w:t>
      </w:r>
      <w:r w:rsidRPr="00EB65B9">
        <w:rPr>
          <w:rFonts w:ascii="Book Antiqua" w:hAnsi="Book Antiqua"/>
          <w:bCs/>
        </w:rPr>
        <w:t>SBP</w:t>
      </w:r>
      <w:r w:rsidRPr="00EB65B9">
        <w:rPr>
          <w:rFonts w:ascii="Book Antiqua" w:eastAsia="宋体" w:hAnsi="Book Antiqua" w:hint="eastAsia"/>
          <w:bCs/>
          <w:lang w:eastAsia="zh-CN"/>
        </w:rPr>
        <w:t xml:space="preserve">: </w:t>
      </w:r>
      <w:r w:rsidRPr="00EB65B9">
        <w:rPr>
          <w:rFonts w:ascii="Book Antiqua" w:hAnsi="Book Antiqua"/>
        </w:rPr>
        <w:t>Spontaneous bacterial peritonitis</w:t>
      </w:r>
      <w:r>
        <w:rPr>
          <w:rFonts w:ascii="Book Antiqua" w:eastAsia="宋体" w:hAnsi="Book Antiqua" w:hint="eastAsia"/>
          <w:lang w:eastAsia="zh-CN"/>
        </w:rPr>
        <w:t>.</w:t>
      </w:r>
    </w:p>
    <w:p w14:paraId="3BA4082C" w14:textId="77777777" w:rsidR="00B66B98" w:rsidRPr="00B758E7" w:rsidRDefault="00B66B98" w:rsidP="00EE05FE">
      <w:pPr>
        <w:spacing w:line="360" w:lineRule="auto"/>
        <w:jc w:val="both"/>
        <w:rPr>
          <w:rFonts w:ascii="Book Antiqua" w:hAnsi="Book Antiqua"/>
          <w:noProof/>
        </w:rPr>
      </w:pPr>
    </w:p>
    <w:p w14:paraId="1EDA5781" w14:textId="51A86E4C" w:rsidR="00B66B98" w:rsidRPr="00B758E7" w:rsidRDefault="00B66B98" w:rsidP="00EE05FE">
      <w:pPr>
        <w:spacing w:line="360" w:lineRule="auto"/>
        <w:jc w:val="both"/>
        <w:rPr>
          <w:rFonts w:ascii="Book Antiqua" w:hAnsi="Book Antiqua"/>
          <w:noProof/>
        </w:rPr>
      </w:pPr>
    </w:p>
    <w:sectPr w:rsidR="00B66B98" w:rsidRPr="00B758E7" w:rsidSect="00964EE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F142C" w14:textId="77777777" w:rsidR="004B5639" w:rsidRDefault="004B5639">
      <w:r>
        <w:separator/>
      </w:r>
    </w:p>
  </w:endnote>
  <w:endnote w:type="continuationSeparator" w:id="0">
    <w:p w14:paraId="1C781353" w14:textId="77777777" w:rsidR="004B5639" w:rsidRDefault="004B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SAS Monospace">
    <w:charset w:val="00"/>
    <w:family w:val="modern"/>
    <w:pitch w:val="fixed"/>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4B802" w14:textId="77777777" w:rsidR="004B5639" w:rsidRDefault="004B5639">
      <w:r>
        <w:separator/>
      </w:r>
    </w:p>
  </w:footnote>
  <w:footnote w:type="continuationSeparator" w:id="0">
    <w:p w14:paraId="2213C1BD" w14:textId="77777777" w:rsidR="004B5639" w:rsidRDefault="004B56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960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B479FE"/>
    <w:multiLevelType w:val="hybridMultilevel"/>
    <w:tmpl w:val="F4F0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C329D"/>
    <w:multiLevelType w:val="hybridMultilevel"/>
    <w:tmpl w:val="C3FC3E6E"/>
    <w:lvl w:ilvl="0" w:tplc="8F3EE40A">
      <w:start w:val="1"/>
      <w:numFmt w:val="bullet"/>
      <w:lvlText w:val=""/>
      <w:lvlJc w:val="left"/>
      <w:pPr>
        <w:tabs>
          <w:tab w:val="num" w:pos="720"/>
        </w:tabs>
        <w:ind w:left="720" w:hanging="360"/>
      </w:pPr>
      <w:rPr>
        <w:rFonts w:ascii="Symbol" w:hAnsi="Symbol" w:hint="default"/>
      </w:rPr>
    </w:lvl>
    <w:lvl w:ilvl="1" w:tplc="15EA03F2" w:tentative="1">
      <w:start w:val="1"/>
      <w:numFmt w:val="bullet"/>
      <w:lvlText w:val=""/>
      <w:lvlJc w:val="left"/>
      <w:pPr>
        <w:tabs>
          <w:tab w:val="num" w:pos="1440"/>
        </w:tabs>
        <w:ind w:left="1440" w:hanging="360"/>
      </w:pPr>
      <w:rPr>
        <w:rFonts w:ascii="Symbol" w:hAnsi="Symbol" w:hint="default"/>
      </w:rPr>
    </w:lvl>
    <w:lvl w:ilvl="2" w:tplc="AA260FA4" w:tentative="1">
      <w:start w:val="1"/>
      <w:numFmt w:val="bullet"/>
      <w:lvlText w:val=""/>
      <w:lvlJc w:val="left"/>
      <w:pPr>
        <w:tabs>
          <w:tab w:val="num" w:pos="2160"/>
        </w:tabs>
        <w:ind w:left="2160" w:hanging="360"/>
      </w:pPr>
      <w:rPr>
        <w:rFonts w:ascii="Symbol" w:hAnsi="Symbol" w:hint="default"/>
      </w:rPr>
    </w:lvl>
    <w:lvl w:ilvl="3" w:tplc="5D143CBA" w:tentative="1">
      <w:start w:val="1"/>
      <w:numFmt w:val="bullet"/>
      <w:lvlText w:val=""/>
      <w:lvlJc w:val="left"/>
      <w:pPr>
        <w:tabs>
          <w:tab w:val="num" w:pos="2880"/>
        </w:tabs>
        <w:ind w:left="2880" w:hanging="360"/>
      </w:pPr>
      <w:rPr>
        <w:rFonts w:ascii="Symbol" w:hAnsi="Symbol" w:hint="default"/>
      </w:rPr>
    </w:lvl>
    <w:lvl w:ilvl="4" w:tplc="089A55E8" w:tentative="1">
      <w:start w:val="1"/>
      <w:numFmt w:val="bullet"/>
      <w:lvlText w:val=""/>
      <w:lvlJc w:val="left"/>
      <w:pPr>
        <w:tabs>
          <w:tab w:val="num" w:pos="3600"/>
        </w:tabs>
        <w:ind w:left="3600" w:hanging="360"/>
      </w:pPr>
      <w:rPr>
        <w:rFonts w:ascii="Symbol" w:hAnsi="Symbol" w:hint="default"/>
      </w:rPr>
    </w:lvl>
    <w:lvl w:ilvl="5" w:tplc="2212956C" w:tentative="1">
      <w:start w:val="1"/>
      <w:numFmt w:val="bullet"/>
      <w:lvlText w:val=""/>
      <w:lvlJc w:val="left"/>
      <w:pPr>
        <w:tabs>
          <w:tab w:val="num" w:pos="4320"/>
        </w:tabs>
        <w:ind w:left="4320" w:hanging="360"/>
      </w:pPr>
      <w:rPr>
        <w:rFonts w:ascii="Symbol" w:hAnsi="Symbol" w:hint="default"/>
      </w:rPr>
    </w:lvl>
    <w:lvl w:ilvl="6" w:tplc="F52E9666" w:tentative="1">
      <w:start w:val="1"/>
      <w:numFmt w:val="bullet"/>
      <w:lvlText w:val=""/>
      <w:lvlJc w:val="left"/>
      <w:pPr>
        <w:tabs>
          <w:tab w:val="num" w:pos="5040"/>
        </w:tabs>
        <w:ind w:left="5040" w:hanging="360"/>
      </w:pPr>
      <w:rPr>
        <w:rFonts w:ascii="Symbol" w:hAnsi="Symbol" w:hint="default"/>
      </w:rPr>
    </w:lvl>
    <w:lvl w:ilvl="7" w:tplc="319A4DF0" w:tentative="1">
      <w:start w:val="1"/>
      <w:numFmt w:val="bullet"/>
      <w:lvlText w:val=""/>
      <w:lvlJc w:val="left"/>
      <w:pPr>
        <w:tabs>
          <w:tab w:val="num" w:pos="5760"/>
        </w:tabs>
        <w:ind w:left="5760" w:hanging="360"/>
      </w:pPr>
      <w:rPr>
        <w:rFonts w:ascii="Symbol" w:hAnsi="Symbol" w:hint="default"/>
      </w:rPr>
    </w:lvl>
    <w:lvl w:ilvl="8" w:tplc="6178C046" w:tentative="1">
      <w:start w:val="1"/>
      <w:numFmt w:val="bullet"/>
      <w:lvlText w:val=""/>
      <w:lvlJc w:val="left"/>
      <w:pPr>
        <w:tabs>
          <w:tab w:val="num" w:pos="6480"/>
        </w:tabs>
        <w:ind w:left="6480" w:hanging="360"/>
      </w:pPr>
      <w:rPr>
        <w:rFonts w:ascii="Symbol" w:hAnsi="Symbol" w:hint="default"/>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B32ABA"/>
    <w:multiLevelType w:val="hybridMultilevel"/>
    <w:tmpl w:val="8A848B10"/>
    <w:lvl w:ilvl="0" w:tplc="21C84B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ve0wxz4feernex59tx5zpu050spfd9arwx&quot;&gt;SBP Post Transplant&lt;record-ids&gt;&lt;item&gt;2&lt;/item&gt;&lt;item&gt;3&lt;/item&gt;&lt;item&gt;4&lt;/item&gt;&lt;item&gt;5&lt;/item&gt;&lt;item&gt;7&lt;/item&gt;&lt;item&gt;8&lt;/item&gt;&lt;item&gt;9&lt;/item&gt;&lt;item&gt;10&lt;/item&gt;&lt;item&gt;11&lt;/item&gt;&lt;item&gt;14&lt;/item&gt;&lt;item&gt;15&lt;/item&gt;&lt;item&gt;16&lt;/item&gt;&lt;item&gt;17&lt;/item&gt;&lt;item&gt;19&lt;/item&gt;&lt;item&gt;20&lt;/item&gt;&lt;item&gt;21&lt;/item&gt;&lt;item&gt;23&lt;/item&gt;&lt;/record-ids&gt;&lt;/item&gt;&lt;/Libraries&gt;"/>
  </w:docVars>
  <w:rsids>
    <w:rsidRoot w:val="002C35BB"/>
    <w:rsid w:val="0003149F"/>
    <w:rsid w:val="000336C5"/>
    <w:rsid w:val="000A0B53"/>
    <w:rsid w:val="00103252"/>
    <w:rsid w:val="00107701"/>
    <w:rsid w:val="00260A08"/>
    <w:rsid w:val="002C35BB"/>
    <w:rsid w:val="003633B2"/>
    <w:rsid w:val="003A7E6A"/>
    <w:rsid w:val="003B7F15"/>
    <w:rsid w:val="004B5639"/>
    <w:rsid w:val="004F3260"/>
    <w:rsid w:val="004F615E"/>
    <w:rsid w:val="00520CF6"/>
    <w:rsid w:val="00552772"/>
    <w:rsid w:val="00580831"/>
    <w:rsid w:val="00595268"/>
    <w:rsid w:val="005C05E2"/>
    <w:rsid w:val="00647591"/>
    <w:rsid w:val="006D7A01"/>
    <w:rsid w:val="00725023"/>
    <w:rsid w:val="00774210"/>
    <w:rsid w:val="007A0147"/>
    <w:rsid w:val="007A2FCE"/>
    <w:rsid w:val="00873CD1"/>
    <w:rsid w:val="008D251D"/>
    <w:rsid w:val="008D4813"/>
    <w:rsid w:val="00964EEB"/>
    <w:rsid w:val="009B774D"/>
    <w:rsid w:val="00A81ACC"/>
    <w:rsid w:val="00AB7AE9"/>
    <w:rsid w:val="00AC64F2"/>
    <w:rsid w:val="00B05D9D"/>
    <w:rsid w:val="00B66B98"/>
    <w:rsid w:val="00B758E7"/>
    <w:rsid w:val="00B95C0A"/>
    <w:rsid w:val="00CD26FC"/>
    <w:rsid w:val="00CE2E49"/>
    <w:rsid w:val="00CE6714"/>
    <w:rsid w:val="00D40B8A"/>
    <w:rsid w:val="00D57832"/>
    <w:rsid w:val="00D8426D"/>
    <w:rsid w:val="00DB558B"/>
    <w:rsid w:val="00DF711B"/>
    <w:rsid w:val="00E14528"/>
    <w:rsid w:val="00E3190B"/>
    <w:rsid w:val="00E8209B"/>
    <w:rsid w:val="00E862DF"/>
    <w:rsid w:val="00EA64D6"/>
    <w:rsid w:val="00EB65B9"/>
    <w:rsid w:val="00ED0D6D"/>
    <w:rsid w:val="00EE05FE"/>
    <w:rsid w:val="00EF48FF"/>
    <w:rsid w:val="00F176D2"/>
    <w:rsid w:val="00F279D6"/>
    <w:rsid w:val="00F3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007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BB"/>
    <w:rPr>
      <w:rFonts w:ascii="Times New Roman" w:hAnsi="Times New Roman"/>
      <w:sz w:val="24"/>
      <w:szCs w:val="24"/>
    </w:rPr>
  </w:style>
  <w:style w:type="paragraph" w:styleId="Heading1">
    <w:name w:val="heading 1"/>
    <w:basedOn w:val="Normal"/>
    <w:link w:val="Heading1Char"/>
    <w:uiPriority w:val="9"/>
    <w:qFormat/>
    <w:locked/>
    <w:rsid w:val="00F218F3"/>
    <w:pPr>
      <w:spacing w:before="100" w:beforeAutospacing="1" w:after="100" w:afterAutospacing="1" w:line="264" w:lineRule="atLeast"/>
      <w:outlineLvl w:val="0"/>
    </w:pPr>
    <w:rPr>
      <w:rFonts w:eastAsia="Times New Roman"/>
      <w:b/>
      <w:bCs/>
      <w:kern w:val="36"/>
      <w:sz w:val="36"/>
      <w:szCs w:val="36"/>
    </w:rPr>
  </w:style>
  <w:style w:type="paragraph" w:styleId="Heading3">
    <w:name w:val="heading 3"/>
    <w:basedOn w:val="Normal"/>
    <w:next w:val="Normal"/>
    <w:link w:val="Heading3Char"/>
    <w:uiPriority w:val="9"/>
    <w:semiHidden/>
    <w:unhideWhenUsed/>
    <w:qFormat/>
    <w:rsid w:val="00EB65B9"/>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64AA7"/>
    <w:rPr>
      <w:rFonts w:cs="Times New Roman"/>
      <w:sz w:val="16"/>
      <w:szCs w:val="16"/>
    </w:rPr>
  </w:style>
  <w:style w:type="paragraph" w:styleId="CommentText">
    <w:name w:val="annotation text"/>
    <w:basedOn w:val="Normal"/>
    <w:link w:val="CommentTextChar"/>
    <w:uiPriority w:val="99"/>
    <w:rsid w:val="00A64AA7"/>
    <w:rPr>
      <w:sz w:val="20"/>
      <w:szCs w:val="20"/>
    </w:rPr>
  </w:style>
  <w:style w:type="character" w:customStyle="1" w:styleId="CommentTextChar">
    <w:name w:val="Comment Text Char"/>
    <w:basedOn w:val="DefaultParagraphFont"/>
    <w:link w:val="CommentText"/>
    <w:uiPriority w:val="99"/>
    <w:locked/>
    <w:rsid w:val="00A64AA7"/>
    <w:rPr>
      <w:rFonts w:ascii="Times New Roman" w:hAnsi="Times New Roman" w:cs="Times New Roman"/>
    </w:rPr>
  </w:style>
  <w:style w:type="paragraph" w:styleId="CommentSubject">
    <w:name w:val="annotation subject"/>
    <w:basedOn w:val="CommentText"/>
    <w:next w:val="CommentText"/>
    <w:link w:val="CommentSubjectChar"/>
    <w:semiHidden/>
    <w:rsid w:val="00A64AA7"/>
    <w:rPr>
      <w:b/>
      <w:bCs/>
    </w:rPr>
  </w:style>
  <w:style w:type="character" w:customStyle="1" w:styleId="CommentSubjectChar">
    <w:name w:val="Comment Subject Char"/>
    <w:basedOn w:val="CommentTextChar"/>
    <w:link w:val="CommentSubject"/>
    <w:semiHidden/>
    <w:locked/>
    <w:rsid w:val="00A64AA7"/>
    <w:rPr>
      <w:rFonts w:ascii="Times New Roman" w:hAnsi="Times New Roman" w:cs="Times New Roman"/>
      <w:b/>
      <w:bCs/>
    </w:rPr>
  </w:style>
  <w:style w:type="paragraph" w:styleId="BalloonText">
    <w:name w:val="Balloon Text"/>
    <w:basedOn w:val="Normal"/>
    <w:link w:val="BalloonTextChar"/>
    <w:semiHidden/>
    <w:rsid w:val="00A64AA7"/>
    <w:rPr>
      <w:rFonts w:ascii="Tahoma" w:hAnsi="Tahoma" w:cs="Tahoma"/>
      <w:sz w:val="16"/>
      <w:szCs w:val="16"/>
    </w:rPr>
  </w:style>
  <w:style w:type="character" w:customStyle="1" w:styleId="BalloonTextChar">
    <w:name w:val="Balloon Text Char"/>
    <w:basedOn w:val="DefaultParagraphFont"/>
    <w:link w:val="BalloonText"/>
    <w:semiHidden/>
    <w:locked/>
    <w:rsid w:val="00A64AA7"/>
    <w:rPr>
      <w:rFonts w:ascii="Tahoma" w:hAnsi="Tahoma" w:cs="Tahoma"/>
      <w:sz w:val="16"/>
      <w:szCs w:val="16"/>
    </w:rPr>
  </w:style>
  <w:style w:type="paragraph" w:customStyle="1" w:styleId="ColorfulShading-Accent11">
    <w:name w:val="Colorful Shading - Accent 11"/>
    <w:hidden/>
    <w:semiHidden/>
    <w:rsid w:val="00A64AA7"/>
    <w:rPr>
      <w:rFonts w:ascii="Times New Roman" w:hAnsi="Times New Roman"/>
      <w:sz w:val="24"/>
      <w:szCs w:val="24"/>
    </w:rPr>
  </w:style>
  <w:style w:type="paragraph" w:styleId="Header">
    <w:name w:val="header"/>
    <w:basedOn w:val="Normal"/>
    <w:rsid w:val="00F40CBE"/>
    <w:pPr>
      <w:tabs>
        <w:tab w:val="center" w:pos="4320"/>
        <w:tab w:val="right" w:pos="8640"/>
      </w:tabs>
    </w:pPr>
    <w:rPr>
      <w:rFonts w:eastAsia="Times New Roman"/>
    </w:rPr>
  </w:style>
  <w:style w:type="paragraph" w:styleId="EndnoteText">
    <w:name w:val="endnote text"/>
    <w:basedOn w:val="Normal"/>
    <w:semiHidden/>
    <w:rsid w:val="000D58F3"/>
    <w:rPr>
      <w:sz w:val="20"/>
      <w:szCs w:val="20"/>
    </w:rPr>
  </w:style>
  <w:style w:type="character" w:styleId="EndnoteReference">
    <w:name w:val="endnote reference"/>
    <w:basedOn w:val="DefaultParagraphFont"/>
    <w:semiHidden/>
    <w:rsid w:val="000D58F3"/>
    <w:rPr>
      <w:vertAlign w:val="superscript"/>
    </w:rPr>
  </w:style>
  <w:style w:type="paragraph" w:styleId="NoSpacing">
    <w:name w:val="No Spacing"/>
    <w:qFormat/>
    <w:rsid w:val="00CE7F89"/>
    <w:rPr>
      <w:rFonts w:ascii="Cambria" w:eastAsia="Times New Roman" w:hAnsi="Cambria"/>
      <w:sz w:val="24"/>
      <w:szCs w:val="24"/>
    </w:rPr>
  </w:style>
  <w:style w:type="paragraph" w:styleId="FootnoteText">
    <w:name w:val="footnote text"/>
    <w:basedOn w:val="Normal"/>
    <w:semiHidden/>
    <w:rsid w:val="00AB608A"/>
    <w:rPr>
      <w:sz w:val="20"/>
      <w:szCs w:val="20"/>
    </w:rPr>
  </w:style>
  <w:style w:type="character" w:styleId="FootnoteReference">
    <w:name w:val="footnote reference"/>
    <w:basedOn w:val="DefaultParagraphFont"/>
    <w:semiHidden/>
    <w:rsid w:val="00AB608A"/>
    <w:rPr>
      <w:vertAlign w:val="superscript"/>
    </w:rPr>
  </w:style>
  <w:style w:type="character" w:styleId="Hyperlink">
    <w:name w:val="Hyperlink"/>
    <w:basedOn w:val="DefaultParagraphFont"/>
    <w:uiPriority w:val="99"/>
    <w:unhideWhenUsed/>
    <w:rsid w:val="0080506E"/>
    <w:rPr>
      <w:color w:val="0000FF"/>
      <w:u w:val="single"/>
    </w:rPr>
  </w:style>
  <w:style w:type="character" w:customStyle="1" w:styleId="Heading1Char">
    <w:name w:val="Heading 1 Char"/>
    <w:basedOn w:val="DefaultParagraphFont"/>
    <w:link w:val="Heading1"/>
    <w:uiPriority w:val="9"/>
    <w:rsid w:val="00F218F3"/>
    <w:rPr>
      <w:rFonts w:ascii="Times New Roman" w:eastAsia="Times New Roman" w:hAnsi="Times New Roman"/>
      <w:b/>
      <w:bCs/>
      <w:kern w:val="36"/>
      <w:sz w:val="36"/>
      <w:szCs w:val="36"/>
    </w:rPr>
  </w:style>
  <w:style w:type="character" w:styleId="FollowedHyperlink">
    <w:name w:val="FollowedHyperlink"/>
    <w:basedOn w:val="DefaultParagraphFont"/>
    <w:uiPriority w:val="99"/>
    <w:semiHidden/>
    <w:unhideWhenUsed/>
    <w:rsid w:val="00F36D54"/>
    <w:rPr>
      <w:color w:val="800080" w:themeColor="followedHyperlink"/>
      <w:u w:val="single"/>
    </w:rPr>
  </w:style>
  <w:style w:type="paragraph" w:styleId="ListParagraph">
    <w:name w:val="List Paragraph"/>
    <w:basedOn w:val="Normal"/>
    <w:uiPriority w:val="34"/>
    <w:qFormat/>
    <w:rsid w:val="00EA64D6"/>
    <w:pPr>
      <w:widowControl w:val="0"/>
      <w:ind w:firstLineChars="200" w:firstLine="420"/>
      <w:jc w:val="both"/>
    </w:pPr>
    <w:rPr>
      <w:rFonts w:asciiTheme="minorHAnsi" w:eastAsiaTheme="minorEastAsia" w:hAnsiTheme="minorHAnsi" w:cstheme="minorBidi"/>
      <w:kern w:val="2"/>
      <w:sz w:val="21"/>
      <w:szCs w:val="22"/>
      <w:lang w:eastAsia="zh-CN"/>
    </w:rPr>
  </w:style>
  <w:style w:type="paragraph" w:customStyle="1" w:styleId="Default">
    <w:name w:val="Default"/>
    <w:rsid w:val="00595268"/>
    <w:pPr>
      <w:widowControl w:val="0"/>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uiPriority w:val="9"/>
    <w:semiHidden/>
    <w:rsid w:val="00EB65B9"/>
    <w:rPr>
      <w:rFonts w:ascii="Times New Roman" w:hAnsi="Times New Roman"/>
      <w:b/>
      <w:bCs/>
      <w:sz w:val="32"/>
      <w:szCs w:val="32"/>
    </w:rPr>
  </w:style>
  <w:style w:type="character" w:customStyle="1" w:styleId="apple-converted-space">
    <w:name w:val="apple-converted-space"/>
    <w:basedOn w:val="DefaultParagraphFont"/>
    <w:rsid w:val="00EB65B9"/>
  </w:style>
  <w:style w:type="character" w:styleId="Emphasis">
    <w:name w:val="Emphasis"/>
    <w:qFormat/>
    <w:rsid w:val="00EF48F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BB"/>
    <w:rPr>
      <w:rFonts w:ascii="Times New Roman" w:hAnsi="Times New Roman"/>
      <w:sz w:val="24"/>
      <w:szCs w:val="24"/>
    </w:rPr>
  </w:style>
  <w:style w:type="paragraph" w:styleId="Heading1">
    <w:name w:val="heading 1"/>
    <w:basedOn w:val="Normal"/>
    <w:link w:val="Heading1Char"/>
    <w:uiPriority w:val="9"/>
    <w:qFormat/>
    <w:locked/>
    <w:rsid w:val="00F218F3"/>
    <w:pPr>
      <w:spacing w:before="100" w:beforeAutospacing="1" w:after="100" w:afterAutospacing="1" w:line="264" w:lineRule="atLeast"/>
      <w:outlineLvl w:val="0"/>
    </w:pPr>
    <w:rPr>
      <w:rFonts w:eastAsia="Times New Roman"/>
      <w:b/>
      <w:bCs/>
      <w:kern w:val="36"/>
      <w:sz w:val="36"/>
      <w:szCs w:val="36"/>
    </w:rPr>
  </w:style>
  <w:style w:type="paragraph" w:styleId="Heading3">
    <w:name w:val="heading 3"/>
    <w:basedOn w:val="Normal"/>
    <w:next w:val="Normal"/>
    <w:link w:val="Heading3Char"/>
    <w:uiPriority w:val="9"/>
    <w:semiHidden/>
    <w:unhideWhenUsed/>
    <w:qFormat/>
    <w:rsid w:val="00EB65B9"/>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A64AA7"/>
    <w:rPr>
      <w:rFonts w:cs="Times New Roman"/>
      <w:sz w:val="16"/>
      <w:szCs w:val="16"/>
    </w:rPr>
  </w:style>
  <w:style w:type="paragraph" w:styleId="CommentText">
    <w:name w:val="annotation text"/>
    <w:basedOn w:val="Normal"/>
    <w:link w:val="CommentTextChar"/>
    <w:uiPriority w:val="99"/>
    <w:rsid w:val="00A64AA7"/>
    <w:rPr>
      <w:sz w:val="20"/>
      <w:szCs w:val="20"/>
    </w:rPr>
  </w:style>
  <w:style w:type="character" w:customStyle="1" w:styleId="CommentTextChar">
    <w:name w:val="Comment Text Char"/>
    <w:basedOn w:val="DefaultParagraphFont"/>
    <w:link w:val="CommentText"/>
    <w:uiPriority w:val="99"/>
    <w:locked/>
    <w:rsid w:val="00A64AA7"/>
    <w:rPr>
      <w:rFonts w:ascii="Times New Roman" w:hAnsi="Times New Roman" w:cs="Times New Roman"/>
    </w:rPr>
  </w:style>
  <w:style w:type="paragraph" w:styleId="CommentSubject">
    <w:name w:val="annotation subject"/>
    <w:basedOn w:val="CommentText"/>
    <w:next w:val="CommentText"/>
    <w:link w:val="CommentSubjectChar"/>
    <w:semiHidden/>
    <w:rsid w:val="00A64AA7"/>
    <w:rPr>
      <w:b/>
      <w:bCs/>
    </w:rPr>
  </w:style>
  <w:style w:type="character" w:customStyle="1" w:styleId="CommentSubjectChar">
    <w:name w:val="Comment Subject Char"/>
    <w:basedOn w:val="CommentTextChar"/>
    <w:link w:val="CommentSubject"/>
    <w:semiHidden/>
    <w:locked/>
    <w:rsid w:val="00A64AA7"/>
    <w:rPr>
      <w:rFonts w:ascii="Times New Roman" w:hAnsi="Times New Roman" w:cs="Times New Roman"/>
      <w:b/>
      <w:bCs/>
    </w:rPr>
  </w:style>
  <w:style w:type="paragraph" w:styleId="BalloonText">
    <w:name w:val="Balloon Text"/>
    <w:basedOn w:val="Normal"/>
    <w:link w:val="BalloonTextChar"/>
    <w:semiHidden/>
    <w:rsid w:val="00A64AA7"/>
    <w:rPr>
      <w:rFonts w:ascii="Tahoma" w:hAnsi="Tahoma" w:cs="Tahoma"/>
      <w:sz w:val="16"/>
      <w:szCs w:val="16"/>
    </w:rPr>
  </w:style>
  <w:style w:type="character" w:customStyle="1" w:styleId="BalloonTextChar">
    <w:name w:val="Balloon Text Char"/>
    <w:basedOn w:val="DefaultParagraphFont"/>
    <w:link w:val="BalloonText"/>
    <w:semiHidden/>
    <w:locked/>
    <w:rsid w:val="00A64AA7"/>
    <w:rPr>
      <w:rFonts w:ascii="Tahoma" w:hAnsi="Tahoma" w:cs="Tahoma"/>
      <w:sz w:val="16"/>
      <w:szCs w:val="16"/>
    </w:rPr>
  </w:style>
  <w:style w:type="paragraph" w:customStyle="1" w:styleId="ColorfulShading-Accent11">
    <w:name w:val="Colorful Shading - Accent 11"/>
    <w:hidden/>
    <w:semiHidden/>
    <w:rsid w:val="00A64AA7"/>
    <w:rPr>
      <w:rFonts w:ascii="Times New Roman" w:hAnsi="Times New Roman"/>
      <w:sz w:val="24"/>
      <w:szCs w:val="24"/>
    </w:rPr>
  </w:style>
  <w:style w:type="paragraph" w:styleId="Header">
    <w:name w:val="header"/>
    <w:basedOn w:val="Normal"/>
    <w:rsid w:val="00F40CBE"/>
    <w:pPr>
      <w:tabs>
        <w:tab w:val="center" w:pos="4320"/>
        <w:tab w:val="right" w:pos="8640"/>
      </w:tabs>
    </w:pPr>
    <w:rPr>
      <w:rFonts w:eastAsia="Times New Roman"/>
    </w:rPr>
  </w:style>
  <w:style w:type="paragraph" w:styleId="EndnoteText">
    <w:name w:val="endnote text"/>
    <w:basedOn w:val="Normal"/>
    <w:semiHidden/>
    <w:rsid w:val="000D58F3"/>
    <w:rPr>
      <w:sz w:val="20"/>
      <w:szCs w:val="20"/>
    </w:rPr>
  </w:style>
  <w:style w:type="character" w:styleId="EndnoteReference">
    <w:name w:val="endnote reference"/>
    <w:basedOn w:val="DefaultParagraphFont"/>
    <w:semiHidden/>
    <w:rsid w:val="000D58F3"/>
    <w:rPr>
      <w:vertAlign w:val="superscript"/>
    </w:rPr>
  </w:style>
  <w:style w:type="paragraph" w:styleId="NoSpacing">
    <w:name w:val="No Spacing"/>
    <w:qFormat/>
    <w:rsid w:val="00CE7F89"/>
    <w:rPr>
      <w:rFonts w:ascii="Cambria" w:eastAsia="Times New Roman" w:hAnsi="Cambria"/>
      <w:sz w:val="24"/>
      <w:szCs w:val="24"/>
    </w:rPr>
  </w:style>
  <w:style w:type="paragraph" w:styleId="FootnoteText">
    <w:name w:val="footnote text"/>
    <w:basedOn w:val="Normal"/>
    <w:semiHidden/>
    <w:rsid w:val="00AB608A"/>
    <w:rPr>
      <w:sz w:val="20"/>
      <w:szCs w:val="20"/>
    </w:rPr>
  </w:style>
  <w:style w:type="character" w:styleId="FootnoteReference">
    <w:name w:val="footnote reference"/>
    <w:basedOn w:val="DefaultParagraphFont"/>
    <w:semiHidden/>
    <w:rsid w:val="00AB608A"/>
    <w:rPr>
      <w:vertAlign w:val="superscript"/>
    </w:rPr>
  </w:style>
  <w:style w:type="character" w:styleId="Hyperlink">
    <w:name w:val="Hyperlink"/>
    <w:basedOn w:val="DefaultParagraphFont"/>
    <w:uiPriority w:val="99"/>
    <w:unhideWhenUsed/>
    <w:rsid w:val="0080506E"/>
    <w:rPr>
      <w:color w:val="0000FF"/>
      <w:u w:val="single"/>
    </w:rPr>
  </w:style>
  <w:style w:type="character" w:customStyle="1" w:styleId="Heading1Char">
    <w:name w:val="Heading 1 Char"/>
    <w:basedOn w:val="DefaultParagraphFont"/>
    <w:link w:val="Heading1"/>
    <w:uiPriority w:val="9"/>
    <w:rsid w:val="00F218F3"/>
    <w:rPr>
      <w:rFonts w:ascii="Times New Roman" w:eastAsia="Times New Roman" w:hAnsi="Times New Roman"/>
      <w:b/>
      <w:bCs/>
      <w:kern w:val="36"/>
      <w:sz w:val="36"/>
      <w:szCs w:val="36"/>
    </w:rPr>
  </w:style>
  <w:style w:type="character" w:styleId="FollowedHyperlink">
    <w:name w:val="FollowedHyperlink"/>
    <w:basedOn w:val="DefaultParagraphFont"/>
    <w:uiPriority w:val="99"/>
    <w:semiHidden/>
    <w:unhideWhenUsed/>
    <w:rsid w:val="00F36D54"/>
    <w:rPr>
      <w:color w:val="800080" w:themeColor="followedHyperlink"/>
      <w:u w:val="single"/>
    </w:rPr>
  </w:style>
  <w:style w:type="paragraph" w:styleId="ListParagraph">
    <w:name w:val="List Paragraph"/>
    <w:basedOn w:val="Normal"/>
    <w:uiPriority w:val="34"/>
    <w:qFormat/>
    <w:rsid w:val="00EA64D6"/>
    <w:pPr>
      <w:widowControl w:val="0"/>
      <w:ind w:firstLineChars="200" w:firstLine="420"/>
      <w:jc w:val="both"/>
    </w:pPr>
    <w:rPr>
      <w:rFonts w:asciiTheme="minorHAnsi" w:eastAsiaTheme="minorEastAsia" w:hAnsiTheme="minorHAnsi" w:cstheme="minorBidi"/>
      <w:kern w:val="2"/>
      <w:sz w:val="21"/>
      <w:szCs w:val="22"/>
      <w:lang w:eastAsia="zh-CN"/>
    </w:rPr>
  </w:style>
  <w:style w:type="paragraph" w:customStyle="1" w:styleId="Default">
    <w:name w:val="Default"/>
    <w:rsid w:val="00595268"/>
    <w:pPr>
      <w:widowControl w:val="0"/>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uiPriority w:val="9"/>
    <w:semiHidden/>
    <w:rsid w:val="00EB65B9"/>
    <w:rPr>
      <w:rFonts w:ascii="Times New Roman" w:hAnsi="Times New Roman"/>
      <w:b/>
      <w:bCs/>
      <w:sz w:val="32"/>
      <w:szCs w:val="32"/>
    </w:rPr>
  </w:style>
  <w:style w:type="character" w:customStyle="1" w:styleId="apple-converted-space">
    <w:name w:val="apple-converted-space"/>
    <w:basedOn w:val="DefaultParagraphFont"/>
    <w:rsid w:val="00EB65B9"/>
  </w:style>
  <w:style w:type="character" w:styleId="Emphasis">
    <w:name w:val="Emphasis"/>
    <w:qFormat/>
    <w:rsid w:val="00EF48F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6082">
      <w:bodyDiv w:val="1"/>
      <w:marLeft w:val="0"/>
      <w:marRight w:val="0"/>
      <w:marTop w:val="0"/>
      <w:marBottom w:val="0"/>
      <w:divBdr>
        <w:top w:val="none" w:sz="0" w:space="0" w:color="auto"/>
        <w:left w:val="none" w:sz="0" w:space="0" w:color="auto"/>
        <w:bottom w:val="none" w:sz="0" w:space="0" w:color="auto"/>
        <w:right w:val="none" w:sz="0" w:space="0" w:color="auto"/>
      </w:divBdr>
      <w:divsChild>
        <w:div w:id="1470391786">
          <w:marLeft w:val="0"/>
          <w:marRight w:val="0"/>
          <w:marTop w:val="0"/>
          <w:marBottom w:val="0"/>
          <w:divBdr>
            <w:top w:val="none" w:sz="0" w:space="0" w:color="auto"/>
            <w:left w:val="none" w:sz="0" w:space="0" w:color="auto"/>
            <w:bottom w:val="none" w:sz="0" w:space="0" w:color="auto"/>
            <w:right w:val="none" w:sz="0" w:space="0" w:color="auto"/>
          </w:divBdr>
          <w:divsChild>
            <w:div w:id="178543498">
              <w:marLeft w:val="0"/>
              <w:marRight w:val="0"/>
              <w:marTop w:val="0"/>
              <w:marBottom w:val="0"/>
              <w:divBdr>
                <w:top w:val="none" w:sz="0" w:space="0" w:color="auto"/>
                <w:left w:val="none" w:sz="0" w:space="0" w:color="auto"/>
                <w:bottom w:val="none" w:sz="0" w:space="0" w:color="auto"/>
                <w:right w:val="none" w:sz="0" w:space="0" w:color="auto"/>
              </w:divBdr>
            </w:div>
            <w:div w:id="1437209445">
              <w:marLeft w:val="0"/>
              <w:marRight w:val="0"/>
              <w:marTop w:val="0"/>
              <w:marBottom w:val="0"/>
              <w:divBdr>
                <w:top w:val="none" w:sz="0" w:space="0" w:color="auto"/>
                <w:left w:val="none" w:sz="0" w:space="0" w:color="auto"/>
                <w:bottom w:val="none" w:sz="0" w:space="0" w:color="auto"/>
                <w:right w:val="none" w:sz="0" w:space="0" w:color="auto"/>
              </w:divBdr>
            </w:div>
            <w:div w:id="567377741">
              <w:marLeft w:val="0"/>
              <w:marRight w:val="0"/>
              <w:marTop w:val="0"/>
              <w:marBottom w:val="0"/>
              <w:divBdr>
                <w:top w:val="none" w:sz="0" w:space="0" w:color="auto"/>
                <w:left w:val="none" w:sz="0" w:space="0" w:color="auto"/>
                <w:bottom w:val="none" w:sz="0" w:space="0" w:color="auto"/>
                <w:right w:val="none" w:sz="0" w:space="0" w:color="auto"/>
              </w:divBdr>
            </w:div>
            <w:div w:id="1561558641">
              <w:marLeft w:val="0"/>
              <w:marRight w:val="0"/>
              <w:marTop w:val="0"/>
              <w:marBottom w:val="0"/>
              <w:divBdr>
                <w:top w:val="none" w:sz="0" w:space="0" w:color="auto"/>
                <w:left w:val="none" w:sz="0" w:space="0" w:color="auto"/>
                <w:bottom w:val="none" w:sz="0" w:space="0" w:color="auto"/>
                <w:right w:val="none" w:sz="0" w:space="0" w:color="auto"/>
              </w:divBdr>
            </w:div>
            <w:div w:id="1442142942">
              <w:marLeft w:val="0"/>
              <w:marRight w:val="0"/>
              <w:marTop w:val="0"/>
              <w:marBottom w:val="0"/>
              <w:divBdr>
                <w:top w:val="none" w:sz="0" w:space="0" w:color="auto"/>
                <w:left w:val="none" w:sz="0" w:space="0" w:color="auto"/>
                <w:bottom w:val="none" w:sz="0" w:space="0" w:color="auto"/>
                <w:right w:val="none" w:sz="0" w:space="0" w:color="auto"/>
              </w:divBdr>
            </w:div>
            <w:div w:id="412969891">
              <w:marLeft w:val="0"/>
              <w:marRight w:val="0"/>
              <w:marTop w:val="0"/>
              <w:marBottom w:val="0"/>
              <w:divBdr>
                <w:top w:val="none" w:sz="0" w:space="0" w:color="auto"/>
                <w:left w:val="none" w:sz="0" w:space="0" w:color="auto"/>
                <w:bottom w:val="none" w:sz="0" w:space="0" w:color="auto"/>
                <w:right w:val="none" w:sz="0" w:space="0" w:color="auto"/>
              </w:divBdr>
            </w:div>
            <w:div w:id="1691639122">
              <w:marLeft w:val="0"/>
              <w:marRight w:val="0"/>
              <w:marTop w:val="0"/>
              <w:marBottom w:val="0"/>
              <w:divBdr>
                <w:top w:val="none" w:sz="0" w:space="0" w:color="auto"/>
                <w:left w:val="none" w:sz="0" w:space="0" w:color="auto"/>
                <w:bottom w:val="none" w:sz="0" w:space="0" w:color="auto"/>
                <w:right w:val="none" w:sz="0" w:space="0" w:color="auto"/>
              </w:divBdr>
            </w:div>
            <w:div w:id="1189179578">
              <w:marLeft w:val="0"/>
              <w:marRight w:val="0"/>
              <w:marTop w:val="0"/>
              <w:marBottom w:val="0"/>
              <w:divBdr>
                <w:top w:val="none" w:sz="0" w:space="0" w:color="auto"/>
                <w:left w:val="none" w:sz="0" w:space="0" w:color="auto"/>
                <w:bottom w:val="none" w:sz="0" w:space="0" w:color="auto"/>
                <w:right w:val="none" w:sz="0" w:space="0" w:color="auto"/>
              </w:divBdr>
            </w:div>
            <w:div w:id="1005327530">
              <w:marLeft w:val="0"/>
              <w:marRight w:val="0"/>
              <w:marTop w:val="0"/>
              <w:marBottom w:val="0"/>
              <w:divBdr>
                <w:top w:val="none" w:sz="0" w:space="0" w:color="auto"/>
                <w:left w:val="none" w:sz="0" w:space="0" w:color="auto"/>
                <w:bottom w:val="none" w:sz="0" w:space="0" w:color="auto"/>
                <w:right w:val="none" w:sz="0" w:space="0" w:color="auto"/>
              </w:divBdr>
            </w:div>
            <w:div w:id="1190991762">
              <w:marLeft w:val="0"/>
              <w:marRight w:val="0"/>
              <w:marTop w:val="0"/>
              <w:marBottom w:val="0"/>
              <w:divBdr>
                <w:top w:val="none" w:sz="0" w:space="0" w:color="auto"/>
                <w:left w:val="none" w:sz="0" w:space="0" w:color="auto"/>
                <w:bottom w:val="none" w:sz="0" w:space="0" w:color="auto"/>
                <w:right w:val="none" w:sz="0" w:space="0" w:color="auto"/>
              </w:divBdr>
            </w:div>
            <w:div w:id="1513455437">
              <w:marLeft w:val="0"/>
              <w:marRight w:val="0"/>
              <w:marTop w:val="0"/>
              <w:marBottom w:val="0"/>
              <w:divBdr>
                <w:top w:val="none" w:sz="0" w:space="0" w:color="auto"/>
                <w:left w:val="none" w:sz="0" w:space="0" w:color="auto"/>
                <w:bottom w:val="none" w:sz="0" w:space="0" w:color="auto"/>
                <w:right w:val="none" w:sz="0" w:space="0" w:color="auto"/>
              </w:divBdr>
            </w:div>
            <w:div w:id="1349452548">
              <w:marLeft w:val="0"/>
              <w:marRight w:val="0"/>
              <w:marTop w:val="0"/>
              <w:marBottom w:val="0"/>
              <w:divBdr>
                <w:top w:val="none" w:sz="0" w:space="0" w:color="auto"/>
                <w:left w:val="none" w:sz="0" w:space="0" w:color="auto"/>
                <w:bottom w:val="none" w:sz="0" w:space="0" w:color="auto"/>
                <w:right w:val="none" w:sz="0" w:space="0" w:color="auto"/>
              </w:divBdr>
            </w:div>
            <w:div w:id="1110471462">
              <w:marLeft w:val="0"/>
              <w:marRight w:val="0"/>
              <w:marTop w:val="0"/>
              <w:marBottom w:val="0"/>
              <w:divBdr>
                <w:top w:val="none" w:sz="0" w:space="0" w:color="auto"/>
                <w:left w:val="none" w:sz="0" w:space="0" w:color="auto"/>
                <w:bottom w:val="none" w:sz="0" w:space="0" w:color="auto"/>
                <w:right w:val="none" w:sz="0" w:space="0" w:color="auto"/>
              </w:divBdr>
            </w:div>
            <w:div w:id="479493793">
              <w:marLeft w:val="0"/>
              <w:marRight w:val="0"/>
              <w:marTop w:val="0"/>
              <w:marBottom w:val="0"/>
              <w:divBdr>
                <w:top w:val="none" w:sz="0" w:space="0" w:color="auto"/>
                <w:left w:val="none" w:sz="0" w:space="0" w:color="auto"/>
                <w:bottom w:val="none" w:sz="0" w:space="0" w:color="auto"/>
                <w:right w:val="none" w:sz="0" w:space="0" w:color="auto"/>
              </w:divBdr>
            </w:div>
            <w:div w:id="363099725">
              <w:marLeft w:val="0"/>
              <w:marRight w:val="0"/>
              <w:marTop w:val="0"/>
              <w:marBottom w:val="0"/>
              <w:divBdr>
                <w:top w:val="none" w:sz="0" w:space="0" w:color="auto"/>
                <w:left w:val="none" w:sz="0" w:space="0" w:color="auto"/>
                <w:bottom w:val="none" w:sz="0" w:space="0" w:color="auto"/>
                <w:right w:val="none" w:sz="0" w:space="0" w:color="auto"/>
              </w:divBdr>
            </w:div>
            <w:div w:id="389620065">
              <w:marLeft w:val="0"/>
              <w:marRight w:val="0"/>
              <w:marTop w:val="0"/>
              <w:marBottom w:val="0"/>
              <w:divBdr>
                <w:top w:val="none" w:sz="0" w:space="0" w:color="auto"/>
                <w:left w:val="none" w:sz="0" w:space="0" w:color="auto"/>
                <w:bottom w:val="none" w:sz="0" w:space="0" w:color="auto"/>
                <w:right w:val="none" w:sz="0" w:space="0" w:color="auto"/>
              </w:divBdr>
            </w:div>
            <w:div w:id="6543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0118">
      <w:bodyDiv w:val="1"/>
      <w:marLeft w:val="0"/>
      <w:marRight w:val="0"/>
      <w:marTop w:val="0"/>
      <w:marBottom w:val="0"/>
      <w:divBdr>
        <w:top w:val="none" w:sz="0" w:space="0" w:color="auto"/>
        <w:left w:val="none" w:sz="0" w:space="0" w:color="auto"/>
        <w:bottom w:val="none" w:sz="0" w:space="0" w:color="auto"/>
        <w:right w:val="none" w:sz="0" w:space="0" w:color="auto"/>
      </w:divBdr>
      <w:divsChild>
        <w:div w:id="2120445223">
          <w:marLeft w:val="0"/>
          <w:marRight w:val="0"/>
          <w:marTop w:val="0"/>
          <w:marBottom w:val="0"/>
          <w:divBdr>
            <w:top w:val="none" w:sz="0" w:space="0" w:color="auto"/>
            <w:left w:val="none" w:sz="0" w:space="0" w:color="auto"/>
            <w:bottom w:val="none" w:sz="0" w:space="0" w:color="auto"/>
            <w:right w:val="none" w:sz="0" w:space="0" w:color="auto"/>
          </w:divBdr>
          <w:divsChild>
            <w:div w:id="965114636">
              <w:marLeft w:val="0"/>
              <w:marRight w:val="0"/>
              <w:marTop w:val="0"/>
              <w:marBottom w:val="0"/>
              <w:divBdr>
                <w:top w:val="none" w:sz="0" w:space="0" w:color="auto"/>
                <w:left w:val="none" w:sz="0" w:space="0" w:color="auto"/>
                <w:bottom w:val="none" w:sz="0" w:space="0" w:color="auto"/>
                <w:right w:val="none" w:sz="0" w:space="0" w:color="auto"/>
              </w:divBdr>
            </w:div>
            <w:div w:id="991719430">
              <w:marLeft w:val="0"/>
              <w:marRight w:val="0"/>
              <w:marTop w:val="0"/>
              <w:marBottom w:val="0"/>
              <w:divBdr>
                <w:top w:val="none" w:sz="0" w:space="0" w:color="auto"/>
                <w:left w:val="none" w:sz="0" w:space="0" w:color="auto"/>
                <w:bottom w:val="none" w:sz="0" w:space="0" w:color="auto"/>
                <w:right w:val="none" w:sz="0" w:space="0" w:color="auto"/>
              </w:divBdr>
            </w:div>
            <w:div w:id="942961329">
              <w:marLeft w:val="0"/>
              <w:marRight w:val="0"/>
              <w:marTop w:val="0"/>
              <w:marBottom w:val="0"/>
              <w:divBdr>
                <w:top w:val="none" w:sz="0" w:space="0" w:color="auto"/>
                <w:left w:val="none" w:sz="0" w:space="0" w:color="auto"/>
                <w:bottom w:val="none" w:sz="0" w:space="0" w:color="auto"/>
                <w:right w:val="none" w:sz="0" w:space="0" w:color="auto"/>
              </w:divBdr>
            </w:div>
            <w:div w:id="488717142">
              <w:marLeft w:val="0"/>
              <w:marRight w:val="0"/>
              <w:marTop w:val="0"/>
              <w:marBottom w:val="0"/>
              <w:divBdr>
                <w:top w:val="none" w:sz="0" w:space="0" w:color="auto"/>
                <w:left w:val="none" w:sz="0" w:space="0" w:color="auto"/>
                <w:bottom w:val="none" w:sz="0" w:space="0" w:color="auto"/>
                <w:right w:val="none" w:sz="0" w:space="0" w:color="auto"/>
              </w:divBdr>
            </w:div>
            <w:div w:id="1547716502">
              <w:marLeft w:val="0"/>
              <w:marRight w:val="0"/>
              <w:marTop w:val="0"/>
              <w:marBottom w:val="0"/>
              <w:divBdr>
                <w:top w:val="none" w:sz="0" w:space="0" w:color="auto"/>
                <w:left w:val="none" w:sz="0" w:space="0" w:color="auto"/>
                <w:bottom w:val="none" w:sz="0" w:space="0" w:color="auto"/>
                <w:right w:val="none" w:sz="0" w:space="0" w:color="auto"/>
              </w:divBdr>
            </w:div>
            <w:div w:id="1875802188">
              <w:marLeft w:val="0"/>
              <w:marRight w:val="0"/>
              <w:marTop w:val="0"/>
              <w:marBottom w:val="0"/>
              <w:divBdr>
                <w:top w:val="none" w:sz="0" w:space="0" w:color="auto"/>
                <w:left w:val="none" w:sz="0" w:space="0" w:color="auto"/>
                <w:bottom w:val="none" w:sz="0" w:space="0" w:color="auto"/>
                <w:right w:val="none" w:sz="0" w:space="0" w:color="auto"/>
              </w:divBdr>
            </w:div>
            <w:div w:id="425924959">
              <w:marLeft w:val="0"/>
              <w:marRight w:val="0"/>
              <w:marTop w:val="0"/>
              <w:marBottom w:val="0"/>
              <w:divBdr>
                <w:top w:val="none" w:sz="0" w:space="0" w:color="auto"/>
                <w:left w:val="none" w:sz="0" w:space="0" w:color="auto"/>
                <w:bottom w:val="none" w:sz="0" w:space="0" w:color="auto"/>
                <w:right w:val="none" w:sz="0" w:space="0" w:color="auto"/>
              </w:divBdr>
            </w:div>
            <w:div w:id="1498035183">
              <w:marLeft w:val="0"/>
              <w:marRight w:val="0"/>
              <w:marTop w:val="0"/>
              <w:marBottom w:val="0"/>
              <w:divBdr>
                <w:top w:val="none" w:sz="0" w:space="0" w:color="auto"/>
                <w:left w:val="none" w:sz="0" w:space="0" w:color="auto"/>
                <w:bottom w:val="none" w:sz="0" w:space="0" w:color="auto"/>
                <w:right w:val="none" w:sz="0" w:space="0" w:color="auto"/>
              </w:divBdr>
            </w:div>
            <w:div w:id="2103644322">
              <w:marLeft w:val="0"/>
              <w:marRight w:val="0"/>
              <w:marTop w:val="0"/>
              <w:marBottom w:val="0"/>
              <w:divBdr>
                <w:top w:val="none" w:sz="0" w:space="0" w:color="auto"/>
                <w:left w:val="none" w:sz="0" w:space="0" w:color="auto"/>
                <w:bottom w:val="none" w:sz="0" w:space="0" w:color="auto"/>
                <w:right w:val="none" w:sz="0" w:space="0" w:color="auto"/>
              </w:divBdr>
            </w:div>
            <w:div w:id="758209905">
              <w:marLeft w:val="0"/>
              <w:marRight w:val="0"/>
              <w:marTop w:val="0"/>
              <w:marBottom w:val="0"/>
              <w:divBdr>
                <w:top w:val="none" w:sz="0" w:space="0" w:color="auto"/>
                <w:left w:val="none" w:sz="0" w:space="0" w:color="auto"/>
                <w:bottom w:val="none" w:sz="0" w:space="0" w:color="auto"/>
                <w:right w:val="none" w:sz="0" w:space="0" w:color="auto"/>
              </w:divBdr>
            </w:div>
            <w:div w:id="1633441968">
              <w:marLeft w:val="0"/>
              <w:marRight w:val="0"/>
              <w:marTop w:val="0"/>
              <w:marBottom w:val="0"/>
              <w:divBdr>
                <w:top w:val="none" w:sz="0" w:space="0" w:color="auto"/>
                <w:left w:val="none" w:sz="0" w:space="0" w:color="auto"/>
                <w:bottom w:val="none" w:sz="0" w:space="0" w:color="auto"/>
                <w:right w:val="none" w:sz="0" w:space="0" w:color="auto"/>
              </w:divBdr>
            </w:div>
            <w:div w:id="1926450185">
              <w:marLeft w:val="0"/>
              <w:marRight w:val="0"/>
              <w:marTop w:val="0"/>
              <w:marBottom w:val="0"/>
              <w:divBdr>
                <w:top w:val="none" w:sz="0" w:space="0" w:color="auto"/>
                <w:left w:val="none" w:sz="0" w:space="0" w:color="auto"/>
                <w:bottom w:val="none" w:sz="0" w:space="0" w:color="auto"/>
                <w:right w:val="none" w:sz="0" w:space="0" w:color="auto"/>
              </w:divBdr>
            </w:div>
            <w:div w:id="138764736">
              <w:marLeft w:val="0"/>
              <w:marRight w:val="0"/>
              <w:marTop w:val="0"/>
              <w:marBottom w:val="0"/>
              <w:divBdr>
                <w:top w:val="none" w:sz="0" w:space="0" w:color="auto"/>
                <w:left w:val="none" w:sz="0" w:space="0" w:color="auto"/>
                <w:bottom w:val="none" w:sz="0" w:space="0" w:color="auto"/>
                <w:right w:val="none" w:sz="0" w:space="0" w:color="auto"/>
              </w:divBdr>
            </w:div>
            <w:div w:id="851184703">
              <w:marLeft w:val="0"/>
              <w:marRight w:val="0"/>
              <w:marTop w:val="0"/>
              <w:marBottom w:val="0"/>
              <w:divBdr>
                <w:top w:val="none" w:sz="0" w:space="0" w:color="auto"/>
                <w:left w:val="none" w:sz="0" w:space="0" w:color="auto"/>
                <w:bottom w:val="none" w:sz="0" w:space="0" w:color="auto"/>
                <w:right w:val="none" w:sz="0" w:space="0" w:color="auto"/>
              </w:divBdr>
            </w:div>
            <w:div w:id="1450129321">
              <w:marLeft w:val="0"/>
              <w:marRight w:val="0"/>
              <w:marTop w:val="0"/>
              <w:marBottom w:val="0"/>
              <w:divBdr>
                <w:top w:val="none" w:sz="0" w:space="0" w:color="auto"/>
                <w:left w:val="none" w:sz="0" w:space="0" w:color="auto"/>
                <w:bottom w:val="none" w:sz="0" w:space="0" w:color="auto"/>
                <w:right w:val="none" w:sz="0" w:space="0" w:color="auto"/>
              </w:divBdr>
            </w:div>
            <w:div w:id="1502353329">
              <w:marLeft w:val="0"/>
              <w:marRight w:val="0"/>
              <w:marTop w:val="0"/>
              <w:marBottom w:val="0"/>
              <w:divBdr>
                <w:top w:val="none" w:sz="0" w:space="0" w:color="auto"/>
                <w:left w:val="none" w:sz="0" w:space="0" w:color="auto"/>
                <w:bottom w:val="none" w:sz="0" w:space="0" w:color="auto"/>
                <w:right w:val="none" w:sz="0" w:space="0" w:color="auto"/>
              </w:divBdr>
            </w:div>
            <w:div w:id="1860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27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eeral.shah@virginia.edu"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4211</Words>
  <Characters>24006</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28161</CharactersWithSpaces>
  <SharedDoc>false</SharedDoc>
  <HLinks>
    <vt:vector size="6" baseType="variant">
      <vt:variant>
        <vt:i4>3866694</vt:i4>
      </vt:variant>
      <vt:variant>
        <vt:i4>66</vt:i4>
      </vt:variant>
      <vt:variant>
        <vt:i4>0</vt:i4>
      </vt:variant>
      <vt:variant>
        <vt:i4>5</vt:i4>
      </vt:variant>
      <vt:variant>
        <vt:lpwstr>http://www.ustransplant.org/annual_reports/current/default.htm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Veeral</dc:creator>
  <cp:keywords/>
  <dc:description/>
  <cp:lastModifiedBy>Na Ma</cp:lastModifiedBy>
  <cp:revision>2</cp:revision>
  <cp:lastPrinted>2010-12-15T17:57:00Z</cp:lastPrinted>
  <dcterms:created xsi:type="dcterms:W3CDTF">2016-11-16T19:49:00Z</dcterms:created>
  <dcterms:modified xsi:type="dcterms:W3CDTF">2016-11-16T19:49:00Z</dcterms:modified>
</cp:coreProperties>
</file>