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CDE4E3" w14:textId="77777777" w:rsidR="00D14265" w:rsidRPr="00AA2A35" w:rsidRDefault="00D14265" w:rsidP="00D14265">
      <w:pPr>
        <w:adjustRightInd w:val="0"/>
        <w:snapToGrid w:val="0"/>
        <w:spacing w:line="360" w:lineRule="auto"/>
        <w:jc w:val="both"/>
        <w:rPr>
          <w:rFonts w:ascii="Book Antiqua" w:eastAsia="Times New Roman" w:hAnsi="Book Antiqua" w:cs="SimSun"/>
          <w:b/>
          <w:i/>
          <w:color w:val="000000"/>
        </w:rPr>
      </w:pPr>
      <w:bookmarkStart w:id="0" w:name="OLE_LINK545"/>
      <w:bookmarkStart w:id="1" w:name="OLE_LINK546"/>
      <w:bookmarkStart w:id="2" w:name="OLE_LINK592"/>
      <w:r w:rsidRPr="00AA2A35">
        <w:rPr>
          <w:rFonts w:ascii="Book Antiqua" w:eastAsia="Times New Roman" w:hAnsi="Book Antiqua" w:cs="SimSun"/>
          <w:b/>
          <w:color w:val="000000"/>
        </w:rPr>
        <w:t xml:space="preserve">Name of journal: </w:t>
      </w:r>
      <w:bookmarkStart w:id="3" w:name="OLE_LINK718"/>
      <w:bookmarkStart w:id="4" w:name="OLE_LINK719"/>
      <w:bookmarkStart w:id="5" w:name="OLE_LINK645"/>
      <w:bookmarkStart w:id="6" w:name="OLE_LINK661"/>
      <w:bookmarkStart w:id="7" w:name="OLE_LINK1068"/>
      <w:r w:rsidRPr="00AA2A35">
        <w:rPr>
          <w:rFonts w:ascii="Book Antiqua" w:eastAsia="Times New Roman" w:hAnsi="Book Antiqua" w:cs="SimSun"/>
          <w:b/>
          <w:i/>
          <w:color w:val="000000"/>
        </w:rPr>
        <w:t xml:space="preserve">World Journal of </w:t>
      </w:r>
      <w:bookmarkStart w:id="8" w:name="OLE_LINK1222"/>
      <w:bookmarkStart w:id="9" w:name="OLE_LINK1223"/>
      <w:r w:rsidRPr="00AA2A35">
        <w:rPr>
          <w:rFonts w:ascii="Book Antiqua" w:eastAsia="Times New Roman" w:hAnsi="Book Antiqua" w:cs="SimSun"/>
          <w:b/>
          <w:i/>
          <w:color w:val="000000"/>
        </w:rPr>
        <w:t>Gastroenterology</w:t>
      </w:r>
      <w:bookmarkEnd w:id="3"/>
      <w:bookmarkEnd w:id="4"/>
      <w:bookmarkEnd w:id="5"/>
      <w:bookmarkEnd w:id="6"/>
      <w:bookmarkEnd w:id="7"/>
      <w:bookmarkEnd w:id="8"/>
      <w:bookmarkEnd w:id="9"/>
    </w:p>
    <w:p w14:paraId="2BD292C3" w14:textId="07531409" w:rsidR="00D14265" w:rsidRPr="00AA2A35" w:rsidRDefault="00D14265" w:rsidP="00D14265">
      <w:pPr>
        <w:adjustRightInd w:val="0"/>
        <w:snapToGrid w:val="0"/>
        <w:spacing w:line="360" w:lineRule="auto"/>
        <w:jc w:val="both"/>
        <w:rPr>
          <w:rFonts w:ascii="Book Antiqua" w:eastAsiaTheme="minorEastAsia" w:hAnsi="Book Antiqua" w:cs="Arial"/>
          <w:color w:val="000000"/>
          <w:lang w:val="en" w:eastAsia="zh-CN"/>
        </w:rPr>
      </w:pPr>
      <w:r w:rsidRPr="00AA2A35">
        <w:rPr>
          <w:rFonts w:ascii="Book Antiqua" w:hAnsi="Book Antiqua" w:cs="Arial"/>
          <w:b/>
          <w:color w:val="000000"/>
          <w:lang w:val="en"/>
        </w:rPr>
        <w:t xml:space="preserve">ESPS Manuscript NO: </w:t>
      </w:r>
      <w:r w:rsidRPr="00AA2A35">
        <w:rPr>
          <w:rFonts w:ascii="Book Antiqua" w:eastAsiaTheme="minorEastAsia" w:hAnsi="Book Antiqua" w:cs="Arial" w:hint="eastAsia"/>
          <w:b/>
          <w:color w:val="000000"/>
          <w:lang w:val="en" w:eastAsia="zh-CN"/>
        </w:rPr>
        <w:t>28272</w:t>
      </w:r>
    </w:p>
    <w:p w14:paraId="48550274" w14:textId="2F312E83" w:rsidR="00D14265" w:rsidRPr="00AA2A35" w:rsidRDefault="00D14265" w:rsidP="00D14265">
      <w:pPr>
        <w:spacing w:line="360" w:lineRule="auto"/>
        <w:jc w:val="both"/>
        <w:rPr>
          <w:rFonts w:ascii="Book Antiqua" w:eastAsiaTheme="minorEastAsia" w:hAnsi="Book Antiqua"/>
          <w:b/>
          <w:lang w:eastAsia="zh-CN"/>
        </w:rPr>
      </w:pPr>
      <w:r w:rsidRPr="00AA2A35">
        <w:rPr>
          <w:rFonts w:ascii="Book Antiqua" w:hAnsi="Book Antiqua"/>
          <w:b/>
        </w:rPr>
        <w:t>Manuscript Type</w:t>
      </w:r>
      <w:r w:rsidRPr="00AA2A35">
        <w:rPr>
          <w:rFonts w:ascii="Book Antiqua" w:hAnsi="Book Antiqua" w:hint="eastAsia"/>
          <w:b/>
        </w:rPr>
        <w:t xml:space="preserve">: </w:t>
      </w:r>
      <w:r w:rsidR="008B6827" w:rsidRPr="00AA2A35">
        <w:rPr>
          <w:rFonts w:ascii="Book Antiqua" w:hAnsi="Book Antiqua"/>
          <w:b/>
        </w:rPr>
        <w:t>ORIGINAL ARTICLE</w:t>
      </w:r>
    </w:p>
    <w:p w14:paraId="07D3B802" w14:textId="77777777" w:rsidR="00D14265" w:rsidRPr="00AA2A35" w:rsidRDefault="00D14265" w:rsidP="00D14265">
      <w:pPr>
        <w:spacing w:line="360" w:lineRule="auto"/>
        <w:jc w:val="both"/>
        <w:rPr>
          <w:rFonts w:ascii="Book Antiqua" w:eastAsiaTheme="minorEastAsia" w:hAnsi="Book Antiqua"/>
          <w:b/>
          <w:lang w:eastAsia="zh-CN"/>
        </w:rPr>
      </w:pPr>
    </w:p>
    <w:bookmarkEnd w:id="0"/>
    <w:bookmarkEnd w:id="1"/>
    <w:bookmarkEnd w:id="2"/>
    <w:p w14:paraId="50628CA8" w14:textId="48E08A65" w:rsidR="00D44C96" w:rsidRPr="00FD5C9D" w:rsidRDefault="00D14265" w:rsidP="00D14265">
      <w:pPr>
        <w:spacing w:line="360" w:lineRule="auto"/>
        <w:jc w:val="both"/>
        <w:rPr>
          <w:rFonts w:ascii="Book Antiqua" w:hAnsi="Book Antiqua"/>
          <w:b/>
          <w:i/>
          <w:color w:val="000000"/>
          <w:lang w:val="en-US"/>
        </w:rPr>
      </w:pPr>
      <w:r w:rsidRPr="00FD5C9D">
        <w:rPr>
          <w:rFonts w:ascii="Book Antiqua" w:hAnsi="Book Antiqua"/>
          <w:b/>
          <w:i/>
          <w:color w:val="000000"/>
          <w:lang w:val="en-US"/>
        </w:rPr>
        <w:t>Basic Study</w:t>
      </w:r>
    </w:p>
    <w:p w14:paraId="6F7BD83C" w14:textId="2C2031D6" w:rsidR="00D44C96" w:rsidRPr="00AA2A35" w:rsidRDefault="00D44C96" w:rsidP="00D14265">
      <w:pPr>
        <w:spacing w:line="360" w:lineRule="auto"/>
        <w:jc w:val="both"/>
        <w:rPr>
          <w:rFonts w:ascii="Book Antiqua" w:eastAsiaTheme="minorEastAsia" w:hAnsi="Book Antiqua"/>
          <w:b/>
          <w:color w:val="000000"/>
          <w:lang w:val="en-US" w:eastAsia="zh-CN"/>
        </w:rPr>
      </w:pPr>
      <w:r w:rsidRPr="00AA2A35">
        <w:rPr>
          <w:rFonts w:ascii="Book Antiqua" w:hAnsi="Book Antiqua"/>
          <w:b/>
          <w:color w:val="000000"/>
          <w:lang w:val="en-US"/>
        </w:rPr>
        <w:t xml:space="preserve">Altered pattern of </w:t>
      </w:r>
      <w:r w:rsidR="00D14265" w:rsidRPr="00AA2A35">
        <w:rPr>
          <w:rFonts w:ascii="Book Antiqua" w:hAnsi="Book Antiqua"/>
          <w:b/>
          <w:color w:val="000000"/>
          <w:lang w:val="en-US"/>
        </w:rPr>
        <w:t>tumor necrosis factor-alpha</w:t>
      </w:r>
      <w:r w:rsidRPr="00AA2A35">
        <w:rPr>
          <w:rFonts w:ascii="Book Antiqua" w:hAnsi="Book Antiqua"/>
          <w:b/>
          <w:color w:val="000000"/>
          <w:lang w:val="en-US"/>
        </w:rPr>
        <w:t xml:space="preserve"> production in peripheral blood</w:t>
      </w:r>
      <w:r w:rsidR="00D14265" w:rsidRPr="00AA2A35">
        <w:rPr>
          <w:rFonts w:ascii="Book Antiqua" w:hAnsi="Book Antiqua"/>
          <w:b/>
          <w:color w:val="000000"/>
          <w:lang w:val="en-US"/>
        </w:rPr>
        <w:t xml:space="preserve"> monocytes from Crohn’s disease</w:t>
      </w:r>
    </w:p>
    <w:p w14:paraId="7D235A6C" w14:textId="77777777" w:rsidR="00D44C96" w:rsidRPr="00AA2A35" w:rsidRDefault="00D44C96" w:rsidP="00D14265">
      <w:pPr>
        <w:spacing w:line="360" w:lineRule="auto"/>
        <w:jc w:val="both"/>
        <w:rPr>
          <w:rFonts w:ascii="Book Antiqua" w:hAnsi="Book Antiqua"/>
          <w:color w:val="000000"/>
          <w:lang w:val="en-US"/>
        </w:rPr>
      </w:pPr>
    </w:p>
    <w:p w14:paraId="5050DF57" w14:textId="4D539332" w:rsidR="00D44C96" w:rsidRPr="00AA2A35" w:rsidRDefault="00D44C96" w:rsidP="00D14265">
      <w:pPr>
        <w:spacing w:line="360" w:lineRule="auto"/>
        <w:jc w:val="both"/>
        <w:rPr>
          <w:rFonts w:ascii="Book Antiqua" w:hAnsi="Book Antiqua"/>
          <w:color w:val="000000"/>
          <w:lang w:val="fr-FR"/>
        </w:rPr>
      </w:pPr>
      <w:r w:rsidRPr="00AA2A35">
        <w:rPr>
          <w:rFonts w:ascii="Book Antiqua" w:hAnsi="Book Antiqua"/>
          <w:color w:val="000000"/>
          <w:lang w:val="fr-FR"/>
        </w:rPr>
        <w:t xml:space="preserve">Loganes C </w:t>
      </w:r>
      <w:r w:rsidRPr="00AA2A35">
        <w:rPr>
          <w:rFonts w:ascii="Book Antiqua" w:hAnsi="Book Antiqua"/>
          <w:i/>
          <w:color w:val="000000"/>
          <w:lang w:val="fr-FR"/>
        </w:rPr>
        <w:t>et al</w:t>
      </w:r>
      <w:r w:rsidR="008B6827">
        <w:rPr>
          <w:rFonts w:ascii="Book Antiqua" w:eastAsiaTheme="minorEastAsia" w:hAnsi="Book Antiqua" w:hint="eastAsia"/>
          <w:i/>
          <w:color w:val="000000"/>
          <w:lang w:val="fr-FR" w:eastAsia="zh-CN"/>
        </w:rPr>
        <w:t>.</w:t>
      </w:r>
      <w:r w:rsidRPr="00AA2A35">
        <w:rPr>
          <w:rFonts w:ascii="Book Antiqua" w:hAnsi="Book Antiqua"/>
          <w:color w:val="000000"/>
          <w:lang w:val="fr-FR"/>
        </w:rPr>
        <w:t xml:space="preserve"> TNF</w:t>
      </w:r>
      <w:r w:rsidR="008B6827">
        <w:rPr>
          <w:rFonts w:ascii="Book Antiqua" w:hAnsi="Book Antiqua"/>
          <w:color w:val="000000"/>
          <w:lang w:val="fr-FR"/>
        </w:rPr>
        <w:sym w:font="Symbol" w:char="F061"/>
      </w:r>
      <w:r w:rsidRPr="00AA2A35">
        <w:rPr>
          <w:rFonts w:ascii="Book Antiqua" w:hAnsi="Book Antiqua"/>
          <w:color w:val="000000"/>
          <w:lang w:val="fr-FR"/>
        </w:rPr>
        <w:t xml:space="preserve"> hyper-production in CD monocytes</w:t>
      </w:r>
    </w:p>
    <w:p w14:paraId="4994DB0E" w14:textId="77777777" w:rsidR="00D44C96" w:rsidRPr="00AA2A35" w:rsidRDefault="00D44C96" w:rsidP="00D14265">
      <w:pPr>
        <w:spacing w:line="360" w:lineRule="auto"/>
        <w:jc w:val="both"/>
        <w:rPr>
          <w:rFonts w:ascii="Book Antiqua" w:hAnsi="Book Antiqua"/>
          <w:color w:val="000000"/>
          <w:lang w:val="fr-FR"/>
        </w:rPr>
      </w:pPr>
    </w:p>
    <w:p w14:paraId="6EA488BE" w14:textId="77777777" w:rsidR="00D44C96" w:rsidRPr="00AA2A35" w:rsidRDefault="00D44C96" w:rsidP="00D14265">
      <w:pPr>
        <w:spacing w:line="360" w:lineRule="auto"/>
        <w:jc w:val="both"/>
        <w:rPr>
          <w:rFonts w:ascii="Book Antiqua" w:hAnsi="Book Antiqua"/>
          <w:color w:val="000000"/>
        </w:rPr>
      </w:pPr>
      <w:r w:rsidRPr="00AA2A35">
        <w:rPr>
          <w:rFonts w:ascii="Book Antiqua" w:hAnsi="Book Antiqua"/>
          <w:color w:val="000000"/>
        </w:rPr>
        <w:t>Claudia Loganes, Alessia Pin, Samuele Naviglio, Martina Girardelli, Anna Monica Bianco, Stefano Martelossi, Alberto Tommasini, Elisa Piscianz</w:t>
      </w:r>
    </w:p>
    <w:p w14:paraId="6CC52D14" w14:textId="77777777" w:rsidR="00D44C96" w:rsidRPr="00AA2A35" w:rsidRDefault="00D44C96" w:rsidP="00D14265">
      <w:pPr>
        <w:spacing w:line="360" w:lineRule="auto"/>
        <w:jc w:val="both"/>
        <w:rPr>
          <w:rFonts w:ascii="Book Antiqua" w:eastAsiaTheme="minorEastAsia" w:hAnsi="Book Antiqua"/>
          <w:color w:val="000000"/>
          <w:lang w:eastAsia="zh-CN"/>
        </w:rPr>
      </w:pPr>
    </w:p>
    <w:p w14:paraId="635F4F8D" w14:textId="3A7A504D" w:rsidR="00D44C96" w:rsidRPr="00AA2A35" w:rsidRDefault="00D44C96" w:rsidP="00D14265">
      <w:pPr>
        <w:spacing w:line="360" w:lineRule="auto"/>
        <w:jc w:val="both"/>
        <w:rPr>
          <w:rFonts w:ascii="Book Antiqua" w:eastAsiaTheme="minorEastAsia" w:hAnsi="Book Antiqua"/>
          <w:color w:val="000000"/>
          <w:lang w:eastAsia="zh-CN"/>
        </w:rPr>
      </w:pPr>
      <w:r w:rsidRPr="00AA2A35">
        <w:rPr>
          <w:rFonts w:ascii="Book Antiqua" w:hAnsi="Book Antiqua"/>
          <w:b/>
          <w:color w:val="000000"/>
        </w:rPr>
        <w:t>Claudia Loganes, Samuele Naviglio, Elisa Piscianz</w:t>
      </w:r>
      <w:r w:rsidRPr="00AA2A35">
        <w:rPr>
          <w:rFonts w:ascii="Book Antiqua" w:hAnsi="Book Antiqua"/>
          <w:color w:val="000000"/>
        </w:rPr>
        <w:t>, Department of Medicine, Surgery, and Health Sciences, University of Trieste,</w:t>
      </w:r>
      <w:r w:rsidR="00D14265" w:rsidRPr="00AA2A35">
        <w:rPr>
          <w:rFonts w:ascii="Book Antiqua" w:hAnsi="Book Antiqua"/>
          <w:color w:val="000000"/>
        </w:rPr>
        <w:t xml:space="preserve"> Strada di Fiume, </w:t>
      </w:r>
      <w:r w:rsidR="00D14265" w:rsidRPr="00AA2A35">
        <w:rPr>
          <w:rFonts w:ascii="Book Antiqua" w:hAnsi="Book Antiqua"/>
          <w:color w:val="000000"/>
          <w:lang w:val="en-US"/>
        </w:rPr>
        <w:t xml:space="preserve">34128 </w:t>
      </w:r>
      <w:r w:rsidR="00D14265" w:rsidRPr="00AA2A35">
        <w:rPr>
          <w:rFonts w:ascii="Book Antiqua" w:eastAsiaTheme="minorEastAsia" w:hAnsi="Book Antiqua" w:hint="eastAsia"/>
          <w:color w:val="000000"/>
          <w:lang w:eastAsia="zh-CN"/>
        </w:rPr>
        <w:t xml:space="preserve"> </w:t>
      </w:r>
      <w:r w:rsidRPr="00AA2A35">
        <w:rPr>
          <w:rFonts w:ascii="Book Antiqua" w:hAnsi="Book Antiqua"/>
          <w:color w:val="000000"/>
        </w:rPr>
        <w:t>Trieste, Italy</w:t>
      </w:r>
    </w:p>
    <w:p w14:paraId="692A1337" w14:textId="77777777" w:rsidR="00D14265" w:rsidRPr="00AA2A35" w:rsidRDefault="00D14265" w:rsidP="00D14265">
      <w:pPr>
        <w:spacing w:line="360" w:lineRule="auto"/>
        <w:jc w:val="both"/>
        <w:rPr>
          <w:rFonts w:ascii="Book Antiqua" w:eastAsiaTheme="minorEastAsia" w:hAnsi="Book Antiqua"/>
          <w:color w:val="000000"/>
          <w:lang w:eastAsia="zh-CN"/>
        </w:rPr>
      </w:pPr>
    </w:p>
    <w:p w14:paraId="5A7BB4A7" w14:textId="558CE460" w:rsidR="00D44C96" w:rsidRPr="00AA2A35" w:rsidRDefault="00D44C96" w:rsidP="00D14265">
      <w:pPr>
        <w:spacing w:line="360" w:lineRule="auto"/>
        <w:jc w:val="both"/>
        <w:rPr>
          <w:rFonts w:ascii="Book Antiqua" w:eastAsiaTheme="minorEastAsia" w:hAnsi="Book Antiqua"/>
          <w:color w:val="000000"/>
          <w:lang w:eastAsia="zh-CN"/>
        </w:rPr>
      </w:pPr>
      <w:r w:rsidRPr="00AA2A35">
        <w:rPr>
          <w:rFonts w:ascii="Book Antiqua" w:hAnsi="Book Antiqua"/>
          <w:b/>
          <w:color w:val="000000"/>
        </w:rPr>
        <w:t>Alessia Pin, Martina Girardelli, Anna Monica Bianco, Stefano Martelossi, Alberto Tommasini,</w:t>
      </w:r>
      <w:r w:rsidRPr="00AA2A35">
        <w:rPr>
          <w:rFonts w:ascii="Book Antiqua" w:hAnsi="Book Antiqua"/>
          <w:color w:val="000000"/>
        </w:rPr>
        <w:t xml:space="preserve"> Department of Pediatrics, Institute for Maternal and Child Health, IRCCS </w:t>
      </w:r>
      <w:r w:rsidR="00D14265" w:rsidRPr="00AA2A35">
        <w:rPr>
          <w:rFonts w:ascii="Book Antiqua" w:eastAsiaTheme="minorEastAsia" w:hAnsi="Book Antiqua"/>
          <w:color w:val="000000"/>
          <w:lang w:eastAsia="zh-CN"/>
        </w:rPr>
        <w:t>“</w:t>
      </w:r>
      <w:r w:rsidRPr="00AA2A35">
        <w:rPr>
          <w:rFonts w:ascii="Book Antiqua" w:hAnsi="Book Antiqua"/>
          <w:color w:val="000000"/>
        </w:rPr>
        <w:t>Burlo Garofolo</w:t>
      </w:r>
      <w:r w:rsidR="00D14265" w:rsidRPr="00AA2A35">
        <w:rPr>
          <w:rFonts w:ascii="Book Antiqua" w:eastAsiaTheme="minorEastAsia" w:hAnsi="Book Antiqua"/>
          <w:color w:val="000000"/>
          <w:lang w:eastAsia="zh-CN"/>
        </w:rPr>
        <w:t>”</w:t>
      </w:r>
      <w:r w:rsidR="008B6827">
        <w:rPr>
          <w:rFonts w:ascii="Book Antiqua" w:hAnsi="Book Antiqua"/>
          <w:color w:val="000000"/>
        </w:rPr>
        <w:t xml:space="preserve">, </w:t>
      </w:r>
      <w:r w:rsidRPr="00AA2A35">
        <w:rPr>
          <w:rFonts w:ascii="Book Antiqua" w:hAnsi="Book Antiqua"/>
          <w:color w:val="000000"/>
        </w:rPr>
        <w:t>34137 Trieste, Italy</w:t>
      </w:r>
    </w:p>
    <w:p w14:paraId="56CE621A" w14:textId="77777777" w:rsidR="00D44C96" w:rsidRPr="00AA2A35" w:rsidRDefault="00D44C96" w:rsidP="00D14265">
      <w:pPr>
        <w:spacing w:line="360" w:lineRule="auto"/>
        <w:jc w:val="both"/>
        <w:rPr>
          <w:rFonts w:ascii="Book Antiqua" w:eastAsiaTheme="minorEastAsia" w:hAnsi="Book Antiqua"/>
          <w:color w:val="000000"/>
          <w:lang w:eastAsia="zh-CN"/>
        </w:rPr>
      </w:pPr>
    </w:p>
    <w:p w14:paraId="46966DD1" w14:textId="1690C7DB" w:rsidR="00D44C96" w:rsidRPr="00AA2A35" w:rsidRDefault="00D44C96" w:rsidP="00D14265">
      <w:pPr>
        <w:spacing w:line="360" w:lineRule="auto"/>
        <w:jc w:val="both"/>
        <w:rPr>
          <w:rFonts w:ascii="Book Antiqua" w:hAnsi="Book Antiqua"/>
          <w:color w:val="000000"/>
          <w:lang w:val="en-US"/>
        </w:rPr>
      </w:pPr>
      <w:r w:rsidRPr="00AA2A35">
        <w:rPr>
          <w:rFonts w:ascii="Book Antiqua" w:hAnsi="Book Antiqua"/>
          <w:b/>
          <w:color w:val="000000"/>
          <w:lang w:val="en-US"/>
        </w:rPr>
        <w:t>Author contributions</w:t>
      </w:r>
      <w:r w:rsidRPr="00AA2A35">
        <w:rPr>
          <w:rFonts w:ascii="Book Antiqua" w:hAnsi="Book Antiqua"/>
          <w:color w:val="000000"/>
          <w:lang w:val="en-US"/>
        </w:rPr>
        <w:t>: Loganes C, Martelossi S and Tommasini A conceived and designed the research; Loganes C, Pin A</w:t>
      </w:r>
      <w:r w:rsidR="00D14265" w:rsidRPr="00AA2A35">
        <w:rPr>
          <w:rFonts w:ascii="Book Antiqua" w:eastAsiaTheme="minorEastAsia" w:hAnsi="Book Antiqua" w:hint="eastAsia"/>
          <w:color w:val="000000"/>
          <w:lang w:val="en-US" w:eastAsia="zh-CN"/>
        </w:rPr>
        <w:t xml:space="preserve"> and</w:t>
      </w:r>
      <w:r w:rsidRPr="00AA2A35">
        <w:rPr>
          <w:rFonts w:ascii="Book Antiqua" w:hAnsi="Book Antiqua"/>
          <w:color w:val="000000"/>
          <w:lang w:val="en-US"/>
        </w:rPr>
        <w:t xml:space="preserve"> Girardelli M performed experiments for data acquisition and performed the statistical analysis; Bianco AM</w:t>
      </w:r>
      <w:r w:rsidR="00D14265" w:rsidRPr="00AA2A35">
        <w:rPr>
          <w:rFonts w:ascii="Book Antiqua" w:eastAsiaTheme="minorEastAsia" w:hAnsi="Book Antiqua" w:hint="eastAsia"/>
          <w:color w:val="000000"/>
          <w:lang w:val="en-US" w:eastAsia="zh-CN"/>
        </w:rPr>
        <w:t xml:space="preserve"> and</w:t>
      </w:r>
      <w:r w:rsidRPr="00AA2A35">
        <w:rPr>
          <w:rFonts w:ascii="Book Antiqua" w:hAnsi="Book Antiqua"/>
          <w:color w:val="000000"/>
          <w:lang w:val="en-US"/>
        </w:rPr>
        <w:t xml:space="preserve"> Piscianz E analyzed the data; Martelossi S</w:t>
      </w:r>
      <w:r w:rsidR="00D14265" w:rsidRPr="00AA2A35">
        <w:rPr>
          <w:rFonts w:ascii="Book Antiqua" w:eastAsiaTheme="minorEastAsia" w:hAnsi="Book Antiqua" w:hint="eastAsia"/>
          <w:color w:val="000000"/>
          <w:lang w:val="en-US" w:eastAsia="zh-CN"/>
        </w:rPr>
        <w:t xml:space="preserve"> and</w:t>
      </w:r>
      <w:r w:rsidRPr="00AA2A35">
        <w:rPr>
          <w:rFonts w:ascii="Book Antiqua" w:hAnsi="Book Antiqua"/>
          <w:color w:val="000000"/>
          <w:lang w:val="en-US"/>
        </w:rPr>
        <w:t xml:space="preserve"> Naviglio S enrolled the patients and provided patient samples; Loganes C, Tommasini A</w:t>
      </w:r>
      <w:r w:rsidR="00D14265" w:rsidRPr="00AA2A35">
        <w:rPr>
          <w:rFonts w:ascii="Book Antiqua" w:eastAsiaTheme="minorEastAsia" w:hAnsi="Book Antiqua" w:hint="eastAsia"/>
          <w:color w:val="000000"/>
          <w:lang w:val="en-US" w:eastAsia="zh-CN"/>
        </w:rPr>
        <w:t xml:space="preserve"> and</w:t>
      </w:r>
      <w:r w:rsidR="00D14265" w:rsidRPr="00AA2A35">
        <w:rPr>
          <w:rFonts w:ascii="Book Antiqua" w:hAnsi="Book Antiqua"/>
          <w:color w:val="000000"/>
          <w:lang w:val="en-US"/>
        </w:rPr>
        <w:t xml:space="preserve"> </w:t>
      </w:r>
      <w:r w:rsidRPr="00AA2A35">
        <w:rPr>
          <w:rFonts w:ascii="Book Antiqua" w:hAnsi="Book Antiqua"/>
          <w:color w:val="000000"/>
          <w:lang w:val="en-US"/>
        </w:rPr>
        <w:t>Piscianz E wrote the paper; Bianco AM</w:t>
      </w:r>
      <w:r w:rsidR="00D14265" w:rsidRPr="00AA2A35">
        <w:rPr>
          <w:rFonts w:ascii="Book Antiqua" w:eastAsiaTheme="minorEastAsia" w:hAnsi="Book Antiqua" w:hint="eastAsia"/>
          <w:color w:val="000000"/>
          <w:lang w:val="en-US" w:eastAsia="zh-CN"/>
        </w:rPr>
        <w:t xml:space="preserve"> and</w:t>
      </w:r>
      <w:r w:rsidR="00D14265" w:rsidRPr="00AA2A35">
        <w:rPr>
          <w:rFonts w:ascii="Book Antiqua" w:hAnsi="Book Antiqua"/>
          <w:color w:val="000000"/>
          <w:lang w:val="en-US"/>
        </w:rPr>
        <w:t xml:space="preserve"> </w:t>
      </w:r>
      <w:r w:rsidRPr="00AA2A35">
        <w:rPr>
          <w:rFonts w:ascii="Book Antiqua" w:hAnsi="Book Antiqua"/>
          <w:color w:val="000000"/>
          <w:lang w:val="en-US"/>
        </w:rPr>
        <w:t>Martelossi S revised the manuscript critically for important intellectual content</w:t>
      </w:r>
      <w:r w:rsidR="00D14265" w:rsidRPr="00AA2A35">
        <w:rPr>
          <w:rFonts w:ascii="Book Antiqua" w:eastAsiaTheme="minorEastAsia" w:hAnsi="Book Antiqua" w:hint="eastAsia"/>
          <w:color w:val="000000"/>
          <w:lang w:val="en-US" w:eastAsia="zh-CN"/>
        </w:rPr>
        <w:t xml:space="preserve">; </w:t>
      </w:r>
      <w:r w:rsidR="00D14265" w:rsidRPr="00AA2A35">
        <w:rPr>
          <w:rFonts w:ascii="Book Antiqua" w:hAnsi="Book Antiqua"/>
          <w:color w:val="000000"/>
          <w:lang w:val="en-US"/>
        </w:rPr>
        <w:t>a</w:t>
      </w:r>
      <w:r w:rsidRPr="00AA2A35">
        <w:rPr>
          <w:rFonts w:ascii="Book Antiqua" w:hAnsi="Book Antiqua"/>
          <w:color w:val="000000"/>
          <w:lang w:val="en-US"/>
        </w:rPr>
        <w:t>ll authors read and approved the final version of this manuscript.</w:t>
      </w:r>
    </w:p>
    <w:p w14:paraId="13FFB3C2" w14:textId="77777777" w:rsidR="00D44C96" w:rsidRPr="00AA2A35" w:rsidRDefault="00D44C96" w:rsidP="00D14265">
      <w:pPr>
        <w:spacing w:line="360" w:lineRule="auto"/>
        <w:jc w:val="both"/>
        <w:rPr>
          <w:rFonts w:ascii="Book Antiqua" w:hAnsi="Book Antiqua"/>
          <w:color w:val="000000"/>
          <w:lang w:val="en-US"/>
        </w:rPr>
      </w:pPr>
    </w:p>
    <w:p w14:paraId="539FE23B" w14:textId="51F137A5" w:rsidR="00D44C96" w:rsidRPr="00AA2A35" w:rsidRDefault="00D44C96" w:rsidP="00D14265">
      <w:pPr>
        <w:spacing w:line="360" w:lineRule="auto"/>
        <w:jc w:val="both"/>
        <w:rPr>
          <w:rFonts w:ascii="Book Antiqua" w:hAnsi="Book Antiqua"/>
          <w:color w:val="000000"/>
          <w:lang w:val="en-US"/>
        </w:rPr>
      </w:pPr>
      <w:r w:rsidRPr="00AA2A35">
        <w:rPr>
          <w:rFonts w:ascii="Book Antiqua" w:hAnsi="Book Antiqua"/>
          <w:b/>
          <w:color w:val="000000"/>
          <w:lang w:val="en-US"/>
        </w:rPr>
        <w:t>Supported by</w:t>
      </w:r>
      <w:r w:rsidRPr="00AA2A35">
        <w:rPr>
          <w:rFonts w:ascii="Book Antiqua" w:hAnsi="Book Antiqua"/>
          <w:color w:val="000000"/>
          <w:lang w:val="en-US"/>
        </w:rPr>
        <w:t xml:space="preserve"> Maternal and Child Institute “Burlo Garofolo”</w:t>
      </w:r>
      <w:r w:rsidR="00D14265" w:rsidRPr="00AA2A35">
        <w:rPr>
          <w:rFonts w:ascii="Book Antiqua" w:eastAsiaTheme="minorEastAsia" w:hAnsi="Book Antiqua" w:hint="eastAsia"/>
          <w:color w:val="000000"/>
          <w:lang w:val="en-US" w:eastAsia="zh-CN"/>
        </w:rPr>
        <w:t>,</w:t>
      </w:r>
      <w:r w:rsidRPr="00AA2A35">
        <w:rPr>
          <w:rFonts w:ascii="Book Antiqua" w:hAnsi="Book Antiqua"/>
          <w:color w:val="000000"/>
          <w:lang w:val="en-US"/>
        </w:rPr>
        <w:t xml:space="preserve"> </w:t>
      </w:r>
      <w:r w:rsidR="00D14265" w:rsidRPr="00AA2A35">
        <w:rPr>
          <w:rFonts w:ascii="Book Antiqua" w:eastAsiaTheme="minorEastAsia" w:hAnsi="Book Antiqua" w:hint="eastAsia"/>
          <w:color w:val="000000"/>
          <w:lang w:val="en-US" w:eastAsia="zh-CN"/>
        </w:rPr>
        <w:t xml:space="preserve">No. </w:t>
      </w:r>
      <w:r w:rsidRPr="00AA2A35">
        <w:rPr>
          <w:rFonts w:ascii="Book Antiqua" w:hAnsi="Book Antiqua"/>
          <w:lang w:val="en-US"/>
        </w:rPr>
        <w:t>RC 03/2009</w:t>
      </w:r>
      <w:r w:rsidRPr="00AA2A35">
        <w:rPr>
          <w:rFonts w:ascii="Book Antiqua" w:hAnsi="Book Antiqua"/>
          <w:color w:val="000000"/>
          <w:lang w:val="en-US"/>
        </w:rPr>
        <w:t>.</w:t>
      </w:r>
    </w:p>
    <w:p w14:paraId="37B6D996" w14:textId="77777777" w:rsidR="00D44C96" w:rsidRPr="00AA2A35" w:rsidRDefault="00D44C96" w:rsidP="00D14265">
      <w:pPr>
        <w:spacing w:line="360" w:lineRule="auto"/>
        <w:jc w:val="both"/>
        <w:rPr>
          <w:rFonts w:ascii="Book Antiqua" w:hAnsi="Book Antiqua"/>
          <w:color w:val="000000"/>
          <w:lang w:val="en-US"/>
        </w:rPr>
      </w:pPr>
    </w:p>
    <w:p w14:paraId="7CC61566" w14:textId="77777777" w:rsidR="00D44C96" w:rsidRPr="00AA2A35" w:rsidRDefault="00D44C96" w:rsidP="00D14265">
      <w:pPr>
        <w:spacing w:line="360" w:lineRule="auto"/>
        <w:jc w:val="both"/>
        <w:rPr>
          <w:rFonts w:ascii="Book Antiqua" w:hAnsi="Book Antiqua"/>
          <w:color w:val="000000"/>
          <w:lang w:val="en-US"/>
        </w:rPr>
      </w:pPr>
      <w:r w:rsidRPr="00AA2A35">
        <w:rPr>
          <w:rFonts w:ascii="Book Antiqua" w:hAnsi="Book Antiqua"/>
          <w:b/>
          <w:color w:val="000000"/>
          <w:lang w:val="en-US"/>
        </w:rPr>
        <w:t>Institutional review board statement</w:t>
      </w:r>
      <w:r w:rsidRPr="00AA2A35">
        <w:rPr>
          <w:rFonts w:ascii="Book Antiqua" w:hAnsi="Book Antiqua"/>
          <w:color w:val="000000"/>
          <w:lang w:val="en-US"/>
        </w:rPr>
        <w:t>: The study was reviewed and approved by the Institutional Review Board of the Institute for Maternal and Child Health, IRCCS ‘Burlo Garofolo’, Trieste, Italy (RC 03/2009).</w:t>
      </w:r>
    </w:p>
    <w:p w14:paraId="562FD5F3" w14:textId="77777777" w:rsidR="00D44C96" w:rsidRPr="00AA2A35" w:rsidRDefault="00D44C96" w:rsidP="00D14265">
      <w:pPr>
        <w:spacing w:line="360" w:lineRule="auto"/>
        <w:jc w:val="both"/>
        <w:rPr>
          <w:rFonts w:ascii="Book Antiqua" w:hAnsi="Book Antiqua"/>
          <w:color w:val="000000"/>
          <w:lang w:val="en-US"/>
        </w:rPr>
      </w:pPr>
    </w:p>
    <w:p w14:paraId="042FBAB3" w14:textId="77777777" w:rsidR="00D44C96" w:rsidRPr="00AA2A35" w:rsidRDefault="00D44C96" w:rsidP="00D14265">
      <w:pPr>
        <w:spacing w:line="360" w:lineRule="auto"/>
        <w:jc w:val="both"/>
        <w:rPr>
          <w:rFonts w:ascii="Book Antiqua" w:hAnsi="Book Antiqua"/>
          <w:color w:val="000000"/>
          <w:lang w:val="en-US"/>
        </w:rPr>
      </w:pPr>
      <w:r w:rsidRPr="00AA2A35">
        <w:rPr>
          <w:rFonts w:ascii="Book Antiqua" w:hAnsi="Book Antiqua"/>
          <w:b/>
          <w:color w:val="000000"/>
          <w:lang w:val="en-US"/>
        </w:rPr>
        <w:t>Conflict-of-interest statement</w:t>
      </w:r>
      <w:r w:rsidRPr="00AA2A35">
        <w:rPr>
          <w:rFonts w:ascii="Book Antiqua" w:hAnsi="Book Antiqua"/>
          <w:color w:val="000000"/>
          <w:lang w:val="en-US"/>
        </w:rPr>
        <w:t xml:space="preserve">: All the authors declare no conflict of interest. </w:t>
      </w:r>
    </w:p>
    <w:p w14:paraId="361A1C53" w14:textId="77777777" w:rsidR="00D44C96" w:rsidRPr="00AA2A35" w:rsidRDefault="00D44C96" w:rsidP="00D14265">
      <w:pPr>
        <w:spacing w:line="360" w:lineRule="auto"/>
        <w:jc w:val="both"/>
        <w:rPr>
          <w:rFonts w:ascii="Book Antiqua" w:hAnsi="Book Antiqua"/>
          <w:color w:val="000000"/>
          <w:lang w:val="en-US"/>
        </w:rPr>
      </w:pPr>
    </w:p>
    <w:p w14:paraId="22BD77F1" w14:textId="7F0472F3" w:rsidR="00D44C96" w:rsidRPr="00AA2A35" w:rsidRDefault="00D44C96" w:rsidP="00D14265">
      <w:pPr>
        <w:spacing w:line="360" w:lineRule="auto"/>
        <w:jc w:val="both"/>
        <w:rPr>
          <w:rStyle w:val="Hyperlink"/>
          <w:rFonts w:ascii="Book Antiqua" w:eastAsiaTheme="minorEastAsia" w:hAnsi="Book Antiqua"/>
          <w:lang w:val="en-US" w:eastAsia="zh-CN"/>
        </w:rPr>
      </w:pPr>
      <w:r w:rsidRPr="00AA2A35">
        <w:rPr>
          <w:rFonts w:ascii="Book Antiqua" w:hAnsi="Book Antiqua"/>
          <w:b/>
          <w:color w:val="000000"/>
          <w:lang w:val="en-US"/>
        </w:rPr>
        <w:t>Data sharing statement</w:t>
      </w:r>
      <w:r w:rsidRPr="00AA2A35">
        <w:rPr>
          <w:rFonts w:ascii="Book Antiqua" w:hAnsi="Book Antiqua"/>
          <w:color w:val="000000"/>
          <w:lang w:val="en-US"/>
        </w:rPr>
        <w:t xml:space="preserve">: Dataset available from the corresponding author at </w:t>
      </w:r>
      <w:hyperlink r:id="rId7" w:history="1">
        <w:r w:rsidR="00D41233" w:rsidRPr="00AA2A35">
          <w:rPr>
            <w:rStyle w:val="Hyperlink"/>
            <w:rFonts w:ascii="Book Antiqua" w:hAnsi="Book Antiqua"/>
            <w:lang w:val="en-US"/>
          </w:rPr>
          <w:t>claudia.loganes@gmail.com</w:t>
        </w:r>
      </w:hyperlink>
      <w:r w:rsidR="00D14265" w:rsidRPr="00AA2A35">
        <w:rPr>
          <w:rStyle w:val="Hyperlink"/>
          <w:rFonts w:ascii="Book Antiqua" w:eastAsiaTheme="minorEastAsia" w:hAnsi="Book Antiqua" w:hint="eastAsia"/>
          <w:lang w:val="en-US" w:eastAsia="zh-CN"/>
        </w:rPr>
        <w:t>.</w:t>
      </w:r>
    </w:p>
    <w:p w14:paraId="2DF083FE" w14:textId="77777777" w:rsidR="00D14265" w:rsidRPr="00AA2A35" w:rsidRDefault="00D14265" w:rsidP="00D14265">
      <w:pPr>
        <w:spacing w:line="360" w:lineRule="auto"/>
        <w:jc w:val="both"/>
        <w:rPr>
          <w:rFonts w:ascii="Book Antiqua" w:eastAsiaTheme="minorEastAsia" w:hAnsi="Book Antiqua"/>
          <w:color w:val="000000"/>
          <w:lang w:val="en-US" w:eastAsia="zh-CN"/>
        </w:rPr>
      </w:pPr>
    </w:p>
    <w:p w14:paraId="7A2F0584" w14:textId="77777777" w:rsidR="00D14265" w:rsidRPr="00AA2A35" w:rsidRDefault="00D14265" w:rsidP="00D14265">
      <w:pPr>
        <w:spacing w:line="360" w:lineRule="auto"/>
        <w:jc w:val="both"/>
        <w:rPr>
          <w:rFonts w:ascii="Book Antiqua" w:hAnsi="Book Antiqua"/>
          <w:b/>
          <w:color w:val="000000"/>
        </w:rPr>
      </w:pPr>
      <w:bookmarkStart w:id="10" w:name="OLE_LINK155"/>
      <w:bookmarkStart w:id="11" w:name="OLE_LINK183"/>
      <w:bookmarkStart w:id="12" w:name="OLE_LINK441"/>
      <w:r w:rsidRPr="00AA2A35">
        <w:rPr>
          <w:rFonts w:ascii="Book Antiqua" w:hAnsi="Book Antiqua"/>
          <w:b/>
          <w:color w:val="000000"/>
        </w:rPr>
        <w:t xml:space="preserve">Open-Access: </w:t>
      </w:r>
      <w:r w:rsidRPr="00AA2A35">
        <w:rPr>
          <w:rFonts w:ascii="Book Antiqua" w:hAnsi="Book Antiqua"/>
          <w:color w:val="000000"/>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0"/>
    <w:bookmarkEnd w:id="11"/>
    <w:bookmarkEnd w:id="12"/>
    <w:p w14:paraId="354CF96F" w14:textId="77777777" w:rsidR="00D14265" w:rsidRPr="00AA2A35" w:rsidRDefault="00D14265" w:rsidP="00D14265">
      <w:pPr>
        <w:spacing w:line="360" w:lineRule="auto"/>
        <w:jc w:val="both"/>
        <w:rPr>
          <w:rFonts w:ascii="Book Antiqua" w:eastAsiaTheme="minorEastAsia" w:hAnsi="Book Antiqua" w:cs="Arial Unicode MS"/>
          <w:color w:val="000000"/>
          <w:lang w:eastAsia="zh-CN"/>
        </w:rPr>
      </w:pPr>
    </w:p>
    <w:p w14:paraId="6509F967" w14:textId="77777777" w:rsidR="00D14265" w:rsidRPr="00AA2A35" w:rsidRDefault="00D14265" w:rsidP="00D14265">
      <w:pPr>
        <w:spacing w:line="360" w:lineRule="auto"/>
        <w:jc w:val="both"/>
        <w:rPr>
          <w:rFonts w:ascii="Book Antiqua" w:hAnsi="Book Antiqua" w:cs="Arial Unicode MS"/>
          <w:color w:val="000000"/>
        </w:rPr>
      </w:pPr>
      <w:r w:rsidRPr="00AA2A35">
        <w:rPr>
          <w:rFonts w:ascii="Book Antiqua" w:hAnsi="Book Antiqua" w:cs="Arial Unicode MS"/>
          <w:b/>
          <w:color w:val="000000"/>
        </w:rPr>
        <w:t>Manuscript source:</w:t>
      </w:r>
      <w:r w:rsidRPr="00AA2A35">
        <w:rPr>
          <w:rFonts w:ascii="Book Antiqua" w:hAnsi="Book Antiqua" w:cs="Arial Unicode MS"/>
          <w:color w:val="000000"/>
        </w:rPr>
        <w:t xml:space="preserve"> Invited manuscript</w:t>
      </w:r>
    </w:p>
    <w:p w14:paraId="2E5B7876" w14:textId="77777777" w:rsidR="00D44C96" w:rsidRPr="00AA2A35" w:rsidRDefault="00D44C96" w:rsidP="00D14265">
      <w:pPr>
        <w:spacing w:line="360" w:lineRule="auto"/>
        <w:jc w:val="both"/>
        <w:rPr>
          <w:rFonts w:ascii="Book Antiqua" w:hAnsi="Book Antiqua"/>
          <w:color w:val="000000"/>
        </w:rPr>
      </w:pPr>
    </w:p>
    <w:p w14:paraId="7290B4A8" w14:textId="1AAB5712" w:rsidR="00D44C96" w:rsidRPr="00AA2A35" w:rsidRDefault="00D44C96" w:rsidP="00D14265">
      <w:pPr>
        <w:spacing w:line="360" w:lineRule="auto"/>
        <w:jc w:val="both"/>
        <w:rPr>
          <w:rFonts w:ascii="Book Antiqua" w:hAnsi="Book Antiqua"/>
          <w:color w:val="000000"/>
          <w:lang w:val="en-US"/>
        </w:rPr>
      </w:pPr>
      <w:r w:rsidRPr="00AA2A35">
        <w:rPr>
          <w:rFonts w:ascii="Book Antiqua" w:hAnsi="Book Antiqua"/>
          <w:b/>
          <w:color w:val="000000"/>
          <w:lang w:val="en-US"/>
        </w:rPr>
        <w:t>Correspondence to</w:t>
      </w:r>
      <w:r w:rsidRPr="00AA2A35">
        <w:rPr>
          <w:rFonts w:ascii="Book Antiqua" w:hAnsi="Book Antiqua"/>
          <w:color w:val="000000"/>
          <w:lang w:val="en-US"/>
        </w:rPr>
        <w:t xml:space="preserve">: </w:t>
      </w:r>
      <w:r w:rsidRPr="00AA2A35">
        <w:rPr>
          <w:rFonts w:ascii="Book Antiqua" w:hAnsi="Book Antiqua"/>
          <w:b/>
          <w:color w:val="000000"/>
          <w:lang w:val="en-US"/>
        </w:rPr>
        <w:t>Claudia Loganes, BSc</w:t>
      </w:r>
      <w:r w:rsidR="00D14265" w:rsidRPr="00AA2A35">
        <w:rPr>
          <w:rFonts w:ascii="Book Antiqua" w:eastAsiaTheme="minorEastAsia" w:hAnsi="Book Antiqua" w:hint="eastAsia"/>
          <w:color w:val="000000"/>
          <w:lang w:val="en-US" w:eastAsia="zh-CN"/>
        </w:rPr>
        <w:t>,</w:t>
      </w:r>
      <w:r w:rsidRPr="00AA2A35">
        <w:rPr>
          <w:rFonts w:ascii="Book Antiqua" w:hAnsi="Book Antiqua"/>
          <w:color w:val="000000"/>
          <w:lang w:val="en-US"/>
        </w:rPr>
        <w:t xml:space="preserve"> Department of Medicine, Surgery, and Health Sciences, University of Trieste, Strada di Fiume, 447, 341</w:t>
      </w:r>
      <w:r w:rsidR="0059753B" w:rsidRPr="00AA2A35">
        <w:rPr>
          <w:rFonts w:ascii="Book Antiqua" w:hAnsi="Book Antiqua"/>
          <w:color w:val="000000"/>
          <w:lang w:val="en-US"/>
        </w:rPr>
        <w:t>28</w:t>
      </w:r>
      <w:r w:rsidRPr="00AA2A35">
        <w:rPr>
          <w:rFonts w:ascii="Book Antiqua" w:hAnsi="Book Antiqua"/>
          <w:color w:val="000000"/>
          <w:lang w:val="en-US"/>
        </w:rPr>
        <w:t xml:space="preserve"> Trieste, Italy</w:t>
      </w:r>
      <w:r w:rsidR="00D14265" w:rsidRPr="00AA2A35">
        <w:rPr>
          <w:rFonts w:ascii="Book Antiqua" w:eastAsiaTheme="minorEastAsia" w:hAnsi="Book Antiqua" w:hint="eastAsia"/>
          <w:color w:val="000000"/>
          <w:lang w:val="en-US" w:eastAsia="zh-CN"/>
        </w:rPr>
        <w:t xml:space="preserve">. </w:t>
      </w:r>
      <w:r w:rsidRPr="00AA2A35">
        <w:rPr>
          <w:rFonts w:ascii="Book Antiqua" w:hAnsi="Book Antiqua"/>
          <w:color w:val="000000"/>
          <w:lang w:val="en-US"/>
        </w:rPr>
        <w:t>claudia.loganes@gmail.com</w:t>
      </w:r>
    </w:p>
    <w:p w14:paraId="346F84B9" w14:textId="7709B8CB" w:rsidR="00D44C96" w:rsidRPr="00AA2A35" w:rsidRDefault="004A2050" w:rsidP="00D14265">
      <w:pPr>
        <w:spacing w:line="360" w:lineRule="auto"/>
        <w:jc w:val="both"/>
        <w:rPr>
          <w:rFonts w:ascii="Book Antiqua" w:hAnsi="Book Antiqua"/>
          <w:color w:val="000000"/>
          <w:lang w:val="en-US"/>
        </w:rPr>
      </w:pPr>
      <w:r w:rsidRPr="00AA2A35">
        <w:rPr>
          <w:rFonts w:ascii="Book Antiqua" w:hAnsi="Book Antiqua"/>
          <w:b/>
          <w:color w:val="000000"/>
          <w:lang w:val="en-US"/>
        </w:rPr>
        <w:t>T</w:t>
      </w:r>
      <w:r w:rsidR="00D44C96" w:rsidRPr="00AA2A35">
        <w:rPr>
          <w:rFonts w:ascii="Book Antiqua" w:hAnsi="Book Antiqua"/>
          <w:b/>
          <w:color w:val="000000"/>
          <w:lang w:val="en-US"/>
        </w:rPr>
        <w:t>elephone</w:t>
      </w:r>
      <w:r w:rsidRPr="00AA2A35">
        <w:rPr>
          <w:rFonts w:ascii="Book Antiqua" w:hAnsi="Book Antiqua"/>
          <w:color w:val="000000"/>
          <w:lang w:val="en-US"/>
        </w:rPr>
        <w:t xml:space="preserve">: </w:t>
      </w:r>
      <w:r w:rsidR="00D14265" w:rsidRPr="00AA2A35">
        <w:rPr>
          <w:rFonts w:ascii="Book Antiqua" w:hAnsi="Book Antiqua"/>
          <w:color w:val="000000"/>
          <w:lang w:val="en-US"/>
        </w:rPr>
        <w:t>+39-</w:t>
      </w:r>
      <w:r w:rsidR="00D44C96" w:rsidRPr="00AA2A35">
        <w:rPr>
          <w:rFonts w:ascii="Book Antiqua" w:hAnsi="Book Antiqua"/>
          <w:color w:val="000000"/>
          <w:lang w:val="en-US"/>
        </w:rPr>
        <w:t>40-3785422</w:t>
      </w:r>
    </w:p>
    <w:p w14:paraId="6FD90E82" w14:textId="77777777" w:rsidR="00605B24" w:rsidRPr="00AA2A35" w:rsidRDefault="00605B24" w:rsidP="00D14265">
      <w:pPr>
        <w:spacing w:line="360" w:lineRule="auto"/>
        <w:jc w:val="both"/>
        <w:rPr>
          <w:rFonts w:ascii="Book Antiqua" w:hAnsi="Book Antiqua"/>
          <w:color w:val="000000"/>
          <w:lang w:val="en-US"/>
        </w:rPr>
      </w:pPr>
    </w:p>
    <w:p w14:paraId="424B9D9A" w14:textId="33A50805" w:rsidR="00D14265" w:rsidRPr="00AA2A35" w:rsidRDefault="00D14265" w:rsidP="00D14265">
      <w:pPr>
        <w:spacing w:line="360" w:lineRule="auto"/>
        <w:rPr>
          <w:rFonts w:ascii="Book Antiqua" w:eastAsiaTheme="minorEastAsia" w:hAnsi="Book Antiqua"/>
          <w:lang w:eastAsia="zh-CN"/>
        </w:rPr>
      </w:pPr>
      <w:bookmarkStart w:id="13" w:name="OLE_LINK476"/>
      <w:bookmarkStart w:id="14" w:name="OLE_LINK477"/>
      <w:bookmarkStart w:id="15" w:name="OLE_LINK117"/>
      <w:bookmarkStart w:id="16" w:name="OLE_LINK528"/>
      <w:bookmarkStart w:id="17" w:name="OLE_LINK557"/>
      <w:r w:rsidRPr="00AA2A35">
        <w:rPr>
          <w:rFonts w:ascii="Book Antiqua" w:hAnsi="Book Antiqua"/>
          <w:b/>
        </w:rPr>
        <w:t>Received:</w:t>
      </w:r>
      <w:r w:rsidRPr="00AA2A35">
        <w:rPr>
          <w:rFonts w:ascii="Book Antiqua" w:eastAsiaTheme="minorEastAsia" w:hAnsi="Book Antiqua" w:hint="eastAsia"/>
          <w:lang w:eastAsia="zh-CN"/>
        </w:rPr>
        <w:t xml:space="preserve"> June 28, 2016</w:t>
      </w:r>
    </w:p>
    <w:p w14:paraId="69E9E27A" w14:textId="25FF7609" w:rsidR="00D14265" w:rsidRPr="00AA2A35" w:rsidRDefault="00D14265" w:rsidP="00D14265">
      <w:pPr>
        <w:spacing w:line="360" w:lineRule="auto"/>
        <w:rPr>
          <w:rFonts w:ascii="Book Antiqua" w:eastAsiaTheme="minorEastAsia" w:hAnsi="Book Antiqua"/>
          <w:lang w:eastAsia="zh-CN"/>
        </w:rPr>
      </w:pPr>
      <w:r w:rsidRPr="00AA2A35">
        <w:rPr>
          <w:rFonts w:ascii="Book Antiqua" w:hAnsi="Book Antiqua" w:hint="eastAsia"/>
          <w:b/>
        </w:rPr>
        <w:t>Peer-review started</w:t>
      </w:r>
      <w:r w:rsidRPr="00AA2A35">
        <w:rPr>
          <w:rFonts w:ascii="Book Antiqua" w:hAnsi="Book Antiqua"/>
          <w:b/>
        </w:rPr>
        <w:t>:</w:t>
      </w:r>
      <w:r w:rsidRPr="00AA2A35">
        <w:rPr>
          <w:rFonts w:ascii="Book Antiqua" w:eastAsiaTheme="minorEastAsia" w:hAnsi="Book Antiqua" w:hint="eastAsia"/>
          <w:b/>
          <w:lang w:eastAsia="zh-CN"/>
        </w:rPr>
        <w:t xml:space="preserve"> </w:t>
      </w:r>
      <w:r w:rsidRPr="00AA2A35">
        <w:rPr>
          <w:rFonts w:ascii="Book Antiqua" w:eastAsiaTheme="minorEastAsia" w:hAnsi="Book Antiqua" w:hint="eastAsia"/>
          <w:lang w:eastAsia="zh-CN"/>
        </w:rPr>
        <w:t>June 29, 2016</w:t>
      </w:r>
    </w:p>
    <w:p w14:paraId="4CA251BD" w14:textId="545FEBDE" w:rsidR="00D14265" w:rsidRPr="00AA2A35" w:rsidRDefault="00D14265" w:rsidP="00D14265">
      <w:pPr>
        <w:spacing w:line="360" w:lineRule="auto"/>
        <w:rPr>
          <w:rFonts w:ascii="Book Antiqua" w:eastAsiaTheme="minorEastAsia" w:hAnsi="Book Antiqua"/>
          <w:lang w:eastAsia="zh-CN"/>
        </w:rPr>
      </w:pPr>
      <w:r w:rsidRPr="00AA2A35">
        <w:rPr>
          <w:rFonts w:ascii="Book Antiqua" w:hAnsi="Book Antiqua"/>
          <w:b/>
        </w:rPr>
        <w:t>First decision:</w:t>
      </w:r>
      <w:r w:rsidRPr="00AA2A35">
        <w:rPr>
          <w:rFonts w:ascii="Book Antiqua" w:eastAsiaTheme="minorEastAsia" w:hAnsi="Book Antiqua" w:hint="eastAsia"/>
          <w:b/>
          <w:lang w:eastAsia="zh-CN"/>
        </w:rPr>
        <w:t xml:space="preserve"> </w:t>
      </w:r>
      <w:r w:rsidRPr="00AA2A35">
        <w:rPr>
          <w:rFonts w:ascii="Book Antiqua" w:eastAsiaTheme="minorEastAsia" w:hAnsi="Book Antiqua" w:hint="eastAsia"/>
          <w:lang w:eastAsia="zh-CN"/>
        </w:rPr>
        <w:t>August 8, 2016</w:t>
      </w:r>
    </w:p>
    <w:p w14:paraId="0A269D53" w14:textId="3BAA81EC" w:rsidR="00D14265" w:rsidRPr="00AA2A35" w:rsidRDefault="00D14265" w:rsidP="00D14265">
      <w:pPr>
        <w:spacing w:line="360" w:lineRule="auto"/>
        <w:rPr>
          <w:rFonts w:ascii="Book Antiqua" w:eastAsiaTheme="minorEastAsia" w:hAnsi="Book Antiqua"/>
          <w:lang w:eastAsia="zh-CN"/>
        </w:rPr>
      </w:pPr>
      <w:r w:rsidRPr="00AA2A35">
        <w:rPr>
          <w:rFonts w:ascii="Book Antiqua" w:hAnsi="Book Antiqua"/>
          <w:b/>
        </w:rPr>
        <w:t>Revised:</w:t>
      </w:r>
      <w:r w:rsidRPr="00AA2A35">
        <w:rPr>
          <w:rFonts w:ascii="Book Antiqua" w:eastAsiaTheme="minorEastAsia" w:hAnsi="Book Antiqua" w:hint="eastAsia"/>
          <w:b/>
          <w:lang w:eastAsia="zh-CN"/>
        </w:rPr>
        <w:t xml:space="preserve"> </w:t>
      </w:r>
      <w:r w:rsidRPr="00AA2A35">
        <w:rPr>
          <w:rFonts w:ascii="Book Antiqua" w:eastAsiaTheme="minorEastAsia" w:hAnsi="Book Antiqua" w:hint="eastAsia"/>
          <w:lang w:eastAsia="zh-CN"/>
        </w:rPr>
        <w:t>August 25, 2016</w:t>
      </w:r>
    </w:p>
    <w:p w14:paraId="066E2E94" w14:textId="613D3DB4" w:rsidR="00D14265" w:rsidRPr="005907E3" w:rsidRDefault="00D14265" w:rsidP="00D14265">
      <w:pPr>
        <w:spacing w:line="360" w:lineRule="auto"/>
        <w:rPr>
          <w:rFonts w:ascii="Book Antiqua" w:hAnsi="Book Antiqua"/>
          <w:color w:val="000000"/>
        </w:rPr>
      </w:pPr>
      <w:r w:rsidRPr="00AA2A35">
        <w:rPr>
          <w:rFonts w:ascii="Book Antiqua" w:hAnsi="Book Antiqua"/>
          <w:b/>
        </w:rPr>
        <w:t>Accepted:</w:t>
      </w:r>
      <w:r w:rsidRPr="00AA2A35">
        <w:rPr>
          <w:rFonts w:ascii="Book Antiqua" w:hAnsi="Book Antiqua" w:hint="eastAsia"/>
          <w:b/>
        </w:rPr>
        <w:t xml:space="preserve"> </w:t>
      </w:r>
      <w:r w:rsidR="005907E3">
        <w:rPr>
          <w:rFonts w:ascii="Book Antiqua" w:hAnsi="Book Antiqua"/>
          <w:color w:val="000000"/>
        </w:rPr>
        <w:t>September 14, 2016</w:t>
      </w:r>
      <w:bookmarkStart w:id="18" w:name="_GoBack"/>
      <w:bookmarkEnd w:id="18"/>
      <w:r w:rsidRPr="00AA2A35">
        <w:rPr>
          <w:rFonts w:ascii="Book Antiqua" w:hAnsi="Book Antiqua" w:hint="eastAsia"/>
          <w:b/>
        </w:rPr>
        <w:t xml:space="preserve"> </w:t>
      </w:r>
    </w:p>
    <w:p w14:paraId="4BFDAACC" w14:textId="77777777" w:rsidR="00D14265" w:rsidRPr="00AA2A35" w:rsidRDefault="00D14265" w:rsidP="00D14265">
      <w:pPr>
        <w:spacing w:line="360" w:lineRule="auto"/>
        <w:rPr>
          <w:rFonts w:ascii="Book Antiqua" w:hAnsi="Book Antiqua"/>
          <w:b/>
        </w:rPr>
      </w:pPr>
      <w:r w:rsidRPr="00AA2A35">
        <w:rPr>
          <w:rFonts w:ascii="Book Antiqua" w:hAnsi="Book Antiqua"/>
          <w:b/>
        </w:rPr>
        <w:t>Article in press:</w:t>
      </w:r>
    </w:p>
    <w:p w14:paraId="5D8E3571" w14:textId="77777777" w:rsidR="00D14265" w:rsidRPr="00AA2A35" w:rsidRDefault="00D14265" w:rsidP="00D14265">
      <w:pPr>
        <w:spacing w:line="360" w:lineRule="auto"/>
        <w:rPr>
          <w:rFonts w:ascii="Book Antiqua" w:hAnsi="Book Antiqua"/>
          <w:b/>
        </w:rPr>
      </w:pPr>
      <w:r w:rsidRPr="00AA2A35">
        <w:rPr>
          <w:rFonts w:ascii="Book Antiqua" w:hAnsi="Book Antiqua"/>
          <w:b/>
        </w:rPr>
        <w:t>Published online:</w:t>
      </w:r>
    </w:p>
    <w:bookmarkEnd w:id="13"/>
    <w:bookmarkEnd w:id="14"/>
    <w:bookmarkEnd w:id="15"/>
    <w:bookmarkEnd w:id="16"/>
    <w:bookmarkEnd w:id="17"/>
    <w:p w14:paraId="35437211" w14:textId="77777777" w:rsidR="00D44C96" w:rsidRPr="00AA2A35" w:rsidRDefault="00D44C96" w:rsidP="00D14265">
      <w:pPr>
        <w:jc w:val="both"/>
        <w:rPr>
          <w:rFonts w:ascii="Book Antiqua" w:hAnsi="Book Antiqua"/>
          <w:color w:val="000000"/>
          <w:lang w:val="en-US"/>
        </w:rPr>
      </w:pPr>
      <w:r w:rsidRPr="00AA2A35">
        <w:rPr>
          <w:rFonts w:ascii="Book Antiqua" w:hAnsi="Book Antiqua"/>
          <w:color w:val="000000"/>
          <w:lang w:val="en-US"/>
        </w:rPr>
        <w:br w:type="page"/>
      </w:r>
    </w:p>
    <w:p w14:paraId="777BCD3D" w14:textId="3024BC49" w:rsidR="00D44C96" w:rsidRPr="00AA2A35" w:rsidRDefault="00D44C96" w:rsidP="00D14265">
      <w:pPr>
        <w:spacing w:line="360" w:lineRule="auto"/>
        <w:jc w:val="both"/>
        <w:rPr>
          <w:rFonts w:ascii="Book Antiqua" w:eastAsiaTheme="minorEastAsia" w:hAnsi="Book Antiqua"/>
          <w:color w:val="000000"/>
          <w:lang w:val="en-US" w:eastAsia="zh-CN"/>
        </w:rPr>
      </w:pPr>
      <w:r w:rsidRPr="00AA2A35">
        <w:rPr>
          <w:rFonts w:ascii="Book Antiqua" w:hAnsi="Book Antiqua"/>
          <w:b/>
          <w:color w:val="000000"/>
          <w:lang w:val="en-US"/>
        </w:rPr>
        <w:lastRenderedPageBreak/>
        <w:t>Abstract</w:t>
      </w:r>
    </w:p>
    <w:p w14:paraId="13E56CE7" w14:textId="77777777" w:rsidR="00D14265" w:rsidRPr="00AA2A35" w:rsidRDefault="00D44C96" w:rsidP="00D14265">
      <w:pPr>
        <w:spacing w:line="360" w:lineRule="auto"/>
        <w:jc w:val="both"/>
        <w:rPr>
          <w:rFonts w:ascii="Book Antiqua" w:eastAsiaTheme="minorEastAsia" w:hAnsi="Book Antiqua"/>
          <w:i/>
          <w:color w:val="000000"/>
          <w:lang w:val="en-US" w:eastAsia="zh-CN"/>
        </w:rPr>
      </w:pPr>
      <w:r w:rsidRPr="00AA2A35">
        <w:rPr>
          <w:rFonts w:ascii="Book Antiqua" w:hAnsi="Book Antiqua"/>
          <w:b/>
          <w:i/>
          <w:color w:val="000000"/>
          <w:lang w:val="en-US"/>
        </w:rPr>
        <w:t>AIM</w:t>
      </w:r>
    </w:p>
    <w:p w14:paraId="637D9FE8" w14:textId="3BB1F47D" w:rsidR="00D44C96" w:rsidRPr="00AA2A35" w:rsidRDefault="00D44C96" w:rsidP="00D14265">
      <w:pPr>
        <w:spacing w:line="360" w:lineRule="auto"/>
        <w:jc w:val="both"/>
        <w:rPr>
          <w:rFonts w:ascii="Book Antiqua" w:hAnsi="Book Antiqua"/>
          <w:color w:val="000000"/>
          <w:lang w:val="en-US"/>
        </w:rPr>
      </w:pPr>
      <w:r w:rsidRPr="00AA2A35">
        <w:rPr>
          <w:rFonts w:ascii="Book Antiqua" w:hAnsi="Book Antiqua"/>
          <w:color w:val="000000"/>
          <w:lang w:val="en-US"/>
        </w:rPr>
        <w:t xml:space="preserve">To evaluate the inflammatory state in </w:t>
      </w:r>
      <w:r w:rsidR="00D14265" w:rsidRPr="00AA2A35">
        <w:rPr>
          <w:rFonts w:ascii="Book Antiqua" w:hAnsi="Book Antiqua"/>
          <w:color w:val="000000"/>
          <w:lang w:val="en-US"/>
        </w:rPr>
        <w:t>Crohn’s disease (CD)</w:t>
      </w:r>
      <w:r w:rsidR="00D14265" w:rsidRPr="00AA2A35">
        <w:rPr>
          <w:rFonts w:ascii="Book Antiqua" w:eastAsiaTheme="minorEastAsia" w:hAnsi="Book Antiqua" w:hint="eastAsia"/>
          <w:color w:val="000000"/>
          <w:lang w:val="en-US" w:eastAsia="zh-CN"/>
        </w:rPr>
        <w:t xml:space="preserve"> </w:t>
      </w:r>
      <w:r w:rsidRPr="00AA2A35">
        <w:rPr>
          <w:rFonts w:ascii="Book Antiqua" w:hAnsi="Book Antiqua"/>
          <w:color w:val="000000"/>
          <w:lang w:val="en-US"/>
        </w:rPr>
        <w:t>patients and correlate it with genetic background and microbial spreading</w:t>
      </w:r>
    </w:p>
    <w:p w14:paraId="656C8622" w14:textId="77777777" w:rsidR="00D44C96" w:rsidRPr="00AA2A35" w:rsidRDefault="00D44C96" w:rsidP="00D14265">
      <w:pPr>
        <w:spacing w:line="360" w:lineRule="auto"/>
        <w:jc w:val="both"/>
        <w:rPr>
          <w:rFonts w:ascii="Book Antiqua" w:hAnsi="Book Antiqua"/>
          <w:color w:val="000000"/>
          <w:lang w:val="en-US"/>
        </w:rPr>
      </w:pPr>
    </w:p>
    <w:p w14:paraId="664961E5" w14:textId="77777777" w:rsidR="00D14265" w:rsidRPr="00AA2A35" w:rsidRDefault="00D44C96" w:rsidP="00D14265">
      <w:pPr>
        <w:spacing w:line="360" w:lineRule="auto"/>
        <w:jc w:val="both"/>
        <w:rPr>
          <w:rFonts w:ascii="Book Antiqua" w:eastAsiaTheme="minorEastAsia" w:hAnsi="Book Antiqua"/>
          <w:i/>
          <w:color w:val="000000"/>
          <w:lang w:val="en-US" w:eastAsia="zh-CN"/>
        </w:rPr>
      </w:pPr>
      <w:r w:rsidRPr="00AA2A35">
        <w:rPr>
          <w:rFonts w:ascii="Book Antiqua" w:hAnsi="Book Antiqua"/>
          <w:b/>
          <w:i/>
          <w:color w:val="000000"/>
          <w:lang w:val="en-US"/>
        </w:rPr>
        <w:t>METHODS</w:t>
      </w:r>
    </w:p>
    <w:p w14:paraId="5AFB1D5F" w14:textId="54CE0196" w:rsidR="00D44C96" w:rsidRPr="00AA2A35" w:rsidRDefault="00D44C96" w:rsidP="00D14265">
      <w:pPr>
        <w:spacing w:line="360" w:lineRule="auto"/>
        <w:jc w:val="both"/>
        <w:rPr>
          <w:rFonts w:ascii="Book Antiqua" w:hAnsi="Book Antiqua"/>
          <w:color w:val="000000"/>
          <w:lang w:val="en-US"/>
        </w:rPr>
      </w:pPr>
      <w:r w:rsidRPr="00AA2A35">
        <w:rPr>
          <w:rFonts w:ascii="Book Antiqua" w:hAnsi="Book Antiqua"/>
          <w:color w:val="000000"/>
          <w:lang w:val="en-US"/>
        </w:rPr>
        <w:t xml:space="preserve">By means of flow cytometry, production </w:t>
      </w:r>
      <w:r w:rsidR="00D05110" w:rsidRPr="00AA2A35">
        <w:rPr>
          <w:rFonts w:ascii="Book Antiqua" w:hAnsi="Book Antiqua"/>
          <w:color w:val="000000"/>
          <w:lang w:val="en-US"/>
        </w:rPr>
        <w:t xml:space="preserve">of </w:t>
      </w:r>
      <w:r w:rsidR="00AF13E3" w:rsidRPr="00AA2A35">
        <w:rPr>
          <w:rFonts w:ascii="Book Antiqua" w:hAnsi="Book Antiqua"/>
          <w:color w:val="000000"/>
          <w:lang w:val="en-US"/>
        </w:rPr>
        <w:t>tumor necrosis fact</w:t>
      </w:r>
      <w:r w:rsidRPr="00AA2A35">
        <w:rPr>
          <w:rFonts w:ascii="Book Antiqua" w:hAnsi="Book Antiqua"/>
          <w:color w:val="000000"/>
          <w:lang w:val="en-US"/>
        </w:rPr>
        <w:t>or-alpha (TNF</w:t>
      </w:r>
      <w:r w:rsidRPr="00AA2A35">
        <w:rPr>
          <w:rFonts w:ascii="Times New Roman" w:hAnsi="Times New Roman"/>
          <w:color w:val="000000"/>
          <w:lang w:val="en-US"/>
        </w:rPr>
        <w:t>α</w:t>
      </w:r>
      <w:r w:rsidRPr="00AA2A35">
        <w:rPr>
          <w:rFonts w:ascii="Book Antiqua" w:hAnsi="Book Antiqua"/>
          <w:color w:val="000000"/>
          <w:lang w:val="en-US"/>
        </w:rPr>
        <w:t xml:space="preserve">) was measured in peripheral blood monocytes from patients suffering from </w:t>
      </w:r>
      <w:r w:rsidR="00D14265" w:rsidRPr="00AA2A35">
        <w:rPr>
          <w:rFonts w:ascii="Book Antiqua" w:hAnsi="Book Antiqua"/>
          <w:color w:val="000000"/>
          <w:lang w:val="en-US"/>
        </w:rPr>
        <w:t>CD</w:t>
      </w:r>
      <w:r w:rsidRPr="00AA2A35">
        <w:rPr>
          <w:rFonts w:ascii="Book Antiqua" w:hAnsi="Book Antiqua"/>
          <w:color w:val="000000"/>
          <w:lang w:val="en-US"/>
        </w:rPr>
        <w:t xml:space="preserve">, </w:t>
      </w:r>
      <w:r w:rsidR="00D14265" w:rsidRPr="00AA2A35">
        <w:rPr>
          <w:rFonts w:ascii="Book Antiqua" w:hAnsi="Book Antiqua"/>
          <w:color w:val="000000"/>
          <w:lang w:val="en-US"/>
        </w:rPr>
        <w:t>ulcerative colit</w:t>
      </w:r>
      <w:r w:rsidRPr="00AA2A35">
        <w:rPr>
          <w:rFonts w:ascii="Book Antiqua" w:hAnsi="Book Antiqua"/>
          <w:color w:val="000000"/>
          <w:lang w:val="en-US"/>
        </w:rPr>
        <w:t>is (UC) and in healthy subjects after stimulation of the NOD2 and TLR pathways.</w:t>
      </w:r>
      <w:r w:rsidR="00D14265" w:rsidRPr="00AA2A35">
        <w:rPr>
          <w:rFonts w:ascii="Book Antiqua" w:eastAsiaTheme="minorEastAsia" w:hAnsi="Book Antiqua" w:hint="eastAsia"/>
          <w:color w:val="000000"/>
          <w:lang w:val="en-US" w:eastAsia="zh-CN"/>
        </w:rPr>
        <w:t xml:space="preserve"> </w:t>
      </w:r>
      <w:r w:rsidRPr="00AA2A35">
        <w:rPr>
          <w:rFonts w:ascii="Book Antiqua" w:hAnsi="Book Antiqua"/>
          <w:color w:val="000000"/>
          <w:lang w:val="en-US"/>
        </w:rPr>
        <w:t xml:space="preserve">CD patients were genotyped for the three most common </w:t>
      </w:r>
      <w:r w:rsidRPr="00AA2A35">
        <w:rPr>
          <w:rFonts w:ascii="Book Antiqua" w:hAnsi="Book Antiqua"/>
          <w:i/>
          <w:color w:val="000000"/>
          <w:lang w:val="en-US"/>
        </w:rPr>
        <w:t>NOD2</w:t>
      </w:r>
      <w:r w:rsidRPr="00AA2A35">
        <w:rPr>
          <w:rFonts w:ascii="Book Antiqua" w:hAnsi="Book Antiqua"/>
          <w:color w:val="000000"/>
          <w:lang w:val="en-US"/>
        </w:rPr>
        <w:t xml:space="preserve"> variants (R702W, G908R and L1007Pfs*2) and basal production of TNF</w:t>
      </w:r>
      <w:r w:rsidRPr="00AA2A35">
        <w:rPr>
          <w:rFonts w:ascii="Times New Roman" w:hAnsi="Times New Roman"/>
          <w:color w:val="000000"/>
          <w:lang w:val="en-US"/>
        </w:rPr>
        <w:t>α</w:t>
      </w:r>
      <w:r w:rsidRPr="00AA2A35">
        <w:rPr>
          <w:rFonts w:ascii="Book Antiqua" w:hAnsi="Book Antiqua"/>
          <w:color w:val="000000"/>
          <w:lang w:val="en-US"/>
        </w:rPr>
        <w:t xml:space="preserve"> was correlated to </w:t>
      </w:r>
      <w:r w:rsidRPr="00AA2A35">
        <w:rPr>
          <w:rFonts w:ascii="Book Antiqua" w:hAnsi="Book Antiqua"/>
          <w:i/>
          <w:color w:val="000000"/>
          <w:lang w:val="en-US"/>
        </w:rPr>
        <w:t>NOD2</w:t>
      </w:r>
      <w:r w:rsidRPr="00AA2A35">
        <w:rPr>
          <w:rFonts w:ascii="Book Antiqua" w:hAnsi="Book Antiqua"/>
          <w:color w:val="000000"/>
          <w:lang w:val="en-US"/>
        </w:rPr>
        <w:t xml:space="preserve"> genotype. Also, production of TNF</w:t>
      </w:r>
      <w:r w:rsidRPr="00AA2A35">
        <w:rPr>
          <w:rFonts w:ascii="Times New Roman" w:hAnsi="Times New Roman"/>
          <w:color w:val="000000"/>
          <w:lang w:val="en-US"/>
        </w:rPr>
        <w:t>α</w:t>
      </w:r>
      <w:r w:rsidRPr="00AA2A35">
        <w:rPr>
          <w:rFonts w:ascii="Book Antiqua" w:hAnsi="Book Antiqua"/>
          <w:color w:val="000000"/>
          <w:lang w:val="en-US"/>
        </w:rPr>
        <w:t xml:space="preserve"> was correlated to plasmatic levels of LPS Binding Protein (LBP), soluble (s)</w:t>
      </w:r>
      <w:r w:rsidR="00D14265" w:rsidRPr="00AA2A35">
        <w:rPr>
          <w:rFonts w:ascii="Book Antiqua" w:eastAsiaTheme="minorEastAsia" w:hAnsi="Book Antiqua" w:hint="eastAsia"/>
          <w:color w:val="000000"/>
          <w:lang w:val="en-US" w:eastAsia="zh-CN"/>
        </w:rPr>
        <w:t xml:space="preserve"> </w:t>
      </w:r>
      <w:r w:rsidRPr="00AA2A35">
        <w:rPr>
          <w:rFonts w:ascii="Book Antiqua" w:hAnsi="Book Antiqua"/>
          <w:color w:val="000000"/>
          <w:lang w:val="en-US"/>
        </w:rPr>
        <w:t xml:space="preserve">CD14 and to </w:t>
      </w:r>
      <w:r w:rsidR="00015CA5" w:rsidRPr="00AA2A35">
        <w:rPr>
          <w:rFonts w:ascii="Book Antiqua" w:hAnsi="Book Antiqua"/>
          <w:color w:val="000000"/>
          <w:lang w:val="en-US"/>
        </w:rPr>
        <w:t xml:space="preserve">the activity </w:t>
      </w:r>
      <w:r w:rsidRPr="00AA2A35">
        <w:rPr>
          <w:rFonts w:ascii="Book Antiqua" w:hAnsi="Book Antiqua"/>
          <w:color w:val="000000"/>
          <w:lang w:val="en-US"/>
        </w:rPr>
        <w:t>state of the disease.</w:t>
      </w:r>
    </w:p>
    <w:p w14:paraId="6EA2AA4A" w14:textId="77777777" w:rsidR="00D44C96" w:rsidRPr="00AA2A35" w:rsidRDefault="00D44C96" w:rsidP="00D14265">
      <w:pPr>
        <w:spacing w:line="360" w:lineRule="auto"/>
        <w:jc w:val="both"/>
        <w:rPr>
          <w:rFonts w:ascii="Book Antiqua" w:hAnsi="Book Antiqua"/>
          <w:color w:val="000000"/>
          <w:lang w:val="en-US"/>
        </w:rPr>
      </w:pPr>
    </w:p>
    <w:p w14:paraId="7128CE82" w14:textId="77777777" w:rsidR="00D14265" w:rsidRPr="00AA2A35" w:rsidRDefault="00D44C96" w:rsidP="00D14265">
      <w:pPr>
        <w:spacing w:line="360" w:lineRule="auto"/>
        <w:jc w:val="both"/>
        <w:rPr>
          <w:rFonts w:ascii="Book Antiqua" w:eastAsiaTheme="minorEastAsia" w:hAnsi="Book Antiqua"/>
          <w:i/>
          <w:color w:val="000000"/>
          <w:lang w:val="en-US" w:eastAsia="zh-CN"/>
        </w:rPr>
      </w:pPr>
      <w:r w:rsidRPr="00AA2A35">
        <w:rPr>
          <w:rFonts w:ascii="Book Antiqua" w:hAnsi="Book Antiqua"/>
          <w:b/>
          <w:i/>
          <w:color w:val="000000"/>
          <w:lang w:val="en-US"/>
        </w:rPr>
        <w:t>RESULTS</w:t>
      </w:r>
    </w:p>
    <w:p w14:paraId="7C8C6609" w14:textId="7278B720" w:rsidR="00D44C96" w:rsidRPr="00AA2A35" w:rsidRDefault="00D44C96" w:rsidP="00D14265">
      <w:pPr>
        <w:spacing w:line="360" w:lineRule="auto"/>
        <w:jc w:val="both"/>
        <w:rPr>
          <w:rFonts w:ascii="Book Antiqua" w:hAnsi="Book Antiqua"/>
          <w:color w:val="000000"/>
          <w:lang w:val="en-US"/>
        </w:rPr>
      </w:pPr>
      <w:r w:rsidRPr="00AA2A35">
        <w:rPr>
          <w:rFonts w:ascii="Book Antiqua" w:hAnsi="Book Antiqua"/>
          <w:color w:val="000000"/>
          <w:lang w:val="en-US"/>
        </w:rPr>
        <w:t>The patients with CD were characterized by a significantly higher monocyte basal expression of TNF</w:t>
      </w:r>
      <w:r w:rsidRPr="00AA2A35">
        <w:rPr>
          <w:rFonts w:ascii="Times New Roman" w:hAnsi="Times New Roman"/>
          <w:color w:val="000000"/>
          <w:lang w:val="en-US"/>
        </w:rPr>
        <w:t>α</w:t>
      </w:r>
      <w:r w:rsidRPr="00AA2A35">
        <w:rPr>
          <w:rFonts w:ascii="Book Antiqua" w:hAnsi="Book Antiqua"/>
          <w:color w:val="000000"/>
          <w:lang w:val="en-US"/>
        </w:rPr>
        <w:t xml:space="preserve"> compared with healthy subjects and UC patients, and after stimulation with </w:t>
      </w:r>
      <w:r w:rsidRPr="00AA2A35">
        <w:rPr>
          <w:rFonts w:ascii="Book Antiqua" w:hAnsi="Book Antiqua"/>
          <w:lang w:val="en-US"/>
        </w:rPr>
        <w:t>Pam</w:t>
      </w:r>
      <w:r w:rsidRPr="00AA2A35">
        <w:rPr>
          <w:rFonts w:ascii="Book Antiqua" w:hAnsi="Book Antiqua"/>
          <w:vertAlign w:val="subscript"/>
          <w:lang w:val="en-US"/>
        </w:rPr>
        <w:t>3</w:t>
      </w:r>
      <w:r w:rsidRPr="00AA2A35">
        <w:rPr>
          <w:rFonts w:ascii="Book Antiqua" w:hAnsi="Book Antiqua"/>
          <w:lang w:val="en-US"/>
        </w:rPr>
        <w:t>CSK</w:t>
      </w:r>
      <w:r w:rsidRPr="00AA2A35">
        <w:rPr>
          <w:rFonts w:ascii="Book Antiqua" w:hAnsi="Book Antiqua"/>
          <w:vertAlign w:val="subscript"/>
          <w:lang w:val="en-US"/>
        </w:rPr>
        <w:t>4</w:t>
      </w:r>
      <w:r w:rsidRPr="00AA2A35">
        <w:rPr>
          <w:rFonts w:ascii="Book Antiqua" w:hAnsi="Book Antiqua"/>
          <w:lang w:val="en-US"/>
        </w:rPr>
        <w:t xml:space="preserve"> </w:t>
      </w:r>
      <w:r w:rsidRPr="00AA2A35">
        <w:rPr>
          <w:rFonts w:ascii="Book Antiqua" w:hAnsi="Book Antiqua"/>
          <w:color w:val="000000"/>
          <w:lang w:val="en-US"/>
        </w:rPr>
        <w:t xml:space="preserve">(ligand of TLR2/1) </w:t>
      </w:r>
      <w:r w:rsidR="005D6A95" w:rsidRPr="00AA2A35">
        <w:rPr>
          <w:rFonts w:ascii="Book Antiqua" w:hAnsi="Book Antiqua"/>
          <w:color w:val="000000"/>
          <w:lang w:val="en-US"/>
        </w:rPr>
        <w:t>and MDP-L18 (ligand of NOD2) this</w:t>
      </w:r>
      <w:r w:rsidRPr="00AA2A35">
        <w:rPr>
          <w:rFonts w:ascii="Book Antiqua" w:hAnsi="Book Antiqua"/>
          <w:color w:val="000000"/>
          <w:lang w:val="en-US"/>
        </w:rPr>
        <w:t xml:space="preserve"> difference was maintained, while other microbial stimuli (LPS, ligand of TLR4 and </w:t>
      </w:r>
      <w:r w:rsidRPr="00AA2A35">
        <w:rPr>
          <w:rFonts w:ascii="Book Antiqua" w:hAnsi="Book Antiqua"/>
          <w:lang w:val="en-US"/>
        </w:rPr>
        <w:t>PolyI:C, ligand of TLR3) induced massive activation in CD monocytes as well as in UC and in healthy control cells.</w:t>
      </w:r>
      <w:r w:rsidRPr="00AA2A35">
        <w:rPr>
          <w:rFonts w:ascii="Book Antiqua" w:hAnsi="Book Antiqua"/>
          <w:color w:val="000000"/>
          <w:lang w:val="en-US"/>
        </w:rPr>
        <w:t xml:space="preserve"> There was no significant difference in the production of TNF</w:t>
      </w:r>
      <w:r w:rsidRPr="00AA2A35">
        <w:rPr>
          <w:rFonts w:ascii="Times New Roman" w:hAnsi="Times New Roman"/>
          <w:color w:val="000000"/>
          <w:lang w:val="en-US"/>
        </w:rPr>
        <w:t>α</w:t>
      </w:r>
      <w:r w:rsidRPr="00AA2A35">
        <w:rPr>
          <w:rFonts w:ascii="Book Antiqua" w:hAnsi="Book Antiqua"/>
          <w:color w:val="000000"/>
          <w:lang w:val="en-US"/>
        </w:rPr>
        <w:t xml:space="preserve"> between patients who carried CD-associated heterozygous or homozygous variants in </w:t>
      </w:r>
      <w:r w:rsidRPr="00AA2A35">
        <w:rPr>
          <w:rFonts w:ascii="Book Antiqua" w:hAnsi="Book Antiqua"/>
          <w:i/>
          <w:color w:val="000000"/>
          <w:lang w:val="en-US"/>
        </w:rPr>
        <w:t>NOD2</w:t>
      </w:r>
      <w:r w:rsidRPr="00AA2A35">
        <w:rPr>
          <w:rFonts w:ascii="Book Antiqua" w:hAnsi="Book Antiqua"/>
          <w:color w:val="000000"/>
          <w:lang w:val="en-US"/>
        </w:rPr>
        <w:t xml:space="preserve"> and patients with wild type </w:t>
      </w:r>
      <w:r w:rsidRPr="00AA2A35">
        <w:rPr>
          <w:rFonts w:ascii="Book Antiqua" w:hAnsi="Book Antiqua"/>
          <w:i/>
          <w:color w:val="000000"/>
          <w:lang w:val="en-US"/>
        </w:rPr>
        <w:t>NOD2</w:t>
      </w:r>
      <w:r w:rsidRPr="00AA2A35">
        <w:rPr>
          <w:rFonts w:ascii="Book Antiqua" w:hAnsi="Book Antiqua"/>
          <w:color w:val="000000"/>
          <w:lang w:val="en-US"/>
        </w:rPr>
        <w:t xml:space="preserve"> genotype. Although serum LBP levels</w:t>
      </w:r>
      <w:r w:rsidR="00682392" w:rsidRPr="00AA2A35">
        <w:rPr>
          <w:rFonts w:ascii="Book Antiqua" w:hAnsi="Book Antiqua"/>
          <w:color w:val="000000"/>
          <w:lang w:val="en-US"/>
        </w:rPr>
        <w:t xml:space="preserve"> have been shown to</w:t>
      </w:r>
      <w:r w:rsidRPr="00AA2A35">
        <w:rPr>
          <w:rFonts w:ascii="Book Antiqua" w:hAnsi="Book Antiqua"/>
          <w:color w:val="000000"/>
          <w:lang w:val="en-US"/>
        </w:rPr>
        <w:t xml:space="preserve"> correlate </w:t>
      </w:r>
      <w:r w:rsidR="00682392" w:rsidRPr="00AA2A35">
        <w:rPr>
          <w:rFonts w:ascii="Book Antiqua" w:hAnsi="Book Antiqua"/>
          <w:color w:val="000000"/>
          <w:lang w:val="en-US"/>
        </w:rPr>
        <w:t xml:space="preserve">positively </w:t>
      </w:r>
      <w:r w:rsidRPr="00AA2A35">
        <w:rPr>
          <w:rFonts w:ascii="Book Antiqua" w:hAnsi="Book Antiqua"/>
          <w:color w:val="000000"/>
          <w:lang w:val="en-US"/>
        </w:rPr>
        <w:t>with the state of activity of the disease, TNF</w:t>
      </w:r>
      <w:r w:rsidRPr="00AA2A35">
        <w:rPr>
          <w:rFonts w:ascii="Times New Roman" w:hAnsi="Times New Roman"/>
          <w:color w:val="000000"/>
          <w:lang w:val="en-US"/>
        </w:rPr>
        <w:t>α</w:t>
      </w:r>
      <w:r w:rsidRPr="00AA2A35">
        <w:rPr>
          <w:rFonts w:ascii="Book Antiqua" w:hAnsi="Book Antiqua"/>
          <w:color w:val="000000"/>
          <w:lang w:val="en-US"/>
        </w:rPr>
        <w:t xml:space="preserve"> production did not show a clear correlation with either LBP or sCD14 levels in plasma. Moreover, no clear correlation was seen between TNFα production and activity </w:t>
      </w:r>
      <w:r w:rsidR="001001AC" w:rsidRPr="00AA2A35">
        <w:rPr>
          <w:rFonts w:ascii="Book Antiqua" w:hAnsi="Book Antiqua"/>
          <w:color w:val="000000"/>
          <w:lang w:val="en-US"/>
        </w:rPr>
        <w:t>indices</w:t>
      </w:r>
      <w:r w:rsidRPr="00AA2A35">
        <w:rPr>
          <w:rFonts w:ascii="Book Antiqua" w:hAnsi="Book Antiqua"/>
          <w:color w:val="000000"/>
          <w:lang w:val="en-US"/>
        </w:rPr>
        <w:t xml:space="preserve"> </w:t>
      </w:r>
      <w:r w:rsidR="008B7751" w:rsidRPr="00AA2A35">
        <w:rPr>
          <w:rFonts w:ascii="Book Antiqua" w:hAnsi="Book Antiqua"/>
          <w:color w:val="000000"/>
          <w:lang w:val="en-US"/>
        </w:rPr>
        <w:t xml:space="preserve">in either </w:t>
      </w:r>
      <w:r w:rsidRPr="00AA2A35">
        <w:rPr>
          <w:rFonts w:ascii="Book Antiqua" w:hAnsi="Book Antiqua"/>
          <w:color w:val="000000"/>
          <w:lang w:val="en-US"/>
        </w:rPr>
        <w:t>CD or UC.</w:t>
      </w:r>
    </w:p>
    <w:p w14:paraId="313350EB" w14:textId="77777777" w:rsidR="00D44C96" w:rsidRPr="00AA2A35" w:rsidRDefault="00D44C96" w:rsidP="00D14265">
      <w:pPr>
        <w:spacing w:line="360" w:lineRule="auto"/>
        <w:jc w:val="both"/>
        <w:rPr>
          <w:rFonts w:ascii="Book Antiqua" w:hAnsi="Book Antiqua"/>
          <w:color w:val="000000"/>
          <w:lang w:val="en-US"/>
        </w:rPr>
      </w:pPr>
    </w:p>
    <w:p w14:paraId="6E078CB6" w14:textId="77777777" w:rsidR="00D14265" w:rsidRPr="00AA2A35" w:rsidRDefault="00D44C96" w:rsidP="00D14265">
      <w:pPr>
        <w:spacing w:line="360" w:lineRule="auto"/>
        <w:jc w:val="both"/>
        <w:rPr>
          <w:rFonts w:ascii="Book Antiqua" w:eastAsiaTheme="minorEastAsia" w:hAnsi="Book Antiqua"/>
          <w:i/>
          <w:color w:val="000000"/>
          <w:lang w:val="en-US" w:eastAsia="zh-CN"/>
        </w:rPr>
      </w:pPr>
      <w:r w:rsidRPr="00AA2A35">
        <w:rPr>
          <w:rFonts w:ascii="Book Antiqua" w:hAnsi="Book Antiqua"/>
          <w:b/>
          <w:i/>
          <w:color w:val="000000"/>
          <w:lang w:val="en-US"/>
        </w:rPr>
        <w:t>CONCLUSION</w:t>
      </w:r>
    </w:p>
    <w:p w14:paraId="18B425B5" w14:textId="32AE1F40" w:rsidR="00D44C96" w:rsidRPr="00AA2A35" w:rsidRDefault="00D44C96" w:rsidP="00D14265">
      <w:pPr>
        <w:spacing w:line="360" w:lineRule="auto"/>
        <w:jc w:val="both"/>
        <w:rPr>
          <w:rFonts w:ascii="Book Antiqua" w:hAnsi="Book Antiqua"/>
          <w:color w:val="000000"/>
          <w:lang w:val="en-US"/>
        </w:rPr>
      </w:pPr>
      <w:r w:rsidRPr="00AA2A35">
        <w:rPr>
          <w:rFonts w:ascii="Book Antiqua" w:hAnsi="Book Antiqua"/>
          <w:color w:val="000000"/>
          <w:lang w:val="en-US"/>
        </w:rPr>
        <w:t>Peripheral monocytes from CD express higher basal and stimulated TNF</w:t>
      </w:r>
      <w:r w:rsidRPr="00AA2A35">
        <w:rPr>
          <w:rFonts w:ascii="Times New Roman" w:hAnsi="Times New Roman"/>
          <w:color w:val="000000"/>
          <w:lang w:val="en-US"/>
        </w:rPr>
        <w:t>α</w:t>
      </w:r>
      <w:r w:rsidRPr="00AA2A35">
        <w:rPr>
          <w:rFonts w:ascii="Book Antiqua" w:hAnsi="Book Antiqua"/>
          <w:color w:val="000000"/>
          <w:lang w:val="en-US"/>
        </w:rPr>
        <w:t xml:space="preserve"> than controls, regardless of </w:t>
      </w:r>
      <w:r w:rsidRPr="00AA2A35">
        <w:rPr>
          <w:rFonts w:ascii="Book Antiqua" w:hAnsi="Book Antiqua"/>
          <w:i/>
          <w:color w:val="000000"/>
          <w:lang w:val="en-US"/>
        </w:rPr>
        <w:t>NOD2</w:t>
      </w:r>
      <w:r w:rsidRPr="00AA2A35">
        <w:rPr>
          <w:rFonts w:ascii="Book Antiqua" w:hAnsi="Book Antiqua"/>
          <w:color w:val="000000"/>
          <w:lang w:val="en-US"/>
        </w:rPr>
        <w:t xml:space="preserve"> genotype and </w:t>
      </w:r>
      <w:r w:rsidRPr="00AA2A35">
        <w:rPr>
          <w:rFonts w:ascii="Book Antiqua" w:hAnsi="Book Antiqua"/>
          <w:lang w:val="en-US"/>
        </w:rPr>
        <w:t>without a clear correlation</w:t>
      </w:r>
      <w:r w:rsidRPr="00AA2A35">
        <w:rPr>
          <w:rFonts w:ascii="Book Antiqua" w:hAnsi="Book Antiqua"/>
          <w:color w:val="000000"/>
          <w:lang w:val="en-US"/>
        </w:rPr>
        <w:t xml:space="preserve"> with disease activity.</w:t>
      </w:r>
    </w:p>
    <w:p w14:paraId="52175E87" w14:textId="77777777" w:rsidR="00D44C96" w:rsidRPr="00AA2A35" w:rsidRDefault="00D44C96" w:rsidP="00D14265">
      <w:pPr>
        <w:spacing w:line="360" w:lineRule="auto"/>
        <w:jc w:val="both"/>
        <w:rPr>
          <w:rFonts w:ascii="Book Antiqua" w:hAnsi="Book Antiqua"/>
          <w:color w:val="000000"/>
          <w:lang w:val="en-US"/>
        </w:rPr>
      </w:pPr>
    </w:p>
    <w:p w14:paraId="65924FB6" w14:textId="2D5A18BC" w:rsidR="00D44C96" w:rsidRPr="00AA2A35" w:rsidRDefault="00D44C96" w:rsidP="00D14265">
      <w:pPr>
        <w:spacing w:line="360" w:lineRule="auto"/>
        <w:jc w:val="both"/>
        <w:rPr>
          <w:rFonts w:ascii="Book Antiqua" w:eastAsiaTheme="minorEastAsia" w:hAnsi="Book Antiqua"/>
          <w:color w:val="000000"/>
          <w:lang w:val="en-US" w:eastAsia="zh-CN"/>
        </w:rPr>
      </w:pPr>
      <w:r w:rsidRPr="00AA2A35">
        <w:rPr>
          <w:rFonts w:ascii="Book Antiqua" w:hAnsi="Book Antiqua"/>
          <w:b/>
          <w:color w:val="000000"/>
          <w:lang w:val="en-US"/>
        </w:rPr>
        <w:lastRenderedPageBreak/>
        <w:t>Key words</w:t>
      </w:r>
      <w:r w:rsidRPr="00AA2A35">
        <w:rPr>
          <w:rFonts w:ascii="Book Antiqua" w:hAnsi="Book Antiqua"/>
          <w:color w:val="000000"/>
          <w:lang w:val="en-US"/>
        </w:rPr>
        <w:t xml:space="preserve">: Crohn’s </w:t>
      </w:r>
      <w:r w:rsidR="00D14265" w:rsidRPr="00AA2A35">
        <w:rPr>
          <w:rFonts w:ascii="Book Antiqua" w:hAnsi="Book Antiqua"/>
          <w:color w:val="000000"/>
          <w:lang w:val="en-US"/>
        </w:rPr>
        <w:t>disease</w:t>
      </w:r>
      <w:r w:rsidRPr="00AA2A35">
        <w:rPr>
          <w:rFonts w:ascii="Book Antiqua" w:hAnsi="Book Antiqua"/>
          <w:color w:val="000000"/>
          <w:lang w:val="en-US"/>
        </w:rPr>
        <w:t xml:space="preserve">; Ulcerative </w:t>
      </w:r>
      <w:r w:rsidR="00D14265" w:rsidRPr="00AA2A35">
        <w:rPr>
          <w:rFonts w:ascii="Book Antiqua" w:hAnsi="Book Antiqua"/>
          <w:color w:val="000000"/>
          <w:lang w:val="en-US"/>
        </w:rPr>
        <w:t>colitis</w:t>
      </w:r>
      <w:r w:rsidRPr="00AA2A35">
        <w:rPr>
          <w:rFonts w:ascii="Book Antiqua" w:hAnsi="Book Antiqua"/>
          <w:color w:val="000000"/>
          <w:lang w:val="en-US"/>
        </w:rPr>
        <w:t>; TNF</w:t>
      </w:r>
      <w:r w:rsidRPr="00AA2A35">
        <w:rPr>
          <w:rFonts w:ascii="Times New Roman" w:hAnsi="Times New Roman"/>
          <w:color w:val="000000"/>
          <w:lang w:val="en-US"/>
        </w:rPr>
        <w:t>α</w:t>
      </w:r>
      <w:r w:rsidRPr="00AA2A35">
        <w:rPr>
          <w:rFonts w:ascii="Book Antiqua" w:hAnsi="Book Antiqua"/>
          <w:color w:val="000000"/>
          <w:lang w:val="en-US"/>
        </w:rPr>
        <w:t xml:space="preserve">; </w:t>
      </w:r>
      <w:r w:rsidRPr="00AA2A35">
        <w:rPr>
          <w:rFonts w:ascii="Book Antiqua" w:hAnsi="Book Antiqua"/>
          <w:i/>
          <w:color w:val="000000"/>
          <w:lang w:val="en-US"/>
        </w:rPr>
        <w:t>NOD2</w:t>
      </w:r>
      <w:r w:rsidRPr="00AA2A35">
        <w:rPr>
          <w:rFonts w:ascii="Book Antiqua" w:hAnsi="Book Antiqua"/>
          <w:color w:val="000000"/>
          <w:lang w:val="en-US"/>
        </w:rPr>
        <w:t xml:space="preserve"> variants; Toll Like receptors; Dysbiosis; Activity index; LPS-binding protein</w:t>
      </w:r>
    </w:p>
    <w:p w14:paraId="37213BC1" w14:textId="77777777" w:rsidR="00D14265" w:rsidRPr="00AA2A35" w:rsidRDefault="00D14265" w:rsidP="00D14265">
      <w:pPr>
        <w:spacing w:line="360" w:lineRule="auto"/>
        <w:jc w:val="both"/>
        <w:rPr>
          <w:rFonts w:ascii="Book Antiqua" w:eastAsiaTheme="minorEastAsia" w:hAnsi="Book Antiqua"/>
          <w:color w:val="000000"/>
          <w:lang w:val="en-US" w:eastAsia="zh-CN"/>
        </w:rPr>
      </w:pPr>
    </w:p>
    <w:p w14:paraId="23CAD384" w14:textId="77777777" w:rsidR="00D14265" w:rsidRPr="00AA2A35" w:rsidRDefault="00D14265" w:rsidP="00D14265">
      <w:pPr>
        <w:spacing w:line="360" w:lineRule="auto"/>
        <w:rPr>
          <w:rFonts w:ascii="Book Antiqua" w:hAnsi="Book Antiqua" w:cs="Arial"/>
        </w:rPr>
      </w:pPr>
      <w:bookmarkStart w:id="19" w:name="OLE_LINK55"/>
      <w:bookmarkStart w:id="20" w:name="OLE_LINK56"/>
      <w:bookmarkStart w:id="21" w:name="OLE_LINK105"/>
      <w:bookmarkStart w:id="22" w:name="OLE_LINK116"/>
      <w:bookmarkStart w:id="23" w:name="OLE_LINK89"/>
      <w:r w:rsidRPr="00AA2A35">
        <w:rPr>
          <w:rFonts w:ascii="Book Antiqua" w:hAnsi="Book Antiqua"/>
          <w:b/>
        </w:rPr>
        <w:t>©</w:t>
      </w:r>
      <w:bookmarkEnd w:id="19"/>
      <w:bookmarkEnd w:id="20"/>
      <w:r w:rsidRPr="00AA2A35">
        <w:rPr>
          <w:rFonts w:ascii="Book Antiqua" w:hAnsi="Book Antiqua" w:hint="eastAsia"/>
          <w:b/>
        </w:rPr>
        <w:t xml:space="preserve"> </w:t>
      </w:r>
      <w:r w:rsidRPr="00AA2A35">
        <w:rPr>
          <w:rFonts w:ascii="Book Antiqua" w:hAnsi="Book Antiqua" w:cs="Arial"/>
          <w:b/>
        </w:rPr>
        <w:t>The Author(s) 201</w:t>
      </w:r>
      <w:r w:rsidRPr="00AA2A35">
        <w:rPr>
          <w:rFonts w:ascii="Book Antiqua" w:hAnsi="Book Antiqua" w:cs="Arial" w:hint="eastAsia"/>
          <w:b/>
        </w:rPr>
        <w:t>6</w:t>
      </w:r>
      <w:r w:rsidRPr="00AA2A35">
        <w:rPr>
          <w:rFonts w:ascii="Book Antiqua" w:hAnsi="Book Antiqua" w:cs="Arial"/>
          <w:b/>
        </w:rPr>
        <w:t xml:space="preserve">. </w:t>
      </w:r>
      <w:r w:rsidRPr="00AA2A35">
        <w:rPr>
          <w:rFonts w:ascii="Book Antiqua" w:hAnsi="Book Antiqua" w:cs="Arial"/>
        </w:rPr>
        <w:t>Published by Baishideng Publishing Group Inc. All rights reserved.</w:t>
      </w:r>
    </w:p>
    <w:bookmarkEnd w:id="21"/>
    <w:bookmarkEnd w:id="22"/>
    <w:bookmarkEnd w:id="23"/>
    <w:p w14:paraId="3908DDD2" w14:textId="77777777" w:rsidR="00D44C96" w:rsidRPr="00AA2A35" w:rsidRDefault="00D44C96" w:rsidP="00D14265">
      <w:pPr>
        <w:spacing w:line="360" w:lineRule="auto"/>
        <w:jc w:val="both"/>
        <w:rPr>
          <w:rFonts w:ascii="Book Antiqua" w:hAnsi="Book Antiqua"/>
          <w:color w:val="000000"/>
          <w:lang w:val="en-US"/>
        </w:rPr>
      </w:pPr>
    </w:p>
    <w:p w14:paraId="12512FCA" w14:textId="2D9130D1" w:rsidR="00D44C96" w:rsidRPr="00AA2A35" w:rsidRDefault="00D44C96" w:rsidP="00D14265">
      <w:pPr>
        <w:spacing w:line="360" w:lineRule="auto"/>
        <w:jc w:val="both"/>
        <w:rPr>
          <w:rFonts w:ascii="Book Antiqua" w:hAnsi="Book Antiqua"/>
          <w:color w:val="000000"/>
          <w:lang w:val="en-US"/>
        </w:rPr>
      </w:pPr>
      <w:r w:rsidRPr="00AA2A35">
        <w:rPr>
          <w:rFonts w:ascii="Book Antiqua" w:hAnsi="Book Antiqua"/>
          <w:b/>
          <w:color w:val="000000"/>
          <w:lang w:val="en-US"/>
        </w:rPr>
        <w:t>Core tip</w:t>
      </w:r>
      <w:r w:rsidRPr="00AA2A35">
        <w:rPr>
          <w:rFonts w:ascii="Book Antiqua" w:hAnsi="Book Antiqua"/>
          <w:color w:val="000000"/>
          <w:lang w:val="en-US"/>
        </w:rPr>
        <w:t>:</w:t>
      </w:r>
      <w:r w:rsidR="00D14265" w:rsidRPr="00AA2A35">
        <w:rPr>
          <w:rFonts w:ascii="Book Antiqua" w:eastAsiaTheme="minorEastAsia" w:hAnsi="Book Antiqua" w:hint="eastAsia"/>
          <w:color w:val="000000"/>
          <w:lang w:val="en-US" w:eastAsia="zh-CN"/>
        </w:rPr>
        <w:t xml:space="preserve"> </w:t>
      </w:r>
      <w:r w:rsidR="00D14265" w:rsidRPr="00AA2A35">
        <w:rPr>
          <w:rFonts w:ascii="Book Antiqua" w:hAnsi="Book Antiqua"/>
          <w:color w:val="000000"/>
          <w:lang w:val="en-US"/>
        </w:rPr>
        <w:t>Crohn’s disease (CD)</w:t>
      </w:r>
      <w:r w:rsidR="00D14265" w:rsidRPr="00AA2A35">
        <w:rPr>
          <w:rFonts w:ascii="Book Antiqua" w:eastAsiaTheme="minorEastAsia" w:hAnsi="Book Antiqua" w:hint="eastAsia"/>
          <w:color w:val="000000"/>
          <w:lang w:val="en-US" w:eastAsia="zh-CN"/>
        </w:rPr>
        <w:t xml:space="preserve"> </w:t>
      </w:r>
      <w:r w:rsidRPr="00AA2A35">
        <w:rPr>
          <w:rFonts w:ascii="Book Antiqua" w:hAnsi="Book Antiqua"/>
          <w:color w:val="000000"/>
          <w:lang w:val="en-US"/>
        </w:rPr>
        <w:t xml:space="preserve">is characterized by an aberrant activation of the mucosal immune system in genetically susceptible subjects, who often harbor variants in genes involved in the innate immunity. To study the integrity of innate immune response, the </w:t>
      </w:r>
      <w:r w:rsidR="00B30786" w:rsidRPr="00AA2A35">
        <w:rPr>
          <w:rFonts w:ascii="Book Antiqua" w:hAnsi="Book Antiqua"/>
          <w:color w:val="000000"/>
          <w:lang w:val="en-US"/>
        </w:rPr>
        <w:t>activity</w:t>
      </w:r>
      <w:r w:rsidRPr="00AA2A35">
        <w:rPr>
          <w:rFonts w:ascii="Book Antiqua" w:hAnsi="Book Antiqua"/>
          <w:color w:val="000000"/>
          <w:lang w:val="en-US"/>
        </w:rPr>
        <w:t xml:space="preserve"> of the TLR and NOD2 pathways was investigated, measuring TNF</w:t>
      </w:r>
      <w:r w:rsidRPr="00AA2A35">
        <w:rPr>
          <w:rFonts w:ascii="Times New Roman" w:hAnsi="Times New Roman"/>
          <w:color w:val="000000"/>
          <w:lang w:val="en-US"/>
        </w:rPr>
        <w:t>α</w:t>
      </w:r>
      <w:r w:rsidRPr="00AA2A35">
        <w:rPr>
          <w:rFonts w:ascii="Book Antiqua" w:hAnsi="Book Antiqua"/>
          <w:color w:val="000000"/>
          <w:lang w:val="en-US"/>
        </w:rPr>
        <w:t xml:space="preserve"> expression in peripheral blood monocytes.</w:t>
      </w:r>
      <w:r w:rsidR="00D14265" w:rsidRPr="00AA2A35">
        <w:rPr>
          <w:rFonts w:ascii="Book Antiqua" w:eastAsiaTheme="minorEastAsia" w:hAnsi="Book Antiqua" w:hint="eastAsia"/>
          <w:color w:val="000000"/>
          <w:lang w:val="en-US" w:eastAsia="zh-CN"/>
        </w:rPr>
        <w:t xml:space="preserve"> </w:t>
      </w:r>
      <w:r w:rsidR="00F46088" w:rsidRPr="00AA2A35">
        <w:rPr>
          <w:rFonts w:ascii="Book Antiqua" w:hAnsi="Book Antiqua"/>
          <w:color w:val="000000"/>
          <w:lang w:val="en-US"/>
        </w:rPr>
        <w:t xml:space="preserve">CD </w:t>
      </w:r>
      <w:r w:rsidRPr="00AA2A35">
        <w:rPr>
          <w:rFonts w:ascii="Book Antiqua" w:hAnsi="Book Antiqua"/>
          <w:color w:val="000000"/>
          <w:lang w:val="en-US"/>
        </w:rPr>
        <w:t>monocytes showed a higher production of TNF</w:t>
      </w:r>
      <w:r w:rsidRPr="00AA2A35">
        <w:rPr>
          <w:rFonts w:ascii="Times New Roman" w:hAnsi="Times New Roman"/>
          <w:color w:val="000000"/>
          <w:lang w:val="en-US"/>
        </w:rPr>
        <w:t>α</w:t>
      </w:r>
      <w:r w:rsidRPr="00AA2A35">
        <w:rPr>
          <w:rFonts w:ascii="Book Antiqua" w:hAnsi="Book Antiqua"/>
          <w:color w:val="000000"/>
          <w:lang w:val="en-US"/>
        </w:rPr>
        <w:t xml:space="preserve">, which was not clearly related to disease activity, to </w:t>
      </w:r>
      <w:r w:rsidRPr="00AA2A35">
        <w:rPr>
          <w:rFonts w:ascii="Book Antiqua" w:hAnsi="Book Antiqua"/>
          <w:i/>
          <w:color w:val="000000"/>
          <w:lang w:val="en-US"/>
        </w:rPr>
        <w:t>NOD2</w:t>
      </w:r>
      <w:r w:rsidRPr="00AA2A35">
        <w:rPr>
          <w:rFonts w:ascii="Book Antiqua" w:hAnsi="Book Antiqua"/>
          <w:color w:val="000000"/>
          <w:lang w:val="en-US"/>
        </w:rPr>
        <w:t xml:space="preserve"> genotype or to the presence of translocated bacteria (indirectly measured by serum LPS-binding protein), indicating that this TNF</w:t>
      </w:r>
      <w:r w:rsidRPr="00AA2A35">
        <w:rPr>
          <w:rFonts w:ascii="Times New Roman" w:hAnsi="Times New Roman"/>
          <w:color w:val="000000"/>
          <w:lang w:val="en-US"/>
        </w:rPr>
        <w:t>α</w:t>
      </w:r>
      <w:r w:rsidRPr="00AA2A35">
        <w:rPr>
          <w:rFonts w:ascii="Book Antiqua" w:hAnsi="Book Antiqua"/>
          <w:color w:val="000000"/>
          <w:lang w:val="en-US"/>
        </w:rPr>
        <w:t xml:space="preserve"> hyper-production may rely on a NOD2-independent pathway and is not due to systemic exposure to LPS.</w:t>
      </w:r>
    </w:p>
    <w:p w14:paraId="4FA31839" w14:textId="77777777" w:rsidR="00D44C96" w:rsidRPr="00AA2A35" w:rsidRDefault="00D44C96" w:rsidP="00D14265">
      <w:pPr>
        <w:spacing w:line="360" w:lineRule="auto"/>
        <w:jc w:val="both"/>
        <w:rPr>
          <w:rFonts w:ascii="Book Antiqua" w:hAnsi="Book Antiqua"/>
          <w:color w:val="000000"/>
          <w:lang w:val="en-US"/>
        </w:rPr>
      </w:pPr>
    </w:p>
    <w:p w14:paraId="6F45C2B3" w14:textId="624B462F" w:rsidR="00D14265" w:rsidRPr="00AA2A35" w:rsidRDefault="00D44C96" w:rsidP="00D14265">
      <w:pPr>
        <w:adjustRightInd w:val="0"/>
        <w:snapToGrid w:val="0"/>
        <w:spacing w:line="360" w:lineRule="auto"/>
        <w:ind w:rightChars="-506" w:right="-1214"/>
        <w:rPr>
          <w:rFonts w:ascii="Book Antiqua" w:hAnsi="Book Antiqua"/>
        </w:rPr>
      </w:pPr>
      <w:r w:rsidRPr="00AA2A35">
        <w:rPr>
          <w:rFonts w:ascii="Book Antiqua" w:hAnsi="Book Antiqua"/>
          <w:color w:val="000000"/>
          <w:lang w:val="en-US"/>
        </w:rPr>
        <w:t xml:space="preserve">Loganes C, Pin A, Naviglio S, Girardelli M, Bianco AM, Martelossi S, Tommasini A, Piscianz E. </w:t>
      </w:r>
      <w:r w:rsidR="00D14265" w:rsidRPr="00AA2A35">
        <w:rPr>
          <w:rFonts w:ascii="Book Antiqua" w:hAnsi="Book Antiqua"/>
          <w:color w:val="000000"/>
          <w:lang w:val="en-US"/>
        </w:rPr>
        <w:t>Altered pattern of tumor necrosis factor-alpha production in peripheral blood monocytes from Crohn’s disease</w:t>
      </w:r>
      <w:r w:rsidR="00D14265" w:rsidRPr="00AA2A35">
        <w:rPr>
          <w:rFonts w:ascii="Book Antiqua" w:eastAsiaTheme="minorEastAsia" w:hAnsi="Book Antiqua" w:hint="eastAsia"/>
          <w:color w:val="000000"/>
          <w:lang w:val="en-US" w:eastAsia="zh-CN"/>
        </w:rPr>
        <w:t>.</w:t>
      </w:r>
      <w:bookmarkStart w:id="24" w:name="OLE_LINK424"/>
      <w:bookmarkStart w:id="25" w:name="OLE_LINK425"/>
      <w:r w:rsidR="00D14265" w:rsidRPr="00AA2A35">
        <w:rPr>
          <w:rFonts w:ascii="Book Antiqua" w:hAnsi="Book Antiqua"/>
          <w:i/>
        </w:rPr>
        <w:t xml:space="preserve"> World J Gastroenterol</w:t>
      </w:r>
      <w:r w:rsidR="00D14265" w:rsidRPr="00AA2A35">
        <w:rPr>
          <w:rFonts w:ascii="Book Antiqua" w:hAnsi="Book Antiqua"/>
        </w:rPr>
        <w:t xml:space="preserve"> 201</w:t>
      </w:r>
      <w:r w:rsidR="00D14265" w:rsidRPr="00AA2A35">
        <w:rPr>
          <w:rFonts w:ascii="Book Antiqua" w:hAnsi="Book Antiqua" w:hint="eastAsia"/>
        </w:rPr>
        <w:t>6</w:t>
      </w:r>
      <w:r w:rsidR="00D14265" w:rsidRPr="00AA2A35">
        <w:rPr>
          <w:rFonts w:ascii="Book Antiqua" w:hAnsi="Book Antiqua"/>
        </w:rPr>
        <w:t xml:space="preserve">; </w:t>
      </w:r>
      <w:bookmarkStart w:id="26" w:name="OLE_LINK1689"/>
      <w:bookmarkStart w:id="27" w:name="OLE_LINK1298"/>
      <w:bookmarkStart w:id="28" w:name="OLE_LINK1297"/>
      <w:r w:rsidR="00D14265" w:rsidRPr="00AA2A35">
        <w:rPr>
          <w:rFonts w:ascii="Book Antiqua" w:hAnsi="Book Antiqua"/>
        </w:rPr>
        <w:t>In press</w:t>
      </w:r>
      <w:bookmarkEnd w:id="26"/>
      <w:bookmarkEnd w:id="27"/>
      <w:bookmarkEnd w:id="28"/>
    </w:p>
    <w:bookmarkEnd w:id="24"/>
    <w:bookmarkEnd w:id="25"/>
    <w:p w14:paraId="3EE51341" w14:textId="5EFF08EA" w:rsidR="00D44C96" w:rsidRPr="00AA2A35" w:rsidRDefault="00D44C96" w:rsidP="00D14265">
      <w:pPr>
        <w:spacing w:line="360" w:lineRule="auto"/>
        <w:jc w:val="both"/>
        <w:rPr>
          <w:rFonts w:ascii="Book Antiqua" w:eastAsiaTheme="minorEastAsia" w:hAnsi="Book Antiqua"/>
          <w:color w:val="000000"/>
          <w:lang w:val="en-US" w:eastAsia="zh-CN"/>
        </w:rPr>
      </w:pPr>
    </w:p>
    <w:p w14:paraId="75208891" w14:textId="77777777" w:rsidR="00D44C96" w:rsidRPr="00AA2A35" w:rsidRDefault="00D44C96" w:rsidP="00D14265">
      <w:pPr>
        <w:jc w:val="both"/>
        <w:rPr>
          <w:rFonts w:ascii="Book Antiqua" w:hAnsi="Book Antiqua"/>
          <w:color w:val="000000"/>
          <w:lang w:val="en-US"/>
        </w:rPr>
      </w:pPr>
      <w:r w:rsidRPr="00AA2A35">
        <w:rPr>
          <w:rFonts w:ascii="Book Antiqua" w:hAnsi="Book Antiqua"/>
          <w:color w:val="000000"/>
          <w:lang w:val="en-US"/>
        </w:rPr>
        <w:br w:type="page"/>
      </w:r>
    </w:p>
    <w:p w14:paraId="7C24085A" w14:textId="77777777" w:rsidR="00D44C96" w:rsidRPr="00AA2A35" w:rsidRDefault="00D44C96" w:rsidP="00D14265">
      <w:pPr>
        <w:pStyle w:val="Heading1"/>
      </w:pPr>
      <w:r w:rsidRPr="00AA2A35">
        <w:lastRenderedPageBreak/>
        <w:t>INTRODUCTION</w:t>
      </w:r>
    </w:p>
    <w:p w14:paraId="0D615145" w14:textId="39DDCC95" w:rsidR="00D44C96" w:rsidRPr="00AA2A35" w:rsidRDefault="00D44C96" w:rsidP="00D14265">
      <w:pPr>
        <w:spacing w:line="360" w:lineRule="auto"/>
        <w:jc w:val="both"/>
        <w:rPr>
          <w:rFonts w:ascii="Book Antiqua" w:hAnsi="Book Antiqua"/>
          <w:lang w:val="en-US"/>
        </w:rPr>
      </w:pPr>
      <w:r w:rsidRPr="00AA2A35">
        <w:rPr>
          <w:rFonts w:ascii="Book Antiqua" w:hAnsi="Book Antiqua"/>
          <w:color w:val="000000"/>
          <w:lang w:val="en-US"/>
        </w:rPr>
        <w:t xml:space="preserve">Inflammatory bowel diseases (IBD) are complex inflammatory conditions that include different chronic and relapsing intestinal diseases, such as Crohn’s disease (CD) and ulcerative colitis (UC). </w:t>
      </w:r>
      <w:r w:rsidRPr="00AA2A35">
        <w:rPr>
          <w:rFonts w:ascii="Book Antiqua" w:hAnsi="Book Antiqua"/>
          <w:color w:val="222222"/>
          <w:lang w:val="en-US"/>
        </w:rPr>
        <w:t>Both genetic and environmental factors are thought to play a role in determining the disease phenotype</w:t>
      </w:r>
      <w:r w:rsidR="00D14265" w:rsidRPr="00AA2A35">
        <w:rPr>
          <w:rFonts w:ascii="Book Antiqua" w:hAnsi="Book Antiqua"/>
          <w:color w:val="222222"/>
          <w:vertAlign w:val="superscript"/>
          <w:lang w:val="en-US"/>
        </w:rPr>
        <w:t>[1,</w:t>
      </w:r>
      <w:r w:rsidRPr="00AA2A35">
        <w:rPr>
          <w:rFonts w:ascii="Book Antiqua" w:hAnsi="Book Antiqua"/>
          <w:color w:val="222222"/>
          <w:vertAlign w:val="superscript"/>
          <w:lang w:val="en-US"/>
        </w:rPr>
        <w:t>2]</w:t>
      </w:r>
      <w:r w:rsidRPr="00AA2A35">
        <w:rPr>
          <w:rFonts w:ascii="Book Antiqua" w:hAnsi="Book Antiqua"/>
          <w:color w:val="222222"/>
          <w:lang w:val="en-US"/>
        </w:rPr>
        <w:t>.</w:t>
      </w:r>
    </w:p>
    <w:p w14:paraId="69777F2F" w14:textId="6EDE16EE" w:rsidR="00D44C96" w:rsidRPr="00AA2A35" w:rsidRDefault="00D44C96" w:rsidP="00D14265">
      <w:pPr>
        <w:spacing w:line="360" w:lineRule="auto"/>
        <w:ind w:firstLineChars="150" w:firstLine="360"/>
        <w:jc w:val="both"/>
        <w:rPr>
          <w:rFonts w:ascii="Book Antiqua" w:hAnsi="Book Antiqua"/>
          <w:lang w:val="en-US"/>
        </w:rPr>
      </w:pPr>
      <w:r w:rsidRPr="00AA2A35">
        <w:rPr>
          <w:rFonts w:ascii="Book Antiqua" w:hAnsi="Book Antiqua"/>
          <w:color w:val="000000"/>
          <w:lang w:val="en-US"/>
        </w:rPr>
        <w:t xml:space="preserve">On the one hand, CD and UC both involve intestinal mucosa and share some clinical symptoms, i.e. bloody diarrhoea, abdominal pain and weight loss. On the other </w:t>
      </w:r>
      <w:r w:rsidR="00577B7E" w:rsidRPr="00AA2A35">
        <w:rPr>
          <w:rFonts w:ascii="Book Antiqua" w:hAnsi="Book Antiqua"/>
          <w:color w:val="000000"/>
          <w:lang w:val="en-US"/>
        </w:rPr>
        <w:t>hand,</w:t>
      </w:r>
      <w:r w:rsidRPr="00AA2A35">
        <w:rPr>
          <w:rFonts w:ascii="Book Antiqua" w:hAnsi="Book Antiqua"/>
          <w:color w:val="000000"/>
          <w:lang w:val="en-US"/>
        </w:rPr>
        <w:t xml:space="preserve"> they present peculiar clinical and pathogenic features. Indeed, major differences between the two pathologies are found in the localization of lesions: while CD interests</w:t>
      </w:r>
      <w:r w:rsidR="00D14265" w:rsidRPr="00AA2A35">
        <w:rPr>
          <w:rFonts w:ascii="Book Antiqua" w:eastAsiaTheme="minorEastAsia" w:hAnsi="Book Antiqua" w:hint="eastAsia"/>
          <w:color w:val="000000"/>
          <w:lang w:val="en-US" w:eastAsia="zh-CN"/>
        </w:rPr>
        <w:t xml:space="preserve"> </w:t>
      </w:r>
      <w:r w:rsidRPr="00AA2A35">
        <w:rPr>
          <w:rFonts w:ascii="Book Antiqua" w:hAnsi="Book Antiqua"/>
          <w:color w:val="000000"/>
          <w:lang w:val="en-US"/>
        </w:rPr>
        <w:t xml:space="preserve">the small intestine (ileum) in particular, UC manifestations are localized mainly in the colon and rectum. Moreover, CD intestinal lesions, differently from UC, cause transmural inflammation and are characterized by skip lesions, alternating inflamed and not inflamed </w:t>
      </w:r>
      <w:r w:rsidR="00A00168" w:rsidRPr="00AA2A35">
        <w:rPr>
          <w:rFonts w:ascii="Book Antiqua" w:hAnsi="Book Antiqua"/>
          <w:color w:val="000000"/>
          <w:lang w:val="en-US"/>
        </w:rPr>
        <w:t>regions</w:t>
      </w:r>
      <w:r w:rsidR="00A00168" w:rsidRPr="00AA2A35">
        <w:rPr>
          <w:rFonts w:ascii="Book Antiqua" w:hAnsi="Book Antiqua"/>
          <w:color w:val="000000"/>
          <w:vertAlign w:val="superscript"/>
          <w:lang w:val="en-US"/>
        </w:rPr>
        <w:t>[</w:t>
      </w:r>
      <w:r w:rsidRPr="00AA2A35">
        <w:rPr>
          <w:rFonts w:ascii="Book Antiqua" w:hAnsi="Book Antiqua"/>
          <w:color w:val="000000"/>
          <w:vertAlign w:val="superscript"/>
          <w:lang w:val="en-US"/>
        </w:rPr>
        <w:t>3]</w:t>
      </w:r>
      <w:r w:rsidRPr="00AA2A35">
        <w:rPr>
          <w:rFonts w:ascii="Book Antiqua" w:hAnsi="Book Antiqua"/>
          <w:color w:val="000000"/>
          <w:lang w:val="en-US"/>
        </w:rPr>
        <w:t>.</w:t>
      </w:r>
    </w:p>
    <w:p w14:paraId="285713FA" w14:textId="607FA9C3" w:rsidR="00D44C96" w:rsidRPr="00AA2A35" w:rsidRDefault="00D44C96" w:rsidP="00D14265">
      <w:pPr>
        <w:spacing w:line="360" w:lineRule="auto"/>
        <w:ind w:firstLineChars="150" w:firstLine="360"/>
        <w:jc w:val="both"/>
        <w:rPr>
          <w:rFonts w:ascii="Book Antiqua" w:hAnsi="Book Antiqua"/>
          <w:lang w:val="en-US"/>
        </w:rPr>
      </w:pPr>
      <w:r w:rsidRPr="00AA2A35">
        <w:rPr>
          <w:rFonts w:ascii="Book Antiqua" w:hAnsi="Book Antiqua"/>
          <w:color w:val="000000"/>
          <w:lang w:val="en-US"/>
        </w:rPr>
        <w:t>Diagnosis is based on clinical symptoms and medical history of the patients and then confirmed by endoscopic evaluations and histology. The classification of the disease, which is useful for prognosis and management of patients, is based on index of activity. In particular, the</w:t>
      </w:r>
      <w:r w:rsidR="00D9144C" w:rsidRPr="00AA2A35">
        <w:rPr>
          <w:rFonts w:ascii="Book Antiqua" w:hAnsi="Book Antiqua"/>
          <w:color w:val="000000"/>
          <w:lang w:val="en-US"/>
        </w:rPr>
        <w:t xml:space="preserve"> reference</w:t>
      </w:r>
      <w:r w:rsidRPr="00AA2A35">
        <w:rPr>
          <w:rFonts w:ascii="Book Antiqua" w:hAnsi="Book Antiqua"/>
          <w:color w:val="000000"/>
          <w:lang w:val="en-US"/>
        </w:rPr>
        <w:t xml:space="preserve"> score</w:t>
      </w:r>
      <w:r w:rsidR="00D9144C" w:rsidRPr="00AA2A35">
        <w:rPr>
          <w:rFonts w:ascii="Book Antiqua" w:hAnsi="Book Antiqua"/>
          <w:color w:val="000000"/>
          <w:lang w:val="en-US"/>
        </w:rPr>
        <w:t>s</w:t>
      </w:r>
      <w:r w:rsidRPr="00AA2A35">
        <w:rPr>
          <w:rFonts w:ascii="Book Antiqua" w:hAnsi="Book Antiqua"/>
          <w:color w:val="000000"/>
          <w:lang w:val="en-US"/>
        </w:rPr>
        <w:t xml:space="preserve"> for pediatric patients is the Pediatric Crohn’s </w:t>
      </w:r>
      <w:r w:rsidR="00D14265" w:rsidRPr="00AA2A35">
        <w:rPr>
          <w:rFonts w:ascii="Book Antiqua" w:hAnsi="Book Antiqua"/>
          <w:color w:val="000000"/>
          <w:lang w:val="en-US"/>
        </w:rPr>
        <w:t xml:space="preserve">disease </w:t>
      </w:r>
      <w:r w:rsidRPr="00AA2A35">
        <w:rPr>
          <w:rFonts w:ascii="Book Antiqua" w:hAnsi="Book Antiqua"/>
          <w:color w:val="000000"/>
          <w:lang w:val="en-US"/>
        </w:rPr>
        <w:t>Activity Index (PCDAI)</w:t>
      </w:r>
      <w:r w:rsidRPr="00AA2A35">
        <w:rPr>
          <w:rFonts w:ascii="Book Antiqua" w:hAnsi="Book Antiqua"/>
          <w:color w:val="000000"/>
          <w:vertAlign w:val="superscript"/>
          <w:lang w:val="en-US"/>
        </w:rPr>
        <w:t>[4]</w:t>
      </w:r>
      <w:r w:rsidRPr="00AA2A35">
        <w:rPr>
          <w:rFonts w:ascii="Book Antiqua" w:hAnsi="Book Antiqua"/>
          <w:color w:val="000000"/>
          <w:lang w:val="en-US"/>
        </w:rPr>
        <w:t xml:space="preserve"> and the Pediatric Ulcerative Colitis Activity Index (PUCAI)</w:t>
      </w:r>
      <w:r w:rsidRPr="00AA2A35">
        <w:rPr>
          <w:rFonts w:ascii="Book Antiqua" w:hAnsi="Book Antiqua"/>
          <w:color w:val="000000"/>
          <w:vertAlign w:val="superscript"/>
          <w:lang w:val="en-US"/>
        </w:rPr>
        <w:t>[5,6]</w:t>
      </w:r>
      <w:r w:rsidRPr="00AA2A35">
        <w:rPr>
          <w:rFonts w:ascii="Book Antiqua" w:hAnsi="Book Antiqua"/>
          <w:color w:val="000000"/>
          <w:lang w:val="en-US"/>
        </w:rPr>
        <w:t>.</w:t>
      </w:r>
    </w:p>
    <w:p w14:paraId="2FA638DC" w14:textId="1CA09474" w:rsidR="00D44C96" w:rsidRPr="00AA2A35" w:rsidRDefault="00D44C96" w:rsidP="00D14265">
      <w:pPr>
        <w:spacing w:line="360" w:lineRule="auto"/>
        <w:ind w:firstLineChars="150" w:firstLine="360"/>
        <w:jc w:val="both"/>
        <w:rPr>
          <w:rFonts w:ascii="Book Antiqua" w:hAnsi="Book Antiqua"/>
          <w:lang w:val="en-US"/>
        </w:rPr>
      </w:pPr>
      <w:r w:rsidRPr="00AA2A35">
        <w:rPr>
          <w:rFonts w:ascii="Book Antiqua" w:hAnsi="Book Antiqua"/>
          <w:color w:val="000000"/>
          <w:lang w:val="en-US"/>
        </w:rPr>
        <w:t>The immunopathogenesis</w:t>
      </w:r>
      <w:r w:rsidR="00422ECD" w:rsidRPr="00AA2A35">
        <w:rPr>
          <w:rFonts w:ascii="Book Antiqua" w:hAnsi="Book Antiqua"/>
          <w:color w:val="000000"/>
          <w:lang w:val="en-US"/>
        </w:rPr>
        <w:t xml:space="preserve"> </w:t>
      </w:r>
      <w:r w:rsidRPr="00AA2A35">
        <w:rPr>
          <w:rFonts w:ascii="Book Antiqua" w:hAnsi="Book Antiqua"/>
          <w:color w:val="000000"/>
          <w:lang w:val="en-US"/>
        </w:rPr>
        <w:t>underlying CD involves immune cells, such as monocytes, macrophages, neutrophils, recruited and activated via inflammatory cytokines, i.e. interleukin 6 (IL6), interleukin 10 (IL10), Interferon-gamma (IFN</w:t>
      </w:r>
      <w:r w:rsidRPr="00AA2A35">
        <w:rPr>
          <w:rFonts w:ascii="Cambria Math" w:hAnsi="Cambria Math" w:cs="Cambria Math"/>
          <w:color w:val="000000"/>
          <w:lang w:val="en-US"/>
        </w:rPr>
        <w:t>𝛾</w:t>
      </w:r>
      <w:r w:rsidRPr="00AA2A35">
        <w:rPr>
          <w:rFonts w:ascii="Book Antiqua" w:hAnsi="Book Antiqua"/>
          <w:color w:val="000000"/>
          <w:lang w:val="en-US"/>
        </w:rPr>
        <w:t>) and Tumor Necrosis Factor-alpha (TNF</w:t>
      </w:r>
      <w:r w:rsidRPr="00AA2A35">
        <w:rPr>
          <w:rFonts w:ascii="Times New Roman" w:hAnsi="Times New Roman"/>
          <w:color w:val="000000"/>
          <w:lang w:val="en-US"/>
        </w:rPr>
        <w:t>α</w:t>
      </w:r>
      <w:r w:rsidRPr="00AA2A35">
        <w:rPr>
          <w:rFonts w:ascii="Book Antiqua" w:hAnsi="Book Antiqua"/>
          <w:color w:val="000000"/>
          <w:lang w:val="en-US"/>
        </w:rPr>
        <w:t>) as well as commensal microbiota</w:t>
      </w:r>
      <w:r w:rsidRPr="00AA2A35">
        <w:rPr>
          <w:rFonts w:ascii="Book Antiqua" w:hAnsi="Book Antiqua"/>
          <w:color w:val="000000"/>
          <w:vertAlign w:val="superscript"/>
          <w:lang w:val="en-US"/>
        </w:rPr>
        <w:t>[7]</w:t>
      </w:r>
      <w:r w:rsidRPr="00AA2A35">
        <w:rPr>
          <w:rFonts w:ascii="Book Antiqua" w:hAnsi="Book Antiqua"/>
          <w:color w:val="000000"/>
          <w:lang w:val="en-US"/>
        </w:rPr>
        <w:t>. In contrast, lymphocytic immune dysregulation seems to play an important role in UC, as shown by the increase of T cells activation markers and cytokines. Several gene variants are associated with the activity of the T cells and with the control of mucosal inflammation</w:t>
      </w:r>
      <w:r w:rsidRPr="00AA2A35">
        <w:rPr>
          <w:rFonts w:ascii="Book Antiqua" w:hAnsi="Book Antiqua"/>
          <w:color w:val="000000"/>
          <w:vertAlign w:val="superscript"/>
          <w:lang w:val="en-US"/>
        </w:rPr>
        <w:t>[8]</w:t>
      </w:r>
      <w:r w:rsidRPr="00AA2A35">
        <w:rPr>
          <w:rFonts w:ascii="Book Antiqua" w:hAnsi="Book Antiqua"/>
          <w:color w:val="000000"/>
          <w:lang w:val="en-US"/>
        </w:rPr>
        <w:t xml:space="preserve">. </w:t>
      </w:r>
    </w:p>
    <w:p w14:paraId="16E01E00" w14:textId="502C40D7" w:rsidR="00D44C96" w:rsidRPr="00AA2A35" w:rsidRDefault="00150B3F" w:rsidP="00D14265">
      <w:pPr>
        <w:spacing w:line="360" w:lineRule="auto"/>
        <w:ind w:firstLineChars="150" w:firstLine="360"/>
        <w:jc w:val="both"/>
        <w:rPr>
          <w:rFonts w:ascii="Book Antiqua" w:hAnsi="Book Antiqua"/>
          <w:lang w:val="en-US"/>
        </w:rPr>
      </w:pPr>
      <w:r w:rsidRPr="00AA2A35">
        <w:rPr>
          <w:rFonts w:ascii="Book Antiqua" w:hAnsi="Book Antiqua"/>
          <w:color w:val="000000"/>
          <w:lang w:val="en-US"/>
        </w:rPr>
        <w:t xml:space="preserve">Although the </w:t>
      </w:r>
      <w:r w:rsidR="00D44C96" w:rsidRPr="00AA2A35">
        <w:rPr>
          <w:rFonts w:ascii="Book Antiqua" w:hAnsi="Book Antiqua"/>
          <w:color w:val="000000"/>
          <w:lang w:val="en-US"/>
        </w:rPr>
        <w:t>etiopathology of CD is still unclear, several studies have</w:t>
      </w:r>
      <w:r w:rsidR="0091316A" w:rsidRPr="00AA2A35">
        <w:rPr>
          <w:rFonts w:ascii="Book Antiqua" w:hAnsi="Book Antiqua"/>
          <w:color w:val="000000"/>
          <w:lang w:val="en-US"/>
        </w:rPr>
        <w:t xml:space="preserve"> </w:t>
      </w:r>
      <w:r w:rsidR="00D44C96" w:rsidRPr="00AA2A35">
        <w:rPr>
          <w:rFonts w:ascii="Book Antiqua" w:hAnsi="Book Antiqua"/>
          <w:color w:val="000000"/>
          <w:lang w:val="en-US"/>
        </w:rPr>
        <w:t>linked the onset of the disease with an imbalance between</w:t>
      </w:r>
      <w:r w:rsidR="00B53FBF" w:rsidRPr="00AA2A35">
        <w:rPr>
          <w:rFonts w:ascii="Book Antiqua" w:hAnsi="Book Antiqua"/>
          <w:color w:val="000000"/>
          <w:lang w:val="en-US"/>
        </w:rPr>
        <w:t xml:space="preserve"> </w:t>
      </w:r>
      <w:r w:rsidR="00D44C96" w:rsidRPr="00AA2A35">
        <w:rPr>
          <w:rFonts w:ascii="Book Antiqua" w:hAnsi="Book Antiqua"/>
          <w:color w:val="000000"/>
          <w:lang w:val="en-US"/>
        </w:rPr>
        <w:t>mucosal immune system and microbiota</w:t>
      </w:r>
      <w:r w:rsidR="00D14265" w:rsidRPr="00AA2A35">
        <w:rPr>
          <w:rFonts w:ascii="Book Antiqua" w:hAnsi="Book Antiqua"/>
          <w:color w:val="000000"/>
          <w:vertAlign w:val="superscript"/>
          <w:lang w:val="en-US"/>
        </w:rPr>
        <w:t>[9,</w:t>
      </w:r>
      <w:r w:rsidR="00D44C96" w:rsidRPr="00AA2A35">
        <w:rPr>
          <w:rFonts w:ascii="Book Antiqua" w:hAnsi="Book Antiqua"/>
          <w:color w:val="000000"/>
          <w:vertAlign w:val="superscript"/>
          <w:lang w:val="en-US"/>
        </w:rPr>
        <w:t>10]</w:t>
      </w:r>
      <w:r w:rsidR="00D44C96" w:rsidRPr="00AA2A35">
        <w:rPr>
          <w:rFonts w:ascii="Book Antiqua" w:hAnsi="Book Antiqua"/>
          <w:color w:val="000000"/>
          <w:lang w:val="en-US"/>
        </w:rPr>
        <w:t>. For this reason, it has been suggested that CD inflammation</w:t>
      </w:r>
      <w:r w:rsidR="00B53FBF" w:rsidRPr="00AA2A35">
        <w:rPr>
          <w:rFonts w:ascii="Book Antiqua" w:hAnsi="Book Antiqua"/>
          <w:color w:val="000000"/>
          <w:lang w:val="en-US"/>
        </w:rPr>
        <w:t xml:space="preserve"> </w:t>
      </w:r>
      <w:r w:rsidR="00D44C96" w:rsidRPr="00AA2A35">
        <w:rPr>
          <w:rFonts w:ascii="Book Antiqua" w:hAnsi="Book Antiqua"/>
          <w:color w:val="000000"/>
          <w:lang w:val="en-US"/>
        </w:rPr>
        <w:t xml:space="preserve">may represent the compensatory response to </w:t>
      </w:r>
      <w:r w:rsidR="00B53FBF" w:rsidRPr="00AA2A35">
        <w:rPr>
          <w:rFonts w:ascii="Book Antiqua" w:hAnsi="Book Antiqua"/>
          <w:color w:val="000000"/>
          <w:lang w:val="en-US"/>
        </w:rPr>
        <w:t xml:space="preserve">a variety of </w:t>
      </w:r>
      <w:r w:rsidR="00D44C96" w:rsidRPr="00AA2A35">
        <w:rPr>
          <w:rFonts w:ascii="Book Antiqua" w:hAnsi="Book Antiqua"/>
          <w:color w:val="000000"/>
          <w:lang w:val="en-US"/>
        </w:rPr>
        <w:t xml:space="preserve">minor defects in mucosal innate immunity. These deficiencies may account for changes in the intestinal microbiota (dysbiosis), which, together with multifactorial damages of the intestinal barrier, may facilitate bacterial translocation to the </w:t>
      </w:r>
      <w:r w:rsidR="00D44C96" w:rsidRPr="00AA2A35">
        <w:rPr>
          <w:rFonts w:ascii="Book Antiqua" w:hAnsi="Book Antiqua"/>
          <w:i/>
          <w:color w:val="000000"/>
          <w:lang w:val="en-US"/>
        </w:rPr>
        <w:t>lamina propria</w:t>
      </w:r>
      <w:r w:rsidR="00D44C96" w:rsidRPr="00AA2A35">
        <w:rPr>
          <w:rFonts w:ascii="Book Antiqua" w:hAnsi="Book Antiqua"/>
          <w:color w:val="000000"/>
          <w:lang w:val="en-US"/>
        </w:rPr>
        <w:t xml:space="preserve"> and engagement of inflammatory cells. Microbial </w:t>
      </w:r>
      <w:r w:rsidR="00D44C96" w:rsidRPr="00AA2A35">
        <w:rPr>
          <w:rFonts w:ascii="Book Antiqua" w:hAnsi="Book Antiqua"/>
          <w:color w:val="000000"/>
          <w:lang w:val="en-US"/>
        </w:rPr>
        <w:lastRenderedPageBreak/>
        <w:t>components from translocated bacteria can reach mesen</w:t>
      </w:r>
      <w:r w:rsidR="004C6EEA" w:rsidRPr="00AA2A35">
        <w:rPr>
          <w:rFonts w:ascii="Book Antiqua" w:hAnsi="Book Antiqua"/>
          <w:color w:val="000000"/>
          <w:lang w:val="en-US"/>
        </w:rPr>
        <w:t>teric lymph nodes and the blood</w:t>
      </w:r>
      <w:r w:rsidR="00D44C96" w:rsidRPr="00AA2A35">
        <w:rPr>
          <w:rFonts w:ascii="Book Antiqua" w:hAnsi="Book Antiqua"/>
          <w:color w:val="000000"/>
          <w:lang w:val="en-US"/>
        </w:rPr>
        <w:t>stream, making it possible to measure lipopolysaccharide (LPS), LPS-binding Protein (LBP) and soluble (s)CD14, as markers of bacterial spread across the intestinal mucosa</w:t>
      </w:r>
      <w:r w:rsidR="00D44C96" w:rsidRPr="00AA2A35">
        <w:rPr>
          <w:rFonts w:ascii="Book Antiqua" w:hAnsi="Book Antiqua"/>
          <w:color w:val="000000"/>
          <w:vertAlign w:val="superscript"/>
          <w:lang w:val="en-US"/>
        </w:rPr>
        <w:t>[11]</w:t>
      </w:r>
      <w:r w:rsidR="00D44C96" w:rsidRPr="00AA2A35">
        <w:rPr>
          <w:rFonts w:ascii="Book Antiqua" w:hAnsi="Book Antiqua"/>
          <w:color w:val="000000"/>
          <w:lang w:val="en-US"/>
        </w:rPr>
        <w:t>. Moreover, the circulating microbial components can induce excessive stimulation of Toll-like Receptors (TLRs) followed by exacerbated activation of the immune system. It has been proposed that genetic variants in Nucleotide Oligomerization Domain 2 (</w:t>
      </w:r>
      <w:r w:rsidR="00D44C96" w:rsidRPr="00AA2A35">
        <w:rPr>
          <w:rFonts w:ascii="Book Antiqua" w:hAnsi="Book Antiqua"/>
          <w:i/>
          <w:color w:val="000000"/>
          <w:lang w:val="en-US"/>
        </w:rPr>
        <w:t>NOD2</w:t>
      </w:r>
      <w:r w:rsidR="00D44C96" w:rsidRPr="00AA2A35">
        <w:rPr>
          <w:rFonts w:ascii="Book Antiqua" w:hAnsi="Book Antiqua"/>
          <w:color w:val="000000"/>
          <w:lang w:val="en-US"/>
        </w:rPr>
        <w:t>), the first gene associated with IBD</w:t>
      </w:r>
      <w:r w:rsidR="00D44C96" w:rsidRPr="00AA2A35">
        <w:rPr>
          <w:rFonts w:ascii="Book Antiqua" w:hAnsi="Book Antiqua"/>
          <w:color w:val="000000"/>
          <w:vertAlign w:val="superscript"/>
          <w:lang w:val="en-US"/>
        </w:rPr>
        <w:t>[12-14]</w:t>
      </w:r>
      <w:r w:rsidR="00D44C96" w:rsidRPr="00AA2A35">
        <w:rPr>
          <w:rFonts w:ascii="Book Antiqua" w:hAnsi="Book Antiqua"/>
          <w:color w:val="000000"/>
          <w:lang w:val="en-US"/>
        </w:rPr>
        <w:t xml:space="preserve">, </w:t>
      </w:r>
      <w:r w:rsidR="00D44C96" w:rsidRPr="00AA2A35">
        <w:rPr>
          <w:rFonts w:ascii="Book Antiqua" w:hAnsi="Book Antiqua"/>
          <w:color w:val="232323"/>
          <w:lang w:val="en-US"/>
        </w:rPr>
        <w:t xml:space="preserve">may contribute to </w:t>
      </w:r>
      <w:r w:rsidR="008A4336" w:rsidRPr="00AA2A35">
        <w:rPr>
          <w:rFonts w:ascii="Book Antiqua" w:hAnsi="Book Antiqua"/>
          <w:color w:val="232323"/>
          <w:lang w:val="en-US"/>
        </w:rPr>
        <w:t xml:space="preserve">increasing </w:t>
      </w:r>
      <w:r w:rsidR="00D44C96" w:rsidRPr="00AA2A35">
        <w:rPr>
          <w:rFonts w:ascii="Book Antiqua" w:hAnsi="Book Antiqua"/>
          <w:color w:val="232323"/>
          <w:lang w:val="en-US"/>
        </w:rPr>
        <w:t xml:space="preserve">the risk of disease by interfering with the response of monocytes to bacterial compounds. </w:t>
      </w:r>
      <w:r w:rsidR="00D44C96" w:rsidRPr="00AA2A35">
        <w:rPr>
          <w:rFonts w:ascii="Book Antiqua" w:hAnsi="Book Antiqua"/>
          <w:color w:val="000000"/>
          <w:lang w:val="en-US"/>
        </w:rPr>
        <w:t>NOD2 is a cytoplasmic receptor that specifically recognizes muramyl dipeptide (MDP) present on the bacterial wall. It is involved in the regulation of acute inflammation, secreting pro-inflammatory cytokines such as TNF</w:t>
      </w:r>
      <w:r w:rsidR="00D44C96" w:rsidRPr="00AA2A35">
        <w:rPr>
          <w:rFonts w:ascii="Times New Roman" w:hAnsi="Times New Roman"/>
          <w:color w:val="000000"/>
          <w:lang w:val="en-US"/>
        </w:rPr>
        <w:t>α</w:t>
      </w:r>
      <w:r w:rsidR="00D44C96" w:rsidRPr="00AA2A35">
        <w:rPr>
          <w:rFonts w:ascii="Book Antiqua" w:hAnsi="Book Antiqua"/>
          <w:color w:val="000000"/>
          <w:vertAlign w:val="superscript"/>
          <w:lang w:val="en-US"/>
        </w:rPr>
        <w:t>[15]</w:t>
      </w:r>
      <w:r w:rsidR="00D44C96" w:rsidRPr="00AA2A35">
        <w:rPr>
          <w:rFonts w:ascii="Book Antiqua" w:hAnsi="Book Antiqua"/>
          <w:color w:val="232323"/>
          <w:lang w:val="en-US"/>
        </w:rPr>
        <w:t xml:space="preserve">. However, despite the huge amount of researches on this topic, it is still not clear how CD-associated </w:t>
      </w:r>
      <w:r w:rsidR="00D44C96" w:rsidRPr="00AA2A35">
        <w:rPr>
          <w:rFonts w:ascii="Book Antiqua" w:hAnsi="Book Antiqua"/>
          <w:i/>
          <w:color w:val="232323"/>
          <w:lang w:val="en-US"/>
        </w:rPr>
        <w:t>NOD2</w:t>
      </w:r>
      <w:r w:rsidR="00D44C96" w:rsidRPr="00AA2A35">
        <w:rPr>
          <w:rFonts w:ascii="Book Antiqua" w:hAnsi="Book Antiqua"/>
          <w:color w:val="232323"/>
          <w:lang w:val="en-US"/>
        </w:rPr>
        <w:t xml:space="preserve"> variants may contribute to the pathogenesis of the disease. On the one hand, dysfunctional TLRs sensing in CD</w:t>
      </w:r>
      <w:r w:rsidR="00F3632D" w:rsidRPr="00AA2A35">
        <w:rPr>
          <w:rFonts w:ascii="Book Antiqua" w:hAnsi="Book Antiqua"/>
          <w:color w:val="232323"/>
          <w:lang w:val="en-US"/>
        </w:rPr>
        <w:t>, involving NOD2 and other TLR</w:t>
      </w:r>
      <w:r w:rsidR="00D44C96" w:rsidRPr="00AA2A35">
        <w:rPr>
          <w:rFonts w:ascii="Book Antiqua" w:hAnsi="Book Antiqua"/>
          <w:color w:val="232323"/>
          <w:lang w:val="en-US"/>
        </w:rPr>
        <w:t xml:space="preserve"> pathways, could lead to altered shaping of gut microbial species, or dysbiosis</w:t>
      </w:r>
      <w:r w:rsidR="00D44C96" w:rsidRPr="00AA2A35">
        <w:rPr>
          <w:rFonts w:ascii="Book Antiqua" w:hAnsi="Book Antiqua"/>
          <w:color w:val="232323"/>
          <w:vertAlign w:val="superscript"/>
          <w:lang w:val="en-US"/>
        </w:rPr>
        <w:t>[16-18]</w:t>
      </w:r>
      <w:r w:rsidR="00D44C96" w:rsidRPr="00AA2A35">
        <w:rPr>
          <w:rFonts w:ascii="Book Antiqua" w:hAnsi="Book Antiqua"/>
          <w:color w:val="232323"/>
          <w:lang w:val="en-US"/>
        </w:rPr>
        <w:t>. On the other hand, NOD2 deficiency could lead to impaired autophagy and inflammation, with excessive response to TLR stimulation</w:t>
      </w:r>
      <w:r w:rsidR="00D44C96" w:rsidRPr="00AA2A35">
        <w:rPr>
          <w:rFonts w:ascii="Book Antiqua" w:hAnsi="Book Antiqua"/>
          <w:color w:val="232323"/>
          <w:vertAlign w:val="superscript"/>
          <w:lang w:val="en-US"/>
        </w:rPr>
        <w:t>[19]</w:t>
      </w:r>
      <w:r w:rsidR="00D44C96" w:rsidRPr="00AA2A35">
        <w:rPr>
          <w:rFonts w:ascii="Book Antiqua" w:hAnsi="Book Antiqua"/>
          <w:color w:val="232323"/>
          <w:lang w:val="en-US"/>
        </w:rPr>
        <w:t>.</w:t>
      </w:r>
    </w:p>
    <w:p w14:paraId="2EEBA3D1" w14:textId="0C4D7D79" w:rsidR="00D44C96" w:rsidRPr="00AA2A35" w:rsidRDefault="00D44C96" w:rsidP="00D14265">
      <w:pPr>
        <w:spacing w:line="360" w:lineRule="auto"/>
        <w:ind w:firstLineChars="150" w:firstLine="360"/>
        <w:jc w:val="both"/>
        <w:rPr>
          <w:rFonts w:ascii="Book Antiqua" w:hAnsi="Book Antiqua"/>
          <w:lang w:val="en-US"/>
        </w:rPr>
      </w:pPr>
      <w:r w:rsidRPr="00AA2A35">
        <w:rPr>
          <w:rFonts w:ascii="Book Antiqua" w:hAnsi="Book Antiqua"/>
          <w:color w:val="232323"/>
          <w:lang w:val="en-US"/>
        </w:rPr>
        <w:t>All this considered, a first aim of this study was to evaluate NOD2 and TLRs signaling pathway integrity in CD. Immune activation was evaluated in terms of production of TNF</w:t>
      </w:r>
      <w:r w:rsidRPr="00AA2A35">
        <w:rPr>
          <w:rFonts w:ascii="Times New Roman" w:hAnsi="Times New Roman"/>
          <w:color w:val="000000"/>
          <w:lang w:val="en-US"/>
        </w:rPr>
        <w:t>α</w:t>
      </w:r>
      <w:r w:rsidRPr="00AA2A35">
        <w:rPr>
          <w:rFonts w:ascii="Book Antiqua" w:hAnsi="Book Antiqua"/>
          <w:color w:val="232323"/>
          <w:lang w:val="en-US"/>
        </w:rPr>
        <w:t xml:space="preserve"> by peripheral monocytes, since the NOD2 pathway is particularly important in these cells. Moreover peripheral blood monocytes are good representatives of the innate immune system and can easily be obtained from patients during blood sampling performed for clinical purposes. </w:t>
      </w:r>
    </w:p>
    <w:p w14:paraId="20F85D26" w14:textId="2819BA14" w:rsidR="00D44C96" w:rsidRPr="00AA2A35" w:rsidRDefault="00D44C96" w:rsidP="00D14265">
      <w:pPr>
        <w:spacing w:line="360" w:lineRule="auto"/>
        <w:ind w:firstLineChars="150" w:firstLine="360"/>
        <w:jc w:val="both"/>
        <w:rPr>
          <w:rFonts w:ascii="Book Antiqua" w:hAnsi="Book Antiqua"/>
          <w:lang w:val="en-US"/>
        </w:rPr>
      </w:pPr>
      <w:r w:rsidRPr="00AA2A35">
        <w:rPr>
          <w:rFonts w:ascii="Book Antiqua" w:hAnsi="Book Antiqua"/>
          <w:color w:val="232323"/>
          <w:lang w:val="en-US"/>
        </w:rPr>
        <w:t>CD monocytes were activated with different purified microbial compounds [</w:t>
      </w:r>
      <w:r w:rsidRPr="00AA2A35">
        <w:rPr>
          <w:rFonts w:ascii="Book Antiqua" w:hAnsi="Book Antiqua"/>
          <w:color w:val="000000"/>
          <w:lang w:val="en-US"/>
        </w:rPr>
        <w:t>MDP-L18 (NOD2 ligand), LPS (TLR4 ligand), Pam</w:t>
      </w:r>
      <w:r w:rsidRPr="00AA2A35">
        <w:rPr>
          <w:rFonts w:ascii="Book Antiqua" w:hAnsi="Book Antiqua"/>
          <w:color w:val="000000"/>
          <w:vertAlign w:val="subscript"/>
          <w:lang w:val="en-US"/>
        </w:rPr>
        <w:t>3</w:t>
      </w:r>
      <w:r w:rsidRPr="00AA2A35">
        <w:rPr>
          <w:rFonts w:ascii="Book Antiqua" w:hAnsi="Book Antiqua"/>
          <w:color w:val="000000"/>
          <w:lang w:val="en-US"/>
        </w:rPr>
        <w:t>CSK</w:t>
      </w:r>
      <w:r w:rsidRPr="00AA2A35">
        <w:rPr>
          <w:rFonts w:ascii="Book Antiqua" w:hAnsi="Book Antiqua"/>
          <w:color w:val="000000"/>
          <w:vertAlign w:val="subscript"/>
          <w:lang w:val="en-US"/>
        </w:rPr>
        <w:t xml:space="preserve">4 </w:t>
      </w:r>
      <w:r w:rsidRPr="00AA2A35">
        <w:rPr>
          <w:rFonts w:ascii="Book Antiqua" w:hAnsi="Book Antiqua"/>
          <w:color w:val="000000"/>
          <w:lang w:val="en-US"/>
        </w:rPr>
        <w:t>(TLR2/1 ligand), Poly I:C (TLR3 ligand)]. P</w:t>
      </w:r>
      <w:r w:rsidRPr="00AA2A35">
        <w:rPr>
          <w:rFonts w:ascii="Book Antiqua" w:hAnsi="Book Antiqua"/>
          <w:color w:val="232323"/>
          <w:lang w:val="en-US"/>
        </w:rPr>
        <w:t>roduction of TNF</w:t>
      </w:r>
      <w:r w:rsidRPr="00AA2A35">
        <w:rPr>
          <w:rFonts w:ascii="Times New Roman" w:hAnsi="Times New Roman"/>
          <w:color w:val="000000"/>
          <w:lang w:val="en-US"/>
        </w:rPr>
        <w:t>α</w:t>
      </w:r>
      <w:r w:rsidRPr="00AA2A35">
        <w:rPr>
          <w:rFonts w:ascii="Book Antiqua" w:hAnsi="Book Antiqua"/>
          <w:color w:val="000000"/>
          <w:lang w:val="en-US"/>
        </w:rPr>
        <w:t xml:space="preserve"> was then evaluated by flow cytometry in comparison with</w:t>
      </w:r>
      <w:r w:rsidRPr="00AA2A35">
        <w:rPr>
          <w:rFonts w:ascii="Book Antiqua" w:hAnsi="Book Antiqua"/>
          <w:color w:val="232323"/>
          <w:lang w:val="en-US"/>
        </w:rPr>
        <w:t xml:space="preserve"> samples from UC and healthy donors. Intracellular production of TNF</w:t>
      </w:r>
      <w:r w:rsidRPr="00AA2A35">
        <w:rPr>
          <w:rFonts w:ascii="Times New Roman" w:hAnsi="Times New Roman"/>
          <w:color w:val="000000"/>
          <w:lang w:val="en-US"/>
        </w:rPr>
        <w:t>α</w:t>
      </w:r>
      <w:r w:rsidRPr="00AA2A35">
        <w:rPr>
          <w:rFonts w:ascii="Book Antiqua" w:hAnsi="Book Antiqua"/>
          <w:color w:val="232323"/>
          <w:lang w:val="en-US"/>
        </w:rPr>
        <w:t xml:space="preserve"> was correlated with the </w:t>
      </w:r>
      <w:r w:rsidR="00BB0B5F" w:rsidRPr="00AA2A35">
        <w:rPr>
          <w:rFonts w:ascii="Book Antiqua" w:hAnsi="Book Antiqua"/>
          <w:color w:val="232323"/>
          <w:lang w:val="en-US"/>
        </w:rPr>
        <w:t xml:space="preserve">activity </w:t>
      </w:r>
      <w:r w:rsidRPr="00AA2A35">
        <w:rPr>
          <w:rFonts w:ascii="Book Antiqua" w:hAnsi="Book Antiqua"/>
          <w:color w:val="232323"/>
          <w:lang w:val="en-US"/>
        </w:rPr>
        <w:t xml:space="preserve">state of the disease, with the genotype of the patients and with the levels of plasmatic LBP and sCD14. </w:t>
      </w:r>
    </w:p>
    <w:p w14:paraId="731A3492" w14:textId="609C8A9A" w:rsidR="00D44C96" w:rsidRPr="00AA2A35" w:rsidRDefault="00D44C96" w:rsidP="00D14265">
      <w:pPr>
        <w:spacing w:line="360" w:lineRule="auto"/>
        <w:ind w:firstLineChars="150" w:firstLine="360"/>
        <w:jc w:val="both"/>
        <w:rPr>
          <w:rFonts w:ascii="Book Antiqua" w:hAnsi="Book Antiqua"/>
          <w:color w:val="000000"/>
          <w:lang w:val="en-US"/>
        </w:rPr>
      </w:pPr>
      <w:r w:rsidRPr="00AA2A35">
        <w:rPr>
          <w:rFonts w:ascii="Book Antiqua" w:hAnsi="Book Antiqua"/>
          <w:color w:val="000000"/>
          <w:lang w:val="en-US"/>
        </w:rPr>
        <w:t xml:space="preserve">As expected, CD patients displayed higher monocyte </w:t>
      </w:r>
      <w:r w:rsidRPr="00AA2A35">
        <w:rPr>
          <w:rFonts w:ascii="Book Antiqua" w:hAnsi="Book Antiqua"/>
          <w:color w:val="232323"/>
          <w:lang w:val="en-US"/>
        </w:rPr>
        <w:t>TNF</w:t>
      </w:r>
      <w:r w:rsidRPr="00AA2A35">
        <w:rPr>
          <w:rFonts w:ascii="Times New Roman" w:hAnsi="Times New Roman"/>
          <w:color w:val="000000"/>
          <w:lang w:val="en-US"/>
        </w:rPr>
        <w:t>α</w:t>
      </w:r>
      <w:r w:rsidRPr="00AA2A35">
        <w:rPr>
          <w:rFonts w:ascii="Book Antiqua" w:hAnsi="Book Antiqua"/>
          <w:color w:val="000000"/>
          <w:lang w:val="en-US"/>
        </w:rPr>
        <w:t xml:space="preserve"> production in basal condition and after stimulation of NOD2 and TLR2/1. Conversely, stimulation of TLR3 and TLR4 </w:t>
      </w:r>
      <w:r w:rsidR="005C1B9E" w:rsidRPr="00AA2A35">
        <w:rPr>
          <w:rFonts w:ascii="Book Antiqua" w:hAnsi="Book Antiqua"/>
          <w:color w:val="000000"/>
          <w:lang w:val="en-US"/>
        </w:rPr>
        <w:t xml:space="preserve">induced </w:t>
      </w:r>
      <w:r w:rsidRPr="00AA2A35">
        <w:rPr>
          <w:rFonts w:ascii="Book Antiqua" w:hAnsi="Book Antiqua"/>
          <w:color w:val="000000"/>
          <w:lang w:val="en-US"/>
        </w:rPr>
        <w:t xml:space="preserve">similar </w:t>
      </w:r>
      <w:r w:rsidRPr="00AA2A35">
        <w:rPr>
          <w:rFonts w:ascii="Book Antiqua" w:hAnsi="Book Antiqua"/>
          <w:color w:val="232323"/>
          <w:lang w:val="en-US"/>
        </w:rPr>
        <w:t>TNF</w:t>
      </w:r>
      <w:r w:rsidRPr="00AA2A35">
        <w:rPr>
          <w:rFonts w:ascii="Times New Roman" w:hAnsi="Times New Roman"/>
          <w:color w:val="000000"/>
          <w:lang w:val="en-US"/>
        </w:rPr>
        <w:t>α</w:t>
      </w:r>
      <w:r w:rsidRPr="00AA2A35">
        <w:rPr>
          <w:rFonts w:ascii="Book Antiqua" w:hAnsi="Book Antiqua"/>
          <w:color w:val="000000"/>
          <w:lang w:val="en-US"/>
        </w:rPr>
        <w:t xml:space="preserve"> production</w:t>
      </w:r>
      <w:r w:rsidR="005C1B9E" w:rsidRPr="00AA2A35">
        <w:rPr>
          <w:rFonts w:ascii="Book Antiqua" w:hAnsi="Book Antiqua"/>
          <w:color w:val="000000"/>
          <w:lang w:val="en-US"/>
        </w:rPr>
        <w:t xml:space="preserve"> </w:t>
      </w:r>
      <w:r w:rsidRPr="00AA2A35">
        <w:rPr>
          <w:rFonts w:ascii="Book Antiqua" w:hAnsi="Book Antiqua"/>
          <w:color w:val="000000"/>
          <w:lang w:val="en-US"/>
        </w:rPr>
        <w:t>among CD, UC and healthy donors, suggesting that in CD, monocytes</w:t>
      </w:r>
      <w:r w:rsidR="007B671A" w:rsidRPr="00AA2A35">
        <w:rPr>
          <w:rFonts w:ascii="Book Antiqua" w:hAnsi="Book Antiqua"/>
          <w:color w:val="000000"/>
          <w:lang w:val="en-US"/>
        </w:rPr>
        <w:t xml:space="preserve"> </w:t>
      </w:r>
      <w:r w:rsidRPr="00AA2A35">
        <w:rPr>
          <w:rFonts w:ascii="Book Antiqua" w:hAnsi="Book Antiqua"/>
          <w:color w:val="000000"/>
          <w:lang w:val="en-US"/>
        </w:rPr>
        <w:t xml:space="preserve">might be primed by mycobacterial components that can </w:t>
      </w:r>
      <w:r w:rsidRPr="00AA2A35">
        <w:rPr>
          <w:rFonts w:ascii="Book Antiqua" w:hAnsi="Book Antiqua"/>
          <w:color w:val="000000"/>
          <w:lang w:val="en-US"/>
        </w:rPr>
        <w:lastRenderedPageBreak/>
        <w:t xml:space="preserve">induce reduced tolerance to Pathogen Associated Molecular Patterns (PAMPs). Neither the variants in </w:t>
      </w:r>
      <w:r w:rsidRPr="00AA2A35">
        <w:rPr>
          <w:rFonts w:ascii="Book Antiqua" w:hAnsi="Book Antiqua"/>
          <w:i/>
          <w:color w:val="000000"/>
          <w:lang w:val="en-US"/>
        </w:rPr>
        <w:t>NOD2</w:t>
      </w:r>
      <w:r w:rsidRPr="00AA2A35">
        <w:rPr>
          <w:rFonts w:ascii="Book Antiqua" w:hAnsi="Book Antiqua"/>
          <w:color w:val="000000"/>
          <w:lang w:val="en-US"/>
        </w:rPr>
        <w:t xml:space="preserve"> susceptibility gene nor the state of activity of the disease (PCDAI score) correlated with intracellular </w:t>
      </w:r>
      <w:r w:rsidRPr="00AA2A35">
        <w:rPr>
          <w:rFonts w:ascii="Book Antiqua" w:hAnsi="Book Antiqua"/>
          <w:color w:val="232323"/>
          <w:lang w:val="en-US"/>
        </w:rPr>
        <w:t>TNF</w:t>
      </w:r>
      <w:r w:rsidRPr="00AA2A35">
        <w:rPr>
          <w:rFonts w:ascii="Times New Roman" w:hAnsi="Times New Roman"/>
          <w:color w:val="000000"/>
          <w:lang w:val="en-US"/>
        </w:rPr>
        <w:t>α</w:t>
      </w:r>
      <w:r w:rsidRPr="00AA2A35">
        <w:rPr>
          <w:rFonts w:ascii="Book Antiqua" w:hAnsi="Book Antiqua"/>
          <w:color w:val="000000"/>
          <w:lang w:val="en-US"/>
        </w:rPr>
        <w:t>. Moreover, the levels of plasmatic LPB, which have been shown to correlate</w:t>
      </w:r>
      <w:r w:rsidR="008817F3" w:rsidRPr="00AA2A35">
        <w:rPr>
          <w:rFonts w:ascii="Book Antiqua" w:hAnsi="Book Antiqua"/>
          <w:color w:val="000000"/>
          <w:lang w:val="en-US"/>
        </w:rPr>
        <w:t xml:space="preserve"> </w:t>
      </w:r>
      <w:r w:rsidRPr="00AA2A35">
        <w:rPr>
          <w:rFonts w:ascii="Book Antiqua" w:hAnsi="Book Antiqua"/>
          <w:color w:val="000000"/>
          <w:lang w:val="en-US"/>
        </w:rPr>
        <w:t>positively with the activity of the disease, did not</w:t>
      </w:r>
      <w:r w:rsidR="008817F3" w:rsidRPr="00AA2A35">
        <w:rPr>
          <w:rFonts w:ascii="Book Antiqua" w:hAnsi="Book Antiqua"/>
          <w:color w:val="000000"/>
          <w:lang w:val="en-US"/>
        </w:rPr>
        <w:t xml:space="preserve"> </w:t>
      </w:r>
      <w:r w:rsidRPr="00AA2A35">
        <w:rPr>
          <w:rFonts w:ascii="Book Antiqua" w:hAnsi="Book Antiqua"/>
          <w:color w:val="000000"/>
          <w:lang w:val="en-US"/>
        </w:rPr>
        <w:t xml:space="preserve">exhibit a clear correlation with monocyte activation. </w:t>
      </w:r>
    </w:p>
    <w:p w14:paraId="4F5FC6F7" w14:textId="77777777" w:rsidR="00D44C96" w:rsidRPr="00AA2A35" w:rsidRDefault="00D44C96" w:rsidP="00D14265">
      <w:pPr>
        <w:spacing w:line="360" w:lineRule="auto"/>
        <w:jc w:val="both"/>
        <w:rPr>
          <w:rFonts w:ascii="Book Antiqua" w:hAnsi="Book Antiqua"/>
          <w:lang w:val="en-US"/>
        </w:rPr>
      </w:pPr>
    </w:p>
    <w:p w14:paraId="2860CA5F" w14:textId="77777777" w:rsidR="00D44C96" w:rsidRPr="00AA2A35" w:rsidRDefault="00D44C96" w:rsidP="00D14265">
      <w:pPr>
        <w:pStyle w:val="Heading1"/>
      </w:pPr>
      <w:r w:rsidRPr="00AA2A35">
        <w:t>MATERIALS AND METHODS</w:t>
      </w:r>
    </w:p>
    <w:p w14:paraId="244073C8" w14:textId="707E231D" w:rsidR="00D44C96" w:rsidRPr="00AA2A35" w:rsidRDefault="00D44C96" w:rsidP="00D14265">
      <w:pPr>
        <w:pStyle w:val="Heading2"/>
      </w:pPr>
      <w:r w:rsidRPr="00AA2A35">
        <w:t xml:space="preserve">Patient </w:t>
      </w:r>
      <w:r w:rsidR="006276BB" w:rsidRPr="00AA2A35">
        <w:t>recruitment</w:t>
      </w:r>
    </w:p>
    <w:p w14:paraId="57A68E41" w14:textId="32160254" w:rsidR="00D44C96" w:rsidRPr="00AA2A35" w:rsidRDefault="00D44C96" w:rsidP="00D14265">
      <w:pPr>
        <w:spacing w:line="360" w:lineRule="auto"/>
        <w:jc w:val="both"/>
        <w:rPr>
          <w:rFonts w:ascii="Book Antiqua" w:hAnsi="Book Antiqua"/>
          <w:lang w:val="en-US"/>
        </w:rPr>
      </w:pPr>
      <w:r w:rsidRPr="00AA2A35">
        <w:rPr>
          <w:rFonts w:ascii="Book Antiqua" w:hAnsi="Book Antiqua"/>
          <w:lang w:val="en-US"/>
        </w:rPr>
        <w:t>Monocytes were obtained from heparinized blood of 38 CD patients, 31 UC patients (diseased controls) and 50 healthy donors (HD; negative controls) subsequent to receiving written consent. All subjects were recruited from the Gastroenterology and Clinical Nutrition Unit of the Institute for Maternal and Child Health IRCCS “Burlo Garofolo”, Trieste, Italy. The IBD patients were classified according to the disease activity evaluated by physician global assessment (based on PCDAI and PUCAI scores).</w:t>
      </w:r>
    </w:p>
    <w:p w14:paraId="434356EC" w14:textId="77777777" w:rsidR="00605B24" w:rsidRPr="00AA2A35" w:rsidRDefault="00605B24" w:rsidP="00D14265">
      <w:pPr>
        <w:spacing w:line="360" w:lineRule="auto"/>
        <w:ind w:firstLineChars="200" w:firstLine="480"/>
        <w:jc w:val="both"/>
        <w:rPr>
          <w:rFonts w:ascii="Book Antiqua" w:hAnsi="Book Antiqua"/>
          <w:lang w:val="en-US"/>
        </w:rPr>
      </w:pPr>
      <w:r w:rsidRPr="00AA2A35">
        <w:rPr>
          <w:rFonts w:ascii="Book Antiqua" w:hAnsi="Book Antiqua"/>
          <w:lang w:val="en-US"/>
        </w:rPr>
        <w:t>The present study was approved by the Institutional Review Board of the Institute for Maternal and Child Health “Burlo Garofolo” (RC 03/2009).</w:t>
      </w:r>
    </w:p>
    <w:p w14:paraId="0A74C8FE" w14:textId="3291D0E5" w:rsidR="00D44C96" w:rsidRPr="00AA2A35" w:rsidRDefault="00D44C96" w:rsidP="00D14265">
      <w:pPr>
        <w:spacing w:line="360" w:lineRule="auto"/>
        <w:jc w:val="both"/>
        <w:rPr>
          <w:rFonts w:ascii="Book Antiqua" w:eastAsiaTheme="minorEastAsia" w:hAnsi="Book Antiqua"/>
          <w:lang w:val="en-US" w:eastAsia="zh-CN"/>
        </w:rPr>
      </w:pPr>
    </w:p>
    <w:p w14:paraId="3D4F74AB" w14:textId="77777777" w:rsidR="00D44C96" w:rsidRPr="00AA2A35" w:rsidRDefault="00D44C96" w:rsidP="00D14265">
      <w:pPr>
        <w:pStyle w:val="Heading2"/>
      </w:pPr>
      <w:r w:rsidRPr="00AA2A35">
        <w:t>Intracellular cytokine staining</w:t>
      </w:r>
    </w:p>
    <w:p w14:paraId="2C3B8709" w14:textId="468C66D7" w:rsidR="00D44C96" w:rsidRPr="00AA2A35" w:rsidRDefault="00D44C96" w:rsidP="00D14265">
      <w:pPr>
        <w:spacing w:line="360" w:lineRule="auto"/>
        <w:jc w:val="both"/>
        <w:rPr>
          <w:rFonts w:ascii="Book Antiqua" w:hAnsi="Book Antiqua"/>
          <w:lang w:val="en-US"/>
        </w:rPr>
      </w:pPr>
      <w:r w:rsidRPr="00AA2A35">
        <w:rPr>
          <w:rFonts w:ascii="Book Antiqua" w:hAnsi="Book Antiqua"/>
          <w:lang w:val="en-US"/>
        </w:rPr>
        <w:t>This cytometric technique allows for the detection of intracellular TNF</w:t>
      </w:r>
      <w:r w:rsidRPr="00AA2A35">
        <w:rPr>
          <w:rFonts w:ascii="Times New Roman" w:hAnsi="Times New Roman"/>
          <w:lang w:val="en-US"/>
        </w:rPr>
        <w:t>α</w:t>
      </w:r>
      <w:r w:rsidRPr="00AA2A35">
        <w:rPr>
          <w:rFonts w:ascii="Book Antiqua" w:hAnsi="Book Antiqua"/>
          <w:lang w:val="en-US"/>
        </w:rPr>
        <w:t xml:space="preserve"> in monocytes stimulated with synthetic microbial stimuli, to investigate</w:t>
      </w:r>
      <w:r w:rsidR="000051E2" w:rsidRPr="00AA2A35">
        <w:rPr>
          <w:rFonts w:ascii="Book Antiqua" w:hAnsi="Book Antiqua"/>
          <w:lang w:val="en-US"/>
        </w:rPr>
        <w:t xml:space="preserve"> </w:t>
      </w:r>
      <w:r w:rsidRPr="00AA2A35">
        <w:rPr>
          <w:rFonts w:ascii="Book Antiqua" w:hAnsi="Book Antiqua"/>
          <w:lang w:val="en-US"/>
        </w:rPr>
        <w:t>the functionality of the innate immune pathway. The protocol was adapted from Takada</w:t>
      </w:r>
      <w:r w:rsidRPr="00AA2A35">
        <w:rPr>
          <w:rFonts w:ascii="Book Antiqua" w:hAnsi="Book Antiqua"/>
          <w:i/>
          <w:lang w:val="en-US"/>
        </w:rPr>
        <w:t xml:space="preserve"> et al</w:t>
      </w:r>
      <w:r w:rsidRPr="00AA2A35">
        <w:rPr>
          <w:rFonts w:ascii="Book Antiqua" w:hAnsi="Book Antiqua"/>
          <w:noProof/>
          <w:vertAlign w:val="superscript"/>
          <w:lang w:val="en-US"/>
        </w:rPr>
        <w:t>[20]</w:t>
      </w:r>
      <w:r w:rsidRPr="00AA2A35">
        <w:rPr>
          <w:rFonts w:ascii="Book Antiqua" w:hAnsi="Book Antiqua"/>
          <w:lang w:val="en-US"/>
        </w:rPr>
        <w:t>.</w:t>
      </w:r>
    </w:p>
    <w:p w14:paraId="6CA19E7A" w14:textId="186F7189" w:rsidR="00D44C96" w:rsidRPr="00AA2A35" w:rsidRDefault="00D44C96" w:rsidP="00D14265">
      <w:pPr>
        <w:spacing w:line="360" w:lineRule="auto"/>
        <w:ind w:firstLineChars="200" w:firstLine="480"/>
        <w:jc w:val="both"/>
        <w:rPr>
          <w:rFonts w:ascii="Book Antiqua" w:hAnsi="Book Antiqua"/>
          <w:lang w:val="en-US"/>
        </w:rPr>
      </w:pPr>
      <w:r w:rsidRPr="00AA2A35">
        <w:rPr>
          <w:rFonts w:ascii="Book Antiqua" w:hAnsi="Book Antiqua"/>
          <w:lang w:val="en-US"/>
        </w:rPr>
        <w:t xml:space="preserve">Briefly, Peripheral Blood Mononuclear Cells (PBMCs) were isolated from whole heparinized blood by centrifugation on Ficoll separating solution (Lympholite, Cederlane, Burlington, NC, </w:t>
      </w:r>
      <w:r w:rsidR="00D14265" w:rsidRPr="00AA2A35">
        <w:rPr>
          <w:rFonts w:ascii="Book Antiqua" w:hAnsi="Book Antiqua"/>
          <w:lang w:val="en-US"/>
        </w:rPr>
        <w:t>United States</w:t>
      </w:r>
      <w:r w:rsidRPr="00AA2A35">
        <w:rPr>
          <w:rFonts w:ascii="Book Antiqua" w:hAnsi="Book Antiqua"/>
          <w:lang w:val="en-US"/>
        </w:rPr>
        <w:t>) at 500</w:t>
      </w:r>
      <w:r w:rsidR="00D14265" w:rsidRPr="00AA2A35">
        <w:rPr>
          <w:rFonts w:ascii="Book Antiqua" w:eastAsiaTheme="minorEastAsia" w:hAnsi="Book Antiqua" w:hint="eastAsia"/>
          <w:lang w:val="en-US" w:eastAsia="zh-CN"/>
        </w:rPr>
        <w:t xml:space="preserve"> </w:t>
      </w:r>
      <w:r w:rsidR="00D14265" w:rsidRPr="00AA2A35">
        <w:rPr>
          <w:rFonts w:ascii="Book Antiqua" w:hAnsi="Book Antiqua"/>
          <w:lang w:val="en-US"/>
        </w:rPr>
        <w:sym w:font="Symbol" w:char="F0B4"/>
      </w:r>
      <w:r w:rsidR="00D14265" w:rsidRPr="00AA2A35">
        <w:rPr>
          <w:rFonts w:ascii="Book Antiqua" w:eastAsiaTheme="minorEastAsia" w:hAnsi="Book Antiqua" w:hint="eastAsia"/>
          <w:lang w:val="en-US" w:eastAsia="zh-CN"/>
        </w:rPr>
        <w:t xml:space="preserve"> </w:t>
      </w:r>
      <w:r w:rsidRPr="00AA2A35">
        <w:rPr>
          <w:rFonts w:ascii="Book Antiqua" w:hAnsi="Book Antiqua"/>
          <w:i/>
          <w:lang w:val="en-US"/>
        </w:rPr>
        <w:t>g</w:t>
      </w:r>
      <w:r w:rsidRPr="00AA2A35">
        <w:rPr>
          <w:rFonts w:ascii="Book Antiqua" w:hAnsi="Book Antiqua"/>
          <w:lang w:val="en-US"/>
        </w:rPr>
        <w:t xml:space="preserve"> for 30 </w:t>
      </w:r>
      <w:r w:rsidR="00D14265" w:rsidRPr="00AA2A35">
        <w:rPr>
          <w:rFonts w:ascii="Book Antiqua" w:eastAsiaTheme="minorEastAsia" w:hAnsi="Book Antiqua" w:hint="eastAsia"/>
          <w:lang w:val="en-US" w:eastAsia="zh-CN"/>
        </w:rPr>
        <w:t>min</w:t>
      </w:r>
      <w:r w:rsidRPr="00AA2A35">
        <w:rPr>
          <w:rFonts w:ascii="Book Antiqua" w:hAnsi="Book Antiqua"/>
          <w:lang w:val="en-US"/>
        </w:rPr>
        <w:t xml:space="preserve"> at room temperature.</w:t>
      </w:r>
      <w:r w:rsidR="00D14265" w:rsidRPr="00AA2A35">
        <w:rPr>
          <w:rFonts w:ascii="Book Antiqua" w:eastAsiaTheme="minorEastAsia" w:hAnsi="Book Antiqua" w:hint="eastAsia"/>
          <w:lang w:val="en-US" w:eastAsia="zh-CN"/>
        </w:rPr>
        <w:t xml:space="preserve"> </w:t>
      </w:r>
      <w:r w:rsidRPr="00AA2A35">
        <w:rPr>
          <w:rFonts w:ascii="Book Antiqua" w:hAnsi="Book Antiqua"/>
          <w:lang w:val="en-US"/>
        </w:rPr>
        <w:t>2</w:t>
      </w:r>
      <w:r w:rsidR="00D14265" w:rsidRPr="00AA2A35">
        <w:rPr>
          <w:rFonts w:ascii="Book Antiqua" w:eastAsiaTheme="minorEastAsia" w:hAnsi="Book Antiqua" w:hint="eastAsia"/>
          <w:lang w:val="en-US" w:eastAsia="zh-CN"/>
        </w:rPr>
        <w:t xml:space="preserve"> </w:t>
      </w:r>
      <w:r w:rsidR="00D14265" w:rsidRPr="00AA2A35">
        <w:rPr>
          <w:rFonts w:ascii="Book Antiqua" w:hAnsi="Book Antiqua"/>
          <w:lang w:val="en-US"/>
        </w:rPr>
        <w:sym w:font="Symbol" w:char="F0B4"/>
      </w:r>
      <w:r w:rsidR="00D14265" w:rsidRPr="00AA2A35">
        <w:rPr>
          <w:rFonts w:ascii="Book Antiqua" w:eastAsiaTheme="minorEastAsia" w:hAnsi="Book Antiqua" w:hint="eastAsia"/>
          <w:lang w:val="en-US" w:eastAsia="zh-CN"/>
        </w:rPr>
        <w:t xml:space="preserve"> </w:t>
      </w:r>
      <w:r w:rsidRPr="00AA2A35">
        <w:rPr>
          <w:rFonts w:ascii="Book Antiqua" w:hAnsi="Book Antiqua"/>
          <w:lang w:val="en-US"/>
        </w:rPr>
        <w:t>10</w:t>
      </w:r>
      <w:r w:rsidRPr="00AA2A35">
        <w:rPr>
          <w:rFonts w:ascii="Book Antiqua" w:hAnsi="Book Antiqua"/>
          <w:vertAlign w:val="superscript"/>
          <w:lang w:val="en-US"/>
        </w:rPr>
        <w:t>5</w:t>
      </w:r>
      <w:r w:rsidRPr="00AA2A35">
        <w:rPr>
          <w:rFonts w:ascii="Book Antiqua" w:hAnsi="Book Antiqua"/>
          <w:lang w:val="en-US"/>
        </w:rPr>
        <w:t xml:space="preserve"> PBMCs were resuspended in 200 µL of culture medium (RPMI, EuroClone, Milano, Italy) supplemented with 10% human AB serum (Sigma-Aldrich, Milano, Italy), 2</w:t>
      </w:r>
      <w:r w:rsidR="00D14265" w:rsidRPr="00AA2A35">
        <w:rPr>
          <w:rFonts w:ascii="Book Antiqua" w:eastAsiaTheme="minorEastAsia" w:hAnsi="Book Antiqua" w:hint="eastAsia"/>
          <w:lang w:val="en-US" w:eastAsia="zh-CN"/>
        </w:rPr>
        <w:t xml:space="preserve"> </w:t>
      </w:r>
      <w:r w:rsidRPr="00AA2A35">
        <w:rPr>
          <w:rFonts w:ascii="Book Antiqua" w:hAnsi="Book Antiqua"/>
          <w:lang w:val="en-US"/>
        </w:rPr>
        <w:t>m</w:t>
      </w:r>
      <w:r w:rsidR="00AA2A35" w:rsidRPr="00AA2A35">
        <w:rPr>
          <w:rFonts w:ascii="Book Antiqua" w:eastAsiaTheme="minorEastAsia" w:hAnsi="Book Antiqua" w:hint="eastAsia"/>
          <w:lang w:val="en-US" w:eastAsia="zh-CN"/>
        </w:rPr>
        <w:t xml:space="preserve">mol/L </w:t>
      </w:r>
      <w:r w:rsidRPr="00AA2A35">
        <w:rPr>
          <w:rFonts w:ascii="Book Antiqua" w:hAnsi="Book Antiqua"/>
          <w:lang w:val="en-US"/>
        </w:rPr>
        <w:t>-glutamine (EuroClone), 100 U/mL penicillin (EuroClone) and 0</w:t>
      </w:r>
      <w:r w:rsidR="00AA2A35" w:rsidRPr="00AA2A35">
        <w:rPr>
          <w:rFonts w:ascii="Book Antiqua" w:eastAsiaTheme="minorEastAsia" w:hAnsi="Book Antiqua" w:hint="eastAsia"/>
          <w:lang w:val="en-US" w:eastAsia="zh-CN"/>
        </w:rPr>
        <w:t>.</w:t>
      </w:r>
      <w:r w:rsidRPr="00AA2A35">
        <w:rPr>
          <w:rFonts w:ascii="Book Antiqua" w:hAnsi="Book Antiqua"/>
          <w:lang w:val="en-US"/>
        </w:rPr>
        <w:t>1 mg/mL streptomycin (EuroClone) and stimulated with TLR and NOD2 ligands: 100 ng/ml Lipopolysaccharide (LPS; TLR4 ligand, Sigma Aldrich, Germany), 10 µg/m</w:t>
      </w:r>
      <w:r w:rsidR="00AA2A35" w:rsidRPr="00AA2A35">
        <w:rPr>
          <w:rFonts w:ascii="Book Antiqua" w:hAnsi="Book Antiqua"/>
          <w:lang w:val="en-US"/>
        </w:rPr>
        <w:t>L</w:t>
      </w:r>
      <w:r w:rsidRPr="00AA2A35">
        <w:rPr>
          <w:rFonts w:ascii="Book Antiqua" w:hAnsi="Book Antiqua"/>
          <w:lang w:val="en-US"/>
        </w:rPr>
        <w:t xml:space="preserve"> Polyinosinic-polycytidylic acid sodium salt (PolyI:C; TLR3 ligand, Sigma Aldrich), 500 ng/m</w:t>
      </w:r>
      <w:r w:rsidR="00AA2A35" w:rsidRPr="00AA2A35">
        <w:rPr>
          <w:rFonts w:ascii="Book Antiqua" w:hAnsi="Book Antiqua"/>
          <w:lang w:val="en-US"/>
        </w:rPr>
        <w:t>L</w:t>
      </w:r>
      <w:r w:rsidRPr="00AA2A35">
        <w:rPr>
          <w:rFonts w:ascii="Book Antiqua" w:hAnsi="Book Antiqua"/>
          <w:lang w:val="en-US"/>
        </w:rPr>
        <w:t xml:space="preserve"> L-18 Muramyl DiPeptide (MDP-L18; NOD2 ligand, InvivoGen, San Diego, CA, </w:t>
      </w:r>
      <w:r w:rsidR="00AA2A35" w:rsidRPr="00AA2A35">
        <w:rPr>
          <w:rFonts w:ascii="Book Antiqua" w:hAnsi="Book Antiqua"/>
          <w:lang w:val="en-US"/>
        </w:rPr>
        <w:t>United States</w:t>
      </w:r>
      <w:r w:rsidRPr="00AA2A35">
        <w:rPr>
          <w:rFonts w:ascii="Book Antiqua" w:hAnsi="Book Antiqua"/>
          <w:lang w:val="en-US"/>
        </w:rPr>
        <w:t>), 500 ng/m</w:t>
      </w:r>
      <w:r w:rsidR="00AA2A35" w:rsidRPr="00AA2A35">
        <w:rPr>
          <w:rFonts w:ascii="Book Antiqua" w:hAnsi="Book Antiqua"/>
          <w:lang w:val="en-US"/>
        </w:rPr>
        <w:t>L</w:t>
      </w:r>
      <w:r w:rsidRPr="00AA2A35">
        <w:rPr>
          <w:rFonts w:ascii="Book Antiqua" w:hAnsi="Book Antiqua"/>
          <w:lang w:val="en-US"/>
        </w:rPr>
        <w:t xml:space="preserve"> Pam</w:t>
      </w:r>
      <w:r w:rsidRPr="00AA2A35">
        <w:rPr>
          <w:rFonts w:ascii="Book Antiqua" w:hAnsi="Book Antiqua"/>
          <w:vertAlign w:val="subscript"/>
          <w:lang w:val="en-US"/>
        </w:rPr>
        <w:t>3</w:t>
      </w:r>
      <w:r w:rsidRPr="00AA2A35">
        <w:rPr>
          <w:rFonts w:ascii="Book Antiqua" w:hAnsi="Book Antiqua"/>
          <w:lang w:val="en-US"/>
        </w:rPr>
        <w:t>CSK</w:t>
      </w:r>
      <w:r w:rsidRPr="00AA2A35">
        <w:rPr>
          <w:rFonts w:ascii="Book Antiqua" w:hAnsi="Book Antiqua"/>
          <w:vertAlign w:val="subscript"/>
          <w:lang w:val="en-US"/>
        </w:rPr>
        <w:t>4</w:t>
      </w:r>
      <w:r w:rsidRPr="00AA2A35">
        <w:rPr>
          <w:rFonts w:ascii="Book Antiqua" w:hAnsi="Book Antiqua"/>
          <w:lang w:val="en-US"/>
        </w:rPr>
        <w:t xml:space="preserve"> (TLR2/1 ligand, InvivoGen) for an initial period of 30</w:t>
      </w:r>
      <w:r w:rsidR="006B0A8F" w:rsidRPr="00AA2A35">
        <w:rPr>
          <w:rFonts w:ascii="Book Antiqua" w:hAnsi="Book Antiqua"/>
          <w:lang w:val="en-US"/>
        </w:rPr>
        <w:t xml:space="preserve"> </w:t>
      </w:r>
      <w:r w:rsidR="00AA2A35" w:rsidRPr="00AA2A35">
        <w:rPr>
          <w:rFonts w:ascii="Book Antiqua" w:eastAsiaTheme="minorEastAsia" w:hAnsi="Book Antiqua" w:hint="eastAsia"/>
          <w:lang w:val="en-US" w:eastAsia="zh-CN"/>
        </w:rPr>
        <w:t>min</w:t>
      </w:r>
      <w:r w:rsidRPr="00AA2A35">
        <w:rPr>
          <w:rFonts w:ascii="Book Antiqua" w:hAnsi="Book Antiqua"/>
          <w:lang w:val="en-US"/>
        </w:rPr>
        <w:t xml:space="preserve"> at 37 °C, in a CO</w:t>
      </w:r>
      <w:r w:rsidRPr="00AA2A35">
        <w:rPr>
          <w:rFonts w:ascii="Book Antiqua" w:hAnsi="Book Antiqua"/>
          <w:vertAlign w:val="subscript"/>
          <w:lang w:val="en-US"/>
        </w:rPr>
        <w:t>2</w:t>
      </w:r>
      <w:r w:rsidRPr="00AA2A35">
        <w:rPr>
          <w:rFonts w:ascii="Book Antiqua" w:hAnsi="Book Antiqua"/>
          <w:lang w:val="en-US"/>
        </w:rPr>
        <w:t xml:space="preserve"> </w:t>
      </w:r>
      <w:r w:rsidRPr="00AA2A35">
        <w:rPr>
          <w:rFonts w:ascii="Book Antiqua" w:hAnsi="Book Antiqua"/>
          <w:lang w:val="en-US"/>
        </w:rPr>
        <w:lastRenderedPageBreak/>
        <w:t>incubator. Subsequently, 10 µg/mL of Brefeldin A (BFA, Sigma Aldrich) were added to inhibit the secretion of newly synthesized cytokines and cells were incubated for additional 3</w:t>
      </w:r>
      <w:r w:rsidR="00AA2A35" w:rsidRPr="00AA2A35">
        <w:rPr>
          <w:rFonts w:ascii="Book Antiqua" w:eastAsiaTheme="minorEastAsia" w:hAnsi="Book Antiqua" w:hint="eastAsia"/>
          <w:lang w:val="en-US" w:eastAsia="zh-CN"/>
        </w:rPr>
        <w:t>.</w:t>
      </w:r>
      <w:r w:rsidRPr="00AA2A35">
        <w:rPr>
          <w:rFonts w:ascii="Book Antiqua" w:hAnsi="Book Antiqua"/>
          <w:lang w:val="en-US"/>
        </w:rPr>
        <w:t xml:space="preserve">5 </w:t>
      </w:r>
      <w:r w:rsidR="00AA2A35" w:rsidRPr="00AA2A35">
        <w:rPr>
          <w:rFonts w:ascii="Book Antiqua" w:eastAsiaTheme="minorEastAsia" w:hAnsi="Book Antiqua" w:hint="eastAsia"/>
          <w:lang w:val="en-US" w:eastAsia="zh-CN"/>
        </w:rPr>
        <w:t>h</w:t>
      </w:r>
      <w:r w:rsidRPr="00AA2A35">
        <w:rPr>
          <w:rFonts w:ascii="Book Antiqua" w:hAnsi="Book Antiqua"/>
          <w:lang w:val="en-US"/>
        </w:rPr>
        <w:t>.</w:t>
      </w:r>
      <w:r w:rsidR="006B0A8F" w:rsidRPr="00AA2A35">
        <w:rPr>
          <w:rFonts w:ascii="Book Antiqua" w:hAnsi="Book Antiqua"/>
          <w:lang w:val="en-US"/>
        </w:rPr>
        <w:t xml:space="preserve"> </w:t>
      </w:r>
      <w:r w:rsidRPr="00AA2A35">
        <w:rPr>
          <w:rFonts w:ascii="Book Antiqua" w:hAnsi="Book Antiqua"/>
          <w:lang w:val="en-US"/>
        </w:rPr>
        <w:t xml:space="preserve">BFA, without any stimulus, was added to the unstimulated control tube. After incubation, FITC conjugated anti-CD14 antibody (eBiosciences, San Diego, CA, </w:t>
      </w:r>
      <w:r w:rsidR="00AA2A35" w:rsidRPr="00AA2A35">
        <w:rPr>
          <w:rFonts w:ascii="Book Antiqua" w:hAnsi="Book Antiqua"/>
          <w:lang w:val="en-US"/>
        </w:rPr>
        <w:t>United States</w:t>
      </w:r>
      <w:r w:rsidRPr="00AA2A35">
        <w:rPr>
          <w:rFonts w:ascii="Book Antiqua" w:hAnsi="Book Antiqua"/>
          <w:lang w:val="en-US"/>
        </w:rPr>
        <w:t xml:space="preserve">) was added for surface staining to identify monocytes, followed by a fixation step with FACS Lysing Solution (BD Biosciences, San Jose, CA, </w:t>
      </w:r>
      <w:r w:rsidR="00AA2A35" w:rsidRPr="00AA2A35">
        <w:rPr>
          <w:rFonts w:ascii="Book Antiqua" w:hAnsi="Book Antiqua"/>
          <w:lang w:val="en-US"/>
        </w:rPr>
        <w:t>United States</w:t>
      </w:r>
      <w:r w:rsidRPr="00AA2A35">
        <w:rPr>
          <w:rFonts w:ascii="Book Antiqua" w:hAnsi="Book Antiqua"/>
          <w:lang w:val="en-US"/>
        </w:rPr>
        <w:t>). After centrifugation at 300</w:t>
      </w:r>
      <w:r w:rsidR="00AA2A35" w:rsidRPr="00AA2A35">
        <w:rPr>
          <w:rFonts w:ascii="Book Antiqua" w:eastAsiaTheme="minorEastAsia" w:hAnsi="Book Antiqua" w:hint="eastAsia"/>
          <w:lang w:val="en-US" w:eastAsia="zh-CN"/>
        </w:rPr>
        <w:t xml:space="preserve"> </w:t>
      </w:r>
      <w:r w:rsidR="00AA2A35" w:rsidRPr="00AA2A35">
        <w:rPr>
          <w:rFonts w:ascii="Book Antiqua" w:hAnsi="Book Antiqua"/>
          <w:lang w:val="en-US"/>
        </w:rPr>
        <w:sym w:font="Symbol" w:char="F0B4"/>
      </w:r>
      <w:r w:rsidR="00AA2A35" w:rsidRPr="00AA2A35">
        <w:rPr>
          <w:rFonts w:ascii="Book Antiqua" w:eastAsiaTheme="minorEastAsia" w:hAnsi="Book Antiqua" w:hint="eastAsia"/>
          <w:lang w:val="en-US" w:eastAsia="zh-CN"/>
        </w:rPr>
        <w:t xml:space="preserve"> </w:t>
      </w:r>
      <w:r w:rsidRPr="00AA2A35">
        <w:rPr>
          <w:rFonts w:ascii="Book Antiqua" w:hAnsi="Book Antiqua"/>
          <w:i/>
          <w:lang w:val="en-US"/>
        </w:rPr>
        <w:t>g</w:t>
      </w:r>
      <w:r w:rsidRPr="00AA2A35">
        <w:rPr>
          <w:rFonts w:ascii="Book Antiqua" w:hAnsi="Book Antiqua"/>
          <w:lang w:val="en-US"/>
        </w:rPr>
        <w:t xml:space="preserve"> for 8 </w:t>
      </w:r>
      <w:r w:rsidR="00AA2A35" w:rsidRPr="00AA2A35">
        <w:rPr>
          <w:rFonts w:ascii="Book Antiqua" w:eastAsiaTheme="minorEastAsia" w:hAnsi="Book Antiqua" w:hint="eastAsia"/>
          <w:lang w:val="en-US" w:eastAsia="zh-CN"/>
        </w:rPr>
        <w:t>min</w:t>
      </w:r>
      <w:r w:rsidRPr="00AA2A35">
        <w:rPr>
          <w:rFonts w:ascii="Book Antiqua" w:hAnsi="Book Antiqua"/>
          <w:lang w:val="en-US"/>
        </w:rPr>
        <w:t>, cells were permeabilized using FACS Permeabilizing Solution 2 (BD Biosciences). PBMCs were washed with Wash Buffer (PBS + 1% BSA + 0</w:t>
      </w:r>
      <w:r w:rsidR="00AA2A35" w:rsidRPr="00AA2A35">
        <w:rPr>
          <w:rFonts w:ascii="Book Antiqua" w:eastAsiaTheme="minorEastAsia" w:hAnsi="Book Antiqua" w:hint="eastAsia"/>
          <w:lang w:val="en-US" w:eastAsia="zh-CN"/>
        </w:rPr>
        <w:t>.</w:t>
      </w:r>
      <w:r w:rsidRPr="00AA2A35">
        <w:rPr>
          <w:rFonts w:ascii="Book Antiqua" w:hAnsi="Book Antiqua"/>
          <w:lang w:val="en-US"/>
        </w:rPr>
        <w:t>1% NaN3), and anti-TNF</w:t>
      </w:r>
      <w:r w:rsidRPr="00AA2A35">
        <w:rPr>
          <w:rFonts w:ascii="Times New Roman" w:hAnsi="Times New Roman"/>
          <w:lang w:val="en-US"/>
        </w:rPr>
        <w:t>α</w:t>
      </w:r>
      <w:r w:rsidRPr="00AA2A35">
        <w:rPr>
          <w:rFonts w:ascii="Book Antiqua" w:hAnsi="Book Antiqua"/>
          <w:lang w:val="en-US"/>
        </w:rPr>
        <w:t xml:space="preserve"> PE antibody (BD Biosciences) was added to perform the intracellular staining. A fluorescent-conjugated isotype control antibody was used to detect non-specific bindings (PE IgG Isotype control, BD Biosciences). Finally, after an additional wash, the cells were fixed with PBS + 1% paraformaldehyde for analysis on a flow cytometer. Data were acquired on a CyAn ADP flow cytometer (Beckman Coulter, Fort Collins, CO, </w:t>
      </w:r>
      <w:r w:rsidR="00AA2A35" w:rsidRPr="00AA2A35">
        <w:rPr>
          <w:rFonts w:ascii="Book Antiqua" w:hAnsi="Book Antiqua"/>
          <w:lang w:val="en-US"/>
        </w:rPr>
        <w:t>United States</w:t>
      </w:r>
      <w:r w:rsidRPr="00AA2A35">
        <w:rPr>
          <w:rFonts w:ascii="Book Antiqua" w:hAnsi="Book Antiqua"/>
          <w:lang w:val="en-US"/>
        </w:rPr>
        <w:t xml:space="preserve">) and analyzed using FlowJo software v 7.6 (TreeStar, Ashland, OR, </w:t>
      </w:r>
      <w:r w:rsidR="00AA2A35" w:rsidRPr="00AA2A35">
        <w:rPr>
          <w:rFonts w:ascii="Book Antiqua" w:hAnsi="Book Antiqua"/>
          <w:lang w:val="en-US"/>
        </w:rPr>
        <w:t>United States</w:t>
      </w:r>
      <w:r w:rsidRPr="00AA2A35">
        <w:rPr>
          <w:rFonts w:ascii="Book Antiqua" w:hAnsi="Book Antiqua"/>
          <w:lang w:val="en-US"/>
        </w:rPr>
        <w:t xml:space="preserve">). Results </w:t>
      </w:r>
      <w:r w:rsidR="006B0A8F" w:rsidRPr="00AA2A35">
        <w:rPr>
          <w:rFonts w:ascii="Book Antiqua" w:hAnsi="Book Antiqua"/>
          <w:lang w:val="en-US"/>
        </w:rPr>
        <w:t xml:space="preserve">are </w:t>
      </w:r>
      <w:r w:rsidRPr="00AA2A35">
        <w:rPr>
          <w:rFonts w:ascii="Book Antiqua" w:hAnsi="Book Antiqua"/>
          <w:lang w:val="en-US"/>
        </w:rPr>
        <w:t>expressed as percent of TNF</w:t>
      </w:r>
      <w:r w:rsidRPr="00AA2A35">
        <w:rPr>
          <w:rFonts w:ascii="Times New Roman" w:hAnsi="Times New Roman"/>
          <w:lang w:val="en-US"/>
        </w:rPr>
        <w:t>α</w:t>
      </w:r>
      <w:r w:rsidRPr="00AA2A35">
        <w:rPr>
          <w:rFonts w:ascii="Book Antiqua" w:hAnsi="Book Antiqua"/>
          <w:lang w:val="en-US"/>
        </w:rPr>
        <w:t xml:space="preserve"> positive monocytes, after gating on CD14 positive cells.</w:t>
      </w:r>
    </w:p>
    <w:p w14:paraId="0F49A35D" w14:textId="77777777" w:rsidR="00D44C96" w:rsidRPr="00AA2A35" w:rsidRDefault="00D44C96" w:rsidP="00D14265">
      <w:pPr>
        <w:spacing w:line="360" w:lineRule="auto"/>
        <w:jc w:val="both"/>
        <w:rPr>
          <w:rFonts w:ascii="Book Antiqua" w:hAnsi="Book Antiqua"/>
          <w:lang w:val="en-US"/>
        </w:rPr>
      </w:pPr>
    </w:p>
    <w:p w14:paraId="170CE6B4" w14:textId="77777777" w:rsidR="00D44C96" w:rsidRPr="00AA2A35" w:rsidRDefault="00D44C96" w:rsidP="00D14265">
      <w:pPr>
        <w:pStyle w:val="Heading2"/>
      </w:pPr>
      <w:r w:rsidRPr="00AA2A35">
        <w:t xml:space="preserve">NOD2 variant analysis </w:t>
      </w:r>
    </w:p>
    <w:p w14:paraId="64FB388B" w14:textId="2B9AB642" w:rsidR="00D44C96" w:rsidRPr="00AA2A35" w:rsidRDefault="00D44C96" w:rsidP="00D14265">
      <w:pPr>
        <w:spacing w:line="360" w:lineRule="auto"/>
        <w:jc w:val="both"/>
        <w:rPr>
          <w:rFonts w:ascii="Book Antiqua" w:hAnsi="Book Antiqua"/>
          <w:lang w:val="en-US"/>
        </w:rPr>
      </w:pPr>
      <w:r w:rsidRPr="00AA2A35">
        <w:rPr>
          <w:rFonts w:ascii="Book Antiqua" w:hAnsi="Book Antiqua"/>
          <w:lang w:val="en-US"/>
        </w:rPr>
        <w:t xml:space="preserve">CD patients were screened using targeted gene sequencing </w:t>
      </w:r>
      <w:r w:rsidR="0064674B" w:rsidRPr="00AA2A35">
        <w:rPr>
          <w:rFonts w:ascii="Book Antiqua" w:hAnsi="Book Antiqua"/>
          <w:lang w:val="en-US"/>
        </w:rPr>
        <w:t xml:space="preserve">to identify </w:t>
      </w:r>
      <w:r w:rsidRPr="00AA2A35">
        <w:rPr>
          <w:rFonts w:ascii="Book Antiqua" w:hAnsi="Book Antiqua"/>
          <w:lang w:val="en-US"/>
        </w:rPr>
        <w:t xml:space="preserve">the three principal variants in </w:t>
      </w:r>
      <w:r w:rsidRPr="00AA2A35">
        <w:rPr>
          <w:rFonts w:ascii="Book Antiqua" w:hAnsi="Book Antiqua"/>
          <w:i/>
          <w:lang w:val="en-US"/>
        </w:rPr>
        <w:t>NOD2</w:t>
      </w:r>
      <w:r w:rsidRPr="00AA2A35">
        <w:rPr>
          <w:rFonts w:ascii="Book Antiqua" w:hAnsi="Book Antiqua"/>
          <w:lang w:val="en-US"/>
        </w:rPr>
        <w:t xml:space="preserve"> susceptibility gene [c.2104C&gt;T;p.R702W (rs2066844), c.2722G&gt;C;p.G908R (rs2066845) and c.3016_3017insC; p.L1007Pfs*2 (rs2066847)]. </w:t>
      </w:r>
    </w:p>
    <w:p w14:paraId="14B50C55" w14:textId="67504A4D" w:rsidR="00D44C96" w:rsidRPr="00AA2A35" w:rsidRDefault="00D44C96" w:rsidP="00AA2A35">
      <w:pPr>
        <w:spacing w:line="360" w:lineRule="auto"/>
        <w:ind w:firstLineChars="150" w:firstLine="360"/>
        <w:jc w:val="both"/>
        <w:rPr>
          <w:rFonts w:ascii="Book Antiqua" w:hAnsi="Book Antiqua"/>
          <w:lang w:val="en-US"/>
        </w:rPr>
      </w:pPr>
      <w:r w:rsidRPr="00AA2A35">
        <w:rPr>
          <w:rFonts w:ascii="Book Antiqua" w:hAnsi="Book Antiqua"/>
          <w:lang w:val="en-US"/>
        </w:rPr>
        <w:t>DNA samples were collected from patients suffering from CD (</w:t>
      </w:r>
      <w:r w:rsidRPr="00AA2A35">
        <w:rPr>
          <w:rFonts w:ascii="Book Antiqua" w:hAnsi="Book Antiqua"/>
          <w:i/>
          <w:lang w:val="en-US"/>
        </w:rPr>
        <w:t>n</w:t>
      </w:r>
      <w:r w:rsidR="00AA2A35" w:rsidRPr="00AA2A35">
        <w:rPr>
          <w:rFonts w:ascii="Book Antiqua" w:eastAsiaTheme="minorEastAsia" w:hAnsi="Book Antiqua" w:hint="eastAsia"/>
          <w:i/>
          <w:lang w:val="en-US" w:eastAsia="zh-CN"/>
        </w:rPr>
        <w:t xml:space="preserve"> </w:t>
      </w:r>
      <w:r w:rsidRPr="00AA2A35">
        <w:rPr>
          <w:rFonts w:ascii="Book Antiqua" w:hAnsi="Book Antiqua"/>
          <w:lang w:val="en-US"/>
        </w:rPr>
        <w:t>=</w:t>
      </w:r>
      <w:r w:rsidR="00AA2A35" w:rsidRPr="00AA2A35">
        <w:rPr>
          <w:rFonts w:ascii="Book Antiqua" w:eastAsiaTheme="minorEastAsia" w:hAnsi="Book Antiqua" w:hint="eastAsia"/>
          <w:lang w:val="en-US" w:eastAsia="zh-CN"/>
        </w:rPr>
        <w:t xml:space="preserve"> </w:t>
      </w:r>
      <w:r w:rsidRPr="00AA2A35">
        <w:rPr>
          <w:rFonts w:ascii="Book Antiqua" w:hAnsi="Book Antiqua"/>
          <w:lang w:val="en-US"/>
        </w:rPr>
        <w:t xml:space="preserve">36). Genomic DNA of each patient was extracted from 1-2 ml EDTA-anticoagulated blood using the EZ1 DNA Blood Kit (QIAGEN, Valencia, CA, </w:t>
      </w:r>
      <w:r w:rsidR="00AA2A35" w:rsidRPr="00AA2A35">
        <w:rPr>
          <w:rFonts w:ascii="Book Antiqua" w:hAnsi="Book Antiqua"/>
          <w:lang w:val="en-US"/>
        </w:rPr>
        <w:t>United States</w:t>
      </w:r>
      <w:r w:rsidRPr="00AA2A35">
        <w:rPr>
          <w:rFonts w:ascii="Book Antiqua" w:hAnsi="Book Antiqua"/>
          <w:lang w:val="en-US"/>
        </w:rPr>
        <w:t xml:space="preserve">) according to the manufacturer's instructions. To analyze the three IBD associated variants in the </w:t>
      </w:r>
      <w:r w:rsidRPr="00AA2A35">
        <w:rPr>
          <w:rFonts w:ascii="Book Antiqua" w:hAnsi="Book Antiqua"/>
          <w:i/>
          <w:lang w:val="en-US"/>
        </w:rPr>
        <w:t>NOD2</w:t>
      </w:r>
      <w:r w:rsidRPr="00AA2A35">
        <w:rPr>
          <w:rFonts w:ascii="Book Antiqua" w:hAnsi="Book Antiqua"/>
          <w:lang w:val="en-US"/>
        </w:rPr>
        <w:t xml:space="preserve"> gene (NM_022162), Polymerase chain reaction (PCR) amplification was performed using the KAPA 2G Fast Hot Start Readymix  (RESNOVA, Rome, Italy). Purified PCR products were directly sequenced in both directions using the amplification primers by the ABI PRISM 3130XL automated DNA Sequencer (Applied Biosystems, </w:t>
      </w:r>
      <w:r w:rsidR="00AA2A35" w:rsidRPr="00AA2A35">
        <w:rPr>
          <w:rFonts w:ascii="Book Antiqua" w:hAnsi="Book Antiqua"/>
          <w:lang w:val="en-US"/>
        </w:rPr>
        <w:t>United States</w:t>
      </w:r>
      <w:r w:rsidRPr="00AA2A35">
        <w:rPr>
          <w:rFonts w:ascii="Book Antiqua" w:hAnsi="Book Antiqua"/>
          <w:lang w:val="en-US"/>
        </w:rPr>
        <w:t>). Sequences were analyzed</w:t>
      </w:r>
      <w:r w:rsidR="00A229BC" w:rsidRPr="00AA2A35">
        <w:rPr>
          <w:rFonts w:ascii="Book Antiqua" w:hAnsi="Book Antiqua"/>
          <w:lang w:val="en-US"/>
        </w:rPr>
        <w:t xml:space="preserve"> </w:t>
      </w:r>
      <w:r w:rsidRPr="00AA2A35">
        <w:rPr>
          <w:rFonts w:ascii="Book Antiqua" w:hAnsi="Book Antiqua"/>
          <w:lang w:val="en-US"/>
        </w:rPr>
        <w:t xml:space="preserve">using the Codon Code Aligner v 6.0.2 software. Primers, used for PCR and sequencing were designed using Primer Blast, based on the relative sequence deposited in GeneBank. The specific primers for each variant are listed below: </w:t>
      </w:r>
    </w:p>
    <w:p w14:paraId="00A6D892" w14:textId="77777777" w:rsidR="00D44C96" w:rsidRPr="00AA2A35" w:rsidRDefault="00D44C96" w:rsidP="00D14265">
      <w:pPr>
        <w:spacing w:line="360" w:lineRule="auto"/>
        <w:jc w:val="both"/>
        <w:rPr>
          <w:rFonts w:ascii="Book Antiqua" w:hAnsi="Book Antiqua"/>
          <w:lang w:val="en-US"/>
        </w:rPr>
      </w:pPr>
    </w:p>
    <w:p w14:paraId="1BCF1BA7" w14:textId="77777777" w:rsidR="00D44C96" w:rsidRPr="00AA2A35" w:rsidRDefault="00D44C96" w:rsidP="00D14265">
      <w:pPr>
        <w:spacing w:line="360" w:lineRule="auto"/>
        <w:jc w:val="both"/>
        <w:rPr>
          <w:rFonts w:ascii="Book Antiqua" w:hAnsi="Book Antiqua"/>
          <w:lang w:val="en-US"/>
        </w:rPr>
      </w:pPr>
      <w:r w:rsidRPr="00AA2A35">
        <w:rPr>
          <w:rFonts w:ascii="Book Antiqua" w:hAnsi="Book Antiqua"/>
          <w:lang w:val="en-US"/>
        </w:rPr>
        <w:t>R702W_For 5’-CTTCAACCTTCTGCAGGGC-3’</w:t>
      </w:r>
    </w:p>
    <w:p w14:paraId="73649B80" w14:textId="77777777" w:rsidR="00D44C96" w:rsidRPr="00AA2A35" w:rsidRDefault="00D44C96" w:rsidP="00D14265">
      <w:pPr>
        <w:spacing w:line="360" w:lineRule="auto"/>
        <w:jc w:val="both"/>
        <w:rPr>
          <w:rFonts w:ascii="Book Antiqua" w:hAnsi="Book Antiqua"/>
          <w:lang w:val="en-US"/>
        </w:rPr>
      </w:pPr>
      <w:r w:rsidRPr="00AA2A35">
        <w:rPr>
          <w:rFonts w:ascii="Book Antiqua" w:hAnsi="Book Antiqua"/>
          <w:lang w:val="en-US"/>
        </w:rPr>
        <w:t>R702W_Rev 5’- GGTGGCAGAGGCGAAGCT-3’</w:t>
      </w:r>
    </w:p>
    <w:p w14:paraId="75AE6DED" w14:textId="77777777" w:rsidR="00D44C96" w:rsidRPr="00AA2A35" w:rsidRDefault="00D44C96" w:rsidP="00D14265">
      <w:pPr>
        <w:spacing w:line="360" w:lineRule="auto"/>
        <w:jc w:val="both"/>
        <w:rPr>
          <w:rFonts w:ascii="Book Antiqua" w:hAnsi="Book Antiqua"/>
          <w:lang w:val="en-US"/>
        </w:rPr>
      </w:pPr>
      <w:r w:rsidRPr="00AA2A35">
        <w:rPr>
          <w:rFonts w:ascii="Book Antiqua" w:hAnsi="Book Antiqua"/>
          <w:lang w:val="en-US"/>
        </w:rPr>
        <w:t>R702W_sequencing_For 5’-TGCTGATGTGCCACCAG-3’</w:t>
      </w:r>
    </w:p>
    <w:p w14:paraId="3FBC1F66" w14:textId="77777777" w:rsidR="00D44C96" w:rsidRPr="00AA2A35" w:rsidRDefault="00D44C96" w:rsidP="00D14265">
      <w:pPr>
        <w:spacing w:line="360" w:lineRule="auto"/>
        <w:jc w:val="both"/>
        <w:rPr>
          <w:rFonts w:ascii="Book Antiqua" w:hAnsi="Book Antiqua"/>
          <w:lang w:val="en-US"/>
        </w:rPr>
      </w:pPr>
      <w:r w:rsidRPr="00AA2A35">
        <w:rPr>
          <w:rFonts w:ascii="Book Antiqua" w:hAnsi="Book Antiqua"/>
          <w:lang w:val="en-US"/>
        </w:rPr>
        <w:t>G908R_For 5’-CTGCCCCTCTGGCTGGGACT-3’</w:t>
      </w:r>
    </w:p>
    <w:p w14:paraId="2F0D611A" w14:textId="77777777" w:rsidR="00D44C96" w:rsidRPr="00AA2A35" w:rsidRDefault="00D44C96" w:rsidP="00D14265">
      <w:pPr>
        <w:spacing w:line="360" w:lineRule="auto"/>
        <w:jc w:val="both"/>
        <w:rPr>
          <w:rFonts w:ascii="Book Antiqua" w:hAnsi="Book Antiqua"/>
          <w:lang w:val="en-US"/>
        </w:rPr>
      </w:pPr>
      <w:r w:rsidRPr="00AA2A35">
        <w:rPr>
          <w:rFonts w:ascii="Book Antiqua" w:hAnsi="Book Antiqua"/>
          <w:lang w:val="en-US"/>
        </w:rPr>
        <w:t>G908R_Rev 5’-CCCAGCTCCTCCCTCTTC-3’</w:t>
      </w:r>
    </w:p>
    <w:p w14:paraId="2F52DC24" w14:textId="77777777" w:rsidR="00D44C96" w:rsidRPr="00AA2A35" w:rsidRDefault="00D44C96" w:rsidP="00D14265">
      <w:pPr>
        <w:spacing w:line="360" w:lineRule="auto"/>
        <w:jc w:val="both"/>
        <w:rPr>
          <w:rFonts w:ascii="Book Antiqua" w:hAnsi="Book Antiqua"/>
          <w:lang w:val="en-US"/>
        </w:rPr>
      </w:pPr>
      <w:r w:rsidRPr="00AA2A35">
        <w:rPr>
          <w:rFonts w:ascii="Book Antiqua" w:hAnsi="Book Antiqua"/>
          <w:lang w:val="en-US"/>
        </w:rPr>
        <w:t>L1007Pfs*2_For 5’-GTAGACTGGCTAACTCCTGC-3’</w:t>
      </w:r>
    </w:p>
    <w:p w14:paraId="18D425AD" w14:textId="77777777" w:rsidR="00D44C96" w:rsidRPr="00AA2A35" w:rsidRDefault="00D44C96" w:rsidP="00D14265">
      <w:pPr>
        <w:spacing w:line="360" w:lineRule="auto"/>
        <w:jc w:val="both"/>
        <w:rPr>
          <w:rFonts w:ascii="Book Antiqua" w:hAnsi="Book Antiqua"/>
          <w:lang w:val="en-US"/>
        </w:rPr>
      </w:pPr>
      <w:r w:rsidRPr="00AA2A35">
        <w:rPr>
          <w:rFonts w:ascii="Book Antiqua" w:hAnsi="Book Antiqua"/>
          <w:lang w:val="en-US"/>
        </w:rPr>
        <w:t xml:space="preserve">L1007Pfs*2_Rev 5’-AGGAGGGCGGGAGCTGACTT-3 </w:t>
      </w:r>
    </w:p>
    <w:p w14:paraId="1DB61419" w14:textId="77777777" w:rsidR="00D44C96" w:rsidRPr="00AA2A35" w:rsidRDefault="00D44C96" w:rsidP="00D14265">
      <w:pPr>
        <w:spacing w:line="360" w:lineRule="auto"/>
        <w:jc w:val="both"/>
        <w:rPr>
          <w:rFonts w:ascii="Book Antiqua" w:hAnsi="Book Antiqua"/>
          <w:lang w:val="en-US"/>
        </w:rPr>
      </w:pPr>
    </w:p>
    <w:p w14:paraId="6D2DCA09" w14:textId="77777777" w:rsidR="00D44C96" w:rsidRPr="00AA2A35" w:rsidRDefault="00D44C96" w:rsidP="00D14265">
      <w:pPr>
        <w:pStyle w:val="Heading2"/>
      </w:pPr>
      <w:r w:rsidRPr="00AA2A35">
        <w:t>LPS-Binding Protein and soluble CD14 quantification</w:t>
      </w:r>
    </w:p>
    <w:p w14:paraId="10ACBC00" w14:textId="63C04849" w:rsidR="00D44C96" w:rsidRPr="00AA2A35" w:rsidRDefault="00D44C96" w:rsidP="00D14265">
      <w:pPr>
        <w:spacing w:line="360" w:lineRule="auto"/>
        <w:jc w:val="both"/>
        <w:rPr>
          <w:rFonts w:ascii="Book Antiqua" w:hAnsi="Book Antiqua"/>
          <w:lang w:val="en-US"/>
        </w:rPr>
      </w:pPr>
      <w:r w:rsidRPr="00AA2A35">
        <w:rPr>
          <w:rFonts w:ascii="Book Antiqua" w:hAnsi="Book Antiqua"/>
          <w:lang w:val="en-US"/>
        </w:rPr>
        <w:t>Samples were collected from patients suffering from CD (</w:t>
      </w:r>
      <w:r w:rsidRPr="00AA2A35">
        <w:rPr>
          <w:rFonts w:ascii="Book Antiqua" w:hAnsi="Book Antiqua"/>
          <w:i/>
          <w:lang w:val="en-US"/>
        </w:rPr>
        <w:t>n</w:t>
      </w:r>
      <w:r w:rsidR="00AA2A35" w:rsidRPr="00AA2A35">
        <w:rPr>
          <w:rFonts w:ascii="Book Antiqua" w:eastAsiaTheme="minorEastAsia" w:hAnsi="Book Antiqua" w:hint="eastAsia"/>
          <w:i/>
          <w:lang w:val="en-US" w:eastAsia="zh-CN"/>
        </w:rPr>
        <w:t xml:space="preserve"> </w:t>
      </w:r>
      <w:r w:rsidRPr="00AA2A35">
        <w:rPr>
          <w:rFonts w:ascii="Book Antiqua" w:hAnsi="Book Antiqua"/>
          <w:lang w:val="en-US"/>
        </w:rPr>
        <w:t>=</w:t>
      </w:r>
      <w:r w:rsidR="00AA2A35" w:rsidRPr="00AA2A35">
        <w:rPr>
          <w:rFonts w:ascii="Book Antiqua" w:eastAsiaTheme="minorEastAsia" w:hAnsi="Book Antiqua" w:hint="eastAsia"/>
          <w:lang w:val="en-US" w:eastAsia="zh-CN"/>
        </w:rPr>
        <w:t xml:space="preserve"> </w:t>
      </w:r>
      <w:r w:rsidRPr="00AA2A35">
        <w:rPr>
          <w:rFonts w:ascii="Book Antiqua" w:hAnsi="Book Antiqua"/>
          <w:lang w:val="en-US"/>
        </w:rPr>
        <w:t>27), UC (</w:t>
      </w:r>
      <w:r w:rsidRPr="00AA2A35">
        <w:rPr>
          <w:rFonts w:ascii="Book Antiqua" w:hAnsi="Book Antiqua"/>
          <w:i/>
          <w:lang w:val="en-US"/>
        </w:rPr>
        <w:t>n</w:t>
      </w:r>
      <w:r w:rsidR="00AA2A35" w:rsidRPr="00AA2A35">
        <w:rPr>
          <w:rFonts w:ascii="Book Antiqua" w:eastAsiaTheme="minorEastAsia" w:hAnsi="Book Antiqua" w:hint="eastAsia"/>
          <w:i/>
          <w:lang w:val="en-US" w:eastAsia="zh-CN"/>
        </w:rPr>
        <w:t xml:space="preserve"> </w:t>
      </w:r>
      <w:r w:rsidRPr="00AA2A35">
        <w:rPr>
          <w:rFonts w:ascii="Book Antiqua" w:hAnsi="Book Antiqua"/>
          <w:lang w:val="en-US"/>
        </w:rPr>
        <w:t>=</w:t>
      </w:r>
      <w:r w:rsidR="00AA2A35" w:rsidRPr="00AA2A35">
        <w:rPr>
          <w:rFonts w:ascii="Book Antiqua" w:eastAsiaTheme="minorEastAsia" w:hAnsi="Book Antiqua" w:hint="eastAsia"/>
          <w:lang w:val="en-US" w:eastAsia="zh-CN"/>
        </w:rPr>
        <w:t xml:space="preserve"> </w:t>
      </w:r>
      <w:r w:rsidRPr="00AA2A35">
        <w:rPr>
          <w:rFonts w:ascii="Book Antiqua" w:hAnsi="Book Antiqua"/>
          <w:lang w:val="en-US"/>
        </w:rPr>
        <w:t>22) and from healthy individuals (</w:t>
      </w:r>
      <w:r w:rsidRPr="00AA2A35">
        <w:rPr>
          <w:rFonts w:ascii="Book Antiqua" w:hAnsi="Book Antiqua"/>
          <w:i/>
          <w:lang w:val="en-US"/>
        </w:rPr>
        <w:t>n</w:t>
      </w:r>
      <w:r w:rsidR="00AA2A35" w:rsidRPr="00AA2A35">
        <w:rPr>
          <w:rFonts w:ascii="Book Antiqua" w:eastAsiaTheme="minorEastAsia" w:hAnsi="Book Antiqua" w:hint="eastAsia"/>
          <w:i/>
          <w:lang w:val="en-US" w:eastAsia="zh-CN"/>
        </w:rPr>
        <w:t xml:space="preserve"> </w:t>
      </w:r>
      <w:r w:rsidRPr="00AA2A35">
        <w:rPr>
          <w:rFonts w:ascii="Book Antiqua" w:hAnsi="Book Antiqua"/>
          <w:lang w:val="en-US"/>
        </w:rPr>
        <w:t>=</w:t>
      </w:r>
      <w:r w:rsidR="00AA2A35" w:rsidRPr="00AA2A35">
        <w:rPr>
          <w:rFonts w:ascii="Book Antiqua" w:eastAsiaTheme="minorEastAsia" w:hAnsi="Book Antiqua" w:hint="eastAsia"/>
          <w:lang w:val="en-US" w:eastAsia="zh-CN"/>
        </w:rPr>
        <w:t xml:space="preserve"> </w:t>
      </w:r>
      <w:r w:rsidRPr="00AA2A35">
        <w:rPr>
          <w:rFonts w:ascii="Book Antiqua" w:hAnsi="Book Antiqua"/>
          <w:lang w:val="en-US"/>
        </w:rPr>
        <w:t>36). Plasma samples were obtained by centrifuging heparinized blood at 1300</w:t>
      </w:r>
      <w:r w:rsidR="00AA2A35" w:rsidRPr="00AA2A35">
        <w:rPr>
          <w:rFonts w:ascii="Book Antiqua" w:eastAsiaTheme="minorEastAsia" w:hAnsi="Book Antiqua" w:hint="eastAsia"/>
          <w:lang w:val="en-US" w:eastAsia="zh-CN"/>
        </w:rPr>
        <w:t xml:space="preserve"> </w:t>
      </w:r>
      <w:r w:rsidR="00AA2A35" w:rsidRPr="00AA2A35">
        <w:rPr>
          <w:rFonts w:ascii="Book Antiqua" w:hAnsi="Book Antiqua"/>
          <w:lang w:val="en-US"/>
        </w:rPr>
        <w:sym w:font="Symbol" w:char="F0B4"/>
      </w:r>
      <w:r w:rsidR="00AA2A35" w:rsidRPr="00AA2A35">
        <w:rPr>
          <w:rFonts w:ascii="Book Antiqua" w:eastAsiaTheme="minorEastAsia" w:hAnsi="Book Antiqua" w:hint="eastAsia"/>
          <w:lang w:val="en-US" w:eastAsia="zh-CN"/>
        </w:rPr>
        <w:t xml:space="preserve"> </w:t>
      </w:r>
      <w:r w:rsidRPr="00AA2A35">
        <w:rPr>
          <w:rFonts w:ascii="Book Antiqua" w:hAnsi="Book Antiqua"/>
          <w:i/>
          <w:lang w:val="en-US"/>
        </w:rPr>
        <w:t>g</w:t>
      </w:r>
      <w:r w:rsidRPr="00AA2A35">
        <w:rPr>
          <w:rFonts w:ascii="Book Antiqua" w:hAnsi="Book Antiqua"/>
          <w:lang w:val="en-US"/>
        </w:rPr>
        <w:t xml:space="preserve"> for 10 </w:t>
      </w:r>
      <w:r w:rsidR="00AA2A35" w:rsidRPr="00AA2A35">
        <w:rPr>
          <w:rFonts w:ascii="Book Antiqua" w:eastAsiaTheme="minorEastAsia" w:hAnsi="Book Antiqua" w:hint="eastAsia"/>
          <w:lang w:val="en-US" w:eastAsia="zh-CN"/>
        </w:rPr>
        <w:t>min</w:t>
      </w:r>
      <w:r w:rsidRPr="00AA2A35">
        <w:rPr>
          <w:rFonts w:ascii="Book Antiqua" w:hAnsi="Book Antiqua"/>
          <w:lang w:val="en-US"/>
        </w:rPr>
        <w:t xml:space="preserve"> and were stored at -80°C until LBP and sCD14  levels</w:t>
      </w:r>
      <w:r w:rsidR="00A229BC" w:rsidRPr="00AA2A35">
        <w:rPr>
          <w:rFonts w:ascii="Book Antiqua" w:hAnsi="Book Antiqua"/>
          <w:lang w:val="en-US"/>
        </w:rPr>
        <w:t xml:space="preserve"> </w:t>
      </w:r>
      <w:r w:rsidRPr="00AA2A35">
        <w:rPr>
          <w:rFonts w:ascii="Book Antiqua" w:hAnsi="Book Antiqua"/>
          <w:lang w:val="en-US"/>
        </w:rPr>
        <w:t>were measured.</w:t>
      </w:r>
    </w:p>
    <w:p w14:paraId="4DB501DF" w14:textId="5958CFD3" w:rsidR="00D44C96" w:rsidRPr="00AA2A35" w:rsidRDefault="00D44C96" w:rsidP="00AA2A35">
      <w:pPr>
        <w:spacing w:line="360" w:lineRule="auto"/>
        <w:ind w:firstLineChars="150" w:firstLine="360"/>
        <w:jc w:val="both"/>
        <w:rPr>
          <w:rFonts w:ascii="Book Antiqua" w:hAnsi="Book Antiqua"/>
          <w:lang w:val="en-US"/>
        </w:rPr>
      </w:pPr>
      <w:r w:rsidRPr="00AA2A35">
        <w:rPr>
          <w:rFonts w:ascii="Book Antiqua" w:hAnsi="Book Antiqua"/>
          <w:lang w:val="en-US"/>
        </w:rPr>
        <w:t xml:space="preserve">Quantifications were performed using the LPS-binding Protein (Human) ELISA kit (Abnova, Taipei City, Taiwan) and the human CD14 ELISA kit (RayBio, Norcross GA, </w:t>
      </w:r>
      <w:r w:rsidR="00AA2A35" w:rsidRPr="00AA2A35">
        <w:rPr>
          <w:rFonts w:ascii="Book Antiqua" w:hAnsi="Book Antiqua"/>
          <w:lang w:val="en-US"/>
        </w:rPr>
        <w:t>United States</w:t>
      </w:r>
      <w:r w:rsidRPr="00AA2A35">
        <w:rPr>
          <w:rFonts w:ascii="Book Antiqua" w:hAnsi="Book Antiqua"/>
          <w:lang w:val="en-US"/>
        </w:rPr>
        <w:t>), following the manufacturer’s instructions.</w:t>
      </w:r>
    </w:p>
    <w:p w14:paraId="4061722A" w14:textId="05D75FC9" w:rsidR="00D44C96" w:rsidRPr="00AA2A35" w:rsidRDefault="00D44C96" w:rsidP="00AA2A35">
      <w:pPr>
        <w:spacing w:line="360" w:lineRule="auto"/>
        <w:ind w:firstLineChars="150" w:firstLine="360"/>
        <w:jc w:val="both"/>
        <w:rPr>
          <w:rFonts w:ascii="Book Antiqua" w:hAnsi="Book Antiqua"/>
          <w:lang w:val="en-US"/>
        </w:rPr>
      </w:pPr>
      <w:r w:rsidRPr="00AA2A35">
        <w:rPr>
          <w:rFonts w:ascii="Book Antiqua" w:hAnsi="Book Antiqua"/>
          <w:lang w:val="en-US"/>
        </w:rPr>
        <w:t>Absorptions were measured at 450 nm with a GloMax</w:t>
      </w:r>
      <w:r w:rsidRPr="00AA2A35">
        <w:rPr>
          <w:rFonts w:ascii="Book Antiqua" w:hAnsi="Book Antiqua"/>
          <w:vertAlign w:val="superscript"/>
          <w:lang w:val="en-US"/>
        </w:rPr>
        <w:t>®</w:t>
      </w:r>
      <w:r w:rsidRPr="00AA2A35">
        <w:rPr>
          <w:rFonts w:ascii="Book Antiqua" w:hAnsi="Book Antiqua"/>
          <w:lang w:val="en-US"/>
        </w:rPr>
        <w:t xml:space="preserve">-Multi+ Microplate Multimode Reader (Promega Corporation, Madison, </w:t>
      </w:r>
      <w:r w:rsidR="00AA2A35" w:rsidRPr="00AA2A35">
        <w:rPr>
          <w:rFonts w:ascii="Book Antiqua" w:hAnsi="Book Antiqua"/>
          <w:lang w:val="en-US"/>
        </w:rPr>
        <w:t>United States</w:t>
      </w:r>
      <w:r w:rsidRPr="00AA2A35">
        <w:rPr>
          <w:rFonts w:ascii="Book Antiqua" w:hAnsi="Book Antiqua"/>
          <w:lang w:val="en-US"/>
        </w:rPr>
        <w:t>).</w:t>
      </w:r>
      <w:r w:rsidR="00AA2A35" w:rsidRPr="00AA2A35">
        <w:rPr>
          <w:rFonts w:ascii="Book Antiqua" w:eastAsiaTheme="minorEastAsia" w:hAnsi="Book Antiqua" w:hint="eastAsia"/>
          <w:lang w:val="en-US" w:eastAsia="zh-CN"/>
        </w:rPr>
        <w:t xml:space="preserve">  </w:t>
      </w:r>
      <w:r w:rsidRPr="00AA2A35">
        <w:rPr>
          <w:rFonts w:ascii="Book Antiqua" w:hAnsi="Book Antiqua"/>
          <w:lang w:val="en-US"/>
        </w:rPr>
        <w:t>The concentration</w:t>
      </w:r>
      <w:r w:rsidRPr="00AA2A35">
        <w:rPr>
          <w:rFonts w:ascii="Book Antiqua" w:hAnsi="Book Antiqua"/>
          <w:strike/>
          <w:lang w:val="en-US"/>
        </w:rPr>
        <w:t>s</w:t>
      </w:r>
      <w:r w:rsidRPr="00AA2A35">
        <w:rPr>
          <w:rFonts w:ascii="Book Antiqua" w:hAnsi="Book Antiqua"/>
          <w:lang w:val="en-US"/>
        </w:rPr>
        <w:t xml:space="preserve"> of each sample </w:t>
      </w:r>
      <w:r w:rsidR="00621257" w:rsidRPr="00AA2A35">
        <w:rPr>
          <w:rFonts w:ascii="Book Antiqua" w:hAnsi="Book Antiqua"/>
          <w:lang w:val="en-US"/>
        </w:rPr>
        <w:t>was</w:t>
      </w:r>
      <w:r w:rsidRPr="00AA2A35">
        <w:rPr>
          <w:rFonts w:ascii="Book Antiqua" w:hAnsi="Book Antiqua"/>
          <w:lang w:val="en-US"/>
        </w:rPr>
        <w:t xml:space="preserve"> calculated from the standard curve, obtained by plotting absorbance versus</w:t>
      </w:r>
      <w:r w:rsidR="001125C1" w:rsidRPr="00AA2A35">
        <w:rPr>
          <w:rFonts w:ascii="Book Antiqua" w:hAnsi="Book Antiqua"/>
          <w:lang w:val="en-US"/>
        </w:rPr>
        <w:t xml:space="preserve"> </w:t>
      </w:r>
      <w:r w:rsidRPr="00AA2A35">
        <w:rPr>
          <w:rFonts w:ascii="Book Antiqua" w:hAnsi="Book Antiqua"/>
          <w:lang w:val="en-US"/>
        </w:rPr>
        <w:t xml:space="preserve"> known standards concentrations. </w:t>
      </w:r>
    </w:p>
    <w:p w14:paraId="75658F78" w14:textId="77777777" w:rsidR="00D44C96" w:rsidRPr="00AA2A35" w:rsidRDefault="00D44C96" w:rsidP="00D14265">
      <w:pPr>
        <w:spacing w:line="360" w:lineRule="auto"/>
        <w:jc w:val="both"/>
        <w:rPr>
          <w:rFonts w:ascii="Book Antiqua" w:hAnsi="Book Antiqua"/>
          <w:lang w:val="en-US"/>
        </w:rPr>
      </w:pPr>
    </w:p>
    <w:p w14:paraId="543DE31B" w14:textId="49E2AA6F" w:rsidR="00D44C96" w:rsidRPr="00AA2A35" w:rsidRDefault="00D44C96" w:rsidP="00D14265">
      <w:pPr>
        <w:pStyle w:val="Heading2"/>
      </w:pPr>
      <w:r w:rsidRPr="00AA2A35">
        <w:t xml:space="preserve">Statistical </w:t>
      </w:r>
      <w:r w:rsidR="00AA2A35" w:rsidRPr="00AA2A35">
        <w:t>analysis</w:t>
      </w:r>
    </w:p>
    <w:p w14:paraId="653E6E07" w14:textId="784F37F1" w:rsidR="00D44C96" w:rsidRPr="00AA2A35" w:rsidRDefault="00D44C96" w:rsidP="00D14265">
      <w:pPr>
        <w:spacing w:line="360" w:lineRule="auto"/>
        <w:jc w:val="both"/>
        <w:rPr>
          <w:rFonts w:ascii="Book Antiqua" w:hAnsi="Book Antiqua"/>
          <w:lang w:val="en-US"/>
        </w:rPr>
      </w:pPr>
      <w:r w:rsidRPr="00AA2A35">
        <w:rPr>
          <w:rFonts w:ascii="Book Antiqua" w:hAnsi="Book Antiqua"/>
          <w:lang w:val="en-US"/>
        </w:rPr>
        <w:t>All statistical analyses were performed using GraphPad Prism software version 5 (GraphPad, SanDiego, CA).</w:t>
      </w:r>
    </w:p>
    <w:p w14:paraId="270FFFFA" w14:textId="17B1510C" w:rsidR="00D44C96" w:rsidRPr="00AA2A35" w:rsidRDefault="00D44C96" w:rsidP="00AA2A35">
      <w:pPr>
        <w:spacing w:line="360" w:lineRule="auto"/>
        <w:ind w:firstLineChars="100" w:firstLine="240"/>
        <w:jc w:val="both"/>
        <w:rPr>
          <w:rFonts w:ascii="Book Antiqua" w:hAnsi="Book Antiqua"/>
          <w:lang w:val="en-US"/>
        </w:rPr>
      </w:pPr>
      <w:r w:rsidRPr="00AA2A35">
        <w:rPr>
          <w:rFonts w:ascii="Book Antiqua" w:hAnsi="Book Antiqua"/>
          <w:lang w:val="en-US"/>
        </w:rPr>
        <w:t>Data on intracellular TNF</w:t>
      </w:r>
      <w:r w:rsidRPr="00AA2A35">
        <w:rPr>
          <w:rFonts w:ascii="Times New Roman" w:hAnsi="Times New Roman"/>
          <w:lang w:val="en-US"/>
        </w:rPr>
        <w:t>α</w:t>
      </w:r>
      <w:r w:rsidRPr="00AA2A35">
        <w:rPr>
          <w:rFonts w:ascii="Book Antiqua" w:hAnsi="Book Antiqua"/>
          <w:lang w:val="en-US"/>
        </w:rPr>
        <w:t xml:space="preserve"> production are expressed as mean ± standard error of mean (SEM), while values of plasmatic proteins are described as medians and interquartile ranges and are represented with box plots using Tukey’s whiskers.</w:t>
      </w:r>
    </w:p>
    <w:p w14:paraId="2BDBCFD8" w14:textId="036D235F" w:rsidR="00D44C96" w:rsidRPr="00AA2A35" w:rsidRDefault="00D44C96" w:rsidP="00D14265">
      <w:pPr>
        <w:spacing w:line="360" w:lineRule="auto"/>
        <w:jc w:val="both"/>
        <w:rPr>
          <w:rFonts w:ascii="Book Antiqua" w:hAnsi="Book Antiqua"/>
          <w:lang w:val="en-US"/>
        </w:rPr>
      </w:pPr>
      <w:r w:rsidRPr="00AA2A35">
        <w:rPr>
          <w:rFonts w:ascii="Book Antiqua" w:hAnsi="Book Antiqua"/>
          <w:lang w:val="en-US"/>
        </w:rPr>
        <w:t>Statistical significance was</w:t>
      </w:r>
      <w:r w:rsidR="007677AE" w:rsidRPr="00AA2A35">
        <w:rPr>
          <w:rFonts w:ascii="Book Antiqua" w:hAnsi="Book Antiqua"/>
          <w:lang w:val="en-US"/>
        </w:rPr>
        <w:t xml:space="preserve"> </w:t>
      </w:r>
      <w:r w:rsidRPr="00AA2A35">
        <w:rPr>
          <w:rFonts w:ascii="Book Antiqua" w:hAnsi="Book Antiqua"/>
          <w:lang w:val="en-US"/>
        </w:rPr>
        <w:t>assessed by one-way analysis of variance (ANOVA) with Kruskal-Wallis non-parametric test</w:t>
      </w:r>
      <w:r w:rsidR="009877F4" w:rsidRPr="00AA2A35">
        <w:rPr>
          <w:rFonts w:ascii="Book Antiqua" w:hAnsi="Book Antiqua"/>
          <w:lang w:val="en-US"/>
        </w:rPr>
        <w:t xml:space="preserve"> and</w:t>
      </w:r>
      <w:r w:rsidRPr="00AA2A35">
        <w:rPr>
          <w:rFonts w:ascii="Book Antiqua" w:hAnsi="Book Antiqua"/>
          <w:lang w:val="en-US"/>
        </w:rPr>
        <w:t xml:space="preserve"> denoted by letters (</w:t>
      </w:r>
      <w:r w:rsidR="00AA2A35" w:rsidRPr="00AA2A35">
        <w:rPr>
          <w:rFonts w:ascii="Book Antiqua" w:eastAsiaTheme="minorEastAsia" w:hAnsi="Book Antiqua" w:hint="eastAsia"/>
          <w:vertAlign w:val="superscript"/>
          <w:lang w:val="en-US" w:eastAsia="zh-CN"/>
        </w:rPr>
        <w:t>a</w:t>
      </w:r>
      <w:r w:rsidR="00AA2A35" w:rsidRPr="00AA2A35">
        <w:rPr>
          <w:rFonts w:ascii="Book Antiqua" w:hAnsi="Book Antiqua"/>
          <w:i/>
          <w:lang w:val="en-US"/>
        </w:rPr>
        <w:t>P</w:t>
      </w:r>
      <w:r w:rsidR="00AA2A35" w:rsidRPr="00AA2A35">
        <w:rPr>
          <w:rFonts w:ascii="Book Antiqua" w:eastAsiaTheme="minorEastAsia" w:hAnsi="Book Antiqua" w:hint="eastAsia"/>
          <w:i/>
          <w:lang w:val="en-US" w:eastAsia="zh-CN"/>
        </w:rPr>
        <w:t xml:space="preserve"> </w:t>
      </w:r>
      <w:r w:rsidRPr="00AA2A35">
        <w:rPr>
          <w:rFonts w:ascii="Book Antiqua" w:hAnsi="Book Antiqua"/>
          <w:lang w:val="en-US"/>
        </w:rPr>
        <w:t>&lt; 0.05</w:t>
      </w:r>
      <w:r w:rsidR="00AA2A35" w:rsidRPr="00AA2A35">
        <w:rPr>
          <w:rFonts w:ascii="Book Antiqua" w:eastAsiaTheme="minorEastAsia" w:hAnsi="Book Antiqua" w:hint="eastAsia"/>
          <w:lang w:val="en-US" w:eastAsia="zh-CN"/>
        </w:rPr>
        <w:t>,</w:t>
      </w:r>
      <w:r w:rsidRPr="00AA2A35">
        <w:rPr>
          <w:rFonts w:ascii="Book Antiqua" w:hAnsi="Book Antiqua"/>
          <w:lang w:val="en-US"/>
        </w:rPr>
        <w:t xml:space="preserve"> </w:t>
      </w:r>
      <w:r w:rsidR="00AA2A35" w:rsidRPr="00AA2A35">
        <w:rPr>
          <w:rFonts w:ascii="Book Antiqua" w:eastAsiaTheme="minorEastAsia" w:hAnsi="Book Antiqua" w:hint="eastAsia"/>
          <w:vertAlign w:val="superscript"/>
          <w:lang w:val="en-US" w:eastAsia="zh-CN"/>
        </w:rPr>
        <w:t>b</w:t>
      </w:r>
      <w:r w:rsidR="00AA2A35" w:rsidRPr="00AA2A35">
        <w:rPr>
          <w:rFonts w:ascii="Book Antiqua" w:hAnsi="Book Antiqua"/>
          <w:i/>
          <w:lang w:val="en-US"/>
        </w:rPr>
        <w:t>P</w:t>
      </w:r>
      <w:r w:rsidR="00AA2A35" w:rsidRPr="00AA2A35">
        <w:rPr>
          <w:rFonts w:ascii="Book Antiqua" w:hAnsi="Book Antiqua"/>
          <w:lang w:val="en-US"/>
        </w:rPr>
        <w:t xml:space="preserve"> </w:t>
      </w:r>
      <w:r w:rsidRPr="00AA2A35">
        <w:rPr>
          <w:rFonts w:ascii="Book Antiqua" w:hAnsi="Book Antiqua"/>
          <w:lang w:val="en-US"/>
        </w:rPr>
        <w:t>&lt; 0.01</w:t>
      </w:r>
      <w:r w:rsidR="00AA2A35" w:rsidRPr="00AA2A35">
        <w:rPr>
          <w:rFonts w:ascii="Book Antiqua" w:eastAsiaTheme="minorEastAsia" w:hAnsi="Book Antiqua" w:hint="eastAsia"/>
          <w:lang w:val="en-US" w:eastAsia="zh-CN"/>
        </w:rPr>
        <w:t>,</w:t>
      </w:r>
      <w:r w:rsidRPr="00AA2A35">
        <w:rPr>
          <w:rFonts w:ascii="Book Antiqua" w:hAnsi="Book Antiqua"/>
          <w:lang w:val="en-US"/>
        </w:rPr>
        <w:t xml:space="preserve"> </w:t>
      </w:r>
      <w:r w:rsidR="00AA2A35" w:rsidRPr="00AA2A35">
        <w:rPr>
          <w:rFonts w:ascii="Book Antiqua" w:eastAsiaTheme="minorEastAsia" w:hAnsi="Book Antiqua" w:hint="eastAsia"/>
          <w:vertAlign w:val="superscript"/>
          <w:lang w:val="en-US" w:eastAsia="zh-CN"/>
        </w:rPr>
        <w:t>c</w:t>
      </w:r>
      <w:r w:rsidR="00AA2A35" w:rsidRPr="00AA2A35">
        <w:rPr>
          <w:rFonts w:ascii="Book Antiqua" w:hAnsi="Book Antiqua"/>
          <w:i/>
          <w:lang w:val="en-US"/>
        </w:rPr>
        <w:t>P</w:t>
      </w:r>
      <w:r w:rsidR="00AA2A35" w:rsidRPr="00AA2A35">
        <w:rPr>
          <w:rFonts w:ascii="Book Antiqua" w:hAnsi="Book Antiqua"/>
          <w:lang w:val="en-US"/>
        </w:rPr>
        <w:t xml:space="preserve"> </w:t>
      </w:r>
      <w:r w:rsidRPr="00AA2A35">
        <w:rPr>
          <w:rFonts w:ascii="Book Antiqua" w:hAnsi="Book Antiqua"/>
          <w:lang w:val="en-US"/>
        </w:rPr>
        <w:t xml:space="preserve">&lt; 0.001). </w:t>
      </w:r>
    </w:p>
    <w:p w14:paraId="2AC169E3" w14:textId="77777777" w:rsidR="00D44C96" w:rsidRPr="00AA2A35" w:rsidRDefault="00D44C96" w:rsidP="00D14265">
      <w:pPr>
        <w:spacing w:line="360" w:lineRule="auto"/>
        <w:jc w:val="both"/>
        <w:rPr>
          <w:rFonts w:ascii="Book Antiqua" w:hAnsi="Book Antiqua"/>
          <w:lang w:val="en-US"/>
        </w:rPr>
      </w:pPr>
    </w:p>
    <w:p w14:paraId="5907E9D4" w14:textId="77777777" w:rsidR="00D44C96" w:rsidRPr="00AA2A35" w:rsidRDefault="00D44C96" w:rsidP="00D14265">
      <w:pPr>
        <w:pStyle w:val="Heading1"/>
      </w:pPr>
      <w:r w:rsidRPr="00AA2A35">
        <w:rPr>
          <w:caps w:val="0"/>
        </w:rPr>
        <w:t>RESULTS</w:t>
      </w:r>
    </w:p>
    <w:p w14:paraId="1FA244FB" w14:textId="1A2EEAB2" w:rsidR="00D44C96" w:rsidRPr="00AA2A35" w:rsidRDefault="00D44C96" w:rsidP="00D14265">
      <w:pPr>
        <w:spacing w:line="360" w:lineRule="auto"/>
        <w:jc w:val="both"/>
        <w:rPr>
          <w:rFonts w:ascii="Book Antiqua" w:hAnsi="Book Antiqua"/>
          <w:lang w:val="en-US"/>
        </w:rPr>
      </w:pPr>
      <w:r w:rsidRPr="00AA2A35">
        <w:rPr>
          <w:rFonts w:ascii="Book Antiqua" w:hAnsi="Book Antiqua"/>
          <w:lang w:val="en-US"/>
        </w:rPr>
        <w:lastRenderedPageBreak/>
        <w:t xml:space="preserve">The clinical characteristics of all the patients included in the study are presented in Supplementary Table 1 and summarized in Table 1. </w:t>
      </w:r>
    </w:p>
    <w:p w14:paraId="2F3D184B" w14:textId="77777777" w:rsidR="00D44C96" w:rsidRPr="00AA2A35" w:rsidRDefault="00D44C96" w:rsidP="00D14265">
      <w:pPr>
        <w:spacing w:line="360" w:lineRule="auto"/>
        <w:jc w:val="both"/>
        <w:rPr>
          <w:rFonts w:ascii="Book Antiqua" w:hAnsi="Book Antiqua"/>
          <w:lang w:val="en-US"/>
        </w:rPr>
      </w:pPr>
    </w:p>
    <w:p w14:paraId="1C5559EC" w14:textId="77777777" w:rsidR="00D44C96" w:rsidRPr="00AA2A35" w:rsidRDefault="00D44C96" w:rsidP="00D14265">
      <w:pPr>
        <w:pStyle w:val="Heading2"/>
      </w:pPr>
      <w:r w:rsidRPr="00AA2A35">
        <w:t>Monocyte intracellular TNF</w:t>
      </w:r>
      <w:r w:rsidRPr="00AA2A35">
        <w:rPr>
          <w:rFonts w:ascii="Times New Roman" w:hAnsi="Times New Roman"/>
        </w:rPr>
        <w:t>α</w:t>
      </w:r>
      <w:r w:rsidRPr="00AA2A35">
        <w:t xml:space="preserve"> expression</w:t>
      </w:r>
    </w:p>
    <w:p w14:paraId="11677007" w14:textId="42CDB3A6" w:rsidR="00D44C96" w:rsidRPr="00AA2A35" w:rsidRDefault="00D44C96" w:rsidP="00D14265">
      <w:pPr>
        <w:spacing w:line="360" w:lineRule="auto"/>
        <w:jc w:val="both"/>
        <w:rPr>
          <w:rFonts w:ascii="Book Antiqua" w:hAnsi="Book Antiqua"/>
          <w:lang w:val="en-US"/>
        </w:rPr>
      </w:pPr>
      <w:r w:rsidRPr="00AA2A35">
        <w:rPr>
          <w:rFonts w:ascii="Book Antiqua" w:hAnsi="Book Antiqua"/>
          <w:lang w:val="en-US"/>
        </w:rPr>
        <w:t>To study the production of TNF</w:t>
      </w:r>
      <w:r w:rsidRPr="00AA2A35">
        <w:rPr>
          <w:rFonts w:ascii="Times New Roman" w:hAnsi="Times New Roman"/>
          <w:lang w:val="en-US"/>
        </w:rPr>
        <w:t>α</w:t>
      </w:r>
      <w:r w:rsidRPr="00AA2A35">
        <w:rPr>
          <w:rFonts w:ascii="Book Antiqua" w:hAnsi="Book Antiqua"/>
          <w:lang w:val="en-US"/>
        </w:rPr>
        <w:t xml:space="preserve"> by monocytes, cells were isolated from peripheral blood of patients with CD and UC and of healthy donors (HD). Monocytes were stimulated with TLR and NOD2 purified stimuli: LPS (TLR4 ligand), Pam</w:t>
      </w:r>
      <w:r w:rsidRPr="00AA2A35">
        <w:rPr>
          <w:rFonts w:ascii="Book Antiqua" w:hAnsi="Book Antiqua"/>
          <w:vertAlign w:val="subscript"/>
          <w:lang w:val="en-US"/>
        </w:rPr>
        <w:t>3</w:t>
      </w:r>
      <w:r w:rsidRPr="00AA2A35">
        <w:rPr>
          <w:rFonts w:ascii="Book Antiqua" w:hAnsi="Book Antiqua"/>
          <w:lang w:val="en-US"/>
        </w:rPr>
        <w:t>CSK</w:t>
      </w:r>
      <w:r w:rsidRPr="00AA2A35">
        <w:rPr>
          <w:rFonts w:ascii="Book Antiqua" w:hAnsi="Book Antiqua"/>
          <w:vertAlign w:val="subscript"/>
          <w:lang w:val="en-US"/>
        </w:rPr>
        <w:t>4</w:t>
      </w:r>
      <w:r w:rsidRPr="00AA2A35">
        <w:rPr>
          <w:rFonts w:ascii="Book Antiqua" w:hAnsi="Book Antiqua"/>
          <w:lang w:val="en-US"/>
        </w:rPr>
        <w:t xml:space="preserve"> (TLR2/1 ligand), Poly I:C (TLR3 ligand) and MDP-L18 (NOD2 ligand). TNF</w:t>
      </w:r>
      <w:r w:rsidRPr="00AA2A35">
        <w:rPr>
          <w:rFonts w:ascii="Times New Roman" w:hAnsi="Times New Roman"/>
          <w:lang w:val="en-US"/>
        </w:rPr>
        <w:t>α</w:t>
      </w:r>
      <w:r w:rsidRPr="00AA2A35">
        <w:rPr>
          <w:rFonts w:ascii="Book Antiqua" w:hAnsi="Book Antiqua"/>
          <w:lang w:val="en-US"/>
        </w:rPr>
        <w:t xml:space="preserve"> expression in monocytes was analyzed by flow cytometry after gating on CD14 positive cells.</w:t>
      </w:r>
    </w:p>
    <w:p w14:paraId="48418659" w14:textId="5DA860FD" w:rsidR="00D44C96" w:rsidRPr="00AA2A35" w:rsidRDefault="00D44C96" w:rsidP="00AA2A35">
      <w:pPr>
        <w:spacing w:line="360" w:lineRule="auto"/>
        <w:ind w:firstLineChars="150" w:firstLine="360"/>
        <w:jc w:val="both"/>
        <w:rPr>
          <w:rFonts w:ascii="Book Antiqua" w:hAnsi="Book Antiqua"/>
          <w:lang w:val="en-US"/>
        </w:rPr>
      </w:pPr>
      <w:r w:rsidRPr="00AA2A35">
        <w:rPr>
          <w:rFonts w:ascii="Book Antiqua" w:hAnsi="Book Antiqua"/>
          <w:lang w:val="en-US"/>
        </w:rPr>
        <w:t>Both CD and UC showed increased basal expression of TNF</w:t>
      </w:r>
      <w:r w:rsidRPr="00AA2A35">
        <w:rPr>
          <w:rFonts w:ascii="Times New Roman" w:hAnsi="Times New Roman"/>
          <w:lang w:val="en-US"/>
        </w:rPr>
        <w:t>α</w:t>
      </w:r>
      <w:r w:rsidRPr="00AA2A35">
        <w:rPr>
          <w:rFonts w:ascii="Book Antiqua" w:hAnsi="Book Antiqua"/>
          <w:lang w:val="en-US"/>
        </w:rPr>
        <w:t xml:space="preserve"> (untreated control) compared to healthy donors (HD 4.3</w:t>
      </w:r>
      <w:r w:rsidR="00AA2A35" w:rsidRPr="00AA2A35">
        <w:rPr>
          <w:rFonts w:ascii="Book Antiqua" w:eastAsiaTheme="minorEastAsia" w:hAnsi="Book Antiqua" w:hint="eastAsia"/>
          <w:lang w:val="en-US" w:eastAsia="zh-CN"/>
        </w:rPr>
        <w:t xml:space="preserve"> </w:t>
      </w:r>
      <w:r w:rsidRPr="00AA2A35">
        <w:rPr>
          <w:rFonts w:ascii="Book Antiqua" w:hAnsi="Book Antiqua"/>
          <w:lang w:val="en-US"/>
        </w:rPr>
        <w:t>±</w:t>
      </w:r>
      <w:r w:rsidR="00AA2A35" w:rsidRPr="00AA2A35">
        <w:rPr>
          <w:rFonts w:ascii="Book Antiqua" w:eastAsiaTheme="minorEastAsia" w:hAnsi="Book Antiqua" w:hint="eastAsia"/>
          <w:lang w:val="en-US" w:eastAsia="zh-CN"/>
        </w:rPr>
        <w:t xml:space="preserve"> </w:t>
      </w:r>
      <w:r w:rsidRPr="00AA2A35">
        <w:rPr>
          <w:rFonts w:ascii="Book Antiqua" w:hAnsi="Book Antiqua"/>
          <w:lang w:val="en-US"/>
        </w:rPr>
        <w:t>0.4; CD 14.5</w:t>
      </w:r>
      <w:r w:rsidR="00AA2A35" w:rsidRPr="00AA2A35">
        <w:rPr>
          <w:rFonts w:ascii="Book Antiqua" w:eastAsiaTheme="minorEastAsia" w:hAnsi="Book Antiqua" w:hint="eastAsia"/>
          <w:lang w:val="en-US" w:eastAsia="zh-CN"/>
        </w:rPr>
        <w:t xml:space="preserve"> </w:t>
      </w:r>
      <w:r w:rsidRPr="00AA2A35">
        <w:rPr>
          <w:rFonts w:ascii="Book Antiqua" w:hAnsi="Book Antiqua"/>
          <w:lang w:val="en-US"/>
        </w:rPr>
        <w:t>±</w:t>
      </w:r>
      <w:r w:rsidR="00AA2A35" w:rsidRPr="00AA2A35">
        <w:rPr>
          <w:rFonts w:ascii="Book Antiqua" w:eastAsiaTheme="minorEastAsia" w:hAnsi="Book Antiqua" w:hint="eastAsia"/>
          <w:lang w:val="en-US" w:eastAsia="zh-CN"/>
        </w:rPr>
        <w:t xml:space="preserve"> </w:t>
      </w:r>
      <w:r w:rsidRPr="00AA2A35">
        <w:rPr>
          <w:rFonts w:ascii="Book Antiqua" w:hAnsi="Book Antiqua"/>
          <w:lang w:val="en-US"/>
        </w:rPr>
        <w:t xml:space="preserve">2.5, </w:t>
      </w:r>
      <w:r w:rsidR="00AA2A35" w:rsidRPr="00AA2A35">
        <w:rPr>
          <w:rFonts w:ascii="Book Antiqua" w:hAnsi="Book Antiqua"/>
          <w:i/>
          <w:lang w:val="en-US"/>
        </w:rPr>
        <w:t>P</w:t>
      </w:r>
      <w:r w:rsidR="00AA2A35" w:rsidRPr="00AA2A35">
        <w:rPr>
          <w:rFonts w:ascii="Book Antiqua" w:eastAsiaTheme="minorEastAsia" w:hAnsi="Book Antiqua" w:hint="eastAsia"/>
          <w:lang w:val="en-US" w:eastAsia="zh-CN"/>
        </w:rPr>
        <w:t xml:space="preserve"> </w:t>
      </w:r>
      <w:r w:rsidRPr="00AA2A35">
        <w:rPr>
          <w:rFonts w:ascii="Book Antiqua" w:hAnsi="Book Antiqua"/>
          <w:lang w:val="en-US"/>
        </w:rPr>
        <w:t>&lt;</w:t>
      </w:r>
      <w:r w:rsidR="00AA2A35" w:rsidRPr="00AA2A35">
        <w:rPr>
          <w:rFonts w:ascii="Book Antiqua" w:eastAsiaTheme="minorEastAsia" w:hAnsi="Book Antiqua" w:hint="eastAsia"/>
          <w:lang w:val="en-US" w:eastAsia="zh-CN"/>
        </w:rPr>
        <w:t xml:space="preserve"> </w:t>
      </w:r>
      <w:r w:rsidRPr="00AA2A35">
        <w:rPr>
          <w:rFonts w:ascii="Book Antiqua" w:hAnsi="Book Antiqua"/>
          <w:lang w:val="en-US"/>
        </w:rPr>
        <w:t>0.01; UC 10.7</w:t>
      </w:r>
      <w:r w:rsidR="00AA2A35" w:rsidRPr="00AA2A35">
        <w:rPr>
          <w:rFonts w:ascii="Book Antiqua" w:eastAsiaTheme="minorEastAsia" w:hAnsi="Book Antiqua" w:hint="eastAsia"/>
          <w:lang w:val="en-US" w:eastAsia="zh-CN"/>
        </w:rPr>
        <w:t xml:space="preserve"> </w:t>
      </w:r>
      <w:r w:rsidRPr="00AA2A35">
        <w:rPr>
          <w:rFonts w:ascii="Book Antiqua" w:hAnsi="Book Antiqua"/>
          <w:lang w:val="en-US"/>
        </w:rPr>
        <w:t>±</w:t>
      </w:r>
      <w:r w:rsidR="00AA2A35" w:rsidRPr="00AA2A35">
        <w:rPr>
          <w:rFonts w:ascii="Book Antiqua" w:eastAsiaTheme="minorEastAsia" w:hAnsi="Book Antiqua" w:hint="eastAsia"/>
          <w:lang w:val="en-US" w:eastAsia="zh-CN"/>
        </w:rPr>
        <w:t xml:space="preserve"> </w:t>
      </w:r>
      <w:r w:rsidRPr="00AA2A35">
        <w:rPr>
          <w:rFonts w:ascii="Book Antiqua" w:hAnsi="Book Antiqua"/>
          <w:lang w:val="en-US"/>
        </w:rPr>
        <w:t xml:space="preserve">1.9, </w:t>
      </w:r>
      <w:r w:rsidR="00AA2A35" w:rsidRPr="00AA2A35">
        <w:rPr>
          <w:rFonts w:ascii="Book Antiqua" w:hAnsi="Book Antiqua"/>
          <w:i/>
          <w:lang w:val="en-US"/>
        </w:rPr>
        <w:t>P</w:t>
      </w:r>
      <w:r w:rsidR="00AA2A35" w:rsidRPr="00AA2A35">
        <w:rPr>
          <w:rFonts w:ascii="Book Antiqua" w:hAnsi="Book Antiqua"/>
          <w:lang w:val="en-US"/>
        </w:rPr>
        <w:t xml:space="preserve"> </w:t>
      </w:r>
      <w:r w:rsidRPr="00AA2A35">
        <w:rPr>
          <w:rFonts w:ascii="Book Antiqua" w:hAnsi="Book Antiqua"/>
          <w:lang w:val="en-US"/>
        </w:rPr>
        <w:t>&lt;</w:t>
      </w:r>
      <w:r w:rsidR="00AA2A35" w:rsidRPr="00AA2A35">
        <w:rPr>
          <w:rFonts w:ascii="Book Antiqua" w:eastAsiaTheme="minorEastAsia" w:hAnsi="Book Antiqua" w:hint="eastAsia"/>
          <w:lang w:val="en-US" w:eastAsia="zh-CN"/>
        </w:rPr>
        <w:t xml:space="preserve"> </w:t>
      </w:r>
      <w:r w:rsidRPr="00AA2A35">
        <w:rPr>
          <w:rFonts w:ascii="Book Antiqua" w:hAnsi="Book Antiqua"/>
          <w:lang w:val="en-US"/>
        </w:rPr>
        <w:t>0.05) (Figure 1A).</w:t>
      </w:r>
    </w:p>
    <w:p w14:paraId="14CBDAF4" w14:textId="1E7A9077" w:rsidR="00D44C96" w:rsidRPr="00AA2A35" w:rsidRDefault="00D44C96" w:rsidP="00AA2A35">
      <w:pPr>
        <w:spacing w:line="360" w:lineRule="auto"/>
        <w:ind w:firstLineChars="150" w:firstLine="360"/>
        <w:jc w:val="both"/>
        <w:rPr>
          <w:rFonts w:ascii="Book Antiqua" w:hAnsi="Book Antiqua"/>
          <w:lang w:val="en-US"/>
        </w:rPr>
      </w:pPr>
      <w:r w:rsidRPr="00AA2A35">
        <w:rPr>
          <w:rFonts w:ascii="Book Antiqua" w:hAnsi="Book Antiqua"/>
          <w:lang w:val="en-US"/>
        </w:rPr>
        <w:t>After stimulation with Pam</w:t>
      </w:r>
      <w:r w:rsidRPr="00AA2A35">
        <w:rPr>
          <w:rFonts w:ascii="Book Antiqua" w:hAnsi="Book Antiqua"/>
          <w:vertAlign w:val="subscript"/>
          <w:lang w:val="en-US"/>
        </w:rPr>
        <w:t>3</w:t>
      </w:r>
      <w:r w:rsidRPr="00AA2A35">
        <w:rPr>
          <w:rFonts w:ascii="Book Antiqua" w:hAnsi="Book Antiqua"/>
          <w:lang w:val="en-US"/>
        </w:rPr>
        <w:t>CSK</w:t>
      </w:r>
      <w:r w:rsidRPr="00AA2A35">
        <w:rPr>
          <w:rFonts w:ascii="Book Antiqua" w:hAnsi="Book Antiqua"/>
          <w:vertAlign w:val="subscript"/>
          <w:lang w:val="en-US"/>
        </w:rPr>
        <w:t>4</w:t>
      </w:r>
      <w:r w:rsidRPr="00AA2A35">
        <w:rPr>
          <w:rFonts w:ascii="Book Antiqua" w:hAnsi="Book Antiqua"/>
          <w:lang w:val="en-US"/>
        </w:rPr>
        <w:t xml:space="preserve"> (TLR2/1 ligand), a higher percentage of activated monocytes producing TNF</w:t>
      </w:r>
      <w:r w:rsidRPr="00AA2A35">
        <w:rPr>
          <w:rFonts w:ascii="Times New Roman" w:hAnsi="Times New Roman"/>
          <w:lang w:val="en-US"/>
        </w:rPr>
        <w:t>α</w:t>
      </w:r>
      <w:r w:rsidRPr="00AA2A35">
        <w:rPr>
          <w:rFonts w:ascii="Book Antiqua" w:hAnsi="Book Antiqua"/>
          <w:lang w:val="en-US"/>
        </w:rPr>
        <w:t xml:space="preserve"> was recorde</w:t>
      </w:r>
      <w:r w:rsidR="00AA2A35" w:rsidRPr="00AA2A35">
        <w:rPr>
          <w:rFonts w:ascii="Book Antiqua" w:hAnsi="Book Antiqua"/>
          <w:lang w:val="en-US"/>
        </w:rPr>
        <w:t xml:space="preserve">d in CD compared with HD (CD </w:t>
      </w:r>
      <w:r w:rsidR="00AA2A35" w:rsidRPr="00AA2A35">
        <w:rPr>
          <w:rFonts w:ascii="Book Antiqua" w:hAnsi="Book Antiqua"/>
          <w:i/>
          <w:lang w:val="en-US"/>
        </w:rPr>
        <w:t>vs</w:t>
      </w:r>
      <w:r w:rsidRPr="00AA2A35">
        <w:rPr>
          <w:rFonts w:ascii="Book Antiqua" w:hAnsi="Book Antiqua"/>
          <w:lang w:val="en-US"/>
        </w:rPr>
        <w:t xml:space="preserve"> HD: 68.4</w:t>
      </w:r>
      <w:r w:rsidR="00AA2A35" w:rsidRPr="00AA2A35">
        <w:rPr>
          <w:rFonts w:ascii="Book Antiqua" w:eastAsiaTheme="minorEastAsia" w:hAnsi="Book Antiqua" w:hint="eastAsia"/>
          <w:lang w:val="en-US" w:eastAsia="zh-CN"/>
        </w:rPr>
        <w:t xml:space="preserve"> </w:t>
      </w:r>
      <w:r w:rsidRPr="00AA2A35">
        <w:rPr>
          <w:rFonts w:ascii="Book Antiqua" w:hAnsi="Book Antiqua"/>
          <w:lang w:val="en-US"/>
        </w:rPr>
        <w:t>±</w:t>
      </w:r>
      <w:r w:rsidR="00AA2A35" w:rsidRPr="00AA2A35">
        <w:rPr>
          <w:rFonts w:ascii="Book Antiqua" w:eastAsiaTheme="minorEastAsia" w:hAnsi="Book Antiqua" w:hint="eastAsia"/>
          <w:lang w:val="en-US" w:eastAsia="zh-CN"/>
        </w:rPr>
        <w:t xml:space="preserve"> </w:t>
      </w:r>
      <w:r w:rsidRPr="00AA2A35">
        <w:rPr>
          <w:rFonts w:ascii="Book Antiqua" w:hAnsi="Book Antiqua"/>
          <w:lang w:val="en-US"/>
        </w:rPr>
        <w:t xml:space="preserve">2.7 </w:t>
      </w:r>
      <w:r w:rsidR="00AA2A35" w:rsidRPr="00AA2A35">
        <w:rPr>
          <w:rFonts w:ascii="Book Antiqua" w:hAnsi="Book Antiqua"/>
          <w:i/>
          <w:lang w:val="en-US"/>
        </w:rPr>
        <w:t>vs</w:t>
      </w:r>
      <w:r w:rsidRPr="00AA2A35">
        <w:rPr>
          <w:rFonts w:ascii="Book Antiqua" w:hAnsi="Book Antiqua"/>
          <w:lang w:val="en-US"/>
        </w:rPr>
        <w:t xml:space="preserve"> 55.6</w:t>
      </w:r>
      <w:r w:rsidR="00AA2A35" w:rsidRPr="00AA2A35">
        <w:rPr>
          <w:rFonts w:ascii="Book Antiqua" w:eastAsiaTheme="minorEastAsia" w:hAnsi="Book Antiqua" w:hint="eastAsia"/>
          <w:lang w:val="en-US" w:eastAsia="zh-CN"/>
        </w:rPr>
        <w:t xml:space="preserve"> </w:t>
      </w:r>
      <w:r w:rsidRPr="00AA2A35">
        <w:rPr>
          <w:rFonts w:ascii="Book Antiqua" w:hAnsi="Book Antiqua"/>
          <w:lang w:val="en-US"/>
        </w:rPr>
        <w:t>±</w:t>
      </w:r>
      <w:r w:rsidR="00AA2A35" w:rsidRPr="00AA2A35">
        <w:rPr>
          <w:rFonts w:ascii="Book Antiqua" w:eastAsiaTheme="minorEastAsia" w:hAnsi="Book Antiqua" w:hint="eastAsia"/>
          <w:lang w:val="en-US" w:eastAsia="zh-CN"/>
        </w:rPr>
        <w:t xml:space="preserve"> </w:t>
      </w:r>
      <w:r w:rsidRPr="00AA2A35">
        <w:rPr>
          <w:rFonts w:ascii="Book Antiqua" w:hAnsi="Book Antiqua"/>
          <w:lang w:val="en-US"/>
        </w:rPr>
        <w:t>2.1</w:t>
      </w:r>
      <w:r w:rsidR="00AA2A35" w:rsidRPr="00AA2A35">
        <w:rPr>
          <w:rFonts w:ascii="Book Antiqua" w:eastAsiaTheme="minorEastAsia" w:hAnsi="Book Antiqua" w:hint="eastAsia"/>
          <w:lang w:val="en-US" w:eastAsia="zh-CN"/>
        </w:rPr>
        <w:t xml:space="preserve">, </w:t>
      </w:r>
      <w:r w:rsidR="00AA2A35" w:rsidRPr="00AA2A35">
        <w:rPr>
          <w:rFonts w:ascii="Book Antiqua" w:hAnsi="Book Antiqua"/>
          <w:i/>
          <w:lang w:val="en-US"/>
        </w:rPr>
        <w:t>P</w:t>
      </w:r>
      <w:r w:rsidR="00AA2A35" w:rsidRPr="00AA2A35">
        <w:rPr>
          <w:rFonts w:ascii="Book Antiqua" w:eastAsiaTheme="minorEastAsia" w:hAnsi="Book Antiqua"/>
          <w:i/>
          <w:lang w:val="en-US" w:eastAsia="zh-CN"/>
        </w:rPr>
        <w:t xml:space="preserve"> </w:t>
      </w:r>
      <w:r w:rsidRPr="00AA2A35">
        <w:rPr>
          <w:rFonts w:ascii="Book Antiqua" w:hAnsi="Book Antiqua"/>
          <w:lang w:val="en-US"/>
        </w:rPr>
        <w:t>&lt;</w:t>
      </w:r>
      <w:r w:rsidR="00AA2A35" w:rsidRPr="00AA2A35">
        <w:rPr>
          <w:rFonts w:ascii="Book Antiqua" w:eastAsiaTheme="minorEastAsia" w:hAnsi="Book Antiqua" w:hint="eastAsia"/>
          <w:lang w:val="en-US" w:eastAsia="zh-CN"/>
        </w:rPr>
        <w:t xml:space="preserve"> </w:t>
      </w:r>
      <w:r w:rsidRPr="00AA2A35">
        <w:rPr>
          <w:rFonts w:ascii="Book Antiqua" w:hAnsi="Book Antiqua"/>
          <w:lang w:val="en-US"/>
        </w:rPr>
        <w:t>0.01) (Figure 1B), while stimulation with MDP-L18 (NOD2 ligand) induced a significant higher production of TNF</w:t>
      </w:r>
      <w:r w:rsidRPr="00AA2A35">
        <w:rPr>
          <w:rFonts w:ascii="Times New Roman" w:hAnsi="Times New Roman"/>
          <w:lang w:val="en-US"/>
        </w:rPr>
        <w:t>α</w:t>
      </w:r>
      <w:r w:rsidRPr="00AA2A35">
        <w:rPr>
          <w:rFonts w:ascii="Book Antiqua" w:hAnsi="Book Antiqua"/>
          <w:lang w:val="en-US"/>
        </w:rPr>
        <w:t xml:space="preserve"> in CD compared to both HD and UC (CD 44.2</w:t>
      </w:r>
      <w:r w:rsidR="00AA2A35" w:rsidRPr="00AA2A35">
        <w:rPr>
          <w:rFonts w:ascii="Book Antiqua" w:eastAsiaTheme="minorEastAsia" w:hAnsi="Book Antiqua" w:hint="eastAsia"/>
          <w:lang w:val="en-US" w:eastAsia="zh-CN"/>
        </w:rPr>
        <w:t xml:space="preserve"> </w:t>
      </w:r>
      <w:r w:rsidRPr="00AA2A35">
        <w:rPr>
          <w:rFonts w:ascii="Book Antiqua" w:hAnsi="Book Antiqua"/>
          <w:lang w:val="en-US"/>
        </w:rPr>
        <w:t>±</w:t>
      </w:r>
      <w:r w:rsidR="00AA2A35" w:rsidRPr="00AA2A35">
        <w:rPr>
          <w:rFonts w:ascii="Book Antiqua" w:eastAsiaTheme="minorEastAsia" w:hAnsi="Book Antiqua" w:hint="eastAsia"/>
          <w:lang w:val="en-US" w:eastAsia="zh-CN"/>
        </w:rPr>
        <w:t xml:space="preserve"> </w:t>
      </w:r>
      <w:r w:rsidRPr="00AA2A35">
        <w:rPr>
          <w:rFonts w:ascii="Book Antiqua" w:hAnsi="Book Antiqua"/>
          <w:lang w:val="en-US"/>
        </w:rPr>
        <w:t>3.0; UC 30.2</w:t>
      </w:r>
      <w:r w:rsidR="00AA2A35" w:rsidRPr="00AA2A35">
        <w:rPr>
          <w:rFonts w:ascii="Book Antiqua" w:eastAsiaTheme="minorEastAsia" w:hAnsi="Book Antiqua" w:hint="eastAsia"/>
          <w:lang w:val="en-US" w:eastAsia="zh-CN"/>
        </w:rPr>
        <w:t xml:space="preserve"> </w:t>
      </w:r>
      <w:r w:rsidRPr="00AA2A35">
        <w:rPr>
          <w:rFonts w:ascii="Book Antiqua" w:hAnsi="Book Antiqua"/>
          <w:lang w:val="en-US"/>
        </w:rPr>
        <w:t>±</w:t>
      </w:r>
      <w:r w:rsidR="00AA2A35" w:rsidRPr="00AA2A35">
        <w:rPr>
          <w:rFonts w:ascii="Book Antiqua" w:eastAsiaTheme="minorEastAsia" w:hAnsi="Book Antiqua" w:hint="eastAsia"/>
          <w:lang w:val="en-US" w:eastAsia="zh-CN"/>
        </w:rPr>
        <w:t xml:space="preserve"> </w:t>
      </w:r>
      <w:r w:rsidRPr="00AA2A35">
        <w:rPr>
          <w:rFonts w:ascii="Book Antiqua" w:hAnsi="Book Antiqua"/>
          <w:lang w:val="en-US"/>
        </w:rPr>
        <w:t>3.0,</w:t>
      </w:r>
      <w:r w:rsidR="00AA2A35" w:rsidRPr="00AA2A35">
        <w:rPr>
          <w:rFonts w:ascii="Book Antiqua" w:hAnsi="Book Antiqua"/>
          <w:i/>
          <w:lang w:val="en-US"/>
        </w:rPr>
        <w:t xml:space="preserve"> P</w:t>
      </w:r>
      <w:r w:rsidR="00AA2A35" w:rsidRPr="00AA2A35">
        <w:rPr>
          <w:rFonts w:ascii="Book Antiqua" w:hAnsi="Book Antiqua"/>
          <w:lang w:val="en-US"/>
        </w:rPr>
        <w:t xml:space="preserve"> </w:t>
      </w:r>
      <w:r w:rsidRPr="00AA2A35">
        <w:rPr>
          <w:rFonts w:ascii="Book Antiqua" w:hAnsi="Book Antiqua"/>
          <w:lang w:val="en-US"/>
        </w:rPr>
        <w:t>&lt;</w:t>
      </w:r>
      <w:r w:rsidR="00AA2A35" w:rsidRPr="00AA2A35">
        <w:rPr>
          <w:rFonts w:ascii="Book Antiqua" w:eastAsiaTheme="minorEastAsia" w:hAnsi="Book Antiqua" w:hint="eastAsia"/>
          <w:lang w:val="en-US" w:eastAsia="zh-CN"/>
        </w:rPr>
        <w:t xml:space="preserve"> </w:t>
      </w:r>
      <w:r w:rsidRPr="00AA2A35">
        <w:rPr>
          <w:rFonts w:ascii="Book Antiqua" w:hAnsi="Book Antiqua"/>
          <w:lang w:val="en-US"/>
        </w:rPr>
        <w:t>0.01; HD 24.9</w:t>
      </w:r>
      <w:r w:rsidR="00AA2A35" w:rsidRPr="00AA2A35">
        <w:rPr>
          <w:rFonts w:ascii="Book Antiqua" w:eastAsiaTheme="minorEastAsia" w:hAnsi="Book Antiqua" w:hint="eastAsia"/>
          <w:lang w:val="en-US" w:eastAsia="zh-CN"/>
        </w:rPr>
        <w:t xml:space="preserve"> </w:t>
      </w:r>
      <w:r w:rsidRPr="00AA2A35">
        <w:rPr>
          <w:rFonts w:ascii="Book Antiqua" w:hAnsi="Book Antiqua"/>
          <w:lang w:val="en-US"/>
        </w:rPr>
        <w:t>±</w:t>
      </w:r>
      <w:r w:rsidR="00AA2A35" w:rsidRPr="00AA2A35">
        <w:rPr>
          <w:rFonts w:ascii="Book Antiqua" w:eastAsiaTheme="minorEastAsia" w:hAnsi="Book Antiqua" w:hint="eastAsia"/>
          <w:lang w:val="en-US" w:eastAsia="zh-CN"/>
        </w:rPr>
        <w:t xml:space="preserve"> </w:t>
      </w:r>
      <w:r w:rsidRPr="00AA2A35">
        <w:rPr>
          <w:rFonts w:ascii="Book Antiqua" w:hAnsi="Book Antiqua"/>
          <w:lang w:val="en-US"/>
        </w:rPr>
        <w:t xml:space="preserve">1.4, </w:t>
      </w:r>
      <w:r w:rsidR="00AA2A35" w:rsidRPr="00AA2A35">
        <w:rPr>
          <w:rFonts w:ascii="Book Antiqua" w:hAnsi="Book Antiqua"/>
          <w:i/>
          <w:lang w:val="en-US"/>
        </w:rPr>
        <w:t>P</w:t>
      </w:r>
      <w:r w:rsidR="00AA2A35" w:rsidRPr="00AA2A35">
        <w:rPr>
          <w:rFonts w:ascii="Book Antiqua" w:hAnsi="Book Antiqua"/>
          <w:lang w:val="en-US"/>
        </w:rPr>
        <w:t xml:space="preserve"> </w:t>
      </w:r>
      <w:r w:rsidRPr="00AA2A35">
        <w:rPr>
          <w:rFonts w:ascii="Book Antiqua" w:hAnsi="Book Antiqua"/>
          <w:lang w:val="en-US"/>
        </w:rPr>
        <w:t>&lt;</w:t>
      </w:r>
      <w:r w:rsidR="00AA2A35" w:rsidRPr="00AA2A35">
        <w:rPr>
          <w:rFonts w:ascii="Book Antiqua" w:eastAsiaTheme="minorEastAsia" w:hAnsi="Book Antiqua" w:hint="eastAsia"/>
          <w:lang w:val="en-US" w:eastAsia="zh-CN"/>
        </w:rPr>
        <w:t xml:space="preserve"> </w:t>
      </w:r>
      <w:r w:rsidRPr="00AA2A35">
        <w:rPr>
          <w:rFonts w:ascii="Book Antiqua" w:hAnsi="Book Antiqua"/>
          <w:lang w:val="en-US"/>
        </w:rPr>
        <w:t xml:space="preserve">0.001) (Figure 1C). </w:t>
      </w:r>
    </w:p>
    <w:p w14:paraId="6B9B7537" w14:textId="5878E3BC" w:rsidR="00D44C96" w:rsidRPr="00AA2A35" w:rsidRDefault="00D44C96" w:rsidP="00AA2A35">
      <w:pPr>
        <w:spacing w:line="360" w:lineRule="auto"/>
        <w:ind w:firstLineChars="150" w:firstLine="360"/>
        <w:jc w:val="both"/>
        <w:rPr>
          <w:rFonts w:ascii="Book Antiqua" w:hAnsi="Book Antiqua"/>
          <w:lang w:val="en-US"/>
        </w:rPr>
      </w:pPr>
      <w:r w:rsidRPr="00AA2A35">
        <w:rPr>
          <w:rFonts w:ascii="Book Antiqua" w:hAnsi="Book Antiqua"/>
          <w:lang w:val="en-US"/>
        </w:rPr>
        <w:t>Stimulation with LPS (TLR4 ligand) or Poly I:C (TLR3 ligand) did not lead to</w:t>
      </w:r>
      <w:r w:rsidR="00A367CB" w:rsidRPr="00AA2A35">
        <w:rPr>
          <w:rFonts w:ascii="Book Antiqua" w:hAnsi="Book Antiqua"/>
          <w:lang w:val="en-US"/>
        </w:rPr>
        <w:t xml:space="preserve"> </w:t>
      </w:r>
      <w:r w:rsidRPr="00AA2A35">
        <w:rPr>
          <w:rFonts w:ascii="Book Antiqua" w:hAnsi="Book Antiqua"/>
          <w:lang w:val="en-US"/>
        </w:rPr>
        <w:t>significant differences</w:t>
      </w:r>
      <w:r w:rsidR="00A367CB" w:rsidRPr="00AA2A35">
        <w:rPr>
          <w:rFonts w:ascii="Book Antiqua" w:hAnsi="Book Antiqua"/>
          <w:lang w:val="en-US"/>
        </w:rPr>
        <w:t xml:space="preserve"> </w:t>
      </w:r>
      <w:r w:rsidRPr="00AA2A35">
        <w:rPr>
          <w:rFonts w:ascii="Book Antiqua" w:hAnsi="Book Antiqua"/>
          <w:lang w:val="en-US"/>
        </w:rPr>
        <w:t>among the three groups (respectively Figure 1D and Figure 1E).</w:t>
      </w:r>
    </w:p>
    <w:p w14:paraId="45ECB01F" w14:textId="77777777" w:rsidR="00D44C96" w:rsidRPr="00AA2A35" w:rsidRDefault="00D44C96" w:rsidP="00D14265">
      <w:pPr>
        <w:jc w:val="both"/>
        <w:rPr>
          <w:lang w:val="en-US"/>
        </w:rPr>
      </w:pPr>
    </w:p>
    <w:p w14:paraId="242D79E4" w14:textId="77777777" w:rsidR="00D44C96" w:rsidRPr="00AA2A35" w:rsidRDefault="00D44C96" w:rsidP="00D14265">
      <w:pPr>
        <w:pStyle w:val="Heading2"/>
      </w:pPr>
      <w:r w:rsidRPr="00AA2A35">
        <w:t>TNF</w:t>
      </w:r>
      <w:r w:rsidRPr="00AA2A35">
        <w:rPr>
          <w:rFonts w:ascii="Times New Roman" w:hAnsi="Times New Roman"/>
        </w:rPr>
        <w:t>α expression and</w:t>
      </w:r>
      <w:r w:rsidRPr="00AA2A35">
        <w:t xml:space="preserve"> NOD2 genotype </w:t>
      </w:r>
    </w:p>
    <w:p w14:paraId="36888A8B" w14:textId="15970075" w:rsidR="00D44C96" w:rsidRPr="00AA2A35" w:rsidRDefault="00D44C96" w:rsidP="00D14265">
      <w:pPr>
        <w:spacing w:line="360" w:lineRule="auto"/>
        <w:jc w:val="both"/>
        <w:rPr>
          <w:rFonts w:ascii="Book Antiqua" w:hAnsi="Book Antiqua"/>
          <w:lang w:val="en-US"/>
        </w:rPr>
      </w:pPr>
      <w:r w:rsidRPr="00AA2A35">
        <w:rPr>
          <w:rFonts w:ascii="Book Antiqua" w:hAnsi="Book Antiqua"/>
          <w:lang w:val="en-US"/>
        </w:rPr>
        <w:t>A genetic survey was carried out</w:t>
      </w:r>
      <w:r w:rsidR="005977E2" w:rsidRPr="00AA2A35">
        <w:rPr>
          <w:rFonts w:ascii="Book Antiqua" w:hAnsi="Book Antiqua"/>
          <w:lang w:val="en-US"/>
        </w:rPr>
        <w:t xml:space="preserve"> </w:t>
      </w:r>
      <w:r w:rsidRPr="00AA2A35">
        <w:rPr>
          <w:rFonts w:ascii="Book Antiqua" w:hAnsi="Book Antiqua"/>
          <w:lang w:val="en-US"/>
        </w:rPr>
        <w:t xml:space="preserve">on 36 </w:t>
      </w:r>
      <w:r w:rsidR="00701547" w:rsidRPr="00AA2A35">
        <w:rPr>
          <w:rFonts w:ascii="Book Antiqua" w:hAnsi="Book Antiqua"/>
          <w:lang w:val="en-US"/>
        </w:rPr>
        <w:t xml:space="preserve">available </w:t>
      </w:r>
      <w:r w:rsidRPr="00AA2A35">
        <w:rPr>
          <w:rFonts w:ascii="Book Antiqua" w:hAnsi="Book Antiqua"/>
          <w:lang w:val="en-US"/>
        </w:rPr>
        <w:t>patients with CD (out of 38).</w:t>
      </w:r>
      <w:r w:rsidR="00AA2A35" w:rsidRPr="00AA2A35">
        <w:rPr>
          <w:rFonts w:ascii="Book Antiqua" w:eastAsiaTheme="minorEastAsia" w:hAnsi="Book Antiqua" w:hint="eastAsia"/>
          <w:lang w:val="en-US" w:eastAsia="zh-CN"/>
        </w:rPr>
        <w:t xml:space="preserve"> </w:t>
      </w:r>
      <w:r w:rsidRPr="00AA2A35">
        <w:rPr>
          <w:rFonts w:ascii="Book Antiqua" w:hAnsi="Book Antiqua"/>
          <w:lang w:val="en-US"/>
        </w:rPr>
        <w:t>PCR and DNA sequencing</w:t>
      </w:r>
      <w:r w:rsidRPr="00AA2A35" w:rsidDel="00713BFC">
        <w:rPr>
          <w:rFonts w:ascii="Book Antiqua" w:hAnsi="Book Antiqua"/>
          <w:lang w:val="en-US"/>
        </w:rPr>
        <w:t xml:space="preserve"> </w:t>
      </w:r>
      <w:r w:rsidRPr="00AA2A35">
        <w:rPr>
          <w:rFonts w:ascii="Book Antiqua" w:hAnsi="Book Antiqua"/>
          <w:lang w:val="en-US"/>
        </w:rPr>
        <w:t xml:space="preserve">analyses revealed that 13 patients were homozygous or heterozygous for one or more of the three CD-associated genetic variants in </w:t>
      </w:r>
      <w:r w:rsidRPr="00AA2A35">
        <w:rPr>
          <w:rFonts w:ascii="Book Antiqua" w:hAnsi="Book Antiqua"/>
          <w:i/>
          <w:lang w:val="en-US"/>
        </w:rPr>
        <w:t>NOD2</w:t>
      </w:r>
      <w:r w:rsidRPr="00AA2A35">
        <w:rPr>
          <w:rFonts w:ascii="Book Antiqua" w:hAnsi="Book Antiqua"/>
          <w:lang w:val="en-US"/>
        </w:rPr>
        <w:t xml:space="preserve"> (Table 2). The remaining 23 patients were found to be wild type for the three polymorphisms (</w:t>
      </w:r>
      <w:r w:rsidR="00273344" w:rsidRPr="00AA2A35">
        <w:rPr>
          <w:rFonts w:ascii="Book Antiqua" w:hAnsi="Book Antiqua"/>
          <w:lang w:val="en-US"/>
        </w:rPr>
        <w:t>S</w:t>
      </w:r>
      <w:r w:rsidRPr="00AA2A35">
        <w:rPr>
          <w:rFonts w:ascii="Book Antiqua" w:hAnsi="Book Antiqua"/>
          <w:lang w:val="en-US"/>
        </w:rPr>
        <w:t>upplementary Table 1).</w:t>
      </w:r>
    </w:p>
    <w:p w14:paraId="2F37D462" w14:textId="4275C1F9" w:rsidR="00D44C96" w:rsidRPr="00AA2A35" w:rsidRDefault="00D44C96" w:rsidP="00AA2A35">
      <w:pPr>
        <w:spacing w:line="360" w:lineRule="auto"/>
        <w:ind w:firstLineChars="150" w:firstLine="360"/>
        <w:jc w:val="both"/>
        <w:rPr>
          <w:rFonts w:ascii="Book Antiqua" w:hAnsi="Book Antiqua"/>
          <w:lang w:val="en-US"/>
        </w:rPr>
      </w:pPr>
      <w:r w:rsidRPr="00AA2A35">
        <w:rPr>
          <w:rFonts w:ascii="Book Antiqua" w:hAnsi="Book Antiqua"/>
          <w:lang w:val="en-US"/>
        </w:rPr>
        <w:t xml:space="preserve">After grouping CD patients based on </w:t>
      </w:r>
      <w:r w:rsidRPr="00AA2A35">
        <w:rPr>
          <w:rFonts w:ascii="Book Antiqua" w:hAnsi="Book Antiqua"/>
          <w:i/>
          <w:lang w:val="en-US"/>
        </w:rPr>
        <w:t>NOD2</w:t>
      </w:r>
      <w:r w:rsidRPr="00AA2A35">
        <w:rPr>
          <w:rFonts w:ascii="Book Antiqua" w:hAnsi="Book Antiqua"/>
          <w:lang w:val="en-US"/>
        </w:rPr>
        <w:t xml:space="preserve"> genotype, no significant differences in TNF</w:t>
      </w:r>
      <w:r w:rsidRPr="00AA2A35">
        <w:rPr>
          <w:rFonts w:ascii="Times New Roman" w:hAnsi="Times New Roman"/>
          <w:lang w:val="en-US"/>
        </w:rPr>
        <w:t>α</w:t>
      </w:r>
      <w:r w:rsidRPr="00AA2A35">
        <w:rPr>
          <w:rFonts w:ascii="Book Antiqua" w:hAnsi="Book Antiqua"/>
          <w:lang w:val="en-US"/>
        </w:rPr>
        <w:t xml:space="preserve"> positive monocytes were detected between patients with wild type or mutated genotype (CD WT: 14.87</w:t>
      </w:r>
      <w:r w:rsidR="00AA2A35" w:rsidRPr="00AA2A35">
        <w:rPr>
          <w:rFonts w:ascii="Book Antiqua" w:eastAsiaTheme="minorEastAsia" w:hAnsi="Book Antiqua" w:hint="eastAsia"/>
          <w:lang w:val="en-US" w:eastAsia="zh-CN"/>
        </w:rPr>
        <w:t xml:space="preserve"> </w:t>
      </w:r>
      <w:r w:rsidRPr="00AA2A35">
        <w:rPr>
          <w:rFonts w:ascii="Book Antiqua" w:hAnsi="Book Antiqua"/>
          <w:lang w:val="en-US"/>
        </w:rPr>
        <w:t>±</w:t>
      </w:r>
      <w:r w:rsidR="00AA2A35" w:rsidRPr="00AA2A35">
        <w:rPr>
          <w:rFonts w:ascii="Book Antiqua" w:eastAsiaTheme="minorEastAsia" w:hAnsi="Book Antiqua" w:hint="eastAsia"/>
          <w:lang w:val="en-US" w:eastAsia="zh-CN"/>
        </w:rPr>
        <w:t xml:space="preserve"> </w:t>
      </w:r>
      <w:r w:rsidRPr="00AA2A35">
        <w:rPr>
          <w:rFonts w:ascii="Book Antiqua" w:hAnsi="Book Antiqua"/>
          <w:lang w:val="en-US"/>
        </w:rPr>
        <w:t xml:space="preserve">3.1 </w:t>
      </w:r>
      <w:r w:rsidRPr="00AA2A35">
        <w:rPr>
          <w:rFonts w:ascii="Book Antiqua" w:hAnsi="Book Antiqua"/>
          <w:i/>
          <w:lang w:val="en-US"/>
        </w:rPr>
        <w:t>vs</w:t>
      </w:r>
      <w:r w:rsidRPr="00AA2A35">
        <w:rPr>
          <w:rFonts w:ascii="Book Antiqua" w:hAnsi="Book Antiqua"/>
          <w:lang w:val="en-US"/>
        </w:rPr>
        <w:t xml:space="preserve"> CD Mut 13.82</w:t>
      </w:r>
      <w:r w:rsidR="00AA2A35" w:rsidRPr="00AA2A35">
        <w:rPr>
          <w:rFonts w:ascii="Book Antiqua" w:eastAsiaTheme="minorEastAsia" w:hAnsi="Book Antiqua" w:hint="eastAsia"/>
          <w:lang w:val="en-US" w:eastAsia="zh-CN"/>
        </w:rPr>
        <w:t xml:space="preserve"> </w:t>
      </w:r>
      <w:r w:rsidRPr="00AA2A35">
        <w:rPr>
          <w:rFonts w:ascii="Book Antiqua" w:hAnsi="Book Antiqua"/>
          <w:lang w:val="en-US"/>
        </w:rPr>
        <w:t>±</w:t>
      </w:r>
      <w:r w:rsidR="00AA2A35" w:rsidRPr="00AA2A35">
        <w:rPr>
          <w:rFonts w:ascii="Book Antiqua" w:eastAsiaTheme="minorEastAsia" w:hAnsi="Book Antiqua" w:hint="eastAsia"/>
          <w:lang w:val="en-US" w:eastAsia="zh-CN"/>
        </w:rPr>
        <w:t xml:space="preserve"> </w:t>
      </w:r>
      <w:r w:rsidRPr="00AA2A35">
        <w:rPr>
          <w:rFonts w:ascii="Book Antiqua" w:hAnsi="Book Antiqua"/>
          <w:lang w:val="en-US"/>
        </w:rPr>
        <w:t xml:space="preserve">4.5) (Figure 2). Data regarding the single </w:t>
      </w:r>
      <w:r w:rsidRPr="00AA2A35">
        <w:rPr>
          <w:rFonts w:ascii="Book Antiqua" w:hAnsi="Book Antiqua"/>
          <w:i/>
          <w:lang w:val="en-US"/>
        </w:rPr>
        <w:t>NOD2</w:t>
      </w:r>
      <w:r w:rsidRPr="00AA2A35">
        <w:rPr>
          <w:rFonts w:ascii="Book Antiqua" w:hAnsi="Book Antiqua"/>
          <w:lang w:val="en-US"/>
        </w:rPr>
        <w:t xml:space="preserve"> variants are shown in Supplementary Figure 1. </w:t>
      </w:r>
    </w:p>
    <w:p w14:paraId="0BDB7DEF" w14:textId="77777777" w:rsidR="00D44C96" w:rsidRPr="00AA2A35" w:rsidRDefault="00D44C96" w:rsidP="00D14265">
      <w:pPr>
        <w:spacing w:line="360" w:lineRule="auto"/>
        <w:jc w:val="both"/>
        <w:rPr>
          <w:rFonts w:ascii="Book Antiqua" w:hAnsi="Book Antiqua"/>
          <w:lang w:val="en-US"/>
        </w:rPr>
      </w:pPr>
    </w:p>
    <w:p w14:paraId="7E7AF47D" w14:textId="77777777" w:rsidR="00D44C96" w:rsidRPr="00AA2A35" w:rsidRDefault="00D44C96" w:rsidP="00D14265">
      <w:pPr>
        <w:pStyle w:val="Heading2"/>
      </w:pPr>
      <w:r w:rsidRPr="00AA2A35">
        <w:t>TNF</w:t>
      </w:r>
      <w:r w:rsidRPr="00AA2A35">
        <w:rPr>
          <w:rFonts w:ascii="Times New Roman" w:hAnsi="Times New Roman"/>
        </w:rPr>
        <w:t>α</w:t>
      </w:r>
      <w:r w:rsidRPr="00AA2A35">
        <w:t xml:space="preserve"> expression and disease activity index</w:t>
      </w:r>
    </w:p>
    <w:p w14:paraId="4E02683B" w14:textId="0BA73E79" w:rsidR="00D44C96" w:rsidRPr="00AA2A35" w:rsidRDefault="00D44C96" w:rsidP="00D14265">
      <w:pPr>
        <w:spacing w:line="360" w:lineRule="auto"/>
        <w:jc w:val="both"/>
        <w:rPr>
          <w:rFonts w:ascii="Book Antiqua" w:hAnsi="Book Antiqua"/>
          <w:lang w:val="en-US"/>
        </w:rPr>
      </w:pPr>
      <w:r w:rsidRPr="00AA2A35">
        <w:rPr>
          <w:rFonts w:ascii="Book Antiqua" w:hAnsi="Book Antiqua"/>
          <w:lang w:val="en-US"/>
        </w:rPr>
        <w:lastRenderedPageBreak/>
        <w:t>Intracellular production of TNF</w:t>
      </w:r>
      <w:r w:rsidRPr="00AA2A35">
        <w:rPr>
          <w:rFonts w:ascii="Times New Roman" w:hAnsi="Times New Roman"/>
          <w:lang w:val="en-US"/>
        </w:rPr>
        <w:t>α</w:t>
      </w:r>
      <w:r w:rsidRPr="00AA2A35">
        <w:rPr>
          <w:rFonts w:ascii="Book Antiqua" w:hAnsi="Book Antiqua"/>
          <w:lang w:val="en-US"/>
        </w:rPr>
        <w:t xml:space="preserve"> by monocytes from CD and UC patients was correlated to the disease activity score, expressed as PCDAI (Pediatric Crohn’s Disease Activity Index) or PUCAI (Pediatric Ulcerative Colitis Activity Index). No correlation</w:t>
      </w:r>
      <w:r w:rsidR="00385F13" w:rsidRPr="00AA2A35">
        <w:rPr>
          <w:rFonts w:ascii="Book Antiqua" w:hAnsi="Book Antiqua"/>
          <w:strike/>
          <w:lang w:val="en-US"/>
        </w:rPr>
        <w:t>s</w:t>
      </w:r>
      <w:r w:rsidRPr="00AA2A35">
        <w:rPr>
          <w:rFonts w:ascii="Book Antiqua" w:hAnsi="Book Antiqua"/>
          <w:lang w:val="en-US"/>
        </w:rPr>
        <w:t xml:space="preserve"> between the two parameters was found, </w:t>
      </w:r>
      <w:r w:rsidR="001904CD" w:rsidRPr="00AA2A35">
        <w:rPr>
          <w:rFonts w:ascii="Book Antiqua" w:hAnsi="Book Antiqua"/>
          <w:strike/>
          <w:lang w:val="en-US"/>
        </w:rPr>
        <w:t>n</w:t>
      </w:r>
      <w:r w:rsidRPr="00AA2A35">
        <w:rPr>
          <w:rFonts w:ascii="Book Antiqua" w:hAnsi="Book Antiqua"/>
          <w:lang w:val="en-US"/>
        </w:rPr>
        <w:t>either in CD (R</w:t>
      </w:r>
      <w:r w:rsidRPr="00AA2A35">
        <w:rPr>
          <w:rFonts w:ascii="Book Antiqua" w:hAnsi="Book Antiqua"/>
          <w:vertAlign w:val="superscript"/>
          <w:lang w:val="en-US"/>
        </w:rPr>
        <w:t>2</w:t>
      </w:r>
      <w:r w:rsidRPr="00AA2A35">
        <w:rPr>
          <w:rFonts w:ascii="Book Antiqua" w:hAnsi="Book Antiqua"/>
          <w:lang w:val="en-US"/>
        </w:rPr>
        <w:t xml:space="preserve"> = 0.004) or in UC (R</w:t>
      </w:r>
      <w:r w:rsidRPr="00AA2A35">
        <w:rPr>
          <w:rFonts w:ascii="Book Antiqua" w:hAnsi="Book Antiqua"/>
          <w:vertAlign w:val="superscript"/>
          <w:lang w:val="en-US"/>
        </w:rPr>
        <w:t>2</w:t>
      </w:r>
      <w:r w:rsidRPr="00AA2A35">
        <w:rPr>
          <w:rFonts w:ascii="Book Antiqua" w:hAnsi="Book Antiqua"/>
          <w:lang w:val="en-US"/>
        </w:rPr>
        <w:t xml:space="preserve"> = 0.01) subjects (Figure 3). </w:t>
      </w:r>
    </w:p>
    <w:p w14:paraId="4D656CFC" w14:textId="77777777" w:rsidR="00D44C96" w:rsidRPr="00AA2A35" w:rsidRDefault="00D44C96" w:rsidP="00D14265">
      <w:pPr>
        <w:spacing w:line="360" w:lineRule="auto"/>
        <w:jc w:val="both"/>
        <w:rPr>
          <w:rFonts w:ascii="Book Antiqua" w:hAnsi="Book Antiqua"/>
          <w:lang w:val="en-US"/>
        </w:rPr>
      </w:pPr>
    </w:p>
    <w:p w14:paraId="4712D950" w14:textId="77777777" w:rsidR="00D44C96" w:rsidRPr="00AA2A35" w:rsidRDefault="00D44C96" w:rsidP="00D14265">
      <w:pPr>
        <w:pStyle w:val="Heading2"/>
      </w:pPr>
      <w:r w:rsidRPr="00AA2A35">
        <w:t>TNF</w:t>
      </w:r>
      <w:r w:rsidRPr="00AA2A35">
        <w:rPr>
          <w:rFonts w:ascii="Times New Roman" w:hAnsi="Times New Roman"/>
        </w:rPr>
        <w:t>α</w:t>
      </w:r>
      <w:r w:rsidRPr="00AA2A35">
        <w:t xml:space="preserve"> expression and LBP levels</w:t>
      </w:r>
    </w:p>
    <w:p w14:paraId="39279CC4" w14:textId="0E85DE6F" w:rsidR="00D44C96" w:rsidRPr="00AA2A35" w:rsidRDefault="00D44C96" w:rsidP="00D14265">
      <w:pPr>
        <w:spacing w:line="360" w:lineRule="auto"/>
        <w:jc w:val="both"/>
        <w:rPr>
          <w:rFonts w:ascii="Book Antiqua" w:hAnsi="Book Antiqua"/>
          <w:lang w:val="en-US"/>
        </w:rPr>
      </w:pPr>
      <w:r w:rsidRPr="00AA2A35">
        <w:rPr>
          <w:rFonts w:ascii="Book Antiqua" w:hAnsi="Book Antiqua"/>
          <w:lang w:val="en-US"/>
        </w:rPr>
        <w:t>Pl</w:t>
      </w:r>
      <w:r w:rsidR="00443BC2">
        <w:rPr>
          <w:rFonts w:ascii="Book Antiqua" w:hAnsi="Book Antiqua"/>
          <w:lang w:val="en-US"/>
        </w:rPr>
        <w:t>asmatic levels of LBP and sCD14</w:t>
      </w:r>
      <w:r w:rsidR="004F69AE" w:rsidRPr="00AA2A35">
        <w:rPr>
          <w:rFonts w:ascii="Book Antiqua" w:hAnsi="Book Antiqua"/>
          <w:lang w:val="en-US"/>
        </w:rPr>
        <w:t xml:space="preserve"> </w:t>
      </w:r>
      <w:r w:rsidRPr="00AA2A35">
        <w:rPr>
          <w:rFonts w:ascii="Book Antiqua" w:hAnsi="Book Antiqua"/>
          <w:lang w:val="en-US"/>
        </w:rPr>
        <w:t xml:space="preserve">were measured to verify if the basal inflammatory state in CD patients could be due to exposition of monocytes to microbial components in peripheral blood. </w:t>
      </w:r>
    </w:p>
    <w:p w14:paraId="3FB5E8B7" w14:textId="098403EC" w:rsidR="00D44C96" w:rsidRPr="00AA2A35" w:rsidRDefault="00D44C96" w:rsidP="00AA2A35">
      <w:pPr>
        <w:spacing w:line="360" w:lineRule="auto"/>
        <w:ind w:firstLineChars="150" w:firstLine="360"/>
        <w:jc w:val="both"/>
        <w:rPr>
          <w:rFonts w:ascii="Book Antiqua" w:hAnsi="Book Antiqua"/>
          <w:lang w:val="en-US"/>
        </w:rPr>
      </w:pPr>
      <w:r w:rsidRPr="00AA2A35">
        <w:rPr>
          <w:rFonts w:ascii="Book Antiqua" w:hAnsi="Book Antiqua"/>
          <w:lang w:val="en-US"/>
        </w:rPr>
        <w:t xml:space="preserve">Levels of LBP were higher in plasma from patients with CD compared to HD [(median CD 19.11 (16.35-21.89), HD 15.01 (11.85-18.84), </w:t>
      </w:r>
      <w:r w:rsidR="00AA2A35" w:rsidRPr="00AA2A35">
        <w:rPr>
          <w:rFonts w:ascii="Book Antiqua" w:hAnsi="Book Antiqua"/>
          <w:i/>
          <w:lang w:val="en-US"/>
        </w:rPr>
        <w:t>P</w:t>
      </w:r>
      <w:r w:rsidR="00AA2A35" w:rsidRPr="00AA2A35">
        <w:rPr>
          <w:rFonts w:ascii="Book Antiqua" w:eastAsiaTheme="minorEastAsia" w:hAnsi="Book Antiqua"/>
          <w:i/>
          <w:lang w:val="en-US" w:eastAsia="zh-CN"/>
        </w:rPr>
        <w:t xml:space="preserve"> </w:t>
      </w:r>
      <w:r w:rsidRPr="00AA2A35">
        <w:rPr>
          <w:rFonts w:ascii="Book Antiqua" w:hAnsi="Book Antiqua"/>
          <w:lang w:val="en-US"/>
        </w:rPr>
        <w:t>&lt;</w:t>
      </w:r>
      <w:r w:rsidR="00AA2A35" w:rsidRPr="00AA2A35">
        <w:rPr>
          <w:rFonts w:ascii="Book Antiqua" w:eastAsiaTheme="minorEastAsia" w:hAnsi="Book Antiqua" w:hint="eastAsia"/>
          <w:lang w:val="en-US" w:eastAsia="zh-CN"/>
        </w:rPr>
        <w:t xml:space="preserve"> </w:t>
      </w:r>
      <w:r w:rsidRPr="00AA2A35">
        <w:rPr>
          <w:rFonts w:ascii="Book Antiqua" w:hAnsi="Book Antiqua"/>
          <w:lang w:val="en-US"/>
        </w:rPr>
        <w:t>0.05)</w:t>
      </w:r>
      <w:r w:rsidR="00594876" w:rsidRPr="00AA2A35">
        <w:rPr>
          <w:rFonts w:ascii="Book Antiqua" w:hAnsi="Book Antiqua"/>
          <w:lang w:val="en-US"/>
        </w:rPr>
        <w:t>]</w:t>
      </w:r>
      <w:r w:rsidRPr="00AA2A35">
        <w:rPr>
          <w:rFonts w:ascii="Book Antiqua" w:hAnsi="Book Antiqua"/>
          <w:lang w:val="en-US"/>
        </w:rPr>
        <w:t xml:space="preserve"> (Figure 4A) and this condition was noticed also when patients were grouped by disease activity [(median activeCD: 20.44 (16.81- 26.31) </w:t>
      </w:r>
      <w:r w:rsidRPr="00AA2A35">
        <w:rPr>
          <w:rFonts w:ascii="Book Antiqua" w:hAnsi="Book Antiqua"/>
          <w:i/>
          <w:lang w:val="en-US"/>
        </w:rPr>
        <w:t>vs</w:t>
      </w:r>
      <w:r w:rsidRPr="00AA2A35">
        <w:rPr>
          <w:rFonts w:ascii="Book Antiqua" w:hAnsi="Book Antiqua"/>
          <w:lang w:val="en-US"/>
        </w:rPr>
        <w:t xml:space="preserve"> HD: 15.01 (11.85-18.84); </w:t>
      </w:r>
      <w:r w:rsidR="00AA2A35" w:rsidRPr="00AA2A35">
        <w:rPr>
          <w:rFonts w:ascii="Book Antiqua" w:hAnsi="Book Antiqua"/>
          <w:i/>
          <w:lang w:val="en-US"/>
        </w:rPr>
        <w:t>P</w:t>
      </w:r>
      <w:r w:rsidR="00AA2A35" w:rsidRPr="00AA2A35">
        <w:rPr>
          <w:rFonts w:ascii="Book Antiqua" w:eastAsiaTheme="minorEastAsia" w:hAnsi="Book Antiqua"/>
          <w:i/>
          <w:lang w:val="en-US" w:eastAsia="zh-CN"/>
        </w:rPr>
        <w:t xml:space="preserve"> </w:t>
      </w:r>
      <w:r w:rsidRPr="00AA2A35">
        <w:rPr>
          <w:rFonts w:ascii="Book Antiqua" w:hAnsi="Book Antiqua"/>
          <w:lang w:val="en-US"/>
        </w:rPr>
        <w:t>&lt;</w:t>
      </w:r>
      <w:r w:rsidR="00AA2A35" w:rsidRPr="00AA2A35">
        <w:rPr>
          <w:rFonts w:ascii="Book Antiqua" w:eastAsiaTheme="minorEastAsia" w:hAnsi="Book Antiqua" w:hint="eastAsia"/>
          <w:lang w:val="en-US" w:eastAsia="zh-CN"/>
        </w:rPr>
        <w:t xml:space="preserve"> </w:t>
      </w:r>
      <w:r w:rsidRPr="00AA2A35">
        <w:rPr>
          <w:rFonts w:ascii="Book Antiqua" w:hAnsi="Book Antiqua"/>
          <w:lang w:val="en-US"/>
        </w:rPr>
        <w:t xml:space="preserve">0.05)] (Figure 4B); furthermore a significant difference was also found between UC in active or remissive phase [(median UC: 20.74 (14.55- 21.57) </w:t>
      </w:r>
      <w:r w:rsidR="00AA2A35" w:rsidRPr="00AA2A35">
        <w:rPr>
          <w:rFonts w:ascii="Book Antiqua" w:hAnsi="Book Antiqua"/>
          <w:i/>
          <w:lang w:val="en-US"/>
        </w:rPr>
        <w:t>vs</w:t>
      </w:r>
      <w:r w:rsidR="00AA2A35" w:rsidRPr="00AA2A35">
        <w:rPr>
          <w:rFonts w:ascii="Book Antiqua" w:hAnsi="Book Antiqua"/>
          <w:lang w:val="en-US"/>
        </w:rPr>
        <w:t xml:space="preserve"> </w:t>
      </w:r>
      <w:r w:rsidRPr="00AA2A35">
        <w:rPr>
          <w:rFonts w:ascii="Book Antiqua" w:hAnsi="Book Antiqua"/>
          <w:lang w:val="en-US"/>
        </w:rPr>
        <w:t xml:space="preserve">rUC: 12.35 (8.35-13.5); </w:t>
      </w:r>
      <w:r w:rsidR="00AA2A35" w:rsidRPr="00AA2A35">
        <w:rPr>
          <w:rFonts w:ascii="Book Antiqua" w:hAnsi="Book Antiqua"/>
          <w:i/>
          <w:lang w:val="en-US"/>
        </w:rPr>
        <w:t>P</w:t>
      </w:r>
      <w:r w:rsidR="00AA2A35" w:rsidRPr="00AA2A35">
        <w:rPr>
          <w:rFonts w:ascii="Book Antiqua" w:eastAsiaTheme="minorEastAsia" w:hAnsi="Book Antiqua"/>
          <w:i/>
          <w:lang w:val="en-US" w:eastAsia="zh-CN"/>
        </w:rPr>
        <w:t xml:space="preserve"> </w:t>
      </w:r>
      <w:r w:rsidRPr="00AA2A35">
        <w:rPr>
          <w:rFonts w:ascii="Book Antiqua" w:hAnsi="Book Antiqua"/>
          <w:lang w:val="en-US"/>
        </w:rPr>
        <w:t>&lt;</w:t>
      </w:r>
      <w:r w:rsidR="00AA2A35" w:rsidRPr="00AA2A35">
        <w:rPr>
          <w:rFonts w:ascii="Book Antiqua" w:eastAsiaTheme="minorEastAsia" w:hAnsi="Book Antiqua" w:hint="eastAsia"/>
          <w:lang w:val="en-US" w:eastAsia="zh-CN"/>
        </w:rPr>
        <w:t xml:space="preserve"> </w:t>
      </w:r>
      <w:r w:rsidRPr="00AA2A35">
        <w:rPr>
          <w:rFonts w:ascii="Book Antiqua" w:hAnsi="Book Antiqua"/>
          <w:lang w:val="en-US"/>
        </w:rPr>
        <w:t xml:space="preserve">0.05)] (Figure 4B). </w:t>
      </w:r>
    </w:p>
    <w:p w14:paraId="40AD8255" w14:textId="1308D162" w:rsidR="00D44C96" w:rsidRPr="00AA2A35" w:rsidRDefault="00D44C96" w:rsidP="00AA2A35">
      <w:pPr>
        <w:spacing w:line="360" w:lineRule="auto"/>
        <w:ind w:firstLineChars="150" w:firstLine="360"/>
        <w:jc w:val="both"/>
        <w:rPr>
          <w:rFonts w:ascii="Book Antiqua" w:hAnsi="Book Antiqua"/>
          <w:lang w:val="en-US"/>
        </w:rPr>
      </w:pPr>
      <w:r w:rsidRPr="00AA2A35">
        <w:rPr>
          <w:rFonts w:ascii="Book Antiqua" w:hAnsi="Book Antiqua"/>
          <w:lang w:val="en-US"/>
        </w:rPr>
        <w:t>LBP values displayed a significant correlation with the disease activity index, especially for CD (R</w:t>
      </w:r>
      <w:r w:rsidRPr="00AA2A35">
        <w:rPr>
          <w:rFonts w:ascii="Book Antiqua" w:hAnsi="Book Antiqua"/>
          <w:vertAlign w:val="superscript"/>
          <w:lang w:val="en-US"/>
        </w:rPr>
        <w:t>2</w:t>
      </w:r>
      <w:r w:rsidRPr="00AA2A35">
        <w:rPr>
          <w:rFonts w:ascii="Book Antiqua" w:hAnsi="Book Antiqua"/>
          <w:lang w:val="en-US"/>
        </w:rPr>
        <w:t xml:space="preserve"> = 0.40</w:t>
      </w:r>
      <w:r w:rsidR="00AA2A35" w:rsidRPr="00AA2A35">
        <w:rPr>
          <w:rFonts w:ascii="Book Antiqua" w:eastAsiaTheme="minorEastAsia" w:hAnsi="Book Antiqua" w:hint="eastAsia"/>
          <w:lang w:val="en-US" w:eastAsia="zh-CN"/>
        </w:rPr>
        <w:t>,</w:t>
      </w:r>
      <w:r w:rsidRPr="00AA2A35">
        <w:rPr>
          <w:rFonts w:ascii="Book Antiqua" w:hAnsi="Book Antiqua"/>
          <w:lang w:val="en-US"/>
        </w:rPr>
        <w:t xml:space="preserve"> </w:t>
      </w:r>
      <w:r w:rsidR="00AA2A35" w:rsidRPr="00AA2A35">
        <w:rPr>
          <w:rFonts w:ascii="Book Antiqua" w:hAnsi="Book Antiqua"/>
          <w:i/>
          <w:lang w:val="en-US"/>
        </w:rPr>
        <w:t>P</w:t>
      </w:r>
      <w:r w:rsidR="00AA2A35" w:rsidRPr="00AA2A35">
        <w:rPr>
          <w:rFonts w:ascii="Book Antiqua" w:hAnsi="Book Antiqua"/>
          <w:lang w:val="en-US"/>
        </w:rPr>
        <w:t xml:space="preserve"> </w:t>
      </w:r>
      <w:r w:rsidRPr="00AA2A35">
        <w:rPr>
          <w:rFonts w:ascii="Book Antiqua" w:hAnsi="Book Antiqua"/>
          <w:lang w:val="en-US"/>
        </w:rPr>
        <w:t>&lt;</w:t>
      </w:r>
      <w:r w:rsidR="00AA2A35" w:rsidRPr="00AA2A35">
        <w:rPr>
          <w:rFonts w:ascii="Book Antiqua" w:eastAsiaTheme="minorEastAsia" w:hAnsi="Book Antiqua" w:hint="eastAsia"/>
          <w:lang w:val="en-US" w:eastAsia="zh-CN"/>
        </w:rPr>
        <w:t xml:space="preserve"> </w:t>
      </w:r>
      <w:r w:rsidRPr="00AA2A35">
        <w:rPr>
          <w:rFonts w:ascii="Book Antiqua" w:hAnsi="Book Antiqua"/>
          <w:lang w:val="en-US"/>
        </w:rPr>
        <w:t>0.001) (Figure 4C and D). However, there was no correlation between monocyte TNF</w:t>
      </w:r>
      <w:r w:rsidRPr="00AA2A35">
        <w:rPr>
          <w:rFonts w:ascii="Times New Roman" w:hAnsi="Times New Roman"/>
          <w:lang w:val="en-US"/>
        </w:rPr>
        <w:t>α</w:t>
      </w:r>
      <w:r w:rsidRPr="00AA2A35">
        <w:rPr>
          <w:rFonts w:ascii="Book Antiqua" w:hAnsi="Book Antiqua"/>
          <w:lang w:val="en-US"/>
        </w:rPr>
        <w:t xml:space="preserve"> expression in basal condition and plasmatic levels of LBP in any of the analyzed groups (CD: R</w:t>
      </w:r>
      <w:r w:rsidRPr="00AA2A35">
        <w:rPr>
          <w:rFonts w:ascii="Book Antiqua" w:hAnsi="Book Antiqua"/>
          <w:vertAlign w:val="superscript"/>
          <w:lang w:val="en-US"/>
        </w:rPr>
        <w:t>2</w:t>
      </w:r>
      <w:r w:rsidRPr="00AA2A35">
        <w:rPr>
          <w:rFonts w:ascii="Book Antiqua" w:hAnsi="Book Antiqua"/>
          <w:lang w:val="en-US"/>
        </w:rPr>
        <w:t xml:space="preserve"> = 0.04, UC: R</w:t>
      </w:r>
      <w:r w:rsidRPr="00AA2A35">
        <w:rPr>
          <w:rFonts w:ascii="Book Antiqua" w:hAnsi="Book Antiqua"/>
          <w:vertAlign w:val="superscript"/>
          <w:lang w:val="en-US"/>
        </w:rPr>
        <w:t>2</w:t>
      </w:r>
      <w:r w:rsidRPr="00AA2A35">
        <w:rPr>
          <w:rFonts w:ascii="Book Antiqua" w:hAnsi="Book Antiqua"/>
          <w:lang w:val="en-US"/>
        </w:rPr>
        <w:t xml:space="preserve"> = 0.0004, HD: R</w:t>
      </w:r>
      <w:r w:rsidRPr="00AA2A35">
        <w:rPr>
          <w:rFonts w:ascii="Book Antiqua" w:hAnsi="Book Antiqua"/>
          <w:vertAlign w:val="superscript"/>
          <w:lang w:val="en-US"/>
        </w:rPr>
        <w:t>2</w:t>
      </w:r>
      <w:r w:rsidRPr="00AA2A35">
        <w:rPr>
          <w:rFonts w:ascii="Book Antiqua" w:hAnsi="Book Antiqua"/>
          <w:lang w:val="en-US"/>
        </w:rPr>
        <w:t xml:space="preserve"> = 0.005) (Figure 5).</w:t>
      </w:r>
    </w:p>
    <w:p w14:paraId="5B6DC627" w14:textId="3338869F" w:rsidR="00D44C96" w:rsidRPr="00AA2A35" w:rsidRDefault="00D44C96" w:rsidP="00AA2A35">
      <w:pPr>
        <w:spacing w:line="360" w:lineRule="auto"/>
        <w:ind w:firstLineChars="100" w:firstLine="240"/>
        <w:jc w:val="both"/>
        <w:rPr>
          <w:rFonts w:ascii="Book Antiqua" w:hAnsi="Book Antiqua"/>
          <w:lang w:val="en-US"/>
        </w:rPr>
      </w:pPr>
      <w:r w:rsidRPr="00AA2A35">
        <w:rPr>
          <w:rFonts w:ascii="Book Antiqua" w:hAnsi="Book Antiqua"/>
          <w:lang w:val="en-US"/>
        </w:rPr>
        <w:t xml:space="preserve">The quantification of sCD14 was not significantly different among the three groups and did not correlate with the </w:t>
      </w:r>
      <w:r w:rsidR="005D5CA4" w:rsidRPr="00AA2A35">
        <w:rPr>
          <w:rFonts w:ascii="Book Antiqua" w:hAnsi="Book Antiqua"/>
          <w:lang w:val="en-US"/>
        </w:rPr>
        <w:t xml:space="preserve">degree of </w:t>
      </w:r>
      <w:r w:rsidRPr="00AA2A35">
        <w:rPr>
          <w:rFonts w:ascii="Book Antiqua" w:hAnsi="Book Antiqua"/>
          <w:lang w:val="en-US"/>
        </w:rPr>
        <w:t>monocyte activation in CD (data not shown).</w:t>
      </w:r>
    </w:p>
    <w:p w14:paraId="1D57A6C1" w14:textId="77777777" w:rsidR="00D44C96" w:rsidRPr="00AA2A35" w:rsidRDefault="00D44C96" w:rsidP="00D14265">
      <w:pPr>
        <w:spacing w:line="360" w:lineRule="auto"/>
        <w:jc w:val="both"/>
        <w:rPr>
          <w:rFonts w:ascii="Book Antiqua" w:hAnsi="Book Antiqua"/>
          <w:lang w:val="en-US"/>
        </w:rPr>
      </w:pPr>
    </w:p>
    <w:p w14:paraId="46A4F2C2" w14:textId="77777777" w:rsidR="00D44C96" w:rsidRPr="00AA2A35" w:rsidRDefault="00D44C96" w:rsidP="00D14265">
      <w:pPr>
        <w:pStyle w:val="Heading1"/>
      </w:pPr>
      <w:r w:rsidRPr="00AA2A35">
        <w:t>DISCUSSION</w:t>
      </w:r>
    </w:p>
    <w:p w14:paraId="4101E29B" w14:textId="5383FFDC" w:rsidR="00D44C96" w:rsidRPr="00AA2A35" w:rsidRDefault="00D44C96" w:rsidP="00D14265">
      <w:pPr>
        <w:spacing w:line="360" w:lineRule="auto"/>
        <w:jc w:val="both"/>
        <w:rPr>
          <w:rFonts w:ascii="Book Antiqua" w:hAnsi="Book Antiqua"/>
          <w:lang w:val="en-US"/>
        </w:rPr>
      </w:pPr>
      <w:r w:rsidRPr="00AA2A35">
        <w:rPr>
          <w:rFonts w:ascii="Book Antiqua" w:hAnsi="Book Antiqua"/>
          <w:lang w:val="en-US"/>
        </w:rPr>
        <w:t xml:space="preserve">The activation of the innate immune system is thought to play a pivotal role in the pathogenesis of </w:t>
      </w:r>
      <w:r w:rsidR="00837CC9" w:rsidRPr="00AA2A35">
        <w:rPr>
          <w:rFonts w:ascii="Book Antiqua" w:hAnsi="Book Antiqua"/>
          <w:lang w:val="en-US"/>
        </w:rPr>
        <w:t>CD</w:t>
      </w:r>
      <w:r w:rsidRPr="00AA2A35">
        <w:rPr>
          <w:rFonts w:ascii="Book Antiqua" w:hAnsi="Book Antiqua"/>
          <w:lang w:val="en-US"/>
        </w:rPr>
        <w:t xml:space="preserve">. Most genetic variants associated with the disease involve genes that are expressed in monocytes and that contribute to functional innate response to microbes. For example, </w:t>
      </w:r>
      <w:r w:rsidRPr="00AA2A35">
        <w:rPr>
          <w:rFonts w:ascii="Book Antiqua" w:hAnsi="Book Antiqua"/>
          <w:i/>
          <w:lang w:val="en-US"/>
        </w:rPr>
        <w:t>NOD2</w:t>
      </w:r>
      <w:r w:rsidRPr="00AA2A35">
        <w:rPr>
          <w:rFonts w:ascii="Book Antiqua" w:hAnsi="Book Antiqua"/>
          <w:lang w:val="en-US"/>
        </w:rPr>
        <w:t xml:space="preserve"> and </w:t>
      </w:r>
      <w:r w:rsidRPr="00AA2A35">
        <w:rPr>
          <w:rFonts w:ascii="Book Antiqua" w:hAnsi="Book Antiqua"/>
          <w:i/>
          <w:lang w:val="en-US"/>
        </w:rPr>
        <w:t>ATG16L1</w:t>
      </w:r>
      <w:r w:rsidRPr="00AA2A35">
        <w:rPr>
          <w:rFonts w:ascii="Book Antiqua" w:hAnsi="Book Antiqua"/>
          <w:lang w:val="en-US"/>
        </w:rPr>
        <w:t xml:space="preserve"> are involved in the response to molecular patterns associated with pathogens (PAMPs) and in autophagy, a process that can amplify the inflammatory response to phagocytized materials. Notably, there is a number of genes and processes involved in phagocytic function and innate immunity that have been shown </w:t>
      </w:r>
      <w:r w:rsidRPr="00AA2A35">
        <w:rPr>
          <w:rFonts w:ascii="Book Antiqua" w:hAnsi="Book Antiqua"/>
          <w:lang w:val="en-US"/>
        </w:rPr>
        <w:lastRenderedPageBreak/>
        <w:t xml:space="preserve">to be responsible for rare monogenic forms of Crohn’s-like intestinal inflammation. For </w:t>
      </w:r>
      <w:r w:rsidR="00370FB0" w:rsidRPr="00AA2A35">
        <w:rPr>
          <w:rFonts w:ascii="Book Antiqua" w:hAnsi="Book Antiqua"/>
          <w:lang w:val="en-US"/>
        </w:rPr>
        <w:t>instance</w:t>
      </w:r>
      <w:r w:rsidRPr="00AA2A35">
        <w:rPr>
          <w:rFonts w:ascii="Book Antiqua" w:hAnsi="Book Antiqua"/>
          <w:lang w:val="en-US"/>
        </w:rPr>
        <w:t>, early onset CD-like inflammatory bowel disease has been described in neutropenias and in functional deficiencies of phagocytes, such as chronic granulomatous disease and leukocyte adhesion deficiency, as well as in defects of other genes interacting with the NOD2 pathway of response to PAMPs, such as XIAP</w:t>
      </w:r>
      <w:r w:rsidRPr="00AA2A35">
        <w:rPr>
          <w:rFonts w:ascii="Book Antiqua" w:hAnsi="Book Antiqua"/>
          <w:noProof/>
          <w:vertAlign w:val="superscript"/>
          <w:lang w:val="en-US"/>
        </w:rPr>
        <w:t>[8, 21]</w:t>
      </w:r>
      <w:r w:rsidRPr="00AA2A35">
        <w:rPr>
          <w:rFonts w:ascii="Book Antiqua" w:hAnsi="Book Antiqua"/>
          <w:lang w:val="en-US"/>
        </w:rPr>
        <w:t xml:space="preserve">. These </w:t>
      </w:r>
      <w:r w:rsidR="00CD1D68" w:rsidRPr="00AA2A35">
        <w:rPr>
          <w:rFonts w:ascii="Book Antiqua" w:hAnsi="Book Antiqua"/>
          <w:lang w:val="en-US"/>
        </w:rPr>
        <w:t xml:space="preserve"> </w:t>
      </w:r>
      <w:r w:rsidRPr="00AA2A35">
        <w:rPr>
          <w:rFonts w:ascii="Book Antiqua" w:hAnsi="Book Antiqua"/>
          <w:lang w:val="en-US"/>
        </w:rPr>
        <w:t xml:space="preserve">findings have raised the question of whether CD should be considered more </w:t>
      </w:r>
      <w:r w:rsidR="00246C86" w:rsidRPr="00AA2A35">
        <w:rPr>
          <w:rFonts w:ascii="Book Antiqua" w:hAnsi="Book Antiqua"/>
          <w:strike/>
          <w:lang w:val="en-US"/>
        </w:rPr>
        <w:t>a</w:t>
      </w:r>
      <w:r w:rsidRPr="00AA2A35">
        <w:rPr>
          <w:rFonts w:ascii="Book Antiqua" w:hAnsi="Book Antiqua"/>
          <w:lang w:val="en-US"/>
        </w:rPr>
        <w:t xml:space="preserve">like an immunodeficiency than </w:t>
      </w:r>
      <w:r w:rsidR="00CD1D68" w:rsidRPr="00AA2A35">
        <w:rPr>
          <w:rFonts w:ascii="Book Antiqua" w:hAnsi="Book Antiqua"/>
          <w:strike/>
          <w:lang w:val="en-US"/>
        </w:rPr>
        <w:t>as</w:t>
      </w:r>
      <w:r w:rsidR="00CD1D68" w:rsidRPr="00AA2A35">
        <w:rPr>
          <w:rFonts w:ascii="Book Antiqua" w:hAnsi="Book Antiqua"/>
          <w:lang w:val="en-US"/>
        </w:rPr>
        <w:t xml:space="preserve"> </w:t>
      </w:r>
      <w:r w:rsidRPr="00AA2A35">
        <w:rPr>
          <w:rFonts w:ascii="Book Antiqua" w:hAnsi="Book Antiqua"/>
          <w:lang w:val="en-US"/>
        </w:rPr>
        <w:t>an autoinflammatory condition</w:t>
      </w:r>
      <w:r w:rsidRPr="00AA2A35">
        <w:rPr>
          <w:rFonts w:ascii="Book Antiqua" w:hAnsi="Book Antiqua"/>
          <w:noProof/>
          <w:vertAlign w:val="superscript"/>
          <w:lang w:val="en-US"/>
        </w:rPr>
        <w:t>[22-24]</w:t>
      </w:r>
      <w:r w:rsidRPr="00AA2A35">
        <w:rPr>
          <w:rFonts w:ascii="Book Antiqua" w:hAnsi="Book Antiqua"/>
          <w:lang w:val="en-US"/>
        </w:rPr>
        <w:t xml:space="preserve">. </w:t>
      </w:r>
    </w:p>
    <w:p w14:paraId="005F1DE4" w14:textId="70C5DAB7" w:rsidR="00D44C96" w:rsidRPr="00AA2A35" w:rsidRDefault="00D44C96" w:rsidP="00AA2A35">
      <w:pPr>
        <w:spacing w:line="360" w:lineRule="auto"/>
        <w:ind w:firstLineChars="150" w:firstLine="360"/>
        <w:jc w:val="both"/>
        <w:rPr>
          <w:rFonts w:ascii="Book Antiqua" w:hAnsi="Book Antiqua"/>
          <w:lang w:val="en-US"/>
        </w:rPr>
      </w:pPr>
      <w:r w:rsidRPr="00AA2A35">
        <w:rPr>
          <w:rFonts w:ascii="Book Antiqua" w:hAnsi="Book Antiqua"/>
          <w:lang w:val="en-US"/>
        </w:rPr>
        <w:t xml:space="preserve">For this reason, several studies have investigated the function of peripheral blood monocytes, </w:t>
      </w:r>
      <w:r w:rsidR="00246C86" w:rsidRPr="00AA2A35">
        <w:rPr>
          <w:rFonts w:ascii="Book Antiqua" w:hAnsi="Book Antiqua"/>
          <w:strike/>
          <w:lang w:val="en-US"/>
        </w:rPr>
        <w:t>as</w:t>
      </w:r>
      <w:r w:rsidR="00246C86" w:rsidRPr="00AA2A35">
        <w:rPr>
          <w:rFonts w:ascii="Book Antiqua" w:hAnsi="Book Antiqua"/>
          <w:lang w:val="en-US"/>
        </w:rPr>
        <w:t xml:space="preserve"> </w:t>
      </w:r>
      <w:r w:rsidRPr="00AA2A35">
        <w:rPr>
          <w:rFonts w:ascii="Book Antiqua" w:hAnsi="Book Antiqua"/>
          <w:lang w:val="en-US"/>
        </w:rPr>
        <w:t>an easily available sample cell that can be, at least in part, representative of the innate immune profile of CD. The</w:t>
      </w:r>
      <w:r w:rsidR="000B56B5" w:rsidRPr="00AA2A35">
        <w:rPr>
          <w:rFonts w:ascii="Book Antiqua" w:hAnsi="Book Antiqua"/>
          <w:lang w:val="en-US"/>
        </w:rPr>
        <w:t xml:space="preserve"> </w:t>
      </w:r>
      <w:r w:rsidRPr="00AA2A35">
        <w:rPr>
          <w:rFonts w:ascii="Book Antiqua" w:hAnsi="Book Antiqua"/>
          <w:lang w:val="en-US"/>
        </w:rPr>
        <w:t>observation of impaired monocyte/macrophage</w:t>
      </w:r>
      <w:r w:rsidR="00FA5658" w:rsidRPr="00AA2A35">
        <w:rPr>
          <w:rFonts w:ascii="Book Antiqua" w:hAnsi="Book Antiqua"/>
          <w:strike/>
          <w:lang w:val="en-US"/>
        </w:rPr>
        <w:t>s</w:t>
      </w:r>
      <w:r w:rsidRPr="00AA2A35">
        <w:rPr>
          <w:rFonts w:ascii="Book Antiqua" w:hAnsi="Book Antiqua"/>
          <w:lang w:val="en-US"/>
        </w:rPr>
        <w:t xml:space="preserve"> function against yeast particles dates back decades</w:t>
      </w:r>
      <w:r w:rsidRPr="00AA2A35">
        <w:rPr>
          <w:rFonts w:ascii="Book Antiqua" w:hAnsi="Book Antiqua"/>
          <w:noProof/>
          <w:vertAlign w:val="superscript"/>
          <w:lang w:val="en-US"/>
        </w:rPr>
        <w:t>[25]</w:t>
      </w:r>
      <w:r w:rsidRPr="00AA2A35">
        <w:rPr>
          <w:rFonts w:ascii="Book Antiqua" w:hAnsi="Book Antiqua"/>
          <w:lang w:val="en-US"/>
        </w:rPr>
        <w:t>. However, it is still not clear whether these defects are a cause or a consequence of CD inflammation. For example, it has been hypothesized that CD-associated monocytes may display hyporesponsiveness because of massive mucosal stimulation</w:t>
      </w:r>
      <w:r w:rsidRPr="00AA2A35">
        <w:rPr>
          <w:rFonts w:ascii="Book Antiqua" w:hAnsi="Book Antiqua"/>
          <w:noProof/>
          <w:vertAlign w:val="superscript"/>
          <w:lang w:val="en-US"/>
        </w:rPr>
        <w:t>[26]</w:t>
      </w:r>
      <w:r w:rsidRPr="00AA2A35">
        <w:rPr>
          <w:rFonts w:ascii="Book Antiqua" w:hAnsi="Book Antiqua"/>
          <w:lang w:val="en-US"/>
        </w:rPr>
        <w:t>. Indeed, we and other groups have demonstrated that peripheral blood monocytes from CD show an increased expression of activation markers</w:t>
      </w:r>
      <w:r w:rsidRPr="00AA2A35">
        <w:rPr>
          <w:rFonts w:ascii="Book Antiqua" w:hAnsi="Book Antiqua"/>
          <w:noProof/>
          <w:vertAlign w:val="superscript"/>
          <w:lang w:val="en-US"/>
        </w:rPr>
        <w:t>[27-29]</w:t>
      </w:r>
      <w:r w:rsidRPr="00AA2A35">
        <w:rPr>
          <w:rFonts w:ascii="Book Antiqua" w:hAnsi="Book Antiqua"/>
          <w:lang w:val="en-US"/>
        </w:rPr>
        <w:t xml:space="preserve">, whilst </w:t>
      </w:r>
      <w:r w:rsidRPr="00AA2A35">
        <w:rPr>
          <w:rFonts w:ascii="Book Antiqua" w:hAnsi="Book Antiqua"/>
          <w:i/>
          <w:lang w:val="en-US"/>
        </w:rPr>
        <w:t>ex-vivo</w:t>
      </w:r>
      <w:r w:rsidRPr="00AA2A35">
        <w:rPr>
          <w:rFonts w:ascii="Book Antiqua" w:hAnsi="Book Antiqua"/>
          <w:lang w:val="en-US"/>
        </w:rPr>
        <w:t xml:space="preserve"> maturation of dendritic cells may be somehow impaired</w:t>
      </w:r>
      <w:r w:rsidRPr="00AA2A35">
        <w:rPr>
          <w:rFonts w:ascii="Book Antiqua" w:hAnsi="Book Antiqua"/>
          <w:noProof/>
          <w:vertAlign w:val="superscript"/>
          <w:lang w:val="en-US"/>
        </w:rPr>
        <w:t>[30]</w:t>
      </w:r>
      <w:r w:rsidRPr="00AA2A35">
        <w:rPr>
          <w:rFonts w:ascii="Book Antiqua" w:hAnsi="Book Antiqua"/>
          <w:lang w:val="en-US"/>
        </w:rPr>
        <w:t>. Overall, these results have highlighted the paradox of defective and excessive immunities in CD</w:t>
      </w:r>
      <w:r w:rsidRPr="00AA2A35">
        <w:rPr>
          <w:rFonts w:ascii="Book Antiqua" w:hAnsi="Book Antiqua"/>
          <w:noProof/>
          <w:vertAlign w:val="superscript"/>
          <w:lang w:val="en-US"/>
        </w:rPr>
        <w:t>[31]</w:t>
      </w:r>
      <w:r w:rsidR="00D0675C" w:rsidRPr="00AA2A35">
        <w:rPr>
          <w:rFonts w:ascii="Book Antiqua" w:hAnsi="Book Antiqua"/>
          <w:lang w:val="en-US"/>
        </w:rPr>
        <w:t xml:space="preserve">: CD </w:t>
      </w:r>
      <w:r w:rsidRPr="00AA2A35">
        <w:rPr>
          <w:rFonts w:ascii="Book Antiqua" w:hAnsi="Book Antiqua"/>
          <w:lang w:val="en-US"/>
        </w:rPr>
        <w:t>monocytes display increased activation and production of inflammatory cytokines, but they may present functional defects in terms of capacity to mature effectively and</w:t>
      </w:r>
      <w:r w:rsidR="001E1DD4" w:rsidRPr="00AA2A35">
        <w:rPr>
          <w:rFonts w:ascii="Book Antiqua" w:hAnsi="Book Antiqua"/>
          <w:lang w:val="en-US"/>
        </w:rPr>
        <w:t xml:space="preserve"> </w:t>
      </w:r>
      <w:r w:rsidRPr="00AA2A35">
        <w:rPr>
          <w:rFonts w:ascii="Book Antiqua" w:hAnsi="Book Antiqua"/>
          <w:lang w:val="en-US"/>
        </w:rPr>
        <w:t xml:space="preserve">to clear bacteria </w:t>
      </w:r>
      <w:r w:rsidR="001E1DD4" w:rsidRPr="00AA2A35">
        <w:rPr>
          <w:rFonts w:ascii="Book Antiqua" w:hAnsi="Book Antiqua"/>
          <w:lang w:val="en-US"/>
        </w:rPr>
        <w:t>efficiently</w:t>
      </w:r>
      <w:r w:rsidRPr="00AA2A35">
        <w:rPr>
          <w:rFonts w:ascii="Book Antiqua" w:hAnsi="Book Antiqua"/>
          <w:noProof/>
          <w:vertAlign w:val="superscript"/>
          <w:lang w:val="en-US"/>
        </w:rPr>
        <w:t>[32]</w:t>
      </w:r>
      <w:r w:rsidRPr="00AA2A35">
        <w:rPr>
          <w:rFonts w:ascii="Book Antiqua" w:hAnsi="Book Antiqua"/>
          <w:lang w:val="en-US"/>
        </w:rPr>
        <w:t>. Indeed, the depletion of monocytes could improve the response to anti-inflammatory treatments in CD</w:t>
      </w:r>
      <w:r w:rsidRPr="00AA2A35">
        <w:rPr>
          <w:rFonts w:ascii="Book Antiqua" w:hAnsi="Book Antiqua"/>
          <w:noProof/>
          <w:vertAlign w:val="superscript"/>
          <w:lang w:val="en-US"/>
        </w:rPr>
        <w:t>[33]</w:t>
      </w:r>
      <w:r w:rsidRPr="00AA2A35">
        <w:rPr>
          <w:rFonts w:ascii="Book Antiqua" w:hAnsi="Book Antiqua"/>
          <w:lang w:val="en-US"/>
        </w:rPr>
        <w:t>. Thus, the contribution of monocytes to the pathogenesis of CD seems to be quite complex, involving hyper-activation and defective</w:t>
      </w:r>
      <w:r w:rsidR="00D727D3" w:rsidRPr="00AA2A35">
        <w:rPr>
          <w:rFonts w:ascii="Book Antiqua" w:hAnsi="Book Antiqua"/>
          <w:lang w:val="en-US"/>
        </w:rPr>
        <w:t xml:space="preserve"> functionality</w:t>
      </w:r>
      <w:r w:rsidRPr="00AA2A35">
        <w:rPr>
          <w:rFonts w:ascii="Book Antiqua" w:hAnsi="Book Antiqua"/>
          <w:lang w:val="en-US"/>
        </w:rPr>
        <w:t xml:space="preserve"> at the same time. </w:t>
      </w:r>
    </w:p>
    <w:p w14:paraId="27BAE9B7" w14:textId="5B0975D0" w:rsidR="00056D69" w:rsidRPr="00AA2A35" w:rsidRDefault="00D44C96" w:rsidP="00AA2A35">
      <w:pPr>
        <w:spacing w:line="360" w:lineRule="auto"/>
        <w:ind w:firstLineChars="150" w:firstLine="360"/>
        <w:jc w:val="both"/>
        <w:rPr>
          <w:rFonts w:ascii="Book Antiqua" w:hAnsi="Book Antiqua"/>
          <w:lang w:val="en-US"/>
        </w:rPr>
      </w:pPr>
      <w:r w:rsidRPr="00AA2A35">
        <w:rPr>
          <w:rFonts w:ascii="Book Antiqua" w:hAnsi="Book Antiqua"/>
          <w:lang w:val="en-US"/>
        </w:rPr>
        <w:t xml:space="preserve">Beynon </w:t>
      </w:r>
      <w:r w:rsidRPr="00AA2A35">
        <w:rPr>
          <w:rFonts w:ascii="Book Antiqua" w:hAnsi="Book Antiqua"/>
          <w:i/>
          <w:lang w:val="en-US"/>
        </w:rPr>
        <w:t>et al</w:t>
      </w:r>
      <w:r w:rsidR="00AA2A35" w:rsidRPr="00AA2A35">
        <w:rPr>
          <w:rFonts w:ascii="Book Antiqua" w:hAnsi="Book Antiqua"/>
          <w:noProof/>
          <w:vertAlign w:val="superscript"/>
          <w:lang w:val="en-US"/>
        </w:rPr>
        <w:t>[34]</w:t>
      </w:r>
      <w:r w:rsidRPr="00AA2A35">
        <w:rPr>
          <w:rFonts w:ascii="Book Antiqua" w:hAnsi="Book Antiqua"/>
          <w:lang w:val="en-US"/>
        </w:rPr>
        <w:t xml:space="preserve"> demonstrated that in spite of increased basal activation, CD-associated monocytes display reduced response to MDP stimulation, in a manner that greatly depends on </w:t>
      </w:r>
      <w:r w:rsidRPr="00AA2A35">
        <w:rPr>
          <w:rFonts w:ascii="Book Antiqua" w:hAnsi="Book Antiqua"/>
          <w:i/>
          <w:lang w:val="en-US"/>
        </w:rPr>
        <w:t>NOD2</w:t>
      </w:r>
      <w:r w:rsidRPr="00AA2A35">
        <w:rPr>
          <w:rFonts w:ascii="Book Antiqua" w:hAnsi="Book Antiqua"/>
          <w:lang w:val="en-US"/>
        </w:rPr>
        <w:t xml:space="preserve"> genotype. The effect of </w:t>
      </w:r>
      <w:r w:rsidRPr="00AA2A35">
        <w:rPr>
          <w:rFonts w:ascii="Book Antiqua" w:hAnsi="Book Antiqua"/>
          <w:i/>
          <w:lang w:val="en-US"/>
        </w:rPr>
        <w:t>NOD2</w:t>
      </w:r>
      <w:r w:rsidRPr="00AA2A35">
        <w:rPr>
          <w:rFonts w:ascii="Book Antiqua" w:hAnsi="Book Antiqua"/>
          <w:lang w:val="en-US"/>
        </w:rPr>
        <w:t xml:space="preserve"> variants on the activation of monocytes has been confirmed by other studies showing that homozygous mutations can almost abrogate TNF</w:t>
      </w:r>
      <w:r w:rsidRPr="00AA2A35">
        <w:rPr>
          <w:rFonts w:ascii="Times New Roman" w:hAnsi="Times New Roman"/>
          <w:lang w:val="en-US"/>
        </w:rPr>
        <w:t>α</w:t>
      </w:r>
      <w:r w:rsidRPr="00AA2A35">
        <w:rPr>
          <w:rFonts w:ascii="Book Antiqua" w:hAnsi="Book Antiqua"/>
          <w:lang w:val="en-US"/>
        </w:rPr>
        <w:t xml:space="preserve"> production after MDP stimulation</w:t>
      </w:r>
      <w:r w:rsidRPr="00AA2A35">
        <w:rPr>
          <w:rFonts w:ascii="Book Antiqua" w:hAnsi="Book Antiqua"/>
          <w:noProof/>
          <w:vertAlign w:val="superscript"/>
          <w:lang w:val="en-US"/>
        </w:rPr>
        <w:t>[35]</w:t>
      </w:r>
      <w:r w:rsidRPr="00AA2A35">
        <w:rPr>
          <w:rFonts w:ascii="Book Antiqua" w:hAnsi="Book Antiqua"/>
          <w:lang w:val="en-US"/>
        </w:rPr>
        <w:t xml:space="preserve">. However, NOD2 defects can also impair </w:t>
      </w:r>
      <w:r w:rsidR="00F52714" w:rsidRPr="00AA2A35">
        <w:rPr>
          <w:rFonts w:ascii="Book Antiqua" w:hAnsi="Book Antiqua"/>
          <w:lang w:val="en-US"/>
        </w:rPr>
        <w:t>M</w:t>
      </w:r>
      <w:r w:rsidRPr="00AA2A35">
        <w:rPr>
          <w:rFonts w:ascii="Book Antiqua" w:hAnsi="Book Antiqua"/>
          <w:lang w:val="en-US"/>
        </w:rPr>
        <w:t>DP-induced tolerance, resulting in sustained monocyte activation and TNF</w:t>
      </w:r>
      <w:r w:rsidRPr="00AA2A35">
        <w:rPr>
          <w:rFonts w:ascii="Times New Roman" w:hAnsi="Times New Roman"/>
          <w:lang w:val="en-US"/>
        </w:rPr>
        <w:t>α</w:t>
      </w:r>
      <w:r w:rsidRPr="00AA2A35">
        <w:rPr>
          <w:rFonts w:ascii="Book Antiqua" w:hAnsi="Book Antiqua"/>
          <w:lang w:val="en-US"/>
        </w:rPr>
        <w:t xml:space="preserve"> production</w:t>
      </w:r>
      <w:r w:rsidRPr="00AA2A35">
        <w:rPr>
          <w:rFonts w:ascii="Book Antiqua" w:hAnsi="Book Antiqua"/>
          <w:noProof/>
          <w:vertAlign w:val="superscript"/>
          <w:lang w:val="en-US"/>
        </w:rPr>
        <w:t>[36]</w:t>
      </w:r>
      <w:r w:rsidRPr="00AA2A35">
        <w:rPr>
          <w:rFonts w:ascii="Book Antiqua" w:hAnsi="Book Antiqua"/>
          <w:lang w:val="en-US"/>
        </w:rPr>
        <w:t>.</w:t>
      </w:r>
      <w:r w:rsidR="008C0200" w:rsidRPr="00AA2A35">
        <w:rPr>
          <w:rFonts w:ascii="Book Antiqua" w:hAnsi="Book Antiqua"/>
          <w:lang w:val="en-US"/>
        </w:rPr>
        <w:t xml:space="preserve"> </w:t>
      </w:r>
    </w:p>
    <w:p w14:paraId="481F77D1" w14:textId="0B091B33" w:rsidR="0042281A" w:rsidRPr="00AA2A35" w:rsidRDefault="0042281A" w:rsidP="00AA2A35">
      <w:pPr>
        <w:spacing w:line="360" w:lineRule="auto"/>
        <w:ind w:firstLineChars="150" w:firstLine="360"/>
        <w:jc w:val="both"/>
        <w:rPr>
          <w:rFonts w:ascii="Book Antiqua" w:hAnsi="Book Antiqua"/>
          <w:lang w:val="en-US"/>
        </w:rPr>
      </w:pPr>
      <w:r w:rsidRPr="00AA2A35">
        <w:rPr>
          <w:rFonts w:ascii="Book Antiqua" w:hAnsi="Book Antiqua"/>
          <w:lang w:val="en-GB"/>
        </w:rPr>
        <w:t>The aim of our research was the analysis of the integrity of the different pathways of the innate immune network. B</w:t>
      </w:r>
      <w:r w:rsidRPr="00AA2A35">
        <w:rPr>
          <w:rFonts w:ascii="Book Antiqua" w:hAnsi="Book Antiqua"/>
          <w:lang w:val="en-US"/>
        </w:rPr>
        <w:t xml:space="preserve">y means a cytometric protocol, adapted from a </w:t>
      </w:r>
      <w:r w:rsidRPr="00AA2A35">
        <w:rPr>
          <w:rFonts w:ascii="Book Antiqua" w:hAnsi="Book Antiqua"/>
          <w:lang w:val="en-GB"/>
        </w:rPr>
        <w:t xml:space="preserve">clinically </w:t>
      </w:r>
      <w:r w:rsidRPr="00AA2A35">
        <w:rPr>
          <w:rFonts w:ascii="Book Antiqua" w:hAnsi="Book Antiqua"/>
          <w:lang w:val="en-GB"/>
        </w:rPr>
        <w:lastRenderedPageBreak/>
        <w:t xml:space="preserve">oriented technique already used for the screening of some primary </w:t>
      </w:r>
      <w:r w:rsidR="002933BA" w:rsidRPr="00AA2A35">
        <w:rPr>
          <w:rFonts w:ascii="Book Antiqua" w:hAnsi="Book Antiqua"/>
          <w:lang w:val="en-GB"/>
        </w:rPr>
        <w:t>immunodeficiency</w:t>
      </w:r>
      <w:r w:rsidR="002933BA" w:rsidRPr="00AA2A35">
        <w:rPr>
          <w:rFonts w:ascii="Book Antiqua" w:hAnsi="Book Antiqua"/>
          <w:vertAlign w:val="superscript"/>
          <w:lang w:val="en-GB"/>
        </w:rPr>
        <w:t>[</w:t>
      </w:r>
      <w:r w:rsidRPr="00AA2A35">
        <w:rPr>
          <w:rFonts w:ascii="Book Antiqua" w:hAnsi="Book Antiqua"/>
          <w:vertAlign w:val="superscript"/>
          <w:lang w:val="en-GB"/>
        </w:rPr>
        <w:t>20]</w:t>
      </w:r>
      <w:r w:rsidRPr="00AA2A35">
        <w:rPr>
          <w:rFonts w:ascii="Book Antiqua" w:hAnsi="Book Antiqua"/>
          <w:lang w:val="en-GB"/>
        </w:rPr>
        <w:t>, we analysed the production of TNFα triggered in monocytes by different stimuli, to depict possible alterations in different pathways of innate immunity to PAMPs</w:t>
      </w:r>
      <w:r w:rsidRPr="00AA2A35">
        <w:rPr>
          <w:rFonts w:ascii="Book Antiqua" w:hAnsi="Book Antiqua"/>
          <w:b/>
          <w:lang w:val="en-GB"/>
        </w:rPr>
        <w:t xml:space="preserve">. </w:t>
      </w:r>
    </w:p>
    <w:p w14:paraId="7D002093" w14:textId="3390DF5F" w:rsidR="001C08C6" w:rsidRPr="00443BC2" w:rsidRDefault="002933BA" w:rsidP="00AA2A35">
      <w:pPr>
        <w:spacing w:line="360" w:lineRule="auto"/>
        <w:ind w:firstLineChars="150" w:firstLine="360"/>
        <w:jc w:val="both"/>
        <w:rPr>
          <w:rFonts w:ascii="Book Antiqua" w:hAnsi="Book Antiqua"/>
          <w:lang w:val="en-GB"/>
        </w:rPr>
      </w:pPr>
      <w:r w:rsidRPr="00AA2A35">
        <w:rPr>
          <w:rFonts w:ascii="Book Antiqua" w:hAnsi="Book Antiqua"/>
          <w:lang w:val="en-US"/>
        </w:rPr>
        <w:t>We</w:t>
      </w:r>
      <w:r w:rsidR="00992944" w:rsidRPr="00AA2A35">
        <w:rPr>
          <w:rFonts w:ascii="Book Antiqua" w:hAnsi="Book Antiqua"/>
          <w:lang w:val="en-US"/>
        </w:rPr>
        <w:t xml:space="preserve"> </w:t>
      </w:r>
      <w:r w:rsidR="00D44C96" w:rsidRPr="00AA2A35">
        <w:rPr>
          <w:rFonts w:ascii="Book Antiqua" w:hAnsi="Book Antiqua"/>
          <w:lang w:val="en-US"/>
        </w:rPr>
        <w:t>demonstrated that peripheral monocytes from CD show significant basal production of TNF</w:t>
      </w:r>
      <w:r w:rsidR="00D44C96" w:rsidRPr="00AA2A35">
        <w:rPr>
          <w:rFonts w:ascii="Times New Roman" w:hAnsi="Times New Roman"/>
          <w:lang w:val="en-US"/>
        </w:rPr>
        <w:t>α</w:t>
      </w:r>
      <w:r w:rsidR="00D44C96" w:rsidRPr="00AA2A35">
        <w:rPr>
          <w:rFonts w:ascii="Book Antiqua" w:hAnsi="Book Antiqua"/>
          <w:lang w:val="en-US"/>
        </w:rPr>
        <w:t xml:space="preserve"> and that this is not clearly related to either the disease activity or the </w:t>
      </w:r>
      <w:r w:rsidR="00992944" w:rsidRPr="00AA2A35">
        <w:rPr>
          <w:rFonts w:ascii="Book Antiqua" w:hAnsi="Book Antiqua"/>
          <w:i/>
          <w:lang w:val="en-US"/>
        </w:rPr>
        <w:t>NO</w:t>
      </w:r>
      <w:r w:rsidR="00992944" w:rsidRPr="00443BC2">
        <w:rPr>
          <w:rFonts w:ascii="Book Antiqua" w:hAnsi="Book Antiqua"/>
          <w:i/>
          <w:lang w:val="en-US"/>
        </w:rPr>
        <w:t>D2</w:t>
      </w:r>
      <w:r w:rsidR="00992944" w:rsidRPr="00443BC2">
        <w:rPr>
          <w:rFonts w:ascii="Book Antiqua" w:hAnsi="Book Antiqua"/>
          <w:lang w:val="en-US"/>
        </w:rPr>
        <w:t xml:space="preserve"> </w:t>
      </w:r>
      <w:r w:rsidR="00D44C96" w:rsidRPr="00443BC2">
        <w:rPr>
          <w:rFonts w:ascii="Book Antiqua" w:hAnsi="Book Antiqua"/>
          <w:lang w:val="en-US"/>
        </w:rPr>
        <w:t>genotype, supporting the idea that, in these cases, hyper-production of TNF</w:t>
      </w:r>
      <w:r w:rsidR="00D44C96" w:rsidRPr="00443BC2">
        <w:rPr>
          <w:rFonts w:ascii="Times New Roman" w:hAnsi="Times New Roman"/>
          <w:lang w:val="en-US"/>
        </w:rPr>
        <w:t>α</w:t>
      </w:r>
      <w:r w:rsidR="00AA2A35" w:rsidRPr="00443BC2">
        <w:rPr>
          <w:rFonts w:ascii="Times New Roman" w:eastAsiaTheme="minorEastAsia" w:hAnsi="Times New Roman" w:hint="eastAsia"/>
          <w:lang w:val="en-US" w:eastAsia="zh-CN"/>
        </w:rPr>
        <w:t xml:space="preserve"> </w:t>
      </w:r>
      <w:r w:rsidR="00D44C96" w:rsidRPr="00443BC2">
        <w:rPr>
          <w:rFonts w:ascii="Book Antiqua" w:hAnsi="Book Antiqua"/>
          <w:lang w:val="en-US"/>
        </w:rPr>
        <w:t>relies on NOD2-independent pathways. Indeed, stimulation with MDP or with Pam</w:t>
      </w:r>
      <w:r w:rsidR="00D44C96" w:rsidRPr="00443BC2">
        <w:rPr>
          <w:rFonts w:ascii="Book Antiqua" w:hAnsi="Book Antiqua"/>
          <w:vertAlign w:val="subscript"/>
          <w:lang w:val="en-US"/>
        </w:rPr>
        <w:t>3</w:t>
      </w:r>
      <w:r w:rsidR="00D44C96" w:rsidRPr="00443BC2">
        <w:rPr>
          <w:rFonts w:ascii="Book Antiqua" w:hAnsi="Book Antiqua"/>
          <w:lang w:val="en-US"/>
        </w:rPr>
        <w:t>CSK</w:t>
      </w:r>
      <w:r w:rsidR="00D44C96" w:rsidRPr="00443BC2">
        <w:rPr>
          <w:rFonts w:ascii="Book Antiqua" w:hAnsi="Book Antiqua"/>
          <w:vertAlign w:val="subscript"/>
          <w:lang w:val="en-US"/>
        </w:rPr>
        <w:t>4</w:t>
      </w:r>
      <w:r w:rsidR="00D44C96" w:rsidRPr="00443BC2">
        <w:rPr>
          <w:rFonts w:ascii="Book Antiqua" w:hAnsi="Book Antiqua"/>
          <w:lang w:val="en-US"/>
        </w:rPr>
        <w:t xml:space="preserve"> led to </w:t>
      </w:r>
      <w:r w:rsidR="009A15C0" w:rsidRPr="00443BC2">
        <w:rPr>
          <w:rFonts w:ascii="Book Antiqua" w:hAnsi="Book Antiqua"/>
          <w:lang w:val="en-US"/>
        </w:rPr>
        <w:t xml:space="preserve"> </w:t>
      </w:r>
      <w:r w:rsidR="00D44C96" w:rsidRPr="00443BC2">
        <w:rPr>
          <w:rFonts w:ascii="Book Antiqua" w:hAnsi="Book Antiqua"/>
          <w:lang w:val="en-US"/>
        </w:rPr>
        <w:t>higher TNF</w:t>
      </w:r>
      <w:r w:rsidR="00D44C96" w:rsidRPr="00443BC2">
        <w:rPr>
          <w:rFonts w:ascii="Times New Roman" w:hAnsi="Times New Roman"/>
          <w:lang w:val="en-US"/>
        </w:rPr>
        <w:t>α</w:t>
      </w:r>
      <w:r w:rsidR="00D44C96" w:rsidRPr="00443BC2">
        <w:rPr>
          <w:rFonts w:ascii="Book Antiqua" w:hAnsi="Book Antiqua"/>
          <w:lang w:val="en-US"/>
        </w:rPr>
        <w:t xml:space="preserve"> production in CD </w:t>
      </w:r>
      <w:r w:rsidR="007421EC" w:rsidRPr="00443BC2">
        <w:rPr>
          <w:rFonts w:ascii="Book Antiqua" w:hAnsi="Book Antiqua"/>
          <w:lang w:val="en-US"/>
        </w:rPr>
        <w:t xml:space="preserve">patients </w:t>
      </w:r>
      <w:r w:rsidR="00D44C96" w:rsidRPr="00443BC2">
        <w:rPr>
          <w:rFonts w:ascii="Book Antiqua" w:hAnsi="Book Antiqua"/>
          <w:lang w:val="en-US"/>
        </w:rPr>
        <w:t>than in controls.</w:t>
      </w:r>
      <w:r w:rsidR="001C08C6" w:rsidRPr="00443BC2">
        <w:rPr>
          <w:rFonts w:ascii="Book Antiqua" w:hAnsi="Book Antiqua"/>
          <w:lang w:val="en-US"/>
        </w:rPr>
        <w:t xml:space="preserve"> The stronger response in CD after the stimulation with the NOD2</w:t>
      </w:r>
      <w:r w:rsidR="00545CFB" w:rsidRPr="00443BC2">
        <w:rPr>
          <w:rFonts w:ascii="Book Antiqua" w:hAnsi="Book Antiqua"/>
          <w:lang w:val="en-US"/>
        </w:rPr>
        <w:t xml:space="preserve"> ligand</w:t>
      </w:r>
      <w:r w:rsidR="001C08C6" w:rsidRPr="00443BC2">
        <w:rPr>
          <w:rFonts w:ascii="Book Antiqua" w:hAnsi="Book Antiqua"/>
          <w:lang w:val="en-US"/>
        </w:rPr>
        <w:t xml:space="preserve"> did not find a clear explanation, but it highlights the importance of NOD2 signalling in CD and not in UC.</w:t>
      </w:r>
      <w:r w:rsidR="001C08C6" w:rsidRPr="00443BC2">
        <w:rPr>
          <w:rFonts w:ascii="Book Antiqua" w:hAnsi="Book Antiqua"/>
          <w:b/>
          <w:color w:val="000000"/>
          <w:lang w:val="en-GB"/>
        </w:rPr>
        <w:t xml:space="preserve"> </w:t>
      </w:r>
      <w:r w:rsidR="00EA7449" w:rsidRPr="00443BC2">
        <w:rPr>
          <w:rFonts w:ascii="Book Antiqua" w:hAnsi="Book Antiqua"/>
          <w:color w:val="000000"/>
          <w:lang w:val="en-GB"/>
        </w:rPr>
        <w:t xml:space="preserve">This result is coherent with the knowledge that NOD2 is the main genetic factor associated with CD, even though </w:t>
      </w:r>
      <w:r w:rsidR="00F75855" w:rsidRPr="00443BC2">
        <w:rPr>
          <w:rFonts w:ascii="Book Antiqua" w:hAnsi="Book Antiqua"/>
          <w:color w:val="000000"/>
          <w:lang w:val="en-GB"/>
        </w:rPr>
        <w:t xml:space="preserve">the mechanisms </w:t>
      </w:r>
      <w:r w:rsidR="00892A71" w:rsidRPr="00443BC2">
        <w:rPr>
          <w:rFonts w:ascii="Book Antiqua" w:hAnsi="Book Antiqua"/>
          <w:color w:val="000000"/>
          <w:lang w:val="en-GB"/>
        </w:rPr>
        <w:t xml:space="preserve">underlying the </w:t>
      </w:r>
      <w:r w:rsidR="00EA7449" w:rsidRPr="00443BC2">
        <w:rPr>
          <w:rFonts w:ascii="Book Antiqua" w:hAnsi="Book Antiqua"/>
          <w:lang w:val="en-GB"/>
        </w:rPr>
        <w:t xml:space="preserve">pathogenesis of the disease remain controversial. </w:t>
      </w:r>
    </w:p>
    <w:p w14:paraId="184C1471" w14:textId="6F987A2C" w:rsidR="00D44C96" w:rsidRPr="00AA2A35" w:rsidRDefault="00D44C96" w:rsidP="00D14265">
      <w:pPr>
        <w:spacing w:line="360" w:lineRule="auto"/>
        <w:jc w:val="both"/>
        <w:rPr>
          <w:rFonts w:ascii="Book Antiqua" w:hAnsi="Book Antiqua"/>
          <w:lang w:val="en-US"/>
        </w:rPr>
      </w:pPr>
      <w:r w:rsidRPr="00443BC2">
        <w:rPr>
          <w:rFonts w:ascii="Book Antiqua" w:hAnsi="Book Antiqua"/>
          <w:lang w:val="en-US"/>
        </w:rPr>
        <w:t xml:space="preserve"> </w:t>
      </w:r>
      <w:r w:rsidR="00AA2A35" w:rsidRPr="00443BC2">
        <w:rPr>
          <w:rFonts w:ascii="Book Antiqua" w:eastAsiaTheme="minorEastAsia" w:hAnsi="Book Antiqua" w:hint="eastAsia"/>
          <w:lang w:val="en-US" w:eastAsia="zh-CN"/>
        </w:rPr>
        <w:t xml:space="preserve">   </w:t>
      </w:r>
      <w:r w:rsidRPr="00443BC2">
        <w:rPr>
          <w:rFonts w:ascii="Book Antiqua" w:hAnsi="Book Antiqua"/>
          <w:lang w:val="en-US"/>
        </w:rPr>
        <w:t>Thus, the activation of monocytes</w:t>
      </w:r>
      <w:r w:rsidR="00E348B5" w:rsidRPr="00443BC2">
        <w:rPr>
          <w:rFonts w:ascii="Book Antiqua" w:hAnsi="Book Antiqua"/>
          <w:lang w:val="en-US"/>
        </w:rPr>
        <w:t xml:space="preserve"> resulting from</w:t>
      </w:r>
      <w:r w:rsidRPr="00443BC2">
        <w:rPr>
          <w:rFonts w:ascii="Book Antiqua" w:hAnsi="Book Antiqua"/>
          <w:lang w:val="en-US"/>
        </w:rPr>
        <w:t xml:space="preserve"> the mucosal immunopathology of CD could play a greater role in inducing TNF</w:t>
      </w:r>
      <w:r w:rsidRPr="00443BC2">
        <w:rPr>
          <w:rFonts w:ascii="Times New Roman" w:hAnsi="Times New Roman"/>
          <w:lang w:val="en-US"/>
        </w:rPr>
        <w:t xml:space="preserve">α </w:t>
      </w:r>
      <w:r w:rsidRPr="00443BC2">
        <w:rPr>
          <w:rFonts w:ascii="Book Antiqua" w:hAnsi="Book Antiqua"/>
          <w:lang w:val="en-US"/>
        </w:rPr>
        <w:t xml:space="preserve">than the </w:t>
      </w:r>
      <w:r w:rsidRPr="00443BC2">
        <w:rPr>
          <w:rFonts w:ascii="Book Antiqua" w:hAnsi="Book Antiqua"/>
          <w:i/>
          <w:lang w:val="en-US"/>
        </w:rPr>
        <w:t>NOD2</w:t>
      </w:r>
      <w:r w:rsidRPr="00443BC2">
        <w:rPr>
          <w:rFonts w:ascii="Book Antiqua" w:hAnsi="Book Antiqua"/>
          <w:lang w:val="en-US"/>
        </w:rPr>
        <w:t xml:space="preserve"> genotype, not only in the intestinal mucosa but also in peripheral blood. A possible hypothesis is that excessive activation of monocytes occurs in response to bacterial tr</w:t>
      </w:r>
      <w:r w:rsidRPr="00AA2A35">
        <w:rPr>
          <w:rFonts w:ascii="Book Antiqua" w:hAnsi="Book Antiqua"/>
          <w:lang w:val="en-US"/>
        </w:rPr>
        <w:t>anslocation across the epithelium and to minor defects in bacterial clearance or in MDP-induced tolerance. Notably, the paradoxical efficacy of GM-CSF in some cases of CD may be due to the correction of such defects in epithelial monocytes, for example by rescuing their epithelial repair function</w:t>
      </w:r>
      <w:r w:rsidRPr="00AA2A35">
        <w:rPr>
          <w:rFonts w:ascii="Book Antiqua" w:hAnsi="Book Antiqua"/>
          <w:noProof/>
          <w:vertAlign w:val="superscript"/>
          <w:lang w:val="en-US"/>
        </w:rPr>
        <w:t>[3</w:t>
      </w:r>
      <w:r w:rsidR="008377EB" w:rsidRPr="00AA2A35">
        <w:rPr>
          <w:rFonts w:ascii="Book Antiqua" w:hAnsi="Book Antiqua"/>
          <w:noProof/>
          <w:vertAlign w:val="superscript"/>
          <w:lang w:val="en-US"/>
        </w:rPr>
        <w:t>7</w:t>
      </w:r>
      <w:r w:rsidRPr="00AA2A35">
        <w:rPr>
          <w:rFonts w:ascii="Book Antiqua" w:hAnsi="Book Antiqua"/>
          <w:noProof/>
          <w:vertAlign w:val="superscript"/>
          <w:lang w:val="en-US"/>
        </w:rPr>
        <w:t>]</w:t>
      </w:r>
      <w:r w:rsidRPr="00AA2A35">
        <w:rPr>
          <w:rFonts w:ascii="Book Antiqua" w:hAnsi="Book Antiqua"/>
          <w:lang w:val="en-US"/>
        </w:rPr>
        <w:t>. Another critical function for mucosal monocytes may concern the induction of antimicrobial peptide</w:t>
      </w:r>
      <w:r w:rsidR="00FE3048" w:rsidRPr="00AA2A35">
        <w:rPr>
          <w:rFonts w:ascii="Book Antiqua" w:hAnsi="Book Antiqua"/>
          <w:strike/>
          <w:lang w:val="en-US"/>
        </w:rPr>
        <w:t>s</w:t>
      </w:r>
      <w:r w:rsidRPr="00AA2A35">
        <w:rPr>
          <w:rFonts w:ascii="Book Antiqua" w:hAnsi="Book Antiqua"/>
          <w:lang w:val="en-US"/>
        </w:rPr>
        <w:t xml:space="preserve"> production by Paneth cells</w:t>
      </w:r>
      <w:r w:rsidRPr="00AA2A35">
        <w:rPr>
          <w:rFonts w:ascii="Book Antiqua" w:hAnsi="Book Antiqua"/>
          <w:noProof/>
          <w:vertAlign w:val="superscript"/>
          <w:lang w:val="en-US"/>
        </w:rPr>
        <w:t>[38]</w:t>
      </w:r>
      <w:r w:rsidRPr="00AA2A35">
        <w:rPr>
          <w:rFonts w:ascii="Book Antiqua" w:hAnsi="Book Antiqua"/>
          <w:lang w:val="en-US"/>
        </w:rPr>
        <w:t xml:space="preserve">; indeed, a defective production of defensins after bacterial translocation may result in altered shaping of gut microbiota, leading to inflammatory amplification in a vicious circle. </w:t>
      </w:r>
    </w:p>
    <w:p w14:paraId="36D7DD56" w14:textId="046021AF" w:rsidR="00F0010F" w:rsidRPr="00AA2A35" w:rsidRDefault="00D44C96" w:rsidP="00AA2A35">
      <w:pPr>
        <w:spacing w:line="360" w:lineRule="auto"/>
        <w:ind w:firstLineChars="150" w:firstLine="360"/>
        <w:jc w:val="both"/>
        <w:rPr>
          <w:rFonts w:ascii="Book Antiqua" w:hAnsi="Book Antiqua"/>
          <w:lang w:val="en-US"/>
        </w:rPr>
      </w:pPr>
      <w:r w:rsidRPr="00AA2A35">
        <w:rPr>
          <w:rFonts w:ascii="Book Antiqua" w:hAnsi="Book Antiqua"/>
          <w:lang w:val="en-US"/>
        </w:rPr>
        <w:t>We investigated</w:t>
      </w:r>
      <w:r w:rsidR="003755B3" w:rsidRPr="00AA2A35">
        <w:rPr>
          <w:rFonts w:ascii="Book Antiqua" w:hAnsi="Book Antiqua"/>
          <w:lang w:val="en-US"/>
        </w:rPr>
        <w:t xml:space="preserve"> </w:t>
      </w:r>
      <w:r w:rsidRPr="00AA2A35">
        <w:rPr>
          <w:rFonts w:ascii="Book Antiqua" w:hAnsi="Book Antiqua"/>
          <w:lang w:val="en-US"/>
        </w:rPr>
        <w:t>whether increased activation of peripheral monocytes correlated with plasma levels of LPS-binding protein (LBP). We showed that plasma concentrations of LBP</w:t>
      </w:r>
      <w:r w:rsidR="00075C88" w:rsidRPr="00AA2A35">
        <w:rPr>
          <w:rFonts w:ascii="Book Antiqua" w:hAnsi="Book Antiqua"/>
          <w:lang w:val="en-US"/>
        </w:rPr>
        <w:t xml:space="preserve"> </w:t>
      </w:r>
      <w:r w:rsidRPr="00AA2A35">
        <w:rPr>
          <w:rFonts w:ascii="Book Antiqua" w:hAnsi="Book Antiqua"/>
          <w:lang w:val="en-US"/>
        </w:rPr>
        <w:t>correlate positively with disease activity, both in CD and in UC, in agreement with previous studies</w:t>
      </w:r>
      <w:r w:rsidRPr="00AA2A35">
        <w:rPr>
          <w:rFonts w:ascii="Book Antiqua" w:hAnsi="Book Antiqua"/>
          <w:noProof/>
          <w:vertAlign w:val="superscript"/>
          <w:lang w:val="en-US"/>
        </w:rPr>
        <w:t>[11]</w:t>
      </w:r>
      <w:r w:rsidRPr="00AA2A35">
        <w:rPr>
          <w:rFonts w:ascii="Book Antiqua" w:hAnsi="Book Antiqua"/>
          <w:lang w:val="en-US"/>
        </w:rPr>
        <w:t xml:space="preserve">. However, there was no significant correlation between LBP levels and activation of peripheral monocytes, suggesting that monocytes are not activated by systemic exposure to LPS. We cannot, however, rule out the </w:t>
      </w:r>
      <w:r w:rsidR="00567BB3" w:rsidRPr="00AA2A35">
        <w:rPr>
          <w:rFonts w:ascii="Book Antiqua" w:hAnsi="Book Antiqua"/>
          <w:lang w:val="en-US"/>
        </w:rPr>
        <w:t xml:space="preserve">existence </w:t>
      </w:r>
      <w:r w:rsidRPr="00AA2A35">
        <w:rPr>
          <w:rFonts w:ascii="Book Antiqua" w:hAnsi="Book Antiqua"/>
          <w:lang w:val="en-US"/>
        </w:rPr>
        <w:t xml:space="preserve">of other bacterial molecular patterns. </w:t>
      </w:r>
    </w:p>
    <w:p w14:paraId="5B1F830C" w14:textId="01B54604" w:rsidR="00786CD3" w:rsidRPr="00AA2A35" w:rsidRDefault="00D44C96" w:rsidP="00AA2A35">
      <w:pPr>
        <w:spacing w:line="360" w:lineRule="auto"/>
        <w:ind w:firstLineChars="150" w:firstLine="360"/>
        <w:jc w:val="both"/>
        <w:rPr>
          <w:rFonts w:ascii="Book Antiqua" w:hAnsi="Book Antiqua"/>
          <w:lang w:val="en-US"/>
        </w:rPr>
      </w:pPr>
      <w:r w:rsidRPr="00AA2A35">
        <w:rPr>
          <w:rFonts w:ascii="Book Antiqua" w:hAnsi="Book Antiqua"/>
          <w:lang w:val="en-US"/>
        </w:rPr>
        <w:t xml:space="preserve">An added value of our research is that we studied </w:t>
      </w:r>
      <w:r w:rsidR="00B04BF3" w:rsidRPr="00AA2A35">
        <w:rPr>
          <w:rFonts w:ascii="Book Antiqua" w:hAnsi="Book Antiqua"/>
          <w:lang w:val="en-US"/>
        </w:rPr>
        <w:t>monocyte</w:t>
      </w:r>
      <w:r w:rsidRPr="00AA2A35">
        <w:rPr>
          <w:rFonts w:ascii="Book Antiqua" w:hAnsi="Book Antiqua"/>
          <w:lang w:val="en-US"/>
        </w:rPr>
        <w:t xml:space="preserve"> function after stimulation of different </w:t>
      </w:r>
      <w:r w:rsidR="00F0010F" w:rsidRPr="00AA2A35">
        <w:rPr>
          <w:rFonts w:ascii="Book Antiqua" w:hAnsi="Book Antiqua"/>
          <w:lang w:val="en-US"/>
        </w:rPr>
        <w:t>TLR</w:t>
      </w:r>
      <w:r w:rsidRPr="00AA2A35">
        <w:rPr>
          <w:rFonts w:ascii="Book Antiqua" w:hAnsi="Book Antiqua"/>
          <w:lang w:val="en-US"/>
        </w:rPr>
        <w:t xml:space="preserve"> pathways.</w:t>
      </w:r>
      <w:r w:rsidR="00F0010F" w:rsidRPr="00AA2A35">
        <w:rPr>
          <w:rFonts w:ascii="Book Antiqua" w:hAnsi="Book Antiqua"/>
          <w:lang w:val="en-US"/>
        </w:rPr>
        <w:t xml:space="preserve"> Several studies have already reported that altered patterns of </w:t>
      </w:r>
      <w:r w:rsidR="00F0010F" w:rsidRPr="00AA2A35">
        <w:rPr>
          <w:rFonts w:ascii="Book Antiqua" w:hAnsi="Book Antiqua"/>
          <w:lang w:val="en-US"/>
        </w:rPr>
        <w:lastRenderedPageBreak/>
        <w:t>TLR expression can be differentially found in CD, rather than in UC</w:t>
      </w:r>
      <w:r w:rsidR="00625BF0" w:rsidRPr="00AA2A35">
        <w:rPr>
          <w:rFonts w:ascii="Book Antiqua" w:hAnsi="Book Antiqua"/>
          <w:vertAlign w:val="superscript"/>
          <w:lang w:val="en-US"/>
        </w:rPr>
        <w:t>[</w:t>
      </w:r>
      <w:r w:rsidR="008377EB" w:rsidRPr="00AA2A35">
        <w:rPr>
          <w:rFonts w:ascii="Book Antiqua" w:hAnsi="Book Antiqua"/>
          <w:vertAlign w:val="superscript"/>
          <w:lang w:val="en-US"/>
        </w:rPr>
        <w:t>39</w:t>
      </w:r>
      <w:r w:rsidR="00625BF0" w:rsidRPr="00AA2A35">
        <w:rPr>
          <w:rFonts w:ascii="Book Antiqua" w:hAnsi="Book Antiqua"/>
          <w:vertAlign w:val="superscript"/>
          <w:lang w:val="en-US"/>
        </w:rPr>
        <w:t>]</w:t>
      </w:r>
      <w:r w:rsidR="00F0010F" w:rsidRPr="00AA2A35">
        <w:rPr>
          <w:rFonts w:ascii="Book Antiqua" w:hAnsi="Book Antiqua"/>
          <w:lang w:val="en-US"/>
        </w:rPr>
        <w:t xml:space="preserve">, even </w:t>
      </w:r>
      <w:r w:rsidR="00A70D6A" w:rsidRPr="00AA2A35">
        <w:rPr>
          <w:rFonts w:ascii="Book Antiqua" w:hAnsi="Book Antiqua"/>
          <w:lang w:val="en-US"/>
        </w:rPr>
        <w:t xml:space="preserve">though </w:t>
      </w:r>
      <w:r w:rsidR="00F0010F" w:rsidRPr="00AA2A35">
        <w:rPr>
          <w:rFonts w:ascii="Book Antiqua" w:hAnsi="Book Antiqua"/>
          <w:lang w:val="en-US"/>
        </w:rPr>
        <w:t>no definitive association between the pathway dysregulations and the disease phenotypes has been ever identified. We interestingly found that</w:t>
      </w:r>
      <w:r w:rsidRPr="00AA2A35">
        <w:rPr>
          <w:rFonts w:ascii="Book Antiqua" w:hAnsi="Book Antiqua"/>
          <w:lang w:val="en-US"/>
        </w:rPr>
        <w:t xml:space="preserve"> peripheral blood monocytes from CD patients displayed increased response to Pam</w:t>
      </w:r>
      <w:r w:rsidRPr="00AA2A35">
        <w:rPr>
          <w:rFonts w:ascii="Book Antiqua" w:hAnsi="Book Antiqua"/>
          <w:vertAlign w:val="subscript"/>
          <w:lang w:val="en-US"/>
        </w:rPr>
        <w:t>3</w:t>
      </w:r>
      <w:r w:rsidRPr="00AA2A35">
        <w:rPr>
          <w:rFonts w:ascii="Book Antiqua" w:hAnsi="Book Antiqua"/>
          <w:lang w:val="en-US"/>
        </w:rPr>
        <w:t>CSK</w:t>
      </w:r>
      <w:r w:rsidRPr="00AA2A35">
        <w:rPr>
          <w:rFonts w:ascii="Book Antiqua" w:hAnsi="Book Antiqua"/>
          <w:vertAlign w:val="subscript"/>
          <w:lang w:val="en-US"/>
        </w:rPr>
        <w:t>4</w:t>
      </w:r>
      <w:r w:rsidRPr="00AA2A35">
        <w:rPr>
          <w:rFonts w:ascii="Book Antiqua" w:hAnsi="Book Antiqua"/>
          <w:lang w:val="en-US"/>
        </w:rPr>
        <w:t>, which is a mycobacterial-like ligand for TLR2/1. The increased response to Pam</w:t>
      </w:r>
      <w:r w:rsidRPr="00AA2A35">
        <w:rPr>
          <w:rFonts w:ascii="Book Antiqua" w:hAnsi="Book Antiqua"/>
          <w:vertAlign w:val="subscript"/>
          <w:lang w:val="en-US"/>
        </w:rPr>
        <w:t>3</w:t>
      </w:r>
      <w:r w:rsidRPr="00AA2A35">
        <w:rPr>
          <w:rFonts w:ascii="Book Antiqua" w:hAnsi="Book Antiqua"/>
          <w:lang w:val="en-US"/>
        </w:rPr>
        <w:t>CSK</w:t>
      </w:r>
      <w:r w:rsidRPr="00AA2A35">
        <w:rPr>
          <w:rFonts w:ascii="Book Antiqua" w:hAnsi="Book Antiqua"/>
          <w:vertAlign w:val="subscript"/>
          <w:lang w:val="en-US"/>
        </w:rPr>
        <w:t>4</w:t>
      </w:r>
      <w:r w:rsidRPr="00AA2A35">
        <w:rPr>
          <w:rFonts w:ascii="Book Antiqua" w:hAnsi="Book Antiqua"/>
          <w:lang w:val="en-US"/>
        </w:rPr>
        <w:t xml:space="preserve"> was quite specific to CD monocytes and was not found in UC. Thus, it is</w:t>
      </w:r>
      <w:r w:rsidR="00567BB3" w:rsidRPr="00AA2A35">
        <w:rPr>
          <w:rFonts w:ascii="Book Antiqua" w:hAnsi="Book Antiqua"/>
          <w:lang w:val="en-US"/>
        </w:rPr>
        <w:t xml:space="preserve"> </w:t>
      </w:r>
      <w:r w:rsidRPr="00AA2A35">
        <w:rPr>
          <w:rFonts w:ascii="Book Antiqua" w:hAnsi="Book Antiqua"/>
          <w:lang w:val="en-US"/>
        </w:rPr>
        <w:t xml:space="preserve">unlikely that the hyper-response to TLR2/1 signaling depended </w:t>
      </w:r>
      <w:r w:rsidR="005C587C" w:rsidRPr="00AA2A35">
        <w:rPr>
          <w:rFonts w:ascii="Book Antiqua" w:hAnsi="Book Antiqua"/>
          <w:strike/>
          <w:lang w:val="en-US"/>
        </w:rPr>
        <w:t>just</w:t>
      </w:r>
      <w:r w:rsidR="005C587C" w:rsidRPr="00AA2A35">
        <w:rPr>
          <w:rFonts w:ascii="Book Antiqua" w:hAnsi="Book Antiqua"/>
          <w:lang w:val="en-US"/>
        </w:rPr>
        <w:t xml:space="preserve"> </w:t>
      </w:r>
      <w:r w:rsidRPr="00AA2A35">
        <w:rPr>
          <w:rFonts w:ascii="Book Antiqua" w:hAnsi="Book Antiqua"/>
          <w:lang w:val="en-US"/>
        </w:rPr>
        <w:t>on monocyte activation alone. A possible explanation is that peripheral monocytes from patients with CD are primed by mycobacterial components released in the intestinal mucosa, maybe as a result of colonization with bacteria such as Mycobacterium Avium Paratuberculosis (MAP)</w:t>
      </w:r>
      <w:r w:rsidR="00786CD3" w:rsidRPr="00AA2A35">
        <w:rPr>
          <w:rFonts w:ascii="Book Antiqua" w:hAnsi="Book Antiqua"/>
          <w:lang w:val="en-US"/>
        </w:rPr>
        <w:t>. The presence of MAP in CD intestinal mucosa and bloodstream has been proved by several works and accomplished by different techniques; it has been repetitively associated with the pathogenesis of CD but its role in the etiology remains to be defined</w:t>
      </w:r>
      <w:r w:rsidR="00786CD3" w:rsidRPr="00AA2A35">
        <w:rPr>
          <w:rFonts w:ascii="Book Antiqua" w:hAnsi="Book Antiqua"/>
          <w:noProof/>
          <w:vertAlign w:val="superscript"/>
          <w:lang w:val="en-US"/>
        </w:rPr>
        <w:t>[4</w:t>
      </w:r>
      <w:r w:rsidR="00DD788A" w:rsidRPr="00AA2A35">
        <w:rPr>
          <w:rFonts w:ascii="Book Antiqua" w:hAnsi="Book Antiqua"/>
          <w:noProof/>
          <w:vertAlign w:val="superscript"/>
          <w:lang w:val="en-US"/>
        </w:rPr>
        <w:t>0</w:t>
      </w:r>
      <w:r w:rsidR="00786CD3" w:rsidRPr="00AA2A35">
        <w:rPr>
          <w:rFonts w:ascii="Book Antiqua" w:hAnsi="Book Antiqua"/>
          <w:noProof/>
          <w:vertAlign w:val="superscript"/>
          <w:lang w:val="en-US"/>
        </w:rPr>
        <w:t>]</w:t>
      </w:r>
      <w:r w:rsidR="00786CD3" w:rsidRPr="00AA2A35">
        <w:rPr>
          <w:rFonts w:ascii="Book Antiqua" w:hAnsi="Book Antiqua"/>
          <w:lang w:val="en-US"/>
        </w:rPr>
        <w:t xml:space="preserve">. </w:t>
      </w:r>
      <w:r w:rsidRPr="00AA2A35">
        <w:rPr>
          <w:rFonts w:ascii="Book Antiqua" w:hAnsi="Book Antiqua"/>
          <w:lang w:val="en-US"/>
        </w:rPr>
        <w:t xml:space="preserve">Our results </w:t>
      </w:r>
      <w:r w:rsidR="001E4654" w:rsidRPr="00AA2A35">
        <w:rPr>
          <w:rFonts w:ascii="Book Antiqua" w:hAnsi="Book Antiqua"/>
          <w:lang w:val="en-US"/>
        </w:rPr>
        <w:t xml:space="preserve">should </w:t>
      </w:r>
      <w:r w:rsidRPr="00AA2A35">
        <w:rPr>
          <w:rFonts w:ascii="Book Antiqua" w:hAnsi="Book Antiqua"/>
          <w:lang w:val="en-US"/>
        </w:rPr>
        <w:t xml:space="preserve">prompt further investigation on the immune response to MAP in healthy population and in CD.   </w:t>
      </w:r>
    </w:p>
    <w:p w14:paraId="7100AF5E" w14:textId="224BBBD5" w:rsidR="00D44C96" w:rsidRPr="00AA2A35" w:rsidRDefault="00D44C96" w:rsidP="00AA2A35">
      <w:pPr>
        <w:spacing w:line="360" w:lineRule="auto"/>
        <w:ind w:firstLineChars="150" w:firstLine="360"/>
        <w:jc w:val="both"/>
        <w:rPr>
          <w:rFonts w:ascii="Book Antiqua" w:hAnsi="Book Antiqua"/>
          <w:lang w:val="en-US"/>
        </w:rPr>
      </w:pPr>
      <w:r w:rsidRPr="00AA2A35">
        <w:rPr>
          <w:rFonts w:ascii="Book Antiqua" w:hAnsi="Book Antiqua"/>
          <w:lang w:val="en-US"/>
        </w:rPr>
        <w:t>In conclusion, we showed that peripheral monocytes from</w:t>
      </w:r>
      <w:r w:rsidR="005E49E1" w:rsidRPr="00AA2A35">
        <w:rPr>
          <w:rFonts w:ascii="Book Antiqua" w:hAnsi="Book Antiqua"/>
          <w:lang w:val="en-US"/>
        </w:rPr>
        <w:t xml:space="preserve"> patients with</w:t>
      </w:r>
      <w:r w:rsidRPr="00AA2A35">
        <w:rPr>
          <w:rFonts w:ascii="Book Antiqua" w:hAnsi="Book Antiqua"/>
          <w:lang w:val="en-US"/>
        </w:rPr>
        <w:t xml:space="preserve"> CD have higher basal production of TNF</w:t>
      </w:r>
      <w:r w:rsidRPr="00AA2A35">
        <w:rPr>
          <w:rFonts w:ascii="Times New Roman" w:hAnsi="Times New Roman"/>
          <w:lang w:val="en-US"/>
        </w:rPr>
        <w:t>α</w:t>
      </w:r>
      <w:r w:rsidRPr="00AA2A35">
        <w:rPr>
          <w:rFonts w:ascii="Book Antiqua" w:hAnsi="Book Antiqua"/>
          <w:lang w:val="en-US"/>
        </w:rPr>
        <w:t xml:space="preserve"> than controls, regardless of </w:t>
      </w:r>
      <w:r w:rsidRPr="00AA2A35">
        <w:rPr>
          <w:rFonts w:ascii="Book Antiqua" w:hAnsi="Book Antiqua"/>
          <w:i/>
          <w:lang w:val="en-US"/>
        </w:rPr>
        <w:t>NOD2</w:t>
      </w:r>
      <w:r w:rsidRPr="00AA2A35">
        <w:rPr>
          <w:rFonts w:ascii="Book Antiqua" w:hAnsi="Book Antiqua"/>
          <w:lang w:val="en-US"/>
        </w:rPr>
        <w:t xml:space="preserve"> genotype and without a clear correlation with disease activity. Moreover, peripheral monocyte activation </w:t>
      </w:r>
      <w:r w:rsidR="00E412D1" w:rsidRPr="00AA2A35">
        <w:rPr>
          <w:rFonts w:ascii="Book Antiqua" w:hAnsi="Book Antiqua"/>
          <w:lang w:val="en-US"/>
        </w:rPr>
        <w:t>does not</w:t>
      </w:r>
      <w:r w:rsidRPr="00AA2A35">
        <w:rPr>
          <w:rFonts w:ascii="Book Antiqua" w:hAnsi="Book Antiqua"/>
          <w:lang w:val="en-US"/>
        </w:rPr>
        <w:t xml:space="preserve"> seem</w:t>
      </w:r>
      <w:r w:rsidR="00C91803" w:rsidRPr="00AA2A35">
        <w:rPr>
          <w:rFonts w:ascii="Book Antiqua" w:hAnsi="Book Antiqua"/>
          <w:lang w:val="en-US"/>
        </w:rPr>
        <w:t xml:space="preserve"> </w:t>
      </w:r>
      <w:r w:rsidRPr="00AA2A35">
        <w:rPr>
          <w:rFonts w:ascii="Book Antiqua" w:hAnsi="Book Antiqua"/>
          <w:lang w:val="en-US"/>
        </w:rPr>
        <w:t>to be due to plasma exposition to LPS. There is also an increased response of monocytes to MDP or Pam</w:t>
      </w:r>
      <w:r w:rsidRPr="00AA2A35">
        <w:rPr>
          <w:rFonts w:ascii="Book Antiqua" w:hAnsi="Book Antiqua"/>
          <w:vertAlign w:val="subscript"/>
          <w:lang w:val="en-US"/>
        </w:rPr>
        <w:t>3</w:t>
      </w:r>
      <w:r w:rsidRPr="00AA2A35">
        <w:rPr>
          <w:rFonts w:ascii="Book Antiqua" w:hAnsi="Book Antiqua"/>
          <w:lang w:val="en-US"/>
        </w:rPr>
        <w:t>CSK</w:t>
      </w:r>
      <w:r w:rsidRPr="00AA2A35">
        <w:rPr>
          <w:rFonts w:ascii="Book Antiqua" w:hAnsi="Book Antiqua"/>
          <w:vertAlign w:val="subscript"/>
          <w:lang w:val="en-US"/>
        </w:rPr>
        <w:t>4</w:t>
      </w:r>
      <w:r w:rsidRPr="00AA2A35">
        <w:rPr>
          <w:rFonts w:ascii="Book Antiqua" w:hAnsi="Book Antiqua"/>
          <w:lang w:val="en-US"/>
        </w:rPr>
        <w:t xml:space="preserve"> stimulation, which could reflect a reduced tolerance to bacterial PAMPs. Based on these data, it is worth investigating the possible priming of monocytes by mycobacterial colonization, for example with MAP. </w:t>
      </w:r>
    </w:p>
    <w:p w14:paraId="4254A30F" w14:textId="77777777" w:rsidR="007F0FE5" w:rsidRPr="00AA2A35" w:rsidRDefault="007F0FE5" w:rsidP="00D14265">
      <w:pPr>
        <w:spacing w:line="360" w:lineRule="auto"/>
        <w:jc w:val="both"/>
        <w:rPr>
          <w:rFonts w:ascii="Book Antiqua" w:hAnsi="Book Antiqua"/>
          <w:b/>
          <w:bCs/>
          <w:caps/>
          <w:lang w:val="en-US"/>
        </w:rPr>
      </w:pPr>
    </w:p>
    <w:p w14:paraId="44003E4E" w14:textId="77777777" w:rsidR="007F0FE5" w:rsidRPr="00AA2A35" w:rsidRDefault="007F0FE5" w:rsidP="00D14265">
      <w:pPr>
        <w:spacing w:line="360" w:lineRule="auto"/>
        <w:jc w:val="both"/>
        <w:rPr>
          <w:rFonts w:ascii="Book Antiqua" w:hAnsi="Book Antiqua"/>
          <w:b/>
          <w:bCs/>
          <w:caps/>
          <w:lang w:val="en-US"/>
        </w:rPr>
      </w:pPr>
      <w:r w:rsidRPr="00AA2A35">
        <w:rPr>
          <w:rFonts w:ascii="Book Antiqua" w:hAnsi="Book Antiqua"/>
          <w:b/>
          <w:bCs/>
          <w:caps/>
          <w:lang w:val="en-US"/>
        </w:rPr>
        <w:t>ACKNOWLEDGMENTS</w:t>
      </w:r>
    </w:p>
    <w:p w14:paraId="6C8CF337" w14:textId="72E5FF7A" w:rsidR="00D44C96" w:rsidRPr="00AA2A35" w:rsidRDefault="007F0FE5" w:rsidP="00D14265">
      <w:pPr>
        <w:spacing w:line="360" w:lineRule="auto"/>
        <w:jc w:val="both"/>
        <w:rPr>
          <w:rFonts w:ascii="Book Antiqua" w:hAnsi="Book Antiqua"/>
          <w:lang w:val="en-US"/>
        </w:rPr>
      </w:pPr>
      <w:r w:rsidRPr="00AA2A35">
        <w:rPr>
          <w:rFonts w:ascii="Book Antiqua" w:hAnsi="Book Antiqua"/>
          <w:lang w:val="en-US"/>
        </w:rPr>
        <w:t>The authors would like to thank Alessandra Knowles for revising carefully the manuscript.</w:t>
      </w:r>
    </w:p>
    <w:p w14:paraId="46DC3641" w14:textId="77777777" w:rsidR="0056016C" w:rsidRPr="00AA2A35" w:rsidRDefault="0056016C" w:rsidP="00D14265">
      <w:pPr>
        <w:spacing w:line="360" w:lineRule="auto"/>
        <w:jc w:val="both"/>
        <w:rPr>
          <w:rFonts w:ascii="Book Antiqua" w:hAnsi="Book Antiqua"/>
          <w:lang w:val="en-US"/>
        </w:rPr>
      </w:pPr>
    </w:p>
    <w:p w14:paraId="765B6C61" w14:textId="77777777" w:rsidR="00D44C96" w:rsidRPr="00AA2A35" w:rsidRDefault="00D44C96" w:rsidP="00D14265">
      <w:pPr>
        <w:pStyle w:val="Heading1"/>
      </w:pPr>
      <w:r w:rsidRPr="00AA2A35">
        <w:t>COMMENTS</w:t>
      </w:r>
    </w:p>
    <w:p w14:paraId="2C59B88E" w14:textId="4B18C1F0" w:rsidR="00D44C96" w:rsidRPr="00AA2A35" w:rsidRDefault="00AA2A35" w:rsidP="00D14265">
      <w:pPr>
        <w:pStyle w:val="Heading2"/>
        <w:rPr>
          <w:rFonts w:eastAsiaTheme="minorEastAsia"/>
          <w:lang w:eastAsia="zh-CN"/>
        </w:rPr>
      </w:pPr>
      <w:r>
        <w:t>Background</w:t>
      </w:r>
    </w:p>
    <w:p w14:paraId="0909E80C" w14:textId="3247EE72" w:rsidR="00D44C96" w:rsidRPr="00AA2A35" w:rsidRDefault="00804312" w:rsidP="00D14265">
      <w:pPr>
        <w:shd w:val="clear" w:color="auto" w:fill="FFFFFF"/>
        <w:spacing w:line="360" w:lineRule="auto"/>
        <w:jc w:val="both"/>
        <w:rPr>
          <w:rFonts w:ascii="Times New Roman" w:hAnsi="Times New Roman"/>
          <w:color w:val="222222"/>
          <w:lang w:val="en-US" w:eastAsia="it-IT"/>
        </w:rPr>
      </w:pPr>
      <w:r w:rsidRPr="00AA2A35">
        <w:rPr>
          <w:rFonts w:ascii="Book Antiqua" w:hAnsi="Book Antiqua"/>
          <w:color w:val="000000"/>
          <w:lang w:val="en-US"/>
        </w:rPr>
        <w:t>Crohn’s disease (CD)</w:t>
      </w:r>
      <w:r w:rsidR="00D44C96" w:rsidRPr="00AA2A35">
        <w:rPr>
          <w:rFonts w:ascii="Book Antiqua" w:hAnsi="Book Antiqua"/>
          <w:color w:val="222222"/>
          <w:lang w:val="en-US" w:eastAsia="it-IT"/>
        </w:rPr>
        <w:t xml:space="preserve"> is characterized by an aberrant activation of the mucosal immune system in genetically susceptible subjects, due to an altered crosstalk between innate immune system and environmental factors, with particular reference to gut microbiota.</w:t>
      </w:r>
    </w:p>
    <w:p w14:paraId="5C17BA46" w14:textId="77777777" w:rsidR="00D44C96" w:rsidRPr="00AA2A35" w:rsidRDefault="00D44C96" w:rsidP="00D14265">
      <w:pPr>
        <w:jc w:val="both"/>
        <w:rPr>
          <w:lang w:val="en-US"/>
        </w:rPr>
      </w:pPr>
    </w:p>
    <w:p w14:paraId="1551E5D3" w14:textId="78E15B83" w:rsidR="00D44C96" w:rsidRPr="00AA2A35" w:rsidRDefault="00D44C96" w:rsidP="00D14265">
      <w:pPr>
        <w:pStyle w:val="Heading2"/>
        <w:rPr>
          <w:rFonts w:eastAsiaTheme="minorEastAsia"/>
          <w:lang w:eastAsia="zh-CN"/>
        </w:rPr>
      </w:pPr>
      <w:r w:rsidRPr="00AA2A35">
        <w:t>Research frontiers</w:t>
      </w:r>
    </w:p>
    <w:p w14:paraId="01EA93B1" w14:textId="43A06CC3" w:rsidR="00D44C96" w:rsidRPr="00AA2A35" w:rsidRDefault="00D44C96" w:rsidP="00D14265">
      <w:pPr>
        <w:shd w:val="clear" w:color="auto" w:fill="FFFFFF"/>
        <w:spacing w:line="360" w:lineRule="auto"/>
        <w:jc w:val="both"/>
        <w:rPr>
          <w:rFonts w:ascii="Book Antiqua" w:hAnsi="Book Antiqua"/>
          <w:color w:val="222222"/>
          <w:lang w:val="en-US" w:eastAsia="it-IT"/>
        </w:rPr>
      </w:pPr>
      <w:r w:rsidRPr="00AA2A35">
        <w:rPr>
          <w:rFonts w:ascii="Book Antiqua" w:hAnsi="Book Antiqua"/>
          <w:color w:val="222222"/>
          <w:lang w:val="en-US" w:eastAsia="it-IT"/>
        </w:rPr>
        <w:lastRenderedPageBreak/>
        <w:t xml:space="preserve">CD could be considered as a paradoxical condition in which defective immune functions coexist with excessive inflammation. Indeed, peripheral blood monocytes from CD </w:t>
      </w:r>
      <w:r w:rsidR="00A44EE6" w:rsidRPr="00AA2A35">
        <w:rPr>
          <w:rFonts w:ascii="Book Antiqua" w:hAnsi="Book Antiqua"/>
          <w:color w:val="222222"/>
          <w:lang w:val="en-US" w:eastAsia="it-IT"/>
        </w:rPr>
        <w:t xml:space="preserve">patients </w:t>
      </w:r>
      <w:r w:rsidRPr="00AA2A35">
        <w:rPr>
          <w:rFonts w:ascii="Book Antiqua" w:hAnsi="Book Antiqua"/>
          <w:color w:val="222222"/>
          <w:lang w:val="en-US" w:eastAsia="it-IT"/>
        </w:rPr>
        <w:t xml:space="preserve">display increased activation and production of pro-inflammatory </w:t>
      </w:r>
      <w:r w:rsidR="00804312" w:rsidRPr="00AA2A35">
        <w:rPr>
          <w:rFonts w:ascii="Book Antiqua" w:hAnsi="Book Antiqua"/>
          <w:color w:val="000000"/>
          <w:lang w:val="en-US"/>
        </w:rPr>
        <w:t>tumor necrosis factor-alpha (TNF</w:t>
      </w:r>
      <w:r w:rsidR="00804312" w:rsidRPr="00AA2A35">
        <w:rPr>
          <w:rFonts w:ascii="Times New Roman" w:hAnsi="Times New Roman"/>
          <w:color w:val="000000"/>
          <w:lang w:val="en-US"/>
        </w:rPr>
        <w:t>α</w:t>
      </w:r>
      <w:r w:rsidR="00804312" w:rsidRPr="00AA2A35">
        <w:rPr>
          <w:rFonts w:ascii="Book Antiqua" w:hAnsi="Book Antiqua"/>
          <w:color w:val="000000"/>
          <w:lang w:val="en-US"/>
        </w:rPr>
        <w:t>)</w:t>
      </w:r>
      <w:r w:rsidRPr="00AA2A35">
        <w:rPr>
          <w:rFonts w:ascii="Book Antiqua" w:hAnsi="Book Antiqua"/>
          <w:color w:val="222222"/>
          <w:lang w:val="en-US" w:eastAsia="it-IT"/>
        </w:rPr>
        <w:t xml:space="preserve">, but they </w:t>
      </w:r>
      <w:r w:rsidR="00A44EE6" w:rsidRPr="00AA2A35">
        <w:rPr>
          <w:rFonts w:ascii="Book Antiqua" w:hAnsi="Book Antiqua"/>
          <w:color w:val="222222"/>
          <w:lang w:val="en-US" w:eastAsia="it-IT"/>
        </w:rPr>
        <w:t xml:space="preserve">seem to </w:t>
      </w:r>
      <w:r w:rsidRPr="00AA2A35">
        <w:rPr>
          <w:rFonts w:ascii="Book Antiqua" w:hAnsi="Book Antiqua"/>
          <w:color w:val="222222"/>
          <w:lang w:val="en-US" w:eastAsia="it-IT"/>
        </w:rPr>
        <w:t>present</w:t>
      </w:r>
      <w:r w:rsidR="00AA2A35">
        <w:rPr>
          <w:rFonts w:ascii="Book Antiqua" w:hAnsi="Book Antiqua"/>
          <w:color w:val="222222"/>
          <w:lang w:val="en-US" w:eastAsia="it-IT"/>
        </w:rPr>
        <w:t xml:space="preserve"> functional defects</w:t>
      </w:r>
      <w:r w:rsidR="00A44EE6" w:rsidRPr="00AA2A35">
        <w:rPr>
          <w:rFonts w:ascii="Book Antiqua" w:hAnsi="Book Antiqua"/>
          <w:color w:val="222222"/>
          <w:lang w:val="en-US" w:eastAsia="it-IT"/>
        </w:rPr>
        <w:t xml:space="preserve"> </w:t>
      </w:r>
      <w:r w:rsidRPr="00AA2A35">
        <w:rPr>
          <w:rFonts w:ascii="Book Antiqua" w:hAnsi="Book Antiqua"/>
          <w:color w:val="222222"/>
          <w:lang w:val="en-US" w:eastAsia="it-IT"/>
        </w:rPr>
        <w:t>in their capacity to respond to muramyl dipeptide (MDP) and to bacteria. Several studies have investigated the function of peripheral blood monocytes as representative cells of the innate immune profile of CD.</w:t>
      </w:r>
    </w:p>
    <w:p w14:paraId="1F309E15" w14:textId="77777777" w:rsidR="00D44C96" w:rsidRPr="00AA2A35" w:rsidRDefault="00D44C96" w:rsidP="00D14265">
      <w:pPr>
        <w:jc w:val="both"/>
        <w:rPr>
          <w:lang w:val="en-US"/>
        </w:rPr>
      </w:pPr>
    </w:p>
    <w:p w14:paraId="272D48A0" w14:textId="77777777" w:rsidR="00D44C96" w:rsidRPr="00AA2A35" w:rsidRDefault="00D44C96" w:rsidP="00D14265">
      <w:pPr>
        <w:pStyle w:val="Heading2"/>
      </w:pPr>
      <w:r w:rsidRPr="00AA2A35">
        <w:t>Innovations and breakthroughs:</w:t>
      </w:r>
    </w:p>
    <w:p w14:paraId="0F47E710" w14:textId="0C9358BE" w:rsidR="00D44C96" w:rsidRPr="00AA2A35" w:rsidRDefault="00D44C96" w:rsidP="00D14265">
      <w:pPr>
        <w:shd w:val="clear" w:color="auto" w:fill="FFFFFF"/>
        <w:spacing w:line="360" w:lineRule="auto"/>
        <w:jc w:val="both"/>
        <w:rPr>
          <w:rFonts w:ascii="Book Antiqua" w:hAnsi="Book Antiqua"/>
          <w:color w:val="222222"/>
          <w:lang w:val="en-US" w:eastAsia="it-IT"/>
        </w:rPr>
      </w:pPr>
      <w:r w:rsidRPr="00AA2A35">
        <w:rPr>
          <w:rFonts w:ascii="Book Antiqua" w:hAnsi="Book Antiqua"/>
          <w:color w:val="222222"/>
          <w:lang w:val="en-US" w:eastAsia="it-IT"/>
        </w:rPr>
        <w:t>The analysis of</w:t>
      </w:r>
      <w:r w:rsidR="00DC6778" w:rsidRPr="00AA2A35">
        <w:rPr>
          <w:rFonts w:ascii="Book Antiqua" w:hAnsi="Book Antiqua"/>
          <w:color w:val="222222"/>
          <w:lang w:val="en-US" w:eastAsia="it-IT"/>
        </w:rPr>
        <w:t xml:space="preserve"> </w:t>
      </w:r>
      <w:r w:rsidRPr="00AA2A35">
        <w:rPr>
          <w:rFonts w:ascii="Book Antiqua" w:hAnsi="Book Antiqua"/>
          <w:color w:val="222222"/>
          <w:lang w:val="en-US" w:eastAsia="it-IT"/>
        </w:rPr>
        <w:t xml:space="preserve">intracellular </w:t>
      </w:r>
      <w:r w:rsidRPr="00AA2A35">
        <w:rPr>
          <w:rFonts w:ascii="Book Antiqua" w:hAnsi="Book Antiqua"/>
          <w:lang w:val="en-US"/>
        </w:rPr>
        <w:t>TNF</w:t>
      </w:r>
      <w:r w:rsidRPr="00AA2A35">
        <w:rPr>
          <w:rFonts w:ascii="Times New Roman" w:hAnsi="Times New Roman"/>
          <w:lang w:val="en-US"/>
        </w:rPr>
        <w:t>α</w:t>
      </w:r>
      <w:r w:rsidRPr="00AA2A35">
        <w:rPr>
          <w:rFonts w:ascii="Book Antiqua" w:hAnsi="Book Antiqua"/>
          <w:color w:val="222222"/>
          <w:lang w:val="en-US" w:eastAsia="it-IT"/>
        </w:rPr>
        <w:t xml:space="preserve"> allowed the evaluation of the integrity and functionality of NOD2 and TLR signaling pathways in peripheral monocytes. Unexpectedly, CD monocytes showed increased basal and MDP induced </w:t>
      </w:r>
      <w:r w:rsidRPr="00AA2A35">
        <w:rPr>
          <w:rFonts w:ascii="Book Antiqua" w:hAnsi="Book Antiqua"/>
          <w:lang w:val="en-US"/>
        </w:rPr>
        <w:t>TNF</w:t>
      </w:r>
      <w:r w:rsidRPr="00AA2A35">
        <w:rPr>
          <w:rFonts w:ascii="Times New Roman" w:hAnsi="Times New Roman"/>
          <w:lang w:val="en-US"/>
        </w:rPr>
        <w:t>α</w:t>
      </w:r>
      <w:r w:rsidRPr="00AA2A35">
        <w:rPr>
          <w:rFonts w:ascii="Book Antiqua" w:hAnsi="Book Antiqua"/>
          <w:color w:val="222222"/>
          <w:lang w:val="en-US" w:eastAsia="it-IT"/>
        </w:rPr>
        <w:t>, irrespective of</w:t>
      </w:r>
      <w:r w:rsidR="00FC7B5F" w:rsidRPr="00AA2A35">
        <w:rPr>
          <w:rFonts w:ascii="Book Antiqua" w:hAnsi="Book Antiqua"/>
          <w:color w:val="222222"/>
          <w:lang w:val="en-US" w:eastAsia="it-IT"/>
        </w:rPr>
        <w:t xml:space="preserve"> </w:t>
      </w:r>
      <w:r w:rsidRPr="00AA2A35">
        <w:rPr>
          <w:rFonts w:ascii="Book Antiqua" w:hAnsi="Book Antiqua"/>
          <w:i/>
          <w:color w:val="222222"/>
          <w:lang w:val="en-US" w:eastAsia="it-IT"/>
        </w:rPr>
        <w:t>NOD2</w:t>
      </w:r>
      <w:r w:rsidRPr="00AA2A35">
        <w:rPr>
          <w:rFonts w:ascii="Book Antiqua" w:hAnsi="Book Antiqua"/>
          <w:lang w:val="en-US" w:eastAsia="it-IT"/>
        </w:rPr>
        <w:t> </w:t>
      </w:r>
      <w:r w:rsidRPr="00AA2A35">
        <w:rPr>
          <w:rFonts w:ascii="Book Antiqua" w:hAnsi="Book Antiqua"/>
          <w:color w:val="222222"/>
          <w:lang w:val="en-US" w:eastAsia="it-IT"/>
        </w:rPr>
        <w:t>genotype and disease activity.</w:t>
      </w:r>
    </w:p>
    <w:p w14:paraId="5478087C" w14:textId="77777777" w:rsidR="00D44C96" w:rsidRPr="00AA2A35" w:rsidRDefault="00D44C96" w:rsidP="00D14265">
      <w:pPr>
        <w:shd w:val="clear" w:color="auto" w:fill="FFFFFF"/>
        <w:spacing w:line="360" w:lineRule="auto"/>
        <w:jc w:val="both"/>
        <w:rPr>
          <w:rFonts w:ascii="Book Antiqua" w:hAnsi="Book Antiqua"/>
          <w:color w:val="222222"/>
          <w:lang w:val="en-US" w:eastAsia="it-IT"/>
        </w:rPr>
      </w:pPr>
    </w:p>
    <w:p w14:paraId="1BEA5551" w14:textId="7C794B87" w:rsidR="00D44C96" w:rsidRPr="00804312" w:rsidRDefault="00D44C96" w:rsidP="00D14265">
      <w:pPr>
        <w:pStyle w:val="Heading2"/>
        <w:rPr>
          <w:rFonts w:eastAsiaTheme="minorEastAsia"/>
          <w:lang w:eastAsia="zh-CN"/>
        </w:rPr>
      </w:pPr>
      <w:r w:rsidRPr="00AA2A35">
        <w:t xml:space="preserve"> Applications</w:t>
      </w:r>
    </w:p>
    <w:p w14:paraId="07D7B6DB" w14:textId="0BC035E3" w:rsidR="00D44C96" w:rsidRPr="00AA2A35" w:rsidRDefault="00D44C96" w:rsidP="00D14265">
      <w:pPr>
        <w:shd w:val="clear" w:color="auto" w:fill="FFFFFF"/>
        <w:spacing w:line="360" w:lineRule="auto"/>
        <w:jc w:val="both"/>
        <w:rPr>
          <w:rFonts w:ascii="Times New Roman" w:hAnsi="Times New Roman"/>
          <w:color w:val="222222"/>
          <w:lang w:val="en-US" w:eastAsia="it-IT"/>
        </w:rPr>
      </w:pPr>
      <w:r w:rsidRPr="00AA2A35">
        <w:rPr>
          <w:rFonts w:ascii="Book Antiqua" w:hAnsi="Book Antiqua"/>
          <w:color w:val="222222"/>
          <w:lang w:val="en-US" w:eastAsia="it-IT"/>
        </w:rPr>
        <w:t xml:space="preserve">Hyper-production of </w:t>
      </w:r>
      <w:r w:rsidRPr="00AA2A35">
        <w:rPr>
          <w:rFonts w:ascii="Book Antiqua" w:hAnsi="Book Antiqua"/>
          <w:lang w:val="en-US"/>
        </w:rPr>
        <w:t>TNF</w:t>
      </w:r>
      <w:r w:rsidRPr="00AA2A35">
        <w:rPr>
          <w:rFonts w:ascii="Times New Roman" w:hAnsi="Times New Roman"/>
          <w:lang w:val="en-US"/>
        </w:rPr>
        <w:t>α</w:t>
      </w:r>
      <w:r w:rsidRPr="00AA2A35">
        <w:rPr>
          <w:rFonts w:ascii="Book Antiqua" w:hAnsi="Book Antiqua"/>
          <w:color w:val="222222"/>
          <w:lang w:val="en-US" w:eastAsia="it-IT"/>
        </w:rPr>
        <w:t xml:space="preserve"> by CD monocytes probably relies on a NOD2-indipendent pathway and is not due to</w:t>
      </w:r>
      <w:r w:rsidR="00D018A3" w:rsidRPr="00AA2A35">
        <w:rPr>
          <w:rFonts w:ascii="Book Antiqua" w:hAnsi="Book Antiqua"/>
          <w:color w:val="222222"/>
          <w:lang w:val="en-US" w:eastAsia="it-IT"/>
        </w:rPr>
        <w:t xml:space="preserve"> </w:t>
      </w:r>
      <w:r w:rsidRPr="00AA2A35">
        <w:rPr>
          <w:rFonts w:ascii="Book Antiqua" w:hAnsi="Book Antiqua"/>
          <w:color w:val="222222"/>
          <w:lang w:val="en-US" w:eastAsia="it-IT"/>
        </w:rPr>
        <w:t>systemic exposure to LPS, but to other bacterial molecular patterns.</w:t>
      </w:r>
      <w:r w:rsidR="002819EF" w:rsidRPr="00AA2A35">
        <w:rPr>
          <w:rFonts w:ascii="Book Antiqua" w:hAnsi="Book Antiqua"/>
          <w:color w:val="222222"/>
          <w:lang w:val="en-US" w:eastAsia="it-IT"/>
        </w:rPr>
        <w:t xml:space="preserve"> </w:t>
      </w:r>
      <w:r w:rsidRPr="00AA2A35">
        <w:rPr>
          <w:rFonts w:ascii="Book Antiqua" w:hAnsi="Book Antiqua"/>
          <w:color w:val="222222"/>
          <w:lang w:val="en-US" w:eastAsia="it-IT"/>
        </w:rPr>
        <w:t xml:space="preserve">The fact that CD monocytes display higher production of </w:t>
      </w:r>
      <w:r w:rsidRPr="00AA2A35">
        <w:rPr>
          <w:rFonts w:ascii="Book Antiqua" w:hAnsi="Book Antiqua"/>
          <w:lang w:val="en-US"/>
        </w:rPr>
        <w:t>TNF</w:t>
      </w:r>
      <w:r w:rsidRPr="00AA2A35">
        <w:rPr>
          <w:rFonts w:ascii="Times New Roman" w:hAnsi="Times New Roman"/>
          <w:lang w:val="en-US"/>
        </w:rPr>
        <w:t>α</w:t>
      </w:r>
      <w:r w:rsidRPr="00AA2A35">
        <w:rPr>
          <w:rFonts w:ascii="Book Antiqua" w:hAnsi="Book Antiqua"/>
          <w:color w:val="222222"/>
          <w:lang w:val="en-US" w:eastAsia="it-IT"/>
        </w:rPr>
        <w:t xml:space="preserve"> compared to controls, both in basal and in stimulated conditions, may be due to reduced tolerance to bacterial PAMPs. The finding of increased response to TLR2/1 stimulation may indicate a possible priming of monocytes by mycobacterial colonization, for example by MAP.</w:t>
      </w:r>
    </w:p>
    <w:p w14:paraId="798EAC66" w14:textId="77777777" w:rsidR="00D44C96" w:rsidRPr="00AA2A35" w:rsidRDefault="00D44C96" w:rsidP="00D14265">
      <w:pPr>
        <w:jc w:val="both"/>
        <w:rPr>
          <w:lang w:val="en-US"/>
        </w:rPr>
      </w:pPr>
    </w:p>
    <w:p w14:paraId="46CD5EB0" w14:textId="727BF6F3" w:rsidR="00AA2A35" w:rsidRPr="00AA2A35" w:rsidRDefault="00AA2A35" w:rsidP="00804312">
      <w:pPr>
        <w:spacing w:line="360" w:lineRule="auto"/>
        <w:rPr>
          <w:rFonts w:ascii="Book Antiqua" w:eastAsiaTheme="minorEastAsia" w:hAnsi="Book Antiqua"/>
          <w:b/>
          <w:i/>
          <w:lang w:val="en-US" w:eastAsia="zh-CN"/>
        </w:rPr>
      </w:pPr>
      <w:r w:rsidRPr="00AA2A35">
        <w:rPr>
          <w:rFonts w:ascii="Book Antiqua" w:eastAsiaTheme="minorEastAsia" w:hAnsi="Book Antiqua"/>
          <w:b/>
          <w:i/>
          <w:lang w:val="en-US" w:eastAsia="zh-CN"/>
        </w:rPr>
        <w:t>Peer-review</w:t>
      </w:r>
    </w:p>
    <w:p w14:paraId="1A66E34A" w14:textId="70CFE473" w:rsidR="00AA2A35" w:rsidRDefault="00804312" w:rsidP="00804312">
      <w:pPr>
        <w:spacing w:line="360" w:lineRule="auto"/>
        <w:rPr>
          <w:rFonts w:ascii="Book Antiqua" w:eastAsiaTheme="minorEastAsia" w:hAnsi="Book Antiqua"/>
          <w:lang w:eastAsia="zh-CN"/>
        </w:rPr>
      </w:pPr>
      <w:r>
        <w:rPr>
          <w:rFonts w:ascii="Book Antiqua" w:hAnsi="Book Antiqua"/>
        </w:rPr>
        <w:t>The manuscript described that peripheral monocytes from CD express higher basal and stimulated TNFα than controls, regardless of NOD2 genotype and without a clear correlation with disease activity. In general, the results are very interesting.</w:t>
      </w:r>
    </w:p>
    <w:p w14:paraId="18BDCD21" w14:textId="77777777" w:rsidR="00804312" w:rsidRDefault="00804312" w:rsidP="00804312">
      <w:pPr>
        <w:spacing w:line="360" w:lineRule="auto"/>
        <w:rPr>
          <w:rFonts w:ascii="Book Antiqua" w:eastAsiaTheme="minorEastAsia" w:hAnsi="Book Antiqua"/>
          <w:lang w:eastAsia="zh-CN"/>
        </w:rPr>
      </w:pPr>
    </w:p>
    <w:p w14:paraId="4473206A" w14:textId="77777777" w:rsidR="00804312" w:rsidRPr="00804312" w:rsidRDefault="00804312" w:rsidP="00804312">
      <w:pPr>
        <w:spacing w:line="360" w:lineRule="auto"/>
        <w:rPr>
          <w:rFonts w:eastAsiaTheme="minorEastAsia"/>
          <w:lang w:val="en-US" w:eastAsia="zh-CN"/>
        </w:rPr>
      </w:pPr>
    </w:p>
    <w:p w14:paraId="782A4BD8" w14:textId="77777777" w:rsidR="00AA2A35" w:rsidRPr="00AA2A35" w:rsidRDefault="00AA2A35" w:rsidP="00AA2A35">
      <w:pPr>
        <w:rPr>
          <w:rFonts w:eastAsiaTheme="minorEastAsia"/>
          <w:lang w:val="en-US" w:eastAsia="zh-CN"/>
        </w:rPr>
      </w:pPr>
    </w:p>
    <w:p w14:paraId="226E6A16" w14:textId="77777777" w:rsidR="00804312" w:rsidRDefault="00804312">
      <w:pPr>
        <w:rPr>
          <w:rFonts w:ascii="Book Antiqua" w:hAnsi="Book Antiqua"/>
          <w:b/>
          <w:bCs/>
          <w:caps/>
          <w:lang w:val="en-US"/>
        </w:rPr>
      </w:pPr>
      <w:r>
        <w:br w:type="page"/>
      </w:r>
    </w:p>
    <w:p w14:paraId="6F4004C4" w14:textId="10A85E97" w:rsidR="00D44C96" w:rsidRDefault="00D44C96" w:rsidP="008B6827">
      <w:pPr>
        <w:pStyle w:val="Heading1"/>
        <w:rPr>
          <w:rFonts w:eastAsiaTheme="minorEastAsia"/>
          <w:b w:val="0"/>
          <w:bCs w:val="0"/>
          <w:caps w:val="0"/>
          <w:noProof/>
          <w:lang w:eastAsia="zh-CN"/>
        </w:rPr>
      </w:pPr>
      <w:r w:rsidRPr="00AA2A35">
        <w:lastRenderedPageBreak/>
        <w:t>REFERENCES</w:t>
      </w:r>
    </w:p>
    <w:p w14:paraId="1C28571C" w14:textId="77777777" w:rsidR="008B6827" w:rsidRPr="007C70D8" w:rsidRDefault="008B6827" w:rsidP="008B6827">
      <w:pPr>
        <w:spacing w:line="360" w:lineRule="auto"/>
        <w:jc w:val="both"/>
        <w:rPr>
          <w:rFonts w:ascii="Book Antiqua" w:eastAsia="SimSun" w:hAnsi="Book Antiqua" w:cs="SimSun"/>
        </w:rPr>
      </w:pPr>
      <w:r w:rsidRPr="007C70D8">
        <w:rPr>
          <w:rFonts w:ascii="Book Antiqua" w:eastAsia="SimSun" w:hAnsi="Book Antiqua" w:cs="SimSun"/>
        </w:rPr>
        <w:t>1 </w:t>
      </w:r>
      <w:r w:rsidRPr="007C70D8">
        <w:rPr>
          <w:rFonts w:ascii="Book Antiqua" w:eastAsia="SimSun" w:hAnsi="Book Antiqua" w:cs="SimSun"/>
          <w:b/>
          <w:bCs/>
        </w:rPr>
        <w:t>Malaty HM</w:t>
      </w:r>
      <w:r w:rsidRPr="007C70D8">
        <w:rPr>
          <w:rFonts w:ascii="Book Antiqua" w:eastAsia="SimSun" w:hAnsi="Book Antiqua" w:cs="SimSun"/>
        </w:rPr>
        <w:t>, Fan X, Opekun AR, Thibodeaux C, Ferry GD. Rising incidence of inflammatory bowel disease among children: a 12-year study. </w:t>
      </w:r>
      <w:r w:rsidRPr="007C70D8">
        <w:rPr>
          <w:rFonts w:ascii="Book Antiqua" w:eastAsia="SimSun" w:hAnsi="Book Antiqua" w:cs="SimSun"/>
          <w:i/>
          <w:iCs/>
        </w:rPr>
        <w:t>J Pediatr Gastroenterol Nutr</w:t>
      </w:r>
      <w:r w:rsidRPr="007C70D8">
        <w:rPr>
          <w:rFonts w:ascii="Book Antiqua" w:eastAsia="SimSun" w:hAnsi="Book Antiqua" w:cs="SimSun"/>
        </w:rPr>
        <w:t> 2010; </w:t>
      </w:r>
      <w:r w:rsidRPr="007C70D8">
        <w:rPr>
          <w:rFonts w:ascii="Book Antiqua" w:eastAsia="SimSun" w:hAnsi="Book Antiqua" w:cs="SimSun"/>
          <w:b/>
          <w:bCs/>
        </w:rPr>
        <w:t>50</w:t>
      </w:r>
      <w:r w:rsidRPr="007C70D8">
        <w:rPr>
          <w:rFonts w:ascii="Book Antiqua" w:eastAsia="SimSun" w:hAnsi="Book Antiqua" w:cs="SimSun"/>
        </w:rPr>
        <w:t>: 27-31 [PMID: 19934770 DOI: 10.1097/MPG.0b013e3181b99baa]</w:t>
      </w:r>
    </w:p>
    <w:p w14:paraId="52A297F3" w14:textId="77777777" w:rsidR="008B6827" w:rsidRPr="007C70D8" w:rsidRDefault="008B6827" w:rsidP="008B6827">
      <w:pPr>
        <w:spacing w:line="360" w:lineRule="auto"/>
        <w:jc w:val="both"/>
        <w:rPr>
          <w:rFonts w:ascii="Book Antiqua" w:eastAsia="SimSun" w:hAnsi="Book Antiqua" w:cs="SimSun"/>
        </w:rPr>
      </w:pPr>
      <w:r w:rsidRPr="007C70D8">
        <w:rPr>
          <w:rFonts w:ascii="Book Antiqua" w:eastAsia="SimSun" w:hAnsi="Book Antiqua" w:cs="SimSun"/>
        </w:rPr>
        <w:t>2 </w:t>
      </w:r>
      <w:r w:rsidRPr="007C70D8">
        <w:rPr>
          <w:rFonts w:ascii="Book Antiqua" w:eastAsia="SimSun" w:hAnsi="Book Antiqua" w:cs="SimSun"/>
          <w:b/>
          <w:bCs/>
        </w:rPr>
        <w:t>Ponsky T</w:t>
      </w:r>
      <w:r w:rsidRPr="007C70D8">
        <w:rPr>
          <w:rFonts w:ascii="Book Antiqua" w:eastAsia="SimSun" w:hAnsi="Book Antiqua" w:cs="SimSun"/>
        </w:rPr>
        <w:t>, Hindle A, Sandler A. Inflammatory bowel disease in the pediatric patient. </w:t>
      </w:r>
      <w:r w:rsidRPr="007C70D8">
        <w:rPr>
          <w:rFonts w:ascii="Book Antiqua" w:eastAsia="SimSun" w:hAnsi="Book Antiqua" w:cs="SimSun"/>
          <w:i/>
          <w:iCs/>
        </w:rPr>
        <w:t>Surg Clin North Am</w:t>
      </w:r>
      <w:r w:rsidRPr="007C70D8">
        <w:rPr>
          <w:rFonts w:ascii="Book Antiqua" w:eastAsia="SimSun" w:hAnsi="Book Antiqua" w:cs="SimSun"/>
        </w:rPr>
        <w:t> 2007; </w:t>
      </w:r>
      <w:r w:rsidRPr="007C70D8">
        <w:rPr>
          <w:rFonts w:ascii="Book Antiqua" w:eastAsia="SimSun" w:hAnsi="Book Antiqua" w:cs="SimSun"/>
          <w:b/>
          <w:bCs/>
        </w:rPr>
        <w:t>87</w:t>
      </w:r>
      <w:r w:rsidRPr="007C70D8">
        <w:rPr>
          <w:rFonts w:ascii="Book Antiqua" w:eastAsia="SimSun" w:hAnsi="Book Antiqua" w:cs="SimSun"/>
        </w:rPr>
        <w:t>: 643-658 [PMID: 17560417 DOI: 10.1016/j.suc.2007.03.002]</w:t>
      </w:r>
    </w:p>
    <w:p w14:paraId="42AC29C2" w14:textId="77777777" w:rsidR="008B6827" w:rsidRPr="007C70D8" w:rsidRDefault="008B6827" w:rsidP="008B6827">
      <w:pPr>
        <w:spacing w:line="360" w:lineRule="auto"/>
        <w:jc w:val="both"/>
        <w:rPr>
          <w:rFonts w:ascii="Book Antiqua" w:eastAsia="SimSun" w:hAnsi="Book Antiqua" w:cs="SimSun"/>
        </w:rPr>
      </w:pPr>
      <w:r w:rsidRPr="007C70D8">
        <w:rPr>
          <w:rFonts w:ascii="Book Antiqua" w:eastAsia="SimSun" w:hAnsi="Book Antiqua" w:cs="SimSun"/>
        </w:rPr>
        <w:t>3 </w:t>
      </w:r>
      <w:r w:rsidRPr="007C70D8">
        <w:rPr>
          <w:rFonts w:ascii="Book Antiqua" w:eastAsia="SimSun" w:hAnsi="Book Antiqua" w:cs="SimSun"/>
          <w:b/>
          <w:bCs/>
        </w:rPr>
        <w:t>Abraham C</w:t>
      </w:r>
      <w:r w:rsidRPr="007C70D8">
        <w:rPr>
          <w:rFonts w:ascii="Book Antiqua" w:eastAsia="SimSun" w:hAnsi="Book Antiqua" w:cs="SimSun"/>
        </w:rPr>
        <w:t>, Cho JH. Inflammatory bowel disease. </w:t>
      </w:r>
      <w:r w:rsidRPr="007C70D8">
        <w:rPr>
          <w:rFonts w:ascii="Book Antiqua" w:eastAsia="SimSun" w:hAnsi="Book Antiqua" w:cs="SimSun"/>
          <w:i/>
          <w:iCs/>
        </w:rPr>
        <w:t>N Engl J Med</w:t>
      </w:r>
      <w:r w:rsidRPr="007C70D8">
        <w:rPr>
          <w:rFonts w:ascii="Book Antiqua" w:eastAsia="SimSun" w:hAnsi="Book Antiqua" w:cs="SimSun"/>
        </w:rPr>
        <w:t> 2009; </w:t>
      </w:r>
      <w:r w:rsidRPr="007C70D8">
        <w:rPr>
          <w:rFonts w:ascii="Book Antiqua" w:eastAsia="SimSun" w:hAnsi="Book Antiqua" w:cs="SimSun"/>
          <w:b/>
          <w:bCs/>
        </w:rPr>
        <w:t>361</w:t>
      </w:r>
      <w:r w:rsidRPr="007C70D8">
        <w:rPr>
          <w:rFonts w:ascii="Book Antiqua" w:eastAsia="SimSun" w:hAnsi="Book Antiqua" w:cs="SimSun"/>
        </w:rPr>
        <w:t>: 2066-2078 [PMID: 19923578 DOI: 10.1056/NEJMra0804647]</w:t>
      </w:r>
    </w:p>
    <w:p w14:paraId="61CAC134" w14:textId="77777777" w:rsidR="008B6827" w:rsidRPr="007C70D8" w:rsidRDefault="008B6827" w:rsidP="008B6827">
      <w:pPr>
        <w:spacing w:line="360" w:lineRule="auto"/>
        <w:jc w:val="both"/>
        <w:rPr>
          <w:rFonts w:ascii="Book Antiqua" w:eastAsia="SimSun" w:hAnsi="Book Antiqua" w:cs="SimSun"/>
        </w:rPr>
      </w:pPr>
      <w:r w:rsidRPr="007C70D8">
        <w:rPr>
          <w:rFonts w:ascii="Book Antiqua" w:eastAsia="SimSun" w:hAnsi="Book Antiqua" w:cs="SimSun"/>
        </w:rPr>
        <w:t>4</w:t>
      </w:r>
      <w:r>
        <w:rPr>
          <w:rFonts w:ascii="Book Antiqua" w:eastAsia="SimSun" w:hAnsi="Book Antiqua" w:cs="SimSun" w:hint="eastAsia"/>
        </w:rPr>
        <w:t xml:space="preserve"> </w:t>
      </w:r>
      <w:r w:rsidRPr="007C70D8">
        <w:rPr>
          <w:rFonts w:ascii="Book Antiqua" w:eastAsia="SimSun" w:hAnsi="Book Antiqua" w:cs="SimSun"/>
          <w:b/>
        </w:rPr>
        <w:t>Turner D</w:t>
      </w:r>
      <w:r w:rsidRPr="007C70D8">
        <w:rPr>
          <w:rFonts w:ascii="Book Antiqua" w:eastAsia="SimSun" w:hAnsi="Book Antiqua" w:cs="SimSun"/>
        </w:rPr>
        <w:t>, Levine A, Walters TD, Focht G, Otley A, López VN, Koletzko S, Baldassano R, Mack D, Hyams J, Griffiths AM.Which PCDAI Version Best Reflects Intestinal Inflammation in Pediatric Crohn's Disease? </w:t>
      </w:r>
      <w:r w:rsidRPr="007C70D8">
        <w:rPr>
          <w:rFonts w:ascii="Book Antiqua" w:eastAsia="SimSun" w:hAnsi="Book Antiqua" w:cs="SimSun"/>
          <w:i/>
          <w:iCs/>
        </w:rPr>
        <w:t>J Pediatr Gastroenterol Nutr</w:t>
      </w:r>
      <w:r w:rsidRPr="007C70D8">
        <w:rPr>
          <w:rFonts w:ascii="Book Antiqua" w:eastAsia="SimSun" w:hAnsi="Book Antiqua" w:cs="SimSun"/>
        </w:rPr>
        <w:t> 2016; Epub ahead of print [PMID: 27050050 DOI: 10.1097/MPG.0000000000001227]</w:t>
      </w:r>
    </w:p>
    <w:p w14:paraId="3A62DDE7" w14:textId="77777777" w:rsidR="008B6827" w:rsidRPr="007C70D8" w:rsidRDefault="008B6827" w:rsidP="008B6827">
      <w:pPr>
        <w:spacing w:line="360" w:lineRule="auto"/>
        <w:jc w:val="both"/>
        <w:rPr>
          <w:rFonts w:ascii="Book Antiqua" w:eastAsia="SimSun" w:hAnsi="Book Antiqua" w:cs="SimSun"/>
        </w:rPr>
      </w:pPr>
      <w:r w:rsidRPr="007C70D8">
        <w:rPr>
          <w:rFonts w:ascii="Book Antiqua" w:eastAsia="SimSun" w:hAnsi="Book Antiqua" w:cs="SimSun"/>
        </w:rPr>
        <w:t>5 </w:t>
      </w:r>
      <w:r w:rsidRPr="007C70D8">
        <w:rPr>
          <w:rFonts w:ascii="Book Antiqua" w:eastAsia="SimSun" w:hAnsi="Book Antiqua" w:cs="SimSun"/>
          <w:b/>
          <w:bCs/>
        </w:rPr>
        <w:t>Dotson JL</w:t>
      </w:r>
      <w:r w:rsidRPr="007C70D8">
        <w:rPr>
          <w:rFonts w:ascii="Book Antiqua" w:eastAsia="SimSun" w:hAnsi="Book Antiqua" w:cs="SimSun"/>
        </w:rPr>
        <w:t>, Crandall WV, Zhang P, Forrest CB, Bailey LC, Colletti RB, Kappelman MD. Feasibility and validity of the pediatric ulcerative colitis activity index in routine clinical practice. </w:t>
      </w:r>
      <w:r w:rsidRPr="007C70D8">
        <w:rPr>
          <w:rFonts w:ascii="Book Antiqua" w:eastAsia="SimSun" w:hAnsi="Book Antiqua" w:cs="SimSun"/>
          <w:i/>
          <w:iCs/>
        </w:rPr>
        <w:t>J Pediatr Gastroenterol Nutr</w:t>
      </w:r>
      <w:r w:rsidRPr="007C70D8">
        <w:rPr>
          <w:rFonts w:ascii="Book Antiqua" w:eastAsia="SimSun" w:hAnsi="Book Antiqua" w:cs="SimSun"/>
        </w:rPr>
        <w:t> 2015; </w:t>
      </w:r>
      <w:r w:rsidRPr="007C70D8">
        <w:rPr>
          <w:rFonts w:ascii="Book Antiqua" w:eastAsia="SimSun" w:hAnsi="Book Antiqua" w:cs="SimSun"/>
          <w:b/>
          <w:bCs/>
        </w:rPr>
        <w:t>60</w:t>
      </w:r>
      <w:r w:rsidRPr="007C70D8">
        <w:rPr>
          <w:rFonts w:ascii="Book Antiqua" w:eastAsia="SimSun" w:hAnsi="Book Antiqua" w:cs="SimSun"/>
        </w:rPr>
        <w:t>: 200-204 [PMID: 25221935 DOI: 10.1097/MPG.0000000000000568]</w:t>
      </w:r>
    </w:p>
    <w:p w14:paraId="7DE7C3FA" w14:textId="77777777" w:rsidR="008B6827" w:rsidRPr="007C70D8" w:rsidRDefault="008B6827" w:rsidP="008B6827">
      <w:pPr>
        <w:spacing w:line="360" w:lineRule="auto"/>
        <w:jc w:val="both"/>
        <w:rPr>
          <w:rFonts w:ascii="Book Antiqua" w:eastAsia="SimSun" w:hAnsi="Book Antiqua" w:cs="SimSun"/>
        </w:rPr>
      </w:pPr>
      <w:r w:rsidRPr="007C70D8">
        <w:rPr>
          <w:rFonts w:ascii="Book Antiqua" w:eastAsia="SimSun" w:hAnsi="Book Antiqua" w:cs="SimSun"/>
        </w:rPr>
        <w:t>6 </w:t>
      </w:r>
      <w:r w:rsidRPr="007C70D8">
        <w:rPr>
          <w:rFonts w:ascii="Book Antiqua" w:eastAsia="SimSun" w:hAnsi="Book Antiqua" w:cs="SimSun"/>
          <w:b/>
          <w:bCs/>
        </w:rPr>
        <w:t>Turner D</w:t>
      </w:r>
      <w:r w:rsidRPr="007C70D8">
        <w:rPr>
          <w:rFonts w:ascii="Book Antiqua" w:eastAsia="SimSun" w:hAnsi="Book Antiqua" w:cs="SimSun"/>
        </w:rPr>
        <w:t>, Travis SP, Griffiths AM, Ruemmele FM, Levine A, Benchimol EI, Dubinsky M, Alex G, Baldassano RN, Langer JC, Shamberger R, Hyams JS, Cucchiara S, Bousvaros A, Escher JC, Markowitz J, Wilson DC, van Assche G, Russell RK. Consensus for managing acute severe ulcerative colitis in children: a systematic review and joint statement from ECCO, ESPGHAN, and the Porto IBD Working Group of ESPGHAN. </w:t>
      </w:r>
      <w:r w:rsidRPr="007C70D8">
        <w:rPr>
          <w:rFonts w:ascii="Book Antiqua" w:eastAsia="SimSun" w:hAnsi="Book Antiqua" w:cs="SimSun"/>
          <w:i/>
          <w:iCs/>
        </w:rPr>
        <w:t>Am J Gastroenterol</w:t>
      </w:r>
      <w:r w:rsidRPr="007C70D8">
        <w:rPr>
          <w:rFonts w:ascii="Book Antiqua" w:eastAsia="SimSun" w:hAnsi="Book Antiqua" w:cs="SimSun"/>
        </w:rPr>
        <w:t> 2011; </w:t>
      </w:r>
      <w:r w:rsidRPr="007C70D8">
        <w:rPr>
          <w:rFonts w:ascii="Book Antiqua" w:eastAsia="SimSun" w:hAnsi="Book Antiqua" w:cs="SimSun"/>
          <w:b/>
          <w:bCs/>
        </w:rPr>
        <w:t>106</w:t>
      </w:r>
      <w:r w:rsidRPr="007C70D8">
        <w:rPr>
          <w:rFonts w:ascii="Book Antiqua" w:eastAsia="SimSun" w:hAnsi="Book Antiqua" w:cs="SimSun"/>
        </w:rPr>
        <w:t>: 574-588 [PMID: 21224839 DOI: 10.1038/ajg.2010.481]</w:t>
      </w:r>
    </w:p>
    <w:p w14:paraId="3F563E96" w14:textId="77777777" w:rsidR="008B6827" w:rsidRPr="007C70D8" w:rsidRDefault="008B6827" w:rsidP="008B6827">
      <w:pPr>
        <w:spacing w:line="360" w:lineRule="auto"/>
        <w:jc w:val="both"/>
        <w:rPr>
          <w:rFonts w:ascii="Book Antiqua" w:eastAsia="SimSun" w:hAnsi="Book Antiqua" w:cs="SimSun"/>
        </w:rPr>
      </w:pPr>
      <w:r w:rsidRPr="007C70D8">
        <w:rPr>
          <w:rFonts w:ascii="Book Antiqua" w:eastAsia="SimSun" w:hAnsi="Book Antiqua" w:cs="SimSun"/>
        </w:rPr>
        <w:t xml:space="preserve">7 </w:t>
      </w:r>
      <w:r w:rsidRPr="007C70D8">
        <w:rPr>
          <w:rFonts w:ascii="Book Antiqua" w:eastAsia="SimSun" w:hAnsi="Book Antiqua" w:cs="SimSun"/>
          <w:b/>
        </w:rPr>
        <w:t xml:space="preserve">Yadav V, </w:t>
      </w:r>
      <w:r>
        <w:rPr>
          <w:rFonts w:ascii="Book Antiqua" w:eastAsia="SimSun" w:hAnsi="Book Antiqua" w:cs="SimSun"/>
        </w:rPr>
        <w:t>Varum F, Bravo R, Furrer E, Bojic D, Basit AW</w:t>
      </w:r>
      <w:r w:rsidRPr="007C70D8">
        <w:rPr>
          <w:rFonts w:ascii="Book Antiqua" w:eastAsia="SimSun" w:hAnsi="Book Antiqua" w:cs="SimSun"/>
        </w:rPr>
        <w:t>.</w:t>
      </w:r>
      <w:r>
        <w:rPr>
          <w:rFonts w:ascii="Book Antiqua" w:eastAsia="SimSun" w:hAnsi="Book Antiqua" w:cs="SimSun" w:hint="eastAsia"/>
        </w:rPr>
        <w:t xml:space="preserve"> </w:t>
      </w:r>
      <w:r w:rsidRPr="007C70D8">
        <w:rPr>
          <w:rFonts w:ascii="Book Antiqua" w:eastAsia="SimSun" w:hAnsi="Book Antiqua" w:cs="SimSun"/>
        </w:rPr>
        <w:t>Inflammatory bowel disease: exploring gut pathophysiology for novel therapeutic targets. </w:t>
      </w:r>
      <w:r w:rsidRPr="007C70D8">
        <w:rPr>
          <w:rFonts w:ascii="Book Antiqua" w:eastAsia="SimSun" w:hAnsi="Book Antiqua" w:cs="SimSun"/>
          <w:i/>
          <w:iCs/>
        </w:rPr>
        <w:t>Transl Res</w:t>
      </w:r>
      <w:r w:rsidRPr="007C70D8">
        <w:rPr>
          <w:rFonts w:ascii="Book Antiqua" w:eastAsia="SimSun" w:hAnsi="Book Antiqua" w:cs="SimSun"/>
        </w:rPr>
        <w:t> 2016; Epub ahead of print [PMID: 27220087 DOI: 10.1016/j.trsl.2016.04.009]</w:t>
      </w:r>
    </w:p>
    <w:p w14:paraId="6AABE891" w14:textId="77777777" w:rsidR="008B6827" w:rsidRPr="007C70D8" w:rsidRDefault="008B6827" w:rsidP="008B6827">
      <w:pPr>
        <w:spacing w:line="360" w:lineRule="auto"/>
        <w:jc w:val="both"/>
        <w:rPr>
          <w:rFonts w:ascii="Book Antiqua" w:eastAsia="SimSun" w:hAnsi="Book Antiqua" w:cs="SimSun"/>
        </w:rPr>
      </w:pPr>
      <w:r w:rsidRPr="007C70D8">
        <w:rPr>
          <w:rFonts w:ascii="Book Antiqua" w:eastAsia="SimSun" w:hAnsi="Book Antiqua" w:cs="SimSun"/>
        </w:rPr>
        <w:t>8 </w:t>
      </w:r>
      <w:r w:rsidRPr="007C70D8">
        <w:rPr>
          <w:rFonts w:ascii="Book Antiqua" w:eastAsia="SimSun" w:hAnsi="Book Antiqua" w:cs="SimSun"/>
          <w:b/>
          <w:bCs/>
        </w:rPr>
        <w:t>Bianco AM</w:t>
      </w:r>
      <w:r w:rsidRPr="007C70D8">
        <w:rPr>
          <w:rFonts w:ascii="Book Antiqua" w:eastAsia="SimSun" w:hAnsi="Book Antiqua" w:cs="SimSun"/>
        </w:rPr>
        <w:t>, Girardelli M, Tommasini A. Genetics of inflammatory bowel disease from multifactorial to monogenic forms. </w:t>
      </w:r>
      <w:r w:rsidRPr="007C70D8">
        <w:rPr>
          <w:rFonts w:ascii="Book Antiqua" w:eastAsia="SimSun" w:hAnsi="Book Antiqua" w:cs="SimSun"/>
          <w:i/>
          <w:iCs/>
        </w:rPr>
        <w:t>World J Gastroenterol</w:t>
      </w:r>
      <w:r w:rsidRPr="007C70D8">
        <w:rPr>
          <w:rFonts w:ascii="Book Antiqua" w:eastAsia="SimSun" w:hAnsi="Book Antiqua" w:cs="SimSun"/>
        </w:rPr>
        <w:t> 2015; </w:t>
      </w:r>
      <w:r w:rsidRPr="007C70D8">
        <w:rPr>
          <w:rFonts w:ascii="Book Antiqua" w:eastAsia="SimSun" w:hAnsi="Book Antiqua" w:cs="SimSun"/>
          <w:b/>
          <w:bCs/>
        </w:rPr>
        <w:t>21</w:t>
      </w:r>
      <w:r w:rsidRPr="007C70D8">
        <w:rPr>
          <w:rFonts w:ascii="Book Antiqua" w:eastAsia="SimSun" w:hAnsi="Book Antiqua" w:cs="SimSun"/>
        </w:rPr>
        <w:t>: 12296-12310 [PMID: 26604638 DOI: 10.3748/wjg.v21.i43.12296]</w:t>
      </w:r>
    </w:p>
    <w:p w14:paraId="6005E7FA" w14:textId="77777777" w:rsidR="008B6827" w:rsidRPr="007C70D8" w:rsidRDefault="008B6827" w:rsidP="008B6827">
      <w:pPr>
        <w:spacing w:line="360" w:lineRule="auto"/>
        <w:jc w:val="both"/>
        <w:rPr>
          <w:rFonts w:ascii="Book Antiqua" w:eastAsia="SimSun" w:hAnsi="Book Antiqua" w:cs="SimSun"/>
        </w:rPr>
      </w:pPr>
      <w:r w:rsidRPr="007C70D8">
        <w:rPr>
          <w:rFonts w:ascii="Book Antiqua" w:eastAsia="SimSun" w:hAnsi="Book Antiqua" w:cs="SimSun"/>
        </w:rPr>
        <w:t>9 </w:t>
      </w:r>
      <w:r w:rsidRPr="007C70D8">
        <w:rPr>
          <w:rFonts w:ascii="Book Antiqua" w:eastAsia="SimSun" w:hAnsi="Book Antiqua" w:cs="SimSun"/>
          <w:b/>
          <w:bCs/>
        </w:rPr>
        <w:t>Chandel S</w:t>
      </w:r>
      <w:r w:rsidRPr="007C70D8">
        <w:rPr>
          <w:rFonts w:ascii="Book Antiqua" w:eastAsia="SimSun" w:hAnsi="Book Antiqua" w:cs="SimSun"/>
        </w:rPr>
        <w:t>, Prakash A, Medhi B. Current scenario in inflammatory bowel disease: drug development prospects. </w:t>
      </w:r>
      <w:r w:rsidRPr="007C70D8">
        <w:rPr>
          <w:rFonts w:ascii="Book Antiqua" w:eastAsia="SimSun" w:hAnsi="Book Antiqua" w:cs="SimSun"/>
          <w:i/>
          <w:iCs/>
        </w:rPr>
        <w:t>Pharmacol Rep</w:t>
      </w:r>
      <w:r w:rsidRPr="007C70D8">
        <w:rPr>
          <w:rFonts w:ascii="Book Antiqua" w:eastAsia="SimSun" w:hAnsi="Book Antiqua" w:cs="SimSun"/>
        </w:rPr>
        <w:t> 2015; </w:t>
      </w:r>
      <w:r w:rsidRPr="007C70D8">
        <w:rPr>
          <w:rFonts w:ascii="Book Antiqua" w:eastAsia="SimSun" w:hAnsi="Book Antiqua" w:cs="SimSun"/>
          <w:b/>
          <w:bCs/>
        </w:rPr>
        <w:t>67</w:t>
      </w:r>
      <w:r w:rsidRPr="007C70D8">
        <w:rPr>
          <w:rFonts w:ascii="Book Antiqua" w:eastAsia="SimSun" w:hAnsi="Book Antiqua" w:cs="SimSun"/>
        </w:rPr>
        <w:t>: 224-229 [PMID: 25712643 DOI: 10.1016/j.pharep.2014.09.005]</w:t>
      </w:r>
    </w:p>
    <w:p w14:paraId="5DA151D6" w14:textId="77777777" w:rsidR="008B6827" w:rsidRPr="007C70D8" w:rsidRDefault="008B6827" w:rsidP="008B6827">
      <w:pPr>
        <w:spacing w:line="360" w:lineRule="auto"/>
        <w:jc w:val="both"/>
        <w:rPr>
          <w:rFonts w:ascii="Book Antiqua" w:eastAsia="SimSun" w:hAnsi="Book Antiqua" w:cs="SimSun"/>
        </w:rPr>
      </w:pPr>
      <w:r w:rsidRPr="007C70D8">
        <w:rPr>
          <w:rFonts w:ascii="Book Antiqua" w:eastAsia="SimSun" w:hAnsi="Book Antiqua" w:cs="SimSun"/>
        </w:rPr>
        <w:lastRenderedPageBreak/>
        <w:t>10 </w:t>
      </w:r>
      <w:r w:rsidRPr="007C70D8">
        <w:rPr>
          <w:rFonts w:ascii="Book Antiqua" w:eastAsia="SimSun" w:hAnsi="Book Antiqua" w:cs="SimSun"/>
          <w:b/>
          <w:bCs/>
        </w:rPr>
        <w:t>Yu LC</w:t>
      </w:r>
      <w:r w:rsidRPr="007C70D8">
        <w:rPr>
          <w:rFonts w:ascii="Book Antiqua" w:eastAsia="SimSun" w:hAnsi="Book Antiqua" w:cs="SimSun"/>
        </w:rPr>
        <w:t>, Wang JT, Wei SC, Ni YH. Host-microbial interactions and regulation of intestinal epithelial barrier function: From physiology to pathology. </w:t>
      </w:r>
      <w:r w:rsidRPr="007C70D8">
        <w:rPr>
          <w:rFonts w:ascii="Book Antiqua" w:eastAsia="SimSun" w:hAnsi="Book Antiqua" w:cs="SimSun"/>
          <w:i/>
          <w:iCs/>
        </w:rPr>
        <w:t>World J Gastrointest Pathophysiol</w:t>
      </w:r>
      <w:r w:rsidRPr="007C70D8">
        <w:rPr>
          <w:rFonts w:ascii="Book Antiqua" w:eastAsia="SimSun" w:hAnsi="Book Antiqua" w:cs="SimSun"/>
        </w:rPr>
        <w:t> 2012; </w:t>
      </w:r>
      <w:r w:rsidRPr="007C70D8">
        <w:rPr>
          <w:rFonts w:ascii="Book Antiqua" w:eastAsia="SimSun" w:hAnsi="Book Antiqua" w:cs="SimSun"/>
          <w:b/>
          <w:bCs/>
        </w:rPr>
        <w:t>3</w:t>
      </w:r>
      <w:r w:rsidRPr="007C70D8">
        <w:rPr>
          <w:rFonts w:ascii="Book Antiqua" w:eastAsia="SimSun" w:hAnsi="Book Antiqua" w:cs="SimSun"/>
        </w:rPr>
        <w:t>: 27-43 [PMID: 22368784 DOI: 10.4291/wjgp.v3.i1.27]</w:t>
      </w:r>
    </w:p>
    <w:p w14:paraId="10CD6DCA" w14:textId="77777777" w:rsidR="008B6827" w:rsidRPr="007C70D8" w:rsidRDefault="008B6827" w:rsidP="008B6827">
      <w:pPr>
        <w:spacing w:line="360" w:lineRule="auto"/>
        <w:jc w:val="both"/>
        <w:rPr>
          <w:rFonts w:ascii="Book Antiqua" w:eastAsia="SimSun" w:hAnsi="Book Antiqua" w:cs="SimSun"/>
        </w:rPr>
      </w:pPr>
      <w:r w:rsidRPr="007C70D8">
        <w:rPr>
          <w:rFonts w:ascii="Book Antiqua" w:eastAsia="SimSun" w:hAnsi="Book Antiqua" w:cs="SimSun"/>
        </w:rPr>
        <w:t>11 </w:t>
      </w:r>
      <w:r w:rsidRPr="007C70D8">
        <w:rPr>
          <w:rFonts w:ascii="Book Antiqua" w:eastAsia="SimSun" w:hAnsi="Book Antiqua" w:cs="SimSun"/>
          <w:b/>
          <w:bCs/>
        </w:rPr>
        <w:t>Lakatos PL</w:t>
      </w:r>
      <w:r w:rsidRPr="007C70D8">
        <w:rPr>
          <w:rFonts w:ascii="Book Antiqua" w:eastAsia="SimSun" w:hAnsi="Book Antiqua" w:cs="SimSun"/>
        </w:rPr>
        <w:t>, Kiss LS, Palatka K, Altorjay I, Antal-Szalmas P, Palyu E, Udvardy M, Molnar T, Farkas K, Veres G, Harsfalvi J, Papp J, Papp M. Serum lipopolysaccharide-binding protein and soluble CD14 are markers of disease activity in patients with Crohn's disease. </w:t>
      </w:r>
      <w:r w:rsidRPr="007C70D8">
        <w:rPr>
          <w:rFonts w:ascii="Book Antiqua" w:eastAsia="SimSun" w:hAnsi="Book Antiqua" w:cs="SimSun"/>
          <w:i/>
          <w:iCs/>
        </w:rPr>
        <w:t>Inflamm Bowel Dis</w:t>
      </w:r>
      <w:r w:rsidRPr="007C70D8">
        <w:rPr>
          <w:rFonts w:ascii="Book Antiqua" w:eastAsia="SimSun" w:hAnsi="Book Antiqua" w:cs="SimSun"/>
        </w:rPr>
        <w:t> 2011; </w:t>
      </w:r>
      <w:r w:rsidRPr="007C70D8">
        <w:rPr>
          <w:rFonts w:ascii="Book Antiqua" w:eastAsia="SimSun" w:hAnsi="Book Antiqua" w:cs="SimSun"/>
          <w:b/>
          <w:bCs/>
        </w:rPr>
        <w:t>17</w:t>
      </w:r>
      <w:r w:rsidRPr="007C70D8">
        <w:rPr>
          <w:rFonts w:ascii="Book Antiqua" w:eastAsia="SimSun" w:hAnsi="Book Antiqua" w:cs="SimSun"/>
        </w:rPr>
        <w:t>: 767-777 [PMID: 20865702 DOI: 10.1002/ibd.21402]</w:t>
      </w:r>
    </w:p>
    <w:p w14:paraId="33F99934" w14:textId="77777777" w:rsidR="008B6827" w:rsidRPr="007C70D8" w:rsidRDefault="008B6827" w:rsidP="008B6827">
      <w:pPr>
        <w:spacing w:line="360" w:lineRule="auto"/>
        <w:jc w:val="both"/>
        <w:rPr>
          <w:rFonts w:ascii="Book Antiqua" w:eastAsia="SimSun" w:hAnsi="Book Antiqua" w:cs="SimSun"/>
        </w:rPr>
      </w:pPr>
      <w:r w:rsidRPr="007C70D8">
        <w:rPr>
          <w:rFonts w:ascii="Book Antiqua" w:eastAsia="SimSun" w:hAnsi="Book Antiqua" w:cs="SimSun"/>
        </w:rPr>
        <w:t>12 </w:t>
      </w:r>
      <w:r w:rsidRPr="007C70D8">
        <w:rPr>
          <w:rFonts w:ascii="Book Antiqua" w:eastAsia="SimSun" w:hAnsi="Book Antiqua" w:cs="SimSun"/>
          <w:b/>
          <w:bCs/>
        </w:rPr>
        <w:t>DeGruttola AK</w:t>
      </w:r>
      <w:r w:rsidRPr="007C70D8">
        <w:rPr>
          <w:rFonts w:ascii="Book Antiqua" w:eastAsia="SimSun" w:hAnsi="Book Antiqua" w:cs="SimSun"/>
        </w:rPr>
        <w:t>, Low D, Mizoguchi A, Mizoguchi E. Current Understanding of Dysbiosis in Disease in Human and Animal Models. </w:t>
      </w:r>
      <w:r w:rsidRPr="007C70D8">
        <w:rPr>
          <w:rFonts w:ascii="Book Antiqua" w:eastAsia="SimSun" w:hAnsi="Book Antiqua" w:cs="SimSun"/>
          <w:i/>
          <w:iCs/>
        </w:rPr>
        <w:t>Inflamm Bowel Dis</w:t>
      </w:r>
      <w:r w:rsidRPr="007C70D8">
        <w:rPr>
          <w:rFonts w:ascii="Book Antiqua" w:eastAsia="SimSun" w:hAnsi="Book Antiqua" w:cs="SimSun"/>
        </w:rPr>
        <w:t> 2016; </w:t>
      </w:r>
      <w:r w:rsidRPr="007C70D8">
        <w:rPr>
          <w:rFonts w:ascii="Book Antiqua" w:eastAsia="SimSun" w:hAnsi="Book Antiqua" w:cs="SimSun"/>
          <w:b/>
          <w:bCs/>
        </w:rPr>
        <w:t>22</w:t>
      </w:r>
      <w:r w:rsidRPr="007C70D8">
        <w:rPr>
          <w:rFonts w:ascii="Book Antiqua" w:eastAsia="SimSun" w:hAnsi="Book Antiqua" w:cs="SimSun"/>
        </w:rPr>
        <w:t>: 1137-1150 [PMID: 27070911 DOI: 10.1097/MIB.0000000000000750]</w:t>
      </w:r>
    </w:p>
    <w:p w14:paraId="097729EC" w14:textId="77777777" w:rsidR="008B6827" w:rsidRPr="007C70D8" w:rsidRDefault="008B6827" w:rsidP="008B6827">
      <w:pPr>
        <w:spacing w:line="360" w:lineRule="auto"/>
        <w:jc w:val="both"/>
        <w:rPr>
          <w:rFonts w:ascii="Book Antiqua" w:eastAsia="SimSun" w:hAnsi="Book Antiqua" w:cs="SimSun"/>
        </w:rPr>
      </w:pPr>
      <w:r w:rsidRPr="007C70D8">
        <w:rPr>
          <w:rFonts w:ascii="Book Antiqua" w:eastAsia="SimSun" w:hAnsi="Book Antiqua" w:cs="SimSun"/>
        </w:rPr>
        <w:t>13 </w:t>
      </w:r>
      <w:r w:rsidRPr="007C70D8">
        <w:rPr>
          <w:rFonts w:ascii="Book Antiqua" w:eastAsia="SimSun" w:hAnsi="Book Antiqua" w:cs="SimSun"/>
          <w:b/>
          <w:bCs/>
        </w:rPr>
        <w:t>Hugot JP</w:t>
      </w:r>
      <w:r w:rsidRPr="007C70D8">
        <w:rPr>
          <w:rFonts w:ascii="Book Antiqua" w:eastAsia="SimSun" w:hAnsi="Book Antiqua" w:cs="SimSun"/>
        </w:rPr>
        <w:t>, Chamaillard M, Zouali H, Lesage S, Cézard JP, Belaiche J, Almer S, Tysk C, O'Morain CA, Gassull M, Binder V, Finkel Y, Cortot A, Modigliani R, Laurent-Puig P, Gower-Rousseau C, Macry J, Colombel JF, Sahbatou M, Thomas G. Association of NOD2 leucine-rich repeat variants with susceptibility to Crohn's disease. </w:t>
      </w:r>
      <w:r w:rsidRPr="007C70D8">
        <w:rPr>
          <w:rFonts w:ascii="Book Antiqua" w:eastAsia="SimSun" w:hAnsi="Book Antiqua" w:cs="SimSun"/>
          <w:i/>
          <w:iCs/>
        </w:rPr>
        <w:t>Nature</w:t>
      </w:r>
      <w:r w:rsidRPr="007C70D8">
        <w:rPr>
          <w:rFonts w:ascii="Book Antiqua" w:eastAsia="SimSun" w:hAnsi="Book Antiqua" w:cs="SimSun"/>
        </w:rPr>
        <w:t> 2001; </w:t>
      </w:r>
      <w:r w:rsidRPr="007C70D8">
        <w:rPr>
          <w:rFonts w:ascii="Book Antiqua" w:eastAsia="SimSun" w:hAnsi="Book Antiqua" w:cs="SimSun"/>
          <w:b/>
          <w:bCs/>
        </w:rPr>
        <w:t>411</w:t>
      </w:r>
      <w:r w:rsidRPr="007C70D8">
        <w:rPr>
          <w:rFonts w:ascii="Book Antiqua" w:eastAsia="SimSun" w:hAnsi="Book Antiqua" w:cs="SimSun"/>
        </w:rPr>
        <w:t>: 599-603 [PMID: 11385576 DOI: 10.1038/35079107]</w:t>
      </w:r>
    </w:p>
    <w:p w14:paraId="3B9007E5" w14:textId="77777777" w:rsidR="008B6827" w:rsidRPr="007C70D8" w:rsidRDefault="008B6827" w:rsidP="008B6827">
      <w:pPr>
        <w:spacing w:line="360" w:lineRule="auto"/>
        <w:jc w:val="both"/>
        <w:rPr>
          <w:rFonts w:ascii="Book Antiqua" w:eastAsia="SimSun" w:hAnsi="Book Antiqua" w:cs="SimSun"/>
        </w:rPr>
      </w:pPr>
      <w:r w:rsidRPr="007C70D8">
        <w:rPr>
          <w:rFonts w:ascii="Book Antiqua" w:eastAsia="SimSun" w:hAnsi="Book Antiqua" w:cs="SimSun"/>
        </w:rPr>
        <w:t>14 </w:t>
      </w:r>
      <w:r w:rsidRPr="007C70D8">
        <w:rPr>
          <w:rFonts w:ascii="Book Antiqua" w:eastAsia="SimSun" w:hAnsi="Book Antiqua" w:cs="SimSun"/>
          <w:b/>
          <w:bCs/>
        </w:rPr>
        <w:t>Ogura Y</w:t>
      </w:r>
      <w:r w:rsidRPr="007C70D8">
        <w:rPr>
          <w:rFonts w:ascii="Book Antiqua" w:eastAsia="SimSun" w:hAnsi="Book Antiqua" w:cs="SimSun"/>
        </w:rPr>
        <w:t>, Bonen DK, Inohara N, Nicolae DL, Chen FF, Ramos R, Britton H, Moran T, Karaliuskas R, Duerr RH, Achkar JP, Brant SR, Bayless TM, Kirschner BS, Hanauer SB, Nuñez G, Cho JH. A frameshift mutation in NOD2 associated with susceptibility to Crohn's disease. </w:t>
      </w:r>
      <w:r w:rsidRPr="007C70D8">
        <w:rPr>
          <w:rFonts w:ascii="Book Antiqua" w:eastAsia="SimSun" w:hAnsi="Book Antiqua" w:cs="SimSun"/>
          <w:i/>
          <w:iCs/>
        </w:rPr>
        <w:t>Nature</w:t>
      </w:r>
      <w:r w:rsidRPr="007C70D8">
        <w:rPr>
          <w:rFonts w:ascii="Book Antiqua" w:eastAsia="SimSun" w:hAnsi="Book Antiqua" w:cs="SimSun"/>
        </w:rPr>
        <w:t> 2001; </w:t>
      </w:r>
      <w:r w:rsidRPr="007C70D8">
        <w:rPr>
          <w:rFonts w:ascii="Book Antiqua" w:eastAsia="SimSun" w:hAnsi="Book Antiqua" w:cs="SimSun"/>
          <w:b/>
          <w:bCs/>
        </w:rPr>
        <w:t>411</w:t>
      </w:r>
      <w:r w:rsidRPr="007C70D8">
        <w:rPr>
          <w:rFonts w:ascii="Book Antiqua" w:eastAsia="SimSun" w:hAnsi="Book Antiqua" w:cs="SimSun"/>
        </w:rPr>
        <w:t>: 603-606 [PMID: 11385577 DOI: 10.1038/35079114]</w:t>
      </w:r>
    </w:p>
    <w:p w14:paraId="1F8BA8C5" w14:textId="77777777" w:rsidR="008B6827" w:rsidRPr="007C70D8" w:rsidRDefault="008B6827" w:rsidP="008B6827">
      <w:pPr>
        <w:spacing w:line="360" w:lineRule="auto"/>
        <w:jc w:val="both"/>
        <w:rPr>
          <w:rFonts w:ascii="Book Antiqua" w:eastAsia="SimSun" w:hAnsi="Book Antiqua" w:cs="SimSun"/>
        </w:rPr>
      </w:pPr>
      <w:r w:rsidRPr="007C70D8">
        <w:rPr>
          <w:rFonts w:ascii="Book Antiqua" w:eastAsia="SimSun" w:hAnsi="Book Antiqua" w:cs="SimSun"/>
        </w:rPr>
        <w:t>15 </w:t>
      </w:r>
      <w:r w:rsidRPr="007C70D8">
        <w:rPr>
          <w:rFonts w:ascii="Book Antiqua" w:eastAsia="SimSun" w:hAnsi="Book Antiqua" w:cs="SimSun"/>
          <w:b/>
          <w:bCs/>
        </w:rPr>
        <w:t>Sorbara MT</w:t>
      </w:r>
      <w:r w:rsidRPr="007C70D8">
        <w:rPr>
          <w:rFonts w:ascii="Book Antiqua" w:eastAsia="SimSun" w:hAnsi="Book Antiqua" w:cs="SimSun"/>
        </w:rPr>
        <w:t>, Philpott DJ. Peptidoglycan: a critical activator of the mammalian immune system during infection and homeostasis. </w:t>
      </w:r>
      <w:r w:rsidRPr="007C70D8">
        <w:rPr>
          <w:rFonts w:ascii="Book Antiqua" w:eastAsia="SimSun" w:hAnsi="Book Antiqua" w:cs="SimSun"/>
          <w:i/>
          <w:iCs/>
        </w:rPr>
        <w:t>Immunol Rev</w:t>
      </w:r>
      <w:r w:rsidRPr="007C70D8">
        <w:rPr>
          <w:rFonts w:ascii="Book Antiqua" w:eastAsia="SimSun" w:hAnsi="Book Antiqua" w:cs="SimSun"/>
        </w:rPr>
        <w:t> 2011; </w:t>
      </w:r>
      <w:r w:rsidRPr="007C70D8">
        <w:rPr>
          <w:rFonts w:ascii="Book Antiqua" w:eastAsia="SimSun" w:hAnsi="Book Antiqua" w:cs="SimSun"/>
          <w:b/>
          <w:bCs/>
        </w:rPr>
        <w:t>243</w:t>
      </w:r>
      <w:r w:rsidRPr="007C70D8">
        <w:rPr>
          <w:rFonts w:ascii="Book Antiqua" w:eastAsia="SimSun" w:hAnsi="Book Antiqua" w:cs="SimSun"/>
        </w:rPr>
        <w:t>: 40-60 [PMID: 21884166 DOI: 10.1111/j.1600-065X.2011.01047.x]</w:t>
      </w:r>
    </w:p>
    <w:p w14:paraId="4BD65978" w14:textId="77777777" w:rsidR="008B6827" w:rsidRPr="007C70D8" w:rsidRDefault="008B6827" w:rsidP="008B6827">
      <w:pPr>
        <w:spacing w:line="360" w:lineRule="auto"/>
        <w:jc w:val="both"/>
        <w:rPr>
          <w:rFonts w:ascii="Book Antiqua" w:eastAsia="SimSun" w:hAnsi="Book Antiqua" w:cs="SimSun"/>
        </w:rPr>
      </w:pPr>
      <w:r w:rsidRPr="007C70D8">
        <w:rPr>
          <w:rFonts w:ascii="Book Antiqua" w:eastAsia="SimSun" w:hAnsi="Book Antiqua" w:cs="SimSun"/>
        </w:rPr>
        <w:t>16 </w:t>
      </w:r>
      <w:r w:rsidRPr="007C70D8">
        <w:rPr>
          <w:rFonts w:ascii="Book Antiqua" w:eastAsia="SimSun" w:hAnsi="Book Antiqua" w:cs="SimSun"/>
          <w:b/>
          <w:bCs/>
        </w:rPr>
        <w:t>Cantó E</w:t>
      </w:r>
      <w:r w:rsidRPr="007C70D8">
        <w:rPr>
          <w:rFonts w:ascii="Book Antiqua" w:eastAsia="SimSun" w:hAnsi="Book Antiqua" w:cs="SimSun"/>
        </w:rPr>
        <w:t>, Ricart E, Monfort D, González-Juan D, Balanzó J, Rodríguez-Sánchez JL, Vidal S. TNF alpha production to TLR2 ligands in active IBD patients. </w:t>
      </w:r>
      <w:r w:rsidRPr="007C70D8">
        <w:rPr>
          <w:rFonts w:ascii="Book Antiqua" w:eastAsia="SimSun" w:hAnsi="Book Antiqua" w:cs="SimSun"/>
          <w:i/>
          <w:iCs/>
        </w:rPr>
        <w:t>Clin Immunol</w:t>
      </w:r>
      <w:r w:rsidRPr="007C70D8">
        <w:rPr>
          <w:rFonts w:ascii="Book Antiqua" w:eastAsia="SimSun" w:hAnsi="Book Antiqua" w:cs="SimSun"/>
        </w:rPr>
        <w:t> 2006; </w:t>
      </w:r>
      <w:r w:rsidRPr="007C70D8">
        <w:rPr>
          <w:rFonts w:ascii="Book Antiqua" w:eastAsia="SimSun" w:hAnsi="Book Antiqua" w:cs="SimSun"/>
          <w:b/>
          <w:bCs/>
        </w:rPr>
        <w:t>119</w:t>
      </w:r>
      <w:r w:rsidRPr="007C70D8">
        <w:rPr>
          <w:rFonts w:ascii="Book Antiqua" w:eastAsia="SimSun" w:hAnsi="Book Antiqua" w:cs="SimSun"/>
        </w:rPr>
        <w:t>: 156-165 [PMID: 16480927 DOI: 10.1016/j.clim.2005.12.005]</w:t>
      </w:r>
    </w:p>
    <w:p w14:paraId="79332A81" w14:textId="77777777" w:rsidR="008B6827" w:rsidRPr="007C70D8" w:rsidRDefault="008B6827" w:rsidP="008B6827">
      <w:pPr>
        <w:spacing w:line="360" w:lineRule="auto"/>
        <w:jc w:val="both"/>
        <w:rPr>
          <w:rFonts w:ascii="Book Antiqua" w:eastAsia="SimSun" w:hAnsi="Book Antiqua" w:cs="SimSun"/>
        </w:rPr>
      </w:pPr>
      <w:r w:rsidRPr="007C70D8">
        <w:rPr>
          <w:rFonts w:ascii="Book Antiqua" w:eastAsia="SimSun" w:hAnsi="Book Antiqua" w:cs="SimSun"/>
        </w:rPr>
        <w:t>17 </w:t>
      </w:r>
      <w:r w:rsidRPr="007C70D8">
        <w:rPr>
          <w:rFonts w:ascii="Book Antiqua" w:eastAsia="SimSun" w:hAnsi="Book Antiqua" w:cs="SimSun"/>
          <w:b/>
          <w:bCs/>
        </w:rPr>
        <w:t>Cario E</w:t>
      </w:r>
      <w:r w:rsidRPr="007C70D8">
        <w:rPr>
          <w:rFonts w:ascii="Book Antiqua" w:eastAsia="SimSun" w:hAnsi="Book Antiqua" w:cs="SimSun"/>
        </w:rPr>
        <w:t>. Bacterial interactions with cells of the intestinal mucosa: Toll-like receptors and NOD2. </w:t>
      </w:r>
      <w:r w:rsidRPr="007C70D8">
        <w:rPr>
          <w:rFonts w:ascii="Book Antiqua" w:eastAsia="SimSun" w:hAnsi="Book Antiqua" w:cs="SimSun"/>
          <w:i/>
          <w:iCs/>
        </w:rPr>
        <w:t>Gut</w:t>
      </w:r>
      <w:r w:rsidRPr="007C70D8">
        <w:rPr>
          <w:rFonts w:ascii="Book Antiqua" w:eastAsia="SimSun" w:hAnsi="Book Antiqua" w:cs="SimSun"/>
        </w:rPr>
        <w:t> 2005; </w:t>
      </w:r>
      <w:r w:rsidRPr="007C70D8">
        <w:rPr>
          <w:rFonts w:ascii="Book Antiqua" w:eastAsia="SimSun" w:hAnsi="Book Antiqua" w:cs="SimSun"/>
          <w:b/>
          <w:bCs/>
        </w:rPr>
        <w:t>54</w:t>
      </w:r>
      <w:r w:rsidRPr="007C70D8">
        <w:rPr>
          <w:rFonts w:ascii="Book Antiqua" w:eastAsia="SimSun" w:hAnsi="Book Antiqua" w:cs="SimSun"/>
        </w:rPr>
        <w:t>: 1182-1193 [PMID: 15840688 DOI: 10.1136/gut.2004.062794]</w:t>
      </w:r>
    </w:p>
    <w:p w14:paraId="3AF295DE" w14:textId="77777777" w:rsidR="008B6827" w:rsidRPr="007C70D8" w:rsidRDefault="008B6827" w:rsidP="008B6827">
      <w:pPr>
        <w:spacing w:line="360" w:lineRule="auto"/>
        <w:jc w:val="both"/>
        <w:rPr>
          <w:rFonts w:ascii="Book Antiqua" w:eastAsia="SimSun" w:hAnsi="Book Antiqua" w:cs="SimSun"/>
        </w:rPr>
      </w:pPr>
      <w:r w:rsidRPr="007C70D8">
        <w:rPr>
          <w:rFonts w:ascii="Book Antiqua" w:eastAsia="SimSun" w:hAnsi="Book Antiqua" w:cs="SimSun"/>
        </w:rPr>
        <w:t>18 </w:t>
      </w:r>
      <w:r w:rsidRPr="007C70D8">
        <w:rPr>
          <w:rFonts w:ascii="Book Antiqua" w:eastAsia="SimSun" w:hAnsi="Book Antiqua" w:cs="SimSun"/>
          <w:b/>
          <w:bCs/>
        </w:rPr>
        <w:t>Franchimont D</w:t>
      </w:r>
      <w:r w:rsidRPr="007C70D8">
        <w:rPr>
          <w:rFonts w:ascii="Book Antiqua" w:eastAsia="SimSun" w:hAnsi="Book Antiqua" w:cs="SimSun"/>
        </w:rPr>
        <w:t>, Vermeire S, El Housni H, Pierik M, Van Steen K, Gustot T, Quertinmont E, Abramowicz M, Van Gossum A, Devière J, Rutgeerts P. Deficient host-bacteria interactions in inflammatory bowel disease? The toll-like receptor (TLR)-4 Asp299gly polymorphism is associated with Crohn's disease and ulcerative colitis. </w:t>
      </w:r>
      <w:r w:rsidRPr="007C70D8">
        <w:rPr>
          <w:rFonts w:ascii="Book Antiqua" w:eastAsia="SimSun" w:hAnsi="Book Antiqua" w:cs="SimSun"/>
          <w:i/>
          <w:iCs/>
        </w:rPr>
        <w:t>Gut</w:t>
      </w:r>
      <w:r w:rsidRPr="007C70D8">
        <w:rPr>
          <w:rFonts w:ascii="Book Antiqua" w:eastAsia="SimSun" w:hAnsi="Book Antiqua" w:cs="SimSun"/>
        </w:rPr>
        <w:t> 2004; </w:t>
      </w:r>
      <w:r w:rsidRPr="007C70D8">
        <w:rPr>
          <w:rFonts w:ascii="Book Antiqua" w:eastAsia="SimSun" w:hAnsi="Book Antiqua" w:cs="SimSun"/>
          <w:b/>
          <w:bCs/>
        </w:rPr>
        <w:t>53</w:t>
      </w:r>
      <w:r w:rsidRPr="007C70D8">
        <w:rPr>
          <w:rFonts w:ascii="Book Antiqua" w:eastAsia="SimSun" w:hAnsi="Book Antiqua" w:cs="SimSun"/>
        </w:rPr>
        <w:t>: 987-992 [PMID: 15194649]</w:t>
      </w:r>
    </w:p>
    <w:p w14:paraId="076C3AFF" w14:textId="77777777" w:rsidR="008B6827" w:rsidRPr="007C70D8" w:rsidRDefault="008B6827" w:rsidP="008B6827">
      <w:pPr>
        <w:spacing w:line="360" w:lineRule="auto"/>
        <w:jc w:val="both"/>
        <w:rPr>
          <w:rFonts w:ascii="Book Antiqua" w:eastAsia="SimSun" w:hAnsi="Book Antiqua" w:cs="SimSun"/>
        </w:rPr>
      </w:pPr>
      <w:r w:rsidRPr="007C70D8">
        <w:rPr>
          <w:rFonts w:ascii="Book Antiqua" w:eastAsia="SimSun" w:hAnsi="Book Antiqua" w:cs="SimSun"/>
        </w:rPr>
        <w:lastRenderedPageBreak/>
        <w:t>19 </w:t>
      </w:r>
      <w:r w:rsidRPr="007C70D8">
        <w:rPr>
          <w:rFonts w:ascii="Book Antiqua" w:eastAsia="SimSun" w:hAnsi="Book Antiqua" w:cs="SimSun"/>
          <w:b/>
          <w:bCs/>
        </w:rPr>
        <w:t>Chu H</w:t>
      </w:r>
      <w:r w:rsidRPr="007C70D8">
        <w:rPr>
          <w:rFonts w:ascii="Book Antiqua" w:eastAsia="SimSun" w:hAnsi="Book Antiqua" w:cs="SimSun"/>
        </w:rPr>
        <w:t>, Khosravi A, Kusumawardhani IP, Kwon AH, Vasconcelos AC, Cunha LD, Mayer AE, Shen Y, Wu WL, Kambal A, Targan SR, Xavier RJ, Ernst PB, Green DR, McGovern DP, Virgin HW, Mazmanian SK. Gene-microbiota interactions contribute to the pathogenesis of inflammatory bowel disease. </w:t>
      </w:r>
      <w:r w:rsidRPr="007C70D8">
        <w:rPr>
          <w:rFonts w:ascii="Book Antiqua" w:eastAsia="SimSun" w:hAnsi="Book Antiqua" w:cs="SimSun"/>
          <w:i/>
          <w:iCs/>
        </w:rPr>
        <w:t>Science</w:t>
      </w:r>
      <w:r w:rsidRPr="007C70D8">
        <w:rPr>
          <w:rFonts w:ascii="Book Antiqua" w:eastAsia="SimSun" w:hAnsi="Book Antiqua" w:cs="SimSun"/>
        </w:rPr>
        <w:t> 2016; </w:t>
      </w:r>
      <w:r w:rsidRPr="007C70D8">
        <w:rPr>
          <w:rFonts w:ascii="Book Antiqua" w:eastAsia="SimSun" w:hAnsi="Book Antiqua" w:cs="SimSun"/>
          <w:b/>
          <w:bCs/>
        </w:rPr>
        <w:t>352</w:t>
      </w:r>
      <w:r w:rsidRPr="007C70D8">
        <w:rPr>
          <w:rFonts w:ascii="Book Antiqua" w:eastAsia="SimSun" w:hAnsi="Book Antiqua" w:cs="SimSun"/>
        </w:rPr>
        <w:t>: 1116-1120 [PMID: 27230380 DOI: 10.1126/science.aad9948]</w:t>
      </w:r>
    </w:p>
    <w:p w14:paraId="5E1FF7D7" w14:textId="77777777" w:rsidR="008B6827" w:rsidRPr="007C70D8" w:rsidRDefault="008B6827" w:rsidP="008B6827">
      <w:pPr>
        <w:spacing w:line="360" w:lineRule="auto"/>
        <w:jc w:val="both"/>
        <w:rPr>
          <w:rFonts w:ascii="Book Antiqua" w:eastAsia="SimSun" w:hAnsi="Book Antiqua" w:cs="SimSun"/>
        </w:rPr>
      </w:pPr>
      <w:r w:rsidRPr="007C70D8">
        <w:rPr>
          <w:rFonts w:ascii="Book Antiqua" w:eastAsia="SimSun" w:hAnsi="Book Antiqua" w:cs="SimSun"/>
        </w:rPr>
        <w:t>20 </w:t>
      </w:r>
      <w:r w:rsidRPr="007C70D8">
        <w:rPr>
          <w:rFonts w:ascii="Book Antiqua" w:eastAsia="SimSun" w:hAnsi="Book Antiqua" w:cs="SimSun"/>
          <w:b/>
          <w:bCs/>
        </w:rPr>
        <w:t>Takada H</w:t>
      </w:r>
      <w:r w:rsidRPr="007C70D8">
        <w:rPr>
          <w:rFonts w:ascii="Book Antiqua" w:eastAsia="SimSun" w:hAnsi="Book Antiqua" w:cs="SimSun"/>
        </w:rPr>
        <w:t>, Yoshikawa H, Imaizumi M, Kitamura T, Takeyama J, Kumaki S, Nomura A, Hara T. Delayed separation of the umbilical cord in two siblings with Interleukin-1 receptor-associated kinase 4 deficiency: rapid screening by flow cytometer. </w:t>
      </w:r>
      <w:r w:rsidRPr="007C70D8">
        <w:rPr>
          <w:rFonts w:ascii="Book Antiqua" w:eastAsia="SimSun" w:hAnsi="Book Antiqua" w:cs="SimSun"/>
          <w:i/>
          <w:iCs/>
        </w:rPr>
        <w:t>J Pediatr</w:t>
      </w:r>
      <w:r w:rsidRPr="007C70D8">
        <w:rPr>
          <w:rFonts w:ascii="Book Antiqua" w:eastAsia="SimSun" w:hAnsi="Book Antiqua" w:cs="SimSun"/>
        </w:rPr>
        <w:t> 2006; </w:t>
      </w:r>
      <w:r w:rsidRPr="007C70D8">
        <w:rPr>
          <w:rFonts w:ascii="Book Antiqua" w:eastAsia="SimSun" w:hAnsi="Book Antiqua" w:cs="SimSun"/>
          <w:b/>
          <w:bCs/>
        </w:rPr>
        <w:t>148</w:t>
      </w:r>
      <w:r w:rsidRPr="007C70D8">
        <w:rPr>
          <w:rFonts w:ascii="Book Antiqua" w:eastAsia="SimSun" w:hAnsi="Book Antiqua" w:cs="SimSun"/>
        </w:rPr>
        <w:t>: 546-548 [PMID: 16647421 DOI: 10.1016/j.jpeds.2005.12.015]</w:t>
      </w:r>
    </w:p>
    <w:p w14:paraId="0B73DD95" w14:textId="77777777" w:rsidR="008B6827" w:rsidRPr="007C70D8" w:rsidRDefault="008B6827" w:rsidP="008B6827">
      <w:pPr>
        <w:spacing w:line="360" w:lineRule="auto"/>
        <w:jc w:val="both"/>
        <w:rPr>
          <w:rFonts w:ascii="Book Antiqua" w:eastAsia="SimSun" w:hAnsi="Book Antiqua" w:cs="SimSun"/>
        </w:rPr>
      </w:pPr>
      <w:r w:rsidRPr="007C70D8">
        <w:rPr>
          <w:rFonts w:ascii="Book Antiqua" w:eastAsia="SimSun" w:hAnsi="Book Antiqua" w:cs="SimSun"/>
        </w:rPr>
        <w:t>21 </w:t>
      </w:r>
      <w:r w:rsidRPr="007C70D8">
        <w:rPr>
          <w:rFonts w:ascii="Book Antiqua" w:eastAsia="SimSun" w:hAnsi="Book Antiqua" w:cs="SimSun"/>
          <w:b/>
          <w:bCs/>
        </w:rPr>
        <w:t>Uhlig HH</w:t>
      </w:r>
      <w:r w:rsidRPr="007C70D8">
        <w:rPr>
          <w:rFonts w:ascii="Book Antiqua" w:eastAsia="SimSun" w:hAnsi="Book Antiqua" w:cs="SimSun"/>
        </w:rPr>
        <w:t>, Schwerd T, Koletzko S, Shah N, Kammermeier J, Elkadri A, Ouahed J, Wilson DC, Travis SP, Turner D, Klein C, Snapper SB, Muise AM. The diagnostic approach to monogenic very early onset inflammatory bowel disease. </w:t>
      </w:r>
      <w:r w:rsidRPr="007C70D8">
        <w:rPr>
          <w:rFonts w:ascii="Book Antiqua" w:eastAsia="SimSun" w:hAnsi="Book Antiqua" w:cs="SimSun"/>
          <w:i/>
          <w:iCs/>
        </w:rPr>
        <w:t>Gastroenterology</w:t>
      </w:r>
      <w:r w:rsidRPr="007C70D8">
        <w:rPr>
          <w:rFonts w:ascii="Book Antiqua" w:eastAsia="SimSun" w:hAnsi="Book Antiqua" w:cs="SimSun"/>
        </w:rPr>
        <w:t> 2014; </w:t>
      </w:r>
      <w:r w:rsidRPr="007C70D8">
        <w:rPr>
          <w:rFonts w:ascii="Book Antiqua" w:eastAsia="SimSun" w:hAnsi="Book Antiqua" w:cs="SimSun"/>
          <w:b/>
          <w:bCs/>
        </w:rPr>
        <w:t>147</w:t>
      </w:r>
      <w:r w:rsidRPr="007C70D8">
        <w:rPr>
          <w:rFonts w:ascii="Book Antiqua" w:eastAsia="SimSun" w:hAnsi="Book Antiqua" w:cs="SimSun"/>
        </w:rPr>
        <w:t>: 990-1007.e3 [PMID: 25058236 DOI: 10.1053/j.gastro.2014.07.023]</w:t>
      </w:r>
    </w:p>
    <w:p w14:paraId="770854DF" w14:textId="77777777" w:rsidR="008B6827" w:rsidRPr="007C70D8" w:rsidRDefault="008B6827" w:rsidP="008B6827">
      <w:pPr>
        <w:spacing w:line="360" w:lineRule="auto"/>
        <w:jc w:val="both"/>
        <w:rPr>
          <w:rFonts w:ascii="Book Antiqua" w:eastAsia="SimSun" w:hAnsi="Book Antiqua" w:cs="SimSun"/>
        </w:rPr>
      </w:pPr>
      <w:r w:rsidRPr="007C70D8">
        <w:rPr>
          <w:rFonts w:ascii="Book Antiqua" w:eastAsia="SimSun" w:hAnsi="Book Antiqua" w:cs="SimSun"/>
        </w:rPr>
        <w:t>22 </w:t>
      </w:r>
      <w:r w:rsidRPr="007C70D8">
        <w:rPr>
          <w:rFonts w:ascii="Book Antiqua" w:eastAsia="SimSun" w:hAnsi="Book Antiqua" w:cs="SimSun"/>
          <w:b/>
          <w:bCs/>
        </w:rPr>
        <w:t>Tommasini A</w:t>
      </w:r>
      <w:r w:rsidRPr="007C70D8">
        <w:rPr>
          <w:rFonts w:ascii="Book Antiqua" w:eastAsia="SimSun" w:hAnsi="Book Antiqua" w:cs="SimSun"/>
        </w:rPr>
        <w:t>, Pirrone A, Palla G, Taddio A, Martelossi S, Crovella S, Ventura A. The universe of immune deficiencies in Crohn's disease: a new viewpoint for an old disease? </w:t>
      </w:r>
      <w:r w:rsidRPr="007C70D8">
        <w:rPr>
          <w:rFonts w:ascii="Book Antiqua" w:eastAsia="SimSun" w:hAnsi="Book Antiqua" w:cs="SimSun"/>
          <w:i/>
          <w:iCs/>
        </w:rPr>
        <w:t>Scand J Gastroenterol</w:t>
      </w:r>
      <w:r w:rsidRPr="007C70D8">
        <w:rPr>
          <w:rFonts w:ascii="Book Antiqua" w:eastAsia="SimSun" w:hAnsi="Book Antiqua" w:cs="SimSun"/>
        </w:rPr>
        <w:t> 2010; </w:t>
      </w:r>
      <w:r w:rsidRPr="007C70D8">
        <w:rPr>
          <w:rFonts w:ascii="Book Antiqua" w:eastAsia="SimSun" w:hAnsi="Book Antiqua" w:cs="SimSun"/>
          <w:b/>
          <w:bCs/>
        </w:rPr>
        <w:t>45</w:t>
      </w:r>
      <w:r w:rsidRPr="007C70D8">
        <w:rPr>
          <w:rFonts w:ascii="Book Antiqua" w:eastAsia="SimSun" w:hAnsi="Book Antiqua" w:cs="SimSun"/>
        </w:rPr>
        <w:t>: 1141-1149 [PMID: 20497046 DOI: 10.3109/00365521.2010.492529]</w:t>
      </w:r>
    </w:p>
    <w:p w14:paraId="15ACF49D" w14:textId="77777777" w:rsidR="008B6827" w:rsidRPr="007C70D8" w:rsidRDefault="008B6827" w:rsidP="008B6827">
      <w:pPr>
        <w:spacing w:line="360" w:lineRule="auto"/>
        <w:jc w:val="both"/>
        <w:rPr>
          <w:rFonts w:ascii="Book Antiqua" w:eastAsia="SimSun" w:hAnsi="Book Antiqua" w:cs="SimSun"/>
        </w:rPr>
      </w:pPr>
      <w:r w:rsidRPr="007C70D8">
        <w:rPr>
          <w:rFonts w:ascii="Book Antiqua" w:eastAsia="SimSun" w:hAnsi="Book Antiqua" w:cs="SimSun"/>
        </w:rPr>
        <w:t>23 </w:t>
      </w:r>
      <w:r w:rsidRPr="007C70D8">
        <w:rPr>
          <w:rFonts w:ascii="Book Antiqua" w:eastAsia="SimSun" w:hAnsi="Book Antiqua" w:cs="SimSun"/>
          <w:b/>
          <w:bCs/>
        </w:rPr>
        <w:t>Kelsen JR</w:t>
      </w:r>
      <w:r w:rsidRPr="007C70D8">
        <w:rPr>
          <w:rFonts w:ascii="Book Antiqua" w:eastAsia="SimSun" w:hAnsi="Book Antiqua" w:cs="SimSun"/>
        </w:rPr>
        <w:t>, Dawany N, Moran CJ, Petersen BS, Sarmady M, Sasson A, Pauly-Hubbard H, Martinez A, Maurer K, Soong J, Rappaport E, Franke A, Keller A, Winter HS, Mamula P, Piccoli D, Artis D, Sonnenberg GF, Daly M, Sullivan KE, Baldassano RN, Devoto M. Exome sequencing analysis reveals variants in primary immunodeficiency genes in patients with very early onset inflammatory bowel disease. </w:t>
      </w:r>
      <w:r w:rsidRPr="007C70D8">
        <w:rPr>
          <w:rFonts w:ascii="Book Antiqua" w:eastAsia="SimSun" w:hAnsi="Book Antiqua" w:cs="SimSun"/>
          <w:i/>
          <w:iCs/>
        </w:rPr>
        <w:t>Gastroenterology</w:t>
      </w:r>
      <w:r w:rsidRPr="007C70D8">
        <w:rPr>
          <w:rFonts w:ascii="Book Antiqua" w:eastAsia="SimSun" w:hAnsi="Book Antiqua" w:cs="SimSun"/>
        </w:rPr>
        <w:t> 2015; </w:t>
      </w:r>
      <w:r w:rsidRPr="007C70D8">
        <w:rPr>
          <w:rFonts w:ascii="Book Antiqua" w:eastAsia="SimSun" w:hAnsi="Book Antiqua" w:cs="SimSun"/>
          <w:b/>
          <w:bCs/>
        </w:rPr>
        <w:t>149</w:t>
      </w:r>
      <w:r w:rsidRPr="007C70D8">
        <w:rPr>
          <w:rFonts w:ascii="Book Antiqua" w:eastAsia="SimSun" w:hAnsi="Book Antiqua" w:cs="SimSun"/>
        </w:rPr>
        <w:t>: 1415-1424 [PMID: 26193622 DOI: 10.1053/j.gastro.2015.07.006]</w:t>
      </w:r>
    </w:p>
    <w:p w14:paraId="2730D96B" w14:textId="77777777" w:rsidR="008B6827" w:rsidRPr="007C70D8" w:rsidRDefault="008B6827" w:rsidP="008B6827">
      <w:pPr>
        <w:spacing w:line="360" w:lineRule="auto"/>
        <w:jc w:val="both"/>
        <w:rPr>
          <w:rFonts w:ascii="Book Antiqua" w:eastAsia="SimSun" w:hAnsi="Book Antiqua" w:cs="SimSun"/>
        </w:rPr>
      </w:pPr>
      <w:r w:rsidRPr="007C70D8">
        <w:rPr>
          <w:rFonts w:ascii="Book Antiqua" w:eastAsia="SimSun" w:hAnsi="Book Antiqua" w:cs="SimSun"/>
        </w:rPr>
        <w:t>24 </w:t>
      </w:r>
      <w:r w:rsidRPr="007C70D8">
        <w:rPr>
          <w:rFonts w:ascii="Book Antiqua" w:eastAsia="SimSun" w:hAnsi="Book Antiqua" w:cs="SimSun"/>
          <w:b/>
          <w:bCs/>
        </w:rPr>
        <w:t>Casanova JL</w:t>
      </w:r>
      <w:r w:rsidRPr="007C70D8">
        <w:rPr>
          <w:rFonts w:ascii="Book Antiqua" w:eastAsia="SimSun" w:hAnsi="Book Antiqua" w:cs="SimSun"/>
        </w:rPr>
        <w:t>, Abel L. Revisiting Crohn's disease as a primary immunodeficiency of macrophages. </w:t>
      </w:r>
      <w:r w:rsidRPr="007C70D8">
        <w:rPr>
          <w:rFonts w:ascii="Book Antiqua" w:eastAsia="SimSun" w:hAnsi="Book Antiqua" w:cs="SimSun"/>
          <w:i/>
          <w:iCs/>
        </w:rPr>
        <w:t>J Exp Med</w:t>
      </w:r>
      <w:r w:rsidRPr="007C70D8">
        <w:rPr>
          <w:rFonts w:ascii="Book Antiqua" w:eastAsia="SimSun" w:hAnsi="Book Antiqua" w:cs="SimSun"/>
        </w:rPr>
        <w:t> 2009; </w:t>
      </w:r>
      <w:r w:rsidRPr="007C70D8">
        <w:rPr>
          <w:rFonts w:ascii="Book Antiqua" w:eastAsia="SimSun" w:hAnsi="Book Antiqua" w:cs="SimSun"/>
          <w:b/>
          <w:bCs/>
        </w:rPr>
        <w:t>206</w:t>
      </w:r>
      <w:r w:rsidRPr="007C70D8">
        <w:rPr>
          <w:rFonts w:ascii="Book Antiqua" w:eastAsia="SimSun" w:hAnsi="Book Antiqua" w:cs="SimSun"/>
        </w:rPr>
        <w:t>: 1839-1843 [PMID: 19687225 DOI: 10.1084/jem.20091683]</w:t>
      </w:r>
    </w:p>
    <w:p w14:paraId="1811A20F" w14:textId="77777777" w:rsidR="008B6827" w:rsidRPr="007C70D8" w:rsidRDefault="008B6827" w:rsidP="008B6827">
      <w:pPr>
        <w:spacing w:line="360" w:lineRule="auto"/>
        <w:jc w:val="both"/>
        <w:rPr>
          <w:rFonts w:ascii="Book Antiqua" w:eastAsia="SimSun" w:hAnsi="Book Antiqua" w:cs="SimSun"/>
        </w:rPr>
      </w:pPr>
      <w:r w:rsidRPr="007C70D8">
        <w:rPr>
          <w:rFonts w:ascii="Book Antiqua" w:eastAsia="SimSun" w:hAnsi="Book Antiqua" w:cs="SimSun"/>
        </w:rPr>
        <w:t>25 </w:t>
      </w:r>
      <w:r w:rsidRPr="007C70D8">
        <w:rPr>
          <w:rFonts w:ascii="Book Antiqua" w:eastAsia="SimSun" w:hAnsi="Book Antiqua" w:cs="SimSun"/>
          <w:b/>
          <w:bCs/>
        </w:rPr>
        <w:t>Miura M</w:t>
      </w:r>
      <w:r w:rsidRPr="007C70D8">
        <w:rPr>
          <w:rFonts w:ascii="Book Antiqua" w:eastAsia="SimSun" w:hAnsi="Book Antiqua" w:cs="SimSun"/>
        </w:rPr>
        <w:t>, Hiwatashi N. Impaired monocyte macrophages function in patients with Crohn's disease. </w:t>
      </w:r>
      <w:r w:rsidRPr="007C70D8">
        <w:rPr>
          <w:rFonts w:ascii="Book Antiqua" w:eastAsia="SimSun" w:hAnsi="Book Antiqua" w:cs="SimSun"/>
          <w:i/>
          <w:iCs/>
        </w:rPr>
        <w:t>J Clin Lab Immunol</w:t>
      </w:r>
      <w:r w:rsidRPr="007C70D8">
        <w:rPr>
          <w:rFonts w:ascii="Book Antiqua" w:eastAsia="SimSun" w:hAnsi="Book Antiqua" w:cs="SimSun"/>
        </w:rPr>
        <w:t> 1987; </w:t>
      </w:r>
      <w:r w:rsidRPr="007C70D8">
        <w:rPr>
          <w:rFonts w:ascii="Book Antiqua" w:eastAsia="SimSun" w:hAnsi="Book Antiqua" w:cs="SimSun"/>
          <w:b/>
          <w:bCs/>
        </w:rPr>
        <w:t>24</w:t>
      </w:r>
      <w:r w:rsidRPr="007C70D8">
        <w:rPr>
          <w:rFonts w:ascii="Book Antiqua" w:eastAsia="SimSun" w:hAnsi="Book Antiqua" w:cs="SimSun"/>
        </w:rPr>
        <w:t>: 167-170 [PMID: 2966248 DOI: 10.1136/gutjnl-2015-310382]</w:t>
      </w:r>
    </w:p>
    <w:p w14:paraId="7782D829" w14:textId="77777777" w:rsidR="008B6827" w:rsidRPr="007C70D8" w:rsidRDefault="008B6827" w:rsidP="008B6827">
      <w:pPr>
        <w:spacing w:line="360" w:lineRule="auto"/>
        <w:jc w:val="both"/>
        <w:rPr>
          <w:rFonts w:ascii="Book Antiqua" w:eastAsia="SimSun" w:hAnsi="Book Antiqua" w:cs="SimSun"/>
        </w:rPr>
      </w:pPr>
      <w:r w:rsidRPr="007C70D8">
        <w:rPr>
          <w:rFonts w:ascii="Book Antiqua" w:eastAsia="SimSun" w:hAnsi="Book Antiqua" w:cs="SimSun"/>
        </w:rPr>
        <w:lastRenderedPageBreak/>
        <w:t>26 </w:t>
      </w:r>
      <w:r w:rsidRPr="007C70D8">
        <w:rPr>
          <w:rFonts w:ascii="Book Antiqua" w:eastAsia="SimSun" w:hAnsi="Book Antiqua" w:cs="SimSun"/>
          <w:b/>
          <w:bCs/>
        </w:rPr>
        <w:t>Capobianchi MR</w:t>
      </w:r>
      <w:r w:rsidRPr="007C70D8">
        <w:rPr>
          <w:rFonts w:ascii="Book Antiqua" w:eastAsia="SimSun" w:hAnsi="Book Antiqua" w:cs="SimSun"/>
        </w:rPr>
        <w:t>, Fais S, Mercuri F, Boirivant M, Dianzani F, Pallone F. Interferon-alpha (IFN-alpha) production by human intestinal mononuclear cells. Response to virus in control subjects and in Crohn's disease. </w:t>
      </w:r>
      <w:r w:rsidRPr="007C70D8">
        <w:rPr>
          <w:rFonts w:ascii="Book Antiqua" w:eastAsia="SimSun" w:hAnsi="Book Antiqua" w:cs="SimSun"/>
          <w:i/>
          <w:iCs/>
        </w:rPr>
        <w:t>Gut</w:t>
      </w:r>
      <w:r w:rsidRPr="007C70D8">
        <w:rPr>
          <w:rFonts w:ascii="Book Antiqua" w:eastAsia="SimSun" w:hAnsi="Book Antiqua" w:cs="SimSun"/>
        </w:rPr>
        <w:t> 1992; </w:t>
      </w:r>
      <w:r w:rsidRPr="007C70D8">
        <w:rPr>
          <w:rFonts w:ascii="Book Antiqua" w:eastAsia="SimSun" w:hAnsi="Book Antiqua" w:cs="SimSun"/>
          <w:b/>
          <w:bCs/>
        </w:rPr>
        <w:t>33</w:t>
      </w:r>
      <w:r w:rsidRPr="007C70D8">
        <w:rPr>
          <w:rFonts w:ascii="Book Antiqua" w:eastAsia="SimSun" w:hAnsi="Book Antiqua" w:cs="SimSun"/>
        </w:rPr>
        <w:t>: 897-901 [PMID: 1644329]</w:t>
      </w:r>
    </w:p>
    <w:p w14:paraId="71AB9E5E" w14:textId="77777777" w:rsidR="008B6827" w:rsidRPr="007C70D8" w:rsidRDefault="008B6827" w:rsidP="008B6827">
      <w:pPr>
        <w:spacing w:line="360" w:lineRule="auto"/>
        <w:jc w:val="both"/>
        <w:rPr>
          <w:rFonts w:ascii="Book Antiqua" w:eastAsia="SimSun" w:hAnsi="Book Antiqua" w:cs="SimSun"/>
        </w:rPr>
      </w:pPr>
      <w:r w:rsidRPr="007C70D8">
        <w:rPr>
          <w:rFonts w:ascii="Book Antiqua" w:eastAsia="SimSun" w:hAnsi="Book Antiqua" w:cs="SimSun"/>
        </w:rPr>
        <w:t>27 </w:t>
      </w:r>
      <w:r w:rsidRPr="007C70D8">
        <w:rPr>
          <w:rFonts w:ascii="Book Antiqua" w:eastAsia="SimSun" w:hAnsi="Book Antiqua" w:cs="SimSun"/>
          <w:b/>
          <w:bCs/>
        </w:rPr>
        <w:t>Liu ZX</w:t>
      </w:r>
      <w:r w:rsidRPr="007C70D8">
        <w:rPr>
          <w:rFonts w:ascii="Book Antiqua" w:eastAsia="SimSun" w:hAnsi="Book Antiqua" w:cs="SimSun"/>
        </w:rPr>
        <w:t>, Hiwatashi N, Noguchi M, Toyota T. Increased expression of costimulatory molecules on peripheral blood monocytes in patients with Crohn's disease. </w:t>
      </w:r>
      <w:r w:rsidRPr="007C70D8">
        <w:rPr>
          <w:rFonts w:ascii="Book Antiqua" w:eastAsia="SimSun" w:hAnsi="Book Antiqua" w:cs="SimSun"/>
          <w:i/>
          <w:iCs/>
        </w:rPr>
        <w:t>Scand J Gastroenterol</w:t>
      </w:r>
      <w:r w:rsidRPr="007C70D8">
        <w:rPr>
          <w:rFonts w:ascii="Book Antiqua" w:eastAsia="SimSun" w:hAnsi="Book Antiqua" w:cs="SimSun"/>
        </w:rPr>
        <w:t> 1997; </w:t>
      </w:r>
      <w:r w:rsidRPr="007C70D8">
        <w:rPr>
          <w:rFonts w:ascii="Book Antiqua" w:eastAsia="SimSun" w:hAnsi="Book Antiqua" w:cs="SimSun"/>
          <w:b/>
          <w:bCs/>
        </w:rPr>
        <w:t>32</w:t>
      </w:r>
      <w:r w:rsidRPr="007C70D8">
        <w:rPr>
          <w:rFonts w:ascii="Book Antiqua" w:eastAsia="SimSun" w:hAnsi="Book Antiqua" w:cs="SimSun"/>
        </w:rPr>
        <w:t>: 1241-1246 [PMID: 9438323]</w:t>
      </w:r>
    </w:p>
    <w:p w14:paraId="5FE7778E" w14:textId="77777777" w:rsidR="008B6827" w:rsidRPr="007C70D8" w:rsidRDefault="008B6827" w:rsidP="008B6827">
      <w:pPr>
        <w:spacing w:line="360" w:lineRule="auto"/>
        <w:jc w:val="both"/>
        <w:rPr>
          <w:rFonts w:ascii="Book Antiqua" w:eastAsia="SimSun" w:hAnsi="Book Antiqua" w:cs="SimSun"/>
        </w:rPr>
      </w:pPr>
      <w:r w:rsidRPr="007C70D8">
        <w:rPr>
          <w:rFonts w:ascii="Book Antiqua" w:eastAsia="SimSun" w:hAnsi="Book Antiqua" w:cs="SimSun"/>
        </w:rPr>
        <w:t>28 </w:t>
      </w:r>
      <w:r w:rsidRPr="007C70D8">
        <w:rPr>
          <w:rFonts w:ascii="Book Antiqua" w:eastAsia="SimSun" w:hAnsi="Book Antiqua" w:cs="SimSun"/>
          <w:b/>
          <w:bCs/>
        </w:rPr>
        <w:t>Sawada-Hase N</w:t>
      </w:r>
      <w:r w:rsidRPr="007C70D8">
        <w:rPr>
          <w:rFonts w:ascii="Book Antiqua" w:eastAsia="SimSun" w:hAnsi="Book Antiqua" w:cs="SimSun"/>
        </w:rPr>
        <w:t>, Kiyohara T, Miyagawa J, Ueyama H, Nishibayashi H, Murayama Y, Kashihara T, Nakahara M, Miyazaki Y, Kanayama S, Nezu R, Shinomura Y, Matsuzawa Y. An increased number of CD40-high monocytes in patients with Crohn's disease. </w:t>
      </w:r>
      <w:r w:rsidRPr="007C70D8">
        <w:rPr>
          <w:rFonts w:ascii="Book Antiqua" w:eastAsia="SimSun" w:hAnsi="Book Antiqua" w:cs="SimSun"/>
          <w:i/>
          <w:iCs/>
        </w:rPr>
        <w:t>Am J Gastroenterol</w:t>
      </w:r>
      <w:r w:rsidRPr="007C70D8">
        <w:rPr>
          <w:rFonts w:ascii="Book Antiqua" w:eastAsia="SimSun" w:hAnsi="Book Antiqua" w:cs="SimSun"/>
        </w:rPr>
        <w:t> 2000; </w:t>
      </w:r>
      <w:r w:rsidRPr="007C70D8">
        <w:rPr>
          <w:rFonts w:ascii="Book Antiqua" w:eastAsia="SimSun" w:hAnsi="Book Antiqua" w:cs="SimSun"/>
          <w:b/>
          <w:bCs/>
        </w:rPr>
        <w:t>95</w:t>
      </w:r>
      <w:r w:rsidRPr="007C70D8">
        <w:rPr>
          <w:rFonts w:ascii="Book Antiqua" w:eastAsia="SimSun" w:hAnsi="Book Antiqua" w:cs="SimSun"/>
        </w:rPr>
        <w:t>: 1516-1523 [PMID: 10894589 DOI: 10.1111/j.1572-0241.2000.01938.x]</w:t>
      </w:r>
    </w:p>
    <w:p w14:paraId="4DE262B8" w14:textId="77777777" w:rsidR="008B6827" w:rsidRPr="007C70D8" w:rsidRDefault="008B6827" w:rsidP="008B6827">
      <w:pPr>
        <w:spacing w:line="360" w:lineRule="auto"/>
        <w:jc w:val="both"/>
        <w:rPr>
          <w:rFonts w:ascii="Book Antiqua" w:eastAsia="SimSun" w:hAnsi="Book Antiqua" w:cs="SimSun"/>
        </w:rPr>
      </w:pPr>
      <w:r w:rsidRPr="007C70D8">
        <w:rPr>
          <w:rFonts w:ascii="Book Antiqua" w:eastAsia="SimSun" w:hAnsi="Book Antiqua" w:cs="SimSun"/>
        </w:rPr>
        <w:t>29 </w:t>
      </w:r>
      <w:r w:rsidRPr="007C70D8">
        <w:rPr>
          <w:rFonts w:ascii="Book Antiqua" w:eastAsia="SimSun" w:hAnsi="Book Antiqua" w:cs="SimSun"/>
          <w:b/>
          <w:bCs/>
        </w:rPr>
        <w:t>Marcuzzi A</w:t>
      </w:r>
      <w:r w:rsidRPr="007C70D8">
        <w:rPr>
          <w:rFonts w:ascii="Book Antiqua" w:eastAsia="SimSun" w:hAnsi="Book Antiqua" w:cs="SimSun"/>
        </w:rPr>
        <w:t>, Girardelli M, Bianco AM, Martelossi S, Magnolato A, Tommasini A, Crovella S. Inflammation profile of four early onset Crohn patients. </w:t>
      </w:r>
      <w:r w:rsidRPr="007C70D8">
        <w:rPr>
          <w:rFonts w:ascii="Book Antiqua" w:eastAsia="SimSun" w:hAnsi="Book Antiqua" w:cs="SimSun"/>
          <w:i/>
          <w:iCs/>
        </w:rPr>
        <w:t>Gene</w:t>
      </w:r>
      <w:r w:rsidRPr="007C70D8">
        <w:rPr>
          <w:rFonts w:ascii="Book Antiqua" w:eastAsia="SimSun" w:hAnsi="Book Antiqua" w:cs="SimSun"/>
        </w:rPr>
        <w:t> 2012; </w:t>
      </w:r>
      <w:r w:rsidRPr="007C70D8">
        <w:rPr>
          <w:rFonts w:ascii="Book Antiqua" w:eastAsia="SimSun" w:hAnsi="Book Antiqua" w:cs="SimSun"/>
          <w:b/>
          <w:bCs/>
        </w:rPr>
        <w:t>493</w:t>
      </w:r>
      <w:r w:rsidRPr="007C70D8">
        <w:rPr>
          <w:rFonts w:ascii="Book Antiqua" w:eastAsia="SimSun" w:hAnsi="Book Antiqua" w:cs="SimSun"/>
        </w:rPr>
        <w:t>: 282-285 [PMID: 22155628 DOI: 10.1016/j.gene.2011.11.043]</w:t>
      </w:r>
    </w:p>
    <w:p w14:paraId="00F20869" w14:textId="77777777" w:rsidR="008B6827" w:rsidRPr="007C70D8" w:rsidRDefault="008B6827" w:rsidP="008B6827">
      <w:pPr>
        <w:spacing w:line="360" w:lineRule="auto"/>
        <w:jc w:val="both"/>
        <w:rPr>
          <w:rFonts w:ascii="Book Antiqua" w:eastAsia="SimSun" w:hAnsi="Book Antiqua" w:cs="SimSun"/>
        </w:rPr>
      </w:pPr>
      <w:r w:rsidRPr="007C70D8">
        <w:rPr>
          <w:rFonts w:ascii="Book Antiqua" w:eastAsia="SimSun" w:hAnsi="Book Antiqua" w:cs="SimSun"/>
        </w:rPr>
        <w:t>30 </w:t>
      </w:r>
      <w:r w:rsidRPr="007C70D8">
        <w:rPr>
          <w:rFonts w:ascii="Book Antiqua" w:eastAsia="SimSun" w:hAnsi="Book Antiqua" w:cs="SimSun"/>
          <w:b/>
          <w:bCs/>
        </w:rPr>
        <w:t>Granzotto M</w:t>
      </w:r>
      <w:r w:rsidRPr="007C70D8">
        <w:rPr>
          <w:rFonts w:ascii="Book Antiqua" w:eastAsia="SimSun" w:hAnsi="Book Antiqua" w:cs="SimSun"/>
        </w:rPr>
        <w:t>, Fabbro E, Maschio M, Martelossi S, Quaglia S, Tommasini A, Presani G, Ventura A. Heterozygous nucleotide-binding oligomerization domain-2 mutations affect monocyte maturation in Crohn's disease. </w:t>
      </w:r>
      <w:r w:rsidRPr="007C70D8">
        <w:rPr>
          <w:rFonts w:ascii="Book Antiqua" w:eastAsia="SimSun" w:hAnsi="Book Antiqua" w:cs="SimSun"/>
          <w:i/>
          <w:iCs/>
        </w:rPr>
        <w:t>World J Gastroenterol</w:t>
      </w:r>
      <w:r w:rsidRPr="007C70D8">
        <w:rPr>
          <w:rFonts w:ascii="Book Antiqua" w:eastAsia="SimSun" w:hAnsi="Book Antiqua" w:cs="SimSun"/>
        </w:rPr>
        <w:t> 2007; </w:t>
      </w:r>
      <w:r w:rsidRPr="007C70D8">
        <w:rPr>
          <w:rFonts w:ascii="Book Antiqua" w:eastAsia="SimSun" w:hAnsi="Book Antiqua" w:cs="SimSun"/>
          <w:b/>
          <w:bCs/>
        </w:rPr>
        <w:t>13</w:t>
      </w:r>
      <w:r w:rsidRPr="007C70D8">
        <w:rPr>
          <w:rFonts w:ascii="Book Antiqua" w:eastAsia="SimSun" w:hAnsi="Book Antiqua" w:cs="SimSun"/>
        </w:rPr>
        <w:t>: 6191-6196 [PMID: 18069758]</w:t>
      </w:r>
    </w:p>
    <w:p w14:paraId="60395645" w14:textId="77777777" w:rsidR="008B6827" w:rsidRPr="007C70D8" w:rsidRDefault="008B6827" w:rsidP="008B6827">
      <w:pPr>
        <w:spacing w:line="360" w:lineRule="auto"/>
        <w:jc w:val="both"/>
        <w:rPr>
          <w:rFonts w:ascii="Book Antiqua" w:eastAsia="SimSun" w:hAnsi="Book Antiqua" w:cs="SimSun"/>
        </w:rPr>
      </w:pPr>
      <w:r w:rsidRPr="007C70D8">
        <w:rPr>
          <w:rFonts w:ascii="Book Antiqua" w:eastAsia="SimSun" w:hAnsi="Book Antiqua" w:cs="SimSun"/>
        </w:rPr>
        <w:t>31 </w:t>
      </w:r>
      <w:r w:rsidRPr="007C70D8">
        <w:rPr>
          <w:rFonts w:ascii="Book Antiqua" w:eastAsia="SimSun" w:hAnsi="Book Antiqua" w:cs="SimSun"/>
          <w:b/>
          <w:bCs/>
        </w:rPr>
        <w:t>Notarangelo LD</w:t>
      </w:r>
      <w:r w:rsidRPr="007C70D8">
        <w:rPr>
          <w:rFonts w:ascii="Book Antiqua" w:eastAsia="SimSun" w:hAnsi="Book Antiqua" w:cs="SimSun"/>
        </w:rPr>
        <w:t>, Tommasini A. Defective and excessive immunities in pediatric diseases. </w:t>
      </w:r>
      <w:r w:rsidRPr="007C70D8">
        <w:rPr>
          <w:rFonts w:ascii="Book Antiqua" w:eastAsia="SimSun" w:hAnsi="Book Antiqua" w:cs="SimSun"/>
          <w:i/>
          <w:iCs/>
        </w:rPr>
        <w:t>Curr Pharm Des</w:t>
      </w:r>
      <w:r w:rsidRPr="007C70D8">
        <w:rPr>
          <w:rFonts w:ascii="Book Antiqua" w:eastAsia="SimSun" w:hAnsi="Book Antiqua" w:cs="SimSun"/>
        </w:rPr>
        <w:t> 2012; </w:t>
      </w:r>
      <w:r w:rsidRPr="007C70D8">
        <w:rPr>
          <w:rFonts w:ascii="Book Antiqua" w:eastAsia="SimSun" w:hAnsi="Book Antiqua" w:cs="SimSun"/>
          <w:b/>
          <w:bCs/>
        </w:rPr>
        <w:t>18</w:t>
      </w:r>
      <w:r w:rsidRPr="007C70D8">
        <w:rPr>
          <w:rFonts w:ascii="Book Antiqua" w:eastAsia="SimSun" w:hAnsi="Book Antiqua" w:cs="SimSun"/>
        </w:rPr>
        <w:t>: 5729-5734 [PMID: 22726115]</w:t>
      </w:r>
    </w:p>
    <w:p w14:paraId="12AF82C4" w14:textId="77777777" w:rsidR="008B6827" w:rsidRPr="007C70D8" w:rsidRDefault="008B6827" w:rsidP="008B6827">
      <w:pPr>
        <w:spacing w:line="360" w:lineRule="auto"/>
        <w:jc w:val="both"/>
        <w:rPr>
          <w:rFonts w:ascii="Book Antiqua" w:eastAsia="SimSun" w:hAnsi="Book Antiqua" w:cs="SimSun"/>
        </w:rPr>
      </w:pPr>
      <w:r w:rsidRPr="007C70D8">
        <w:rPr>
          <w:rFonts w:ascii="Book Antiqua" w:eastAsia="SimSun" w:hAnsi="Book Antiqua" w:cs="SimSun"/>
        </w:rPr>
        <w:t>32 </w:t>
      </w:r>
      <w:r w:rsidRPr="007C70D8">
        <w:rPr>
          <w:rFonts w:ascii="Book Antiqua" w:eastAsia="SimSun" w:hAnsi="Book Antiqua" w:cs="SimSun"/>
          <w:b/>
          <w:bCs/>
        </w:rPr>
        <w:t>Strisciuglio C</w:t>
      </w:r>
      <w:r w:rsidRPr="007C70D8">
        <w:rPr>
          <w:rFonts w:ascii="Book Antiqua" w:eastAsia="SimSun" w:hAnsi="Book Antiqua" w:cs="SimSun"/>
        </w:rPr>
        <w:t>, Duijvestein M, Verhaar AP, Vos AC, van den Brink GR, Hommes DW, Wildenberg ME. Impaired autophagy leads to abnormal dendritic cell-epithelial cell interactions. </w:t>
      </w:r>
      <w:r w:rsidRPr="007C70D8">
        <w:rPr>
          <w:rFonts w:ascii="Book Antiqua" w:eastAsia="SimSun" w:hAnsi="Book Antiqua" w:cs="SimSun"/>
          <w:i/>
          <w:iCs/>
        </w:rPr>
        <w:t>J Crohns Colitis</w:t>
      </w:r>
      <w:r w:rsidRPr="007C70D8">
        <w:rPr>
          <w:rFonts w:ascii="Book Antiqua" w:eastAsia="SimSun" w:hAnsi="Book Antiqua" w:cs="SimSun"/>
        </w:rPr>
        <w:t> 2013; </w:t>
      </w:r>
      <w:r w:rsidRPr="007C70D8">
        <w:rPr>
          <w:rFonts w:ascii="Book Antiqua" w:eastAsia="SimSun" w:hAnsi="Book Antiqua" w:cs="SimSun"/>
          <w:b/>
          <w:bCs/>
        </w:rPr>
        <w:t>7</w:t>
      </w:r>
      <w:r w:rsidRPr="007C70D8">
        <w:rPr>
          <w:rFonts w:ascii="Book Antiqua" w:eastAsia="SimSun" w:hAnsi="Book Antiqua" w:cs="SimSun"/>
        </w:rPr>
        <w:t>: 534-541 [PMID: 22981596 DOI: 10.1016/j.crohns.2012.08.009]</w:t>
      </w:r>
    </w:p>
    <w:p w14:paraId="72385525" w14:textId="77777777" w:rsidR="008B6827" w:rsidRPr="007C70D8" w:rsidRDefault="008B6827" w:rsidP="008B6827">
      <w:pPr>
        <w:spacing w:line="360" w:lineRule="auto"/>
        <w:jc w:val="both"/>
        <w:rPr>
          <w:rFonts w:ascii="Book Antiqua" w:eastAsia="SimSun" w:hAnsi="Book Antiqua" w:cs="SimSun"/>
        </w:rPr>
      </w:pPr>
      <w:r w:rsidRPr="007C70D8">
        <w:rPr>
          <w:rFonts w:ascii="Book Antiqua" w:eastAsia="SimSun" w:hAnsi="Book Antiqua" w:cs="SimSun"/>
        </w:rPr>
        <w:t>33 </w:t>
      </w:r>
      <w:r w:rsidRPr="007C70D8">
        <w:rPr>
          <w:rFonts w:ascii="Book Antiqua" w:eastAsia="SimSun" w:hAnsi="Book Antiqua" w:cs="SimSun"/>
          <w:b/>
          <w:bCs/>
        </w:rPr>
        <w:t>Fukunaga K</w:t>
      </w:r>
      <w:r w:rsidRPr="007C70D8">
        <w:rPr>
          <w:rFonts w:ascii="Book Antiqua" w:eastAsia="SimSun" w:hAnsi="Book Antiqua" w:cs="SimSun"/>
        </w:rPr>
        <w:t>, Yokoyama Y, Kamikozuru K, Yoshida K, Kikuyama R, Nagase K, Nakamura S, Takei Y, Miwa H, Matsumoto T. Selective depletion of peripheral granulocyte/monocyte enhances the efficacy of scheduled maintenance infliximab in Crohn's disease. </w:t>
      </w:r>
      <w:r w:rsidRPr="007C70D8">
        <w:rPr>
          <w:rFonts w:ascii="Book Antiqua" w:eastAsia="SimSun" w:hAnsi="Book Antiqua" w:cs="SimSun"/>
          <w:i/>
          <w:iCs/>
        </w:rPr>
        <w:t>J Clin Apher</w:t>
      </w:r>
      <w:r w:rsidRPr="007C70D8">
        <w:rPr>
          <w:rFonts w:ascii="Book Antiqua" w:eastAsia="SimSun" w:hAnsi="Book Antiqua" w:cs="SimSun"/>
        </w:rPr>
        <w:t> 2010; </w:t>
      </w:r>
      <w:r w:rsidRPr="007C70D8">
        <w:rPr>
          <w:rFonts w:ascii="Book Antiqua" w:eastAsia="SimSun" w:hAnsi="Book Antiqua" w:cs="SimSun"/>
          <w:b/>
          <w:bCs/>
        </w:rPr>
        <w:t>25</w:t>
      </w:r>
      <w:r w:rsidRPr="007C70D8">
        <w:rPr>
          <w:rFonts w:ascii="Book Antiqua" w:eastAsia="SimSun" w:hAnsi="Book Antiqua" w:cs="SimSun"/>
        </w:rPr>
        <w:t>: 226-228 [PMID: 20544712 DOI: 10.1002/jca.20242]</w:t>
      </w:r>
    </w:p>
    <w:p w14:paraId="76275244" w14:textId="77777777" w:rsidR="008B6827" w:rsidRPr="007C70D8" w:rsidRDefault="008B6827" w:rsidP="008B6827">
      <w:pPr>
        <w:spacing w:line="360" w:lineRule="auto"/>
        <w:jc w:val="both"/>
        <w:rPr>
          <w:rFonts w:ascii="Book Antiqua" w:eastAsia="SimSun" w:hAnsi="Book Antiqua" w:cs="SimSun"/>
        </w:rPr>
      </w:pPr>
      <w:r w:rsidRPr="007C70D8">
        <w:rPr>
          <w:rFonts w:ascii="Book Antiqua" w:eastAsia="SimSun" w:hAnsi="Book Antiqua" w:cs="SimSun"/>
        </w:rPr>
        <w:t>34 </w:t>
      </w:r>
      <w:r w:rsidRPr="007C70D8">
        <w:rPr>
          <w:rFonts w:ascii="Book Antiqua" w:eastAsia="SimSun" w:hAnsi="Book Antiqua" w:cs="SimSun"/>
          <w:b/>
          <w:bCs/>
        </w:rPr>
        <w:t>Beynon V</w:t>
      </w:r>
      <w:r w:rsidRPr="007C70D8">
        <w:rPr>
          <w:rFonts w:ascii="Book Antiqua" w:eastAsia="SimSun" w:hAnsi="Book Antiqua" w:cs="SimSun"/>
        </w:rPr>
        <w:t>, Cotofana S, Brand S, Lohse P, Mair A, Wagner S, Mussack T, Ochsenkühn T, Folwaczny M, Folwaczny C, Glas J, Török HP. NOD2/CARD15 genotype influences MDP-induced cytokine release and basal IL-12p40 levels in primary isolated peripheral blood monocytes. </w:t>
      </w:r>
      <w:r w:rsidRPr="007C70D8">
        <w:rPr>
          <w:rFonts w:ascii="Book Antiqua" w:eastAsia="SimSun" w:hAnsi="Book Antiqua" w:cs="SimSun"/>
          <w:i/>
          <w:iCs/>
        </w:rPr>
        <w:t>Inflamm Bowel Dis</w:t>
      </w:r>
      <w:r w:rsidRPr="007C70D8">
        <w:rPr>
          <w:rFonts w:ascii="Book Antiqua" w:eastAsia="SimSun" w:hAnsi="Book Antiqua" w:cs="SimSun"/>
        </w:rPr>
        <w:t> 2008; </w:t>
      </w:r>
      <w:r w:rsidRPr="007C70D8">
        <w:rPr>
          <w:rFonts w:ascii="Book Antiqua" w:eastAsia="SimSun" w:hAnsi="Book Antiqua" w:cs="SimSun"/>
          <w:b/>
          <w:bCs/>
        </w:rPr>
        <w:t>14</w:t>
      </w:r>
      <w:r w:rsidRPr="007C70D8">
        <w:rPr>
          <w:rFonts w:ascii="Book Antiqua" w:eastAsia="SimSun" w:hAnsi="Book Antiqua" w:cs="SimSun"/>
        </w:rPr>
        <w:t>: 1033-1040 [PMID: 18383179 DOI: 10.1002/ibd.20441]</w:t>
      </w:r>
    </w:p>
    <w:p w14:paraId="5D8BF536" w14:textId="77777777" w:rsidR="008B6827" w:rsidRPr="007C70D8" w:rsidRDefault="008B6827" w:rsidP="008B6827">
      <w:pPr>
        <w:spacing w:line="360" w:lineRule="auto"/>
        <w:jc w:val="both"/>
        <w:rPr>
          <w:rFonts w:ascii="Book Antiqua" w:eastAsia="SimSun" w:hAnsi="Book Antiqua" w:cs="SimSun"/>
        </w:rPr>
      </w:pPr>
      <w:r w:rsidRPr="007C70D8">
        <w:rPr>
          <w:rFonts w:ascii="Book Antiqua" w:eastAsia="SimSun" w:hAnsi="Book Antiqua" w:cs="SimSun"/>
        </w:rPr>
        <w:lastRenderedPageBreak/>
        <w:t>35 </w:t>
      </w:r>
      <w:r w:rsidRPr="007C70D8">
        <w:rPr>
          <w:rFonts w:ascii="Book Antiqua" w:eastAsia="SimSun" w:hAnsi="Book Antiqua" w:cs="SimSun"/>
          <w:b/>
          <w:bCs/>
        </w:rPr>
        <w:t>Kuuliala K</w:t>
      </w:r>
      <w:r w:rsidRPr="007C70D8">
        <w:rPr>
          <w:rFonts w:ascii="Book Antiqua" w:eastAsia="SimSun" w:hAnsi="Book Antiqua" w:cs="SimSun"/>
        </w:rPr>
        <w:t>, Lappalainen M, Turunen U, Puolakkainen P, Kemppainen E, Siitonen S, Repo H, Mustonen H. Detection of muramyl dipeptide-sensing pathway defects in monocytes of patients with Crohn's disease using phospho-specific whole blood flow cytometry. </w:t>
      </w:r>
      <w:r w:rsidRPr="007C70D8">
        <w:rPr>
          <w:rFonts w:ascii="Book Antiqua" w:eastAsia="SimSun" w:hAnsi="Book Antiqua" w:cs="SimSun"/>
          <w:i/>
          <w:iCs/>
        </w:rPr>
        <w:t>Scand J Clin Lab Invest</w:t>
      </w:r>
      <w:r w:rsidRPr="007C70D8">
        <w:rPr>
          <w:rFonts w:ascii="Book Antiqua" w:eastAsia="SimSun" w:hAnsi="Book Antiqua" w:cs="SimSun"/>
        </w:rPr>
        <w:t> 2013; </w:t>
      </w:r>
      <w:r w:rsidRPr="007C70D8">
        <w:rPr>
          <w:rFonts w:ascii="Book Antiqua" w:eastAsia="SimSun" w:hAnsi="Book Antiqua" w:cs="SimSun"/>
          <w:b/>
          <w:bCs/>
        </w:rPr>
        <w:t>73</w:t>
      </w:r>
      <w:r w:rsidRPr="007C70D8">
        <w:rPr>
          <w:rFonts w:ascii="Book Antiqua" w:eastAsia="SimSun" w:hAnsi="Book Antiqua" w:cs="SimSun"/>
        </w:rPr>
        <w:t>: 494-502 [PMID: 23837874 DOI: 10.3109/00365513.2013.811612]</w:t>
      </w:r>
    </w:p>
    <w:p w14:paraId="5D4AF1DB" w14:textId="77777777" w:rsidR="008B6827" w:rsidRPr="007C70D8" w:rsidRDefault="008B6827" w:rsidP="008B6827">
      <w:pPr>
        <w:spacing w:line="360" w:lineRule="auto"/>
        <w:jc w:val="both"/>
        <w:rPr>
          <w:rFonts w:ascii="Book Antiqua" w:eastAsia="SimSun" w:hAnsi="Book Antiqua" w:cs="SimSun"/>
        </w:rPr>
      </w:pPr>
      <w:r w:rsidRPr="007C70D8">
        <w:rPr>
          <w:rFonts w:ascii="Book Antiqua" w:eastAsia="SimSun" w:hAnsi="Book Antiqua" w:cs="SimSun"/>
        </w:rPr>
        <w:t>36 </w:t>
      </w:r>
      <w:r w:rsidRPr="007C70D8">
        <w:rPr>
          <w:rFonts w:ascii="Book Antiqua" w:eastAsia="SimSun" w:hAnsi="Book Antiqua" w:cs="SimSun"/>
          <w:b/>
          <w:bCs/>
        </w:rPr>
        <w:t>Cantó E</w:t>
      </w:r>
      <w:r w:rsidRPr="007C70D8">
        <w:rPr>
          <w:rFonts w:ascii="Book Antiqua" w:eastAsia="SimSun" w:hAnsi="Book Antiqua" w:cs="SimSun"/>
        </w:rPr>
        <w:t>, Moga E, Ricart E, Garcia-Bosch O, Garcia-Planella E, Juarez C, Vidal S. MDP-Induced selective tolerance to TLR4 ligands: impairment in NOD2 mutant Crohn's disease patients. </w:t>
      </w:r>
      <w:r w:rsidRPr="007C70D8">
        <w:rPr>
          <w:rFonts w:ascii="Book Antiqua" w:eastAsia="SimSun" w:hAnsi="Book Antiqua" w:cs="SimSun"/>
          <w:i/>
          <w:iCs/>
        </w:rPr>
        <w:t>Inflamm Bowel Dis</w:t>
      </w:r>
      <w:r w:rsidRPr="007C70D8">
        <w:rPr>
          <w:rFonts w:ascii="Book Antiqua" w:eastAsia="SimSun" w:hAnsi="Book Antiqua" w:cs="SimSun"/>
        </w:rPr>
        <w:t> 2009; </w:t>
      </w:r>
      <w:r w:rsidRPr="007C70D8">
        <w:rPr>
          <w:rFonts w:ascii="Book Antiqua" w:eastAsia="SimSun" w:hAnsi="Book Antiqua" w:cs="SimSun"/>
          <w:b/>
          <w:bCs/>
        </w:rPr>
        <w:t>15</w:t>
      </w:r>
      <w:r w:rsidRPr="007C70D8">
        <w:rPr>
          <w:rFonts w:ascii="Book Antiqua" w:eastAsia="SimSun" w:hAnsi="Book Antiqua" w:cs="SimSun"/>
        </w:rPr>
        <w:t>: 1686-1696 [PMID: 19572373 DOI: 10.1002/ibd.21013]</w:t>
      </w:r>
    </w:p>
    <w:p w14:paraId="1F2D4536" w14:textId="77777777" w:rsidR="008B6827" w:rsidRPr="007C70D8" w:rsidRDefault="008B6827" w:rsidP="008B6827">
      <w:pPr>
        <w:spacing w:line="360" w:lineRule="auto"/>
        <w:jc w:val="both"/>
        <w:rPr>
          <w:rFonts w:ascii="Book Antiqua" w:eastAsia="SimSun" w:hAnsi="Book Antiqua" w:cs="SimSun"/>
        </w:rPr>
      </w:pPr>
      <w:r w:rsidRPr="007C70D8">
        <w:rPr>
          <w:rFonts w:ascii="Book Antiqua" w:eastAsia="SimSun" w:hAnsi="Book Antiqua" w:cs="SimSun"/>
        </w:rPr>
        <w:t>37 </w:t>
      </w:r>
      <w:r w:rsidRPr="007C70D8">
        <w:rPr>
          <w:rFonts w:ascii="Book Antiqua" w:eastAsia="SimSun" w:hAnsi="Book Antiqua" w:cs="SimSun"/>
          <w:b/>
          <w:bCs/>
        </w:rPr>
        <w:t>Bernasconi E</w:t>
      </w:r>
      <w:r w:rsidRPr="007C70D8">
        <w:rPr>
          <w:rFonts w:ascii="Book Antiqua" w:eastAsia="SimSun" w:hAnsi="Book Antiqua" w:cs="SimSun"/>
        </w:rPr>
        <w:t>, D'Angelo F, Michetti P, Velin D. Critical role of the GM-CSF signaling pathway in macrophage pro-repair activities. </w:t>
      </w:r>
      <w:r w:rsidRPr="007C70D8">
        <w:rPr>
          <w:rFonts w:ascii="Book Antiqua" w:eastAsia="SimSun" w:hAnsi="Book Antiqua" w:cs="SimSun"/>
          <w:i/>
          <w:iCs/>
        </w:rPr>
        <w:t>Pathobiology</w:t>
      </w:r>
      <w:r w:rsidRPr="007C70D8">
        <w:rPr>
          <w:rFonts w:ascii="Book Antiqua" w:eastAsia="SimSun" w:hAnsi="Book Antiqua" w:cs="SimSun"/>
        </w:rPr>
        <w:t> 2014; </w:t>
      </w:r>
      <w:r w:rsidRPr="007C70D8">
        <w:rPr>
          <w:rFonts w:ascii="Book Antiqua" w:eastAsia="SimSun" w:hAnsi="Book Antiqua" w:cs="SimSun"/>
          <w:b/>
          <w:bCs/>
        </w:rPr>
        <w:t>81</w:t>
      </w:r>
      <w:r w:rsidRPr="007C70D8">
        <w:rPr>
          <w:rFonts w:ascii="Book Antiqua" w:eastAsia="SimSun" w:hAnsi="Book Antiqua" w:cs="SimSun"/>
        </w:rPr>
        <w:t>: 183-189 [PMID: 25170537 DOI: 10.1159/000365395]</w:t>
      </w:r>
    </w:p>
    <w:p w14:paraId="26C4FC9D" w14:textId="77777777" w:rsidR="008B6827" w:rsidRPr="007C70D8" w:rsidRDefault="008B6827" w:rsidP="008B6827">
      <w:pPr>
        <w:spacing w:line="360" w:lineRule="auto"/>
        <w:jc w:val="both"/>
        <w:rPr>
          <w:rFonts w:ascii="Book Antiqua" w:eastAsia="SimSun" w:hAnsi="Book Antiqua" w:cs="SimSun"/>
        </w:rPr>
      </w:pPr>
      <w:r w:rsidRPr="007C70D8">
        <w:rPr>
          <w:rFonts w:ascii="Book Antiqua" w:eastAsia="SimSun" w:hAnsi="Book Antiqua" w:cs="SimSun"/>
        </w:rPr>
        <w:t>38 </w:t>
      </w:r>
      <w:r w:rsidRPr="007C70D8">
        <w:rPr>
          <w:rFonts w:ascii="Book Antiqua" w:eastAsia="SimSun" w:hAnsi="Book Antiqua" w:cs="SimSun"/>
          <w:b/>
          <w:bCs/>
        </w:rPr>
        <w:t>Courth LF</w:t>
      </w:r>
      <w:r w:rsidRPr="007C70D8">
        <w:rPr>
          <w:rFonts w:ascii="Book Antiqua" w:eastAsia="SimSun" w:hAnsi="Book Antiqua" w:cs="SimSun"/>
        </w:rPr>
        <w:t>, Ostaff MJ, Mailänder-Sánchez D, Malek NP, Stange EF, Wehkamp J. Crohn's disease-derived monocytes fail to induce Paneth cell defensins. </w:t>
      </w:r>
      <w:r w:rsidRPr="007C70D8">
        <w:rPr>
          <w:rFonts w:ascii="Book Antiqua" w:eastAsia="SimSun" w:hAnsi="Book Antiqua" w:cs="SimSun"/>
          <w:i/>
          <w:iCs/>
        </w:rPr>
        <w:t>Proc Natl Acad Sci U S A</w:t>
      </w:r>
      <w:r w:rsidRPr="007C70D8">
        <w:rPr>
          <w:rFonts w:ascii="Book Antiqua" w:eastAsia="SimSun" w:hAnsi="Book Antiqua" w:cs="SimSun"/>
        </w:rPr>
        <w:t> 2015; </w:t>
      </w:r>
      <w:r w:rsidRPr="007C70D8">
        <w:rPr>
          <w:rFonts w:ascii="Book Antiqua" w:eastAsia="SimSun" w:hAnsi="Book Antiqua" w:cs="SimSun"/>
          <w:b/>
          <w:bCs/>
        </w:rPr>
        <w:t>112</w:t>
      </w:r>
      <w:r w:rsidRPr="007C70D8">
        <w:rPr>
          <w:rFonts w:ascii="Book Antiqua" w:eastAsia="SimSun" w:hAnsi="Book Antiqua" w:cs="SimSun"/>
        </w:rPr>
        <w:t>: 14000-14005 [PMID: 26512113 DOI: 10.1073/pnas.1510084112]</w:t>
      </w:r>
    </w:p>
    <w:p w14:paraId="6E1BDE43" w14:textId="77777777" w:rsidR="008B6827" w:rsidRPr="007C70D8" w:rsidRDefault="008B6827" w:rsidP="008B6827">
      <w:pPr>
        <w:spacing w:line="360" w:lineRule="auto"/>
        <w:jc w:val="both"/>
        <w:rPr>
          <w:rFonts w:ascii="Book Antiqua" w:eastAsia="SimSun" w:hAnsi="Book Antiqua" w:cs="SimSun"/>
        </w:rPr>
      </w:pPr>
      <w:r w:rsidRPr="007C70D8">
        <w:rPr>
          <w:rFonts w:ascii="Book Antiqua" w:eastAsia="SimSun" w:hAnsi="Book Antiqua" w:cs="SimSun"/>
        </w:rPr>
        <w:t>39 </w:t>
      </w:r>
      <w:r w:rsidRPr="007C70D8">
        <w:rPr>
          <w:rFonts w:ascii="Book Antiqua" w:eastAsia="SimSun" w:hAnsi="Book Antiqua" w:cs="SimSun"/>
          <w:b/>
          <w:bCs/>
        </w:rPr>
        <w:t>Cario E</w:t>
      </w:r>
      <w:r w:rsidRPr="007C70D8">
        <w:rPr>
          <w:rFonts w:ascii="Book Antiqua" w:eastAsia="SimSun" w:hAnsi="Book Antiqua" w:cs="SimSun"/>
        </w:rPr>
        <w:t>, Podolsky DK. Differential alteration in intestinal epithelial cell expression of toll-like receptor 3 (TLR3) and TLR4 in inflammatory bowel disease. </w:t>
      </w:r>
      <w:r w:rsidRPr="007C70D8">
        <w:rPr>
          <w:rFonts w:ascii="Book Antiqua" w:eastAsia="SimSun" w:hAnsi="Book Antiqua" w:cs="SimSun"/>
          <w:i/>
          <w:iCs/>
        </w:rPr>
        <w:t>Infect Immun</w:t>
      </w:r>
      <w:r w:rsidRPr="007C70D8">
        <w:rPr>
          <w:rFonts w:ascii="Book Antiqua" w:eastAsia="SimSun" w:hAnsi="Book Antiqua" w:cs="SimSun"/>
        </w:rPr>
        <w:t> 2000; </w:t>
      </w:r>
      <w:r w:rsidRPr="007C70D8">
        <w:rPr>
          <w:rFonts w:ascii="Book Antiqua" w:eastAsia="SimSun" w:hAnsi="Book Antiqua" w:cs="SimSun"/>
          <w:b/>
          <w:bCs/>
        </w:rPr>
        <w:t>68</w:t>
      </w:r>
      <w:r w:rsidRPr="007C70D8">
        <w:rPr>
          <w:rFonts w:ascii="Book Antiqua" w:eastAsia="SimSun" w:hAnsi="Book Antiqua" w:cs="SimSun"/>
        </w:rPr>
        <w:t>: 7010-7017 [PMID: 11083826 DOI: 10.1128/IAI.68.12.7010-7017.2000]</w:t>
      </w:r>
    </w:p>
    <w:p w14:paraId="3E2A9844" w14:textId="77777777" w:rsidR="008B6827" w:rsidRPr="007C70D8" w:rsidRDefault="008B6827" w:rsidP="008B6827">
      <w:pPr>
        <w:spacing w:line="360" w:lineRule="auto"/>
        <w:jc w:val="both"/>
        <w:rPr>
          <w:rFonts w:ascii="Book Antiqua" w:eastAsia="SimSun" w:hAnsi="Book Antiqua" w:cs="SimSun"/>
        </w:rPr>
      </w:pPr>
      <w:r w:rsidRPr="007C70D8">
        <w:rPr>
          <w:rFonts w:ascii="Book Antiqua" w:eastAsia="SimSun" w:hAnsi="Book Antiqua" w:cs="SimSun"/>
        </w:rPr>
        <w:t>40 </w:t>
      </w:r>
      <w:r w:rsidRPr="007C70D8">
        <w:rPr>
          <w:rFonts w:ascii="Book Antiqua" w:eastAsia="SimSun" w:hAnsi="Book Antiqua" w:cs="SimSun"/>
          <w:b/>
          <w:bCs/>
        </w:rPr>
        <w:t>Timms VJ</w:t>
      </w:r>
      <w:r w:rsidRPr="007C70D8">
        <w:rPr>
          <w:rFonts w:ascii="Book Antiqua" w:eastAsia="SimSun" w:hAnsi="Book Antiqua" w:cs="SimSun"/>
        </w:rPr>
        <w:t>, Daskalopoulos G, Mitchell HM, Neilan BA. The Association of Mycobacterium avium subsp. paratuberculosis with Inflammatory Bowel Disease. </w:t>
      </w:r>
      <w:r w:rsidRPr="007C70D8">
        <w:rPr>
          <w:rFonts w:ascii="Book Antiqua" w:eastAsia="SimSun" w:hAnsi="Book Antiqua" w:cs="SimSun"/>
          <w:i/>
          <w:iCs/>
        </w:rPr>
        <w:t>PLoS One</w:t>
      </w:r>
      <w:r w:rsidRPr="007C70D8">
        <w:rPr>
          <w:rFonts w:ascii="Book Antiqua" w:eastAsia="SimSun" w:hAnsi="Book Antiqua" w:cs="SimSun"/>
        </w:rPr>
        <w:t> 2016; </w:t>
      </w:r>
      <w:r w:rsidRPr="007C70D8">
        <w:rPr>
          <w:rFonts w:ascii="Book Antiqua" w:eastAsia="SimSun" w:hAnsi="Book Antiqua" w:cs="SimSun"/>
          <w:b/>
          <w:bCs/>
        </w:rPr>
        <w:t>11</w:t>
      </w:r>
      <w:r w:rsidRPr="007C70D8">
        <w:rPr>
          <w:rFonts w:ascii="Book Antiqua" w:eastAsia="SimSun" w:hAnsi="Book Antiqua" w:cs="SimSun"/>
        </w:rPr>
        <w:t>: e0148731 [PMID: 26849125 DOI: 10.1371/journal.pone.0148731]</w:t>
      </w:r>
    </w:p>
    <w:p w14:paraId="03204026" w14:textId="77777777" w:rsidR="008B6827" w:rsidRPr="007C70D8" w:rsidRDefault="008B6827" w:rsidP="008B6827">
      <w:pPr>
        <w:spacing w:line="360" w:lineRule="auto"/>
        <w:jc w:val="both"/>
        <w:rPr>
          <w:rFonts w:ascii="Book Antiqua" w:hAnsi="Book Antiqua"/>
        </w:rPr>
      </w:pPr>
    </w:p>
    <w:p w14:paraId="50CB5D11" w14:textId="408CD1CB" w:rsidR="00846FE8" w:rsidRPr="00846FE8" w:rsidRDefault="00846FE8" w:rsidP="00091DC0">
      <w:pPr>
        <w:spacing w:line="360" w:lineRule="auto"/>
        <w:ind w:right="120"/>
        <w:jc w:val="right"/>
        <w:rPr>
          <w:rFonts w:ascii="Book Antiqua" w:eastAsia="SimSun" w:hAnsi="Book Antiqua"/>
          <w:b/>
          <w:bCs/>
          <w:color w:val="000000"/>
          <w:lang w:eastAsia="zh-CN"/>
        </w:rPr>
      </w:pPr>
      <w:r w:rsidRPr="00846FE8">
        <w:rPr>
          <w:rStyle w:val="Strong"/>
          <w:rFonts w:ascii="Book Antiqua" w:hAnsi="Book Antiqua" w:cs="Arial"/>
          <w:bCs w:val="0"/>
          <w:noProof/>
          <w:color w:val="000000"/>
        </w:rPr>
        <w:t>P-Reviewer</w:t>
      </w:r>
      <w:r w:rsidRPr="00846FE8">
        <w:rPr>
          <w:rStyle w:val="Strong"/>
          <w:rFonts w:ascii="Book Antiqua" w:eastAsia="SimSun" w:hAnsi="Book Antiqua" w:cs="Arial"/>
          <w:bCs w:val="0"/>
          <w:noProof/>
          <w:color w:val="000000"/>
          <w:lang w:eastAsia="zh-CN"/>
        </w:rPr>
        <w:t>:</w:t>
      </w:r>
      <w:r w:rsidRPr="00846FE8">
        <w:rPr>
          <w:rFonts w:ascii="Book Antiqua" w:hAnsi="Book Antiqua"/>
          <w:bCs/>
          <w:color w:val="000000"/>
        </w:rPr>
        <w:t xml:space="preserve"> </w:t>
      </w:r>
      <w:r w:rsidR="00AF4C84">
        <w:rPr>
          <w:rFonts w:ascii="Book Antiqua" w:hAnsi="Book Antiqua"/>
          <w:bCs/>
          <w:color w:val="000000"/>
        </w:rPr>
        <w:t>Chen</w:t>
      </w:r>
      <w:r w:rsidR="00AF4C84">
        <w:rPr>
          <w:rFonts w:ascii="Book Antiqua" w:eastAsiaTheme="minorEastAsia" w:hAnsi="Book Antiqua" w:hint="eastAsia"/>
          <w:bCs/>
          <w:color w:val="000000"/>
          <w:lang w:eastAsia="zh-CN"/>
        </w:rPr>
        <w:t xml:space="preserve"> </w:t>
      </w:r>
      <w:r w:rsidR="00AF4C84" w:rsidRPr="00AF4C84">
        <w:rPr>
          <w:rFonts w:ascii="Book Antiqua" w:hAnsi="Book Antiqua"/>
          <w:bCs/>
          <w:color w:val="000000"/>
        </w:rPr>
        <w:t>L</w:t>
      </w:r>
      <w:r w:rsidRPr="00846FE8">
        <w:rPr>
          <w:rFonts w:ascii="Book Antiqua" w:hAnsi="Book Antiqua"/>
          <w:bCs/>
          <w:color w:val="000000"/>
        </w:rPr>
        <w:t xml:space="preserve">   </w:t>
      </w:r>
      <w:r w:rsidRPr="00846FE8">
        <w:rPr>
          <w:rFonts w:ascii="Book Antiqua" w:hAnsi="Book Antiqua"/>
          <w:b/>
          <w:bCs/>
          <w:color w:val="000000"/>
        </w:rPr>
        <w:t>S-Editor</w:t>
      </w:r>
      <w:r w:rsidRPr="00846FE8">
        <w:rPr>
          <w:rFonts w:ascii="Book Antiqua" w:eastAsia="SimSun" w:hAnsi="Book Antiqua"/>
          <w:b/>
          <w:bCs/>
          <w:color w:val="000000"/>
          <w:lang w:eastAsia="zh-CN"/>
        </w:rPr>
        <w:t>:</w:t>
      </w:r>
      <w:r w:rsidRPr="00846FE8">
        <w:rPr>
          <w:rFonts w:ascii="Book Antiqua" w:hAnsi="Book Antiqua"/>
          <w:bCs/>
          <w:color w:val="000000"/>
        </w:rPr>
        <w:t xml:space="preserve"> </w:t>
      </w:r>
      <w:r w:rsidRPr="00846FE8">
        <w:rPr>
          <w:rFonts w:ascii="Book Antiqua" w:eastAsia="SimSun" w:hAnsi="Book Antiqua"/>
          <w:bCs/>
          <w:color w:val="000000"/>
          <w:lang w:eastAsia="zh-CN"/>
        </w:rPr>
        <w:t>Qi Y</w:t>
      </w:r>
      <w:r w:rsidRPr="00846FE8">
        <w:rPr>
          <w:rFonts w:ascii="Book Antiqua" w:hAnsi="Book Antiqua"/>
          <w:b/>
          <w:bCs/>
          <w:color w:val="000000"/>
        </w:rPr>
        <w:t xml:space="preserve">   L-Editor</w:t>
      </w:r>
      <w:r w:rsidRPr="00846FE8">
        <w:rPr>
          <w:rFonts w:ascii="Book Antiqua" w:eastAsia="SimSun" w:hAnsi="Book Antiqua"/>
          <w:b/>
          <w:bCs/>
          <w:color w:val="000000"/>
          <w:lang w:eastAsia="zh-CN"/>
        </w:rPr>
        <w:t>:</w:t>
      </w:r>
      <w:r w:rsidRPr="00846FE8">
        <w:rPr>
          <w:rFonts w:ascii="Book Antiqua" w:hAnsi="Book Antiqua"/>
          <w:b/>
          <w:bCs/>
          <w:color w:val="000000"/>
        </w:rPr>
        <w:t xml:space="preserve">   E-Editor</w:t>
      </w:r>
      <w:r w:rsidRPr="00846FE8">
        <w:rPr>
          <w:rFonts w:ascii="Book Antiqua" w:eastAsia="SimSun" w:hAnsi="Book Antiqua"/>
          <w:b/>
          <w:bCs/>
          <w:color w:val="000000"/>
          <w:lang w:eastAsia="zh-CN"/>
        </w:rPr>
        <w:t>:</w:t>
      </w:r>
    </w:p>
    <w:p w14:paraId="13D3184B" w14:textId="77777777" w:rsidR="00091DC0" w:rsidRDefault="00091DC0" w:rsidP="00846FE8">
      <w:pPr>
        <w:shd w:val="clear" w:color="auto" w:fill="FFFFFF"/>
        <w:snapToGrid w:val="0"/>
        <w:spacing w:line="360" w:lineRule="auto"/>
        <w:rPr>
          <w:rFonts w:ascii="Book Antiqua" w:eastAsiaTheme="minorEastAsia" w:hAnsi="Book Antiqua" w:cs="Helvetica"/>
          <w:b/>
          <w:lang w:eastAsia="zh-CN"/>
        </w:rPr>
      </w:pPr>
    </w:p>
    <w:p w14:paraId="24BE3157" w14:textId="77777777" w:rsidR="00846FE8" w:rsidRPr="008F0DB6" w:rsidRDefault="00846FE8" w:rsidP="00846FE8">
      <w:pPr>
        <w:shd w:val="clear" w:color="auto" w:fill="FFFFFF"/>
        <w:snapToGrid w:val="0"/>
        <w:spacing w:line="360" w:lineRule="auto"/>
        <w:rPr>
          <w:rFonts w:ascii="Book Antiqua" w:hAnsi="Book Antiqua" w:cs="Helvetica"/>
          <w:b/>
        </w:rPr>
      </w:pPr>
      <w:r w:rsidRPr="008F0DB6">
        <w:rPr>
          <w:rFonts w:ascii="Book Antiqua" w:hAnsi="Book Antiqua" w:cs="Helvetica"/>
          <w:b/>
        </w:rPr>
        <w:t xml:space="preserve">Specialty type: </w:t>
      </w:r>
      <w:r w:rsidRPr="008F0DB6">
        <w:rPr>
          <w:rFonts w:ascii="Book Antiqua" w:hAnsi="Book Antiqua" w:cs="Helvetica"/>
        </w:rPr>
        <w:t>Gastroenterology and</w:t>
      </w:r>
      <w:r w:rsidRPr="008F0DB6">
        <w:rPr>
          <w:rFonts w:ascii="Book Antiqua" w:hAnsi="Book Antiqua" w:cs="Helvetica" w:hint="eastAsia"/>
        </w:rPr>
        <w:t xml:space="preserve"> </w:t>
      </w:r>
      <w:r w:rsidRPr="008F0DB6">
        <w:rPr>
          <w:rFonts w:ascii="Book Antiqua" w:hAnsi="Book Antiqua" w:cs="Helvetica"/>
        </w:rPr>
        <w:t>hepatology</w:t>
      </w:r>
    </w:p>
    <w:p w14:paraId="2F779A1E" w14:textId="7949FDEC" w:rsidR="00846FE8" w:rsidRPr="008F0DB6" w:rsidRDefault="00846FE8" w:rsidP="00846FE8">
      <w:pPr>
        <w:shd w:val="clear" w:color="auto" w:fill="FFFFFF"/>
        <w:snapToGrid w:val="0"/>
        <w:spacing w:line="360" w:lineRule="auto"/>
        <w:rPr>
          <w:rFonts w:ascii="Book Antiqua" w:hAnsi="Book Antiqua" w:cs="Helvetica"/>
          <w:b/>
        </w:rPr>
      </w:pPr>
      <w:r w:rsidRPr="008F0DB6">
        <w:rPr>
          <w:rFonts w:ascii="Book Antiqua" w:hAnsi="Book Antiqua" w:cs="Helvetica"/>
          <w:b/>
        </w:rPr>
        <w:t xml:space="preserve">Country of origin: </w:t>
      </w:r>
      <w:r w:rsidR="00AF4C84" w:rsidRPr="00AF4C84">
        <w:rPr>
          <w:rFonts w:ascii="Book Antiqua" w:hAnsi="Book Antiqua" w:cs="Helvetica"/>
        </w:rPr>
        <w:t>Italy</w:t>
      </w:r>
    </w:p>
    <w:p w14:paraId="1A603DA1" w14:textId="77777777" w:rsidR="00846FE8" w:rsidRPr="008F0DB6" w:rsidRDefault="00846FE8" w:rsidP="00846FE8">
      <w:pPr>
        <w:shd w:val="clear" w:color="auto" w:fill="FFFFFF"/>
        <w:snapToGrid w:val="0"/>
        <w:spacing w:line="360" w:lineRule="auto"/>
        <w:rPr>
          <w:rFonts w:ascii="Book Antiqua" w:hAnsi="Book Antiqua" w:cs="Helvetica"/>
          <w:b/>
        </w:rPr>
      </w:pPr>
      <w:r w:rsidRPr="008F0DB6">
        <w:rPr>
          <w:rFonts w:ascii="Book Antiqua" w:hAnsi="Book Antiqua" w:cs="Helvetica"/>
          <w:b/>
        </w:rPr>
        <w:t>Peer-review report classification</w:t>
      </w:r>
    </w:p>
    <w:p w14:paraId="7928FCF6" w14:textId="77777777" w:rsidR="00846FE8" w:rsidRPr="008F0DB6" w:rsidRDefault="00846FE8" w:rsidP="00846FE8">
      <w:pPr>
        <w:shd w:val="clear" w:color="auto" w:fill="FFFFFF"/>
        <w:snapToGrid w:val="0"/>
        <w:spacing w:line="360" w:lineRule="auto"/>
        <w:rPr>
          <w:rFonts w:ascii="Book Antiqua" w:hAnsi="Book Antiqua" w:cs="Helvetica"/>
        </w:rPr>
      </w:pPr>
      <w:r w:rsidRPr="008F0DB6">
        <w:rPr>
          <w:rFonts w:ascii="Book Antiqua" w:hAnsi="Book Antiqua" w:cs="Helvetica"/>
        </w:rPr>
        <w:t xml:space="preserve">Grade A (Excellent): </w:t>
      </w:r>
      <w:r w:rsidRPr="008F0DB6">
        <w:rPr>
          <w:rFonts w:ascii="Book Antiqua" w:hAnsi="Book Antiqua" w:cs="Helvetica" w:hint="eastAsia"/>
        </w:rPr>
        <w:t>0</w:t>
      </w:r>
    </w:p>
    <w:p w14:paraId="347D6167" w14:textId="442F9C70" w:rsidR="00846FE8" w:rsidRPr="00AF4C84" w:rsidRDefault="00846FE8" w:rsidP="00846FE8">
      <w:pPr>
        <w:shd w:val="clear" w:color="auto" w:fill="FFFFFF"/>
        <w:snapToGrid w:val="0"/>
        <w:spacing w:line="360" w:lineRule="auto"/>
        <w:rPr>
          <w:rFonts w:ascii="Book Antiqua" w:eastAsiaTheme="minorEastAsia" w:hAnsi="Book Antiqua" w:cs="Helvetica"/>
          <w:lang w:eastAsia="zh-CN"/>
        </w:rPr>
      </w:pPr>
      <w:r w:rsidRPr="008F0DB6">
        <w:rPr>
          <w:rFonts w:ascii="Book Antiqua" w:hAnsi="Book Antiqua" w:cs="Helvetica"/>
        </w:rPr>
        <w:t xml:space="preserve">Grade B (Very good): </w:t>
      </w:r>
      <w:r w:rsidR="00AF4C84">
        <w:rPr>
          <w:rFonts w:ascii="Book Antiqua" w:eastAsiaTheme="minorEastAsia" w:hAnsi="Book Antiqua" w:cs="Helvetica" w:hint="eastAsia"/>
          <w:lang w:eastAsia="zh-CN"/>
        </w:rPr>
        <w:t>B</w:t>
      </w:r>
    </w:p>
    <w:p w14:paraId="490E85CF" w14:textId="77777777" w:rsidR="00846FE8" w:rsidRPr="008F0DB6" w:rsidRDefault="00846FE8" w:rsidP="00846FE8">
      <w:pPr>
        <w:shd w:val="clear" w:color="auto" w:fill="FFFFFF"/>
        <w:snapToGrid w:val="0"/>
        <w:spacing w:line="360" w:lineRule="auto"/>
        <w:rPr>
          <w:rFonts w:ascii="Book Antiqua" w:hAnsi="Book Antiqua" w:cs="Helvetica"/>
        </w:rPr>
      </w:pPr>
      <w:r w:rsidRPr="008F0DB6">
        <w:rPr>
          <w:rFonts w:ascii="Book Antiqua" w:hAnsi="Book Antiqua" w:cs="Helvetica"/>
        </w:rPr>
        <w:t xml:space="preserve">Grade C (Good): </w:t>
      </w:r>
      <w:r w:rsidRPr="008F0DB6">
        <w:rPr>
          <w:rFonts w:ascii="Book Antiqua" w:hAnsi="Book Antiqua" w:cs="Helvetica" w:hint="eastAsia"/>
        </w:rPr>
        <w:t>0</w:t>
      </w:r>
    </w:p>
    <w:p w14:paraId="4D30246D" w14:textId="77777777" w:rsidR="00846FE8" w:rsidRPr="008F0DB6" w:rsidRDefault="00846FE8" w:rsidP="00846FE8">
      <w:pPr>
        <w:shd w:val="clear" w:color="auto" w:fill="FFFFFF"/>
        <w:snapToGrid w:val="0"/>
        <w:spacing w:line="360" w:lineRule="auto"/>
        <w:rPr>
          <w:rFonts w:ascii="Book Antiqua" w:hAnsi="Book Antiqua" w:cs="Helvetica"/>
        </w:rPr>
      </w:pPr>
      <w:r w:rsidRPr="008F0DB6">
        <w:rPr>
          <w:rFonts w:ascii="Book Antiqua" w:hAnsi="Book Antiqua" w:cs="Helvetica"/>
        </w:rPr>
        <w:t xml:space="preserve">Grade D (Fair): </w:t>
      </w:r>
      <w:r w:rsidRPr="008F0DB6">
        <w:rPr>
          <w:rFonts w:ascii="Book Antiqua" w:hAnsi="Book Antiqua" w:cs="Helvetica" w:hint="eastAsia"/>
        </w:rPr>
        <w:t>0</w:t>
      </w:r>
    </w:p>
    <w:p w14:paraId="4AF2355A" w14:textId="77777777" w:rsidR="00846FE8" w:rsidRPr="008F0DB6" w:rsidRDefault="00846FE8" w:rsidP="00846FE8">
      <w:pPr>
        <w:shd w:val="clear" w:color="auto" w:fill="FFFFFF"/>
        <w:snapToGrid w:val="0"/>
        <w:spacing w:line="360" w:lineRule="auto"/>
        <w:rPr>
          <w:rFonts w:ascii="Book Antiqua" w:hAnsi="Book Antiqua" w:cs="Helvetica"/>
        </w:rPr>
      </w:pPr>
      <w:r w:rsidRPr="008F0DB6">
        <w:rPr>
          <w:rFonts w:ascii="Book Antiqua" w:hAnsi="Book Antiqua" w:cs="Helvetica"/>
        </w:rPr>
        <w:t xml:space="preserve">Grade E (Poor): </w:t>
      </w:r>
      <w:r w:rsidRPr="008F0DB6">
        <w:rPr>
          <w:rFonts w:ascii="Book Antiqua" w:hAnsi="Book Antiqua" w:cs="Helvetica" w:hint="eastAsia"/>
        </w:rPr>
        <w:t>0</w:t>
      </w:r>
    </w:p>
    <w:p w14:paraId="0603B9DC" w14:textId="77777777" w:rsidR="00D44C96" w:rsidRPr="00AA2A35" w:rsidRDefault="00D44C96" w:rsidP="00D14265">
      <w:pPr>
        <w:spacing w:line="360" w:lineRule="auto"/>
        <w:jc w:val="both"/>
        <w:rPr>
          <w:rFonts w:ascii="Book Antiqua" w:hAnsi="Book Antiqua"/>
          <w:lang w:val="en-US"/>
        </w:rPr>
      </w:pPr>
      <w:r w:rsidRPr="00AA2A35">
        <w:rPr>
          <w:rFonts w:ascii="Book Antiqua" w:hAnsi="Book Antiqua"/>
          <w:lang w:val="en-US"/>
        </w:rPr>
        <w:br w:type="page"/>
      </w:r>
    </w:p>
    <w:p w14:paraId="57FDDAB4" w14:textId="7EAB3991" w:rsidR="00D44C96" w:rsidRPr="00AA2A35" w:rsidRDefault="004F3B4B" w:rsidP="00D14265">
      <w:pPr>
        <w:spacing w:line="360" w:lineRule="auto"/>
        <w:jc w:val="both"/>
        <w:rPr>
          <w:rFonts w:ascii="Book Antiqua" w:hAnsi="Book Antiqua"/>
          <w:lang w:val="en-US"/>
        </w:rPr>
      </w:pPr>
      <w:r w:rsidRPr="00AA2A35">
        <w:rPr>
          <w:rFonts w:ascii="Book Antiqua" w:hAnsi="Book Antiqua"/>
          <w:noProof/>
          <w:lang w:val="en-US" w:eastAsia="zh-CN"/>
        </w:rPr>
        <w:lastRenderedPageBreak/>
        <w:drawing>
          <wp:inline distT="0" distB="0" distL="0" distR="0" wp14:anchorId="0C07E8A6" wp14:editId="6B60E12C">
            <wp:extent cx="5600700" cy="596646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0700" cy="5966460"/>
                    </a:xfrm>
                    <a:prstGeom prst="rect">
                      <a:avLst/>
                    </a:prstGeom>
                    <a:noFill/>
                    <a:ln>
                      <a:noFill/>
                    </a:ln>
                  </pic:spPr>
                </pic:pic>
              </a:graphicData>
            </a:graphic>
          </wp:inline>
        </w:drawing>
      </w:r>
    </w:p>
    <w:p w14:paraId="40BC048E" w14:textId="2457B10A" w:rsidR="00D44C96" w:rsidRPr="00AA2A35" w:rsidRDefault="00D44C96" w:rsidP="00D14265">
      <w:pPr>
        <w:spacing w:line="360" w:lineRule="auto"/>
        <w:jc w:val="both"/>
        <w:rPr>
          <w:rFonts w:ascii="Book Antiqua" w:hAnsi="Book Antiqua"/>
          <w:lang w:val="en-US"/>
        </w:rPr>
      </w:pPr>
      <w:r w:rsidRPr="00AA2A35">
        <w:rPr>
          <w:rFonts w:ascii="Book Antiqua" w:hAnsi="Book Antiqua"/>
          <w:b/>
          <w:lang w:val="en-US"/>
        </w:rPr>
        <w:t>Figure 1</w:t>
      </w:r>
      <w:r w:rsidR="00AF13E3">
        <w:rPr>
          <w:rFonts w:ascii="Book Antiqua" w:eastAsiaTheme="minorEastAsia" w:hAnsi="Book Antiqua" w:hint="eastAsia"/>
          <w:b/>
          <w:lang w:val="en-US" w:eastAsia="zh-CN"/>
        </w:rPr>
        <w:t xml:space="preserve"> </w:t>
      </w:r>
      <w:r w:rsidRPr="00AA2A35">
        <w:rPr>
          <w:rFonts w:ascii="Book Antiqua" w:hAnsi="Book Antiqua"/>
          <w:b/>
          <w:lang w:val="en-US"/>
        </w:rPr>
        <w:t xml:space="preserve">Intracellular </w:t>
      </w:r>
      <w:r w:rsidR="00846FE8" w:rsidRPr="0089615C">
        <w:rPr>
          <w:rFonts w:ascii="Book Antiqua" w:hAnsi="Book Antiqua"/>
          <w:b/>
          <w:lang w:val="en-US"/>
        </w:rPr>
        <w:t>tumor necrosis factor</w:t>
      </w:r>
      <w:r w:rsidR="00846FE8" w:rsidRPr="00846FE8">
        <w:rPr>
          <w:rFonts w:ascii="Book Antiqua" w:hAnsi="Book Antiqua"/>
          <w:b/>
          <w:color w:val="000000"/>
          <w:lang w:val="en-US"/>
        </w:rPr>
        <w:t>-alpha</w:t>
      </w:r>
      <w:r w:rsidRPr="00AA2A35">
        <w:rPr>
          <w:rFonts w:ascii="Book Antiqua" w:hAnsi="Book Antiqua"/>
          <w:b/>
          <w:lang w:val="en-US"/>
        </w:rPr>
        <w:t xml:space="preserve"> expression in peripheral monocytes. </w:t>
      </w:r>
      <w:r w:rsidRPr="00AA2A35">
        <w:rPr>
          <w:rFonts w:ascii="Book Antiqua" w:hAnsi="Book Antiqua"/>
          <w:lang w:val="en-US"/>
        </w:rPr>
        <w:t>Intracellular TNF</w:t>
      </w:r>
      <w:r w:rsidRPr="00AA2A35">
        <w:rPr>
          <w:rFonts w:ascii="Times New Roman" w:hAnsi="Times New Roman"/>
          <w:lang w:val="en-US"/>
        </w:rPr>
        <w:t>α</w:t>
      </w:r>
      <w:r w:rsidRPr="00AA2A35">
        <w:rPr>
          <w:rFonts w:ascii="Book Antiqua" w:hAnsi="Book Antiqua"/>
          <w:lang w:val="en-US"/>
        </w:rPr>
        <w:t xml:space="preserve"> expression in peripheral monocytes derived from patients affected by Crohn’s </w:t>
      </w:r>
      <w:r w:rsidR="00846FE8" w:rsidRPr="00AA2A35">
        <w:rPr>
          <w:rFonts w:ascii="Book Antiqua" w:hAnsi="Book Antiqua"/>
          <w:lang w:val="en-US"/>
        </w:rPr>
        <w:t xml:space="preserve">disease </w:t>
      </w:r>
      <w:r w:rsidRPr="00AA2A35">
        <w:rPr>
          <w:rFonts w:ascii="Book Antiqua" w:hAnsi="Book Antiqua"/>
          <w:lang w:val="en-US"/>
        </w:rPr>
        <w:t xml:space="preserve">(CD), </w:t>
      </w:r>
      <w:r w:rsidR="00846FE8" w:rsidRPr="00AA2A35">
        <w:rPr>
          <w:rFonts w:ascii="Book Antiqua" w:hAnsi="Book Antiqua"/>
          <w:lang w:val="en-US"/>
        </w:rPr>
        <w:t>ulcerative coli</w:t>
      </w:r>
      <w:r w:rsidRPr="00AA2A35">
        <w:rPr>
          <w:rFonts w:ascii="Book Antiqua" w:hAnsi="Book Antiqua"/>
          <w:lang w:val="en-US"/>
        </w:rPr>
        <w:t>tis (UC) and healthy donors (HD), in basal condition (A), or after stimulation with Pam</w:t>
      </w:r>
      <w:r w:rsidRPr="00AA2A35">
        <w:rPr>
          <w:rFonts w:ascii="Book Antiqua" w:hAnsi="Book Antiqua"/>
          <w:vertAlign w:val="subscript"/>
          <w:lang w:val="en-US"/>
        </w:rPr>
        <w:t>3</w:t>
      </w:r>
      <w:r w:rsidRPr="00AA2A35">
        <w:rPr>
          <w:rFonts w:ascii="Book Antiqua" w:hAnsi="Book Antiqua"/>
          <w:lang w:val="en-US"/>
        </w:rPr>
        <w:t>CSK</w:t>
      </w:r>
      <w:r w:rsidRPr="00AA2A35">
        <w:rPr>
          <w:rFonts w:ascii="Book Antiqua" w:hAnsi="Book Antiqua"/>
          <w:vertAlign w:val="subscript"/>
          <w:lang w:val="en-US"/>
        </w:rPr>
        <w:t>4</w:t>
      </w:r>
      <w:r w:rsidRPr="00AA2A35">
        <w:rPr>
          <w:rFonts w:ascii="Book Antiqua" w:hAnsi="Book Antiqua"/>
          <w:lang w:val="en-US"/>
        </w:rPr>
        <w:t xml:space="preserve"> (B), L18-MDP (C), LPS (D) or Poly I:C (E). Data are presented as mean ± SEM. Statistical significance</w:t>
      </w:r>
      <w:r w:rsidR="00252FE4" w:rsidRPr="00AA2A35">
        <w:rPr>
          <w:rFonts w:ascii="Book Antiqua" w:hAnsi="Book Antiqua"/>
          <w:lang w:val="en-US"/>
        </w:rPr>
        <w:t xml:space="preserve"> </w:t>
      </w:r>
      <w:r w:rsidRPr="00AA2A35">
        <w:rPr>
          <w:rFonts w:ascii="Book Antiqua" w:hAnsi="Book Antiqua"/>
          <w:lang w:val="en-US"/>
        </w:rPr>
        <w:t>is denoted by letters (</w:t>
      </w:r>
      <w:r w:rsidR="00AF13E3">
        <w:rPr>
          <w:rFonts w:ascii="Book Antiqua" w:eastAsiaTheme="minorEastAsia" w:hAnsi="Book Antiqua" w:hint="eastAsia"/>
          <w:vertAlign w:val="superscript"/>
          <w:lang w:val="en-US" w:eastAsia="zh-CN"/>
        </w:rPr>
        <w:t>a</w:t>
      </w:r>
      <w:r w:rsidR="00AF13E3" w:rsidRPr="00AF13E3">
        <w:rPr>
          <w:rFonts w:ascii="Book Antiqua" w:hAnsi="Book Antiqua"/>
          <w:i/>
          <w:lang w:val="en-US"/>
        </w:rPr>
        <w:t>P</w:t>
      </w:r>
      <w:r w:rsidR="00AF13E3" w:rsidRPr="00AA2A35">
        <w:rPr>
          <w:rFonts w:ascii="Book Antiqua" w:hAnsi="Book Antiqua"/>
          <w:lang w:val="en-US"/>
        </w:rPr>
        <w:t xml:space="preserve"> </w:t>
      </w:r>
      <w:r w:rsidRPr="00AA2A35">
        <w:rPr>
          <w:rFonts w:ascii="Book Antiqua" w:hAnsi="Book Antiqua"/>
          <w:lang w:val="en-US"/>
        </w:rPr>
        <w:t>&lt; 0.05</w:t>
      </w:r>
      <w:r w:rsidR="00AF13E3">
        <w:rPr>
          <w:rFonts w:ascii="Book Antiqua" w:eastAsiaTheme="minorEastAsia" w:hAnsi="Book Antiqua" w:hint="eastAsia"/>
          <w:lang w:val="en-US" w:eastAsia="zh-CN"/>
        </w:rPr>
        <w:t>,</w:t>
      </w:r>
      <w:r w:rsidRPr="00AA2A35">
        <w:rPr>
          <w:rFonts w:ascii="Book Antiqua" w:hAnsi="Book Antiqua"/>
          <w:lang w:val="en-US"/>
        </w:rPr>
        <w:t xml:space="preserve"> </w:t>
      </w:r>
      <w:r w:rsidR="00AF13E3">
        <w:rPr>
          <w:rFonts w:ascii="Book Antiqua" w:eastAsiaTheme="minorEastAsia" w:hAnsi="Book Antiqua" w:hint="eastAsia"/>
          <w:vertAlign w:val="superscript"/>
          <w:lang w:val="en-US" w:eastAsia="zh-CN"/>
        </w:rPr>
        <w:t>b</w:t>
      </w:r>
      <w:r w:rsidR="00AF13E3" w:rsidRPr="00AF13E3">
        <w:rPr>
          <w:rFonts w:ascii="Book Antiqua" w:hAnsi="Book Antiqua"/>
          <w:i/>
          <w:lang w:val="en-US"/>
        </w:rPr>
        <w:t>P</w:t>
      </w:r>
      <w:r w:rsidR="00AF13E3" w:rsidRPr="00AA2A35">
        <w:rPr>
          <w:rFonts w:ascii="Book Antiqua" w:hAnsi="Book Antiqua"/>
          <w:lang w:val="en-US"/>
        </w:rPr>
        <w:t xml:space="preserve"> </w:t>
      </w:r>
      <w:r w:rsidRPr="00AA2A35">
        <w:rPr>
          <w:rFonts w:ascii="Book Antiqua" w:hAnsi="Book Antiqua"/>
          <w:lang w:val="en-US"/>
        </w:rPr>
        <w:t>&lt; 0.01</w:t>
      </w:r>
      <w:r w:rsidR="00AF13E3">
        <w:rPr>
          <w:rFonts w:ascii="Book Antiqua" w:eastAsiaTheme="minorEastAsia" w:hAnsi="Book Antiqua" w:hint="eastAsia"/>
          <w:lang w:val="en-US" w:eastAsia="zh-CN"/>
        </w:rPr>
        <w:t>,</w:t>
      </w:r>
      <w:r w:rsidRPr="00AA2A35">
        <w:rPr>
          <w:rFonts w:ascii="Book Antiqua" w:hAnsi="Book Antiqua"/>
          <w:lang w:val="en-US"/>
        </w:rPr>
        <w:t xml:space="preserve"> </w:t>
      </w:r>
      <w:r w:rsidRPr="00AF13E3">
        <w:rPr>
          <w:rFonts w:ascii="Book Antiqua" w:hAnsi="Book Antiqua"/>
          <w:vertAlign w:val="superscript"/>
          <w:lang w:val="en-US"/>
        </w:rPr>
        <w:t>c</w:t>
      </w:r>
      <w:r w:rsidR="00AF13E3" w:rsidRPr="00AF13E3">
        <w:rPr>
          <w:rFonts w:ascii="Book Antiqua" w:hAnsi="Book Antiqua"/>
          <w:i/>
          <w:lang w:val="en-US"/>
        </w:rPr>
        <w:t>P</w:t>
      </w:r>
      <w:r w:rsidR="00AF13E3" w:rsidRPr="00AF13E3">
        <w:rPr>
          <w:rFonts w:ascii="Book Antiqua" w:eastAsiaTheme="minorEastAsia" w:hAnsi="Book Antiqua"/>
          <w:i/>
          <w:lang w:val="en-US" w:eastAsia="zh-CN"/>
        </w:rPr>
        <w:t xml:space="preserve"> </w:t>
      </w:r>
      <w:r w:rsidRPr="00AA2A35">
        <w:rPr>
          <w:rFonts w:ascii="Book Antiqua" w:hAnsi="Book Antiqua"/>
          <w:lang w:val="en-US"/>
        </w:rPr>
        <w:t>&lt; 0.001</w:t>
      </w:r>
      <w:r w:rsidR="00091DC0">
        <w:rPr>
          <w:rFonts w:ascii="Book Antiqua" w:eastAsiaTheme="minorEastAsia" w:hAnsi="Book Antiqua" w:hint="eastAsia"/>
          <w:lang w:val="en-US" w:eastAsia="zh-CN"/>
        </w:rPr>
        <w:t xml:space="preserve"> </w:t>
      </w:r>
      <w:r w:rsidR="00091DC0" w:rsidRPr="00091DC0">
        <w:rPr>
          <w:rFonts w:ascii="Book Antiqua" w:eastAsiaTheme="minorEastAsia" w:hAnsi="Book Antiqua" w:hint="eastAsia"/>
          <w:i/>
          <w:lang w:val="en-US" w:eastAsia="zh-CN"/>
        </w:rPr>
        <w:t>vs</w:t>
      </w:r>
      <w:r w:rsidR="00091DC0">
        <w:rPr>
          <w:rFonts w:ascii="Book Antiqua" w:eastAsiaTheme="minorEastAsia" w:hAnsi="Book Antiqua" w:hint="eastAsia"/>
          <w:lang w:val="en-US" w:eastAsia="zh-CN"/>
        </w:rPr>
        <w:t xml:space="preserve"> HD</w:t>
      </w:r>
      <w:r w:rsidRPr="00AA2A35">
        <w:rPr>
          <w:rFonts w:ascii="Book Antiqua" w:hAnsi="Book Antiqua"/>
          <w:lang w:val="en-US"/>
        </w:rPr>
        <w:t xml:space="preserve">). </w:t>
      </w:r>
    </w:p>
    <w:p w14:paraId="08079B46" w14:textId="77777777" w:rsidR="00D44C96" w:rsidRPr="00AA2A35" w:rsidRDefault="00D44C96" w:rsidP="00D14265">
      <w:pPr>
        <w:jc w:val="both"/>
        <w:rPr>
          <w:rFonts w:ascii="Book Antiqua" w:hAnsi="Book Antiqua"/>
          <w:lang w:val="en-US"/>
        </w:rPr>
      </w:pPr>
      <w:r w:rsidRPr="00AA2A35">
        <w:rPr>
          <w:rFonts w:ascii="Book Antiqua" w:hAnsi="Book Antiqua"/>
          <w:lang w:val="en-US"/>
        </w:rPr>
        <w:br w:type="page"/>
      </w:r>
    </w:p>
    <w:p w14:paraId="26DC7E2F" w14:textId="3403F469" w:rsidR="00D44C96" w:rsidRPr="00AA2A35" w:rsidRDefault="004F3B4B" w:rsidP="00D14265">
      <w:pPr>
        <w:spacing w:line="360" w:lineRule="auto"/>
        <w:jc w:val="both"/>
        <w:rPr>
          <w:rFonts w:ascii="Book Antiqua" w:hAnsi="Book Antiqua"/>
          <w:lang w:val="en-US"/>
        </w:rPr>
      </w:pPr>
      <w:r w:rsidRPr="00AA2A35">
        <w:rPr>
          <w:rFonts w:ascii="Book Antiqua" w:hAnsi="Book Antiqua"/>
          <w:noProof/>
          <w:lang w:val="en-US" w:eastAsia="zh-CN"/>
        </w:rPr>
        <w:lastRenderedPageBreak/>
        <w:drawing>
          <wp:inline distT="0" distB="0" distL="0" distR="0" wp14:anchorId="2674EFF0" wp14:editId="588CFE48">
            <wp:extent cx="3825240" cy="2362200"/>
            <wp:effectExtent l="0" t="0" r="381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25240" cy="2362200"/>
                    </a:xfrm>
                    <a:prstGeom prst="rect">
                      <a:avLst/>
                    </a:prstGeom>
                    <a:noFill/>
                    <a:ln>
                      <a:noFill/>
                    </a:ln>
                  </pic:spPr>
                </pic:pic>
              </a:graphicData>
            </a:graphic>
          </wp:inline>
        </w:drawing>
      </w:r>
    </w:p>
    <w:p w14:paraId="3127BE8C" w14:textId="4B8262BE" w:rsidR="00D44C96" w:rsidRPr="00AF13E3" w:rsidRDefault="00D44C96" w:rsidP="00D14265">
      <w:pPr>
        <w:spacing w:line="360" w:lineRule="auto"/>
        <w:jc w:val="both"/>
        <w:rPr>
          <w:rFonts w:ascii="Book Antiqua" w:hAnsi="Book Antiqua"/>
          <w:b/>
          <w:lang w:val="en-US"/>
        </w:rPr>
      </w:pPr>
      <w:r w:rsidRPr="00AA2A35">
        <w:rPr>
          <w:rFonts w:ascii="Book Antiqua" w:hAnsi="Book Antiqua"/>
          <w:b/>
          <w:lang w:val="en-US"/>
        </w:rPr>
        <w:t xml:space="preserve">Figure </w:t>
      </w:r>
      <w:r w:rsidR="00AF13E3">
        <w:rPr>
          <w:rFonts w:ascii="Book Antiqua" w:hAnsi="Book Antiqua"/>
          <w:b/>
          <w:lang w:val="en-US"/>
        </w:rPr>
        <w:t>2</w:t>
      </w:r>
      <w:r w:rsidRPr="00AA2A35">
        <w:rPr>
          <w:rFonts w:ascii="Book Antiqua" w:hAnsi="Book Antiqua"/>
          <w:b/>
          <w:lang w:val="en-US"/>
        </w:rPr>
        <w:t xml:space="preserve"> Intracellular </w:t>
      </w:r>
      <w:r w:rsidR="00846FE8" w:rsidRPr="0089615C">
        <w:rPr>
          <w:rFonts w:ascii="Book Antiqua" w:hAnsi="Book Antiqua"/>
          <w:b/>
          <w:lang w:val="en-US"/>
        </w:rPr>
        <w:t>tumor necrosis factor</w:t>
      </w:r>
      <w:r w:rsidR="00846FE8" w:rsidRPr="00846FE8">
        <w:rPr>
          <w:rFonts w:ascii="Book Antiqua" w:hAnsi="Book Antiqua"/>
          <w:b/>
          <w:color w:val="000000"/>
          <w:lang w:val="en-US"/>
        </w:rPr>
        <w:t>-alpha</w:t>
      </w:r>
      <w:r w:rsidRPr="00AA2A35">
        <w:rPr>
          <w:rFonts w:ascii="Book Antiqua" w:hAnsi="Book Antiqua"/>
          <w:b/>
          <w:lang w:val="en-US"/>
        </w:rPr>
        <w:t xml:space="preserve"> expression in wild type or mutation-carrier patients. </w:t>
      </w:r>
      <w:r w:rsidRPr="00AA2A35">
        <w:rPr>
          <w:rFonts w:ascii="Book Antiqua" w:hAnsi="Book Antiqua"/>
          <w:lang w:val="en-US"/>
        </w:rPr>
        <w:t>Intracellular TNF</w:t>
      </w:r>
      <w:r w:rsidRPr="00AA2A35">
        <w:rPr>
          <w:rFonts w:ascii="Times New Roman" w:hAnsi="Times New Roman"/>
          <w:lang w:val="en-US"/>
        </w:rPr>
        <w:t>α</w:t>
      </w:r>
      <w:r w:rsidRPr="00AA2A35">
        <w:rPr>
          <w:rFonts w:ascii="Book Antiqua" w:hAnsi="Book Antiqua"/>
          <w:lang w:val="en-US"/>
        </w:rPr>
        <w:t xml:space="preserve"> expression in basal conditions measured in peripheral monocytes derived from patients affected by Crohn’s disease (CD), grouped into Wild Type (WT) or mutation carriers (Mut) for the three </w:t>
      </w:r>
      <w:r w:rsidRPr="00AA2A35">
        <w:rPr>
          <w:rFonts w:ascii="Book Antiqua" w:hAnsi="Book Antiqua"/>
          <w:i/>
          <w:lang w:val="en-US"/>
        </w:rPr>
        <w:t>NOD2</w:t>
      </w:r>
      <w:r w:rsidRPr="00AA2A35">
        <w:rPr>
          <w:rFonts w:ascii="Book Antiqua" w:hAnsi="Book Antiqua"/>
          <w:lang w:val="en-US"/>
        </w:rPr>
        <w:t xml:space="preserve"> polymorphisms (R702W, G908R and L1007Pfs*2). Data are presented as mean ± SEM. No statistical significance</w:t>
      </w:r>
      <w:r w:rsidR="003A2EFE" w:rsidRPr="00AA2A35">
        <w:rPr>
          <w:rFonts w:ascii="Book Antiqua" w:hAnsi="Book Antiqua"/>
          <w:strike/>
          <w:lang w:val="en-US"/>
        </w:rPr>
        <w:t>s</w:t>
      </w:r>
      <w:r w:rsidRPr="00AA2A35">
        <w:rPr>
          <w:rFonts w:ascii="Book Antiqua" w:hAnsi="Book Antiqua"/>
          <w:lang w:val="en-US"/>
        </w:rPr>
        <w:t xml:space="preserve"> was found.</w:t>
      </w:r>
    </w:p>
    <w:p w14:paraId="5CC5C69E" w14:textId="77777777" w:rsidR="00D44C96" w:rsidRPr="00AA2A35" w:rsidRDefault="00D44C96" w:rsidP="00D14265">
      <w:pPr>
        <w:jc w:val="both"/>
        <w:rPr>
          <w:rFonts w:ascii="Book Antiqua" w:hAnsi="Book Antiqua"/>
          <w:lang w:val="en-US"/>
        </w:rPr>
      </w:pPr>
      <w:r w:rsidRPr="00AA2A35">
        <w:rPr>
          <w:rFonts w:ascii="Book Antiqua" w:hAnsi="Book Antiqua"/>
          <w:lang w:val="en-US"/>
        </w:rPr>
        <w:br w:type="page"/>
      </w:r>
    </w:p>
    <w:p w14:paraId="2A61795C" w14:textId="28CAD9E6" w:rsidR="00D44C96" w:rsidRPr="00AA2A35" w:rsidRDefault="004F3B4B" w:rsidP="00D14265">
      <w:pPr>
        <w:spacing w:line="360" w:lineRule="auto"/>
        <w:jc w:val="both"/>
        <w:rPr>
          <w:rFonts w:ascii="Book Antiqua" w:hAnsi="Book Antiqua"/>
          <w:lang w:val="en-US"/>
        </w:rPr>
      </w:pPr>
      <w:r w:rsidRPr="00AA2A35">
        <w:rPr>
          <w:rFonts w:ascii="Book Antiqua" w:hAnsi="Book Antiqua"/>
          <w:b/>
          <w:noProof/>
          <w:lang w:val="en-US" w:eastAsia="zh-CN"/>
        </w:rPr>
        <w:lastRenderedPageBreak/>
        <w:drawing>
          <wp:inline distT="0" distB="0" distL="0" distR="0" wp14:anchorId="6F259689" wp14:editId="23B9C517">
            <wp:extent cx="6080760" cy="2491740"/>
            <wp:effectExtent l="0" t="0" r="0" b="381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0760" cy="2491740"/>
                    </a:xfrm>
                    <a:prstGeom prst="rect">
                      <a:avLst/>
                    </a:prstGeom>
                    <a:noFill/>
                    <a:ln>
                      <a:noFill/>
                    </a:ln>
                  </pic:spPr>
                </pic:pic>
              </a:graphicData>
            </a:graphic>
          </wp:inline>
        </w:drawing>
      </w:r>
    </w:p>
    <w:p w14:paraId="78798FB7" w14:textId="77777777" w:rsidR="00D44C96" w:rsidRPr="00AA2A35" w:rsidRDefault="00D44C96" w:rsidP="00D14265">
      <w:pPr>
        <w:spacing w:line="360" w:lineRule="auto"/>
        <w:jc w:val="both"/>
        <w:rPr>
          <w:rFonts w:ascii="Book Antiqua" w:hAnsi="Book Antiqua"/>
          <w:lang w:val="en-US"/>
        </w:rPr>
      </w:pPr>
    </w:p>
    <w:p w14:paraId="6A8B62C1" w14:textId="5C20FB97" w:rsidR="00D44C96" w:rsidRPr="00AA2A35" w:rsidRDefault="00D44C96" w:rsidP="00D14265">
      <w:pPr>
        <w:spacing w:line="360" w:lineRule="auto"/>
        <w:jc w:val="both"/>
        <w:rPr>
          <w:rFonts w:ascii="Book Antiqua" w:hAnsi="Book Antiqua"/>
          <w:lang w:val="en-US"/>
        </w:rPr>
      </w:pPr>
      <w:r w:rsidRPr="00AA2A35">
        <w:rPr>
          <w:rFonts w:ascii="Book Antiqua" w:hAnsi="Book Antiqua"/>
          <w:b/>
          <w:lang w:val="en-US"/>
        </w:rPr>
        <w:t xml:space="preserve">Figure </w:t>
      </w:r>
      <w:r w:rsidR="00AF13E3">
        <w:rPr>
          <w:rFonts w:ascii="Book Antiqua" w:hAnsi="Book Antiqua"/>
          <w:b/>
          <w:lang w:val="en-US"/>
        </w:rPr>
        <w:t>3</w:t>
      </w:r>
      <w:r w:rsidR="00AF13E3">
        <w:rPr>
          <w:rFonts w:ascii="Book Antiqua" w:eastAsiaTheme="minorEastAsia" w:hAnsi="Book Antiqua" w:hint="eastAsia"/>
          <w:b/>
          <w:lang w:val="en-US" w:eastAsia="zh-CN"/>
        </w:rPr>
        <w:t xml:space="preserve"> </w:t>
      </w:r>
      <w:r w:rsidRPr="00AA2A35">
        <w:rPr>
          <w:rFonts w:ascii="Book Antiqua" w:hAnsi="Book Antiqua"/>
          <w:b/>
          <w:lang w:val="en-US"/>
        </w:rPr>
        <w:t xml:space="preserve">Correlation of disease activity index with monocyte expression of </w:t>
      </w:r>
      <w:r w:rsidR="0089615C" w:rsidRPr="0089615C">
        <w:rPr>
          <w:rFonts w:ascii="Book Antiqua" w:hAnsi="Book Antiqua"/>
          <w:b/>
          <w:lang w:val="en-US"/>
        </w:rPr>
        <w:t>tumor necrosis factor</w:t>
      </w:r>
      <w:r w:rsidR="00846FE8" w:rsidRPr="00846FE8">
        <w:rPr>
          <w:rFonts w:ascii="Book Antiqua" w:hAnsi="Book Antiqua"/>
          <w:b/>
          <w:color w:val="000000"/>
          <w:lang w:val="en-US"/>
        </w:rPr>
        <w:t>-alpha</w:t>
      </w:r>
      <w:r w:rsidRPr="00AA2A35">
        <w:rPr>
          <w:rFonts w:ascii="Book Antiqua" w:hAnsi="Book Antiqua"/>
          <w:b/>
          <w:lang w:val="en-US"/>
        </w:rPr>
        <w:t xml:space="preserve"> in </w:t>
      </w:r>
      <w:r w:rsidR="00AF13E3" w:rsidRPr="00AF13E3">
        <w:rPr>
          <w:rFonts w:ascii="Book Antiqua" w:hAnsi="Book Antiqua"/>
          <w:b/>
          <w:lang w:val="en-US"/>
        </w:rPr>
        <w:t xml:space="preserve">inflammatory bowel diseases </w:t>
      </w:r>
      <w:r w:rsidRPr="00AA2A35">
        <w:rPr>
          <w:rFonts w:ascii="Book Antiqua" w:hAnsi="Book Antiqua"/>
          <w:b/>
          <w:lang w:val="en-US"/>
        </w:rPr>
        <w:t xml:space="preserve">patients. </w:t>
      </w:r>
      <w:r w:rsidRPr="00AA2A35">
        <w:rPr>
          <w:rFonts w:ascii="Book Antiqua" w:hAnsi="Book Antiqua"/>
          <w:lang w:val="en-US"/>
        </w:rPr>
        <w:t>Correlation of activity index, expressed by PCDAI (Pediatric Crohn’s Disease Activity Index) or PUCAI (Pediatric Ulcerative Colitis Activity Index) with monocyte expression of TNF</w:t>
      </w:r>
      <w:r w:rsidRPr="00AA2A35">
        <w:rPr>
          <w:rFonts w:ascii="Times New Roman" w:hAnsi="Times New Roman"/>
          <w:lang w:val="en-US"/>
        </w:rPr>
        <w:t>α</w:t>
      </w:r>
      <w:r w:rsidRPr="00AA2A35">
        <w:rPr>
          <w:rFonts w:ascii="Book Antiqua" w:hAnsi="Book Antiqua"/>
          <w:lang w:val="en-US"/>
        </w:rPr>
        <w:t xml:space="preserve"> in patients suffering from Crohn’s disease (CD) and </w:t>
      </w:r>
      <w:r w:rsidR="00846FE8" w:rsidRPr="00AA2A35">
        <w:rPr>
          <w:rFonts w:ascii="Book Antiqua" w:hAnsi="Book Antiqua"/>
          <w:lang w:val="en-US"/>
        </w:rPr>
        <w:t>ulcerative coli</w:t>
      </w:r>
      <w:r w:rsidRPr="00AA2A35">
        <w:rPr>
          <w:rFonts w:ascii="Book Antiqua" w:hAnsi="Book Antiqua"/>
          <w:lang w:val="en-US"/>
        </w:rPr>
        <w:t>tis (UC). The squared Pearson correlation coefficients (R</w:t>
      </w:r>
      <w:r w:rsidRPr="00AA2A35">
        <w:rPr>
          <w:rFonts w:ascii="Book Antiqua" w:hAnsi="Book Antiqua"/>
          <w:vertAlign w:val="superscript"/>
          <w:lang w:val="en-US"/>
        </w:rPr>
        <w:t>2</w:t>
      </w:r>
      <w:r w:rsidRPr="00AA2A35">
        <w:rPr>
          <w:rFonts w:ascii="Book Antiqua" w:hAnsi="Book Antiqua"/>
          <w:lang w:val="en-US"/>
        </w:rPr>
        <w:t xml:space="preserve">) are shown.  </w:t>
      </w:r>
    </w:p>
    <w:p w14:paraId="005868F3" w14:textId="77777777" w:rsidR="00D44C96" w:rsidRPr="00AA2A35" w:rsidRDefault="00D44C96" w:rsidP="00D14265">
      <w:pPr>
        <w:jc w:val="both"/>
        <w:rPr>
          <w:rFonts w:ascii="Book Antiqua" w:hAnsi="Book Antiqua"/>
          <w:lang w:val="en-US"/>
        </w:rPr>
      </w:pPr>
      <w:r w:rsidRPr="00AA2A35">
        <w:rPr>
          <w:rFonts w:ascii="Book Antiqua" w:hAnsi="Book Antiqua"/>
          <w:lang w:val="en-US"/>
        </w:rPr>
        <w:br w:type="page"/>
      </w:r>
    </w:p>
    <w:p w14:paraId="5ABED5CB" w14:textId="4AD4B700" w:rsidR="00D44C96" w:rsidRPr="00AA2A35" w:rsidRDefault="004F3B4B" w:rsidP="00D14265">
      <w:pPr>
        <w:spacing w:line="360" w:lineRule="auto"/>
        <w:jc w:val="both"/>
        <w:rPr>
          <w:rFonts w:ascii="Book Antiqua" w:hAnsi="Book Antiqua"/>
          <w:lang w:val="en-US"/>
        </w:rPr>
      </w:pPr>
      <w:r w:rsidRPr="00AA2A35">
        <w:rPr>
          <w:rFonts w:ascii="Book Antiqua" w:hAnsi="Book Antiqua"/>
          <w:noProof/>
          <w:lang w:val="en-US" w:eastAsia="zh-CN"/>
        </w:rPr>
        <w:lastRenderedPageBreak/>
        <w:drawing>
          <wp:inline distT="0" distB="0" distL="0" distR="0" wp14:anchorId="100D097F" wp14:editId="06BE3A71">
            <wp:extent cx="6111240" cy="4450080"/>
            <wp:effectExtent l="0" t="0" r="3810" b="762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1240" cy="4450080"/>
                    </a:xfrm>
                    <a:prstGeom prst="rect">
                      <a:avLst/>
                    </a:prstGeom>
                    <a:noFill/>
                    <a:ln>
                      <a:noFill/>
                    </a:ln>
                  </pic:spPr>
                </pic:pic>
              </a:graphicData>
            </a:graphic>
          </wp:inline>
        </w:drawing>
      </w:r>
    </w:p>
    <w:p w14:paraId="661CAA55" w14:textId="77777777" w:rsidR="00D44C96" w:rsidRPr="00AA2A35" w:rsidRDefault="00D44C96" w:rsidP="00D14265">
      <w:pPr>
        <w:spacing w:line="360" w:lineRule="auto"/>
        <w:jc w:val="both"/>
        <w:rPr>
          <w:rFonts w:ascii="Book Antiqua" w:hAnsi="Book Antiqua"/>
          <w:lang w:val="en-US"/>
        </w:rPr>
      </w:pPr>
    </w:p>
    <w:p w14:paraId="6D22AC59" w14:textId="51FA4868" w:rsidR="00D44C96" w:rsidRPr="00846FE8" w:rsidRDefault="00D44C96" w:rsidP="00D14265">
      <w:pPr>
        <w:spacing w:line="360" w:lineRule="auto"/>
        <w:jc w:val="both"/>
        <w:rPr>
          <w:rFonts w:ascii="Book Antiqua" w:eastAsiaTheme="minorEastAsia" w:hAnsi="Book Antiqua"/>
          <w:lang w:val="en-US" w:eastAsia="zh-CN"/>
        </w:rPr>
      </w:pPr>
      <w:r w:rsidRPr="00AA2A35">
        <w:rPr>
          <w:rFonts w:ascii="Book Antiqua" w:hAnsi="Book Antiqua"/>
          <w:b/>
          <w:lang w:val="en-US"/>
        </w:rPr>
        <w:t xml:space="preserve">Figure 4. Dosage of </w:t>
      </w:r>
      <w:r w:rsidR="00846FE8" w:rsidRPr="00846FE8">
        <w:rPr>
          <w:rFonts w:ascii="Book Antiqua" w:hAnsi="Book Antiqua"/>
          <w:b/>
          <w:lang w:val="en-US"/>
        </w:rPr>
        <w:t xml:space="preserve">LPS-binding protein </w:t>
      </w:r>
      <w:r w:rsidRPr="00AA2A35">
        <w:rPr>
          <w:rFonts w:ascii="Book Antiqua" w:hAnsi="Book Antiqua"/>
          <w:b/>
          <w:lang w:val="en-US"/>
        </w:rPr>
        <w:t>and correlation with disease activity index</w:t>
      </w:r>
      <w:r w:rsidR="00846FE8">
        <w:rPr>
          <w:rFonts w:ascii="Book Antiqua" w:eastAsiaTheme="minorEastAsia" w:hAnsi="Book Antiqua" w:hint="eastAsia"/>
          <w:b/>
          <w:lang w:val="en-US" w:eastAsia="zh-CN"/>
        </w:rPr>
        <w:t>.</w:t>
      </w:r>
      <w:r w:rsidR="00846FE8">
        <w:rPr>
          <w:rFonts w:ascii="Book Antiqua" w:eastAsiaTheme="minorEastAsia" w:hAnsi="Book Antiqua" w:hint="eastAsia"/>
          <w:lang w:val="en-US" w:eastAsia="zh-CN"/>
        </w:rPr>
        <w:t xml:space="preserve"> </w:t>
      </w:r>
      <w:r w:rsidRPr="00AA2A35">
        <w:rPr>
          <w:rFonts w:ascii="Book Antiqua" w:hAnsi="Book Antiqua"/>
          <w:lang w:val="en-US"/>
        </w:rPr>
        <w:t>A</w:t>
      </w:r>
      <w:r w:rsidR="00846FE8">
        <w:rPr>
          <w:rFonts w:ascii="Book Antiqua" w:eastAsiaTheme="minorEastAsia" w:hAnsi="Book Antiqua" w:hint="eastAsia"/>
          <w:lang w:val="en-US" w:eastAsia="zh-CN"/>
        </w:rPr>
        <w:t xml:space="preserve">, </w:t>
      </w:r>
      <w:r w:rsidRPr="00AA2A35">
        <w:rPr>
          <w:rFonts w:ascii="Book Antiqua" w:hAnsi="Book Antiqua"/>
          <w:lang w:val="en-US"/>
        </w:rPr>
        <w:t>B</w:t>
      </w:r>
      <w:r w:rsidR="00846FE8">
        <w:rPr>
          <w:rFonts w:ascii="Book Antiqua" w:eastAsiaTheme="minorEastAsia" w:hAnsi="Book Antiqua" w:hint="eastAsia"/>
          <w:lang w:val="en-US" w:eastAsia="zh-CN"/>
        </w:rPr>
        <w:t>:</w:t>
      </w:r>
      <w:r w:rsidRPr="00AA2A35">
        <w:rPr>
          <w:rFonts w:ascii="Book Antiqua" w:hAnsi="Book Antiqua"/>
          <w:lang w:val="en-US"/>
        </w:rPr>
        <w:t xml:space="preserve"> Quantification of plasmatic LPS-Binding Protein (LBP) from patients affected by active Crohn’s disease (CD), remissive Crohn’s disease (rCD), active Ulcerative Colitis (UC), remissive Ulcerative Colitis (</w:t>
      </w:r>
      <w:r w:rsidR="00E3758A" w:rsidRPr="00AA2A35">
        <w:rPr>
          <w:rFonts w:ascii="Book Antiqua" w:hAnsi="Book Antiqua"/>
          <w:lang w:val="en-US"/>
        </w:rPr>
        <w:t>r</w:t>
      </w:r>
      <w:r w:rsidRPr="00AA2A35">
        <w:rPr>
          <w:rFonts w:ascii="Book Antiqua" w:hAnsi="Book Antiqua"/>
          <w:lang w:val="en-US"/>
        </w:rPr>
        <w:t>UC) and healthy donors (HD). Data are represented with box plots using Tukey’s whiskers. Statistical significance</w:t>
      </w:r>
      <w:r w:rsidR="003332C8" w:rsidRPr="00AA2A35">
        <w:rPr>
          <w:rFonts w:ascii="Book Antiqua" w:hAnsi="Book Antiqua"/>
          <w:strike/>
          <w:lang w:val="en-US"/>
        </w:rPr>
        <w:t>s</w:t>
      </w:r>
      <w:r w:rsidRPr="00AA2A35">
        <w:rPr>
          <w:rFonts w:ascii="Book Antiqua" w:hAnsi="Book Antiqua"/>
          <w:lang w:val="en-US"/>
        </w:rPr>
        <w:t xml:space="preserve"> is denoted </w:t>
      </w:r>
      <w:r w:rsidR="00602E66" w:rsidRPr="00AA2A35">
        <w:rPr>
          <w:rFonts w:ascii="Book Antiqua" w:hAnsi="Book Antiqua"/>
          <w:lang w:val="en-US"/>
        </w:rPr>
        <w:t xml:space="preserve">by </w:t>
      </w:r>
      <w:r w:rsidRPr="00AA2A35">
        <w:rPr>
          <w:rFonts w:ascii="Book Antiqua" w:hAnsi="Book Antiqua"/>
          <w:lang w:val="en-US"/>
        </w:rPr>
        <w:t>letters (</w:t>
      </w:r>
      <w:r w:rsidR="00846FE8">
        <w:rPr>
          <w:rFonts w:ascii="Book Antiqua" w:eastAsiaTheme="minorEastAsia" w:hAnsi="Book Antiqua" w:hint="eastAsia"/>
          <w:vertAlign w:val="superscript"/>
          <w:lang w:val="en-US" w:eastAsia="zh-CN"/>
        </w:rPr>
        <w:t>a</w:t>
      </w:r>
      <w:r w:rsidR="00846FE8" w:rsidRPr="00846FE8">
        <w:rPr>
          <w:rFonts w:ascii="Book Antiqua" w:hAnsi="Book Antiqua"/>
          <w:i/>
          <w:lang w:val="en-US"/>
        </w:rPr>
        <w:t>P</w:t>
      </w:r>
      <w:r w:rsidR="00846FE8">
        <w:rPr>
          <w:rFonts w:ascii="Book Antiqua" w:eastAsiaTheme="minorEastAsia" w:hAnsi="Book Antiqua" w:hint="eastAsia"/>
          <w:lang w:val="en-US" w:eastAsia="zh-CN"/>
        </w:rPr>
        <w:t xml:space="preserve"> </w:t>
      </w:r>
      <w:r w:rsidRPr="00AA2A35">
        <w:rPr>
          <w:rFonts w:ascii="Book Antiqua" w:hAnsi="Book Antiqua"/>
          <w:lang w:val="en-US"/>
        </w:rPr>
        <w:t>&lt;</w:t>
      </w:r>
      <w:r w:rsidR="00846FE8">
        <w:rPr>
          <w:rFonts w:ascii="Book Antiqua" w:eastAsiaTheme="minorEastAsia" w:hAnsi="Book Antiqua" w:hint="eastAsia"/>
          <w:lang w:val="en-US" w:eastAsia="zh-CN"/>
        </w:rPr>
        <w:t xml:space="preserve"> </w:t>
      </w:r>
      <w:r w:rsidRPr="00AA2A35">
        <w:rPr>
          <w:rFonts w:ascii="Book Antiqua" w:hAnsi="Book Antiqua"/>
          <w:lang w:val="en-US"/>
        </w:rPr>
        <w:t>0.05). C-D Correlation between activity Index, expressed by PCDAI (Pediatric Crohn’s Disease Activity Index) or PUCAI (Pediatric Ulcerative Colitis Activity Index) with plasmatic level of LBP in patients with Crohn’s disease (CD) (C, R</w:t>
      </w:r>
      <w:r w:rsidRPr="00AA2A35">
        <w:rPr>
          <w:rFonts w:ascii="Book Antiqua" w:hAnsi="Book Antiqua"/>
          <w:vertAlign w:val="superscript"/>
          <w:lang w:val="en-US"/>
        </w:rPr>
        <w:t>2</w:t>
      </w:r>
      <w:r w:rsidRPr="00AA2A35">
        <w:rPr>
          <w:rFonts w:ascii="Book Antiqua" w:hAnsi="Book Antiqua"/>
          <w:lang w:val="en-US"/>
        </w:rPr>
        <w:t xml:space="preserve"> = 0.40) or Ulcerative Colitis (UC) (D, R</w:t>
      </w:r>
      <w:r w:rsidRPr="00AA2A35">
        <w:rPr>
          <w:rFonts w:ascii="Book Antiqua" w:hAnsi="Book Antiqua"/>
          <w:vertAlign w:val="superscript"/>
          <w:lang w:val="en-US"/>
        </w:rPr>
        <w:t>2</w:t>
      </w:r>
      <w:r w:rsidRPr="00AA2A35">
        <w:rPr>
          <w:rFonts w:ascii="Book Antiqua" w:hAnsi="Book Antiqua"/>
          <w:lang w:val="en-US"/>
        </w:rPr>
        <w:t xml:space="preserve"> = 0.25). The squared Pearson correlation coefficients (R</w:t>
      </w:r>
      <w:r w:rsidRPr="00AA2A35">
        <w:rPr>
          <w:rFonts w:ascii="Book Antiqua" w:hAnsi="Book Antiqua"/>
          <w:vertAlign w:val="superscript"/>
          <w:lang w:val="en-US"/>
        </w:rPr>
        <w:t>2</w:t>
      </w:r>
      <w:r w:rsidRPr="00AA2A35">
        <w:rPr>
          <w:rFonts w:ascii="Book Antiqua" w:hAnsi="Book Antiqua"/>
          <w:lang w:val="en-US"/>
        </w:rPr>
        <w:t xml:space="preserve">) and the </w:t>
      </w:r>
      <w:r w:rsidR="00846FE8" w:rsidRPr="00846FE8">
        <w:rPr>
          <w:rFonts w:ascii="Book Antiqua" w:hAnsi="Book Antiqua"/>
          <w:i/>
          <w:lang w:val="en-US"/>
        </w:rPr>
        <w:t>P</w:t>
      </w:r>
      <w:r w:rsidRPr="00AA2A35">
        <w:rPr>
          <w:rFonts w:ascii="Book Antiqua" w:hAnsi="Book Antiqua"/>
          <w:lang w:val="en-US"/>
        </w:rPr>
        <w:t xml:space="preserve">-value are shown.  </w:t>
      </w:r>
    </w:p>
    <w:p w14:paraId="663AC1C0" w14:textId="77777777" w:rsidR="00D44C96" w:rsidRPr="00AA2A35" w:rsidRDefault="00D44C96" w:rsidP="00D14265">
      <w:pPr>
        <w:jc w:val="both"/>
        <w:rPr>
          <w:rFonts w:ascii="Book Antiqua" w:hAnsi="Book Antiqua"/>
          <w:lang w:val="en-US"/>
        </w:rPr>
      </w:pPr>
      <w:r w:rsidRPr="00AA2A35">
        <w:rPr>
          <w:rFonts w:ascii="Book Antiqua" w:hAnsi="Book Antiqua"/>
          <w:lang w:val="en-US"/>
        </w:rPr>
        <w:br w:type="page"/>
      </w:r>
    </w:p>
    <w:p w14:paraId="7727C07B" w14:textId="038255C0" w:rsidR="00D44C96" w:rsidRPr="00AA2A35" w:rsidRDefault="004F3B4B" w:rsidP="00D14265">
      <w:pPr>
        <w:spacing w:line="360" w:lineRule="auto"/>
        <w:jc w:val="both"/>
        <w:rPr>
          <w:rFonts w:ascii="Book Antiqua" w:hAnsi="Book Antiqua"/>
          <w:lang w:val="en-US"/>
        </w:rPr>
      </w:pPr>
      <w:r w:rsidRPr="00AA2A35">
        <w:rPr>
          <w:rFonts w:ascii="Book Antiqua" w:hAnsi="Book Antiqua"/>
          <w:noProof/>
          <w:lang w:val="en-US" w:eastAsia="zh-CN"/>
        </w:rPr>
        <w:lastRenderedPageBreak/>
        <w:drawing>
          <wp:inline distT="0" distB="0" distL="0" distR="0" wp14:anchorId="5F320D33" wp14:editId="65D6FBAF">
            <wp:extent cx="6096000" cy="166116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000" cy="1661160"/>
                    </a:xfrm>
                    <a:prstGeom prst="rect">
                      <a:avLst/>
                    </a:prstGeom>
                    <a:noFill/>
                    <a:ln>
                      <a:noFill/>
                    </a:ln>
                  </pic:spPr>
                </pic:pic>
              </a:graphicData>
            </a:graphic>
          </wp:inline>
        </w:drawing>
      </w:r>
    </w:p>
    <w:p w14:paraId="48399CE6" w14:textId="34FB22BE" w:rsidR="00D44C96" w:rsidRPr="00AA2A35" w:rsidRDefault="00846FE8" w:rsidP="00D14265">
      <w:pPr>
        <w:spacing w:line="360" w:lineRule="auto"/>
        <w:jc w:val="both"/>
        <w:rPr>
          <w:rFonts w:ascii="Book Antiqua" w:hAnsi="Book Antiqua"/>
          <w:lang w:val="en-US"/>
        </w:rPr>
      </w:pPr>
      <w:r>
        <w:rPr>
          <w:rFonts w:ascii="Book Antiqua" w:hAnsi="Book Antiqua"/>
          <w:b/>
          <w:lang w:val="en-US"/>
        </w:rPr>
        <w:t>Figure 5</w:t>
      </w:r>
      <w:r w:rsidR="00D44C96" w:rsidRPr="00AA2A35">
        <w:rPr>
          <w:rFonts w:ascii="Book Antiqua" w:hAnsi="Book Antiqua"/>
          <w:lang w:val="en-US"/>
        </w:rPr>
        <w:t xml:space="preserve"> </w:t>
      </w:r>
      <w:r w:rsidR="00D44C96" w:rsidRPr="00AA2A35">
        <w:rPr>
          <w:rFonts w:ascii="Book Antiqua" w:hAnsi="Book Antiqua"/>
          <w:b/>
          <w:lang w:val="en-US"/>
        </w:rPr>
        <w:t xml:space="preserve">Correlation of monocyte </w:t>
      </w:r>
      <w:r w:rsidRPr="00846FE8">
        <w:rPr>
          <w:rFonts w:ascii="Book Antiqua" w:hAnsi="Book Antiqua"/>
          <w:b/>
          <w:color w:val="000000"/>
          <w:lang w:val="en-US"/>
        </w:rPr>
        <w:t>tumor necrosis factor-alpha</w:t>
      </w:r>
      <w:r w:rsidR="00D44C96" w:rsidRPr="00AA2A35">
        <w:rPr>
          <w:rFonts w:ascii="Book Antiqua" w:hAnsi="Book Antiqua"/>
          <w:b/>
          <w:lang w:val="en-US"/>
        </w:rPr>
        <w:t xml:space="preserve"> expression and </w:t>
      </w:r>
      <w:r w:rsidRPr="00846FE8">
        <w:rPr>
          <w:rFonts w:ascii="Book Antiqua" w:hAnsi="Book Antiqua"/>
          <w:b/>
          <w:lang w:val="en-US"/>
        </w:rPr>
        <w:t>LPS-binding protein</w:t>
      </w:r>
      <w:r w:rsidRPr="00AA2A35">
        <w:rPr>
          <w:rFonts w:ascii="Book Antiqua" w:hAnsi="Book Antiqua"/>
          <w:b/>
          <w:lang w:val="en-US"/>
        </w:rPr>
        <w:t xml:space="preserve"> </w:t>
      </w:r>
      <w:r w:rsidR="00D44C96" w:rsidRPr="00AA2A35">
        <w:rPr>
          <w:rFonts w:ascii="Book Antiqua" w:hAnsi="Book Antiqua"/>
          <w:b/>
          <w:lang w:val="en-US"/>
        </w:rPr>
        <w:t xml:space="preserve">levels in </w:t>
      </w:r>
      <w:r w:rsidRPr="00846FE8">
        <w:rPr>
          <w:rFonts w:ascii="Book Antiqua" w:hAnsi="Book Antiqua"/>
          <w:b/>
          <w:lang w:val="en-US"/>
        </w:rPr>
        <w:t xml:space="preserve">inflammatory bowel diseases </w:t>
      </w:r>
      <w:r w:rsidR="00D44C96" w:rsidRPr="00AA2A35">
        <w:rPr>
          <w:rFonts w:ascii="Book Antiqua" w:hAnsi="Book Antiqua"/>
          <w:b/>
          <w:lang w:val="en-US"/>
        </w:rPr>
        <w:t>patients.</w:t>
      </w:r>
      <w:r>
        <w:rPr>
          <w:rFonts w:ascii="Book Antiqua" w:eastAsiaTheme="minorEastAsia" w:hAnsi="Book Antiqua" w:hint="eastAsia"/>
          <w:b/>
          <w:lang w:val="en-US" w:eastAsia="zh-CN"/>
        </w:rPr>
        <w:t xml:space="preserve"> </w:t>
      </w:r>
      <w:r w:rsidR="00D44C96" w:rsidRPr="00AA2A35">
        <w:rPr>
          <w:rFonts w:ascii="Book Antiqua" w:hAnsi="Book Antiqua"/>
          <w:lang w:val="en-US"/>
        </w:rPr>
        <w:t>Correlation be</w:t>
      </w:r>
      <w:r w:rsidR="000511CB" w:rsidRPr="00AA2A35">
        <w:rPr>
          <w:rFonts w:ascii="Book Antiqua" w:hAnsi="Book Antiqua"/>
          <w:lang w:val="en-US"/>
        </w:rPr>
        <w:t>t</w:t>
      </w:r>
      <w:r w:rsidR="00D44C96" w:rsidRPr="00AA2A35">
        <w:rPr>
          <w:rFonts w:ascii="Book Antiqua" w:hAnsi="Book Antiqua"/>
          <w:lang w:val="en-US"/>
        </w:rPr>
        <w:t xml:space="preserve">ween monocyte expression of </w:t>
      </w:r>
      <w:r w:rsidRPr="00846FE8">
        <w:rPr>
          <w:rFonts w:ascii="Book Antiqua" w:hAnsi="Book Antiqua"/>
          <w:lang w:val="en-US"/>
        </w:rPr>
        <w:t xml:space="preserve">tumor necrosis factor-alpha </w:t>
      </w:r>
      <w:r>
        <w:rPr>
          <w:rFonts w:ascii="Book Antiqua" w:eastAsiaTheme="minorEastAsia" w:hAnsi="Book Antiqua" w:hint="eastAsia"/>
          <w:lang w:val="en-US" w:eastAsia="zh-CN"/>
        </w:rPr>
        <w:t>(</w:t>
      </w:r>
      <w:r w:rsidR="00D44C96" w:rsidRPr="00AA2A35">
        <w:rPr>
          <w:rFonts w:ascii="Book Antiqua" w:hAnsi="Book Antiqua"/>
          <w:lang w:val="en-US"/>
        </w:rPr>
        <w:t>TNF</w:t>
      </w:r>
      <w:r w:rsidR="00D44C96" w:rsidRPr="00AA2A35">
        <w:rPr>
          <w:rFonts w:ascii="Times New Roman" w:hAnsi="Times New Roman"/>
          <w:lang w:val="en-US"/>
        </w:rPr>
        <w:t>α</w:t>
      </w:r>
      <w:r>
        <w:rPr>
          <w:rFonts w:ascii="Times New Roman" w:eastAsiaTheme="minorEastAsia" w:hAnsi="Times New Roman" w:hint="eastAsia"/>
          <w:lang w:val="en-US" w:eastAsia="zh-CN"/>
        </w:rPr>
        <w:t>)</w:t>
      </w:r>
      <w:r w:rsidR="00D44C96" w:rsidRPr="00AA2A35">
        <w:rPr>
          <w:rFonts w:ascii="Book Antiqua" w:hAnsi="Book Antiqua"/>
          <w:lang w:val="en-US"/>
        </w:rPr>
        <w:t xml:space="preserve"> and plasmatic level of LBP in patients affected by Crohn’s </w:t>
      </w:r>
      <w:r w:rsidRPr="00AA2A35">
        <w:rPr>
          <w:rFonts w:ascii="Book Antiqua" w:hAnsi="Book Antiqua"/>
          <w:lang w:val="en-US"/>
        </w:rPr>
        <w:t xml:space="preserve">disease </w:t>
      </w:r>
      <w:r w:rsidR="00D44C96" w:rsidRPr="00AA2A35">
        <w:rPr>
          <w:rFonts w:ascii="Book Antiqua" w:hAnsi="Book Antiqua"/>
          <w:lang w:val="en-US"/>
        </w:rPr>
        <w:t xml:space="preserve">(CD) or </w:t>
      </w:r>
      <w:r w:rsidRPr="00AA2A35">
        <w:rPr>
          <w:rFonts w:ascii="Book Antiqua" w:hAnsi="Book Antiqua"/>
          <w:lang w:val="en-US"/>
        </w:rPr>
        <w:t>ulcerative coli</w:t>
      </w:r>
      <w:r w:rsidR="00D44C96" w:rsidRPr="00AA2A35">
        <w:rPr>
          <w:rFonts w:ascii="Book Antiqua" w:hAnsi="Book Antiqua"/>
          <w:lang w:val="en-US"/>
        </w:rPr>
        <w:t>tis (UC) and in healthy subjects (HD). The squared Pearson correlation coefficients (R</w:t>
      </w:r>
      <w:r w:rsidR="00D44C96" w:rsidRPr="00AA2A35">
        <w:rPr>
          <w:rFonts w:ascii="Book Antiqua" w:hAnsi="Book Antiqua"/>
          <w:vertAlign w:val="superscript"/>
          <w:lang w:val="en-US"/>
        </w:rPr>
        <w:t>2</w:t>
      </w:r>
      <w:r w:rsidR="00D44C96" w:rsidRPr="00AA2A35">
        <w:rPr>
          <w:rFonts w:ascii="Book Antiqua" w:hAnsi="Book Antiqua"/>
          <w:lang w:val="en-US"/>
        </w:rPr>
        <w:t>) are shown. No statistical significance</w:t>
      </w:r>
      <w:r w:rsidR="000511CB" w:rsidRPr="00AA2A35">
        <w:rPr>
          <w:rFonts w:ascii="Book Antiqua" w:hAnsi="Book Antiqua"/>
          <w:strike/>
          <w:lang w:val="en-US"/>
        </w:rPr>
        <w:t>s</w:t>
      </w:r>
      <w:r w:rsidR="00D44C96" w:rsidRPr="00AA2A35">
        <w:rPr>
          <w:rFonts w:ascii="Book Antiqua" w:hAnsi="Book Antiqua"/>
          <w:lang w:val="en-US"/>
        </w:rPr>
        <w:t xml:space="preserve"> </w:t>
      </w:r>
      <w:r w:rsidRPr="00AA2A35">
        <w:rPr>
          <w:rFonts w:ascii="Book Antiqua" w:hAnsi="Book Antiqua"/>
          <w:lang w:val="en-US"/>
        </w:rPr>
        <w:t>were</w:t>
      </w:r>
      <w:r w:rsidR="00D44C96" w:rsidRPr="00AA2A35">
        <w:rPr>
          <w:rFonts w:ascii="Book Antiqua" w:hAnsi="Book Antiqua"/>
          <w:lang w:val="en-US"/>
        </w:rPr>
        <w:t xml:space="preserve"> found.</w:t>
      </w:r>
    </w:p>
    <w:p w14:paraId="6544ECD5" w14:textId="77777777" w:rsidR="00D44C96" w:rsidRPr="00AA2A35" w:rsidRDefault="00D44C96" w:rsidP="00D14265">
      <w:pPr>
        <w:jc w:val="both"/>
        <w:rPr>
          <w:rFonts w:ascii="Book Antiqua" w:hAnsi="Book Antiqua"/>
          <w:lang w:val="en-US"/>
        </w:rPr>
      </w:pPr>
      <w:r w:rsidRPr="00AA2A35">
        <w:rPr>
          <w:rFonts w:ascii="Book Antiqua" w:hAnsi="Book Antiqua"/>
          <w:lang w:val="en-US"/>
        </w:rPr>
        <w:br w:type="page"/>
      </w:r>
    </w:p>
    <w:p w14:paraId="203E99F2" w14:textId="55D1D20A" w:rsidR="00D44C96" w:rsidRPr="00AA2A35" w:rsidRDefault="00846FE8" w:rsidP="00D14265">
      <w:pPr>
        <w:spacing w:line="360" w:lineRule="auto"/>
        <w:jc w:val="both"/>
        <w:rPr>
          <w:rFonts w:ascii="Book Antiqua" w:hAnsi="Book Antiqua"/>
          <w:b/>
          <w:lang w:val="en-US"/>
        </w:rPr>
      </w:pPr>
      <w:r>
        <w:rPr>
          <w:rFonts w:ascii="Book Antiqua" w:hAnsi="Book Antiqua"/>
          <w:b/>
          <w:lang w:val="en-US"/>
        </w:rPr>
        <w:lastRenderedPageBreak/>
        <w:t>Table 1</w:t>
      </w:r>
      <w:r w:rsidR="00D44C96" w:rsidRPr="00AA2A35">
        <w:rPr>
          <w:rFonts w:ascii="Book Antiqua" w:hAnsi="Book Antiqua"/>
          <w:b/>
          <w:lang w:val="en-US"/>
        </w:rPr>
        <w:t xml:space="preserve"> Characteristics of </w:t>
      </w:r>
      <w:r w:rsidRPr="00846FE8">
        <w:rPr>
          <w:rFonts w:ascii="Book Antiqua" w:hAnsi="Book Antiqua"/>
          <w:b/>
          <w:lang w:val="en-US"/>
        </w:rPr>
        <w:t xml:space="preserve">Inflammatory bowel diseases </w:t>
      </w:r>
      <w:r w:rsidR="00D44C96" w:rsidRPr="00AA2A35">
        <w:rPr>
          <w:rFonts w:ascii="Book Antiqua" w:hAnsi="Book Antiqua"/>
          <w:b/>
          <w:lang w:val="en-US"/>
        </w:rPr>
        <w:t>patients included in the study</w:t>
      </w:r>
    </w:p>
    <w:tbl>
      <w:tblPr>
        <w:tblW w:w="9155" w:type="dxa"/>
        <w:tblCellMar>
          <w:left w:w="70" w:type="dxa"/>
          <w:right w:w="70" w:type="dxa"/>
        </w:tblCellMar>
        <w:tblLook w:val="00A0" w:firstRow="1" w:lastRow="0" w:firstColumn="1" w:lastColumn="0" w:noHBand="0" w:noVBand="0"/>
      </w:tblPr>
      <w:tblGrid>
        <w:gridCol w:w="1875"/>
        <w:gridCol w:w="322"/>
        <w:gridCol w:w="2598"/>
        <w:gridCol w:w="237"/>
        <w:gridCol w:w="1706"/>
        <w:gridCol w:w="278"/>
        <w:gridCol w:w="2139"/>
      </w:tblGrid>
      <w:tr w:rsidR="00D44C96" w:rsidRPr="00AA2A35" w14:paraId="1BDE108A" w14:textId="77777777" w:rsidTr="0071649A">
        <w:trPr>
          <w:trHeight w:val="300"/>
        </w:trPr>
        <w:tc>
          <w:tcPr>
            <w:tcW w:w="1875" w:type="dxa"/>
            <w:tcBorders>
              <w:top w:val="single" w:sz="4" w:space="0" w:color="auto"/>
              <w:bottom w:val="single" w:sz="4" w:space="0" w:color="auto"/>
            </w:tcBorders>
            <w:noWrap/>
            <w:vAlign w:val="bottom"/>
          </w:tcPr>
          <w:p w14:paraId="1CA4A857" w14:textId="77777777" w:rsidR="00D44C96" w:rsidRPr="00846FE8" w:rsidRDefault="00D44C96" w:rsidP="00846FE8">
            <w:pPr>
              <w:spacing w:line="360" w:lineRule="auto"/>
              <w:jc w:val="both"/>
              <w:rPr>
                <w:rFonts w:ascii="Book Antiqua" w:hAnsi="Book Antiqua"/>
                <w:b/>
                <w:color w:val="000000"/>
                <w:lang w:eastAsia="it-IT"/>
              </w:rPr>
            </w:pPr>
            <w:r w:rsidRPr="00846FE8">
              <w:rPr>
                <w:rFonts w:ascii="Book Antiqua" w:eastAsia="MS MinNew Roman" w:hAnsi="Book Antiqua"/>
                <w:b/>
                <w:lang w:val="en-US"/>
              </w:rPr>
              <w:br w:type="page"/>
            </w:r>
            <w:r w:rsidRPr="00846FE8">
              <w:rPr>
                <w:rFonts w:ascii="Book Antiqua" w:hAnsi="Book Antiqua"/>
                <w:b/>
                <w:color w:val="000000"/>
                <w:sz w:val="22"/>
                <w:szCs w:val="22"/>
                <w:lang w:eastAsia="it-IT"/>
              </w:rPr>
              <w:t>Patients (</w:t>
            </w:r>
            <w:r w:rsidRPr="00846FE8">
              <w:rPr>
                <w:rFonts w:ascii="Book Antiqua" w:hAnsi="Book Antiqua"/>
                <w:b/>
                <w:i/>
                <w:color w:val="000000"/>
                <w:sz w:val="22"/>
                <w:szCs w:val="22"/>
                <w:lang w:eastAsia="it-IT"/>
              </w:rPr>
              <w:t>n</w:t>
            </w:r>
            <w:r w:rsidRPr="00846FE8">
              <w:rPr>
                <w:rFonts w:ascii="Book Antiqua" w:hAnsi="Book Antiqua"/>
                <w:b/>
                <w:color w:val="000000"/>
                <w:sz w:val="22"/>
                <w:szCs w:val="22"/>
                <w:lang w:eastAsia="it-IT"/>
              </w:rPr>
              <w:t xml:space="preserve"> = 69)</w:t>
            </w:r>
          </w:p>
        </w:tc>
        <w:tc>
          <w:tcPr>
            <w:tcW w:w="322" w:type="dxa"/>
            <w:tcBorders>
              <w:top w:val="single" w:sz="4" w:space="0" w:color="auto"/>
              <w:bottom w:val="single" w:sz="4" w:space="0" w:color="auto"/>
            </w:tcBorders>
            <w:noWrap/>
            <w:vAlign w:val="bottom"/>
          </w:tcPr>
          <w:p w14:paraId="73DAD9C2" w14:textId="77777777" w:rsidR="00D44C96" w:rsidRPr="00846FE8" w:rsidRDefault="00D44C96" w:rsidP="00846FE8">
            <w:pPr>
              <w:spacing w:line="360" w:lineRule="auto"/>
              <w:jc w:val="both"/>
              <w:rPr>
                <w:rFonts w:ascii="Book Antiqua" w:hAnsi="Book Antiqua"/>
                <w:b/>
                <w:color w:val="000000"/>
                <w:lang w:eastAsia="it-IT"/>
              </w:rPr>
            </w:pPr>
            <w:r w:rsidRPr="00846FE8">
              <w:rPr>
                <w:rFonts w:ascii="Book Antiqua" w:hAnsi="Book Antiqua"/>
                <w:b/>
                <w:color w:val="000000"/>
                <w:sz w:val="22"/>
                <w:szCs w:val="22"/>
                <w:lang w:eastAsia="it-IT"/>
              </w:rPr>
              <w:t> </w:t>
            </w:r>
          </w:p>
        </w:tc>
        <w:tc>
          <w:tcPr>
            <w:tcW w:w="2598" w:type="dxa"/>
            <w:tcBorders>
              <w:top w:val="single" w:sz="4" w:space="0" w:color="auto"/>
              <w:bottom w:val="single" w:sz="4" w:space="0" w:color="auto"/>
            </w:tcBorders>
            <w:noWrap/>
            <w:vAlign w:val="bottom"/>
          </w:tcPr>
          <w:p w14:paraId="2DE0E49C" w14:textId="20A1DD62" w:rsidR="00D44C96" w:rsidRPr="00846FE8" w:rsidRDefault="00D44C96" w:rsidP="00846FE8">
            <w:pPr>
              <w:spacing w:line="360" w:lineRule="auto"/>
              <w:jc w:val="both"/>
              <w:rPr>
                <w:rFonts w:ascii="Book Antiqua" w:hAnsi="Book Antiqua"/>
                <w:b/>
                <w:color w:val="000000"/>
                <w:lang w:eastAsia="it-IT"/>
              </w:rPr>
            </w:pPr>
            <w:r w:rsidRPr="00846FE8">
              <w:rPr>
                <w:rFonts w:ascii="Book Antiqua" w:hAnsi="Book Antiqua"/>
                <w:b/>
                <w:color w:val="000000"/>
                <w:sz w:val="22"/>
                <w:szCs w:val="22"/>
                <w:lang w:eastAsia="it-IT"/>
              </w:rPr>
              <w:t>Age (</w:t>
            </w:r>
            <w:r w:rsidR="00846FE8" w:rsidRPr="00846FE8">
              <w:rPr>
                <w:rFonts w:ascii="Book Antiqua" w:eastAsiaTheme="minorEastAsia" w:hAnsi="Book Antiqua" w:hint="eastAsia"/>
                <w:b/>
                <w:color w:val="000000"/>
                <w:sz w:val="22"/>
                <w:szCs w:val="22"/>
                <w:lang w:eastAsia="zh-CN"/>
              </w:rPr>
              <w:t>yr</w:t>
            </w:r>
            <w:r w:rsidRPr="00846FE8">
              <w:rPr>
                <w:rFonts w:ascii="Book Antiqua" w:hAnsi="Book Antiqua"/>
                <w:b/>
                <w:color w:val="000000"/>
                <w:sz w:val="22"/>
                <w:szCs w:val="22"/>
                <w:lang w:eastAsia="it-IT"/>
              </w:rPr>
              <w:t>) (mean</w:t>
            </w:r>
            <w:r w:rsidR="00846FE8" w:rsidRPr="00846FE8">
              <w:rPr>
                <w:rFonts w:ascii="Book Antiqua" w:eastAsiaTheme="minorEastAsia" w:hAnsi="Book Antiqua" w:hint="eastAsia"/>
                <w:b/>
                <w:color w:val="000000"/>
                <w:sz w:val="22"/>
                <w:szCs w:val="22"/>
                <w:lang w:eastAsia="zh-CN"/>
              </w:rPr>
              <w:t xml:space="preserve"> </w:t>
            </w:r>
            <w:r w:rsidRPr="00846FE8">
              <w:rPr>
                <w:rFonts w:ascii="Book Antiqua" w:hAnsi="Book Antiqua"/>
                <w:b/>
                <w:color w:val="000000"/>
                <w:sz w:val="22"/>
                <w:szCs w:val="22"/>
                <w:lang w:eastAsia="it-IT"/>
              </w:rPr>
              <w:t>±</w:t>
            </w:r>
            <w:r w:rsidR="00846FE8" w:rsidRPr="00846FE8">
              <w:rPr>
                <w:rFonts w:ascii="Book Antiqua" w:eastAsiaTheme="minorEastAsia" w:hAnsi="Book Antiqua" w:hint="eastAsia"/>
                <w:b/>
                <w:color w:val="000000"/>
                <w:sz w:val="22"/>
                <w:szCs w:val="22"/>
                <w:lang w:eastAsia="zh-CN"/>
              </w:rPr>
              <w:t xml:space="preserve"> </w:t>
            </w:r>
            <w:r w:rsidRPr="00846FE8">
              <w:rPr>
                <w:rFonts w:ascii="Book Antiqua" w:hAnsi="Book Antiqua"/>
                <w:b/>
                <w:color w:val="000000"/>
                <w:sz w:val="22"/>
                <w:szCs w:val="22"/>
                <w:lang w:eastAsia="it-IT"/>
              </w:rPr>
              <w:t>SD)</w:t>
            </w:r>
          </w:p>
        </w:tc>
        <w:tc>
          <w:tcPr>
            <w:tcW w:w="237" w:type="dxa"/>
            <w:tcBorders>
              <w:top w:val="single" w:sz="4" w:space="0" w:color="auto"/>
              <w:bottom w:val="single" w:sz="4" w:space="0" w:color="auto"/>
            </w:tcBorders>
            <w:noWrap/>
            <w:vAlign w:val="bottom"/>
          </w:tcPr>
          <w:p w14:paraId="27AEF556" w14:textId="77777777" w:rsidR="00D44C96" w:rsidRPr="00846FE8" w:rsidRDefault="00D44C96" w:rsidP="00846FE8">
            <w:pPr>
              <w:spacing w:line="360" w:lineRule="auto"/>
              <w:jc w:val="both"/>
              <w:rPr>
                <w:rFonts w:ascii="Book Antiqua" w:hAnsi="Book Antiqua"/>
                <w:b/>
                <w:color w:val="000000"/>
                <w:lang w:eastAsia="it-IT"/>
              </w:rPr>
            </w:pPr>
            <w:r w:rsidRPr="00846FE8">
              <w:rPr>
                <w:rFonts w:ascii="Book Antiqua" w:hAnsi="Book Antiqua"/>
                <w:b/>
                <w:color w:val="000000"/>
                <w:sz w:val="22"/>
                <w:szCs w:val="22"/>
                <w:lang w:eastAsia="it-IT"/>
              </w:rPr>
              <w:t> </w:t>
            </w:r>
          </w:p>
        </w:tc>
        <w:tc>
          <w:tcPr>
            <w:tcW w:w="1706" w:type="dxa"/>
            <w:tcBorders>
              <w:top w:val="single" w:sz="4" w:space="0" w:color="auto"/>
              <w:bottom w:val="single" w:sz="4" w:space="0" w:color="auto"/>
            </w:tcBorders>
            <w:noWrap/>
            <w:vAlign w:val="bottom"/>
          </w:tcPr>
          <w:p w14:paraId="7E06B4B6" w14:textId="77777777" w:rsidR="00D44C96" w:rsidRPr="00846FE8" w:rsidRDefault="00D44C96" w:rsidP="00846FE8">
            <w:pPr>
              <w:spacing w:line="360" w:lineRule="auto"/>
              <w:jc w:val="both"/>
              <w:rPr>
                <w:rFonts w:ascii="Book Antiqua" w:hAnsi="Book Antiqua"/>
                <w:b/>
                <w:color w:val="000000"/>
                <w:lang w:eastAsia="it-IT"/>
              </w:rPr>
            </w:pPr>
            <w:r w:rsidRPr="00846FE8">
              <w:rPr>
                <w:rFonts w:ascii="Book Antiqua" w:hAnsi="Book Antiqua"/>
                <w:b/>
                <w:color w:val="000000"/>
                <w:sz w:val="22"/>
                <w:szCs w:val="22"/>
                <w:lang w:eastAsia="it-IT"/>
              </w:rPr>
              <w:t>Male/Female</w:t>
            </w:r>
          </w:p>
        </w:tc>
        <w:tc>
          <w:tcPr>
            <w:tcW w:w="278" w:type="dxa"/>
            <w:tcBorders>
              <w:top w:val="single" w:sz="4" w:space="0" w:color="auto"/>
              <w:bottom w:val="single" w:sz="4" w:space="0" w:color="auto"/>
            </w:tcBorders>
            <w:noWrap/>
            <w:vAlign w:val="bottom"/>
          </w:tcPr>
          <w:p w14:paraId="624FAD77" w14:textId="77777777" w:rsidR="00D44C96" w:rsidRPr="00846FE8" w:rsidRDefault="00D44C96" w:rsidP="00846FE8">
            <w:pPr>
              <w:spacing w:line="360" w:lineRule="auto"/>
              <w:jc w:val="both"/>
              <w:rPr>
                <w:rFonts w:ascii="Book Antiqua" w:hAnsi="Book Antiqua"/>
                <w:b/>
                <w:color w:val="000000"/>
                <w:lang w:eastAsia="it-IT"/>
              </w:rPr>
            </w:pPr>
            <w:r w:rsidRPr="00846FE8">
              <w:rPr>
                <w:rFonts w:ascii="Book Antiqua" w:hAnsi="Book Antiqua"/>
                <w:b/>
                <w:color w:val="000000"/>
                <w:sz w:val="22"/>
                <w:szCs w:val="22"/>
                <w:lang w:eastAsia="it-IT"/>
              </w:rPr>
              <w:t> </w:t>
            </w:r>
          </w:p>
        </w:tc>
        <w:tc>
          <w:tcPr>
            <w:tcW w:w="2139" w:type="dxa"/>
            <w:tcBorders>
              <w:top w:val="single" w:sz="4" w:space="0" w:color="auto"/>
              <w:bottom w:val="single" w:sz="4" w:space="0" w:color="auto"/>
            </w:tcBorders>
            <w:noWrap/>
            <w:vAlign w:val="bottom"/>
          </w:tcPr>
          <w:p w14:paraId="25BE981B" w14:textId="77777777" w:rsidR="00D44C96" w:rsidRPr="00846FE8" w:rsidRDefault="00D44C96" w:rsidP="00846FE8">
            <w:pPr>
              <w:spacing w:line="360" w:lineRule="auto"/>
              <w:jc w:val="both"/>
              <w:rPr>
                <w:rFonts w:ascii="Book Antiqua" w:hAnsi="Book Antiqua"/>
                <w:b/>
                <w:color w:val="000000"/>
                <w:lang w:eastAsia="it-IT"/>
              </w:rPr>
            </w:pPr>
            <w:r w:rsidRPr="00846FE8">
              <w:rPr>
                <w:rFonts w:ascii="Book Antiqua" w:hAnsi="Book Antiqua"/>
                <w:b/>
                <w:color w:val="000000"/>
                <w:sz w:val="22"/>
                <w:szCs w:val="22"/>
                <w:lang w:eastAsia="it-IT"/>
              </w:rPr>
              <w:t>Active/Remission</w:t>
            </w:r>
          </w:p>
        </w:tc>
      </w:tr>
      <w:tr w:rsidR="00D44C96" w:rsidRPr="00AA2A35" w14:paraId="6CC994CA" w14:textId="77777777" w:rsidTr="0071649A">
        <w:trPr>
          <w:trHeight w:val="300"/>
        </w:trPr>
        <w:tc>
          <w:tcPr>
            <w:tcW w:w="1875" w:type="dxa"/>
            <w:noWrap/>
            <w:vAlign w:val="bottom"/>
          </w:tcPr>
          <w:p w14:paraId="208E9789" w14:textId="77777777" w:rsidR="00D44C96" w:rsidRPr="00AA2A35" w:rsidRDefault="00D44C96" w:rsidP="00846FE8">
            <w:pPr>
              <w:spacing w:line="360" w:lineRule="auto"/>
              <w:jc w:val="both"/>
              <w:rPr>
                <w:rFonts w:ascii="Book Antiqua" w:hAnsi="Book Antiqua"/>
                <w:color w:val="000000"/>
                <w:lang w:eastAsia="it-IT"/>
              </w:rPr>
            </w:pPr>
            <w:r w:rsidRPr="00AA2A35">
              <w:rPr>
                <w:rFonts w:ascii="Book Antiqua" w:hAnsi="Book Antiqua"/>
                <w:color w:val="000000"/>
                <w:sz w:val="22"/>
                <w:szCs w:val="22"/>
                <w:lang w:eastAsia="it-IT"/>
              </w:rPr>
              <w:t>CD (</w:t>
            </w:r>
            <w:r w:rsidRPr="00AA2A35">
              <w:rPr>
                <w:rFonts w:ascii="Book Antiqua" w:hAnsi="Book Antiqua"/>
                <w:i/>
                <w:color w:val="000000"/>
                <w:sz w:val="22"/>
                <w:szCs w:val="22"/>
                <w:lang w:eastAsia="it-IT"/>
              </w:rPr>
              <w:t>n</w:t>
            </w:r>
            <w:r w:rsidRPr="00AA2A35">
              <w:rPr>
                <w:rFonts w:ascii="Book Antiqua" w:hAnsi="Book Antiqua"/>
                <w:color w:val="000000"/>
                <w:sz w:val="22"/>
                <w:szCs w:val="22"/>
                <w:lang w:eastAsia="it-IT"/>
              </w:rPr>
              <w:t xml:space="preserve"> = 38)</w:t>
            </w:r>
          </w:p>
        </w:tc>
        <w:tc>
          <w:tcPr>
            <w:tcW w:w="322" w:type="dxa"/>
            <w:noWrap/>
            <w:vAlign w:val="bottom"/>
          </w:tcPr>
          <w:p w14:paraId="19582DDA" w14:textId="77777777" w:rsidR="00D44C96" w:rsidRPr="00AA2A35" w:rsidRDefault="00D44C96" w:rsidP="00846FE8">
            <w:pPr>
              <w:spacing w:line="360" w:lineRule="auto"/>
              <w:jc w:val="both"/>
              <w:rPr>
                <w:rFonts w:ascii="Book Antiqua" w:hAnsi="Book Antiqua"/>
                <w:color w:val="000000"/>
                <w:lang w:eastAsia="it-IT"/>
              </w:rPr>
            </w:pPr>
            <w:r w:rsidRPr="00AA2A35">
              <w:rPr>
                <w:rFonts w:ascii="Book Antiqua" w:hAnsi="Book Antiqua"/>
                <w:color w:val="000000"/>
                <w:sz w:val="22"/>
                <w:szCs w:val="22"/>
                <w:lang w:eastAsia="it-IT"/>
              </w:rPr>
              <w:t> </w:t>
            </w:r>
          </w:p>
        </w:tc>
        <w:tc>
          <w:tcPr>
            <w:tcW w:w="2598" w:type="dxa"/>
            <w:noWrap/>
            <w:vAlign w:val="bottom"/>
          </w:tcPr>
          <w:p w14:paraId="66E3B7D2" w14:textId="7E9E770E" w:rsidR="00D44C96" w:rsidRPr="00AA2A35" w:rsidRDefault="00D44C96" w:rsidP="00846FE8">
            <w:pPr>
              <w:spacing w:line="360" w:lineRule="auto"/>
              <w:jc w:val="both"/>
              <w:rPr>
                <w:rFonts w:ascii="Book Antiqua" w:hAnsi="Book Antiqua"/>
                <w:color w:val="000000"/>
                <w:lang w:eastAsia="it-IT"/>
              </w:rPr>
            </w:pPr>
            <w:r w:rsidRPr="00AA2A35">
              <w:rPr>
                <w:rFonts w:ascii="Book Antiqua" w:hAnsi="Book Antiqua"/>
                <w:color w:val="000000"/>
                <w:sz w:val="22"/>
                <w:szCs w:val="22"/>
                <w:lang w:eastAsia="it-IT"/>
              </w:rPr>
              <w:t>13</w:t>
            </w:r>
            <w:r w:rsidR="00846FE8">
              <w:rPr>
                <w:rFonts w:ascii="Book Antiqua" w:eastAsiaTheme="minorEastAsia" w:hAnsi="Book Antiqua" w:hint="eastAsia"/>
                <w:color w:val="000000"/>
                <w:sz w:val="22"/>
                <w:szCs w:val="22"/>
                <w:lang w:eastAsia="zh-CN"/>
              </w:rPr>
              <w:t xml:space="preserve"> </w:t>
            </w:r>
            <w:r w:rsidRPr="00AA2A35">
              <w:rPr>
                <w:rFonts w:ascii="Book Antiqua" w:hAnsi="Book Antiqua"/>
                <w:color w:val="000000"/>
                <w:sz w:val="22"/>
                <w:szCs w:val="22"/>
                <w:lang w:eastAsia="it-IT"/>
              </w:rPr>
              <w:t>±</w:t>
            </w:r>
            <w:r w:rsidR="00846FE8">
              <w:rPr>
                <w:rFonts w:ascii="Book Antiqua" w:eastAsiaTheme="minorEastAsia" w:hAnsi="Book Antiqua" w:hint="eastAsia"/>
                <w:color w:val="000000"/>
                <w:sz w:val="22"/>
                <w:szCs w:val="22"/>
                <w:lang w:eastAsia="zh-CN"/>
              </w:rPr>
              <w:t xml:space="preserve"> </w:t>
            </w:r>
            <w:r w:rsidRPr="00AA2A35">
              <w:rPr>
                <w:rFonts w:ascii="Book Antiqua" w:hAnsi="Book Antiqua"/>
                <w:color w:val="000000"/>
                <w:sz w:val="22"/>
                <w:szCs w:val="22"/>
                <w:lang w:eastAsia="it-IT"/>
              </w:rPr>
              <w:t>4</w:t>
            </w:r>
            <w:r w:rsidR="00846FE8">
              <w:rPr>
                <w:rFonts w:ascii="Book Antiqua" w:eastAsiaTheme="minorEastAsia" w:hAnsi="Book Antiqua" w:hint="eastAsia"/>
                <w:color w:val="000000"/>
                <w:sz w:val="22"/>
                <w:szCs w:val="22"/>
                <w:lang w:eastAsia="zh-CN"/>
              </w:rPr>
              <w:t>.</w:t>
            </w:r>
            <w:r w:rsidRPr="00AA2A35">
              <w:rPr>
                <w:rFonts w:ascii="Book Antiqua" w:hAnsi="Book Antiqua"/>
                <w:color w:val="000000"/>
                <w:sz w:val="22"/>
                <w:szCs w:val="22"/>
                <w:lang w:eastAsia="it-IT"/>
              </w:rPr>
              <w:t>47</w:t>
            </w:r>
          </w:p>
        </w:tc>
        <w:tc>
          <w:tcPr>
            <w:tcW w:w="237" w:type="dxa"/>
            <w:noWrap/>
            <w:vAlign w:val="bottom"/>
          </w:tcPr>
          <w:p w14:paraId="490FD2E6" w14:textId="77777777" w:rsidR="00D44C96" w:rsidRPr="00AA2A35" w:rsidRDefault="00D44C96" w:rsidP="00846FE8">
            <w:pPr>
              <w:spacing w:line="360" w:lineRule="auto"/>
              <w:jc w:val="both"/>
              <w:rPr>
                <w:rFonts w:ascii="Book Antiqua" w:hAnsi="Book Antiqua"/>
                <w:color w:val="000000"/>
                <w:lang w:eastAsia="it-IT"/>
              </w:rPr>
            </w:pPr>
            <w:r w:rsidRPr="00AA2A35">
              <w:rPr>
                <w:rFonts w:ascii="Book Antiqua" w:hAnsi="Book Antiqua"/>
                <w:color w:val="000000"/>
                <w:sz w:val="22"/>
                <w:szCs w:val="22"/>
                <w:lang w:eastAsia="it-IT"/>
              </w:rPr>
              <w:t> </w:t>
            </w:r>
          </w:p>
        </w:tc>
        <w:tc>
          <w:tcPr>
            <w:tcW w:w="1706" w:type="dxa"/>
            <w:noWrap/>
            <w:vAlign w:val="bottom"/>
          </w:tcPr>
          <w:p w14:paraId="7F1A92B3" w14:textId="77777777" w:rsidR="00D44C96" w:rsidRPr="00AA2A35" w:rsidRDefault="00D44C96" w:rsidP="00846FE8">
            <w:pPr>
              <w:spacing w:line="360" w:lineRule="auto"/>
              <w:jc w:val="both"/>
              <w:rPr>
                <w:rFonts w:ascii="Book Antiqua" w:hAnsi="Book Antiqua"/>
                <w:color w:val="000000"/>
                <w:lang w:eastAsia="it-IT"/>
              </w:rPr>
            </w:pPr>
            <w:r w:rsidRPr="00AA2A35">
              <w:rPr>
                <w:rFonts w:ascii="Book Antiqua" w:hAnsi="Book Antiqua"/>
                <w:color w:val="000000"/>
                <w:sz w:val="22"/>
                <w:szCs w:val="22"/>
                <w:lang w:eastAsia="it-IT"/>
              </w:rPr>
              <w:t>25/13</w:t>
            </w:r>
          </w:p>
        </w:tc>
        <w:tc>
          <w:tcPr>
            <w:tcW w:w="278" w:type="dxa"/>
            <w:noWrap/>
            <w:vAlign w:val="bottom"/>
          </w:tcPr>
          <w:p w14:paraId="397AD25E" w14:textId="77777777" w:rsidR="00D44C96" w:rsidRPr="00AA2A35" w:rsidRDefault="00D44C96" w:rsidP="00846FE8">
            <w:pPr>
              <w:spacing w:line="360" w:lineRule="auto"/>
              <w:jc w:val="both"/>
              <w:rPr>
                <w:rFonts w:ascii="Book Antiqua" w:hAnsi="Book Antiqua"/>
                <w:color w:val="000000"/>
                <w:lang w:eastAsia="it-IT"/>
              </w:rPr>
            </w:pPr>
            <w:r w:rsidRPr="00AA2A35">
              <w:rPr>
                <w:rFonts w:ascii="Book Antiqua" w:hAnsi="Book Antiqua"/>
                <w:color w:val="000000"/>
                <w:sz w:val="22"/>
                <w:szCs w:val="22"/>
                <w:lang w:eastAsia="it-IT"/>
              </w:rPr>
              <w:t> </w:t>
            </w:r>
          </w:p>
        </w:tc>
        <w:tc>
          <w:tcPr>
            <w:tcW w:w="2139" w:type="dxa"/>
            <w:noWrap/>
            <w:vAlign w:val="bottom"/>
          </w:tcPr>
          <w:p w14:paraId="37E52502" w14:textId="77777777" w:rsidR="00D44C96" w:rsidRPr="00AA2A35" w:rsidRDefault="00D44C96" w:rsidP="00846FE8">
            <w:pPr>
              <w:spacing w:line="360" w:lineRule="auto"/>
              <w:jc w:val="both"/>
              <w:rPr>
                <w:rFonts w:ascii="Book Antiqua" w:hAnsi="Book Antiqua"/>
                <w:color w:val="000000"/>
                <w:lang w:eastAsia="it-IT"/>
              </w:rPr>
            </w:pPr>
            <w:r w:rsidRPr="00AA2A35">
              <w:rPr>
                <w:rFonts w:ascii="Book Antiqua" w:hAnsi="Book Antiqua"/>
                <w:color w:val="000000"/>
                <w:sz w:val="22"/>
                <w:szCs w:val="22"/>
                <w:lang w:eastAsia="it-IT"/>
              </w:rPr>
              <w:t xml:space="preserve">18/20 </w:t>
            </w:r>
          </w:p>
        </w:tc>
      </w:tr>
      <w:tr w:rsidR="00D44C96" w:rsidRPr="00AA2A35" w14:paraId="231560CD" w14:textId="77777777" w:rsidTr="0071649A">
        <w:trPr>
          <w:trHeight w:val="300"/>
        </w:trPr>
        <w:tc>
          <w:tcPr>
            <w:tcW w:w="1875" w:type="dxa"/>
            <w:tcBorders>
              <w:bottom w:val="single" w:sz="4" w:space="0" w:color="auto"/>
            </w:tcBorders>
            <w:noWrap/>
            <w:vAlign w:val="bottom"/>
          </w:tcPr>
          <w:p w14:paraId="158ACA13" w14:textId="77777777" w:rsidR="00D44C96" w:rsidRPr="00AA2A35" w:rsidRDefault="00D44C96" w:rsidP="00846FE8">
            <w:pPr>
              <w:spacing w:line="360" w:lineRule="auto"/>
              <w:jc w:val="both"/>
              <w:rPr>
                <w:rFonts w:ascii="Book Antiqua" w:hAnsi="Book Antiqua"/>
                <w:color w:val="000000"/>
                <w:lang w:eastAsia="it-IT"/>
              </w:rPr>
            </w:pPr>
            <w:r w:rsidRPr="00AA2A35">
              <w:rPr>
                <w:rFonts w:ascii="Book Antiqua" w:hAnsi="Book Antiqua"/>
                <w:color w:val="000000"/>
                <w:sz w:val="22"/>
                <w:szCs w:val="22"/>
                <w:lang w:eastAsia="it-IT"/>
              </w:rPr>
              <w:t>UC (</w:t>
            </w:r>
            <w:r w:rsidRPr="00AA2A35">
              <w:rPr>
                <w:rFonts w:ascii="Book Antiqua" w:hAnsi="Book Antiqua"/>
                <w:i/>
                <w:color w:val="000000"/>
                <w:sz w:val="22"/>
                <w:szCs w:val="22"/>
                <w:lang w:eastAsia="it-IT"/>
              </w:rPr>
              <w:t>n</w:t>
            </w:r>
            <w:r w:rsidRPr="00AA2A35">
              <w:rPr>
                <w:rFonts w:ascii="Book Antiqua" w:hAnsi="Book Antiqua"/>
                <w:color w:val="000000"/>
                <w:sz w:val="22"/>
                <w:szCs w:val="22"/>
                <w:lang w:eastAsia="it-IT"/>
              </w:rPr>
              <w:t xml:space="preserve"> = 31)</w:t>
            </w:r>
          </w:p>
        </w:tc>
        <w:tc>
          <w:tcPr>
            <w:tcW w:w="322" w:type="dxa"/>
            <w:tcBorders>
              <w:bottom w:val="single" w:sz="4" w:space="0" w:color="auto"/>
            </w:tcBorders>
            <w:noWrap/>
            <w:vAlign w:val="bottom"/>
          </w:tcPr>
          <w:p w14:paraId="0876EEE8" w14:textId="77777777" w:rsidR="00D44C96" w:rsidRPr="00AA2A35" w:rsidRDefault="00D44C96" w:rsidP="00846FE8">
            <w:pPr>
              <w:spacing w:line="360" w:lineRule="auto"/>
              <w:jc w:val="both"/>
              <w:rPr>
                <w:rFonts w:ascii="Book Antiqua" w:hAnsi="Book Antiqua"/>
                <w:color w:val="000000"/>
                <w:lang w:eastAsia="it-IT"/>
              </w:rPr>
            </w:pPr>
            <w:r w:rsidRPr="00AA2A35">
              <w:rPr>
                <w:rFonts w:ascii="Book Antiqua" w:hAnsi="Book Antiqua"/>
                <w:color w:val="000000"/>
                <w:sz w:val="22"/>
                <w:szCs w:val="22"/>
                <w:lang w:eastAsia="it-IT"/>
              </w:rPr>
              <w:t> </w:t>
            </w:r>
          </w:p>
        </w:tc>
        <w:tc>
          <w:tcPr>
            <w:tcW w:w="2598" w:type="dxa"/>
            <w:tcBorders>
              <w:bottom w:val="single" w:sz="4" w:space="0" w:color="auto"/>
            </w:tcBorders>
            <w:noWrap/>
            <w:vAlign w:val="bottom"/>
          </w:tcPr>
          <w:p w14:paraId="55B7F001" w14:textId="20A67A74" w:rsidR="00D44C96" w:rsidRPr="00AA2A35" w:rsidRDefault="00D44C96" w:rsidP="00846FE8">
            <w:pPr>
              <w:spacing w:line="360" w:lineRule="auto"/>
              <w:jc w:val="both"/>
              <w:rPr>
                <w:rFonts w:ascii="Book Antiqua" w:hAnsi="Book Antiqua"/>
                <w:color w:val="000000"/>
                <w:lang w:eastAsia="it-IT"/>
              </w:rPr>
            </w:pPr>
            <w:r w:rsidRPr="00AA2A35">
              <w:rPr>
                <w:rFonts w:ascii="Book Antiqua" w:hAnsi="Book Antiqua"/>
                <w:color w:val="000000"/>
                <w:sz w:val="22"/>
                <w:szCs w:val="22"/>
                <w:lang w:eastAsia="it-IT"/>
              </w:rPr>
              <w:t>13</w:t>
            </w:r>
            <w:r w:rsidR="00846FE8">
              <w:rPr>
                <w:rFonts w:ascii="Book Antiqua" w:eastAsiaTheme="minorEastAsia" w:hAnsi="Book Antiqua" w:hint="eastAsia"/>
                <w:color w:val="000000"/>
                <w:sz w:val="22"/>
                <w:szCs w:val="22"/>
                <w:lang w:eastAsia="zh-CN"/>
              </w:rPr>
              <w:t xml:space="preserve"> </w:t>
            </w:r>
            <w:r w:rsidRPr="00AA2A35">
              <w:rPr>
                <w:rFonts w:ascii="Book Antiqua" w:hAnsi="Book Antiqua"/>
                <w:color w:val="000000"/>
                <w:sz w:val="22"/>
                <w:szCs w:val="22"/>
                <w:lang w:eastAsia="it-IT"/>
              </w:rPr>
              <w:t>±</w:t>
            </w:r>
            <w:r w:rsidR="00846FE8">
              <w:rPr>
                <w:rFonts w:ascii="Book Antiqua" w:eastAsiaTheme="minorEastAsia" w:hAnsi="Book Antiqua" w:hint="eastAsia"/>
                <w:color w:val="000000"/>
                <w:sz w:val="22"/>
                <w:szCs w:val="22"/>
                <w:lang w:eastAsia="zh-CN"/>
              </w:rPr>
              <w:t xml:space="preserve"> </w:t>
            </w:r>
            <w:r w:rsidRPr="00AA2A35">
              <w:rPr>
                <w:rFonts w:ascii="Book Antiqua" w:hAnsi="Book Antiqua"/>
                <w:color w:val="000000"/>
                <w:sz w:val="22"/>
                <w:szCs w:val="22"/>
                <w:lang w:eastAsia="it-IT"/>
              </w:rPr>
              <w:t>5</w:t>
            </w:r>
            <w:r w:rsidR="00846FE8">
              <w:rPr>
                <w:rFonts w:ascii="Book Antiqua" w:eastAsiaTheme="minorEastAsia" w:hAnsi="Book Antiqua" w:hint="eastAsia"/>
                <w:color w:val="000000"/>
                <w:sz w:val="22"/>
                <w:szCs w:val="22"/>
                <w:lang w:eastAsia="zh-CN"/>
              </w:rPr>
              <w:t>.</w:t>
            </w:r>
            <w:r w:rsidRPr="00AA2A35">
              <w:rPr>
                <w:rFonts w:ascii="Book Antiqua" w:hAnsi="Book Antiqua"/>
                <w:color w:val="000000"/>
                <w:sz w:val="22"/>
                <w:szCs w:val="22"/>
                <w:lang w:eastAsia="it-IT"/>
              </w:rPr>
              <w:t>13</w:t>
            </w:r>
          </w:p>
        </w:tc>
        <w:tc>
          <w:tcPr>
            <w:tcW w:w="237" w:type="dxa"/>
            <w:tcBorders>
              <w:bottom w:val="single" w:sz="4" w:space="0" w:color="auto"/>
            </w:tcBorders>
            <w:noWrap/>
            <w:vAlign w:val="bottom"/>
          </w:tcPr>
          <w:p w14:paraId="0C7F3946" w14:textId="77777777" w:rsidR="00D44C96" w:rsidRPr="00AA2A35" w:rsidRDefault="00D44C96" w:rsidP="00846FE8">
            <w:pPr>
              <w:spacing w:line="360" w:lineRule="auto"/>
              <w:jc w:val="both"/>
              <w:rPr>
                <w:rFonts w:ascii="Book Antiqua" w:hAnsi="Book Antiqua"/>
                <w:color w:val="000000"/>
                <w:lang w:eastAsia="it-IT"/>
              </w:rPr>
            </w:pPr>
            <w:r w:rsidRPr="00AA2A35">
              <w:rPr>
                <w:rFonts w:ascii="Book Antiqua" w:hAnsi="Book Antiqua"/>
                <w:color w:val="000000"/>
                <w:sz w:val="22"/>
                <w:szCs w:val="22"/>
                <w:lang w:eastAsia="it-IT"/>
              </w:rPr>
              <w:t> </w:t>
            </w:r>
          </w:p>
        </w:tc>
        <w:tc>
          <w:tcPr>
            <w:tcW w:w="1706" w:type="dxa"/>
            <w:tcBorders>
              <w:bottom w:val="single" w:sz="4" w:space="0" w:color="auto"/>
            </w:tcBorders>
            <w:noWrap/>
            <w:vAlign w:val="bottom"/>
          </w:tcPr>
          <w:p w14:paraId="07C4DCEB" w14:textId="77777777" w:rsidR="00D44C96" w:rsidRPr="00AA2A35" w:rsidRDefault="00D44C96" w:rsidP="00846FE8">
            <w:pPr>
              <w:spacing w:line="360" w:lineRule="auto"/>
              <w:jc w:val="both"/>
              <w:rPr>
                <w:rFonts w:ascii="Book Antiqua" w:hAnsi="Book Antiqua"/>
                <w:color w:val="000000"/>
                <w:lang w:eastAsia="it-IT"/>
              </w:rPr>
            </w:pPr>
            <w:r w:rsidRPr="00AA2A35">
              <w:rPr>
                <w:rFonts w:ascii="Book Antiqua" w:hAnsi="Book Antiqua"/>
                <w:color w:val="000000"/>
                <w:sz w:val="22"/>
                <w:szCs w:val="22"/>
                <w:lang w:eastAsia="it-IT"/>
              </w:rPr>
              <w:t>15/16</w:t>
            </w:r>
          </w:p>
        </w:tc>
        <w:tc>
          <w:tcPr>
            <w:tcW w:w="278" w:type="dxa"/>
            <w:tcBorders>
              <w:bottom w:val="single" w:sz="4" w:space="0" w:color="auto"/>
            </w:tcBorders>
            <w:noWrap/>
            <w:vAlign w:val="bottom"/>
          </w:tcPr>
          <w:p w14:paraId="265BD679" w14:textId="77777777" w:rsidR="00D44C96" w:rsidRPr="00AA2A35" w:rsidRDefault="00D44C96" w:rsidP="00846FE8">
            <w:pPr>
              <w:spacing w:line="360" w:lineRule="auto"/>
              <w:jc w:val="both"/>
              <w:rPr>
                <w:rFonts w:ascii="Book Antiqua" w:hAnsi="Book Antiqua"/>
                <w:color w:val="000000"/>
                <w:lang w:eastAsia="it-IT"/>
              </w:rPr>
            </w:pPr>
            <w:r w:rsidRPr="00AA2A35">
              <w:rPr>
                <w:rFonts w:ascii="Book Antiqua" w:hAnsi="Book Antiqua"/>
                <w:color w:val="000000"/>
                <w:sz w:val="22"/>
                <w:szCs w:val="22"/>
                <w:lang w:eastAsia="it-IT"/>
              </w:rPr>
              <w:t> </w:t>
            </w:r>
          </w:p>
        </w:tc>
        <w:tc>
          <w:tcPr>
            <w:tcW w:w="2139" w:type="dxa"/>
            <w:tcBorders>
              <w:bottom w:val="single" w:sz="4" w:space="0" w:color="auto"/>
            </w:tcBorders>
            <w:noWrap/>
            <w:vAlign w:val="bottom"/>
          </w:tcPr>
          <w:p w14:paraId="2C3FB527" w14:textId="77777777" w:rsidR="00D44C96" w:rsidRPr="00AA2A35" w:rsidRDefault="00D44C96" w:rsidP="00846FE8">
            <w:pPr>
              <w:spacing w:line="360" w:lineRule="auto"/>
              <w:jc w:val="both"/>
              <w:rPr>
                <w:rFonts w:ascii="Book Antiqua" w:hAnsi="Book Antiqua"/>
                <w:color w:val="000000"/>
                <w:lang w:eastAsia="it-IT"/>
              </w:rPr>
            </w:pPr>
            <w:r w:rsidRPr="00AA2A35">
              <w:rPr>
                <w:rFonts w:ascii="Book Antiqua" w:hAnsi="Book Antiqua"/>
                <w:color w:val="000000"/>
                <w:sz w:val="22"/>
                <w:szCs w:val="22"/>
                <w:lang w:eastAsia="it-IT"/>
              </w:rPr>
              <w:t xml:space="preserve">19/12 </w:t>
            </w:r>
          </w:p>
        </w:tc>
      </w:tr>
    </w:tbl>
    <w:p w14:paraId="062F64D4" w14:textId="4E9DE414" w:rsidR="00D44C96" w:rsidRPr="00846FE8" w:rsidRDefault="00D44C96" w:rsidP="00D14265">
      <w:pPr>
        <w:jc w:val="both"/>
        <w:rPr>
          <w:rFonts w:ascii="Book Antiqua" w:eastAsiaTheme="minorEastAsia" w:hAnsi="Book Antiqua"/>
          <w:lang w:eastAsia="zh-CN"/>
        </w:rPr>
      </w:pPr>
      <w:r w:rsidRPr="00AA2A35">
        <w:rPr>
          <w:rFonts w:ascii="Book Antiqua" w:hAnsi="Book Antiqua"/>
        </w:rPr>
        <w:t xml:space="preserve">CD: Crohn’s </w:t>
      </w:r>
      <w:r w:rsidR="00846FE8" w:rsidRPr="00AA2A35">
        <w:rPr>
          <w:rFonts w:ascii="Book Antiqua" w:hAnsi="Book Antiqua"/>
        </w:rPr>
        <w:t>disease</w:t>
      </w:r>
      <w:r w:rsidRPr="00AA2A35">
        <w:rPr>
          <w:rFonts w:ascii="Book Antiqua" w:hAnsi="Book Antiqua"/>
        </w:rPr>
        <w:t xml:space="preserve">; UC: Ulcerative </w:t>
      </w:r>
      <w:r w:rsidR="00846FE8" w:rsidRPr="00AA2A35">
        <w:rPr>
          <w:rFonts w:ascii="Book Antiqua" w:hAnsi="Book Antiqua"/>
        </w:rPr>
        <w:t>colitis</w:t>
      </w:r>
      <w:r w:rsidR="00846FE8">
        <w:rPr>
          <w:rFonts w:ascii="Book Antiqua" w:eastAsiaTheme="minorEastAsia" w:hAnsi="Book Antiqua" w:hint="eastAsia"/>
          <w:lang w:eastAsia="zh-CN"/>
        </w:rPr>
        <w:t>.</w:t>
      </w:r>
    </w:p>
    <w:p w14:paraId="633BD003" w14:textId="77777777" w:rsidR="00D44C96" w:rsidRPr="00846FE8" w:rsidRDefault="00D44C96" w:rsidP="00D14265">
      <w:pPr>
        <w:jc w:val="both"/>
        <w:rPr>
          <w:rFonts w:ascii="Book Antiqua" w:hAnsi="Book Antiqua"/>
        </w:rPr>
      </w:pPr>
    </w:p>
    <w:p w14:paraId="08A7E95F" w14:textId="77777777" w:rsidR="00D44C96" w:rsidRPr="00AA2A35" w:rsidRDefault="00D44C96" w:rsidP="00D14265">
      <w:pPr>
        <w:jc w:val="both"/>
        <w:rPr>
          <w:rFonts w:ascii="Book Antiqua" w:hAnsi="Book Antiqua"/>
          <w:lang w:val="en-US"/>
        </w:rPr>
      </w:pPr>
      <w:r w:rsidRPr="00AA2A35">
        <w:rPr>
          <w:rFonts w:ascii="Book Antiqua" w:hAnsi="Book Antiqua"/>
          <w:lang w:val="en-US"/>
        </w:rPr>
        <w:br w:type="page"/>
      </w:r>
    </w:p>
    <w:p w14:paraId="2CB092AB" w14:textId="2173A2DD" w:rsidR="00D44C96" w:rsidRPr="00AA2A35" w:rsidRDefault="00846FE8" w:rsidP="00D14265">
      <w:pPr>
        <w:spacing w:line="360" w:lineRule="auto"/>
        <w:jc w:val="both"/>
        <w:rPr>
          <w:rFonts w:ascii="Book Antiqua" w:hAnsi="Book Antiqua"/>
          <w:b/>
          <w:lang w:val="en-US"/>
        </w:rPr>
      </w:pPr>
      <w:r>
        <w:rPr>
          <w:rFonts w:ascii="Book Antiqua" w:hAnsi="Book Antiqua"/>
          <w:b/>
          <w:lang w:val="en-US"/>
        </w:rPr>
        <w:lastRenderedPageBreak/>
        <w:t>Table 2</w:t>
      </w:r>
      <w:r>
        <w:rPr>
          <w:rFonts w:ascii="Book Antiqua" w:eastAsiaTheme="minorEastAsia" w:hAnsi="Book Antiqua" w:hint="eastAsia"/>
          <w:b/>
          <w:lang w:val="en-US" w:eastAsia="zh-CN"/>
        </w:rPr>
        <w:t xml:space="preserve"> </w:t>
      </w:r>
      <w:r w:rsidR="00D44C96" w:rsidRPr="00AA2A35">
        <w:rPr>
          <w:rFonts w:ascii="Book Antiqua" w:hAnsi="Book Antiqua"/>
          <w:b/>
          <w:i/>
          <w:lang w:val="en-US"/>
        </w:rPr>
        <w:t>NOD2</w:t>
      </w:r>
      <w:r w:rsidR="00D44C96" w:rsidRPr="00AA2A35">
        <w:rPr>
          <w:rFonts w:ascii="Book Antiqua" w:hAnsi="Book Antiqua"/>
          <w:b/>
          <w:lang w:val="en-US"/>
        </w:rPr>
        <w:t xml:space="preserve"> genotype analysis in </w:t>
      </w:r>
      <w:r w:rsidRPr="00846FE8">
        <w:rPr>
          <w:rFonts w:ascii="Book Antiqua" w:hAnsi="Book Antiqua"/>
          <w:b/>
          <w:lang w:val="en-US"/>
        </w:rPr>
        <w:t xml:space="preserve">Crohn’s disease </w:t>
      </w:r>
      <w:r w:rsidR="00D44C96" w:rsidRPr="00AA2A35">
        <w:rPr>
          <w:rFonts w:ascii="Book Antiqua" w:hAnsi="Book Antiqua"/>
          <w:b/>
          <w:lang w:val="en-US"/>
        </w:rPr>
        <w:t xml:space="preserve">patients </w:t>
      </w:r>
    </w:p>
    <w:tbl>
      <w:tblPr>
        <w:tblW w:w="6237" w:type="dxa"/>
        <w:jc w:val="center"/>
        <w:tblLayout w:type="fixed"/>
        <w:tblCellMar>
          <w:left w:w="70" w:type="dxa"/>
          <w:right w:w="70" w:type="dxa"/>
        </w:tblCellMar>
        <w:tblLook w:val="0000" w:firstRow="0" w:lastRow="0" w:firstColumn="0" w:lastColumn="0" w:noHBand="0" w:noVBand="0"/>
      </w:tblPr>
      <w:tblGrid>
        <w:gridCol w:w="287"/>
        <w:gridCol w:w="1556"/>
        <w:gridCol w:w="1720"/>
        <w:gridCol w:w="1275"/>
        <w:gridCol w:w="1399"/>
      </w:tblGrid>
      <w:tr w:rsidR="00D44C96" w:rsidRPr="00AA2A35" w14:paraId="1E0CE02B" w14:textId="77777777" w:rsidTr="0071649A">
        <w:trPr>
          <w:trHeight w:val="718"/>
          <w:jc w:val="center"/>
        </w:trPr>
        <w:tc>
          <w:tcPr>
            <w:tcW w:w="287" w:type="dxa"/>
            <w:tcBorders>
              <w:top w:val="single" w:sz="4" w:space="0" w:color="auto"/>
              <w:bottom w:val="single" w:sz="4" w:space="0" w:color="auto"/>
            </w:tcBorders>
          </w:tcPr>
          <w:p w14:paraId="0CF76398" w14:textId="77777777" w:rsidR="00D44C96" w:rsidRPr="00AA2A35" w:rsidRDefault="00D44C96" w:rsidP="00D14265">
            <w:pPr>
              <w:jc w:val="both"/>
              <w:rPr>
                <w:rFonts w:ascii="Book Antiqua" w:hAnsi="Book Antiqua" w:cs="Arial"/>
                <w:b/>
                <w:bCs/>
                <w:color w:val="000000"/>
                <w:lang w:val="en-US" w:eastAsia="it-IT"/>
              </w:rPr>
            </w:pPr>
          </w:p>
        </w:tc>
        <w:tc>
          <w:tcPr>
            <w:tcW w:w="1556" w:type="dxa"/>
            <w:tcBorders>
              <w:top w:val="single" w:sz="4" w:space="0" w:color="auto"/>
              <w:bottom w:val="single" w:sz="4" w:space="0" w:color="auto"/>
            </w:tcBorders>
          </w:tcPr>
          <w:p w14:paraId="09B47DE9" w14:textId="77777777" w:rsidR="00D44C96" w:rsidRPr="00AA2A35" w:rsidRDefault="00D44C96" w:rsidP="00D14265">
            <w:pPr>
              <w:jc w:val="both"/>
              <w:rPr>
                <w:rFonts w:ascii="Book Antiqua" w:hAnsi="Book Antiqua" w:cs="Arial"/>
                <w:b/>
                <w:bCs/>
                <w:color w:val="000000"/>
                <w:lang w:val="en-US" w:eastAsia="it-IT"/>
              </w:rPr>
            </w:pPr>
          </w:p>
          <w:p w14:paraId="6C4F1641" w14:textId="77777777" w:rsidR="00D44C96" w:rsidRPr="00AA2A35" w:rsidRDefault="00D44C96" w:rsidP="00D14265">
            <w:pPr>
              <w:jc w:val="both"/>
              <w:rPr>
                <w:rFonts w:ascii="Book Antiqua" w:hAnsi="Book Antiqua" w:cs="Arial"/>
                <w:b/>
                <w:bCs/>
                <w:color w:val="000000"/>
                <w:lang w:eastAsia="it-IT"/>
              </w:rPr>
            </w:pPr>
            <w:r w:rsidRPr="00AA2A35">
              <w:rPr>
                <w:rFonts w:ascii="Book Antiqua" w:hAnsi="Book Antiqua" w:cs="Arial"/>
                <w:b/>
                <w:bCs/>
                <w:color w:val="000000"/>
                <w:lang w:eastAsia="it-IT"/>
              </w:rPr>
              <w:t>CD Patient</w:t>
            </w:r>
          </w:p>
        </w:tc>
        <w:tc>
          <w:tcPr>
            <w:tcW w:w="4394" w:type="dxa"/>
            <w:gridSpan w:val="3"/>
            <w:tcBorders>
              <w:top w:val="single" w:sz="4" w:space="0" w:color="auto"/>
              <w:bottom w:val="single" w:sz="4" w:space="0" w:color="auto"/>
            </w:tcBorders>
          </w:tcPr>
          <w:p w14:paraId="3115A7D0" w14:textId="77777777" w:rsidR="00D44C96" w:rsidRPr="00AA2A35" w:rsidRDefault="00D44C96" w:rsidP="00D14265">
            <w:pPr>
              <w:jc w:val="both"/>
              <w:rPr>
                <w:rFonts w:ascii="Book Antiqua" w:eastAsia="MS MinNew Roman" w:hAnsi="Book Antiqua"/>
                <w:b/>
              </w:rPr>
            </w:pPr>
          </w:p>
          <w:p w14:paraId="26D39521" w14:textId="77777777" w:rsidR="00D44C96" w:rsidRPr="00AA2A35" w:rsidRDefault="00D44C96" w:rsidP="00D14265">
            <w:pPr>
              <w:jc w:val="both"/>
              <w:rPr>
                <w:rFonts w:ascii="Book Antiqua" w:eastAsia="MS MinNew Roman" w:hAnsi="Book Antiqua"/>
                <w:b/>
              </w:rPr>
            </w:pPr>
            <w:r w:rsidRPr="00AA2A35">
              <w:rPr>
                <w:rFonts w:ascii="Book Antiqua" w:eastAsia="MS MinNew Roman" w:hAnsi="Book Antiqua"/>
                <w:b/>
                <w:i/>
              </w:rPr>
              <w:t>NOD2</w:t>
            </w:r>
            <w:r w:rsidRPr="00AA2A35">
              <w:rPr>
                <w:rFonts w:ascii="Book Antiqua" w:eastAsia="MS MinNew Roman" w:hAnsi="Book Antiqua"/>
                <w:b/>
              </w:rPr>
              <w:t xml:space="preserve"> Genotypes</w:t>
            </w:r>
          </w:p>
        </w:tc>
      </w:tr>
      <w:tr w:rsidR="00D44C96" w:rsidRPr="00AA2A35" w14:paraId="6839CAF2" w14:textId="77777777" w:rsidTr="0071649A">
        <w:trPr>
          <w:trHeight w:val="866"/>
          <w:jc w:val="center"/>
        </w:trPr>
        <w:tc>
          <w:tcPr>
            <w:tcW w:w="1843" w:type="dxa"/>
            <w:gridSpan w:val="2"/>
            <w:tcBorders>
              <w:top w:val="single" w:sz="4" w:space="0" w:color="auto"/>
            </w:tcBorders>
            <w:vAlign w:val="bottom"/>
          </w:tcPr>
          <w:p w14:paraId="6F00888A" w14:textId="77777777" w:rsidR="00D44C96" w:rsidRPr="00AA2A35" w:rsidRDefault="00D44C96" w:rsidP="00D14265">
            <w:pPr>
              <w:jc w:val="both"/>
              <w:rPr>
                <w:rFonts w:ascii="Book Antiqua" w:eastAsia="MS MinNew Roman" w:hAnsi="Book Antiqua"/>
                <w:color w:val="000000"/>
                <w:lang w:eastAsia="it-IT"/>
              </w:rPr>
            </w:pPr>
            <w:r w:rsidRPr="00AA2A35">
              <w:rPr>
                <w:rFonts w:ascii="Book Antiqua" w:eastAsia="MS MinNew Roman" w:hAnsi="Book Antiqua"/>
                <w:color w:val="000000"/>
              </w:rPr>
              <w:t xml:space="preserve">    </w:t>
            </w:r>
          </w:p>
        </w:tc>
        <w:tc>
          <w:tcPr>
            <w:tcW w:w="1720" w:type="dxa"/>
            <w:tcBorders>
              <w:top w:val="single" w:sz="4" w:space="0" w:color="auto"/>
            </w:tcBorders>
            <w:vAlign w:val="bottom"/>
          </w:tcPr>
          <w:p w14:paraId="02831BCF" w14:textId="77777777" w:rsidR="00D44C96" w:rsidRPr="00AA2A35" w:rsidRDefault="00D44C96" w:rsidP="00D14265">
            <w:pPr>
              <w:jc w:val="both"/>
              <w:rPr>
                <w:rFonts w:ascii="Book Antiqua" w:hAnsi="Book Antiqua" w:cs="Arial"/>
                <w:color w:val="000000"/>
                <w:lang w:eastAsia="it-IT"/>
              </w:rPr>
            </w:pPr>
            <w:r w:rsidRPr="00AA2A35">
              <w:rPr>
                <w:rFonts w:ascii="Book Antiqua" w:hAnsi="Book Antiqua" w:cs="Arial"/>
                <w:color w:val="000000"/>
                <w:lang w:eastAsia="it-IT"/>
              </w:rPr>
              <w:t>Ex. 4</w:t>
            </w:r>
          </w:p>
          <w:p w14:paraId="7ACE8978" w14:textId="77777777" w:rsidR="00D44C96" w:rsidRPr="00AA2A35" w:rsidRDefault="00D44C96" w:rsidP="00D14265">
            <w:pPr>
              <w:jc w:val="both"/>
              <w:rPr>
                <w:rFonts w:ascii="Book Antiqua" w:hAnsi="Book Antiqua" w:cs="Arial"/>
                <w:color w:val="000000"/>
                <w:lang w:eastAsia="it-IT"/>
              </w:rPr>
            </w:pPr>
            <w:r w:rsidRPr="00AA2A35">
              <w:rPr>
                <w:rFonts w:ascii="Book Antiqua" w:hAnsi="Book Antiqua" w:cs="Arial"/>
                <w:color w:val="000000"/>
                <w:lang w:eastAsia="it-IT"/>
              </w:rPr>
              <w:t>C&gt;T</w:t>
            </w:r>
          </w:p>
          <w:p w14:paraId="607CC66B" w14:textId="77777777" w:rsidR="00D44C96" w:rsidRPr="00AA2A35" w:rsidRDefault="00D44C96" w:rsidP="00D14265">
            <w:pPr>
              <w:jc w:val="both"/>
              <w:rPr>
                <w:rFonts w:ascii="Book Antiqua" w:hAnsi="Book Antiqua" w:cs="Arial"/>
                <w:color w:val="000000"/>
                <w:lang w:eastAsia="it-IT"/>
              </w:rPr>
            </w:pPr>
            <w:r w:rsidRPr="00AA2A35">
              <w:rPr>
                <w:rFonts w:ascii="Book Antiqua" w:hAnsi="Book Antiqua" w:cs="Arial"/>
                <w:color w:val="000000"/>
                <w:lang w:eastAsia="it-IT"/>
              </w:rPr>
              <w:t>R702W</w:t>
            </w:r>
          </w:p>
        </w:tc>
        <w:tc>
          <w:tcPr>
            <w:tcW w:w="1275" w:type="dxa"/>
            <w:tcBorders>
              <w:top w:val="single" w:sz="4" w:space="0" w:color="auto"/>
            </w:tcBorders>
            <w:vAlign w:val="bottom"/>
          </w:tcPr>
          <w:p w14:paraId="2DD4D129" w14:textId="77777777" w:rsidR="00D44C96" w:rsidRPr="00AA2A35" w:rsidRDefault="00D44C96" w:rsidP="00D14265">
            <w:pPr>
              <w:jc w:val="both"/>
              <w:rPr>
                <w:rFonts w:ascii="Book Antiqua" w:hAnsi="Book Antiqua" w:cs="Arial"/>
                <w:color w:val="000000"/>
                <w:lang w:eastAsia="it-IT"/>
              </w:rPr>
            </w:pPr>
            <w:r w:rsidRPr="00AA2A35">
              <w:rPr>
                <w:rFonts w:ascii="Book Antiqua" w:hAnsi="Book Antiqua" w:cs="Arial"/>
                <w:color w:val="000000"/>
                <w:lang w:eastAsia="it-IT"/>
              </w:rPr>
              <w:t>Ex. 8</w:t>
            </w:r>
          </w:p>
          <w:p w14:paraId="5868E703" w14:textId="77777777" w:rsidR="00D44C96" w:rsidRPr="00AA2A35" w:rsidRDefault="00D44C96" w:rsidP="00D14265">
            <w:pPr>
              <w:jc w:val="both"/>
              <w:rPr>
                <w:rFonts w:ascii="Book Antiqua" w:hAnsi="Book Antiqua" w:cs="Arial"/>
                <w:color w:val="000000"/>
                <w:lang w:eastAsia="it-IT"/>
              </w:rPr>
            </w:pPr>
            <w:r w:rsidRPr="00AA2A35">
              <w:rPr>
                <w:rFonts w:ascii="Book Antiqua" w:hAnsi="Book Antiqua" w:cs="Arial"/>
                <w:color w:val="000000"/>
                <w:lang w:eastAsia="it-IT"/>
              </w:rPr>
              <w:t>G&gt;C</w:t>
            </w:r>
          </w:p>
          <w:p w14:paraId="4B73451E" w14:textId="77777777" w:rsidR="00D44C96" w:rsidRPr="00AA2A35" w:rsidRDefault="00D44C96" w:rsidP="00D14265">
            <w:pPr>
              <w:jc w:val="both"/>
              <w:rPr>
                <w:rFonts w:ascii="Book Antiqua" w:hAnsi="Book Antiqua" w:cs="Arial"/>
                <w:color w:val="000000"/>
                <w:lang w:eastAsia="it-IT"/>
              </w:rPr>
            </w:pPr>
            <w:r w:rsidRPr="00AA2A35">
              <w:rPr>
                <w:rFonts w:ascii="Book Antiqua" w:hAnsi="Book Antiqua" w:cs="Arial"/>
                <w:color w:val="000000"/>
                <w:lang w:eastAsia="it-IT"/>
              </w:rPr>
              <w:t xml:space="preserve">G908R   </w:t>
            </w:r>
          </w:p>
        </w:tc>
        <w:tc>
          <w:tcPr>
            <w:tcW w:w="1399" w:type="dxa"/>
            <w:tcBorders>
              <w:top w:val="single" w:sz="4" w:space="0" w:color="auto"/>
            </w:tcBorders>
            <w:vAlign w:val="bottom"/>
          </w:tcPr>
          <w:p w14:paraId="202F6060" w14:textId="77777777" w:rsidR="00D44C96" w:rsidRPr="00AA2A35" w:rsidRDefault="00D44C96" w:rsidP="00D14265">
            <w:pPr>
              <w:jc w:val="both"/>
              <w:rPr>
                <w:rFonts w:ascii="Book Antiqua" w:hAnsi="Book Antiqua" w:cs="Arial"/>
                <w:color w:val="000000"/>
                <w:lang w:eastAsia="it-IT"/>
              </w:rPr>
            </w:pPr>
            <w:r w:rsidRPr="00AA2A35">
              <w:rPr>
                <w:rFonts w:ascii="Book Antiqua" w:hAnsi="Book Antiqua" w:cs="Arial"/>
                <w:color w:val="000000"/>
                <w:lang w:eastAsia="it-IT"/>
              </w:rPr>
              <w:t>Ex. 11</w:t>
            </w:r>
          </w:p>
          <w:p w14:paraId="5490F97F" w14:textId="77777777" w:rsidR="00D44C96" w:rsidRPr="00AA2A35" w:rsidRDefault="00D44C96" w:rsidP="00D14265">
            <w:pPr>
              <w:jc w:val="both"/>
              <w:rPr>
                <w:rFonts w:ascii="Book Antiqua" w:hAnsi="Book Antiqua" w:cs="Arial"/>
                <w:color w:val="000000"/>
                <w:lang w:eastAsia="it-IT"/>
              </w:rPr>
            </w:pPr>
            <w:r w:rsidRPr="00AA2A35">
              <w:rPr>
                <w:rFonts w:ascii="Book Antiqua" w:hAnsi="Book Antiqua" w:cs="Arial"/>
                <w:color w:val="000000"/>
                <w:lang w:eastAsia="it-IT"/>
              </w:rPr>
              <w:t>InsC</w:t>
            </w:r>
          </w:p>
          <w:p w14:paraId="58C066EF" w14:textId="77777777" w:rsidR="00D44C96" w:rsidRPr="00AA2A35" w:rsidRDefault="00D44C96" w:rsidP="00D14265">
            <w:pPr>
              <w:jc w:val="both"/>
              <w:rPr>
                <w:rFonts w:ascii="Book Antiqua" w:hAnsi="Book Antiqua" w:cs="Arial"/>
                <w:color w:val="000000"/>
                <w:lang w:eastAsia="it-IT"/>
              </w:rPr>
            </w:pPr>
            <w:r w:rsidRPr="00AA2A35">
              <w:rPr>
                <w:rFonts w:ascii="Book Antiqua" w:hAnsi="Book Antiqua" w:cs="Arial"/>
                <w:color w:val="000000"/>
                <w:lang w:eastAsia="it-IT"/>
              </w:rPr>
              <w:t>L1007Pfs*2</w:t>
            </w:r>
          </w:p>
        </w:tc>
      </w:tr>
      <w:tr w:rsidR="00D44C96" w:rsidRPr="00AA2A35" w14:paraId="6D6C878E" w14:textId="77777777" w:rsidTr="0071649A">
        <w:trPr>
          <w:trHeight w:val="391"/>
          <w:jc w:val="center"/>
        </w:trPr>
        <w:tc>
          <w:tcPr>
            <w:tcW w:w="1843" w:type="dxa"/>
            <w:gridSpan w:val="2"/>
            <w:noWrap/>
            <w:vAlign w:val="bottom"/>
          </w:tcPr>
          <w:p w14:paraId="0C2B83E1" w14:textId="77777777" w:rsidR="00D44C96" w:rsidRPr="00AA2A35" w:rsidRDefault="00D44C96" w:rsidP="00D14265">
            <w:pPr>
              <w:jc w:val="both"/>
              <w:rPr>
                <w:rFonts w:ascii="Book Antiqua" w:hAnsi="Book Antiqua" w:cs="Arial"/>
                <w:bCs/>
                <w:lang w:eastAsia="it-IT"/>
              </w:rPr>
            </w:pPr>
            <w:r w:rsidRPr="00AA2A35">
              <w:rPr>
                <w:rFonts w:ascii="Book Antiqua" w:hAnsi="Book Antiqua" w:cs="Arial"/>
                <w:bCs/>
                <w:lang w:eastAsia="it-IT"/>
              </w:rPr>
              <w:t>03</w:t>
            </w:r>
          </w:p>
        </w:tc>
        <w:tc>
          <w:tcPr>
            <w:tcW w:w="1720" w:type="dxa"/>
            <w:vAlign w:val="bottom"/>
          </w:tcPr>
          <w:p w14:paraId="7C6EF9AB" w14:textId="77777777" w:rsidR="00D44C96" w:rsidRPr="00AA2A35" w:rsidRDefault="00D44C96" w:rsidP="00D14265">
            <w:pPr>
              <w:jc w:val="both"/>
              <w:rPr>
                <w:rFonts w:ascii="Book Antiqua" w:hAnsi="Book Antiqua" w:cs="Arial"/>
                <w:lang w:eastAsia="it-IT"/>
              </w:rPr>
            </w:pPr>
            <w:r w:rsidRPr="00AA2A35">
              <w:rPr>
                <w:rFonts w:ascii="Book Antiqua" w:hAnsi="Book Antiqua" w:cs="Arial"/>
                <w:lang w:eastAsia="it-IT"/>
              </w:rPr>
              <w:t>C/C</w:t>
            </w:r>
          </w:p>
        </w:tc>
        <w:tc>
          <w:tcPr>
            <w:tcW w:w="1275" w:type="dxa"/>
            <w:vAlign w:val="bottom"/>
          </w:tcPr>
          <w:p w14:paraId="486D1865" w14:textId="77777777" w:rsidR="00D44C96" w:rsidRPr="00AA2A35" w:rsidRDefault="00D44C96" w:rsidP="00D14265">
            <w:pPr>
              <w:jc w:val="both"/>
              <w:rPr>
                <w:rFonts w:ascii="Book Antiqua" w:hAnsi="Book Antiqua" w:cs="Arial"/>
                <w:lang w:eastAsia="it-IT"/>
              </w:rPr>
            </w:pPr>
            <w:r w:rsidRPr="00AA2A35">
              <w:rPr>
                <w:rFonts w:ascii="Book Antiqua" w:hAnsi="Book Antiqua" w:cs="Arial"/>
                <w:lang w:eastAsia="it-IT"/>
              </w:rPr>
              <w:t>G/G</w:t>
            </w:r>
          </w:p>
        </w:tc>
        <w:tc>
          <w:tcPr>
            <w:tcW w:w="1399" w:type="dxa"/>
            <w:vAlign w:val="bottom"/>
          </w:tcPr>
          <w:p w14:paraId="1C4DBD86" w14:textId="77777777" w:rsidR="00D44C96" w:rsidRPr="00AA2A35" w:rsidRDefault="00D44C96" w:rsidP="00D14265">
            <w:pPr>
              <w:jc w:val="both"/>
              <w:rPr>
                <w:rFonts w:ascii="Book Antiqua" w:hAnsi="Book Antiqua" w:cs="Arial"/>
                <w:b/>
                <w:lang w:eastAsia="it-IT"/>
              </w:rPr>
            </w:pPr>
            <w:r w:rsidRPr="00AA2A35">
              <w:rPr>
                <w:rFonts w:ascii="Book Antiqua" w:hAnsi="Book Antiqua" w:cs="Arial"/>
                <w:b/>
                <w:lang w:eastAsia="it-IT"/>
              </w:rPr>
              <w:t>InsC/-</w:t>
            </w:r>
          </w:p>
        </w:tc>
      </w:tr>
      <w:tr w:rsidR="00D44C96" w:rsidRPr="00AA2A35" w14:paraId="600CF627" w14:textId="77777777" w:rsidTr="0071649A">
        <w:trPr>
          <w:trHeight w:val="300"/>
          <w:jc w:val="center"/>
        </w:trPr>
        <w:tc>
          <w:tcPr>
            <w:tcW w:w="1843" w:type="dxa"/>
            <w:gridSpan w:val="2"/>
            <w:noWrap/>
            <w:vAlign w:val="bottom"/>
          </w:tcPr>
          <w:p w14:paraId="77995688" w14:textId="77777777" w:rsidR="00D44C96" w:rsidRPr="00AA2A35" w:rsidRDefault="00D44C96" w:rsidP="00D14265">
            <w:pPr>
              <w:jc w:val="both"/>
              <w:rPr>
                <w:rFonts w:ascii="Book Antiqua" w:hAnsi="Book Antiqua" w:cs="Arial"/>
                <w:bCs/>
                <w:lang w:eastAsia="it-IT"/>
              </w:rPr>
            </w:pPr>
            <w:r w:rsidRPr="00AA2A35">
              <w:rPr>
                <w:rFonts w:ascii="Book Antiqua" w:hAnsi="Book Antiqua" w:cs="Arial"/>
                <w:bCs/>
                <w:lang w:eastAsia="it-IT"/>
              </w:rPr>
              <w:t>04</w:t>
            </w:r>
          </w:p>
        </w:tc>
        <w:tc>
          <w:tcPr>
            <w:tcW w:w="1720" w:type="dxa"/>
            <w:vAlign w:val="bottom"/>
          </w:tcPr>
          <w:p w14:paraId="50999AAA" w14:textId="77777777" w:rsidR="00D44C96" w:rsidRPr="00AA2A35" w:rsidRDefault="00D44C96" w:rsidP="00D14265">
            <w:pPr>
              <w:jc w:val="both"/>
              <w:rPr>
                <w:rFonts w:ascii="Book Antiqua" w:hAnsi="Book Antiqua" w:cs="Arial"/>
                <w:b/>
                <w:lang w:eastAsia="it-IT"/>
              </w:rPr>
            </w:pPr>
            <w:r w:rsidRPr="00AA2A35">
              <w:rPr>
                <w:rFonts w:ascii="Book Antiqua" w:hAnsi="Book Antiqua" w:cs="Arial"/>
                <w:b/>
                <w:lang w:eastAsia="it-IT"/>
              </w:rPr>
              <w:t>T/T</w:t>
            </w:r>
          </w:p>
        </w:tc>
        <w:tc>
          <w:tcPr>
            <w:tcW w:w="1275" w:type="dxa"/>
            <w:vAlign w:val="bottom"/>
          </w:tcPr>
          <w:p w14:paraId="2FCF3DF5" w14:textId="77777777" w:rsidR="00D44C96" w:rsidRPr="00AA2A35" w:rsidRDefault="00D44C96" w:rsidP="00D14265">
            <w:pPr>
              <w:jc w:val="both"/>
              <w:rPr>
                <w:rFonts w:ascii="Book Antiqua" w:hAnsi="Book Antiqua" w:cs="Arial"/>
                <w:lang w:eastAsia="it-IT"/>
              </w:rPr>
            </w:pPr>
            <w:r w:rsidRPr="00AA2A35">
              <w:rPr>
                <w:rFonts w:ascii="Book Antiqua" w:hAnsi="Book Antiqua" w:cs="Arial"/>
                <w:lang w:eastAsia="it-IT"/>
              </w:rPr>
              <w:t>G/G</w:t>
            </w:r>
          </w:p>
        </w:tc>
        <w:tc>
          <w:tcPr>
            <w:tcW w:w="1399" w:type="dxa"/>
            <w:vAlign w:val="bottom"/>
          </w:tcPr>
          <w:p w14:paraId="3C889D72" w14:textId="77777777" w:rsidR="00D44C96" w:rsidRPr="00AA2A35" w:rsidRDefault="00D44C96" w:rsidP="00D14265">
            <w:pPr>
              <w:jc w:val="both"/>
              <w:rPr>
                <w:rFonts w:ascii="Book Antiqua" w:hAnsi="Book Antiqua" w:cs="Arial"/>
                <w:lang w:eastAsia="it-IT"/>
              </w:rPr>
            </w:pPr>
            <w:r w:rsidRPr="00AA2A35">
              <w:rPr>
                <w:rFonts w:ascii="Book Antiqua" w:hAnsi="Book Antiqua" w:cs="Arial"/>
                <w:lang w:eastAsia="it-IT"/>
              </w:rPr>
              <w:t>-/-</w:t>
            </w:r>
          </w:p>
        </w:tc>
      </w:tr>
      <w:tr w:rsidR="00D44C96" w:rsidRPr="00AA2A35" w14:paraId="0FF29DB2" w14:textId="77777777" w:rsidTr="0071649A">
        <w:trPr>
          <w:trHeight w:val="300"/>
          <w:jc w:val="center"/>
        </w:trPr>
        <w:tc>
          <w:tcPr>
            <w:tcW w:w="1843" w:type="dxa"/>
            <w:gridSpan w:val="2"/>
            <w:noWrap/>
            <w:vAlign w:val="bottom"/>
          </w:tcPr>
          <w:p w14:paraId="6C4C2AE7" w14:textId="77777777" w:rsidR="00D44C96" w:rsidRPr="00AA2A35" w:rsidRDefault="00D44C96" w:rsidP="00D14265">
            <w:pPr>
              <w:jc w:val="both"/>
              <w:rPr>
                <w:rFonts w:ascii="Book Antiqua" w:hAnsi="Book Antiqua" w:cs="Arial"/>
                <w:bCs/>
                <w:lang w:eastAsia="it-IT"/>
              </w:rPr>
            </w:pPr>
            <w:r w:rsidRPr="00AA2A35">
              <w:rPr>
                <w:rFonts w:ascii="Book Antiqua" w:hAnsi="Book Antiqua" w:cs="Arial"/>
                <w:bCs/>
                <w:lang w:eastAsia="it-IT"/>
              </w:rPr>
              <w:t>07</w:t>
            </w:r>
          </w:p>
        </w:tc>
        <w:tc>
          <w:tcPr>
            <w:tcW w:w="1720" w:type="dxa"/>
            <w:vAlign w:val="bottom"/>
          </w:tcPr>
          <w:p w14:paraId="4116DFF8" w14:textId="77777777" w:rsidR="00D44C96" w:rsidRPr="00AA2A35" w:rsidRDefault="00D44C96" w:rsidP="00D14265">
            <w:pPr>
              <w:jc w:val="both"/>
              <w:rPr>
                <w:rFonts w:ascii="Book Antiqua" w:hAnsi="Book Antiqua" w:cs="Arial"/>
                <w:b/>
                <w:lang w:eastAsia="it-IT"/>
              </w:rPr>
            </w:pPr>
            <w:r w:rsidRPr="00AA2A35">
              <w:rPr>
                <w:rFonts w:ascii="Book Antiqua" w:hAnsi="Book Antiqua" w:cs="Arial"/>
                <w:b/>
                <w:lang w:eastAsia="it-IT"/>
              </w:rPr>
              <w:t>C/T</w:t>
            </w:r>
          </w:p>
        </w:tc>
        <w:tc>
          <w:tcPr>
            <w:tcW w:w="1275" w:type="dxa"/>
            <w:vAlign w:val="bottom"/>
          </w:tcPr>
          <w:p w14:paraId="259B1745" w14:textId="77777777" w:rsidR="00D44C96" w:rsidRPr="00AA2A35" w:rsidRDefault="00D44C96" w:rsidP="00D14265">
            <w:pPr>
              <w:jc w:val="both"/>
              <w:rPr>
                <w:rFonts w:ascii="Book Antiqua" w:hAnsi="Book Antiqua" w:cs="Arial"/>
                <w:lang w:eastAsia="it-IT"/>
              </w:rPr>
            </w:pPr>
            <w:r w:rsidRPr="00AA2A35">
              <w:rPr>
                <w:rFonts w:ascii="Book Antiqua" w:hAnsi="Book Antiqua" w:cs="Arial"/>
                <w:lang w:eastAsia="it-IT"/>
              </w:rPr>
              <w:t>G/G</w:t>
            </w:r>
          </w:p>
        </w:tc>
        <w:tc>
          <w:tcPr>
            <w:tcW w:w="1399" w:type="dxa"/>
            <w:vAlign w:val="bottom"/>
          </w:tcPr>
          <w:p w14:paraId="49D8744E" w14:textId="77777777" w:rsidR="00D44C96" w:rsidRPr="00AA2A35" w:rsidRDefault="00D44C96" w:rsidP="00D14265">
            <w:pPr>
              <w:jc w:val="both"/>
              <w:rPr>
                <w:rFonts w:ascii="Book Antiqua" w:hAnsi="Book Antiqua" w:cs="Arial"/>
                <w:b/>
                <w:lang w:eastAsia="it-IT"/>
              </w:rPr>
            </w:pPr>
            <w:r w:rsidRPr="00AA2A35">
              <w:rPr>
                <w:rFonts w:ascii="Book Antiqua" w:hAnsi="Book Antiqua" w:cs="Arial"/>
                <w:b/>
                <w:lang w:eastAsia="it-IT"/>
              </w:rPr>
              <w:t>InsC/-</w:t>
            </w:r>
          </w:p>
        </w:tc>
      </w:tr>
      <w:tr w:rsidR="00D44C96" w:rsidRPr="00AA2A35" w14:paraId="70A4C13F" w14:textId="77777777" w:rsidTr="0071649A">
        <w:trPr>
          <w:trHeight w:val="300"/>
          <w:jc w:val="center"/>
        </w:trPr>
        <w:tc>
          <w:tcPr>
            <w:tcW w:w="1843" w:type="dxa"/>
            <w:gridSpan w:val="2"/>
            <w:noWrap/>
            <w:vAlign w:val="bottom"/>
          </w:tcPr>
          <w:p w14:paraId="69986278" w14:textId="77777777" w:rsidR="00D44C96" w:rsidRPr="00AA2A35" w:rsidRDefault="00D44C96" w:rsidP="00D14265">
            <w:pPr>
              <w:jc w:val="both"/>
              <w:rPr>
                <w:rFonts w:ascii="Book Antiqua" w:hAnsi="Book Antiqua" w:cs="Arial"/>
                <w:bCs/>
                <w:lang w:eastAsia="it-IT"/>
              </w:rPr>
            </w:pPr>
            <w:r w:rsidRPr="00AA2A35">
              <w:rPr>
                <w:rFonts w:ascii="Book Antiqua" w:hAnsi="Book Antiqua" w:cs="Arial"/>
                <w:bCs/>
                <w:lang w:eastAsia="it-IT"/>
              </w:rPr>
              <w:t>14</w:t>
            </w:r>
          </w:p>
        </w:tc>
        <w:tc>
          <w:tcPr>
            <w:tcW w:w="1720" w:type="dxa"/>
            <w:vAlign w:val="bottom"/>
          </w:tcPr>
          <w:p w14:paraId="16068743" w14:textId="77777777" w:rsidR="00D44C96" w:rsidRPr="00AA2A35" w:rsidRDefault="00D44C96" w:rsidP="00D14265">
            <w:pPr>
              <w:jc w:val="both"/>
              <w:rPr>
                <w:rFonts w:ascii="Book Antiqua" w:hAnsi="Book Antiqua" w:cs="Arial"/>
                <w:lang w:eastAsia="it-IT"/>
              </w:rPr>
            </w:pPr>
            <w:r w:rsidRPr="00AA2A35">
              <w:rPr>
                <w:rFonts w:ascii="Book Antiqua" w:hAnsi="Book Antiqua" w:cs="Arial"/>
                <w:lang w:eastAsia="it-IT"/>
              </w:rPr>
              <w:t>C/C</w:t>
            </w:r>
          </w:p>
        </w:tc>
        <w:tc>
          <w:tcPr>
            <w:tcW w:w="1275" w:type="dxa"/>
            <w:vAlign w:val="bottom"/>
          </w:tcPr>
          <w:p w14:paraId="137FDDE0" w14:textId="77777777" w:rsidR="00D44C96" w:rsidRPr="00AA2A35" w:rsidRDefault="00D44C96" w:rsidP="00D14265">
            <w:pPr>
              <w:jc w:val="both"/>
              <w:rPr>
                <w:rFonts w:ascii="Book Antiqua" w:hAnsi="Book Antiqua" w:cs="Arial"/>
                <w:b/>
                <w:lang w:eastAsia="it-IT"/>
              </w:rPr>
            </w:pPr>
            <w:r w:rsidRPr="00AA2A35">
              <w:rPr>
                <w:rFonts w:ascii="Book Antiqua" w:hAnsi="Book Antiqua" w:cs="Arial"/>
                <w:b/>
                <w:lang w:eastAsia="it-IT"/>
              </w:rPr>
              <w:t>G/C</w:t>
            </w:r>
          </w:p>
        </w:tc>
        <w:tc>
          <w:tcPr>
            <w:tcW w:w="1399" w:type="dxa"/>
            <w:vAlign w:val="bottom"/>
          </w:tcPr>
          <w:p w14:paraId="2B6F8742" w14:textId="77777777" w:rsidR="00D44C96" w:rsidRPr="00AA2A35" w:rsidRDefault="00D44C96" w:rsidP="00D14265">
            <w:pPr>
              <w:jc w:val="both"/>
              <w:rPr>
                <w:rFonts w:ascii="Book Antiqua" w:hAnsi="Book Antiqua" w:cs="Arial"/>
                <w:lang w:eastAsia="it-IT"/>
              </w:rPr>
            </w:pPr>
            <w:r w:rsidRPr="00AA2A35">
              <w:rPr>
                <w:rFonts w:ascii="Book Antiqua" w:hAnsi="Book Antiqua" w:cs="Arial"/>
                <w:lang w:eastAsia="it-IT"/>
              </w:rPr>
              <w:t>-/-</w:t>
            </w:r>
          </w:p>
        </w:tc>
      </w:tr>
      <w:tr w:rsidR="00D44C96" w:rsidRPr="00AA2A35" w14:paraId="19ABAF0A" w14:textId="77777777" w:rsidTr="0071649A">
        <w:trPr>
          <w:trHeight w:val="300"/>
          <w:jc w:val="center"/>
        </w:trPr>
        <w:tc>
          <w:tcPr>
            <w:tcW w:w="1843" w:type="dxa"/>
            <w:gridSpan w:val="2"/>
            <w:noWrap/>
            <w:vAlign w:val="bottom"/>
          </w:tcPr>
          <w:p w14:paraId="7B9678A8" w14:textId="77777777" w:rsidR="00D44C96" w:rsidRPr="00AA2A35" w:rsidRDefault="00D44C96" w:rsidP="00D14265">
            <w:pPr>
              <w:jc w:val="both"/>
              <w:rPr>
                <w:rFonts w:ascii="Book Antiqua" w:hAnsi="Book Antiqua" w:cs="Arial"/>
                <w:bCs/>
                <w:lang w:eastAsia="it-IT"/>
              </w:rPr>
            </w:pPr>
            <w:r w:rsidRPr="00AA2A35">
              <w:rPr>
                <w:rFonts w:ascii="Book Antiqua" w:hAnsi="Book Antiqua" w:cs="Arial"/>
                <w:bCs/>
                <w:lang w:eastAsia="it-IT"/>
              </w:rPr>
              <w:t>18</w:t>
            </w:r>
          </w:p>
        </w:tc>
        <w:tc>
          <w:tcPr>
            <w:tcW w:w="1720" w:type="dxa"/>
            <w:vAlign w:val="bottom"/>
          </w:tcPr>
          <w:p w14:paraId="569FBF17" w14:textId="77777777" w:rsidR="00D44C96" w:rsidRPr="00AA2A35" w:rsidRDefault="00D44C96" w:rsidP="00D14265">
            <w:pPr>
              <w:jc w:val="both"/>
              <w:rPr>
                <w:rFonts w:ascii="Book Antiqua" w:hAnsi="Book Antiqua" w:cs="Arial"/>
                <w:lang w:eastAsia="it-IT"/>
              </w:rPr>
            </w:pPr>
            <w:r w:rsidRPr="00AA2A35">
              <w:rPr>
                <w:rFonts w:ascii="Book Antiqua" w:hAnsi="Book Antiqua" w:cs="Arial"/>
                <w:lang w:eastAsia="it-IT"/>
              </w:rPr>
              <w:t>C/C</w:t>
            </w:r>
          </w:p>
        </w:tc>
        <w:tc>
          <w:tcPr>
            <w:tcW w:w="1275" w:type="dxa"/>
            <w:vAlign w:val="bottom"/>
          </w:tcPr>
          <w:p w14:paraId="4972AB26" w14:textId="77777777" w:rsidR="00D44C96" w:rsidRPr="00AA2A35" w:rsidRDefault="00D44C96" w:rsidP="00D14265">
            <w:pPr>
              <w:jc w:val="both"/>
              <w:rPr>
                <w:rFonts w:ascii="Book Antiqua" w:hAnsi="Book Antiqua" w:cs="Arial"/>
                <w:b/>
                <w:lang w:eastAsia="it-IT"/>
              </w:rPr>
            </w:pPr>
            <w:r w:rsidRPr="00AA2A35">
              <w:rPr>
                <w:rFonts w:ascii="Book Antiqua" w:hAnsi="Book Antiqua" w:cs="Arial"/>
                <w:b/>
                <w:lang w:eastAsia="it-IT"/>
              </w:rPr>
              <w:t>G/C</w:t>
            </w:r>
          </w:p>
        </w:tc>
        <w:tc>
          <w:tcPr>
            <w:tcW w:w="1399" w:type="dxa"/>
            <w:vAlign w:val="bottom"/>
          </w:tcPr>
          <w:p w14:paraId="4F1CA9D2" w14:textId="77777777" w:rsidR="00D44C96" w:rsidRPr="00AA2A35" w:rsidRDefault="00D44C96" w:rsidP="00D14265">
            <w:pPr>
              <w:jc w:val="both"/>
              <w:rPr>
                <w:rFonts w:ascii="Book Antiqua" w:hAnsi="Book Antiqua" w:cs="Arial"/>
                <w:b/>
                <w:lang w:eastAsia="it-IT"/>
              </w:rPr>
            </w:pPr>
            <w:r w:rsidRPr="00AA2A35">
              <w:rPr>
                <w:rFonts w:ascii="Book Antiqua" w:hAnsi="Book Antiqua" w:cs="Arial"/>
                <w:b/>
                <w:lang w:eastAsia="it-IT"/>
              </w:rPr>
              <w:t>InsC/-</w:t>
            </w:r>
          </w:p>
        </w:tc>
      </w:tr>
      <w:tr w:rsidR="00D44C96" w:rsidRPr="00AA2A35" w14:paraId="0A1A80AA" w14:textId="77777777" w:rsidTr="0071649A">
        <w:trPr>
          <w:trHeight w:val="300"/>
          <w:jc w:val="center"/>
        </w:trPr>
        <w:tc>
          <w:tcPr>
            <w:tcW w:w="1843" w:type="dxa"/>
            <w:gridSpan w:val="2"/>
            <w:noWrap/>
            <w:vAlign w:val="bottom"/>
          </w:tcPr>
          <w:p w14:paraId="6A66CCA0" w14:textId="77777777" w:rsidR="00D44C96" w:rsidRPr="00AA2A35" w:rsidRDefault="00D44C96" w:rsidP="00D14265">
            <w:pPr>
              <w:jc w:val="both"/>
              <w:rPr>
                <w:rFonts w:ascii="Book Antiqua" w:hAnsi="Book Antiqua" w:cs="Arial"/>
                <w:bCs/>
                <w:lang w:eastAsia="it-IT"/>
              </w:rPr>
            </w:pPr>
            <w:r w:rsidRPr="00AA2A35">
              <w:rPr>
                <w:rFonts w:ascii="Book Antiqua" w:hAnsi="Book Antiqua" w:cs="Arial"/>
                <w:bCs/>
                <w:lang w:eastAsia="it-IT"/>
              </w:rPr>
              <w:t>24</w:t>
            </w:r>
          </w:p>
        </w:tc>
        <w:tc>
          <w:tcPr>
            <w:tcW w:w="1720" w:type="dxa"/>
            <w:vAlign w:val="bottom"/>
          </w:tcPr>
          <w:p w14:paraId="04C50699" w14:textId="77777777" w:rsidR="00D44C96" w:rsidRPr="00AA2A35" w:rsidRDefault="00D44C96" w:rsidP="00D14265">
            <w:pPr>
              <w:jc w:val="both"/>
              <w:rPr>
                <w:rFonts w:ascii="Book Antiqua" w:hAnsi="Book Antiqua" w:cs="Arial"/>
                <w:b/>
                <w:lang w:eastAsia="it-IT"/>
              </w:rPr>
            </w:pPr>
            <w:r w:rsidRPr="00AA2A35">
              <w:rPr>
                <w:rFonts w:ascii="Book Antiqua" w:hAnsi="Book Antiqua" w:cs="Arial"/>
                <w:b/>
                <w:lang w:eastAsia="it-IT"/>
              </w:rPr>
              <w:t>C/T</w:t>
            </w:r>
          </w:p>
        </w:tc>
        <w:tc>
          <w:tcPr>
            <w:tcW w:w="1275" w:type="dxa"/>
            <w:vAlign w:val="bottom"/>
          </w:tcPr>
          <w:p w14:paraId="159AC159" w14:textId="77777777" w:rsidR="00D44C96" w:rsidRPr="00AA2A35" w:rsidRDefault="00D44C96" w:rsidP="00D14265">
            <w:pPr>
              <w:jc w:val="both"/>
              <w:rPr>
                <w:rFonts w:ascii="Book Antiqua" w:hAnsi="Book Antiqua" w:cs="Arial"/>
                <w:lang w:eastAsia="it-IT"/>
              </w:rPr>
            </w:pPr>
            <w:r w:rsidRPr="00AA2A35">
              <w:rPr>
                <w:rFonts w:ascii="Book Antiqua" w:hAnsi="Book Antiqua" w:cs="Arial"/>
                <w:lang w:eastAsia="it-IT"/>
              </w:rPr>
              <w:t>G/G</w:t>
            </w:r>
          </w:p>
        </w:tc>
        <w:tc>
          <w:tcPr>
            <w:tcW w:w="1399" w:type="dxa"/>
            <w:vAlign w:val="bottom"/>
          </w:tcPr>
          <w:p w14:paraId="6CF83BC9" w14:textId="77777777" w:rsidR="00D44C96" w:rsidRPr="00AA2A35" w:rsidRDefault="00D44C96" w:rsidP="00D14265">
            <w:pPr>
              <w:jc w:val="both"/>
              <w:rPr>
                <w:rFonts w:ascii="Book Antiqua" w:hAnsi="Book Antiqua" w:cs="Arial"/>
                <w:lang w:eastAsia="it-IT"/>
              </w:rPr>
            </w:pPr>
            <w:r w:rsidRPr="00AA2A35">
              <w:rPr>
                <w:rFonts w:ascii="Book Antiqua" w:hAnsi="Book Antiqua" w:cs="Arial"/>
                <w:lang w:eastAsia="it-IT"/>
              </w:rPr>
              <w:t>-/-</w:t>
            </w:r>
          </w:p>
        </w:tc>
      </w:tr>
      <w:tr w:rsidR="00D44C96" w:rsidRPr="00AA2A35" w14:paraId="3915DC72" w14:textId="77777777" w:rsidTr="0071649A">
        <w:trPr>
          <w:trHeight w:val="300"/>
          <w:jc w:val="center"/>
        </w:trPr>
        <w:tc>
          <w:tcPr>
            <w:tcW w:w="1843" w:type="dxa"/>
            <w:gridSpan w:val="2"/>
            <w:noWrap/>
            <w:vAlign w:val="bottom"/>
          </w:tcPr>
          <w:p w14:paraId="35C6A9F0" w14:textId="77777777" w:rsidR="00D44C96" w:rsidRPr="00AA2A35" w:rsidRDefault="00D44C96" w:rsidP="00D14265">
            <w:pPr>
              <w:jc w:val="both"/>
              <w:rPr>
                <w:rFonts w:ascii="Book Antiqua" w:hAnsi="Book Antiqua" w:cs="Arial"/>
                <w:bCs/>
                <w:lang w:eastAsia="it-IT"/>
              </w:rPr>
            </w:pPr>
            <w:r w:rsidRPr="00AA2A35">
              <w:rPr>
                <w:rFonts w:ascii="Book Antiqua" w:hAnsi="Book Antiqua" w:cs="Arial"/>
                <w:bCs/>
                <w:lang w:eastAsia="it-IT"/>
              </w:rPr>
              <w:t>25</w:t>
            </w:r>
          </w:p>
        </w:tc>
        <w:tc>
          <w:tcPr>
            <w:tcW w:w="1720" w:type="dxa"/>
            <w:vAlign w:val="bottom"/>
          </w:tcPr>
          <w:p w14:paraId="21722E29" w14:textId="77777777" w:rsidR="00D44C96" w:rsidRPr="00AA2A35" w:rsidRDefault="00D44C96" w:rsidP="00D14265">
            <w:pPr>
              <w:jc w:val="both"/>
              <w:rPr>
                <w:rFonts w:ascii="Book Antiqua" w:hAnsi="Book Antiqua" w:cs="Arial"/>
                <w:lang w:eastAsia="it-IT"/>
              </w:rPr>
            </w:pPr>
            <w:r w:rsidRPr="00AA2A35">
              <w:rPr>
                <w:rFonts w:ascii="Book Antiqua" w:hAnsi="Book Antiqua" w:cs="Arial"/>
                <w:lang w:eastAsia="it-IT"/>
              </w:rPr>
              <w:t>C/C</w:t>
            </w:r>
          </w:p>
        </w:tc>
        <w:tc>
          <w:tcPr>
            <w:tcW w:w="1275" w:type="dxa"/>
            <w:vAlign w:val="bottom"/>
          </w:tcPr>
          <w:p w14:paraId="3461A9CC" w14:textId="77777777" w:rsidR="00D44C96" w:rsidRPr="00AA2A35" w:rsidRDefault="00D44C96" w:rsidP="00D14265">
            <w:pPr>
              <w:jc w:val="both"/>
              <w:rPr>
                <w:rFonts w:ascii="Book Antiqua" w:hAnsi="Book Antiqua" w:cs="Arial"/>
                <w:b/>
                <w:lang w:eastAsia="it-IT"/>
              </w:rPr>
            </w:pPr>
            <w:r w:rsidRPr="00AA2A35">
              <w:rPr>
                <w:rFonts w:ascii="Book Antiqua" w:hAnsi="Book Antiqua" w:cs="Arial"/>
                <w:b/>
                <w:lang w:eastAsia="it-IT"/>
              </w:rPr>
              <w:t>G/C</w:t>
            </w:r>
          </w:p>
        </w:tc>
        <w:tc>
          <w:tcPr>
            <w:tcW w:w="1399" w:type="dxa"/>
            <w:vAlign w:val="bottom"/>
          </w:tcPr>
          <w:p w14:paraId="21BBB4DA" w14:textId="77777777" w:rsidR="00D44C96" w:rsidRPr="00AA2A35" w:rsidRDefault="00D44C96" w:rsidP="00D14265">
            <w:pPr>
              <w:jc w:val="both"/>
              <w:rPr>
                <w:rFonts w:ascii="Book Antiqua" w:hAnsi="Book Antiqua" w:cs="Arial"/>
                <w:lang w:eastAsia="it-IT"/>
              </w:rPr>
            </w:pPr>
            <w:r w:rsidRPr="00AA2A35">
              <w:rPr>
                <w:rFonts w:ascii="Book Antiqua" w:hAnsi="Book Antiqua" w:cs="Arial"/>
                <w:lang w:eastAsia="it-IT"/>
              </w:rPr>
              <w:t>-/-</w:t>
            </w:r>
          </w:p>
        </w:tc>
      </w:tr>
      <w:tr w:rsidR="00D44C96" w:rsidRPr="00AA2A35" w14:paraId="77C97184" w14:textId="77777777" w:rsidTr="0071649A">
        <w:trPr>
          <w:trHeight w:val="300"/>
          <w:jc w:val="center"/>
        </w:trPr>
        <w:tc>
          <w:tcPr>
            <w:tcW w:w="1843" w:type="dxa"/>
            <w:gridSpan w:val="2"/>
            <w:noWrap/>
            <w:vAlign w:val="bottom"/>
          </w:tcPr>
          <w:p w14:paraId="16B6E5AC" w14:textId="77777777" w:rsidR="00D44C96" w:rsidRPr="00AA2A35" w:rsidRDefault="00D44C96" w:rsidP="00D14265">
            <w:pPr>
              <w:jc w:val="both"/>
              <w:rPr>
                <w:rFonts w:ascii="Book Antiqua" w:hAnsi="Book Antiqua" w:cs="Arial"/>
                <w:bCs/>
                <w:lang w:eastAsia="it-IT"/>
              </w:rPr>
            </w:pPr>
            <w:r w:rsidRPr="00AA2A35">
              <w:rPr>
                <w:rFonts w:ascii="Book Antiqua" w:hAnsi="Book Antiqua" w:cs="Arial"/>
                <w:bCs/>
                <w:lang w:eastAsia="it-IT"/>
              </w:rPr>
              <w:t>44</w:t>
            </w:r>
          </w:p>
        </w:tc>
        <w:tc>
          <w:tcPr>
            <w:tcW w:w="1720" w:type="dxa"/>
            <w:vAlign w:val="bottom"/>
          </w:tcPr>
          <w:p w14:paraId="0195AC50" w14:textId="77777777" w:rsidR="00D44C96" w:rsidRPr="00AA2A35" w:rsidRDefault="00D44C96" w:rsidP="00D14265">
            <w:pPr>
              <w:jc w:val="both"/>
              <w:rPr>
                <w:rFonts w:ascii="Book Antiqua" w:hAnsi="Book Antiqua" w:cs="Arial"/>
                <w:lang w:eastAsia="it-IT"/>
              </w:rPr>
            </w:pPr>
            <w:r w:rsidRPr="00AA2A35">
              <w:rPr>
                <w:rFonts w:ascii="Book Antiqua" w:hAnsi="Book Antiqua" w:cs="Arial"/>
                <w:lang w:eastAsia="it-IT"/>
              </w:rPr>
              <w:t>C/C</w:t>
            </w:r>
          </w:p>
        </w:tc>
        <w:tc>
          <w:tcPr>
            <w:tcW w:w="1275" w:type="dxa"/>
            <w:vAlign w:val="bottom"/>
          </w:tcPr>
          <w:p w14:paraId="66002EB6" w14:textId="77777777" w:rsidR="00D44C96" w:rsidRPr="00AA2A35" w:rsidRDefault="00D44C96" w:rsidP="00D14265">
            <w:pPr>
              <w:jc w:val="both"/>
              <w:rPr>
                <w:rFonts w:ascii="Book Antiqua" w:hAnsi="Book Antiqua" w:cs="Arial"/>
                <w:lang w:eastAsia="it-IT"/>
              </w:rPr>
            </w:pPr>
            <w:r w:rsidRPr="00AA2A35">
              <w:rPr>
                <w:rFonts w:ascii="Book Antiqua" w:hAnsi="Book Antiqua" w:cs="Arial"/>
                <w:lang w:eastAsia="it-IT"/>
              </w:rPr>
              <w:t>G/G</w:t>
            </w:r>
          </w:p>
        </w:tc>
        <w:tc>
          <w:tcPr>
            <w:tcW w:w="1399" w:type="dxa"/>
            <w:vAlign w:val="bottom"/>
          </w:tcPr>
          <w:p w14:paraId="300CD80F" w14:textId="77777777" w:rsidR="00D44C96" w:rsidRPr="00AA2A35" w:rsidRDefault="00D44C96" w:rsidP="00D14265">
            <w:pPr>
              <w:jc w:val="both"/>
              <w:rPr>
                <w:rFonts w:ascii="Book Antiqua" w:hAnsi="Book Antiqua" w:cs="Arial"/>
                <w:b/>
                <w:lang w:eastAsia="it-IT"/>
              </w:rPr>
            </w:pPr>
            <w:r w:rsidRPr="00AA2A35">
              <w:rPr>
                <w:rFonts w:ascii="Book Antiqua" w:hAnsi="Book Antiqua" w:cs="Arial"/>
                <w:b/>
                <w:lang w:eastAsia="it-IT"/>
              </w:rPr>
              <w:t>InsC/-</w:t>
            </w:r>
          </w:p>
        </w:tc>
      </w:tr>
      <w:tr w:rsidR="00D44C96" w:rsidRPr="00AA2A35" w14:paraId="712F9E96" w14:textId="77777777" w:rsidTr="0071649A">
        <w:trPr>
          <w:trHeight w:val="300"/>
          <w:jc w:val="center"/>
        </w:trPr>
        <w:tc>
          <w:tcPr>
            <w:tcW w:w="1843" w:type="dxa"/>
            <w:gridSpan w:val="2"/>
            <w:noWrap/>
            <w:vAlign w:val="bottom"/>
          </w:tcPr>
          <w:p w14:paraId="0614CC65" w14:textId="77777777" w:rsidR="00D44C96" w:rsidRPr="00AA2A35" w:rsidRDefault="00D44C96" w:rsidP="00D14265">
            <w:pPr>
              <w:jc w:val="both"/>
              <w:rPr>
                <w:rFonts w:ascii="Book Antiqua" w:hAnsi="Book Antiqua" w:cs="Arial"/>
                <w:bCs/>
                <w:lang w:eastAsia="it-IT"/>
              </w:rPr>
            </w:pPr>
            <w:r w:rsidRPr="00AA2A35">
              <w:rPr>
                <w:rFonts w:ascii="Book Antiqua" w:hAnsi="Book Antiqua" w:cs="Arial"/>
                <w:bCs/>
                <w:lang w:eastAsia="it-IT"/>
              </w:rPr>
              <w:t>45</w:t>
            </w:r>
          </w:p>
        </w:tc>
        <w:tc>
          <w:tcPr>
            <w:tcW w:w="1720" w:type="dxa"/>
            <w:vAlign w:val="bottom"/>
          </w:tcPr>
          <w:p w14:paraId="66F1E07B" w14:textId="77777777" w:rsidR="00D44C96" w:rsidRPr="00AA2A35" w:rsidRDefault="00D44C96" w:rsidP="00D14265">
            <w:pPr>
              <w:jc w:val="both"/>
              <w:rPr>
                <w:rFonts w:ascii="Book Antiqua" w:hAnsi="Book Antiqua" w:cs="Arial"/>
                <w:lang w:eastAsia="it-IT"/>
              </w:rPr>
            </w:pPr>
            <w:r w:rsidRPr="00AA2A35">
              <w:rPr>
                <w:rFonts w:ascii="Book Antiqua" w:hAnsi="Book Antiqua" w:cs="Arial"/>
                <w:lang w:eastAsia="it-IT"/>
              </w:rPr>
              <w:t>C/C</w:t>
            </w:r>
          </w:p>
        </w:tc>
        <w:tc>
          <w:tcPr>
            <w:tcW w:w="1275" w:type="dxa"/>
            <w:vAlign w:val="bottom"/>
          </w:tcPr>
          <w:p w14:paraId="683DCBD0" w14:textId="77777777" w:rsidR="00D44C96" w:rsidRPr="00AA2A35" w:rsidRDefault="00D44C96" w:rsidP="00D14265">
            <w:pPr>
              <w:jc w:val="both"/>
              <w:rPr>
                <w:rFonts w:ascii="Book Antiqua" w:hAnsi="Book Antiqua" w:cs="Arial"/>
                <w:lang w:eastAsia="it-IT"/>
              </w:rPr>
            </w:pPr>
            <w:r w:rsidRPr="00AA2A35">
              <w:rPr>
                <w:rFonts w:ascii="Book Antiqua" w:hAnsi="Book Antiqua" w:cs="Arial"/>
                <w:lang w:eastAsia="it-IT"/>
              </w:rPr>
              <w:t>G/G</w:t>
            </w:r>
          </w:p>
        </w:tc>
        <w:tc>
          <w:tcPr>
            <w:tcW w:w="1399" w:type="dxa"/>
            <w:vAlign w:val="bottom"/>
          </w:tcPr>
          <w:p w14:paraId="25C0D171" w14:textId="77777777" w:rsidR="00D44C96" w:rsidRPr="00AA2A35" w:rsidRDefault="00D44C96" w:rsidP="00D14265">
            <w:pPr>
              <w:jc w:val="both"/>
              <w:rPr>
                <w:rFonts w:ascii="Book Antiqua" w:hAnsi="Book Antiqua" w:cs="Arial"/>
                <w:b/>
                <w:lang w:eastAsia="it-IT"/>
              </w:rPr>
            </w:pPr>
            <w:r w:rsidRPr="00AA2A35">
              <w:rPr>
                <w:rFonts w:ascii="Book Antiqua" w:hAnsi="Book Antiqua" w:cs="Arial"/>
                <w:b/>
                <w:lang w:eastAsia="it-IT"/>
              </w:rPr>
              <w:t>InsC/-</w:t>
            </w:r>
          </w:p>
        </w:tc>
      </w:tr>
      <w:tr w:rsidR="00D44C96" w:rsidRPr="00AA2A35" w14:paraId="4423D175" w14:textId="77777777" w:rsidTr="0071649A">
        <w:trPr>
          <w:trHeight w:val="300"/>
          <w:jc w:val="center"/>
        </w:trPr>
        <w:tc>
          <w:tcPr>
            <w:tcW w:w="1843" w:type="dxa"/>
            <w:gridSpan w:val="2"/>
            <w:noWrap/>
            <w:vAlign w:val="bottom"/>
          </w:tcPr>
          <w:p w14:paraId="4AE3C5B8" w14:textId="77777777" w:rsidR="00D44C96" w:rsidRPr="00AA2A35" w:rsidRDefault="00D44C96" w:rsidP="00D14265">
            <w:pPr>
              <w:jc w:val="both"/>
              <w:rPr>
                <w:rFonts w:ascii="Book Antiqua" w:hAnsi="Book Antiqua" w:cs="Arial"/>
                <w:bCs/>
                <w:lang w:eastAsia="it-IT"/>
              </w:rPr>
            </w:pPr>
            <w:r w:rsidRPr="00AA2A35">
              <w:rPr>
                <w:rFonts w:ascii="Book Antiqua" w:hAnsi="Book Antiqua" w:cs="Arial"/>
                <w:bCs/>
                <w:lang w:eastAsia="it-IT"/>
              </w:rPr>
              <w:t>47</w:t>
            </w:r>
          </w:p>
        </w:tc>
        <w:tc>
          <w:tcPr>
            <w:tcW w:w="1720" w:type="dxa"/>
            <w:vAlign w:val="bottom"/>
          </w:tcPr>
          <w:p w14:paraId="1F250CF8" w14:textId="77777777" w:rsidR="00D44C96" w:rsidRPr="00AA2A35" w:rsidRDefault="00D44C96" w:rsidP="00D14265">
            <w:pPr>
              <w:jc w:val="both"/>
              <w:rPr>
                <w:rFonts w:ascii="Book Antiqua" w:hAnsi="Book Antiqua" w:cs="Arial"/>
                <w:lang w:eastAsia="it-IT"/>
              </w:rPr>
            </w:pPr>
            <w:r w:rsidRPr="00AA2A35">
              <w:rPr>
                <w:rFonts w:ascii="Book Antiqua" w:hAnsi="Book Antiqua" w:cs="Arial"/>
                <w:lang w:eastAsia="it-IT"/>
              </w:rPr>
              <w:t>C/C</w:t>
            </w:r>
          </w:p>
        </w:tc>
        <w:tc>
          <w:tcPr>
            <w:tcW w:w="1275" w:type="dxa"/>
            <w:vAlign w:val="bottom"/>
          </w:tcPr>
          <w:p w14:paraId="6B6F59DC" w14:textId="77777777" w:rsidR="00D44C96" w:rsidRPr="00AA2A35" w:rsidRDefault="00D44C96" w:rsidP="00D14265">
            <w:pPr>
              <w:jc w:val="both"/>
              <w:rPr>
                <w:rFonts w:ascii="Book Antiqua" w:hAnsi="Book Antiqua" w:cs="Arial"/>
                <w:b/>
                <w:lang w:eastAsia="it-IT"/>
              </w:rPr>
            </w:pPr>
            <w:r w:rsidRPr="00AA2A35">
              <w:rPr>
                <w:rFonts w:ascii="Book Antiqua" w:hAnsi="Book Antiqua" w:cs="Arial"/>
                <w:b/>
                <w:lang w:eastAsia="it-IT"/>
              </w:rPr>
              <w:t>G/C</w:t>
            </w:r>
          </w:p>
        </w:tc>
        <w:tc>
          <w:tcPr>
            <w:tcW w:w="1399" w:type="dxa"/>
            <w:vAlign w:val="bottom"/>
          </w:tcPr>
          <w:p w14:paraId="29D74FF9" w14:textId="77777777" w:rsidR="00D44C96" w:rsidRPr="00AA2A35" w:rsidRDefault="00D44C96" w:rsidP="00D14265">
            <w:pPr>
              <w:jc w:val="both"/>
              <w:rPr>
                <w:rFonts w:ascii="Book Antiqua" w:hAnsi="Book Antiqua" w:cs="Arial"/>
                <w:b/>
                <w:lang w:eastAsia="it-IT"/>
              </w:rPr>
            </w:pPr>
            <w:r w:rsidRPr="00AA2A35">
              <w:rPr>
                <w:rFonts w:ascii="Book Antiqua" w:hAnsi="Book Antiqua" w:cs="Arial"/>
                <w:b/>
                <w:lang w:eastAsia="it-IT"/>
              </w:rPr>
              <w:t>InsC/-</w:t>
            </w:r>
          </w:p>
        </w:tc>
      </w:tr>
      <w:tr w:rsidR="00D44C96" w:rsidRPr="00AA2A35" w14:paraId="4F9E5925" w14:textId="77777777" w:rsidTr="0071649A">
        <w:trPr>
          <w:trHeight w:val="300"/>
          <w:jc w:val="center"/>
        </w:trPr>
        <w:tc>
          <w:tcPr>
            <w:tcW w:w="1843" w:type="dxa"/>
            <w:gridSpan w:val="2"/>
            <w:noWrap/>
            <w:vAlign w:val="bottom"/>
          </w:tcPr>
          <w:p w14:paraId="2D2752B7" w14:textId="77777777" w:rsidR="00D44C96" w:rsidRPr="00AA2A35" w:rsidRDefault="00D44C96" w:rsidP="00D14265">
            <w:pPr>
              <w:jc w:val="both"/>
              <w:rPr>
                <w:rFonts w:ascii="Book Antiqua" w:hAnsi="Book Antiqua" w:cs="Arial"/>
                <w:bCs/>
                <w:lang w:eastAsia="it-IT"/>
              </w:rPr>
            </w:pPr>
            <w:r w:rsidRPr="00AA2A35">
              <w:rPr>
                <w:rFonts w:ascii="Book Antiqua" w:hAnsi="Book Antiqua" w:cs="Arial"/>
                <w:bCs/>
                <w:lang w:eastAsia="it-IT"/>
              </w:rPr>
              <w:t>53</w:t>
            </w:r>
          </w:p>
        </w:tc>
        <w:tc>
          <w:tcPr>
            <w:tcW w:w="1720" w:type="dxa"/>
            <w:vAlign w:val="bottom"/>
          </w:tcPr>
          <w:p w14:paraId="589D0ED2" w14:textId="77777777" w:rsidR="00D44C96" w:rsidRPr="00AA2A35" w:rsidRDefault="00D44C96" w:rsidP="00D14265">
            <w:pPr>
              <w:jc w:val="both"/>
              <w:rPr>
                <w:rFonts w:ascii="Book Antiqua" w:hAnsi="Book Antiqua" w:cs="Arial"/>
                <w:lang w:eastAsia="it-IT"/>
              </w:rPr>
            </w:pPr>
            <w:r w:rsidRPr="00AA2A35">
              <w:rPr>
                <w:rFonts w:ascii="Book Antiqua" w:hAnsi="Book Antiqua" w:cs="Arial"/>
                <w:lang w:eastAsia="it-IT"/>
              </w:rPr>
              <w:t>C/C</w:t>
            </w:r>
          </w:p>
        </w:tc>
        <w:tc>
          <w:tcPr>
            <w:tcW w:w="1275" w:type="dxa"/>
            <w:vAlign w:val="bottom"/>
          </w:tcPr>
          <w:p w14:paraId="1C4E6E0D" w14:textId="77777777" w:rsidR="00D44C96" w:rsidRPr="00AA2A35" w:rsidRDefault="00D44C96" w:rsidP="00D14265">
            <w:pPr>
              <w:jc w:val="both"/>
              <w:rPr>
                <w:rFonts w:ascii="Book Antiqua" w:hAnsi="Book Antiqua" w:cs="Arial"/>
                <w:lang w:eastAsia="it-IT"/>
              </w:rPr>
            </w:pPr>
            <w:r w:rsidRPr="00AA2A35">
              <w:rPr>
                <w:rFonts w:ascii="Book Antiqua" w:hAnsi="Book Antiqua" w:cs="Arial"/>
                <w:lang w:eastAsia="it-IT"/>
              </w:rPr>
              <w:t>G/G</w:t>
            </w:r>
          </w:p>
        </w:tc>
        <w:tc>
          <w:tcPr>
            <w:tcW w:w="1399" w:type="dxa"/>
            <w:vAlign w:val="bottom"/>
          </w:tcPr>
          <w:p w14:paraId="07E0A172" w14:textId="77777777" w:rsidR="00D44C96" w:rsidRPr="00AA2A35" w:rsidRDefault="00D44C96" w:rsidP="00D14265">
            <w:pPr>
              <w:jc w:val="both"/>
              <w:rPr>
                <w:rFonts w:ascii="Book Antiqua" w:hAnsi="Book Antiqua" w:cs="Arial"/>
                <w:b/>
                <w:lang w:eastAsia="it-IT"/>
              </w:rPr>
            </w:pPr>
            <w:r w:rsidRPr="00AA2A35">
              <w:rPr>
                <w:rFonts w:ascii="Book Antiqua" w:hAnsi="Book Antiqua" w:cs="Arial"/>
                <w:b/>
                <w:lang w:eastAsia="it-IT"/>
              </w:rPr>
              <w:t>InsC/-</w:t>
            </w:r>
          </w:p>
        </w:tc>
      </w:tr>
      <w:tr w:rsidR="00D44C96" w:rsidRPr="00AA2A35" w14:paraId="61D74F8A" w14:textId="77777777" w:rsidTr="0071649A">
        <w:trPr>
          <w:trHeight w:val="300"/>
          <w:jc w:val="center"/>
        </w:trPr>
        <w:tc>
          <w:tcPr>
            <w:tcW w:w="1843" w:type="dxa"/>
            <w:gridSpan w:val="2"/>
            <w:noWrap/>
            <w:vAlign w:val="bottom"/>
          </w:tcPr>
          <w:p w14:paraId="08CECC44" w14:textId="77777777" w:rsidR="00D44C96" w:rsidRPr="00AA2A35" w:rsidRDefault="00D44C96" w:rsidP="00D14265">
            <w:pPr>
              <w:jc w:val="both"/>
              <w:rPr>
                <w:rFonts w:ascii="Book Antiqua" w:hAnsi="Book Antiqua" w:cs="Arial"/>
                <w:bCs/>
                <w:lang w:eastAsia="it-IT"/>
              </w:rPr>
            </w:pPr>
            <w:r w:rsidRPr="00AA2A35">
              <w:rPr>
                <w:rFonts w:ascii="Book Antiqua" w:hAnsi="Book Antiqua" w:cs="Arial"/>
                <w:bCs/>
                <w:lang w:eastAsia="it-IT"/>
              </w:rPr>
              <w:t>54</w:t>
            </w:r>
          </w:p>
        </w:tc>
        <w:tc>
          <w:tcPr>
            <w:tcW w:w="1720" w:type="dxa"/>
            <w:vAlign w:val="bottom"/>
          </w:tcPr>
          <w:p w14:paraId="007F0ECB" w14:textId="77777777" w:rsidR="00D44C96" w:rsidRPr="00AA2A35" w:rsidRDefault="00D44C96" w:rsidP="00D14265">
            <w:pPr>
              <w:jc w:val="both"/>
              <w:rPr>
                <w:rFonts w:ascii="Book Antiqua" w:hAnsi="Book Antiqua" w:cs="Arial"/>
                <w:lang w:eastAsia="it-IT"/>
              </w:rPr>
            </w:pPr>
            <w:r w:rsidRPr="00AA2A35">
              <w:rPr>
                <w:rFonts w:ascii="Book Antiqua" w:hAnsi="Book Antiqua" w:cs="Arial"/>
                <w:lang w:eastAsia="it-IT"/>
              </w:rPr>
              <w:t>C/C</w:t>
            </w:r>
          </w:p>
        </w:tc>
        <w:tc>
          <w:tcPr>
            <w:tcW w:w="1275" w:type="dxa"/>
            <w:vAlign w:val="bottom"/>
          </w:tcPr>
          <w:p w14:paraId="25673D2B" w14:textId="77777777" w:rsidR="00D44C96" w:rsidRPr="00AA2A35" w:rsidRDefault="00D44C96" w:rsidP="00D14265">
            <w:pPr>
              <w:jc w:val="both"/>
              <w:rPr>
                <w:rFonts w:ascii="Book Antiqua" w:hAnsi="Book Antiqua" w:cs="Arial"/>
                <w:b/>
                <w:lang w:eastAsia="it-IT"/>
              </w:rPr>
            </w:pPr>
            <w:r w:rsidRPr="00AA2A35">
              <w:rPr>
                <w:rFonts w:ascii="Book Antiqua" w:hAnsi="Book Antiqua" w:cs="Arial"/>
                <w:b/>
                <w:lang w:eastAsia="it-IT"/>
              </w:rPr>
              <w:t>G/C</w:t>
            </w:r>
          </w:p>
        </w:tc>
        <w:tc>
          <w:tcPr>
            <w:tcW w:w="1399" w:type="dxa"/>
            <w:vAlign w:val="bottom"/>
          </w:tcPr>
          <w:p w14:paraId="04A24FAD" w14:textId="77777777" w:rsidR="00D44C96" w:rsidRPr="00AA2A35" w:rsidRDefault="00D44C96" w:rsidP="00D14265">
            <w:pPr>
              <w:jc w:val="both"/>
              <w:rPr>
                <w:rFonts w:ascii="Book Antiqua" w:hAnsi="Book Antiqua" w:cs="Arial"/>
                <w:lang w:eastAsia="it-IT"/>
              </w:rPr>
            </w:pPr>
            <w:r w:rsidRPr="00AA2A35">
              <w:rPr>
                <w:rFonts w:ascii="Book Antiqua" w:hAnsi="Book Antiqua" w:cs="Arial"/>
                <w:lang w:eastAsia="it-IT"/>
              </w:rPr>
              <w:t>-/-</w:t>
            </w:r>
          </w:p>
        </w:tc>
      </w:tr>
      <w:tr w:rsidR="00D44C96" w:rsidRPr="00AA2A35" w14:paraId="3E7CB1F8" w14:textId="77777777" w:rsidTr="0071649A">
        <w:trPr>
          <w:trHeight w:val="300"/>
          <w:jc w:val="center"/>
        </w:trPr>
        <w:tc>
          <w:tcPr>
            <w:tcW w:w="1843" w:type="dxa"/>
            <w:gridSpan w:val="2"/>
            <w:tcBorders>
              <w:bottom w:val="single" w:sz="4" w:space="0" w:color="auto"/>
            </w:tcBorders>
            <w:noWrap/>
            <w:vAlign w:val="bottom"/>
          </w:tcPr>
          <w:p w14:paraId="1C133F5C" w14:textId="77777777" w:rsidR="00D44C96" w:rsidRPr="00AA2A35" w:rsidRDefault="00D44C96" w:rsidP="00D14265">
            <w:pPr>
              <w:jc w:val="both"/>
              <w:rPr>
                <w:rFonts w:ascii="Book Antiqua" w:hAnsi="Book Antiqua" w:cs="Arial"/>
                <w:bCs/>
                <w:lang w:eastAsia="it-IT"/>
              </w:rPr>
            </w:pPr>
            <w:r w:rsidRPr="00AA2A35">
              <w:rPr>
                <w:rFonts w:ascii="Book Antiqua" w:hAnsi="Book Antiqua" w:cs="Arial"/>
                <w:bCs/>
                <w:lang w:eastAsia="it-IT"/>
              </w:rPr>
              <w:t>63</w:t>
            </w:r>
          </w:p>
        </w:tc>
        <w:tc>
          <w:tcPr>
            <w:tcW w:w="1720" w:type="dxa"/>
            <w:tcBorders>
              <w:bottom w:val="single" w:sz="4" w:space="0" w:color="auto"/>
            </w:tcBorders>
            <w:vAlign w:val="bottom"/>
          </w:tcPr>
          <w:p w14:paraId="29725C87" w14:textId="77777777" w:rsidR="00D44C96" w:rsidRPr="00AA2A35" w:rsidRDefault="00D44C96" w:rsidP="00D14265">
            <w:pPr>
              <w:jc w:val="both"/>
              <w:rPr>
                <w:rFonts w:ascii="Book Antiqua" w:hAnsi="Book Antiqua" w:cs="Arial"/>
                <w:lang w:eastAsia="it-IT"/>
              </w:rPr>
            </w:pPr>
            <w:r w:rsidRPr="00AA2A35">
              <w:rPr>
                <w:rFonts w:ascii="Book Antiqua" w:hAnsi="Book Antiqua" w:cs="Arial"/>
                <w:lang w:eastAsia="it-IT"/>
              </w:rPr>
              <w:t>C/C</w:t>
            </w:r>
          </w:p>
        </w:tc>
        <w:tc>
          <w:tcPr>
            <w:tcW w:w="1275" w:type="dxa"/>
            <w:tcBorders>
              <w:bottom w:val="single" w:sz="4" w:space="0" w:color="auto"/>
            </w:tcBorders>
            <w:vAlign w:val="bottom"/>
          </w:tcPr>
          <w:p w14:paraId="2354720C" w14:textId="77777777" w:rsidR="00D44C96" w:rsidRPr="00AA2A35" w:rsidRDefault="00D44C96" w:rsidP="00D14265">
            <w:pPr>
              <w:jc w:val="both"/>
              <w:rPr>
                <w:rFonts w:ascii="Book Antiqua" w:hAnsi="Book Antiqua" w:cs="Arial"/>
                <w:lang w:eastAsia="it-IT"/>
              </w:rPr>
            </w:pPr>
            <w:r w:rsidRPr="00AA2A35">
              <w:rPr>
                <w:rFonts w:ascii="Book Antiqua" w:hAnsi="Book Antiqua" w:cs="Arial"/>
                <w:lang w:eastAsia="it-IT"/>
              </w:rPr>
              <w:t>G/G</w:t>
            </w:r>
          </w:p>
        </w:tc>
        <w:tc>
          <w:tcPr>
            <w:tcW w:w="1399" w:type="dxa"/>
            <w:tcBorders>
              <w:bottom w:val="single" w:sz="4" w:space="0" w:color="auto"/>
            </w:tcBorders>
            <w:vAlign w:val="bottom"/>
          </w:tcPr>
          <w:p w14:paraId="79A80960" w14:textId="77777777" w:rsidR="00D44C96" w:rsidRPr="00AA2A35" w:rsidRDefault="00D44C96" w:rsidP="00D14265">
            <w:pPr>
              <w:jc w:val="both"/>
              <w:rPr>
                <w:rFonts w:ascii="Book Antiqua" w:hAnsi="Book Antiqua" w:cs="Arial"/>
                <w:b/>
                <w:lang w:eastAsia="it-IT"/>
              </w:rPr>
            </w:pPr>
            <w:r w:rsidRPr="00AA2A35">
              <w:rPr>
                <w:rFonts w:ascii="Book Antiqua" w:hAnsi="Book Antiqua" w:cs="Arial"/>
                <w:b/>
                <w:lang w:eastAsia="it-IT"/>
              </w:rPr>
              <w:t>InsC/-</w:t>
            </w:r>
          </w:p>
        </w:tc>
      </w:tr>
    </w:tbl>
    <w:p w14:paraId="50C447F1" w14:textId="77777777" w:rsidR="00D44C96" w:rsidRPr="00846FE8" w:rsidRDefault="00D44C96" w:rsidP="00D14265">
      <w:pPr>
        <w:spacing w:line="360" w:lineRule="auto"/>
        <w:jc w:val="both"/>
        <w:rPr>
          <w:rFonts w:ascii="Book Antiqua" w:eastAsiaTheme="minorEastAsia" w:hAnsi="Book Antiqua"/>
          <w:lang w:val="en-US" w:eastAsia="zh-CN"/>
        </w:rPr>
      </w:pPr>
    </w:p>
    <w:p w14:paraId="1508C205" w14:textId="1B029B53" w:rsidR="00D44C96" w:rsidRPr="00200D6F" w:rsidRDefault="009A0368" w:rsidP="00D14265">
      <w:pPr>
        <w:spacing w:line="360" w:lineRule="auto"/>
        <w:jc w:val="both"/>
        <w:rPr>
          <w:rFonts w:ascii="Book Antiqua" w:hAnsi="Book Antiqua"/>
          <w:lang w:val="en-US"/>
        </w:rPr>
      </w:pPr>
      <w:r w:rsidRPr="00AA2A35">
        <w:rPr>
          <w:rFonts w:ascii="Book Antiqua" w:hAnsi="Book Antiqua"/>
          <w:lang w:val="en-US"/>
        </w:rPr>
        <w:t>Details of t</w:t>
      </w:r>
      <w:r w:rsidR="00D44C96" w:rsidRPr="00AA2A35">
        <w:rPr>
          <w:rFonts w:ascii="Book Antiqua" w:hAnsi="Book Antiqua"/>
          <w:lang w:val="en-US"/>
        </w:rPr>
        <w:t xml:space="preserve">he three </w:t>
      </w:r>
      <w:r w:rsidR="00D44C96" w:rsidRPr="00AA2A35">
        <w:rPr>
          <w:rFonts w:ascii="Book Antiqua" w:hAnsi="Book Antiqua"/>
          <w:i/>
          <w:lang w:val="en-US"/>
        </w:rPr>
        <w:t>NOD2</w:t>
      </w:r>
      <w:r w:rsidR="00D44C96" w:rsidRPr="00AA2A35">
        <w:rPr>
          <w:rFonts w:ascii="Book Antiqua" w:hAnsi="Book Antiqua"/>
          <w:lang w:val="en-US"/>
        </w:rPr>
        <w:t xml:space="preserve"> polymorphisms (R702W, G908R, L1007Pfs*2) </w:t>
      </w:r>
      <w:r w:rsidRPr="00AA2A35">
        <w:rPr>
          <w:rFonts w:ascii="Book Antiqua" w:hAnsi="Book Antiqua"/>
          <w:lang w:val="en-US"/>
        </w:rPr>
        <w:t xml:space="preserve">that were </w:t>
      </w:r>
      <w:r w:rsidR="00D44C96" w:rsidRPr="00AA2A35">
        <w:rPr>
          <w:rFonts w:ascii="Book Antiqua" w:hAnsi="Book Antiqua"/>
          <w:lang w:val="en-US"/>
        </w:rPr>
        <w:t xml:space="preserve">found in heterozygous or in homozygous form in 13 </w:t>
      </w:r>
      <w:r w:rsidRPr="00AA2A35">
        <w:rPr>
          <w:rFonts w:ascii="Book Antiqua" w:hAnsi="Book Antiqua"/>
          <w:lang w:val="en-US"/>
        </w:rPr>
        <w:t xml:space="preserve">of the </w:t>
      </w:r>
      <w:r w:rsidR="00D44C96" w:rsidRPr="00AA2A35">
        <w:rPr>
          <w:rFonts w:ascii="Book Antiqua" w:hAnsi="Book Antiqua"/>
          <w:lang w:val="en-US"/>
        </w:rPr>
        <w:t>CD patients. The 23 patients who were found to be wild type are not listed in the table.</w:t>
      </w:r>
    </w:p>
    <w:sectPr w:rsidR="00D44C96" w:rsidRPr="00200D6F" w:rsidSect="00227C5F">
      <w:footerReference w:type="even" r:id="rId13"/>
      <w:footerReference w:type="default" r:id="rId14"/>
      <w:pgSz w:w="11900" w:h="16840"/>
      <w:pgMar w:top="1134" w:right="1134" w:bottom="1134" w:left="1134" w:header="851" w:footer="851"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FC987B" w14:textId="77777777" w:rsidR="003E2B78" w:rsidRDefault="003E2B78">
      <w:r>
        <w:separator/>
      </w:r>
    </w:p>
  </w:endnote>
  <w:endnote w:type="continuationSeparator" w:id="0">
    <w:p w14:paraId="703FD261" w14:textId="77777777" w:rsidR="003E2B78" w:rsidRDefault="003E2B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MS Minngs">
    <w:altName w:val="MS Gothic"/>
    <w:panose1 w:val="00000000000000000000"/>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Lucida Grande">
    <w:charset w:val="00"/>
    <w:family w:val="auto"/>
    <w:pitch w:val="variable"/>
    <w:sig w:usb0="A1002AE7" w:usb1="C0000063" w:usb2="00000038"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MS MinNew Roman">
    <w:altName w:val="Roman"/>
    <w:panose1 w:val="00000000000000000000"/>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234265" w14:textId="77777777" w:rsidR="0089615C" w:rsidRDefault="0089615C" w:rsidP="0071649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14:paraId="64B72030" w14:textId="77777777" w:rsidR="0089615C" w:rsidRDefault="0089615C" w:rsidP="0071649A">
    <w:pPr>
      <w:pStyle w:val="Foot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14:paraId="605AC93F" w14:textId="77777777" w:rsidR="0089615C" w:rsidRDefault="0089615C" w:rsidP="0071649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76E6E2" w14:textId="77777777" w:rsidR="0089615C" w:rsidRPr="004C22A1" w:rsidRDefault="0089615C" w:rsidP="0071649A">
    <w:pPr>
      <w:pStyle w:val="Footer"/>
      <w:framePr w:wrap="around" w:vAnchor="text" w:hAnchor="margin" w:xAlign="right" w:y="1"/>
      <w:rPr>
        <w:rStyle w:val="PageNumber"/>
        <w:rFonts w:ascii="Book Antiqua" w:hAnsi="Book Antiqua"/>
      </w:rPr>
    </w:pPr>
    <w:r w:rsidRPr="004C22A1">
      <w:rPr>
        <w:rStyle w:val="PageNumber"/>
        <w:rFonts w:ascii="Book Antiqua" w:hAnsi="Book Antiqua"/>
      </w:rPr>
      <w:fldChar w:fldCharType="begin"/>
    </w:r>
    <w:r w:rsidRPr="004C22A1">
      <w:rPr>
        <w:rStyle w:val="PageNumber"/>
        <w:rFonts w:ascii="Book Antiqua" w:hAnsi="Book Antiqua"/>
      </w:rPr>
      <w:instrText xml:space="preserve">PAGE  </w:instrText>
    </w:r>
    <w:r w:rsidRPr="004C22A1">
      <w:rPr>
        <w:rStyle w:val="PageNumber"/>
        <w:rFonts w:ascii="Book Antiqua" w:hAnsi="Book Antiqua"/>
      </w:rPr>
      <w:fldChar w:fldCharType="separate"/>
    </w:r>
    <w:r w:rsidR="00AE5E4B">
      <w:rPr>
        <w:rStyle w:val="PageNumber"/>
        <w:rFonts w:ascii="Book Antiqua" w:hAnsi="Book Antiqua"/>
        <w:noProof/>
      </w:rPr>
      <w:t>27</w:t>
    </w:r>
    <w:r w:rsidRPr="004C22A1">
      <w:rPr>
        <w:rStyle w:val="PageNumber"/>
        <w:rFonts w:ascii="Book Antiqua" w:hAnsi="Book Antiqua"/>
      </w:rPr>
      <w:fldChar w:fldCharType="end"/>
    </w:r>
  </w:p>
  <w:p w14:paraId="34845D18" w14:textId="77777777" w:rsidR="0089615C" w:rsidRDefault="0089615C" w:rsidP="0071649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2215A3" w14:textId="77777777" w:rsidR="003E2B78" w:rsidRDefault="003E2B78">
      <w:r>
        <w:separator/>
      </w:r>
    </w:p>
  </w:footnote>
  <w:footnote w:type="continuationSeparator" w:id="0">
    <w:p w14:paraId="7832C70B" w14:textId="77777777" w:rsidR="003E2B78" w:rsidRDefault="003E2B7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hyphenationZone w:val="283"/>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CA7FCC"/>
    <w:rsid w:val="000051E2"/>
    <w:rsid w:val="00014E33"/>
    <w:rsid w:val="00015CA5"/>
    <w:rsid w:val="00021E25"/>
    <w:rsid w:val="00025899"/>
    <w:rsid w:val="00026E2E"/>
    <w:rsid w:val="00042260"/>
    <w:rsid w:val="00047B20"/>
    <w:rsid w:val="000511CB"/>
    <w:rsid w:val="00056D69"/>
    <w:rsid w:val="000727FD"/>
    <w:rsid w:val="00075C88"/>
    <w:rsid w:val="00077E2C"/>
    <w:rsid w:val="00083869"/>
    <w:rsid w:val="00086178"/>
    <w:rsid w:val="00091DC0"/>
    <w:rsid w:val="000A2385"/>
    <w:rsid w:val="000B069C"/>
    <w:rsid w:val="000B56B5"/>
    <w:rsid w:val="000B749C"/>
    <w:rsid w:val="000C6EEC"/>
    <w:rsid w:val="000D3C15"/>
    <w:rsid w:val="000D4BAC"/>
    <w:rsid w:val="000D58E2"/>
    <w:rsid w:val="000E0AE1"/>
    <w:rsid w:val="000E3038"/>
    <w:rsid w:val="000F229A"/>
    <w:rsid w:val="001001AC"/>
    <w:rsid w:val="001125C1"/>
    <w:rsid w:val="00124750"/>
    <w:rsid w:val="00130728"/>
    <w:rsid w:val="00134E9F"/>
    <w:rsid w:val="00137D93"/>
    <w:rsid w:val="00137F8D"/>
    <w:rsid w:val="001400C7"/>
    <w:rsid w:val="00150B3F"/>
    <w:rsid w:val="00166CCD"/>
    <w:rsid w:val="00170270"/>
    <w:rsid w:val="001803F5"/>
    <w:rsid w:val="00187DBB"/>
    <w:rsid w:val="001904CD"/>
    <w:rsid w:val="001A3BE1"/>
    <w:rsid w:val="001A5800"/>
    <w:rsid w:val="001C08C6"/>
    <w:rsid w:val="001C4037"/>
    <w:rsid w:val="001E1DD4"/>
    <w:rsid w:val="001E4654"/>
    <w:rsid w:val="001F0FB6"/>
    <w:rsid w:val="001F1C79"/>
    <w:rsid w:val="001F1EC6"/>
    <w:rsid w:val="00200D6F"/>
    <w:rsid w:val="00216494"/>
    <w:rsid w:val="00227C5F"/>
    <w:rsid w:val="00227CA4"/>
    <w:rsid w:val="00233181"/>
    <w:rsid w:val="00234C98"/>
    <w:rsid w:val="00246C86"/>
    <w:rsid w:val="00252FE4"/>
    <w:rsid w:val="002606E3"/>
    <w:rsid w:val="00273344"/>
    <w:rsid w:val="00281802"/>
    <w:rsid w:val="002819EF"/>
    <w:rsid w:val="002933BA"/>
    <w:rsid w:val="002961D6"/>
    <w:rsid w:val="002A316A"/>
    <w:rsid w:val="002B5DDA"/>
    <w:rsid w:val="002B715E"/>
    <w:rsid w:val="002D6FC2"/>
    <w:rsid w:val="002E08B4"/>
    <w:rsid w:val="002F39FD"/>
    <w:rsid w:val="002F56AF"/>
    <w:rsid w:val="002F6F8C"/>
    <w:rsid w:val="0030205D"/>
    <w:rsid w:val="00310E07"/>
    <w:rsid w:val="00326C3A"/>
    <w:rsid w:val="00331AAD"/>
    <w:rsid w:val="003332C8"/>
    <w:rsid w:val="0035509B"/>
    <w:rsid w:val="00365355"/>
    <w:rsid w:val="00370FB0"/>
    <w:rsid w:val="003755B3"/>
    <w:rsid w:val="0037780F"/>
    <w:rsid w:val="00385F13"/>
    <w:rsid w:val="003A13C1"/>
    <w:rsid w:val="003A1748"/>
    <w:rsid w:val="003A2EFE"/>
    <w:rsid w:val="003D3721"/>
    <w:rsid w:val="003E2B78"/>
    <w:rsid w:val="003F0AD8"/>
    <w:rsid w:val="003F45DE"/>
    <w:rsid w:val="004009ED"/>
    <w:rsid w:val="0042281A"/>
    <w:rsid w:val="00422ECD"/>
    <w:rsid w:val="0042464F"/>
    <w:rsid w:val="0043297D"/>
    <w:rsid w:val="00433799"/>
    <w:rsid w:val="00443BC2"/>
    <w:rsid w:val="00450A98"/>
    <w:rsid w:val="0045239A"/>
    <w:rsid w:val="00452D4E"/>
    <w:rsid w:val="00485969"/>
    <w:rsid w:val="004A2050"/>
    <w:rsid w:val="004B1A87"/>
    <w:rsid w:val="004B5EAB"/>
    <w:rsid w:val="004C22A1"/>
    <w:rsid w:val="004C6C24"/>
    <w:rsid w:val="004C6EEA"/>
    <w:rsid w:val="004D339C"/>
    <w:rsid w:val="004E544C"/>
    <w:rsid w:val="004E682E"/>
    <w:rsid w:val="004F3B4B"/>
    <w:rsid w:val="004F69AE"/>
    <w:rsid w:val="00503344"/>
    <w:rsid w:val="005130D0"/>
    <w:rsid w:val="005262A1"/>
    <w:rsid w:val="005266DD"/>
    <w:rsid w:val="00533E54"/>
    <w:rsid w:val="00545CFB"/>
    <w:rsid w:val="005510D3"/>
    <w:rsid w:val="005519F1"/>
    <w:rsid w:val="00552A8B"/>
    <w:rsid w:val="005573CF"/>
    <w:rsid w:val="005576E1"/>
    <w:rsid w:val="0056016C"/>
    <w:rsid w:val="00567BB3"/>
    <w:rsid w:val="005704D9"/>
    <w:rsid w:val="00570A4D"/>
    <w:rsid w:val="00575166"/>
    <w:rsid w:val="00577B7E"/>
    <w:rsid w:val="00587AF2"/>
    <w:rsid w:val="005907E3"/>
    <w:rsid w:val="00594876"/>
    <w:rsid w:val="0059753B"/>
    <w:rsid w:val="005977E2"/>
    <w:rsid w:val="005A1ED5"/>
    <w:rsid w:val="005B5CF1"/>
    <w:rsid w:val="005B7A0A"/>
    <w:rsid w:val="005C1B9E"/>
    <w:rsid w:val="005C587C"/>
    <w:rsid w:val="005D1D0C"/>
    <w:rsid w:val="005D28A0"/>
    <w:rsid w:val="005D5CA4"/>
    <w:rsid w:val="005D6A95"/>
    <w:rsid w:val="005E49E1"/>
    <w:rsid w:val="005E5B6D"/>
    <w:rsid w:val="00602E66"/>
    <w:rsid w:val="00605B24"/>
    <w:rsid w:val="00621257"/>
    <w:rsid w:val="00625BF0"/>
    <w:rsid w:val="006276BB"/>
    <w:rsid w:val="00635B5B"/>
    <w:rsid w:val="0064674B"/>
    <w:rsid w:val="00665D34"/>
    <w:rsid w:val="00666BDA"/>
    <w:rsid w:val="00681D84"/>
    <w:rsid w:val="00682392"/>
    <w:rsid w:val="006B0A8F"/>
    <w:rsid w:val="006B181B"/>
    <w:rsid w:val="006D39F1"/>
    <w:rsid w:val="00701547"/>
    <w:rsid w:val="00702A79"/>
    <w:rsid w:val="00704124"/>
    <w:rsid w:val="007048E7"/>
    <w:rsid w:val="007078A0"/>
    <w:rsid w:val="00713BFC"/>
    <w:rsid w:val="0071649A"/>
    <w:rsid w:val="007168A8"/>
    <w:rsid w:val="007421EC"/>
    <w:rsid w:val="0074530E"/>
    <w:rsid w:val="007536E3"/>
    <w:rsid w:val="007677AE"/>
    <w:rsid w:val="007805BF"/>
    <w:rsid w:val="0078088A"/>
    <w:rsid w:val="00786CD3"/>
    <w:rsid w:val="0079115D"/>
    <w:rsid w:val="007930C4"/>
    <w:rsid w:val="007946CF"/>
    <w:rsid w:val="007A4154"/>
    <w:rsid w:val="007B671A"/>
    <w:rsid w:val="007B760E"/>
    <w:rsid w:val="007D6BCA"/>
    <w:rsid w:val="007E0553"/>
    <w:rsid w:val="007F0FE5"/>
    <w:rsid w:val="00804312"/>
    <w:rsid w:val="00807AB2"/>
    <w:rsid w:val="008377EB"/>
    <w:rsid w:val="00837CC9"/>
    <w:rsid w:val="00841139"/>
    <w:rsid w:val="00846FE8"/>
    <w:rsid w:val="008627FA"/>
    <w:rsid w:val="008817F3"/>
    <w:rsid w:val="00892A71"/>
    <w:rsid w:val="0089615C"/>
    <w:rsid w:val="008A0B28"/>
    <w:rsid w:val="008A4336"/>
    <w:rsid w:val="008B3C17"/>
    <w:rsid w:val="008B6827"/>
    <w:rsid w:val="008B7751"/>
    <w:rsid w:val="008C0200"/>
    <w:rsid w:val="008D1188"/>
    <w:rsid w:val="008D4E9B"/>
    <w:rsid w:val="008E0718"/>
    <w:rsid w:val="008E68BB"/>
    <w:rsid w:val="009006EB"/>
    <w:rsid w:val="0091316A"/>
    <w:rsid w:val="00936874"/>
    <w:rsid w:val="00942684"/>
    <w:rsid w:val="00957146"/>
    <w:rsid w:val="00961646"/>
    <w:rsid w:val="009877F4"/>
    <w:rsid w:val="00992944"/>
    <w:rsid w:val="00996934"/>
    <w:rsid w:val="009A0368"/>
    <w:rsid w:val="009A15C0"/>
    <w:rsid w:val="009B4117"/>
    <w:rsid w:val="009E26C2"/>
    <w:rsid w:val="009E7CE7"/>
    <w:rsid w:val="00A00168"/>
    <w:rsid w:val="00A01EB1"/>
    <w:rsid w:val="00A02D0F"/>
    <w:rsid w:val="00A070CA"/>
    <w:rsid w:val="00A10102"/>
    <w:rsid w:val="00A20A8D"/>
    <w:rsid w:val="00A229BC"/>
    <w:rsid w:val="00A27ACF"/>
    <w:rsid w:val="00A34B42"/>
    <w:rsid w:val="00A367CB"/>
    <w:rsid w:val="00A40912"/>
    <w:rsid w:val="00A44EE6"/>
    <w:rsid w:val="00A70D6A"/>
    <w:rsid w:val="00A71C02"/>
    <w:rsid w:val="00A829DE"/>
    <w:rsid w:val="00A834DB"/>
    <w:rsid w:val="00A84A3F"/>
    <w:rsid w:val="00A977E3"/>
    <w:rsid w:val="00AA2A35"/>
    <w:rsid w:val="00AB7364"/>
    <w:rsid w:val="00AC58EC"/>
    <w:rsid w:val="00AC5ECE"/>
    <w:rsid w:val="00AC77F0"/>
    <w:rsid w:val="00AE1631"/>
    <w:rsid w:val="00AE5E4B"/>
    <w:rsid w:val="00AF13E3"/>
    <w:rsid w:val="00AF2DCE"/>
    <w:rsid w:val="00AF4C84"/>
    <w:rsid w:val="00B01532"/>
    <w:rsid w:val="00B04BF3"/>
    <w:rsid w:val="00B16C6D"/>
    <w:rsid w:val="00B30786"/>
    <w:rsid w:val="00B346D5"/>
    <w:rsid w:val="00B35AD9"/>
    <w:rsid w:val="00B40C24"/>
    <w:rsid w:val="00B44484"/>
    <w:rsid w:val="00B47ECE"/>
    <w:rsid w:val="00B53FBF"/>
    <w:rsid w:val="00B54894"/>
    <w:rsid w:val="00B6383E"/>
    <w:rsid w:val="00B63DE7"/>
    <w:rsid w:val="00B706C8"/>
    <w:rsid w:val="00B82249"/>
    <w:rsid w:val="00B95A9C"/>
    <w:rsid w:val="00BA527B"/>
    <w:rsid w:val="00BB0B5F"/>
    <w:rsid w:val="00BB3805"/>
    <w:rsid w:val="00BB4C08"/>
    <w:rsid w:val="00BF7250"/>
    <w:rsid w:val="00C530BC"/>
    <w:rsid w:val="00C6110A"/>
    <w:rsid w:val="00C771A0"/>
    <w:rsid w:val="00C81813"/>
    <w:rsid w:val="00C85A5F"/>
    <w:rsid w:val="00C90C18"/>
    <w:rsid w:val="00C91803"/>
    <w:rsid w:val="00CA7FCC"/>
    <w:rsid w:val="00CD196C"/>
    <w:rsid w:val="00CD1D68"/>
    <w:rsid w:val="00CE71E6"/>
    <w:rsid w:val="00CF124E"/>
    <w:rsid w:val="00D018A3"/>
    <w:rsid w:val="00D05110"/>
    <w:rsid w:val="00D0675C"/>
    <w:rsid w:val="00D10F2D"/>
    <w:rsid w:val="00D123AD"/>
    <w:rsid w:val="00D14265"/>
    <w:rsid w:val="00D154BD"/>
    <w:rsid w:val="00D23E32"/>
    <w:rsid w:val="00D35F6B"/>
    <w:rsid w:val="00D41233"/>
    <w:rsid w:val="00D44C96"/>
    <w:rsid w:val="00D6275B"/>
    <w:rsid w:val="00D65CA5"/>
    <w:rsid w:val="00D71FBF"/>
    <w:rsid w:val="00D727D3"/>
    <w:rsid w:val="00D80F0C"/>
    <w:rsid w:val="00D84D07"/>
    <w:rsid w:val="00D9144C"/>
    <w:rsid w:val="00DA471A"/>
    <w:rsid w:val="00DB3E11"/>
    <w:rsid w:val="00DC2BF0"/>
    <w:rsid w:val="00DC3438"/>
    <w:rsid w:val="00DC4F08"/>
    <w:rsid w:val="00DC6778"/>
    <w:rsid w:val="00DD1C5B"/>
    <w:rsid w:val="00DD1DB8"/>
    <w:rsid w:val="00DD788A"/>
    <w:rsid w:val="00DE067E"/>
    <w:rsid w:val="00DE1AAB"/>
    <w:rsid w:val="00DE21F4"/>
    <w:rsid w:val="00DF0A41"/>
    <w:rsid w:val="00DF3018"/>
    <w:rsid w:val="00DF3B3A"/>
    <w:rsid w:val="00DF7951"/>
    <w:rsid w:val="00E02E58"/>
    <w:rsid w:val="00E3316F"/>
    <w:rsid w:val="00E334CB"/>
    <w:rsid w:val="00E334F1"/>
    <w:rsid w:val="00E348B5"/>
    <w:rsid w:val="00E3758A"/>
    <w:rsid w:val="00E412D1"/>
    <w:rsid w:val="00E51B0A"/>
    <w:rsid w:val="00E540B8"/>
    <w:rsid w:val="00E86B97"/>
    <w:rsid w:val="00EA1681"/>
    <w:rsid w:val="00EA7449"/>
    <w:rsid w:val="00EC6AE8"/>
    <w:rsid w:val="00ED0C5C"/>
    <w:rsid w:val="00EF4BA7"/>
    <w:rsid w:val="00F0010F"/>
    <w:rsid w:val="00F05184"/>
    <w:rsid w:val="00F10543"/>
    <w:rsid w:val="00F11165"/>
    <w:rsid w:val="00F128E8"/>
    <w:rsid w:val="00F229A0"/>
    <w:rsid w:val="00F32018"/>
    <w:rsid w:val="00F338B1"/>
    <w:rsid w:val="00F3632D"/>
    <w:rsid w:val="00F36B9C"/>
    <w:rsid w:val="00F46088"/>
    <w:rsid w:val="00F52714"/>
    <w:rsid w:val="00F6016F"/>
    <w:rsid w:val="00F66D00"/>
    <w:rsid w:val="00F75855"/>
    <w:rsid w:val="00F92C2F"/>
    <w:rsid w:val="00FA1331"/>
    <w:rsid w:val="00FA1A4A"/>
    <w:rsid w:val="00FA5658"/>
    <w:rsid w:val="00FC7B5F"/>
    <w:rsid w:val="00FD5316"/>
    <w:rsid w:val="00FD5C9D"/>
    <w:rsid w:val="00FE1585"/>
    <w:rsid w:val="00FE3048"/>
    <w:rsid w:val="00FE58A8"/>
    <w:rsid w:val="00FF790A"/>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739547A"/>
  <w15:docId w15:val="{CC13360D-4A3D-446F-B408-A1809FB52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MS Minngs" w:hAnsi="Calibri" w:cs="Times New Roman"/>
        <w:lang w:val="it-IT" w:eastAsia="it-IT"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7FCC"/>
    <w:rPr>
      <w:sz w:val="24"/>
      <w:szCs w:val="24"/>
      <w:lang w:eastAsia="en-US"/>
    </w:rPr>
  </w:style>
  <w:style w:type="paragraph" w:styleId="Heading1">
    <w:name w:val="heading 1"/>
    <w:basedOn w:val="Normal"/>
    <w:next w:val="Normal"/>
    <w:link w:val="Heading1Char"/>
    <w:uiPriority w:val="99"/>
    <w:qFormat/>
    <w:rsid w:val="00CA7FCC"/>
    <w:pPr>
      <w:spacing w:line="360" w:lineRule="auto"/>
      <w:jc w:val="both"/>
      <w:outlineLvl w:val="0"/>
    </w:pPr>
    <w:rPr>
      <w:rFonts w:ascii="Book Antiqua" w:hAnsi="Book Antiqua"/>
      <w:b/>
      <w:bCs/>
      <w:caps/>
      <w:lang w:val="en-US"/>
    </w:rPr>
  </w:style>
  <w:style w:type="paragraph" w:styleId="Heading2">
    <w:name w:val="heading 2"/>
    <w:basedOn w:val="Normal"/>
    <w:next w:val="Normal"/>
    <w:link w:val="Heading2Char"/>
    <w:uiPriority w:val="99"/>
    <w:qFormat/>
    <w:rsid w:val="00CA7FCC"/>
    <w:pPr>
      <w:spacing w:line="360" w:lineRule="auto"/>
      <w:jc w:val="both"/>
      <w:outlineLvl w:val="1"/>
    </w:pPr>
    <w:rPr>
      <w:rFonts w:ascii="Book Antiqua" w:hAnsi="Book Antiqua"/>
      <w:b/>
      <w: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CA7FCC"/>
    <w:rPr>
      <w:rFonts w:ascii="Book Antiqua" w:hAnsi="Book Antiqua" w:cs="Times New Roman"/>
      <w:b/>
      <w:bCs/>
      <w:caps/>
      <w:lang w:val="en-US"/>
    </w:rPr>
  </w:style>
  <w:style w:type="character" w:customStyle="1" w:styleId="Heading2Char">
    <w:name w:val="Heading 2 Char"/>
    <w:link w:val="Heading2"/>
    <w:uiPriority w:val="99"/>
    <w:locked/>
    <w:rsid w:val="00CA7FCC"/>
    <w:rPr>
      <w:rFonts w:ascii="Book Antiqua" w:hAnsi="Book Antiqua" w:cs="Times New Roman"/>
      <w:b/>
      <w:i/>
      <w:lang w:val="en-US"/>
    </w:rPr>
  </w:style>
  <w:style w:type="paragraph" w:customStyle="1" w:styleId="EndNoteBibliographyTitle">
    <w:name w:val="EndNote Bibliography Title"/>
    <w:basedOn w:val="Normal"/>
    <w:uiPriority w:val="99"/>
    <w:rsid w:val="00CA7FCC"/>
    <w:pPr>
      <w:jc w:val="center"/>
    </w:pPr>
    <w:rPr>
      <w:rFonts w:ascii="Book Antiqua" w:hAnsi="Book Antiqua"/>
      <w:lang w:val="en-US"/>
    </w:rPr>
  </w:style>
  <w:style w:type="paragraph" w:customStyle="1" w:styleId="EndNoteBibliography">
    <w:name w:val="EndNote Bibliography"/>
    <w:basedOn w:val="Normal"/>
    <w:uiPriority w:val="99"/>
    <w:rsid w:val="00CA7FCC"/>
    <w:pPr>
      <w:spacing w:line="360" w:lineRule="auto"/>
    </w:pPr>
    <w:rPr>
      <w:rFonts w:ascii="Book Antiqua" w:hAnsi="Book Antiqua"/>
      <w:lang w:val="en-US"/>
    </w:rPr>
  </w:style>
  <w:style w:type="paragraph" w:styleId="NormalWeb">
    <w:name w:val="Normal (Web)"/>
    <w:basedOn w:val="Normal"/>
    <w:uiPriority w:val="99"/>
    <w:semiHidden/>
    <w:rsid w:val="00CA7FCC"/>
    <w:pPr>
      <w:spacing w:before="100" w:beforeAutospacing="1" w:after="100" w:afterAutospacing="1"/>
    </w:pPr>
    <w:rPr>
      <w:rFonts w:ascii="Times" w:hAnsi="Times"/>
      <w:sz w:val="20"/>
      <w:szCs w:val="20"/>
    </w:rPr>
  </w:style>
  <w:style w:type="paragraph" w:styleId="DocumentMap">
    <w:name w:val="Document Map"/>
    <w:basedOn w:val="Normal"/>
    <w:link w:val="DocumentMapChar"/>
    <w:uiPriority w:val="99"/>
    <w:semiHidden/>
    <w:rsid w:val="00CA7FCC"/>
    <w:rPr>
      <w:rFonts w:ascii="Lucida Grande" w:hAnsi="Lucida Grande" w:cs="Lucida Grande"/>
    </w:rPr>
  </w:style>
  <w:style w:type="character" w:customStyle="1" w:styleId="DocumentMapChar">
    <w:name w:val="Document Map Char"/>
    <w:link w:val="DocumentMap"/>
    <w:uiPriority w:val="99"/>
    <w:semiHidden/>
    <w:locked/>
    <w:rsid w:val="00CA7FCC"/>
    <w:rPr>
      <w:rFonts w:ascii="Lucida Grande" w:hAnsi="Lucida Grande" w:cs="Lucida Grande"/>
    </w:rPr>
  </w:style>
  <w:style w:type="paragraph" w:styleId="Footer">
    <w:name w:val="footer"/>
    <w:basedOn w:val="Normal"/>
    <w:link w:val="FooterChar"/>
    <w:uiPriority w:val="99"/>
    <w:rsid w:val="00CA7FCC"/>
    <w:pPr>
      <w:tabs>
        <w:tab w:val="center" w:pos="4153"/>
        <w:tab w:val="right" w:pos="8306"/>
      </w:tabs>
    </w:pPr>
  </w:style>
  <w:style w:type="character" w:customStyle="1" w:styleId="FooterChar">
    <w:name w:val="Footer Char"/>
    <w:link w:val="Footer"/>
    <w:uiPriority w:val="99"/>
    <w:locked/>
    <w:rsid w:val="00CA7FCC"/>
    <w:rPr>
      <w:rFonts w:cs="Times New Roman"/>
    </w:rPr>
  </w:style>
  <w:style w:type="character" w:styleId="PageNumber">
    <w:name w:val="page number"/>
    <w:uiPriority w:val="99"/>
    <w:semiHidden/>
    <w:rsid w:val="00CA7FCC"/>
    <w:rPr>
      <w:rFonts w:cs="Times New Roman"/>
    </w:rPr>
  </w:style>
  <w:style w:type="paragraph" w:styleId="Header">
    <w:name w:val="header"/>
    <w:basedOn w:val="Normal"/>
    <w:link w:val="HeaderChar"/>
    <w:uiPriority w:val="99"/>
    <w:rsid w:val="00CA7FCC"/>
    <w:pPr>
      <w:tabs>
        <w:tab w:val="center" w:pos="4153"/>
        <w:tab w:val="right" w:pos="8306"/>
      </w:tabs>
    </w:pPr>
  </w:style>
  <w:style w:type="character" w:customStyle="1" w:styleId="HeaderChar">
    <w:name w:val="Header Char"/>
    <w:link w:val="Header"/>
    <w:uiPriority w:val="99"/>
    <w:locked/>
    <w:rsid w:val="00CA7FCC"/>
    <w:rPr>
      <w:rFonts w:cs="Times New Roman"/>
    </w:rPr>
  </w:style>
  <w:style w:type="paragraph" w:styleId="BalloonText">
    <w:name w:val="Balloon Text"/>
    <w:basedOn w:val="Normal"/>
    <w:link w:val="BalloonTextChar"/>
    <w:uiPriority w:val="99"/>
    <w:semiHidden/>
    <w:rsid w:val="00CA7FCC"/>
    <w:rPr>
      <w:rFonts w:ascii="Lucida Grande" w:hAnsi="Lucida Grande" w:cs="Lucida Grande"/>
      <w:sz w:val="18"/>
      <w:szCs w:val="18"/>
    </w:rPr>
  </w:style>
  <w:style w:type="character" w:customStyle="1" w:styleId="BalloonTextChar">
    <w:name w:val="Balloon Text Char"/>
    <w:link w:val="BalloonText"/>
    <w:uiPriority w:val="99"/>
    <w:semiHidden/>
    <w:locked/>
    <w:rsid w:val="00CA7FCC"/>
    <w:rPr>
      <w:rFonts w:ascii="Lucida Grande" w:hAnsi="Lucida Grande" w:cs="Lucida Grande"/>
      <w:sz w:val="18"/>
      <w:szCs w:val="18"/>
    </w:rPr>
  </w:style>
  <w:style w:type="character" w:styleId="CommentReference">
    <w:name w:val="annotation reference"/>
    <w:uiPriority w:val="99"/>
    <w:semiHidden/>
    <w:rsid w:val="0045239A"/>
    <w:rPr>
      <w:rFonts w:cs="Times New Roman"/>
      <w:sz w:val="16"/>
      <w:szCs w:val="16"/>
    </w:rPr>
  </w:style>
  <w:style w:type="paragraph" w:styleId="CommentText">
    <w:name w:val="annotation text"/>
    <w:basedOn w:val="Normal"/>
    <w:link w:val="CommentTextChar"/>
    <w:uiPriority w:val="99"/>
    <w:semiHidden/>
    <w:rsid w:val="0045239A"/>
    <w:rPr>
      <w:sz w:val="20"/>
      <w:szCs w:val="20"/>
    </w:rPr>
  </w:style>
  <w:style w:type="character" w:customStyle="1" w:styleId="CommentTextChar">
    <w:name w:val="Comment Text Char"/>
    <w:link w:val="CommentText"/>
    <w:uiPriority w:val="99"/>
    <w:semiHidden/>
    <w:locked/>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45239A"/>
    <w:rPr>
      <w:b/>
      <w:bCs/>
    </w:rPr>
  </w:style>
  <w:style w:type="character" w:customStyle="1" w:styleId="CommentSubjectChar">
    <w:name w:val="Comment Subject Char"/>
    <w:link w:val="CommentSubject"/>
    <w:uiPriority w:val="99"/>
    <w:semiHidden/>
    <w:locked/>
    <w:rPr>
      <w:rFonts w:cs="Times New Roman"/>
      <w:b/>
      <w:bCs/>
      <w:sz w:val="20"/>
      <w:szCs w:val="20"/>
      <w:lang w:eastAsia="en-US"/>
    </w:rPr>
  </w:style>
  <w:style w:type="character" w:styleId="Hyperlink">
    <w:name w:val="Hyperlink"/>
    <w:basedOn w:val="DefaultParagraphFont"/>
    <w:uiPriority w:val="99"/>
    <w:unhideWhenUsed/>
    <w:rsid w:val="00D41233"/>
    <w:rPr>
      <w:color w:val="0000FF" w:themeColor="hyperlink"/>
      <w:u w:val="single"/>
    </w:rPr>
  </w:style>
  <w:style w:type="paragraph" w:styleId="ListParagraph">
    <w:name w:val="List Paragraph"/>
    <w:basedOn w:val="Normal"/>
    <w:uiPriority w:val="34"/>
    <w:qFormat/>
    <w:rsid w:val="001C08C6"/>
    <w:pPr>
      <w:spacing w:after="200" w:line="276" w:lineRule="auto"/>
      <w:ind w:left="720"/>
      <w:contextualSpacing/>
    </w:pPr>
    <w:rPr>
      <w:rFonts w:asciiTheme="minorHAnsi" w:eastAsiaTheme="minorEastAsia" w:hAnsiTheme="minorHAnsi" w:cstheme="minorBidi"/>
      <w:sz w:val="22"/>
      <w:szCs w:val="22"/>
      <w:lang w:eastAsia="it-IT"/>
    </w:rPr>
  </w:style>
  <w:style w:type="character" w:styleId="Strong">
    <w:name w:val="Strong"/>
    <w:uiPriority w:val="22"/>
    <w:qFormat/>
    <w:locked/>
    <w:rsid w:val="00AF13E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1065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claudia.loganes@gmail.com" TargetMode="Externa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A7A728-519E-4350-B630-A2248DE60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6767</Words>
  <Characters>38575</Characters>
  <Application>Microsoft Office Word</Application>
  <DocSecurity>0</DocSecurity>
  <Lines>321</Lines>
  <Paragraphs>90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Name of Journal: World Journal of Gastroenterology</vt:lpstr>
      <vt:lpstr>Name of Journal: World Journal of Gastroenterology</vt:lpstr>
    </vt:vector>
  </TitlesOfParts>
  <Company/>
  <LinksUpToDate>false</LinksUpToDate>
  <CharactersWithSpaces>45252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Journal: World Journal of Gastroenterology</dc:title>
  <dc:subject/>
  <dc:creator>elisa</dc:creator>
  <cp:keywords/>
  <dc:description/>
  <cp:lastModifiedBy>LS Ma</cp:lastModifiedBy>
  <cp:revision>2</cp:revision>
  <cp:lastPrinted>2016-08-25T08:24:00Z</cp:lastPrinted>
  <dcterms:created xsi:type="dcterms:W3CDTF">2016-09-13T17:43:00Z</dcterms:created>
  <dcterms:modified xsi:type="dcterms:W3CDTF">2016-09-13T17:43:00Z</dcterms:modified>
</cp:coreProperties>
</file>