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780BD" w14:textId="77777777" w:rsidR="0099690C" w:rsidRPr="0049263A" w:rsidRDefault="0099690C" w:rsidP="00AA734A">
      <w:pPr>
        <w:pStyle w:val="1"/>
        <w:snapToGrid w:val="0"/>
        <w:spacing w:line="360" w:lineRule="auto"/>
        <w:jc w:val="both"/>
        <w:rPr>
          <w:rFonts w:ascii="Book Antiqua" w:hAnsi="Book Antiqua" w:cs="Times New Roman"/>
          <w:b/>
          <w:color w:val="auto"/>
          <w:sz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r w:rsidRPr="0049263A">
        <w:rPr>
          <w:rFonts w:ascii="Book Antiqua" w:hAnsi="Book Antiqua" w:cs="Times New Roman"/>
          <w:b/>
          <w:color w:val="auto"/>
          <w:sz w:val="24"/>
          <w:highlight w:val="white"/>
          <w:lang w:val="en-US" w:eastAsia="zh-CN"/>
        </w:rPr>
        <w:t xml:space="preserve">Name of </w:t>
      </w:r>
      <w:r w:rsidRPr="0049263A">
        <w:rPr>
          <w:rFonts w:ascii="Book Antiqua" w:hAnsi="Book Antiqua" w:cs="Times New Roman"/>
          <w:b/>
          <w:caps/>
          <w:color w:val="auto"/>
          <w:sz w:val="24"/>
          <w:highlight w:val="white"/>
          <w:lang w:val="en-US" w:eastAsia="zh-CN"/>
        </w:rPr>
        <w:t>j</w:t>
      </w:r>
      <w:r w:rsidRPr="0049263A">
        <w:rPr>
          <w:rFonts w:ascii="Book Antiqua" w:hAnsi="Book Antiqua" w:cs="Times New Roman"/>
          <w:b/>
          <w:color w:val="auto"/>
          <w:sz w:val="24"/>
          <w:highlight w:val="white"/>
          <w:lang w:val="en-US" w:eastAsia="zh-CN"/>
        </w:rPr>
        <w:t xml:space="preserve">ournal: </w:t>
      </w:r>
      <w:bookmarkStart w:id="8" w:name="OLE_LINK718"/>
      <w:bookmarkStart w:id="9" w:name="OLE_LINK719"/>
      <w:r w:rsidRPr="0049263A">
        <w:rPr>
          <w:rFonts w:ascii="Book Antiqua" w:hAnsi="Book Antiqua" w:cs="Times New Roman"/>
          <w:b/>
          <w:i/>
          <w:color w:val="auto"/>
          <w:sz w:val="24"/>
          <w:highlight w:val="white"/>
          <w:lang w:val="en-US" w:eastAsia="zh-CN"/>
        </w:rPr>
        <w:t>World Journal of Gastroenterology</w:t>
      </w:r>
      <w:bookmarkEnd w:id="8"/>
      <w:bookmarkEnd w:id="9"/>
    </w:p>
    <w:p w14:paraId="5BB2DA5B" w14:textId="2641DC91" w:rsidR="0099690C" w:rsidRPr="0049263A" w:rsidRDefault="0099690C" w:rsidP="00AA734A">
      <w:pPr>
        <w:pStyle w:val="1"/>
        <w:snapToGrid w:val="0"/>
        <w:spacing w:line="360" w:lineRule="auto"/>
        <w:jc w:val="both"/>
        <w:rPr>
          <w:rFonts w:ascii="Book Antiqua" w:hAnsi="Book Antiqua" w:cs="Times New Roman"/>
          <w:b/>
          <w:i/>
          <w:color w:val="auto"/>
          <w:sz w:val="24"/>
          <w:highlight w:val="white"/>
          <w:lang w:val="en-US" w:eastAsia="zh-CN"/>
        </w:rPr>
      </w:pPr>
      <w:bookmarkStart w:id="10" w:name="OLE_LINK485"/>
      <w:bookmarkStart w:id="11" w:name="OLE_LINK486"/>
      <w:bookmarkStart w:id="12" w:name="OLE_LINK661"/>
      <w:bookmarkStart w:id="13" w:name="OLE_LINK768"/>
      <w:bookmarkStart w:id="14" w:name="OLE_LINK514"/>
      <w:bookmarkStart w:id="15" w:name="OLE_LINK515"/>
      <w:r w:rsidRPr="0049263A">
        <w:rPr>
          <w:rFonts w:ascii="Book Antiqua" w:hAnsi="Book Antiqua" w:cs="Times New Roman"/>
          <w:b/>
          <w:color w:val="auto"/>
          <w:sz w:val="24"/>
          <w:highlight w:val="white"/>
          <w:lang w:eastAsia="zh-CN"/>
        </w:rPr>
        <w:t>ESPS Manuscript NO:</w:t>
      </w:r>
      <w:bookmarkEnd w:id="10"/>
      <w:bookmarkEnd w:id="11"/>
      <w:bookmarkEnd w:id="12"/>
      <w:bookmarkEnd w:id="13"/>
      <w:r w:rsidRPr="0049263A">
        <w:rPr>
          <w:rFonts w:ascii="Book Antiqua" w:hAnsi="Book Antiqua" w:cs="Times New Roman"/>
          <w:b/>
          <w:color w:val="auto"/>
          <w:sz w:val="24"/>
          <w:highlight w:val="white"/>
          <w:lang w:eastAsia="zh-CN"/>
        </w:rPr>
        <w:t xml:space="preserve"> </w:t>
      </w:r>
      <w:r w:rsidRPr="0049263A">
        <w:rPr>
          <w:rFonts w:ascii="Book Antiqua" w:hAnsi="Book Antiqua" w:cs="Times New Roman" w:hint="eastAsia"/>
          <w:b/>
          <w:color w:val="auto"/>
          <w:sz w:val="24"/>
          <w:highlight w:val="white"/>
          <w:lang w:eastAsia="zh-CN"/>
        </w:rPr>
        <w:t>28639</w:t>
      </w:r>
    </w:p>
    <w:bookmarkEnd w:id="0"/>
    <w:bookmarkEnd w:id="1"/>
    <w:bookmarkEnd w:id="2"/>
    <w:bookmarkEnd w:id="3"/>
    <w:bookmarkEnd w:id="4"/>
    <w:bookmarkEnd w:id="5"/>
    <w:bookmarkEnd w:id="6"/>
    <w:bookmarkEnd w:id="7"/>
    <w:bookmarkEnd w:id="14"/>
    <w:bookmarkEnd w:id="15"/>
    <w:p w14:paraId="5DABE375" w14:textId="5C094E13" w:rsidR="0099690C" w:rsidRPr="0049263A" w:rsidRDefault="0099690C" w:rsidP="00AA734A">
      <w:pPr>
        <w:suppressAutoHyphens w:val="0"/>
        <w:snapToGrid w:val="0"/>
        <w:spacing w:line="360" w:lineRule="auto"/>
        <w:jc w:val="both"/>
        <w:rPr>
          <w:rFonts w:ascii="Book Antiqua" w:hAnsi="Book Antiqua" w:cs="宋体"/>
          <w:b/>
          <w:sz w:val="24"/>
          <w:szCs w:val="24"/>
          <w:lang w:val="en-US" w:eastAsia="zh-CN"/>
        </w:rPr>
      </w:pPr>
      <w:r w:rsidRPr="0049263A">
        <w:rPr>
          <w:rFonts w:ascii="Book Antiqua" w:hAnsi="Book Antiqua" w:cs="宋体"/>
          <w:b/>
          <w:sz w:val="24"/>
          <w:szCs w:val="24"/>
          <w:lang w:val="en-US" w:eastAsia="zh-CN"/>
        </w:rPr>
        <w:t>Manuscript Type:</w:t>
      </w:r>
      <w:r w:rsidRPr="0049263A">
        <w:rPr>
          <w:rFonts w:ascii="Book Antiqua" w:hAnsi="Book Antiqua" w:cs="宋体" w:hint="eastAsia"/>
          <w:b/>
          <w:sz w:val="24"/>
          <w:szCs w:val="24"/>
          <w:lang w:val="en-US" w:eastAsia="zh-CN"/>
        </w:rPr>
        <w:t xml:space="preserve"> </w:t>
      </w:r>
      <w:r w:rsidRPr="0049263A">
        <w:rPr>
          <w:rFonts w:ascii="Book Antiqua" w:hAnsi="Book Antiqua" w:cs="宋体"/>
          <w:b/>
          <w:sz w:val="24"/>
          <w:szCs w:val="24"/>
          <w:lang w:val="en-US" w:eastAsia="zh-CN"/>
        </w:rPr>
        <w:t>ORIGINAL ARTICLE</w:t>
      </w:r>
    </w:p>
    <w:p w14:paraId="12508255" w14:textId="77777777" w:rsidR="0099690C" w:rsidRPr="0049263A" w:rsidRDefault="0099690C" w:rsidP="00AA734A">
      <w:pPr>
        <w:snapToGrid w:val="0"/>
        <w:spacing w:line="360" w:lineRule="auto"/>
        <w:jc w:val="both"/>
        <w:rPr>
          <w:rFonts w:ascii="Book Antiqua" w:hAnsi="Book Antiqua" w:cs="Arial"/>
          <w:b/>
          <w:sz w:val="24"/>
          <w:szCs w:val="24"/>
          <w:lang w:val="en-US" w:eastAsia="zh-CN"/>
        </w:rPr>
      </w:pPr>
    </w:p>
    <w:p w14:paraId="6C050D16" w14:textId="1E25AF38" w:rsidR="0099690C" w:rsidRPr="0049263A" w:rsidRDefault="0099690C" w:rsidP="00AA734A">
      <w:pPr>
        <w:snapToGrid w:val="0"/>
        <w:spacing w:line="360" w:lineRule="auto"/>
        <w:jc w:val="both"/>
        <w:rPr>
          <w:rFonts w:ascii="Book Antiqua" w:hAnsi="Book Antiqua" w:cs="Arial"/>
          <w:b/>
          <w:i/>
          <w:sz w:val="24"/>
          <w:szCs w:val="24"/>
          <w:lang w:val="en-US" w:eastAsia="zh-CN"/>
        </w:rPr>
      </w:pPr>
      <w:r w:rsidRPr="0049263A">
        <w:rPr>
          <w:rFonts w:ascii="Book Antiqua" w:hAnsi="Book Antiqua" w:cs="Arial"/>
          <w:b/>
          <w:i/>
          <w:sz w:val="24"/>
          <w:szCs w:val="24"/>
          <w:lang w:val="en-GB"/>
        </w:rPr>
        <w:t>Retrospective Cohort Study</w:t>
      </w:r>
    </w:p>
    <w:p w14:paraId="49869AC1" w14:textId="318F474B" w:rsidR="0093205E" w:rsidRPr="0049263A" w:rsidRDefault="0093205E" w:rsidP="00AA734A">
      <w:pPr>
        <w:snapToGrid w:val="0"/>
        <w:spacing w:line="360" w:lineRule="auto"/>
        <w:jc w:val="both"/>
        <w:rPr>
          <w:rFonts w:ascii="Book Antiqua" w:hAnsi="Book Antiqua" w:cs="Arial"/>
          <w:b/>
          <w:sz w:val="24"/>
          <w:szCs w:val="24"/>
          <w:lang w:val="en-GB"/>
        </w:rPr>
      </w:pPr>
      <w:r w:rsidRPr="0049263A">
        <w:rPr>
          <w:rFonts w:ascii="Book Antiqua" w:hAnsi="Book Antiqua" w:cs="Arial"/>
          <w:b/>
          <w:sz w:val="24"/>
          <w:szCs w:val="24"/>
          <w:lang w:val="en-GB"/>
        </w:rPr>
        <w:t>Elevated fibrinogen plasma level is not an independent predictor of poor prognosis in a large cohort of Western patients undergoing surgery for colorectal cancer</w:t>
      </w:r>
    </w:p>
    <w:p w14:paraId="4BEBC2E4" w14:textId="77777777" w:rsidR="0093205E" w:rsidRPr="0049263A" w:rsidRDefault="0093205E" w:rsidP="00AA734A">
      <w:pPr>
        <w:snapToGrid w:val="0"/>
        <w:spacing w:line="360" w:lineRule="auto"/>
        <w:jc w:val="both"/>
        <w:rPr>
          <w:rFonts w:ascii="Book Antiqua" w:hAnsi="Book Antiqua" w:cs="Arial"/>
          <w:b/>
          <w:sz w:val="24"/>
          <w:szCs w:val="24"/>
          <w:lang w:val="en-GB" w:eastAsia="zh-CN"/>
        </w:rPr>
      </w:pPr>
    </w:p>
    <w:p w14:paraId="5AF99D28" w14:textId="0EBCA116" w:rsidR="00AE00DC" w:rsidRPr="0049263A" w:rsidRDefault="006E7273" w:rsidP="001D79E4">
      <w:pPr>
        <w:pStyle w:val="1"/>
        <w:rPr>
          <w:rFonts w:ascii="Book Antiqua" w:hAnsi="Book Antiqua" w:cs="Times New Roman"/>
          <w:b/>
          <w:color w:val="auto"/>
          <w:sz w:val="24"/>
          <w:highlight w:val="white"/>
          <w:lang w:val="en-US" w:eastAsia="zh-CN"/>
        </w:rPr>
      </w:pPr>
      <w:bookmarkStart w:id="16" w:name="OLE_LINK122"/>
      <w:bookmarkStart w:id="17" w:name="OLE_LINK123"/>
      <w:bookmarkStart w:id="18" w:name="OLE_LINK221"/>
      <w:bookmarkStart w:id="19" w:name="OLE_LINK230"/>
      <w:bookmarkStart w:id="20" w:name="OLE_LINK342"/>
      <w:bookmarkStart w:id="21" w:name="OLE_LINK401"/>
      <w:bookmarkStart w:id="22" w:name="OLE_LINK576"/>
      <w:bookmarkStart w:id="23" w:name="OLE_LINK605"/>
      <w:bookmarkStart w:id="24" w:name="OLE_LINK638"/>
      <w:bookmarkStart w:id="25" w:name="OLE_LINK732"/>
      <w:bookmarkStart w:id="26" w:name="OLE_LINK850"/>
      <w:bookmarkStart w:id="27" w:name="OLE_LINK868"/>
      <w:bookmarkStart w:id="28" w:name="OLE_LINK901"/>
      <w:bookmarkStart w:id="29" w:name="OLE_LINK931"/>
      <w:proofErr w:type="spellStart"/>
      <w:r w:rsidRPr="0049263A">
        <w:rPr>
          <w:rFonts w:ascii="Book Antiqua" w:eastAsia="Calibri" w:hAnsi="Book Antiqua"/>
          <w:color w:val="auto"/>
          <w:sz w:val="24"/>
          <w:szCs w:val="24"/>
          <w:lang w:val="en-GB"/>
        </w:rPr>
        <w:t>Pedrazzani</w:t>
      </w:r>
      <w:proofErr w:type="spellEnd"/>
      <w:r w:rsidRPr="0049263A">
        <w:rPr>
          <w:rFonts w:ascii="Book Antiqua" w:eastAsia="Calibri" w:hAnsi="Book Antiqua"/>
          <w:color w:val="auto"/>
          <w:sz w:val="24"/>
          <w:szCs w:val="24"/>
          <w:lang w:val="en-GB"/>
        </w:rPr>
        <w:t xml:space="preserve"> C</w:t>
      </w:r>
      <w:r w:rsidRPr="0049263A">
        <w:rPr>
          <w:rFonts w:ascii="Book Antiqua" w:hAnsi="Book Antiqua" w:hint="eastAsia"/>
          <w:i/>
          <w:color w:val="auto"/>
          <w:sz w:val="24"/>
          <w:szCs w:val="24"/>
          <w:lang w:val="en-GB" w:eastAsia="zh-CN"/>
        </w:rPr>
        <w:t xml:space="preserve"> et al</w:t>
      </w:r>
      <w:r w:rsidRPr="0049263A">
        <w:rPr>
          <w:rFonts w:ascii="Book Antiqua" w:hAnsi="Book Antiqua" w:hint="eastAsia"/>
          <w:color w:val="auto"/>
          <w:sz w:val="24"/>
          <w:szCs w:val="24"/>
          <w:lang w:val="en-GB" w:eastAsia="zh-CN"/>
        </w:rPr>
        <w:t>.</w:t>
      </w:r>
      <w:r w:rsidRPr="0049263A">
        <w:rPr>
          <w:rFonts w:ascii="Book Antiqua" w:hAnsi="Book Antiqua" w:cs="Times New Roman" w:hint="eastAsia"/>
          <w:b/>
          <w:color w:val="auto"/>
          <w:sz w:val="24"/>
          <w:lang w:val="en-US" w:eastAsia="zh-CN"/>
        </w:rPr>
        <w:t xml:space="preserve"> </w:t>
      </w:r>
      <w:proofErr w:type="spellStart"/>
      <w:r w:rsidR="001D79E4" w:rsidRPr="0049263A">
        <w:rPr>
          <w:rFonts w:ascii="Book Antiqua" w:hAnsi="Book Antiqua"/>
          <w:color w:val="auto"/>
          <w:sz w:val="24"/>
          <w:szCs w:val="24"/>
          <w:lang w:val="en-US"/>
        </w:rPr>
        <w:t>Hyperfibrinogenemia</w:t>
      </w:r>
      <w:proofErr w:type="spellEnd"/>
      <w:r w:rsidR="001D79E4" w:rsidRPr="0049263A">
        <w:rPr>
          <w:rFonts w:ascii="Book Antiqua" w:hAnsi="Book Antiqua"/>
          <w:color w:val="auto"/>
          <w:sz w:val="24"/>
          <w:szCs w:val="24"/>
          <w:lang w:val="en-US"/>
        </w:rPr>
        <w:t xml:space="preserve"> doesn’t predict survival in colorectal cancer</w:t>
      </w:r>
    </w:p>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6BFBD7A" w14:textId="77777777" w:rsidR="0099690C" w:rsidRPr="0049263A" w:rsidRDefault="0099690C" w:rsidP="00AA734A">
      <w:pPr>
        <w:snapToGrid w:val="0"/>
        <w:spacing w:line="360" w:lineRule="auto"/>
        <w:jc w:val="both"/>
        <w:rPr>
          <w:rFonts w:ascii="Book Antiqua" w:hAnsi="Book Antiqua" w:cs="Arial"/>
          <w:b/>
          <w:sz w:val="24"/>
          <w:szCs w:val="24"/>
          <w:lang w:val="en-US" w:eastAsia="zh-CN"/>
        </w:rPr>
      </w:pPr>
    </w:p>
    <w:p w14:paraId="2EA08A6F" w14:textId="24D4CBC3" w:rsidR="0093205E" w:rsidRPr="0049263A" w:rsidRDefault="0093205E" w:rsidP="00AA734A">
      <w:pPr>
        <w:snapToGrid w:val="0"/>
        <w:spacing w:line="360" w:lineRule="auto"/>
        <w:jc w:val="both"/>
        <w:rPr>
          <w:rFonts w:ascii="Book Antiqua" w:eastAsia="MS Mincho" w:hAnsi="Book Antiqua" w:cs="Arial"/>
          <w:b/>
          <w:sz w:val="24"/>
          <w:szCs w:val="24"/>
        </w:rPr>
      </w:pPr>
      <w:r w:rsidRPr="0049263A">
        <w:rPr>
          <w:rFonts w:ascii="Book Antiqua" w:eastAsia="MS Mincho" w:hAnsi="Book Antiqua" w:cs="Arial"/>
          <w:b/>
          <w:sz w:val="24"/>
          <w:szCs w:val="24"/>
        </w:rPr>
        <w:t>Corrado Pedrazzani, Guido Mantovani, Gian Luca Salvagno,</w:t>
      </w:r>
      <w:r w:rsidRPr="0049263A">
        <w:rPr>
          <w:rFonts w:ascii="Book Antiqua" w:eastAsia="MS Mincho" w:hAnsi="Book Antiqua" w:cs="Arial"/>
          <w:b/>
          <w:sz w:val="24"/>
          <w:szCs w:val="24"/>
          <w:vertAlign w:val="superscript"/>
        </w:rPr>
        <w:t xml:space="preserve"> </w:t>
      </w:r>
      <w:r w:rsidRPr="0049263A">
        <w:rPr>
          <w:rFonts w:ascii="Book Antiqua" w:eastAsia="MS Mincho" w:hAnsi="Book Antiqua" w:cs="Arial"/>
          <w:b/>
          <w:sz w:val="24"/>
          <w:szCs w:val="24"/>
        </w:rPr>
        <w:t>Elisabeth Baldiotti, Andrea Ruzzenente, Calogero Iacono, Giuseppe Lippi,</w:t>
      </w:r>
      <w:r w:rsidRPr="0049263A">
        <w:rPr>
          <w:rFonts w:ascii="Book Antiqua" w:eastAsia="MS Mincho" w:hAnsi="Book Antiqua" w:cs="Arial"/>
          <w:b/>
          <w:sz w:val="24"/>
          <w:szCs w:val="24"/>
          <w:vertAlign w:val="superscript"/>
        </w:rPr>
        <w:t xml:space="preserve"> </w:t>
      </w:r>
      <w:r w:rsidRPr="0049263A">
        <w:rPr>
          <w:rFonts w:ascii="Book Antiqua" w:eastAsia="MS Mincho" w:hAnsi="Book Antiqua" w:cs="Arial"/>
          <w:b/>
          <w:sz w:val="24"/>
          <w:szCs w:val="24"/>
        </w:rPr>
        <w:t xml:space="preserve">Alfredo Guglielmi </w:t>
      </w:r>
    </w:p>
    <w:p w14:paraId="5FEB837D" w14:textId="77777777" w:rsidR="0093205E" w:rsidRPr="0049263A" w:rsidRDefault="0093205E" w:rsidP="00AA734A">
      <w:pPr>
        <w:snapToGrid w:val="0"/>
        <w:spacing w:line="360" w:lineRule="auto"/>
        <w:jc w:val="both"/>
        <w:rPr>
          <w:rFonts w:ascii="Book Antiqua" w:eastAsia="MS Mincho" w:hAnsi="Book Antiqua" w:cs="Arial"/>
          <w:b/>
          <w:sz w:val="24"/>
          <w:szCs w:val="24"/>
        </w:rPr>
      </w:pPr>
    </w:p>
    <w:p w14:paraId="692030F8" w14:textId="2101A1FB" w:rsidR="0093205E" w:rsidRPr="0049263A" w:rsidRDefault="0093205E" w:rsidP="00AA734A">
      <w:pPr>
        <w:snapToGrid w:val="0"/>
        <w:spacing w:line="360" w:lineRule="auto"/>
        <w:jc w:val="both"/>
        <w:rPr>
          <w:rFonts w:ascii="Book Antiqua" w:hAnsi="Book Antiqua" w:cs="Arial"/>
          <w:sz w:val="24"/>
          <w:szCs w:val="24"/>
          <w:lang w:eastAsia="zh-CN"/>
        </w:rPr>
      </w:pPr>
      <w:r w:rsidRPr="0049263A">
        <w:rPr>
          <w:rFonts w:ascii="Book Antiqua" w:eastAsia="MS Mincho" w:hAnsi="Book Antiqua" w:cs="Arial"/>
          <w:b/>
          <w:sz w:val="24"/>
          <w:szCs w:val="24"/>
        </w:rPr>
        <w:t xml:space="preserve">Corrado Pedrazzani, Guido Mantovani, Elisabeth Baldiotti, Andrea Ruzzenente, Calogero Iacono, Alfredo Guglielmi, </w:t>
      </w:r>
      <w:r w:rsidRPr="0049263A">
        <w:rPr>
          <w:rFonts w:ascii="Book Antiqua" w:hAnsi="Book Antiqua" w:cs="Arial"/>
          <w:sz w:val="24"/>
          <w:szCs w:val="24"/>
        </w:rPr>
        <w:t xml:space="preserve">Division of General and Hepatobiliary Surgery, </w:t>
      </w:r>
      <w:r w:rsidRPr="0049263A">
        <w:rPr>
          <w:rFonts w:ascii="Book Antiqua" w:eastAsia="MS Mincho" w:hAnsi="Book Antiqua" w:cs="Arial"/>
          <w:sz w:val="24"/>
          <w:szCs w:val="24"/>
        </w:rPr>
        <w:t xml:space="preserve">Department of Surgical Sciences, Dentistry, Gynecology and Pediatrics, University of Verona, </w:t>
      </w:r>
      <w:r w:rsidR="0099690C" w:rsidRPr="0049263A">
        <w:rPr>
          <w:rFonts w:ascii="Book Antiqua" w:eastAsia="MS Mincho" w:hAnsi="Book Antiqua" w:cs="Arial"/>
          <w:sz w:val="24"/>
          <w:szCs w:val="24"/>
        </w:rPr>
        <w:t>37134</w:t>
      </w:r>
      <w:r w:rsidR="0099690C" w:rsidRPr="0049263A">
        <w:rPr>
          <w:rFonts w:ascii="Book Antiqua" w:hAnsi="Book Antiqua" w:cs="Arial" w:hint="eastAsia"/>
          <w:sz w:val="24"/>
          <w:szCs w:val="24"/>
          <w:lang w:eastAsia="zh-CN"/>
        </w:rPr>
        <w:t xml:space="preserve"> </w:t>
      </w:r>
      <w:r w:rsidR="0099690C" w:rsidRPr="0049263A">
        <w:rPr>
          <w:rFonts w:ascii="Book Antiqua" w:eastAsia="MS Mincho" w:hAnsi="Book Antiqua" w:cs="Arial"/>
          <w:sz w:val="24"/>
          <w:szCs w:val="24"/>
        </w:rPr>
        <w:t>Verona, Italy</w:t>
      </w:r>
    </w:p>
    <w:p w14:paraId="13037CC7" w14:textId="77777777" w:rsidR="0093205E" w:rsidRPr="0049263A" w:rsidRDefault="0093205E" w:rsidP="00AA734A">
      <w:pPr>
        <w:snapToGrid w:val="0"/>
        <w:spacing w:line="360" w:lineRule="auto"/>
        <w:jc w:val="both"/>
        <w:rPr>
          <w:rFonts w:ascii="Book Antiqua" w:eastAsia="MS Mincho" w:hAnsi="Book Antiqua" w:cs="Arial"/>
          <w:sz w:val="24"/>
          <w:szCs w:val="24"/>
        </w:rPr>
      </w:pPr>
    </w:p>
    <w:p w14:paraId="4EE7D5A0" w14:textId="347A8CDC" w:rsidR="0093205E" w:rsidRPr="0049263A" w:rsidRDefault="0093205E" w:rsidP="00AA734A">
      <w:pPr>
        <w:snapToGrid w:val="0"/>
        <w:spacing w:line="360" w:lineRule="auto"/>
        <w:jc w:val="both"/>
        <w:rPr>
          <w:rFonts w:ascii="Book Antiqua" w:hAnsi="Book Antiqua" w:cs="Arial"/>
          <w:sz w:val="24"/>
          <w:szCs w:val="24"/>
          <w:lang w:val="en-GB" w:eastAsia="zh-CN"/>
        </w:rPr>
      </w:pPr>
      <w:proofErr w:type="spellStart"/>
      <w:r w:rsidRPr="0049263A">
        <w:rPr>
          <w:rFonts w:ascii="Book Antiqua" w:eastAsia="MS Mincho" w:hAnsi="Book Antiqua" w:cs="Arial"/>
          <w:b/>
          <w:sz w:val="24"/>
          <w:szCs w:val="24"/>
          <w:lang w:val="en-GB"/>
        </w:rPr>
        <w:t>Gian</w:t>
      </w:r>
      <w:proofErr w:type="spellEnd"/>
      <w:r w:rsidRPr="0049263A">
        <w:rPr>
          <w:rFonts w:ascii="Book Antiqua" w:eastAsia="MS Mincho" w:hAnsi="Book Antiqua" w:cs="Arial"/>
          <w:b/>
          <w:sz w:val="24"/>
          <w:szCs w:val="24"/>
          <w:lang w:val="en-GB"/>
        </w:rPr>
        <w:t xml:space="preserve"> Luca </w:t>
      </w:r>
      <w:proofErr w:type="spellStart"/>
      <w:r w:rsidRPr="0049263A">
        <w:rPr>
          <w:rFonts w:ascii="Book Antiqua" w:eastAsia="MS Mincho" w:hAnsi="Book Antiqua" w:cs="Arial"/>
          <w:b/>
          <w:sz w:val="24"/>
          <w:szCs w:val="24"/>
          <w:lang w:val="en-GB"/>
        </w:rPr>
        <w:t>Salvagno</w:t>
      </w:r>
      <w:proofErr w:type="spellEnd"/>
      <w:r w:rsidRPr="0049263A">
        <w:rPr>
          <w:rFonts w:ascii="Book Antiqua" w:eastAsia="MS Mincho" w:hAnsi="Book Antiqua" w:cs="Arial"/>
          <w:b/>
          <w:sz w:val="24"/>
          <w:szCs w:val="24"/>
          <w:lang w:val="en-GB"/>
        </w:rPr>
        <w:t>, Giuseppe Lippi</w:t>
      </w:r>
      <w:r w:rsidRPr="0049263A">
        <w:rPr>
          <w:rFonts w:ascii="Book Antiqua" w:eastAsia="MS Mincho" w:hAnsi="Book Antiqua" w:cs="Arial"/>
          <w:sz w:val="24"/>
          <w:szCs w:val="24"/>
          <w:lang w:val="en-GB"/>
        </w:rPr>
        <w:t xml:space="preserve">, </w:t>
      </w:r>
      <w:r w:rsidRPr="0049263A">
        <w:rPr>
          <w:rFonts w:ascii="Book Antiqua" w:hAnsi="Book Antiqua" w:cs="Arial"/>
          <w:sz w:val="24"/>
          <w:szCs w:val="24"/>
          <w:lang w:val="en-GB"/>
        </w:rPr>
        <w:t xml:space="preserve">Section of Clinical Biochemistry, Department of Neurological, Biomedical and Movement Sciences, </w:t>
      </w:r>
      <w:r w:rsidRPr="0049263A">
        <w:rPr>
          <w:rFonts w:ascii="Book Antiqua" w:eastAsia="MS Mincho" w:hAnsi="Book Antiqua" w:cs="Arial"/>
          <w:sz w:val="24"/>
          <w:szCs w:val="24"/>
          <w:lang w:val="en-GB"/>
        </w:rPr>
        <w:t>University</w:t>
      </w:r>
      <w:r w:rsidRPr="0049263A">
        <w:rPr>
          <w:rFonts w:ascii="Book Antiqua" w:hAnsi="Book Antiqua" w:cs="Arial"/>
          <w:sz w:val="24"/>
          <w:szCs w:val="24"/>
          <w:lang w:val="en-GB"/>
        </w:rPr>
        <w:t xml:space="preserve"> of Verona, </w:t>
      </w:r>
      <w:r w:rsidR="0099690C" w:rsidRPr="0049263A">
        <w:rPr>
          <w:rFonts w:ascii="Book Antiqua" w:eastAsia="MS Mincho" w:hAnsi="Book Antiqua" w:cs="Arial"/>
          <w:sz w:val="24"/>
          <w:szCs w:val="24"/>
          <w:lang w:val="en-GB"/>
        </w:rPr>
        <w:t>37134</w:t>
      </w:r>
      <w:r w:rsidR="0099690C" w:rsidRPr="0049263A">
        <w:rPr>
          <w:rFonts w:ascii="Book Antiqua" w:hAnsi="Book Antiqua" w:cs="Arial" w:hint="eastAsia"/>
          <w:sz w:val="24"/>
          <w:szCs w:val="24"/>
          <w:lang w:val="en-GB" w:eastAsia="zh-CN"/>
        </w:rPr>
        <w:t xml:space="preserve"> </w:t>
      </w:r>
      <w:r w:rsidR="0099690C" w:rsidRPr="0049263A">
        <w:rPr>
          <w:rFonts w:ascii="Book Antiqua" w:eastAsia="MS Mincho" w:hAnsi="Book Antiqua" w:cs="Arial"/>
          <w:sz w:val="24"/>
          <w:szCs w:val="24"/>
          <w:lang w:val="en-GB"/>
        </w:rPr>
        <w:t>Verona, Italy</w:t>
      </w:r>
    </w:p>
    <w:p w14:paraId="362607E1" w14:textId="77777777" w:rsidR="0099690C" w:rsidRPr="0049263A" w:rsidRDefault="0099690C" w:rsidP="00AA734A">
      <w:pPr>
        <w:widowControl w:val="0"/>
        <w:autoSpaceDE w:val="0"/>
        <w:snapToGrid w:val="0"/>
        <w:spacing w:line="360" w:lineRule="auto"/>
        <w:jc w:val="both"/>
        <w:rPr>
          <w:rFonts w:ascii="Book Antiqua" w:hAnsi="Book Antiqua" w:cs="Arial"/>
          <w:b/>
          <w:sz w:val="24"/>
          <w:szCs w:val="24"/>
          <w:lang w:val="en-GB" w:eastAsia="zh-CN"/>
        </w:rPr>
      </w:pPr>
    </w:p>
    <w:p w14:paraId="51B925F0" w14:textId="5A705DC0" w:rsidR="0093205E" w:rsidRPr="0049263A" w:rsidRDefault="0093205E" w:rsidP="00AA734A">
      <w:pPr>
        <w:widowControl w:val="0"/>
        <w:autoSpaceDE w:val="0"/>
        <w:snapToGrid w:val="0"/>
        <w:spacing w:line="360" w:lineRule="auto"/>
        <w:jc w:val="both"/>
        <w:rPr>
          <w:rFonts w:ascii="Book Antiqua" w:eastAsia="Calibri" w:hAnsi="Book Antiqua" w:cs="Arial"/>
          <w:sz w:val="24"/>
          <w:szCs w:val="24"/>
          <w:lang w:val="en-GB"/>
        </w:rPr>
      </w:pPr>
      <w:r w:rsidRPr="0049263A">
        <w:rPr>
          <w:rFonts w:ascii="Book Antiqua" w:eastAsia="Calibri" w:hAnsi="Book Antiqua" w:cs="Arial"/>
          <w:b/>
          <w:sz w:val="24"/>
          <w:szCs w:val="24"/>
          <w:lang w:val="en-GB"/>
        </w:rPr>
        <w:t xml:space="preserve">Author contributions: </w:t>
      </w:r>
      <w:proofErr w:type="spellStart"/>
      <w:r w:rsidRPr="0049263A">
        <w:rPr>
          <w:rFonts w:ascii="Book Antiqua" w:eastAsia="Calibri" w:hAnsi="Book Antiqua" w:cs="Arial"/>
          <w:sz w:val="24"/>
          <w:szCs w:val="24"/>
          <w:lang w:val="en-GB"/>
        </w:rPr>
        <w:t>Pedrazzani</w:t>
      </w:r>
      <w:proofErr w:type="spellEnd"/>
      <w:r w:rsidRPr="0049263A">
        <w:rPr>
          <w:rFonts w:ascii="Book Antiqua" w:eastAsia="Calibri" w:hAnsi="Book Antiqua" w:cs="Arial"/>
          <w:sz w:val="24"/>
          <w:szCs w:val="24"/>
          <w:lang w:val="en-GB"/>
        </w:rPr>
        <w:t xml:space="preserve"> C, </w:t>
      </w:r>
      <w:proofErr w:type="spellStart"/>
      <w:r w:rsidRPr="0049263A">
        <w:rPr>
          <w:rFonts w:ascii="Book Antiqua" w:eastAsia="Calibri" w:hAnsi="Book Antiqua" w:cs="Arial"/>
          <w:sz w:val="24"/>
          <w:szCs w:val="24"/>
          <w:lang w:val="en-GB"/>
        </w:rPr>
        <w:t>Mantovani</w:t>
      </w:r>
      <w:proofErr w:type="spellEnd"/>
      <w:r w:rsidRPr="0049263A">
        <w:rPr>
          <w:rFonts w:ascii="Book Antiqua" w:eastAsia="Calibri" w:hAnsi="Book Antiqua" w:cs="Arial"/>
          <w:sz w:val="24"/>
          <w:szCs w:val="24"/>
          <w:lang w:val="en-GB"/>
        </w:rPr>
        <w:t xml:space="preserve"> G and </w:t>
      </w:r>
      <w:proofErr w:type="spellStart"/>
      <w:r w:rsidRPr="0049263A">
        <w:rPr>
          <w:rFonts w:ascii="Book Antiqua" w:eastAsia="Calibri" w:hAnsi="Book Antiqua" w:cs="Arial"/>
          <w:sz w:val="24"/>
          <w:szCs w:val="24"/>
          <w:lang w:val="en-GB"/>
        </w:rPr>
        <w:t>Guglielmi</w:t>
      </w:r>
      <w:proofErr w:type="spellEnd"/>
      <w:r w:rsidRPr="0049263A">
        <w:rPr>
          <w:rFonts w:ascii="Book Antiqua" w:eastAsia="Calibri" w:hAnsi="Book Antiqua" w:cs="Arial"/>
          <w:sz w:val="24"/>
          <w:szCs w:val="24"/>
          <w:lang w:val="en-GB"/>
        </w:rPr>
        <w:t xml:space="preserve"> A provided study concept and design; </w:t>
      </w:r>
      <w:proofErr w:type="spellStart"/>
      <w:r w:rsidRPr="0049263A">
        <w:rPr>
          <w:rFonts w:ascii="Book Antiqua" w:eastAsia="Calibri" w:hAnsi="Book Antiqua" w:cs="Arial"/>
          <w:sz w:val="24"/>
          <w:szCs w:val="24"/>
          <w:lang w:val="en-GB"/>
        </w:rPr>
        <w:t>Mantovani</w:t>
      </w:r>
      <w:proofErr w:type="spellEnd"/>
      <w:r w:rsidRPr="0049263A">
        <w:rPr>
          <w:rFonts w:ascii="Book Antiqua" w:eastAsia="Calibri" w:hAnsi="Book Antiqua" w:cs="Arial"/>
          <w:sz w:val="24"/>
          <w:szCs w:val="24"/>
          <w:lang w:val="en-GB"/>
        </w:rPr>
        <w:t xml:space="preserve"> G, </w:t>
      </w:r>
      <w:proofErr w:type="spellStart"/>
      <w:r w:rsidRPr="0049263A">
        <w:rPr>
          <w:rFonts w:ascii="Book Antiqua" w:eastAsia="Calibri" w:hAnsi="Book Antiqua" w:cs="Arial"/>
          <w:sz w:val="24"/>
          <w:szCs w:val="24"/>
          <w:lang w:val="en-GB"/>
        </w:rPr>
        <w:t>Salvagno</w:t>
      </w:r>
      <w:proofErr w:type="spellEnd"/>
      <w:r w:rsidRPr="0049263A">
        <w:rPr>
          <w:rFonts w:ascii="Book Antiqua" w:eastAsia="Calibri" w:hAnsi="Book Antiqua" w:cs="Arial"/>
          <w:sz w:val="24"/>
          <w:szCs w:val="24"/>
          <w:lang w:val="en-GB"/>
        </w:rPr>
        <w:t xml:space="preserve"> GL and </w:t>
      </w:r>
      <w:proofErr w:type="spellStart"/>
      <w:r w:rsidRPr="0049263A">
        <w:rPr>
          <w:rFonts w:ascii="Book Antiqua" w:eastAsia="Calibri" w:hAnsi="Book Antiqua" w:cs="Arial"/>
          <w:sz w:val="24"/>
          <w:szCs w:val="24"/>
          <w:lang w:val="en-GB"/>
        </w:rPr>
        <w:t>Baldiotti</w:t>
      </w:r>
      <w:proofErr w:type="spellEnd"/>
      <w:r w:rsidRPr="0049263A">
        <w:rPr>
          <w:rFonts w:ascii="Book Antiqua" w:eastAsia="Calibri" w:hAnsi="Book Antiqua" w:cs="Arial"/>
          <w:sz w:val="24"/>
          <w:szCs w:val="24"/>
          <w:lang w:val="en-GB"/>
        </w:rPr>
        <w:t xml:space="preserve"> E collected data; </w:t>
      </w:r>
      <w:proofErr w:type="spellStart"/>
      <w:r w:rsidRPr="0049263A">
        <w:rPr>
          <w:rFonts w:ascii="Book Antiqua" w:eastAsia="Calibri" w:hAnsi="Book Antiqua" w:cs="Arial"/>
          <w:sz w:val="24"/>
          <w:szCs w:val="24"/>
          <w:lang w:val="en-GB"/>
        </w:rPr>
        <w:t>Pedrazzani</w:t>
      </w:r>
      <w:proofErr w:type="spellEnd"/>
      <w:r w:rsidRPr="0049263A">
        <w:rPr>
          <w:rFonts w:ascii="Book Antiqua" w:eastAsia="Calibri" w:hAnsi="Book Antiqua" w:cs="Arial"/>
          <w:sz w:val="24"/>
          <w:szCs w:val="24"/>
          <w:lang w:val="en-GB"/>
        </w:rPr>
        <w:t xml:space="preserve"> C, </w:t>
      </w:r>
      <w:proofErr w:type="spellStart"/>
      <w:r w:rsidRPr="0049263A">
        <w:rPr>
          <w:rFonts w:ascii="Book Antiqua" w:eastAsia="Calibri" w:hAnsi="Book Antiqua" w:cs="Arial"/>
          <w:sz w:val="24"/>
          <w:szCs w:val="24"/>
          <w:lang w:val="en-GB"/>
        </w:rPr>
        <w:t>Mantovani</w:t>
      </w:r>
      <w:proofErr w:type="spellEnd"/>
      <w:r w:rsidRPr="0049263A">
        <w:rPr>
          <w:rFonts w:ascii="Book Antiqua" w:eastAsia="Calibri" w:hAnsi="Book Antiqua" w:cs="Arial"/>
          <w:sz w:val="24"/>
          <w:szCs w:val="24"/>
          <w:lang w:val="en-GB"/>
        </w:rPr>
        <w:t xml:space="preserve"> G and </w:t>
      </w:r>
      <w:proofErr w:type="spellStart"/>
      <w:r w:rsidRPr="0049263A">
        <w:rPr>
          <w:rFonts w:ascii="Book Antiqua" w:eastAsia="Calibri" w:hAnsi="Book Antiqua" w:cs="Arial"/>
          <w:sz w:val="24"/>
          <w:szCs w:val="24"/>
          <w:lang w:val="en-GB"/>
        </w:rPr>
        <w:t>Ruzzenente</w:t>
      </w:r>
      <w:proofErr w:type="spellEnd"/>
      <w:r w:rsidRPr="0049263A">
        <w:rPr>
          <w:rFonts w:ascii="Book Antiqua" w:eastAsia="Calibri" w:hAnsi="Book Antiqua" w:cs="Arial"/>
          <w:sz w:val="24"/>
          <w:szCs w:val="24"/>
          <w:lang w:val="en-GB"/>
        </w:rPr>
        <w:t xml:space="preserve"> A performed da</w:t>
      </w:r>
      <w:r w:rsidR="0099690C" w:rsidRPr="0049263A">
        <w:rPr>
          <w:rFonts w:ascii="Book Antiqua" w:eastAsia="Calibri" w:hAnsi="Book Antiqua" w:cs="Arial"/>
          <w:sz w:val="24"/>
          <w:szCs w:val="24"/>
          <w:lang w:val="en-GB"/>
        </w:rPr>
        <w:t>ta analysis and interpretation;</w:t>
      </w:r>
      <w:r w:rsidR="0099690C" w:rsidRPr="0049263A">
        <w:rPr>
          <w:rFonts w:ascii="Book Antiqua" w:hAnsi="Book Antiqua" w:cs="Arial" w:hint="eastAsia"/>
          <w:sz w:val="24"/>
          <w:szCs w:val="24"/>
          <w:lang w:val="en-GB" w:eastAsia="zh-CN"/>
        </w:rPr>
        <w:t xml:space="preserve"> </w:t>
      </w:r>
      <w:proofErr w:type="spellStart"/>
      <w:r w:rsidRPr="0049263A">
        <w:rPr>
          <w:rFonts w:ascii="Book Antiqua" w:eastAsia="Calibri" w:hAnsi="Book Antiqua" w:cs="Arial"/>
          <w:sz w:val="24"/>
          <w:szCs w:val="24"/>
          <w:lang w:val="en-GB"/>
        </w:rPr>
        <w:t>Pedrazzani</w:t>
      </w:r>
      <w:proofErr w:type="spellEnd"/>
      <w:r w:rsidRPr="0049263A">
        <w:rPr>
          <w:rFonts w:ascii="Book Antiqua" w:eastAsia="Calibri" w:hAnsi="Book Antiqua" w:cs="Arial"/>
          <w:sz w:val="24"/>
          <w:szCs w:val="24"/>
          <w:lang w:val="en-GB"/>
        </w:rPr>
        <w:t xml:space="preserve"> C, </w:t>
      </w:r>
      <w:proofErr w:type="spellStart"/>
      <w:r w:rsidRPr="0049263A">
        <w:rPr>
          <w:rFonts w:ascii="Book Antiqua" w:eastAsia="Calibri" w:hAnsi="Book Antiqua" w:cs="Arial"/>
          <w:sz w:val="24"/>
          <w:szCs w:val="24"/>
          <w:lang w:val="en-GB"/>
        </w:rPr>
        <w:t>Mantovani</w:t>
      </w:r>
      <w:proofErr w:type="spellEnd"/>
      <w:r w:rsidRPr="0049263A">
        <w:rPr>
          <w:rFonts w:ascii="Book Antiqua" w:eastAsia="Calibri" w:hAnsi="Book Antiqua" w:cs="Arial"/>
          <w:sz w:val="24"/>
          <w:szCs w:val="24"/>
          <w:lang w:val="en-GB"/>
        </w:rPr>
        <w:t xml:space="preserve"> G drafted the manuscript; </w:t>
      </w:r>
      <w:proofErr w:type="spellStart"/>
      <w:r w:rsidRPr="0049263A">
        <w:rPr>
          <w:rFonts w:ascii="Book Antiqua" w:eastAsia="Calibri" w:hAnsi="Book Antiqua" w:cs="Arial"/>
          <w:sz w:val="24"/>
          <w:szCs w:val="24"/>
          <w:lang w:val="en-GB"/>
        </w:rPr>
        <w:t>Iacono</w:t>
      </w:r>
      <w:proofErr w:type="spellEnd"/>
      <w:r w:rsidRPr="0049263A">
        <w:rPr>
          <w:rFonts w:ascii="Book Antiqua" w:eastAsia="Calibri" w:hAnsi="Book Antiqua" w:cs="Arial"/>
          <w:sz w:val="24"/>
          <w:szCs w:val="24"/>
          <w:lang w:val="en-GB"/>
        </w:rPr>
        <w:t xml:space="preserve"> C, Lippi G and </w:t>
      </w:r>
      <w:proofErr w:type="spellStart"/>
      <w:r w:rsidRPr="0049263A">
        <w:rPr>
          <w:rFonts w:ascii="Book Antiqua" w:eastAsia="Calibri" w:hAnsi="Book Antiqua" w:cs="Arial"/>
          <w:sz w:val="24"/>
          <w:szCs w:val="24"/>
          <w:lang w:val="en-GB"/>
        </w:rPr>
        <w:t>Guglielmi</w:t>
      </w:r>
      <w:proofErr w:type="spellEnd"/>
      <w:r w:rsidRPr="0049263A">
        <w:rPr>
          <w:rFonts w:ascii="Book Antiqua" w:eastAsia="Calibri" w:hAnsi="Book Antiqua" w:cs="Arial"/>
          <w:sz w:val="24"/>
          <w:szCs w:val="24"/>
          <w:lang w:val="en-GB"/>
        </w:rPr>
        <w:t xml:space="preserve"> A provided critical revision of the paper.</w:t>
      </w:r>
    </w:p>
    <w:p w14:paraId="46F141E0" w14:textId="77777777" w:rsidR="0093205E" w:rsidRPr="0049263A" w:rsidRDefault="0093205E" w:rsidP="00AA734A">
      <w:pPr>
        <w:widowControl w:val="0"/>
        <w:autoSpaceDE w:val="0"/>
        <w:snapToGrid w:val="0"/>
        <w:spacing w:line="360" w:lineRule="auto"/>
        <w:jc w:val="both"/>
        <w:rPr>
          <w:rFonts w:ascii="Book Antiqua" w:hAnsi="Book Antiqua" w:cs="Arial"/>
          <w:sz w:val="24"/>
          <w:szCs w:val="24"/>
          <w:lang w:val="en-GB" w:eastAsia="zh-CN"/>
        </w:rPr>
      </w:pPr>
    </w:p>
    <w:p w14:paraId="7301C1B1" w14:textId="77777777" w:rsidR="0099690C" w:rsidRPr="0049263A" w:rsidRDefault="0099690C" w:rsidP="00AA734A">
      <w:pPr>
        <w:snapToGrid w:val="0"/>
        <w:spacing w:line="360" w:lineRule="auto"/>
        <w:jc w:val="both"/>
        <w:rPr>
          <w:rFonts w:ascii="Book Antiqua" w:hAnsi="Book Antiqua" w:cs="Arial"/>
          <w:sz w:val="24"/>
          <w:szCs w:val="24"/>
          <w:lang w:val="en-US"/>
        </w:rPr>
      </w:pPr>
      <w:r w:rsidRPr="0049263A">
        <w:rPr>
          <w:rStyle w:val="Hyperlink"/>
          <w:rFonts w:ascii="Book Antiqua" w:eastAsia="MS Mincho" w:hAnsi="Book Antiqua" w:cs="Arial"/>
          <w:b/>
          <w:sz w:val="24"/>
          <w:szCs w:val="24"/>
          <w:lang w:val="en-US"/>
        </w:rPr>
        <w:t xml:space="preserve">Institutional review board statement: </w:t>
      </w:r>
      <w:r w:rsidRPr="0049263A">
        <w:rPr>
          <w:rStyle w:val="Hyperlink"/>
          <w:rFonts w:ascii="Book Antiqua" w:eastAsia="MS Mincho" w:hAnsi="Book Antiqua" w:cs="Arial"/>
          <w:sz w:val="24"/>
          <w:szCs w:val="24"/>
          <w:lang w:val="en-US"/>
        </w:rPr>
        <w:t xml:space="preserve">The study was reviewed and approved by the </w:t>
      </w:r>
      <w:r w:rsidRPr="0049263A">
        <w:rPr>
          <w:rFonts w:ascii="Book Antiqua" w:hAnsi="Book Antiqua" w:cs="Arial"/>
          <w:sz w:val="24"/>
          <w:szCs w:val="24"/>
          <w:lang w:val="en-US"/>
        </w:rPr>
        <w:t xml:space="preserve">Ethics Committee of </w:t>
      </w:r>
      <w:r w:rsidRPr="0049263A">
        <w:rPr>
          <w:rFonts w:ascii="Book Antiqua" w:eastAsia="MS Mincho" w:hAnsi="Book Antiqua" w:cs="Arial"/>
          <w:sz w:val="24"/>
          <w:szCs w:val="24"/>
          <w:lang w:val="en-US"/>
        </w:rPr>
        <w:t>University</w:t>
      </w:r>
      <w:r w:rsidRPr="0049263A">
        <w:rPr>
          <w:rFonts w:ascii="Book Antiqua" w:hAnsi="Book Antiqua" w:cs="Arial"/>
          <w:sz w:val="24"/>
          <w:szCs w:val="24"/>
          <w:lang w:val="en-US"/>
        </w:rPr>
        <w:t xml:space="preserve"> of Verona, </w:t>
      </w:r>
      <w:r w:rsidRPr="0049263A">
        <w:rPr>
          <w:rFonts w:ascii="Book Antiqua" w:eastAsia="MS Mincho" w:hAnsi="Book Antiqua" w:cs="Arial"/>
          <w:sz w:val="24"/>
          <w:szCs w:val="24"/>
          <w:lang w:val="en-US"/>
        </w:rPr>
        <w:t xml:space="preserve">Verona, Italy, with </w:t>
      </w:r>
      <w:r w:rsidRPr="0049263A">
        <w:rPr>
          <w:rFonts w:ascii="Book Antiqua" w:hAnsi="Book Antiqua" w:cs="Arial"/>
          <w:sz w:val="24"/>
          <w:szCs w:val="24"/>
          <w:lang w:val="en-US"/>
        </w:rPr>
        <w:t>ID number: 42763 (CRINF-1034 CESC).</w:t>
      </w:r>
    </w:p>
    <w:p w14:paraId="25708828" w14:textId="77777777" w:rsidR="0099690C" w:rsidRPr="0049263A" w:rsidRDefault="0099690C" w:rsidP="00AA734A">
      <w:pPr>
        <w:snapToGrid w:val="0"/>
        <w:spacing w:line="360" w:lineRule="auto"/>
        <w:jc w:val="both"/>
        <w:rPr>
          <w:rFonts w:ascii="Book Antiqua" w:hAnsi="Book Antiqua" w:cs="Arial"/>
          <w:sz w:val="24"/>
          <w:szCs w:val="24"/>
          <w:lang w:val="en-US"/>
        </w:rPr>
      </w:pPr>
    </w:p>
    <w:p w14:paraId="69242CE3" w14:textId="6F1A385E" w:rsidR="0099690C" w:rsidRPr="0049263A" w:rsidRDefault="0099690C" w:rsidP="00AA734A">
      <w:pPr>
        <w:snapToGrid w:val="0"/>
        <w:spacing w:line="360" w:lineRule="auto"/>
        <w:jc w:val="both"/>
        <w:rPr>
          <w:rFonts w:ascii="Book Antiqua" w:hAnsi="Book Antiqua" w:cs="Arial"/>
          <w:sz w:val="24"/>
          <w:szCs w:val="24"/>
          <w:lang w:val="en-US"/>
        </w:rPr>
      </w:pPr>
      <w:r w:rsidRPr="0049263A">
        <w:rPr>
          <w:rFonts w:ascii="Book Antiqua" w:hAnsi="Book Antiqua" w:cs="Arial"/>
          <w:b/>
          <w:sz w:val="24"/>
          <w:szCs w:val="24"/>
          <w:lang w:val="en-US"/>
        </w:rPr>
        <w:t xml:space="preserve">Informed </w:t>
      </w:r>
      <w:r w:rsidR="00FC04B1" w:rsidRPr="0049263A">
        <w:rPr>
          <w:rFonts w:ascii="Book Antiqua" w:hAnsi="Book Antiqua" w:cs="Arial"/>
          <w:b/>
          <w:sz w:val="24"/>
          <w:szCs w:val="24"/>
          <w:lang w:val="en-US"/>
        </w:rPr>
        <w:t>c</w:t>
      </w:r>
      <w:r w:rsidRPr="0049263A">
        <w:rPr>
          <w:rFonts w:ascii="Book Antiqua" w:hAnsi="Book Antiqua" w:cs="Arial"/>
          <w:b/>
          <w:sz w:val="24"/>
          <w:szCs w:val="24"/>
          <w:lang w:val="en-US"/>
        </w:rPr>
        <w:t xml:space="preserve">onsent </w:t>
      </w:r>
      <w:r w:rsidR="00FC04B1" w:rsidRPr="0049263A">
        <w:rPr>
          <w:rFonts w:ascii="Book Antiqua" w:hAnsi="Book Antiqua" w:cs="Arial"/>
          <w:b/>
          <w:sz w:val="24"/>
          <w:szCs w:val="24"/>
          <w:lang w:val="en-US"/>
        </w:rPr>
        <w:t>s</w:t>
      </w:r>
      <w:r w:rsidRPr="0049263A">
        <w:rPr>
          <w:rFonts w:ascii="Book Antiqua" w:hAnsi="Book Antiqua" w:cs="Arial"/>
          <w:b/>
          <w:sz w:val="24"/>
          <w:szCs w:val="24"/>
          <w:lang w:val="en-US"/>
        </w:rPr>
        <w:t>tatement:</w:t>
      </w:r>
      <w:r w:rsidRPr="0049263A">
        <w:rPr>
          <w:rFonts w:ascii="Book Antiqua" w:hAnsi="Book Antiqua" w:cs="Arial"/>
          <w:sz w:val="24"/>
          <w:szCs w:val="24"/>
          <w:lang w:val="en-US"/>
        </w:rPr>
        <w:t xml:space="preserve"> All study </w:t>
      </w:r>
      <w:r w:rsidR="00284F66" w:rsidRPr="0049263A">
        <w:rPr>
          <w:rFonts w:ascii="Book Antiqua" w:hAnsi="Book Antiqua" w:cs="Arial"/>
          <w:sz w:val="24"/>
          <w:szCs w:val="24"/>
          <w:lang w:val="en-US"/>
        </w:rPr>
        <w:t>participants</w:t>
      </w:r>
      <w:r w:rsidRPr="0049263A">
        <w:rPr>
          <w:rFonts w:ascii="Book Antiqua" w:hAnsi="Book Antiqua" w:cs="Arial"/>
          <w:sz w:val="24"/>
          <w:szCs w:val="24"/>
          <w:lang w:val="en-US"/>
        </w:rPr>
        <w:t>, or their legal guardian, provided written consent for data collection and processing, for this study.</w:t>
      </w:r>
    </w:p>
    <w:p w14:paraId="3814049D" w14:textId="77777777" w:rsidR="0099690C" w:rsidRPr="0049263A" w:rsidRDefault="0099690C" w:rsidP="00AA734A">
      <w:pPr>
        <w:widowControl w:val="0"/>
        <w:autoSpaceDE w:val="0"/>
        <w:snapToGrid w:val="0"/>
        <w:spacing w:line="360" w:lineRule="auto"/>
        <w:jc w:val="both"/>
        <w:rPr>
          <w:rFonts w:ascii="Book Antiqua" w:hAnsi="Book Antiqua" w:cs="Arial"/>
          <w:sz w:val="24"/>
          <w:szCs w:val="24"/>
          <w:lang w:val="en-US" w:eastAsia="zh-CN"/>
        </w:rPr>
      </w:pPr>
    </w:p>
    <w:p w14:paraId="3079187A" w14:textId="77777777" w:rsidR="0093205E" w:rsidRPr="0049263A" w:rsidRDefault="0093205E" w:rsidP="00AA734A">
      <w:pPr>
        <w:widowControl w:val="0"/>
        <w:autoSpaceDE w:val="0"/>
        <w:snapToGrid w:val="0"/>
        <w:spacing w:line="360" w:lineRule="auto"/>
        <w:jc w:val="both"/>
        <w:rPr>
          <w:rFonts w:ascii="Book Antiqua" w:eastAsia="Calibri" w:hAnsi="Book Antiqua" w:cs="Arial"/>
          <w:sz w:val="24"/>
          <w:szCs w:val="24"/>
          <w:lang w:val="en-GB"/>
        </w:rPr>
      </w:pPr>
      <w:r w:rsidRPr="0049263A">
        <w:rPr>
          <w:rFonts w:ascii="Book Antiqua" w:eastAsia="Calibri" w:hAnsi="Book Antiqua" w:cs="Arial"/>
          <w:b/>
          <w:sz w:val="24"/>
          <w:szCs w:val="24"/>
          <w:lang w:val="en-GB"/>
        </w:rPr>
        <w:t xml:space="preserve">Conflict-of-interest statement: </w:t>
      </w:r>
      <w:r w:rsidRPr="0049263A">
        <w:rPr>
          <w:rFonts w:ascii="Book Antiqua" w:eastAsia="Calibri" w:hAnsi="Book Antiqua" w:cs="Arial"/>
          <w:sz w:val="24"/>
          <w:szCs w:val="24"/>
          <w:lang w:val="en-GB"/>
        </w:rPr>
        <w:t xml:space="preserve">We declare that there are no conflicts of interest to disclose. </w:t>
      </w:r>
    </w:p>
    <w:p w14:paraId="2945F41F" w14:textId="77777777" w:rsidR="00CC200A" w:rsidRPr="0049263A" w:rsidRDefault="00CC200A" w:rsidP="00AA734A">
      <w:pPr>
        <w:snapToGrid w:val="0"/>
        <w:spacing w:line="360" w:lineRule="auto"/>
        <w:jc w:val="both"/>
        <w:rPr>
          <w:rFonts w:ascii="Book Antiqua" w:hAnsi="Book Antiqua" w:cs="Arial"/>
          <w:sz w:val="24"/>
          <w:szCs w:val="24"/>
          <w:lang w:val="en-US" w:eastAsia="zh-CN"/>
        </w:rPr>
      </w:pPr>
    </w:p>
    <w:p w14:paraId="7F4B9574" w14:textId="58BC1FDC" w:rsidR="00CC200A" w:rsidRPr="0049263A" w:rsidRDefault="00CC200A" w:rsidP="00AA734A">
      <w:pPr>
        <w:snapToGrid w:val="0"/>
        <w:spacing w:line="360" w:lineRule="auto"/>
        <w:jc w:val="both"/>
        <w:rPr>
          <w:rFonts w:ascii="Book Antiqua" w:hAnsi="Book Antiqua" w:cs="Arial"/>
          <w:sz w:val="24"/>
          <w:szCs w:val="24"/>
          <w:lang w:val="en-US"/>
        </w:rPr>
      </w:pPr>
      <w:r w:rsidRPr="0049263A">
        <w:rPr>
          <w:rFonts w:ascii="Book Antiqua" w:hAnsi="Book Antiqua" w:cs="Arial"/>
          <w:b/>
          <w:sz w:val="24"/>
          <w:szCs w:val="24"/>
          <w:lang w:val="en-US"/>
        </w:rPr>
        <w:t xml:space="preserve">Data Sharing Statement: </w:t>
      </w:r>
      <w:r w:rsidRPr="0049263A">
        <w:rPr>
          <w:rFonts w:ascii="Book Antiqua" w:hAnsi="Book Antiqua" w:cs="Arial"/>
          <w:sz w:val="24"/>
          <w:szCs w:val="24"/>
          <w:lang w:val="en-US"/>
        </w:rPr>
        <w:t>Original data,</w:t>
      </w:r>
      <w:r w:rsidRPr="0049263A">
        <w:rPr>
          <w:rFonts w:ascii="Book Antiqua" w:hAnsi="Book Antiqua" w:cs="Arial"/>
          <w:b/>
          <w:sz w:val="24"/>
          <w:szCs w:val="24"/>
          <w:lang w:val="en-US"/>
        </w:rPr>
        <w:t xml:space="preserve"> </w:t>
      </w:r>
      <w:r w:rsidRPr="0049263A">
        <w:rPr>
          <w:rFonts w:ascii="Book Antiqua" w:hAnsi="Book Antiqua" w:cs="Arial"/>
          <w:sz w:val="24"/>
          <w:szCs w:val="24"/>
          <w:lang w:val="en-US"/>
        </w:rPr>
        <w:t xml:space="preserve">images, tables </w:t>
      </w:r>
      <w:r w:rsidRPr="0049263A">
        <w:rPr>
          <w:rFonts w:ascii="Book Antiqua" w:hAnsi="Book Antiqua" w:cs="Arial"/>
          <w:sz w:val="24"/>
          <w:szCs w:val="24"/>
          <w:lang w:val="en-US" w:eastAsia="pt-PT"/>
        </w:rPr>
        <w:t xml:space="preserve">are available from the </w:t>
      </w:r>
      <w:proofErr w:type="spellStart"/>
      <w:r w:rsidRPr="0049263A">
        <w:rPr>
          <w:rFonts w:ascii="Book Antiqua" w:hAnsi="Book Antiqua" w:cs="Arial"/>
          <w:sz w:val="24"/>
          <w:szCs w:val="24"/>
          <w:lang w:val="en-US" w:eastAsia="pt-PT"/>
        </w:rPr>
        <w:t>corrisponding</w:t>
      </w:r>
      <w:proofErr w:type="spellEnd"/>
      <w:r w:rsidRPr="0049263A">
        <w:rPr>
          <w:rFonts w:ascii="Book Antiqua" w:hAnsi="Book Antiqua" w:cs="Arial"/>
          <w:sz w:val="24"/>
          <w:szCs w:val="24"/>
          <w:lang w:val="en-US" w:eastAsia="pt-PT"/>
        </w:rPr>
        <w:t xml:space="preserve"> author: </w:t>
      </w:r>
      <w:proofErr w:type="spellStart"/>
      <w:r w:rsidRPr="0049263A">
        <w:rPr>
          <w:rFonts w:ascii="Book Antiqua" w:eastAsia="MS Mincho" w:hAnsi="Book Antiqua" w:cs="Arial"/>
          <w:sz w:val="24"/>
          <w:szCs w:val="24"/>
          <w:lang w:val="en-US"/>
        </w:rPr>
        <w:t>Dott</w:t>
      </w:r>
      <w:proofErr w:type="spellEnd"/>
      <w:r w:rsidRPr="0049263A">
        <w:rPr>
          <w:rFonts w:ascii="Book Antiqua" w:eastAsia="MS Mincho" w:hAnsi="Book Antiqua" w:cs="Arial"/>
          <w:sz w:val="24"/>
          <w:szCs w:val="24"/>
          <w:lang w:val="en-US"/>
        </w:rPr>
        <w:t xml:space="preserve">. </w:t>
      </w:r>
      <w:proofErr w:type="spellStart"/>
      <w:r w:rsidRPr="0049263A">
        <w:rPr>
          <w:rFonts w:ascii="Book Antiqua" w:eastAsia="MS Mincho" w:hAnsi="Book Antiqua" w:cs="Arial"/>
          <w:sz w:val="24"/>
          <w:szCs w:val="24"/>
          <w:lang w:val="en-US"/>
        </w:rPr>
        <w:t>Corrado</w:t>
      </w:r>
      <w:proofErr w:type="spellEnd"/>
      <w:r w:rsidRPr="0049263A">
        <w:rPr>
          <w:rFonts w:ascii="Book Antiqua" w:eastAsia="MS Mincho" w:hAnsi="Book Antiqua" w:cs="Arial"/>
          <w:sz w:val="24"/>
          <w:szCs w:val="24"/>
          <w:lang w:val="en-US"/>
        </w:rPr>
        <w:t xml:space="preserve"> </w:t>
      </w:r>
      <w:proofErr w:type="spellStart"/>
      <w:r w:rsidRPr="0049263A">
        <w:rPr>
          <w:rFonts w:ascii="Book Antiqua" w:eastAsia="MS Mincho" w:hAnsi="Book Antiqua" w:cs="Arial"/>
          <w:sz w:val="24"/>
          <w:szCs w:val="24"/>
          <w:lang w:val="en-US"/>
        </w:rPr>
        <w:t>Pedrazzani</w:t>
      </w:r>
      <w:proofErr w:type="spellEnd"/>
      <w:r w:rsidRPr="0049263A">
        <w:rPr>
          <w:rFonts w:ascii="Book Antiqua" w:eastAsia="MS Mincho" w:hAnsi="Book Antiqua" w:cs="Arial"/>
          <w:sz w:val="24"/>
          <w:szCs w:val="24"/>
          <w:lang w:val="en-US"/>
        </w:rPr>
        <w:t xml:space="preserve">, </w:t>
      </w:r>
      <w:proofErr w:type="spellStart"/>
      <w:r w:rsidRPr="0049263A">
        <w:rPr>
          <w:rFonts w:ascii="Book Antiqua" w:eastAsia="MS Mincho" w:hAnsi="Book Antiqua" w:cs="Arial"/>
          <w:sz w:val="24"/>
          <w:szCs w:val="24"/>
          <w:lang w:val="en-US"/>
        </w:rPr>
        <w:t>Chirurgia</w:t>
      </w:r>
      <w:proofErr w:type="spellEnd"/>
      <w:r w:rsidRPr="0049263A">
        <w:rPr>
          <w:rFonts w:ascii="Book Antiqua" w:eastAsia="MS Mincho" w:hAnsi="Book Antiqua" w:cs="Arial"/>
          <w:sz w:val="24"/>
          <w:szCs w:val="24"/>
          <w:lang w:val="en-US"/>
        </w:rPr>
        <w:t xml:space="preserve"> </w:t>
      </w:r>
      <w:proofErr w:type="spellStart"/>
      <w:r w:rsidRPr="0049263A">
        <w:rPr>
          <w:rFonts w:ascii="Book Antiqua" w:eastAsia="MS Mincho" w:hAnsi="Book Antiqua" w:cs="Arial"/>
          <w:sz w:val="24"/>
          <w:szCs w:val="24"/>
          <w:lang w:val="en-US"/>
        </w:rPr>
        <w:t>Generale</w:t>
      </w:r>
      <w:proofErr w:type="spellEnd"/>
      <w:r w:rsidRPr="0049263A">
        <w:rPr>
          <w:rFonts w:ascii="Book Antiqua" w:eastAsia="MS Mincho" w:hAnsi="Book Antiqua" w:cs="Arial"/>
          <w:sz w:val="24"/>
          <w:szCs w:val="24"/>
          <w:lang w:val="en-US"/>
        </w:rPr>
        <w:t xml:space="preserve"> e </w:t>
      </w:r>
      <w:proofErr w:type="spellStart"/>
      <w:r w:rsidRPr="0049263A">
        <w:rPr>
          <w:rFonts w:ascii="Book Antiqua" w:eastAsia="MS Mincho" w:hAnsi="Book Antiqua" w:cs="Arial"/>
          <w:sz w:val="24"/>
          <w:szCs w:val="24"/>
          <w:lang w:val="en-US"/>
        </w:rPr>
        <w:t>Epatobiliare</w:t>
      </w:r>
      <w:proofErr w:type="spellEnd"/>
      <w:r w:rsidRPr="0049263A">
        <w:rPr>
          <w:rFonts w:ascii="Book Antiqua" w:eastAsia="MS Mincho" w:hAnsi="Book Antiqua" w:cs="Arial"/>
          <w:sz w:val="24"/>
          <w:szCs w:val="24"/>
          <w:lang w:val="en-US"/>
        </w:rPr>
        <w:t xml:space="preserve">, </w:t>
      </w:r>
      <w:proofErr w:type="spellStart"/>
      <w:r w:rsidRPr="0049263A">
        <w:rPr>
          <w:rFonts w:ascii="Book Antiqua" w:eastAsia="MS Mincho" w:hAnsi="Book Antiqua" w:cs="Arial"/>
          <w:sz w:val="24"/>
          <w:szCs w:val="24"/>
          <w:lang w:val="en-US"/>
        </w:rPr>
        <w:t>Policlinico</w:t>
      </w:r>
      <w:proofErr w:type="spellEnd"/>
      <w:r w:rsidRPr="0049263A">
        <w:rPr>
          <w:rFonts w:ascii="Book Antiqua" w:eastAsia="MS Mincho" w:hAnsi="Book Antiqua" w:cs="Arial"/>
          <w:sz w:val="24"/>
          <w:szCs w:val="24"/>
          <w:lang w:val="en-US"/>
        </w:rPr>
        <w:t xml:space="preserve"> “G.B. Rossi”, </w:t>
      </w:r>
      <w:proofErr w:type="spellStart"/>
      <w:r w:rsidRPr="0049263A">
        <w:rPr>
          <w:rFonts w:ascii="Book Antiqua" w:eastAsia="MS Mincho" w:hAnsi="Book Antiqua" w:cs="Arial"/>
          <w:sz w:val="24"/>
          <w:szCs w:val="24"/>
          <w:lang w:val="en-US"/>
        </w:rPr>
        <w:t>Piazzale</w:t>
      </w:r>
      <w:proofErr w:type="spellEnd"/>
      <w:r w:rsidRPr="0049263A">
        <w:rPr>
          <w:rFonts w:ascii="Book Antiqua" w:eastAsia="MS Mincho" w:hAnsi="Book Antiqua" w:cs="Arial"/>
          <w:sz w:val="24"/>
          <w:szCs w:val="24"/>
          <w:lang w:val="en-US"/>
        </w:rPr>
        <w:t xml:space="preserve"> </w:t>
      </w:r>
      <w:proofErr w:type="spellStart"/>
      <w:r w:rsidRPr="0049263A">
        <w:rPr>
          <w:rFonts w:ascii="Book Antiqua" w:eastAsia="MS Mincho" w:hAnsi="Book Antiqua" w:cs="Arial"/>
          <w:sz w:val="24"/>
          <w:szCs w:val="24"/>
          <w:lang w:val="en-US"/>
        </w:rPr>
        <w:t>Scuro</w:t>
      </w:r>
      <w:proofErr w:type="spellEnd"/>
      <w:r w:rsidRPr="0049263A">
        <w:rPr>
          <w:rFonts w:ascii="Book Antiqua" w:eastAsia="MS Mincho" w:hAnsi="Book Antiqua" w:cs="Arial"/>
          <w:sz w:val="24"/>
          <w:szCs w:val="24"/>
          <w:lang w:val="en-US"/>
        </w:rPr>
        <w:t xml:space="preserve"> 10, 37134 Verona, </w:t>
      </w:r>
      <w:r w:rsidR="0099690C" w:rsidRPr="0049263A">
        <w:rPr>
          <w:rFonts w:ascii="Book Antiqua" w:eastAsia="MS Mincho" w:hAnsi="Book Antiqua" w:cs="Arial"/>
          <w:sz w:val="24"/>
          <w:szCs w:val="24"/>
          <w:lang w:val="en-GB"/>
        </w:rPr>
        <w:t>Ita</w:t>
      </w:r>
      <w:r w:rsidR="0099690C" w:rsidRPr="0049263A">
        <w:rPr>
          <w:rFonts w:ascii="Book Antiqua" w:hAnsi="Book Antiqua" w:cs="Arial" w:hint="eastAsia"/>
          <w:sz w:val="24"/>
          <w:szCs w:val="24"/>
          <w:lang w:val="en-GB" w:eastAsia="zh-CN"/>
        </w:rPr>
        <w:t>ly</w:t>
      </w:r>
      <w:r w:rsidR="0099690C" w:rsidRPr="0049263A">
        <w:rPr>
          <w:rFonts w:ascii="Book Antiqua" w:eastAsia="MS Mincho" w:hAnsi="Book Antiqua" w:cs="Arial"/>
          <w:sz w:val="24"/>
          <w:szCs w:val="24"/>
          <w:lang w:val="en-GB"/>
        </w:rPr>
        <w:t>.</w:t>
      </w:r>
      <w:r w:rsidRPr="0049263A">
        <w:rPr>
          <w:rFonts w:ascii="Book Antiqua" w:eastAsia="MS Mincho" w:hAnsi="Book Antiqua" w:cs="Arial"/>
          <w:sz w:val="24"/>
          <w:szCs w:val="24"/>
          <w:lang w:val="en-US"/>
        </w:rPr>
        <w:t xml:space="preserve"> </w:t>
      </w:r>
      <w:hyperlink r:id="rId7" w:history="1">
        <w:r w:rsidRPr="0049263A">
          <w:rPr>
            <w:rStyle w:val="Hyperlink"/>
            <w:rFonts w:ascii="Book Antiqua" w:eastAsia="MS Mincho" w:hAnsi="Book Antiqua" w:cs="Arial"/>
            <w:sz w:val="24"/>
            <w:szCs w:val="24"/>
            <w:lang w:val="en-US"/>
          </w:rPr>
          <w:t>corrado.pedrazzani@univr.it</w:t>
        </w:r>
      </w:hyperlink>
      <w:r w:rsidRPr="0049263A">
        <w:rPr>
          <w:rStyle w:val="Hyperlink"/>
          <w:rFonts w:ascii="Book Antiqua" w:eastAsia="MS Mincho" w:hAnsi="Book Antiqua" w:cs="Arial"/>
          <w:sz w:val="24"/>
          <w:szCs w:val="24"/>
          <w:lang w:val="en-US"/>
        </w:rPr>
        <w:t>.</w:t>
      </w:r>
      <w:r w:rsidR="0099690C" w:rsidRPr="0049263A">
        <w:rPr>
          <w:rStyle w:val="Hyperlink"/>
          <w:rFonts w:ascii="Book Antiqua" w:hAnsi="Book Antiqua" w:cs="Arial" w:hint="eastAsia"/>
          <w:sz w:val="24"/>
          <w:szCs w:val="24"/>
          <w:lang w:val="en-US" w:eastAsia="zh-CN"/>
        </w:rPr>
        <w:t xml:space="preserve"> </w:t>
      </w:r>
      <w:proofErr w:type="spellStart"/>
      <w:r w:rsidRPr="0049263A">
        <w:rPr>
          <w:rStyle w:val="Hyperlink"/>
          <w:rFonts w:ascii="Book Antiqua" w:eastAsia="MS Mincho" w:hAnsi="Book Antiqua" w:cs="Arial"/>
          <w:sz w:val="24"/>
          <w:szCs w:val="24"/>
          <w:lang w:val="en-US"/>
        </w:rPr>
        <w:t>Partecipants</w:t>
      </w:r>
      <w:proofErr w:type="spellEnd"/>
      <w:r w:rsidRPr="0049263A">
        <w:rPr>
          <w:rStyle w:val="Hyperlink"/>
          <w:rFonts w:ascii="Book Antiqua" w:eastAsia="MS Mincho" w:hAnsi="Book Antiqua" w:cs="Arial"/>
          <w:sz w:val="24"/>
          <w:szCs w:val="24"/>
          <w:lang w:val="en-US"/>
        </w:rPr>
        <w:t xml:space="preserve"> gave informed consent for data sharing. </w:t>
      </w:r>
    </w:p>
    <w:p w14:paraId="7BFA58AC" w14:textId="77777777" w:rsidR="0093205E" w:rsidRPr="0049263A" w:rsidRDefault="0093205E" w:rsidP="00AA734A">
      <w:pPr>
        <w:autoSpaceDE w:val="0"/>
        <w:snapToGrid w:val="0"/>
        <w:spacing w:line="360" w:lineRule="auto"/>
        <w:jc w:val="both"/>
        <w:rPr>
          <w:rFonts w:ascii="Book Antiqua" w:hAnsi="Book Antiqua" w:cs="Arial"/>
          <w:sz w:val="24"/>
          <w:szCs w:val="24"/>
          <w:lang w:val="en-US" w:eastAsia="zh-CN"/>
        </w:rPr>
      </w:pPr>
    </w:p>
    <w:p w14:paraId="75741449" w14:textId="77777777" w:rsidR="00C2178F" w:rsidRPr="0049263A" w:rsidRDefault="00C2178F" w:rsidP="00AA734A">
      <w:pPr>
        <w:pStyle w:val="1"/>
        <w:snapToGrid w:val="0"/>
        <w:spacing w:line="360" w:lineRule="auto"/>
        <w:jc w:val="both"/>
        <w:rPr>
          <w:rFonts w:ascii="Book Antiqua" w:hAnsi="Book Antiqua" w:cs="Times New Roman"/>
          <w:bCs/>
          <w:color w:val="auto"/>
          <w:sz w:val="24"/>
          <w:highlight w:val="white"/>
          <w:lang w:val="en-US"/>
        </w:rPr>
      </w:pPr>
      <w:bookmarkStart w:id="30" w:name="OLE_LINK734"/>
      <w:bookmarkStart w:id="31" w:name="OLE_LINK441"/>
      <w:bookmarkStart w:id="32" w:name="OLE_LINK442"/>
      <w:bookmarkStart w:id="33" w:name="OLE_LINK1032"/>
      <w:bookmarkStart w:id="34" w:name="OLE_LINK1232"/>
      <w:bookmarkStart w:id="35" w:name="OLE_LINK559"/>
      <w:r w:rsidRPr="0049263A">
        <w:rPr>
          <w:rFonts w:ascii="Book Antiqua" w:hAnsi="Book Antiqua" w:cs="Times New Roman"/>
          <w:b/>
          <w:bCs/>
          <w:color w:val="auto"/>
          <w:sz w:val="24"/>
          <w:highlight w:val="white"/>
          <w:lang w:val="en-US"/>
        </w:rPr>
        <w:t>Open-Access:</w:t>
      </w:r>
      <w:r w:rsidRPr="0049263A">
        <w:rPr>
          <w:rFonts w:ascii="Book Antiqua" w:hAnsi="Book Antiqua" w:cs="Times New Roman"/>
          <w:bCs/>
          <w:color w:val="auto"/>
          <w:sz w:val="24"/>
          <w:highlight w:val="white"/>
          <w:lang w:val="en-US"/>
        </w:rPr>
        <w:t xml:space="preserve"> </w:t>
      </w:r>
      <w:bookmarkStart w:id="36" w:name="OLE_LINK479"/>
      <w:bookmarkStart w:id="37" w:name="OLE_LINK496"/>
      <w:bookmarkStart w:id="38" w:name="OLE_LINK506"/>
      <w:bookmarkStart w:id="39" w:name="OLE_LINK507"/>
      <w:r w:rsidRPr="0049263A">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49263A">
        <w:rPr>
          <w:rFonts w:ascii="Book Antiqua" w:hAnsi="Book Antiqua" w:cs="Times New Roman" w:hint="eastAsia"/>
          <w:bCs/>
          <w:color w:val="auto"/>
          <w:sz w:val="24"/>
          <w:highlight w:val="white"/>
          <w:lang w:val="en-US" w:eastAsia="zh-CN"/>
        </w:rPr>
        <w:t xml:space="preserve"> </w:t>
      </w:r>
      <w:r w:rsidRPr="0049263A">
        <w:rPr>
          <w:rFonts w:ascii="Book Antiqua" w:hAnsi="Book Antiqua" w:cs="Times New Roman"/>
          <w:bCs/>
          <w:color w:val="auto"/>
          <w:sz w:val="24"/>
          <w:highlight w:val="white"/>
          <w:lang w:val="en-US"/>
        </w:rPr>
        <w:t>in</w:t>
      </w:r>
      <w:r w:rsidRPr="0049263A">
        <w:rPr>
          <w:rFonts w:ascii="Book Antiqua" w:hAnsi="Book Antiqua" w:cs="Times New Roman" w:hint="eastAsia"/>
          <w:bCs/>
          <w:color w:val="auto"/>
          <w:sz w:val="24"/>
          <w:highlight w:val="white"/>
          <w:lang w:val="en-US" w:eastAsia="zh-CN"/>
        </w:rPr>
        <w:t xml:space="preserve"> </w:t>
      </w:r>
      <w:r w:rsidRPr="0049263A">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9263A">
          <w:rPr>
            <w:rStyle w:val="Hyperlink"/>
            <w:rFonts w:ascii="Book Antiqua" w:hAnsi="Book Antiqua" w:cs="Times New Roman"/>
            <w:bCs/>
            <w:color w:val="auto"/>
            <w:sz w:val="24"/>
            <w:highlight w:val="white"/>
            <w:lang w:val="en-US"/>
          </w:rPr>
          <w:t>http://creativecommons.org/licenses/by-nc/4.0/</w:t>
        </w:r>
      </w:hyperlink>
      <w:bookmarkEnd w:id="30"/>
      <w:bookmarkEnd w:id="36"/>
      <w:bookmarkEnd w:id="37"/>
      <w:bookmarkEnd w:id="38"/>
      <w:bookmarkEnd w:id="39"/>
    </w:p>
    <w:bookmarkEnd w:id="31"/>
    <w:bookmarkEnd w:id="32"/>
    <w:bookmarkEnd w:id="33"/>
    <w:bookmarkEnd w:id="34"/>
    <w:bookmarkEnd w:id="35"/>
    <w:p w14:paraId="013B334D" w14:textId="77777777" w:rsidR="00C2178F" w:rsidRPr="0049263A" w:rsidRDefault="00C2178F" w:rsidP="00AA734A">
      <w:pPr>
        <w:pStyle w:val="1"/>
        <w:snapToGrid w:val="0"/>
        <w:spacing w:line="360" w:lineRule="auto"/>
        <w:jc w:val="both"/>
        <w:rPr>
          <w:rFonts w:ascii="Book Antiqua" w:hAnsi="Book Antiqua" w:cs="Times New Roman"/>
          <w:b/>
          <w:bCs/>
          <w:color w:val="auto"/>
          <w:sz w:val="24"/>
          <w:highlight w:val="white"/>
          <w:lang w:val="en-US" w:eastAsia="zh-CN"/>
        </w:rPr>
      </w:pPr>
    </w:p>
    <w:p w14:paraId="572BD156" w14:textId="77777777" w:rsidR="00C2178F" w:rsidRPr="0049263A" w:rsidRDefault="00C2178F" w:rsidP="00AA734A">
      <w:pPr>
        <w:pStyle w:val="1"/>
        <w:snapToGrid w:val="0"/>
        <w:spacing w:line="360" w:lineRule="auto"/>
        <w:jc w:val="both"/>
        <w:rPr>
          <w:rFonts w:ascii="Book Antiqua" w:hAnsi="Book Antiqua" w:cs="Times New Roman"/>
          <w:b/>
          <w:bCs/>
          <w:color w:val="auto"/>
          <w:sz w:val="24"/>
          <w:highlight w:val="white"/>
          <w:lang w:val="en-US" w:eastAsia="zh-CN"/>
        </w:rPr>
      </w:pPr>
      <w:r w:rsidRPr="0049263A">
        <w:rPr>
          <w:rFonts w:ascii="Book Antiqua" w:hAnsi="Book Antiqua" w:cs="Times New Roman"/>
          <w:b/>
          <w:bCs/>
          <w:color w:val="auto"/>
          <w:sz w:val="24"/>
          <w:highlight w:val="white"/>
          <w:lang w:val="en-US"/>
        </w:rPr>
        <w:t>Manuscript source:</w:t>
      </w:r>
      <w:r w:rsidRPr="0049263A">
        <w:rPr>
          <w:rFonts w:ascii="Book Antiqua" w:hAnsi="Book Antiqua" w:cs="Times New Roman" w:hint="eastAsia"/>
          <w:b/>
          <w:bCs/>
          <w:color w:val="auto"/>
          <w:sz w:val="24"/>
          <w:highlight w:val="white"/>
          <w:lang w:val="en-US" w:eastAsia="zh-CN"/>
        </w:rPr>
        <w:t xml:space="preserve"> </w:t>
      </w:r>
      <w:r w:rsidRPr="0049263A">
        <w:rPr>
          <w:rFonts w:ascii="Book Antiqua" w:hAnsi="Book Antiqua" w:cs="Times New Roman"/>
          <w:bCs/>
          <w:color w:val="auto"/>
          <w:sz w:val="24"/>
          <w:highlight w:val="white"/>
          <w:lang w:val="en-US"/>
        </w:rPr>
        <w:t>Invited manuscript</w:t>
      </w:r>
    </w:p>
    <w:p w14:paraId="18C485EC" w14:textId="77777777" w:rsidR="00C2178F" w:rsidRPr="0049263A" w:rsidRDefault="00C2178F" w:rsidP="00AA734A">
      <w:pPr>
        <w:autoSpaceDE w:val="0"/>
        <w:snapToGrid w:val="0"/>
        <w:spacing w:line="360" w:lineRule="auto"/>
        <w:jc w:val="both"/>
        <w:rPr>
          <w:rFonts w:ascii="Book Antiqua" w:hAnsi="Book Antiqua" w:cs="Arial"/>
          <w:sz w:val="24"/>
          <w:szCs w:val="24"/>
          <w:lang w:val="en-US" w:eastAsia="zh-CN"/>
        </w:rPr>
      </w:pPr>
    </w:p>
    <w:p w14:paraId="441F27F1" w14:textId="633D6627" w:rsidR="0099690C" w:rsidRPr="0049263A" w:rsidRDefault="0093205E" w:rsidP="00AA734A">
      <w:pPr>
        <w:snapToGrid w:val="0"/>
        <w:spacing w:line="360" w:lineRule="auto"/>
        <w:jc w:val="both"/>
        <w:rPr>
          <w:rFonts w:ascii="Book Antiqua" w:hAnsi="Book Antiqua" w:cs="Arial"/>
          <w:sz w:val="24"/>
          <w:szCs w:val="24"/>
          <w:lang w:val="en-GB" w:eastAsia="zh-CN"/>
        </w:rPr>
      </w:pPr>
      <w:r w:rsidRPr="0049263A">
        <w:rPr>
          <w:rFonts w:ascii="Book Antiqua" w:eastAsia="MS Mincho" w:hAnsi="Book Antiqua" w:cs="Arial"/>
          <w:b/>
          <w:sz w:val="24"/>
          <w:szCs w:val="24"/>
        </w:rPr>
        <w:t>Correspondence to:</w:t>
      </w:r>
      <w:r w:rsidR="006E33FA" w:rsidRPr="0049263A">
        <w:rPr>
          <w:rFonts w:ascii="Book Antiqua" w:hAnsi="Book Antiqua" w:cs="Arial" w:hint="eastAsia"/>
          <w:sz w:val="24"/>
          <w:szCs w:val="24"/>
          <w:lang w:eastAsia="zh-CN"/>
        </w:rPr>
        <w:t xml:space="preserve"> </w:t>
      </w:r>
      <w:r w:rsidRPr="0049263A">
        <w:rPr>
          <w:rFonts w:ascii="Book Antiqua" w:eastAsia="MS Mincho" w:hAnsi="Book Antiqua" w:cs="Arial"/>
          <w:b/>
          <w:sz w:val="24"/>
          <w:szCs w:val="24"/>
        </w:rPr>
        <w:t xml:space="preserve">Corrado Pedrazzani, </w:t>
      </w:r>
      <w:r w:rsidR="006E33FA" w:rsidRPr="0049263A">
        <w:rPr>
          <w:rFonts w:ascii="Book Antiqua" w:hAnsi="Book Antiqua" w:cs="Arial" w:hint="eastAsia"/>
          <w:b/>
          <w:sz w:val="24"/>
          <w:szCs w:val="24"/>
          <w:lang w:eastAsia="zh-CN"/>
        </w:rPr>
        <w:t>MD,</w:t>
      </w:r>
      <w:r w:rsidR="006E33FA" w:rsidRPr="0049263A">
        <w:rPr>
          <w:rFonts w:ascii="Book Antiqua" w:hAnsi="Book Antiqua" w:cs="Arial" w:hint="eastAsia"/>
          <w:sz w:val="24"/>
          <w:szCs w:val="24"/>
          <w:lang w:eastAsia="zh-CN"/>
        </w:rPr>
        <w:t xml:space="preserve"> </w:t>
      </w:r>
      <w:r w:rsidRPr="0049263A">
        <w:rPr>
          <w:rFonts w:ascii="Book Antiqua" w:eastAsia="MS Mincho" w:hAnsi="Book Antiqua" w:cs="Arial"/>
          <w:sz w:val="24"/>
          <w:szCs w:val="24"/>
        </w:rPr>
        <w:t>Chirurgia Generale e Epatobiliare, Policlinico “G.B. Rossi”, Piazzale Scuro 10, 37134 Verona, Ita</w:t>
      </w:r>
      <w:r w:rsidR="0099690C" w:rsidRPr="0049263A">
        <w:rPr>
          <w:rFonts w:ascii="Book Antiqua" w:hAnsi="Book Antiqua" w:cs="Arial" w:hint="eastAsia"/>
          <w:sz w:val="24"/>
          <w:szCs w:val="24"/>
          <w:lang w:eastAsia="zh-CN"/>
        </w:rPr>
        <w:t>ly</w:t>
      </w:r>
      <w:r w:rsidRPr="0049263A">
        <w:rPr>
          <w:rFonts w:ascii="Book Antiqua" w:eastAsia="MS Mincho" w:hAnsi="Book Antiqua" w:cs="Arial"/>
          <w:sz w:val="24"/>
          <w:szCs w:val="24"/>
        </w:rPr>
        <w:t xml:space="preserve">. </w:t>
      </w:r>
      <w:hyperlink r:id="rId9" w:history="1">
        <w:r w:rsidR="0099690C" w:rsidRPr="0049263A">
          <w:rPr>
            <w:rStyle w:val="Hyperlink"/>
            <w:rFonts w:ascii="Book Antiqua" w:eastAsia="MS Mincho" w:hAnsi="Book Antiqua"/>
            <w:sz w:val="24"/>
            <w:szCs w:val="24"/>
            <w:lang w:val="en-US"/>
          </w:rPr>
          <w:t>corrado.pedrazzani@univr.it</w:t>
        </w:r>
      </w:hyperlink>
    </w:p>
    <w:p w14:paraId="456EE486" w14:textId="745F92B1" w:rsidR="0099690C" w:rsidRPr="0049263A" w:rsidRDefault="0099690C" w:rsidP="00AA734A">
      <w:pPr>
        <w:snapToGrid w:val="0"/>
        <w:spacing w:line="360" w:lineRule="auto"/>
        <w:jc w:val="both"/>
        <w:rPr>
          <w:rFonts w:ascii="Book Antiqua" w:hAnsi="Book Antiqua" w:cs="Arial"/>
          <w:sz w:val="24"/>
          <w:szCs w:val="24"/>
          <w:lang w:val="en-GB" w:eastAsia="zh-CN"/>
        </w:rPr>
      </w:pPr>
      <w:r w:rsidRPr="0049263A">
        <w:rPr>
          <w:rFonts w:ascii="Book Antiqua" w:eastAsia="MS Mincho" w:hAnsi="Book Antiqua" w:cs="Arial" w:hint="eastAsia"/>
          <w:b/>
          <w:sz w:val="24"/>
          <w:szCs w:val="24"/>
          <w:lang w:val="en-US"/>
        </w:rPr>
        <w:t>Telephone:</w:t>
      </w:r>
      <w:r w:rsidRPr="0049263A">
        <w:rPr>
          <w:rFonts w:ascii="Book Antiqua" w:hAnsi="Book Antiqua" w:cs="Arial" w:hint="eastAsia"/>
          <w:b/>
          <w:sz w:val="24"/>
          <w:szCs w:val="24"/>
          <w:lang w:val="en-US" w:eastAsia="zh-CN"/>
        </w:rPr>
        <w:t xml:space="preserve"> </w:t>
      </w:r>
      <w:r w:rsidR="0093205E" w:rsidRPr="0049263A">
        <w:rPr>
          <w:rFonts w:ascii="Book Antiqua" w:eastAsia="MS Mincho" w:hAnsi="Book Antiqua" w:cs="Arial"/>
          <w:sz w:val="24"/>
          <w:szCs w:val="24"/>
          <w:lang w:val="en-GB"/>
        </w:rPr>
        <w:t>+39</w:t>
      </w:r>
      <w:r w:rsidRPr="0049263A">
        <w:rPr>
          <w:rFonts w:ascii="Book Antiqua" w:hAnsi="Book Antiqua" w:cs="Arial" w:hint="eastAsia"/>
          <w:sz w:val="24"/>
          <w:szCs w:val="24"/>
          <w:lang w:val="en-GB" w:eastAsia="zh-CN"/>
        </w:rPr>
        <w:t>-</w:t>
      </w:r>
      <w:r w:rsidR="0093205E" w:rsidRPr="0049263A">
        <w:rPr>
          <w:rFonts w:ascii="Book Antiqua" w:eastAsia="MS Mincho" w:hAnsi="Book Antiqua" w:cs="Arial"/>
          <w:sz w:val="24"/>
          <w:szCs w:val="24"/>
          <w:lang w:val="en-GB"/>
        </w:rPr>
        <w:t>45</w:t>
      </w:r>
      <w:r w:rsidRPr="0049263A">
        <w:rPr>
          <w:rFonts w:ascii="Book Antiqua" w:hAnsi="Book Antiqua" w:cs="Arial" w:hint="eastAsia"/>
          <w:sz w:val="24"/>
          <w:szCs w:val="24"/>
          <w:lang w:val="en-GB" w:eastAsia="zh-CN"/>
        </w:rPr>
        <w:t>-</w:t>
      </w:r>
      <w:r w:rsidRPr="0049263A">
        <w:rPr>
          <w:rFonts w:ascii="Book Antiqua" w:eastAsia="MS Mincho" w:hAnsi="Book Antiqua" w:cs="Arial"/>
          <w:sz w:val="24"/>
          <w:szCs w:val="24"/>
          <w:lang w:val="en-GB"/>
        </w:rPr>
        <w:t>8124464-4655</w:t>
      </w:r>
    </w:p>
    <w:p w14:paraId="4E28B3BF" w14:textId="4778BA57" w:rsidR="0093205E" w:rsidRPr="0049263A" w:rsidRDefault="0099690C" w:rsidP="00AA734A">
      <w:pPr>
        <w:snapToGrid w:val="0"/>
        <w:spacing w:line="360" w:lineRule="auto"/>
        <w:jc w:val="both"/>
        <w:rPr>
          <w:rFonts w:ascii="Book Antiqua" w:hAnsi="Book Antiqua" w:cs="Arial"/>
          <w:b/>
          <w:sz w:val="24"/>
          <w:szCs w:val="24"/>
          <w:lang w:val="en-GB" w:eastAsia="zh-CN"/>
        </w:rPr>
      </w:pPr>
      <w:r w:rsidRPr="0049263A">
        <w:rPr>
          <w:rFonts w:ascii="Book Antiqua" w:eastAsia="MS Mincho" w:hAnsi="Book Antiqua" w:cs="Arial"/>
          <w:b/>
          <w:sz w:val="24"/>
          <w:szCs w:val="24"/>
          <w:lang w:val="en-GB"/>
        </w:rPr>
        <w:t>Fax:</w:t>
      </w:r>
      <w:r w:rsidRPr="0049263A">
        <w:rPr>
          <w:rFonts w:ascii="Book Antiqua" w:eastAsia="MS Mincho" w:hAnsi="Book Antiqua" w:cs="Arial"/>
          <w:sz w:val="24"/>
          <w:szCs w:val="24"/>
          <w:lang w:val="en-GB"/>
        </w:rPr>
        <w:t xml:space="preserve"> +</w:t>
      </w:r>
      <w:r w:rsidR="0093205E" w:rsidRPr="0049263A">
        <w:rPr>
          <w:rFonts w:ascii="Book Antiqua" w:eastAsia="MS Mincho" w:hAnsi="Book Antiqua" w:cs="Arial"/>
          <w:sz w:val="24"/>
          <w:szCs w:val="24"/>
          <w:lang w:val="en-GB"/>
        </w:rPr>
        <w:t>39</w:t>
      </w:r>
      <w:r w:rsidRPr="0049263A">
        <w:rPr>
          <w:rFonts w:ascii="Book Antiqua" w:hAnsi="Book Antiqua" w:cs="Arial" w:hint="eastAsia"/>
          <w:sz w:val="24"/>
          <w:szCs w:val="24"/>
          <w:lang w:val="en-GB" w:eastAsia="zh-CN"/>
        </w:rPr>
        <w:t>-</w:t>
      </w:r>
      <w:r w:rsidR="0093205E" w:rsidRPr="0049263A">
        <w:rPr>
          <w:rFonts w:ascii="Book Antiqua" w:eastAsia="MS Mincho" w:hAnsi="Book Antiqua" w:cs="Arial"/>
          <w:sz w:val="24"/>
          <w:szCs w:val="24"/>
          <w:lang w:val="en-GB"/>
        </w:rPr>
        <w:t>45</w:t>
      </w:r>
      <w:r w:rsidRPr="0049263A">
        <w:rPr>
          <w:rFonts w:ascii="Book Antiqua" w:hAnsi="Book Antiqua" w:cs="Arial" w:hint="eastAsia"/>
          <w:sz w:val="24"/>
          <w:szCs w:val="24"/>
          <w:lang w:val="en-GB" w:eastAsia="zh-CN"/>
        </w:rPr>
        <w:t>-</w:t>
      </w:r>
      <w:r w:rsidR="0093205E" w:rsidRPr="0049263A">
        <w:rPr>
          <w:rFonts w:ascii="Book Antiqua" w:eastAsia="MS Mincho" w:hAnsi="Book Antiqua" w:cs="Arial"/>
          <w:sz w:val="24"/>
          <w:szCs w:val="24"/>
          <w:lang w:val="en-GB"/>
        </w:rPr>
        <w:t>8027426</w:t>
      </w:r>
    </w:p>
    <w:p w14:paraId="0A848A92" w14:textId="77777777" w:rsidR="0093205E" w:rsidRPr="0049263A" w:rsidRDefault="0093205E" w:rsidP="00AA734A">
      <w:pPr>
        <w:snapToGrid w:val="0"/>
        <w:spacing w:line="360" w:lineRule="auto"/>
        <w:jc w:val="both"/>
        <w:rPr>
          <w:rFonts w:ascii="Book Antiqua" w:eastAsia="MS Mincho" w:hAnsi="Book Antiqua" w:cs="Arial"/>
          <w:b/>
          <w:sz w:val="24"/>
          <w:szCs w:val="24"/>
          <w:lang w:val="en-GB"/>
        </w:rPr>
      </w:pPr>
    </w:p>
    <w:p w14:paraId="145D671F" w14:textId="434097B2" w:rsidR="00C2178F" w:rsidRPr="0049263A" w:rsidRDefault="00C2178F" w:rsidP="00AA734A">
      <w:pPr>
        <w:suppressAutoHyphens w:val="0"/>
        <w:snapToGrid w:val="0"/>
        <w:spacing w:line="360" w:lineRule="auto"/>
        <w:jc w:val="both"/>
        <w:rPr>
          <w:rFonts w:ascii="Book Antiqua" w:hAnsi="Book Antiqua" w:cs="宋体"/>
          <w:b/>
          <w:sz w:val="24"/>
          <w:szCs w:val="24"/>
          <w:lang w:val="en-US" w:eastAsia="zh-CN"/>
        </w:rPr>
      </w:pPr>
      <w:bookmarkStart w:id="40" w:name="OLE_LINK952"/>
      <w:r w:rsidRPr="0049263A">
        <w:rPr>
          <w:rFonts w:ascii="Book Antiqua" w:hAnsi="Book Antiqua" w:cs="宋体"/>
          <w:b/>
          <w:sz w:val="24"/>
          <w:szCs w:val="24"/>
          <w:lang w:val="en-US" w:eastAsia="zh-CN"/>
        </w:rPr>
        <w:t>Received:</w:t>
      </w:r>
      <w:r w:rsidR="009C5D25" w:rsidRPr="0049263A">
        <w:rPr>
          <w:rFonts w:ascii="Book Antiqua" w:hAnsi="Book Antiqua" w:cs="宋体" w:hint="eastAsia"/>
          <w:b/>
          <w:sz w:val="24"/>
          <w:szCs w:val="24"/>
          <w:lang w:val="en-US" w:eastAsia="zh-CN"/>
        </w:rPr>
        <w:t xml:space="preserve"> </w:t>
      </w:r>
      <w:r w:rsidR="009C5D25" w:rsidRPr="0049263A">
        <w:rPr>
          <w:rFonts w:ascii="Book Antiqua" w:hAnsi="Book Antiqua" w:cs="宋体" w:hint="eastAsia"/>
          <w:sz w:val="24"/>
          <w:szCs w:val="24"/>
          <w:lang w:val="en-US" w:eastAsia="zh-CN"/>
        </w:rPr>
        <w:t>July 8, 2016</w:t>
      </w:r>
    </w:p>
    <w:p w14:paraId="5E49CB9A" w14:textId="347C1A12" w:rsidR="00C2178F" w:rsidRPr="0049263A" w:rsidRDefault="00C2178F" w:rsidP="00AA734A">
      <w:pPr>
        <w:suppressAutoHyphens w:val="0"/>
        <w:snapToGrid w:val="0"/>
        <w:spacing w:line="360" w:lineRule="auto"/>
        <w:jc w:val="both"/>
        <w:rPr>
          <w:rFonts w:ascii="Book Antiqua" w:hAnsi="Book Antiqua" w:cs="宋体"/>
          <w:b/>
          <w:sz w:val="24"/>
          <w:szCs w:val="24"/>
          <w:lang w:val="en-US" w:eastAsia="zh-CN"/>
        </w:rPr>
      </w:pPr>
      <w:r w:rsidRPr="0049263A">
        <w:rPr>
          <w:rFonts w:ascii="Book Antiqua" w:hAnsi="Book Antiqua" w:cs="宋体"/>
          <w:b/>
          <w:sz w:val="24"/>
          <w:szCs w:val="24"/>
          <w:lang w:val="en-US" w:eastAsia="zh-CN"/>
        </w:rPr>
        <w:t>Peer-review started:</w:t>
      </w:r>
      <w:r w:rsidRPr="0049263A">
        <w:rPr>
          <w:rFonts w:ascii="Book Antiqua" w:hAnsi="Book Antiqua" w:cs="宋体" w:hint="eastAsia"/>
          <w:b/>
          <w:sz w:val="24"/>
          <w:szCs w:val="24"/>
          <w:lang w:val="en-US" w:eastAsia="zh-CN"/>
        </w:rPr>
        <w:t xml:space="preserve"> </w:t>
      </w:r>
      <w:r w:rsidR="009C5D25" w:rsidRPr="0049263A">
        <w:rPr>
          <w:rFonts w:ascii="Book Antiqua" w:hAnsi="Book Antiqua" w:cs="宋体" w:hint="eastAsia"/>
          <w:sz w:val="24"/>
          <w:szCs w:val="24"/>
          <w:lang w:val="en-US" w:eastAsia="zh-CN"/>
        </w:rPr>
        <w:t>July 12, 2016</w:t>
      </w:r>
    </w:p>
    <w:p w14:paraId="5014CDC1" w14:textId="642E460A" w:rsidR="00C2178F" w:rsidRPr="0049263A" w:rsidRDefault="00C2178F" w:rsidP="00AA734A">
      <w:pPr>
        <w:suppressAutoHyphens w:val="0"/>
        <w:snapToGrid w:val="0"/>
        <w:spacing w:line="360" w:lineRule="auto"/>
        <w:jc w:val="both"/>
        <w:rPr>
          <w:rFonts w:ascii="Book Antiqua" w:hAnsi="Book Antiqua" w:cs="宋体"/>
          <w:b/>
          <w:sz w:val="24"/>
          <w:szCs w:val="24"/>
          <w:lang w:val="en-US" w:eastAsia="zh-CN"/>
        </w:rPr>
      </w:pPr>
      <w:r w:rsidRPr="0049263A">
        <w:rPr>
          <w:rFonts w:ascii="Book Antiqua" w:hAnsi="Book Antiqua" w:cs="宋体"/>
          <w:b/>
          <w:sz w:val="24"/>
          <w:szCs w:val="24"/>
          <w:lang w:val="en-US" w:eastAsia="zh-CN"/>
        </w:rPr>
        <w:t>First decision:</w:t>
      </w:r>
      <w:r w:rsidRPr="0049263A">
        <w:rPr>
          <w:rFonts w:ascii="Book Antiqua" w:hAnsi="Book Antiqua" w:cs="宋体" w:hint="eastAsia"/>
          <w:b/>
          <w:sz w:val="24"/>
          <w:szCs w:val="24"/>
          <w:lang w:val="en-US" w:eastAsia="zh-CN"/>
        </w:rPr>
        <w:t xml:space="preserve"> </w:t>
      </w:r>
      <w:r w:rsidR="009C5D25" w:rsidRPr="0049263A">
        <w:rPr>
          <w:rFonts w:ascii="Book Antiqua" w:hAnsi="Book Antiqua" w:cs="宋体" w:hint="eastAsia"/>
          <w:sz w:val="24"/>
          <w:szCs w:val="24"/>
          <w:lang w:val="en-US" w:eastAsia="zh-CN"/>
        </w:rPr>
        <w:t>July 29, 2016</w:t>
      </w:r>
    </w:p>
    <w:p w14:paraId="492633CA" w14:textId="5E41C958" w:rsidR="00C2178F" w:rsidRPr="0049263A" w:rsidRDefault="00C2178F" w:rsidP="00AA734A">
      <w:pPr>
        <w:suppressAutoHyphens w:val="0"/>
        <w:snapToGrid w:val="0"/>
        <w:spacing w:line="360" w:lineRule="auto"/>
        <w:jc w:val="both"/>
        <w:rPr>
          <w:rFonts w:ascii="Book Antiqua" w:hAnsi="Book Antiqua" w:cs="宋体"/>
          <w:b/>
          <w:sz w:val="24"/>
          <w:szCs w:val="24"/>
          <w:lang w:val="en-US" w:eastAsia="zh-CN"/>
        </w:rPr>
      </w:pPr>
      <w:r w:rsidRPr="0049263A">
        <w:rPr>
          <w:rFonts w:ascii="Book Antiqua" w:hAnsi="Book Antiqua" w:cs="宋体"/>
          <w:b/>
          <w:sz w:val="24"/>
          <w:szCs w:val="24"/>
          <w:lang w:val="en-US" w:eastAsia="zh-CN"/>
        </w:rPr>
        <w:t>Revised:</w:t>
      </w:r>
      <w:r w:rsidRPr="0049263A">
        <w:rPr>
          <w:rFonts w:ascii="Book Antiqua" w:hAnsi="Book Antiqua" w:cs="宋体" w:hint="eastAsia"/>
          <w:b/>
          <w:sz w:val="24"/>
          <w:szCs w:val="24"/>
          <w:lang w:val="en-US" w:eastAsia="zh-CN"/>
        </w:rPr>
        <w:t xml:space="preserve"> </w:t>
      </w:r>
      <w:r w:rsidR="009C5D25" w:rsidRPr="0049263A">
        <w:rPr>
          <w:rFonts w:ascii="Book Antiqua" w:hAnsi="Book Antiqua" w:cs="宋体" w:hint="eastAsia"/>
          <w:sz w:val="24"/>
          <w:szCs w:val="24"/>
          <w:lang w:val="en-US" w:eastAsia="zh-CN"/>
        </w:rPr>
        <w:t>October 2, 2016</w:t>
      </w:r>
    </w:p>
    <w:p w14:paraId="599D9B95" w14:textId="601898B5" w:rsidR="00C2178F" w:rsidRPr="0049263A" w:rsidRDefault="00C2178F" w:rsidP="00AA734A">
      <w:pPr>
        <w:suppressAutoHyphens w:val="0"/>
        <w:snapToGrid w:val="0"/>
        <w:spacing w:line="360" w:lineRule="auto"/>
        <w:jc w:val="both"/>
        <w:rPr>
          <w:rFonts w:ascii="Book Antiqua" w:hAnsi="Book Antiqua" w:cs="宋体"/>
          <w:b/>
          <w:sz w:val="24"/>
          <w:szCs w:val="24"/>
          <w:lang w:val="en-US" w:eastAsia="zh-CN"/>
        </w:rPr>
      </w:pPr>
      <w:r w:rsidRPr="0049263A">
        <w:rPr>
          <w:rFonts w:ascii="Book Antiqua" w:hAnsi="Book Antiqua" w:cs="宋体"/>
          <w:b/>
          <w:sz w:val="24"/>
          <w:szCs w:val="24"/>
          <w:lang w:val="en-US" w:eastAsia="zh-CN"/>
        </w:rPr>
        <w:t>Accepted:</w:t>
      </w:r>
      <w:r w:rsidR="00284F66">
        <w:rPr>
          <w:rFonts w:ascii="Book Antiqua" w:hAnsi="Book Antiqua" w:cs="宋体"/>
          <w:b/>
          <w:sz w:val="24"/>
          <w:szCs w:val="24"/>
          <w:lang w:val="en-US" w:eastAsia="zh-CN"/>
        </w:rPr>
        <w:t xml:space="preserve"> </w:t>
      </w:r>
      <w:r w:rsidR="00284F66" w:rsidRPr="00284F66">
        <w:rPr>
          <w:rFonts w:ascii="Book Antiqua" w:hAnsi="Book Antiqua" w:cs="宋体"/>
          <w:sz w:val="24"/>
          <w:szCs w:val="24"/>
          <w:lang w:val="en-US" w:eastAsia="zh-CN"/>
        </w:rPr>
        <w:t>November 12, 2016</w:t>
      </w:r>
    </w:p>
    <w:p w14:paraId="0E667CBF" w14:textId="77777777" w:rsidR="00C2178F" w:rsidRPr="0049263A" w:rsidRDefault="00C2178F" w:rsidP="00AA734A">
      <w:pPr>
        <w:suppressAutoHyphens w:val="0"/>
        <w:snapToGrid w:val="0"/>
        <w:spacing w:line="360" w:lineRule="auto"/>
        <w:jc w:val="both"/>
        <w:rPr>
          <w:rFonts w:ascii="Book Antiqua" w:hAnsi="Book Antiqua" w:cs="宋体"/>
          <w:b/>
          <w:sz w:val="24"/>
          <w:szCs w:val="24"/>
          <w:lang w:val="en-US" w:eastAsia="zh-CN"/>
        </w:rPr>
      </w:pPr>
      <w:r w:rsidRPr="0049263A">
        <w:rPr>
          <w:rFonts w:ascii="Book Antiqua" w:hAnsi="Book Antiqua" w:cs="宋体"/>
          <w:b/>
          <w:sz w:val="24"/>
          <w:szCs w:val="24"/>
          <w:lang w:val="en-US" w:eastAsia="zh-CN"/>
        </w:rPr>
        <w:t>Article in press:</w:t>
      </w:r>
    </w:p>
    <w:p w14:paraId="0CCC6828" w14:textId="77777777" w:rsidR="00C2178F" w:rsidRPr="0049263A" w:rsidRDefault="00C2178F" w:rsidP="00AA734A">
      <w:pPr>
        <w:suppressAutoHyphens w:val="0"/>
        <w:snapToGrid w:val="0"/>
        <w:spacing w:line="360" w:lineRule="auto"/>
        <w:jc w:val="both"/>
        <w:rPr>
          <w:rFonts w:ascii="Book Antiqua" w:hAnsi="Book Antiqua" w:cs="Arial"/>
          <w:b/>
          <w:sz w:val="24"/>
          <w:szCs w:val="24"/>
          <w:lang w:val="pl-PL" w:eastAsia="zh-CN"/>
        </w:rPr>
      </w:pPr>
      <w:r w:rsidRPr="0049263A">
        <w:rPr>
          <w:rFonts w:ascii="Book Antiqua" w:hAnsi="Book Antiqua" w:cs="Arial"/>
          <w:b/>
          <w:sz w:val="24"/>
          <w:szCs w:val="24"/>
          <w:lang w:val="pl-PL" w:eastAsia="pl-PL"/>
        </w:rPr>
        <w:t>Published online</w:t>
      </w:r>
      <w:r w:rsidRPr="0049263A">
        <w:rPr>
          <w:rFonts w:ascii="Book Antiqua" w:hAnsi="Book Antiqua" w:cs="Arial" w:hint="eastAsia"/>
          <w:b/>
          <w:sz w:val="24"/>
          <w:szCs w:val="24"/>
          <w:lang w:val="pl-PL" w:eastAsia="pl-PL"/>
        </w:rPr>
        <w:t>:</w:t>
      </w:r>
    </w:p>
    <w:bookmarkEnd w:id="40"/>
    <w:p w14:paraId="2CD3CB58" w14:textId="77777777" w:rsidR="0093205E" w:rsidRPr="0049263A" w:rsidRDefault="0093205E" w:rsidP="00AA734A">
      <w:pPr>
        <w:snapToGrid w:val="0"/>
        <w:spacing w:line="360" w:lineRule="auto"/>
        <w:jc w:val="both"/>
        <w:rPr>
          <w:rFonts w:ascii="Book Antiqua" w:hAnsi="Book Antiqua" w:cs="Arial"/>
          <w:b/>
          <w:sz w:val="24"/>
          <w:szCs w:val="24"/>
          <w:lang w:val="en-GB"/>
        </w:rPr>
      </w:pPr>
    </w:p>
    <w:p w14:paraId="0A64FA1B" w14:textId="118B8258" w:rsidR="0099690C" w:rsidRPr="0049263A" w:rsidRDefault="0099690C" w:rsidP="00AA734A">
      <w:pPr>
        <w:suppressAutoHyphens w:val="0"/>
        <w:snapToGrid w:val="0"/>
        <w:spacing w:line="360" w:lineRule="auto"/>
        <w:rPr>
          <w:rFonts w:ascii="Book Antiqua" w:hAnsi="Book Antiqua" w:cs="Arial"/>
          <w:sz w:val="24"/>
          <w:szCs w:val="24"/>
          <w:lang w:val="en-GB"/>
        </w:rPr>
      </w:pPr>
      <w:r w:rsidRPr="0049263A">
        <w:rPr>
          <w:rFonts w:ascii="Book Antiqua" w:hAnsi="Book Antiqua" w:cs="Arial"/>
          <w:sz w:val="24"/>
          <w:szCs w:val="24"/>
          <w:lang w:val="en-GB"/>
        </w:rPr>
        <w:br w:type="page"/>
      </w:r>
    </w:p>
    <w:p w14:paraId="17A04C2F" w14:textId="4A547394" w:rsidR="00BA61AD" w:rsidRPr="0049263A" w:rsidRDefault="0093205E" w:rsidP="00AA734A">
      <w:pPr>
        <w:snapToGrid w:val="0"/>
        <w:spacing w:line="360" w:lineRule="auto"/>
        <w:jc w:val="both"/>
        <w:rPr>
          <w:rFonts w:ascii="Book Antiqua" w:hAnsi="Book Antiqua" w:cs="Arial"/>
          <w:b/>
          <w:sz w:val="24"/>
          <w:szCs w:val="24"/>
          <w:lang w:val="en-GB"/>
        </w:rPr>
      </w:pPr>
      <w:r w:rsidRPr="0049263A">
        <w:rPr>
          <w:rFonts w:ascii="Book Antiqua" w:hAnsi="Book Antiqua" w:cs="Arial"/>
          <w:b/>
          <w:sz w:val="24"/>
          <w:szCs w:val="24"/>
          <w:lang w:val="en-GB"/>
        </w:rPr>
        <w:lastRenderedPageBreak/>
        <w:t>A</w:t>
      </w:r>
      <w:r w:rsidR="0099690C" w:rsidRPr="0049263A">
        <w:rPr>
          <w:rFonts w:ascii="Book Antiqua" w:hAnsi="Book Antiqua" w:cs="Arial"/>
          <w:b/>
          <w:sz w:val="24"/>
          <w:szCs w:val="24"/>
          <w:lang w:val="en-GB"/>
        </w:rPr>
        <w:t>bstract</w:t>
      </w:r>
    </w:p>
    <w:p w14:paraId="2C1FC1DA" w14:textId="77777777" w:rsidR="0099690C" w:rsidRPr="0049263A" w:rsidRDefault="0093205E" w:rsidP="00AA734A">
      <w:pPr>
        <w:snapToGrid w:val="0"/>
        <w:spacing w:line="360" w:lineRule="auto"/>
        <w:jc w:val="both"/>
        <w:rPr>
          <w:rFonts w:ascii="Book Antiqua" w:hAnsi="Book Antiqua" w:cs="Arial"/>
          <w:b/>
          <w:i/>
          <w:caps/>
          <w:sz w:val="24"/>
          <w:szCs w:val="24"/>
          <w:lang w:val="en-GB" w:eastAsia="zh-CN"/>
        </w:rPr>
      </w:pPr>
      <w:r w:rsidRPr="0049263A">
        <w:rPr>
          <w:rFonts w:ascii="Book Antiqua" w:hAnsi="Book Antiqua" w:cs="Arial"/>
          <w:b/>
          <w:i/>
          <w:caps/>
          <w:sz w:val="24"/>
          <w:szCs w:val="24"/>
          <w:lang w:val="en-GB"/>
        </w:rPr>
        <w:t>Aim</w:t>
      </w:r>
    </w:p>
    <w:p w14:paraId="4B6C4600" w14:textId="595C9D76" w:rsidR="0093205E" w:rsidRPr="0049263A" w:rsidRDefault="0093205E" w:rsidP="00AA734A">
      <w:pPr>
        <w:snapToGrid w:val="0"/>
        <w:spacing w:line="360" w:lineRule="auto"/>
        <w:jc w:val="both"/>
        <w:rPr>
          <w:rFonts w:ascii="Book Antiqua" w:hAnsi="Book Antiqua" w:cs="Arial"/>
          <w:b/>
          <w:i/>
          <w:sz w:val="24"/>
          <w:szCs w:val="24"/>
          <w:lang w:val="en-GB"/>
        </w:rPr>
      </w:pPr>
      <w:r w:rsidRPr="0049263A">
        <w:rPr>
          <w:rFonts w:ascii="Book Antiqua" w:hAnsi="Book Antiqua" w:cs="Arial"/>
          <w:sz w:val="24"/>
          <w:szCs w:val="24"/>
          <w:lang w:val="en-GB"/>
        </w:rPr>
        <w:t xml:space="preserve">To evaluate </w:t>
      </w:r>
      <w:r w:rsidRPr="0049263A">
        <w:rPr>
          <w:rFonts w:ascii="Book Antiqua" w:hAnsi="Book Antiqua" w:cs="Arial"/>
          <w:kern w:val="1"/>
          <w:sz w:val="24"/>
          <w:szCs w:val="24"/>
          <w:lang w:val="en-GB"/>
        </w:rPr>
        <w:t>the clinical significance of the preoperative fibrinogen plasma level as a prognostic marker after surgery for colorectal cancer.</w:t>
      </w:r>
    </w:p>
    <w:p w14:paraId="5111ACD4" w14:textId="77777777" w:rsidR="0099690C" w:rsidRPr="0049263A" w:rsidRDefault="0099690C" w:rsidP="00AA734A">
      <w:pPr>
        <w:autoSpaceDE w:val="0"/>
        <w:snapToGrid w:val="0"/>
        <w:spacing w:line="360" w:lineRule="auto"/>
        <w:jc w:val="both"/>
        <w:rPr>
          <w:rFonts w:ascii="Book Antiqua" w:hAnsi="Book Antiqua" w:cs="Arial"/>
          <w:b/>
          <w:i/>
          <w:sz w:val="24"/>
          <w:szCs w:val="24"/>
          <w:lang w:val="en-GB" w:eastAsia="zh-CN"/>
        </w:rPr>
      </w:pPr>
    </w:p>
    <w:p w14:paraId="23CF5169" w14:textId="77777777" w:rsidR="0099690C" w:rsidRPr="0049263A" w:rsidRDefault="0093205E" w:rsidP="00AA734A">
      <w:pPr>
        <w:autoSpaceDE w:val="0"/>
        <w:snapToGrid w:val="0"/>
        <w:spacing w:line="360" w:lineRule="auto"/>
        <w:jc w:val="both"/>
        <w:rPr>
          <w:rFonts w:ascii="Book Antiqua" w:hAnsi="Book Antiqua" w:cs="Arial"/>
          <w:b/>
          <w:i/>
          <w:caps/>
          <w:sz w:val="24"/>
          <w:szCs w:val="24"/>
          <w:lang w:val="en-GB" w:eastAsia="zh-CN"/>
        </w:rPr>
      </w:pPr>
      <w:r w:rsidRPr="0049263A">
        <w:rPr>
          <w:rFonts w:ascii="Book Antiqua" w:hAnsi="Book Antiqua" w:cs="Arial"/>
          <w:b/>
          <w:i/>
          <w:caps/>
          <w:sz w:val="24"/>
          <w:szCs w:val="24"/>
          <w:lang w:val="en-GB"/>
        </w:rPr>
        <w:t>Methods</w:t>
      </w:r>
    </w:p>
    <w:p w14:paraId="0817DA85" w14:textId="6372E589" w:rsidR="00DB57D1" w:rsidRPr="0049263A" w:rsidRDefault="00DB57D1" w:rsidP="00AA734A">
      <w:pPr>
        <w:autoSpaceDE w:val="0"/>
        <w:snapToGrid w:val="0"/>
        <w:spacing w:line="360" w:lineRule="auto"/>
        <w:jc w:val="both"/>
        <w:rPr>
          <w:rFonts w:ascii="Book Antiqua" w:hAnsi="Book Antiqua" w:cs="Arial"/>
          <w:sz w:val="24"/>
          <w:szCs w:val="24"/>
          <w:lang w:val="en-GB"/>
        </w:rPr>
      </w:pPr>
      <w:r w:rsidRPr="0049263A">
        <w:rPr>
          <w:rFonts w:ascii="Book Antiqua" w:hAnsi="Book Antiqua" w:cs="Arial"/>
          <w:sz w:val="24"/>
          <w:szCs w:val="24"/>
          <w:lang w:val="en-GB"/>
        </w:rPr>
        <w:t xml:space="preserve">This retrospective study analysed 652 patients undergoing surgery for stage I-IV colorectal cancer between January 2005 and December 2012, at the Division of General Surgery A, University of Verona Hospital Trust, in whom preoperative fibrinogen plasma values were assessed at baseline. Fibrinogen is involved in </w:t>
      </w:r>
      <w:proofErr w:type="spellStart"/>
      <w:r w:rsidRPr="0049263A">
        <w:rPr>
          <w:rFonts w:ascii="Book Antiqua" w:hAnsi="Book Antiqua" w:cs="Arial"/>
          <w:sz w:val="24"/>
          <w:szCs w:val="24"/>
          <w:lang w:val="en-GB"/>
        </w:rPr>
        <w:t>tumourigenesis</w:t>
      </w:r>
      <w:proofErr w:type="spellEnd"/>
      <w:r w:rsidRPr="0049263A">
        <w:rPr>
          <w:rFonts w:ascii="Book Antiqua" w:hAnsi="Book Antiqua" w:cs="Arial"/>
          <w:sz w:val="24"/>
          <w:szCs w:val="24"/>
          <w:lang w:val="en-GB"/>
        </w:rPr>
        <w:t xml:space="preserve"> as well as tumour progression in several malignancies. Correlations between preoperative plasma fibrinogen values and clinicopathological characteristics were investigated. Univariate and multivariate survival analyses were performed to identify factors associated with overall and tumour-related survival.</w:t>
      </w:r>
    </w:p>
    <w:p w14:paraId="49DCA20B" w14:textId="77777777" w:rsidR="0099690C" w:rsidRPr="0049263A" w:rsidRDefault="0099690C" w:rsidP="00AA734A">
      <w:pPr>
        <w:snapToGrid w:val="0"/>
        <w:spacing w:line="360" w:lineRule="auto"/>
        <w:jc w:val="both"/>
        <w:rPr>
          <w:rFonts w:ascii="Book Antiqua" w:hAnsi="Book Antiqua" w:cs="Arial"/>
          <w:b/>
          <w:i/>
          <w:sz w:val="24"/>
          <w:szCs w:val="24"/>
          <w:lang w:val="en-GB" w:eastAsia="zh-CN"/>
        </w:rPr>
      </w:pPr>
    </w:p>
    <w:p w14:paraId="574E0AD5" w14:textId="77777777" w:rsidR="0099690C" w:rsidRPr="0049263A" w:rsidRDefault="0093205E" w:rsidP="00AA734A">
      <w:pPr>
        <w:snapToGrid w:val="0"/>
        <w:spacing w:line="360" w:lineRule="auto"/>
        <w:jc w:val="both"/>
        <w:rPr>
          <w:rFonts w:ascii="Book Antiqua" w:hAnsi="Book Antiqua" w:cs="Arial"/>
          <w:b/>
          <w:i/>
          <w:caps/>
          <w:sz w:val="24"/>
          <w:szCs w:val="24"/>
          <w:lang w:val="en-GB" w:eastAsia="zh-CN"/>
        </w:rPr>
      </w:pPr>
      <w:r w:rsidRPr="0049263A">
        <w:rPr>
          <w:rFonts w:ascii="Book Antiqua" w:hAnsi="Book Antiqua" w:cs="Arial"/>
          <w:b/>
          <w:i/>
          <w:caps/>
          <w:sz w:val="24"/>
          <w:szCs w:val="24"/>
          <w:lang w:val="en-GB"/>
        </w:rPr>
        <w:t>Results</w:t>
      </w:r>
    </w:p>
    <w:p w14:paraId="38EFB294" w14:textId="7263392E" w:rsidR="0093205E" w:rsidRPr="0049263A" w:rsidRDefault="00A657EC" w:rsidP="00AA734A">
      <w:pPr>
        <w:snapToGrid w:val="0"/>
        <w:spacing w:line="360" w:lineRule="auto"/>
        <w:jc w:val="both"/>
        <w:rPr>
          <w:rFonts w:ascii="Book Antiqua" w:hAnsi="Book Antiqua" w:cs="Arial"/>
          <w:b/>
          <w:i/>
          <w:sz w:val="24"/>
          <w:szCs w:val="24"/>
          <w:lang w:val="en-GB"/>
        </w:rPr>
      </w:pPr>
      <w:r w:rsidRPr="0049263A">
        <w:rPr>
          <w:rFonts w:ascii="Book Antiqua" w:hAnsi="Book Antiqua" w:cs="Arial"/>
          <w:sz w:val="24"/>
          <w:szCs w:val="24"/>
          <w:lang w:val="en-GB"/>
        </w:rPr>
        <w:t>Among the 652 patients, the fibrinogen value was higher than the threshold of 400 mg/</w:t>
      </w:r>
      <w:proofErr w:type="spellStart"/>
      <w:r w:rsidRPr="0049263A">
        <w:rPr>
          <w:rFonts w:ascii="Book Antiqua" w:hAnsi="Book Antiqua" w:cs="Arial"/>
          <w:sz w:val="24"/>
          <w:szCs w:val="24"/>
          <w:lang w:val="en-GB"/>
        </w:rPr>
        <w:t>dL</w:t>
      </w:r>
      <w:proofErr w:type="spellEnd"/>
      <w:r w:rsidRPr="0049263A">
        <w:rPr>
          <w:rFonts w:ascii="Book Antiqua" w:hAnsi="Book Antiqua" w:cs="Arial"/>
          <w:sz w:val="24"/>
          <w:szCs w:val="24"/>
          <w:lang w:val="en-GB"/>
        </w:rPr>
        <w:t xml:space="preserve"> in 345 patients (53%). The preoperative mean</w:t>
      </w:r>
      <w:r w:rsid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w:t>
      </w:r>
      <w:r w:rsidR="0099690C" w:rsidRPr="0049263A">
        <w:rPr>
          <w:rFonts w:ascii="Book Antiqua" w:hAnsi="Book Antiqua" w:cs="Arial" w:hint="eastAsia"/>
          <w:sz w:val="24"/>
          <w:szCs w:val="24"/>
          <w:lang w:val="en-GB" w:eastAsia="zh-CN"/>
        </w:rPr>
        <w:t xml:space="preserve"> </w:t>
      </w:r>
      <w:r w:rsidR="0049263A">
        <w:rPr>
          <w:rFonts w:ascii="Book Antiqua" w:hAnsi="Book Antiqua" w:cs="Arial"/>
          <w:sz w:val="24"/>
          <w:szCs w:val="24"/>
          <w:lang w:val="en-GB"/>
        </w:rPr>
        <w:t>SD</w:t>
      </w:r>
      <w:r w:rsidRPr="0049263A">
        <w:rPr>
          <w:rFonts w:ascii="Book Antiqua" w:hAnsi="Book Antiqua" w:cs="Arial"/>
          <w:sz w:val="24"/>
          <w:szCs w:val="24"/>
          <w:lang w:val="en-GB"/>
        </w:rPr>
        <w:t xml:space="preserve"> of fibrinogen was 426.2</w:t>
      </w:r>
      <w:r w:rsidR="0099690C"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w:t>
      </w:r>
      <w:r w:rsidR="0099690C"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23.2 mg/</w:t>
      </w:r>
      <w:proofErr w:type="spellStart"/>
      <w:r w:rsidRPr="0049263A">
        <w:rPr>
          <w:rFonts w:ascii="Book Antiqua" w:hAnsi="Book Antiqua" w:cs="Arial"/>
          <w:sz w:val="24"/>
          <w:szCs w:val="24"/>
          <w:lang w:val="en-GB"/>
        </w:rPr>
        <w:t>dL</w:t>
      </w:r>
      <w:proofErr w:type="spellEnd"/>
      <w:r w:rsidRPr="0049263A">
        <w:rPr>
          <w:rFonts w:ascii="Book Antiqua" w:hAnsi="Book Antiqua" w:cs="Arial"/>
          <w:sz w:val="24"/>
          <w:szCs w:val="24"/>
          <w:lang w:val="en-GB"/>
        </w:rPr>
        <w:t xml:space="preserve"> (median: 409 mg/</w:t>
      </w:r>
      <w:proofErr w:type="spellStart"/>
      <w:r w:rsidRPr="0049263A">
        <w:rPr>
          <w:rFonts w:ascii="Book Antiqua" w:hAnsi="Book Antiqua" w:cs="Arial"/>
          <w:sz w:val="24"/>
          <w:szCs w:val="24"/>
          <w:lang w:val="en-GB"/>
        </w:rPr>
        <w:t>dL</w:t>
      </w:r>
      <w:proofErr w:type="spellEnd"/>
      <w:r w:rsidRPr="0049263A">
        <w:rPr>
          <w:rFonts w:ascii="Book Antiqua" w:hAnsi="Book Antiqua" w:cs="Arial"/>
          <w:sz w:val="24"/>
          <w:szCs w:val="24"/>
          <w:lang w:val="en-GB"/>
        </w:rPr>
        <w:t>; range: 143-1045 mg/</w:t>
      </w:r>
      <w:proofErr w:type="spellStart"/>
      <w:r w:rsidRPr="0049263A">
        <w:rPr>
          <w:rFonts w:ascii="Book Antiqua" w:hAnsi="Book Antiqua" w:cs="Arial"/>
          <w:sz w:val="24"/>
          <w:szCs w:val="24"/>
          <w:lang w:val="en-GB"/>
        </w:rPr>
        <w:t>dL</w:t>
      </w:r>
      <w:proofErr w:type="spellEnd"/>
      <w:r w:rsidRPr="0049263A">
        <w:rPr>
          <w:rFonts w:ascii="Book Antiqua" w:hAnsi="Book Antiqua" w:cs="Arial"/>
          <w:sz w:val="24"/>
          <w:szCs w:val="24"/>
          <w:lang w:val="en-GB"/>
        </w:rPr>
        <w:t xml:space="preserve">). </w:t>
      </w:r>
      <w:r w:rsidR="0093205E" w:rsidRPr="0049263A">
        <w:rPr>
          <w:rFonts w:ascii="Book Antiqua" w:hAnsi="Book Antiqua" w:cs="Arial"/>
          <w:sz w:val="24"/>
          <w:szCs w:val="24"/>
          <w:lang w:val="en-GB"/>
        </w:rPr>
        <w:t>Preoperative fibrinogen values correlated with age (</w:t>
      </w:r>
      <w:r w:rsidR="0099690C" w:rsidRPr="0049263A">
        <w:rPr>
          <w:rFonts w:ascii="Book Antiqua" w:hAnsi="Book Antiqua" w:cs="Arial"/>
          <w:i/>
          <w:sz w:val="24"/>
          <w:szCs w:val="24"/>
          <w:lang w:val="en-GB"/>
        </w:rPr>
        <w:t>P</w:t>
      </w:r>
      <w:r w:rsidR="0099690C" w:rsidRPr="0049263A">
        <w:rPr>
          <w:rFonts w:ascii="Book Antiqua" w:hAnsi="Book Antiqua" w:cs="Arial"/>
          <w:sz w:val="24"/>
          <w:szCs w:val="24"/>
          <w:lang w:val="en-GB"/>
        </w:rPr>
        <w:t xml:space="preserve"> </w:t>
      </w:r>
      <w:r w:rsidR="0093205E" w:rsidRPr="0049263A">
        <w:rPr>
          <w:rFonts w:ascii="Book Antiqua" w:hAnsi="Book Antiqua" w:cs="Arial"/>
          <w:sz w:val="24"/>
          <w:szCs w:val="24"/>
          <w:lang w:val="en-GB"/>
        </w:rPr>
        <w:t>=</w:t>
      </w:r>
      <w:r w:rsidR="0099690C" w:rsidRPr="0049263A">
        <w:rPr>
          <w:rFonts w:ascii="Book Antiqua" w:hAnsi="Book Antiqua" w:cs="Arial" w:hint="eastAsia"/>
          <w:sz w:val="24"/>
          <w:szCs w:val="24"/>
          <w:lang w:val="en-GB" w:eastAsia="zh-CN"/>
        </w:rPr>
        <w:t xml:space="preserve"> </w:t>
      </w:r>
      <w:r w:rsidR="0093205E" w:rsidRPr="0049263A">
        <w:rPr>
          <w:rFonts w:ascii="Book Antiqua" w:hAnsi="Book Antiqua" w:cs="Arial"/>
          <w:sz w:val="24"/>
          <w:szCs w:val="24"/>
          <w:lang w:val="en-GB"/>
        </w:rPr>
        <w:t>0.003), completeness of tumour resection</w:t>
      </w:r>
      <w:r w:rsidRPr="0049263A">
        <w:rPr>
          <w:rFonts w:ascii="Book Antiqua" w:hAnsi="Book Antiqua" w:cs="Arial"/>
          <w:sz w:val="24"/>
          <w:szCs w:val="24"/>
          <w:lang w:val="en-GB"/>
        </w:rPr>
        <w:t>, potentially curative vs palliative</w:t>
      </w:r>
      <w:r w:rsidR="0093205E" w:rsidRPr="0049263A">
        <w:rPr>
          <w:rFonts w:ascii="Book Antiqua" w:hAnsi="Book Antiqua" w:cs="Arial"/>
          <w:sz w:val="24"/>
          <w:szCs w:val="24"/>
          <w:lang w:val="en-GB"/>
        </w:rPr>
        <w:t xml:space="preserve"> (</w:t>
      </w:r>
      <w:r w:rsidR="0099690C" w:rsidRPr="0049263A">
        <w:rPr>
          <w:rFonts w:ascii="Book Antiqua" w:hAnsi="Book Antiqua" w:cs="Arial"/>
          <w:i/>
          <w:sz w:val="24"/>
          <w:szCs w:val="24"/>
          <w:lang w:val="en-GB"/>
        </w:rPr>
        <w:t>P</w:t>
      </w:r>
      <w:r w:rsidR="0099690C" w:rsidRPr="0049263A">
        <w:rPr>
          <w:rFonts w:ascii="Book Antiqua" w:hAnsi="Book Antiqua" w:cs="Arial"/>
          <w:sz w:val="24"/>
          <w:szCs w:val="24"/>
          <w:lang w:val="en-GB"/>
        </w:rPr>
        <w:t xml:space="preserve"> </w:t>
      </w:r>
      <w:r w:rsidR="0093205E" w:rsidRPr="0049263A">
        <w:rPr>
          <w:rFonts w:ascii="Book Antiqua" w:hAnsi="Book Antiqua" w:cs="Arial"/>
          <w:sz w:val="24"/>
          <w:szCs w:val="24"/>
          <w:lang w:val="en-GB"/>
        </w:rPr>
        <w:t>&lt;</w:t>
      </w:r>
      <w:r w:rsidR="0099690C" w:rsidRPr="0049263A">
        <w:rPr>
          <w:rFonts w:ascii="Book Antiqua" w:hAnsi="Book Antiqua" w:cs="Arial" w:hint="eastAsia"/>
          <w:sz w:val="24"/>
          <w:szCs w:val="24"/>
          <w:lang w:val="en-GB" w:eastAsia="zh-CN"/>
        </w:rPr>
        <w:t xml:space="preserve"> </w:t>
      </w:r>
      <w:r w:rsidR="0093205E" w:rsidRPr="0049263A">
        <w:rPr>
          <w:rFonts w:ascii="Book Antiqua" w:hAnsi="Book Antiqua" w:cs="Arial"/>
          <w:sz w:val="24"/>
          <w:szCs w:val="24"/>
          <w:lang w:val="en-GB"/>
        </w:rPr>
        <w:t>0.001), presence of systemic metastasis (</w:t>
      </w:r>
      <w:r w:rsidR="0093205E" w:rsidRPr="0049263A">
        <w:rPr>
          <w:rFonts w:ascii="Book Antiqua" w:hAnsi="Book Antiqua" w:cs="Arial"/>
          <w:i/>
          <w:sz w:val="24"/>
          <w:szCs w:val="24"/>
          <w:lang w:val="en-GB"/>
        </w:rPr>
        <w:t>P</w:t>
      </w:r>
      <w:r w:rsidR="0099690C" w:rsidRPr="0049263A">
        <w:rPr>
          <w:rFonts w:ascii="Book Antiqua" w:hAnsi="Book Antiqua" w:cs="Arial" w:hint="eastAsia"/>
          <w:sz w:val="24"/>
          <w:szCs w:val="24"/>
          <w:lang w:val="en-GB" w:eastAsia="zh-CN"/>
        </w:rPr>
        <w:t xml:space="preserve"> </w:t>
      </w:r>
      <w:r w:rsidR="0093205E" w:rsidRPr="0049263A">
        <w:rPr>
          <w:rFonts w:ascii="Book Antiqua" w:hAnsi="Book Antiqua" w:cs="Arial"/>
          <w:sz w:val="24"/>
          <w:szCs w:val="24"/>
          <w:lang w:val="en-GB"/>
        </w:rPr>
        <w:t>&lt;</w:t>
      </w:r>
      <w:r w:rsidR="0099690C" w:rsidRPr="0049263A">
        <w:rPr>
          <w:rFonts w:ascii="Book Antiqua" w:hAnsi="Book Antiqua" w:cs="Arial" w:hint="eastAsia"/>
          <w:sz w:val="24"/>
          <w:szCs w:val="24"/>
          <w:lang w:val="en-GB" w:eastAsia="zh-CN"/>
        </w:rPr>
        <w:t xml:space="preserve"> </w:t>
      </w:r>
      <w:r w:rsidR="0093205E" w:rsidRPr="0049263A">
        <w:rPr>
          <w:rFonts w:ascii="Book Antiqua" w:hAnsi="Book Antiqua" w:cs="Arial"/>
          <w:sz w:val="24"/>
          <w:szCs w:val="24"/>
          <w:lang w:val="en-GB"/>
        </w:rPr>
        <w:t xml:space="preserve">0.001), </w:t>
      </w:r>
      <w:r w:rsidRPr="0049263A">
        <w:rPr>
          <w:rFonts w:ascii="Book Antiqua" w:hAnsi="Book Antiqua" w:cs="Arial"/>
          <w:sz w:val="24"/>
          <w:szCs w:val="24"/>
          <w:lang w:val="en-GB"/>
        </w:rPr>
        <w:t>depth of tumour invasion</w:t>
      </w:r>
      <w:r w:rsidR="0099690C" w:rsidRPr="0049263A">
        <w:rPr>
          <w:rFonts w:ascii="Book Antiqua" w:hAnsi="Book Antiqua" w:cs="Arial" w:hint="eastAsia"/>
          <w:sz w:val="24"/>
          <w:szCs w:val="24"/>
          <w:lang w:val="en-GB" w:eastAsia="zh-CN"/>
        </w:rPr>
        <w:t xml:space="preserve"> </w:t>
      </w:r>
      <w:proofErr w:type="spellStart"/>
      <w:r w:rsidR="0093205E" w:rsidRPr="0049263A">
        <w:rPr>
          <w:rFonts w:ascii="Book Antiqua" w:hAnsi="Book Antiqua" w:cs="Arial"/>
          <w:sz w:val="24"/>
          <w:szCs w:val="24"/>
          <w:lang w:val="en-GB"/>
        </w:rPr>
        <w:t>pT</w:t>
      </w:r>
      <w:proofErr w:type="spellEnd"/>
      <w:r w:rsidR="0093205E" w:rsidRPr="0049263A">
        <w:rPr>
          <w:rFonts w:ascii="Book Antiqua" w:hAnsi="Book Antiqua" w:cs="Arial"/>
          <w:sz w:val="24"/>
          <w:szCs w:val="24"/>
          <w:lang w:val="en-GB"/>
        </w:rPr>
        <w:t xml:space="preserve"> (</w:t>
      </w:r>
      <w:r w:rsidR="0099690C" w:rsidRPr="0049263A">
        <w:rPr>
          <w:rFonts w:ascii="Book Antiqua" w:hAnsi="Book Antiqua" w:cs="Arial"/>
          <w:i/>
          <w:sz w:val="24"/>
          <w:szCs w:val="24"/>
          <w:lang w:val="en-GB"/>
        </w:rPr>
        <w:t>P</w:t>
      </w:r>
      <w:r w:rsidR="0099690C" w:rsidRPr="0049263A">
        <w:rPr>
          <w:rFonts w:ascii="Book Antiqua" w:hAnsi="Book Antiqua" w:cs="Arial"/>
          <w:sz w:val="24"/>
          <w:szCs w:val="24"/>
          <w:lang w:val="en-GB"/>
        </w:rPr>
        <w:t xml:space="preserve"> </w:t>
      </w:r>
      <w:r w:rsidR="0093205E" w:rsidRPr="0049263A">
        <w:rPr>
          <w:rFonts w:ascii="Book Antiqua" w:hAnsi="Book Antiqua" w:cs="Arial"/>
          <w:sz w:val="24"/>
          <w:szCs w:val="24"/>
          <w:lang w:val="en-GB"/>
        </w:rPr>
        <w:t>&lt;</w:t>
      </w:r>
      <w:r w:rsidR="0099690C" w:rsidRPr="0049263A">
        <w:rPr>
          <w:rFonts w:ascii="Book Antiqua" w:hAnsi="Book Antiqua" w:cs="Arial" w:hint="eastAsia"/>
          <w:sz w:val="24"/>
          <w:szCs w:val="24"/>
          <w:lang w:val="en-GB" w:eastAsia="zh-CN"/>
        </w:rPr>
        <w:t xml:space="preserve"> </w:t>
      </w:r>
      <w:r w:rsidR="0093205E" w:rsidRPr="0049263A">
        <w:rPr>
          <w:rFonts w:ascii="Book Antiqua" w:hAnsi="Book Antiqua" w:cs="Arial"/>
          <w:sz w:val="24"/>
          <w:szCs w:val="24"/>
          <w:lang w:val="en-GB"/>
        </w:rPr>
        <w:t xml:space="preserve">0.001), </w:t>
      </w:r>
      <w:r w:rsidRPr="0049263A">
        <w:rPr>
          <w:rFonts w:ascii="Book Antiqua" w:hAnsi="Book Antiqua" w:cs="Arial"/>
          <w:sz w:val="24"/>
          <w:szCs w:val="24"/>
          <w:lang w:val="en-GB"/>
        </w:rPr>
        <w:t xml:space="preserve">nodes involvement </w:t>
      </w:r>
      <w:proofErr w:type="spellStart"/>
      <w:r w:rsidR="0093205E" w:rsidRPr="0049263A">
        <w:rPr>
          <w:rFonts w:ascii="Book Antiqua" w:hAnsi="Book Antiqua" w:cs="Arial"/>
          <w:sz w:val="24"/>
          <w:szCs w:val="24"/>
          <w:lang w:val="en-GB"/>
        </w:rPr>
        <w:t>pN</w:t>
      </w:r>
      <w:proofErr w:type="spellEnd"/>
      <w:r w:rsidR="0093205E" w:rsidRPr="0049263A">
        <w:rPr>
          <w:rFonts w:ascii="Book Antiqua" w:hAnsi="Book Antiqua" w:cs="Arial"/>
          <w:sz w:val="24"/>
          <w:szCs w:val="24"/>
          <w:lang w:val="en-GB"/>
        </w:rPr>
        <w:t xml:space="preserve"> (</w:t>
      </w:r>
      <w:r w:rsidR="0099690C" w:rsidRPr="0049263A">
        <w:rPr>
          <w:rFonts w:ascii="Book Antiqua" w:hAnsi="Book Antiqua" w:cs="Arial"/>
          <w:i/>
          <w:sz w:val="24"/>
          <w:szCs w:val="24"/>
          <w:lang w:val="en-GB"/>
        </w:rPr>
        <w:t>P</w:t>
      </w:r>
      <w:r w:rsidR="0099690C" w:rsidRPr="0049263A">
        <w:rPr>
          <w:rFonts w:ascii="Book Antiqua" w:hAnsi="Book Antiqua" w:cs="Arial"/>
          <w:sz w:val="24"/>
          <w:szCs w:val="24"/>
          <w:lang w:val="en-GB"/>
        </w:rPr>
        <w:t xml:space="preserve"> </w:t>
      </w:r>
      <w:r w:rsidR="0093205E" w:rsidRPr="0049263A">
        <w:rPr>
          <w:rFonts w:ascii="Book Antiqua" w:hAnsi="Book Antiqua" w:cs="Arial"/>
          <w:sz w:val="24"/>
          <w:szCs w:val="24"/>
          <w:lang w:val="en-GB"/>
        </w:rPr>
        <w:t>=</w:t>
      </w:r>
      <w:r w:rsidR="0099690C" w:rsidRPr="0049263A">
        <w:rPr>
          <w:rFonts w:ascii="Book Antiqua" w:hAnsi="Book Antiqua" w:cs="Arial" w:hint="eastAsia"/>
          <w:sz w:val="24"/>
          <w:szCs w:val="24"/>
          <w:lang w:val="en-GB" w:eastAsia="zh-CN"/>
        </w:rPr>
        <w:t xml:space="preserve"> </w:t>
      </w:r>
      <w:r w:rsidR="0093205E" w:rsidRPr="0049263A">
        <w:rPr>
          <w:rFonts w:ascii="Book Antiqua" w:hAnsi="Book Antiqua" w:cs="Arial"/>
          <w:sz w:val="24"/>
          <w:szCs w:val="24"/>
          <w:lang w:val="en-GB"/>
        </w:rPr>
        <w:t xml:space="preserve">0.001) </w:t>
      </w:r>
      <w:r w:rsidR="007A2C5B" w:rsidRPr="0049263A">
        <w:rPr>
          <w:rFonts w:ascii="Book Antiqua" w:hAnsi="Book Antiqua" w:cs="Arial"/>
          <w:sz w:val="24"/>
          <w:szCs w:val="24"/>
          <w:lang w:val="en-GB"/>
        </w:rPr>
        <w:t>and CEA serum level (</w:t>
      </w:r>
      <w:r w:rsidR="0099690C" w:rsidRPr="0049263A">
        <w:rPr>
          <w:rFonts w:ascii="Book Antiqua" w:hAnsi="Book Antiqua" w:cs="Arial"/>
          <w:i/>
          <w:sz w:val="24"/>
          <w:szCs w:val="24"/>
          <w:lang w:val="en-GB"/>
        </w:rPr>
        <w:t>P</w:t>
      </w:r>
      <w:r w:rsidR="0099690C" w:rsidRPr="0049263A">
        <w:rPr>
          <w:rFonts w:ascii="Book Antiqua" w:hAnsi="Book Antiqua" w:cs="Arial"/>
          <w:sz w:val="24"/>
          <w:szCs w:val="24"/>
          <w:lang w:val="en-GB"/>
        </w:rPr>
        <w:t xml:space="preserve"> </w:t>
      </w:r>
      <w:r w:rsidR="007A2C5B" w:rsidRPr="0049263A">
        <w:rPr>
          <w:rFonts w:ascii="Book Antiqua" w:hAnsi="Book Antiqua" w:cs="Arial"/>
          <w:sz w:val="24"/>
          <w:szCs w:val="24"/>
          <w:lang w:val="en-GB"/>
        </w:rPr>
        <w:t>&lt;</w:t>
      </w:r>
      <w:r w:rsidR="0099690C" w:rsidRPr="0049263A">
        <w:rPr>
          <w:rFonts w:ascii="Book Antiqua" w:hAnsi="Book Antiqua" w:cs="Arial" w:hint="eastAsia"/>
          <w:sz w:val="24"/>
          <w:szCs w:val="24"/>
          <w:lang w:val="en-GB" w:eastAsia="zh-CN"/>
        </w:rPr>
        <w:t xml:space="preserve"> </w:t>
      </w:r>
      <w:r w:rsidR="007A2C5B" w:rsidRPr="0049263A">
        <w:rPr>
          <w:rFonts w:ascii="Book Antiqua" w:hAnsi="Book Antiqua" w:cs="Arial"/>
          <w:sz w:val="24"/>
          <w:szCs w:val="24"/>
          <w:lang w:val="en-GB"/>
        </w:rPr>
        <w:t>0.001). The mean fibrinogen value (±</w:t>
      </w:r>
      <w:r w:rsidR="0099690C" w:rsidRPr="0049263A">
        <w:rPr>
          <w:rFonts w:ascii="Book Antiqua" w:hAnsi="Book Antiqua" w:cs="Arial" w:hint="eastAsia"/>
          <w:sz w:val="24"/>
          <w:szCs w:val="24"/>
          <w:lang w:val="en-GB" w:eastAsia="zh-CN"/>
        </w:rPr>
        <w:t xml:space="preserve"> </w:t>
      </w:r>
      <w:r w:rsidR="007A2C5B" w:rsidRPr="0049263A">
        <w:rPr>
          <w:rFonts w:ascii="Book Antiqua" w:hAnsi="Book Antiqua" w:cs="Arial"/>
          <w:sz w:val="24"/>
          <w:szCs w:val="24"/>
          <w:lang w:val="en-GB"/>
        </w:rPr>
        <w:t>SD) was 395.6</w:t>
      </w:r>
      <w:r w:rsidR="00B1068A" w:rsidRPr="0049263A">
        <w:rPr>
          <w:rFonts w:ascii="Book Antiqua" w:hAnsi="Book Antiqua" w:cs="Arial" w:hint="eastAsia"/>
          <w:sz w:val="24"/>
          <w:szCs w:val="24"/>
          <w:lang w:val="en-GB" w:eastAsia="zh-CN"/>
        </w:rPr>
        <w:t xml:space="preserve"> </w:t>
      </w:r>
      <w:r w:rsidR="007A2C5B" w:rsidRPr="0049263A">
        <w:rPr>
          <w:rFonts w:ascii="Book Antiqua" w:hAnsi="Book Antiqua" w:cs="Arial"/>
          <w:sz w:val="24"/>
          <w:szCs w:val="24"/>
          <w:lang w:val="en-GB"/>
        </w:rPr>
        <w:t>±</w:t>
      </w:r>
      <w:r w:rsidR="00B1068A" w:rsidRPr="0049263A">
        <w:rPr>
          <w:rFonts w:ascii="Book Antiqua" w:hAnsi="Book Antiqua" w:cs="Arial" w:hint="eastAsia"/>
          <w:sz w:val="24"/>
          <w:szCs w:val="24"/>
          <w:lang w:val="en-GB" w:eastAsia="zh-CN"/>
        </w:rPr>
        <w:t xml:space="preserve"> </w:t>
      </w:r>
      <w:r w:rsidR="007A2C5B" w:rsidRPr="0049263A">
        <w:rPr>
          <w:rFonts w:ascii="Book Antiqua" w:hAnsi="Book Antiqua" w:cs="Arial"/>
          <w:sz w:val="24"/>
          <w:szCs w:val="24"/>
          <w:lang w:val="en-GB"/>
        </w:rPr>
        <w:t>120.4 mg/</w:t>
      </w:r>
      <w:proofErr w:type="spellStart"/>
      <w:r w:rsidR="007A2C5B" w:rsidRPr="0049263A">
        <w:rPr>
          <w:rFonts w:ascii="Book Antiqua" w:hAnsi="Book Antiqua" w:cs="Arial"/>
          <w:sz w:val="24"/>
          <w:szCs w:val="24"/>
          <w:lang w:val="en-GB"/>
        </w:rPr>
        <w:t>dL</w:t>
      </w:r>
      <w:proofErr w:type="spellEnd"/>
      <w:r w:rsidR="007A2C5B" w:rsidRPr="0049263A">
        <w:rPr>
          <w:rFonts w:ascii="Book Antiqua" w:hAnsi="Book Antiqua" w:cs="Arial"/>
          <w:sz w:val="24"/>
          <w:szCs w:val="24"/>
          <w:lang w:val="en-GB"/>
        </w:rPr>
        <w:t xml:space="preserve"> in G1 tumours, 424.1</w:t>
      </w:r>
      <w:r w:rsidR="0099690C" w:rsidRPr="0049263A">
        <w:rPr>
          <w:rFonts w:ascii="Book Antiqua" w:hAnsi="Book Antiqua" w:cs="Arial" w:hint="eastAsia"/>
          <w:sz w:val="24"/>
          <w:szCs w:val="24"/>
          <w:lang w:val="en-GB" w:eastAsia="zh-CN"/>
        </w:rPr>
        <w:t xml:space="preserve"> </w:t>
      </w:r>
      <w:r w:rsidR="007A2C5B" w:rsidRPr="0049263A">
        <w:rPr>
          <w:rFonts w:ascii="Book Antiqua" w:hAnsi="Book Antiqua" w:cs="Arial"/>
          <w:sz w:val="24"/>
          <w:szCs w:val="24"/>
          <w:lang w:val="en-GB"/>
        </w:rPr>
        <w:t>±</w:t>
      </w:r>
      <w:r w:rsidR="0099690C" w:rsidRPr="0049263A">
        <w:rPr>
          <w:rFonts w:ascii="Book Antiqua" w:hAnsi="Book Antiqua" w:cs="Arial" w:hint="eastAsia"/>
          <w:sz w:val="24"/>
          <w:szCs w:val="24"/>
          <w:lang w:val="en-GB" w:eastAsia="zh-CN"/>
        </w:rPr>
        <w:t xml:space="preserve"> </w:t>
      </w:r>
      <w:r w:rsidR="007A2C5B" w:rsidRPr="0049263A">
        <w:rPr>
          <w:rFonts w:ascii="Book Antiqua" w:hAnsi="Book Antiqua" w:cs="Arial"/>
          <w:sz w:val="24"/>
          <w:szCs w:val="24"/>
          <w:lang w:val="en-GB"/>
        </w:rPr>
        <w:t>121.4 mg/</w:t>
      </w:r>
      <w:proofErr w:type="spellStart"/>
      <w:r w:rsidR="007A2C5B" w:rsidRPr="0049263A">
        <w:rPr>
          <w:rFonts w:ascii="Book Antiqua" w:hAnsi="Book Antiqua" w:cs="Arial"/>
          <w:sz w:val="24"/>
          <w:szCs w:val="24"/>
          <w:lang w:val="en-GB"/>
        </w:rPr>
        <w:t>dL</w:t>
      </w:r>
      <w:proofErr w:type="spellEnd"/>
      <w:r w:rsidR="007A2C5B" w:rsidRPr="0049263A">
        <w:rPr>
          <w:rFonts w:ascii="Book Antiqua" w:hAnsi="Book Antiqua" w:cs="Arial"/>
          <w:sz w:val="24"/>
          <w:szCs w:val="24"/>
          <w:lang w:val="en-GB"/>
        </w:rPr>
        <w:t xml:space="preserve"> in G2 tumours and 453.4</w:t>
      </w:r>
      <w:r w:rsidR="0099690C" w:rsidRPr="0049263A">
        <w:rPr>
          <w:rFonts w:ascii="Book Antiqua" w:hAnsi="Book Antiqua" w:cs="Arial" w:hint="eastAsia"/>
          <w:sz w:val="24"/>
          <w:szCs w:val="24"/>
          <w:lang w:val="en-GB" w:eastAsia="zh-CN"/>
        </w:rPr>
        <w:t xml:space="preserve"> </w:t>
      </w:r>
      <w:r w:rsidR="007A2C5B" w:rsidRPr="0049263A">
        <w:rPr>
          <w:rFonts w:ascii="Book Antiqua" w:hAnsi="Book Antiqua" w:cs="Arial"/>
          <w:sz w:val="24"/>
          <w:szCs w:val="24"/>
          <w:lang w:val="en-GB"/>
        </w:rPr>
        <w:t>± 131.6 mg/</w:t>
      </w:r>
      <w:proofErr w:type="spellStart"/>
      <w:r w:rsidR="007A2C5B" w:rsidRPr="0049263A">
        <w:rPr>
          <w:rFonts w:ascii="Book Antiqua" w:hAnsi="Book Antiqua" w:cs="Arial"/>
          <w:sz w:val="24"/>
          <w:szCs w:val="24"/>
          <w:lang w:val="en-GB"/>
        </w:rPr>
        <w:t>dL</w:t>
      </w:r>
      <w:proofErr w:type="spellEnd"/>
      <w:r w:rsidR="007A2C5B" w:rsidRPr="0049263A">
        <w:rPr>
          <w:rFonts w:ascii="Book Antiqua" w:hAnsi="Book Antiqua" w:cs="Arial"/>
          <w:sz w:val="24"/>
          <w:szCs w:val="24"/>
          <w:lang w:val="en-GB"/>
        </w:rPr>
        <w:t xml:space="preserve"> in G3 tumours (</w:t>
      </w:r>
      <w:r w:rsidR="0099690C" w:rsidRPr="0049263A">
        <w:rPr>
          <w:rFonts w:ascii="Book Antiqua" w:hAnsi="Book Antiqua" w:cs="Arial"/>
          <w:i/>
          <w:sz w:val="24"/>
          <w:szCs w:val="24"/>
          <w:lang w:val="en-GB"/>
        </w:rPr>
        <w:t>P</w:t>
      </w:r>
      <w:r w:rsidR="0099690C" w:rsidRPr="0049263A">
        <w:rPr>
          <w:rFonts w:ascii="Book Antiqua" w:hAnsi="Book Antiqua" w:cs="Arial"/>
          <w:sz w:val="24"/>
          <w:szCs w:val="24"/>
          <w:lang w:val="en-GB"/>
        </w:rPr>
        <w:t xml:space="preserve"> </w:t>
      </w:r>
      <w:r w:rsidR="007A2C5B" w:rsidRPr="0049263A">
        <w:rPr>
          <w:rFonts w:ascii="Book Antiqua" w:hAnsi="Book Antiqua" w:cs="Arial"/>
          <w:sz w:val="24"/>
          <w:szCs w:val="24"/>
          <w:lang w:val="en-GB"/>
        </w:rPr>
        <w:t>=</w:t>
      </w:r>
      <w:r w:rsidR="0099690C" w:rsidRPr="0049263A">
        <w:rPr>
          <w:rFonts w:ascii="Book Antiqua" w:hAnsi="Book Antiqua" w:cs="Arial" w:hint="eastAsia"/>
          <w:sz w:val="24"/>
          <w:szCs w:val="24"/>
          <w:lang w:val="en-GB" w:eastAsia="zh-CN"/>
        </w:rPr>
        <w:t xml:space="preserve"> </w:t>
      </w:r>
      <w:r w:rsidR="007A2C5B" w:rsidRPr="0049263A">
        <w:rPr>
          <w:rFonts w:ascii="Book Antiqua" w:hAnsi="Book Antiqua" w:cs="Arial"/>
          <w:sz w:val="24"/>
          <w:szCs w:val="24"/>
          <w:lang w:val="en-GB"/>
        </w:rPr>
        <w:t>0.045). T</w:t>
      </w:r>
      <w:r w:rsidR="0093205E" w:rsidRPr="0049263A">
        <w:rPr>
          <w:rFonts w:ascii="Book Antiqua" w:hAnsi="Book Antiqua" w:cs="Arial"/>
          <w:sz w:val="24"/>
          <w:szCs w:val="24"/>
          <w:lang w:val="en-GB"/>
        </w:rPr>
        <w:t xml:space="preserve">he overall </w:t>
      </w:r>
      <w:r w:rsidRPr="0049263A">
        <w:rPr>
          <w:rFonts w:ascii="Book Antiqua" w:hAnsi="Book Antiqua" w:cs="Arial"/>
          <w:sz w:val="24"/>
          <w:szCs w:val="24"/>
          <w:lang w:val="en-GB"/>
        </w:rPr>
        <w:t xml:space="preserve">survival </w:t>
      </w:r>
      <w:r w:rsidR="0093205E" w:rsidRPr="0049263A">
        <w:rPr>
          <w:rFonts w:ascii="Book Antiqua" w:hAnsi="Book Antiqua" w:cs="Arial"/>
          <w:sz w:val="24"/>
          <w:szCs w:val="24"/>
          <w:lang w:val="en-GB"/>
        </w:rPr>
        <w:t>and tumour-related survival were significantly higher in patients with fibrinogen values ≤</w:t>
      </w:r>
      <w:r w:rsidR="0099690C" w:rsidRPr="0049263A">
        <w:rPr>
          <w:rFonts w:ascii="Book Antiqua" w:hAnsi="Book Antiqua" w:cs="Arial" w:hint="eastAsia"/>
          <w:sz w:val="24"/>
          <w:szCs w:val="24"/>
          <w:lang w:val="en-GB" w:eastAsia="zh-CN"/>
        </w:rPr>
        <w:t xml:space="preserve"> </w:t>
      </w:r>
      <w:r w:rsidR="0093205E" w:rsidRPr="0049263A">
        <w:rPr>
          <w:rFonts w:ascii="Book Antiqua" w:hAnsi="Book Antiqua" w:cs="Arial"/>
          <w:sz w:val="24"/>
          <w:szCs w:val="24"/>
          <w:lang w:val="en-GB"/>
        </w:rPr>
        <w:t>400 mg/</w:t>
      </w:r>
      <w:proofErr w:type="spellStart"/>
      <w:r w:rsidR="0093205E" w:rsidRPr="0049263A">
        <w:rPr>
          <w:rFonts w:ascii="Book Antiqua" w:hAnsi="Book Antiqua" w:cs="Arial"/>
          <w:sz w:val="24"/>
          <w:szCs w:val="24"/>
          <w:lang w:val="en-GB"/>
        </w:rPr>
        <w:t>dL</w:t>
      </w:r>
      <w:proofErr w:type="spellEnd"/>
      <w:r w:rsidR="0093205E" w:rsidRPr="0049263A">
        <w:rPr>
          <w:rFonts w:ascii="Book Antiqua" w:hAnsi="Book Antiqua" w:cs="Arial"/>
          <w:sz w:val="24"/>
          <w:szCs w:val="24"/>
          <w:lang w:val="en-GB"/>
        </w:rPr>
        <w:t xml:space="preserve"> (</w:t>
      </w:r>
      <w:r w:rsidR="0099690C" w:rsidRPr="0049263A">
        <w:rPr>
          <w:rFonts w:ascii="Book Antiqua" w:hAnsi="Book Antiqua" w:cs="Arial"/>
          <w:i/>
          <w:sz w:val="24"/>
          <w:szCs w:val="24"/>
          <w:lang w:val="en-GB"/>
        </w:rPr>
        <w:t>P</w:t>
      </w:r>
      <w:r w:rsidR="0099690C" w:rsidRPr="0049263A">
        <w:rPr>
          <w:rFonts w:ascii="Book Antiqua" w:hAnsi="Book Antiqua" w:cs="Arial"/>
          <w:sz w:val="24"/>
          <w:szCs w:val="24"/>
          <w:lang w:val="en-GB"/>
        </w:rPr>
        <w:t xml:space="preserve"> </w:t>
      </w:r>
      <w:r w:rsidR="0093205E" w:rsidRPr="0049263A">
        <w:rPr>
          <w:rFonts w:ascii="Book Antiqua" w:hAnsi="Book Antiqua" w:cs="Arial"/>
          <w:sz w:val="24"/>
          <w:szCs w:val="24"/>
          <w:lang w:val="en-GB"/>
        </w:rPr>
        <w:t>&lt;</w:t>
      </w:r>
      <w:r w:rsidR="0099690C" w:rsidRPr="0049263A">
        <w:rPr>
          <w:rFonts w:ascii="Book Antiqua" w:hAnsi="Book Antiqua" w:cs="Arial" w:hint="eastAsia"/>
          <w:sz w:val="24"/>
          <w:szCs w:val="24"/>
          <w:lang w:val="en-GB" w:eastAsia="zh-CN"/>
        </w:rPr>
        <w:t xml:space="preserve"> </w:t>
      </w:r>
      <w:r w:rsidR="0093205E" w:rsidRPr="0049263A">
        <w:rPr>
          <w:rFonts w:ascii="Book Antiqua" w:hAnsi="Book Antiqua" w:cs="Arial"/>
          <w:sz w:val="24"/>
          <w:szCs w:val="24"/>
          <w:lang w:val="en-GB"/>
        </w:rPr>
        <w:t>0.001). However, hyperfibrinogenemia did not retain statistical significance regarding either overall (</w:t>
      </w:r>
      <w:r w:rsidR="0099690C" w:rsidRPr="0049263A">
        <w:rPr>
          <w:rFonts w:ascii="Book Antiqua" w:hAnsi="Book Antiqua" w:cs="Arial"/>
          <w:i/>
          <w:sz w:val="24"/>
          <w:szCs w:val="24"/>
          <w:lang w:val="en-GB"/>
        </w:rPr>
        <w:t>P</w:t>
      </w:r>
      <w:r w:rsidR="0093205E" w:rsidRPr="0049263A">
        <w:rPr>
          <w:rFonts w:ascii="Book Antiqua" w:eastAsia="MS Mincho" w:hAnsi="Book Antiqua" w:cs="Arial"/>
          <w:sz w:val="24"/>
          <w:szCs w:val="24"/>
          <w:lang w:val="en-GB"/>
        </w:rPr>
        <w:t xml:space="preserve"> = 0.313) </w:t>
      </w:r>
      <w:r w:rsidR="0093205E" w:rsidRPr="0049263A">
        <w:rPr>
          <w:rFonts w:ascii="Book Antiqua" w:hAnsi="Book Antiqua" w:cs="Arial"/>
          <w:sz w:val="24"/>
          <w:szCs w:val="24"/>
          <w:lang w:val="en-GB"/>
        </w:rPr>
        <w:t xml:space="preserve">or tumour-related survival </w:t>
      </w:r>
      <w:r w:rsidR="0093205E" w:rsidRPr="0049263A">
        <w:rPr>
          <w:rFonts w:ascii="Book Antiqua" w:eastAsia="MS Mincho" w:hAnsi="Book Antiqua" w:cs="Arial"/>
          <w:sz w:val="24"/>
          <w:szCs w:val="24"/>
          <w:lang w:val="en-GB"/>
        </w:rPr>
        <w:t>(</w:t>
      </w:r>
      <w:r w:rsidR="0099690C" w:rsidRPr="0049263A">
        <w:rPr>
          <w:rFonts w:ascii="Book Antiqua" w:hAnsi="Book Antiqua" w:cs="Arial"/>
          <w:i/>
          <w:sz w:val="24"/>
          <w:szCs w:val="24"/>
          <w:lang w:val="en-GB"/>
        </w:rPr>
        <w:t>P</w:t>
      </w:r>
      <w:r w:rsidR="0093205E" w:rsidRPr="0049263A">
        <w:rPr>
          <w:rFonts w:ascii="Book Antiqua" w:eastAsia="MS Mincho" w:hAnsi="Book Antiqua" w:cs="Arial"/>
          <w:sz w:val="24"/>
          <w:szCs w:val="24"/>
          <w:lang w:val="en-GB"/>
        </w:rPr>
        <w:t xml:space="preserve"> = 0.355) after controlling for other risk factors </w:t>
      </w:r>
      <w:r w:rsidR="0093205E" w:rsidRPr="0049263A">
        <w:rPr>
          <w:rFonts w:ascii="Book Antiqua" w:hAnsi="Book Antiqua" w:cs="Arial"/>
          <w:sz w:val="24"/>
          <w:szCs w:val="24"/>
          <w:lang w:val="en-GB"/>
        </w:rPr>
        <w:t>in a multivariate analysis.</w:t>
      </w:r>
    </w:p>
    <w:p w14:paraId="43521212" w14:textId="77777777" w:rsidR="0099690C" w:rsidRPr="0049263A" w:rsidRDefault="0099690C" w:rsidP="00AA734A">
      <w:pPr>
        <w:snapToGrid w:val="0"/>
        <w:spacing w:line="360" w:lineRule="auto"/>
        <w:jc w:val="both"/>
        <w:rPr>
          <w:rFonts w:ascii="Book Antiqua" w:hAnsi="Book Antiqua" w:cs="Arial"/>
          <w:b/>
          <w:i/>
          <w:sz w:val="24"/>
          <w:szCs w:val="24"/>
          <w:lang w:val="en-GB" w:eastAsia="zh-CN"/>
        </w:rPr>
      </w:pPr>
    </w:p>
    <w:p w14:paraId="1F3AB94D" w14:textId="77777777" w:rsidR="0099690C" w:rsidRPr="0049263A" w:rsidRDefault="0093205E" w:rsidP="00AA734A">
      <w:pPr>
        <w:snapToGrid w:val="0"/>
        <w:spacing w:line="360" w:lineRule="auto"/>
        <w:jc w:val="both"/>
        <w:rPr>
          <w:rFonts w:ascii="Book Antiqua" w:hAnsi="Book Antiqua" w:cs="Arial"/>
          <w:b/>
          <w:i/>
          <w:caps/>
          <w:sz w:val="24"/>
          <w:szCs w:val="24"/>
          <w:lang w:val="en-GB" w:eastAsia="zh-CN"/>
        </w:rPr>
      </w:pPr>
      <w:r w:rsidRPr="0049263A">
        <w:rPr>
          <w:rFonts w:ascii="Book Antiqua" w:hAnsi="Book Antiqua" w:cs="Arial"/>
          <w:b/>
          <w:i/>
          <w:caps/>
          <w:sz w:val="24"/>
          <w:szCs w:val="24"/>
          <w:lang w:val="en-GB"/>
        </w:rPr>
        <w:t>Conclusion</w:t>
      </w:r>
    </w:p>
    <w:p w14:paraId="5EA2B7D2" w14:textId="2AE37E5D" w:rsidR="0093205E" w:rsidRPr="0049263A" w:rsidRDefault="0093205E" w:rsidP="00AA734A">
      <w:pPr>
        <w:snapToGrid w:val="0"/>
        <w:spacing w:line="360" w:lineRule="auto"/>
        <w:jc w:val="both"/>
        <w:rPr>
          <w:rFonts w:ascii="Book Antiqua" w:hAnsi="Book Antiqua" w:cs="Arial"/>
          <w:b/>
          <w:i/>
          <w:iCs/>
          <w:sz w:val="24"/>
          <w:szCs w:val="24"/>
          <w:lang w:val="en-GB"/>
        </w:rPr>
      </w:pPr>
      <w:r w:rsidRPr="0049263A">
        <w:rPr>
          <w:rFonts w:ascii="Book Antiqua" w:eastAsia="MS Mincho" w:hAnsi="Book Antiqua" w:cs="Arial"/>
          <w:sz w:val="24"/>
          <w:szCs w:val="24"/>
          <w:lang w:val="en-GB"/>
        </w:rPr>
        <w:t>Preoperative fibrinogen levels correlate with cancer severity but do not help in predicting patient prognosis after colorectal cancer surgery.</w:t>
      </w:r>
    </w:p>
    <w:p w14:paraId="2372EE40" w14:textId="77777777" w:rsidR="0093205E" w:rsidRPr="0049263A" w:rsidRDefault="0093205E" w:rsidP="00AA734A">
      <w:pPr>
        <w:snapToGrid w:val="0"/>
        <w:spacing w:line="360" w:lineRule="auto"/>
        <w:jc w:val="both"/>
        <w:rPr>
          <w:rFonts w:ascii="Book Antiqua" w:hAnsi="Book Antiqua" w:cs="Arial"/>
          <w:b/>
          <w:i/>
          <w:iCs/>
          <w:sz w:val="24"/>
          <w:szCs w:val="24"/>
          <w:lang w:val="en-GB"/>
        </w:rPr>
      </w:pPr>
    </w:p>
    <w:p w14:paraId="0B2AC380" w14:textId="40EBEDD7" w:rsidR="0093205E" w:rsidRPr="0049263A" w:rsidRDefault="0093205E" w:rsidP="00AA734A">
      <w:pPr>
        <w:snapToGrid w:val="0"/>
        <w:spacing w:line="360" w:lineRule="auto"/>
        <w:jc w:val="both"/>
        <w:rPr>
          <w:rFonts w:ascii="Book Antiqua" w:hAnsi="Book Antiqua" w:cs="Arial"/>
          <w:iCs/>
          <w:sz w:val="24"/>
          <w:szCs w:val="24"/>
          <w:lang w:val="en-GB"/>
        </w:rPr>
      </w:pPr>
      <w:r w:rsidRPr="0049263A">
        <w:rPr>
          <w:rFonts w:ascii="Book Antiqua" w:hAnsi="Book Antiqua" w:cs="Arial"/>
          <w:b/>
          <w:iCs/>
          <w:sz w:val="24"/>
          <w:szCs w:val="24"/>
          <w:lang w:val="en-GB"/>
        </w:rPr>
        <w:t xml:space="preserve">Key </w:t>
      </w:r>
      <w:r w:rsidR="0099690C" w:rsidRPr="0049263A">
        <w:rPr>
          <w:rFonts w:ascii="Book Antiqua" w:hAnsi="Book Antiqua" w:cs="Arial"/>
          <w:b/>
          <w:iCs/>
          <w:sz w:val="24"/>
          <w:szCs w:val="24"/>
          <w:lang w:val="en-GB"/>
        </w:rPr>
        <w:t>w</w:t>
      </w:r>
      <w:r w:rsidRPr="0049263A">
        <w:rPr>
          <w:rFonts w:ascii="Book Antiqua" w:hAnsi="Book Antiqua" w:cs="Arial"/>
          <w:b/>
          <w:iCs/>
          <w:sz w:val="24"/>
          <w:szCs w:val="24"/>
          <w:lang w:val="en-GB"/>
        </w:rPr>
        <w:t xml:space="preserve">ords: </w:t>
      </w:r>
      <w:r w:rsidRPr="0049263A">
        <w:rPr>
          <w:rFonts w:ascii="Book Antiqua" w:hAnsi="Book Antiqua" w:cs="Arial"/>
          <w:iCs/>
          <w:caps/>
          <w:sz w:val="24"/>
          <w:szCs w:val="24"/>
          <w:lang w:val="en-GB"/>
        </w:rPr>
        <w:t>c</w:t>
      </w:r>
      <w:r w:rsidRPr="0049263A">
        <w:rPr>
          <w:rFonts w:ascii="Book Antiqua" w:hAnsi="Book Antiqua" w:cs="Arial"/>
          <w:iCs/>
          <w:sz w:val="24"/>
          <w:szCs w:val="24"/>
          <w:lang w:val="en-GB"/>
        </w:rPr>
        <w:t xml:space="preserve">olorectal cancer; </w:t>
      </w:r>
      <w:r w:rsidRPr="0049263A">
        <w:rPr>
          <w:rFonts w:ascii="Book Antiqua" w:hAnsi="Book Antiqua" w:cs="Arial"/>
          <w:iCs/>
          <w:caps/>
          <w:sz w:val="24"/>
          <w:szCs w:val="24"/>
          <w:lang w:val="en-GB"/>
        </w:rPr>
        <w:t>f</w:t>
      </w:r>
      <w:r w:rsidRPr="0049263A">
        <w:rPr>
          <w:rFonts w:ascii="Book Antiqua" w:hAnsi="Book Antiqua" w:cs="Arial"/>
          <w:iCs/>
          <w:sz w:val="24"/>
          <w:szCs w:val="24"/>
          <w:lang w:val="en-GB"/>
        </w:rPr>
        <w:t>ibrinogen;</w:t>
      </w:r>
      <w:r w:rsidRPr="0049263A">
        <w:rPr>
          <w:rFonts w:ascii="Book Antiqua" w:hAnsi="Book Antiqua" w:cs="Arial"/>
          <w:iCs/>
          <w:caps/>
          <w:sz w:val="24"/>
          <w:szCs w:val="24"/>
          <w:lang w:val="en-GB"/>
        </w:rPr>
        <w:t xml:space="preserve"> t</w:t>
      </w:r>
      <w:r w:rsidRPr="0049263A">
        <w:rPr>
          <w:rFonts w:ascii="Book Antiqua" w:hAnsi="Book Antiqua" w:cs="Arial"/>
          <w:iCs/>
          <w:sz w:val="24"/>
          <w:szCs w:val="24"/>
          <w:lang w:val="en-GB"/>
        </w:rPr>
        <w:t xml:space="preserve">umour markers; </w:t>
      </w:r>
      <w:r w:rsidRPr="0049263A">
        <w:rPr>
          <w:rFonts w:ascii="Book Antiqua" w:hAnsi="Book Antiqua" w:cs="Arial"/>
          <w:iCs/>
          <w:caps/>
          <w:sz w:val="24"/>
          <w:szCs w:val="24"/>
          <w:lang w:val="en-GB"/>
        </w:rPr>
        <w:t>p</w:t>
      </w:r>
      <w:r w:rsidRPr="0049263A">
        <w:rPr>
          <w:rFonts w:ascii="Book Antiqua" w:hAnsi="Book Antiqua" w:cs="Arial"/>
          <w:iCs/>
          <w:sz w:val="24"/>
          <w:szCs w:val="24"/>
          <w:lang w:val="en-GB"/>
        </w:rPr>
        <w:t>rognosis</w:t>
      </w:r>
      <w:r w:rsidR="00686785" w:rsidRPr="0049263A">
        <w:rPr>
          <w:rFonts w:ascii="Book Antiqua" w:hAnsi="Book Antiqua" w:cs="Arial" w:hint="eastAsia"/>
          <w:iCs/>
          <w:sz w:val="24"/>
          <w:szCs w:val="24"/>
          <w:lang w:val="en-GB" w:eastAsia="zh-CN"/>
        </w:rPr>
        <w:t xml:space="preserve">; </w:t>
      </w:r>
      <w:r w:rsidRPr="0049263A">
        <w:rPr>
          <w:rFonts w:ascii="Book Antiqua" w:hAnsi="Book Antiqua" w:cs="Arial"/>
          <w:iCs/>
          <w:caps/>
          <w:sz w:val="24"/>
          <w:szCs w:val="24"/>
          <w:lang w:val="en-GB"/>
        </w:rPr>
        <w:t>c</w:t>
      </w:r>
      <w:r w:rsidRPr="0049263A">
        <w:rPr>
          <w:rFonts w:ascii="Book Antiqua" w:hAnsi="Book Antiqua" w:cs="Arial"/>
          <w:iCs/>
          <w:sz w:val="24"/>
          <w:szCs w:val="24"/>
          <w:lang w:val="en-GB"/>
        </w:rPr>
        <w:t>olorectal surgery</w:t>
      </w:r>
    </w:p>
    <w:p w14:paraId="23372017" w14:textId="77777777" w:rsidR="0099690C" w:rsidRPr="0049263A" w:rsidRDefault="0099690C" w:rsidP="00AA734A">
      <w:pPr>
        <w:snapToGrid w:val="0"/>
        <w:spacing w:line="360" w:lineRule="auto"/>
        <w:jc w:val="both"/>
        <w:rPr>
          <w:rFonts w:ascii="Book Antiqua" w:hAnsi="Book Antiqua" w:cs="Arial"/>
          <w:b/>
          <w:i/>
          <w:iCs/>
          <w:sz w:val="24"/>
          <w:szCs w:val="24"/>
          <w:lang w:val="en-GB" w:eastAsia="zh-CN"/>
        </w:rPr>
      </w:pPr>
    </w:p>
    <w:p w14:paraId="5BBF6CF9" w14:textId="77777777" w:rsidR="00C2178F" w:rsidRPr="0049263A" w:rsidRDefault="00C2178F" w:rsidP="00AA734A">
      <w:pPr>
        <w:suppressAutoHyphens w:val="0"/>
        <w:adjustRightInd w:val="0"/>
        <w:snapToGrid w:val="0"/>
        <w:spacing w:line="360" w:lineRule="auto"/>
        <w:jc w:val="both"/>
        <w:rPr>
          <w:rFonts w:ascii="Book Antiqua" w:hAnsi="Book Antiqua" w:cs="宋体"/>
          <w:sz w:val="24"/>
          <w:szCs w:val="24"/>
          <w:lang w:val="en-US" w:eastAsia="zh-CN"/>
        </w:rPr>
      </w:pPr>
      <w:bookmarkStart w:id="41" w:name="OLE_LINK363"/>
      <w:bookmarkStart w:id="42" w:name="OLE_LINK364"/>
      <w:bookmarkStart w:id="43" w:name="OLE_LINK359"/>
      <w:bookmarkStart w:id="44" w:name="OLE_LINK1037"/>
      <w:bookmarkStart w:id="45" w:name="OLE_LINK1195"/>
      <w:bookmarkStart w:id="46" w:name="OLE_LINK1140"/>
      <w:bookmarkStart w:id="47" w:name="OLE_LINK1062"/>
      <w:bookmarkStart w:id="48" w:name="OLE_LINK500"/>
      <w:bookmarkStart w:id="49" w:name="OLE_LINK916"/>
      <w:proofErr w:type="gramStart"/>
      <w:r w:rsidRPr="0049263A">
        <w:rPr>
          <w:rFonts w:ascii="Book Antiqua" w:hAnsi="Book Antiqua" w:cs="宋体" w:hint="eastAsia"/>
          <w:b/>
          <w:sz w:val="24"/>
          <w:szCs w:val="24"/>
          <w:lang w:val="en-US" w:eastAsia="zh-CN"/>
        </w:rPr>
        <w:t>©</w:t>
      </w:r>
      <w:r w:rsidRPr="0049263A">
        <w:rPr>
          <w:rFonts w:ascii="Book Antiqua" w:hAnsi="Book Antiqua" w:cs="宋体"/>
          <w:b/>
          <w:sz w:val="24"/>
          <w:szCs w:val="24"/>
          <w:lang w:val="en-US" w:eastAsia="zh-CN"/>
        </w:rPr>
        <w:t xml:space="preserve"> The Author(s) 201</w:t>
      </w:r>
      <w:r w:rsidRPr="0049263A">
        <w:rPr>
          <w:rFonts w:ascii="Book Antiqua" w:hAnsi="Book Antiqua" w:cs="宋体" w:hint="eastAsia"/>
          <w:b/>
          <w:sz w:val="24"/>
          <w:szCs w:val="24"/>
          <w:lang w:val="en-US" w:eastAsia="zh-CN"/>
        </w:rPr>
        <w:t>6</w:t>
      </w:r>
      <w:r w:rsidRPr="0049263A">
        <w:rPr>
          <w:rFonts w:ascii="Book Antiqua" w:hAnsi="Book Antiqua" w:cs="宋体"/>
          <w:b/>
          <w:sz w:val="24"/>
          <w:szCs w:val="24"/>
          <w:lang w:val="en-US" w:eastAsia="zh-CN"/>
        </w:rPr>
        <w:t>.</w:t>
      </w:r>
      <w:proofErr w:type="gramEnd"/>
      <w:r w:rsidRPr="0049263A">
        <w:rPr>
          <w:rFonts w:ascii="Book Antiqua" w:hAnsi="Book Antiqua" w:cs="宋体"/>
          <w:sz w:val="24"/>
          <w:szCs w:val="24"/>
          <w:lang w:val="en-US" w:eastAsia="zh-CN"/>
        </w:rPr>
        <w:t xml:space="preserve"> Published by </w:t>
      </w:r>
      <w:proofErr w:type="spellStart"/>
      <w:r w:rsidRPr="0049263A">
        <w:rPr>
          <w:rFonts w:ascii="Book Antiqua" w:hAnsi="Book Antiqua" w:cs="宋体"/>
          <w:sz w:val="24"/>
          <w:szCs w:val="24"/>
          <w:lang w:val="en-US" w:eastAsia="zh-CN"/>
        </w:rPr>
        <w:t>Baishideng</w:t>
      </w:r>
      <w:proofErr w:type="spellEnd"/>
      <w:r w:rsidRPr="0049263A">
        <w:rPr>
          <w:rFonts w:ascii="Book Antiqua" w:hAnsi="Book Antiqua" w:cs="宋体"/>
          <w:sz w:val="24"/>
          <w:szCs w:val="24"/>
          <w:lang w:val="en-US" w:eastAsia="zh-CN"/>
        </w:rPr>
        <w:t xml:space="preserve"> Publishing Group Inc. All rights reserved.</w:t>
      </w:r>
    </w:p>
    <w:bookmarkEnd w:id="41"/>
    <w:bookmarkEnd w:id="42"/>
    <w:bookmarkEnd w:id="43"/>
    <w:bookmarkEnd w:id="44"/>
    <w:bookmarkEnd w:id="45"/>
    <w:bookmarkEnd w:id="46"/>
    <w:bookmarkEnd w:id="47"/>
    <w:bookmarkEnd w:id="48"/>
    <w:bookmarkEnd w:id="49"/>
    <w:p w14:paraId="0FCB87B7" w14:textId="77777777" w:rsidR="00C2178F" w:rsidRPr="0049263A" w:rsidRDefault="00C2178F" w:rsidP="00AA734A">
      <w:pPr>
        <w:snapToGrid w:val="0"/>
        <w:spacing w:line="360" w:lineRule="auto"/>
        <w:jc w:val="both"/>
        <w:rPr>
          <w:rFonts w:ascii="Book Antiqua" w:hAnsi="Book Antiqua" w:cs="Arial"/>
          <w:b/>
          <w:i/>
          <w:iCs/>
          <w:sz w:val="24"/>
          <w:szCs w:val="24"/>
          <w:lang w:val="en-GB" w:eastAsia="zh-CN"/>
        </w:rPr>
      </w:pPr>
    </w:p>
    <w:p w14:paraId="09631413" w14:textId="53663B04" w:rsidR="004A3E4C" w:rsidRPr="0049263A" w:rsidRDefault="004A3E4C" w:rsidP="00AA734A">
      <w:pPr>
        <w:snapToGrid w:val="0"/>
        <w:spacing w:line="360" w:lineRule="auto"/>
        <w:jc w:val="both"/>
        <w:rPr>
          <w:rFonts w:ascii="Book Antiqua" w:hAnsi="Book Antiqua" w:cs="Arial"/>
          <w:b/>
          <w:iCs/>
          <w:sz w:val="24"/>
          <w:szCs w:val="24"/>
          <w:lang w:val="en-GB" w:eastAsia="zh-CN"/>
        </w:rPr>
      </w:pPr>
      <w:r w:rsidRPr="0049263A">
        <w:rPr>
          <w:rFonts w:ascii="Book Antiqua" w:hAnsi="Book Antiqua" w:cs="Arial"/>
          <w:b/>
          <w:iCs/>
          <w:sz w:val="24"/>
          <w:szCs w:val="24"/>
          <w:lang w:val="en-GB"/>
        </w:rPr>
        <w:t xml:space="preserve">Core </w:t>
      </w:r>
      <w:r w:rsidR="0099690C" w:rsidRPr="0049263A">
        <w:rPr>
          <w:rFonts w:ascii="Book Antiqua" w:hAnsi="Book Antiqua" w:cs="Arial"/>
          <w:b/>
          <w:iCs/>
          <w:sz w:val="24"/>
          <w:szCs w:val="24"/>
          <w:lang w:val="en-GB"/>
        </w:rPr>
        <w:t>t</w:t>
      </w:r>
      <w:r w:rsidRPr="0049263A">
        <w:rPr>
          <w:rFonts w:ascii="Book Antiqua" w:hAnsi="Book Antiqua" w:cs="Arial"/>
          <w:b/>
          <w:iCs/>
          <w:sz w:val="24"/>
          <w:szCs w:val="24"/>
          <w:lang w:val="en-GB"/>
        </w:rPr>
        <w:t xml:space="preserve">ip: </w:t>
      </w:r>
      <w:r w:rsidR="000F1D71" w:rsidRPr="0049263A">
        <w:rPr>
          <w:rFonts w:ascii="Book Antiqua" w:hAnsi="Book Antiqua" w:cs="Arial"/>
          <w:sz w:val="24"/>
          <w:szCs w:val="24"/>
          <w:lang w:val="en-GB"/>
        </w:rPr>
        <w:t>Fibrinogen is invol</w:t>
      </w:r>
      <w:r w:rsidR="00BC5E48" w:rsidRPr="0049263A">
        <w:rPr>
          <w:rFonts w:ascii="Book Antiqua" w:hAnsi="Book Antiqua" w:cs="Arial"/>
          <w:sz w:val="24"/>
          <w:szCs w:val="24"/>
          <w:lang w:val="en-GB"/>
        </w:rPr>
        <w:t xml:space="preserve">ved in </w:t>
      </w:r>
      <w:proofErr w:type="spellStart"/>
      <w:r w:rsidR="00BC5E48" w:rsidRPr="0049263A">
        <w:rPr>
          <w:rFonts w:ascii="Book Antiqua" w:hAnsi="Book Antiqua" w:cs="Arial"/>
          <w:sz w:val="24"/>
          <w:szCs w:val="24"/>
          <w:lang w:val="en-GB"/>
        </w:rPr>
        <w:t>tumourigenesis</w:t>
      </w:r>
      <w:proofErr w:type="spellEnd"/>
      <w:r w:rsidR="00BC5E48" w:rsidRPr="0049263A">
        <w:rPr>
          <w:rFonts w:ascii="Book Antiqua" w:hAnsi="Book Antiqua" w:cs="Arial"/>
          <w:sz w:val="24"/>
          <w:szCs w:val="24"/>
          <w:lang w:val="en-GB"/>
        </w:rPr>
        <w:t xml:space="preserve"> and in </w:t>
      </w:r>
      <w:r w:rsidR="000F1D71" w:rsidRPr="0049263A">
        <w:rPr>
          <w:rFonts w:ascii="Book Antiqua" w:hAnsi="Book Antiqua" w:cs="Arial"/>
          <w:sz w:val="24"/>
          <w:szCs w:val="24"/>
          <w:lang w:val="en-GB"/>
        </w:rPr>
        <w:t xml:space="preserve">tumour progression in several malignancies. Many </w:t>
      </w:r>
      <w:r w:rsidR="00BC5E48" w:rsidRPr="0049263A">
        <w:rPr>
          <w:rFonts w:ascii="Book Antiqua" w:hAnsi="Book Antiqua" w:cs="Arial"/>
          <w:sz w:val="24"/>
          <w:szCs w:val="24"/>
          <w:lang w:val="en-GB"/>
        </w:rPr>
        <w:t xml:space="preserve">studies, particularly from East, </w:t>
      </w:r>
      <w:r w:rsidR="000F1D71" w:rsidRPr="0049263A">
        <w:rPr>
          <w:rFonts w:ascii="Book Antiqua" w:hAnsi="Book Antiqua" w:cs="Arial"/>
          <w:sz w:val="24"/>
          <w:szCs w:val="24"/>
          <w:lang w:val="en-GB"/>
        </w:rPr>
        <w:t>have shown a correlation between hyperfibrinogenemia and poor prognosis in patients with</w:t>
      </w:r>
      <w:r w:rsidR="00BC5E48" w:rsidRPr="0049263A">
        <w:rPr>
          <w:rFonts w:ascii="Book Antiqua" w:hAnsi="Book Antiqua" w:cs="Arial"/>
          <w:sz w:val="24"/>
          <w:szCs w:val="24"/>
          <w:lang w:val="en-GB"/>
        </w:rPr>
        <w:t xml:space="preserve"> </w:t>
      </w:r>
      <w:r w:rsidR="00D62AC8" w:rsidRPr="0049263A">
        <w:rPr>
          <w:rFonts w:ascii="Book Antiqua" w:hAnsi="Book Antiqua" w:cs="Arial"/>
          <w:sz w:val="24"/>
          <w:szCs w:val="24"/>
          <w:lang w:val="en-GB"/>
        </w:rPr>
        <w:t xml:space="preserve">colorectal cancer </w:t>
      </w:r>
      <w:r w:rsidR="00D62AC8" w:rsidRPr="0049263A">
        <w:rPr>
          <w:rFonts w:ascii="Book Antiqua" w:hAnsi="Book Antiqua" w:cs="Arial" w:hint="eastAsia"/>
          <w:sz w:val="24"/>
          <w:szCs w:val="24"/>
          <w:lang w:val="en-GB" w:eastAsia="zh-CN"/>
        </w:rPr>
        <w:t>(</w:t>
      </w:r>
      <w:r w:rsidR="00BC5E48" w:rsidRPr="0049263A">
        <w:rPr>
          <w:rFonts w:ascii="Book Antiqua" w:hAnsi="Book Antiqua" w:cs="Arial"/>
          <w:sz w:val="24"/>
          <w:szCs w:val="24"/>
          <w:lang w:val="en-GB"/>
        </w:rPr>
        <w:t>CRC</w:t>
      </w:r>
      <w:r w:rsidR="00D62AC8" w:rsidRPr="0049263A">
        <w:rPr>
          <w:rFonts w:ascii="Book Antiqua" w:hAnsi="Book Antiqua" w:cs="Arial" w:hint="eastAsia"/>
          <w:sz w:val="24"/>
          <w:szCs w:val="24"/>
          <w:lang w:val="en-GB" w:eastAsia="zh-CN"/>
        </w:rPr>
        <w:t>)</w:t>
      </w:r>
      <w:r w:rsidR="00BC5E48" w:rsidRPr="0049263A">
        <w:rPr>
          <w:rFonts w:ascii="Book Antiqua" w:hAnsi="Book Antiqua" w:cs="Arial"/>
          <w:sz w:val="24"/>
          <w:szCs w:val="24"/>
          <w:lang w:val="en-GB"/>
        </w:rPr>
        <w:t xml:space="preserve">. This study </w:t>
      </w:r>
      <w:r w:rsidR="00284F66" w:rsidRPr="0049263A">
        <w:rPr>
          <w:rFonts w:ascii="Book Antiqua" w:hAnsi="Book Antiqua" w:cs="Arial"/>
          <w:sz w:val="24"/>
          <w:szCs w:val="24"/>
          <w:lang w:val="en-GB"/>
        </w:rPr>
        <w:t>involves</w:t>
      </w:r>
      <w:r w:rsidR="000F1D71" w:rsidRPr="0049263A">
        <w:rPr>
          <w:rFonts w:ascii="Book Antiqua" w:hAnsi="Book Antiqua" w:cs="Arial"/>
          <w:sz w:val="24"/>
          <w:szCs w:val="24"/>
          <w:lang w:val="en-GB"/>
        </w:rPr>
        <w:t xml:space="preserve"> a large cohort of </w:t>
      </w:r>
      <w:r w:rsidR="00BC5E48" w:rsidRPr="0049263A">
        <w:rPr>
          <w:rFonts w:ascii="Book Antiqua" w:hAnsi="Book Antiqua" w:cs="Arial"/>
          <w:sz w:val="24"/>
          <w:szCs w:val="24"/>
          <w:lang w:val="en-GB"/>
        </w:rPr>
        <w:t xml:space="preserve">652 Western patients </w:t>
      </w:r>
      <w:r w:rsidR="000F1D71" w:rsidRPr="0049263A">
        <w:rPr>
          <w:rFonts w:ascii="Book Antiqua" w:hAnsi="Book Antiqua" w:cs="Arial"/>
          <w:sz w:val="24"/>
          <w:szCs w:val="24"/>
          <w:lang w:val="en-GB"/>
        </w:rPr>
        <w:t>underwent surgery for CRC.  The analysis of our data demonstrates that preoperative fibrinogen plasma levels correlate with leading prognostic factors in patient</w:t>
      </w:r>
      <w:r w:rsidR="00BC5E48" w:rsidRPr="0049263A">
        <w:rPr>
          <w:rFonts w:ascii="Book Antiqua" w:hAnsi="Book Antiqua" w:cs="Arial"/>
          <w:sz w:val="24"/>
          <w:szCs w:val="24"/>
          <w:lang w:val="en-GB"/>
        </w:rPr>
        <w:t xml:space="preserve">s undergoing surgery for CRC. </w:t>
      </w:r>
      <w:r w:rsidR="000F1D71" w:rsidRPr="0049263A">
        <w:rPr>
          <w:rFonts w:ascii="Book Antiqua" w:eastAsia="MS Mincho" w:hAnsi="Book Antiqua" w:cs="Arial"/>
          <w:sz w:val="24"/>
          <w:szCs w:val="24"/>
          <w:lang w:val="en-GB"/>
        </w:rPr>
        <w:t xml:space="preserve">Although </w:t>
      </w:r>
      <w:r w:rsidR="000F1D71" w:rsidRPr="0049263A">
        <w:rPr>
          <w:rFonts w:ascii="Book Antiqua" w:hAnsi="Book Antiqua" w:cs="Arial"/>
          <w:sz w:val="24"/>
          <w:szCs w:val="24"/>
          <w:lang w:val="en-GB"/>
        </w:rPr>
        <w:t xml:space="preserve">long-term survival and tumour-related survival are worse in patients with hyperfibrinogenemia, these findings are not confirmed in multivariate analysis or after stratification of patients according to completeness of </w:t>
      </w:r>
      <w:r w:rsidR="0099690C" w:rsidRPr="0049263A">
        <w:rPr>
          <w:rFonts w:ascii="Book Antiqua" w:hAnsi="Book Antiqua" w:cs="Arial"/>
          <w:sz w:val="24"/>
          <w:szCs w:val="24"/>
          <w:lang w:val="en-GB"/>
        </w:rPr>
        <w:t>tumour resection and TNM stage.</w:t>
      </w:r>
    </w:p>
    <w:p w14:paraId="4D5C22E8" w14:textId="77777777" w:rsidR="00EC7429" w:rsidRPr="0049263A" w:rsidRDefault="00EC7429" w:rsidP="00AA734A">
      <w:pPr>
        <w:snapToGrid w:val="0"/>
        <w:spacing w:line="360" w:lineRule="auto"/>
        <w:jc w:val="both"/>
        <w:rPr>
          <w:rFonts w:ascii="Book Antiqua" w:hAnsi="Book Antiqua" w:cs="Arial"/>
          <w:b/>
          <w:sz w:val="24"/>
          <w:szCs w:val="24"/>
          <w:lang w:val="en-GB" w:eastAsia="zh-CN"/>
        </w:rPr>
      </w:pPr>
    </w:p>
    <w:p w14:paraId="60C2D175" w14:textId="7B821BE1" w:rsidR="00EC7429" w:rsidRPr="0049263A" w:rsidRDefault="00EC7429" w:rsidP="00AA734A">
      <w:pPr>
        <w:snapToGrid w:val="0"/>
        <w:spacing w:line="360" w:lineRule="auto"/>
        <w:jc w:val="both"/>
        <w:rPr>
          <w:rFonts w:ascii="Book Antiqua" w:hAnsi="Book Antiqua" w:cs="Arial"/>
          <w:sz w:val="24"/>
          <w:szCs w:val="24"/>
          <w:lang w:val="en-GB" w:eastAsia="zh-CN"/>
        </w:rPr>
      </w:pPr>
      <w:proofErr w:type="spellStart"/>
      <w:r w:rsidRPr="0049263A">
        <w:rPr>
          <w:rFonts w:ascii="Book Antiqua" w:eastAsia="MS Mincho" w:hAnsi="Book Antiqua" w:cs="Arial"/>
          <w:sz w:val="24"/>
          <w:szCs w:val="24"/>
          <w:lang w:val="en-GB"/>
        </w:rPr>
        <w:t>Pedrazzani</w:t>
      </w:r>
      <w:proofErr w:type="spellEnd"/>
      <w:r w:rsidRPr="0049263A">
        <w:rPr>
          <w:rFonts w:ascii="Book Antiqua" w:eastAsia="MS Mincho" w:hAnsi="Book Antiqua" w:cs="Arial"/>
          <w:sz w:val="24"/>
          <w:szCs w:val="24"/>
          <w:lang w:val="en-GB"/>
        </w:rPr>
        <w:t xml:space="preserve"> C, </w:t>
      </w:r>
      <w:proofErr w:type="spellStart"/>
      <w:r w:rsidRPr="0049263A">
        <w:rPr>
          <w:rFonts w:ascii="Book Antiqua" w:eastAsia="MS Mincho" w:hAnsi="Book Antiqua" w:cs="Arial"/>
          <w:sz w:val="24"/>
          <w:szCs w:val="24"/>
          <w:lang w:val="en-GB"/>
        </w:rPr>
        <w:t>Mantovani</w:t>
      </w:r>
      <w:proofErr w:type="spellEnd"/>
      <w:r w:rsidRPr="0049263A">
        <w:rPr>
          <w:rFonts w:ascii="Book Antiqua" w:eastAsia="MS Mincho" w:hAnsi="Book Antiqua" w:cs="Arial"/>
          <w:sz w:val="24"/>
          <w:szCs w:val="24"/>
          <w:lang w:val="en-GB"/>
        </w:rPr>
        <w:t xml:space="preserve"> G, </w:t>
      </w:r>
      <w:proofErr w:type="spellStart"/>
      <w:r w:rsidRPr="0049263A">
        <w:rPr>
          <w:rFonts w:ascii="Book Antiqua" w:eastAsia="MS Mincho" w:hAnsi="Book Antiqua" w:cs="Arial"/>
          <w:sz w:val="24"/>
          <w:szCs w:val="24"/>
          <w:lang w:val="en-GB"/>
        </w:rPr>
        <w:t>Salvagno</w:t>
      </w:r>
      <w:proofErr w:type="spellEnd"/>
      <w:r w:rsidRPr="0049263A">
        <w:rPr>
          <w:rFonts w:ascii="Book Antiqua" w:eastAsia="MS Mincho" w:hAnsi="Book Antiqua" w:cs="Arial"/>
          <w:sz w:val="24"/>
          <w:szCs w:val="24"/>
          <w:lang w:val="en-GB"/>
        </w:rPr>
        <w:t xml:space="preserve"> GL,</w:t>
      </w:r>
      <w:r w:rsidRPr="0049263A">
        <w:rPr>
          <w:rFonts w:ascii="Book Antiqua" w:eastAsia="MS Mincho" w:hAnsi="Book Antiqua" w:cs="Arial"/>
          <w:sz w:val="24"/>
          <w:szCs w:val="24"/>
          <w:vertAlign w:val="superscript"/>
          <w:lang w:val="en-GB"/>
        </w:rPr>
        <w:t xml:space="preserve"> </w:t>
      </w:r>
      <w:proofErr w:type="spellStart"/>
      <w:r w:rsidRPr="0049263A">
        <w:rPr>
          <w:rFonts w:ascii="Book Antiqua" w:eastAsia="MS Mincho" w:hAnsi="Book Antiqua" w:cs="Arial"/>
          <w:sz w:val="24"/>
          <w:szCs w:val="24"/>
          <w:lang w:val="en-GB"/>
        </w:rPr>
        <w:t>Baldiotti</w:t>
      </w:r>
      <w:proofErr w:type="spellEnd"/>
      <w:r w:rsidRPr="0049263A">
        <w:rPr>
          <w:rFonts w:ascii="Book Antiqua" w:eastAsia="MS Mincho" w:hAnsi="Book Antiqua" w:cs="Arial"/>
          <w:sz w:val="24"/>
          <w:szCs w:val="24"/>
          <w:lang w:val="en-GB"/>
        </w:rPr>
        <w:t xml:space="preserve"> E, </w:t>
      </w:r>
      <w:proofErr w:type="spellStart"/>
      <w:r w:rsidRPr="0049263A">
        <w:rPr>
          <w:rFonts w:ascii="Book Antiqua" w:eastAsia="MS Mincho" w:hAnsi="Book Antiqua" w:cs="Arial"/>
          <w:sz w:val="24"/>
          <w:szCs w:val="24"/>
          <w:lang w:val="en-GB"/>
        </w:rPr>
        <w:t>Ruzzenente</w:t>
      </w:r>
      <w:proofErr w:type="spellEnd"/>
      <w:r w:rsidRPr="0049263A">
        <w:rPr>
          <w:rFonts w:ascii="Book Antiqua" w:eastAsia="MS Mincho" w:hAnsi="Book Antiqua" w:cs="Arial"/>
          <w:sz w:val="24"/>
          <w:szCs w:val="24"/>
          <w:lang w:val="en-GB"/>
        </w:rPr>
        <w:t xml:space="preserve"> A, </w:t>
      </w:r>
      <w:proofErr w:type="spellStart"/>
      <w:r w:rsidRPr="0049263A">
        <w:rPr>
          <w:rFonts w:ascii="Book Antiqua" w:eastAsia="MS Mincho" w:hAnsi="Book Antiqua" w:cs="Arial"/>
          <w:sz w:val="24"/>
          <w:szCs w:val="24"/>
          <w:lang w:val="en-GB"/>
        </w:rPr>
        <w:t>Iacono</w:t>
      </w:r>
      <w:proofErr w:type="spellEnd"/>
      <w:r w:rsidRPr="0049263A">
        <w:rPr>
          <w:rFonts w:ascii="Book Antiqua" w:eastAsia="MS Mincho" w:hAnsi="Book Antiqua" w:cs="Arial"/>
          <w:sz w:val="24"/>
          <w:szCs w:val="24"/>
          <w:lang w:val="en-GB"/>
        </w:rPr>
        <w:t xml:space="preserve"> C, Lippi G,</w:t>
      </w:r>
      <w:r w:rsidRPr="0049263A">
        <w:rPr>
          <w:rFonts w:ascii="Book Antiqua" w:eastAsia="MS Mincho" w:hAnsi="Book Antiqua" w:cs="Arial"/>
          <w:sz w:val="24"/>
          <w:szCs w:val="24"/>
          <w:vertAlign w:val="superscript"/>
          <w:lang w:val="en-GB"/>
        </w:rPr>
        <w:t xml:space="preserve"> </w:t>
      </w:r>
      <w:proofErr w:type="spellStart"/>
      <w:r w:rsidRPr="0049263A">
        <w:rPr>
          <w:rFonts w:ascii="Book Antiqua" w:eastAsia="MS Mincho" w:hAnsi="Book Antiqua" w:cs="Arial"/>
          <w:sz w:val="24"/>
          <w:szCs w:val="24"/>
          <w:lang w:val="en-GB"/>
        </w:rPr>
        <w:t>Guglielmi</w:t>
      </w:r>
      <w:proofErr w:type="spellEnd"/>
      <w:r w:rsidRPr="0049263A">
        <w:rPr>
          <w:rFonts w:ascii="Book Antiqua" w:eastAsia="MS Mincho" w:hAnsi="Book Antiqua" w:cs="Arial"/>
          <w:sz w:val="24"/>
          <w:szCs w:val="24"/>
          <w:lang w:val="en-GB"/>
        </w:rPr>
        <w:t xml:space="preserve"> A</w:t>
      </w:r>
      <w:r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Elevated fibrinogen plasma level is not an independent predictor of poor prognosis in a large cohort of Western patients undergoing surgery for colorectal cancer</w:t>
      </w:r>
      <w:r w:rsidRPr="0049263A">
        <w:rPr>
          <w:rFonts w:ascii="Book Antiqua" w:hAnsi="Book Antiqua" w:cs="Arial" w:hint="eastAsia"/>
          <w:sz w:val="24"/>
          <w:szCs w:val="24"/>
          <w:lang w:val="en-GB" w:eastAsia="zh-CN"/>
        </w:rPr>
        <w:t xml:space="preserve">. </w:t>
      </w:r>
      <w:r w:rsidRPr="0049263A">
        <w:rPr>
          <w:rFonts w:ascii="Book Antiqua" w:hAnsi="Book Antiqua" w:cs="Arial"/>
          <w:i/>
          <w:sz w:val="24"/>
          <w:szCs w:val="24"/>
          <w:lang w:val="en-US" w:eastAsia="zh-CN"/>
        </w:rPr>
        <w:t xml:space="preserve">World J </w:t>
      </w:r>
      <w:proofErr w:type="spellStart"/>
      <w:r w:rsidRPr="0049263A">
        <w:rPr>
          <w:rFonts w:ascii="Book Antiqua" w:hAnsi="Book Antiqua" w:cs="Arial"/>
          <w:i/>
          <w:sz w:val="24"/>
          <w:szCs w:val="24"/>
          <w:lang w:val="en-US" w:eastAsia="zh-CN"/>
        </w:rPr>
        <w:t>Gastroenterol</w:t>
      </w:r>
      <w:proofErr w:type="spellEnd"/>
      <w:r w:rsidRPr="0049263A">
        <w:rPr>
          <w:rFonts w:ascii="Book Antiqua" w:hAnsi="Book Antiqua" w:cs="Arial"/>
          <w:i/>
          <w:sz w:val="24"/>
          <w:szCs w:val="24"/>
          <w:lang w:val="en-US" w:eastAsia="zh-CN"/>
        </w:rPr>
        <w:t xml:space="preserve"> </w:t>
      </w:r>
      <w:r w:rsidRPr="0049263A">
        <w:rPr>
          <w:rFonts w:ascii="Book Antiqua" w:hAnsi="Book Antiqua" w:cs="Arial"/>
          <w:sz w:val="24"/>
          <w:szCs w:val="24"/>
          <w:lang w:val="en-US" w:eastAsia="zh-CN"/>
        </w:rPr>
        <w:t>201</w:t>
      </w:r>
      <w:r w:rsidRPr="0049263A">
        <w:rPr>
          <w:rFonts w:ascii="Book Antiqua" w:hAnsi="Book Antiqua" w:cs="Arial" w:hint="eastAsia"/>
          <w:sz w:val="24"/>
          <w:szCs w:val="24"/>
          <w:lang w:val="en-US" w:eastAsia="zh-CN"/>
        </w:rPr>
        <w:t>6</w:t>
      </w:r>
      <w:r w:rsidRPr="0049263A">
        <w:rPr>
          <w:rFonts w:ascii="Book Antiqua" w:hAnsi="Book Antiqua" w:cs="Arial"/>
          <w:sz w:val="24"/>
          <w:szCs w:val="24"/>
          <w:lang w:val="en-US" w:eastAsia="zh-CN"/>
        </w:rPr>
        <w:t xml:space="preserve">; </w:t>
      </w:r>
      <w:proofErr w:type="gramStart"/>
      <w:r w:rsidRPr="0049263A">
        <w:rPr>
          <w:rFonts w:ascii="Book Antiqua" w:hAnsi="Book Antiqua" w:cs="Arial"/>
          <w:sz w:val="24"/>
          <w:szCs w:val="24"/>
          <w:lang w:val="en-US" w:eastAsia="zh-CN"/>
        </w:rPr>
        <w:t>In</w:t>
      </w:r>
      <w:proofErr w:type="gramEnd"/>
      <w:r w:rsidRPr="0049263A">
        <w:rPr>
          <w:rFonts w:ascii="Book Antiqua" w:hAnsi="Book Antiqua" w:cs="Arial"/>
          <w:sz w:val="24"/>
          <w:szCs w:val="24"/>
          <w:lang w:val="en-US" w:eastAsia="zh-CN"/>
        </w:rPr>
        <w:t xml:space="preserve"> press</w:t>
      </w:r>
    </w:p>
    <w:p w14:paraId="66B3C88C" w14:textId="77777777" w:rsidR="00607BEC" w:rsidRPr="0049263A" w:rsidRDefault="00607BEC" w:rsidP="00AA734A">
      <w:pPr>
        <w:snapToGrid w:val="0"/>
        <w:spacing w:line="360" w:lineRule="auto"/>
        <w:jc w:val="both"/>
        <w:rPr>
          <w:rFonts w:ascii="Book Antiqua" w:hAnsi="Book Antiqua" w:cs="Arial"/>
          <w:iCs/>
          <w:sz w:val="24"/>
          <w:szCs w:val="24"/>
          <w:lang w:val="en-GB" w:eastAsia="zh-CN"/>
        </w:rPr>
      </w:pPr>
    </w:p>
    <w:p w14:paraId="4CD67E6B" w14:textId="77777777" w:rsidR="0099690C" w:rsidRPr="0049263A" w:rsidRDefault="0099690C" w:rsidP="00AA734A">
      <w:pPr>
        <w:suppressAutoHyphens w:val="0"/>
        <w:snapToGrid w:val="0"/>
        <w:spacing w:line="360" w:lineRule="auto"/>
        <w:rPr>
          <w:rFonts w:ascii="Book Antiqua" w:hAnsi="Book Antiqua" w:cs="Arial"/>
          <w:b/>
          <w:sz w:val="24"/>
          <w:szCs w:val="24"/>
          <w:lang w:val="en-GB"/>
        </w:rPr>
      </w:pPr>
      <w:r w:rsidRPr="0049263A">
        <w:rPr>
          <w:rFonts w:ascii="Book Antiqua" w:hAnsi="Book Antiqua" w:cs="Arial"/>
          <w:b/>
          <w:sz w:val="24"/>
          <w:szCs w:val="24"/>
          <w:lang w:val="en-GB"/>
        </w:rPr>
        <w:br w:type="page"/>
      </w:r>
    </w:p>
    <w:p w14:paraId="5F360739" w14:textId="2854809B" w:rsidR="0093205E" w:rsidRPr="0049263A" w:rsidRDefault="0093205E" w:rsidP="00AA734A">
      <w:pPr>
        <w:snapToGrid w:val="0"/>
        <w:spacing w:line="360" w:lineRule="auto"/>
        <w:jc w:val="both"/>
        <w:rPr>
          <w:rFonts w:ascii="Book Antiqua" w:hAnsi="Book Antiqua" w:cs="Arial"/>
          <w:kern w:val="1"/>
          <w:sz w:val="24"/>
          <w:szCs w:val="24"/>
          <w:lang w:val="en-GB"/>
        </w:rPr>
      </w:pPr>
      <w:r w:rsidRPr="0049263A">
        <w:rPr>
          <w:rFonts w:ascii="Book Antiqua" w:hAnsi="Book Antiqua" w:cs="Arial"/>
          <w:b/>
          <w:sz w:val="24"/>
          <w:szCs w:val="24"/>
          <w:lang w:val="en-GB"/>
        </w:rPr>
        <w:lastRenderedPageBreak/>
        <w:t>INTRODUCTION</w:t>
      </w:r>
    </w:p>
    <w:p w14:paraId="36BFFD69" w14:textId="13BECA9F" w:rsidR="0093205E" w:rsidRPr="0049263A" w:rsidRDefault="0093205E" w:rsidP="00AA734A">
      <w:pPr>
        <w:snapToGrid w:val="0"/>
        <w:spacing w:line="360" w:lineRule="auto"/>
        <w:jc w:val="both"/>
        <w:rPr>
          <w:rFonts w:ascii="Book Antiqua" w:hAnsi="Book Antiqua" w:cs="Arial"/>
          <w:kern w:val="1"/>
          <w:sz w:val="24"/>
          <w:szCs w:val="24"/>
          <w:lang w:val="en-GB" w:eastAsia="zh-CN"/>
        </w:rPr>
      </w:pPr>
      <w:r w:rsidRPr="0049263A">
        <w:rPr>
          <w:rFonts w:ascii="Book Antiqua" w:hAnsi="Book Antiqua" w:cs="Arial"/>
          <w:kern w:val="1"/>
          <w:sz w:val="24"/>
          <w:szCs w:val="24"/>
          <w:lang w:val="en-GB"/>
        </w:rPr>
        <w:t>Colorectal cancer (CRC) is the third most common cancer worldwide, with more t</w:t>
      </w:r>
      <w:r w:rsidR="00AA734A" w:rsidRPr="0049263A">
        <w:rPr>
          <w:rFonts w:ascii="Book Antiqua" w:hAnsi="Book Antiqua" w:cs="Arial"/>
          <w:kern w:val="1"/>
          <w:sz w:val="24"/>
          <w:szCs w:val="24"/>
          <w:lang w:val="en-GB"/>
        </w:rPr>
        <w:t>han 1 million new cases and 600</w:t>
      </w:r>
      <w:r w:rsidRPr="0049263A">
        <w:rPr>
          <w:rFonts w:ascii="Book Antiqua" w:hAnsi="Book Antiqua" w:cs="Arial"/>
          <w:kern w:val="1"/>
          <w:sz w:val="24"/>
          <w:szCs w:val="24"/>
          <w:lang w:val="en-GB"/>
        </w:rPr>
        <w:t xml:space="preserve">000 deaths per </w:t>
      </w:r>
      <w:proofErr w:type="gramStart"/>
      <w:r w:rsidRPr="0049263A">
        <w:rPr>
          <w:rFonts w:ascii="Book Antiqua" w:hAnsi="Book Antiqua" w:cs="Arial"/>
          <w:kern w:val="1"/>
          <w:sz w:val="24"/>
          <w:szCs w:val="24"/>
          <w:lang w:val="en-GB"/>
        </w:rPr>
        <w:t>year</w:t>
      </w:r>
      <w:r w:rsidRPr="0049263A">
        <w:rPr>
          <w:rFonts w:ascii="Book Antiqua" w:hAnsi="Book Antiqua" w:cs="Arial"/>
          <w:kern w:val="1"/>
          <w:sz w:val="24"/>
          <w:szCs w:val="24"/>
          <w:vertAlign w:val="superscript"/>
          <w:lang w:val="en-GB"/>
        </w:rPr>
        <w:t>[</w:t>
      </w:r>
      <w:proofErr w:type="gramEnd"/>
      <w:r w:rsidRPr="0049263A">
        <w:rPr>
          <w:rFonts w:ascii="Book Antiqua" w:hAnsi="Book Antiqua" w:cs="Arial"/>
          <w:kern w:val="1"/>
          <w:sz w:val="24"/>
          <w:szCs w:val="24"/>
          <w:vertAlign w:val="superscript"/>
          <w:lang w:val="en-GB"/>
        </w:rPr>
        <w:t>1]</w:t>
      </w:r>
      <w:r w:rsidRPr="0049263A">
        <w:rPr>
          <w:rFonts w:ascii="Book Antiqua" w:hAnsi="Book Antiqua"/>
          <w:sz w:val="24"/>
          <w:szCs w:val="24"/>
          <w:vertAlign w:val="superscript"/>
          <w:lang w:val="en-GB"/>
        </w:rPr>
        <w:t xml:space="preserve"> </w:t>
      </w:r>
      <w:r w:rsidRPr="0049263A">
        <w:rPr>
          <w:rFonts w:ascii="Book Antiqua" w:hAnsi="Book Antiqua" w:cs="Arial"/>
          <w:kern w:val="1"/>
          <w:sz w:val="24"/>
          <w:szCs w:val="24"/>
          <w:lang w:val="en-GB"/>
        </w:rPr>
        <w:t xml:space="preserve">. Many haemostatic derangements have been described in cancer progression and prognosis. Solid tumours, both in humans and animal models, entail a considerable amount of fibrinogen-related alterations. In particular, CRC is associated with a large range of </w:t>
      </w:r>
      <w:proofErr w:type="spellStart"/>
      <w:r w:rsidRPr="0049263A">
        <w:rPr>
          <w:rFonts w:ascii="Book Antiqua" w:hAnsi="Book Antiqua" w:cs="Arial"/>
          <w:kern w:val="1"/>
          <w:sz w:val="24"/>
          <w:szCs w:val="24"/>
          <w:lang w:val="en-GB"/>
        </w:rPr>
        <w:t>fibrinolytic</w:t>
      </w:r>
      <w:proofErr w:type="spellEnd"/>
      <w:r w:rsidRPr="0049263A">
        <w:rPr>
          <w:rFonts w:ascii="Book Antiqua" w:hAnsi="Book Antiqua" w:cs="Arial"/>
          <w:kern w:val="1"/>
          <w:sz w:val="24"/>
          <w:szCs w:val="24"/>
          <w:lang w:val="en-GB"/>
        </w:rPr>
        <w:t xml:space="preserve"> and </w:t>
      </w:r>
      <w:proofErr w:type="spellStart"/>
      <w:r w:rsidRPr="0049263A">
        <w:rPr>
          <w:rFonts w:ascii="Book Antiqua" w:hAnsi="Book Antiqua" w:cs="Arial"/>
          <w:kern w:val="1"/>
          <w:sz w:val="24"/>
          <w:szCs w:val="24"/>
          <w:lang w:val="en-GB"/>
        </w:rPr>
        <w:t>procoagulant</w:t>
      </w:r>
      <w:proofErr w:type="spellEnd"/>
      <w:r w:rsidRPr="0049263A">
        <w:rPr>
          <w:rFonts w:ascii="Book Antiqua" w:hAnsi="Book Antiqua" w:cs="Arial"/>
          <w:kern w:val="1"/>
          <w:sz w:val="24"/>
          <w:szCs w:val="24"/>
          <w:lang w:val="en-GB"/>
        </w:rPr>
        <w:t xml:space="preserve"> alterations, suggesting that fibrinogen plays an important role in tumour stroma </w:t>
      </w:r>
      <w:proofErr w:type="gramStart"/>
      <w:r w:rsidRPr="0049263A">
        <w:rPr>
          <w:rFonts w:ascii="Book Antiqua" w:hAnsi="Book Antiqua" w:cs="Arial"/>
          <w:kern w:val="1"/>
          <w:sz w:val="24"/>
          <w:szCs w:val="24"/>
          <w:lang w:val="en-GB"/>
        </w:rPr>
        <w:t>formation</w:t>
      </w:r>
      <w:r w:rsidRPr="0049263A">
        <w:rPr>
          <w:rFonts w:ascii="Book Antiqua" w:hAnsi="Book Antiqua" w:cs="Arial"/>
          <w:kern w:val="1"/>
          <w:sz w:val="24"/>
          <w:szCs w:val="24"/>
          <w:vertAlign w:val="superscript"/>
          <w:lang w:val="en-GB"/>
        </w:rPr>
        <w:t>[</w:t>
      </w:r>
      <w:proofErr w:type="gramEnd"/>
      <w:r w:rsidRPr="0049263A">
        <w:rPr>
          <w:rFonts w:ascii="Book Antiqua" w:hAnsi="Book Antiqua" w:cs="Arial"/>
          <w:kern w:val="1"/>
          <w:sz w:val="24"/>
          <w:szCs w:val="24"/>
          <w:vertAlign w:val="superscript"/>
          <w:lang w:val="en-GB"/>
        </w:rPr>
        <w:t>2-4]</w:t>
      </w:r>
      <w:r w:rsidRPr="0049263A">
        <w:rPr>
          <w:rFonts w:ascii="Book Antiqua" w:hAnsi="Book Antiqua" w:cs="Arial"/>
          <w:kern w:val="1"/>
          <w:sz w:val="24"/>
          <w:szCs w:val="24"/>
          <w:lang w:val="en-GB"/>
        </w:rPr>
        <w:t xml:space="preserve">. In fact, fibrin matrices promote the migration of endothelial cells, fibroblasts and macrophages, as well as </w:t>
      </w:r>
      <w:proofErr w:type="gramStart"/>
      <w:r w:rsidRPr="0049263A">
        <w:rPr>
          <w:rFonts w:ascii="Book Antiqua" w:hAnsi="Book Antiqua" w:cs="Arial"/>
          <w:kern w:val="1"/>
          <w:sz w:val="24"/>
          <w:szCs w:val="24"/>
          <w:lang w:val="en-GB"/>
        </w:rPr>
        <w:t>neovascularization</w:t>
      </w:r>
      <w:r w:rsidRPr="0049263A">
        <w:rPr>
          <w:rFonts w:ascii="Book Antiqua" w:hAnsi="Book Antiqua" w:cs="Arial"/>
          <w:kern w:val="1"/>
          <w:sz w:val="24"/>
          <w:szCs w:val="24"/>
          <w:vertAlign w:val="superscript"/>
          <w:lang w:val="en-GB"/>
        </w:rPr>
        <w:t>[</w:t>
      </w:r>
      <w:proofErr w:type="gramEnd"/>
      <w:r w:rsidRPr="0049263A">
        <w:rPr>
          <w:rFonts w:ascii="Book Antiqua" w:hAnsi="Book Antiqua" w:cs="Arial"/>
          <w:kern w:val="1"/>
          <w:sz w:val="24"/>
          <w:szCs w:val="24"/>
          <w:vertAlign w:val="superscript"/>
          <w:lang w:val="en-GB"/>
        </w:rPr>
        <w:t>5-7]</w:t>
      </w:r>
      <w:r w:rsidRPr="0049263A">
        <w:rPr>
          <w:rFonts w:ascii="Book Antiqua" w:hAnsi="Book Antiqua" w:cs="Arial"/>
          <w:kern w:val="1"/>
          <w:sz w:val="24"/>
          <w:szCs w:val="24"/>
          <w:lang w:val="en-GB"/>
        </w:rPr>
        <w:t xml:space="preserve">. Moreover, the products of fibrin degradation display chemotactic, </w:t>
      </w:r>
      <w:proofErr w:type="spellStart"/>
      <w:r w:rsidRPr="0049263A">
        <w:rPr>
          <w:rFonts w:ascii="Book Antiqua" w:hAnsi="Book Antiqua" w:cs="Arial"/>
          <w:kern w:val="1"/>
          <w:sz w:val="24"/>
          <w:szCs w:val="24"/>
          <w:lang w:val="en-GB"/>
        </w:rPr>
        <w:t>angiogenic</w:t>
      </w:r>
      <w:proofErr w:type="spellEnd"/>
      <w:r w:rsidRPr="0049263A">
        <w:rPr>
          <w:rFonts w:ascii="Book Antiqua" w:hAnsi="Book Antiqua" w:cs="Arial"/>
          <w:kern w:val="1"/>
          <w:sz w:val="24"/>
          <w:szCs w:val="24"/>
          <w:lang w:val="en-GB"/>
        </w:rPr>
        <w:t xml:space="preserve"> and immune-modulatory </w:t>
      </w:r>
      <w:proofErr w:type="gramStart"/>
      <w:r w:rsidRPr="0049263A">
        <w:rPr>
          <w:rFonts w:ascii="Book Antiqua" w:hAnsi="Book Antiqua" w:cs="Arial"/>
          <w:kern w:val="1"/>
          <w:sz w:val="24"/>
          <w:szCs w:val="24"/>
          <w:lang w:val="en-GB"/>
        </w:rPr>
        <w:t>capacities</w:t>
      </w:r>
      <w:r w:rsidRPr="0049263A">
        <w:rPr>
          <w:rFonts w:ascii="Book Antiqua" w:hAnsi="Book Antiqua" w:cs="Arial"/>
          <w:kern w:val="1"/>
          <w:sz w:val="24"/>
          <w:szCs w:val="24"/>
          <w:vertAlign w:val="superscript"/>
          <w:lang w:val="en-GB"/>
        </w:rPr>
        <w:t>[</w:t>
      </w:r>
      <w:proofErr w:type="gramEnd"/>
      <w:r w:rsidRPr="0049263A">
        <w:rPr>
          <w:rFonts w:ascii="Book Antiqua" w:hAnsi="Book Antiqua" w:cs="Arial"/>
          <w:kern w:val="1"/>
          <w:sz w:val="24"/>
          <w:szCs w:val="24"/>
          <w:vertAlign w:val="superscript"/>
          <w:lang w:val="en-GB"/>
        </w:rPr>
        <w:t>8,9]</w:t>
      </w:r>
      <w:r w:rsidR="00AA734A" w:rsidRPr="0049263A">
        <w:rPr>
          <w:rFonts w:ascii="Book Antiqua" w:hAnsi="Book Antiqua" w:cs="Arial"/>
          <w:kern w:val="1"/>
          <w:sz w:val="24"/>
          <w:szCs w:val="24"/>
          <w:lang w:val="en-GB"/>
        </w:rPr>
        <w:t>.</w:t>
      </w:r>
    </w:p>
    <w:p w14:paraId="7E69679A" w14:textId="77777777" w:rsidR="0093205E" w:rsidRPr="0049263A" w:rsidRDefault="0093205E" w:rsidP="00AA734A">
      <w:pPr>
        <w:snapToGrid w:val="0"/>
        <w:spacing w:line="360" w:lineRule="auto"/>
        <w:ind w:firstLineChars="100" w:firstLine="240"/>
        <w:jc w:val="both"/>
        <w:rPr>
          <w:rFonts w:ascii="Book Antiqua" w:hAnsi="Book Antiqua" w:cs="Arial"/>
          <w:kern w:val="1"/>
          <w:sz w:val="24"/>
          <w:szCs w:val="24"/>
          <w:lang w:val="en-GB"/>
        </w:rPr>
      </w:pPr>
      <w:r w:rsidRPr="0049263A">
        <w:rPr>
          <w:rFonts w:ascii="Book Antiqua" w:hAnsi="Book Antiqua" w:cs="Arial"/>
          <w:kern w:val="1"/>
          <w:sz w:val="24"/>
          <w:szCs w:val="24"/>
          <w:lang w:val="en-GB"/>
        </w:rPr>
        <w:t xml:space="preserve">Increased plasma fibrinogen levels are associated with liver and lymph node metastasis, but not with peritoneal metastasis, in gastric </w:t>
      </w:r>
      <w:proofErr w:type="gramStart"/>
      <w:r w:rsidRPr="0049263A">
        <w:rPr>
          <w:rFonts w:ascii="Book Antiqua" w:hAnsi="Book Antiqua" w:cs="Arial"/>
          <w:kern w:val="1"/>
          <w:sz w:val="24"/>
          <w:szCs w:val="24"/>
          <w:lang w:val="en-GB"/>
        </w:rPr>
        <w:t>cancer</w:t>
      </w:r>
      <w:r w:rsidRPr="0049263A">
        <w:rPr>
          <w:rFonts w:ascii="Book Antiqua" w:hAnsi="Book Antiqua" w:cs="Arial"/>
          <w:kern w:val="1"/>
          <w:sz w:val="24"/>
          <w:szCs w:val="24"/>
          <w:vertAlign w:val="superscript"/>
          <w:lang w:val="en-GB"/>
        </w:rPr>
        <w:t>[</w:t>
      </w:r>
      <w:proofErr w:type="gramEnd"/>
      <w:r w:rsidRPr="0049263A">
        <w:rPr>
          <w:rFonts w:ascii="Book Antiqua" w:hAnsi="Book Antiqua" w:cs="Arial"/>
          <w:kern w:val="1"/>
          <w:sz w:val="24"/>
          <w:szCs w:val="24"/>
          <w:vertAlign w:val="superscript"/>
          <w:lang w:val="en-GB"/>
        </w:rPr>
        <w:t>10,11]</w:t>
      </w:r>
      <w:r w:rsidRPr="0049263A">
        <w:rPr>
          <w:rFonts w:ascii="Book Antiqua" w:hAnsi="Book Antiqua" w:cs="Arial"/>
          <w:kern w:val="1"/>
          <w:sz w:val="24"/>
          <w:szCs w:val="24"/>
          <w:lang w:val="en-GB"/>
        </w:rPr>
        <w:t xml:space="preserve">. Recent studies on CRC support the hypothesis that hyperfibrinogenemia may promote the enhancement of tumour </w:t>
      </w:r>
      <w:proofErr w:type="gramStart"/>
      <w:r w:rsidRPr="0049263A">
        <w:rPr>
          <w:rFonts w:ascii="Book Antiqua" w:hAnsi="Book Antiqua" w:cs="Arial"/>
          <w:kern w:val="1"/>
          <w:sz w:val="24"/>
          <w:szCs w:val="24"/>
          <w:lang w:val="en-GB"/>
        </w:rPr>
        <w:t>volume</w:t>
      </w:r>
      <w:r w:rsidRPr="0049263A">
        <w:rPr>
          <w:rFonts w:ascii="Book Antiqua" w:hAnsi="Book Antiqua" w:cs="Arial"/>
          <w:kern w:val="1"/>
          <w:sz w:val="24"/>
          <w:szCs w:val="24"/>
          <w:vertAlign w:val="superscript"/>
          <w:lang w:val="en-GB"/>
        </w:rPr>
        <w:t>[</w:t>
      </w:r>
      <w:proofErr w:type="gramEnd"/>
      <w:r w:rsidRPr="0049263A">
        <w:rPr>
          <w:rFonts w:ascii="Book Antiqua" w:hAnsi="Book Antiqua" w:cs="Arial"/>
          <w:kern w:val="1"/>
          <w:sz w:val="24"/>
          <w:szCs w:val="24"/>
          <w:vertAlign w:val="superscript"/>
          <w:lang w:val="en-GB"/>
        </w:rPr>
        <w:t>12]</w:t>
      </w:r>
      <w:r w:rsidRPr="0049263A">
        <w:rPr>
          <w:rFonts w:ascii="Book Antiqua" w:hAnsi="Book Antiqua" w:cs="Arial"/>
          <w:kern w:val="1"/>
          <w:sz w:val="24"/>
          <w:szCs w:val="24"/>
          <w:lang w:val="en-GB"/>
        </w:rPr>
        <w:t xml:space="preserve"> and haematogenous metastasis</w:t>
      </w:r>
      <w:r w:rsidRPr="0049263A">
        <w:rPr>
          <w:rFonts w:ascii="Book Antiqua" w:hAnsi="Book Antiqua" w:cs="Arial"/>
          <w:kern w:val="1"/>
          <w:sz w:val="24"/>
          <w:szCs w:val="24"/>
          <w:vertAlign w:val="superscript"/>
          <w:lang w:val="en-GB"/>
        </w:rPr>
        <w:t>[13,14]</w:t>
      </w:r>
      <w:r w:rsidRPr="0049263A">
        <w:rPr>
          <w:rFonts w:ascii="Book Antiqua" w:hAnsi="Book Antiqua" w:cs="Arial"/>
          <w:kern w:val="1"/>
          <w:sz w:val="24"/>
          <w:szCs w:val="24"/>
          <w:lang w:val="en-GB"/>
        </w:rPr>
        <w:t xml:space="preserve">. Several studies have demonstrated a significant contribution of high fibrinogen plasma levels in predicting the prognosis in various subsets of CRC </w:t>
      </w:r>
      <w:proofErr w:type="gramStart"/>
      <w:r w:rsidRPr="0049263A">
        <w:rPr>
          <w:rFonts w:ascii="Book Antiqua" w:hAnsi="Book Antiqua" w:cs="Arial"/>
          <w:kern w:val="1"/>
          <w:sz w:val="24"/>
          <w:szCs w:val="24"/>
          <w:lang w:val="en-GB"/>
        </w:rPr>
        <w:t>patients</w:t>
      </w:r>
      <w:r w:rsidRPr="0049263A">
        <w:rPr>
          <w:rFonts w:ascii="Book Antiqua" w:hAnsi="Book Antiqua" w:cs="Arial"/>
          <w:kern w:val="1"/>
          <w:sz w:val="24"/>
          <w:szCs w:val="24"/>
          <w:vertAlign w:val="superscript"/>
          <w:lang w:val="en-GB"/>
        </w:rPr>
        <w:t>[</w:t>
      </w:r>
      <w:proofErr w:type="gramEnd"/>
      <w:r w:rsidRPr="0049263A">
        <w:rPr>
          <w:rFonts w:ascii="Book Antiqua" w:hAnsi="Book Antiqua" w:cs="Arial"/>
          <w:kern w:val="1"/>
          <w:sz w:val="24"/>
          <w:szCs w:val="24"/>
          <w:vertAlign w:val="superscript"/>
          <w:lang w:val="en-GB"/>
        </w:rPr>
        <w:t>15,16]</w:t>
      </w:r>
      <w:r w:rsidRPr="0049263A">
        <w:rPr>
          <w:rFonts w:ascii="Book Antiqua" w:hAnsi="Book Antiqua" w:cs="Arial"/>
          <w:kern w:val="1"/>
          <w:sz w:val="24"/>
          <w:szCs w:val="24"/>
          <w:lang w:val="en-GB"/>
        </w:rPr>
        <w:t>.</w:t>
      </w:r>
    </w:p>
    <w:p w14:paraId="2CB88392" w14:textId="77777777" w:rsidR="0093205E" w:rsidRPr="0049263A" w:rsidRDefault="0093205E" w:rsidP="00AA734A">
      <w:pPr>
        <w:snapToGrid w:val="0"/>
        <w:spacing w:line="360" w:lineRule="auto"/>
        <w:ind w:firstLineChars="100" w:firstLine="240"/>
        <w:jc w:val="both"/>
        <w:rPr>
          <w:rFonts w:ascii="Book Antiqua" w:hAnsi="Book Antiqua" w:cs="Arial"/>
          <w:b/>
          <w:sz w:val="24"/>
          <w:szCs w:val="24"/>
          <w:lang w:val="en-GB"/>
        </w:rPr>
      </w:pPr>
      <w:r w:rsidRPr="0049263A">
        <w:rPr>
          <w:rFonts w:ascii="Book Antiqua" w:hAnsi="Book Antiqua" w:cs="Arial"/>
          <w:kern w:val="1"/>
          <w:sz w:val="24"/>
          <w:szCs w:val="24"/>
          <w:lang w:val="en-GB"/>
        </w:rPr>
        <w:t>The aim of this retrospective study was to evaluate the clinical significance of preoperative plasma fibrinogen levels as a prognostic marker after colorectal cancer surgery.</w:t>
      </w:r>
    </w:p>
    <w:p w14:paraId="3D9C3EFF" w14:textId="77777777" w:rsidR="0093205E" w:rsidRPr="0049263A" w:rsidRDefault="0093205E" w:rsidP="00AA734A">
      <w:pPr>
        <w:snapToGrid w:val="0"/>
        <w:spacing w:line="360" w:lineRule="auto"/>
        <w:jc w:val="both"/>
        <w:rPr>
          <w:rFonts w:ascii="Book Antiqua" w:hAnsi="Book Antiqua" w:cs="Arial"/>
          <w:b/>
          <w:sz w:val="24"/>
          <w:szCs w:val="24"/>
          <w:lang w:val="en-GB"/>
        </w:rPr>
      </w:pPr>
    </w:p>
    <w:p w14:paraId="40037439" w14:textId="77777777" w:rsidR="00AA734A" w:rsidRPr="0049263A" w:rsidRDefault="00AA734A" w:rsidP="00284F66">
      <w:pPr>
        <w:suppressAutoHyphens w:val="0"/>
        <w:snapToGrid w:val="0"/>
        <w:spacing w:line="360" w:lineRule="auto"/>
        <w:ind w:left="130" w:hangingChars="50" w:hanging="130"/>
        <w:jc w:val="both"/>
        <w:rPr>
          <w:rFonts w:ascii="Book Antiqua" w:hAnsi="Book Antiqua"/>
          <w:b/>
          <w:caps/>
          <w:sz w:val="24"/>
          <w:szCs w:val="24"/>
          <w:lang w:val="en-US" w:eastAsia="zh-CN"/>
        </w:rPr>
      </w:pPr>
      <w:bookmarkStart w:id="50" w:name="OLE_LINK478"/>
      <w:bookmarkStart w:id="51" w:name="OLE_LINK481"/>
      <w:bookmarkStart w:id="52" w:name="OLE_LINK483"/>
      <w:bookmarkStart w:id="53" w:name="OLE_LINK674"/>
      <w:r w:rsidRPr="0049263A">
        <w:rPr>
          <w:rFonts w:ascii="Book Antiqua" w:hAnsi="Book Antiqua"/>
          <w:b/>
          <w:caps/>
          <w:sz w:val="24"/>
          <w:szCs w:val="24"/>
          <w:lang w:val="en-US" w:eastAsia="zh-CN"/>
        </w:rPr>
        <w:t>Materials and methods</w:t>
      </w:r>
    </w:p>
    <w:bookmarkEnd w:id="50"/>
    <w:bookmarkEnd w:id="51"/>
    <w:bookmarkEnd w:id="52"/>
    <w:bookmarkEnd w:id="53"/>
    <w:p w14:paraId="0C92B717" w14:textId="77777777" w:rsidR="0093205E" w:rsidRPr="0049263A" w:rsidRDefault="0093205E" w:rsidP="00AA734A">
      <w:pPr>
        <w:snapToGrid w:val="0"/>
        <w:spacing w:line="360" w:lineRule="auto"/>
        <w:jc w:val="both"/>
        <w:rPr>
          <w:rFonts w:ascii="Book Antiqua" w:hAnsi="Book Antiqua" w:cs="Arial"/>
          <w:sz w:val="24"/>
          <w:szCs w:val="24"/>
          <w:lang w:val="en-GB"/>
        </w:rPr>
      </w:pPr>
      <w:r w:rsidRPr="0049263A">
        <w:rPr>
          <w:rFonts w:ascii="Book Antiqua" w:hAnsi="Book Antiqua" w:cs="Arial"/>
          <w:b/>
          <w:i/>
          <w:sz w:val="24"/>
          <w:szCs w:val="24"/>
          <w:lang w:val="en-GB"/>
        </w:rPr>
        <w:t>Inclusion criteria and population under study</w:t>
      </w:r>
    </w:p>
    <w:p w14:paraId="7386A9E5" w14:textId="4FB00CFD" w:rsidR="0093205E" w:rsidRPr="0049263A" w:rsidRDefault="0093205E" w:rsidP="00AA734A">
      <w:pPr>
        <w:snapToGrid w:val="0"/>
        <w:spacing w:line="360" w:lineRule="auto"/>
        <w:jc w:val="both"/>
        <w:rPr>
          <w:rFonts w:ascii="Book Antiqua" w:hAnsi="Book Antiqua" w:cs="Arial"/>
          <w:sz w:val="24"/>
          <w:szCs w:val="24"/>
          <w:lang w:val="en-GB"/>
        </w:rPr>
      </w:pPr>
      <w:r w:rsidRPr="0049263A">
        <w:rPr>
          <w:rFonts w:ascii="Book Antiqua" w:hAnsi="Book Antiqua" w:cs="Arial"/>
          <w:sz w:val="24"/>
          <w:szCs w:val="24"/>
          <w:lang w:val="en-GB"/>
        </w:rPr>
        <w:t xml:space="preserve">The study population consisted of patients undergoing surgery for colorectal carcinoma at the Division of General Surgery A, University of Verona Hospital Trust, between January 2005 and December 2012. The inclusion criteria were age of 18 years or older, histological diagnosis of cancer, elective or urgent colorectal resection with absence of peritonitis or other acute infectious diseases, no pre-operative chemotherapy or radiotherapy, follow-up available for a minimum period of 30 </w:t>
      </w:r>
      <w:proofErr w:type="spellStart"/>
      <w:r w:rsidR="0049263A">
        <w:rPr>
          <w:rFonts w:ascii="Book Antiqua" w:hAnsi="Book Antiqua" w:cs="Arial" w:hint="eastAsia"/>
          <w:sz w:val="24"/>
          <w:szCs w:val="24"/>
          <w:lang w:val="en-GB" w:eastAsia="zh-CN"/>
        </w:rPr>
        <w:t>mo</w:t>
      </w:r>
      <w:proofErr w:type="spellEnd"/>
      <w:r w:rsidRPr="0049263A">
        <w:rPr>
          <w:rFonts w:ascii="Book Antiqua" w:hAnsi="Book Antiqua" w:cs="Arial"/>
          <w:sz w:val="24"/>
          <w:szCs w:val="24"/>
          <w:lang w:val="en-GB"/>
        </w:rPr>
        <w:t>, as well as preoperative assessment of fibrinogen levels. Informed consent was obtained from all the patients, and the study was approved by the local Ethics Committee with ID number: 42763 (CRINF-1034 CESC).</w:t>
      </w:r>
    </w:p>
    <w:p w14:paraId="1030AD68" w14:textId="77777777" w:rsidR="0093205E" w:rsidRPr="0049263A" w:rsidRDefault="0093205E" w:rsidP="00AA734A">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Between January 2005 and December 2012, 969 patients underwent surgery for colorectal carcinoma at the Division of General Surgery A, University of Verona Hospital Trust. Among them, 652 patients met the inclusion criteria and were enrolled in the study.</w:t>
      </w:r>
    </w:p>
    <w:p w14:paraId="367921F5" w14:textId="77777777" w:rsidR="0093205E" w:rsidRPr="0049263A" w:rsidRDefault="0093205E" w:rsidP="00AA734A">
      <w:pPr>
        <w:snapToGrid w:val="0"/>
        <w:spacing w:line="360" w:lineRule="auto"/>
        <w:jc w:val="both"/>
        <w:rPr>
          <w:rFonts w:ascii="Book Antiqua" w:hAnsi="Book Antiqua" w:cs="Arial"/>
          <w:sz w:val="24"/>
          <w:szCs w:val="24"/>
          <w:lang w:val="en-GB"/>
        </w:rPr>
      </w:pPr>
    </w:p>
    <w:p w14:paraId="6018902A" w14:textId="77777777" w:rsidR="0093205E" w:rsidRPr="0049263A" w:rsidRDefault="0093205E" w:rsidP="00AA734A">
      <w:pPr>
        <w:snapToGrid w:val="0"/>
        <w:spacing w:line="360" w:lineRule="auto"/>
        <w:jc w:val="both"/>
        <w:rPr>
          <w:rFonts w:ascii="Book Antiqua" w:hAnsi="Book Antiqua" w:cs="Arial"/>
          <w:sz w:val="24"/>
          <w:szCs w:val="24"/>
          <w:lang w:val="en-GB"/>
        </w:rPr>
      </w:pPr>
      <w:r w:rsidRPr="0049263A">
        <w:rPr>
          <w:rFonts w:ascii="Book Antiqua" w:hAnsi="Book Antiqua" w:cs="Arial"/>
          <w:b/>
          <w:i/>
          <w:sz w:val="24"/>
          <w:szCs w:val="24"/>
          <w:lang w:val="en-GB"/>
        </w:rPr>
        <w:t>Preoperative work-up and histopathological staging</w:t>
      </w:r>
    </w:p>
    <w:p w14:paraId="295F8522" w14:textId="77777777" w:rsidR="0093205E" w:rsidRPr="0049263A" w:rsidRDefault="0093205E" w:rsidP="00AA734A">
      <w:pPr>
        <w:snapToGrid w:val="0"/>
        <w:spacing w:line="360" w:lineRule="auto"/>
        <w:jc w:val="both"/>
        <w:rPr>
          <w:rFonts w:ascii="Book Antiqua" w:hAnsi="Book Antiqua" w:cs="Arial"/>
          <w:sz w:val="24"/>
          <w:szCs w:val="24"/>
          <w:lang w:val="en-GB"/>
        </w:rPr>
      </w:pPr>
      <w:r w:rsidRPr="0049263A">
        <w:rPr>
          <w:rFonts w:ascii="Book Antiqua" w:hAnsi="Book Antiqua" w:cs="Arial"/>
          <w:sz w:val="24"/>
          <w:szCs w:val="24"/>
          <w:lang w:val="en-GB"/>
        </w:rPr>
        <w:lastRenderedPageBreak/>
        <w:t xml:space="preserve">Before surgery, all elective patients underwent preoperative staging by means of colonoscopy, </w:t>
      </w:r>
      <w:proofErr w:type="spellStart"/>
      <w:r w:rsidRPr="0049263A">
        <w:rPr>
          <w:rFonts w:ascii="Book Antiqua" w:hAnsi="Book Antiqua" w:cs="Arial"/>
          <w:sz w:val="24"/>
          <w:szCs w:val="24"/>
          <w:lang w:val="en-GB"/>
        </w:rPr>
        <w:t>thoracoabdominal</w:t>
      </w:r>
      <w:proofErr w:type="spellEnd"/>
      <w:r w:rsidRPr="0049263A">
        <w:rPr>
          <w:rFonts w:ascii="Book Antiqua" w:hAnsi="Book Antiqua" w:cs="Arial"/>
          <w:sz w:val="24"/>
          <w:szCs w:val="24"/>
          <w:lang w:val="en-GB"/>
        </w:rPr>
        <w:t xml:space="preserve"> CT scan and tumour markers (CEA, CA 19-9). Abdominal US was performed in selected cases when a CT scan was deemed unnecessary, whilst additional imaging modalities (</w:t>
      </w:r>
      <w:r w:rsidRPr="0049263A">
        <w:rPr>
          <w:rFonts w:ascii="Book Antiqua" w:hAnsi="Book Antiqua" w:cs="Arial"/>
          <w:i/>
          <w:sz w:val="24"/>
          <w:szCs w:val="24"/>
          <w:lang w:val="en-GB"/>
        </w:rPr>
        <w:t>e.g.</w:t>
      </w:r>
      <w:r w:rsidRPr="0049263A">
        <w:rPr>
          <w:rFonts w:ascii="Book Antiqua" w:hAnsi="Book Antiqua" w:cs="Arial"/>
          <w:sz w:val="24"/>
          <w:szCs w:val="24"/>
          <w:lang w:val="en-GB"/>
        </w:rPr>
        <w:t xml:space="preserve">, MRI, PET-CT, </w:t>
      </w:r>
      <w:proofErr w:type="spellStart"/>
      <w:r w:rsidRPr="0049263A">
        <w:rPr>
          <w:rFonts w:ascii="Book Antiqua" w:hAnsi="Book Antiqua" w:cs="Arial"/>
          <w:sz w:val="24"/>
          <w:szCs w:val="24"/>
          <w:lang w:val="en-GB"/>
        </w:rPr>
        <w:t>endoluminal</w:t>
      </w:r>
      <w:proofErr w:type="spellEnd"/>
      <w:r w:rsidRPr="0049263A">
        <w:rPr>
          <w:rFonts w:ascii="Book Antiqua" w:hAnsi="Book Antiqua" w:cs="Arial"/>
          <w:sz w:val="24"/>
          <w:szCs w:val="24"/>
          <w:lang w:val="en-GB"/>
        </w:rPr>
        <w:t xml:space="preserve"> US, </w:t>
      </w:r>
      <w:r w:rsidRPr="0049263A">
        <w:rPr>
          <w:rFonts w:ascii="Book Antiqua" w:hAnsi="Book Antiqua" w:cs="Arial"/>
          <w:i/>
          <w:sz w:val="24"/>
          <w:szCs w:val="24"/>
          <w:lang w:val="en-GB"/>
        </w:rPr>
        <w:t>etc</w:t>
      </w:r>
      <w:r w:rsidRPr="0049263A">
        <w:rPr>
          <w:rFonts w:ascii="Book Antiqua" w:hAnsi="Book Antiqua" w:cs="Arial"/>
          <w:sz w:val="24"/>
          <w:szCs w:val="24"/>
          <w:lang w:val="en-GB"/>
        </w:rPr>
        <w:t>.) were used when indicated (</w:t>
      </w:r>
      <w:r w:rsidRPr="0049263A">
        <w:rPr>
          <w:rFonts w:ascii="Book Antiqua" w:hAnsi="Book Antiqua" w:cs="Arial"/>
          <w:i/>
          <w:sz w:val="24"/>
          <w:szCs w:val="24"/>
          <w:lang w:val="en-GB"/>
        </w:rPr>
        <w:t>e.g.</w:t>
      </w:r>
      <w:r w:rsidRPr="0049263A">
        <w:rPr>
          <w:rFonts w:ascii="Book Antiqua" w:hAnsi="Book Antiqua" w:cs="Arial"/>
          <w:sz w:val="24"/>
          <w:szCs w:val="24"/>
          <w:lang w:val="en-GB"/>
        </w:rPr>
        <w:t xml:space="preserve">, rectal cancer or liver metastases). The preoperative assessment of urgent cases varied depending on clinical necessities. </w:t>
      </w:r>
    </w:p>
    <w:p w14:paraId="50833614" w14:textId="77777777" w:rsidR="0093205E" w:rsidRPr="0049263A" w:rsidRDefault="0093205E" w:rsidP="0049263A">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 xml:space="preserve">All patients underwent preoperative routine laboratory tests, including coagulation profiles with assessment of plasma fibrinogen levels within two weeks of surgery. </w:t>
      </w:r>
    </w:p>
    <w:p w14:paraId="54BE771B" w14:textId="77777777" w:rsidR="0093205E" w:rsidRPr="0049263A" w:rsidRDefault="0093205E" w:rsidP="00AA734A">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The resected specimens were examined using routine histopathological analysis. Tumour staging was assessed according to the criteria established by the 7</w:t>
      </w:r>
      <w:r w:rsidRPr="0049263A">
        <w:rPr>
          <w:rFonts w:ascii="Book Antiqua" w:hAnsi="Book Antiqua" w:cs="Arial"/>
          <w:sz w:val="24"/>
          <w:szCs w:val="24"/>
          <w:vertAlign w:val="superscript"/>
          <w:lang w:val="en-GB"/>
        </w:rPr>
        <w:t>th</w:t>
      </w:r>
      <w:r w:rsidRPr="0049263A">
        <w:rPr>
          <w:rFonts w:ascii="Book Antiqua" w:hAnsi="Book Antiqua" w:cs="Arial"/>
          <w:sz w:val="24"/>
          <w:szCs w:val="24"/>
          <w:lang w:val="en-GB"/>
        </w:rPr>
        <w:t xml:space="preserve"> Edition of the American Joint Committee on Cancer (AJCC) and the Union International </w:t>
      </w:r>
      <w:proofErr w:type="spellStart"/>
      <w:r w:rsidRPr="0049263A">
        <w:rPr>
          <w:rFonts w:ascii="Book Antiqua" w:hAnsi="Book Antiqua" w:cs="Arial"/>
          <w:sz w:val="24"/>
          <w:szCs w:val="24"/>
          <w:lang w:val="en-GB"/>
        </w:rPr>
        <w:t>Contre</w:t>
      </w:r>
      <w:proofErr w:type="spellEnd"/>
      <w:r w:rsidRPr="0049263A">
        <w:rPr>
          <w:rFonts w:ascii="Book Antiqua" w:hAnsi="Book Antiqua" w:cs="Arial"/>
          <w:sz w:val="24"/>
          <w:szCs w:val="24"/>
          <w:lang w:val="en-GB"/>
        </w:rPr>
        <w:t xml:space="preserve"> Le Cancer (UICC). Tumour differentiation; lymphatic, vascular and neural invasion; and inflammatory reactions were generally reported.</w:t>
      </w:r>
    </w:p>
    <w:p w14:paraId="29EC187B" w14:textId="77777777" w:rsidR="0093205E" w:rsidRPr="0049263A" w:rsidRDefault="0093205E" w:rsidP="00AA734A">
      <w:pPr>
        <w:snapToGrid w:val="0"/>
        <w:spacing w:line="360" w:lineRule="auto"/>
        <w:jc w:val="both"/>
        <w:rPr>
          <w:rFonts w:ascii="Book Antiqua" w:hAnsi="Book Antiqua" w:cs="Arial"/>
          <w:sz w:val="24"/>
          <w:szCs w:val="24"/>
          <w:lang w:val="en-GB"/>
        </w:rPr>
      </w:pPr>
    </w:p>
    <w:p w14:paraId="61740012" w14:textId="77777777" w:rsidR="0093205E" w:rsidRPr="0049263A" w:rsidRDefault="0093205E" w:rsidP="00AA734A">
      <w:pPr>
        <w:snapToGrid w:val="0"/>
        <w:spacing w:line="360" w:lineRule="auto"/>
        <w:jc w:val="both"/>
        <w:rPr>
          <w:rFonts w:ascii="Book Antiqua" w:hAnsi="Book Antiqua" w:cs="Arial"/>
          <w:sz w:val="24"/>
          <w:szCs w:val="24"/>
          <w:lang w:val="en-GB"/>
        </w:rPr>
      </w:pPr>
      <w:r w:rsidRPr="0049263A">
        <w:rPr>
          <w:rFonts w:ascii="Book Antiqua" w:hAnsi="Book Antiqua" w:cs="Arial"/>
          <w:b/>
          <w:i/>
          <w:sz w:val="24"/>
          <w:szCs w:val="24"/>
          <w:lang w:val="en-GB"/>
        </w:rPr>
        <w:t xml:space="preserve">Preoperative assessment of fibrinogen levels </w:t>
      </w:r>
    </w:p>
    <w:p w14:paraId="3A33A721" w14:textId="2C558AF3" w:rsidR="0093205E" w:rsidRPr="0049263A" w:rsidRDefault="0093205E" w:rsidP="00AA734A">
      <w:pPr>
        <w:snapToGrid w:val="0"/>
        <w:spacing w:line="360" w:lineRule="auto"/>
        <w:jc w:val="both"/>
        <w:rPr>
          <w:rFonts w:ascii="Book Antiqua" w:hAnsi="Book Antiqua" w:cs="Arial"/>
          <w:i/>
          <w:sz w:val="24"/>
          <w:szCs w:val="24"/>
          <w:lang w:val="en-GB"/>
        </w:rPr>
      </w:pPr>
      <w:proofErr w:type="gramStart"/>
      <w:r w:rsidRPr="0049263A">
        <w:rPr>
          <w:rFonts w:ascii="Book Antiqua" w:hAnsi="Book Antiqua" w:cs="Arial"/>
          <w:sz w:val="24"/>
          <w:szCs w:val="24"/>
          <w:lang w:val="en-GB"/>
        </w:rPr>
        <w:t xml:space="preserve">Blood samples were drawn by an expert phlebotomist in evacuated blood tubes containing 0.109 </w:t>
      </w:r>
      <w:proofErr w:type="spellStart"/>
      <w:r w:rsidRPr="0049263A">
        <w:rPr>
          <w:rFonts w:ascii="Book Antiqua" w:hAnsi="Book Antiqua" w:cs="Arial"/>
          <w:sz w:val="24"/>
          <w:szCs w:val="24"/>
          <w:lang w:val="en-GB"/>
        </w:rPr>
        <w:t>mol</w:t>
      </w:r>
      <w:proofErr w:type="spellEnd"/>
      <w:r w:rsidRPr="0049263A">
        <w:rPr>
          <w:rFonts w:ascii="Book Antiqua" w:hAnsi="Book Antiqua" w:cs="Arial"/>
          <w:sz w:val="24"/>
          <w:szCs w:val="24"/>
          <w:lang w:val="en-GB"/>
        </w:rPr>
        <w:t>/L buffered sodium citrate</w:t>
      </w:r>
      <w:proofErr w:type="gramEnd"/>
      <w:r w:rsidRPr="0049263A">
        <w:rPr>
          <w:rFonts w:ascii="Book Antiqua" w:hAnsi="Book Antiqua" w:cs="Arial"/>
          <w:sz w:val="24"/>
          <w:szCs w:val="24"/>
          <w:lang w:val="en-GB"/>
        </w:rPr>
        <w:t xml:space="preserve"> (Terumo Europe NV, Leuven, Belgium). The blood tubes were left in an upright position at room temperature to allow complete blood stability and then centrifuged at 1500 </w:t>
      </w:r>
      <w:r w:rsidR="00AA734A" w:rsidRPr="0049263A">
        <w:rPr>
          <w:rFonts w:ascii="Book Antiqua" w:hAnsi="Book Antiqua"/>
          <w:sz w:val="24"/>
          <w:szCs w:val="24"/>
          <w:lang w:val="en-GB"/>
        </w:rPr>
        <w:t>×</w:t>
      </w:r>
      <w:r w:rsidRPr="0049263A">
        <w:rPr>
          <w:rFonts w:ascii="Book Antiqua" w:hAnsi="Book Antiqua" w:cs="Arial"/>
          <w:sz w:val="24"/>
          <w:szCs w:val="24"/>
          <w:lang w:val="en-GB"/>
        </w:rPr>
        <w:t xml:space="preserve"> </w:t>
      </w:r>
      <w:r w:rsidRPr="0049263A">
        <w:rPr>
          <w:rFonts w:ascii="Book Antiqua" w:hAnsi="Book Antiqua" w:cs="Arial"/>
          <w:i/>
          <w:sz w:val="24"/>
          <w:szCs w:val="24"/>
          <w:lang w:val="en-GB"/>
        </w:rPr>
        <w:t xml:space="preserve">g </w:t>
      </w:r>
      <w:r w:rsidRPr="0049263A">
        <w:rPr>
          <w:rFonts w:ascii="Book Antiqua" w:hAnsi="Book Antiqua" w:cs="Arial"/>
          <w:sz w:val="24"/>
          <w:szCs w:val="24"/>
          <w:lang w:val="en-GB"/>
        </w:rPr>
        <w:t xml:space="preserve">for 15 min. A second centrifugation was performed to obtain platelet-poor plasma, which was stored in aliquots at </w:t>
      </w:r>
      <w:r w:rsidR="00AA734A" w:rsidRPr="0049263A">
        <w:rPr>
          <w:rFonts w:ascii="Book Antiqua" w:hAnsi="Book Antiqua" w:cs="Arial" w:hint="eastAsia"/>
          <w:sz w:val="24"/>
          <w:szCs w:val="24"/>
          <w:lang w:val="en-GB" w:eastAsia="zh-CN"/>
        </w:rPr>
        <w:t>-</w:t>
      </w:r>
      <w:r w:rsidRPr="0049263A">
        <w:rPr>
          <w:rFonts w:ascii="Book Antiqua" w:hAnsi="Book Antiqua" w:cs="Arial"/>
          <w:sz w:val="24"/>
          <w:szCs w:val="24"/>
          <w:lang w:val="en-GB"/>
        </w:rPr>
        <w:t>70</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°C until measurement. At the time of measurement, the plasma aliquots were thawed in a water bath at 37</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 xml:space="preserve">°C and then left at room temperature for 1 hour. Fibrinogen was measured on an ACL TOP instrument (Instrumentation Laboratory, Milan, Italy) with the </w:t>
      </w:r>
      <w:proofErr w:type="spellStart"/>
      <w:r w:rsidRPr="0049263A">
        <w:rPr>
          <w:rFonts w:ascii="Book Antiqua" w:hAnsi="Book Antiqua" w:cs="Arial"/>
          <w:sz w:val="24"/>
          <w:szCs w:val="24"/>
          <w:lang w:val="en-GB"/>
        </w:rPr>
        <w:t>Clauss</w:t>
      </w:r>
      <w:proofErr w:type="spellEnd"/>
      <w:r w:rsidRPr="0049263A">
        <w:rPr>
          <w:rFonts w:ascii="Book Antiqua" w:hAnsi="Book Antiqua" w:cs="Arial"/>
          <w:sz w:val="24"/>
          <w:szCs w:val="24"/>
          <w:lang w:val="en-GB"/>
        </w:rPr>
        <w:t xml:space="preserve"> method and using proprietary reagents (</w:t>
      </w:r>
      <w:proofErr w:type="spellStart"/>
      <w:r w:rsidRPr="0049263A">
        <w:rPr>
          <w:rFonts w:ascii="Book Antiqua" w:hAnsi="Book Antiqua" w:cs="Arial"/>
          <w:sz w:val="24"/>
          <w:szCs w:val="24"/>
          <w:lang w:val="en-GB"/>
        </w:rPr>
        <w:t>HemosIL</w:t>
      </w:r>
      <w:proofErr w:type="spellEnd"/>
      <w:r w:rsidRPr="0049263A">
        <w:rPr>
          <w:rFonts w:ascii="Book Antiqua" w:hAnsi="Book Antiqua" w:cs="Arial"/>
          <w:sz w:val="24"/>
          <w:szCs w:val="24"/>
          <w:vertAlign w:val="superscript"/>
          <w:lang w:val="en-GB"/>
        </w:rPr>
        <w:t>®</w:t>
      </w:r>
      <w:r w:rsidRPr="0049263A">
        <w:rPr>
          <w:rFonts w:ascii="Book Antiqua" w:hAnsi="Book Antiqua" w:cs="Arial"/>
          <w:sz w:val="24"/>
          <w:szCs w:val="24"/>
          <w:lang w:val="en-GB"/>
        </w:rPr>
        <w:t xml:space="preserve"> Fibrinogen-C, Instrumentation Laboratory). The reference range of fibrinogen was 200-400 mg/</w:t>
      </w:r>
      <w:proofErr w:type="spellStart"/>
      <w:r w:rsidRPr="0049263A">
        <w:rPr>
          <w:rFonts w:ascii="Book Antiqua" w:hAnsi="Book Antiqua" w:cs="Arial"/>
          <w:sz w:val="24"/>
          <w:szCs w:val="24"/>
          <w:lang w:val="en-GB"/>
        </w:rPr>
        <w:t>dL</w:t>
      </w:r>
      <w:proofErr w:type="spellEnd"/>
    </w:p>
    <w:p w14:paraId="6A9F68BD" w14:textId="77777777" w:rsidR="0093205E" w:rsidRPr="0049263A" w:rsidRDefault="0093205E" w:rsidP="00AA734A">
      <w:pPr>
        <w:snapToGrid w:val="0"/>
        <w:spacing w:line="360" w:lineRule="auto"/>
        <w:jc w:val="both"/>
        <w:rPr>
          <w:rFonts w:ascii="Book Antiqua" w:hAnsi="Book Antiqua" w:cs="Arial"/>
          <w:i/>
          <w:sz w:val="24"/>
          <w:szCs w:val="24"/>
          <w:lang w:val="en-GB"/>
        </w:rPr>
      </w:pPr>
    </w:p>
    <w:p w14:paraId="00820D01" w14:textId="77777777" w:rsidR="0093205E" w:rsidRPr="0049263A" w:rsidRDefault="0093205E" w:rsidP="00AA734A">
      <w:pPr>
        <w:snapToGrid w:val="0"/>
        <w:spacing w:line="360" w:lineRule="auto"/>
        <w:jc w:val="both"/>
        <w:rPr>
          <w:rFonts w:ascii="Book Antiqua" w:hAnsi="Book Antiqua" w:cs="Arial"/>
          <w:sz w:val="24"/>
          <w:szCs w:val="24"/>
          <w:lang w:val="en-GB"/>
        </w:rPr>
      </w:pPr>
      <w:r w:rsidRPr="0049263A">
        <w:rPr>
          <w:rFonts w:ascii="Book Antiqua" w:hAnsi="Book Antiqua" w:cs="Arial"/>
          <w:b/>
          <w:i/>
          <w:sz w:val="24"/>
          <w:szCs w:val="24"/>
          <w:lang w:val="en-GB"/>
        </w:rPr>
        <w:t>Extent of surgery</w:t>
      </w:r>
    </w:p>
    <w:p w14:paraId="183999E3" w14:textId="77777777" w:rsidR="0093205E" w:rsidRPr="0049263A" w:rsidRDefault="0093205E" w:rsidP="00AA734A">
      <w:pPr>
        <w:snapToGrid w:val="0"/>
        <w:spacing w:line="360" w:lineRule="auto"/>
        <w:jc w:val="both"/>
        <w:rPr>
          <w:rFonts w:ascii="Book Antiqua" w:hAnsi="Book Antiqua" w:cs="Arial"/>
          <w:sz w:val="24"/>
          <w:szCs w:val="24"/>
          <w:lang w:val="en-GB"/>
        </w:rPr>
      </w:pPr>
      <w:r w:rsidRPr="0049263A">
        <w:rPr>
          <w:rFonts w:ascii="Book Antiqua" w:hAnsi="Book Antiqua" w:cs="Arial"/>
          <w:sz w:val="24"/>
          <w:szCs w:val="24"/>
          <w:lang w:val="en-GB"/>
        </w:rPr>
        <w:t>The main goal of the surgery was the complete removal of the tumour (R0 resection), although palliative surgery was carried out in select cases to treat tumour-related complications. The extent of surgery was assessed considering the patient’s performance status, tumour location and stage. Standard colorectal resection (</w:t>
      </w:r>
      <w:r w:rsidRPr="0049263A">
        <w:rPr>
          <w:rFonts w:ascii="Book Antiqua" w:hAnsi="Book Antiqua" w:cs="Arial"/>
          <w:i/>
          <w:sz w:val="24"/>
          <w:szCs w:val="24"/>
          <w:lang w:val="en-GB"/>
        </w:rPr>
        <w:t>i.e.</w:t>
      </w:r>
      <w:r w:rsidRPr="0049263A">
        <w:rPr>
          <w:rFonts w:ascii="Book Antiqua" w:hAnsi="Book Antiqua" w:cs="Arial"/>
          <w:sz w:val="24"/>
          <w:szCs w:val="24"/>
          <w:lang w:val="en-GB"/>
        </w:rPr>
        <w:t>, right hemicolectomy, extended right hemicolectomy, left hemicolectomy, anterior resection, low anterior resection, or abdominoperineal resection) with ligation of vessels at their origin was usually carried out to obtain the optimal management of nodal disease</w:t>
      </w:r>
      <w:r w:rsidRPr="0049263A">
        <w:rPr>
          <w:rFonts w:ascii="Book Antiqua" w:hAnsi="Book Antiqua" w:cs="Arial"/>
          <w:sz w:val="24"/>
          <w:szCs w:val="24"/>
          <w:vertAlign w:val="superscript"/>
          <w:lang w:val="en-GB"/>
        </w:rPr>
        <w:t>[17]</w:t>
      </w:r>
      <w:r w:rsidRPr="0049263A">
        <w:rPr>
          <w:rFonts w:ascii="Book Antiqua" w:hAnsi="Book Antiqua" w:cs="Arial"/>
          <w:sz w:val="24"/>
          <w:szCs w:val="24"/>
          <w:lang w:val="en-GB"/>
        </w:rPr>
        <w:t>, whereas limited colonic resection or stoma formation was performed in select cases (</w:t>
      </w:r>
      <w:r w:rsidRPr="0049263A">
        <w:rPr>
          <w:rFonts w:ascii="Book Antiqua" w:hAnsi="Book Antiqua" w:cs="Arial"/>
          <w:i/>
          <w:sz w:val="24"/>
          <w:szCs w:val="24"/>
          <w:lang w:val="en-GB"/>
        </w:rPr>
        <w:t>i.e.</w:t>
      </w:r>
      <w:r w:rsidRPr="0049263A">
        <w:rPr>
          <w:rFonts w:ascii="Book Antiqua" w:hAnsi="Book Antiqua" w:cs="Arial"/>
          <w:sz w:val="24"/>
          <w:szCs w:val="24"/>
          <w:lang w:val="en-GB"/>
        </w:rPr>
        <w:t>, palliative surgery, high-risk patients).</w:t>
      </w:r>
    </w:p>
    <w:p w14:paraId="74D1479E" w14:textId="77777777" w:rsidR="0093205E" w:rsidRPr="0049263A" w:rsidRDefault="0093205E" w:rsidP="00AA734A">
      <w:pPr>
        <w:snapToGrid w:val="0"/>
        <w:spacing w:line="360" w:lineRule="auto"/>
        <w:jc w:val="both"/>
        <w:rPr>
          <w:rFonts w:ascii="Book Antiqua" w:hAnsi="Book Antiqua" w:cs="Arial"/>
          <w:sz w:val="24"/>
          <w:szCs w:val="24"/>
          <w:lang w:val="en-GB"/>
        </w:rPr>
      </w:pPr>
    </w:p>
    <w:p w14:paraId="1BB57FE9" w14:textId="77777777" w:rsidR="0093205E" w:rsidRPr="0049263A" w:rsidRDefault="0093205E" w:rsidP="00AA734A">
      <w:pPr>
        <w:snapToGrid w:val="0"/>
        <w:spacing w:line="360" w:lineRule="auto"/>
        <w:jc w:val="both"/>
        <w:rPr>
          <w:rFonts w:ascii="Book Antiqua" w:hAnsi="Book Antiqua" w:cs="Arial"/>
          <w:sz w:val="24"/>
          <w:szCs w:val="24"/>
          <w:lang w:val="en-GB"/>
        </w:rPr>
      </w:pPr>
      <w:r w:rsidRPr="0049263A">
        <w:rPr>
          <w:rFonts w:ascii="Book Antiqua" w:hAnsi="Book Antiqua" w:cs="Arial"/>
          <w:b/>
          <w:i/>
          <w:sz w:val="24"/>
          <w:szCs w:val="24"/>
          <w:lang w:val="en-GB"/>
        </w:rPr>
        <w:t>Follow-up and statistical analysis</w:t>
      </w:r>
    </w:p>
    <w:p w14:paraId="1CF8C11F" w14:textId="77777777" w:rsidR="0093205E" w:rsidRPr="0049263A" w:rsidRDefault="0093205E" w:rsidP="00AA734A">
      <w:pPr>
        <w:snapToGrid w:val="0"/>
        <w:spacing w:line="360" w:lineRule="auto"/>
        <w:jc w:val="both"/>
        <w:rPr>
          <w:rFonts w:ascii="Book Antiqua" w:hAnsi="Book Antiqua" w:cs="Arial"/>
          <w:sz w:val="24"/>
          <w:szCs w:val="24"/>
          <w:lang w:val="en-GB"/>
        </w:rPr>
      </w:pPr>
      <w:r w:rsidRPr="0049263A">
        <w:rPr>
          <w:rFonts w:ascii="Book Antiqua" w:hAnsi="Book Antiqua" w:cs="Arial"/>
          <w:sz w:val="24"/>
          <w:szCs w:val="24"/>
          <w:lang w:val="en-GB"/>
        </w:rPr>
        <w:t>All clinical and pathological data were retrospectively collected and stored in a digital dataset. The analysed variables included demographic, clinical, surgical and pathological characteristics. Survival and follow-up data were obtained by collecting outpatient clinical records or by contacting the patient or the family physician.</w:t>
      </w:r>
    </w:p>
    <w:p w14:paraId="0E1593F0" w14:textId="77777777" w:rsidR="0093205E" w:rsidRPr="0049263A" w:rsidRDefault="0093205E" w:rsidP="00AA734A">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In the preliminary analysis, preoperative fibrinogen levels were normally distributed in the patient cohort. Different cut-off levels were considered to study the potential correlation with clinicopathological factors and survival. The upper limit of the reference range (</w:t>
      </w:r>
      <w:r w:rsidRPr="0049263A">
        <w:rPr>
          <w:rFonts w:ascii="Book Antiqua" w:hAnsi="Book Antiqua" w:cs="Arial"/>
          <w:i/>
          <w:sz w:val="24"/>
          <w:szCs w:val="24"/>
          <w:lang w:val="en-GB"/>
        </w:rPr>
        <w:t>i.e.</w:t>
      </w:r>
      <w:r w:rsidRPr="0049263A">
        <w:rPr>
          <w:rFonts w:ascii="Book Antiqua" w:hAnsi="Book Antiqua" w:cs="Arial"/>
          <w:sz w:val="24"/>
          <w:szCs w:val="24"/>
          <w:lang w:val="en-GB"/>
        </w:rPr>
        <w:t>, 400 mg/</w:t>
      </w:r>
      <w:proofErr w:type="spellStart"/>
      <w:r w:rsidRPr="0049263A">
        <w:rPr>
          <w:rFonts w:ascii="Book Antiqua" w:hAnsi="Book Antiqua" w:cs="Arial"/>
          <w:sz w:val="24"/>
          <w:szCs w:val="24"/>
          <w:lang w:val="en-GB"/>
        </w:rPr>
        <w:t>dL</w:t>
      </w:r>
      <w:proofErr w:type="spellEnd"/>
      <w:r w:rsidRPr="0049263A">
        <w:rPr>
          <w:rFonts w:ascii="Book Antiqua" w:hAnsi="Book Antiqua" w:cs="Arial"/>
          <w:sz w:val="24"/>
          <w:szCs w:val="24"/>
          <w:lang w:val="en-GB"/>
        </w:rPr>
        <w:t xml:space="preserve">) was used as the predictive threshold. </w:t>
      </w:r>
    </w:p>
    <w:p w14:paraId="6CD91136" w14:textId="131A3F9C" w:rsidR="0093205E" w:rsidRPr="0049263A" w:rsidRDefault="0093205E" w:rsidP="00AA734A">
      <w:pPr>
        <w:snapToGrid w:val="0"/>
        <w:spacing w:line="360" w:lineRule="auto"/>
        <w:ind w:firstLineChars="100" w:firstLine="240"/>
        <w:jc w:val="both"/>
        <w:rPr>
          <w:rFonts w:ascii="Book Antiqua" w:hAnsi="Book Antiqua" w:cs="Arial"/>
          <w:b/>
          <w:sz w:val="24"/>
          <w:szCs w:val="24"/>
          <w:lang w:val="en-GB"/>
        </w:rPr>
      </w:pPr>
      <w:r w:rsidRPr="0049263A">
        <w:rPr>
          <w:rFonts w:ascii="Book Antiqua" w:hAnsi="Book Antiqua" w:cs="Arial"/>
          <w:sz w:val="24"/>
          <w:szCs w:val="24"/>
          <w:lang w:val="en-GB"/>
        </w:rPr>
        <w:t>To evaluate the significance of difference between cases with values above or below 400 mg/</w:t>
      </w:r>
      <w:proofErr w:type="spellStart"/>
      <w:r w:rsidRPr="0049263A">
        <w:rPr>
          <w:rFonts w:ascii="Book Antiqua" w:hAnsi="Book Antiqua" w:cs="Arial"/>
          <w:sz w:val="24"/>
          <w:szCs w:val="24"/>
          <w:lang w:val="en-GB"/>
        </w:rPr>
        <w:t>dL</w:t>
      </w:r>
      <w:proofErr w:type="spellEnd"/>
      <w:r w:rsidRPr="0049263A">
        <w:rPr>
          <w:rFonts w:ascii="Book Antiqua" w:hAnsi="Book Antiqua" w:cs="Arial"/>
          <w:sz w:val="24"/>
          <w:szCs w:val="24"/>
          <w:lang w:val="en-GB"/>
        </w:rPr>
        <w:t xml:space="preserve">, a chi-square test or Fisher’s exact test were used for categorical data and Student’s </w:t>
      </w:r>
      <w:r w:rsidRPr="0049263A">
        <w:rPr>
          <w:rFonts w:ascii="Book Antiqua" w:hAnsi="Book Antiqua" w:cs="Arial"/>
          <w:i/>
          <w:sz w:val="24"/>
          <w:szCs w:val="24"/>
          <w:lang w:val="en-GB"/>
        </w:rPr>
        <w:t>t</w:t>
      </w:r>
      <w:r w:rsidRPr="0049263A">
        <w:rPr>
          <w:rFonts w:ascii="Book Antiqua" w:hAnsi="Book Antiqua" w:cs="Arial"/>
          <w:sz w:val="24"/>
          <w:szCs w:val="24"/>
          <w:lang w:val="en-GB"/>
        </w:rPr>
        <w:t xml:space="preserve">-test was used for continuous variables. Survival analysis was computed using the Kaplan-Meier method and compared by the log-rank test, with time of survival measured from the date of surgery to the date of death or most recent follow-up. Multivariate analysis was performed with the Cox regression model by taking into account the following risk factors: age (higher than median </w:t>
      </w:r>
      <w:r w:rsidR="00AA734A" w:rsidRPr="0049263A">
        <w:rPr>
          <w:rFonts w:ascii="Book Antiqua" w:hAnsi="Book Antiqua" w:cs="Arial"/>
          <w:i/>
          <w:sz w:val="24"/>
          <w:szCs w:val="24"/>
          <w:lang w:val="en-GB"/>
        </w:rPr>
        <w:t>vs</w:t>
      </w:r>
      <w:r w:rsidRPr="0049263A">
        <w:rPr>
          <w:rFonts w:ascii="Book Antiqua" w:hAnsi="Book Antiqua" w:cs="Arial"/>
          <w:sz w:val="24"/>
          <w:szCs w:val="24"/>
          <w:lang w:val="en-GB"/>
        </w:rPr>
        <w:t xml:space="preserve"> median or below), gender (male </w:t>
      </w:r>
      <w:r w:rsidR="00AA734A" w:rsidRPr="0049263A">
        <w:rPr>
          <w:rFonts w:ascii="Book Antiqua" w:hAnsi="Book Antiqua" w:cs="Arial"/>
          <w:i/>
          <w:sz w:val="24"/>
          <w:szCs w:val="24"/>
          <w:lang w:val="en-GB"/>
        </w:rPr>
        <w:t>vs</w:t>
      </w:r>
      <w:r w:rsidRPr="0049263A">
        <w:rPr>
          <w:rFonts w:ascii="Book Antiqua" w:hAnsi="Book Antiqua" w:cs="Arial"/>
          <w:sz w:val="24"/>
          <w:szCs w:val="24"/>
          <w:lang w:val="en-GB"/>
        </w:rPr>
        <w:t xml:space="preserve"> female), tumour location (rectum </w:t>
      </w:r>
      <w:r w:rsidR="00AA734A" w:rsidRPr="0049263A">
        <w:rPr>
          <w:rFonts w:ascii="Book Antiqua" w:hAnsi="Book Antiqua" w:cs="Arial"/>
          <w:i/>
          <w:sz w:val="24"/>
          <w:szCs w:val="24"/>
          <w:lang w:val="en-GB"/>
        </w:rPr>
        <w:t>vs</w:t>
      </w:r>
      <w:r w:rsidRPr="0049263A">
        <w:rPr>
          <w:rFonts w:ascii="Book Antiqua" w:hAnsi="Book Antiqua" w:cs="Arial"/>
          <w:sz w:val="24"/>
          <w:szCs w:val="24"/>
          <w:lang w:val="en-GB"/>
        </w:rPr>
        <w:t xml:space="preserve"> colon), type of surgery (urgent vs. elective), presence of residual tumour (R1, R2 </w:t>
      </w:r>
      <w:r w:rsidR="00AA734A" w:rsidRPr="0049263A">
        <w:rPr>
          <w:rFonts w:ascii="Book Antiqua" w:hAnsi="Book Antiqua" w:cs="Arial"/>
          <w:i/>
          <w:sz w:val="24"/>
          <w:szCs w:val="24"/>
          <w:lang w:val="en-GB"/>
        </w:rPr>
        <w:t>vs</w:t>
      </w:r>
      <w:r w:rsidRPr="0049263A">
        <w:rPr>
          <w:rFonts w:ascii="Book Antiqua" w:hAnsi="Book Antiqua" w:cs="Arial"/>
          <w:sz w:val="24"/>
          <w:szCs w:val="24"/>
          <w:lang w:val="en-GB"/>
        </w:rPr>
        <w:t xml:space="preserve"> R0), presence of systemic metastasis (M1a, M1b </w:t>
      </w:r>
      <w:proofErr w:type="spellStart"/>
      <w:r w:rsidR="00AA734A" w:rsidRPr="0049263A">
        <w:rPr>
          <w:rFonts w:ascii="Book Antiqua" w:hAnsi="Book Antiqua" w:cs="Arial"/>
          <w:i/>
          <w:sz w:val="24"/>
          <w:szCs w:val="24"/>
          <w:lang w:val="en-GB"/>
        </w:rPr>
        <w:t>vs</w:t>
      </w:r>
      <w:proofErr w:type="spellEnd"/>
      <w:r w:rsidR="00AA734A" w:rsidRPr="0049263A">
        <w:rPr>
          <w:rFonts w:ascii="Book Antiqua" w:hAnsi="Book Antiqua" w:cs="Arial"/>
          <w:sz w:val="24"/>
          <w:szCs w:val="24"/>
          <w:lang w:val="en-GB"/>
        </w:rPr>
        <w:t xml:space="preserve"> </w:t>
      </w:r>
      <w:r w:rsidRPr="0049263A">
        <w:rPr>
          <w:rFonts w:ascii="Book Antiqua" w:hAnsi="Book Antiqua" w:cs="Arial"/>
          <w:sz w:val="24"/>
          <w:szCs w:val="24"/>
          <w:lang w:val="en-GB"/>
        </w:rPr>
        <w:t xml:space="preserve">M0), </w:t>
      </w:r>
      <w:proofErr w:type="spellStart"/>
      <w:r w:rsidRPr="0049263A">
        <w:rPr>
          <w:rFonts w:ascii="Book Antiqua" w:hAnsi="Book Antiqua" w:cs="Arial"/>
          <w:sz w:val="24"/>
          <w:szCs w:val="24"/>
          <w:lang w:val="en-GB"/>
        </w:rPr>
        <w:t>pT</w:t>
      </w:r>
      <w:proofErr w:type="spellEnd"/>
      <w:r w:rsidRPr="0049263A">
        <w:rPr>
          <w:rFonts w:ascii="Book Antiqua" w:hAnsi="Book Antiqua" w:cs="Arial"/>
          <w:sz w:val="24"/>
          <w:szCs w:val="24"/>
          <w:lang w:val="en-GB"/>
        </w:rPr>
        <w:t xml:space="preserve"> category (pT2, pT3, pT4a, pT4b </w:t>
      </w:r>
      <w:proofErr w:type="spellStart"/>
      <w:r w:rsidR="00AA734A" w:rsidRPr="0049263A">
        <w:rPr>
          <w:rFonts w:ascii="Book Antiqua" w:hAnsi="Book Antiqua" w:cs="Arial"/>
          <w:i/>
          <w:sz w:val="24"/>
          <w:szCs w:val="24"/>
          <w:lang w:val="en-GB"/>
        </w:rPr>
        <w:t>vs</w:t>
      </w:r>
      <w:proofErr w:type="spellEnd"/>
      <w:r w:rsidRPr="0049263A">
        <w:rPr>
          <w:rFonts w:ascii="Book Antiqua" w:hAnsi="Book Antiqua" w:cs="Arial"/>
          <w:sz w:val="24"/>
          <w:szCs w:val="24"/>
          <w:lang w:val="en-GB"/>
        </w:rPr>
        <w:t xml:space="preserve"> pT1), </w:t>
      </w:r>
      <w:proofErr w:type="spellStart"/>
      <w:r w:rsidRPr="0049263A">
        <w:rPr>
          <w:rFonts w:ascii="Book Antiqua" w:hAnsi="Book Antiqua" w:cs="Arial"/>
          <w:sz w:val="24"/>
          <w:szCs w:val="24"/>
          <w:lang w:val="en-GB"/>
        </w:rPr>
        <w:t>pN</w:t>
      </w:r>
      <w:proofErr w:type="spellEnd"/>
      <w:r w:rsidRPr="0049263A">
        <w:rPr>
          <w:rFonts w:ascii="Book Antiqua" w:hAnsi="Book Antiqua" w:cs="Arial"/>
          <w:sz w:val="24"/>
          <w:szCs w:val="24"/>
          <w:lang w:val="en-GB"/>
        </w:rPr>
        <w:t xml:space="preserve"> category (pN1, pN2 </w:t>
      </w:r>
      <w:r w:rsidRPr="0049263A">
        <w:rPr>
          <w:rFonts w:ascii="Book Antiqua" w:hAnsi="Book Antiqua" w:cs="Arial"/>
          <w:i/>
          <w:sz w:val="24"/>
          <w:szCs w:val="24"/>
          <w:lang w:val="en-GB"/>
        </w:rPr>
        <w:t>vs</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 xml:space="preserve">pN0), histological type (mucinous </w:t>
      </w:r>
      <w:proofErr w:type="spellStart"/>
      <w:r w:rsidR="0049263A" w:rsidRPr="0049263A">
        <w:rPr>
          <w:rFonts w:ascii="Book Antiqua" w:hAnsi="Book Antiqua" w:cs="Arial"/>
          <w:i/>
          <w:sz w:val="24"/>
          <w:szCs w:val="24"/>
          <w:lang w:val="en-GB"/>
        </w:rPr>
        <w:t>vs</w:t>
      </w:r>
      <w:proofErr w:type="spellEnd"/>
      <w:r w:rsidRPr="0049263A">
        <w:rPr>
          <w:rFonts w:ascii="Book Antiqua" w:hAnsi="Book Antiqua" w:cs="Arial"/>
          <w:sz w:val="24"/>
          <w:szCs w:val="24"/>
          <w:lang w:val="en-GB"/>
        </w:rPr>
        <w:t xml:space="preserve"> non-mucinous) and pre-operative fibrinogen plasma levels (fibrinogen value higher than 400 mg/</w:t>
      </w:r>
      <w:proofErr w:type="spellStart"/>
      <w:r w:rsidRPr="0049263A">
        <w:rPr>
          <w:rFonts w:ascii="Book Antiqua" w:hAnsi="Book Antiqua" w:cs="Arial"/>
          <w:sz w:val="24"/>
          <w:szCs w:val="24"/>
          <w:lang w:val="en-GB"/>
        </w:rPr>
        <w:t>dL</w:t>
      </w:r>
      <w:proofErr w:type="spellEnd"/>
      <w:r w:rsidRPr="0049263A">
        <w:rPr>
          <w:rFonts w:ascii="Book Antiqua" w:hAnsi="Book Antiqua" w:cs="Arial"/>
          <w:sz w:val="24"/>
          <w:szCs w:val="24"/>
          <w:lang w:val="en-GB"/>
        </w:rPr>
        <w:t xml:space="preserve"> </w:t>
      </w:r>
      <w:proofErr w:type="spellStart"/>
      <w:r w:rsidR="00AA734A" w:rsidRPr="0049263A">
        <w:rPr>
          <w:rFonts w:ascii="Book Antiqua" w:hAnsi="Book Antiqua" w:cs="Arial"/>
          <w:i/>
          <w:sz w:val="24"/>
          <w:szCs w:val="24"/>
          <w:lang w:val="en-GB"/>
        </w:rPr>
        <w:t>vs</w:t>
      </w:r>
      <w:proofErr w:type="spellEnd"/>
      <w:r w:rsidRPr="0049263A">
        <w:rPr>
          <w:rFonts w:ascii="Book Antiqua" w:hAnsi="Book Antiqua" w:cs="Arial"/>
          <w:sz w:val="24"/>
          <w:szCs w:val="24"/>
          <w:lang w:val="en-GB"/>
        </w:rPr>
        <w:t xml:space="preserve"> fibrinogen value lower than this threshold). Statistical analysis was performed using SPSS software version 21.0 (IBM Corporation, Armonk, NY</w:t>
      </w:r>
      <w:r w:rsidR="00AA734A" w:rsidRPr="0049263A">
        <w:rPr>
          <w:rFonts w:ascii="Book Antiqua" w:hAnsi="Book Antiqua" w:cs="Arial" w:hint="eastAsia"/>
          <w:sz w:val="24"/>
          <w:szCs w:val="24"/>
          <w:lang w:val="en-GB" w:eastAsia="zh-CN"/>
        </w:rPr>
        <w:t>, United States</w:t>
      </w:r>
      <w:r w:rsidRPr="0049263A">
        <w:rPr>
          <w:rFonts w:ascii="Book Antiqua" w:hAnsi="Book Antiqua" w:cs="Arial"/>
          <w:sz w:val="24"/>
          <w:szCs w:val="24"/>
          <w:lang w:val="en-GB"/>
        </w:rPr>
        <w:t xml:space="preserve">), and the level of statistical significance was set at </w:t>
      </w:r>
      <w:r w:rsidRPr="0049263A">
        <w:rPr>
          <w:rFonts w:ascii="Book Antiqua" w:hAnsi="Book Antiqua" w:cs="Arial"/>
          <w:i/>
          <w:sz w:val="24"/>
          <w:szCs w:val="24"/>
          <w:lang w:val="en-GB"/>
        </w:rPr>
        <w:t>P</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&lt;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0.05.</w:t>
      </w:r>
    </w:p>
    <w:p w14:paraId="5E763934" w14:textId="77777777" w:rsidR="0093205E" w:rsidRPr="0049263A" w:rsidRDefault="0093205E" w:rsidP="00AA734A">
      <w:pPr>
        <w:autoSpaceDE w:val="0"/>
        <w:snapToGrid w:val="0"/>
        <w:spacing w:line="360" w:lineRule="auto"/>
        <w:jc w:val="both"/>
        <w:rPr>
          <w:rFonts w:ascii="Book Antiqua" w:hAnsi="Book Antiqua" w:cs="Arial"/>
          <w:b/>
          <w:sz w:val="24"/>
          <w:szCs w:val="24"/>
          <w:lang w:val="en-GB"/>
        </w:rPr>
      </w:pPr>
    </w:p>
    <w:p w14:paraId="787D7201" w14:textId="77777777" w:rsidR="0093205E" w:rsidRPr="0049263A" w:rsidRDefault="0093205E" w:rsidP="00AA734A">
      <w:pPr>
        <w:autoSpaceDE w:val="0"/>
        <w:snapToGrid w:val="0"/>
        <w:spacing w:line="360" w:lineRule="auto"/>
        <w:jc w:val="both"/>
        <w:rPr>
          <w:rFonts w:ascii="Book Antiqua" w:hAnsi="Book Antiqua" w:cs="Arial"/>
          <w:b/>
          <w:iCs/>
          <w:sz w:val="24"/>
          <w:szCs w:val="24"/>
          <w:lang w:val="en-GB"/>
        </w:rPr>
      </w:pPr>
      <w:r w:rsidRPr="0049263A">
        <w:rPr>
          <w:rFonts w:ascii="Book Antiqua" w:hAnsi="Book Antiqua" w:cs="Arial"/>
          <w:b/>
          <w:sz w:val="24"/>
          <w:szCs w:val="24"/>
          <w:lang w:val="en-GB"/>
        </w:rPr>
        <w:t>RESULTS</w:t>
      </w:r>
    </w:p>
    <w:p w14:paraId="7F8B82B3" w14:textId="77777777" w:rsidR="0093205E" w:rsidRPr="0049263A" w:rsidRDefault="0093205E" w:rsidP="00AA734A">
      <w:pPr>
        <w:snapToGrid w:val="0"/>
        <w:spacing w:line="360" w:lineRule="auto"/>
        <w:jc w:val="both"/>
        <w:rPr>
          <w:rFonts w:ascii="Book Antiqua" w:hAnsi="Book Antiqua" w:cs="Arial"/>
          <w:i/>
          <w:sz w:val="24"/>
          <w:szCs w:val="24"/>
          <w:lang w:val="en-GB"/>
        </w:rPr>
      </w:pPr>
      <w:r w:rsidRPr="0049263A">
        <w:rPr>
          <w:rFonts w:ascii="Book Antiqua" w:hAnsi="Book Antiqua" w:cs="Arial"/>
          <w:b/>
          <w:i/>
          <w:iCs/>
          <w:sz w:val="24"/>
          <w:szCs w:val="24"/>
          <w:lang w:val="en-GB"/>
        </w:rPr>
        <w:t>Fibrinogen plasma levels and clinicopathological variables</w:t>
      </w:r>
    </w:p>
    <w:p w14:paraId="2622146D" w14:textId="1D9F697C" w:rsidR="0093205E" w:rsidRPr="0049263A" w:rsidRDefault="0093205E" w:rsidP="00AA734A">
      <w:pPr>
        <w:snapToGrid w:val="0"/>
        <w:spacing w:line="360" w:lineRule="auto"/>
        <w:jc w:val="both"/>
        <w:rPr>
          <w:rFonts w:ascii="Book Antiqua" w:hAnsi="Book Antiqua" w:cs="Arial"/>
          <w:sz w:val="24"/>
          <w:szCs w:val="24"/>
          <w:lang w:val="en-GB" w:eastAsia="zh-CN"/>
        </w:rPr>
      </w:pPr>
      <w:r w:rsidRPr="0049263A">
        <w:rPr>
          <w:rFonts w:ascii="Book Antiqua" w:hAnsi="Book Antiqua" w:cs="Arial"/>
          <w:sz w:val="24"/>
          <w:szCs w:val="24"/>
          <w:lang w:val="en-GB"/>
        </w:rPr>
        <w:t xml:space="preserve">The preoperative mean </w:t>
      </w:r>
      <w:r w:rsid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w:t>
      </w:r>
      <w:r w:rsidR="00AA734A" w:rsidRPr="0049263A">
        <w:rPr>
          <w:rFonts w:ascii="Book Antiqua" w:hAnsi="Book Antiqua" w:cs="Arial" w:hint="eastAsia"/>
          <w:sz w:val="24"/>
          <w:szCs w:val="24"/>
          <w:lang w:val="en-GB" w:eastAsia="zh-CN"/>
        </w:rPr>
        <w:t xml:space="preserve"> </w:t>
      </w:r>
      <w:r w:rsidR="0049263A">
        <w:rPr>
          <w:rFonts w:ascii="Book Antiqua" w:hAnsi="Book Antiqua" w:cs="Arial"/>
          <w:sz w:val="24"/>
          <w:szCs w:val="24"/>
          <w:lang w:val="en-GB"/>
        </w:rPr>
        <w:t>SD</w:t>
      </w:r>
      <w:r w:rsidRPr="0049263A">
        <w:rPr>
          <w:rFonts w:ascii="Book Antiqua" w:hAnsi="Book Antiqua" w:cs="Arial"/>
          <w:sz w:val="24"/>
          <w:szCs w:val="24"/>
          <w:lang w:val="en-GB"/>
        </w:rPr>
        <w:t xml:space="preserve"> of fibrinogen was 426.2</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23.2 mg/</w:t>
      </w:r>
      <w:proofErr w:type="spellStart"/>
      <w:r w:rsidRPr="0049263A">
        <w:rPr>
          <w:rFonts w:ascii="Book Antiqua" w:hAnsi="Book Antiqua" w:cs="Arial"/>
          <w:sz w:val="24"/>
          <w:szCs w:val="24"/>
          <w:lang w:val="en-GB"/>
        </w:rPr>
        <w:t>dL</w:t>
      </w:r>
      <w:proofErr w:type="spellEnd"/>
      <w:r w:rsidRPr="0049263A">
        <w:rPr>
          <w:rFonts w:ascii="Book Antiqua" w:hAnsi="Book Antiqua" w:cs="Arial"/>
          <w:sz w:val="24"/>
          <w:szCs w:val="24"/>
          <w:lang w:val="en-GB"/>
        </w:rPr>
        <w:t xml:space="preserve"> (median: 409 mg/</w:t>
      </w:r>
      <w:proofErr w:type="spellStart"/>
      <w:r w:rsidRPr="0049263A">
        <w:rPr>
          <w:rFonts w:ascii="Book Antiqua" w:hAnsi="Book Antiqua" w:cs="Arial"/>
          <w:sz w:val="24"/>
          <w:szCs w:val="24"/>
          <w:lang w:val="en-GB"/>
        </w:rPr>
        <w:t>dL</w:t>
      </w:r>
      <w:proofErr w:type="spellEnd"/>
      <w:r w:rsidRPr="0049263A">
        <w:rPr>
          <w:rFonts w:ascii="Book Antiqua" w:hAnsi="Book Antiqua" w:cs="Arial"/>
          <w:sz w:val="24"/>
          <w:szCs w:val="24"/>
          <w:lang w:val="en-GB"/>
        </w:rPr>
        <w:t>; range: 143-1045 mg/</w:t>
      </w:r>
      <w:proofErr w:type="spellStart"/>
      <w:r w:rsidRPr="0049263A">
        <w:rPr>
          <w:rFonts w:ascii="Book Antiqua" w:hAnsi="Book Antiqua" w:cs="Arial"/>
          <w:sz w:val="24"/>
          <w:szCs w:val="24"/>
          <w:lang w:val="en-GB"/>
        </w:rPr>
        <w:t>dL</w:t>
      </w:r>
      <w:proofErr w:type="spellEnd"/>
      <w:r w:rsidRPr="0049263A">
        <w:rPr>
          <w:rFonts w:ascii="Book Antiqua" w:hAnsi="Book Antiqua" w:cs="Arial"/>
          <w:sz w:val="24"/>
          <w:szCs w:val="24"/>
          <w:lang w:val="en-GB"/>
        </w:rPr>
        <w:t>). Among the 652 patients, the fibrinogen value was higher than the threshold of 4</w:t>
      </w:r>
      <w:r w:rsidR="00AA734A" w:rsidRPr="0049263A">
        <w:rPr>
          <w:rFonts w:ascii="Book Antiqua" w:hAnsi="Book Antiqua" w:cs="Arial"/>
          <w:sz w:val="24"/>
          <w:szCs w:val="24"/>
          <w:lang w:val="en-GB"/>
        </w:rPr>
        <w:t>00 mg/</w:t>
      </w:r>
      <w:proofErr w:type="spellStart"/>
      <w:r w:rsidR="00AA734A" w:rsidRPr="0049263A">
        <w:rPr>
          <w:rFonts w:ascii="Book Antiqua" w:hAnsi="Book Antiqua" w:cs="Arial"/>
          <w:sz w:val="24"/>
          <w:szCs w:val="24"/>
          <w:lang w:val="en-GB"/>
        </w:rPr>
        <w:t>dL</w:t>
      </w:r>
      <w:proofErr w:type="spellEnd"/>
      <w:r w:rsidR="00AA734A" w:rsidRPr="0049263A">
        <w:rPr>
          <w:rFonts w:ascii="Book Antiqua" w:hAnsi="Book Antiqua" w:cs="Arial"/>
          <w:sz w:val="24"/>
          <w:szCs w:val="24"/>
          <w:lang w:val="en-GB"/>
        </w:rPr>
        <w:t xml:space="preserve"> in 345 patients (53%).</w:t>
      </w:r>
    </w:p>
    <w:p w14:paraId="047655C5" w14:textId="17D6F3AE" w:rsidR="0093205E" w:rsidRPr="0049263A" w:rsidRDefault="0049263A" w:rsidP="00AA734A">
      <w:pPr>
        <w:snapToGrid w:val="0"/>
        <w:spacing w:line="360" w:lineRule="auto"/>
        <w:ind w:firstLineChars="100" w:firstLine="240"/>
        <w:jc w:val="both"/>
        <w:rPr>
          <w:rFonts w:ascii="Book Antiqua" w:hAnsi="Book Antiqua" w:cs="Arial"/>
          <w:sz w:val="24"/>
          <w:szCs w:val="24"/>
          <w:lang w:val="en-GB"/>
        </w:rPr>
      </w:pPr>
      <w:r>
        <w:rPr>
          <w:rFonts w:ascii="Book Antiqua" w:hAnsi="Book Antiqua" w:cs="Arial"/>
          <w:sz w:val="24"/>
          <w:szCs w:val="24"/>
          <w:lang w:val="en-GB"/>
        </w:rPr>
        <w:t xml:space="preserve">Mean </w:t>
      </w:r>
      <w:r w:rsidR="0093205E" w:rsidRPr="0049263A">
        <w:rPr>
          <w:rFonts w:ascii="Book Antiqua" w:hAnsi="Book Antiqua" w:cs="Arial"/>
          <w:sz w:val="24"/>
          <w:szCs w:val="24"/>
          <w:lang w:val="en-GB"/>
        </w:rPr>
        <w:t>±</w:t>
      </w:r>
      <w:r w:rsidR="00AA734A" w:rsidRPr="0049263A">
        <w:rPr>
          <w:rFonts w:ascii="Book Antiqua" w:hAnsi="Book Antiqua" w:cs="Arial" w:hint="eastAsia"/>
          <w:sz w:val="24"/>
          <w:szCs w:val="24"/>
          <w:lang w:val="en-GB" w:eastAsia="zh-CN"/>
        </w:rPr>
        <w:t xml:space="preserve"> </w:t>
      </w:r>
      <w:r>
        <w:rPr>
          <w:rFonts w:ascii="Book Antiqua" w:hAnsi="Book Antiqua" w:cs="Arial"/>
          <w:sz w:val="24"/>
          <w:szCs w:val="24"/>
          <w:lang w:val="en-GB"/>
        </w:rPr>
        <w:t>SD</w:t>
      </w:r>
      <w:r w:rsidR="0093205E" w:rsidRPr="0049263A">
        <w:rPr>
          <w:rFonts w:ascii="Book Antiqua" w:hAnsi="Book Antiqua" w:cs="Arial"/>
          <w:sz w:val="24"/>
          <w:szCs w:val="24"/>
          <w:lang w:val="en-GB"/>
        </w:rPr>
        <w:t xml:space="preserve"> preoperative fibrinogen plasma levels for the 652 patients under study according to their clinicopathological variables are reported in Table 1. Fibrinogen value correlated with age (</w:t>
      </w:r>
      <w:r w:rsidR="0093205E" w:rsidRPr="0049263A">
        <w:rPr>
          <w:rFonts w:ascii="Book Antiqua" w:hAnsi="Book Antiqua" w:cs="Arial"/>
          <w:i/>
          <w:sz w:val="24"/>
          <w:szCs w:val="24"/>
          <w:lang w:val="en-GB"/>
        </w:rPr>
        <w:t>P</w:t>
      </w:r>
      <w:r w:rsidR="00AA734A" w:rsidRPr="0049263A">
        <w:rPr>
          <w:rFonts w:ascii="Book Antiqua" w:hAnsi="Book Antiqua" w:cs="Arial" w:hint="eastAsia"/>
          <w:sz w:val="24"/>
          <w:szCs w:val="24"/>
          <w:lang w:val="en-GB" w:eastAsia="zh-CN"/>
        </w:rPr>
        <w:t xml:space="preserve"> </w:t>
      </w:r>
      <w:r w:rsidR="0093205E" w:rsidRPr="0049263A">
        <w:rPr>
          <w:rFonts w:ascii="Book Antiqua" w:hAnsi="Book Antiqua" w:cs="Arial"/>
          <w:sz w:val="24"/>
          <w:szCs w:val="24"/>
          <w:lang w:val="en-GB"/>
        </w:rPr>
        <w:t>=</w:t>
      </w:r>
      <w:r w:rsidR="00AA734A" w:rsidRPr="0049263A">
        <w:rPr>
          <w:rFonts w:ascii="Book Antiqua" w:hAnsi="Book Antiqua" w:cs="Arial" w:hint="eastAsia"/>
          <w:sz w:val="24"/>
          <w:szCs w:val="24"/>
          <w:lang w:val="en-GB" w:eastAsia="zh-CN"/>
        </w:rPr>
        <w:t xml:space="preserve"> </w:t>
      </w:r>
      <w:r w:rsidR="0093205E" w:rsidRPr="0049263A">
        <w:rPr>
          <w:rFonts w:ascii="Book Antiqua" w:hAnsi="Book Antiqua" w:cs="Arial"/>
          <w:sz w:val="24"/>
          <w:szCs w:val="24"/>
          <w:lang w:val="en-GB"/>
        </w:rPr>
        <w:t xml:space="preserve">0.003), type of resection (potentially curative </w:t>
      </w:r>
      <w:r w:rsidR="00AA734A" w:rsidRPr="0049263A">
        <w:rPr>
          <w:rFonts w:ascii="Book Antiqua" w:hAnsi="Book Antiqua" w:cs="Arial"/>
          <w:i/>
          <w:sz w:val="24"/>
          <w:szCs w:val="24"/>
          <w:lang w:val="en-GB"/>
        </w:rPr>
        <w:t>vs</w:t>
      </w:r>
      <w:r w:rsidR="0093205E" w:rsidRPr="0049263A">
        <w:rPr>
          <w:rFonts w:ascii="Book Antiqua" w:hAnsi="Book Antiqua" w:cs="Arial"/>
          <w:sz w:val="24"/>
          <w:szCs w:val="24"/>
          <w:lang w:val="en-GB"/>
        </w:rPr>
        <w:t xml:space="preserve"> palliative) (</w:t>
      </w:r>
      <w:r w:rsidR="0093205E" w:rsidRPr="0049263A">
        <w:rPr>
          <w:rFonts w:ascii="Book Antiqua" w:hAnsi="Book Antiqua" w:cs="Arial"/>
          <w:i/>
          <w:sz w:val="24"/>
          <w:szCs w:val="24"/>
          <w:lang w:val="en-GB"/>
        </w:rPr>
        <w:t>P</w:t>
      </w:r>
      <w:r w:rsidR="00AA734A" w:rsidRPr="0049263A">
        <w:rPr>
          <w:rFonts w:ascii="Book Antiqua" w:hAnsi="Book Antiqua" w:cs="Arial" w:hint="eastAsia"/>
          <w:i/>
          <w:sz w:val="24"/>
          <w:szCs w:val="24"/>
          <w:lang w:val="en-GB" w:eastAsia="zh-CN"/>
        </w:rPr>
        <w:t xml:space="preserve"> </w:t>
      </w:r>
      <w:r w:rsidR="0093205E" w:rsidRPr="0049263A">
        <w:rPr>
          <w:rFonts w:ascii="Book Antiqua" w:hAnsi="Book Antiqua" w:cs="Arial"/>
          <w:sz w:val="24"/>
          <w:szCs w:val="24"/>
          <w:lang w:val="en-GB"/>
        </w:rPr>
        <w:t>&lt;</w:t>
      </w:r>
      <w:r w:rsidR="00AA734A" w:rsidRPr="0049263A">
        <w:rPr>
          <w:rFonts w:ascii="Book Antiqua" w:hAnsi="Book Antiqua" w:cs="Arial" w:hint="eastAsia"/>
          <w:sz w:val="24"/>
          <w:szCs w:val="24"/>
          <w:lang w:val="en-GB" w:eastAsia="zh-CN"/>
        </w:rPr>
        <w:t xml:space="preserve"> </w:t>
      </w:r>
      <w:r w:rsidR="0093205E" w:rsidRPr="0049263A">
        <w:rPr>
          <w:rFonts w:ascii="Book Antiqua" w:hAnsi="Book Antiqua" w:cs="Arial"/>
          <w:sz w:val="24"/>
          <w:szCs w:val="24"/>
          <w:lang w:val="en-GB"/>
        </w:rPr>
        <w:t>0.001), presence of systemic metastasis (</w:t>
      </w:r>
      <w:r w:rsidR="00AA734A" w:rsidRPr="0049263A">
        <w:rPr>
          <w:rFonts w:ascii="Book Antiqua" w:hAnsi="Book Antiqua" w:cs="Arial"/>
          <w:i/>
          <w:sz w:val="24"/>
          <w:szCs w:val="24"/>
          <w:lang w:val="en-GB"/>
        </w:rPr>
        <w:t>P</w:t>
      </w:r>
      <w:r w:rsidR="00AA734A" w:rsidRPr="0049263A">
        <w:rPr>
          <w:rFonts w:ascii="Book Antiqua" w:hAnsi="Book Antiqua" w:cs="Arial"/>
          <w:sz w:val="24"/>
          <w:szCs w:val="24"/>
          <w:lang w:val="en-GB"/>
        </w:rPr>
        <w:t xml:space="preserve"> </w:t>
      </w:r>
      <w:r w:rsidR="0093205E" w:rsidRPr="0049263A">
        <w:rPr>
          <w:rFonts w:ascii="Book Antiqua" w:hAnsi="Book Antiqua" w:cs="Arial"/>
          <w:sz w:val="24"/>
          <w:szCs w:val="24"/>
          <w:lang w:val="en-GB"/>
        </w:rPr>
        <w:t>&lt;</w:t>
      </w:r>
      <w:r w:rsidR="00AA734A" w:rsidRPr="0049263A">
        <w:rPr>
          <w:rFonts w:ascii="Book Antiqua" w:hAnsi="Book Antiqua" w:cs="Arial" w:hint="eastAsia"/>
          <w:sz w:val="24"/>
          <w:szCs w:val="24"/>
          <w:lang w:val="en-GB" w:eastAsia="zh-CN"/>
        </w:rPr>
        <w:t xml:space="preserve"> </w:t>
      </w:r>
      <w:r w:rsidR="0093205E" w:rsidRPr="0049263A">
        <w:rPr>
          <w:rFonts w:ascii="Book Antiqua" w:hAnsi="Book Antiqua" w:cs="Arial"/>
          <w:sz w:val="24"/>
          <w:szCs w:val="24"/>
          <w:lang w:val="en-GB"/>
        </w:rPr>
        <w:t>0.001), CEA serum level (</w:t>
      </w:r>
      <w:r w:rsidR="00AA734A" w:rsidRPr="0049263A">
        <w:rPr>
          <w:rFonts w:ascii="Book Antiqua" w:hAnsi="Book Antiqua" w:cs="Arial"/>
          <w:i/>
          <w:sz w:val="24"/>
          <w:szCs w:val="24"/>
          <w:lang w:val="en-GB"/>
        </w:rPr>
        <w:t>P</w:t>
      </w:r>
      <w:r w:rsidR="00AA734A" w:rsidRPr="0049263A">
        <w:rPr>
          <w:rFonts w:ascii="Book Antiqua" w:hAnsi="Book Antiqua" w:cs="Arial"/>
          <w:sz w:val="24"/>
          <w:szCs w:val="24"/>
          <w:lang w:val="en-GB"/>
        </w:rPr>
        <w:t xml:space="preserve"> </w:t>
      </w:r>
      <w:r w:rsidR="0093205E" w:rsidRPr="0049263A">
        <w:rPr>
          <w:rFonts w:ascii="Book Antiqua" w:hAnsi="Book Antiqua" w:cs="Arial"/>
          <w:sz w:val="24"/>
          <w:szCs w:val="24"/>
          <w:lang w:val="en-GB"/>
        </w:rPr>
        <w:t>&lt;</w:t>
      </w:r>
      <w:r w:rsidR="00AA734A" w:rsidRPr="0049263A">
        <w:rPr>
          <w:rFonts w:ascii="Book Antiqua" w:hAnsi="Book Antiqua" w:cs="Arial" w:hint="eastAsia"/>
          <w:sz w:val="24"/>
          <w:szCs w:val="24"/>
          <w:lang w:val="en-GB" w:eastAsia="zh-CN"/>
        </w:rPr>
        <w:t xml:space="preserve"> </w:t>
      </w:r>
      <w:r w:rsidR="0093205E" w:rsidRPr="0049263A">
        <w:rPr>
          <w:rFonts w:ascii="Book Antiqua" w:hAnsi="Book Antiqua" w:cs="Arial"/>
          <w:sz w:val="24"/>
          <w:szCs w:val="24"/>
          <w:lang w:val="en-GB"/>
        </w:rPr>
        <w:t xml:space="preserve">0.001) as well as the </w:t>
      </w:r>
      <w:proofErr w:type="spellStart"/>
      <w:r w:rsidR="0093205E" w:rsidRPr="0049263A">
        <w:rPr>
          <w:rFonts w:ascii="Book Antiqua" w:hAnsi="Book Antiqua" w:cs="Arial"/>
          <w:sz w:val="24"/>
          <w:szCs w:val="24"/>
          <w:lang w:val="en-GB"/>
        </w:rPr>
        <w:t>pT</w:t>
      </w:r>
      <w:proofErr w:type="spellEnd"/>
      <w:r w:rsidR="0093205E" w:rsidRPr="0049263A">
        <w:rPr>
          <w:rFonts w:ascii="Book Antiqua" w:hAnsi="Book Antiqua" w:cs="Arial"/>
          <w:sz w:val="24"/>
          <w:szCs w:val="24"/>
          <w:lang w:val="en-GB"/>
        </w:rPr>
        <w:t xml:space="preserve"> (</w:t>
      </w:r>
      <w:r w:rsidR="00AA734A" w:rsidRPr="0049263A">
        <w:rPr>
          <w:rFonts w:ascii="Book Antiqua" w:hAnsi="Book Antiqua" w:cs="Arial"/>
          <w:i/>
          <w:sz w:val="24"/>
          <w:szCs w:val="24"/>
          <w:lang w:val="en-GB"/>
        </w:rPr>
        <w:t>P</w:t>
      </w:r>
      <w:r w:rsidR="00AA734A" w:rsidRPr="0049263A">
        <w:rPr>
          <w:rFonts w:ascii="Book Antiqua" w:hAnsi="Book Antiqua" w:cs="Arial"/>
          <w:sz w:val="24"/>
          <w:szCs w:val="24"/>
          <w:lang w:val="en-GB"/>
        </w:rPr>
        <w:t xml:space="preserve"> </w:t>
      </w:r>
      <w:r w:rsidR="0093205E" w:rsidRPr="0049263A">
        <w:rPr>
          <w:rFonts w:ascii="Book Antiqua" w:hAnsi="Book Antiqua" w:cs="Arial"/>
          <w:sz w:val="24"/>
          <w:szCs w:val="24"/>
          <w:lang w:val="en-GB"/>
        </w:rPr>
        <w:t>&lt;</w:t>
      </w:r>
      <w:r w:rsidR="00AA734A" w:rsidRPr="0049263A">
        <w:rPr>
          <w:rFonts w:ascii="Book Antiqua" w:hAnsi="Book Antiqua" w:cs="Arial" w:hint="eastAsia"/>
          <w:sz w:val="24"/>
          <w:szCs w:val="24"/>
          <w:lang w:val="en-GB" w:eastAsia="zh-CN"/>
        </w:rPr>
        <w:t xml:space="preserve"> </w:t>
      </w:r>
      <w:r w:rsidR="0093205E" w:rsidRPr="0049263A">
        <w:rPr>
          <w:rFonts w:ascii="Book Antiqua" w:hAnsi="Book Antiqua" w:cs="Arial"/>
          <w:sz w:val="24"/>
          <w:szCs w:val="24"/>
          <w:lang w:val="en-GB"/>
        </w:rPr>
        <w:t xml:space="preserve">0.001) and </w:t>
      </w:r>
      <w:proofErr w:type="spellStart"/>
      <w:r w:rsidR="0093205E" w:rsidRPr="0049263A">
        <w:rPr>
          <w:rFonts w:ascii="Book Antiqua" w:hAnsi="Book Antiqua" w:cs="Arial"/>
          <w:sz w:val="24"/>
          <w:szCs w:val="24"/>
          <w:lang w:val="en-GB"/>
        </w:rPr>
        <w:t>pN</w:t>
      </w:r>
      <w:proofErr w:type="spellEnd"/>
      <w:r w:rsidR="0093205E" w:rsidRPr="0049263A">
        <w:rPr>
          <w:rFonts w:ascii="Book Antiqua" w:hAnsi="Book Antiqua" w:cs="Arial"/>
          <w:sz w:val="24"/>
          <w:szCs w:val="24"/>
          <w:lang w:val="en-GB"/>
        </w:rPr>
        <w:t xml:space="preserve"> categories (</w:t>
      </w:r>
      <w:r w:rsidR="00AA734A" w:rsidRPr="0049263A">
        <w:rPr>
          <w:rFonts w:ascii="Book Antiqua" w:hAnsi="Book Antiqua" w:cs="Arial"/>
          <w:i/>
          <w:sz w:val="24"/>
          <w:szCs w:val="24"/>
          <w:lang w:val="en-GB"/>
        </w:rPr>
        <w:t>P</w:t>
      </w:r>
      <w:r w:rsidR="00AA734A" w:rsidRPr="0049263A">
        <w:rPr>
          <w:rFonts w:ascii="Book Antiqua" w:hAnsi="Book Antiqua" w:cs="Arial"/>
          <w:sz w:val="24"/>
          <w:szCs w:val="24"/>
          <w:lang w:val="en-GB"/>
        </w:rPr>
        <w:t xml:space="preserve"> </w:t>
      </w:r>
      <w:r w:rsidR="0093205E" w:rsidRPr="0049263A">
        <w:rPr>
          <w:rFonts w:ascii="Book Antiqua" w:hAnsi="Book Antiqua" w:cs="Arial"/>
          <w:sz w:val="24"/>
          <w:szCs w:val="24"/>
          <w:lang w:val="en-GB"/>
        </w:rPr>
        <w:t>=</w:t>
      </w:r>
      <w:r w:rsidR="00AA734A" w:rsidRPr="0049263A">
        <w:rPr>
          <w:rFonts w:ascii="Book Antiqua" w:hAnsi="Book Antiqua" w:cs="Arial" w:hint="eastAsia"/>
          <w:sz w:val="24"/>
          <w:szCs w:val="24"/>
          <w:lang w:val="en-GB" w:eastAsia="zh-CN"/>
        </w:rPr>
        <w:t xml:space="preserve"> </w:t>
      </w:r>
      <w:r w:rsidR="0093205E" w:rsidRPr="0049263A">
        <w:rPr>
          <w:rFonts w:ascii="Book Antiqua" w:hAnsi="Book Antiqua" w:cs="Arial"/>
          <w:sz w:val="24"/>
          <w:szCs w:val="24"/>
          <w:lang w:val="en-GB"/>
        </w:rPr>
        <w:t>0.001).</w:t>
      </w:r>
    </w:p>
    <w:p w14:paraId="4AC51492" w14:textId="29ED5B75" w:rsidR="0093205E" w:rsidRPr="0049263A" w:rsidRDefault="0093205E" w:rsidP="00AA734A">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lastRenderedPageBreak/>
        <w:t>Considering histological characteristics, patients with a mucinous histological type (</w:t>
      </w:r>
      <w:r w:rsidRPr="0049263A">
        <w:rPr>
          <w:rFonts w:ascii="Book Antiqua" w:hAnsi="Book Antiqua" w:cs="Arial"/>
          <w:i/>
          <w:sz w:val="24"/>
          <w:szCs w:val="24"/>
          <w:lang w:val="en-GB"/>
        </w:rPr>
        <w:t>n</w:t>
      </w:r>
      <w:r w:rsidR="00AA734A" w:rsidRPr="0049263A">
        <w:rPr>
          <w:rFonts w:ascii="Book Antiqua" w:hAnsi="Book Antiqua" w:cs="Arial" w:hint="eastAsia"/>
          <w:i/>
          <w:sz w:val="24"/>
          <w:szCs w:val="24"/>
          <w:lang w:val="en-GB" w:eastAsia="zh-CN"/>
        </w:rPr>
        <w:t xml:space="preserve"> </w:t>
      </w:r>
      <w:r w:rsidRPr="0049263A">
        <w:rPr>
          <w:rFonts w:ascii="Book Antiqua" w:hAnsi="Book Antiqua" w:cs="Arial"/>
          <w:sz w:val="24"/>
          <w:szCs w:val="24"/>
          <w:lang w:val="en-GB"/>
        </w:rPr>
        <w: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113) displayed higher fibrinogen values compared to non-mucinous histological types (467.1</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 xml:space="preserve">135.9 </w:t>
      </w:r>
      <w:r w:rsidRPr="0049263A">
        <w:rPr>
          <w:rFonts w:ascii="Book Antiqua" w:hAnsi="Book Antiqua" w:cs="Arial"/>
          <w:i/>
          <w:sz w:val="24"/>
          <w:szCs w:val="24"/>
          <w:lang w:val="en-GB"/>
        </w:rPr>
        <w:t>vs</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417.6</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 xml:space="preserve">118.7; </w:t>
      </w:r>
      <w:r w:rsidR="00AA734A" w:rsidRPr="0049263A">
        <w:rPr>
          <w:rFonts w:ascii="Book Antiqua" w:hAnsi="Book Antiqua" w:cs="Arial"/>
          <w:i/>
          <w:sz w:val="24"/>
          <w:szCs w:val="24"/>
          <w:lang w:val="en-GB"/>
        </w:rPr>
        <w:t>P</w:t>
      </w:r>
      <w:r w:rsidR="00AA734A" w:rsidRPr="0049263A">
        <w:rPr>
          <w:rFonts w:ascii="Book Antiqua" w:hAnsi="Book Antiqua" w:cs="Arial"/>
          <w:sz w:val="24"/>
          <w:szCs w:val="24"/>
          <w:lang w:val="en-GB"/>
        </w:rPr>
        <w:t xml:space="preserve"> </w:t>
      </w:r>
      <w:r w:rsidRPr="0049263A">
        <w:rPr>
          <w:rFonts w:ascii="Book Antiqua" w:hAnsi="Book Antiqua" w:cs="Arial"/>
          <w:sz w:val="24"/>
          <w:szCs w:val="24"/>
          <w:lang w:val="en-GB"/>
        </w:rPr>
        <w:t>&lt;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0.001). The mean</w:t>
      </w:r>
      <w:r w:rsid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w:t>
      </w:r>
      <w:r w:rsidR="00AA734A" w:rsidRPr="0049263A">
        <w:rPr>
          <w:rFonts w:ascii="Book Antiqua" w:hAnsi="Book Antiqua" w:cs="Arial" w:hint="eastAsia"/>
          <w:sz w:val="24"/>
          <w:szCs w:val="24"/>
          <w:lang w:val="en-GB" w:eastAsia="zh-CN"/>
        </w:rPr>
        <w:t xml:space="preserve"> </w:t>
      </w:r>
      <w:r w:rsidR="0049263A">
        <w:rPr>
          <w:rFonts w:ascii="Book Antiqua" w:hAnsi="Book Antiqua" w:cs="Arial"/>
          <w:sz w:val="24"/>
          <w:szCs w:val="24"/>
          <w:lang w:val="en-GB"/>
        </w:rPr>
        <w:t>SD</w:t>
      </w:r>
      <w:r w:rsidRPr="0049263A">
        <w:rPr>
          <w:rFonts w:ascii="Book Antiqua" w:hAnsi="Book Antiqua" w:cs="Arial"/>
          <w:sz w:val="24"/>
          <w:szCs w:val="24"/>
          <w:lang w:val="en-GB"/>
        </w:rPr>
        <w:t xml:space="preserve"> was 395.6</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120.4 mg/</w:t>
      </w:r>
      <w:proofErr w:type="spellStart"/>
      <w:r w:rsidRPr="0049263A">
        <w:rPr>
          <w:rFonts w:ascii="Book Antiqua" w:hAnsi="Book Antiqua" w:cs="Arial"/>
          <w:sz w:val="24"/>
          <w:szCs w:val="24"/>
          <w:lang w:val="en-GB"/>
        </w:rPr>
        <w:t>dL</w:t>
      </w:r>
      <w:proofErr w:type="spellEnd"/>
      <w:r w:rsidRPr="0049263A">
        <w:rPr>
          <w:rFonts w:ascii="Book Antiqua" w:hAnsi="Book Antiqua" w:cs="Arial"/>
          <w:sz w:val="24"/>
          <w:szCs w:val="24"/>
          <w:lang w:val="en-GB"/>
        </w:rPr>
        <w:t xml:space="preserve"> in G1 tumours, 424.1</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121.4 mg/</w:t>
      </w:r>
      <w:proofErr w:type="spellStart"/>
      <w:r w:rsidRPr="0049263A">
        <w:rPr>
          <w:rFonts w:ascii="Book Antiqua" w:hAnsi="Book Antiqua" w:cs="Arial"/>
          <w:sz w:val="24"/>
          <w:szCs w:val="24"/>
          <w:lang w:val="en-GB"/>
        </w:rPr>
        <w:t>dL</w:t>
      </w:r>
      <w:proofErr w:type="spellEnd"/>
      <w:r w:rsidRPr="0049263A">
        <w:rPr>
          <w:rFonts w:ascii="Book Antiqua" w:hAnsi="Book Antiqua" w:cs="Arial"/>
          <w:sz w:val="24"/>
          <w:szCs w:val="24"/>
          <w:lang w:val="en-GB"/>
        </w:rPr>
        <w:t xml:space="preserve"> in G2 tumours and 453.4</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 131.6 mg/</w:t>
      </w:r>
      <w:proofErr w:type="spellStart"/>
      <w:r w:rsidRPr="0049263A">
        <w:rPr>
          <w:rFonts w:ascii="Book Antiqua" w:hAnsi="Book Antiqua" w:cs="Arial"/>
          <w:sz w:val="24"/>
          <w:szCs w:val="24"/>
          <w:lang w:val="en-GB"/>
        </w:rPr>
        <w:t>dL</w:t>
      </w:r>
      <w:proofErr w:type="spellEnd"/>
      <w:r w:rsidRPr="0049263A">
        <w:rPr>
          <w:rFonts w:ascii="Book Antiqua" w:hAnsi="Book Antiqua" w:cs="Arial"/>
          <w:sz w:val="24"/>
          <w:szCs w:val="24"/>
          <w:lang w:val="en-GB"/>
        </w:rPr>
        <w:t xml:space="preserve"> in G3 tumours (</w:t>
      </w:r>
      <w:r w:rsidR="00AA734A" w:rsidRPr="0049263A">
        <w:rPr>
          <w:rFonts w:ascii="Book Antiqua" w:hAnsi="Book Antiqua" w:cs="Arial"/>
          <w:i/>
          <w:sz w:val="24"/>
          <w:szCs w:val="24"/>
          <w:lang w:val="en-GB"/>
        </w:rPr>
        <w:t>P</w:t>
      </w:r>
      <w:r w:rsidR="00AA734A" w:rsidRPr="0049263A">
        <w:rPr>
          <w:rFonts w:ascii="Book Antiqua" w:hAnsi="Book Antiqua" w:cs="Arial"/>
          <w:sz w:val="24"/>
          <w:szCs w:val="24"/>
          <w:lang w:val="en-GB"/>
        </w:rPr>
        <w:t xml:space="preserve"> </w:t>
      </w:r>
      <w:r w:rsidRPr="0049263A">
        <w:rPr>
          <w:rFonts w:ascii="Book Antiqua" w:hAnsi="Book Antiqua" w:cs="Arial"/>
          <w:sz w:val="24"/>
          <w:szCs w:val="24"/>
          <w:lang w:val="en-GB"/>
        </w:rPr>
        <w: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0.045). Conversely, vascular invasion (</w:t>
      </w:r>
      <w:r w:rsidR="00AA734A" w:rsidRPr="0049263A">
        <w:rPr>
          <w:rFonts w:ascii="Book Antiqua" w:hAnsi="Book Antiqua" w:cs="Arial"/>
          <w:i/>
          <w:sz w:val="24"/>
          <w:szCs w:val="24"/>
          <w:lang w:val="en-GB"/>
        </w:rPr>
        <w:t>P</w:t>
      </w:r>
      <w:r w:rsidR="00AA734A" w:rsidRPr="0049263A">
        <w:rPr>
          <w:rFonts w:ascii="Book Antiqua" w:hAnsi="Book Antiqua" w:cs="Arial"/>
          <w:sz w:val="24"/>
          <w:szCs w:val="24"/>
          <w:lang w:val="en-GB"/>
        </w:rPr>
        <w:t xml:space="preserve"> </w:t>
      </w:r>
      <w:r w:rsidRPr="0049263A">
        <w:rPr>
          <w:rFonts w:ascii="Book Antiqua" w:hAnsi="Book Antiqua" w:cs="Arial"/>
          <w:sz w:val="24"/>
          <w:szCs w:val="24"/>
          <w:lang w:val="en-GB"/>
        </w:rPr>
        <w: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0.204), lymphatic invasion (</w:t>
      </w:r>
      <w:r w:rsidR="00AA734A" w:rsidRPr="0049263A">
        <w:rPr>
          <w:rFonts w:ascii="Book Antiqua" w:hAnsi="Book Antiqua" w:cs="Arial"/>
          <w:i/>
          <w:sz w:val="24"/>
          <w:szCs w:val="24"/>
          <w:lang w:val="en-GB"/>
        </w:rPr>
        <w:t>P</w:t>
      </w:r>
      <w:r w:rsidR="00AA734A" w:rsidRPr="0049263A">
        <w:rPr>
          <w:rFonts w:ascii="Book Antiqua" w:hAnsi="Book Antiqua" w:cs="Arial"/>
          <w:sz w:val="24"/>
          <w:szCs w:val="24"/>
          <w:lang w:val="en-GB"/>
        </w:rPr>
        <w:t xml:space="preserve"> </w:t>
      </w:r>
      <w:r w:rsidRPr="0049263A">
        <w:rPr>
          <w:rFonts w:ascii="Book Antiqua" w:hAnsi="Book Antiqua" w:cs="Arial"/>
          <w:sz w:val="24"/>
          <w:szCs w:val="24"/>
          <w:lang w:val="en-GB"/>
        </w:rPr>
        <w: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0.940), neural invasion (</w:t>
      </w:r>
      <w:r w:rsidRPr="0049263A">
        <w:rPr>
          <w:rFonts w:ascii="Book Antiqua" w:hAnsi="Book Antiqua" w:cs="Arial"/>
          <w:i/>
          <w:sz w:val="24"/>
          <w:szCs w:val="24"/>
          <w:lang w:val="en-GB"/>
        </w:rPr>
        <w:t>P</w:t>
      </w:r>
      <w:r w:rsid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w:t>
      </w:r>
      <w:r w:rsid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0.183) and presence of inflammatory reaction (</w:t>
      </w:r>
      <w:r w:rsidR="00AA734A" w:rsidRPr="0049263A">
        <w:rPr>
          <w:rFonts w:ascii="Book Antiqua" w:hAnsi="Book Antiqua" w:cs="Arial"/>
          <w:i/>
          <w:sz w:val="24"/>
          <w:szCs w:val="24"/>
          <w:lang w:val="en-GB"/>
        </w:rPr>
        <w:t>P</w:t>
      </w:r>
      <w:r w:rsidR="00AA734A" w:rsidRPr="0049263A">
        <w:rPr>
          <w:rFonts w:ascii="Book Antiqua" w:hAnsi="Book Antiqua" w:cs="Arial"/>
          <w:sz w:val="24"/>
          <w:szCs w:val="24"/>
          <w:lang w:val="en-GB"/>
        </w:rPr>
        <w:t xml:space="preserve"> </w:t>
      </w:r>
      <w:r w:rsidRPr="0049263A">
        <w:rPr>
          <w:rFonts w:ascii="Book Antiqua" w:hAnsi="Book Antiqua" w:cs="Arial"/>
          <w:sz w:val="24"/>
          <w:szCs w:val="24"/>
          <w:lang w:val="en-GB"/>
        </w:rPr>
        <w: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0.067) were not significantly associated with preoperative fibrinogen plasma levels.</w:t>
      </w:r>
    </w:p>
    <w:p w14:paraId="05B3131D" w14:textId="77777777" w:rsidR="0093205E" w:rsidRPr="0049263A" w:rsidRDefault="0093205E" w:rsidP="00AA734A">
      <w:pPr>
        <w:snapToGrid w:val="0"/>
        <w:spacing w:line="360" w:lineRule="auto"/>
        <w:jc w:val="both"/>
        <w:rPr>
          <w:rFonts w:ascii="Book Antiqua" w:hAnsi="Book Antiqua" w:cs="Arial"/>
          <w:sz w:val="24"/>
          <w:szCs w:val="24"/>
          <w:lang w:val="en-GB"/>
        </w:rPr>
      </w:pPr>
    </w:p>
    <w:p w14:paraId="41F0EC7E" w14:textId="77777777" w:rsidR="0093205E" w:rsidRPr="0049263A" w:rsidRDefault="0093205E" w:rsidP="00AA734A">
      <w:pPr>
        <w:snapToGrid w:val="0"/>
        <w:spacing w:line="360" w:lineRule="auto"/>
        <w:jc w:val="both"/>
        <w:rPr>
          <w:rFonts w:ascii="Book Antiqua" w:hAnsi="Book Antiqua" w:cs="Arial"/>
          <w:i/>
          <w:sz w:val="24"/>
          <w:szCs w:val="24"/>
          <w:lang w:val="en-GB"/>
        </w:rPr>
      </w:pPr>
      <w:r w:rsidRPr="0049263A">
        <w:rPr>
          <w:rFonts w:ascii="Book Antiqua" w:hAnsi="Book Antiqua" w:cs="Arial"/>
          <w:b/>
          <w:i/>
          <w:iCs/>
          <w:sz w:val="24"/>
          <w:szCs w:val="24"/>
          <w:lang w:val="en-GB"/>
        </w:rPr>
        <w:t>Fibrinogen cut-off value (400 mg/</w:t>
      </w:r>
      <w:proofErr w:type="spellStart"/>
      <w:r w:rsidRPr="0049263A">
        <w:rPr>
          <w:rFonts w:ascii="Book Antiqua" w:hAnsi="Book Antiqua" w:cs="Arial"/>
          <w:b/>
          <w:i/>
          <w:iCs/>
          <w:sz w:val="24"/>
          <w:szCs w:val="24"/>
          <w:lang w:val="en-GB"/>
        </w:rPr>
        <w:t>dL</w:t>
      </w:r>
      <w:proofErr w:type="spellEnd"/>
      <w:r w:rsidRPr="0049263A">
        <w:rPr>
          <w:rFonts w:ascii="Book Antiqua" w:hAnsi="Book Antiqua" w:cs="Arial"/>
          <w:b/>
          <w:i/>
          <w:iCs/>
          <w:sz w:val="24"/>
          <w:szCs w:val="24"/>
          <w:lang w:val="en-GB"/>
        </w:rPr>
        <w:t xml:space="preserve">) and </w:t>
      </w:r>
      <w:proofErr w:type="spellStart"/>
      <w:r w:rsidRPr="0049263A">
        <w:rPr>
          <w:rFonts w:ascii="Book Antiqua" w:hAnsi="Book Antiqua" w:cs="Arial"/>
          <w:b/>
          <w:i/>
          <w:iCs/>
          <w:sz w:val="24"/>
          <w:szCs w:val="24"/>
          <w:lang w:val="en-GB"/>
        </w:rPr>
        <w:t>clinicopathological</w:t>
      </w:r>
      <w:proofErr w:type="spellEnd"/>
      <w:r w:rsidRPr="0049263A">
        <w:rPr>
          <w:rFonts w:ascii="Book Antiqua" w:hAnsi="Book Antiqua" w:cs="Arial"/>
          <w:b/>
          <w:i/>
          <w:iCs/>
          <w:sz w:val="24"/>
          <w:szCs w:val="24"/>
          <w:lang w:val="en-GB"/>
        </w:rPr>
        <w:t xml:space="preserve"> variables</w:t>
      </w:r>
    </w:p>
    <w:p w14:paraId="52AD7703" w14:textId="28E135C6" w:rsidR="0093205E" w:rsidRPr="0049263A" w:rsidRDefault="0093205E" w:rsidP="00AA734A">
      <w:pPr>
        <w:snapToGrid w:val="0"/>
        <w:spacing w:line="360" w:lineRule="auto"/>
        <w:jc w:val="both"/>
        <w:rPr>
          <w:rFonts w:ascii="Book Antiqua" w:hAnsi="Book Antiqua" w:cs="Arial"/>
          <w:sz w:val="24"/>
          <w:szCs w:val="24"/>
          <w:lang w:val="en-GB"/>
        </w:rPr>
      </w:pPr>
      <w:r w:rsidRPr="0049263A">
        <w:rPr>
          <w:rFonts w:ascii="Book Antiqua" w:hAnsi="Book Antiqua" w:cs="Arial"/>
          <w:sz w:val="24"/>
          <w:szCs w:val="24"/>
          <w:lang w:val="en-GB"/>
        </w:rPr>
        <w:t>Considering the fibrinogen cut-off value of 400 mg/</w:t>
      </w:r>
      <w:proofErr w:type="spellStart"/>
      <w:r w:rsidRPr="0049263A">
        <w:rPr>
          <w:rFonts w:ascii="Book Antiqua" w:hAnsi="Book Antiqua" w:cs="Arial"/>
          <w:sz w:val="24"/>
          <w:szCs w:val="24"/>
          <w:lang w:val="en-GB"/>
        </w:rPr>
        <w:t>dL</w:t>
      </w:r>
      <w:proofErr w:type="spellEnd"/>
      <w:r w:rsidRPr="0049263A">
        <w:rPr>
          <w:rFonts w:ascii="Book Antiqua" w:hAnsi="Book Antiqua" w:cs="Arial"/>
          <w:sz w:val="24"/>
          <w:szCs w:val="24"/>
          <w:lang w:val="en-GB"/>
        </w:rPr>
        <w:t>, a significant association was found with age (</w:t>
      </w:r>
      <w:r w:rsidR="00AA734A" w:rsidRPr="0049263A">
        <w:rPr>
          <w:rFonts w:ascii="Book Antiqua" w:hAnsi="Book Antiqua" w:cs="Arial"/>
          <w:i/>
          <w:sz w:val="24"/>
          <w:szCs w:val="24"/>
          <w:lang w:val="en-GB"/>
        </w:rPr>
        <w:t>P</w:t>
      </w:r>
      <w:r w:rsidR="00AA734A" w:rsidRPr="0049263A">
        <w:rPr>
          <w:rFonts w:ascii="Book Antiqua" w:hAnsi="Book Antiqua" w:cs="Arial"/>
          <w:sz w:val="24"/>
          <w:szCs w:val="24"/>
          <w:lang w:val="en-GB"/>
        </w:rPr>
        <w:t xml:space="preserve"> </w:t>
      </w:r>
      <w:r w:rsidRPr="0049263A">
        <w:rPr>
          <w:rFonts w:ascii="Book Antiqua" w:hAnsi="Book Antiqua" w:cs="Arial"/>
          <w:sz w:val="24"/>
          <w:szCs w:val="24"/>
          <w:lang w:val="en-GB"/>
        </w:rPr>
        <w: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0.001), type of resection (</w:t>
      </w:r>
      <w:r w:rsidR="00AA734A" w:rsidRPr="0049263A">
        <w:rPr>
          <w:rFonts w:ascii="Book Antiqua" w:hAnsi="Book Antiqua" w:cs="Arial"/>
          <w:i/>
          <w:sz w:val="24"/>
          <w:szCs w:val="24"/>
          <w:lang w:val="en-GB"/>
        </w:rPr>
        <w:t>P</w:t>
      </w:r>
      <w:r w:rsidR="00AA734A" w:rsidRPr="0049263A">
        <w:rPr>
          <w:rFonts w:ascii="Book Antiqua" w:hAnsi="Book Antiqua" w:cs="Arial"/>
          <w:sz w:val="24"/>
          <w:szCs w:val="24"/>
          <w:lang w:val="en-GB"/>
        </w:rPr>
        <w:t xml:space="preserve"> </w:t>
      </w:r>
      <w:r w:rsidRPr="0049263A">
        <w:rPr>
          <w:rFonts w:ascii="Book Antiqua" w:hAnsi="Book Antiqua" w:cs="Arial"/>
          <w:sz w:val="24"/>
          <w:szCs w:val="24"/>
          <w:lang w:val="en-GB"/>
        </w:rPr>
        <w:t>&lt;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0.001), depth of tumour invasion (</w:t>
      </w:r>
      <w:r w:rsidR="00AA734A" w:rsidRPr="0049263A">
        <w:rPr>
          <w:rFonts w:ascii="Book Antiqua" w:hAnsi="Book Antiqua" w:cs="Arial"/>
          <w:i/>
          <w:sz w:val="24"/>
          <w:szCs w:val="24"/>
          <w:lang w:val="en-GB"/>
        </w:rPr>
        <w:t>P</w:t>
      </w:r>
      <w:r w:rsidR="00AA734A" w:rsidRPr="0049263A">
        <w:rPr>
          <w:rFonts w:ascii="Book Antiqua" w:hAnsi="Book Antiqua" w:cs="Arial"/>
          <w:sz w:val="24"/>
          <w:szCs w:val="24"/>
          <w:lang w:val="en-GB"/>
        </w:rPr>
        <w:t xml:space="preserve"> </w:t>
      </w:r>
      <w:r w:rsidRPr="0049263A">
        <w:rPr>
          <w:rFonts w:ascii="Book Antiqua" w:hAnsi="Book Antiqua" w:cs="Arial"/>
          <w:sz w:val="24"/>
          <w:szCs w:val="24"/>
          <w:lang w:val="en-GB"/>
        </w:rPr>
        <w:t>&lt;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0.001), the presence of systemic metastases (</w:t>
      </w:r>
      <w:r w:rsidR="00AA734A" w:rsidRPr="0049263A">
        <w:rPr>
          <w:rFonts w:ascii="Book Antiqua" w:hAnsi="Book Antiqua" w:cs="Arial"/>
          <w:i/>
          <w:sz w:val="24"/>
          <w:szCs w:val="24"/>
          <w:lang w:val="en-GB"/>
        </w:rPr>
        <w:t>P</w:t>
      </w:r>
      <w:r w:rsidR="00AA734A" w:rsidRPr="0049263A">
        <w:rPr>
          <w:rFonts w:ascii="Book Antiqua" w:hAnsi="Book Antiqua" w:cs="Arial"/>
          <w:sz w:val="24"/>
          <w:szCs w:val="24"/>
          <w:lang w:val="en-GB"/>
        </w:rPr>
        <w:t xml:space="preserve"> </w:t>
      </w:r>
      <w:r w:rsidRPr="0049263A">
        <w:rPr>
          <w:rFonts w:ascii="Book Antiqua" w:hAnsi="Book Antiqua" w:cs="Arial"/>
          <w:sz w:val="24"/>
          <w:szCs w:val="24"/>
          <w:lang w:val="en-GB"/>
        </w:rPr>
        <w: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0.001), histological type (</w:t>
      </w:r>
      <w:r w:rsidR="00AA734A" w:rsidRPr="0049263A">
        <w:rPr>
          <w:rFonts w:ascii="Book Antiqua" w:hAnsi="Book Antiqua" w:cs="Arial"/>
          <w:i/>
          <w:sz w:val="24"/>
          <w:szCs w:val="24"/>
          <w:lang w:val="en-GB"/>
        </w:rPr>
        <w:t>P</w:t>
      </w:r>
      <w:r w:rsidR="00AA734A" w:rsidRPr="0049263A">
        <w:rPr>
          <w:rFonts w:ascii="Book Antiqua" w:hAnsi="Book Antiqua" w:cs="Arial"/>
          <w:sz w:val="24"/>
          <w:szCs w:val="24"/>
          <w:lang w:val="en-GB"/>
        </w:rPr>
        <w:t xml:space="preserve"> </w:t>
      </w:r>
      <w:r w:rsidRPr="0049263A">
        <w:rPr>
          <w:rFonts w:ascii="Book Antiqua" w:hAnsi="Book Antiqua" w:cs="Arial"/>
          <w:sz w:val="24"/>
          <w:szCs w:val="24"/>
          <w:lang w:val="en-GB"/>
        </w:rPr>
        <w: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0.001) and CEA serum level (</w:t>
      </w:r>
      <w:r w:rsidR="00AA734A" w:rsidRPr="0049263A">
        <w:rPr>
          <w:rFonts w:ascii="Book Antiqua" w:hAnsi="Book Antiqua" w:cs="Arial"/>
          <w:i/>
          <w:sz w:val="24"/>
          <w:szCs w:val="24"/>
          <w:lang w:val="en-GB"/>
        </w:rPr>
        <w:t>P</w:t>
      </w:r>
      <w:r w:rsidR="00AA734A" w:rsidRPr="0049263A">
        <w:rPr>
          <w:rFonts w:ascii="Book Antiqua" w:hAnsi="Book Antiqua" w:cs="Arial"/>
          <w:sz w:val="24"/>
          <w:szCs w:val="24"/>
          <w:lang w:val="en-GB"/>
        </w:rPr>
        <w:t xml:space="preserve"> </w:t>
      </w:r>
      <w:r w:rsidRPr="0049263A">
        <w:rPr>
          <w:rFonts w:ascii="Book Antiqua" w:hAnsi="Book Antiqua" w:cs="Arial"/>
          <w:sz w:val="24"/>
          <w:szCs w:val="24"/>
          <w:lang w:val="en-GB"/>
        </w:rPr>
        <w:t>&lt;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0.001). Interestingly, fibrinogen values were found to be &gt;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400 mg/</w:t>
      </w:r>
      <w:proofErr w:type="spellStart"/>
      <w:r w:rsidRPr="0049263A">
        <w:rPr>
          <w:rFonts w:ascii="Book Antiqua" w:hAnsi="Book Antiqua" w:cs="Arial"/>
          <w:sz w:val="24"/>
          <w:szCs w:val="24"/>
          <w:lang w:val="en-GB"/>
        </w:rPr>
        <w:t>dL</w:t>
      </w:r>
      <w:proofErr w:type="spellEnd"/>
      <w:r w:rsidRPr="0049263A">
        <w:rPr>
          <w:rFonts w:ascii="Book Antiqua" w:hAnsi="Book Antiqua" w:cs="Arial"/>
          <w:sz w:val="24"/>
          <w:szCs w:val="24"/>
          <w:lang w:val="en-GB"/>
        </w:rPr>
        <w:t xml:space="preserve"> in 74.2% of patients with macroscopic residual tumours after resection (R2) compared to 49.5% of potentially curative resections (R0) (</w:t>
      </w:r>
      <w:r w:rsidR="00AA734A" w:rsidRPr="0049263A">
        <w:rPr>
          <w:rFonts w:ascii="Book Antiqua" w:hAnsi="Book Antiqua" w:cs="Arial"/>
          <w:i/>
          <w:sz w:val="24"/>
          <w:szCs w:val="24"/>
          <w:lang w:val="en-GB"/>
        </w:rPr>
        <w:t>P</w:t>
      </w:r>
      <w:r w:rsidR="00AA734A" w:rsidRPr="0049263A">
        <w:rPr>
          <w:rFonts w:ascii="Book Antiqua" w:hAnsi="Book Antiqua" w:cs="Arial"/>
          <w:sz w:val="24"/>
          <w:szCs w:val="24"/>
          <w:lang w:val="en-GB"/>
        </w:rPr>
        <w:t xml:space="preserve"> </w:t>
      </w:r>
      <w:r w:rsidRPr="0049263A">
        <w:rPr>
          <w:rFonts w:ascii="Book Antiqua" w:hAnsi="Book Antiqua" w:cs="Arial"/>
          <w:sz w:val="24"/>
          <w:szCs w:val="24"/>
          <w:lang w:val="en-GB"/>
        </w:rPr>
        <w:t>&lt;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0.001). Similarly, fibrinogen values were found to be &gt;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400 mg/</w:t>
      </w:r>
      <w:proofErr w:type="spellStart"/>
      <w:r w:rsidRPr="0049263A">
        <w:rPr>
          <w:rFonts w:ascii="Book Antiqua" w:hAnsi="Book Antiqua" w:cs="Arial"/>
          <w:sz w:val="24"/>
          <w:szCs w:val="24"/>
          <w:lang w:val="en-GB"/>
        </w:rPr>
        <w:t>dL</w:t>
      </w:r>
      <w:proofErr w:type="spellEnd"/>
      <w:r w:rsidRPr="0049263A">
        <w:rPr>
          <w:rFonts w:ascii="Book Antiqua" w:hAnsi="Book Antiqua" w:cs="Arial"/>
          <w:sz w:val="24"/>
          <w:szCs w:val="24"/>
          <w:lang w:val="en-GB"/>
        </w:rPr>
        <w:t xml:space="preserve"> in 71.4% of M1b patients compared to 65.2% of M1a patients and 49.6% of M0 patients (</w:t>
      </w:r>
      <w:r w:rsidR="00AA734A" w:rsidRPr="0049263A">
        <w:rPr>
          <w:rFonts w:ascii="Book Antiqua" w:hAnsi="Book Antiqua" w:cs="Arial"/>
          <w:i/>
          <w:sz w:val="24"/>
          <w:szCs w:val="24"/>
          <w:lang w:val="en-GB"/>
        </w:rPr>
        <w:t>P</w:t>
      </w:r>
      <w:r w:rsidR="00AA734A" w:rsidRPr="0049263A">
        <w:rPr>
          <w:rFonts w:ascii="Book Antiqua" w:hAnsi="Book Antiqua" w:cs="Arial"/>
          <w:sz w:val="24"/>
          <w:szCs w:val="24"/>
          <w:lang w:val="en-GB"/>
        </w:rPr>
        <w:t xml:space="preserve"> </w:t>
      </w:r>
      <w:r w:rsidRPr="0049263A">
        <w:rPr>
          <w:rFonts w:ascii="Book Antiqua" w:hAnsi="Book Antiqua" w:cs="Arial"/>
          <w:sz w:val="24"/>
          <w:szCs w:val="24"/>
          <w:lang w:val="en-GB"/>
        </w:rPr>
        <w: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0.001). Regarding the depth of tumour invasion, fibrinogen values were &gt;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400 mg/</w:t>
      </w:r>
      <w:proofErr w:type="spellStart"/>
      <w:r w:rsidRPr="0049263A">
        <w:rPr>
          <w:rFonts w:ascii="Book Antiqua" w:hAnsi="Book Antiqua" w:cs="Arial"/>
          <w:sz w:val="24"/>
          <w:szCs w:val="24"/>
          <w:lang w:val="en-GB"/>
        </w:rPr>
        <w:t>dL</w:t>
      </w:r>
      <w:proofErr w:type="spellEnd"/>
      <w:r w:rsidRPr="0049263A">
        <w:rPr>
          <w:rFonts w:ascii="Book Antiqua" w:hAnsi="Book Antiqua" w:cs="Arial"/>
          <w:sz w:val="24"/>
          <w:szCs w:val="24"/>
          <w:lang w:val="en-GB"/>
        </w:rPr>
        <w:t xml:space="preserve"> in 32.6% of pT1 patients, 37.7% of pT2 patients, 54.8% of pT3 patients and 61.1% of pT4 patients (</w:t>
      </w:r>
      <w:r w:rsidR="00AA734A" w:rsidRPr="0049263A">
        <w:rPr>
          <w:rFonts w:ascii="Book Antiqua" w:hAnsi="Book Antiqua" w:cs="Arial"/>
          <w:i/>
          <w:sz w:val="24"/>
          <w:szCs w:val="24"/>
          <w:lang w:val="en-GB"/>
        </w:rPr>
        <w:t>P</w:t>
      </w:r>
      <w:r w:rsidR="00AA734A" w:rsidRPr="0049263A">
        <w:rPr>
          <w:rFonts w:ascii="Book Antiqua" w:hAnsi="Book Antiqua" w:cs="Arial"/>
          <w:sz w:val="24"/>
          <w:szCs w:val="24"/>
          <w:lang w:val="en-GB"/>
        </w:rPr>
        <w:t xml:space="preserve"> </w:t>
      </w:r>
      <w:r w:rsidRPr="0049263A">
        <w:rPr>
          <w:rFonts w:ascii="Book Antiqua" w:hAnsi="Book Antiqua" w:cs="Arial"/>
          <w:sz w:val="24"/>
          <w:szCs w:val="24"/>
          <w:lang w:val="en-GB"/>
        </w:rPr>
        <w:t>&lt;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0.001). Conversely, the extent of nodal involvement did not correlate with fibrinogen value. Fibrinogen plasma levels were found to be &gt;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400 mg/</w:t>
      </w:r>
      <w:proofErr w:type="spellStart"/>
      <w:r w:rsidRPr="0049263A">
        <w:rPr>
          <w:rFonts w:ascii="Book Antiqua" w:hAnsi="Book Antiqua" w:cs="Arial"/>
          <w:sz w:val="24"/>
          <w:szCs w:val="24"/>
          <w:lang w:val="en-GB"/>
        </w:rPr>
        <w:t>dL</w:t>
      </w:r>
      <w:proofErr w:type="spellEnd"/>
      <w:r w:rsidRPr="0049263A">
        <w:rPr>
          <w:rFonts w:ascii="Book Antiqua" w:hAnsi="Book Antiqua" w:cs="Arial"/>
          <w:sz w:val="24"/>
          <w:szCs w:val="24"/>
          <w:lang w:val="en-GB"/>
        </w:rPr>
        <w:t xml:space="preserve"> in 50.3% of pN0 patients, 51.8% of pN1 patients and 61.8% of pN2 patients (</w:t>
      </w:r>
      <w:r w:rsidR="00AA734A" w:rsidRPr="0049263A">
        <w:rPr>
          <w:rFonts w:ascii="Book Antiqua" w:hAnsi="Book Antiqua" w:cs="Arial"/>
          <w:i/>
          <w:sz w:val="24"/>
          <w:szCs w:val="24"/>
          <w:lang w:val="en-GB"/>
        </w:rPr>
        <w:t>P</w:t>
      </w:r>
      <w:r w:rsidR="00AA734A" w:rsidRPr="0049263A">
        <w:rPr>
          <w:rFonts w:ascii="Book Antiqua" w:hAnsi="Book Antiqua" w:cs="Arial"/>
          <w:sz w:val="24"/>
          <w:szCs w:val="24"/>
          <w:lang w:val="en-GB"/>
        </w:rPr>
        <w:t xml:space="preserve"> </w:t>
      </w:r>
      <w:r w:rsidRPr="0049263A">
        <w:rPr>
          <w:rFonts w:ascii="Book Antiqua" w:hAnsi="Book Antiqua" w:cs="Arial"/>
          <w:sz w:val="24"/>
          <w:szCs w:val="24"/>
          <w:lang w:val="en-GB"/>
        </w:rPr>
        <w: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0.017).</w:t>
      </w:r>
    </w:p>
    <w:p w14:paraId="63BB94BD" w14:textId="77777777" w:rsidR="0093205E" w:rsidRPr="0049263A" w:rsidRDefault="0093205E" w:rsidP="00AA734A">
      <w:pPr>
        <w:snapToGrid w:val="0"/>
        <w:spacing w:line="360" w:lineRule="auto"/>
        <w:jc w:val="both"/>
        <w:rPr>
          <w:rFonts w:ascii="Book Antiqua" w:hAnsi="Book Antiqua" w:cs="Arial"/>
          <w:sz w:val="24"/>
          <w:szCs w:val="24"/>
          <w:lang w:val="en-GB"/>
        </w:rPr>
      </w:pPr>
    </w:p>
    <w:p w14:paraId="2E461105" w14:textId="77777777" w:rsidR="0093205E" w:rsidRPr="0049263A" w:rsidRDefault="0093205E" w:rsidP="00AA734A">
      <w:pPr>
        <w:snapToGrid w:val="0"/>
        <w:spacing w:line="360" w:lineRule="auto"/>
        <w:jc w:val="both"/>
        <w:rPr>
          <w:rFonts w:ascii="Book Antiqua" w:hAnsi="Book Antiqua" w:cs="Arial"/>
          <w:i/>
          <w:sz w:val="24"/>
          <w:szCs w:val="24"/>
          <w:lang w:val="en-GB"/>
        </w:rPr>
      </w:pPr>
      <w:r w:rsidRPr="0049263A">
        <w:rPr>
          <w:rFonts w:ascii="Book Antiqua" w:hAnsi="Book Antiqua" w:cs="Arial"/>
          <w:b/>
          <w:i/>
          <w:iCs/>
          <w:sz w:val="24"/>
          <w:szCs w:val="24"/>
          <w:lang w:val="en-GB"/>
        </w:rPr>
        <w:t>Fibrinogen plasma levels and long-term survival</w:t>
      </w:r>
    </w:p>
    <w:p w14:paraId="5107B80B" w14:textId="5BD54E32" w:rsidR="0093205E" w:rsidRPr="0049263A" w:rsidRDefault="0093205E" w:rsidP="00AA734A">
      <w:pPr>
        <w:autoSpaceDE w:val="0"/>
        <w:snapToGrid w:val="0"/>
        <w:spacing w:line="360" w:lineRule="auto"/>
        <w:jc w:val="both"/>
        <w:rPr>
          <w:rFonts w:ascii="Book Antiqua" w:hAnsi="Book Antiqua" w:cs="Arial"/>
          <w:sz w:val="24"/>
          <w:szCs w:val="24"/>
          <w:lang w:val="en-GB"/>
        </w:rPr>
      </w:pPr>
      <w:r w:rsidRPr="0049263A">
        <w:rPr>
          <w:rFonts w:ascii="Book Antiqua" w:hAnsi="Book Antiqua" w:cs="Arial"/>
          <w:sz w:val="24"/>
          <w:szCs w:val="24"/>
          <w:lang w:val="en-GB"/>
        </w:rPr>
        <w:t>The 5-year survival and 5-year tumour-related survival rates of the study population were 64.4% and 75.2%, respectively. Five-year survival and 5-year tumour-related survival rates according to preoperative fibrinogen plasma levels are shown in Figure 1A. The 5-year survival rate was 72.4% for patients with values ≤</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400 mg/</w:t>
      </w:r>
      <w:proofErr w:type="spellStart"/>
      <w:r w:rsidRPr="0049263A">
        <w:rPr>
          <w:rFonts w:ascii="Book Antiqua" w:hAnsi="Book Antiqua" w:cs="Arial"/>
          <w:sz w:val="24"/>
          <w:szCs w:val="24"/>
          <w:lang w:val="en-GB"/>
        </w:rPr>
        <w:t>dL</w:t>
      </w:r>
      <w:proofErr w:type="spellEnd"/>
      <w:r w:rsidRPr="0049263A">
        <w:rPr>
          <w:rFonts w:ascii="Book Antiqua" w:hAnsi="Book Antiqua" w:cs="Arial"/>
          <w:sz w:val="24"/>
          <w:szCs w:val="24"/>
          <w:lang w:val="en-GB"/>
        </w:rPr>
        <w:t xml:space="preserve"> and 58.1% for patients with values &gt;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400 mg/</w:t>
      </w:r>
      <w:proofErr w:type="spellStart"/>
      <w:r w:rsidRPr="0049263A">
        <w:rPr>
          <w:rFonts w:ascii="Book Antiqua" w:hAnsi="Book Antiqua" w:cs="Arial"/>
          <w:sz w:val="24"/>
          <w:szCs w:val="24"/>
          <w:lang w:val="en-GB"/>
        </w:rPr>
        <w:t>dL</w:t>
      </w:r>
      <w:proofErr w:type="spellEnd"/>
      <w:r w:rsidRPr="0049263A">
        <w:rPr>
          <w:rFonts w:ascii="Book Antiqua" w:hAnsi="Book Antiqua" w:cs="Arial"/>
          <w:sz w:val="24"/>
          <w:szCs w:val="24"/>
          <w:lang w:val="en-GB"/>
        </w:rPr>
        <w:t xml:space="preserve"> (</w:t>
      </w:r>
      <w:r w:rsidR="00AA734A" w:rsidRPr="0049263A">
        <w:rPr>
          <w:rFonts w:ascii="Book Antiqua" w:hAnsi="Book Antiqua" w:cs="Arial"/>
          <w:i/>
          <w:sz w:val="24"/>
          <w:szCs w:val="24"/>
          <w:lang w:val="en-GB"/>
        </w:rPr>
        <w:t>P</w:t>
      </w:r>
      <w:r w:rsidR="00AA734A" w:rsidRPr="0049263A">
        <w:rPr>
          <w:rFonts w:ascii="Book Antiqua" w:hAnsi="Book Antiqua" w:cs="Arial"/>
          <w:sz w:val="24"/>
          <w:szCs w:val="24"/>
          <w:lang w:val="en-GB"/>
        </w:rPr>
        <w:t xml:space="preserve"> </w:t>
      </w:r>
      <w:r w:rsidRPr="0049263A">
        <w:rPr>
          <w:rFonts w:ascii="Book Antiqua" w:hAnsi="Book Antiqua" w:cs="Arial"/>
          <w:sz w:val="24"/>
          <w:szCs w:val="24"/>
          <w:lang w:val="en-GB"/>
        </w:rPr>
        <w:t>&lt;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0.001). When considering tumour-related mortality, the 5-year survival rate was 81.2% for patients with values ≤</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400 mg/</w:t>
      </w:r>
      <w:proofErr w:type="spellStart"/>
      <w:r w:rsidRPr="0049263A">
        <w:rPr>
          <w:rFonts w:ascii="Book Antiqua" w:hAnsi="Book Antiqua" w:cs="Arial"/>
          <w:sz w:val="24"/>
          <w:szCs w:val="24"/>
          <w:lang w:val="en-GB"/>
        </w:rPr>
        <w:t>dL</w:t>
      </w:r>
      <w:proofErr w:type="spellEnd"/>
      <w:r w:rsidRPr="0049263A">
        <w:rPr>
          <w:rFonts w:ascii="Book Antiqua" w:hAnsi="Book Antiqua" w:cs="Arial"/>
          <w:sz w:val="24"/>
          <w:szCs w:val="24"/>
          <w:lang w:val="en-GB"/>
        </w:rPr>
        <w:t xml:space="preserve"> and 69.6% for patients with values &gt;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400 mg/</w:t>
      </w:r>
      <w:proofErr w:type="spellStart"/>
      <w:r w:rsidRPr="0049263A">
        <w:rPr>
          <w:rFonts w:ascii="Book Antiqua" w:hAnsi="Book Antiqua" w:cs="Arial"/>
          <w:sz w:val="24"/>
          <w:szCs w:val="24"/>
          <w:lang w:val="en-GB"/>
        </w:rPr>
        <w:t>dL</w:t>
      </w:r>
      <w:proofErr w:type="spellEnd"/>
      <w:r w:rsidRPr="0049263A">
        <w:rPr>
          <w:rFonts w:ascii="Book Antiqua" w:hAnsi="Book Antiqua" w:cs="Arial"/>
          <w:sz w:val="24"/>
          <w:szCs w:val="24"/>
          <w:lang w:val="en-GB"/>
        </w:rPr>
        <w:t xml:space="preserve"> (</w:t>
      </w:r>
      <w:r w:rsidR="00AA734A" w:rsidRPr="0049263A">
        <w:rPr>
          <w:rFonts w:ascii="Book Antiqua" w:hAnsi="Book Antiqua" w:cs="Arial"/>
          <w:i/>
          <w:sz w:val="24"/>
          <w:szCs w:val="24"/>
          <w:lang w:val="en-GB"/>
        </w:rPr>
        <w:t>P</w:t>
      </w:r>
      <w:r w:rsidR="00AA734A" w:rsidRPr="0049263A">
        <w:rPr>
          <w:rFonts w:ascii="Book Antiqua" w:hAnsi="Book Antiqua" w:cs="Arial"/>
          <w:sz w:val="24"/>
          <w:szCs w:val="24"/>
          <w:lang w:val="en-GB"/>
        </w:rPr>
        <w:t xml:space="preserve"> </w:t>
      </w:r>
      <w:r w:rsidRPr="0049263A">
        <w:rPr>
          <w:rFonts w:ascii="Book Antiqua" w:hAnsi="Book Antiqua" w:cs="Arial"/>
          <w:sz w:val="24"/>
          <w:szCs w:val="24"/>
          <w:lang w:val="en-GB"/>
        </w:rPr>
        <w:t>&lt;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0.001).</w:t>
      </w:r>
    </w:p>
    <w:p w14:paraId="302C65EC" w14:textId="5D40766D" w:rsidR="0093205E" w:rsidRPr="0049263A" w:rsidRDefault="0093205E" w:rsidP="00AA734A">
      <w:pPr>
        <w:autoSpaceDE w:val="0"/>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Survival curves for patients undergoing potentially curative resection (R0) are shown in Figure 1B. Fibrinogen plasma levels were associated with overall survival (</w:t>
      </w:r>
      <w:r w:rsidR="00AA734A" w:rsidRPr="0049263A">
        <w:rPr>
          <w:rFonts w:ascii="Book Antiqua" w:hAnsi="Book Antiqua" w:cs="Arial"/>
          <w:i/>
          <w:sz w:val="24"/>
          <w:szCs w:val="24"/>
          <w:lang w:val="en-GB"/>
        </w:rPr>
        <w:t>P</w:t>
      </w:r>
      <w:r w:rsidR="00AA734A" w:rsidRPr="0049263A">
        <w:rPr>
          <w:rFonts w:ascii="Book Antiqua" w:hAnsi="Book Antiqua" w:cs="Arial"/>
          <w:sz w:val="24"/>
          <w:szCs w:val="24"/>
          <w:lang w:val="en-GB"/>
        </w:rPr>
        <w:t xml:space="preserve"> </w:t>
      </w:r>
      <w:r w:rsidRPr="0049263A">
        <w:rPr>
          <w:rFonts w:ascii="Book Antiqua" w:hAnsi="Book Antiqua" w:cs="Arial"/>
          <w:sz w:val="24"/>
          <w:szCs w:val="24"/>
          <w:lang w:val="en-GB"/>
        </w:rPr>
        <w: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0.010), whereas no significant difference was observed when tumour-related survival was considered (</w:t>
      </w:r>
      <w:r w:rsidR="00AA734A" w:rsidRPr="0049263A">
        <w:rPr>
          <w:rFonts w:ascii="Book Antiqua" w:hAnsi="Book Antiqua" w:cs="Arial"/>
          <w:i/>
          <w:sz w:val="24"/>
          <w:szCs w:val="24"/>
          <w:lang w:val="en-GB"/>
        </w:rPr>
        <w:t>P</w:t>
      </w:r>
      <w:r w:rsidR="00AA734A" w:rsidRPr="0049263A">
        <w:rPr>
          <w:rFonts w:ascii="Book Antiqua" w:hAnsi="Book Antiqua" w:cs="Arial"/>
          <w:sz w:val="24"/>
          <w:szCs w:val="24"/>
          <w:lang w:val="en-GB"/>
        </w:rPr>
        <w:t xml:space="preserve"> </w:t>
      </w:r>
      <w:r w:rsidRPr="0049263A">
        <w:rPr>
          <w:rFonts w:ascii="Book Antiqua" w:hAnsi="Book Antiqua" w:cs="Arial"/>
          <w:sz w:val="24"/>
          <w:szCs w:val="24"/>
          <w:lang w:val="en-GB"/>
        </w:rPr>
        <w: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0.604). In particular, 5-year tumour-related survival was 88.3% in patients with values ≤</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400 mg/</w:t>
      </w:r>
      <w:proofErr w:type="spellStart"/>
      <w:r w:rsidRPr="0049263A">
        <w:rPr>
          <w:rFonts w:ascii="Book Antiqua" w:hAnsi="Book Antiqua" w:cs="Arial"/>
          <w:sz w:val="24"/>
          <w:szCs w:val="24"/>
          <w:lang w:val="en-GB"/>
        </w:rPr>
        <w:t>dL</w:t>
      </w:r>
      <w:proofErr w:type="spellEnd"/>
      <w:r w:rsidRPr="0049263A">
        <w:rPr>
          <w:rFonts w:ascii="Book Antiqua" w:hAnsi="Book Antiqua" w:cs="Arial"/>
          <w:sz w:val="24"/>
          <w:szCs w:val="24"/>
          <w:lang w:val="en-GB"/>
        </w:rPr>
        <w:t xml:space="preserve"> and 88.7% for patients with values &gt;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400 mg/</w:t>
      </w:r>
      <w:proofErr w:type="spellStart"/>
      <w:r w:rsidRPr="0049263A">
        <w:rPr>
          <w:rFonts w:ascii="Book Antiqua" w:hAnsi="Book Antiqua" w:cs="Arial"/>
          <w:sz w:val="24"/>
          <w:szCs w:val="24"/>
          <w:lang w:val="en-GB"/>
        </w:rPr>
        <w:t>dL</w:t>
      </w:r>
      <w:proofErr w:type="spellEnd"/>
      <w:r w:rsidRPr="0049263A">
        <w:rPr>
          <w:rFonts w:ascii="Book Antiqua" w:hAnsi="Book Antiqua" w:cs="Arial"/>
          <w:sz w:val="24"/>
          <w:szCs w:val="24"/>
          <w:lang w:val="en-GB"/>
        </w:rPr>
        <w:t>.</w:t>
      </w:r>
    </w:p>
    <w:p w14:paraId="324EE61A" w14:textId="77777777" w:rsidR="0093205E" w:rsidRPr="0049263A" w:rsidRDefault="0093205E" w:rsidP="00AA734A">
      <w:pPr>
        <w:autoSpaceDE w:val="0"/>
        <w:snapToGrid w:val="0"/>
        <w:spacing w:line="360" w:lineRule="auto"/>
        <w:jc w:val="both"/>
        <w:rPr>
          <w:rFonts w:ascii="Book Antiqua" w:hAnsi="Book Antiqua" w:cs="Arial"/>
          <w:i/>
          <w:sz w:val="24"/>
          <w:szCs w:val="24"/>
          <w:lang w:val="en-GB"/>
        </w:rPr>
      </w:pPr>
    </w:p>
    <w:p w14:paraId="17DE4558" w14:textId="77777777" w:rsidR="0093205E" w:rsidRPr="0049263A" w:rsidRDefault="0093205E" w:rsidP="00AA734A">
      <w:pPr>
        <w:snapToGrid w:val="0"/>
        <w:spacing w:line="360" w:lineRule="auto"/>
        <w:jc w:val="both"/>
        <w:rPr>
          <w:rFonts w:ascii="Book Antiqua" w:eastAsia="MS Mincho" w:hAnsi="Book Antiqua" w:cs="Arial"/>
          <w:i/>
          <w:sz w:val="24"/>
          <w:szCs w:val="24"/>
          <w:lang w:val="en-GB"/>
        </w:rPr>
      </w:pPr>
      <w:r w:rsidRPr="0049263A">
        <w:rPr>
          <w:rFonts w:ascii="Book Antiqua" w:hAnsi="Book Antiqua" w:cs="Arial"/>
          <w:b/>
          <w:i/>
          <w:iCs/>
          <w:sz w:val="24"/>
          <w:szCs w:val="24"/>
          <w:lang w:val="en-GB"/>
        </w:rPr>
        <w:lastRenderedPageBreak/>
        <w:t>Fibrinogen plasma levels and multivariate analysis</w:t>
      </w:r>
    </w:p>
    <w:p w14:paraId="451708E6" w14:textId="3FFC89CB" w:rsidR="0093205E" w:rsidRPr="0049263A" w:rsidRDefault="0093205E" w:rsidP="00AA734A">
      <w:pPr>
        <w:snapToGrid w:val="0"/>
        <w:spacing w:line="360" w:lineRule="auto"/>
        <w:jc w:val="both"/>
        <w:rPr>
          <w:rFonts w:ascii="Book Antiqua" w:eastAsia="MS Mincho" w:hAnsi="Book Antiqua" w:cs="Arial"/>
          <w:sz w:val="24"/>
          <w:szCs w:val="24"/>
          <w:lang w:val="en-GB"/>
        </w:rPr>
      </w:pPr>
      <w:r w:rsidRPr="0049263A">
        <w:rPr>
          <w:rFonts w:ascii="Book Antiqua" w:eastAsia="MS Mincho" w:hAnsi="Book Antiqua" w:cs="Arial"/>
          <w:sz w:val="24"/>
          <w:szCs w:val="24"/>
          <w:lang w:val="en-GB"/>
        </w:rPr>
        <w:t xml:space="preserve">Table 2 shows the multivariate analysis (Cox regression model) adjusted for multiple factors. Age, the presence of systemic metastasis, the presence of residual tumour, </w:t>
      </w:r>
      <w:proofErr w:type="spellStart"/>
      <w:r w:rsidRPr="0049263A">
        <w:rPr>
          <w:rFonts w:ascii="Book Antiqua" w:eastAsia="MS Mincho" w:hAnsi="Book Antiqua" w:cs="Arial"/>
          <w:sz w:val="24"/>
          <w:szCs w:val="24"/>
          <w:lang w:val="en-GB"/>
        </w:rPr>
        <w:t>pT</w:t>
      </w:r>
      <w:proofErr w:type="spellEnd"/>
      <w:r w:rsidRPr="0049263A">
        <w:rPr>
          <w:rFonts w:ascii="Book Antiqua" w:eastAsia="MS Mincho" w:hAnsi="Book Antiqua" w:cs="Arial"/>
          <w:sz w:val="24"/>
          <w:szCs w:val="24"/>
          <w:lang w:val="en-GB"/>
        </w:rPr>
        <w:t xml:space="preserve"> category and </w:t>
      </w:r>
      <w:proofErr w:type="spellStart"/>
      <w:r w:rsidRPr="0049263A">
        <w:rPr>
          <w:rFonts w:ascii="Book Antiqua" w:eastAsia="MS Mincho" w:hAnsi="Book Antiqua" w:cs="Arial"/>
          <w:sz w:val="24"/>
          <w:szCs w:val="24"/>
          <w:lang w:val="en-GB"/>
        </w:rPr>
        <w:t>pN</w:t>
      </w:r>
      <w:proofErr w:type="spellEnd"/>
      <w:r w:rsidRPr="0049263A">
        <w:rPr>
          <w:rFonts w:ascii="Book Antiqua" w:eastAsia="MS Mincho" w:hAnsi="Book Antiqua" w:cs="Arial"/>
          <w:sz w:val="24"/>
          <w:szCs w:val="24"/>
          <w:lang w:val="en-GB"/>
        </w:rPr>
        <w:t xml:space="preserve"> category were confirmed as independent predictors of survival, whereas the fibrinogen plasma level was not </w:t>
      </w:r>
      <w:r w:rsidR="00306099" w:rsidRPr="0049263A">
        <w:rPr>
          <w:rFonts w:ascii="Book Antiqua" w:hAnsi="Book Antiqua" w:cs="Arial" w:hint="eastAsia"/>
          <w:sz w:val="24"/>
          <w:szCs w:val="24"/>
          <w:lang w:val="en-GB" w:eastAsia="zh-CN"/>
        </w:rPr>
        <w:t>[</w:t>
      </w:r>
      <w:r w:rsidR="00E27998" w:rsidRPr="0049263A">
        <w:rPr>
          <w:rFonts w:ascii="Book Antiqua" w:eastAsia="MS Mincho" w:hAnsi="Book Antiqua" w:cs="Arial"/>
          <w:sz w:val="24"/>
          <w:szCs w:val="24"/>
          <w:lang w:val="en-GB"/>
        </w:rPr>
        <w:t>hazard ratio (H</w:t>
      </w:r>
      <w:r w:rsidRPr="0049263A">
        <w:rPr>
          <w:rFonts w:ascii="Book Antiqua" w:eastAsia="MS Mincho" w:hAnsi="Book Antiqua" w:cs="Arial"/>
          <w:sz w:val="24"/>
          <w:szCs w:val="24"/>
          <w:lang w:val="en-GB"/>
        </w:rPr>
        <w:t>R) for fibrinogen value &gt;</w:t>
      </w:r>
      <w:r w:rsidR="00AA734A" w:rsidRPr="0049263A">
        <w:rPr>
          <w:rFonts w:ascii="Book Antiqua" w:hAnsi="Book Antiqua" w:cs="Arial" w:hint="eastAsia"/>
          <w:sz w:val="24"/>
          <w:szCs w:val="24"/>
          <w:lang w:val="en-GB" w:eastAsia="zh-CN"/>
        </w:rPr>
        <w:t xml:space="preserve"> </w:t>
      </w:r>
      <w:r w:rsidRPr="0049263A">
        <w:rPr>
          <w:rFonts w:ascii="Book Antiqua" w:eastAsia="MS Mincho" w:hAnsi="Book Antiqua" w:cs="Arial"/>
          <w:sz w:val="24"/>
          <w:szCs w:val="24"/>
          <w:lang w:val="en-GB"/>
        </w:rPr>
        <w:t>400 mg/</w:t>
      </w:r>
      <w:proofErr w:type="spellStart"/>
      <w:r w:rsidRPr="0049263A">
        <w:rPr>
          <w:rFonts w:ascii="Book Antiqua" w:eastAsia="MS Mincho" w:hAnsi="Book Antiqua" w:cs="Arial"/>
          <w:sz w:val="24"/>
          <w:szCs w:val="24"/>
          <w:lang w:val="en-GB"/>
        </w:rPr>
        <w:t>dL</w:t>
      </w:r>
      <w:proofErr w:type="spellEnd"/>
      <w:r w:rsidRPr="0049263A">
        <w:rPr>
          <w:rFonts w:ascii="Book Antiqua" w:eastAsia="MS Mincho" w:hAnsi="Book Antiqua" w:cs="Arial"/>
          <w:sz w:val="24"/>
          <w:szCs w:val="24"/>
          <w:lang w:val="en-GB"/>
        </w:rPr>
        <w:t xml:space="preserve"> compared to </w:t>
      </w:r>
      <w:r w:rsidRPr="0049263A">
        <w:rPr>
          <w:rFonts w:ascii="Book Antiqua" w:hAnsi="Book Antiqua" w:cs="Arial"/>
          <w:sz w:val="24"/>
          <w:szCs w:val="24"/>
          <w:lang w:val="en-GB"/>
        </w:rPr>
        <w:t>≤</w:t>
      </w:r>
      <w:r w:rsidR="00AA734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400 mg/</w:t>
      </w:r>
      <w:proofErr w:type="spellStart"/>
      <w:r w:rsidRPr="0049263A">
        <w:rPr>
          <w:rFonts w:ascii="Book Antiqua" w:hAnsi="Book Antiqua" w:cs="Arial"/>
          <w:sz w:val="24"/>
          <w:szCs w:val="24"/>
          <w:lang w:val="en-GB"/>
        </w:rPr>
        <w:t>dL</w:t>
      </w:r>
      <w:proofErr w:type="spellEnd"/>
      <w:r w:rsidR="00AA734A" w:rsidRPr="0049263A">
        <w:rPr>
          <w:rFonts w:ascii="Book Antiqua" w:eastAsia="MS Mincho" w:hAnsi="Book Antiqua" w:cs="Arial"/>
          <w:sz w:val="24"/>
          <w:szCs w:val="24"/>
          <w:lang w:val="en-GB"/>
        </w:rPr>
        <w:t xml:space="preserve">: 1.15 </w:t>
      </w:r>
      <w:r w:rsidR="00306099" w:rsidRPr="0049263A">
        <w:rPr>
          <w:rFonts w:ascii="Book Antiqua" w:hAnsi="Book Antiqua" w:cs="Arial" w:hint="eastAsia"/>
          <w:sz w:val="24"/>
          <w:szCs w:val="24"/>
          <w:lang w:val="en-GB" w:eastAsia="zh-CN"/>
        </w:rPr>
        <w:t>(</w:t>
      </w:r>
      <w:r w:rsidR="00AA734A" w:rsidRPr="0049263A">
        <w:rPr>
          <w:rFonts w:ascii="Book Antiqua" w:eastAsia="MS Mincho" w:hAnsi="Book Antiqua" w:cs="Arial"/>
          <w:sz w:val="24"/>
          <w:szCs w:val="24"/>
          <w:lang w:val="en-GB"/>
        </w:rPr>
        <w:t>95%</w:t>
      </w:r>
      <w:r w:rsidRPr="0049263A">
        <w:rPr>
          <w:rFonts w:ascii="Book Antiqua" w:eastAsia="MS Mincho" w:hAnsi="Book Antiqua" w:cs="Arial"/>
          <w:sz w:val="24"/>
          <w:szCs w:val="24"/>
          <w:lang w:val="en-GB"/>
        </w:rPr>
        <w:t>CI</w:t>
      </w:r>
      <w:r w:rsidR="00AA734A" w:rsidRPr="0049263A">
        <w:rPr>
          <w:rFonts w:ascii="Book Antiqua" w:hAnsi="Book Antiqua" w:cs="Arial" w:hint="eastAsia"/>
          <w:sz w:val="24"/>
          <w:szCs w:val="24"/>
          <w:lang w:val="en-GB" w:eastAsia="zh-CN"/>
        </w:rPr>
        <w:t xml:space="preserve">: </w:t>
      </w:r>
      <w:r w:rsidRPr="0049263A">
        <w:rPr>
          <w:rFonts w:ascii="Book Antiqua" w:eastAsia="MS Mincho" w:hAnsi="Book Antiqua" w:cs="Arial"/>
          <w:sz w:val="24"/>
          <w:szCs w:val="24"/>
          <w:lang w:val="en-GB"/>
        </w:rPr>
        <w:t>0.86</w:t>
      </w:r>
      <w:r w:rsidR="00AA734A" w:rsidRPr="0049263A">
        <w:rPr>
          <w:rFonts w:ascii="Book Antiqua" w:hAnsi="Book Antiqua" w:cs="Arial" w:hint="eastAsia"/>
          <w:sz w:val="24"/>
          <w:szCs w:val="24"/>
          <w:lang w:val="en-GB" w:eastAsia="zh-CN"/>
        </w:rPr>
        <w:t>-</w:t>
      </w:r>
      <w:r w:rsidRPr="0049263A">
        <w:rPr>
          <w:rFonts w:ascii="Book Antiqua" w:eastAsia="MS Mincho" w:hAnsi="Book Antiqua" w:cs="Arial"/>
          <w:sz w:val="24"/>
          <w:szCs w:val="24"/>
          <w:lang w:val="en-GB"/>
        </w:rPr>
        <w:t>1.54</w:t>
      </w:r>
      <w:r w:rsidR="00306099" w:rsidRPr="0049263A">
        <w:rPr>
          <w:rFonts w:ascii="Book Antiqua" w:hAnsi="Book Antiqua" w:cs="Arial" w:hint="eastAsia"/>
          <w:sz w:val="24"/>
          <w:szCs w:val="24"/>
          <w:lang w:val="en-GB" w:eastAsia="zh-CN"/>
        </w:rPr>
        <w:t>)</w:t>
      </w:r>
      <w:r w:rsidRPr="0049263A">
        <w:rPr>
          <w:rFonts w:ascii="Book Antiqua" w:eastAsia="MS Mincho" w:hAnsi="Book Antiqua" w:cs="Arial"/>
          <w:sz w:val="24"/>
          <w:szCs w:val="24"/>
          <w:lang w:val="en-GB"/>
        </w:rPr>
        <w:t xml:space="preserve">; </w:t>
      </w:r>
      <w:r w:rsidR="00AA734A" w:rsidRPr="0049263A">
        <w:rPr>
          <w:rFonts w:ascii="Book Antiqua" w:hAnsi="Book Antiqua" w:cs="Arial"/>
          <w:i/>
          <w:sz w:val="24"/>
          <w:szCs w:val="24"/>
          <w:lang w:val="en-GB"/>
        </w:rPr>
        <w:t>P</w:t>
      </w:r>
      <w:r w:rsidRPr="0049263A">
        <w:rPr>
          <w:rFonts w:ascii="Book Antiqua" w:eastAsia="MS Mincho" w:hAnsi="Book Antiqua" w:cs="Arial"/>
          <w:sz w:val="24"/>
          <w:szCs w:val="24"/>
          <w:lang w:val="en-GB"/>
        </w:rPr>
        <w:t xml:space="preserve"> = 0.355</w:t>
      </w:r>
      <w:r w:rsidR="00306099" w:rsidRPr="0049263A">
        <w:rPr>
          <w:rFonts w:ascii="Book Antiqua" w:hAnsi="Book Antiqua" w:cs="Arial" w:hint="eastAsia"/>
          <w:sz w:val="24"/>
          <w:szCs w:val="24"/>
          <w:lang w:val="en-GB" w:eastAsia="zh-CN"/>
        </w:rPr>
        <w:t>]</w:t>
      </w:r>
      <w:r w:rsidRPr="0049263A">
        <w:rPr>
          <w:rFonts w:ascii="Book Antiqua" w:eastAsia="MS Mincho" w:hAnsi="Book Antiqua" w:cs="Arial"/>
          <w:sz w:val="24"/>
          <w:szCs w:val="24"/>
          <w:lang w:val="en-GB"/>
        </w:rPr>
        <w:t xml:space="preserve">. Similar results were found for tumour-related survival </w:t>
      </w:r>
      <w:r w:rsidR="00306099" w:rsidRPr="0049263A">
        <w:rPr>
          <w:rFonts w:ascii="Book Antiqua" w:hAnsi="Book Antiqua" w:cs="Arial" w:hint="eastAsia"/>
          <w:sz w:val="24"/>
          <w:szCs w:val="24"/>
          <w:lang w:val="en-GB" w:eastAsia="zh-CN"/>
        </w:rPr>
        <w:t>[</w:t>
      </w:r>
      <w:r w:rsidR="00E27998" w:rsidRPr="0049263A">
        <w:rPr>
          <w:rFonts w:ascii="Book Antiqua" w:eastAsia="MS Mincho" w:hAnsi="Book Antiqua" w:cs="Arial"/>
          <w:sz w:val="24"/>
          <w:szCs w:val="24"/>
          <w:lang w:val="en-GB"/>
        </w:rPr>
        <w:t>H</w:t>
      </w:r>
      <w:r w:rsidRPr="0049263A">
        <w:rPr>
          <w:rFonts w:ascii="Book Antiqua" w:eastAsia="MS Mincho" w:hAnsi="Book Antiqua" w:cs="Arial"/>
          <w:sz w:val="24"/>
          <w:szCs w:val="24"/>
          <w:lang w:val="en-GB"/>
        </w:rPr>
        <w:t>R for fibrinogen value &gt;</w:t>
      </w:r>
      <w:r w:rsidR="00306099" w:rsidRPr="0049263A">
        <w:rPr>
          <w:rFonts w:ascii="Book Antiqua" w:hAnsi="Book Antiqua" w:cs="Arial" w:hint="eastAsia"/>
          <w:sz w:val="24"/>
          <w:szCs w:val="24"/>
          <w:lang w:val="en-GB" w:eastAsia="zh-CN"/>
        </w:rPr>
        <w:t xml:space="preserve"> </w:t>
      </w:r>
      <w:r w:rsidRPr="0049263A">
        <w:rPr>
          <w:rFonts w:ascii="Book Antiqua" w:eastAsia="MS Mincho" w:hAnsi="Book Antiqua" w:cs="Arial"/>
          <w:sz w:val="24"/>
          <w:szCs w:val="24"/>
          <w:lang w:val="en-GB"/>
        </w:rPr>
        <w:t>400 mg/</w:t>
      </w:r>
      <w:proofErr w:type="spellStart"/>
      <w:r w:rsidRPr="0049263A">
        <w:rPr>
          <w:rFonts w:ascii="Book Antiqua" w:eastAsia="MS Mincho" w:hAnsi="Book Antiqua" w:cs="Arial"/>
          <w:sz w:val="24"/>
          <w:szCs w:val="24"/>
          <w:lang w:val="en-GB"/>
        </w:rPr>
        <w:t>dL</w:t>
      </w:r>
      <w:proofErr w:type="spellEnd"/>
      <w:r w:rsidRPr="0049263A">
        <w:rPr>
          <w:rFonts w:ascii="Book Antiqua" w:eastAsia="MS Mincho" w:hAnsi="Book Antiqua" w:cs="Arial"/>
          <w:sz w:val="24"/>
          <w:szCs w:val="24"/>
          <w:lang w:val="en-GB"/>
        </w:rPr>
        <w:t xml:space="preserve"> compared to </w:t>
      </w:r>
      <w:r w:rsidRPr="0049263A">
        <w:rPr>
          <w:rFonts w:ascii="Book Antiqua" w:hAnsi="Book Antiqua" w:cs="Arial"/>
          <w:sz w:val="24"/>
          <w:szCs w:val="24"/>
          <w:lang w:val="en-GB"/>
        </w:rPr>
        <w:t>≤400 mg/</w:t>
      </w:r>
      <w:proofErr w:type="spellStart"/>
      <w:r w:rsidRPr="0049263A">
        <w:rPr>
          <w:rFonts w:ascii="Book Antiqua" w:hAnsi="Book Antiqua" w:cs="Arial"/>
          <w:sz w:val="24"/>
          <w:szCs w:val="24"/>
          <w:lang w:val="en-GB"/>
        </w:rPr>
        <w:t>dL</w:t>
      </w:r>
      <w:proofErr w:type="spellEnd"/>
      <w:r w:rsidRPr="0049263A">
        <w:rPr>
          <w:rFonts w:ascii="Book Antiqua" w:eastAsia="MS Mincho" w:hAnsi="Book Antiqua" w:cs="Arial"/>
          <w:sz w:val="24"/>
          <w:szCs w:val="24"/>
          <w:lang w:val="en-GB"/>
        </w:rPr>
        <w:t xml:space="preserve">: 0.82 </w:t>
      </w:r>
      <w:r w:rsidR="00306099" w:rsidRPr="0049263A">
        <w:rPr>
          <w:rFonts w:ascii="Book Antiqua" w:hAnsi="Book Antiqua" w:cs="Arial" w:hint="eastAsia"/>
          <w:sz w:val="24"/>
          <w:szCs w:val="24"/>
          <w:lang w:val="en-GB" w:eastAsia="zh-CN"/>
        </w:rPr>
        <w:t>(</w:t>
      </w:r>
      <w:r w:rsidR="00306099" w:rsidRPr="0049263A">
        <w:rPr>
          <w:rFonts w:ascii="Book Antiqua" w:eastAsia="MS Mincho" w:hAnsi="Book Antiqua" w:cs="Arial"/>
          <w:sz w:val="24"/>
          <w:szCs w:val="24"/>
          <w:lang w:val="en-GB"/>
        </w:rPr>
        <w:t>95%</w:t>
      </w:r>
      <w:r w:rsidRPr="0049263A">
        <w:rPr>
          <w:rFonts w:ascii="Book Antiqua" w:eastAsia="MS Mincho" w:hAnsi="Book Antiqua" w:cs="Arial"/>
          <w:sz w:val="24"/>
          <w:szCs w:val="24"/>
          <w:lang w:val="en-GB"/>
        </w:rPr>
        <w:t>CI</w:t>
      </w:r>
      <w:r w:rsidR="00306099" w:rsidRPr="0049263A">
        <w:rPr>
          <w:rFonts w:ascii="Book Antiqua" w:hAnsi="Book Antiqua" w:cs="Arial" w:hint="eastAsia"/>
          <w:sz w:val="24"/>
          <w:szCs w:val="24"/>
          <w:lang w:val="en-GB" w:eastAsia="zh-CN"/>
        </w:rPr>
        <w:t xml:space="preserve">: </w:t>
      </w:r>
      <w:r w:rsidRPr="0049263A">
        <w:rPr>
          <w:rFonts w:ascii="Book Antiqua" w:eastAsia="MS Mincho" w:hAnsi="Book Antiqua" w:cs="Arial"/>
          <w:sz w:val="24"/>
          <w:szCs w:val="24"/>
          <w:lang w:val="en-GB"/>
        </w:rPr>
        <w:t>0.54</w:t>
      </w:r>
      <w:r w:rsidR="00306099" w:rsidRPr="0049263A">
        <w:rPr>
          <w:rFonts w:ascii="Book Antiqua" w:hAnsi="Book Antiqua" w:cs="Arial" w:hint="eastAsia"/>
          <w:sz w:val="24"/>
          <w:szCs w:val="24"/>
          <w:lang w:val="en-GB" w:eastAsia="zh-CN"/>
        </w:rPr>
        <w:t>-</w:t>
      </w:r>
      <w:r w:rsidRPr="0049263A">
        <w:rPr>
          <w:rFonts w:ascii="Book Antiqua" w:eastAsia="MS Mincho" w:hAnsi="Book Antiqua" w:cs="Arial"/>
          <w:sz w:val="24"/>
          <w:szCs w:val="24"/>
          <w:lang w:val="en-GB"/>
        </w:rPr>
        <w:t>1.21</w:t>
      </w:r>
      <w:r w:rsidR="00306099" w:rsidRPr="0049263A">
        <w:rPr>
          <w:rFonts w:ascii="Book Antiqua" w:hAnsi="Book Antiqua" w:cs="Arial" w:hint="eastAsia"/>
          <w:sz w:val="24"/>
          <w:szCs w:val="24"/>
          <w:lang w:val="en-GB" w:eastAsia="zh-CN"/>
        </w:rPr>
        <w:t>)</w:t>
      </w:r>
      <w:r w:rsidRPr="0049263A">
        <w:rPr>
          <w:rFonts w:ascii="Book Antiqua" w:eastAsia="MS Mincho" w:hAnsi="Book Antiqua" w:cs="Arial"/>
          <w:sz w:val="24"/>
          <w:szCs w:val="24"/>
          <w:lang w:val="en-GB"/>
        </w:rPr>
        <w:t xml:space="preserve">; </w:t>
      </w:r>
      <w:r w:rsidRPr="0049263A">
        <w:rPr>
          <w:rFonts w:ascii="Book Antiqua" w:eastAsia="MS Mincho" w:hAnsi="Book Antiqua" w:cs="Arial"/>
          <w:i/>
          <w:sz w:val="24"/>
          <w:szCs w:val="24"/>
          <w:lang w:val="en-GB"/>
        </w:rPr>
        <w:t>P</w:t>
      </w:r>
      <w:r w:rsidRPr="0049263A">
        <w:rPr>
          <w:rFonts w:ascii="Book Antiqua" w:eastAsia="MS Mincho" w:hAnsi="Book Antiqua" w:cs="Arial"/>
          <w:sz w:val="24"/>
          <w:szCs w:val="24"/>
          <w:lang w:val="en-GB"/>
        </w:rPr>
        <w:t xml:space="preserve"> = 0.313</w:t>
      </w:r>
      <w:r w:rsidR="00306099" w:rsidRPr="0049263A">
        <w:rPr>
          <w:rFonts w:ascii="Book Antiqua" w:hAnsi="Book Antiqua" w:cs="Arial" w:hint="eastAsia"/>
          <w:sz w:val="24"/>
          <w:szCs w:val="24"/>
          <w:lang w:val="en-GB" w:eastAsia="zh-CN"/>
        </w:rPr>
        <w:t>]</w:t>
      </w:r>
      <w:r w:rsidRPr="0049263A">
        <w:rPr>
          <w:rFonts w:ascii="Book Antiqua" w:eastAsia="MS Mincho" w:hAnsi="Book Antiqua" w:cs="Arial"/>
          <w:sz w:val="24"/>
          <w:szCs w:val="24"/>
          <w:lang w:val="en-GB"/>
        </w:rPr>
        <w:t xml:space="preserve">. Table 3 shows 5-year survival and tumour-related survival rates for Stage I, Stage II, Stage III and Stage IV tumours treated by potentially curative resection (R0). </w:t>
      </w:r>
    </w:p>
    <w:p w14:paraId="597BB2DF" w14:textId="77777777" w:rsidR="00BA61AD" w:rsidRPr="0049263A" w:rsidRDefault="00BA61AD" w:rsidP="00AA734A">
      <w:pPr>
        <w:snapToGrid w:val="0"/>
        <w:spacing w:line="360" w:lineRule="auto"/>
        <w:jc w:val="both"/>
        <w:rPr>
          <w:rFonts w:ascii="Book Antiqua" w:eastAsia="MS Mincho" w:hAnsi="Book Antiqua" w:cs="Arial"/>
          <w:sz w:val="24"/>
          <w:szCs w:val="24"/>
          <w:lang w:val="en-GB"/>
        </w:rPr>
      </w:pPr>
    </w:p>
    <w:p w14:paraId="3B779089" w14:textId="77777777" w:rsidR="0093205E" w:rsidRPr="0049263A" w:rsidRDefault="0093205E" w:rsidP="00AA734A">
      <w:pPr>
        <w:snapToGrid w:val="0"/>
        <w:spacing w:line="360" w:lineRule="auto"/>
        <w:jc w:val="both"/>
        <w:rPr>
          <w:rFonts w:ascii="Book Antiqua" w:hAnsi="Book Antiqua" w:cs="Arial"/>
          <w:sz w:val="24"/>
          <w:szCs w:val="24"/>
          <w:lang w:val="en-GB"/>
        </w:rPr>
      </w:pPr>
      <w:r w:rsidRPr="0049263A">
        <w:rPr>
          <w:rFonts w:ascii="Book Antiqua" w:eastAsia="MS Mincho" w:hAnsi="Book Antiqua" w:cs="Arial"/>
          <w:b/>
          <w:sz w:val="24"/>
          <w:szCs w:val="24"/>
          <w:lang w:val="en-GB"/>
        </w:rPr>
        <w:t>DISCUSSION</w:t>
      </w:r>
    </w:p>
    <w:p w14:paraId="74F0992E" w14:textId="79E3B551" w:rsidR="0093205E" w:rsidRPr="0049263A" w:rsidRDefault="0093205E" w:rsidP="00AA734A">
      <w:pPr>
        <w:widowControl w:val="0"/>
        <w:autoSpaceDE w:val="0"/>
        <w:snapToGrid w:val="0"/>
        <w:spacing w:line="360" w:lineRule="auto"/>
        <w:jc w:val="both"/>
        <w:rPr>
          <w:rFonts w:ascii="Book Antiqua" w:hAnsi="Book Antiqua" w:cs="Arial"/>
          <w:sz w:val="24"/>
          <w:szCs w:val="24"/>
          <w:lang w:val="en-GB"/>
        </w:rPr>
      </w:pPr>
      <w:r w:rsidRPr="0049263A">
        <w:rPr>
          <w:rFonts w:ascii="Book Antiqua" w:hAnsi="Book Antiqua" w:cs="Arial"/>
          <w:sz w:val="24"/>
          <w:szCs w:val="24"/>
          <w:lang w:val="en-GB"/>
        </w:rPr>
        <w:t xml:space="preserve">The main findings of this study are: </w:t>
      </w:r>
      <w:r w:rsidR="00306099" w:rsidRPr="0049263A">
        <w:rPr>
          <w:rFonts w:ascii="Book Antiqua" w:hAnsi="Book Antiqua" w:cs="Arial" w:hint="eastAsia"/>
          <w:sz w:val="24"/>
          <w:szCs w:val="24"/>
          <w:lang w:val="en-GB" w:eastAsia="zh-CN"/>
        </w:rPr>
        <w:t>(1</w:t>
      </w:r>
      <w:r w:rsidRPr="0049263A">
        <w:rPr>
          <w:rFonts w:ascii="Book Antiqua" w:hAnsi="Book Antiqua" w:cs="Arial"/>
          <w:sz w:val="24"/>
          <w:szCs w:val="24"/>
          <w:lang w:val="en-GB"/>
        </w:rPr>
        <w:t xml:space="preserve">) preoperative fibrinogen plasma levels correlate with the leading prognostic factors in patients undergoing CRC surgery; </w:t>
      </w:r>
      <w:r w:rsidR="00306099" w:rsidRPr="0049263A">
        <w:rPr>
          <w:rFonts w:ascii="Book Antiqua" w:hAnsi="Book Antiqua" w:cs="Arial" w:hint="eastAsia"/>
          <w:sz w:val="24"/>
          <w:szCs w:val="24"/>
          <w:lang w:val="en-GB" w:eastAsia="zh-CN"/>
        </w:rPr>
        <w:t>(2</w:t>
      </w:r>
      <w:r w:rsidRPr="0049263A">
        <w:rPr>
          <w:rFonts w:ascii="Book Antiqua" w:hAnsi="Book Antiqua" w:cs="Arial"/>
          <w:sz w:val="24"/>
          <w:szCs w:val="24"/>
          <w:lang w:val="en-GB"/>
        </w:rPr>
        <w:t xml:space="preserve">) long-term survival and tumour-related survival appear to be worse in patients with hyperfibrinogenemia; and </w:t>
      </w:r>
      <w:r w:rsidR="00306099" w:rsidRPr="0049263A">
        <w:rPr>
          <w:rFonts w:ascii="Book Antiqua" w:hAnsi="Book Antiqua" w:cs="Arial" w:hint="eastAsia"/>
          <w:sz w:val="24"/>
          <w:szCs w:val="24"/>
          <w:lang w:val="en-GB" w:eastAsia="zh-CN"/>
        </w:rPr>
        <w:t>(2</w:t>
      </w:r>
      <w:r w:rsidRPr="0049263A">
        <w:rPr>
          <w:rFonts w:ascii="Book Antiqua" w:hAnsi="Book Antiqua" w:cs="Arial"/>
          <w:sz w:val="24"/>
          <w:szCs w:val="24"/>
          <w:lang w:val="en-GB"/>
        </w:rPr>
        <w:t>) the prognostic value of the preoperative fibrinogen plasma level is not confirmed by multivariate analysis or by stratification of patients according to completeness of tumour resection (R0) and TNM stage.</w:t>
      </w:r>
    </w:p>
    <w:p w14:paraId="4D316981" w14:textId="779E6C9F" w:rsidR="0093205E" w:rsidRPr="0049263A" w:rsidRDefault="0093205E" w:rsidP="00306099">
      <w:pPr>
        <w:widowControl w:val="0"/>
        <w:autoSpaceDE w:val="0"/>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 xml:space="preserve">It is now widely accepted that the outcome of cancer is mediated by an interaction between tumour-related factors and host factors, with chronic inflammation probably representing the main host-related factor. This explains why the correlation between inflammatory biomarkers and malignancies has been extensively </w:t>
      </w:r>
      <w:proofErr w:type="gramStart"/>
      <w:r w:rsidRPr="0049263A">
        <w:rPr>
          <w:rFonts w:ascii="Book Antiqua" w:hAnsi="Book Antiqua" w:cs="Arial"/>
          <w:sz w:val="24"/>
          <w:szCs w:val="24"/>
          <w:lang w:val="en-GB"/>
        </w:rPr>
        <w:t>studied</w:t>
      </w:r>
      <w:r w:rsidR="00306099" w:rsidRPr="0049263A">
        <w:rPr>
          <w:rFonts w:ascii="Book Antiqua" w:hAnsi="Book Antiqua" w:cs="Arial"/>
          <w:sz w:val="24"/>
          <w:szCs w:val="24"/>
          <w:vertAlign w:val="superscript"/>
          <w:lang w:val="en-GB"/>
        </w:rPr>
        <w:t>[</w:t>
      </w:r>
      <w:proofErr w:type="gramEnd"/>
      <w:r w:rsidR="00306099" w:rsidRPr="0049263A">
        <w:rPr>
          <w:rFonts w:ascii="Book Antiqua" w:hAnsi="Book Antiqua" w:cs="Arial"/>
          <w:sz w:val="24"/>
          <w:szCs w:val="24"/>
          <w:vertAlign w:val="superscript"/>
          <w:lang w:val="en-GB"/>
        </w:rPr>
        <w:t>18</w:t>
      </w:r>
      <w:r w:rsidR="006207CB" w:rsidRPr="0049263A">
        <w:rPr>
          <w:rFonts w:ascii="Book Antiqua" w:hAnsi="Book Antiqua" w:cs="Arial" w:hint="eastAsia"/>
          <w:sz w:val="24"/>
          <w:szCs w:val="24"/>
          <w:vertAlign w:val="superscript"/>
          <w:lang w:val="en-GB" w:eastAsia="zh-CN"/>
        </w:rPr>
        <w:t>-</w:t>
      </w:r>
      <w:r w:rsidRPr="0049263A">
        <w:rPr>
          <w:rFonts w:ascii="Book Antiqua" w:hAnsi="Book Antiqua" w:cs="Arial"/>
          <w:sz w:val="24"/>
          <w:szCs w:val="24"/>
          <w:vertAlign w:val="superscript"/>
          <w:lang w:val="en-GB"/>
        </w:rPr>
        <w:t>20]</w:t>
      </w:r>
      <w:r w:rsidRPr="0049263A">
        <w:rPr>
          <w:rFonts w:ascii="Book Antiqua" w:hAnsi="Book Antiqua" w:cs="Arial"/>
          <w:sz w:val="24"/>
          <w:szCs w:val="24"/>
          <w:lang w:val="en-GB"/>
        </w:rPr>
        <w:t xml:space="preserve">. Fibrinogen is a protein synthesized by hepatocytes, playing a pivotal role in coagulation, thrombosis, wound healing, and platelet aggregation, as well as in inflammatory </w:t>
      </w:r>
      <w:proofErr w:type="gramStart"/>
      <w:r w:rsidRPr="0049263A">
        <w:rPr>
          <w:rFonts w:ascii="Book Antiqua" w:hAnsi="Book Antiqua" w:cs="Arial"/>
          <w:sz w:val="24"/>
          <w:szCs w:val="24"/>
          <w:lang w:val="en-GB"/>
        </w:rPr>
        <w:t>states</w:t>
      </w:r>
      <w:r w:rsidRPr="0049263A">
        <w:rPr>
          <w:rFonts w:ascii="Book Antiqua" w:hAnsi="Book Antiqua" w:cs="Arial"/>
          <w:sz w:val="24"/>
          <w:szCs w:val="24"/>
          <w:vertAlign w:val="superscript"/>
          <w:lang w:val="en-GB"/>
        </w:rPr>
        <w:t>[</w:t>
      </w:r>
      <w:proofErr w:type="gramEnd"/>
      <w:r w:rsidRPr="0049263A">
        <w:rPr>
          <w:rFonts w:ascii="Book Antiqua" w:hAnsi="Book Antiqua" w:cs="Arial"/>
          <w:sz w:val="24"/>
          <w:szCs w:val="24"/>
          <w:vertAlign w:val="superscript"/>
          <w:lang w:val="en-GB"/>
        </w:rPr>
        <w:t>21,22]</w:t>
      </w:r>
      <w:r w:rsidRPr="0049263A">
        <w:rPr>
          <w:rFonts w:ascii="Book Antiqua" w:hAnsi="Book Antiqua" w:cs="Arial"/>
          <w:sz w:val="24"/>
          <w:szCs w:val="24"/>
          <w:lang w:val="en-GB"/>
        </w:rPr>
        <w:t>.</w:t>
      </w:r>
    </w:p>
    <w:p w14:paraId="7BA95400" w14:textId="46BB3776" w:rsidR="0093205E" w:rsidRPr="0049263A" w:rsidRDefault="0093205E" w:rsidP="00306099">
      <w:pPr>
        <w:autoSpaceDE w:val="0"/>
        <w:snapToGrid w:val="0"/>
        <w:spacing w:line="360" w:lineRule="auto"/>
        <w:ind w:firstLineChars="100" w:firstLine="240"/>
        <w:jc w:val="both"/>
        <w:rPr>
          <w:rFonts w:ascii="Book Antiqua" w:hAnsi="Book Antiqua" w:cs="Arial"/>
          <w:sz w:val="24"/>
          <w:szCs w:val="24"/>
          <w:lang w:val="en-GB" w:eastAsia="zh-CN"/>
        </w:rPr>
      </w:pPr>
      <w:r w:rsidRPr="0049263A">
        <w:rPr>
          <w:rFonts w:ascii="Book Antiqua" w:hAnsi="Book Antiqua" w:cs="Arial"/>
          <w:sz w:val="24"/>
          <w:szCs w:val="24"/>
          <w:lang w:val="en-GB"/>
        </w:rPr>
        <w:t>Although an increased plasma fibrinogen level is largely not specific and may occur in many physiological conditions (</w:t>
      </w:r>
      <w:r w:rsidRPr="0049263A">
        <w:rPr>
          <w:rFonts w:ascii="Book Antiqua" w:hAnsi="Book Antiqua" w:cs="Arial"/>
          <w:i/>
          <w:sz w:val="24"/>
          <w:szCs w:val="24"/>
          <w:lang w:val="en-GB"/>
        </w:rPr>
        <w:t>e.g.</w:t>
      </w:r>
      <w:r w:rsidRPr="0049263A">
        <w:rPr>
          <w:rFonts w:ascii="Book Antiqua" w:hAnsi="Book Antiqua" w:cs="Arial"/>
          <w:sz w:val="24"/>
          <w:szCs w:val="24"/>
          <w:lang w:val="en-GB"/>
        </w:rPr>
        <w:t>, pregnancy or intense physical activity) and some pathological conditions (</w:t>
      </w:r>
      <w:r w:rsidRPr="0049263A">
        <w:rPr>
          <w:rFonts w:ascii="Book Antiqua" w:hAnsi="Book Antiqua" w:cs="Arial"/>
          <w:i/>
          <w:sz w:val="24"/>
          <w:szCs w:val="24"/>
          <w:lang w:val="en-GB"/>
        </w:rPr>
        <w:t>e.g.</w:t>
      </w:r>
      <w:r w:rsidRPr="0049263A">
        <w:rPr>
          <w:rFonts w:ascii="Book Antiqua" w:hAnsi="Book Antiqua" w:cs="Arial"/>
          <w:sz w:val="24"/>
          <w:szCs w:val="24"/>
          <w:lang w:val="en-GB"/>
        </w:rPr>
        <w:t xml:space="preserve">, cardiovascular diseases, trauma and inflammatory diseases), a number of studies have demonstrated the existence of a correlation between high plasma fibrinogen levels and the development and progression of several tumours, including lung, pancreatic, gastric, and colorectal </w:t>
      </w:r>
      <w:proofErr w:type="gramStart"/>
      <w:r w:rsidRPr="0049263A">
        <w:rPr>
          <w:rFonts w:ascii="Book Antiqua" w:hAnsi="Book Antiqua" w:cs="Arial"/>
          <w:sz w:val="24"/>
          <w:szCs w:val="24"/>
          <w:lang w:val="en-GB"/>
        </w:rPr>
        <w:t>cancer</w:t>
      </w:r>
      <w:r w:rsidRPr="0049263A">
        <w:rPr>
          <w:rFonts w:ascii="Book Antiqua" w:hAnsi="Book Antiqua" w:cs="Arial"/>
          <w:sz w:val="24"/>
          <w:szCs w:val="24"/>
          <w:vertAlign w:val="superscript"/>
          <w:lang w:val="en-GB"/>
        </w:rPr>
        <w:t>[</w:t>
      </w:r>
      <w:proofErr w:type="gramEnd"/>
      <w:r w:rsidRPr="0049263A">
        <w:rPr>
          <w:rFonts w:ascii="Book Antiqua" w:hAnsi="Book Antiqua" w:cs="Arial"/>
          <w:sz w:val="24"/>
          <w:szCs w:val="24"/>
          <w:vertAlign w:val="superscript"/>
          <w:lang w:val="en-GB"/>
        </w:rPr>
        <w:t>23-26]</w:t>
      </w:r>
      <w:r w:rsidR="00306099" w:rsidRPr="0049263A">
        <w:rPr>
          <w:rFonts w:ascii="Book Antiqua" w:hAnsi="Book Antiqua" w:cs="Arial"/>
          <w:sz w:val="24"/>
          <w:szCs w:val="24"/>
          <w:lang w:val="en-GB"/>
        </w:rPr>
        <w:t>.</w:t>
      </w:r>
    </w:p>
    <w:p w14:paraId="2A08718C" w14:textId="77777777" w:rsidR="0093205E" w:rsidRPr="0049263A" w:rsidRDefault="0093205E" w:rsidP="0049263A">
      <w:pPr>
        <w:autoSpaceDE w:val="0"/>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 xml:space="preserve">Several mechanisms have been put forward to explain the increase of fibrinogen plasma levels in patients with cancer. First, tumour cells may ectopically produce fibrinogen itself or other cytokines involved in inflammation, such as IL-6, which ultimately trigger the production of fibrinogen in the </w:t>
      </w:r>
      <w:proofErr w:type="gramStart"/>
      <w:r w:rsidRPr="0049263A">
        <w:rPr>
          <w:rFonts w:ascii="Book Antiqua" w:hAnsi="Book Antiqua" w:cs="Arial"/>
          <w:sz w:val="24"/>
          <w:szCs w:val="24"/>
          <w:lang w:val="en-GB"/>
        </w:rPr>
        <w:t>liver</w:t>
      </w:r>
      <w:r w:rsidRPr="0049263A">
        <w:rPr>
          <w:rFonts w:ascii="Book Antiqua" w:hAnsi="Book Antiqua" w:cs="Arial"/>
          <w:sz w:val="24"/>
          <w:szCs w:val="24"/>
          <w:vertAlign w:val="superscript"/>
          <w:lang w:val="en-GB"/>
        </w:rPr>
        <w:t>[</w:t>
      </w:r>
      <w:proofErr w:type="gramEnd"/>
      <w:r w:rsidRPr="0049263A">
        <w:rPr>
          <w:rFonts w:ascii="Book Antiqua" w:hAnsi="Book Antiqua" w:cs="Arial"/>
          <w:sz w:val="24"/>
          <w:szCs w:val="24"/>
          <w:vertAlign w:val="superscript"/>
          <w:lang w:val="en-GB"/>
        </w:rPr>
        <w:t>27]</w:t>
      </w:r>
      <w:r w:rsidRPr="0049263A">
        <w:rPr>
          <w:rFonts w:ascii="Book Antiqua" w:hAnsi="Book Antiqua" w:cs="Arial"/>
          <w:sz w:val="24"/>
          <w:szCs w:val="24"/>
          <w:lang w:val="en-GB"/>
        </w:rPr>
        <w:t xml:space="preserve">. Tumour growth is also frequently associated with hypercoagulability and hypoxia, with a subsequent increase in plasma fibrinogen </w:t>
      </w:r>
      <w:proofErr w:type="gramStart"/>
      <w:r w:rsidRPr="0049263A">
        <w:rPr>
          <w:rFonts w:ascii="Book Antiqua" w:hAnsi="Book Antiqua" w:cs="Arial"/>
          <w:sz w:val="24"/>
          <w:szCs w:val="24"/>
          <w:lang w:val="en-GB"/>
        </w:rPr>
        <w:lastRenderedPageBreak/>
        <w:t>levels</w:t>
      </w:r>
      <w:r w:rsidRPr="0049263A">
        <w:rPr>
          <w:rFonts w:ascii="Book Antiqua" w:hAnsi="Book Antiqua" w:cs="Arial"/>
          <w:sz w:val="24"/>
          <w:szCs w:val="24"/>
          <w:vertAlign w:val="superscript"/>
          <w:lang w:val="en-GB"/>
        </w:rPr>
        <w:t>[</w:t>
      </w:r>
      <w:proofErr w:type="gramEnd"/>
      <w:r w:rsidRPr="0049263A">
        <w:rPr>
          <w:rFonts w:ascii="Book Antiqua" w:hAnsi="Book Antiqua" w:cs="Arial"/>
          <w:sz w:val="24"/>
          <w:szCs w:val="24"/>
          <w:vertAlign w:val="superscript"/>
          <w:lang w:val="en-GB"/>
        </w:rPr>
        <w:t>28,29]</w:t>
      </w:r>
      <w:r w:rsidRPr="0049263A">
        <w:rPr>
          <w:rFonts w:ascii="Book Antiqua" w:hAnsi="Book Antiqua" w:cs="Arial"/>
          <w:sz w:val="24"/>
          <w:szCs w:val="24"/>
          <w:lang w:val="en-GB"/>
        </w:rPr>
        <w:t>. Finally, cancer-related tissue injury causes a systemic inflammatory response and, consequently, increases the level of plasma fibrinogen.</w:t>
      </w:r>
    </w:p>
    <w:p w14:paraId="20F8D0EB" w14:textId="77777777" w:rsidR="0093205E" w:rsidRPr="0049263A" w:rsidRDefault="0093205E" w:rsidP="00306099">
      <w:pPr>
        <w:autoSpaceDE w:val="0"/>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 xml:space="preserve">Several lines of evidence apparently demonstrate that fibrinogen participates in </w:t>
      </w:r>
      <w:proofErr w:type="spellStart"/>
      <w:r w:rsidRPr="0049263A">
        <w:rPr>
          <w:rFonts w:ascii="Book Antiqua" w:hAnsi="Book Antiqua" w:cs="Arial"/>
          <w:sz w:val="24"/>
          <w:szCs w:val="24"/>
          <w:lang w:val="en-GB"/>
        </w:rPr>
        <w:t>tumourigenesis</w:t>
      </w:r>
      <w:proofErr w:type="spellEnd"/>
      <w:r w:rsidRPr="0049263A">
        <w:rPr>
          <w:rFonts w:ascii="Book Antiqua" w:hAnsi="Book Antiqua" w:cs="Arial"/>
          <w:sz w:val="24"/>
          <w:szCs w:val="24"/>
          <w:lang w:val="en-GB"/>
        </w:rPr>
        <w:t xml:space="preserve">, although the actual process is not yet completely understood. Fibrinogen may enhance tumour cell proliferation, migration and signalling through interaction with multiple integrin and non-integrin receptors. It may also promote tumour angiogenesis, cooperating with growth factors such as vascular endothelial growth factor (VEGF) and fibroblast growth </w:t>
      </w:r>
      <w:proofErr w:type="gramStart"/>
      <w:r w:rsidRPr="0049263A">
        <w:rPr>
          <w:rFonts w:ascii="Book Antiqua" w:hAnsi="Book Antiqua" w:cs="Arial"/>
          <w:sz w:val="24"/>
          <w:szCs w:val="24"/>
          <w:lang w:val="en-GB"/>
        </w:rPr>
        <w:t>factors</w:t>
      </w:r>
      <w:r w:rsidRPr="0049263A">
        <w:rPr>
          <w:rFonts w:ascii="Book Antiqua" w:hAnsi="Book Antiqua" w:cs="Arial"/>
          <w:sz w:val="24"/>
          <w:szCs w:val="24"/>
          <w:vertAlign w:val="superscript"/>
          <w:lang w:val="en-GB"/>
        </w:rPr>
        <w:t>[</w:t>
      </w:r>
      <w:proofErr w:type="gramEnd"/>
      <w:r w:rsidRPr="0049263A">
        <w:rPr>
          <w:rFonts w:ascii="Book Antiqua" w:hAnsi="Book Antiqua" w:cs="Arial"/>
          <w:sz w:val="24"/>
          <w:szCs w:val="24"/>
          <w:vertAlign w:val="superscript"/>
          <w:lang w:val="en-GB"/>
        </w:rPr>
        <w:t>30]</w:t>
      </w:r>
      <w:r w:rsidRPr="0049263A">
        <w:rPr>
          <w:rFonts w:ascii="Book Antiqua" w:hAnsi="Book Antiqua" w:cs="Arial"/>
          <w:sz w:val="24"/>
          <w:szCs w:val="24"/>
          <w:lang w:val="en-GB"/>
        </w:rPr>
        <w:t xml:space="preserve">. High levels of fibrinogen receptors, such as α5β1 and ανβ3 </w:t>
      </w:r>
      <w:proofErr w:type="spellStart"/>
      <w:r w:rsidRPr="0049263A">
        <w:rPr>
          <w:rFonts w:ascii="Book Antiqua" w:hAnsi="Book Antiqua" w:cs="Arial"/>
          <w:sz w:val="24"/>
          <w:szCs w:val="24"/>
          <w:lang w:val="en-GB"/>
        </w:rPr>
        <w:t>integrins</w:t>
      </w:r>
      <w:proofErr w:type="spellEnd"/>
      <w:r w:rsidRPr="0049263A">
        <w:rPr>
          <w:rFonts w:ascii="Book Antiqua" w:hAnsi="Book Antiqua" w:cs="Arial"/>
          <w:sz w:val="24"/>
          <w:szCs w:val="24"/>
          <w:lang w:val="en-GB"/>
        </w:rPr>
        <w:t xml:space="preserve">, also promote the stable adhesion of tumour cells to the endothelium of target organs and are largely expressed on malignant cells. Notably, a protective role for fibrinogen against natural killer (NK) cells seems to be involved in the haematogenous metastatic potential of tumour cells. Fibrinogen may hence suppress NK cell activity for cancer cell clearance, thus increasing the number of metastatic </w:t>
      </w:r>
      <w:proofErr w:type="gramStart"/>
      <w:r w:rsidRPr="0049263A">
        <w:rPr>
          <w:rFonts w:ascii="Book Antiqua" w:hAnsi="Book Antiqua" w:cs="Arial"/>
          <w:sz w:val="24"/>
          <w:szCs w:val="24"/>
          <w:lang w:val="en-GB"/>
        </w:rPr>
        <w:t>cells</w:t>
      </w:r>
      <w:r w:rsidRPr="0049263A">
        <w:rPr>
          <w:rFonts w:ascii="Book Antiqua" w:hAnsi="Book Antiqua" w:cs="Arial"/>
          <w:sz w:val="24"/>
          <w:szCs w:val="24"/>
          <w:vertAlign w:val="superscript"/>
          <w:lang w:val="en-GB"/>
        </w:rPr>
        <w:t>[</w:t>
      </w:r>
      <w:proofErr w:type="gramEnd"/>
      <w:r w:rsidRPr="0049263A">
        <w:rPr>
          <w:rFonts w:ascii="Book Antiqua" w:hAnsi="Book Antiqua" w:cs="Arial"/>
          <w:sz w:val="24"/>
          <w:szCs w:val="24"/>
          <w:vertAlign w:val="superscript"/>
          <w:lang w:val="en-GB"/>
        </w:rPr>
        <w:t>31]</w:t>
      </w:r>
      <w:r w:rsidRPr="0049263A">
        <w:rPr>
          <w:rFonts w:ascii="Book Antiqua" w:hAnsi="Book Antiqua" w:cs="Arial"/>
          <w:sz w:val="24"/>
          <w:szCs w:val="24"/>
          <w:lang w:val="en-GB"/>
        </w:rPr>
        <w:t xml:space="preserve">. Conversely, hyperfibrinogenemia does not seem to have a role in the metastatic involvement of lymphatic tissue since the lymphatic fluid does not contain platelets and the lymphatic endothelium has peculiar characteristics compared to the vascular </w:t>
      </w:r>
      <w:proofErr w:type="gramStart"/>
      <w:r w:rsidRPr="0049263A">
        <w:rPr>
          <w:rFonts w:ascii="Book Antiqua" w:hAnsi="Book Antiqua" w:cs="Arial"/>
          <w:sz w:val="24"/>
          <w:szCs w:val="24"/>
          <w:lang w:val="en-GB"/>
        </w:rPr>
        <w:t>endothelium</w:t>
      </w:r>
      <w:r w:rsidRPr="0049263A">
        <w:rPr>
          <w:rFonts w:ascii="Book Antiqua" w:hAnsi="Book Antiqua" w:cs="Arial"/>
          <w:sz w:val="24"/>
          <w:szCs w:val="24"/>
          <w:vertAlign w:val="superscript"/>
          <w:lang w:val="en-GB"/>
        </w:rPr>
        <w:t>[</w:t>
      </w:r>
      <w:proofErr w:type="gramEnd"/>
      <w:r w:rsidRPr="0049263A">
        <w:rPr>
          <w:rFonts w:ascii="Book Antiqua" w:hAnsi="Book Antiqua" w:cs="Arial"/>
          <w:sz w:val="24"/>
          <w:szCs w:val="24"/>
          <w:vertAlign w:val="superscript"/>
          <w:lang w:val="en-GB"/>
        </w:rPr>
        <w:t>32]</w:t>
      </w:r>
      <w:r w:rsidRPr="0049263A">
        <w:rPr>
          <w:rFonts w:ascii="Book Antiqua" w:hAnsi="Book Antiqua" w:cs="Arial"/>
          <w:sz w:val="24"/>
          <w:szCs w:val="24"/>
          <w:lang w:val="en-GB"/>
        </w:rPr>
        <w:t>.</w:t>
      </w:r>
    </w:p>
    <w:p w14:paraId="04737EAC" w14:textId="5D9BC34C" w:rsidR="0093205E" w:rsidRPr="0049263A" w:rsidRDefault="0093205E" w:rsidP="00306099">
      <w:pPr>
        <w:autoSpaceDE w:val="0"/>
        <w:snapToGrid w:val="0"/>
        <w:spacing w:line="360" w:lineRule="auto"/>
        <w:ind w:firstLineChars="100" w:firstLine="240"/>
        <w:jc w:val="both"/>
        <w:rPr>
          <w:rFonts w:ascii="Book Antiqua" w:hAnsi="Book Antiqua" w:cs="Arial"/>
          <w:sz w:val="24"/>
          <w:szCs w:val="24"/>
          <w:lang w:val="en-GB" w:eastAsia="zh-CN"/>
        </w:rPr>
      </w:pPr>
      <w:r w:rsidRPr="0049263A">
        <w:rPr>
          <w:rFonts w:ascii="Book Antiqua" w:hAnsi="Book Antiqua" w:cs="Arial"/>
          <w:sz w:val="24"/>
          <w:szCs w:val="24"/>
          <w:lang w:val="en-GB"/>
        </w:rPr>
        <w:t xml:space="preserve">A number of studies have shown a correlation between hyperfibrinogenemia and poor prognosis in patients with metastatic and non-metastatic </w:t>
      </w:r>
      <w:proofErr w:type="gramStart"/>
      <w:r w:rsidRPr="0049263A">
        <w:rPr>
          <w:rFonts w:ascii="Book Antiqua" w:hAnsi="Book Antiqua" w:cs="Arial"/>
          <w:sz w:val="24"/>
          <w:szCs w:val="24"/>
          <w:lang w:val="en-GB"/>
        </w:rPr>
        <w:t>CRC</w:t>
      </w:r>
      <w:r w:rsidRPr="0049263A">
        <w:rPr>
          <w:rFonts w:ascii="Book Antiqua" w:hAnsi="Book Antiqua" w:cs="Arial"/>
          <w:sz w:val="24"/>
          <w:szCs w:val="24"/>
          <w:vertAlign w:val="superscript"/>
          <w:lang w:val="en-GB"/>
        </w:rPr>
        <w:t>[</w:t>
      </w:r>
      <w:proofErr w:type="gramEnd"/>
      <w:r w:rsidRPr="0049263A">
        <w:rPr>
          <w:rFonts w:ascii="Book Antiqua" w:hAnsi="Book Antiqua" w:cs="Arial"/>
          <w:sz w:val="24"/>
          <w:szCs w:val="24"/>
          <w:vertAlign w:val="superscript"/>
          <w:lang w:val="en-GB"/>
        </w:rPr>
        <w:t>33,34]</w:t>
      </w:r>
      <w:r w:rsidRPr="0049263A">
        <w:rPr>
          <w:rFonts w:ascii="Book Antiqua" w:hAnsi="Book Antiqua" w:cs="Arial"/>
          <w:sz w:val="24"/>
          <w:szCs w:val="24"/>
          <w:lang w:val="en-GB"/>
        </w:rPr>
        <w:t>. In accord with previous data</w:t>
      </w:r>
      <w:r w:rsidRPr="0049263A">
        <w:rPr>
          <w:rFonts w:ascii="Book Antiqua" w:hAnsi="Book Antiqua" w:cs="Arial"/>
          <w:sz w:val="24"/>
          <w:szCs w:val="24"/>
          <w:vertAlign w:val="superscript"/>
          <w:lang w:val="en-GB"/>
        </w:rPr>
        <w:t>[16,23]</w:t>
      </w:r>
      <w:r w:rsidRPr="0049263A">
        <w:rPr>
          <w:rFonts w:ascii="Book Antiqua" w:hAnsi="Book Antiqua" w:cs="Arial"/>
          <w:sz w:val="24"/>
          <w:szCs w:val="24"/>
          <w:lang w:val="en-GB"/>
        </w:rPr>
        <w:t>, our experience, which represents one of the largest cohorts of CRC patients, confirmed the correlation between fibrinogen plasma levels and the most important prognostic factors, namely completeness of tumour resection (</w:t>
      </w:r>
      <w:r w:rsidR="00306099" w:rsidRPr="0049263A">
        <w:rPr>
          <w:rFonts w:ascii="Book Antiqua" w:hAnsi="Book Antiqua" w:cs="Arial"/>
          <w:i/>
          <w:sz w:val="24"/>
          <w:szCs w:val="24"/>
          <w:lang w:val="en-GB"/>
        </w:rPr>
        <w:t>P</w:t>
      </w:r>
      <w:r w:rsidR="00306099"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&lt;</w:t>
      </w:r>
      <w:r w:rsidR="00306099"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0.001), the presence of systemic metastases (</w:t>
      </w:r>
      <w:r w:rsidR="00306099" w:rsidRPr="0049263A">
        <w:rPr>
          <w:rFonts w:ascii="Book Antiqua" w:hAnsi="Book Antiqua" w:cs="Arial"/>
          <w:i/>
          <w:sz w:val="24"/>
          <w:szCs w:val="24"/>
          <w:lang w:val="en-GB"/>
        </w:rPr>
        <w:t>P</w:t>
      </w:r>
      <w:r w:rsidR="00306099" w:rsidRPr="0049263A">
        <w:rPr>
          <w:rFonts w:ascii="Book Antiqua" w:hAnsi="Book Antiqua" w:cs="Arial"/>
          <w:sz w:val="24"/>
          <w:szCs w:val="24"/>
          <w:lang w:val="en-GB"/>
        </w:rPr>
        <w:t xml:space="preserve"> </w:t>
      </w:r>
      <w:r w:rsidRPr="0049263A">
        <w:rPr>
          <w:rFonts w:ascii="Book Antiqua" w:hAnsi="Book Antiqua" w:cs="Arial"/>
          <w:sz w:val="24"/>
          <w:szCs w:val="24"/>
          <w:lang w:val="en-GB"/>
        </w:rPr>
        <w:t>&lt;</w:t>
      </w:r>
      <w:r w:rsidR="00306099"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 xml:space="preserve">0.001), </w:t>
      </w:r>
      <w:proofErr w:type="spellStart"/>
      <w:r w:rsidRPr="0049263A">
        <w:rPr>
          <w:rFonts w:ascii="Book Antiqua" w:hAnsi="Book Antiqua" w:cs="Arial"/>
          <w:sz w:val="24"/>
          <w:szCs w:val="24"/>
          <w:lang w:val="en-GB"/>
        </w:rPr>
        <w:t>pT</w:t>
      </w:r>
      <w:proofErr w:type="spellEnd"/>
      <w:r w:rsidRPr="0049263A">
        <w:rPr>
          <w:rFonts w:ascii="Book Antiqua" w:hAnsi="Book Antiqua" w:cs="Arial"/>
          <w:sz w:val="24"/>
          <w:szCs w:val="24"/>
          <w:lang w:val="en-GB"/>
        </w:rPr>
        <w:t xml:space="preserve"> category (</w:t>
      </w:r>
      <w:r w:rsidR="00306099" w:rsidRPr="0049263A">
        <w:rPr>
          <w:rFonts w:ascii="Book Antiqua" w:hAnsi="Book Antiqua" w:cs="Arial"/>
          <w:i/>
          <w:sz w:val="24"/>
          <w:szCs w:val="24"/>
          <w:lang w:val="en-GB"/>
        </w:rPr>
        <w:t>P</w:t>
      </w:r>
      <w:r w:rsidR="00306099" w:rsidRPr="0049263A">
        <w:rPr>
          <w:rFonts w:ascii="Book Antiqua" w:hAnsi="Book Antiqua" w:cs="Arial"/>
          <w:sz w:val="24"/>
          <w:szCs w:val="24"/>
          <w:lang w:val="en-GB"/>
        </w:rPr>
        <w:t xml:space="preserve"> </w:t>
      </w:r>
      <w:r w:rsidRPr="0049263A">
        <w:rPr>
          <w:rFonts w:ascii="Book Antiqua" w:hAnsi="Book Antiqua" w:cs="Arial"/>
          <w:sz w:val="24"/>
          <w:szCs w:val="24"/>
          <w:lang w:val="en-GB"/>
        </w:rPr>
        <w:t>&lt;</w:t>
      </w:r>
      <w:r w:rsidR="00306099"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 xml:space="preserve">0.001), </w:t>
      </w:r>
      <w:proofErr w:type="spellStart"/>
      <w:r w:rsidRPr="0049263A">
        <w:rPr>
          <w:rFonts w:ascii="Book Antiqua" w:hAnsi="Book Antiqua" w:cs="Arial"/>
          <w:sz w:val="24"/>
          <w:szCs w:val="24"/>
          <w:lang w:val="en-GB"/>
        </w:rPr>
        <w:t>pN</w:t>
      </w:r>
      <w:proofErr w:type="spellEnd"/>
      <w:r w:rsidRPr="0049263A">
        <w:rPr>
          <w:rFonts w:ascii="Book Antiqua" w:hAnsi="Book Antiqua" w:cs="Arial"/>
          <w:sz w:val="24"/>
          <w:szCs w:val="24"/>
          <w:lang w:val="en-GB"/>
        </w:rPr>
        <w:t xml:space="preserve"> category (</w:t>
      </w:r>
      <w:r w:rsidR="0049263A" w:rsidRPr="0049263A">
        <w:rPr>
          <w:rFonts w:ascii="Book Antiqua" w:hAnsi="Book Antiqua" w:cs="Arial"/>
          <w:i/>
          <w:sz w:val="24"/>
          <w:szCs w:val="24"/>
          <w:lang w:val="en-GB"/>
        </w:rPr>
        <w:t>P</w:t>
      </w:r>
      <w:r w:rsidR="0049263A"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w:t>
      </w:r>
      <w:r w:rsid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0.001) and CEA serum level (</w:t>
      </w:r>
      <w:r w:rsidR="00306099" w:rsidRPr="0049263A">
        <w:rPr>
          <w:rFonts w:ascii="Book Antiqua" w:hAnsi="Book Antiqua" w:cs="Arial"/>
          <w:i/>
          <w:sz w:val="24"/>
          <w:szCs w:val="24"/>
          <w:lang w:val="en-GB"/>
        </w:rPr>
        <w:t>P</w:t>
      </w:r>
      <w:r w:rsidR="00306099" w:rsidRPr="0049263A">
        <w:rPr>
          <w:rFonts w:ascii="Book Antiqua" w:hAnsi="Book Antiqua" w:cs="Arial"/>
          <w:sz w:val="24"/>
          <w:szCs w:val="24"/>
          <w:lang w:val="en-GB"/>
        </w:rPr>
        <w:t xml:space="preserve"> </w:t>
      </w:r>
      <w:r w:rsidRPr="0049263A">
        <w:rPr>
          <w:rFonts w:ascii="Book Antiqua" w:hAnsi="Book Antiqua" w:cs="Arial"/>
          <w:sz w:val="24"/>
          <w:szCs w:val="24"/>
          <w:lang w:val="en-GB"/>
        </w:rPr>
        <w:t>&lt;</w:t>
      </w:r>
      <w:r w:rsidR="00306099"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 xml:space="preserve">0.001). Similarly, long-term and tumour-related </w:t>
      </w:r>
      <w:proofErr w:type="gramStart"/>
      <w:r w:rsidRPr="0049263A">
        <w:rPr>
          <w:rFonts w:ascii="Book Antiqua" w:hAnsi="Book Antiqua" w:cs="Arial"/>
          <w:sz w:val="24"/>
          <w:szCs w:val="24"/>
          <w:lang w:val="en-GB"/>
        </w:rPr>
        <w:t>survival were</w:t>
      </w:r>
      <w:proofErr w:type="gramEnd"/>
      <w:r w:rsidRPr="0049263A">
        <w:rPr>
          <w:rFonts w:ascii="Book Antiqua" w:hAnsi="Book Antiqua" w:cs="Arial"/>
          <w:sz w:val="24"/>
          <w:szCs w:val="24"/>
          <w:lang w:val="en-GB"/>
        </w:rPr>
        <w:t xml:space="preserve"> associated with the presence of preoperative hyperfibrinogenemia. Unlike other studies, however, multivariate analysis and stratification of patients according to completeness of tumour resection (R0) and TNM stage failed to confirm the role of fibrinogen as an</w:t>
      </w:r>
      <w:r w:rsidR="00306099" w:rsidRPr="0049263A">
        <w:rPr>
          <w:rFonts w:ascii="Book Antiqua" w:hAnsi="Book Antiqua" w:cs="Arial"/>
          <w:sz w:val="24"/>
          <w:szCs w:val="24"/>
          <w:lang w:val="en-GB"/>
        </w:rPr>
        <w:t xml:space="preserve"> independent prognostic factor.</w:t>
      </w:r>
    </w:p>
    <w:p w14:paraId="5DCF41E8" w14:textId="08B8BC18" w:rsidR="0093205E" w:rsidRPr="0049263A" w:rsidRDefault="0093205E" w:rsidP="00306099">
      <w:pPr>
        <w:widowControl w:val="0"/>
        <w:autoSpaceDE w:val="0"/>
        <w:snapToGrid w:val="0"/>
        <w:spacing w:line="360" w:lineRule="auto"/>
        <w:ind w:firstLineChars="100" w:firstLine="240"/>
        <w:jc w:val="both"/>
        <w:rPr>
          <w:rFonts w:ascii="Book Antiqua" w:eastAsia="MS Mincho" w:hAnsi="Book Antiqua" w:cs="Arial"/>
          <w:sz w:val="24"/>
          <w:szCs w:val="24"/>
          <w:lang w:val="en-GB"/>
        </w:rPr>
      </w:pPr>
      <w:r w:rsidRPr="0049263A">
        <w:rPr>
          <w:rFonts w:ascii="Book Antiqua" w:hAnsi="Book Antiqua" w:cs="Arial"/>
          <w:sz w:val="24"/>
          <w:szCs w:val="24"/>
          <w:lang w:val="en-GB"/>
        </w:rPr>
        <w:t xml:space="preserve">Son </w:t>
      </w:r>
      <w:r w:rsidRPr="0049263A">
        <w:rPr>
          <w:rFonts w:ascii="Book Antiqua" w:hAnsi="Book Antiqua" w:cs="Arial"/>
          <w:i/>
          <w:sz w:val="24"/>
          <w:szCs w:val="24"/>
          <w:lang w:val="en-GB"/>
        </w:rPr>
        <w:t xml:space="preserve">et </w:t>
      </w:r>
      <w:proofErr w:type="gramStart"/>
      <w:r w:rsidRPr="0049263A">
        <w:rPr>
          <w:rFonts w:ascii="Book Antiqua" w:hAnsi="Book Antiqua" w:cs="Arial"/>
          <w:i/>
          <w:sz w:val="24"/>
          <w:szCs w:val="24"/>
          <w:lang w:val="en-GB"/>
        </w:rPr>
        <w:t>al</w:t>
      </w:r>
      <w:r w:rsidR="00306099" w:rsidRPr="0049263A">
        <w:rPr>
          <w:rFonts w:ascii="Book Antiqua" w:hAnsi="Book Antiqua" w:cs="Arial"/>
          <w:sz w:val="24"/>
          <w:szCs w:val="24"/>
          <w:vertAlign w:val="superscript"/>
          <w:lang w:val="en-GB"/>
        </w:rPr>
        <w:t>[</w:t>
      </w:r>
      <w:proofErr w:type="gramEnd"/>
      <w:r w:rsidR="00306099" w:rsidRPr="0049263A">
        <w:rPr>
          <w:rFonts w:ascii="Book Antiqua" w:hAnsi="Book Antiqua" w:cs="Arial"/>
          <w:sz w:val="24"/>
          <w:szCs w:val="24"/>
          <w:vertAlign w:val="superscript"/>
          <w:lang w:val="en-GB"/>
        </w:rPr>
        <w:t>33]</w:t>
      </w:r>
      <w:r w:rsidR="00306099"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reported that preoperative hyperfibrinogenemia was significantly associated with shorter survival in 624 patients with non-metastatic CRC when considering stage II and III separately</w:t>
      </w:r>
      <w:r w:rsidRPr="0049263A">
        <w:rPr>
          <w:rFonts w:ascii="Book Antiqua" w:hAnsi="Book Antiqua" w:cs="Arial"/>
          <w:sz w:val="24"/>
          <w:szCs w:val="24"/>
          <w:vertAlign w:val="superscript"/>
          <w:lang w:val="en-GB"/>
        </w:rPr>
        <w:t>[33]</w:t>
      </w:r>
      <w:r w:rsidRPr="0049263A">
        <w:rPr>
          <w:rFonts w:ascii="Book Antiqua" w:hAnsi="Book Antiqua" w:cs="Arial"/>
          <w:sz w:val="24"/>
          <w:szCs w:val="24"/>
          <w:lang w:val="en-GB"/>
        </w:rPr>
        <w:t>.</w:t>
      </w:r>
      <w:r w:rsidR="00306099"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 xml:space="preserve">Similar results were reported by Sun et al. in 255 patients with </w:t>
      </w:r>
      <w:proofErr w:type="gramStart"/>
      <w:r w:rsidRPr="0049263A">
        <w:rPr>
          <w:rFonts w:ascii="Book Antiqua" w:hAnsi="Book Antiqua" w:cs="Arial"/>
          <w:sz w:val="24"/>
          <w:szCs w:val="24"/>
          <w:lang w:val="en-GB"/>
        </w:rPr>
        <w:t>CRC</w:t>
      </w:r>
      <w:r w:rsidRPr="0049263A">
        <w:rPr>
          <w:rFonts w:ascii="Book Antiqua" w:hAnsi="Book Antiqua" w:cs="Arial"/>
          <w:sz w:val="24"/>
          <w:szCs w:val="24"/>
          <w:vertAlign w:val="superscript"/>
          <w:lang w:val="en-GB"/>
        </w:rPr>
        <w:t>[</w:t>
      </w:r>
      <w:proofErr w:type="gramEnd"/>
      <w:r w:rsidRPr="0049263A">
        <w:rPr>
          <w:rFonts w:ascii="Book Antiqua" w:hAnsi="Book Antiqua" w:cs="Arial"/>
          <w:sz w:val="24"/>
          <w:szCs w:val="24"/>
          <w:vertAlign w:val="superscript"/>
          <w:lang w:val="en-GB"/>
        </w:rPr>
        <w:t>35]</w:t>
      </w:r>
      <w:r w:rsidRPr="0049263A">
        <w:rPr>
          <w:rFonts w:ascii="Book Antiqua" w:hAnsi="Book Antiqua" w:cs="Arial"/>
          <w:sz w:val="24"/>
          <w:szCs w:val="24"/>
          <w:lang w:val="en-GB"/>
        </w:rPr>
        <w:t xml:space="preserve"> and Tang et al. in 341 patients submitted to curative CRC surgery</w:t>
      </w:r>
      <w:r w:rsidRPr="0049263A">
        <w:rPr>
          <w:rFonts w:ascii="Book Antiqua" w:hAnsi="Book Antiqua" w:cs="Arial"/>
          <w:sz w:val="24"/>
          <w:szCs w:val="24"/>
          <w:vertAlign w:val="superscript"/>
          <w:lang w:val="en-GB"/>
        </w:rPr>
        <w:t>[23]</w:t>
      </w:r>
      <w:r w:rsidRPr="0049263A">
        <w:rPr>
          <w:rFonts w:ascii="Book Antiqua" w:hAnsi="Book Antiqua" w:cs="Arial"/>
          <w:sz w:val="24"/>
          <w:szCs w:val="24"/>
          <w:lang w:val="en-GB"/>
        </w:rPr>
        <w:t xml:space="preserve">. </w:t>
      </w:r>
    </w:p>
    <w:p w14:paraId="73204EAC" w14:textId="77777777" w:rsidR="0093205E" w:rsidRPr="0049263A" w:rsidRDefault="0093205E" w:rsidP="00306099">
      <w:pPr>
        <w:autoSpaceDE w:val="0"/>
        <w:snapToGrid w:val="0"/>
        <w:spacing w:line="360" w:lineRule="auto"/>
        <w:ind w:firstLineChars="100" w:firstLine="240"/>
        <w:jc w:val="both"/>
        <w:rPr>
          <w:rFonts w:ascii="Book Antiqua" w:eastAsia="MS Mincho" w:hAnsi="Book Antiqua" w:cs="Arial"/>
          <w:sz w:val="24"/>
          <w:szCs w:val="24"/>
          <w:lang w:val="en-GB"/>
        </w:rPr>
      </w:pPr>
      <w:r w:rsidRPr="0049263A">
        <w:rPr>
          <w:rFonts w:ascii="Book Antiqua" w:eastAsia="MS Mincho" w:hAnsi="Book Antiqua" w:cs="Arial"/>
          <w:sz w:val="24"/>
          <w:szCs w:val="24"/>
          <w:lang w:val="en-GB"/>
        </w:rPr>
        <w:t>In previous studies, different cut-off values for preoperative plasma fibrinogen were used. Some studies identified the mean value</w:t>
      </w:r>
      <w:r w:rsidRPr="0049263A">
        <w:rPr>
          <w:rStyle w:val="Caratterenotadichiusura"/>
          <w:rFonts w:ascii="Book Antiqua" w:eastAsia="MS Mincho" w:hAnsi="Book Antiqua" w:cs="Arial"/>
          <w:sz w:val="24"/>
          <w:szCs w:val="24"/>
          <w:lang w:val="en-GB"/>
        </w:rPr>
        <w:t xml:space="preserve"> </w:t>
      </w:r>
      <w:r w:rsidRPr="0049263A">
        <w:rPr>
          <w:rFonts w:ascii="Book Antiqua" w:eastAsia="MS Mincho" w:hAnsi="Book Antiqua" w:cs="Arial"/>
          <w:sz w:val="24"/>
          <w:szCs w:val="24"/>
          <w:lang w:val="en-GB"/>
        </w:rPr>
        <w:t xml:space="preserve">as a prognostic </w:t>
      </w:r>
      <w:proofErr w:type="gramStart"/>
      <w:r w:rsidRPr="0049263A">
        <w:rPr>
          <w:rFonts w:ascii="Book Antiqua" w:eastAsia="MS Mincho" w:hAnsi="Book Antiqua" w:cs="Arial"/>
          <w:sz w:val="24"/>
          <w:szCs w:val="24"/>
          <w:lang w:val="en-GB"/>
        </w:rPr>
        <w:t>threshold</w:t>
      </w:r>
      <w:r w:rsidRPr="0049263A">
        <w:rPr>
          <w:rFonts w:ascii="Book Antiqua" w:hAnsi="Book Antiqua" w:cs="Arial"/>
          <w:sz w:val="24"/>
          <w:szCs w:val="24"/>
          <w:vertAlign w:val="superscript"/>
          <w:lang w:val="en-GB"/>
        </w:rPr>
        <w:t>[</w:t>
      </w:r>
      <w:proofErr w:type="gramEnd"/>
      <w:r w:rsidRPr="0049263A">
        <w:rPr>
          <w:rFonts w:ascii="Book Antiqua" w:hAnsi="Book Antiqua" w:cs="Arial"/>
          <w:sz w:val="24"/>
          <w:szCs w:val="24"/>
          <w:vertAlign w:val="superscript"/>
          <w:lang w:val="en-GB"/>
        </w:rPr>
        <w:t>23]</w:t>
      </w:r>
      <w:r w:rsidRPr="0049263A">
        <w:rPr>
          <w:rFonts w:ascii="Book Antiqua" w:eastAsia="MS Mincho" w:hAnsi="Book Antiqua" w:cs="Arial"/>
          <w:sz w:val="24"/>
          <w:szCs w:val="24"/>
          <w:lang w:val="en-GB"/>
        </w:rPr>
        <w:t>, others the median value</w:t>
      </w:r>
      <w:r w:rsidRPr="0049263A">
        <w:rPr>
          <w:rFonts w:ascii="Book Antiqua" w:eastAsia="MS Mincho" w:hAnsi="Book Antiqua" w:cs="Arial"/>
          <w:sz w:val="24"/>
          <w:szCs w:val="24"/>
          <w:vertAlign w:val="superscript"/>
          <w:lang w:val="en-GB"/>
        </w:rPr>
        <w:t>[16]</w:t>
      </w:r>
      <w:r w:rsidRPr="0049263A">
        <w:rPr>
          <w:rFonts w:ascii="Book Antiqua" w:eastAsia="MS Mincho" w:hAnsi="Book Antiqua" w:cs="Arial"/>
          <w:sz w:val="24"/>
          <w:szCs w:val="24"/>
          <w:lang w:val="en-GB"/>
        </w:rPr>
        <w:t xml:space="preserve"> or the 25</w:t>
      </w:r>
      <w:r w:rsidRPr="0049263A">
        <w:rPr>
          <w:rFonts w:ascii="Book Antiqua" w:eastAsia="MS Mincho" w:hAnsi="Book Antiqua" w:cs="Arial"/>
          <w:sz w:val="24"/>
          <w:szCs w:val="24"/>
          <w:vertAlign w:val="superscript"/>
          <w:lang w:val="en-GB"/>
        </w:rPr>
        <w:t>th</w:t>
      </w:r>
      <w:r w:rsidRPr="0049263A">
        <w:rPr>
          <w:rFonts w:ascii="Book Antiqua" w:eastAsia="MS Mincho" w:hAnsi="Book Antiqua" w:cs="Arial"/>
          <w:sz w:val="24"/>
          <w:szCs w:val="24"/>
          <w:lang w:val="en-GB"/>
        </w:rPr>
        <w:t xml:space="preserve"> percentile</w:t>
      </w:r>
      <w:r w:rsidRPr="0049263A">
        <w:rPr>
          <w:rFonts w:ascii="Book Antiqua" w:eastAsia="MS Mincho" w:hAnsi="Book Antiqua" w:cs="Arial"/>
          <w:sz w:val="24"/>
          <w:szCs w:val="24"/>
          <w:vertAlign w:val="superscript"/>
          <w:lang w:val="en-GB"/>
        </w:rPr>
        <w:t>[33]</w:t>
      </w:r>
      <w:r w:rsidRPr="0049263A">
        <w:rPr>
          <w:rFonts w:ascii="Book Antiqua" w:hAnsi="Book Antiqua" w:cs="Arial"/>
          <w:sz w:val="24"/>
          <w:szCs w:val="24"/>
          <w:lang w:val="en-GB"/>
        </w:rPr>
        <w:t xml:space="preserve">. </w:t>
      </w:r>
      <w:r w:rsidRPr="0049263A">
        <w:rPr>
          <w:rFonts w:ascii="Book Antiqua" w:eastAsia="MS Mincho" w:hAnsi="Book Antiqua" w:cs="Arial"/>
          <w:sz w:val="24"/>
          <w:szCs w:val="24"/>
          <w:lang w:val="en-GB"/>
        </w:rPr>
        <w:t>In our study, despite several threshold values being adopted (</w:t>
      </w:r>
      <w:r w:rsidRPr="0049263A">
        <w:rPr>
          <w:rFonts w:ascii="Book Antiqua" w:eastAsia="MS Mincho" w:hAnsi="Book Antiqua" w:cs="Arial"/>
          <w:i/>
          <w:sz w:val="24"/>
          <w:szCs w:val="24"/>
          <w:lang w:val="en-GB"/>
        </w:rPr>
        <w:t>i.e.</w:t>
      </w:r>
      <w:r w:rsidRPr="0049263A">
        <w:rPr>
          <w:rFonts w:ascii="Book Antiqua" w:eastAsia="MS Mincho" w:hAnsi="Book Antiqua" w:cs="Arial"/>
          <w:sz w:val="24"/>
          <w:szCs w:val="24"/>
          <w:lang w:val="en-GB"/>
        </w:rPr>
        <w:t>, mean value, median value, 25</w:t>
      </w:r>
      <w:r w:rsidRPr="0049263A">
        <w:rPr>
          <w:rFonts w:ascii="Book Antiqua" w:eastAsia="MS Mincho" w:hAnsi="Book Antiqua" w:cs="Arial"/>
          <w:sz w:val="24"/>
          <w:szCs w:val="24"/>
          <w:vertAlign w:val="superscript"/>
          <w:lang w:val="en-GB"/>
        </w:rPr>
        <w:t>th</w:t>
      </w:r>
      <w:r w:rsidRPr="0049263A">
        <w:rPr>
          <w:rFonts w:ascii="Book Antiqua" w:eastAsia="MS Mincho" w:hAnsi="Book Antiqua" w:cs="Arial"/>
          <w:sz w:val="24"/>
          <w:szCs w:val="24"/>
          <w:lang w:val="en-GB"/>
        </w:rPr>
        <w:t xml:space="preserve"> and 75</w:t>
      </w:r>
      <w:r w:rsidRPr="0049263A">
        <w:rPr>
          <w:rFonts w:ascii="Book Antiqua" w:eastAsia="MS Mincho" w:hAnsi="Book Antiqua" w:cs="Arial"/>
          <w:sz w:val="24"/>
          <w:szCs w:val="24"/>
          <w:vertAlign w:val="superscript"/>
          <w:lang w:val="en-GB"/>
        </w:rPr>
        <w:t>th</w:t>
      </w:r>
      <w:r w:rsidRPr="0049263A">
        <w:rPr>
          <w:rFonts w:ascii="Book Antiqua" w:eastAsia="MS Mincho" w:hAnsi="Book Antiqua" w:cs="Arial"/>
          <w:sz w:val="24"/>
          <w:szCs w:val="24"/>
          <w:lang w:val="en-GB"/>
        </w:rPr>
        <w:t xml:space="preserve"> percentile) to evaluate significance of difference in survival analysis, hyperfibrinogenemia was not found to be an </w:t>
      </w:r>
      <w:r w:rsidRPr="0049263A">
        <w:rPr>
          <w:rFonts w:ascii="Book Antiqua" w:eastAsia="MS Mincho" w:hAnsi="Book Antiqua" w:cs="Arial"/>
          <w:sz w:val="24"/>
          <w:szCs w:val="24"/>
          <w:lang w:val="en-GB"/>
        </w:rPr>
        <w:lastRenderedPageBreak/>
        <w:t>independent prognostic factor in multivariate analysis or after stratification of patients according to completeness of tumour resection and TNM stage (data not shown). In our series, the median preoperative plasma fibrinogen value was 409 mg/</w:t>
      </w:r>
      <w:proofErr w:type="spellStart"/>
      <w:r w:rsidRPr="0049263A">
        <w:rPr>
          <w:rFonts w:ascii="Book Antiqua" w:eastAsia="MS Mincho" w:hAnsi="Book Antiqua" w:cs="Arial"/>
          <w:sz w:val="24"/>
          <w:szCs w:val="24"/>
          <w:lang w:val="en-GB"/>
        </w:rPr>
        <w:t>dL</w:t>
      </w:r>
      <w:proofErr w:type="spellEnd"/>
      <w:r w:rsidRPr="0049263A">
        <w:rPr>
          <w:rFonts w:ascii="Book Antiqua" w:eastAsia="MS Mincho" w:hAnsi="Book Antiqua" w:cs="Arial"/>
          <w:sz w:val="24"/>
          <w:szCs w:val="24"/>
          <w:lang w:val="en-GB"/>
        </w:rPr>
        <w:t>, which is very close to the upper limit of 400 mg/</w:t>
      </w:r>
      <w:proofErr w:type="spellStart"/>
      <w:r w:rsidRPr="0049263A">
        <w:rPr>
          <w:rFonts w:ascii="Book Antiqua" w:eastAsia="MS Mincho" w:hAnsi="Book Antiqua" w:cs="Arial"/>
          <w:sz w:val="24"/>
          <w:szCs w:val="24"/>
          <w:lang w:val="en-GB"/>
        </w:rPr>
        <w:t>dL</w:t>
      </w:r>
      <w:proofErr w:type="spellEnd"/>
      <w:r w:rsidRPr="0049263A">
        <w:rPr>
          <w:rFonts w:ascii="Book Antiqua" w:eastAsia="MS Mincho" w:hAnsi="Book Antiqua" w:cs="Arial"/>
          <w:sz w:val="24"/>
          <w:szCs w:val="24"/>
          <w:lang w:val="en-GB"/>
        </w:rPr>
        <w:t>.</w:t>
      </w:r>
    </w:p>
    <w:p w14:paraId="4F5C3FFF" w14:textId="5170C335" w:rsidR="0093205E" w:rsidRPr="0049263A" w:rsidRDefault="00306099" w:rsidP="00306099">
      <w:pPr>
        <w:autoSpaceDE w:val="0"/>
        <w:snapToGrid w:val="0"/>
        <w:spacing w:line="360" w:lineRule="auto"/>
        <w:ind w:firstLineChars="100" w:firstLine="240"/>
        <w:jc w:val="both"/>
        <w:rPr>
          <w:rFonts w:ascii="Book Antiqua" w:hAnsi="Book Antiqua" w:cs="Arial"/>
          <w:sz w:val="24"/>
          <w:szCs w:val="24"/>
          <w:lang w:val="en-GB" w:eastAsia="zh-CN"/>
        </w:rPr>
      </w:pPr>
      <w:r w:rsidRPr="0049263A">
        <w:rPr>
          <w:rFonts w:ascii="Book Antiqua" w:hAnsi="Book Antiqua" w:cs="Arial" w:hint="eastAsia"/>
          <w:sz w:val="24"/>
          <w:szCs w:val="24"/>
          <w:lang w:val="en-GB" w:eastAsia="zh-CN"/>
        </w:rPr>
        <w:t>In</w:t>
      </w:r>
      <w:r w:rsidRPr="0049263A">
        <w:rPr>
          <w:rFonts w:ascii="Book Antiqua" w:hAnsi="Book Antiqua" w:cs="Arial"/>
          <w:sz w:val="24"/>
          <w:szCs w:val="24"/>
          <w:lang w:val="en-GB" w:eastAsia="zh-CN"/>
        </w:rPr>
        <w:t xml:space="preserve"> </w:t>
      </w:r>
      <w:r w:rsidRPr="0049263A">
        <w:rPr>
          <w:rFonts w:ascii="Book Antiqua" w:eastAsia="MS Mincho" w:hAnsi="Book Antiqua" w:cs="Arial"/>
          <w:sz w:val="24"/>
          <w:szCs w:val="24"/>
          <w:lang w:val="en-GB"/>
        </w:rPr>
        <w:t>conclusion</w:t>
      </w:r>
      <w:r w:rsidRPr="0049263A">
        <w:rPr>
          <w:rFonts w:ascii="Book Antiqua" w:hAnsi="Book Antiqua" w:cs="Arial" w:hint="eastAsia"/>
          <w:sz w:val="24"/>
          <w:szCs w:val="24"/>
          <w:lang w:val="en-GB" w:eastAsia="zh-CN"/>
        </w:rPr>
        <w:t>,</w:t>
      </w:r>
      <w:r w:rsidRPr="0049263A">
        <w:rPr>
          <w:rFonts w:ascii="Book Antiqua" w:hAnsi="Book Antiqua" w:cs="Arial" w:hint="eastAsia"/>
          <w:b/>
          <w:sz w:val="24"/>
          <w:szCs w:val="24"/>
          <w:lang w:val="en-GB" w:eastAsia="zh-CN"/>
        </w:rPr>
        <w:t xml:space="preserve"> </w:t>
      </w:r>
      <w:r w:rsidRPr="0049263A">
        <w:rPr>
          <w:rFonts w:ascii="Book Antiqua" w:hAnsi="Book Antiqua" w:cs="Arial"/>
          <w:sz w:val="24"/>
          <w:szCs w:val="24"/>
          <w:lang w:val="en-GB"/>
        </w:rPr>
        <w:t>t</w:t>
      </w:r>
      <w:r w:rsidR="0093205E" w:rsidRPr="0049263A">
        <w:rPr>
          <w:rFonts w:ascii="Book Antiqua" w:hAnsi="Book Antiqua" w:cs="Arial"/>
          <w:sz w:val="24"/>
          <w:szCs w:val="24"/>
          <w:lang w:val="en-GB"/>
        </w:rPr>
        <w:t xml:space="preserve">his study represents the first analysis of the value of preoperative fibrinogen plasma level in a Western country to the best of our knowledge. The analysis of our data demonstrates that preoperative fibrinogen plasma levels correlate with leading prognostic factors in patients undergoing surgery for CRC. </w:t>
      </w:r>
      <w:r w:rsidR="0093205E" w:rsidRPr="0049263A">
        <w:rPr>
          <w:rFonts w:ascii="Book Antiqua" w:eastAsia="MS Mincho" w:hAnsi="Book Antiqua" w:cs="Arial"/>
          <w:sz w:val="24"/>
          <w:szCs w:val="24"/>
          <w:lang w:val="en-GB"/>
        </w:rPr>
        <w:t xml:space="preserve">Although </w:t>
      </w:r>
      <w:r w:rsidR="0093205E" w:rsidRPr="0049263A">
        <w:rPr>
          <w:rFonts w:ascii="Book Antiqua" w:hAnsi="Book Antiqua" w:cs="Arial"/>
          <w:sz w:val="24"/>
          <w:szCs w:val="24"/>
          <w:lang w:val="en-GB"/>
        </w:rPr>
        <w:t>long-term survival and tumour-related survival are worse in patients with hyperfibrinogenemia, these findings are not confirmed in multivariate analysis or after stratification of patients according to completeness of tumour resection and TNM stage. It seems reasonable to suggest that evaluation of the preoperative fibrinogen level is not helpful for predicting the prognosis of patients with appropriate TNM staging.</w:t>
      </w:r>
    </w:p>
    <w:p w14:paraId="13B527DD" w14:textId="77777777" w:rsidR="0093205E" w:rsidRPr="0049263A" w:rsidRDefault="0093205E" w:rsidP="00AA734A">
      <w:pPr>
        <w:autoSpaceDE w:val="0"/>
        <w:snapToGrid w:val="0"/>
        <w:spacing w:line="360" w:lineRule="auto"/>
        <w:jc w:val="both"/>
        <w:rPr>
          <w:rFonts w:ascii="Book Antiqua" w:hAnsi="Book Antiqua" w:cs="Arial"/>
          <w:sz w:val="24"/>
          <w:szCs w:val="24"/>
          <w:lang w:val="en-GB" w:eastAsia="zh-CN"/>
        </w:rPr>
      </w:pPr>
    </w:p>
    <w:p w14:paraId="5BBF1652" w14:textId="77777777" w:rsidR="00522782" w:rsidRPr="0049263A" w:rsidRDefault="00522782" w:rsidP="00522782">
      <w:pPr>
        <w:snapToGrid w:val="0"/>
        <w:spacing w:line="360" w:lineRule="auto"/>
        <w:jc w:val="both"/>
        <w:rPr>
          <w:rFonts w:ascii="Book Antiqua" w:hAnsi="Book Antiqua"/>
          <w:b/>
          <w:lang w:val="en-US"/>
        </w:rPr>
      </w:pPr>
      <w:bookmarkStart w:id="54" w:name="OLE_LINK677"/>
      <w:bookmarkStart w:id="55" w:name="OLE_LINK678"/>
      <w:bookmarkStart w:id="56" w:name="OLE_LINK733"/>
      <w:bookmarkStart w:id="57" w:name="OLE_LINK861"/>
      <w:bookmarkStart w:id="58" w:name="OLE_LINK937"/>
      <w:r w:rsidRPr="0049263A">
        <w:rPr>
          <w:rFonts w:ascii="Book Antiqua" w:hAnsi="Book Antiqua" w:hint="eastAsia"/>
          <w:b/>
          <w:lang w:val="en-US"/>
        </w:rPr>
        <w:t>COMMENTS</w:t>
      </w:r>
    </w:p>
    <w:p w14:paraId="4CC821A1" w14:textId="77777777" w:rsidR="00522782" w:rsidRPr="0049263A" w:rsidRDefault="00522782" w:rsidP="00522782">
      <w:pPr>
        <w:autoSpaceDE w:val="0"/>
        <w:autoSpaceDN w:val="0"/>
        <w:adjustRightInd w:val="0"/>
        <w:snapToGrid w:val="0"/>
        <w:spacing w:line="360" w:lineRule="auto"/>
        <w:jc w:val="both"/>
        <w:rPr>
          <w:rFonts w:ascii="Book Antiqua" w:hAnsi="Book Antiqua" w:cs="Book Antiqua"/>
          <w:b/>
          <w:i/>
          <w:iCs/>
          <w:sz w:val="23"/>
          <w:szCs w:val="23"/>
          <w:lang w:val="en-US"/>
        </w:rPr>
      </w:pPr>
      <w:bookmarkStart w:id="59" w:name="OLE_LINK729"/>
      <w:bookmarkStart w:id="60" w:name="OLE_LINK730"/>
      <w:r w:rsidRPr="0049263A">
        <w:rPr>
          <w:rFonts w:ascii="Book Antiqua" w:hAnsi="Book Antiqua" w:cs="Book Antiqua"/>
          <w:b/>
          <w:i/>
          <w:iCs/>
          <w:sz w:val="23"/>
          <w:szCs w:val="23"/>
          <w:lang w:val="en-US"/>
        </w:rPr>
        <w:t>Background</w:t>
      </w:r>
    </w:p>
    <w:p w14:paraId="73A0B244" w14:textId="44F36B6E" w:rsidR="002C4284" w:rsidRPr="0049263A" w:rsidRDefault="002C4284" w:rsidP="002C4284">
      <w:pPr>
        <w:autoSpaceDE w:val="0"/>
        <w:snapToGrid w:val="0"/>
        <w:spacing w:line="360" w:lineRule="auto"/>
        <w:jc w:val="both"/>
        <w:rPr>
          <w:rFonts w:ascii="Book Antiqua" w:hAnsi="Book Antiqua" w:cs="Arial"/>
          <w:sz w:val="24"/>
          <w:szCs w:val="24"/>
          <w:lang w:val="en-GB"/>
        </w:rPr>
      </w:pPr>
      <w:r w:rsidRPr="0049263A">
        <w:rPr>
          <w:rFonts w:ascii="Book Antiqua" w:hAnsi="Book Antiqua" w:cs="Arial"/>
          <w:sz w:val="24"/>
          <w:szCs w:val="24"/>
          <w:lang w:val="en-GB"/>
        </w:rPr>
        <w:t xml:space="preserve">Fibrinogen is involved in </w:t>
      </w:r>
      <w:proofErr w:type="spellStart"/>
      <w:r w:rsidRPr="0049263A">
        <w:rPr>
          <w:rFonts w:ascii="Book Antiqua" w:hAnsi="Book Antiqua" w:cs="Arial"/>
          <w:sz w:val="24"/>
          <w:szCs w:val="24"/>
          <w:lang w:val="en-GB"/>
        </w:rPr>
        <w:t>tumourigenesis</w:t>
      </w:r>
      <w:proofErr w:type="spellEnd"/>
      <w:r w:rsidRPr="0049263A">
        <w:rPr>
          <w:rFonts w:ascii="Book Antiqua" w:hAnsi="Book Antiqua" w:cs="Arial"/>
          <w:sz w:val="24"/>
          <w:szCs w:val="24"/>
          <w:lang w:val="en-GB"/>
        </w:rPr>
        <w:t xml:space="preserve"> as well as tumour progression in several malignancies. Previous studies have shown hyperfibrinogenemia to be correlated with main clinicopathological characteristics and prognosis</w:t>
      </w:r>
      <w:r w:rsidR="006E7273"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 xml:space="preserve">after colorectal cancer surgery. </w:t>
      </w:r>
      <w:r w:rsidR="007A3204" w:rsidRPr="0049263A">
        <w:rPr>
          <w:rFonts w:ascii="Book Antiqua" w:hAnsi="Book Antiqua" w:cs="Arial"/>
          <w:sz w:val="24"/>
          <w:szCs w:val="24"/>
          <w:lang w:val="en-GB"/>
        </w:rPr>
        <w:t xml:space="preserve">Nonetheless, </w:t>
      </w:r>
      <w:r w:rsidR="007A3204" w:rsidRPr="0049263A">
        <w:rPr>
          <w:rFonts w:ascii="Book Antiqua" w:hAnsi="Book Antiqua" w:cs="Arial"/>
          <w:kern w:val="1"/>
          <w:sz w:val="24"/>
          <w:szCs w:val="24"/>
          <w:lang w:val="en-GB"/>
        </w:rPr>
        <w:t>t</w:t>
      </w:r>
      <w:r w:rsidRPr="0049263A">
        <w:rPr>
          <w:rFonts w:ascii="Book Antiqua" w:hAnsi="Book Antiqua" w:cs="Arial"/>
          <w:kern w:val="1"/>
          <w:sz w:val="24"/>
          <w:szCs w:val="24"/>
          <w:lang w:val="en-GB"/>
        </w:rPr>
        <w:t>he</w:t>
      </w:r>
      <w:r w:rsidR="007A3204" w:rsidRPr="0049263A">
        <w:rPr>
          <w:rFonts w:ascii="Book Antiqua" w:hAnsi="Book Antiqua" w:cs="Arial"/>
          <w:kern w:val="1"/>
          <w:sz w:val="24"/>
          <w:szCs w:val="24"/>
          <w:lang w:val="en-GB"/>
        </w:rPr>
        <w:t xml:space="preserve"> effective</w:t>
      </w:r>
      <w:r w:rsidRPr="0049263A">
        <w:rPr>
          <w:rFonts w:ascii="Book Antiqua" w:hAnsi="Book Antiqua" w:cs="Arial"/>
          <w:kern w:val="1"/>
          <w:sz w:val="24"/>
          <w:szCs w:val="24"/>
          <w:lang w:val="en-GB"/>
        </w:rPr>
        <w:t xml:space="preserve"> clinical significance of preoperative plasma fibrinogen levels as a prognostic marker after colorectal cancer surgery</w:t>
      </w:r>
      <w:r w:rsidR="007A3204" w:rsidRPr="0049263A">
        <w:rPr>
          <w:rFonts w:ascii="Book Antiqua" w:hAnsi="Book Antiqua" w:cs="Arial"/>
          <w:kern w:val="1"/>
          <w:sz w:val="24"/>
          <w:szCs w:val="24"/>
          <w:lang w:val="en-GB"/>
        </w:rPr>
        <w:t xml:space="preserve"> has not yet been determined</w:t>
      </w:r>
      <w:r w:rsidRPr="0049263A">
        <w:rPr>
          <w:rFonts w:ascii="Book Antiqua" w:hAnsi="Book Antiqua" w:cs="Arial"/>
          <w:kern w:val="1"/>
          <w:sz w:val="24"/>
          <w:szCs w:val="24"/>
          <w:lang w:val="en-GB"/>
        </w:rPr>
        <w:t>.</w:t>
      </w:r>
    </w:p>
    <w:p w14:paraId="1C537651" w14:textId="77777777" w:rsidR="007A3204" w:rsidRPr="0049263A" w:rsidRDefault="007A3204" w:rsidP="00522782">
      <w:pPr>
        <w:autoSpaceDE w:val="0"/>
        <w:autoSpaceDN w:val="0"/>
        <w:adjustRightInd w:val="0"/>
        <w:snapToGrid w:val="0"/>
        <w:spacing w:line="360" w:lineRule="auto"/>
        <w:jc w:val="both"/>
        <w:rPr>
          <w:rFonts w:ascii="Book Antiqua" w:hAnsi="Book Antiqua" w:cs="Arial"/>
          <w:b/>
          <w:i/>
          <w:sz w:val="24"/>
          <w:szCs w:val="24"/>
          <w:lang w:val="en-GB" w:eastAsia="zh-CN"/>
        </w:rPr>
      </w:pPr>
    </w:p>
    <w:p w14:paraId="1BE9D149" w14:textId="77777777" w:rsidR="00522782" w:rsidRPr="0049263A" w:rsidRDefault="00522782" w:rsidP="00522782">
      <w:pPr>
        <w:autoSpaceDE w:val="0"/>
        <w:autoSpaceDN w:val="0"/>
        <w:adjustRightInd w:val="0"/>
        <w:snapToGrid w:val="0"/>
        <w:spacing w:line="360" w:lineRule="auto"/>
        <w:jc w:val="both"/>
        <w:rPr>
          <w:rFonts w:ascii="Book Antiqua" w:hAnsi="Book Antiqua" w:cs="Book Antiqua"/>
          <w:b/>
          <w:i/>
          <w:iCs/>
          <w:sz w:val="23"/>
          <w:szCs w:val="23"/>
          <w:lang w:val="en-US"/>
        </w:rPr>
      </w:pPr>
      <w:r w:rsidRPr="0049263A">
        <w:rPr>
          <w:rFonts w:ascii="Book Antiqua" w:hAnsi="Book Antiqua" w:cs="Book Antiqua"/>
          <w:b/>
          <w:i/>
          <w:iCs/>
          <w:sz w:val="23"/>
          <w:szCs w:val="23"/>
          <w:lang w:val="en-US"/>
        </w:rPr>
        <w:t>Research frontiers</w:t>
      </w:r>
    </w:p>
    <w:p w14:paraId="48EECC0E" w14:textId="2B524B0B" w:rsidR="007A3204" w:rsidRPr="0049263A" w:rsidRDefault="007A3204" w:rsidP="00522782">
      <w:pPr>
        <w:autoSpaceDE w:val="0"/>
        <w:autoSpaceDN w:val="0"/>
        <w:adjustRightInd w:val="0"/>
        <w:snapToGrid w:val="0"/>
        <w:spacing w:line="360" w:lineRule="auto"/>
        <w:jc w:val="both"/>
        <w:rPr>
          <w:rFonts w:ascii="Book Antiqua" w:hAnsi="Book Antiqua" w:cs="Book Antiqua"/>
          <w:iCs/>
          <w:sz w:val="24"/>
          <w:szCs w:val="23"/>
          <w:lang w:val="en-US"/>
        </w:rPr>
      </w:pPr>
      <w:r w:rsidRPr="0049263A">
        <w:rPr>
          <w:rFonts w:ascii="Book Antiqua" w:hAnsi="Book Antiqua" w:cs="Book Antiqua"/>
          <w:iCs/>
          <w:sz w:val="24"/>
          <w:szCs w:val="23"/>
          <w:lang w:val="en-US"/>
        </w:rPr>
        <w:t>T</w:t>
      </w:r>
      <w:r w:rsidRPr="0049263A">
        <w:rPr>
          <w:rFonts w:ascii="Book Antiqua" w:hAnsi="Book Antiqua" w:cs="Arial"/>
          <w:sz w:val="24"/>
          <w:szCs w:val="24"/>
          <w:lang w:val="en-GB"/>
        </w:rPr>
        <w:t xml:space="preserve">his study represents the first analysis of the value of preoperative fibrinogen plasma level in a Western population and one of the largest cohort patients </w:t>
      </w:r>
    </w:p>
    <w:p w14:paraId="740EABBE" w14:textId="77777777" w:rsidR="00522782" w:rsidRPr="0049263A" w:rsidRDefault="00522782" w:rsidP="00522782">
      <w:pPr>
        <w:autoSpaceDE w:val="0"/>
        <w:autoSpaceDN w:val="0"/>
        <w:adjustRightInd w:val="0"/>
        <w:snapToGrid w:val="0"/>
        <w:spacing w:line="360" w:lineRule="auto"/>
        <w:jc w:val="both"/>
        <w:rPr>
          <w:rFonts w:ascii="Book Antiqua" w:hAnsi="Book Antiqua" w:cs="Book Antiqua"/>
          <w:b/>
          <w:sz w:val="23"/>
          <w:szCs w:val="23"/>
          <w:lang w:val="en-US"/>
        </w:rPr>
      </w:pPr>
    </w:p>
    <w:p w14:paraId="71DF8A23" w14:textId="77777777" w:rsidR="00522782" w:rsidRPr="0049263A" w:rsidRDefault="00522782" w:rsidP="00522782">
      <w:pPr>
        <w:snapToGrid w:val="0"/>
        <w:spacing w:line="360" w:lineRule="auto"/>
        <w:jc w:val="both"/>
        <w:rPr>
          <w:rFonts w:ascii="Book Antiqua" w:hAnsi="Book Antiqua" w:cs="Book Antiqua"/>
          <w:b/>
          <w:i/>
          <w:iCs/>
          <w:sz w:val="23"/>
          <w:szCs w:val="23"/>
          <w:lang w:val="en-US"/>
        </w:rPr>
      </w:pPr>
      <w:r w:rsidRPr="0049263A">
        <w:rPr>
          <w:rFonts w:ascii="Book Antiqua" w:hAnsi="Book Antiqua" w:cs="Book Antiqua"/>
          <w:b/>
          <w:i/>
          <w:iCs/>
          <w:sz w:val="23"/>
          <w:szCs w:val="23"/>
          <w:lang w:val="en-US"/>
        </w:rPr>
        <w:t>Innovations and breakthrough</w:t>
      </w:r>
    </w:p>
    <w:p w14:paraId="27C35322" w14:textId="5F8AA30A" w:rsidR="00522782" w:rsidRPr="0049263A" w:rsidRDefault="006E7273" w:rsidP="00522782">
      <w:pPr>
        <w:snapToGrid w:val="0"/>
        <w:spacing w:line="360" w:lineRule="auto"/>
        <w:jc w:val="both"/>
        <w:rPr>
          <w:rFonts w:ascii="Book Antiqua" w:hAnsi="Book Antiqua" w:cs="Book Antiqua"/>
          <w:sz w:val="24"/>
          <w:szCs w:val="24"/>
          <w:lang w:val="en-US"/>
        </w:rPr>
      </w:pPr>
      <w:r w:rsidRPr="0049263A">
        <w:rPr>
          <w:rFonts w:ascii="Book Antiqua" w:hAnsi="Book Antiqua" w:cs="Book Antiqua" w:hint="eastAsia"/>
          <w:sz w:val="24"/>
          <w:szCs w:val="24"/>
          <w:lang w:val="en-US" w:eastAsia="zh-CN"/>
        </w:rPr>
        <w:t>This</w:t>
      </w:r>
      <w:r w:rsidR="00561D85" w:rsidRPr="0049263A">
        <w:rPr>
          <w:rFonts w:ascii="Book Antiqua" w:hAnsi="Book Antiqua" w:cs="Book Antiqua"/>
          <w:sz w:val="24"/>
          <w:szCs w:val="24"/>
          <w:lang w:val="en-US"/>
        </w:rPr>
        <w:t xml:space="preserve"> study based on a large Western cohort did no</w:t>
      </w:r>
      <w:r w:rsidR="00E27998" w:rsidRPr="0049263A">
        <w:rPr>
          <w:rFonts w:ascii="Book Antiqua" w:hAnsi="Book Antiqua" w:cs="Book Antiqua"/>
          <w:sz w:val="24"/>
          <w:szCs w:val="24"/>
          <w:lang w:val="en-US"/>
        </w:rPr>
        <w:t>t confirm hyperfibrinogenemia to be an independent</w:t>
      </w:r>
      <w:r w:rsidR="00561D85" w:rsidRPr="0049263A">
        <w:rPr>
          <w:rFonts w:ascii="Book Antiqua" w:hAnsi="Book Antiqua" w:cs="Book Antiqua"/>
          <w:sz w:val="24"/>
          <w:szCs w:val="24"/>
          <w:lang w:val="en-US"/>
        </w:rPr>
        <w:t xml:space="preserve"> prognostic factor in colorectal cancer patients. </w:t>
      </w:r>
    </w:p>
    <w:p w14:paraId="4CA58967" w14:textId="77777777" w:rsidR="00E27998" w:rsidRPr="0049263A" w:rsidRDefault="00E27998" w:rsidP="00522782">
      <w:pPr>
        <w:snapToGrid w:val="0"/>
        <w:spacing w:line="360" w:lineRule="auto"/>
        <w:jc w:val="both"/>
        <w:rPr>
          <w:rFonts w:ascii="Book Antiqua" w:hAnsi="Book Antiqua" w:cs="Book Antiqua"/>
          <w:b/>
          <w:i/>
          <w:iCs/>
          <w:sz w:val="23"/>
          <w:szCs w:val="23"/>
          <w:lang w:val="en-US"/>
        </w:rPr>
      </w:pPr>
    </w:p>
    <w:p w14:paraId="0B5900EB" w14:textId="77777777" w:rsidR="00522782" w:rsidRPr="0049263A" w:rsidRDefault="00522782" w:rsidP="00522782">
      <w:pPr>
        <w:snapToGrid w:val="0"/>
        <w:spacing w:line="360" w:lineRule="auto"/>
        <w:jc w:val="both"/>
        <w:rPr>
          <w:rFonts w:ascii="Book Antiqua" w:hAnsi="Book Antiqua" w:cs="Book Antiqua"/>
          <w:b/>
          <w:i/>
          <w:iCs/>
          <w:sz w:val="23"/>
          <w:szCs w:val="23"/>
          <w:lang w:val="en-US"/>
        </w:rPr>
      </w:pPr>
      <w:r w:rsidRPr="0049263A">
        <w:rPr>
          <w:rFonts w:ascii="Book Antiqua" w:hAnsi="Book Antiqua" w:cs="Book Antiqua"/>
          <w:b/>
          <w:i/>
          <w:iCs/>
          <w:sz w:val="23"/>
          <w:szCs w:val="23"/>
          <w:lang w:val="en-US"/>
        </w:rPr>
        <w:t>Applications</w:t>
      </w:r>
    </w:p>
    <w:p w14:paraId="7084E85F" w14:textId="2C2DAA97" w:rsidR="00522782" w:rsidRPr="0049263A" w:rsidRDefault="00E27998" w:rsidP="00522782">
      <w:pPr>
        <w:snapToGrid w:val="0"/>
        <w:spacing w:line="360" w:lineRule="auto"/>
        <w:jc w:val="both"/>
        <w:rPr>
          <w:rFonts w:ascii="Book Antiqua" w:hAnsi="Book Antiqua" w:cs="Book Antiqua"/>
          <w:iCs/>
          <w:sz w:val="24"/>
          <w:szCs w:val="24"/>
          <w:lang w:val="en-US"/>
        </w:rPr>
      </w:pPr>
      <w:proofErr w:type="gramStart"/>
      <w:r w:rsidRPr="0049263A">
        <w:rPr>
          <w:rFonts w:ascii="Book Antiqua" w:hAnsi="Book Antiqua" w:cs="Book Antiqua"/>
          <w:iCs/>
          <w:sz w:val="24"/>
          <w:szCs w:val="24"/>
          <w:lang w:val="en-US"/>
        </w:rPr>
        <w:t>Evalua</w:t>
      </w:r>
      <w:bookmarkStart w:id="61" w:name="_GoBack"/>
      <w:bookmarkEnd w:id="61"/>
      <w:r w:rsidRPr="0049263A">
        <w:rPr>
          <w:rFonts w:ascii="Book Antiqua" w:hAnsi="Book Antiqua" w:cs="Book Antiqua"/>
          <w:iCs/>
          <w:sz w:val="24"/>
          <w:szCs w:val="24"/>
          <w:lang w:val="en-US"/>
        </w:rPr>
        <w:t>tion</w:t>
      </w:r>
      <w:proofErr w:type="gramEnd"/>
      <w:r w:rsidR="00254E1F" w:rsidRPr="0049263A">
        <w:rPr>
          <w:rFonts w:ascii="Book Antiqua" w:hAnsi="Book Antiqua" w:cs="Book Antiqua"/>
          <w:iCs/>
          <w:sz w:val="24"/>
          <w:szCs w:val="24"/>
          <w:lang w:val="en-US"/>
        </w:rPr>
        <w:t xml:space="preserve"> of fibrinogen plasma levels are routinely perform among preoperative blood tests. His </w:t>
      </w:r>
      <w:proofErr w:type="gramStart"/>
      <w:r w:rsidR="00254E1F" w:rsidRPr="0049263A">
        <w:rPr>
          <w:rFonts w:ascii="Book Antiqua" w:hAnsi="Book Antiqua" w:cs="Book Antiqua"/>
          <w:iCs/>
          <w:sz w:val="24"/>
          <w:szCs w:val="24"/>
          <w:lang w:val="en-US"/>
        </w:rPr>
        <w:t xml:space="preserve">correlation with </w:t>
      </w:r>
      <w:r w:rsidR="00254E1F" w:rsidRPr="0049263A">
        <w:rPr>
          <w:rFonts w:ascii="Book Antiqua" w:hAnsi="Book Antiqua" w:cs="Arial"/>
          <w:sz w:val="24"/>
          <w:szCs w:val="24"/>
          <w:lang w:val="en-GB"/>
        </w:rPr>
        <w:t>leading prognostic factors in patients undergoing surgery for CRC</w:t>
      </w:r>
      <w:r w:rsidR="009542D1" w:rsidRPr="0049263A">
        <w:rPr>
          <w:rFonts w:ascii="Book Antiqua" w:hAnsi="Book Antiqua" w:cs="Arial"/>
          <w:sz w:val="24"/>
          <w:szCs w:val="24"/>
          <w:lang w:val="en-GB"/>
        </w:rPr>
        <w:t xml:space="preserve"> is interesting and require</w:t>
      </w:r>
      <w:proofErr w:type="gramEnd"/>
      <w:r w:rsidR="009542D1" w:rsidRPr="0049263A">
        <w:rPr>
          <w:rFonts w:ascii="Book Antiqua" w:hAnsi="Book Antiqua" w:cs="Arial"/>
          <w:sz w:val="24"/>
          <w:szCs w:val="24"/>
          <w:lang w:val="en-GB"/>
        </w:rPr>
        <w:t xml:space="preserve"> further studies.</w:t>
      </w:r>
    </w:p>
    <w:p w14:paraId="6EF63DF7" w14:textId="77777777" w:rsidR="00E27998" w:rsidRPr="0049263A" w:rsidRDefault="00E27998" w:rsidP="00522782">
      <w:pPr>
        <w:snapToGrid w:val="0"/>
        <w:spacing w:line="360" w:lineRule="auto"/>
        <w:jc w:val="both"/>
        <w:rPr>
          <w:rFonts w:ascii="Book Antiqua" w:hAnsi="Book Antiqua" w:cs="Book Antiqua"/>
          <w:b/>
          <w:i/>
          <w:iCs/>
          <w:sz w:val="23"/>
          <w:szCs w:val="23"/>
          <w:lang w:val="en-US"/>
        </w:rPr>
      </w:pPr>
    </w:p>
    <w:p w14:paraId="35D37CC6" w14:textId="77777777" w:rsidR="00522782" w:rsidRPr="0049263A" w:rsidRDefault="00522782" w:rsidP="00522782">
      <w:pPr>
        <w:snapToGrid w:val="0"/>
        <w:spacing w:line="360" w:lineRule="auto"/>
        <w:jc w:val="both"/>
        <w:rPr>
          <w:rFonts w:ascii="Book Antiqua" w:hAnsi="Book Antiqua" w:cs="Book Antiqua"/>
          <w:b/>
          <w:i/>
          <w:iCs/>
          <w:sz w:val="23"/>
          <w:szCs w:val="23"/>
          <w:lang w:val="en-US"/>
        </w:rPr>
      </w:pPr>
      <w:r w:rsidRPr="0049263A">
        <w:rPr>
          <w:rFonts w:ascii="Book Antiqua" w:hAnsi="Book Antiqua" w:cs="Book Antiqua"/>
          <w:b/>
          <w:i/>
          <w:iCs/>
          <w:sz w:val="23"/>
          <w:szCs w:val="23"/>
          <w:lang w:val="en-US"/>
        </w:rPr>
        <w:t>Terminology</w:t>
      </w:r>
    </w:p>
    <w:p w14:paraId="0D667FF0" w14:textId="7040A1ED" w:rsidR="00522782" w:rsidRPr="0049263A" w:rsidRDefault="009542D1" w:rsidP="00522782">
      <w:pPr>
        <w:snapToGrid w:val="0"/>
        <w:spacing w:line="360" w:lineRule="auto"/>
        <w:jc w:val="both"/>
        <w:rPr>
          <w:rFonts w:ascii="Book Antiqua" w:hAnsi="Book Antiqua" w:cs="Book Antiqua"/>
          <w:b/>
          <w:i/>
          <w:iCs/>
          <w:sz w:val="23"/>
          <w:szCs w:val="23"/>
          <w:lang w:val="en-US"/>
        </w:rPr>
      </w:pPr>
      <w:r w:rsidRPr="0049263A">
        <w:rPr>
          <w:rFonts w:ascii="Book Antiqua" w:hAnsi="Book Antiqua" w:cs="Arial"/>
          <w:kern w:val="1"/>
          <w:sz w:val="24"/>
          <w:szCs w:val="24"/>
          <w:lang w:val="en-GB"/>
        </w:rPr>
        <w:lastRenderedPageBreak/>
        <w:t xml:space="preserve">Colorectal cancer (CRC) is the third most common cancer worldwide. CRC is associated with a large range of </w:t>
      </w:r>
      <w:proofErr w:type="spellStart"/>
      <w:r w:rsidRPr="0049263A">
        <w:rPr>
          <w:rFonts w:ascii="Book Antiqua" w:hAnsi="Book Antiqua" w:cs="Arial"/>
          <w:kern w:val="1"/>
          <w:sz w:val="24"/>
          <w:szCs w:val="24"/>
          <w:lang w:val="en-GB"/>
        </w:rPr>
        <w:t>fibrinolytic</w:t>
      </w:r>
      <w:proofErr w:type="spellEnd"/>
      <w:r w:rsidRPr="0049263A">
        <w:rPr>
          <w:rFonts w:ascii="Book Antiqua" w:hAnsi="Book Antiqua" w:cs="Arial"/>
          <w:kern w:val="1"/>
          <w:sz w:val="24"/>
          <w:szCs w:val="24"/>
          <w:lang w:val="en-GB"/>
        </w:rPr>
        <w:t xml:space="preserve"> and </w:t>
      </w:r>
      <w:proofErr w:type="spellStart"/>
      <w:r w:rsidR="00561D85" w:rsidRPr="0049263A">
        <w:rPr>
          <w:rFonts w:ascii="Book Antiqua" w:hAnsi="Book Antiqua" w:cs="Arial"/>
          <w:kern w:val="1"/>
          <w:sz w:val="24"/>
          <w:szCs w:val="24"/>
          <w:lang w:val="en-GB"/>
        </w:rPr>
        <w:t>procoagulant</w:t>
      </w:r>
      <w:proofErr w:type="spellEnd"/>
      <w:r w:rsidR="00561D85" w:rsidRPr="0049263A">
        <w:rPr>
          <w:rFonts w:ascii="Book Antiqua" w:hAnsi="Book Antiqua" w:cs="Arial"/>
          <w:kern w:val="1"/>
          <w:sz w:val="24"/>
          <w:szCs w:val="24"/>
          <w:lang w:val="en-GB"/>
        </w:rPr>
        <w:t xml:space="preserve"> alterations and</w:t>
      </w:r>
      <w:r w:rsidRPr="0049263A">
        <w:rPr>
          <w:rFonts w:ascii="Book Antiqua" w:hAnsi="Book Antiqua" w:cs="Arial"/>
          <w:kern w:val="1"/>
          <w:sz w:val="24"/>
          <w:szCs w:val="24"/>
          <w:lang w:val="en-GB"/>
        </w:rPr>
        <w:t xml:space="preserve"> fibrinogen </w:t>
      </w:r>
      <w:r w:rsidR="00561D85" w:rsidRPr="0049263A">
        <w:rPr>
          <w:rFonts w:ascii="Book Antiqua" w:hAnsi="Book Antiqua" w:cs="Arial"/>
          <w:kern w:val="1"/>
          <w:sz w:val="24"/>
          <w:szCs w:val="24"/>
          <w:lang w:val="en-GB"/>
        </w:rPr>
        <w:t>plasma levels that could represent</w:t>
      </w:r>
      <w:r w:rsidRPr="0049263A">
        <w:rPr>
          <w:rFonts w:ascii="Book Antiqua" w:hAnsi="Book Antiqua" w:cs="Arial"/>
          <w:kern w:val="1"/>
          <w:sz w:val="24"/>
          <w:szCs w:val="24"/>
          <w:lang w:val="en-GB"/>
        </w:rPr>
        <w:t xml:space="preserve"> this </w:t>
      </w:r>
      <w:r w:rsidR="00561D85" w:rsidRPr="0049263A">
        <w:rPr>
          <w:rFonts w:ascii="Book Antiqua" w:hAnsi="Book Antiqua" w:cs="Arial"/>
          <w:kern w:val="1"/>
          <w:sz w:val="24"/>
          <w:szCs w:val="24"/>
          <w:lang w:val="en-GB"/>
        </w:rPr>
        <w:t xml:space="preserve">relationship. </w:t>
      </w:r>
    </w:p>
    <w:p w14:paraId="77B42822" w14:textId="77777777" w:rsidR="00E27998" w:rsidRPr="0049263A" w:rsidRDefault="00E27998" w:rsidP="00522782">
      <w:pPr>
        <w:autoSpaceDE w:val="0"/>
        <w:snapToGrid w:val="0"/>
        <w:spacing w:line="360" w:lineRule="auto"/>
        <w:jc w:val="both"/>
        <w:rPr>
          <w:rFonts w:ascii="Book Antiqua" w:hAnsi="Book Antiqua" w:cs="Book Antiqua"/>
          <w:b/>
          <w:i/>
          <w:iCs/>
          <w:sz w:val="23"/>
          <w:szCs w:val="23"/>
          <w:lang w:val="en-US"/>
        </w:rPr>
      </w:pPr>
    </w:p>
    <w:p w14:paraId="0B39DA11" w14:textId="3046E305" w:rsidR="009C7E5B" w:rsidRPr="0049263A" w:rsidRDefault="00522782" w:rsidP="00522782">
      <w:pPr>
        <w:autoSpaceDE w:val="0"/>
        <w:snapToGrid w:val="0"/>
        <w:spacing w:line="360" w:lineRule="auto"/>
        <w:jc w:val="both"/>
        <w:rPr>
          <w:rFonts w:ascii="Book Antiqua" w:hAnsi="Book Antiqua" w:cs="Book Antiqua"/>
          <w:b/>
          <w:i/>
          <w:iCs/>
          <w:sz w:val="23"/>
          <w:szCs w:val="23"/>
          <w:lang w:val="en-US" w:eastAsia="zh-CN"/>
        </w:rPr>
      </w:pPr>
      <w:r w:rsidRPr="0049263A">
        <w:rPr>
          <w:rFonts w:ascii="Book Antiqua" w:hAnsi="Book Antiqua" w:cs="Book Antiqua" w:hint="eastAsia"/>
          <w:b/>
          <w:i/>
          <w:iCs/>
          <w:sz w:val="23"/>
          <w:szCs w:val="23"/>
          <w:lang w:val="en-US"/>
        </w:rPr>
        <w:t>Peer-review</w:t>
      </w:r>
      <w:bookmarkEnd w:id="54"/>
      <w:bookmarkEnd w:id="55"/>
      <w:bookmarkEnd w:id="56"/>
      <w:bookmarkEnd w:id="57"/>
      <w:bookmarkEnd w:id="58"/>
      <w:bookmarkEnd w:id="59"/>
      <w:bookmarkEnd w:id="60"/>
    </w:p>
    <w:p w14:paraId="623160A6" w14:textId="414329DE" w:rsidR="00522782" w:rsidRPr="0049263A" w:rsidRDefault="00522782" w:rsidP="00522782">
      <w:pPr>
        <w:autoSpaceDE w:val="0"/>
        <w:snapToGrid w:val="0"/>
        <w:spacing w:line="360" w:lineRule="auto"/>
        <w:jc w:val="both"/>
        <w:rPr>
          <w:rFonts w:ascii="Book Antiqua" w:hAnsi="Book Antiqua" w:cs="Arial"/>
          <w:sz w:val="24"/>
          <w:szCs w:val="24"/>
          <w:lang w:val="en-GB" w:eastAsia="zh-CN"/>
        </w:rPr>
      </w:pPr>
      <w:r w:rsidRPr="0049263A">
        <w:rPr>
          <w:rFonts w:ascii="Book Antiqua" w:hAnsi="Book Antiqua" w:cs="Arial"/>
          <w:sz w:val="24"/>
          <w:szCs w:val="24"/>
          <w:lang w:val="en-GB" w:eastAsia="zh-CN"/>
        </w:rPr>
        <w:t>This paper tried to elucidate role of fibrinogen plasma level in the prediction of CRC prognosis. The manuscript is well written and the data and table is clear.</w:t>
      </w:r>
    </w:p>
    <w:p w14:paraId="6DA3CE9B" w14:textId="77777777" w:rsidR="00F814B6" w:rsidRPr="0049263A" w:rsidRDefault="00F814B6">
      <w:pPr>
        <w:suppressAutoHyphens w:val="0"/>
        <w:rPr>
          <w:rFonts w:ascii="Book Antiqua" w:hAnsi="Book Antiqua" w:cs="Arial"/>
          <w:b/>
          <w:sz w:val="24"/>
          <w:szCs w:val="24"/>
          <w:lang w:val="en-GB"/>
        </w:rPr>
      </w:pPr>
      <w:r w:rsidRPr="0049263A">
        <w:rPr>
          <w:rFonts w:ascii="Book Antiqua" w:hAnsi="Book Antiqua" w:cs="Arial"/>
          <w:b/>
          <w:sz w:val="24"/>
          <w:szCs w:val="24"/>
          <w:lang w:val="en-GB"/>
        </w:rPr>
        <w:br w:type="page"/>
      </w:r>
    </w:p>
    <w:p w14:paraId="28D5D5A9" w14:textId="4039F457" w:rsidR="0093205E" w:rsidRPr="0049263A" w:rsidRDefault="0093205E" w:rsidP="00AA734A">
      <w:pPr>
        <w:autoSpaceDE w:val="0"/>
        <w:snapToGrid w:val="0"/>
        <w:spacing w:line="360" w:lineRule="auto"/>
        <w:jc w:val="both"/>
        <w:rPr>
          <w:rFonts w:ascii="Book Antiqua" w:hAnsi="Book Antiqua" w:cs="Arial"/>
          <w:sz w:val="24"/>
          <w:szCs w:val="24"/>
          <w:lang w:val="en-GB" w:eastAsia="zh-CN"/>
        </w:rPr>
      </w:pPr>
      <w:r w:rsidRPr="0049263A">
        <w:rPr>
          <w:rFonts w:ascii="Book Antiqua" w:hAnsi="Book Antiqua" w:cs="Arial"/>
          <w:b/>
          <w:sz w:val="24"/>
          <w:szCs w:val="24"/>
          <w:lang w:val="en-GB"/>
        </w:rPr>
        <w:lastRenderedPageBreak/>
        <w:t>REFERENCES</w:t>
      </w:r>
    </w:p>
    <w:p w14:paraId="0B2F6597"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r w:rsidRPr="0049263A">
        <w:rPr>
          <w:rFonts w:ascii="Book Antiqua" w:hAnsi="Book Antiqua" w:cs="宋体"/>
          <w:sz w:val="24"/>
          <w:szCs w:val="24"/>
          <w:lang w:val="en-US" w:eastAsia="zh-CN"/>
        </w:rPr>
        <w:t>1 </w:t>
      </w:r>
      <w:r w:rsidRPr="0049263A">
        <w:rPr>
          <w:rFonts w:ascii="Book Antiqua" w:hAnsi="Book Antiqua" w:cs="宋体"/>
          <w:b/>
          <w:bCs/>
          <w:sz w:val="24"/>
          <w:szCs w:val="24"/>
          <w:lang w:val="en-US" w:eastAsia="zh-CN"/>
        </w:rPr>
        <w:t>Center MM</w:t>
      </w:r>
      <w:r w:rsidRPr="0049263A">
        <w:rPr>
          <w:rFonts w:ascii="Book Antiqua" w:hAnsi="Book Antiqua" w:cs="宋体"/>
          <w:sz w:val="24"/>
          <w:szCs w:val="24"/>
          <w:lang w:val="en-US" w:eastAsia="zh-CN"/>
        </w:rPr>
        <w:t xml:space="preserve">, </w:t>
      </w:r>
      <w:proofErr w:type="spellStart"/>
      <w:r w:rsidRPr="0049263A">
        <w:rPr>
          <w:rFonts w:ascii="Book Antiqua" w:hAnsi="Book Antiqua" w:cs="宋体"/>
          <w:sz w:val="24"/>
          <w:szCs w:val="24"/>
          <w:lang w:val="en-US" w:eastAsia="zh-CN"/>
        </w:rPr>
        <w:t>Jemal</w:t>
      </w:r>
      <w:proofErr w:type="spellEnd"/>
      <w:r w:rsidRPr="0049263A">
        <w:rPr>
          <w:rFonts w:ascii="Book Antiqua" w:hAnsi="Book Antiqua" w:cs="宋体"/>
          <w:sz w:val="24"/>
          <w:szCs w:val="24"/>
          <w:lang w:val="en-US" w:eastAsia="zh-CN"/>
        </w:rPr>
        <w:t xml:space="preserve"> A, Smith RA, Ward E. Worldwide variations in colorectal cancer.</w:t>
      </w:r>
      <w:r w:rsidRPr="0049263A">
        <w:rPr>
          <w:rFonts w:ascii="Book Antiqua" w:hAnsi="Book Antiqua" w:cs="宋体" w:hint="eastAsia"/>
          <w:sz w:val="24"/>
          <w:szCs w:val="24"/>
          <w:lang w:val="en-US" w:eastAsia="zh-CN"/>
        </w:rPr>
        <w:t xml:space="preserve"> </w:t>
      </w:r>
      <w:r w:rsidRPr="0049263A">
        <w:rPr>
          <w:rFonts w:ascii="Book Antiqua" w:hAnsi="Book Antiqua" w:cs="宋体"/>
          <w:i/>
          <w:iCs/>
          <w:sz w:val="24"/>
          <w:szCs w:val="24"/>
          <w:lang w:val="en-US" w:eastAsia="zh-CN"/>
        </w:rPr>
        <w:t xml:space="preserve">CA Cancer J </w:t>
      </w:r>
      <w:proofErr w:type="spellStart"/>
      <w:r w:rsidRPr="0049263A">
        <w:rPr>
          <w:rFonts w:ascii="Book Antiqua" w:hAnsi="Book Antiqua" w:cs="宋体"/>
          <w:i/>
          <w:iCs/>
          <w:sz w:val="24"/>
          <w:szCs w:val="24"/>
          <w:lang w:val="en-US" w:eastAsia="zh-CN"/>
        </w:rPr>
        <w:t>Clin</w:t>
      </w:r>
      <w:proofErr w:type="spellEnd"/>
      <w:r w:rsidRPr="0049263A">
        <w:rPr>
          <w:rFonts w:ascii="Book Antiqua" w:hAnsi="Book Antiqua" w:cs="宋体"/>
          <w:sz w:val="24"/>
          <w:szCs w:val="24"/>
          <w:lang w:val="en-US" w:eastAsia="zh-CN"/>
        </w:rPr>
        <w:t> </w:t>
      </w:r>
      <w:r w:rsidRPr="0049263A">
        <w:rPr>
          <w:rFonts w:ascii="Book Antiqua" w:hAnsi="Book Antiqua" w:cs="宋体" w:hint="eastAsia"/>
          <w:sz w:val="24"/>
          <w:szCs w:val="24"/>
          <w:lang w:val="en-US" w:eastAsia="zh-CN"/>
        </w:rPr>
        <w:t>2014</w:t>
      </w:r>
      <w:r w:rsidRPr="0049263A">
        <w:rPr>
          <w:rFonts w:ascii="Book Antiqua" w:hAnsi="Book Antiqua" w:cs="宋体"/>
          <w:sz w:val="24"/>
          <w:szCs w:val="24"/>
          <w:lang w:val="en-US" w:eastAsia="zh-CN"/>
        </w:rPr>
        <w:t>; </w:t>
      </w:r>
      <w:r w:rsidRPr="0049263A">
        <w:rPr>
          <w:rFonts w:ascii="Book Antiqua" w:hAnsi="Book Antiqua" w:cs="宋体"/>
          <w:b/>
          <w:bCs/>
          <w:sz w:val="24"/>
          <w:szCs w:val="24"/>
          <w:lang w:val="en-US" w:eastAsia="zh-CN"/>
        </w:rPr>
        <w:t>59</w:t>
      </w:r>
      <w:r w:rsidRPr="0049263A">
        <w:rPr>
          <w:rFonts w:ascii="Book Antiqua" w:hAnsi="Book Antiqua" w:cs="宋体"/>
          <w:sz w:val="24"/>
          <w:szCs w:val="24"/>
          <w:lang w:val="en-US" w:eastAsia="zh-CN"/>
        </w:rPr>
        <w:t>: 366-378 [PMID: 19897840 DOI: 10.3322/caac.20038]</w:t>
      </w:r>
    </w:p>
    <w:p w14:paraId="3458F6B9"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r w:rsidRPr="0049263A">
        <w:rPr>
          <w:rFonts w:ascii="Book Antiqua" w:hAnsi="Book Antiqua" w:cs="宋体"/>
          <w:sz w:val="24"/>
          <w:szCs w:val="24"/>
          <w:lang w:val="en-US" w:eastAsia="zh-CN"/>
        </w:rPr>
        <w:t>2 </w:t>
      </w:r>
      <w:proofErr w:type="spellStart"/>
      <w:r w:rsidRPr="0049263A">
        <w:rPr>
          <w:rFonts w:ascii="Book Antiqua" w:hAnsi="Book Antiqua" w:cs="宋体"/>
          <w:b/>
          <w:bCs/>
          <w:sz w:val="24"/>
          <w:szCs w:val="24"/>
          <w:lang w:val="en-US" w:eastAsia="zh-CN"/>
        </w:rPr>
        <w:t>Costantini</w:t>
      </w:r>
      <w:proofErr w:type="spellEnd"/>
      <w:r w:rsidRPr="0049263A">
        <w:rPr>
          <w:rFonts w:ascii="Book Antiqua" w:hAnsi="Book Antiqua" w:cs="宋体"/>
          <w:b/>
          <w:bCs/>
          <w:sz w:val="24"/>
          <w:szCs w:val="24"/>
          <w:lang w:val="en-US" w:eastAsia="zh-CN"/>
        </w:rPr>
        <w:t xml:space="preserve"> V</w:t>
      </w:r>
      <w:r w:rsidRPr="0049263A">
        <w:rPr>
          <w:rFonts w:ascii="Book Antiqua" w:hAnsi="Book Antiqua" w:cs="宋体"/>
          <w:sz w:val="24"/>
          <w:szCs w:val="24"/>
          <w:lang w:val="en-US" w:eastAsia="zh-CN"/>
        </w:rPr>
        <w:t xml:space="preserve">, </w:t>
      </w:r>
      <w:proofErr w:type="spellStart"/>
      <w:r w:rsidRPr="0049263A">
        <w:rPr>
          <w:rFonts w:ascii="Book Antiqua" w:hAnsi="Book Antiqua" w:cs="宋体"/>
          <w:sz w:val="24"/>
          <w:szCs w:val="24"/>
          <w:lang w:val="en-US" w:eastAsia="zh-CN"/>
        </w:rPr>
        <w:t>Zacharski</w:t>
      </w:r>
      <w:proofErr w:type="spellEnd"/>
      <w:r w:rsidRPr="0049263A">
        <w:rPr>
          <w:rFonts w:ascii="Book Antiqua" w:hAnsi="Book Antiqua" w:cs="宋体"/>
          <w:sz w:val="24"/>
          <w:szCs w:val="24"/>
          <w:lang w:val="en-US" w:eastAsia="zh-CN"/>
        </w:rPr>
        <w:t xml:space="preserve"> LR. </w:t>
      </w:r>
      <w:proofErr w:type="gramStart"/>
      <w:r w:rsidRPr="0049263A">
        <w:rPr>
          <w:rFonts w:ascii="Book Antiqua" w:hAnsi="Book Antiqua" w:cs="宋体"/>
          <w:sz w:val="24"/>
          <w:szCs w:val="24"/>
          <w:lang w:val="en-US" w:eastAsia="zh-CN"/>
        </w:rPr>
        <w:t>Fibrin and cancer.</w:t>
      </w:r>
      <w:proofErr w:type="gramEnd"/>
      <w:r w:rsidRPr="0049263A">
        <w:rPr>
          <w:rFonts w:ascii="Book Antiqua" w:hAnsi="Book Antiqua" w:cs="宋体"/>
          <w:sz w:val="24"/>
          <w:szCs w:val="24"/>
          <w:lang w:val="en-US" w:eastAsia="zh-CN"/>
        </w:rPr>
        <w:t> </w:t>
      </w:r>
      <w:proofErr w:type="spellStart"/>
      <w:r w:rsidRPr="0049263A">
        <w:rPr>
          <w:rFonts w:ascii="Book Antiqua" w:hAnsi="Book Antiqua" w:cs="宋体"/>
          <w:i/>
          <w:iCs/>
          <w:sz w:val="24"/>
          <w:szCs w:val="24"/>
          <w:lang w:val="en-US" w:eastAsia="zh-CN"/>
        </w:rPr>
        <w:t>Thromb</w:t>
      </w:r>
      <w:proofErr w:type="spellEnd"/>
      <w:r w:rsidRPr="0049263A">
        <w:rPr>
          <w:rFonts w:ascii="Book Antiqua" w:hAnsi="Book Antiqua" w:cs="宋体"/>
          <w:i/>
          <w:iCs/>
          <w:sz w:val="24"/>
          <w:szCs w:val="24"/>
          <w:lang w:val="en-US" w:eastAsia="zh-CN"/>
        </w:rPr>
        <w:t xml:space="preserve"> </w:t>
      </w:r>
      <w:proofErr w:type="spellStart"/>
      <w:r w:rsidRPr="0049263A">
        <w:rPr>
          <w:rFonts w:ascii="Book Antiqua" w:hAnsi="Book Antiqua" w:cs="宋体"/>
          <w:i/>
          <w:iCs/>
          <w:sz w:val="24"/>
          <w:szCs w:val="24"/>
          <w:lang w:val="en-US" w:eastAsia="zh-CN"/>
        </w:rPr>
        <w:t>Haemost</w:t>
      </w:r>
      <w:proofErr w:type="spellEnd"/>
      <w:r w:rsidRPr="0049263A">
        <w:rPr>
          <w:rFonts w:ascii="Book Antiqua" w:hAnsi="Book Antiqua" w:cs="宋体"/>
          <w:sz w:val="24"/>
          <w:szCs w:val="24"/>
          <w:lang w:val="en-US" w:eastAsia="zh-CN"/>
        </w:rPr>
        <w:t> 1993; </w:t>
      </w:r>
      <w:r w:rsidRPr="0049263A">
        <w:rPr>
          <w:rFonts w:ascii="Book Antiqua" w:hAnsi="Book Antiqua" w:cs="宋体"/>
          <w:b/>
          <w:bCs/>
          <w:sz w:val="24"/>
          <w:szCs w:val="24"/>
          <w:lang w:val="en-US" w:eastAsia="zh-CN"/>
        </w:rPr>
        <w:t>69</w:t>
      </w:r>
      <w:r w:rsidRPr="0049263A">
        <w:rPr>
          <w:rFonts w:ascii="Book Antiqua" w:hAnsi="Book Antiqua" w:cs="宋体"/>
          <w:sz w:val="24"/>
          <w:szCs w:val="24"/>
          <w:lang w:val="en-US" w:eastAsia="zh-CN"/>
        </w:rPr>
        <w:t>: 406-414 [PMID: 8322261]</w:t>
      </w:r>
    </w:p>
    <w:p w14:paraId="53FDD8C5"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r w:rsidRPr="0049263A">
        <w:rPr>
          <w:rFonts w:ascii="Book Antiqua" w:hAnsi="Book Antiqua" w:cs="宋体"/>
          <w:sz w:val="24"/>
          <w:szCs w:val="24"/>
          <w:lang w:val="en-US" w:eastAsia="zh-CN"/>
        </w:rPr>
        <w:t>3 </w:t>
      </w:r>
      <w:r w:rsidRPr="0049263A">
        <w:rPr>
          <w:rFonts w:ascii="Book Antiqua" w:hAnsi="Book Antiqua" w:cs="宋体"/>
          <w:b/>
          <w:bCs/>
          <w:sz w:val="24"/>
          <w:szCs w:val="24"/>
          <w:lang w:val="en-US" w:eastAsia="zh-CN"/>
        </w:rPr>
        <w:t>Dvorak HF</w:t>
      </w:r>
      <w:r w:rsidRPr="0049263A">
        <w:rPr>
          <w:rFonts w:ascii="Book Antiqua" w:hAnsi="Book Antiqua" w:cs="宋体"/>
          <w:sz w:val="24"/>
          <w:szCs w:val="24"/>
          <w:lang w:val="en-US" w:eastAsia="zh-CN"/>
        </w:rPr>
        <w:t xml:space="preserve">, Nagy JA, </w:t>
      </w:r>
      <w:proofErr w:type="spellStart"/>
      <w:r w:rsidRPr="0049263A">
        <w:rPr>
          <w:rFonts w:ascii="Book Antiqua" w:hAnsi="Book Antiqua" w:cs="宋体"/>
          <w:sz w:val="24"/>
          <w:szCs w:val="24"/>
          <w:lang w:val="en-US" w:eastAsia="zh-CN"/>
        </w:rPr>
        <w:t>Berse</w:t>
      </w:r>
      <w:proofErr w:type="spellEnd"/>
      <w:r w:rsidRPr="0049263A">
        <w:rPr>
          <w:rFonts w:ascii="Book Antiqua" w:hAnsi="Book Antiqua" w:cs="宋体"/>
          <w:sz w:val="24"/>
          <w:szCs w:val="24"/>
          <w:lang w:val="en-US" w:eastAsia="zh-CN"/>
        </w:rPr>
        <w:t xml:space="preserve"> B, Brown LF, Yeo KT, Yeo TK, Dvorak AM, van de Water L, </w:t>
      </w:r>
      <w:proofErr w:type="spellStart"/>
      <w:r w:rsidRPr="0049263A">
        <w:rPr>
          <w:rFonts w:ascii="Book Antiqua" w:hAnsi="Book Antiqua" w:cs="宋体"/>
          <w:sz w:val="24"/>
          <w:szCs w:val="24"/>
          <w:lang w:val="en-US" w:eastAsia="zh-CN"/>
        </w:rPr>
        <w:t>Sioussat</w:t>
      </w:r>
      <w:proofErr w:type="spellEnd"/>
      <w:r w:rsidRPr="0049263A">
        <w:rPr>
          <w:rFonts w:ascii="Book Antiqua" w:hAnsi="Book Antiqua" w:cs="宋体"/>
          <w:sz w:val="24"/>
          <w:szCs w:val="24"/>
          <w:lang w:val="en-US" w:eastAsia="zh-CN"/>
        </w:rPr>
        <w:t xml:space="preserve"> TM, </w:t>
      </w:r>
      <w:proofErr w:type="spellStart"/>
      <w:r w:rsidRPr="0049263A">
        <w:rPr>
          <w:rFonts w:ascii="Book Antiqua" w:hAnsi="Book Antiqua" w:cs="宋体"/>
          <w:sz w:val="24"/>
          <w:szCs w:val="24"/>
          <w:lang w:val="en-US" w:eastAsia="zh-CN"/>
        </w:rPr>
        <w:t>Senger</w:t>
      </w:r>
      <w:proofErr w:type="spellEnd"/>
      <w:r w:rsidRPr="0049263A">
        <w:rPr>
          <w:rFonts w:ascii="Book Antiqua" w:hAnsi="Book Antiqua" w:cs="宋体"/>
          <w:sz w:val="24"/>
          <w:szCs w:val="24"/>
          <w:lang w:val="en-US" w:eastAsia="zh-CN"/>
        </w:rPr>
        <w:t xml:space="preserve"> DR. Vascular permeability factor, fibrin, and the pathogenesis of tumor stroma formation. </w:t>
      </w:r>
      <w:r w:rsidRPr="0049263A">
        <w:rPr>
          <w:rFonts w:ascii="Book Antiqua" w:hAnsi="Book Antiqua" w:cs="宋体"/>
          <w:i/>
          <w:iCs/>
          <w:sz w:val="24"/>
          <w:szCs w:val="24"/>
          <w:lang w:val="en-US" w:eastAsia="zh-CN"/>
        </w:rPr>
        <w:t xml:space="preserve">Ann N Y </w:t>
      </w:r>
      <w:proofErr w:type="spellStart"/>
      <w:r w:rsidRPr="0049263A">
        <w:rPr>
          <w:rFonts w:ascii="Book Antiqua" w:hAnsi="Book Antiqua" w:cs="宋体"/>
          <w:i/>
          <w:iCs/>
          <w:sz w:val="24"/>
          <w:szCs w:val="24"/>
          <w:lang w:val="en-US" w:eastAsia="zh-CN"/>
        </w:rPr>
        <w:t>Acad</w:t>
      </w:r>
      <w:proofErr w:type="spellEnd"/>
      <w:r w:rsidRPr="0049263A">
        <w:rPr>
          <w:rFonts w:ascii="Book Antiqua" w:hAnsi="Book Antiqua" w:cs="宋体"/>
          <w:i/>
          <w:iCs/>
          <w:sz w:val="24"/>
          <w:szCs w:val="24"/>
          <w:lang w:val="en-US" w:eastAsia="zh-CN"/>
        </w:rPr>
        <w:t xml:space="preserve"> </w:t>
      </w:r>
      <w:proofErr w:type="spellStart"/>
      <w:r w:rsidRPr="0049263A">
        <w:rPr>
          <w:rFonts w:ascii="Book Antiqua" w:hAnsi="Book Antiqua" w:cs="宋体"/>
          <w:i/>
          <w:iCs/>
          <w:sz w:val="24"/>
          <w:szCs w:val="24"/>
          <w:lang w:val="en-US" w:eastAsia="zh-CN"/>
        </w:rPr>
        <w:t>Sci</w:t>
      </w:r>
      <w:proofErr w:type="spellEnd"/>
      <w:r w:rsidRPr="0049263A">
        <w:rPr>
          <w:rFonts w:ascii="Book Antiqua" w:hAnsi="Book Antiqua" w:cs="宋体"/>
          <w:sz w:val="24"/>
          <w:szCs w:val="24"/>
          <w:lang w:val="en-US" w:eastAsia="zh-CN"/>
        </w:rPr>
        <w:t> 1992; </w:t>
      </w:r>
      <w:r w:rsidRPr="0049263A">
        <w:rPr>
          <w:rFonts w:ascii="Book Antiqua" w:hAnsi="Book Antiqua" w:cs="宋体"/>
          <w:b/>
          <w:bCs/>
          <w:sz w:val="24"/>
          <w:szCs w:val="24"/>
          <w:lang w:val="en-US" w:eastAsia="zh-CN"/>
        </w:rPr>
        <w:t>667</w:t>
      </w:r>
      <w:r w:rsidRPr="0049263A">
        <w:rPr>
          <w:rFonts w:ascii="Book Antiqua" w:hAnsi="Book Antiqua" w:cs="宋体"/>
          <w:sz w:val="24"/>
          <w:szCs w:val="24"/>
          <w:lang w:val="en-US" w:eastAsia="zh-CN"/>
        </w:rPr>
        <w:t>: 101-111 [PMID: 1309029 DOI: 10.1111/j.1749-6632.1992.tb51603.x]</w:t>
      </w:r>
    </w:p>
    <w:p w14:paraId="4C71D4EF"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r w:rsidRPr="0049263A">
        <w:rPr>
          <w:rFonts w:ascii="Book Antiqua" w:hAnsi="Book Antiqua" w:cs="宋体"/>
          <w:sz w:val="24"/>
          <w:szCs w:val="24"/>
          <w:lang w:val="en-US" w:eastAsia="zh-CN"/>
        </w:rPr>
        <w:t>4 </w:t>
      </w:r>
      <w:proofErr w:type="spellStart"/>
      <w:r w:rsidRPr="0049263A">
        <w:rPr>
          <w:rFonts w:ascii="Book Antiqua" w:hAnsi="Book Antiqua" w:cs="宋体"/>
          <w:b/>
          <w:bCs/>
          <w:sz w:val="24"/>
          <w:szCs w:val="24"/>
          <w:lang w:val="en-US" w:eastAsia="zh-CN"/>
        </w:rPr>
        <w:t>Bárdos</w:t>
      </w:r>
      <w:proofErr w:type="spellEnd"/>
      <w:r w:rsidRPr="0049263A">
        <w:rPr>
          <w:rFonts w:ascii="Book Antiqua" w:hAnsi="Book Antiqua" w:cs="宋体"/>
          <w:b/>
          <w:bCs/>
          <w:sz w:val="24"/>
          <w:szCs w:val="24"/>
          <w:lang w:val="en-US" w:eastAsia="zh-CN"/>
        </w:rPr>
        <w:t xml:space="preserve"> H</w:t>
      </w:r>
      <w:r w:rsidRPr="0049263A">
        <w:rPr>
          <w:rFonts w:ascii="Book Antiqua" w:hAnsi="Book Antiqua" w:cs="宋体"/>
          <w:sz w:val="24"/>
          <w:szCs w:val="24"/>
          <w:lang w:val="en-US" w:eastAsia="zh-CN"/>
        </w:rPr>
        <w:t xml:space="preserve">, </w:t>
      </w:r>
      <w:proofErr w:type="spellStart"/>
      <w:r w:rsidRPr="0049263A">
        <w:rPr>
          <w:rFonts w:ascii="Book Antiqua" w:hAnsi="Book Antiqua" w:cs="宋体"/>
          <w:sz w:val="24"/>
          <w:szCs w:val="24"/>
          <w:lang w:val="en-US" w:eastAsia="zh-CN"/>
        </w:rPr>
        <w:t>Molnár</w:t>
      </w:r>
      <w:proofErr w:type="spellEnd"/>
      <w:r w:rsidRPr="0049263A">
        <w:rPr>
          <w:rFonts w:ascii="Book Antiqua" w:hAnsi="Book Antiqua" w:cs="宋体"/>
          <w:sz w:val="24"/>
          <w:szCs w:val="24"/>
          <w:lang w:val="en-US" w:eastAsia="zh-CN"/>
        </w:rPr>
        <w:t xml:space="preserve"> P, </w:t>
      </w:r>
      <w:proofErr w:type="spellStart"/>
      <w:r w:rsidRPr="0049263A">
        <w:rPr>
          <w:rFonts w:ascii="Book Antiqua" w:hAnsi="Book Antiqua" w:cs="宋体"/>
          <w:sz w:val="24"/>
          <w:szCs w:val="24"/>
          <w:lang w:val="en-US" w:eastAsia="zh-CN"/>
        </w:rPr>
        <w:t>Csécsei</w:t>
      </w:r>
      <w:proofErr w:type="spellEnd"/>
      <w:r w:rsidRPr="0049263A">
        <w:rPr>
          <w:rFonts w:ascii="Book Antiqua" w:hAnsi="Book Antiqua" w:cs="宋体"/>
          <w:sz w:val="24"/>
          <w:szCs w:val="24"/>
          <w:lang w:val="en-US" w:eastAsia="zh-CN"/>
        </w:rPr>
        <w:t xml:space="preserve"> G, </w:t>
      </w:r>
      <w:proofErr w:type="spellStart"/>
      <w:r w:rsidRPr="0049263A">
        <w:rPr>
          <w:rFonts w:ascii="Book Antiqua" w:hAnsi="Book Antiqua" w:cs="宋体"/>
          <w:sz w:val="24"/>
          <w:szCs w:val="24"/>
          <w:lang w:val="en-US" w:eastAsia="zh-CN"/>
        </w:rPr>
        <w:t>Adány</w:t>
      </w:r>
      <w:proofErr w:type="spellEnd"/>
      <w:r w:rsidRPr="0049263A">
        <w:rPr>
          <w:rFonts w:ascii="Book Antiqua" w:hAnsi="Book Antiqua" w:cs="宋体"/>
          <w:sz w:val="24"/>
          <w:szCs w:val="24"/>
          <w:lang w:val="en-US" w:eastAsia="zh-CN"/>
        </w:rPr>
        <w:t xml:space="preserve"> R. Fibrin deposition in primary and metastatic human brain </w:t>
      </w:r>
      <w:proofErr w:type="spellStart"/>
      <w:r w:rsidRPr="0049263A">
        <w:rPr>
          <w:rFonts w:ascii="Book Antiqua" w:hAnsi="Book Antiqua" w:cs="宋体"/>
          <w:sz w:val="24"/>
          <w:szCs w:val="24"/>
          <w:lang w:val="en-US" w:eastAsia="zh-CN"/>
        </w:rPr>
        <w:t>tumours</w:t>
      </w:r>
      <w:proofErr w:type="spellEnd"/>
      <w:r w:rsidRPr="0049263A">
        <w:rPr>
          <w:rFonts w:ascii="Book Antiqua" w:hAnsi="Book Antiqua" w:cs="宋体"/>
          <w:sz w:val="24"/>
          <w:szCs w:val="24"/>
          <w:lang w:val="en-US" w:eastAsia="zh-CN"/>
        </w:rPr>
        <w:t>. </w:t>
      </w:r>
      <w:r w:rsidRPr="0049263A">
        <w:rPr>
          <w:rFonts w:ascii="Book Antiqua" w:hAnsi="Book Antiqua" w:cs="宋体"/>
          <w:i/>
          <w:iCs/>
          <w:sz w:val="24"/>
          <w:szCs w:val="24"/>
          <w:lang w:val="en-US" w:eastAsia="zh-CN"/>
        </w:rPr>
        <w:t xml:space="preserve">Blood </w:t>
      </w:r>
      <w:proofErr w:type="spellStart"/>
      <w:r w:rsidRPr="0049263A">
        <w:rPr>
          <w:rFonts w:ascii="Book Antiqua" w:hAnsi="Book Antiqua" w:cs="宋体"/>
          <w:i/>
          <w:iCs/>
          <w:sz w:val="24"/>
          <w:szCs w:val="24"/>
          <w:lang w:val="en-US" w:eastAsia="zh-CN"/>
        </w:rPr>
        <w:t>Coagul</w:t>
      </w:r>
      <w:proofErr w:type="spellEnd"/>
      <w:r w:rsidRPr="0049263A">
        <w:rPr>
          <w:rFonts w:ascii="Book Antiqua" w:hAnsi="Book Antiqua" w:cs="宋体"/>
          <w:i/>
          <w:iCs/>
          <w:sz w:val="24"/>
          <w:szCs w:val="24"/>
          <w:lang w:val="en-US" w:eastAsia="zh-CN"/>
        </w:rPr>
        <w:t xml:space="preserve"> Fibrinolysis</w:t>
      </w:r>
      <w:r w:rsidRPr="0049263A">
        <w:rPr>
          <w:rFonts w:ascii="Book Antiqua" w:hAnsi="Book Antiqua" w:cs="宋体"/>
          <w:sz w:val="24"/>
          <w:szCs w:val="24"/>
          <w:lang w:val="en-US" w:eastAsia="zh-CN"/>
        </w:rPr>
        <w:t> 1996; </w:t>
      </w:r>
      <w:r w:rsidRPr="0049263A">
        <w:rPr>
          <w:rFonts w:ascii="Book Antiqua" w:hAnsi="Book Antiqua" w:cs="宋体"/>
          <w:b/>
          <w:bCs/>
          <w:sz w:val="24"/>
          <w:szCs w:val="24"/>
          <w:lang w:val="en-US" w:eastAsia="zh-CN"/>
        </w:rPr>
        <w:t>7</w:t>
      </w:r>
      <w:r w:rsidRPr="0049263A">
        <w:rPr>
          <w:rFonts w:ascii="Book Antiqua" w:hAnsi="Book Antiqua" w:cs="宋体"/>
          <w:sz w:val="24"/>
          <w:szCs w:val="24"/>
          <w:lang w:val="en-US" w:eastAsia="zh-CN"/>
        </w:rPr>
        <w:t>: 536-548 [PMID: 8874864 DOI: 10.1097/00001721-199607000-00005]</w:t>
      </w:r>
    </w:p>
    <w:p w14:paraId="4602A6B9"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r w:rsidRPr="0049263A">
        <w:rPr>
          <w:rFonts w:ascii="Book Antiqua" w:hAnsi="Book Antiqua" w:cs="宋体"/>
          <w:sz w:val="24"/>
          <w:szCs w:val="24"/>
          <w:lang w:val="en-US" w:eastAsia="zh-CN"/>
        </w:rPr>
        <w:t>5 </w:t>
      </w:r>
      <w:proofErr w:type="spellStart"/>
      <w:r w:rsidRPr="0049263A">
        <w:rPr>
          <w:rFonts w:ascii="Book Antiqua" w:hAnsi="Book Antiqua" w:cs="宋体"/>
          <w:b/>
          <w:bCs/>
          <w:sz w:val="24"/>
          <w:szCs w:val="24"/>
          <w:lang w:val="en-US" w:eastAsia="zh-CN"/>
        </w:rPr>
        <w:t>Altieri</w:t>
      </w:r>
      <w:proofErr w:type="spellEnd"/>
      <w:r w:rsidRPr="0049263A">
        <w:rPr>
          <w:rFonts w:ascii="Book Antiqua" w:hAnsi="Book Antiqua" w:cs="宋体"/>
          <w:b/>
          <w:bCs/>
          <w:sz w:val="24"/>
          <w:szCs w:val="24"/>
          <w:lang w:val="en-US" w:eastAsia="zh-CN"/>
        </w:rPr>
        <w:t xml:space="preserve"> DC</w:t>
      </w:r>
      <w:r w:rsidRPr="0049263A">
        <w:rPr>
          <w:rFonts w:ascii="Book Antiqua" w:hAnsi="Book Antiqua" w:cs="宋体"/>
          <w:sz w:val="24"/>
          <w:szCs w:val="24"/>
          <w:lang w:val="en-US" w:eastAsia="zh-CN"/>
        </w:rPr>
        <w:t xml:space="preserve">, </w:t>
      </w:r>
      <w:proofErr w:type="spellStart"/>
      <w:r w:rsidRPr="0049263A">
        <w:rPr>
          <w:rFonts w:ascii="Book Antiqua" w:hAnsi="Book Antiqua" w:cs="宋体"/>
          <w:sz w:val="24"/>
          <w:szCs w:val="24"/>
          <w:lang w:val="en-US" w:eastAsia="zh-CN"/>
        </w:rPr>
        <w:t>Mannucci</w:t>
      </w:r>
      <w:proofErr w:type="spellEnd"/>
      <w:r w:rsidRPr="0049263A">
        <w:rPr>
          <w:rFonts w:ascii="Book Antiqua" w:hAnsi="Book Antiqua" w:cs="宋体"/>
          <w:sz w:val="24"/>
          <w:szCs w:val="24"/>
          <w:lang w:val="en-US" w:eastAsia="zh-CN"/>
        </w:rPr>
        <w:t xml:space="preserve"> PM, </w:t>
      </w:r>
      <w:proofErr w:type="spellStart"/>
      <w:r w:rsidRPr="0049263A">
        <w:rPr>
          <w:rFonts w:ascii="Book Antiqua" w:hAnsi="Book Antiqua" w:cs="宋体"/>
          <w:sz w:val="24"/>
          <w:szCs w:val="24"/>
          <w:lang w:val="en-US" w:eastAsia="zh-CN"/>
        </w:rPr>
        <w:t>Capitanio</w:t>
      </w:r>
      <w:proofErr w:type="spellEnd"/>
      <w:r w:rsidRPr="0049263A">
        <w:rPr>
          <w:rFonts w:ascii="Book Antiqua" w:hAnsi="Book Antiqua" w:cs="宋体"/>
          <w:sz w:val="24"/>
          <w:szCs w:val="24"/>
          <w:lang w:val="en-US" w:eastAsia="zh-CN"/>
        </w:rPr>
        <w:t xml:space="preserve"> AM. Binding of fibrinogen to human monocytes. </w:t>
      </w:r>
      <w:r w:rsidRPr="0049263A">
        <w:rPr>
          <w:rFonts w:ascii="Book Antiqua" w:hAnsi="Book Antiqua" w:cs="宋体"/>
          <w:i/>
          <w:iCs/>
          <w:sz w:val="24"/>
          <w:szCs w:val="24"/>
          <w:lang w:val="en-US" w:eastAsia="zh-CN"/>
        </w:rPr>
        <w:t xml:space="preserve">J </w:t>
      </w:r>
      <w:proofErr w:type="spellStart"/>
      <w:r w:rsidRPr="0049263A">
        <w:rPr>
          <w:rFonts w:ascii="Book Antiqua" w:hAnsi="Book Antiqua" w:cs="宋体"/>
          <w:i/>
          <w:iCs/>
          <w:sz w:val="24"/>
          <w:szCs w:val="24"/>
          <w:lang w:val="en-US" w:eastAsia="zh-CN"/>
        </w:rPr>
        <w:t>Clin</w:t>
      </w:r>
      <w:proofErr w:type="spellEnd"/>
      <w:r w:rsidRPr="0049263A">
        <w:rPr>
          <w:rFonts w:ascii="Book Antiqua" w:hAnsi="Book Antiqua" w:cs="宋体"/>
          <w:i/>
          <w:iCs/>
          <w:sz w:val="24"/>
          <w:szCs w:val="24"/>
          <w:lang w:val="en-US" w:eastAsia="zh-CN"/>
        </w:rPr>
        <w:t xml:space="preserve"> Invest</w:t>
      </w:r>
      <w:r w:rsidRPr="0049263A">
        <w:rPr>
          <w:rFonts w:ascii="Book Antiqua" w:hAnsi="Book Antiqua" w:cs="宋体"/>
          <w:sz w:val="24"/>
          <w:szCs w:val="24"/>
          <w:lang w:val="en-US" w:eastAsia="zh-CN"/>
        </w:rPr>
        <w:t> 1986; </w:t>
      </w:r>
      <w:r w:rsidRPr="0049263A">
        <w:rPr>
          <w:rFonts w:ascii="Book Antiqua" w:hAnsi="Book Antiqua" w:cs="宋体"/>
          <w:b/>
          <w:bCs/>
          <w:sz w:val="24"/>
          <w:szCs w:val="24"/>
          <w:lang w:val="en-US" w:eastAsia="zh-CN"/>
        </w:rPr>
        <w:t>78</w:t>
      </w:r>
      <w:r w:rsidRPr="0049263A">
        <w:rPr>
          <w:rFonts w:ascii="Book Antiqua" w:hAnsi="Book Antiqua" w:cs="宋体"/>
          <w:sz w:val="24"/>
          <w:szCs w:val="24"/>
          <w:lang w:val="en-US" w:eastAsia="zh-CN"/>
        </w:rPr>
        <w:t>: 968-976 [PMID: 3760194 DOI: 10.1172/JCI112687]</w:t>
      </w:r>
    </w:p>
    <w:p w14:paraId="6EC2CF23"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r w:rsidRPr="0049263A">
        <w:rPr>
          <w:rFonts w:ascii="Book Antiqua" w:hAnsi="Book Antiqua" w:cs="宋体"/>
          <w:sz w:val="24"/>
          <w:szCs w:val="24"/>
          <w:lang w:val="en-US" w:eastAsia="zh-CN"/>
        </w:rPr>
        <w:t>6 </w:t>
      </w:r>
      <w:proofErr w:type="spellStart"/>
      <w:r w:rsidRPr="0049263A">
        <w:rPr>
          <w:rFonts w:ascii="Book Antiqua" w:hAnsi="Book Antiqua" w:cs="宋体"/>
          <w:b/>
          <w:bCs/>
          <w:sz w:val="24"/>
          <w:szCs w:val="24"/>
          <w:lang w:val="en-US" w:eastAsia="zh-CN"/>
        </w:rPr>
        <w:t>Dejana</w:t>
      </w:r>
      <w:proofErr w:type="spellEnd"/>
      <w:r w:rsidRPr="0049263A">
        <w:rPr>
          <w:rFonts w:ascii="Book Antiqua" w:hAnsi="Book Antiqua" w:cs="宋体"/>
          <w:b/>
          <w:bCs/>
          <w:sz w:val="24"/>
          <w:szCs w:val="24"/>
          <w:lang w:val="en-US" w:eastAsia="zh-CN"/>
        </w:rPr>
        <w:t xml:space="preserve"> E</w:t>
      </w:r>
      <w:r w:rsidRPr="0049263A">
        <w:rPr>
          <w:rFonts w:ascii="Book Antiqua" w:hAnsi="Book Antiqua" w:cs="宋体"/>
          <w:sz w:val="24"/>
          <w:szCs w:val="24"/>
          <w:lang w:val="en-US" w:eastAsia="zh-CN"/>
        </w:rPr>
        <w:t xml:space="preserve">, </w:t>
      </w:r>
      <w:proofErr w:type="spellStart"/>
      <w:r w:rsidRPr="0049263A">
        <w:rPr>
          <w:rFonts w:ascii="Book Antiqua" w:hAnsi="Book Antiqua" w:cs="宋体"/>
          <w:sz w:val="24"/>
          <w:szCs w:val="24"/>
          <w:lang w:val="en-US" w:eastAsia="zh-CN"/>
        </w:rPr>
        <w:t>Languino</w:t>
      </w:r>
      <w:proofErr w:type="spellEnd"/>
      <w:r w:rsidRPr="0049263A">
        <w:rPr>
          <w:rFonts w:ascii="Book Antiqua" w:hAnsi="Book Antiqua" w:cs="宋体"/>
          <w:sz w:val="24"/>
          <w:szCs w:val="24"/>
          <w:lang w:val="en-US" w:eastAsia="zh-CN"/>
        </w:rPr>
        <w:t xml:space="preserve"> LR, </w:t>
      </w:r>
      <w:proofErr w:type="spellStart"/>
      <w:r w:rsidRPr="0049263A">
        <w:rPr>
          <w:rFonts w:ascii="Book Antiqua" w:hAnsi="Book Antiqua" w:cs="宋体"/>
          <w:sz w:val="24"/>
          <w:szCs w:val="24"/>
          <w:lang w:val="en-US" w:eastAsia="zh-CN"/>
        </w:rPr>
        <w:t>Polentarutti</w:t>
      </w:r>
      <w:proofErr w:type="spellEnd"/>
      <w:r w:rsidRPr="0049263A">
        <w:rPr>
          <w:rFonts w:ascii="Book Antiqua" w:hAnsi="Book Antiqua" w:cs="宋体"/>
          <w:sz w:val="24"/>
          <w:szCs w:val="24"/>
          <w:lang w:val="en-US" w:eastAsia="zh-CN"/>
        </w:rPr>
        <w:t xml:space="preserve"> N, </w:t>
      </w:r>
      <w:proofErr w:type="spellStart"/>
      <w:r w:rsidRPr="0049263A">
        <w:rPr>
          <w:rFonts w:ascii="Book Antiqua" w:hAnsi="Book Antiqua" w:cs="宋体"/>
          <w:sz w:val="24"/>
          <w:szCs w:val="24"/>
          <w:lang w:val="en-US" w:eastAsia="zh-CN"/>
        </w:rPr>
        <w:t>Balconi</w:t>
      </w:r>
      <w:proofErr w:type="spellEnd"/>
      <w:r w:rsidRPr="0049263A">
        <w:rPr>
          <w:rFonts w:ascii="Book Antiqua" w:hAnsi="Book Antiqua" w:cs="宋体"/>
          <w:sz w:val="24"/>
          <w:szCs w:val="24"/>
          <w:lang w:val="en-US" w:eastAsia="zh-CN"/>
        </w:rPr>
        <w:t xml:space="preserve"> G, </w:t>
      </w:r>
      <w:proofErr w:type="spellStart"/>
      <w:r w:rsidRPr="0049263A">
        <w:rPr>
          <w:rFonts w:ascii="Book Antiqua" w:hAnsi="Book Antiqua" w:cs="宋体"/>
          <w:sz w:val="24"/>
          <w:szCs w:val="24"/>
          <w:lang w:val="en-US" w:eastAsia="zh-CN"/>
        </w:rPr>
        <w:t>Ryckewaert</w:t>
      </w:r>
      <w:proofErr w:type="spellEnd"/>
      <w:r w:rsidRPr="0049263A">
        <w:rPr>
          <w:rFonts w:ascii="Book Antiqua" w:hAnsi="Book Antiqua" w:cs="宋体"/>
          <w:sz w:val="24"/>
          <w:szCs w:val="24"/>
          <w:lang w:val="en-US" w:eastAsia="zh-CN"/>
        </w:rPr>
        <w:t xml:space="preserve"> JJ, </w:t>
      </w:r>
      <w:proofErr w:type="spellStart"/>
      <w:r w:rsidRPr="0049263A">
        <w:rPr>
          <w:rFonts w:ascii="Book Antiqua" w:hAnsi="Book Antiqua" w:cs="宋体"/>
          <w:sz w:val="24"/>
          <w:szCs w:val="24"/>
          <w:lang w:val="en-US" w:eastAsia="zh-CN"/>
        </w:rPr>
        <w:t>Larrieu</w:t>
      </w:r>
      <w:proofErr w:type="spellEnd"/>
      <w:r w:rsidRPr="0049263A">
        <w:rPr>
          <w:rFonts w:ascii="Book Antiqua" w:hAnsi="Book Antiqua" w:cs="宋体"/>
          <w:sz w:val="24"/>
          <w:szCs w:val="24"/>
          <w:lang w:val="en-US" w:eastAsia="zh-CN"/>
        </w:rPr>
        <w:t xml:space="preserve"> MJ, </w:t>
      </w:r>
      <w:proofErr w:type="spellStart"/>
      <w:r w:rsidRPr="0049263A">
        <w:rPr>
          <w:rFonts w:ascii="Book Antiqua" w:hAnsi="Book Antiqua" w:cs="宋体"/>
          <w:sz w:val="24"/>
          <w:szCs w:val="24"/>
          <w:lang w:val="en-US" w:eastAsia="zh-CN"/>
        </w:rPr>
        <w:t>Donati</w:t>
      </w:r>
      <w:proofErr w:type="spellEnd"/>
      <w:r w:rsidRPr="0049263A">
        <w:rPr>
          <w:rFonts w:ascii="Book Antiqua" w:hAnsi="Book Antiqua" w:cs="宋体"/>
          <w:sz w:val="24"/>
          <w:szCs w:val="24"/>
          <w:lang w:val="en-US" w:eastAsia="zh-CN"/>
        </w:rPr>
        <w:t xml:space="preserve"> MB, </w:t>
      </w:r>
      <w:proofErr w:type="spellStart"/>
      <w:r w:rsidRPr="0049263A">
        <w:rPr>
          <w:rFonts w:ascii="Book Antiqua" w:hAnsi="Book Antiqua" w:cs="宋体"/>
          <w:sz w:val="24"/>
          <w:szCs w:val="24"/>
          <w:lang w:val="en-US" w:eastAsia="zh-CN"/>
        </w:rPr>
        <w:t>Mantovani</w:t>
      </w:r>
      <w:proofErr w:type="spellEnd"/>
      <w:r w:rsidRPr="0049263A">
        <w:rPr>
          <w:rFonts w:ascii="Book Antiqua" w:hAnsi="Book Antiqua" w:cs="宋体"/>
          <w:sz w:val="24"/>
          <w:szCs w:val="24"/>
          <w:lang w:val="en-US" w:eastAsia="zh-CN"/>
        </w:rPr>
        <w:t xml:space="preserve"> A, </w:t>
      </w:r>
      <w:proofErr w:type="spellStart"/>
      <w:r w:rsidRPr="0049263A">
        <w:rPr>
          <w:rFonts w:ascii="Book Antiqua" w:hAnsi="Book Antiqua" w:cs="宋体"/>
          <w:sz w:val="24"/>
          <w:szCs w:val="24"/>
          <w:lang w:val="en-US" w:eastAsia="zh-CN"/>
        </w:rPr>
        <w:t>Marguerie</w:t>
      </w:r>
      <w:proofErr w:type="spellEnd"/>
      <w:r w:rsidRPr="0049263A">
        <w:rPr>
          <w:rFonts w:ascii="Book Antiqua" w:hAnsi="Book Antiqua" w:cs="宋体"/>
          <w:sz w:val="24"/>
          <w:szCs w:val="24"/>
          <w:lang w:val="en-US" w:eastAsia="zh-CN"/>
        </w:rPr>
        <w:t xml:space="preserve"> G. Interaction between fibrinogen and cultured endothelial cells. </w:t>
      </w:r>
      <w:proofErr w:type="gramStart"/>
      <w:r w:rsidRPr="0049263A">
        <w:rPr>
          <w:rFonts w:ascii="Book Antiqua" w:hAnsi="Book Antiqua" w:cs="宋体"/>
          <w:sz w:val="24"/>
          <w:szCs w:val="24"/>
          <w:lang w:val="en-US" w:eastAsia="zh-CN"/>
        </w:rPr>
        <w:t>Induction of migration and specific binding.</w:t>
      </w:r>
      <w:proofErr w:type="gramEnd"/>
      <w:r w:rsidRPr="0049263A">
        <w:rPr>
          <w:rFonts w:ascii="Book Antiqua" w:hAnsi="Book Antiqua" w:cs="宋体"/>
          <w:sz w:val="24"/>
          <w:szCs w:val="24"/>
          <w:lang w:val="en-US" w:eastAsia="zh-CN"/>
        </w:rPr>
        <w:t> </w:t>
      </w:r>
      <w:r w:rsidRPr="0049263A">
        <w:rPr>
          <w:rFonts w:ascii="Book Antiqua" w:hAnsi="Book Antiqua" w:cs="宋体"/>
          <w:i/>
          <w:iCs/>
          <w:sz w:val="24"/>
          <w:szCs w:val="24"/>
          <w:lang w:val="en-US" w:eastAsia="zh-CN"/>
        </w:rPr>
        <w:t xml:space="preserve">J </w:t>
      </w:r>
      <w:proofErr w:type="spellStart"/>
      <w:r w:rsidRPr="0049263A">
        <w:rPr>
          <w:rFonts w:ascii="Book Antiqua" w:hAnsi="Book Antiqua" w:cs="宋体"/>
          <w:i/>
          <w:iCs/>
          <w:sz w:val="24"/>
          <w:szCs w:val="24"/>
          <w:lang w:val="en-US" w:eastAsia="zh-CN"/>
        </w:rPr>
        <w:t>Clin</w:t>
      </w:r>
      <w:proofErr w:type="spellEnd"/>
      <w:r w:rsidRPr="0049263A">
        <w:rPr>
          <w:rFonts w:ascii="Book Antiqua" w:hAnsi="Book Antiqua" w:cs="宋体"/>
          <w:i/>
          <w:iCs/>
          <w:sz w:val="24"/>
          <w:szCs w:val="24"/>
          <w:lang w:val="en-US" w:eastAsia="zh-CN"/>
        </w:rPr>
        <w:t xml:space="preserve"> Invest</w:t>
      </w:r>
      <w:r w:rsidRPr="0049263A">
        <w:rPr>
          <w:rFonts w:ascii="Book Antiqua" w:hAnsi="Book Antiqua" w:cs="宋体"/>
          <w:sz w:val="24"/>
          <w:szCs w:val="24"/>
          <w:lang w:val="en-US" w:eastAsia="zh-CN"/>
        </w:rPr>
        <w:t> 1985; </w:t>
      </w:r>
      <w:r w:rsidRPr="0049263A">
        <w:rPr>
          <w:rFonts w:ascii="Book Antiqua" w:hAnsi="Book Antiqua" w:cs="宋体"/>
          <w:b/>
          <w:bCs/>
          <w:sz w:val="24"/>
          <w:szCs w:val="24"/>
          <w:lang w:val="en-US" w:eastAsia="zh-CN"/>
        </w:rPr>
        <w:t>75</w:t>
      </w:r>
      <w:r w:rsidRPr="0049263A">
        <w:rPr>
          <w:rFonts w:ascii="Book Antiqua" w:hAnsi="Book Antiqua" w:cs="宋体"/>
          <w:sz w:val="24"/>
          <w:szCs w:val="24"/>
          <w:lang w:val="en-US" w:eastAsia="zh-CN"/>
        </w:rPr>
        <w:t>: 11-18 [PMID: 3965498 DOI: 10.1172/JCI111661]</w:t>
      </w:r>
    </w:p>
    <w:p w14:paraId="429159F1"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r w:rsidRPr="0049263A">
        <w:rPr>
          <w:rFonts w:ascii="Book Antiqua" w:hAnsi="Book Antiqua" w:cs="宋体"/>
          <w:sz w:val="24"/>
          <w:szCs w:val="24"/>
          <w:lang w:val="en-US" w:eastAsia="zh-CN"/>
        </w:rPr>
        <w:t>7 </w:t>
      </w:r>
      <w:r w:rsidRPr="0049263A">
        <w:rPr>
          <w:rFonts w:ascii="Book Antiqua" w:hAnsi="Book Antiqua" w:cs="宋体"/>
          <w:b/>
          <w:bCs/>
          <w:sz w:val="24"/>
          <w:szCs w:val="24"/>
          <w:lang w:val="en-US" w:eastAsia="zh-CN"/>
        </w:rPr>
        <w:t>Dvorak HF</w:t>
      </w:r>
      <w:r w:rsidRPr="0049263A">
        <w:rPr>
          <w:rFonts w:ascii="Book Antiqua" w:hAnsi="Book Antiqua" w:cs="宋体"/>
          <w:sz w:val="24"/>
          <w:szCs w:val="24"/>
          <w:lang w:val="en-US" w:eastAsia="zh-CN"/>
        </w:rPr>
        <w:t xml:space="preserve">. Tumors: wounds that do not heal. </w:t>
      </w:r>
      <w:proofErr w:type="gramStart"/>
      <w:r w:rsidRPr="0049263A">
        <w:rPr>
          <w:rFonts w:ascii="Book Antiqua" w:hAnsi="Book Antiqua" w:cs="宋体"/>
          <w:sz w:val="24"/>
          <w:szCs w:val="24"/>
          <w:lang w:val="en-US" w:eastAsia="zh-CN"/>
        </w:rPr>
        <w:t>Similarities between tumor stroma generation and wound healing.</w:t>
      </w:r>
      <w:proofErr w:type="gramEnd"/>
      <w:r w:rsidRPr="0049263A">
        <w:rPr>
          <w:rFonts w:ascii="Book Antiqua" w:hAnsi="Book Antiqua" w:cs="宋体"/>
          <w:sz w:val="24"/>
          <w:szCs w:val="24"/>
          <w:lang w:val="en-US" w:eastAsia="zh-CN"/>
        </w:rPr>
        <w:t> </w:t>
      </w:r>
      <w:r w:rsidRPr="0049263A">
        <w:rPr>
          <w:rFonts w:ascii="Book Antiqua" w:hAnsi="Book Antiqua" w:cs="宋体"/>
          <w:i/>
          <w:iCs/>
          <w:sz w:val="24"/>
          <w:szCs w:val="24"/>
          <w:lang w:val="en-US" w:eastAsia="zh-CN"/>
        </w:rPr>
        <w:t xml:space="preserve">N </w:t>
      </w:r>
      <w:proofErr w:type="spellStart"/>
      <w:r w:rsidRPr="0049263A">
        <w:rPr>
          <w:rFonts w:ascii="Book Antiqua" w:hAnsi="Book Antiqua" w:cs="宋体"/>
          <w:i/>
          <w:iCs/>
          <w:sz w:val="24"/>
          <w:szCs w:val="24"/>
          <w:lang w:val="en-US" w:eastAsia="zh-CN"/>
        </w:rPr>
        <w:t>Engl</w:t>
      </w:r>
      <w:proofErr w:type="spellEnd"/>
      <w:r w:rsidRPr="0049263A">
        <w:rPr>
          <w:rFonts w:ascii="Book Antiqua" w:hAnsi="Book Antiqua" w:cs="宋体"/>
          <w:i/>
          <w:iCs/>
          <w:sz w:val="24"/>
          <w:szCs w:val="24"/>
          <w:lang w:val="en-US" w:eastAsia="zh-CN"/>
        </w:rPr>
        <w:t xml:space="preserve"> J Med</w:t>
      </w:r>
      <w:r w:rsidRPr="0049263A">
        <w:rPr>
          <w:rFonts w:ascii="Book Antiqua" w:hAnsi="Book Antiqua" w:cs="宋体"/>
          <w:sz w:val="24"/>
          <w:szCs w:val="24"/>
          <w:lang w:val="en-US" w:eastAsia="zh-CN"/>
        </w:rPr>
        <w:t> 1986; </w:t>
      </w:r>
      <w:r w:rsidRPr="0049263A">
        <w:rPr>
          <w:rFonts w:ascii="Book Antiqua" w:hAnsi="Book Antiqua" w:cs="宋体"/>
          <w:b/>
          <w:bCs/>
          <w:sz w:val="24"/>
          <w:szCs w:val="24"/>
          <w:lang w:val="en-US" w:eastAsia="zh-CN"/>
        </w:rPr>
        <w:t>315</w:t>
      </w:r>
      <w:r w:rsidRPr="0049263A">
        <w:rPr>
          <w:rFonts w:ascii="Book Antiqua" w:hAnsi="Book Antiqua" w:cs="宋体"/>
          <w:sz w:val="24"/>
          <w:szCs w:val="24"/>
          <w:lang w:val="en-US" w:eastAsia="zh-CN"/>
        </w:rPr>
        <w:t>: 1650-1659 [PMID: 3537791 DOI: 10.1056/NEJM198612253152606]</w:t>
      </w:r>
    </w:p>
    <w:p w14:paraId="5D343F80"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proofErr w:type="gramStart"/>
      <w:r w:rsidRPr="0049263A">
        <w:rPr>
          <w:rFonts w:ascii="Book Antiqua" w:hAnsi="Book Antiqua" w:cs="宋体"/>
          <w:sz w:val="24"/>
          <w:szCs w:val="24"/>
          <w:lang w:val="en-US" w:eastAsia="zh-CN"/>
        </w:rPr>
        <w:t>8 </w:t>
      </w:r>
      <w:proofErr w:type="spellStart"/>
      <w:r w:rsidRPr="0049263A">
        <w:rPr>
          <w:rFonts w:ascii="Book Antiqua" w:hAnsi="Book Antiqua" w:cs="宋体"/>
          <w:b/>
          <w:bCs/>
          <w:sz w:val="24"/>
          <w:szCs w:val="24"/>
          <w:lang w:val="en-US" w:eastAsia="zh-CN"/>
        </w:rPr>
        <w:t>Languino</w:t>
      </w:r>
      <w:proofErr w:type="spellEnd"/>
      <w:r w:rsidRPr="0049263A">
        <w:rPr>
          <w:rFonts w:ascii="Book Antiqua" w:hAnsi="Book Antiqua" w:cs="宋体"/>
          <w:b/>
          <w:bCs/>
          <w:sz w:val="24"/>
          <w:szCs w:val="24"/>
          <w:lang w:val="en-US" w:eastAsia="zh-CN"/>
        </w:rPr>
        <w:t xml:space="preserve"> LR</w:t>
      </w:r>
      <w:r w:rsidRPr="0049263A">
        <w:rPr>
          <w:rFonts w:ascii="Book Antiqua" w:hAnsi="Book Antiqua" w:cs="宋体"/>
          <w:sz w:val="24"/>
          <w:szCs w:val="24"/>
          <w:lang w:val="en-US" w:eastAsia="zh-CN"/>
        </w:rPr>
        <w:t xml:space="preserve">, </w:t>
      </w:r>
      <w:proofErr w:type="spellStart"/>
      <w:r w:rsidRPr="0049263A">
        <w:rPr>
          <w:rFonts w:ascii="Book Antiqua" w:hAnsi="Book Antiqua" w:cs="宋体"/>
          <w:sz w:val="24"/>
          <w:szCs w:val="24"/>
          <w:lang w:val="en-US" w:eastAsia="zh-CN"/>
        </w:rPr>
        <w:t>Duperray</w:t>
      </w:r>
      <w:proofErr w:type="spellEnd"/>
      <w:r w:rsidRPr="0049263A">
        <w:rPr>
          <w:rFonts w:ascii="Book Antiqua" w:hAnsi="Book Antiqua" w:cs="宋体"/>
          <w:sz w:val="24"/>
          <w:szCs w:val="24"/>
          <w:lang w:val="en-US" w:eastAsia="zh-CN"/>
        </w:rPr>
        <w:t xml:space="preserve"> A, </w:t>
      </w:r>
      <w:proofErr w:type="spellStart"/>
      <w:r w:rsidRPr="0049263A">
        <w:rPr>
          <w:rFonts w:ascii="Book Antiqua" w:hAnsi="Book Antiqua" w:cs="宋体"/>
          <w:sz w:val="24"/>
          <w:szCs w:val="24"/>
          <w:lang w:val="en-US" w:eastAsia="zh-CN"/>
        </w:rPr>
        <w:t>Joganic</w:t>
      </w:r>
      <w:proofErr w:type="spellEnd"/>
      <w:r w:rsidRPr="0049263A">
        <w:rPr>
          <w:rFonts w:ascii="Book Antiqua" w:hAnsi="Book Antiqua" w:cs="宋体"/>
          <w:sz w:val="24"/>
          <w:szCs w:val="24"/>
          <w:lang w:val="en-US" w:eastAsia="zh-CN"/>
        </w:rPr>
        <w:t xml:space="preserve"> KJ, </w:t>
      </w:r>
      <w:proofErr w:type="spellStart"/>
      <w:r w:rsidRPr="0049263A">
        <w:rPr>
          <w:rFonts w:ascii="Book Antiqua" w:hAnsi="Book Antiqua" w:cs="宋体"/>
          <w:sz w:val="24"/>
          <w:szCs w:val="24"/>
          <w:lang w:val="en-US" w:eastAsia="zh-CN"/>
        </w:rPr>
        <w:t>Fornaro</w:t>
      </w:r>
      <w:proofErr w:type="spellEnd"/>
      <w:r w:rsidRPr="0049263A">
        <w:rPr>
          <w:rFonts w:ascii="Book Antiqua" w:hAnsi="Book Antiqua" w:cs="宋体"/>
          <w:sz w:val="24"/>
          <w:szCs w:val="24"/>
          <w:lang w:val="en-US" w:eastAsia="zh-CN"/>
        </w:rPr>
        <w:t xml:space="preserve"> M, Thornton GB, Altieri DC.</w:t>
      </w:r>
      <w:proofErr w:type="gramEnd"/>
      <w:r w:rsidRPr="0049263A">
        <w:rPr>
          <w:rFonts w:ascii="Book Antiqua" w:hAnsi="Book Antiqua" w:cs="宋体"/>
          <w:sz w:val="24"/>
          <w:szCs w:val="24"/>
          <w:lang w:val="en-US" w:eastAsia="zh-CN"/>
        </w:rPr>
        <w:t xml:space="preserve"> </w:t>
      </w:r>
      <w:proofErr w:type="gramStart"/>
      <w:r w:rsidRPr="0049263A">
        <w:rPr>
          <w:rFonts w:ascii="Book Antiqua" w:hAnsi="Book Antiqua" w:cs="宋体"/>
          <w:sz w:val="24"/>
          <w:szCs w:val="24"/>
          <w:lang w:val="en-US" w:eastAsia="zh-CN"/>
        </w:rPr>
        <w:t xml:space="preserve">Regulation of leukocyte-endothelium interaction and leukocyte </w:t>
      </w:r>
      <w:proofErr w:type="spellStart"/>
      <w:r w:rsidRPr="0049263A">
        <w:rPr>
          <w:rFonts w:ascii="Book Antiqua" w:hAnsi="Book Antiqua" w:cs="宋体"/>
          <w:sz w:val="24"/>
          <w:szCs w:val="24"/>
          <w:lang w:val="en-US" w:eastAsia="zh-CN"/>
        </w:rPr>
        <w:t>transendothelial</w:t>
      </w:r>
      <w:proofErr w:type="spellEnd"/>
      <w:r w:rsidRPr="0049263A">
        <w:rPr>
          <w:rFonts w:ascii="Book Antiqua" w:hAnsi="Book Antiqua" w:cs="宋体"/>
          <w:sz w:val="24"/>
          <w:szCs w:val="24"/>
          <w:lang w:val="en-US" w:eastAsia="zh-CN"/>
        </w:rPr>
        <w:t xml:space="preserve"> migration by intercellular adhesion molecule 1-fibrinogen recognition.</w:t>
      </w:r>
      <w:proofErr w:type="gramEnd"/>
      <w:r w:rsidRPr="0049263A">
        <w:rPr>
          <w:rFonts w:ascii="Book Antiqua" w:hAnsi="Book Antiqua" w:cs="宋体"/>
          <w:sz w:val="24"/>
          <w:szCs w:val="24"/>
          <w:lang w:val="en-US" w:eastAsia="zh-CN"/>
        </w:rPr>
        <w:t> </w:t>
      </w:r>
      <w:proofErr w:type="spellStart"/>
      <w:r w:rsidRPr="0049263A">
        <w:rPr>
          <w:rFonts w:ascii="Book Antiqua" w:hAnsi="Book Antiqua" w:cs="宋体"/>
          <w:i/>
          <w:iCs/>
          <w:sz w:val="24"/>
          <w:szCs w:val="24"/>
          <w:lang w:val="en-US" w:eastAsia="zh-CN"/>
        </w:rPr>
        <w:t>Proc</w:t>
      </w:r>
      <w:proofErr w:type="spellEnd"/>
      <w:r w:rsidRPr="0049263A">
        <w:rPr>
          <w:rFonts w:ascii="Book Antiqua" w:hAnsi="Book Antiqua" w:cs="宋体"/>
          <w:i/>
          <w:iCs/>
          <w:sz w:val="24"/>
          <w:szCs w:val="24"/>
          <w:lang w:val="en-US" w:eastAsia="zh-CN"/>
        </w:rPr>
        <w:t xml:space="preserve"> </w:t>
      </w:r>
      <w:proofErr w:type="spellStart"/>
      <w:r w:rsidRPr="0049263A">
        <w:rPr>
          <w:rFonts w:ascii="Book Antiqua" w:hAnsi="Book Antiqua" w:cs="宋体"/>
          <w:i/>
          <w:iCs/>
          <w:sz w:val="24"/>
          <w:szCs w:val="24"/>
          <w:lang w:val="en-US" w:eastAsia="zh-CN"/>
        </w:rPr>
        <w:t>Natl</w:t>
      </w:r>
      <w:proofErr w:type="spellEnd"/>
      <w:r w:rsidRPr="0049263A">
        <w:rPr>
          <w:rFonts w:ascii="Book Antiqua" w:hAnsi="Book Antiqua" w:cs="宋体"/>
          <w:i/>
          <w:iCs/>
          <w:sz w:val="24"/>
          <w:szCs w:val="24"/>
          <w:lang w:val="en-US" w:eastAsia="zh-CN"/>
        </w:rPr>
        <w:t xml:space="preserve"> </w:t>
      </w:r>
      <w:proofErr w:type="spellStart"/>
      <w:r w:rsidRPr="0049263A">
        <w:rPr>
          <w:rFonts w:ascii="Book Antiqua" w:hAnsi="Book Antiqua" w:cs="宋体"/>
          <w:i/>
          <w:iCs/>
          <w:sz w:val="24"/>
          <w:szCs w:val="24"/>
          <w:lang w:val="en-US" w:eastAsia="zh-CN"/>
        </w:rPr>
        <w:t>Acad</w:t>
      </w:r>
      <w:proofErr w:type="spellEnd"/>
      <w:r w:rsidRPr="0049263A">
        <w:rPr>
          <w:rFonts w:ascii="Book Antiqua" w:hAnsi="Book Antiqua" w:cs="宋体"/>
          <w:i/>
          <w:iCs/>
          <w:sz w:val="24"/>
          <w:szCs w:val="24"/>
          <w:lang w:val="en-US" w:eastAsia="zh-CN"/>
        </w:rPr>
        <w:t xml:space="preserve"> </w:t>
      </w:r>
      <w:proofErr w:type="spellStart"/>
      <w:r w:rsidRPr="0049263A">
        <w:rPr>
          <w:rFonts w:ascii="Book Antiqua" w:hAnsi="Book Antiqua" w:cs="宋体"/>
          <w:i/>
          <w:iCs/>
          <w:sz w:val="24"/>
          <w:szCs w:val="24"/>
          <w:lang w:val="en-US" w:eastAsia="zh-CN"/>
        </w:rPr>
        <w:t>Sci</w:t>
      </w:r>
      <w:proofErr w:type="spellEnd"/>
      <w:r w:rsidRPr="0049263A">
        <w:rPr>
          <w:rFonts w:ascii="Book Antiqua" w:hAnsi="Book Antiqua" w:cs="宋体"/>
          <w:i/>
          <w:iCs/>
          <w:sz w:val="24"/>
          <w:szCs w:val="24"/>
          <w:lang w:val="en-US" w:eastAsia="zh-CN"/>
        </w:rPr>
        <w:t xml:space="preserve"> U S A</w:t>
      </w:r>
      <w:r w:rsidRPr="0049263A">
        <w:rPr>
          <w:rFonts w:ascii="Book Antiqua" w:hAnsi="Book Antiqua" w:cs="宋体"/>
          <w:sz w:val="24"/>
          <w:szCs w:val="24"/>
          <w:lang w:val="en-US" w:eastAsia="zh-CN"/>
        </w:rPr>
        <w:t> 1995; </w:t>
      </w:r>
      <w:r w:rsidRPr="0049263A">
        <w:rPr>
          <w:rFonts w:ascii="Book Antiqua" w:hAnsi="Book Antiqua" w:cs="宋体"/>
          <w:b/>
          <w:bCs/>
          <w:sz w:val="24"/>
          <w:szCs w:val="24"/>
          <w:lang w:val="en-US" w:eastAsia="zh-CN"/>
        </w:rPr>
        <w:t>92</w:t>
      </w:r>
      <w:r w:rsidRPr="0049263A">
        <w:rPr>
          <w:rFonts w:ascii="Book Antiqua" w:hAnsi="Book Antiqua" w:cs="宋体"/>
          <w:sz w:val="24"/>
          <w:szCs w:val="24"/>
          <w:lang w:val="en-US" w:eastAsia="zh-CN"/>
        </w:rPr>
        <w:t>: 1505-1509 [PMID: 7878009 DOI: 10.1073/pnas.92.5.1505]</w:t>
      </w:r>
    </w:p>
    <w:p w14:paraId="3875003F"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r w:rsidRPr="0049263A">
        <w:rPr>
          <w:rFonts w:ascii="Book Antiqua" w:hAnsi="Book Antiqua" w:cs="宋体"/>
          <w:sz w:val="24"/>
          <w:szCs w:val="24"/>
          <w:lang w:val="en-US" w:eastAsia="zh-CN"/>
        </w:rPr>
        <w:t>9 </w:t>
      </w:r>
      <w:r w:rsidRPr="0049263A">
        <w:rPr>
          <w:rFonts w:ascii="Book Antiqua" w:hAnsi="Book Antiqua" w:cs="宋体"/>
          <w:b/>
          <w:bCs/>
          <w:sz w:val="24"/>
          <w:szCs w:val="24"/>
          <w:lang w:val="en-US" w:eastAsia="zh-CN"/>
        </w:rPr>
        <w:t>Gross TJ</w:t>
      </w:r>
      <w:r w:rsidRPr="0049263A">
        <w:rPr>
          <w:rFonts w:ascii="Book Antiqua" w:hAnsi="Book Antiqua" w:cs="宋体"/>
          <w:sz w:val="24"/>
          <w:szCs w:val="24"/>
          <w:lang w:val="en-US" w:eastAsia="zh-CN"/>
        </w:rPr>
        <w:t xml:space="preserve">, </w:t>
      </w:r>
      <w:proofErr w:type="spellStart"/>
      <w:r w:rsidRPr="0049263A">
        <w:rPr>
          <w:rFonts w:ascii="Book Antiqua" w:hAnsi="Book Antiqua" w:cs="宋体"/>
          <w:sz w:val="24"/>
          <w:szCs w:val="24"/>
          <w:lang w:val="en-US" w:eastAsia="zh-CN"/>
        </w:rPr>
        <w:t>Leavell</w:t>
      </w:r>
      <w:proofErr w:type="spellEnd"/>
      <w:r w:rsidRPr="0049263A">
        <w:rPr>
          <w:rFonts w:ascii="Book Antiqua" w:hAnsi="Book Antiqua" w:cs="宋体"/>
          <w:sz w:val="24"/>
          <w:szCs w:val="24"/>
          <w:lang w:val="en-US" w:eastAsia="zh-CN"/>
        </w:rPr>
        <w:t xml:space="preserve"> KJ, Peterson MW. CD11b/CD18 mediates the neutrophil chemotactic activity of fibrin degradation product D domain. </w:t>
      </w:r>
      <w:proofErr w:type="spellStart"/>
      <w:r w:rsidRPr="0049263A">
        <w:rPr>
          <w:rFonts w:ascii="Book Antiqua" w:hAnsi="Book Antiqua" w:cs="宋体"/>
          <w:i/>
          <w:iCs/>
          <w:sz w:val="24"/>
          <w:szCs w:val="24"/>
          <w:lang w:val="en-US" w:eastAsia="zh-CN"/>
        </w:rPr>
        <w:t>Thromb</w:t>
      </w:r>
      <w:proofErr w:type="spellEnd"/>
      <w:r w:rsidRPr="0049263A">
        <w:rPr>
          <w:rFonts w:ascii="Book Antiqua" w:hAnsi="Book Antiqua" w:cs="宋体"/>
          <w:i/>
          <w:iCs/>
          <w:sz w:val="24"/>
          <w:szCs w:val="24"/>
          <w:lang w:val="en-US" w:eastAsia="zh-CN"/>
        </w:rPr>
        <w:t xml:space="preserve"> </w:t>
      </w:r>
      <w:proofErr w:type="spellStart"/>
      <w:r w:rsidRPr="0049263A">
        <w:rPr>
          <w:rFonts w:ascii="Book Antiqua" w:hAnsi="Book Antiqua" w:cs="宋体"/>
          <w:i/>
          <w:iCs/>
          <w:sz w:val="24"/>
          <w:szCs w:val="24"/>
          <w:lang w:val="en-US" w:eastAsia="zh-CN"/>
        </w:rPr>
        <w:t>Haemost</w:t>
      </w:r>
      <w:proofErr w:type="spellEnd"/>
      <w:r w:rsidRPr="0049263A">
        <w:rPr>
          <w:rFonts w:ascii="Book Antiqua" w:hAnsi="Book Antiqua" w:cs="宋体"/>
          <w:sz w:val="24"/>
          <w:szCs w:val="24"/>
          <w:lang w:val="en-US" w:eastAsia="zh-CN"/>
        </w:rPr>
        <w:t> 1997; </w:t>
      </w:r>
      <w:r w:rsidRPr="0049263A">
        <w:rPr>
          <w:rFonts w:ascii="Book Antiqua" w:hAnsi="Book Antiqua" w:cs="宋体"/>
          <w:b/>
          <w:bCs/>
          <w:sz w:val="24"/>
          <w:szCs w:val="24"/>
          <w:lang w:val="en-US" w:eastAsia="zh-CN"/>
        </w:rPr>
        <w:t>77</w:t>
      </w:r>
      <w:r w:rsidRPr="0049263A">
        <w:rPr>
          <w:rFonts w:ascii="Book Antiqua" w:hAnsi="Book Antiqua" w:cs="宋体"/>
          <w:sz w:val="24"/>
          <w:szCs w:val="24"/>
          <w:lang w:val="en-US" w:eastAsia="zh-CN"/>
        </w:rPr>
        <w:t>: 894-900 [PMID: 9184399]</w:t>
      </w:r>
    </w:p>
    <w:p w14:paraId="7B973631"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r w:rsidRPr="0049263A">
        <w:rPr>
          <w:rFonts w:ascii="Book Antiqua" w:hAnsi="Book Antiqua" w:cs="宋体"/>
          <w:sz w:val="24"/>
          <w:szCs w:val="24"/>
          <w:lang w:val="en-US" w:eastAsia="zh-CN"/>
        </w:rPr>
        <w:t>10 </w:t>
      </w:r>
      <w:r w:rsidRPr="0049263A">
        <w:rPr>
          <w:rFonts w:ascii="Book Antiqua" w:hAnsi="Book Antiqua" w:cs="宋体"/>
          <w:b/>
          <w:bCs/>
          <w:sz w:val="24"/>
          <w:szCs w:val="24"/>
          <w:lang w:val="en-US" w:eastAsia="zh-CN"/>
        </w:rPr>
        <w:t>Walsh SR</w:t>
      </w:r>
      <w:r w:rsidRPr="0049263A">
        <w:rPr>
          <w:rFonts w:ascii="Book Antiqua" w:hAnsi="Book Antiqua" w:cs="宋体"/>
          <w:sz w:val="24"/>
          <w:szCs w:val="24"/>
          <w:lang w:val="en-US" w:eastAsia="zh-CN"/>
        </w:rPr>
        <w:t xml:space="preserve">, Cook EJ, </w:t>
      </w:r>
      <w:proofErr w:type="spellStart"/>
      <w:r w:rsidRPr="0049263A">
        <w:rPr>
          <w:rFonts w:ascii="Book Antiqua" w:hAnsi="Book Antiqua" w:cs="宋体"/>
          <w:sz w:val="24"/>
          <w:szCs w:val="24"/>
          <w:lang w:val="en-US" w:eastAsia="zh-CN"/>
        </w:rPr>
        <w:t>Goulder</w:t>
      </w:r>
      <w:proofErr w:type="spellEnd"/>
      <w:r w:rsidRPr="0049263A">
        <w:rPr>
          <w:rFonts w:ascii="Book Antiqua" w:hAnsi="Book Antiqua" w:cs="宋体"/>
          <w:sz w:val="24"/>
          <w:szCs w:val="24"/>
          <w:lang w:val="en-US" w:eastAsia="zh-CN"/>
        </w:rPr>
        <w:t xml:space="preserve"> F, Justin TA, Keeling NJ. Neutrophil-lymphocyte ratio as a prognostic factor in colorectal cancer. </w:t>
      </w:r>
      <w:r w:rsidRPr="0049263A">
        <w:rPr>
          <w:rFonts w:ascii="Book Antiqua" w:hAnsi="Book Antiqua" w:cs="宋体"/>
          <w:i/>
          <w:iCs/>
          <w:sz w:val="24"/>
          <w:szCs w:val="24"/>
          <w:lang w:val="en-US" w:eastAsia="zh-CN"/>
        </w:rPr>
        <w:t xml:space="preserve">J </w:t>
      </w:r>
      <w:proofErr w:type="spellStart"/>
      <w:r w:rsidRPr="0049263A">
        <w:rPr>
          <w:rFonts w:ascii="Book Antiqua" w:hAnsi="Book Antiqua" w:cs="宋体"/>
          <w:i/>
          <w:iCs/>
          <w:sz w:val="24"/>
          <w:szCs w:val="24"/>
          <w:lang w:val="en-US" w:eastAsia="zh-CN"/>
        </w:rPr>
        <w:t>Surg</w:t>
      </w:r>
      <w:proofErr w:type="spellEnd"/>
      <w:r w:rsidRPr="0049263A">
        <w:rPr>
          <w:rFonts w:ascii="Book Antiqua" w:hAnsi="Book Antiqua" w:cs="宋体"/>
          <w:i/>
          <w:iCs/>
          <w:sz w:val="24"/>
          <w:szCs w:val="24"/>
          <w:lang w:val="en-US" w:eastAsia="zh-CN"/>
        </w:rPr>
        <w:t xml:space="preserve"> </w:t>
      </w:r>
      <w:proofErr w:type="spellStart"/>
      <w:r w:rsidRPr="0049263A">
        <w:rPr>
          <w:rFonts w:ascii="Book Antiqua" w:hAnsi="Book Antiqua" w:cs="宋体"/>
          <w:i/>
          <w:iCs/>
          <w:sz w:val="24"/>
          <w:szCs w:val="24"/>
          <w:lang w:val="en-US" w:eastAsia="zh-CN"/>
        </w:rPr>
        <w:t>Oncol</w:t>
      </w:r>
      <w:proofErr w:type="spellEnd"/>
      <w:r w:rsidRPr="0049263A">
        <w:rPr>
          <w:rFonts w:ascii="Book Antiqua" w:hAnsi="Book Antiqua" w:cs="宋体"/>
          <w:sz w:val="24"/>
          <w:szCs w:val="24"/>
          <w:lang w:val="en-US" w:eastAsia="zh-CN"/>
        </w:rPr>
        <w:t> 2005; </w:t>
      </w:r>
      <w:r w:rsidRPr="0049263A">
        <w:rPr>
          <w:rFonts w:ascii="Book Antiqua" w:hAnsi="Book Antiqua" w:cs="宋体"/>
          <w:b/>
          <w:bCs/>
          <w:sz w:val="24"/>
          <w:szCs w:val="24"/>
          <w:lang w:val="en-US" w:eastAsia="zh-CN"/>
        </w:rPr>
        <w:t>91</w:t>
      </w:r>
      <w:r w:rsidRPr="0049263A">
        <w:rPr>
          <w:rFonts w:ascii="Book Antiqua" w:hAnsi="Book Antiqua" w:cs="宋体"/>
          <w:sz w:val="24"/>
          <w:szCs w:val="24"/>
          <w:lang w:val="en-US" w:eastAsia="zh-CN"/>
        </w:rPr>
        <w:t>: 181-184 [PMID: 16118772 DOI: 10.1002/jso.20329]</w:t>
      </w:r>
    </w:p>
    <w:p w14:paraId="7306F6AD"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proofErr w:type="gramStart"/>
      <w:r w:rsidRPr="0049263A">
        <w:rPr>
          <w:rFonts w:ascii="Book Antiqua" w:hAnsi="Book Antiqua" w:cs="宋体"/>
          <w:sz w:val="24"/>
          <w:szCs w:val="24"/>
          <w:lang w:val="en-US" w:eastAsia="zh-CN"/>
        </w:rPr>
        <w:t>11 </w:t>
      </w:r>
      <w:r w:rsidRPr="0049263A">
        <w:rPr>
          <w:rFonts w:ascii="Book Antiqua" w:hAnsi="Book Antiqua" w:cs="宋体"/>
          <w:b/>
          <w:bCs/>
          <w:sz w:val="24"/>
          <w:szCs w:val="24"/>
          <w:lang w:val="en-US" w:eastAsia="zh-CN"/>
        </w:rPr>
        <w:t>Proctor MJ</w:t>
      </w:r>
      <w:r w:rsidRPr="0049263A">
        <w:rPr>
          <w:rFonts w:ascii="Book Antiqua" w:hAnsi="Book Antiqua" w:cs="宋体"/>
          <w:sz w:val="24"/>
          <w:szCs w:val="24"/>
          <w:lang w:val="en-US" w:eastAsia="zh-CN"/>
        </w:rPr>
        <w:t xml:space="preserve">, Morrison DS, </w:t>
      </w:r>
      <w:proofErr w:type="spellStart"/>
      <w:r w:rsidRPr="0049263A">
        <w:rPr>
          <w:rFonts w:ascii="Book Antiqua" w:hAnsi="Book Antiqua" w:cs="宋体"/>
          <w:sz w:val="24"/>
          <w:szCs w:val="24"/>
          <w:lang w:val="en-US" w:eastAsia="zh-CN"/>
        </w:rPr>
        <w:t>Talwar</w:t>
      </w:r>
      <w:proofErr w:type="spellEnd"/>
      <w:r w:rsidRPr="0049263A">
        <w:rPr>
          <w:rFonts w:ascii="Book Antiqua" w:hAnsi="Book Antiqua" w:cs="宋体"/>
          <w:sz w:val="24"/>
          <w:szCs w:val="24"/>
          <w:lang w:val="en-US" w:eastAsia="zh-CN"/>
        </w:rPr>
        <w:t xml:space="preserve"> D, </w:t>
      </w:r>
      <w:proofErr w:type="spellStart"/>
      <w:r w:rsidRPr="0049263A">
        <w:rPr>
          <w:rFonts w:ascii="Book Antiqua" w:hAnsi="Book Antiqua" w:cs="宋体"/>
          <w:sz w:val="24"/>
          <w:szCs w:val="24"/>
          <w:lang w:val="en-US" w:eastAsia="zh-CN"/>
        </w:rPr>
        <w:t>Balmer</w:t>
      </w:r>
      <w:proofErr w:type="spellEnd"/>
      <w:r w:rsidRPr="0049263A">
        <w:rPr>
          <w:rFonts w:ascii="Book Antiqua" w:hAnsi="Book Antiqua" w:cs="宋体"/>
          <w:sz w:val="24"/>
          <w:szCs w:val="24"/>
          <w:lang w:val="en-US" w:eastAsia="zh-CN"/>
        </w:rPr>
        <w:t xml:space="preserve"> SM, Fletcher CD, O'Reilly DS, </w:t>
      </w:r>
      <w:proofErr w:type="spellStart"/>
      <w:r w:rsidRPr="0049263A">
        <w:rPr>
          <w:rFonts w:ascii="Book Antiqua" w:hAnsi="Book Antiqua" w:cs="宋体"/>
          <w:sz w:val="24"/>
          <w:szCs w:val="24"/>
          <w:lang w:val="en-US" w:eastAsia="zh-CN"/>
        </w:rPr>
        <w:t>Foulis</w:t>
      </w:r>
      <w:proofErr w:type="spellEnd"/>
      <w:r w:rsidRPr="0049263A">
        <w:rPr>
          <w:rFonts w:ascii="Book Antiqua" w:hAnsi="Book Antiqua" w:cs="宋体"/>
          <w:sz w:val="24"/>
          <w:szCs w:val="24"/>
          <w:lang w:val="en-US" w:eastAsia="zh-CN"/>
        </w:rPr>
        <w:t xml:space="preserve"> AK, </w:t>
      </w:r>
      <w:proofErr w:type="spellStart"/>
      <w:r w:rsidRPr="0049263A">
        <w:rPr>
          <w:rFonts w:ascii="Book Antiqua" w:hAnsi="Book Antiqua" w:cs="宋体"/>
          <w:sz w:val="24"/>
          <w:szCs w:val="24"/>
          <w:lang w:val="en-US" w:eastAsia="zh-CN"/>
        </w:rPr>
        <w:t>Horgan</w:t>
      </w:r>
      <w:proofErr w:type="spellEnd"/>
      <w:r w:rsidRPr="0049263A">
        <w:rPr>
          <w:rFonts w:ascii="Book Antiqua" w:hAnsi="Book Antiqua" w:cs="宋体"/>
          <w:sz w:val="24"/>
          <w:szCs w:val="24"/>
          <w:lang w:val="en-US" w:eastAsia="zh-CN"/>
        </w:rPr>
        <w:t xml:space="preserve"> PG, McMillan DC.</w:t>
      </w:r>
      <w:proofErr w:type="gramEnd"/>
      <w:r w:rsidRPr="0049263A">
        <w:rPr>
          <w:rFonts w:ascii="Book Antiqua" w:hAnsi="Book Antiqua" w:cs="宋体"/>
          <w:sz w:val="24"/>
          <w:szCs w:val="24"/>
          <w:lang w:val="en-US" w:eastAsia="zh-CN"/>
        </w:rPr>
        <w:t xml:space="preserve"> </w:t>
      </w:r>
      <w:proofErr w:type="gramStart"/>
      <w:r w:rsidRPr="0049263A">
        <w:rPr>
          <w:rFonts w:ascii="Book Antiqua" w:hAnsi="Book Antiqua" w:cs="宋体"/>
          <w:sz w:val="24"/>
          <w:szCs w:val="24"/>
          <w:lang w:val="en-US" w:eastAsia="zh-CN"/>
        </w:rPr>
        <w:t>A comparison of inflammation-based prognostic scores in patients with cancer.</w:t>
      </w:r>
      <w:proofErr w:type="gramEnd"/>
      <w:r w:rsidRPr="0049263A">
        <w:rPr>
          <w:rFonts w:ascii="Book Antiqua" w:hAnsi="Book Antiqua" w:cs="宋体"/>
          <w:sz w:val="24"/>
          <w:szCs w:val="24"/>
          <w:lang w:val="en-US" w:eastAsia="zh-CN"/>
        </w:rPr>
        <w:t xml:space="preserve"> A Glasgow Inflammation Outcome Study. </w:t>
      </w:r>
      <w:proofErr w:type="spellStart"/>
      <w:r w:rsidRPr="0049263A">
        <w:rPr>
          <w:rFonts w:ascii="Book Antiqua" w:hAnsi="Book Antiqua" w:cs="宋体"/>
          <w:i/>
          <w:iCs/>
          <w:sz w:val="24"/>
          <w:szCs w:val="24"/>
          <w:lang w:val="en-US" w:eastAsia="zh-CN"/>
        </w:rPr>
        <w:t>Eur</w:t>
      </w:r>
      <w:proofErr w:type="spellEnd"/>
      <w:r w:rsidRPr="0049263A">
        <w:rPr>
          <w:rFonts w:ascii="Book Antiqua" w:hAnsi="Book Antiqua" w:cs="宋体"/>
          <w:i/>
          <w:iCs/>
          <w:sz w:val="24"/>
          <w:szCs w:val="24"/>
          <w:lang w:val="en-US" w:eastAsia="zh-CN"/>
        </w:rPr>
        <w:t xml:space="preserve"> J Cancer</w:t>
      </w:r>
      <w:r w:rsidRPr="0049263A">
        <w:rPr>
          <w:rFonts w:ascii="Book Antiqua" w:hAnsi="Book Antiqua" w:cs="宋体"/>
          <w:sz w:val="24"/>
          <w:szCs w:val="24"/>
          <w:lang w:val="en-US" w:eastAsia="zh-CN"/>
        </w:rPr>
        <w:t> 2011; </w:t>
      </w:r>
      <w:r w:rsidRPr="0049263A">
        <w:rPr>
          <w:rFonts w:ascii="Book Antiqua" w:hAnsi="Book Antiqua" w:cs="宋体"/>
          <w:b/>
          <w:bCs/>
          <w:sz w:val="24"/>
          <w:szCs w:val="24"/>
          <w:lang w:val="en-US" w:eastAsia="zh-CN"/>
        </w:rPr>
        <w:t>47</w:t>
      </w:r>
      <w:r w:rsidRPr="0049263A">
        <w:rPr>
          <w:rFonts w:ascii="Book Antiqua" w:hAnsi="Book Antiqua" w:cs="宋体"/>
          <w:sz w:val="24"/>
          <w:szCs w:val="24"/>
          <w:lang w:val="en-US" w:eastAsia="zh-CN"/>
        </w:rPr>
        <w:t>: 2633-2641 [PMID: 21724383 DOI: 10.1016/j.ejca.2011.03.028]</w:t>
      </w:r>
    </w:p>
    <w:p w14:paraId="6D3234DE"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r w:rsidRPr="0049263A">
        <w:rPr>
          <w:rFonts w:ascii="Book Antiqua" w:hAnsi="Book Antiqua" w:cs="宋体"/>
          <w:sz w:val="24"/>
          <w:szCs w:val="24"/>
          <w:lang w:val="en-US" w:eastAsia="zh-CN"/>
        </w:rPr>
        <w:lastRenderedPageBreak/>
        <w:t>12 </w:t>
      </w:r>
      <w:proofErr w:type="spellStart"/>
      <w:r w:rsidRPr="0049263A">
        <w:rPr>
          <w:rFonts w:ascii="Book Antiqua" w:hAnsi="Book Antiqua" w:cs="宋体"/>
          <w:b/>
          <w:bCs/>
          <w:sz w:val="24"/>
          <w:szCs w:val="24"/>
          <w:lang w:val="en-US" w:eastAsia="zh-CN"/>
        </w:rPr>
        <w:t>Halazun</w:t>
      </w:r>
      <w:proofErr w:type="spellEnd"/>
      <w:r w:rsidRPr="0049263A">
        <w:rPr>
          <w:rFonts w:ascii="Book Antiqua" w:hAnsi="Book Antiqua" w:cs="宋体"/>
          <w:b/>
          <w:bCs/>
          <w:sz w:val="24"/>
          <w:szCs w:val="24"/>
          <w:lang w:val="en-US" w:eastAsia="zh-CN"/>
        </w:rPr>
        <w:t xml:space="preserve"> KJ</w:t>
      </w:r>
      <w:r w:rsidRPr="0049263A">
        <w:rPr>
          <w:rFonts w:ascii="Book Antiqua" w:hAnsi="Book Antiqua" w:cs="宋体"/>
          <w:sz w:val="24"/>
          <w:szCs w:val="24"/>
          <w:lang w:val="en-US" w:eastAsia="zh-CN"/>
        </w:rPr>
        <w:t xml:space="preserve">, </w:t>
      </w:r>
      <w:proofErr w:type="spellStart"/>
      <w:r w:rsidRPr="0049263A">
        <w:rPr>
          <w:rFonts w:ascii="Book Antiqua" w:hAnsi="Book Antiqua" w:cs="宋体"/>
          <w:sz w:val="24"/>
          <w:szCs w:val="24"/>
          <w:lang w:val="en-US" w:eastAsia="zh-CN"/>
        </w:rPr>
        <w:t>Aldoori</w:t>
      </w:r>
      <w:proofErr w:type="spellEnd"/>
      <w:r w:rsidRPr="0049263A">
        <w:rPr>
          <w:rFonts w:ascii="Book Antiqua" w:hAnsi="Book Antiqua" w:cs="宋体"/>
          <w:sz w:val="24"/>
          <w:szCs w:val="24"/>
          <w:lang w:val="en-US" w:eastAsia="zh-CN"/>
        </w:rPr>
        <w:t xml:space="preserve"> A, Malik HZ, Al-Mukhtar A, Prasad KR, Toogood GJ, Lodge JP. Elevated preoperative neutrophil to lymphocyte ratio predicts survival following hepatic resection for colorectal liver metastases. </w:t>
      </w:r>
      <w:proofErr w:type="spellStart"/>
      <w:r w:rsidRPr="0049263A">
        <w:rPr>
          <w:rFonts w:ascii="Book Antiqua" w:hAnsi="Book Antiqua" w:cs="宋体"/>
          <w:i/>
          <w:iCs/>
          <w:sz w:val="24"/>
          <w:szCs w:val="24"/>
          <w:lang w:val="en-US" w:eastAsia="zh-CN"/>
        </w:rPr>
        <w:t>Eur</w:t>
      </w:r>
      <w:proofErr w:type="spellEnd"/>
      <w:r w:rsidRPr="0049263A">
        <w:rPr>
          <w:rFonts w:ascii="Book Antiqua" w:hAnsi="Book Antiqua" w:cs="宋体"/>
          <w:i/>
          <w:iCs/>
          <w:sz w:val="24"/>
          <w:szCs w:val="24"/>
          <w:lang w:val="en-US" w:eastAsia="zh-CN"/>
        </w:rPr>
        <w:t xml:space="preserve"> J </w:t>
      </w:r>
      <w:proofErr w:type="spellStart"/>
      <w:r w:rsidRPr="0049263A">
        <w:rPr>
          <w:rFonts w:ascii="Book Antiqua" w:hAnsi="Book Antiqua" w:cs="宋体"/>
          <w:i/>
          <w:iCs/>
          <w:sz w:val="24"/>
          <w:szCs w:val="24"/>
          <w:lang w:val="en-US" w:eastAsia="zh-CN"/>
        </w:rPr>
        <w:t>Surg</w:t>
      </w:r>
      <w:proofErr w:type="spellEnd"/>
      <w:r w:rsidRPr="0049263A">
        <w:rPr>
          <w:rFonts w:ascii="Book Antiqua" w:hAnsi="Book Antiqua" w:cs="宋体"/>
          <w:i/>
          <w:iCs/>
          <w:sz w:val="24"/>
          <w:szCs w:val="24"/>
          <w:lang w:val="en-US" w:eastAsia="zh-CN"/>
        </w:rPr>
        <w:t xml:space="preserve"> </w:t>
      </w:r>
      <w:proofErr w:type="spellStart"/>
      <w:r w:rsidRPr="0049263A">
        <w:rPr>
          <w:rFonts w:ascii="Book Antiqua" w:hAnsi="Book Antiqua" w:cs="宋体"/>
          <w:i/>
          <w:iCs/>
          <w:sz w:val="24"/>
          <w:szCs w:val="24"/>
          <w:lang w:val="en-US" w:eastAsia="zh-CN"/>
        </w:rPr>
        <w:t>Oncol</w:t>
      </w:r>
      <w:proofErr w:type="spellEnd"/>
      <w:r w:rsidRPr="0049263A">
        <w:rPr>
          <w:rFonts w:ascii="Book Antiqua" w:hAnsi="Book Antiqua" w:cs="宋体"/>
          <w:sz w:val="24"/>
          <w:szCs w:val="24"/>
          <w:lang w:val="en-US" w:eastAsia="zh-CN"/>
        </w:rPr>
        <w:t> 2008; </w:t>
      </w:r>
      <w:r w:rsidRPr="0049263A">
        <w:rPr>
          <w:rFonts w:ascii="Book Antiqua" w:hAnsi="Book Antiqua" w:cs="宋体"/>
          <w:b/>
          <w:bCs/>
          <w:sz w:val="24"/>
          <w:szCs w:val="24"/>
          <w:lang w:val="en-US" w:eastAsia="zh-CN"/>
        </w:rPr>
        <w:t>34</w:t>
      </w:r>
      <w:r w:rsidRPr="0049263A">
        <w:rPr>
          <w:rFonts w:ascii="Book Antiqua" w:hAnsi="Book Antiqua" w:cs="宋体"/>
          <w:sz w:val="24"/>
          <w:szCs w:val="24"/>
          <w:lang w:val="en-US" w:eastAsia="zh-CN"/>
        </w:rPr>
        <w:t>: 55-60 [PMID: 17448623 DOI: 10.1016/j.ejso.2007.02.014]</w:t>
      </w:r>
    </w:p>
    <w:p w14:paraId="3A2329C0"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r w:rsidRPr="0049263A">
        <w:rPr>
          <w:rFonts w:ascii="Book Antiqua" w:hAnsi="Book Antiqua" w:cs="宋体"/>
          <w:sz w:val="24"/>
          <w:szCs w:val="24"/>
          <w:lang w:val="en-US" w:eastAsia="zh-CN"/>
        </w:rPr>
        <w:t>13 </w:t>
      </w:r>
      <w:r w:rsidRPr="0049263A">
        <w:rPr>
          <w:rFonts w:ascii="Book Antiqua" w:hAnsi="Book Antiqua" w:cs="宋体"/>
          <w:b/>
          <w:bCs/>
          <w:sz w:val="24"/>
          <w:szCs w:val="24"/>
          <w:lang w:val="en-US" w:eastAsia="zh-CN"/>
        </w:rPr>
        <w:t>Ding PR</w:t>
      </w:r>
      <w:r w:rsidRPr="0049263A">
        <w:rPr>
          <w:rFonts w:ascii="Book Antiqua" w:hAnsi="Book Antiqua" w:cs="宋体"/>
          <w:sz w:val="24"/>
          <w:szCs w:val="24"/>
          <w:lang w:val="en-US" w:eastAsia="zh-CN"/>
        </w:rPr>
        <w:t>, An X, Zhang RX, Fang YJ, Li LR, Chen G, Wu XJ, Lu ZH, Lin JZ, Kong LH, Wan DS, Pan ZZ. Elevated preoperative neutrophil to lymphocyte ratio predicts risk of recurrence following curative resection for stage IIA colon cancer. </w:t>
      </w:r>
      <w:proofErr w:type="spellStart"/>
      <w:r w:rsidRPr="0049263A">
        <w:rPr>
          <w:rFonts w:ascii="Book Antiqua" w:hAnsi="Book Antiqua" w:cs="宋体"/>
          <w:i/>
          <w:iCs/>
          <w:sz w:val="24"/>
          <w:szCs w:val="24"/>
          <w:lang w:val="en-US" w:eastAsia="zh-CN"/>
        </w:rPr>
        <w:t>Int</w:t>
      </w:r>
      <w:proofErr w:type="spellEnd"/>
      <w:r w:rsidRPr="0049263A">
        <w:rPr>
          <w:rFonts w:ascii="Book Antiqua" w:hAnsi="Book Antiqua" w:cs="宋体"/>
          <w:i/>
          <w:iCs/>
          <w:sz w:val="24"/>
          <w:szCs w:val="24"/>
          <w:lang w:val="en-US" w:eastAsia="zh-CN"/>
        </w:rPr>
        <w:t xml:space="preserve"> J Colorectal Dis</w:t>
      </w:r>
      <w:r w:rsidRPr="0049263A">
        <w:rPr>
          <w:rFonts w:ascii="Book Antiqua" w:hAnsi="Book Antiqua" w:cs="宋体"/>
          <w:sz w:val="24"/>
          <w:szCs w:val="24"/>
          <w:lang w:val="en-US" w:eastAsia="zh-CN"/>
        </w:rPr>
        <w:t> 2010; </w:t>
      </w:r>
      <w:r w:rsidRPr="0049263A">
        <w:rPr>
          <w:rFonts w:ascii="Book Antiqua" w:hAnsi="Book Antiqua" w:cs="宋体"/>
          <w:b/>
          <w:bCs/>
          <w:sz w:val="24"/>
          <w:szCs w:val="24"/>
          <w:lang w:val="en-US" w:eastAsia="zh-CN"/>
        </w:rPr>
        <w:t>25</w:t>
      </w:r>
      <w:r w:rsidRPr="0049263A">
        <w:rPr>
          <w:rFonts w:ascii="Book Antiqua" w:hAnsi="Book Antiqua" w:cs="宋体"/>
          <w:sz w:val="24"/>
          <w:szCs w:val="24"/>
          <w:lang w:val="en-US" w:eastAsia="zh-CN"/>
        </w:rPr>
        <w:t>: 1427-1433 [PMID: 20821217 DOI: 10.1007/s00384-010-1052-0]</w:t>
      </w:r>
    </w:p>
    <w:p w14:paraId="72058363"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r w:rsidRPr="0049263A">
        <w:rPr>
          <w:rFonts w:ascii="Book Antiqua" w:hAnsi="Book Antiqua" w:cs="宋体"/>
          <w:sz w:val="24"/>
          <w:szCs w:val="24"/>
          <w:lang w:val="en-US" w:eastAsia="zh-CN"/>
        </w:rPr>
        <w:t>14 </w:t>
      </w:r>
      <w:r w:rsidRPr="0049263A">
        <w:rPr>
          <w:rFonts w:ascii="Book Antiqua" w:hAnsi="Book Antiqua" w:cs="宋体"/>
          <w:b/>
          <w:bCs/>
          <w:sz w:val="24"/>
          <w:szCs w:val="24"/>
          <w:lang w:val="en-US" w:eastAsia="zh-CN"/>
        </w:rPr>
        <w:t>Kwon HC</w:t>
      </w:r>
      <w:r w:rsidRPr="0049263A">
        <w:rPr>
          <w:rFonts w:ascii="Book Antiqua" w:hAnsi="Book Antiqua" w:cs="宋体"/>
          <w:sz w:val="24"/>
          <w:szCs w:val="24"/>
          <w:lang w:val="en-US" w:eastAsia="zh-CN"/>
        </w:rPr>
        <w:t xml:space="preserve">, Kim SH, Oh SY, Lee S, Lee JH, Choi HJ, Park KJ, </w:t>
      </w:r>
      <w:proofErr w:type="spellStart"/>
      <w:r w:rsidRPr="0049263A">
        <w:rPr>
          <w:rFonts w:ascii="Book Antiqua" w:hAnsi="Book Antiqua" w:cs="宋体"/>
          <w:sz w:val="24"/>
          <w:szCs w:val="24"/>
          <w:lang w:val="en-US" w:eastAsia="zh-CN"/>
        </w:rPr>
        <w:t>Roh</w:t>
      </w:r>
      <w:proofErr w:type="spellEnd"/>
      <w:r w:rsidRPr="0049263A">
        <w:rPr>
          <w:rFonts w:ascii="Book Antiqua" w:hAnsi="Book Antiqua" w:cs="宋体"/>
          <w:sz w:val="24"/>
          <w:szCs w:val="24"/>
          <w:lang w:val="en-US" w:eastAsia="zh-CN"/>
        </w:rPr>
        <w:t xml:space="preserve"> MS, Kim SG, Kim HJ, Lee JH. </w:t>
      </w:r>
      <w:proofErr w:type="gramStart"/>
      <w:r w:rsidRPr="0049263A">
        <w:rPr>
          <w:rFonts w:ascii="Book Antiqua" w:hAnsi="Book Antiqua" w:cs="宋体"/>
          <w:sz w:val="24"/>
          <w:szCs w:val="24"/>
          <w:lang w:val="en-US" w:eastAsia="zh-CN"/>
        </w:rPr>
        <w:t>Clinical significance of preoperative neutrophil-lymphocyte versus platelet-lymphocyte ratio in patients with operable colorectal cancer.</w:t>
      </w:r>
      <w:proofErr w:type="gramEnd"/>
      <w:r w:rsidRPr="0049263A">
        <w:rPr>
          <w:rFonts w:ascii="Book Antiqua" w:hAnsi="Book Antiqua" w:cs="宋体"/>
          <w:sz w:val="24"/>
          <w:szCs w:val="24"/>
          <w:lang w:val="en-US" w:eastAsia="zh-CN"/>
        </w:rPr>
        <w:t> </w:t>
      </w:r>
      <w:r w:rsidRPr="0049263A">
        <w:rPr>
          <w:rFonts w:ascii="Book Antiqua" w:hAnsi="Book Antiqua" w:cs="宋体"/>
          <w:i/>
          <w:iCs/>
          <w:sz w:val="24"/>
          <w:szCs w:val="24"/>
          <w:lang w:val="en-US" w:eastAsia="zh-CN"/>
        </w:rPr>
        <w:t>Biomarkers</w:t>
      </w:r>
      <w:r w:rsidRPr="0049263A">
        <w:rPr>
          <w:rFonts w:ascii="Book Antiqua" w:hAnsi="Book Antiqua" w:cs="宋体"/>
          <w:sz w:val="24"/>
          <w:szCs w:val="24"/>
          <w:lang w:val="en-US" w:eastAsia="zh-CN"/>
        </w:rPr>
        <w:t> 2012; </w:t>
      </w:r>
      <w:r w:rsidRPr="0049263A">
        <w:rPr>
          <w:rFonts w:ascii="Book Antiqua" w:hAnsi="Book Antiqua" w:cs="宋体"/>
          <w:b/>
          <w:bCs/>
          <w:sz w:val="24"/>
          <w:szCs w:val="24"/>
          <w:lang w:val="en-US" w:eastAsia="zh-CN"/>
        </w:rPr>
        <w:t>17</w:t>
      </w:r>
      <w:r w:rsidRPr="0049263A">
        <w:rPr>
          <w:rFonts w:ascii="Book Antiqua" w:hAnsi="Book Antiqua" w:cs="宋体"/>
          <w:sz w:val="24"/>
          <w:szCs w:val="24"/>
          <w:lang w:val="en-US" w:eastAsia="zh-CN"/>
        </w:rPr>
        <w:t>: 216-222 [PMID: 22424597 DOI: 10.3109/1354750X.2012.656705]</w:t>
      </w:r>
    </w:p>
    <w:p w14:paraId="588E6898"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r w:rsidRPr="0049263A">
        <w:rPr>
          <w:rFonts w:ascii="Book Antiqua" w:hAnsi="Book Antiqua" w:cs="宋体"/>
          <w:sz w:val="24"/>
          <w:szCs w:val="24"/>
          <w:lang w:val="en-US" w:eastAsia="zh-CN"/>
        </w:rPr>
        <w:t>15 </w:t>
      </w:r>
      <w:r w:rsidRPr="0049263A">
        <w:rPr>
          <w:rFonts w:ascii="Book Antiqua" w:hAnsi="Book Antiqua" w:cs="宋体"/>
          <w:b/>
          <w:bCs/>
          <w:sz w:val="24"/>
          <w:szCs w:val="24"/>
          <w:lang w:val="en-US" w:eastAsia="zh-CN"/>
        </w:rPr>
        <w:t>Lee JH</w:t>
      </w:r>
      <w:r w:rsidRPr="0049263A">
        <w:rPr>
          <w:rFonts w:ascii="Book Antiqua" w:hAnsi="Book Antiqua" w:cs="宋体"/>
          <w:sz w:val="24"/>
          <w:szCs w:val="24"/>
          <w:lang w:val="en-US" w:eastAsia="zh-CN"/>
        </w:rPr>
        <w:t xml:space="preserve">, Hyun JH, Kim DY, </w:t>
      </w:r>
      <w:proofErr w:type="spellStart"/>
      <w:r w:rsidRPr="0049263A">
        <w:rPr>
          <w:rFonts w:ascii="Book Antiqua" w:hAnsi="Book Antiqua" w:cs="宋体"/>
          <w:sz w:val="24"/>
          <w:szCs w:val="24"/>
          <w:lang w:val="en-US" w:eastAsia="zh-CN"/>
        </w:rPr>
        <w:t>Yoo</w:t>
      </w:r>
      <w:proofErr w:type="spellEnd"/>
      <w:r w:rsidRPr="0049263A">
        <w:rPr>
          <w:rFonts w:ascii="Book Antiqua" w:hAnsi="Book Antiqua" w:cs="宋体"/>
          <w:sz w:val="24"/>
          <w:szCs w:val="24"/>
          <w:lang w:val="en-US" w:eastAsia="zh-CN"/>
        </w:rPr>
        <w:t xml:space="preserve"> BC, Park JW, Kim SY, Chang HJ, Kim BC, Kim TH, Oh JH, </w:t>
      </w:r>
      <w:proofErr w:type="spellStart"/>
      <w:r w:rsidRPr="0049263A">
        <w:rPr>
          <w:rFonts w:ascii="Book Antiqua" w:hAnsi="Book Antiqua" w:cs="宋体"/>
          <w:sz w:val="24"/>
          <w:szCs w:val="24"/>
          <w:lang w:val="en-US" w:eastAsia="zh-CN"/>
        </w:rPr>
        <w:t>Sohn</w:t>
      </w:r>
      <w:proofErr w:type="spellEnd"/>
      <w:r w:rsidRPr="0049263A">
        <w:rPr>
          <w:rFonts w:ascii="Book Antiqua" w:hAnsi="Book Antiqua" w:cs="宋体"/>
          <w:sz w:val="24"/>
          <w:szCs w:val="24"/>
          <w:lang w:val="en-US" w:eastAsia="zh-CN"/>
        </w:rPr>
        <w:t xml:space="preserve"> DK. </w:t>
      </w:r>
      <w:proofErr w:type="gramStart"/>
      <w:r w:rsidRPr="0049263A">
        <w:rPr>
          <w:rFonts w:ascii="Book Antiqua" w:hAnsi="Book Antiqua" w:cs="宋体"/>
          <w:sz w:val="24"/>
          <w:szCs w:val="24"/>
          <w:lang w:val="en-US" w:eastAsia="zh-CN"/>
        </w:rPr>
        <w:t xml:space="preserve">The role of fibrinogen as a predictor in preoperative </w:t>
      </w:r>
      <w:proofErr w:type="spellStart"/>
      <w:r w:rsidRPr="0049263A">
        <w:rPr>
          <w:rFonts w:ascii="Book Antiqua" w:hAnsi="Book Antiqua" w:cs="宋体"/>
          <w:sz w:val="24"/>
          <w:szCs w:val="24"/>
          <w:lang w:val="en-US" w:eastAsia="zh-CN"/>
        </w:rPr>
        <w:t>chemoradiation</w:t>
      </w:r>
      <w:proofErr w:type="spellEnd"/>
      <w:r w:rsidRPr="0049263A">
        <w:rPr>
          <w:rFonts w:ascii="Book Antiqua" w:hAnsi="Book Antiqua" w:cs="宋体"/>
          <w:sz w:val="24"/>
          <w:szCs w:val="24"/>
          <w:lang w:val="en-US" w:eastAsia="zh-CN"/>
        </w:rPr>
        <w:t xml:space="preserve"> for rectal cancer.</w:t>
      </w:r>
      <w:proofErr w:type="gramEnd"/>
      <w:r w:rsidRPr="0049263A">
        <w:rPr>
          <w:rFonts w:ascii="Book Antiqua" w:hAnsi="Book Antiqua" w:cs="宋体"/>
          <w:sz w:val="24"/>
          <w:szCs w:val="24"/>
          <w:lang w:val="en-US" w:eastAsia="zh-CN"/>
        </w:rPr>
        <w:t> </w:t>
      </w:r>
      <w:r w:rsidRPr="0049263A">
        <w:rPr>
          <w:rFonts w:ascii="Book Antiqua" w:hAnsi="Book Antiqua" w:cs="宋体"/>
          <w:i/>
          <w:iCs/>
          <w:sz w:val="24"/>
          <w:szCs w:val="24"/>
          <w:lang w:val="en-US" w:eastAsia="zh-CN"/>
        </w:rPr>
        <w:t xml:space="preserve">Ann </w:t>
      </w:r>
      <w:proofErr w:type="spellStart"/>
      <w:r w:rsidRPr="0049263A">
        <w:rPr>
          <w:rFonts w:ascii="Book Antiqua" w:hAnsi="Book Antiqua" w:cs="宋体"/>
          <w:i/>
          <w:iCs/>
          <w:sz w:val="24"/>
          <w:szCs w:val="24"/>
          <w:lang w:val="en-US" w:eastAsia="zh-CN"/>
        </w:rPr>
        <w:t>Surg</w:t>
      </w:r>
      <w:proofErr w:type="spellEnd"/>
      <w:r w:rsidRPr="0049263A">
        <w:rPr>
          <w:rFonts w:ascii="Book Antiqua" w:hAnsi="Book Antiqua" w:cs="宋体"/>
          <w:i/>
          <w:iCs/>
          <w:sz w:val="24"/>
          <w:szCs w:val="24"/>
          <w:lang w:val="en-US" w:eastAsia="zh-CN"/>
        </w:rPr>
        <w:t xml:space="preserve"> </w:t>
      </w:r>
      <w:proofErr w:type="spellStart"/>
      <w:r w:rsidRPr="0049263A">
        <w:rPr>
          <w:rFonts w:ascii="Book Antiqua" w:hAnsi="Book Antiqua" w:cs="宋体"/>
          <w:i/>
          <w:iCs/>
          <w:sz w:val="24"/>
          <w:szCs w:val="24"/>
          <w:lang w:val="en-US" w:eastAsia="zh-CN"/>
        </w:rPr>
        <w:t>Oncol</w:t>
      </w:r>
      <w:proofErr w:type="spellEnd"/>
      <w:r w:rsidRPr="0049263A">
        <w:rPr>
          <w:rFonts w:ascii="Book Antiqua" w:hAnsi="Book Antiqua" w:cs="宋体"/>
          <w:sz w:val="24"/>
          <w:szCs w:val="24"/>
          <w:lang w:val="en-US" w:eastAsia="zh-CN"/>
        </w:rPr>
        <w:t> 2015; </w:t>
      </w:r>
      <w:r w:rsidRPr="0049263A">
        <w:rPr>
          <w:rFonts w:ascii="Book Antiqua" w:hAnsi="Book Antiqua" w:cs="宋体"/>
          <w:b/>
          <w:bCs/>
          <w:sz w:val="24"/>
          <w:szCs w:val="24"/>
          <w:lang w:val="en-US" w:eastAsia="zh-CN"/>
        </w:rPr>
        <w:t>22</w:t>
      </w:r>
      <w:r w:rsidRPr="0049263A">
        <w:rPr>
          <w:rFonts w:ascii="Book Antiqua" w:hAnsi="Book Antiqua" w:cs="宋体"/>
          <w:sz w:val="24"/>
          <w:szCs w:val="24"/>
          <w:lang w:val="en-US" w:eastAsia="zh-CN"/>
        </w:rPr>
        <w:t>: 209-215 [PMID: 25384698 DOI: 10.1245/s10434-014-3962-5]</w:t>
      </w:r>
    </w:p>
    <w:p w14:paraId="6A4F8454"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r w:rsidRPr="0049263A">
        <w:rPr>
          <w:rFonts w:ascii="Book Antiqua" w:hAnsi="Book Antiqua" w:cs="宋体"/>
          <w:sz w:val="24"/>
          <w:szCs w:val="24"/>
          <w:lang w:val="en-US" w:eastAsia="zh-CN"/>
        </w:rPr>
        <w:t>16 </w:t>
      </w:r>
      <w:r w:rsidRPr="0049263A">
        <w:rPr>
          <w:rFonts w:ascii="Book Antiqua" w:hAnsi="Book Antiqua" w:cs="宋体"/>
          <w:b/>
          <w:bCs/>
          <w:sz w:val="24"/>
          <w:szCs w:val="24"/>
          <w:lang w:val="en-US" w:eastAsia="zh-CN"/>
        </w:rPr>
        <w:t>Yamashita H</w:t>
      </w:r>
      <w:r w:rsidRPr="0049263A">
        <w:rPr>
          <w:rFonts w:ascii="Book Antiqua" w:hAnsi="Book Antiqua" w:cs="宋体"/>
          <w:sz w:val="24"/>
          <w:szCs w:val="24"/>
          <w:lang w:val="en-US" w:eastAsia="zh-CN"/>
        </w:rPr>
        <w:t xml:space="preserve">, </w:t>
      </w:r>
      <w:proofErr w:type="spellStart"/>
      <w:r w:rsidRPr="0049263A">
        <w:rPr>
          <w:rFonts w:ascii="Book Antiqua" w:hAnsi="Book Antiqua" w:cs="宋体"/>
          <w:sz w:val="24"/>
          <w:szCs w:val="24"/>
          <w:lang w:val="en-US" w:eastAsia="zh-CN"/>
        </w:rPr>
        <w:t>Kitayama</w:t>
      </w:r>
      <w:proofErr w:type="spellEnd"/>
      <w:r w:rsidRPr="0049263A">
        <w:rPr>
          <w:rFonts w:ascii="Book Antiqua" w:hAnsi="Book Antiqua" w:cs="宋体"/>
          <w:sz w:val="24"/>
          <w:szCs w:val="24"/>
          <w:lang w:val="en-US" w:eastAsia="zh-CN"/>
        </w:rPr>
        <w:t xml:space="preserve"> J, </w:t>
      </w:r>
      <w:proofErr w:type="spellStart"/>
      <w:r w:rsidRPr="0049263A">
        <w:rPr>
          <w:rFonts w:ascii="Book Antiqua" w:hAnsi="Book Antiqua" w:cs="宋体"/>
          <w:sz w:val="24"/>
          <w:szCs w:val="24"/>
          <w:lang w:val="en-US" w:eastAsia="zh-CN"/>
        </w:rPr>
        <w:t>Taguri</w:t>
      </w:r>
      <w:proofErr w:type="spellEnd"/>
      <w:r w:rsidRPr="0049263A">
        <w:rPr>
          <w:rFonts w:ascii="Book Antiqua" w:hAnsi="Book Antiqua" w:cs="宋体"/>
          <w:sz w:val="24"/>
          <w:szCs w:val="24"/>
          <w:lang w:val="en-US" w:eastAsia="zh-CN"/>
        </w:rPr>
        <w:t xml:space="preserve"> M, </w:t>
      </w:r>
      <w:proofErr w:type="spellStart"/>
      <w:r w:rsidRPr="0049263A">
        <w:rPr>
          <w:rFonts w:ascii="Book Antiqua" w:hAnsi="Book Antiqua" w:cs="宋体"/>
          <w:sz w:val="24"/>
          <w:szCs w:val="24"/>
          <w:lang w:val="en-US" w:eastAsia="zh-CN"/>
        </w:rPr>
        <w:t>Nagawa</w:t>
      </w:r>
      <w:proofErr w:type="spellEnd"/>
      <w:r w:rsidRPr="0049263A">
        <w:rPr>
          <w:rFonts w:ascii="Book Antiqua" w:hAnsi="Book Antiqua" w:cs="宋体"/>
          <w:sz w:val="24"/>
          <w:szCs w:val="24"/>
          <w:lang w:val="en-US" w:eastAsia="zh-CN"/>
        </w:rPr>
        <w:t xml:space="preserve"> H. Effect of preoperative hyperfibrinogenemia on recurrence of colorectal cancer without a systemic inflammatory response. </w:t>
      </w:r>
      <w:r w:rsidRPr="0049263A">
        <w:rPr>
          <w:rFonts w:ascii="Book Antiqua" w:hAnsi="Book Antiqua" w:cs="宋体"/>
          <w:i/>
          <w:iCs/>
          <w:sz w:val="24"/>
          <w:szCs w:val="24"/>
          <w:lang w:val="en-US" w:eastAsia="zh-CN"/>
        </w:rPr>
        <w:t xml:space="preserve">World J </w:t>
      </w:r>
      <w:proofErr w:type="spellStart"/>
      <w:r w:rsidRPr="0049263A">
        <w:rPr>
          <w:rFonts w:ascii="Book Antiqua" w:hAnsi="Book Antiqua" w:cs="宋体"/>
          <w:i/>
          <w:iCs/>
          <w:sz w:val="24"/>
          <w:szCs w:val="24"/>
          <w:lang w:val="en-US" w:eastAsia="zh-CN"/>
        </w:rPr>
        <w:t>Surg</w:t>
      </w:r>
      <w:proofErr w:type="spellEnd"/>
      <w:r w:rsidRPr="0049263A">
        <w:rPr>
          <w:rFonts w:ascii="Book Antiqua" w:hAnsi="Book Antiqua" w:cs="宋体"/>
          <w:sz w:val="24"/>
          <w:szCs w:val="24"/>
          <w:lang w:val="en-US" w:eastAsia="zh-CN"/>
        </w:rPr>
        <w:t> 2009; </w:t>
      </w:r>
      <w:r w:rsidRPr="0049263A">
        <w:rPr>
          <w:rFonts w:ascii="Book Antiqua" w:hAnsi="Book Antiqua" w:cs="宋体"/>
          <w:b/>
          <w:bCs/>
          <w:sz w:val="24"/>
          <w:szCs w:val="24"/>
          <w:lang w:val="en-US" w:eastAsia="zh-CN"/>
        </w:rPr>
        <w:t>33</w:t>
      </w:r>
      <w:r w:rsidRPr="0049263A">
        <w:rPr>
          <w:rFonts w:ascii="Book Antiqua" w:hAnsi="Book Antiqua" w:cs="宋体"/>
          <w:sz w:val="24"/>
          <w:szCs w:val="24"/>
          <w:lang w:val="en-US" w:eastAsia="zh-CN"/>
        </w:rPr>
        <w:t>: 1298-1305 [PMID: 19347392 DOI: 10.1007/s00268-009-9992-7]</w:t>
      </w:r>
    </w:p>
    <w:p w14:paraId="0794870D"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r w:rsidRPr="0049263A">
        <w:rPr>
          <w:rFonts w:ascii="Book Antiqua" w:hAnsi="Book Antiqua" w:cs="宋体"/>
          <w:sz w:val="24"/>
          <w:szCs w:val="24"/>
          <w:lang w:val="en-US" w:eastAsia="zh-CN"/>
        </w:rPr>
        <w:t>17 </w:t>
      </w:r>
      <w:proofErr w:type="spellStart"/>
      <w:r w:rsidRPr="0049263A">
        <w:rPr>
          <w:rFonts w:ascii="Book Antiqua" w:hAnsi="Book Antiqua" w:cs="宋体"/>
          <w:b/>
          <w:bCs/>
          <w:sz w:val="24"/>
          <w:szCs w:val="24"/>
          <w:lang w:val="en-US" w:eastAsia="zh-CN"/>
        </w:rPr>
        <w:t>Pedrazzani</w:t>
      </w:r>
      <w:proofErr w:type="spellEnd"/>
      <w:r w:rsidRPr="0049263A">
        <w:rPr>
          <w:rFonts w:ascii="Book Antiqua" w:hAnsi="Book Antiqua" w:cs="宋体"/>
          <w:b/>
          <w:bCs/>
          <w:sz w:val="24"/>
          <w:szCs w:val="24"/>
          <w:lang w:val="en-US" w:eastAsia="zh-CN"/>
        </w:rPr>
        <w:t xml:space="preserve"> C</w:t>
      </w:r>
      <w:r w:rsidRPr="0049263A">
        <w:rPr>
          <w:rFonts w:ascii="Book Antiqua" w:hAnsi="Book Antiqua" w:cs="宋体"/>
          <w:sz w:val="24"/>
          <w:szCs w:val="24"/>
          <w:lang w:val="en-US" w:eastAsia="zh-CN"/>
        </w:rPr>
        <w:t xml:space="preserve">, </w:t>
      </w:r>
      <w:proofErr w:type="spellStart"/>
      <w:r w:rsidRPr="0049263A">
        <w:rPr>
          <w:rFonts w:ascii="Book Antiqua" w:hAnsi="Book Antiqua" w:cs="宋体"/>
          <w:sz w:val="24"/>
          <w:szCs w:val="24"/>
          <w:lang w:val="en-US" w:eastAsia="zh-CN"/>
        </w:rPr>
        <w:t>Lauka</w:t>
      </w:r>
      <w:proofErr w:type="spellEnd"/>
      <w:r w:rsidRPr="0049263A">
        <w:rPr>
          <w:rFonts w:ascii="Book Antiqua" w:hAnsi="Book Antiqua" w:cs="宋体"/>
          <w:sz w:val="24"/>
          <w:szCs w:val="24"/>
          <w:lang w:val="en-US" w:eastAsia="zh-CN"/>
        </w:rPr>
        <w:t xml:space="preserve"> L, Sforza S, </w:t>
      </w:r>
      <w:proofErr w:type="spellStart"/>
      <w:r w:rsidRPr="0049263A">
        <w:rPr>
          <w:rFonts w:ascii="Book Antiqua" w:hAnsi="Book Antiqua" w:cs="宋体"/>
          <w:sz w:val="24"/>
          <w:szCs w:val="24"/>
          <w:lang w:val="en-US" w:eastAsia="zh-CN"/>
        </w:rPr>
        <w:t>Ruzzenente</w:t>
      </w:r>
      <w:proofErr w:type="spellEnd"/>
      <w:r w:rsidRPr="0049263A">
        <w:rPr>
          <w:rFonts w:ascii="Book Antiqua" w:hAnsi="Book Antiqua" w:cs="宋体"/>
          <w:sz w:val="24"/>
          <w:szCs w:val="24"/>
          <w:lang w:val="en-US" w:eastAsia="zh-CN"/>
        </w:rPr>
        <w:t xml:space="preserve"> A, </w:t>
      </w:r>
      <w:proofErr w:type="spellStart"/>
      <w:r w:rsidRPr="0049263A">
        <w:rPr>
          <w:rFonts w:ascii="Book Antiqua" w:hAnsi="Book Antiqua" w:cs="宋体"/>
          <w:sz w:val="24"/>
          <w:szCs w:val="24"/>
          <w:lang w:val="en-US" w:eastAsia="zh-CN"/>
        </w:rPr>
        <w:t>Nifosì</w:t>
      </w:r>
      <w:proofErr w:type="spellEnd"/>
      <w:r w:rsidRPr="0049263A">
        <w:rPr>
          <w:rFonts w:ascii="Book Antiqua" w:hAnsi="Book Antiqua" w:cs="宋体"/>
          <w:sz w:val="24"/>
          <w:szCs w:val="24"/>
          <w:lang w:val="en-US" w:eastAsia="zh-CN"/>
        </w:rPr>
        <w:t xml:space="preserve"> F, </w:t>
      </w:r>
      <w:proofErr w:type="spellStart"/>
      <w:r w:rsidRPr="0049263A">
        <w:rPr>
          <w:rFonts w:ascii="Book Antiqua" w:hAnsi="Book Antiqua" w:cs="宋体"/>
          <w:sz w:val="24"/>
          <w:szCs w:val="24"/>
          <w:lang w:val="en-US" w:eastAsia="zh-CN"/>
        </w:rPr>
        <w:t>Delaini</w:t>
      </w:r>
      <w:proofErr w:type="spellEnd"/>
      <w:r w:rsidRPr="0049263A">
        <w:rPr>
          <w:rFonts w:ascii="Book Antiqua" w:hAnsi="Book Antiqua" w:cs="宋体"/>
          <w:sz w:val="24"/>
          <w:szCs w:val="24"/>
          <w:lang w:val="en-US" w:eastAsia="zh-CN"/>
        </w:rPr>
        <w:t xml:space="preserve"> G, </w:t>
      </w:r>
      <w:proofErr w:type="spellStart"/>
      <w:r w:rsidRPr="0049263A">
        <w:rPr>
          <w:rFonts w:ascii="Book Antiqua" w:hAnsi="Book Antiqua" w:cs="宋体"/>
          <w:sz w:val="24"/>
          <w:szCs w:val="24"/>
          <w:lang w:val="en-US" w:eastAsia="zh-CN"/>
        </w:rPr>
        <w:t>Guglielmi</w:t>
      </w:r>
      <w:proofErr w:type="spellEnd"/>
      <w:r w:rsidRPr="0049263A">
        <w:rPr>
          <w:rFonts w:ascii="Book Antiqua" w:hAnsi="Book Antiqua" w:cs="宋体"/>
          <w:sz w:val="24"/>
          <w:szCs w:val="24"/>
          <w:lang w:val="en-US" w:eastAsia="zh-CN"/>
        </w:rPr>
        <w:t xml:space="preserve"> A. Management of nodal disease from colon cancer in the laparoscopic era. </w:t>
      </w:r>
      <w:proofErr w:type="spellStart"/>
      <w:r w:rsidRPr="0049263A">
        <w:rPr>
          <w:rFonts w:ascii="Book Antiqua" w:hAnsi="Book Antiqua" w:cs="宋体"/>
          <w:i/>
          <w:iCs/>
          <w:sz w:val="24"/>
          <w:szCs w:val="24"/>
          <w:lang w:val="en-US" w:eastAsia="zh-CN"/>
        </w:rPr>
        <w:t>Int</w:t>
      </w:r>
      <w:proofErr w:type="spellEnd"/>
      <w:r w:rsidRPr="0049263A">
        <w:rPr>
          <w:rFonts w:ascii="Book Antiqua" w:hAnsi="Book Antiqua" w:cs="宋体"/>
          <w:i/>
          <w:iCs/>
          <w:sz w:val="24"/>
          <w:szCs w:val="24"/>
          <w:lang w:val="en-US" w:eastAsia="zh-CN"/>
        </w:rPr>
        <w:t xml:space="preserve"> J Colorectal Dis</w:t>
      </w:r>
      <w:r w:rsidRPr="0049263A">
        <w:rPr>
          <w:rFonts w:ascii="Book Antiqua" w:hAnsi="Book Antiqua" w:cs="宋体"/>
          <w:sz w:val="24"/>
          <w:szCs w:val="24"/>
          <w:lang w:val="en-US" w:eastAsia="zh-CN"/>
        </w:rPr>
        <w:t> 2015; </w:t>
      </w:r>
      <w:r w:rsidRPr="0049263A">
        <w:rPr>
          <w:rFonts w:ascii="Book Antiqua" w:hAnsi="Book Antiqua" w:cs="宋体"/>
          <w:b/>
          <w:bCs/>
          <w:sz w:val="24"/>
          <w:szCs w:val="24"/>
          <w:lang w:val="en-US" w:eastAsia="zh-CN"/>
        </w:rPr>
        <w:t>30</w:t>
      </w:r>
      <w:r w:rsidRPr="0049263A">
        <w:rPr>
          <w:rFonts w:ascii="Book Antiqua" w:hAnsi="Book Antiqua" w:cs="宋体"/>
          <w:sz w:val="24"/>
          <w:szCs w:val="24"/>
          <w:lang w:val="en-US" w:eastAsia="zh-CN"/>
        </w:rPr>
        <w:t>: 303-314 [PMID: 25416529 DOI: 10.1007/s00384-014-2075-8]</w:t>
      </w:r>
    </w:p>
    <w:p w14:paraId="680DACDA"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r w:rsidRPr="0049263A">
        <w:rPr>
          <w:rFonts w:ascii="Book Antiqua" w:hAnsi="Book Antiqua" w:cs="宋体"/>
          <w:sz w:val="24"/>
          <w:szCs w:val="24"/>
          <w:lang w:val="en-US" w:eastAsia="zh-CN"/>
        </w:rPr>
        <w:t>18 </w:t>
      </w:r>
      <w:proofErr w:type="spellStart"/>
      <w:r w:rsidRPr="0049263A">
        <w:rPr>
          <w:rFonts w:ascii="Book Antiqua" w:hAnsi="Book Antiqua" w:cs="宋体"/>
          <w:b/>
          <w:bCs/>
          <w:sz w:val="24"/>
          <w:szCs w:val="24"/>
          <w:lang w:val="en-US" w:eastAsia="zh-CN"/>
        </w:rPr>
        <w:t>Pedrazzani</w:t>
      </w:r>
      <w:proofErr w:type="spellEnd"/>
      <w:r w:rsidRPr="0049263A">
        <w:rPr>
          <w:rFonts w:ascii="Book Antiqua" w:hAnsi="Book Antiqua" w:cs="宋体"/>
          <w:b/>
          <w:bCs/>
          <w:sz w:val="24"/>
          <w:szCs w:val="24"/>
          <w:lang w:val="en-US" w:eastAsia="zh-CN"/>
        </w:rPr>
        <w:t xml:space="preserve"> C</w:t>
      </w:r>
      <w:r w:rsidRPr="0049263A">
        <w:rPr>
          <w:rFonts w:ascii="Book Antiqua" w:hAnsi="Book Antiqua" w:cs="宋体"/>
          <w:sz w:val="24"/>
          <w:szCs w:val="24"/>
          <w:lang w:val="en-US" w:eastAsia="zh-CN"/>
        </w:rPr>
        <w:t xml:space="preserve">, </w:t>
      </w:r>
      <w:proofErr w:type="spellStart"/>
      <w:r w:rsidRPr="0049263A">
        <w:rPr>
          <w:rFonts w:ascii="Book Antiqua" w:hAnsi="Book Antiqua" w:cs="宋体"/>
          <w:sz w:val="24"/>
          <w:szCs w:val="24"/>
          <w:lang w:val="en-US" w:eastAsia="zh-CN"/>
        </w:rPr>
        <w:t>Cerullo</w:t>
      </w:r>
      <w:proofErr w:type="spellEnd"/>
      <w:r w:rsidRPr="0049263A">
        <w:rPr>
          <w:rFonts w:ascii="Book Antiqua" w:hAnsi="Book Antiqua" w:cs="宋体"/>
          <w:sz w:val="24"/>
          <w:szCs w:val="24"/>
          <w:lang w:val="en-US" w:eastAsia="zh-CN"/>
        </w:rPr>
        <w:t xml:space="preserve"> G, </w:t>
      </w:r>
      <w:proofErr w:type="spellStart"/>
      <w:r w:rsidRPr="0049263A">
        <w:rPr>
          <w:rFonts w:ascii="Book Antiqua" w:hAnsi="Book Antiqua" w:cs="宋体"/>
          <w:sz w:val="24"/>
          <w:szCs w:val="24"/>
          <w:lang w:val="en-US" w:eastAsia="zh-CN"/>
        </w:rPr>
        <w:t>Marrelli</w:t>
      </w:r>
      <w:proofErr w:type="spellEnd"/>
      <w:r w:rsidRPr="0049263A">
        <w:rPr>
          <w:rFonts w:ascii="Book Antiqua" w:hAnsi="Book Antiqua" w:cs="宋体"/>
          <w:sz w:val="24"/>
          <w:szCs w:val="24"/>
          <w:lang w:val="en-US" w:eastAsia="zh-CN"/>
        </w:rPr>
        <w:t xml:space="preserve"> D, </w:t>
      </w:r>
      <w:proofErr w:type="spellStart"/>
      <w:r w:rsidRPr="0049263A">
        <w:rPr>
          <w:rFonts w:ascii="Book Antiqua" w:hAnsi="Book Antiqua" w:cs="宋体"/>
          <w:sz w:val="24"/>
          <w:szCs w:val="24"/>
          <w:lang w:val="en-US" w:eastAsia="zh-CN"/>
        </w:rPr>
        <w:t>Fernandes</w:t>
      </w:r>
      <w:proofErr w:type="spellEnd"/>
      <w:r w:rsidRPr="0049263A">
        <w:rPr>
          <w:rFonts w:ascii="Book Antiqua" w:hAnsi="Book Antiqua" w:cs="宋体"/>
          <w:sz w:val="24"/>
          <w:szCs w:val="24"/>
          <w:lang w:val="en-US" w:eastAsia="zh-CN"/>
        </w:rPr>
        <w:t xml:space="preserve"> E, Carlucci F, </w:t>
      </w:r>
      <w:proofErr w:type="spellStart"/>
      <w:r w:rsidRPr="0049263A">
        <w:rPr>
          <w:rFonts w:ascii="Book Antiqua" w:hAnsi="Book Antiqua" w:cs="宋体"/>
          <w:sz w:val="24"/>
          <w:szCs w:val="24"/>
          <w:lang w:val="en-US" w:eastAsia="zh-CN"/>
        </w:rPr>
        <w:t>Corso</w:t>
      </w:r>
      <w:proofErr w:type="spellEnd"/>
      <w:r w:rsidRPr="0049263A">
        <w:rPr>
          <w:rFonts w:ascii="Book Antiqua" w:hAnsi="Book Antiqua" w:cs="宋体"/>
          <w:sz w:val="24"/>
          <w:szCs w:val="24"/>
          <w:lang w:val="en-US" w:eastAsia="zh-CN"/>
        </w:rPr>
        <w:t xml:space="preserve"> G, </w:t>
      </w:r>
      <w:proofErr w:type="spellStart"/>
      <w:r w:rsidRPr="0049263A">
        <w:rPr>
          <w:rFonts w:ascii="Book Antiqua" w:hAnsi="Book Antiqua" w:cs="宋体"/>
          <w:sz w:val="24"/>
          <w:szCs w:val="24"/>
          <w:lang w:val="en-US" w:eastAsia="zh-CN"/>
        </w:rPr>
        <w:t>Bettarini</w:t>
      </w:r>
      <w:proofErr w:type="spellEnd"/>
      <w:r w:rsidRPr="0049263A">
        <w:rPr>
          <w:rFonts w:ascii="Book Antiqua" w:hAnsi="Book Antiqua" w:cs="宋体"/>
          <w:sz w:val="24"/>
          <w:szCs w:val="24"/>
          <w:lang w:val="en-US" w:eastAsia="zh-CN"/>
        </w:rPr>
        <w:t xml:space="preserve"> F, De Stefano A, </w:t>
      </w:r>
      <w:proofErr w:type="spellStart"/>
      <w:r w:rsidRPr="0049263A">
        <w:rPr>
          <w:rFonts w:ascii="Book Antiqua" w:hAnsi="Book Antiqua" w:cs="宋体"/>
          <w:sz w:val="24"/>
          <w:szCs w:val="24"/>
          <w:lang w:val="en-US" w:eastAsia="zh-CN"/>
        </w:rPr>
        <w:t>Roviello</w:t>
      </w:r>
      <w:proofErr w:type="spellEnd"/>
      <w:r w:rsidRPr="0049263A">
        <w:rPr>
          <w:rFonts w:ascii="Book Antiqua" w:hAnsi="Book Antiqua" w:cs="宋体"/>
          <w:sz w:val="24"/>
          <w:szCs w:val="24"/>
          <w:lang w:val="en-US" w:eastAsia="zh-CN"/>
        </w:rPr>
        <w:t xml:space="preserve"> F. Is circulating D-dimer level a better prognostic indicator than CEA in </w:t>
      </w:r>
      <w:proofErr w:type="spellStart"/>
      <w:r w:rsidRPr="0049263A">
        <w:rPr>
          <w:rFonts w:ascii="Book Antiqua" w:hAnsi="Book Antiqua" w:cs="宋体"/>
          <w:sz w:val="24"/>
          <w:szCs w:val="24"/>
          <w:lang w:val="en-US" w:eastAsia="zh-CN"/>
        </w:rPr>
        <w:t>resectable</w:t>
      </w:r>
      <w:proofErr w:type="spellEnd"/>
      <w:r w:rsidRPr="0049263A">
        <w:rPr>
          <w:rFonts w:ascii="Book Antiqua" w:hAnsi="Book Antiqua" w:cs="宋体"/>
          <w:sz w:val="24"/>
          <w:szCs w:val="24"/>
          <w:lang w:val="en-US" w:eastAsia="zh-CN"/>
        </w:rPr>
        <w:t xml:space="preserve"> colorectal cancer? </w:t>
      </w:r>
      <w:proofErr w:type="gramStart"/>
      <w:r w:rsidRPr="0049263A">
        <w:rPr>
          <w:rFonts w:ascii="Book Antiqua" w:hAnsi="Book Antiqua" w:cs="宋体"/>
          <w:sz w:val="24"/>
          <w:szCs w:val="24"/>
          <w:lang w:val="en-US" w:eastAsia="zh-CN"/>
        </w:rPr>
        <w:t>Our experience on 199 cases.</w:t>
      </w:r>
      <w:proofErr w:type="gramEnd"/>
      <w:r w:rsidRPr="0049263A">
        <w:rPr>
          <w:rFonts w:ascii="Book Antiqua" w:hAnsi="Book Antiqua" w:cs="宋体" w:hint="eastAsia"/>
          <w:sz w:val="24"/>
          <w:szCs w:val="24"/>
          <w:lang w:val="en-US" w:eastAsia="zh-CN"/>
        </w:rPr>
        <w:t xml:space="preserve"> </w:t>
      </w:r>
      <w:proofErr w:type="spellStart"/>
      <w:r w:rsidRPr="0049263A">
        <w:rPr>
          <w:rFonts w:ascii="Book Antiqua" w:hAnsi="Book Antiqua" w:cs="宋体"/>
          <w:i/>
          <w:iCs/>
          <w:sz w:val="24"/>
          <w:szCs w:val="24"/>
          <w:lang w:val="en-US" w:eastAsia="zh-CN"/>
        </w:rPr>
        <w:t>Int</w:t>
      </w:r>
      <w:proofErr w:type="spellEnd"/>
      <w:r w:rsidRPr="0049263A">
        <w:rPr>
          <w:rFonts w:ascii="Book Antiqua" w:hAnsi="Book Antiqua" w:cs="宋体"/>
          <w:i/>
          <w:iCs/>
          <w:sz w:val="24"/>
          <w:szCs w:val="24"/>
          <w:lang w:val="en-US" w:eastAsia="zh-CN"/>
        </w:rPr>
        <w:t xml:space="preserve"> J </w:t>
      </w:r>
      <w:proofErr w:type="spellStart"/>
      <w:r w:rsidRPr="0049263A">
        <w:rPr>
          <w:rFonts w:ascii="Book Antiqua" w:hAnsi="Book Antiqua" w:cs="宋体"/>
          <w:i/>
          <w:iCs/>
          <w:sz w:val="24"/>
          <w:szCs w:val="24"/>
          <w:lang w:val="en-US" w:eastAsia="zh-CN"/>
        </w:rPr>
        <w:t>Biol</w:t>
      </w:r>
      <w:proofErr w:type="spellEnd"/>
      <w:r w:rsidRPr="0049263A">
        <w:rPr>
          <w:rFonts w:ascii="Book Antiqua" w:hAnsi="Book Antiqua" w:cs="宋体"/>
          <w:i/>
          <w:iCs/>
          <w:sz w:val="24"/>
          <w:szCs w:val="24"/>
          <w:lang w:val="en-US" w:eastAsia="zh-CN"/>
        </w:rPr>
        <w:t xml:space="preserve"> Markers</w:t>
      </w:r>
      <w:r w:rsidRPr="0049263A">
        <w:rPr>
          <w:rFonts w:ascii="Book Antiqua" w:hAnsi="Book Antiqua" w:cs="宋体"/>
          <w:sz w:val="24"/>
          <w:szCs w:val="24"/>
          <w:lang w:val="en-US" w:eastAsia="zh-CN"/>
        </w:rPr>
        <w:t> </w:t>
      </w:r>
      <w:r w:rsidRPr="0049263A">
        <w:rPr>
          <w:rFonts w:ascii="Book Antiqua" w:hAnsi="Book Antiqua" w:cs="宋体" w:hint="eastAsia"/>
          <w:sz w:val="24"/>
          <w:szCs w:val="24"/>
          <w:lang w:val="en-US" w:eastAsia="zh-CN"/>
        </w:rPr>
        <w:t>2010</w:t>
      </w:r>
      <w:r w:rsidRPr="0049263A">
        <w:rPr>
          <w:rFonts w:ascii="Book Antiqua" w:hAnsi="Book Antiqua" w:cs="宋体"/>
          <w:sz w:val="24"/>
          <w:szCs w:val="24"/>
          <w:lang w:val="en-US" w:eastAsia="zh-CN"/>
        </w:rPr>
        <w:t>; </w:t>
      </w:r>
      <w:r w:rsidRPr="0049263A">
        <w:rPr>
          <w:rFonts w:ascii="Book Antiqua" w:hAnsi="Book Antiqua" w:cs="宋体"/>
          <w:b/>
          <w:bCs/>
          <w:sz w:val="24"/>
          <w:szCs w:val="24"/>
          <w:lang w:val="en-US" w:eastAsia="zh-CN"/>
        </w:rPr>
        <w:t>25</w:t>
      </w:r>
      <w:r w:rsidRPr="0049263A">
        <w:rPr>
          <w:rFonts w:ascii="Book Antiqua" w:hAnsi="Book Antiqua" w:cs="宋体"/>
          <w:sz w:val="24"/>
          <w:szCs w:val="24"/>
          <w:lang w:val="en-US" w:eastAsia="zh-CN"/>
        </w:rPr>
        <w:t>: 171-176 [PMID: 20878623]</w:t>
      </w:r>
    </w:p>
    <w:p w14:paraId="6FAD0AB3"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r w:rsidRPr="0049263A">
        <w:rPr>
          <w:rFonts w:ascii="Book Antiqua" w:hAnsi="Book Antiqua" w:cs="宋体"/>
          <w:sz w:val="24"/>
          <w:szCs w:val="24"/>
          <w:lang w:val="en-US" w:eastAsia="zh-CN"/>
        </w:rPr>
        <w:t>19 </w:t>
      </w:r>
      <w:proofErr w:type="spellStart"/>
      <w:r w:rsidRPr="0049263A">
        <w:rPr>
          <w:rFonts w:ascii="Book Antiqua" w:hAnsi="Book Antiqua" w:cs="宋体"/>
          <w:b/>
          <w:bCs/>
          <w:sz w:val="24"/>
          <w:szCs w:val="24"/>
          <w:lang w:val="en-US" w:eastAsia="zh-CN"/>
        </w:rPr>
        <w:t>Roxburgh</w:t>
      </w:r>
      <w:proofErr w:type="spellEnd"/>
      <w:r w:rsidRPr="0049263A">
        <w:rPr>
          <w:rFonts w:ascii="Book Antiqua" w:hAnsi="Book Antiqua" w:cs="宋体"/>
          <w:b/>
          <w:bCs/>
          <w:sz w:val="24"/>
          <w:szCs w:val="24"/>
          <w:lang w:val="en-US" w:eastAsia="zh-CN"/>
        </w:rPr>
        <w:t xml:space="preserve"> CS</w:t>
      </w:r>
      <w:r w:rsidRPr="0049263A">
        <w:rPr>
          <w:rFonts w:ascii="Book Antiqua" w:hAnsi="Book Antiqua" w:cs="宋体"/>
          <w:sz w:val="24"/>
          <w:szCs w:val="24"/>
          <w:lang w:val="en-US" w:eastAsia="zh-CN"/>
        </w:rPr>
        <w:t xml:space="preserve">, Crozier JE, Maxwell F, </w:t>
      </w:r>
      <w:proofErr w:type="spellStart"/>
      <w:r w:rsidRPr="0049263A">
        <w:rPr>
          <w:rFonts w:ascii="Book Antiqua" w:hAnsi="Book Antiqua" w:cs="宋体"/>
          <w:sz w:val="24"/>
          <w:szCs w:val="24"/>
          <w:lang w:val="en-US" w:eastAsia="zh-CN"/>
        </w:rPr>
        <w:t>Foulis</w:t>
      </w:r>
      <w:proofErr w:type="spellEnd"/>
      <w:r w:rsidRPr="0049263A">
        <w:rPr>
          <w:rFonts w:ascii="Book Antiqua" w:hAnsi="Book Antiqua" w:cs="宋体"/>
          <w:sz w:val="24"/>
          <w:szCs w:val="24"/>
          <w:lang w:val="en-US" w:eastAsia="zh-CN"/>
        </w:rPr>
        <w:t xml:space="preserve"> AK, Brown J, McKee RF, Anderson JH, Horgan PG, McMillan DC. </w:t>
      </w:r>
      <w:proofErr w:type="gramStart"/>
      <w:r w:rsidRPr="0049263A">
        <w:rPr>
          <w:rFonts w:ascii="Book Antiqua" w:hAnsi="Book Antiqua" w:cs="宋体"/>
          <w:sz w:val="24"/>
          <w:szCs w:val="24"/>
          <w:lang w:val="en-US" w:eastAsia="zh-CN"/>
        </w:rPr>
        <w:t xml:space="preserve">Comparison of </w:t>
      </w:r>
      <w:proofErr w:type="spellStart"/>
      <w:r w:rsidRPr="0049263A">
        <w:rPr>
          <w:rFonts w:ascii="Book Antiqua" w:hAnsi="Book Antiqua" w:cs="宋体"/>
          <w:sz w:val="24"/>
          <w:szCs w:val="24"/>
          <w:lang w:val="en-US" w:eastAsia="zh-CN"/>
        </w:rPr>
        <w:t>tumour</w:t>
      </w:r>
      <w:proofErr w:type="spellEnd"/>
      <w:r w:rsidRPr="0049263A">
        <w:rPr>
          <w:rFonts w:ascii="Book Antiqua" w:hAnsi="Book Antiqua" w:cs="宋体"/>
          <w:sz w:val="24"/>
          <w:szCs w:val="24"/>
          <w:lang w:val="en-US" w:eastAsia="zh-CN"/>
        </w:rPr>
        <w:t>-based (Petersen Index) and inflammation-based (Glasgow Prognostic Score) scoring systems in patients undergoing curative resection for colon cancer.</w:t>
      </w:r>
      <w:proofErr w:type="gramEnd"/>
      <w:r w:rsidRPr="0049263A">
        <w:rPr>
          <w:rFonts w:ascii="Book Antiqua" w:hAnsi="Book Antiqua" w:cs="宋体"/>
          <w:sz w:val="24"/>
          <w:szCs w:val="24"/>
          <w:lang w:val="en-US" w:eastAsia="zh-CN"/>
        </w:rPr>
        <w:t> </w:t>
      </w:r>
      <w:r w:rsidRPr="0049263A">
        <w:rPr>
          <w:rFonts w:ascii="Book Antiqua" w:hAnsi="Book Antiqua" w:cs="宋体"/>
          <w:i/>
          <w:iCs/>
          <w:sz w:val="24"/>
          <w:szCs w:val="24"/>
          <w:lang w:val="en-US" w:eastAsia="zh-CN"/>
        </w:rPr>
        <w:t>Br J Cancer</w:t>
      </w:r>
      <w:r w:rsidRPr="0049263A">
        <w:rPr>
          <w:rFonts w:ascii="Book Antiqua" w:hAnsi="Book Antiqua" w:cs="宋体"/>
          <w:sz w:val="24"/>
          <w:szCs w:val="24"/>
          <w:lang w:val="en-US" w:eastAsia="zh-CN"/>
        </w:rPr>
        <w:t> 2009; </w:t>
      </w:r>
      <w:r w:rsidRPr="0049263A">
        <w:rPr>
          <w:rFonts w:ascii="Book Antiqua" w:hAnsi="Book Antiqua" w:cs="宋体"/>
          <w:b/>
          <w:bCs/>
          <w:sz w:val="24"/>
          <w:szCs w:val="24"/>
          <w:lang w:val="en-US" w:eastAsia="zh-CN"/>
        </w:rPr>
        <w:t>100</w:t>
      </w:r>
      <w:r w:rsidRPr="0049263A">
        <w:rPr>
          <w:rFonts w:ascii="Book Antiqua" w:hAnsi="Book Antiqua" w:cs="宋体"/>
          <w:sz w:val="24"/>
          <w:szCs w:val="24"/>
          <w:lang w:val="en-US" w:eastAsia="zh-CN"/>
        </w:rPr>
        <w:t>: 701-706 [PMID: 19209171 DOI: 10.1038/sj.bjc.6604926]</w:t>
      </w:r>
    </w:p>
    <w:p w14:paraId="5C805742"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r w:rsidRPr="0049263A">
        <w:rPr>
          <w:rFonts w:ascii="Book Antiqua" w:hAnsi="Book Antiqua" w:cs="宋体"/>
          <w:sz w:val="24"/>
          <w:szCs w:val="24"/>
          <w:lang w:val="en-US" w:eastAsia="zh-CN"/>
        </w:rPr>
        <w:t>20 </w:t>
      </w:r>
      <w:proofErr w:type="spellStart"/>
      <w:r w:rsidRPr="0049263A">
        <w:rPr>
          <w:rFonts w:ascii="Book Antiqua" w:hAnsi="Book Antiqua" w:cs="宋体"/>
          <w:b/>
          <w:bCs/>
          <w:sz w:val="24"/>
          <w:szCs w:val="24"/>
          <w:lang w:val="en-US" w:eastAsia="zh-CN"/>
        </w:rPr>
        <w:t>Perisanidis</w:t>
      </w:r>
      <w:proofErr w:type="spellEnd"/>
      <w:r w:rsidRPr="0049263A">
        <w:rPr>
          <w:rFonts w:ascii="Book Antiqua" w:hAnsi="Book Antiqua" w:cs="宋体"/>
          <w:b/>
          <w:bCs/>
          <w:sz w:val="24"/>
          <w:szCs w:val="24"/>
          <w:lang w:val="en-US" w:eastAsia="zh-CN"/>
        </w:rPr>
        <w:t xml:space="preserve"> C</w:t>
      </w:r>
      <w:r w:rsidRPr="0049263A">
        <w:rPr>
          <w:rFonts w:ascii="Book Antiqua" w:hAnsi="Book Antiqua" w:cs="宋体"/>
          <w:sz w:val="24"/>
          <w:szCs w:val="24"/>
          <w:lang w:val="en-US" w:eastAsia="zh-CN"/>
        </w:rPr>
        <w:t xml:space="preserve">, </w:t>
      </w:r>
      <w:proofErr w:type="spellStart"/>
      <w:r w:rsidRPr="0049263A">
        <w:rPr>
          <w:rFonts w:ascii="Book Antiqua" w:hAnsi="Book Antiqua" w:cs="宋体"/>
          <w:sz w:val="24"/>
          <w:szCs w:val="24"/>
          <w:lang w:val="en-US" w:eastAsia="zh-CN"/>
        </w:rPr>
        <w:t>Psyrri</w:t>
      </w:r>
      <w:proofErr w:type="spellEnd"/>
      <w:r w:rsidRPr="0049263A">
        <w:rPr>
          <w:rFonts w:ascii="Book Antiqua" w:hAnsi="Book Antiqua" w:cs="宋体"/>
          <w:sz w:val="24"/>
          <w:szCs w:val="24"/>
          <w:lang w:val="en-US" w:eastAsia="zh-CN"/>
        </w:rPr>
        <w:t xml:space="preserve"> A, Cohen EE, Engelmann J, </w:t>
      </w:r>
      <w:proofErr w:type="spellStart"/>
      <w:r w:rsidRPr="0049263A">
        <w:rPr>
          <w:rFonts w:ascii="Book Antiqua" w:hAnsi="Book Antiqua" w:cs="宋体"/>
          <w:sz w:val="24"/>
          <w:szCs w:val="24"/>
          <w:lang w:val="en-US" w:eastAsia="zh-CN"/>
        </w:rPr>
        <w:t>Heinze</w:t>
      </w:r>
      <w:proofErr w:type="spellEnd"/>
      <w:r w:rsidRPr="0049263A">
        <w:rPr>
          <w:rFonts w:ascii="Book Antiqua" w:hAnsi="Book Antiqua" w:cs="宋体"/>
          <w:sz w:val="24"/>
          <w:szCs w:val="24"/>
          <w:lang w:val="en-US" w:eastAsia="zh-CN"/>
        </w:rPr>
        <w:t xml:space="preserve"> G, </w:t>
      </w:r>
      <w:proofErr w:type="spellStart"/>
      <w:r w:rsidRPr="0049263A">
        <w:rPr>
          <w:rFonts w:ascii="Book Antiqua" w:hAnsi="Book Antiqua" w:cs="宋体"/>
          <w:sz w:val="24"/>
          <w:szCs w:val="24"/>
          <w:lang w:val="en-US" w:eastAsia="zh-CN"/>
        </w:rPr>
        <w:t>Perisanidis</w:t>
      </w:r>
      <w:proofErr w:type="spellEnd"/>
      <w:r w:rsidRPr="0049263A">
        <w:rPr>
          <w:rFonts w:ascii="Book Antiqua" w:hAnsi="Book Antiqua" w:cs="宋体"/>
          <w:sz w:val="24"/>
          <w:szCs w:val="24"/>
          <w:lang w:val="en-US" w:eastAsia="zh-CN"/>
        </w:rPr>
        <w:t xml:space="preserve"> B, </w:t>
      </w:r>
      <w:proofErr w:type="spellStart"/>
      <w:r w:rsidRPr="0049263A">
        <w:rPr>
          <w:rFonts w:ascii="Book Antiqua" w:hAnsi="Book Antiqua" w:cs="宋体"/>
          <w:sz w:val="24"/>
          <w:szCs w:val="24"/>
          <w:lang w:val="en-US" w:eastAsia="zh-CN"/>
        </w:rPr>
        <w:t>Stift</w:t>
      </w:r>
      <w:proofErr w:type="spellEnd"/>
      <w:r w:rsidRPr="0049263A">
        <w:rPr>
          <w:rFonts w:ascii="Book Antiqua" w:hAnsi="Book Antiqua" w:cs="宋体"/>
          <w:sz w:val="24"/>
          <w:szCs w:val="24"/>
          <w:lang w:val="en-US" w:eastAsia="zh-CN"/>
        </w:rPr>
        <w:t xml:space="preserve"> A, </w:t>
      </w:r>
      <w:proofErr w:type="spellStart"/>
      <w:r w:rsidRPr="0049263A">
        <w:rPr>
          <w:rFonts w:ascii="Book Antiqua" w:hAnsi="Book Antiqua" w:cs="宋体"/>
          <w:sz w:val="24"/>
          <w:szCs w:val="24"/>
          <w:lang w:val="en-US" w:eastAsia="zh-CN"/>
        </w:rPr>
        <w:t>Filipits</w:t>
      </w:r>
      <w:proofErr w:type="spellEnd"/>
      <w:r w:rsidRPr="0049263A">
        <w:rPr>
          <w:rFonts w:ascii="Book Antiqua" w:hAnsi="Book Antiqua" w:cs="宋体"/>
          <w:sz w:val="24"/>
          <w:szCs w:val="24"/>
          <w:lang w:val="en-US" w:eastAsia="zh-CN"/>
        </w:rPr>
        <w:t xml:space="preserve"> M, </w:t>
      </w:r>
      <w:proofErr w:type="spellStart"/>
      <w:r w:rsidRPr="0049263A">
        <w:rPr>
          <w:rFonts w:ascii="Book Antiqua" w:hAnsi="Book Antiqua" w:cs="宋体"/>
          <w:sz w:val="24"/>
          <w:szCs w:val="24"/>
          <w:lang w:val="en-US" w:eastAsia="zh-CN"/>
        </w:rPr>
        <w:t>Kornek</w:t>
      </w:r>
      <w:proofErr w:type="spellEnd"/>
      <w:r w:rsidRPr="0049263A">
        <w:rPr>
          <w:rFonts w:ascii="Book Antiqua" w:hAnsi="Book Antiqua" w:cs="宋体"/>
          <w:sz w:val="24"/>
          <w:szCs w:val="24"/>
          <w:lang w:val="en-US" w:eastAsia="zh-CN"/>
        </w:rPr>
        <w:t xml:space="preserve"> G, </w:t>
      </w:r>
      <w:proofErr w:type="spellStart"/>
      <w:r w:rsidRPr="0049263A">
        <w:rPr>
          <w:rFonts w:ascii="Book Antiqua" w:hAnsi="Book Antiqua" w:cs="宋体"/>
          <w:sz w:val="24"/>
          <w:szCs w:val="24"/>
          <w:lang w:val="en-US" w:eastAsia="zh-CN"/>
        </w:rPr>
        <w:t>Nkenke</w:t>
      </w:r>
      <w:proofErr w:type="spellEnd"/>
      <w:r w:rsidRPr="0049263A">
        <w:rPr>
          <w:rFonts w:ascii="Book Antiqua" w:hAnsi="Book Antiqua" w:cs="宋体"/>
          <w:sz w:val="24"/>
          <w:szCs w:val="24"/>
          <w:lang w:val="en-US" w:eastAsia="zh-CN"/>
        </w:rPr>
        <w:t xml:space="preserve"> E. Prognostic role of pretreatment plasma fibrinogen in patients with solid tumors: A systematic review and meta-analysis. </w:t>
      </w:r>
      <w:r w:rsidRPr="0049263A">
        <w:rPr>
          <w:rFonts w:ascii="Book Antiqua" w:hAnsi="Book Antiqua" w:cs="宋体"/>
          <w:i/>
          <w:iCs/>
          <w:sz w:val="24"/>
          <w:szCs w:val="24"/>
          <w:lang w:val="en-US" w:eastAsia="zh-CN"/>
        </w:rPr>
        <w:t>Cancer Treat Rev</w:t>
      </w:r>
      <w:r w:rsidRPr="0049263A">
        <w:rPr>
          <w:rFonts w:ascii="Book Antiqua" w:hAnsi="Book Antiqua" w:cs="宋体"/>
          <w:sz w:val="24"/>
          <w:szCs w:val="24"/>
          <w:lang w:val="en-US" w:eastAsia="zh-CN"/>
        </w:rPr>
        <w:t> 2015; </w:t>
      </w:r>
      <w:r w:rsidRPr="0049263A">
        <w:rPr>
          <w:rFonts w:ascii="Book Antiqua" w:hAnsi="Book Antiqua" w:cs="宋体"/>
          <w:b/>
          <w:bCs/>
          <w:sz w:val="24"/>
          <w:szCs w:val="24"/>
          <w:lang w:val="en-US" w:eastAsia="zh-CN"/>
        </w:rPr>
        <w:t>41</w:t>
      </w:r>
      <w:r w:rsidRPr="0049263A">
        <w:rPr>
          <w:rFonts w:ascii="Book Antiqua" w:hAnsi="Book Antiqua" w:cs="宋体"/>
          <w:sz w:val="24"/>
          <w:szCs w:val="24"/>
          <w:lang w:val="en-US" w:eastAsia="zh-CN"/>
        </w:rPr>
        <w:t>: 960-970 [PMID: 26604093 DOI: 10.1016/j.ctrv.2015.10.002]</w:t>
      </w:r>
    </w:p>
    <w:p w14:paraId="42A05DE9"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r w:rsidRPr="0049263A">
        <w:rPr>
          <w:rFonts w:ascii="Book Antiqua" w:hAnsi="Book Antiqua" w:cs="宋体"/>
          <w:sz w:val="24"/>
          <w:szCs w:val="24"/>
          <w:lang w:val="en-US" w:eastAsia="zh-CN"/>
        </w:rPr>
        <w:lastRenderedPageBreak/>
        <w:t>21 </w:t>
      </w:r>
      <w:r w:rsidRPr="0049263A">
        <w:rPr>
          <w:rFonts w:ascii="Book Antiqua" w:hAnsi="Book Antiqua" w:cs="宋体"/>
          <w:b/>
          <w:bCs/>
          <w:sz w:val="24"/>
          <w:szCs w:val="24"/>
          <w:lang w:val="en-US" w:eastAsia="zh-CN"/>
        </w:rPr>
        <w:t>Kamath S</w:t>
      </w:r>
      <w:r w:rsidRPr="0049263A">
        <w:rPr>
          <w:rFonts w:ascii="Book Antiqua" w:hAnsi="Book Antiqua" w:cs="宋体"/>
          <w:sz w:val="24"/>
          <w:szCs w:val="24"/>
          <w:lang w:val="en-US" w:eastAsia="zh-CN"/>
        </w:rPr>
        <w:t>, Lip GY. Fibrinogen: biochemistry, epidemiology and determinants. </w:t>
      </w:r>
      <w:r w:rsidRPr="0049263A">
        <w:rPr>
          <w:rFonts w:ascii="Book Antiqua" w:hAnsi="Book Antiqua" w:cs="宋体"/>
          <w:i/>
          <w:iCs/>
          <w:sz w:val="24"/>
          <w:szCs w:val="24"/>
          <w:lang w:val="en-US" w:eastAsia="zh-CN"/>
        </w:rPr>
        <w:t>QJM</w:t>
      </w:r>
      <w:r w:rsidRPr="0049263A">
        <w:rPr>
          <w:rFonts w:ascii="Book Antiqua" w:hAnsi="Book Antiqua" w:cs="宋体"/>
          <w:sz w:val="24"/>
          <w:szCs w:val="24"/>
          <w:lang w:val="en-US" w:eastAsia="zh-CN"/>
        </w:rPr>
        <w:t> 2003; </w:t>
      </w:r>
      <w:r w:rsidRPr="0049263A">
        <w:rPr>
          <w:rFonts w:ascii="Book Antiqua" w:hAnsi="Book Antiqua" w:cs="宋体"/>
          <w:b/>
          <w:bCs/>
          <w:sz w:val="24"/>
          <w:szCs w:val="24"/>
          <w:lang w:val="en-US" w:eastAsia="zh-CN"/>
        </w:rPr>
        <w:t>96</w:t>
      </w:r>
      <w:r w:rsidRPr="0049263A">
        <w:rPr>
          <w:rFonts w:ascii="Book Antiqua" w:hAnsi="Book Antiqua" w:cs="宋体"/>
          <w:sz w:val="24"/>
          <w:szCs w:val="24"/>
          <w:lang w:val="en-US" w:eastAsia="zh-CN"/>
        </w:rPr>
        <w:t>: 711-729 [PMID: 14500858 DOI: 10.1093/</w:t>
      </w:r>
      <w:proofErr w:type="spellStart"/>
      <w:r w:rsidRPr="0049263A">
        <w:rPr>
          <w:rFonts w:ascii="Book Antiqua" w:hAnsi="Book Antiqua" w:cs="宋体"/>
          <w:sz w:val="24"/>
          <w:szCs w:val="24"/>
          <w:lang w:val="en-US" w:eastAsia="zh-CN"/>
        </w:rPr>
        <w:t>qjmed</w:t>
      </w:r>
      <w:proofErr w:type="spellEnd"/>
      <w:r w:rsidRPr="0049263A">
        <w:rPr>
          <w:rFonts w:ascii="Book Antiqua" w:hAnsi="Book Antiqua" w:cs="宋体"/>
          <w:sz w:val="24"/>
          <w:szCs w:val="24"/>
          <w:lang w:val="en-US" w:eastAsia="zh-CN"/>
        </w:rPr>
        <w:t>/hcg129]</w:t>
      </w:r>
    </w:p>
    <w:p w14:paraId="1D3F92CE"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proofErr w:type="gramStart"/>
      <w:r w:rsidRPr="0049263A">
        <w:rPr>
          <w:rFonts w:ascii="Book Antiqua" w:hAnsi="Book Antiqua" w:cs="宋体"/>
          <w:sz w:val="24"/>
          <w:szCs w:val="24"/>
          <w:lang w:val="en-US" w:eastAsia="zh-CN"/>
        </w:rPr>
        <w:t>22 </w:t>
      </w:r>
      <w:proofErr w:type="spellStart"/>
      <w:r w:rsidRPr="0049263A">
        <w:rPr>
          <w:rFonts w:ascii="Book Antiqua" w:hAnsi="Book Antiqua" w:cs="宋体"/>
          <w:b/>
          <w:bCs/>
          <w:sz w:val="24"/>
          <w:szCs w:val="24"/>
          <w:lang w:val="en-US" w:eastAsia="zh-CN"/>
        </w:rPr>
        <w:t>Davalos</w:t>
      </w:r>
      <w:proofErr w:type="spellEnd"/>
      <w:r w:rsidRPr="0049263A">
        <w:rPr>
          <w:rFonts w:ascii="Book Antiqua" w:hAnsi="Book Antiqua" w:cs="宋体"/>
          <w:b/>
          <w:bCs/>
          <w:sz w:val="24"/>
          <w:szCs w:val="24"/>
          <w:lang w:val="en-US" w:eastAsia="zh-CN"/>
        </w:rPr>
        <w:t xml:space="preserve"> D</w:t>
      </w:r>
      <w:r w:rsidRPr="0049263A">
        <w:rPr>
          <w:rFonts w:ascii="Book Antiqua" w:hAnsi="Book Antiqua" w:cs="宋体"/>
          <w:sz w:val="24"/>
          <w:szCs w:val="24"/>
          <w:lang w:val="en-US" w:eastAsia="zh-CN"/>
        </w:rPr>
        <w:t xml:space="preserve">, </w:t>
      </w:r>
      <w:proofErr w:type="spellStart"/>
      <w:r w:rsidRPr="0049263A">
        <w:rPr>
          <w:rFonts w:ascii="Book Antiqua" w:hAnsi="Book Antiqua" w:cs="宋体"/>
          <w:sz w:val="24"/>
          <w:szCs w:val="24"/>
          <w:lang w:val="en-US" w:eastAsia="zh-CN"/>
        </w:rPr>
        <w:t>Akassoglou</w:t>
      </w:r>
      <w:proofErr w:type="spellEnd"/>
      <w:r w:rsidRPr="0049263A">
        <w:rPr>
          <w:rFonts w:ascii="Book Antiqua" w:hAnsi="Book Antiqua" w:cs="宋体"/>
          <w:sz w:val="24"/>
          <w:szCs w:val="24"/>
          <w:lang w:val="en-US" w:eastAsia="zh-CN"/>
        </w:rPr>
        <w:t xml:space="preserve"> K. Fibrinogen as a key regulator of inflammation in disease.</w:t>
      </w:r>
      <w:proofErr w:type="gramEnd"/>
      <w:r w:rsidRPr="0049263A">
        <w:rPr>
          <w:rFonts w:ascii="Book Antiqua" w:hAnsi="Book Antiqua" w:cs="宋体"/>
          <w:sz w:val="24"/>
          <w:szCs w:val="24"/>
          <w:lang w:val="en-US" w:eastAsia="zh-CN"/>
        </w:rPr>
        <w:t> </w:t>
      </w:r>
      <w:proofErr w:type="spellStart"/>
      <w:r w:rsidRPr="0049263A">
        <w:rPr>
          <w:rFonts w:ascii="Book Antiqua" w:hAnsi="Book Antiqua" w:cs="宋体"/>
          <w:i/>
          <w:iCs/>
          <w:sz w:val="24"/>
          <w:szCs w:val="24"/>
          <w:lang w:val="en-US" w:eastAsia="zh-CN"/>
        </w:rPr>
        <w:t>Semin</w:t>
      </w:r>
      <w:proofErr w:type="spellEnd"/>
      <w:r w:rsidRPr="0049263A">
        <w:rPr>
          <w:rFonts w:ascii="Book Antiqua" w:hAnsi="Book Antiqua" w:cs="宋体"/>
          <w:i/>
          <w:iCs/>
          <w:sz w:val="24"/>
          <w:szCs w:val="24"/>
          <w:lang w:val="en-US" w:eastAsia="zh-CN"/>
        </w:rPr>
        <w:t xml:space="preserve"> </w:t>
      </w:r>
      <w:proofErr w:type="spellStart"/>
      <w:r w:rsidRPr="0049263A">
        <w:rPr>
          <w:rFonts w:ascii="Book Antiqua" w:hAnsi="Book Antiqua" w:cs="宋体"/>
          <w:i/>
          <w:iCs/>
          <w:sz w:val="24"/>
          <w:szCs w:val="24"/>
          <w:lang w:val="en-US" w:eastAsia="zh-CN"/>
        </w:rPr>
        <w:t>Immunopathol</w:t>
      </w:r>
      <w:proofErr w:type="spellEnd"/>
      <w:r w:rsidRPr="0049263A">
        <w:rPr>
          <w:rFonts w:ascii="Book Antiqua" w:hAnsi="Book Antiqua" w:cs="宋体"/>
          <w:sz w:val="24"/>
          <w:szCs w:val="24"/>
          <w:lang w:val="en-US" w:eastAsia="zh-CN"/>
        </w:rPr>
        <w:t> 2012; </w:t>
      </w:r>
      <w:r w:rsidRPr="0049263A">
        <w:rPr>
          <w:rFonts w:ascii="Book Antiqua" w:hAnsi="Book Antiqua" w:cs="宋体"/>
          <w:b/>
          <w:bCs/>
          <w:sz w:val="24"/>
          <w:szCs w:val="24"/>
          <w:lang w:val="en-US" w:eastAsia="zh-CN"/>
        </w:rPr>
        <w:t>34</w:t>
      </w:r>
      <w:r w:rsidRPr="0049263A">
        <w:rPr>
          <w:rFonts w:ascii="Book Antiqua" w:hAnsi="Book Antiqua" w:cs="宋体"/>
          <w:sz w:val="24"/>
          <w:szCs w:val="24"/>
          <w:lang w:val="en-US" w:eastAsia="zh-CN"/>
        </w:rPr>
        <w:t>: 43-62 [PMID: 22037947 DOI: 10.1007/s00281-011-0290-8]</w:t>
      </w:r>
    </w:p>
    <w:p w14:paraId="2AEFB68A"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r w:rsidRPr="0049263A">
        <w:rPr>
          <w:rFonts w:ascii="Book Antiqua" w:hAnsi="Book Antiqua" w:cs="宋体"/>
          <w:sz w:val="24"/>
          <w:szCs w:val="24"/>
          <w:lang w:val="en-US" w:eastAsia="zh-CN"/>
        </w:rPr>
        <w:t>23 </w:t>
      </w:r>
      <w:r w:rsidRPr="0049263A">
        <w:rPr>
          <w:rFonts w:ascii="Book Antiqua" w:hAnsi="Book Antiqua" w:cs="宋体"/>
          <w:b/>
          <w:bCs/>
          <w:sz w:val="24"/>
          <w:szCs w:val="24"/>
          <w:lang w:val="en-US" w:eastAsia="zh-CN"/>
        </w:rPr>
        <w:t>Tang L</w:t>
      </w:r>
      <w:r w:rsidRPr="0049263A">
        <w:rPr>
          <w:rFonts w:ascii="Book Antiqua" w:hAnsi="Book Antiqua" w:cs="宋体"/>
          <w:sz w:val="24"/>
          <w:szCs w:val="24"/>
          <w:lang w:val="en-US" w:eastAsia="zh-CN"/>
        </w:rPr>
        <w:t>, Liu K, Wang J, Wang C, Zhao P, Liu J. High preoperative plasma fibrinogen levels are associated with distant metastases and impaired prognosis after curative resection in patients with colorectal cancer. </w:t>
      </w:r>
      <w:r w:rsidRPr="0049263A">
        <w:rPr>
          <w:rFonts w:ascii="Book Antiqua" w:hAnsi="Book Antiqua" w:cs="宋体"/>
          <w:i/>
          <w:iCs/>
          <w:sz w:val="24"/>
          <w:szCs w:val="24"/>
          <w:lang w:val="en-US" w:eastAsia="zh-CN"/>
        </w:rPr>
        <w:t xml:space="preserve">J </w:t>
      </w:r>
      <w:proofErr w:type="spellStart"/>
      <w:r w:rsidRPr="0049263A">
        <w:rPr>
          <w:rFonts w:ascii="Book Antiqua" w:hAnsi="Book Antiqua" w:cs="宋体"/>
          <w:i/>
          <w:iCs/>
          <w:sz w:val="24"/>
          <w:szCs w:val="24"/>
          <w:lang w:val="en-US" w:eastAsia="zh-CN"/>
        </w:rPr>
        <w:t>Surg</w:t>
      </w:r>
      <w:proofErr w:type="spellEnd"/>
      <w:r w:rsidRPr="0049263A">
        <w:rPr>
          <w:rFonts w:ascii="Book Antiqua" w:hAnsi="Book Antiqua" w:cs="宋体"/>
          <w:i/>
          <w:iCs/>
          <w:sz w:val="24"/>
          <w:szCs w:val="24"/>
          <w:lang w:val="en-US" w:eastAsia="zh-CN"/>
        </w:rPr>
        <w:t xml:space="preserve"> </w:t>
      </w:r>
      <w:proofErr w:type="spellStart"/>
      <w:r w:rsidRPr="0049263A">
        <w:rPr>
          <w:rFonts w:ascii="Book Antiqua" w:hAnsi="Book Antiqua" w:cs="宋体"/>
          <w:i/>
          <w:iCs/>
          <w:sz w:val="24"/>
          <w:szCs w:val="24"/>
          <w:lang w:val="en-US" w:eastAsia="zh-CN"/>
        </w:rPr>
        <w:t>Oncol</w:t>
      </w:r>
      <w:proofErr w:type="spellEnd"/>
      <w:r w:rsidRPr="0049263A">
        <w:rPr>
          <w:rFonts w:ascii="Book Antiqua" w:hAnsi="Book Antiqua" w:cs="宋体"/>
          <w:sz w:val="24"/>
          <w:szCs w:val="24"/>
          <w:lang w:val="en-US" w:eastAsia="zh-CN"/>
        </w:rPr>
        <w:t> 2010; </w:t>
      </w:r>
      <w:r w:rsidRPr="0049263A">
        <w:rPr>
          <w:rFonts w:ascii="Book Antiqua" w:hAnsi="Book Antiqua" w:cs="宋体"/>
          <w:b/>
          <w:bCs/>
          <w:sz w:val="24"/>
          <w:szCs w:val="24"/>
          <w:lang w:val="en-US" w:eastAsia="zh-CN"/>
        </w:rPr>
        <w:t>102</w:t>
      </w:r>
      <w:r w:rsidRPr="0049263A">
        <w:rPr>
          <w:rFonts w:ascii="Book Antiqua" w:hAnsi="Book Antiqua" w:cs="宋体"/>
          <w:sz w:val="24"/>
          <w:szCs w:val="24"/>
          <w:lang w:val="en-US" w:eastAsia="zh-CN"/>
        </w:rPr>
        <w:t>: 428-432 [PMID: 20672316 DOI: 10.1002/jso.21668]</w:t>
      </w:r>
    </w:p>
    <w:p w14:paraId="493A8D78"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r w:rsidRPr="0049263A">
        <w:rPr>
          <w:rFonts w:ascii="Book Antiqua" w:hAnsi="Book Antiqua" w:cs="宋体"/>
          <w:sz w:val="24"/>
          <w:szCs w:val="24"/>
          <w:lang w:val="en-US" w:eastAsia="zh-CN"/>
        </w:rPr>
        <w:t>24 </w:t>
      </w:r>
      <w:r w:rsidRPr="0049263A">
        <w:rPr>
          <w:rFonts w:ascii="Book Antiqua" w:hAnsi="Book Antiqua" w:cs="宋体"/>
          <w:b/>
          <w:bCs/>
          <w:sz w:val="24"/>
          <w:szCs w:val="24"/>
          <w:lang w:val="en-US" w:eastAsia="zh-CN"/>
        </w:rPr>
        <w:t>Yamashita H</w:t>
      </w:r>
      <w:r w:rsidRPr="0049263A">
        <w:rPr>
          <w:rFonts w:ascii="Book Antiqua" w:hAnsi="Book Antiqua" w:cs="宋体"/>
          <w:sz w:val="24"/>
          <w:szCs w:val="24"/>
          <w:lang w:val="en-US" w:eastAsia="zh-CN"/>
        </w:rPr>
        <w:t xml:space="preserve">, </w:t>
      </w:r>
      <w:proofErr w:type="spellStart"/>
      <w:r w:rsidRPr="0049263A">
        <w:rPr>
          <w:rFonts w:ascii="Book Antiqua" w:hAnsi="Book Antiqua" w:cs="宋体"/>
          <w:sz w:val="24"/>
          <w:szCs w:val="24"/>
          <w:lang w:val="en-US" w:eastAsia="zh-CN"/>
        </w:rPr>
        <w:t>Kitayama</w:t>
      </w:r>
      <w:proofErr w:type="spellEnd"/>
      <w:r w:rsidRPr="0049263A">
        <w:rPr>
          <w:rFonts w:ascii="Book Antiqua" w:hAnsi="Book Antiqua" w:cs="宋体"/>
          <w:sz w:val="24"/>
          <w:szCs w:val="24"/>
          <w:lang w:val="en-US" w:eastAsia="zh-CN"/>
        </w:rPr>
        <w:t xml:space="preserve"> J, </w:t>
      </w:r>
      <w:proofErr w:type="spellStart"/>
      <w:r w:rsidRPr="0049263A">
        <w:rPr>
          <w:rFonts w:ascii="Book Antiqua" w:hAnsi="Book Antiqua" w:cs="宋体"/>
          <w:sz w:val="24"/>
          <w:szCs w:val="24"/>
          <w:lang w:val="en-US" w:eastAsia="zh-CN"/>
        </w:rPr>
        <w:t>Kanno</w:t>
      </w:r>
      <w:proofErr w:type="spellEnd"/>
      <w:r w:rsidRPr="0049263A">
        <w:rPr>
          <w:rFonts w:ascii="Book Antiqua" w:hAnsi="Book Antiqua" w:cs="宋体"/>
          <w:sz w:val="24"/>
          <w:szCs w:val="24"/>
          <w:lang w:val="en-US" w:eastAsia="zh-CN"/>
        </w:rPr>
        <w:t xml:space="preserve"> N, </w:t>
      </w:r>
      <w:proofErr w:type="spellStart"/>
      <w:r w:rsidRPr="0049263A">
        <w:rPr>
          <w:rFonts w:ascii="Book Antiqua" w:hAnsi="Book Antiqua" w:cs="宋体"/>
          <w:sz w:val="24"/>
          <w:szCs w:val="24"/>
          <w:lang w:val="en-US" w:eastAsia="zh-CN"/>
        </w:rPr>
        <w:t>Yatomi</w:t>
      </w:r>
      <w:proofErr w:type="spellEnd"/>
      <w:r w:rsidRPr="0049263A">
        <w:rPr>
          <w:rFonts w:ascii="Book Antiqua" w:hAnsi="Book Antiqua" w:cs="宋体"/>
          <w:sz w:val="24"/>
          <w:szCs w:val="24"/>
          <w:lang w:val="en-US" w:eastAsia="zh-CN"/>
        </w:rPr>
        <w:t xml:space="preserve"> Y, </w:t>
      </w:r>
      <w:proofErr w:type="spellStart"/>
      <w:r w:rsidRPr="0049263A">
        <w:rPr>
          <w:rFonts w:ascii="Book Antiqua" w:hAnsi="Book Antiqua" w:cs="宋体"/>
          <w:sz w:val="24"/>
          <w:szCs w:val="24"/>
          <w:lang w:val="en-US" w:eastAsia="zh-CN"/>
        </w:rPr>
        <w:t>Nagawa</w:t>
      </w:r>
      <w:proofErr w:type="spellEnd"/>
      <w:r w:rsidRPr="0049263A">
        <w:rPr>
          <w:rFonts w:ascii="Book Antiqua" w:hAnsi="Book Antiqua" w:cs="宋体"/>
          <w:sz w:val="24"/>
          <w:szCs w:val="24"/>
          <w:lang w:val="en-US" w:eastAsia="zh-CN"/>
        </w:rPr>
        <w:t xml:space="preserve"> H. Hyperfibrinogenemia is associated with lymphatic as well as </w:t>
      </w:r>
      <w:proofErr w:type="spellStart"/>
      <w:r w:rsidRPr="0049263A">
        <w:rPr>
          <w:rFonts w:ascii="Book Antiqua" w:hAnsi="Book Antiqua" w:cs="宋体"/>
          <w:sz w:val="24"/>
          <w:szCs w:val="24"/>
          <w:lang w:val="en-US" w:eastAsia="zh-CN"/>
        </w:rPr>
        <w:t>hematogenous</w:t>
      </w:r>
      <w:proofErr w:type="spellEnd"/>
      <w:r w:rsidRPr="0049263A">
        <w:rPr>
          <w:rFonts w:ascii="Book Antiqua" w:hAnsi="Book Antiqua" w:cs="宋体"/>
          <w:sz w:val="24"/>
          <w:szCs w:val="24"/>
          <w:lang w:val="en-US" w:eastAsia="zh-CN"/>
        </w:rPr>
        <w:t xml:space="preserve"> metastasis and worse clinical outcome in T2 gastric cancer. </w:t>
      </w:r>
      <w:r w:rsidRPr="0049263A">
        <w:rPr>
          <w:rFonts w:ascii="Book Antiqua" w:hAnsi="Book Antiqua" w:cs="宋体"/>
          <w:i/>
          <w:iCs/>
          <w:sz w:val="24"/>
          <w:szCs w:val="24"/>
          <w:lang w:val="en-US" w:eastAsia="zh-CN"/>
        </w:rPr>
        <w:t>BMC Cancer</w:t>
      </w:r>
      <w:r w:rsidRPr="0049263A">
        <w:rPr>
          <w:rFonts w:ascii="Book Antiqua" w:hAnsi="Book Antiqua" w:cs="宋体"/>
          <w:sz w:val="24"/>
          <w:szCs w:val="24"/>
          <w:lang w:val="en-US" w:eastAsia="zh-CN"/>
        </w:rPr>
        <w:t> 2006; </w:t>
      </w:r>
      <w:r w:rsidRPr="0049263A">
        <w:rPr>
          <w:rFonts w:ascii="Book Antiqua" w:hAnsi="Book Antiqua" w:cs="宋体"/>
          <w:b/>
          <w:bCs/>
          <w:sz w:val="24"/>
          <w:szCs w:val="24"/>
          <w:lang w:val="en-US" w:eastAsia="zh-CN"/>
        </w:rPr>
        <w:t>6</w:t>
      </w:r>
      <w:r w:rsidRPr="0049263A">
        <w:rPr>
          <w:rFonts w:ascii="Book Antiqua" w:hAnsi="Book Antiqua" w:cs="宋体"/>
          <w:sz w:val="24"/>
          <w:szCs w:val="24"/>
          <w:lang w:val="en-US" w:eastAsia="zh-CN"/>
        </w:rPr>
        <w:t>: 147 [PMID: 16740157 DOI: 10.1186/1471-2407-6-147]</w:t>
      </w:r>
    </w:p>
    <w:p w14:paraId="66521D6B"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r w:rsidRPr="0049263A">
        <w:rPr>
          <w:rFonts w:ascii="Book Antiqua" w:hAnsi="Book Antiqua" w:cs="宋体"/>
          <w:sz w:val="24"/>
          <w:szCs w:val="24"/>
          <w:lang w:val="en-US" w:eastAsia="zh-CN"/>
        </w:rPr>
        <w:t>25 </w:t>
      </w:r>
      <w:proofErr w:type="spellStart"/>
      <w:r w:rsidRPr="0049263A">
        <w:rPr>
          <w:rFonts w:ascii="Book Antiqua" w:hAnsi="Book Antiqua" w:cs="宋体"/>
          <w:b/>
          <w:bCs/>
          <w:sz w:val="24"/>
          <w:szCs w:val="24"/>
          <w:lang w:val="en-US" w:eastAsia="zh-CN"/>
        </w:rPr>
        <w:t>Guo</w:t>
      </w:r>
      <w:proofErr w:type="spellEnd"/>
      <w:r w:rsidRPr="0049263A">
        <w:rPr>
          <w:rFonts w:ascii="Book Antiqua" w:hAnsi="Book Antiqua" w:cs="宋体"/>
          <w:b/>
          <w:bCs/>
          <w:sz w:val="24"/>
          <w:szCs w:val="24"/>
          <w:lang w:val="en-US" w:eastAsia="zh-CN"/>
        </w:rPr>
        <w:t xml:space="preserve"> Q</w:t>
      </w:r>
      <w:r w:rsidRPr="0049263A">
        <w:rPr>
          <w:rFonts w:ascii="Book Antiqua" w:hAnsi="Book Antiqua" w:cs="宋体"/>
          <w:sz w:val="24"/>
          <w:szCs w:val="24"/>
          <w:lang w:val="en-US" w:eastAsia="zh-CN"/>
        </w:rPr>
        <w:t xml:space="preserve">, Zhang B, Dong X, </w:t>
      </w:r>
      <w:proofErr w:type="spellStart"/>
      <w:r w:rsidRPr="0049263A">
        <w:rPr>
          <w:rFonts w:ascii="Book Antiqua" w:hAnsi="Book Antiqua" w:cs="宋体"/>
          <w:sz w:val="24"/>
          <w:szCs w:val="24"/>
          <w:lang w:val="en-US" w:eastAsia="zh-CN"/>
        </w:rPr>
        <w:t>Xie</w:t>
      </w:r>
      <w:proofErr w:type="spellEnd"/>
      <w:r w:rsidRPr="0049263A">
        <w:rPr>
          <w:rFonts w:ascii="Book Antiqua" w:hAnsi="Book Antiqua" w:cs="宋体"/>
          <w:sz w:val="24"/>
          <w:szCs w:val="24"/>
          <w:lang w:val="en-US" w:eastAsia="zh-CN"/>
        </w:rPr>
        <w:t xml:space="preserve"> Q, </w:t>
      </w:r>
      <w:proofErr w:type="spellStart"/>
      <w:r w:rsidRPr="0049263A">
        <w:rPr>
          <w:rFonts w:ascii="Book Antiqua" w:hAnsi="Book Antiqua" w:cs="宋体"/>
          <w:sz w:val="24"/>
          <w:szCs w:val="24"/>
          <w:lang w:val="en-US" w:eastAsia="zh-CN"/>
        </w:rPr>
        <w:t>Guo</w:t>
      </w:r>
      <w:proofErr w:type="spellEnd"/>
      <w:r w:rsidRPr="0049263A">
        <w:rPr>
          <w:rFonts w:ascii="Book Antiqua" w:hAnsi="Book Antiqua" w:cs="宋体"/>
          <w:sz w:val="24"/>
          <w:szCs w:val="24"/>
          <w:lang w:val="en-US" w:eastAsia="zh-CN"/>
        </w:rPr>
        <w:t xml:space="preserve"> E, Huang H, Wu Y. Elevated levels of plasma fibrinogen in patients with pancreatic cancer: possible role of a distant metastasis predictor. </w:t>
      </w:r>
      <w:r w:rsidRPr="0049263A">
        <w:rPr>
          <w:rFonts w:ascii="Book Antiqua" w:hAnsi="Book Antiqua" w:cs="宋体"/>
          <w:i/>
          <w:iCs/>
          <w:sz w:val="24"/>
          <w:szCs w:val="24"/>
          <w:lang w:val="en-US" w:eastAsia="zh-CN"/>
        </w:rPr>
        <w:t>Pancreas</w:t>
      </w:r>
      <w:r w:rsidRPr="0049263A">
        <w:rPr>
          <w:rFonts w:ascii="Book Antiqua" w:hAnsi="Book Antiqua" w:cs="宋体"/>
          <w:sz w:val="24"/>
          <w:szCs w:val="24"/>
          <w:lang w:val="en-US" w:eastAsia="zh-CN"/>
        </w:rPr>
        <w:t> 2009; </w:t>
      </w:r>
      <w:r w:rsidRPr="0049263A">
        <w:rPr>
          <w:rFonts w:ascii="Book Antiqua" w:hAnsi="Book Antiqua" w:cs="宋体"/>
          <w:b/>
          <w:bCs/>
          <w:sz w:val="24"/>
          <w:szCs w:val="24"/>
          <w:lang w:val="en-US" w:eastAsia="zh-CN"/>
        </w:rPr>
        <w:t>38</w:t>
      </w:r>
      <w:r w:rsidRPr="0049263A">
        <w:rPr>
          <w:rFonts w:ascii="Book Antiqua" w:hAnsi="Book Antiqua" w:cs="宋体"/>
          <w:sz w:val="24"/>
          <w:szCs w:val="24"/>
          <w:lang w:val="en-US" w:eastAsia="zh-CN"/>
        </w:rPr>
        <w:t>: e75-e79 [PMID: 19276866 DOI: 10.1097/MPA.0b013e3181987d86]</w:t>
      </w:r>
    </w:p>
    <w:p w14:paraId="773F7021"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r w:rsidRPr="0049263A">
        <w:rPr>
          <w:rFonts w:ascii="Book Antiqua" w:hAnsi="Book Antiqua" w:cs="宋体"/>
          <w:sz w:val="24"/>
          <w:szCs w:val="24"/>
          <w:lang w:val="en-US" w:eastAsia="zh-CN"/>
        </w:rPr>
        <w:t>26 </w:t>
      </w:r>
      <w:r w:rsidRPr="0049263A">
        <w:rPr>
          <w:rFonts w:ascii="Book Antiqua" w:hAnsi="Book Antiqua" w:cs="宋体"/>
          <w:b/>
          <w:bCs/>
          <w:sz w:val="24"/>
          <w:szCs w:val="24"/>
          <w:lang w:val="en-US" w:eastAsia="zh-CN"/>
        </w:rPr>
        <w:t>Jones JM</w:t>
      </w:r>
      <w:r w:rsidRPr="0049263A">
        <w:rPr>
          <w:rFonts w:ascii="Book Antiqua" w:hAnsi="Book Antiqua" w:cs="宋体"/>
          <w:sz w:val="24"/>
          <w:szCs w:val="24"/>
          <w:lang w:val="en-US" w:eastAsia="zh-CN"/>
        </w:rPr>
        <w:t xml:space="preserve">, </w:t>
      </w:r>
      <w:proofErr w:type="spellStart"/>
      <w:r w:rsidRPr="0049263A">
        <w:rPr>
          <w:rFonts w:ascii="Book Antiqua" w:hAnsi="Book Antiqua" w:cs="宋体"/>
          <w:sz w:val="24"/>
          <w:szCs w:val="24"/>
          <w:lang w:val="en-US" w:eastAsia="zh-CN"/>
        </w:rPr>
        <w:t>McGonigle</w:t>
      </w:r>
      <w:proofErr w:type="spellEnd"/>
      <w:r w:rsidRPr="0049263A">
        <w:rPr>
          <w:rFonts w:ascii="Book Antiqua" w:hAnsi="Book Antiqua" w:cs="宋体"/>
          <w:sz w:val="24"/>
          <w:szCs w:val="24"/>
          <w:lang w:val="en-US" w:eastAsia="zh-CN"/>
        </w:rPr>
        <w:t xml:space="preserve"> NC, </w:t>
      </w:r>
      <w:proofErr w:type="spellStart"/>
      <w:r w:rsidRPr="0049263A">
        <w:rPr>
          <w:rFonts w:ascii="Book Antiqua" w:hAnsi="Book Antiqua" w:cs="宋体"/>
          <w:sz w:val="24"/>
          <w:szCs w:val="24"/>
          <w:lang w:val="en-US" w:eastAsia="zh-CN"/>
        </w:rPr>
        <w:t>McAnespie</w:t>
      </w:r>
      <w:proofErr w:type="spellEnd"/>
      <w:r w:rsidRPr="0049263A">
        <w:rPr>
          <w:rFonts w:ascii="Book Antiqua" w:hAnsi="Book Antiqua" w:cs="宋体"/>
          <w:sz w:val="24"/>
          <w:szCs w:val="24"/>
          <w:lang w:val="en-US" w:eastAsia="zh-CN"/>
        </w:rPr>
        <w:t xml:space="preserve"> M, </w:t>
      </w:r>
      <w:proofErr w:type="spellStart"/>
      <w:r w:rsidRPr="0049263A">
        <w:rPr>
          <w:rFonts w:ascii="Book Antiqua" w:hAnsi="Book Antiqua" w:cs="宋体"/>
          <w:sz w:val="24"/>
          <w:szCs w:val="24"/>
          <w:lang w:val="en-US" w:eastAsia="zh-CN"/>
        </w:rPr>
        <w:t>Cran</w:t>
      </w:r>
      <w:proofErr w:type="spellEnd"/>
      <w:r w:rsidRPr="0049263A">
        <w:rPr>
          <w:rFonts w:ascii="Book Antiqua" w:hAnsi="Book Antiqua" w:cs="宋体"/>
          <w:sz w:val="24"/>
          <w:szCs w:val="24"/>
          <w:lang w:val="en-US" w:eastAsia="zh-CN"/>
        </w:rPr>
        <w:t xml:space="preserve"> GW, Graham AN. Plasma fibrinogen and serum C-reactive protein are associated with non-small cell lung cancer. </w:t>
      </w:r>
      <w:r w:rsidRPr="0049263A">
        <w:rPr>
          <w:rFonts w:ascii="Book Antiqua" w:hAnsi="Book Antiqua" w:cs="宋体"/>
          <w:i/>
          <w:iCs/>
          <w:sz w:val="24"/>
          <w:szCs w:val="24"/>
          <w:lang w:val="en-US" w:eastAsia="zh-CN"/>
        </w:rPr>
        <w:t>Lung Cancer</w:t>
      </w:r>
      <w:r w:rsidRPr="0049263A">
        <w:rPr>
          <w:rFonts w:ascii="Book Antiqua" w:hAnsi="Book Antiqua" w:cs="宋体"/>
          <w:sz w:val="24"/>
          <w:szCs w:val="24"/>
          <w:lang w:val="en-US" w:eastAsia="zh-CN"/>
        </w:rPr>
        <w:t> 2006; </w:t>
      </w:r>
      <w:r w:rsidRPr="0049263A">
        <w:rPr>
          <w:rFonts w:ascii="Book Antiqua" w:hAnsi="Book Antiqua" w:cs="宋体"/>
          <w:b/>
          <w:bCs/>
          <w:sz w:val="24"/>
          <w:szCs w:val="24"/>
          <w:lang w:val="en-US" w:eastAsia="zh-CN"/>
        </w:rPr>
        <w:t>53</w:t>
      </w:r>
      <w:r w:rsidRPr="0049263A">
        <w:rPr>
          <w:rFonts w:ascii="Book Antiqua" w:hAnsi="Book Antiqua" w:cs="宋体"/>
          <w:sz w:val="24"/>
          <w:szCs w:val="24"/>
          <w:lang w:val="en-US" w:eastAsia="zh-CN"/>
        </w:rPr>
        <w:t>: 97-101 [PMID: 16698114 DOI: 10.1016/j.lungcan.2006.03.012]</w:t>
      </w:r>
    </w:p>
    <w:p w14:paraId="57BD8F28"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r w:rsidRPr="0049263A">
        <w:rPr>
          <w:rFonts w:ascii="Book Antiqua" w:hAnsi="Book Antiqua" w:cs="宋体"/>
          <w:sz w:val="24"/>
          <w:szCs w:val="24"/>
          <w:lang w:val="en-US" w:eastAsia="zh-CN"/>
        </w:rPr>
        <w:t>27 </w:t>
      </w:r>
      <w:r w:rsidRPr="0049263A">
        <w:rPr>
          <w:rFonts w:ascii="Book Antiqua" w:hAnsi="Book Antiqua" w:cs="宋体"/>
          <w:b/>
          <w:bCs/>
          <w:sz w:val="24"/>
          <w:szCs w:val="24"/>
          <w:lang w:val="en-US" w:eastAsia="zh-CN"/>
        </w:rPr>
        <w:t>Yamaguchi T</w:t>
      </w:r>
      <w:r w:rsidRPr="0049263A">
        <w:rPr>
          <w:rFonts w:ascii="Book Antiqua" w:hAnsi="Book Antiqua" w:cs="宋体"/>
          <w:sz w:val="24"/>
          <w:szCs w:val="24"/>
          <w:lang w:val="en-US" w:eastAsia="zh-CN"/>
        </w:rPr>
        <w:t>, Yamamoto Y, Yokota S, Nakagawa M, Ito M, Ogura T. Involvement of interleukin-6 in the elevation of plasma fibrinogen levels in lung cancer patients. </w:t>
      </w:r>
      <w:proofErr w:type="spellStart"/>
      <w:r w:rsidRPr="0049263A">
        <w:rPr>
          <w:rFonts w:ascii="Book Antiqua" w:hAnsi="Book Antiqua" w:cs="宋体"/>
          <w:i/>
          <w:iCs/>
          <w:sz w:val="24"/>
          <w:szCs w:val="24"/>
          <w:lang w:val="en-US" w:eastAsia="zh-CN"/>
        </w:rPr>
        <w:t>Jpn</w:t>
      </w:r>
      <w:proofErr w:type="spellEnd"/>
      <w:r w:rsidRPr="0049263A">
        <w:rPr>
          <w:rFonts w:ascii="Book Antiqua" w:hAnsi="Book Antiqua" w:cs="宋体"/>
          <w:i/>
          <w:iCs/>
          <w:sz w:val="24"/>
          <w:szCs w:val="24"/>
          <w:lang w:val="en-US" w:eastAsia="zh-CN"/>
        </w:rPr>
        <w:t xml:space="preserve"> J </w:t>
      </w:r>
      <w:proofErr w:type="spellStart"/>
      <w:r w:rsidRPr="0049263A">
        <w:rPr>
          <w:rFonts w:ascii="Book Antiqua" w:hAnsi="Book Antiqua" w:cs="宋体"/>
          <w:i/>
          <w:iCs/>
          <w:sz w:val="24"/>
          <w:szCs w:val="24"/>
          <w:lang w:val="en-US" w:eastAsia="zh-CN"/>
        </w:rPr>
        <w:t>Clin</w:t>
      </w:r>
      <w:proofErr w:type="spellEnd"/>
      <w:r w:rsidRPr="0049263A">
        <w:rPr>
          <w:rFonts w:ascii="Book Antiqua" w:hAnsi="Book Antiqua" w:cs="宋体"/>
          <w:i/>
          <w:iCs/>
          <w:sz w:val="24"/>
          <w:szCs w:val="24"/>
          <w:lang w:val="en-US" w:eastAsia="zh-CN"/>
        </w:rPr>
        <w:t xml:space="preserve"> </w:t>
      </w:r>
      <w:proofErr w:type="spellStart"/>
      <w:r w:rsidRPr="0049263A">
        <w:rPr>
          <w:rFonts w:ascii="Book Antiqua" w:hAnsi="Book Antiqua" w:cs="宋体"/>
          <w:i/>
          <w:iCs/>
          <w:sz w:val="24"/>
          <w:szCs w:val="24"/>
          <w:lang w:val="en-US" w:eastAsia="zh-CN"/>
        </w:rPr>
        <w:t>Oncol</w:t>
      </w:r>
      <w:proofErr w:type="spellEnd"/>
      <w:r w:rsidRPr="0049263A">
        <w:rPr>
          <w:rFonts w:ascii="Book Antiqua" w:hAnsi="Book Antiqua" w:cs="宋体"/>
          <w:sz w:val="24"/>
          <w:szCs w:val="24"/>
          <w:lang w:val="en-US" w:eastAsia="zh-CN"/>
        </w:rPr>
        <w:t> 1998; </w:t>
      </w:r>
      <w:r w:rsidRPr="0049263A">
        <w:rPr>
          <w:rFonts w:ascii="Book Antiqua" w:hAnsi="Book Antiqua" w:cs="宋体"/>
          <w:b/>
          <w:bCs/>
          <w:sz w:val="24"/>
          <w:szCs w:val="24"/>
          <w:lang w:val="en-US" w:eastAsia="zh-CN"/>
        </w:rPr>
        <w:t>28</w:t>
      </w:r>
      <w:r w:rsidRPr="0049263A">
        <w:rPr>
          <w:rFonts w:ascii="Book Antiqua" w:hAnsi="Book Antiqua" w:cs="宋体"/>
          <w:sz w:val="24"/>
          <w:szCs w:val="24"/>
          <w:lang w:val="en-US" w:eastAsia="zh-CN"/>
        </w:rPr>
        <w:t>: 740-744 [PMID: 9879291 DOI: 10.1093/</w:t>
      </w:r>
      <w:proofErr w:type="spellStart"/>
      <w:r w:rsidRPr="0049263A">
        <w:rPr>
          <w:rFonts w:ascii="Book Antiqua" w:hAnsi="Book Antiqua" w:cs="宋体"/>
          <w:sz w:val="24"/>
          <w:szCs w:val="24"/>
          <w:lang w:val="en-US" w:eastAsia="zh-CN"/>
        </w:rPr>
        <w:t>jjco</w:t>
      </w:r>
      <w:proofErr w:type="spellEnd"/>
      <w:r w:rsidRPr="0049263A">
        <w:rPr>
          <w:rFonts w:ascii="Book Antiqua" w:hAnsi="Book Antiqua" w:cs="宋体"/>
          <w:sz w:val="24"/>
          <w:szCs w:val="24"/>
          <w:lang w:val="en-US" w:eastAsia="zh-CN"/>
        </w:rPr>
        <w:t>/28.12.740]</w:t>
      </w:r>
    </w:p>
    <w:p w14:paraId="1E29E466"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r w:rsidRPr="0049263A">
        <w:rPr>
          <w:rFonts w:ascii="Book Antiqua" w:hAnsi="Book Antiqua" w:cs="宋体"/>
          <w:sz w:val="24"/>
          <w:szCs w:val="24"/>
          <w:lang w:val="en-US" w:eastAsia="zh-CN"/>
        </w:rPr>
        <w:t>28 </w:t>
      </w:r>
      <w:r w:rsidRPr="0049263A">
        <w:rPr>
          <w:rFonts w:ascii="Book Antiqua" w:hAnsi="Book Antiqua" w:cs="宋体"/>
          <w:b/>
          <w:bCs/>
          <w:sz w:val="24"/>
          <w:szCs w:val="24"/>
          <w:lang w:val="en-US" w:eastAsia="zh-CN"/>
        </w:rPr>
        <w:t>Palumbo JS</w:t>
      </w:r>
      <w:r w:rsidRPr="0049263A">
        <w:rPr>
          <w:rFonts w:ascii="Book Antiqua" w:hAnsi="Book Antiqua" w:cs="宋体"/>
          <w:sz w:val="24"/>
          <w:szCs w:val="24"/>
          <w:lang w:val="en-US" w:eastAsia="zh-CN"/>
        </w:rPr>
        <w:t xml:space="preserve">, </w:t>
      </w:r>
      <w:proofErr w:type="spellStart"/>
      <w:r w:rsidRPr="0049263A">
        <w:rPr>
          <w:rFonts w:ascii="Book Antiqua" w:hAnsi="Book Antiqua" w:cs="宋体"/>
          <w:sz w:val="24"/>
          <w:szCs w:val="24"/>
          <w:lang w:val="en-US" w:eastAsia="zh-CN"/>
        </w:rPr>
        <w:t>Kombrinck</w:t>
      </w:r>
      <w:proofErr w:type="spellEnd"/>
      <w:r w:rsidRPr="0049263A">
        <w:rPr>
          <w:rFonts w:ascii="Book Antiqua" w:hAnsi="Book Antiqua" w:cs="宋体"/>
          <w:sz w:val="24"/>
          <w:szCs w:val="24"/>
          <w:lang w:val="en-US" w:eastAsia="zh-CN"/>
        </w:rPr>
        <w:t xml:space="preserve"> KW, Drew AF, Grimes TS, Kiser JH, </w:t>
      </w:r>
      <w:proofErr w:type="spellStart"/>
      <w:r w:rsidRPr="0049263A">
        <w:rPr>
          <w:rFonts w:ascii="Book Antiqua" w:hAnsi="Book Antiqua" w:cs="宋体"/>
          <w:sz w:val="24"/>
          <w:szCs w:val="24"/>
          <w:lang w:val="en-US" w:eastAsia="zh-CN"/>
        </w:rPr>
        <w:t>Degen</w:t>
      </w:r>
      <w:proofErr w:type="spellEnd"/>
      <w:r w:rsidRPr="0049263A">
        <w:rPr>
          <w:rFonts w:ascii="Book Antiqua" w:hAnsi="Book Antiqua" w:cs="宋体"/>
          <w:sz w:val="24"/>
          <w:szCs w:val="24"/>
          <w:lang w:val="en-US" w:eastAsia="zh-CN"/>
        </w:rPr>
        <w:t xml:space="preserve"> JL, </w:t>
      </w:r>
      <w:proofErr w:type="spellStart"/>
      <w:r w:rsidRPr="0049263A">
        <w:rPr>
          <w:rFonts w:ascii="Book Antiqua" w:hAnsi="Book Antiqua" w:cs="宋体"/>
          <w:sz w:val="24"/>
          <w:szCs w:val="24"/>
          <w:lang w:val="en-US" w:eastAsia="zh-CN"/>
        </w:rPr>
        <w:t>Bugge</w:t>
      </w:r>
      <w:proofErr w:type="spellEnd"/>
      <w:r w:rsidRPr="0049263A">
        <w:rPr>
          <w:rFonts w:ascii="Book Antiqua" w:hAnsi="Book Antiqua" w:cs="宋体"/>
          <w:sz w:val="24"/>
          <w:szCs w:val="24"/>
          <w:lang w:val="en-US" w:eastAsia="zh-CN"/>
        </w:rPr>
        <w:t xml:space="preserve"> TH. Fibrinogen is an important determinant of the metastatic potential of circulating tumor cells. </w:t>
      </w:r>
      <w:r w:rsidRPr="0049263A">
        <w:rPr>
          <w:rFonts w:ascii="Book Antiqua" w:hAnsi="Book Antiqua" w:cs="宋体"/>
          <w:i/>
          <w:iCs/>
          <w:sz w:val="24"/>
          <w:szCs w:val="24"/>
          <w:lang w:val="en-US" w:eastAsia="zh-CN"/>
        </w:rPr>
        <w:t>Blood</w:t>
      </w:r>
      <w:r w:rsidRPr="0049263A">
        <w:rPr>
          <w:rFonts w:ascii="Book Antiqua" w:hAnsi="Book Antiqua" w:cs="宋体"/>
          <w:sz w:val="24"/>
          <w:szCs w:val="24"/>
          <w:lang w:val="en-US" w:eastAsia="zh-CN"/>
        </w:rPr>
        <w:t> 2000; </w:t>
      </w:r>
      <w:r w:rsidRPr="0049263A">
        <w:rPr>
          <w:rFonts w:ascii="Book Antiqua" w:hAnsi="Book Antiqua" w:cs="宋体"/>
          <w:b/>
          <w:bCs/>
          <w:sz w:val="24"/>
          <w:szCs w:val="24"/>
          <w:lang w:val="en-US" w:eastAsia="zh-CN"/>
        </w:rPr>
        <w:t>96</w:t>
      </w:r>
      <w:r w:rsidRPr="0049263A">
        <w:rPr>
          <w:rFonts w:ascii="Book Antiqua" w:hAnsi="Book Antiqua" w:cs="宋体"/>
          <w:sz w:val="24"/>
          <w:szCs w:val="24"/>
          <w:lang w:val="en-US" w:eastAsia="zh-CN"/>
        </w:rPr>
        <w:t>: 3302-3309 [PMID: 11071621]</w:t>
      </w:r>
    </w:p>
    <w:p w14:paraId="482BE1FD"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r w:rsidRPr="0049263A">
        <w:rPr>
          <w:rFonts w:ascii="Book Antiqua" w:hAnsi="Book Antiqua" w:cs="宋体"/>
          <w:sz w:val="24"/>
          <w:szCs w:val="24"/>
          <w:lang w:val="en-US" w:eastAsia="zh-CN"/>
        </w:rPr>
        <w:t>29 </w:t>
      </w:r>
      <w:r w:rsidRPr="0049263A">
        <w:rPr>
          <w:rFonts w:ascii="Book Antiqua" w:hAnsi="Book Antiqua" w:cs="宋体"/>
          <w:b/>
          <w:bCs/>
          <w:sz w:val="24"/>
          <w:szCs w:val="24"/>
          <w:lang w:val="en-US" w:eastAsia="zh-CN"/>
        </w:rPr>
        <w:t>Wenger RH</w:t>
      </w:r>
      <w:r w:rsidRPr="0049263A">
        <w:rPr>
          <w:rFonts w:ascii="Book Antiqua" w:hAnsi="Book Antiqua" w:cs="宋体"/>
          <w:sz w:val="24"/>
          <w:szCs w:val="24"/>
          <w:lang w:val="en-US" w:eastAsia="zh-CN"/>
        </w:rPr>
        <w:t>, Rolfs A, Marti HH, Bauer C, Gassmann M. Hypoxia, a novel inducer of acute phase gene expression in a human hepatoma cell line. </w:t>
      </w:r>
      <w:r w:rsidRPr="0049263A">
        <w:rPr>
          <w:rFonts w:ascii="Book Antiqua" w:hAnsi="Book Antiqua" w:cs="宋体"/>
          <w:i/>
          <w:iCs/>
          <w:sz w:val="24"/>
          <w:szCs w:val="24"/>
          <w:lang w:val="en-US" w:eastAsia="zh-CN"/>
        </w:rPr>
        <w:t xml:space="preserve">J </w:t>
      </w:r>
      <w:proofErr w:type="spellStart"/>
      <w:r w:rsidRPr="0049263A">
        <w:rPr>
          <w:rFonts w:ascii="Book Antiqua" w:hAnsi="Book Antiqua" w:cs="宋体"/>
          <w:i/>
          <w:iCs/>
          <w:sz w:val="24"/>
          <w:szCs w:val="24"/>
          <w:lang w:val="en-US" w:eastAsia="zh-CN"/>
        </w:rPr>
        <w:t>Biol</w:t>
      </w:r>
      <w:proofErr w:type="spellEnd"/>
      <w:r w:rsidRPr="0049263A">
        <w:rPr>
          <w:rFonts w:ascii="Book Antiqua" w:hAnsi="Book Antiqua" w:cs="宋体"/>
          <w:i/>
          <w:iCs/>
          <w:sz w:val="24"/>
          <w:szCs w:val="24"/>
          <w:lang w:val="en-US" w:eastAsia="zh-CN"/>
        </w:rPr>
        <w:t xml:space="preserve"> </w:t>
      </w:r>
      <w:proofErr w:type="spellStart"/>
      <w:r w:rsidRPr="0049263A">
        <w:rPr>
          <w:rFonts w:ascii="Book Antiqua" w:hAnsi="Book Antiqua" w:cs="宋体"/>
          <w:i/>
          <w:iCs/>
          <w:sz w:val="24"/>
          <w:szCs w:val="24"/>
          <w:lang w:val="en-US" w:eastAsia="zh-CN"/>
        </w:rPr>
        <w:t>Chem</w:t>
      </w:r>
      <w:proofErr w:type="spellEnd"/>
      <w:r w:rsidRPr="0049263A">
        <w:rPr>
          <w:rFonts w:ascii="Book Antiqua" w:hAnsi="Book Antiqua" w:cs="宋体"/>
          <w:sz w:val="24"/>
          <w:szCs w:val="24"/>
          <w:lang w:val="en-US" w:eastAsia="zh-CN"/>
        </w:rPr>
        <w:t> 1995; </w:t>
      </w:r>
      <w:r w:rsidRPr="0049263A">
        <w:rPr>
          <w:rFonts w:ascii="Book Antiqua" w:hAnsi="Book Antiqua" w:cs="宋体"/>
          <w:b/>
          <w:bCs/>
          <w:sz w:val="24"/>
          <w:szCs w:val="24"/>
          <w:lang w:val="en-US" w:eastAsia="zh-CN"/>
        </w:rPr>
        <w:t>270</w:t>
      </w:r>
      <w:r w:rsidRPr="0049263A">
        <w:rPr>
          <w:rFonts w:ascii="Book Antiqua" w:hAnsi="Book Antiqua" w:cs="宋体"/>
          <w:sz w:val="24"/>
          <w:szCs w:val="24"/>
          <w:lang w:val="en-US" w:eastAsia="zh-CN"/>
        </w:rPr>
        <w:t>: 27865-27870 [PMID: 7499259 DOI: 10.1074/jbc.270.46.27865]</w:t>
      </w:r>
    </w:p>
    <w:p w14:paraId="568984F2"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r w:rsidRPr="0049263A">
        <w:rPr>
          <w:rFonts w:ascii="Book Antiqua" w:hAnsi="Book Antiqua" w:cs="宋体"/>
          <w:sz w:val="24"/>
          <w:szCs w:val="24"/>
          <w:lang w:val="en-US" w:eastAsia="zh-CN"/>
        </w:rPr>
        <w:t>30 </w:t>
      </w:r>
      <w:proofErr w:type="spellStart"/>
      <w:r w:rsidRPr="0049263A">
        <w:rPr>
          <w:rFonts w:ascii="Book Antiqua" w:hAnsi="Book Antiqua" w:cs="宋体"/>
          <w:b/>
          <w:bCs/>
          <w:sz w:val="24"/>
          <w:szCs w:val="24"/>
          <w:lang w:val="en-US" w:eastAsia="zh-CN"/>
        </w:rPr>
        <w:t>Sahni</w:t>
      </w:r>
      <w:proofErr w:type="spellEnd"/>
      <w:r w:rsidRPr="0049263A">
        <w:rPr>
          <w:rFonts w:ascii="Book Antiqua" w:hAnsi="Book Antiqua" w:cs="宋体"/>
          <w:b/>
          <w:bCs/>
          <w:sz w:val="24"/>
          <w:szCs w:val="24"/>
          <w:lang w:val="en-US" w:eastAsia="zh-CN"/>
        </w:rPr>
        <w:t xml:space="preserve"> A</w:t>
      </w:r>
      <w:r w:rsidRPr="0049263A">
        <w:rPr>
          <w:rFonts w:ascii="Book Antiqua" w:hAnsi="Book Antiqua" w:cs="宋体"/>
          <w:sz w:val="24"/>
          <w:szCs w:val="24"/>
          <w:lang w:val="en-US" w:eastAsia="zh-CN"/>
        </w:rPr>
        <w:t>, Simpson-</w:t>
      </w:r>
      <w:proofErr w:type="spellStart"/>
      <w:r w:rsidRPr="0049263A">
        <w:rPr>
          <w:rFonts w:ascii="Book Antiqua" w:hAnsi="Book Antiqua" w:cs="宋体"/>
          <w:sz w:val="24"/>
          <w:szCs w:val="24"/>
          <w:lang w:val="en-US" w:eastAsia="zh-CN"/>
        </w:rPr>
        <w:t>Haidaris</w:t>
      </w:r>
      <w:proofErr w:type="spellEnd"/>
      <w:r w:rsidRPr="0049263A">
        <w:rPr>
          <w:rFonts w:ascii="Book Antiqua" w:hAnsi="Book Antiqua" w:cs="宋体"/>
          <w:sz w:val="24"/>
          <w:szCs w:val="24"/>
          <w:lang w:val="en-US" w:eastAsia="zh-CN"/>
        </w:rPr>
        <w:t xml:space="preserve"> PJ, </w:t>
      </w:r>
      <w:proofErr w:type="spellStart"/>
      <w:r w:rsidRPr="0049263A">
        <w:rPr>
          <w:rFonts w:ascii="Book Antiqua" w:hAnsi="Book Antiqua" w:cs="宋体"/>
          <w:sz w:val="24"/>
          <w:szCs w:val="24"/>
          <w:lang w:val="en-US" w:eastAsia="zh-CN"/>
        </w:rPr>
        <w:t>Sahni</w:t>
      </w:r>
      <w:proofErr w:type="spellEnd"/>
      <w:r w:rsidRPr="0049263A">
        <w:rPr>
          <w:rFonts w:ascii="Book Antiqua" w:hAnsi="Book Antiqua" w:cs="宋体"/>
          <w:sz w:val="24"/>
          <w:szCs w:val="24"/>
          <w:lang w:val="en-US" w:eastAsia="zh-CN"/>
        </w:rPr>
        <w:t xml:space="preserve"> SK, </w:t>
      </w:r>
      <w:proofErr w:type="spellStart"/>
      <w:r w:rsidRPr="0049263A">
        <w:rPr>
          <w:rFonts w:ascii="Book Antiqua" w:hAnsi="Book Antiqua" w:cs="宋体"/>
          <w:sz w:val="24"/>
          <w:szCs w:val="24"/>
          <w:lang w:val="en-US" w:eastAsia="zh-CN"/>
        </w:rPr>
        <w:t>Vaday</w:t>
      </w:r>
      <w:proofErr w:type="spellEnd"/>
      <w:r w:rsidRPr="0049263A">
        <w:rPr>
          <w:rFonts w:ascii="Book Antiqua" w:hAnsi="Book Antiqua" w:cs="宋体"/>
          <w:sz w:val="24"/>
          <w:szCs w:val="24"/>
          <w:lang w:val="en-US" w:eastAsia="zh-CN"/>
        </w:rPr>
        <w:t xml:space="preserve"> GG, Francis CW. Fibrinogen synthesized by cancer cells augments the proliferative effect of fibroblast growth factor-2 (FGF-2). </w:t>
      </w:r>
      <w:r w:rsidRPr="0049263A">
        <w:rPr>
          <w:rFonts w:ascii="Book Antiqua" w:hAnsi="Book Antiqua" w:cs="宋体"/>
          <w:i/>
          <w:iCs/>
          <w:sz w:val="24"/>
          <w:szCs w:val="24"/>
          <w:lang w:val="en-US" w:eastAsia="zh-CN"/>
        </w:rPr>
        <w:t xml:space="preserve">J </w:t>
      </w:r>
      <w:proofErr w:type="spellStart"/>
      <w:r w:rsidRPr="0049263A">
        <w:rPr>
          <w:rFonts w:ascii="Book Antiqua" w:hAnsi="Book Antiqua" w:cs="宋体"/>
          <w:i/>
          <w:iCs/>
          <w:sz w:val="24"/>
          <w:szCs w:val="24"/>
          <w:lang w:val="en-US" w:eastAsia="zh-CN"/>
        </w:rPr>
        <w:t>Thromb</w:t>
      </w:r>
      <w:proofErr w:type="spellEnd"/>
      <w:r w:rsidRPr="0049263A">
        <w:rPr>
          <w:rFonts w:ascii="Book Antiqua" w:hAnsi="Book Antiqua" w:cs="宋体"/>
          <w:i/>
          <w:iCs/>
          <w:sz w:val="24"/>
          <w:szCs w:val="24"/>
          <w:lang w:val="en-US" w:eastAsia="zh-CN"/>
        </w:rPr>
        <w:t xml:space="preserve"> </w:t>
      </w:r>
      <w:proofErr w:type="spellStart"/>
      <w:r w:rsidRPr="0049263A">
        <w:rPr>
          <w:rFonts w:ascii="Book Antiqua" w:hAnsi="Book Antiqua" w:cs="宋体"/>
          <w:i/>
          <w:iCs/>
          <w:sz w:val="24"/>
          <w:szCs w:val="24"/>
          <w:lang w:val="en-US" w:eastAsia="zh-CN"/>
        </w:rPr>
        <w:t>Haemost</w:t>
      </w:r>
      <w:proofErr w:type="spellEnd"/>
      <w:r w:rsidRPr="0049263A">
        <w:rPr>
          <w:rFonts w:ascii="Book Antiqua" w:hAnsi="Book Antiqua" w:cs="宋体"/>
          <w:sz w:val="24"/>
          <w:szCs w:val="24"/>
          <w:lang w:val="en-US" w:eastAsia="zh-CN"/>
        </w:rPr>
        <w:t> 2008; </w:t>
      </w:r>
      <w:r w:rsidRPr="0049263A">
        <w:rPr>
          <w:rFonts w:ascii="Book Antiqua" w:hAnsi="Book Antiqua" w:cs="宋体"/>
          <w:b/>
          <w:bCs/>
          <w:sz w:val="24"/>
          <w:szCs w:val="24"/>
          <w:lang w:val="en-US" w:eastAsia="zh-CN"/>
        </w:rPr>
        <w:t>6</w:t>
      </w:r>
      <w:r w:rsidRPr="0049263A">
        <w:rPr>
          <w:rFonts w:ascii="Book Antiqua" w:hAnsi="Book Antiqua" w:cs="宋体"/>
          <w:sz w:val="24"/>
          <w:szCs w:val="24"/>
          <w:lang w:val="en-US" w:eastAsia="zh-CN"/>
        </w:rPr>
        <w:t>: 176-183 [PMID: 17949478 DOI: 10.1111/j.1538-7836.2007.02808.x]</w:t>
      </w:r>
    </w:p>
    <w:p w14:paraId="74BE102D"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r w:rsidRPr="0049263A">
        <w:rPr>
          <w:rFonts w:ascii="Book Antiqua" w:hAnsi="Book Antiqua" w:cs="宋体"/>
          <w:sz w:val="24"/>
          <w:szCs w:val="24"/>
          <w:lang w:val="en-US" w:eastAsia="zh-CN"/>
        </w:rPr>
        <w:t>31 </w:t>
      </w:r>
      <w:r w:rsidRPr="0049263A">
        <w:rPr>
          <w:rFonts w:ascii="Book Antiqua" w:hAnsi="Book Antiqua" w:cs="宋体"/>
          <w:b/>
          <w:bCs/>
          <w:sz w:val="24"/>
          <w:szCs w:val="24"/>
          <w:lang w:val="en-US" w:eastAsia="zh-CN"/>
        </w:rPr>
        <w:t>Palumbo JS</w:t>
      </w:r>
      <w:r w:rsidRPr="0049263A">
        <w:rPr>
          <w:rFonts w:ascii="Book Antiqua" w:hAnsi="Book Antiqua" w:cs="宋体"/>
          <w:sz w:val="24"/>
          <w:szCs w:val="24"/>
          <w:lang w:val="en-US" w:eastAsia="zh-CN"/>
        </w:rPr>
        <w:t xml:space="preserve">, </w:t>
      </w:r>
      <w:proofErr w:type="spellStart"/>
      <w:r w:rsidRPr="0049263A">
        <w:rPr>
          <w:rFonts w:ascii="Book Antiqua" w:hAnsi="Book Antiqua" w:cs="宋体"/>
          <w:sz w:val="24"/>
          <w:szCs w:val="24"/>
          <w:lang w:val="en-US" w:eastAsia="zh-CN"/>
        </w:rPr>
        <w:t>Talmage</w:t>
      </w:r>
      <w:proofErr w:type="spellEnd"/>
      <w:r w:rsidRPr="0049263A">
        <w:rPr>
          <w:rFonts w:ascii="Book Antiqua" w:hAnsi="Book Antiqua" w:cs="宋体"/>
          <w:sz w:val="24"/>
          <w:szCs w:val="24"/>
          <w:lang w:val="en-US" w:eastAsia="zh-CN"/>
        </w:rPr>
        <w:t xml:space="preserve"> KE, </w:t>
      </w:r>
      <w:proofErr w:type="spellStart"/>
      <w:r w:rsidRPr="0049263A">
        <w:rPr>
          <w:rFonts w:ascii="Book Antiqua" w:hAnsi="Book Antiqua" w:cs="宋体"/>
          <w:sz w:val="24"/>
          <w:szCs w:val="24"/>
          <w:lang w:val="en-US" w:eastAsia="zh-CN"/>
        </w:rPr>
        <w:t>Massari</w:t>
      </w:r>
      <w:proofErr w:type="spellEnd"/>
      <w:r w:rsidRPr="0049263A">
        <w:rPr>
          <w:rFonts w:ascii="Book Antiqua" w:hAnsi="Book Antiqua" w:cs="宋体"/>
          <w:sz w:val="24"/>
          <w:szCs w:val="24"/>
          <w:lang w:val="en-US" w:eastAsia="zh-CN"/>
        </w:rPr>
        <w:t xml:space="preserve"> JV, La </w:t>
      </w:r>
      <w:proofErr w:type="spellStart"/>
      <w:r w:rsidRPr="0049263A">
        <w:rPr>
          <w:rFonts w:ascii="Book Antiqua" w:hAnsi="Book Antiqua" w:cs="宋体"/>
          <w:sz w:val="24"/>
          <w:szCs w:val="24"/>
          <w:lang w:val="en-US" w:eastAsia="zh-CN"/>
        </w:rPr>
        <w:t>Jeunesse</w:t>
      </w:r>
      <w:proofErr w:type="spellEnd"/>
      <w:r w:rsidRPr="0049263A">
        <w:rPr>
          <w:rFonts w:ascii="Book Antiqua" w:hAnsi="Book Antiqua" w:cs="宋体"/>
          <w:sz w:val="24"/>
          <w:szCs w:val="24"/>
          <w:lang w:val="en-US" w:eastAsia="zh-CN"/>
        </w:rPr>
        <w:t xml:space="preserve"> CM, Flick MJ, </w:t>
      </w:r>
      <w:proofErr w:type="spellStart"/>
      <w:r w:rsidRPr="0049263A">
        <w:rPr>
          <w:rFonts w:ascii="Book Antiqua" w:hAnsi="Book Antiqua" w:cs="宋体"/>
          <w:sz w:val="24"/>
          <w:szCs w:val="24"/>
          <w:lang w:val="en-US" w:eastAsia="zh-CN"/>
        </w:rPr>
        <w:t>Kombrinck</w:t>
      </w:r>
      <w:proofErr w:type="spellEnd"/>
      <w:r w:rsidRPr="0049263A">
        <w:rPr>
          <w:rFonts w:ascii="Book Antiqua" w:hAnsi="Book Antiqua" w:cs="宋体"/>
          <w:sz w:val="24"/>
          <w:szCs w:val="24"/>
          <w:lang w:val="en-US" w:eastAsia="zh-CN"/>
        </w:rPr>
        <w:t xml:space="preserve"> KW, Hu Z, Barney KA, </w:t>
      </w:r>
      <w:proofErr w:type="spellStart"/>
      <w:r w:rsidRPr="0049263A">
        <w:rPr>
          <w:rFonts w:ascii="Book Antiqua" w:hAnsi="Book Antiqua" w:cs="宋体"/>
          <w:sz w:val="24"/>
          <w:szCs w:val="24"/>
          <w:lang w:val="en-US" w:eastAsia="zh-CN"/>
        </w:rPr>
        <w:t>Degen</w:t>
      </w:r>
      <w:proofErr w:type="spellEnd"/>
      <w:r w:rsidRPr="0049263A">
        <w:rPr>
          <w:rFonts w:ascii="Book Antiqua" w:hAnsi="Book Antiqua" w:cs="宋体"/>
          <w:sz w:val="24"/>
          <w:szCs w:val="24"/>
          <w:lang w:val="en-US" w:eastAsia="zh-CN"/>
        </w:rPr>
        <w:t xml:space="preserve"> JL. Tumor cell-associated tissue factor and circulating hemostatic factors cooperate to increase metastatic potential through natural killer cell-dependent </w:t>
      </w:r>
      <w:r w:rsidRPr="0049263A">
        <w:rPr>
          <w:rFonts w:ascii="Book Antiqua" w:hAnsi="Book Antiqua" w:cs="宋体"/>
          <w:sz w:val="24"/>
          <w:szCs w:val="24"/>
          <w:lang w:val="en-US" w:eastAsia="zh-CN"/>
        </w:rPr>
        <w:lastRenderedPageBreak/>
        <w:t>and-independent mechanisms.</w:t>
      </w:r>
      <w:r w:rsidRPr="0049263A">
        <w:rPr>
          <w:rFonts w:ascii="Book Antiqua" w:hAnsi="Book Antiqua" w:cs="宋体" w:hint="eastAsia"/>
          <w:sz w:val="24"/>
          <w:szCs w:val="24"/>
          <w:lang w:val="en-US" w:eastAsia="zh-CN"/>
        </w:rPr>
        <w:t xml:space="preserve"> </w:t>
      </w:r>
      <w:r w:rsidRPr="0049263A">
        <w:rPr>
          <w:rFonts w:ascii="Book Antiqua" w:hAnsi="Book Antiqua" w:cs="宋体"/>
          <w:i/>
          <w:iCs/>
          <w:sz w:val="24"/>
          <w:szCs w:val="24"/>
          <w:lang w:val="en-US" w:eastAsia="zh-CN"/>
        </w:rPr>
        <w:t>Blood</w:t>
      </w:r>
      <w:r w:rsidRPr="0049263A">
        <w:rPr>
          <w:rFonts w:ascii="Book Antiqua" w:hAnsi="Book Antiqua" w:cs="宋体"/>
          <w:sz w:val="24"/>
          <w:szCs w:val="24"/>
          <w:lang w:val="en-US" w:eastAsia="zh-CN"/>
        </w:rPr>
        <w:t> 2007; </w:t>
      </w:r>
      <w:r w:rsidRPr="0049263A">
        <w:rPr>
          <w:rFonts w:ascii="Book Antiqua" w:hAnsi="Book Antiqua" w:cs="宋体"/>
          <w:b/>
          <w:bCs/>
          <w:sz w:val="24"/>
          <w:szCs w:val="24"/>
          <w:lang w:val="en-US" w:eastAsia="zh-CN"/>
        </w:rPr>
        <w:t>110</w:t>
      </w:r>
      <w:r w:rsidRPr="0049263A">
        <w:rPr>
          <w:rFonts w:ascii="Book Antiqua" w:hAnsi="Book Antiqua" w:cs="宋体"/>
          <w:sz w:val="24"/>
          <w:szCs w:val="24"/>
          <w:lang w:val="en-US" w:eastAsia="zh-CN"/>
        </w:rPr>
        <w:t>: 133-141 [PMID: 17371949 DOI: 10.1182/blood-2007-01-065995]</w:t>
      </w:r>
    </w:p>
    <w:p w14:paraId="3A7F8D80" w14:textId="0ACFCE71" w:rsidR="00BF1719" w:rsidRPr="0049263A" w:rsidRDefault="00BF1719" w:rsidP="00BF1719">
      <w:pPr>
        <w:suppressAutoHyphens w:val="0"/>
        <w:spacing w:line="360" w:lineRule="auto"/>
        <w:jc w:val="both"/>
        <w:rPr>
          <w:rFonts w:ascii="Book Antiqua" w:hAnsi="Book Antiqua" w:cs="宋体"/>
          <w:sz w:val="24"/>
          <w:szCs w:val="24"/>
          <w:lang w:val="en-US" w:eastAsia="zh-CN"/>
        </w:rPr>
      </w:pPr>
      <w:r w:rsidRPr="0049263A">
        <w:rPr>
          <w:rFonts w:ascii="Book Antiqua" w:hAnsi="Book Antiqua" w:cs="宋体"/>
          <w:sz w:val="24"/>
          <w:szCs w:val="24"/>
          <w:lang w:val="en-US" w:eastAsia="zh-CN"/>
        </w:rPr>
        <w:t>32 </w:t>
      </w:r>
      <w:proofErr w:type="spellStart"/>
      <w:r w:rsidRPr="0049263A">
        <w:rPr>
          <w:rFonts w:ascii="Book Antiqua" w:hAnsi="Book Antiqua" w:cs="宋体"/>
          <w:b/>
          <w:bCs/>
          <w:sz w:val="24"/>
          <w:szCs w:val="24"/>
          <w:lang w:val="en-US" w:eastAsia="zh-CN"/>
        </w:rPr>
        <w:t>Podgrabinska</w:t>
      </w:r>
      <w:proofErr w:type="spellEnd"/>
      <w:r w:rsidRPr="0049263A">
        <w:rPr>
          <w:rFonts w:ascii="Book Antiqua" w:hAnsi="Book Antiqua" w:cs="宋体"/>
          <w:b/>
          <w:bCs/>
          <w:sz w:val="24"/>
          <w:szCs w:val="24"/>
          <w:lang w:val="en-US" w:eastAsia="zh-CN"/>
        </w:rPr>
        <w:t xml:space="preserve"> S</w:t>
      </w:r>
      <w:r w:rsidRPr="0049263A">
        <w:rPr>
          <w:rFonts w:ascii="Book Antiqua" w:hAnsi="Book Antiqua" w:cs="宋体"/>
          <w:sz w:val="24"/>
          <w:szCs w:val="24"/>
          <w:lang w:val="en-US" w:eastAsia="zh-CN"/>
        </w:rPr>
        <w:t xml:space="preserve">, Braun P, Velasco P, </w:t>
      </w:r>
      <w:proofErr w:type="spellStart"/>
      <w:r w:rsidRPr="0049263A">
        <w:rPr>
          <w:rFonts w:ascii="Book Antiqua" w:hAnsi="Book Antiqua" w:cs="宋体"/>
          <w:sz w:val="24"/>
          <w:szCs w:val="24"/>
          <w:lang w:val="en-US" w:eastAsia="zh-CN"/>
        </w:rPr>
        <w:t>Kloos</w:t>
      </w:r>
      <w:proofErr w:type="spellEnd"/>
      <w:r w:rsidRPr="0049263A">
        <w:rPr>
          <w:rFonts w:ascii="Book Antiqua" w:hAnsi="Book Antiqua" w:cs="宋体"/>
          <w:sz w:val="24"/>
          <w:szCs w:val="24"/>
          <w:lang w:val="en-US" w:eastAsia="zh-CN"/>
        </w:rPr>
        <w:t xml:space="preserve"> B, Pepper MS, </w:t>
      </w:r>
      <w:proofErr w:type="spellStart"/>
      <w:r w:rsidRPr="0049263A">
        <w:rPr>
          <w:rFonts w:ascii="Book Antiqua" w:hAnsi="Book Antiqua" w:cs="宋体"/>
          <w:sz w:val="24"/>
          <w:szCs w:val="24"/>
          <w:lang w:val="en-US" w:eastAsia="zh-CN"/>
        </w:rPr>
        <w:t>Skobe</w:t>
      </w:r>
      <w:proofErr w:type="spellEnd"/>
      <w:r w:rsidRPr="0049263A">
        <w:rPr>
          <w:rFonts w:ascii="Book Antiqua" w:hAnsi="Book Antiqua" w:cs="宋体"/>
          <w:sz w:val="24"/>
          <w:szCs w:val="24"/>
          <w:lang w:val="en-US" w:eastAsia="zh-CN"/>
        </w:rPr>
        <w:t xml:space="preserve"> M. Molecular characterization of lymphatic endothelial cells. </w:t>
      </w:r>
      <w:proofErr w:type="spellStart"/>
      <w:r w:rsidR="00EB6225" w:rsidRPr="0049263A">
        <w:rPr>
          <w:rFonts w:ascii="Book Antiqua" w:hAnsi="Book Antiqua" w:cs="宋体"/>
          <w:i/>
          <w:iCs/>
          <w:sz w:val="24"/>
          <w:szCs w:val="24"/>
          <w:lang w:val="en-US" w:eastAsia="zh-CN"/>
        </w:rPr>
        <w:t>Proc</w:t>
      </w:r>
      <w:proofErr w:type="spellEnd"/>
      <w:r w:rsidR="00EB6225" w:rsidRPr="0049263A">
        <w:rPr>
          <w:rFonts w:ascii="Book Antiqua" w:hAnsi="Book Antiqua" w:cs="宋体"/>
          <w:i/>
          <w:iCs/>
          <w:sz w:val="24"/>
          <w:szCs w:val="24"/>
          <w:lang w:val="en-US" w:eastAsia="zh-CN"/>
        </w:rPr>
        <w:t xml:space="preserve"> </w:t>
      </w:r>
      <w:proofErr w:type="spellStart"/>
      <w:r w:rsidR="00EB6225" w:rsidRPr="0049263A">
        <w:rPr>
          <w:rFonts w:ascii="Book Antiqua" w:hAnsi="Book Antiqua" w:cs="宋体"/>
          <w:i/>
          <w:iCs/>
          <w:sz w:val="24"/>
          <w:szCs w:val="24"/>
          <w:lang w:val="en-US" w:eastAsia="zh-CN"/>
        </w:rPr>
        <w:t>Natl</w:t>
      </w:r>
      <w:proofErr w:type="spellEnd"/>
      <w:r w:rsidR="00EB6225" w:rsidRPr="0049263A">
        <w:rPr>
          <w:rFonts w:ascii="Book Antiqua" w:hAnsi="Book Antiqua" w:cs="宋体"/>
          <w:i/>
          <w:iCs/>
          <w:sz w:val="24"/>
          <w:szCs w:val="24"/>
          <w:lang w:val="en-US" w:eastAsia="zh-CN"/>
        </w:rPr>
        <w:t xml:space="preserve"> </w:t>
      </w:r>
      <w:proofErr w:type="spellStart"/>
      <w:r w:rsidR="00EB6225" w:rsidRPr="0049263A">
        <w:rPr>
          <w:rFonts w:ascii="Book Antiqua" w:hAnsi="Book Antiqua" w:cs="宋体"/>
          <w:i/>
          <w:iCs/>
          <w:sz w:val="24"/>
          <w:szCs w:val="24"/>
          <w:lang w:val="en-US" w:eastAsia="zh-CN"/>
        </w:rPr>
        <w:t>Acad</w:t>
      </w:r>
      <w:proofErr w:type="spellEnd"/>
      <w:r w:rsidR="00EB6225" w:rsidRPr="0049263A">
        <w:rPr>
          <w:rFonts w:ascii="Book Antiqua" w:hAnsi="Book Antiqua" w:cs="宋体"/>
          <w:i/>
          <w:iCs/>
          <w:sz w:val="24"/>
          <w:szCs w:val="24"/>
          <w:lang w:val="en-US" w:eastAsia="zh-CN"/>
        </w:rPr>
        <w:t xml:space="preserve"> </w:t>
      </w:r>
      <w:proofErr w:type="spellStart"/>
      <w:r w:rsidR="00EB6225" w:rsidRPr="0049263A">
        <w:rPr>
          <w:rFonts w:ascii="Book Antiqua" w:hAnsi="Book Antiqua" w:cs="宋体"/>
          <w:i/>
          <w:iCs/>
          <w:sz w:val="24"/>
          <w:szCs w:val="24"/>
          <w:lang w:val="en-US" w:eastAsia="zh-CN"/>
        </w:rPr>
        <w:t>Sci</w:t>
      </w:r>
      <w:proofErr w:type="spellEnd"/>
      <w:r w:rsidR="00EB6225" w:rsidRPr="0049263A">
        <w:rPr>
          <w:rFonts w:ascii="Book Antiqua" w:hAnsi="Book Antiqua" w:cs="宋体"/>
          <w:i/>
          <w:iCs/>
          <w:sz w:val="24"/>
          <w:szCs w:val="24"/>
          <w:lang w:val="en-US" w:eastAsia="zh-CN"/>
        </w:rPr>
        <w:t xml:space="preserve"> US</w:t>
      </w:r>
      <w:r w:rsidRPr="0049263A">
        <w:rPr>
          <w:rFonts w:ascii="Book Antiqua" w:hAnsi="Book Antiqua" w:cs="宋体"/>
          <w:i/>
          <w:iCs/>
          <w:sz w:val="24"/>
          <w:szCs w:val="24"/>
          <w:lang w:val="en-US" w:eastAsia="zh-CN"/>
        </w:rPr>
        <w:t>A</w:t>
      </w:r>
      <w:r w:rsidRPr="0049263A">
        <w:rPr>
          <w:rFonts w:ascii="Book Antiqua" w:hAnsi="Book Antiqua" w:cs="宋体"/>
          <w:sz w:val="24"/>
          <w:szCs w:val="24"/>
          <w:lang w:val="en-US" w:eastAsia="zh-CN"/>
        </w:rPr>
        <w:t> 2002; </w:t>
      </w:r>
      <w:r w:rsidRPr="0049263A">
        <w:rPr>
          <w:rFonts w:ascii="Book Antiqua" w:hAnsi="Book Antiqua" w:cs="宋体"/>
          <w:b/>
          <w:bCs/>
          <w:sz w:val="24"/>
          <w:szCs w:val="24"/>
          <w:lang w:val="en-US" w:eastAsia="zh-CN"/>
        </w:rPr>
        <w:t>99</w:t>
      </w:r>
      <w:r w:rsidRPr="0049263A">
        <w:rPr>
          <w:rFonts w:ascii="Book Antiqua" w:hAnsi="Book Antiqua" w:cs="宋体"/>
          <w:sz w:val="24"/>
          <w:szCs w:val="24"/>
          <w:lang w:val="en-US" w:eastAsia="zh-CN"/>
        </w:rPr>
        <w:t>: 16069-16074 [PMID: 12446836 DOI: 10.1073/pnas.242401399]</w:t>
      </w:r>
    </w:p>
    <w:p w14:paraId="4A644AC8"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r w:rsidRPr="0049263A">
        <w:rPr>
          <w:rFonts w:ascii="Book Antiqua" w:hAnsi="Book Antiqua" w:cs="宋体"/>
          <w:sz w:val="24"/>
          <w:szCs w:val="24"/>
          <w:lang w:val="en-US" w:eastAsia="zh-CN"/>
        </w:rPr>
        <w:t>33 </w:t>
      </w:r>
      <w:r w:rsidRPr="0049263A">
        <w:rPr>
          <w:rFonts w:ascii="Book Antiqua" w:hAnsi="Book Antiqua" w:cs="宋体"/>
          <w:b/>
          <w:bCs/>
          <w:sz w:val="24"/>
          <w:szCs w:val="24"/>
          <w:lang w:val="en-US" w:eastAsia="zh-CN"/>
        </w:rPr>
        <w:t>Son HJ</w:t>
      </w:r>
      <w:r w:rsidRPr="0049263A">
        <w:rPr>
          <w:rFonts w:ascii="Book Antiqua" w:hAnsi="Book Antiqua" w:cs="宋体"/>
          <w:sz w:val="24"/>
          <w:szCs w:val="24"/>
          <w:lang w:val="en-US" w:eastAsia="zh-CN"/>
        </w:rPr>
        <w:t xml:space="preserve">, Park JW, Chang HJ, Kim DY, Kim BC, Kim SY, Park SC, Choi HS, Oh JH. Preoperative plasma hyperfibrinogenemia is predictive of poor prognosis in patients with </w:t>
      </w:r>
      <w:proofErr w:type="spellStart"/>
      <w:r w:rsidRPr="0049263A">
        <w:rPr>
          <w:rFonts w:ascii="Book Antiqua" w:hAnsi="Book Antiqua" w:cs="宋体"/>
          <w:sz w:val="24"/>
          <w:szCs w:val="24"/>
          <w:lang w:val="en-US" w:eastAsia="zh-CN"/>
        </w:rPr>
        <w:t>nonmetastatic</w:t>
      </w:r>
      <w:proofErr w:type="spellEnd"/>
      <w:r w:rsidRPr="0049263A">
        <w:rPr>
          <w:rFonts w:ascii="Book Antiqua" w:hAnsi="Book Antiqua" w:cs="宋体"/>
          <w:sz w:val="24"/>
          <w:szCs w:val="24"/>
          <w:lang w:val="en-US" w:eastAsia="zh-CN"/>
        </w:rPr>
        <w:t xml:space="preserve"> colon cancer. </w:t>
      </w:r>
      <w:r w:rsidRPr="0049263A">
        <w:rPr>
          <w:rFonts w:ascii="Book Antiqua" w:hAnsi="Book Antiqua" w:cs="宋体"/>
          <w:i/>
          <w:iCs/>
          <w:sz w:val="24"/>
          <w:szCs w:val="24"/>
          <w:lang w:val="en-US" w:eastAsia="zh-CN"/>
        </w:rPr>
        <w:t xml:space="preserve">Ann </w:t>
      </w:r>
      <w:proofErr w:type="spellStart"/>
      <w:r w:rsidRPr="0049263A">
        <w:rPr>
          <w:rFonts w:ascii="Book Antiqua" w:hAnsi="Book Antiqua" w:cs="宋体"/>
          <w:i/>
          <w:iCs/>
          <w:sz w:val="24"/>
          <w:szCs w:val="24"/>
          <w:lang w:val="en-US" w:eastAsia="zh-CN"/>
        </w:rPr>
        <w:t>Surg</w:t>
      </w:r>
      <w:proofErr w:type="spellEnd"/>
      <w:r w:rsidRPr="0049263A">
        <w:rPr>
          <w:rFonts w:ascii="Book Antiqua" w:hAnsi="Book Antiqua" w:cs="宋体"/>
          <w:i/>
          <w:iCs/>
          <w:sz w:val="24"/>
          <w:szCs w:val="24"/>
          <w:lang w:val="en-US" w:eastAsia="zh-CN"/>
        </w:rPr>
        <w:t xml:space="preserve"> </w:t>
      </w:r>
      <w:proofErr w:type="spellStart"/>
      <w:r w:rsidRPr="0049263A">
        <w:rPr>
          <w:rFonts w:ascii="Book Antiqua" w:hAnsi="Book Antiqua" w:cs="宋体"/>
          <w:i/>
          <w:iCs/>
          <w:sz w:val="24"/>
          <w:szCs w:val="24"/>
          <w:lang w:val="en-US" w:eastAsia="zh-CN"/>
        </w:rPr>
        <w:t>Oncol</w:t>
      </w:r>
      <w:proofErr w:type="spellEnd"/>
      <w:r w:rsidRPr="0049263A">
        <w:rPr>
          <w:rFonts w:ascii="Book Antiqua" w:hAnsi="Book Antiqua" w:cs="宋体"/>
          <w:sz w:val="24"/>
          <w:szCs w:val="24"/>
          <w:lang w:val="en-US" w:eastAsia="zh-CN"/>
        </w:rPr>
        <w:t> 2013; </w:t>
      </w:r>
      <w:r w:rsidRPr="0049263A">
        <w:rPr>
          <w:rFonts w:ascii="Book Antiqua" w:hAnsi="Book Antiqua" w:cs="宋体"/>
          <w:b/>
          <w:bCs/>
          <w:sz w:val="24"/>
          <w:szCs w:val="24"/>
          <w:lang w:val="en-US" w:eastAsia="zh-CN"/>
        </w:rPr>
        <w:t>20</w:t>
      </w:r>
      <w:r w:rsidRPr="0049263A">
        <w:rPr>
          <w:rFonts w:ascii="Book Antiqua" w:hAnsi="Book Antiqua" w:cs="宋体"/>
          <w:sz w:val="24"/>
          <w:szCs w:val="24"/>
          <w:lang w:val="en-US" w:eastAsia="zh-CN"/>
        </w:rPr>
        <w:t>: 2908-2913 [PMID: 23612884 DOI: 10.1245/s10434-013-2968-8]</w:t>
      </w:r>
    </w:p>
    <w:p w14:paraId="0495A7FC"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r w:rsidRPr="0049263A">
        <w:rPr>
          <w:rFonts w:ascii="Book Antiqua" w:hAnsi="Book Antiqua" w:cs="宋体"/>
          <w:sz w:val="24"/>
          <w:szCs w:val="24"/>
          <w:lang w:val="en-US" w:eastAsia="zh-CN"/>
        </w:rPr>
        <w:t>34 </w:t>
      </w:r>
      <w:r w:rsidRPr="0049263A">
        <w:rPr>
          <w:rFonts w:ascii="Book Antiqua" w:hAnsi="Book Antiqua" w:cs="宋体"/>
          <w:b/>
          <w:bCs/>
          <w:sz w:val="24"/>
          <w:szCs w:val="24"/>
          <w:lang w:val="en-US" w:eastAsia="zh-CN"/>
        </w:rPr>
        <w:t>Kawai K</w:t>
      </w:r>
      <w:r w:rsidRPr="0049263A">
        <w:rPr>
          <w:rFonts w:ascii="Book Antiqua" w:hAnsi="Book Antiqua" w:cs="宋体"/>
          <w:sz w:val="24"/>
          <w:szCs w:val="24"/>
          <w:lang w:val="en-US" w:eastAsia="zh-CN"/>
        </w:rPr>
        <w:t xml:space="preserve">, </w:t>
      </w:r>
      <w:proofErr w:type="spellStart"/>
      <w:r w:rsidRPr="0049263A">
        <w:rPr>
          <w:rFonts w:ascii="Book Antiqua" w:hAnsi="Book Antiqua" w:cs="宋体"/>
          <w:sz w:val="24"/>
          <w:szCs w:val="24"/>
          <w:lang w:val="en-US" w:eastAsia="zh-CN"/>
        </w:rPr>
        <w:t>Kitayama</w:t>
      </w:r>
      <w:proofErr w:type="spellEnd"/>
      <w:r w:rsidRPr="0049263A">
        <w:rPr>
          <w:rFonts w:ascii="Book Antiqua" w:hAnsi="Book Antiqua" w:cs="宋体"/>
          <w:sz w:val="24"/>
          <w:szCs w:val="24"/>
          <w:lang w:val="en-US" w:eastAsia="zh-CN"/>
        </w:rPr>
        <w:t xml:space="preserve"> J, </w:t>
      </w:r>
      <w:proofErr w:type="spellStart"/>
      <w:r w:rsidRPr="0049263A">
        <w:rPr>
          <w:rFonts w:ascii="Book Antiqua" w:hAnsi="Book Antiqua" w:cs="宋体"/>
          <w:sz w:val="24"/>
          <w:szCs w:val="24"/>
          <w:lang w:val="en-US" w:eastAsia="zh-CN"/>
        </w:rPr>
        <w:t>Tsuno</w:t>
      </w:r>
      <w:proofErr w:type="spellEnd"/>
      <w:r w:rsidRPr="0049263A">
        <w:rPr>
          <w:rFonts w:ascii="Book Antiqua" w:hAnsi="Book Antiqua" w:cs="宋体"/>
          <w:sz w:val="24"/>
          <w:szCs w:val="24"/>
          <w:lang w:val="en-US" w:eastAsia="zh-CN"/>
        </w:rPr>
        <w:t xml:space="preserve"> NH, </w:t>
      </w:r>
      <w:proofErr w:type="spellStart"/>
      <w:r w:rsidRPr="0049263A">
        <w:rPr>
          <w:rFonts w:ascii="Book Antiqua" w:hAnsi="Book Antiqua" w:cs="宋体"/>
          <w:sz w:val="24"/>
          <w:szCs w:val="24"/>
          <w:lang w:val="en-US" w:eastAsia="zh-CN"/>
        </w:rPr>
        <w:t>Sunami</w:t>
      </w:r>
      <w:proofErr w:type="spellEnd"/>
      <w:r w:rsidRPr="0049263A">
        <w:rPr>
          <w:rFonts w:ascii="Book Antiqua" w:hAnsi="Book Antiqua" w:cs="宋体"/>
          <w:sz w:val="24"/>
          <w:szCs w:val="24"/>
          <w:lang w:val="en-US" w:eastAsia="zh-CN"/>
        </w:rPr>
        <w:t xml:space="preserve"> E, </w:t>
      </w:r>
      <w:proofErr w:type="spellStart"/>
      <w:r w:rsidRPr="0049263A">
        <w:rPr>
          <w:rFonts w:ascii="Book Antiqua" w:hAnsi="Book Antiqua" w:cs="宋体"/>
          <w:sz w:val="24"/>
          <w:szCs w:val="24"/>
          <w:lang w:val="en-US" w:eastAsia="zh-CN"/>
        </w:rPr>
        <w:t>Nagawa</w:t>
      </w:r>
      <w:proofErr w:type="spellEnd"/>
      <w:r w:rsidRPr="0049263A">
        <w:rPr>
          <w:rFonts w:ascii="Book Antiqua" w:hAnsi="Book Antiqua" w:cs="宋体"/>
          <w:sz w:val="24"/>
          <w:szCs w:val="24"/>
          <w:lang w:val="en-US" w:eastAsia="zh-CN"/>
        </w:rPr>
        <w:t xml:space="preserve"> H. </w:t>
      </w:r>
      <w:proofErr w:type="spellStart"/>
      <w:r w:rsidRPr="0049263A">
        <w:rPr>
          <w:rFonts w:ascii="Book Antiqua" w:hAnsi="Book Antiqua" w:cs="宋体"/>
          <w:sz w:val="24"/>
          <w:szCs w:val="24"/>
          <w:lang w:val="en-US" w:eastAsia="zh-CN"/>
        </w:rPr>
        <w:t>Hyperfibrinogenemia</w:t>
      </w:r>
      <w:proofErr w:type="spellEnd"/>
      <w:r w:rsidRPr="0049263A">
        <w:rPr>
          <w:rFonts w:ascii="Book Antiqua" w:hAnsi="Book Antiqua" w:cs="宋体"/>
          <w:sz w:val="24"/>
          <w:szCs w:val="24"/>
          <w:lang w:val="en-US" w:eastAsia="zh-CN"/>
        </w:rPr>
        <w:t xml:space="preserve"> after preoperative </w:t>
      </w:r>
      <w:proofErr w:type="spellStart"/>
      <w:r w:rsidRPr="0049263A">
        <w:rPr>
          <w:rFonts w:ascii="Book Antiqua" w:hAnsi="Book Antiqua" w:cs="宋体"/>
          <w:sz w:val="24"/>
          <w:szCs w:val="24"/>
          <w:lang w:val="en-US" w:eastAsia="zh-CN"/>
        </w:rPr>
        <w:t>chemoradiotherapy</w:t>
      </w:r>
      <w:proofErr w:type="spellEnd"/>
      <w:r w:rsidRPr="0049263A">
        <w:rPr>
          <w:rFonts w:ascii="Book Antiqua" w:hAnsi="Book Antiqua" w:cs="宋体"/>
          <w:sz w:val="24"/>
          <w:szCs w:val="24"/>
          <w:lang w:val="en-US" w:eastAsia="zh-CN"/>
        </w:rPr>
        <w:t xml:space="preserve"> predicts poor response and poor prognosis in rectal cancer. </w:t>
      </w:r>
      <w:proofErr w:type="spellStart"/>
      <w:r w:rsidRPr="0049263A">
        <w:rPr>
          <w:rFonts w:ascii="Book Antiqua" w:hAnsi="Book Antiqua" w:cs="宋体"/>
          <w:i/>
          <w:iCs/>
          <w:sz w:val="24"/>
          <w:szCs w:val="24"/>
          <w:lang w:val="en-US" w:eastAsia="zh-CN"/>
        </w:rPr>
        <w:t>Int</w:t>
      </w:r>
      <w:proofErr w:type="spellEnd"/>
      <w:r w:rsidRPr="0049263A">
        <w:rPr>
          <w:rFonts w:ascii="Book Antiqua" w:hAnsi="Book Antiqua" w:cs="宋体"/>
          <w:i/>
          <w:iCs/>
          <w:sz w:val="24"/>
          <w:szCs w:val="24"/>
          <w:lang w:val="en-US" w:eastAsia="zh-CN"/>
        </w:rPr>
        <w:t xml:space="preserve"> J Colorectal Dis</w:t>
      </w:r>
      <w:r w:rsidRPr="0049263A">
        <w:rPr>
          <w:rFonts w:ascii="Book Antiqua" w:hAnsi="Book Antiqua" w:cs="宋体"/>
          <w:sz w:val="24"/>
          <w:szCs w:val="24"/>
          <w:lang w:val="en-US" w:eastAsia="zh-CN"/>
        </w:rPr>
        <w:t> 2011; </w:t>
      </w:r>
      <w:r w:rsidRPr="0049263A">
        <w:rPr>
          <w:rFonts w:ascii="Book Antiqua" w:hAnsi="Book Antiqua" w:cs="宋体"/>
          <w:b/>
          <w:bCs/>
          <w:sz w:val="24"/>
          <w:szCs w:val="24"/>
          <w:lang w:val="en-US" w:eastAsia="zh-CN"/>
        </w:rPr>
        <w:t>26</w:t>
      </w:r>
      <w:r w:rsidRPr="0049263A">
        <w:rPr>
          <w:rFonts w:ascii="Book Antiqua" w:hAnsi="Book Antiqua" w:cs="宋体"/>
          <w:sz w:val="24"/>
          <w:szCs w:val="24"/>
          <w:lang w:val="en-US" w:eastAsia="zh-CN"/>
        </w:rPr>
        <w:t>: 45-51 [PMID: 20809424 DOI: 10.1007/s00384-010-1054-y]</w:t>
      </w:r>
    </w:p>
    <w:p w14:paraId="7C5A3367" w14:textId="77777777" w:rsidR="00BF1719" w:rsidRPr="0049263A" w:rsidRDefault="00BF1719" w:rsidP="00BF1719">
      <w:pPr>
        <w:suppressAutoHyphens w:val="0"/>
        <w:spacing w:line="360" w:lineRule="auto"/>
        <w:jc w:val="both"/>
        <w:rPr>
          <w:rFonts w:ascii="Book Antiqua" w:hAnsi="Book Antiqua" w:cs="宋体"/>
          <w:sz w:val="24"/>
          <w:szCs w:val="24"/>
          <w:lang w:val="en-US" w:eastAsia="zh-CN"/>
        </w:rPr>
      </w:pPr>
      <w:r w:rsidRPr="0049263A">
        <w:rPr>
          <w:rFonts w:ascii="Book Antiqua" w:hAnsi="Book Antiqua" w:cs="宋体"/>
          <w:sz w:val="24"/>
          <w:szCs w:val="24"/>
          <w:lang w:val="en-US" w:eastAsia="zh-CN"/>
        </w:rPr>
        <w:t>35 </w:t>
      </w:r>
      <w:r w:rsidRPr="0049263A">
        <w:rPr>
          <w:rFonts w:ascii="Book Antiqua" w:hAnsi="Book Antiqua" w:cs="宋体"/>
          <w:b/>
          <w:bCs/>
          <w:sz w:val="24"/>
          <w:szCs w:val="24"/>
          <w:lang w:val="en-US" w:eastAsia="zh-CN"/>
        </w:rPr>
        <w:t>Sun ZQ</w:t>
      </w:r>
      <w:r w:rsidRPr="0049263A">
        <w:rPr>
          <w:rFonts w:ascii="Book Antiqua" w:hAnsi="Book Antiqua" w:cs="宋体"/>
          <w:sz w:val="24"/>
          <w:szCs w:val="24"/>
          <w:lang w:val="en-US" w:eastAsia="zh-CN"/>
        </w:rPr>
        <w:t xml:space="preserve">, Han XN, Wang HJ, Tang Y, Zhao ZL, Qu YL, Xu RW, Liu YY, Yu XB. </w:t>
      </w:r>
      <w:proofErr w:type="gramStart"/>
      <w:r w:rsidRPr="0049263A">
        <w:rPr>
          <w:rFonts w:ascii="Book Antiqua" w:hAnsi="Book Antiqua" w:cs="宋体"/>
          <w:sz w:val="24"/>
          <w:szCs w:val="24"/>
          <w:lang w:val="en-US" w:eastAsia="zh-CN"/>
        </w:rPr>
        <w:t>Prognostic significance of preoperative fibrinogen in patients with colon cancer.</w:t>
      </w:r>
      <w:proofErr w:type="gramEnd"/>
      <w:r w:rsidRPr="0049263A">
        <w:rPr>
          <w:rFonts w:ascii="Book Antiqua" w:hAnsi="Book Antiqua" w:cs="宋体"/>
          <w:sz w:val="24"/>
          <w:szCs w:val="24"/>
          <w:lang w:val="en-US" w:eastAsia="zh-CN"/>
        </w:rPr>
        <w:t> </w:t>
      </w:r>
      <w:r w:rsidRPr="0049263A">
        <w:rPr>
          <w:rFonts w:ascii="Book Antiqua" w:hAnsi="Book Antiqua" w:cs="宋体"/>
          <w:i/>
          <w:iCs/>
          <w:sz w:val="24"/>
          <w:szCs w:val="24"/>
          <w:lang w:val="en-US" w:eastAsia="zh-CN"/>
        </w:rPr>
        <w:t xml:space="preserve">World J </w:t>
      </w:r>
      <w:proofErr w:type="spellStart"/>
      <w:r w:rsidRPr="0049263A">
        <w:rPr>
          <w:rFonts w:ascii="Book Antiqua" w:hAnsi="Book Antiqua" w:cs="宋体"/>
          <w:i/>
          <w:iCs/>
          <w:sz w:val="24"/>
          <w:szCs w:val="24"/>
          <w:lang w:val="en-US" w:eastAsia="zh-CN"/>
        </w:rPr>
        <w:t>Gastroenterol</w:t>
      </w:r>
      <w:proofErr w:type="spellEnd"/>
      <w:r w:rsidRPr="0049263A">
        <w:rPr>
          <w:rFonts w:ascii="Book Antiqua" w:hAnsi="Book Antiqua" w:cs="宋体"/>
          <w:sz w:val="24"/>
          <w:szCs w:val="24"/>
          <w:lang w:val="en-US" w:eastAsia="zh-CN"/>
        </w:rPr>
        <w:t> 2014; </w:t>
      </w:r>
      <w:r w:rsidRPr="0049263A">
        <w:rPr>
          <w:rFonts w:ascii="Book Antiqua" w:hAnsi="Book Antiqua" w:cs="宋体"/>
          <w:b/>
          <w:bCs/>
          <w:sz w:val="24"/>
          <w:szCs w:val="24"/>
          <w:lang w:val="en-US" w:eastAsia="zh-CN"/>
        </w:rPr>
        <w:t>20</w:t>
      </w:r>
      <w:r w:rsidRPr="0049263A">
        <w:rPr>
          <w:rFonts w:ascii="Book Antiqua" w:hAnsi="Book Antiqua" w:cs="宋体"/>
          <w:sz w:val="24"/>
          <w:szCs w:val="24"/>
          <w:lang w:val="en-US" w:eastAsia="zh-CN"/>
        </w:rPr>
        <w:t>: 8583-8591 [PMID: 25024612 DOI: 10.3748/wjg.v20.i26.8583]</w:t>
      </w:r>
    </w:p>
    <w:p w14:paraId="2B72F3D9" w14:textId="4A3B5A4F" w:rsidR="00BF1719" w:rsidRPr="0049263A" w:rsidRDefault="00BF1719" w:rsidP="0049263A">
      <w:pPr>
        <w:suppressAutoHyphens w:val="0"/>
        <w:wordWrap w:val="0"/>
        <w:snapToGrid w:val="0"/>
        <w:spacing w:line="360" w:lineRule="auto"/>
        <w:jc w:val="right"/>
        <w:rPr>
          <w:rFonts w:ascii="Book Antiqua" w:hAnsi="Book Antiqua"/>
          <w:sz w:val="24"/>
          <w:szCs w:val="24"/>
          <w:lang w:val="en-US" w:eastAsia="zh-CN"/>
        </w:rPr>
      </w:pPr>
      <w:bookmarkStart w:id="62" w:name="OLE_LINK51"/>
      <w:bookmarkStart w:id="63" w:name="OLE_LINK52"/>
      <w:bookmarkStart w:id="64" w:name="OLE_LINK120"/>
      <w:bookmarkStart w:id="65" w:name="OLE_LINK148"/>
      <w:bookmarkStart w:id="66" w:name="OLE_LINK72"/>
      <w:bookmarkStart w:id="67" w:name="OLE_LINK112"/>
      <w:bookmarkStart w:id="68" w:name="OLE_LINK320"/>
      <w:bookmarkStart w:id="69" w:name="OLE_LINK387"/>
      <w:bookmarkStart w:id="70" w:name="OLE_LINK183"/>
      <w:bookmarkStart w:id="71" w:name="OLE_LINK254"/>
      <w:bookmarkStart w:id="72" w:name="OLE_LINK149"/>
      <w:bookmarkStart w:id="73" w:name="OLE_LINK225"/>
      <w:bookmarkStart w:id="74" w:name="OLE_LINK207"/>
      <w:bookmarkStart w:id="75" w:name="OLE_LINK226"/>
      <w:bookmarkStart w:id="76" w:name="OLE_LINK212"/>
      <w:bookmarkStart w:id="77" w:name="OLE_LINK250"/>
      <w:bookmarkStart w:id="78" w:name="OLE_LINK281"/>
      <w:bookmarkStart w:id="79" w:name="OLE_LINK282"/>
      <w:bookmarkStart w:id="80" w:name="OLE_LINK313"/>
      <w:bookmarkStart w:id="81" w:name="OLE_LINK304"/>
      <w:bookmarkStart w:id="82" w:name="OLE_LINK321"/>
      <w:bookmarkStart w:id="83" w:name="OLE_LINK385"/>
      <w:bookmarkStart w:id="84" w:name="OLE_LINK400"/>
      <w:bookmarkStart w:id="85" w:name="OLE_LINK346"/>
      <w:bookmarkStart w:id="86" w:name="OLE_LINK371"/>
      <w:bookmarkStart w:id="87" w:name="OLE_LINK334"/>
      <w:bookmarkStart w:id="88" w:name="OLE_LINK1830"/>
      <w:bookmarkStart w:id="89" w:name="OLE_LINK457"/>
      <w:bookmarkStart w:id="90" w:name="OLE_LINK288"/>
      <w:bookmarkStart w:id="91" w:name="OLE_LINK384"/>
      <w:bookmarkStart w:id="92" w:name="OLE_LINK379"/>
      <w:bookmarkStart w:id="93" w:name="OLE_LINK303"/>
      <w:bookmarkStart w:id="94" w:name="OLE_LINK450"/>
      <w:bookmarkStart w:id="95" w:name="OLE_LINK489"/>
      <w:bookmarkStart w:id="96" w:name="OLE_LINK535"/>
      <w:bookmarkStart w:id="97" w:name="OLE_LINK648"/>
      <w:bookmarkStart w:id="98" w:name="OLE_LINK686"/>
      <w:bookmarkStart w:id="99" w:name="OLE_LINK471"/>
      <w:bookmarkStart w:id="100" w:name="OLE_LINK462"/>
      <w:bookmarkStart w:id="101" w:name="OLE_LINK519"/>
      <w:bookmarkStart w:id="102" w:name="OLE_LINK575"/>
      <w:bookmarkStart w:id="103" w:name="OLE_LINK491"/>
      <w:bookmarkStart w:id="104" w:name="OLE_LINK532"/>
      <w:bookmarkStart w:id="105" w:name="OLE_LINK572"/>
      <w:bookmarkStart w:id="106" w:name="OLE_LINK574"/>
      <w:bookmarkStart w:id="107" w:name="OLE_LINK480"/>
      <w:bookmarkStart w:id="108" w:name="OLE_LINK567"/>
      <w:bookmarkStart w:id="109" w:name="OLE_LINK2700"/>
      <w:bookmarkStart w:id="110" w:name="OLE_LINK581"/>
      <w:bookmarkStart w:id="111" w:name="OLE_LINK639"/>
      <w:bookmarkStart w:id="112" w:name="OLE_LINK688"/>
      <w:bookmarkStart w:id="113" w:name="OLE_LINK722"/>
      <w:bookmarkStart w:id="114" w:name="OLE_LINK542"/>
      <w:bookmarkStart w:id="115" w:name="OLE_LINK589"/>
      <w:bookmarkStart w:id="116" w:name="OLE_LINK582"/>
      <w:bookmarkStart w:id="117" w:name="OLE_LINK640"/>
      <w:bookmarkStart w:id="118" w:name="OLE_LINK714"/>
      <w:bookmarkStart w:id="119" w:name="OLE_LINK593"/>
      <w:bookmarkStart w:id="120" w:name="OLE_LINK716"/>
      <w:bookmarkStart w:id="121" w:name="OLE_LINK770"/>
      <w:bookmarkStart w:id="122" w:name="OLE_LINK801"/>
      <w:bookmarkStart w:id="123" w:name="OLE_LINK660"/>
      <w:bookmarkStart w:id="124" w:name="OLE_LINK781"/>
      <w:bookmarkStart w:id="125" w:name="OLE_LINK833"/>
      <w:bookmarkStart w:id="126" w:name="OLE_LINK642"/>
      <w:bookmarkStart w:id="127" w:name="OLE_LINK700"/>
      <w:bookmarkStart w:id="128" w:name="OLE_LINK792"/>
      <w:bookmarkStart w:id="129" w:name="OLE_LINK2882"/>
      <w:bookmarkStart w:id="130" w:name="OLE_LINK836"/>
      <w:bookmarkStart w:id="131" w:name="OLE_LINK889"/>
      <w:bookmarkStart w:id="132" w:name="OLE_LINK782"/>
      <w:bookmarkStart w:id="133" w:name="OLE_LINK826"/>
      <w:bookmarkStart w:id="134" w:name="OLE_LINK865"/>
      <w:bookmarkStart w:id="135" w:name="OLE_LINK856"/>
      <w:bookmarkStart w:id="136" w:name="OLE_LINK908"/>
      <w:bookmarkStart w:id="137" w:name="OLE_LINK980"/>
      <w:bookmarkStart w:id="138" w:name="OLE_LINK1018"/>
      <w:bookmarkStart w:id="139" w:name="OLE_LINK1049"/>
      <w:bookmarkStart w:id="140" w:name="OLE_LINK1076"/>
      <w:bookmarkStart w:id="141" w:name="OLE_LINK1106"/>
      <w:bookmarkStart w:id="142" w:name="OLE_LINK891"/>
      <w:bookmarkStart w:id="143" w:name="OLE_LINK943"/>
      <w:bookmarkStart w:id="144" w:name="OLE_LINK981"/>
      <w:bookmarkStart w:id="145" w:name="OLE_LINK1030"/>
      <w:bookmarkStart w:id="146" w:name="OLE_LINK847"/>
      <w:bookmarkStart w:id="147" w:name="OLE_LINK909"/>
      <w:bookmarkStart w:id="148" w:name="OLE_LINK906"/>
      <w:bookmarkStart w:id="149" w:name="OLE_LINK992"/>
      <w:bookmarkStart w:id="150" w:name="OLE_LINK993"/>
      <w:bookmarkStart w:id="151" w:name="OLE_LINK1052"/>
      <w:bookmarkStart w:id="152" w:name="OLE_LINK946"/>
      <w:bookmarkStart w:id="153" w:name="OLE_LINK911"/>
      <w:bookmarkStart w:id="154" w:name="OLE_LINK930"/>
      <w:bookmarkStart w:id="155" w:name="OLE_LINK1059"/>
      <w:bookmarkStart w:id="156" w:name="OLE_LINK1174"/>
      <w:bookmarkStart w:id="157" w:name="OLE_LINK1137"/>
      <w:bookmarkStart w:id="158" w:name="OLE_LINK1167"/>
      <w:bookmarkStart w:id="159" w:name="OLE_LINK1200"/>
      <w:bookmarkStart w:id="160" w:name="OLE_LINK1241"/>
      <w:bookmarkStart w:id="161" w:name="OLE_LINK1288"/>
      <w:bookmarkStart w:id="162" w:name="OLE_LINK1056"/>
      <w:bookmarkStart w:id="163" w:name="OLE_LINK1158"/>
      <w:bookmarkStart w:id="164" w:name="OLE_LINK1175"/>
      <w:bookmarkStart w:id="165" w:name="OLE_LINK1074"/>
      <w:bookmarkStart w:id="166" w:name="OLE_LINK1169"/>
      <w:r w:rsidRPr="0049263A">
        <w:rPr>
          <w:rFonts w:ascii="Book Antiqua" w:hAnsi="Book Antiqua"/>
          <w:b/>
          <w:bCs/>
          <w:sz w:val="24"/>
          <w:szCs w:val="24"/>
          <w:lang w:val="en-US" w:eastAsia="zh-CN"/>
        </w:rPr>
        <w:t>P-Reviewer:</w:t>
      </w:r>
      <w:r w:rsidRPr="0049263A">
        <w:rPr>
          <w:rFonts w:ascii="Book Antiqua" w:hAnsi="Book Antiqua" w:hint="eastAsia"/>
          <w:b/>
          <w:bCs/>
          <w:sz w:val="24"/>
          <w:szCs w:val="24"/>
          <w:lang w:val="en-US" w:eastAsia="zh-CN"/>
        </w:rPr>
        <w:t xml:space="preserve"> </w:t>
      </w:r>
      <w:proofErr w:type="spellStart"/>
      <w:r w:rsidRPr="0049263A">
        <w:rPr>
          <w:rFonts w:ascii="Book Antiqua" w:hAnsi="Book Antiqua"/>
          <w:bCs/>
          <w:sz w:val="24"/>
          <w:szCs w:val="24"/>
          <w:lang w:val="en-US" w:eastAsia="zh-CN"/>
        </w:rPr>
        <w:t>Crea</w:t>
      </w:r>
      <w:proofErr w:type="spellEnd"/>
      <w:r w:rsidRPr="0049263A">
        <w:rPr>
          <w:rFonts w:ascii="Book Antiqua" w:hAnsi="Book Antiqua"/>
          <w:bCs/>
          <w:sz w:val="24"/>
          <w:szCs w:val="24"/>
          <w:lang w:val="en-US" w:eastAsia="zh-CN"/>
        </w:rPr>
        <w:t xml:space="preserve"> F</w:t>
      </w:r>
      <w:r w:rsidRPr="0049263A">
        <w:rPr>
          <w:rFonts w:ascii="Book Antiqua" w:hAnsi="Book Antiqua" w:hint="eastAsia"/>
          <w:bCs/>
          <w:sz w:val="24"/>
          <w:szCs w:val="24"/>
          <w:lang w:val="en-US" w:eastAsia="zh-CN"/>
        </w:rPr>
        <w:t xml:space="preserve">, </w:t>
      </w:r>
      <w:r w:rsidRPr="0049263A">
        <w:rPr>
          <w:rFonts w:ascii="Book Antiqua" w:hAnsi="Book Antiqua"/>
          <w:bCs/>
          <w:sz w:val="24"/>
          <w:szCs w:val="24"/>
          <w:lang w:val="en-US" w:eastAsia="zh-CN"/>
        </w:rPr>
        <w:t>Tong WD</w:t>
      </w:r>
      <w:r w:rsidR="0049263A">
        <w:rPr>
          <w:rFonts w:ascii="Book Antiqua" w:hAnsi="Book Antiqua" w:hint="eastAsia"/>
          <w:bCs/>
          <w:sz w:val="24"/>
          <w:szCs w:val="24"/>
          <w:lang w:val="en-US" w:eastAsia="zh-CN"/>
        </w:rPr>
        <w:t xml:space="preserve">, </w:t>
      </w:r>
      <w:proofErr w:type="spellStart"/>
      <w:r w:rsidR="0049263A" w:rsidRPr="0049263A">
        <w:rPr>
          <w:rFonts w:ascii="Book Antiqua" w:hAnsi="Book Antiqua"/>
          <w:bCs/>
          <w:sz w:val="24"/>
          <w:szCs w:val="24"/>
          <w:lang w:val="en-US" w:eastAsia="zh-CN"/>
        </w:rPr>
        <w:t>Lakatos</w:t>
      </w:r>
      <w:proofErr w:type="spellEnd"/>
      <w:r w:rsidR="0049263A">
        <w:rPr>
          <w:rFonts w:ascii="Book Antiqua" w:hAnsi="Book Antiqua" w:hint="eastAsia"/>
          <w:bCs/>
          <w:sz w:val="24"/>
          <w:szCs w:val="24"/>
          <w:lang w:val="en-US" w:eastAsia="zh-CN"/>
        </w:rPr>
        <w:t xml:space="preserve"> PL</w:t>
      </w:r>
      <w:r w:rsidRPr="0049263A">
        <w:rPr>
          <w:rFonts w:ascii="Book Antiqua" w:hAnsi="Book Antiqua" w:hint="eastAsia"/>
          <w:b/>
          <w:bCs/>
          <w:sz w:val="24"/>
          <w:szCs w:val="24"/>
          <w:lang w:val="en-US" w:eastAsia="zh-CN"/>
        </w:rPr>
        <w:t xml:space="preserve"> </w:t>
      </w:r>
      <w:r w:rsidRPr="0049263A">
        <w:rPr>
          <w:rFonts w:ascii="Book Antiqua" w:hAnsi="Book Antiqua"/>
          <w:b/>
          <w:bCs/>
          <w:sz w:val="24"/>
          <w:szCs w:val="24"/>
          <w:lang w:val="en-US" w:eastAsia="zh-CN"/>
        </w:rPr>
        <w:t>S-Editor:</w:t>
      </w:r>
      <w:r w:rsidRPr="0049263A">
        <w:rPr>
          <w:rFonts w:ascii="Book Antiqua" w:hAnsi="Book Antiqua" w:hint="eastAsia"/>
          <w:sz w:val="24"/>
          <w:szCs w:val="24"/>
          <w:lang w:val="en-US" w:eastAsia="zh-CN"/>
        </w:rPr>
        <w:t xml:space="preserve"> Gong ZM</w:t>
      </w:r>
    </w:p>
    <w:p w14:paraId="7401A85E" w14:textId="77777777" w:rsidR="00BF1719" w:rsidRPr="0049263A" w:rsidRDefault="00BF1719" w:rsidP="00BF1719">
      <w:pPr>
        <w:suppressAutoHyphens w:val="0"/>
        <w:snapToGrid w:val="0"/>
        <w:spacing w:line="360" w:lineRule="auto"/>
        <w:jc w:val="right"/>
        <w:rPr>
          <w:rFonts w:ascii="Book Antiqua" w:hAnsi="Book Antiqua"/>
          <w:b/>
          <w:bCs/>
          <w:sz w:val="24"/>
          <w:szCs w:val="24"/>
          <w:lang w:val="en-US" w:eastAsia="zh-CN"/>
        </w:rPr>
      </w:pPr>
      <w:r w:rsidRPr="0049263A">
        <w:rPr>
          <w:rFonts w:ascii="Book Antiqua" w:hAnsi="Book Antiqua"/>
          <w:b/>
          <w:bCs/>
          <w:sz w:val="24"/>
          <w:szCs w:val="24"/>
          <w:lang w:val="en-US" w:eastAsia="zh-CN"/>
        </w:rPr>
        <w:t>L-Editor:</w:t>
      </w:r>
      <w:r w:rsidRPr="0049263A">
        <w:rPr>
          <w:rFonts w:ascii="Book Antiqua" w:hAnsi="Book Antiqua"/>
          <w:sz w:val="24"/>
          <w:szCs w:val="24"/>
          <w:lang w:val="en-US" w:eastAsia="zh-CN"/>
        </w:rPr>
        <w:t xml:space="preserve"> </w:t>
      </w:r>
      <w:r w:rsidRPr="0049263A">
        <w:rPr>
          <w:rFonts w:ascii="Book Antiqua" w:hAnsi="Book Antiqua"/>
          <w:b/>
          <w:bCs/>
          <w:sz w:val="24"/>
          <w:szCs w:val="24"/>
          <w:lang w:val="en-US" w:eastAsia="zh-CN"/>
        </w:rPr>
        <w:t>E-Editor:</w:t>
      </w:r>
    </w:p>
    <w:p w14:paraId="7EA5047F" w14:textId="77777777" w:rsidR="00BF1719" w:rsidRPr="0049263A" w:rsidRDefault="00BF1719" w:rsidP="00BF1719">
      <w:pPr>
        <w:shd w:val="clear" w:color="auto" w:fill="FFFFFF"/>
        <w:suppressAutoHyphens w:val="0"/>
        <w:snapToGrid w:val="0"/>
        <w:spacing w:line="360" w:lineRule="auto"/>
        <w:jc w:val="both"/>
        <w:rPr>
          <w:rFonts w:ascii="Book Antiqua" w:hAnsi="Book Antiqua" w:cs="Helvetica"/>
          <w:b/>
          <w:sz w:val="24"/>
          <w:szCs w:val="24"/>
          <w:lang w:val="en-US" w:eastAsia="zh-CN"/>
        </w:rPr>
      </w:pPr>
      <w:bookmarkStart w:id="167" w:name="OLE_LINK880"/>
      <w:bookmarkStart w:id="168" w:name="OLE_LINK881"/>
      <w:bookmarkStart w:id="169" w:name="OLE_LINK497"/>
      <w:bookmarkStart w:id="170" w:name="OLE_LINK813"/>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49263A">
        <w:rPr>
          <w:rFonts w:ascii="Book Antiqua" w:hAnsi="Book Antiqua" w:cs="Helvetica"/>
          <w:b/>
          <w:sz w:val="24"/>
          <w:szCs w:val="24"/>
          <w:lang w:val="en-US" w:eastAsia="zh-CN"/>
        </w:rPr>
        <w:t xml:space="preserve">Specialty type: </w:t>
      </w:r>
      <w:r w:rsidRPr="0049263A">
        <w:rPr>
          <w:rFonts w:ascii="Book Antiqua" w:hAnsi="Book Antiqua" w:cs="Helvetica"/>
          <w:sz w:val="24"/>
          <w:szCs w:val="24"/>
          <w:lang w:val="en-US" w:eastAsia="zh-CN"/>
        </w:rPr>
        <w:t>Gastroenterology and</w:t>
      </w:r>
      <w:r w:rsidRPr="0049263A">
        <w:rPr>
          <w:rFonts w:ascii="Book Antiqua" w:hAnsi="Book Antiqua" w:cs="Helvetica" w:hint="eastAsia"/>
          <w:sz w:val="24"/>
          <w:szCs w:val="24"/>
          <w:lang w:val="en-US" w:eastAsia="zh-CN"/>
        </w:rPr>
        <w:t xml:space="preserve"> </w:t>
      </w:r>
      <w:r w:rsidRPr="0049263A">
        <w:rPr>
          <w:rFonts w:ascii="Book Antiqua" w:hAnsi="Book Antiqua" w:cs="Helvetica"/>
          <w:sz w:val="24"/>
          <w:szCs w:val="24"/>
          <w:lang w:val="en-US" w:eastAsia="zh-CN"/>
        </w:rPr>
        <w:t>hepatology</w:t>
      </w:r>
    </w:p>
    <w:p w14:paraId="1BAA8123" w14:textId="77777777" w:rsidR="00BF1719" w:rsidRPr="0049263A" w:rsidRDefault="00BF1719" w:rsidP="00BF1719">
      <w:pPr>
        <w:shd w:val="clear" w:color="auto" w:fill="FFFFFF"/>
        <w:suppressAutoHyphens w:val="0"/>
        <w:snapToGrid w:val="0"/>
        <w:spacing w:line="360" w:lineRule="auto"/>
        <w:jc w:val="both"/>
        <w:rPr>
          <w:rFonts w:ascii="Book Antiqua" w:hAnsi="Book Antiqua" w:cs="Helvetica"/>
          <w:b/>
          <w:sz w:val="24"/>
          <w:szCs w:val="24"/>
          <w:lang w:val="en-US" w:eastAsia="zh-CN"/>
        </w:rPr>
      </w:pPr>
      <w:r w:rsidRPr="0049263A">
        <w:rPr>
          <w:rFonts w:ascii="Book Antiqua" w:hAnsi="Book Antiqua" w:cs="Helvetica"/>
          <w:b/>
          <w:sz w:val="24"/>
          <w:szCs w:val="24"/>
          <w:lang w:val="en-US" w:eastAsia="zh-CN"/>
        </w:rPr>
        <w:t xml:space="preserve">Country of origin: </w:t>
      </w:r>
      <w:r w:rsidRPr="0049263A">
        <w:rPr>
          <w:rFonts w:ascii="Book Antiqua" w:eastAsia="MS Mincho" w:hAnsi="Book Antiqua" w:cs="Arial"/>
          <w:sz w:val="24"/>
          <w:szCs w:val="24"/>
          <w:lang w:val="en-GB" w:eastAsia="de-DE"/>
        </w:rPr>
        <w:t>Italy</w:t>
      </w:r>
    </w:p>
    <w:p w14:paraId="7728DF13" w14:textId="77777777" w:rsidR="00BF1719" w:rsidRPr="0049263A" w:rsidRDefault="00BF1719" w:rsidP="00BF1719">
      <w:pPr>
        <w:shd w:val="clear" w:color="auto" w:fill="FFFFFF"/>
        <w:suppressAutoHyphens w:val="0"/>
        <w:snapToGrid w:val="0"/>
        <w:spacing w:line="360" w:lineRule="auto"/>
        <w:jc w:val="both"/>
        <w:rPr>
          <w:rFonts w:ascii="Book Antiqua" w:hAnsi="Book Antiqua" w:cs="Helvetica"/>
          <w:b/>
          <w:sz w:val="24"/>
          <w:szCs w:val="24"/>
          <w:lang w:val="en-US" w:eastAsia="zh-CN"/>
        </w:rPr>
      </w:pPr>
      <w:r w:rsidRPr="0049263A">
        <w:rPr>
          <w:rFonts w:ascii="Book Antiqua" w:hAnsi="Book Antiqua" w:cs="Helvetica"/>
          <w:b/>
          <w:sz w:val="24"/>
          <w:szCs w:val="24"/>
          <w:lang w:val="en-US" w:eastAsia="zh-CN"/>
        </w:rPr>
        <w:t>Peer-review report classification</w:t>
      </w:r>
    </w:p>
    <w:p w14:paraId="7602C10D" w14:textId="77777777" w:rsidR="00BF1719" w:rsidRPr="0049263A" w:rsidRDefault="00BF1719" w:rsidP="00BF1719">
      <w:pPr>
        <w:shd w:val="clear" w:color="auto" w:fill="FFFFFF"/>
        <w:suppressAutoHyphens w:val="0"/>
        <w:snapToGrid w:val="0"/>
        <w:spacing w:line="360" w:lineRule="auto"/>
        <w:jc w:val="both"/>
        <w:rPr>
          <w:rFonts w:ascii="Book Antiqua" w:hAnsi="Book Antiqua" w:cs="Helvetica"/>
          <w:sz w:val="24"/>
          <w:szCs w:val="24"/>
          <w:lang w:val="en-US" w:eastAsia="zh-CN"/>
        </w:rPr>
      </w:pPr>
      <w:r w:rsidRPr="0049263A">
        <w:rPr>
          <w:rFonts w:ascii="Book Antiqua" w:hAnsi="Book Antiqua" w:cs="Helvetica"/>
          <w:sz w:val="24"/>
          <w:szCs w:val="24"/>
          <w:lang w:val="en-US" w:eastAsia="zh-CN"/>
        </w:rPr>
        <w:t xml:space="preserve">Grade A (Excellent): </w:t>
      </w:r>
      <w:r w:rsidRPr="0049263A">
        <w:rPr>
          <w:rFonts w:ascii="Book Antiqua" w:hAnsi="Book Antiqua" w:cs="Helvetica" w:hint="eastAsia"/>
          <w:sz w:val="24"/>
          <w:szCs w:val="24"/>
          <w:lang w:val="en-US" w:eastAsia="zh-CN"/>
        </w:rPr>
        <w:t>0</w:t>
      </w:r>
    </w:p>
    <w:p w14:paraId="62B51851" w14:textId="77777777" w:rsidR="00BF1719" w:rsidRPr="0049263A" w:rsidRDefault="00BF1719" w:rsidP="00BF1719">
      <w:pPr>
        <w:shd w:val="clear" w:color="auto" w:fill="FFFFFF"/>
        <w:suppressAutoHyphens w:val="0"/>
        <w:snapToGrid w:val="0"/>
        <w:spacing w:line="360" w:lineRule="auto"/>
        <w:jc w:val="both"/>
        <w:rPr>
          <w:rFonts w:ascii="Book Antiqua" w:hAnsi="Book Antiqua" w:cs="Helvetica"/>
          <w:sz w:val="24"/>
          <w:szCs w:val="24"/>
          <w:lang w:val="en-US" w:eastAsia="zh-CN"/>
        </w:rPr>
      </w:pPr>
      <w:r w:rsidRPr="0049263A">
        <w:rPr>
          <w:rFonts w:ascii="Book Antiqua" w:hAnsi="Book Antiqua" w:cs="Helvetica"/>
          <w:sz w:val="24"/>
          <w:szCs w:val="24"/>
          <w:lang w:val="en-US" w:eastAsia="zh-CN"/>
        </w:rPr>
        <w:t>Grade B (Very good):</w:t>
      </w:r>
      <w:r w:rsidRPr="0049263A">
        <w:rPr>
          <w:rFonts w:ascii="Book Antiqua" w:hAnsi="Book Antiqua" w:cs="Helvetica" w:hint="eastAsia"/>
          <w:sz w:val="24"/>
          <w:szCs w:val="24"/>
          <w:lang w:val="en-US" w:eastAsia="zh-CN"/>
        </w:rPr>
        <w:t xml:space="preserve"> B, B</w:t>
      </w:r>
    </w:p>
    <w:p w14:paraId="5872BA5C" w14:textId="5D4AD98B" w:rsidR="00BF1719" w:rsidRPr="0049263A" w:rsidRDefault="00BF1719" w:rsidP="00BF1719">
      <w:pPr>
        <w:shd w:val="clear" w:color="auto" w:fill="FFFFFF"/>
        <w:suppressAutoHyphens w:val="0"/>
        <w:snapToGrid w:val="0"/>
        <w:spacing w:line="360" w:lineRule="auto"/>
        <w:jc w:val="both"/>
        <w:rPr>
          <w:rFonts w:ascii="Book Antiqua" w:hAnsi="Book Antiqua" w:cs="Helvetica"/>
          <w:sz w:val="24"/>
          <w:szCs w:val="24"/>
          <w:lang w:val="en-US" w:eastAsia="zh-CN"/>
        </w:rPr>
      </w:pPr>
      <w:r w:rsidRPr="0049263A">
        <w:rPr>
          <w:rFonts w:ascii="Book Antiqua" w:hAnsi="Book Antiqua" w:cs="Helvetica"/>
          <w:sz w:val="24"/>
          <w:szCs w:val="24"/>
          <w:lang w:val="en-US" w:eastAsia="zh-CN"/>
        </w:rPr>
        <w:t xml:space="preserve">Grade C (Good): </w:t>
      </w:r>
      <w:r w:rsidR="0049263A">
        <w:rPr>
          <w:rFonts w:ascii="Book Antiqua" w:hAnsi="Book Antiqua" w:cs="Helvetica" w:hint="eastAsia"/>
          <w:sz w:val="24"/>
          <w:szCs w:val="24"/>
          <w:lang w:val="en-US" w:eastAsia="zh-CN"/>
        </w:rPr>
        <w:t>C</w:t>
      </w:r>
    </w:p>
    <w:p w14:paraId="44643A95" w14:textId="77777777" w:rsidR="00BF1719" w:rsidRPr="0049263A" w:rsidRDefault="00BF1719" w:rsidP="00BF1719">
      <w:pPr>
        <w:shd w:val="clear" w:color="auto" w:fill="FFFFFF"/>
        <w:suppressAutoHyphens w:val="0"/>
        <w:snapToGrid w:val="0"/>
        <w:spacing w:line="360" w:lineRule="auto"/>
        <w:jc w:val="both"/>
        <w:rPr>
          <w:rFonts w:ascii="Book Antiqua" w:hAnsi="Book Antiqua" w:cs="Helvetica"/>
          <w:sz w:val="24"/>
          <w:szCs w:val="24"/>
          <w:lang w:val="en-US" w:eastAsia="zh-CN"/>
        </w:rPr>
      </w:pPr>
      <w:r w:rsidRPr="0049263A">
        <w:rPr>
          <w:rFonts w:ascii="Book Antiqua" w:hAnsi="Book Antiqua" w:cs="Helvetica"/>
          <w:sz w:val="24"/>
          <w:szCs w:val="24"/>
          <w:lang w:val="en-US" w:eastAsia="zh-CN"/>
        </w:rPr>
        <w:t xml:space="preserve">Grade D (Fair): </w:t>
      </w:r>
      <w:r w:rsidRPr="0049263A">
        <w:rPr>
          <w:rFonts w:ascii="Book Antiqua" w:hAnsi="Book Antiqua" w:cs="Helvetica" w:hint="eastAsia"/>
          <w:sz w:val="24"/>
          <w:szCs w:val="24"/>
          <w:lang w:val="en-US" w:eastAsia="zh-CN"/>
        </w:rPr>
        <w:t>0</w:t>
      </w:r>
    </w:p>
    <w:p w14:paraId="542833D4" w14:textId="77777777" w:rsidR="00BF1719" w:rsidRPr="0049263A" w:rsidRDefault="00BF1719" w:rsidP="00BF1719">
      <w:pPr>
        <w:shd w:val="clear" w:color="auto" w:fill="FFFFFF"/>
        <w:suppressAutoHyphens w:val="0"/>
        <w:snapToGrid w:val="0"/>
        <w:spacing w:line="360" w:lineRule="auto"/>
        <w:jc w:val="both"/>
        <w:rPr>
          <w:rFonts w:ascii="Book Antiqua" w:hAnsi="Book Antiqua" w:cs="Helvetica"/>
          <w:sz w:val="24"/>
          <w:szCs w:val="24"/>
          <w:lang w:val="en-US" w:eastAsia="zh-CN"/>
        </w:rPr>
      </w:pPr>
      <w:r w:rsidRPr="0049263A">
        <w:rPr>
          <w:rFonts w:ascii="Book Antiqua" w:hAnsi="Book Antiqua" w:cs="Helvetica"/>
          <w:sz w:val="24"/>
          <w:szCs w:val="24"/>
          <w:lang w:val="en-US" w:eastAsia="zh-CN"/>
        </w:rPr>
        <w:t xml:space="preserve">Grade E (Poor): </w:t>
      </w:r>
      <w:r w:rsidRPr="0049263A">
        <w:rPr>
          <w:rFonts w:ascii="Book Antiqua" w:hAnsi="Book Antiqua" w:cs="Helvetica" w:hint="eastAsia"/>
          <w:sz w:val="24"/>
          <w:szCs w:val="24"/>
          <w:lang w:val="en-US" w:eastAsia="zh-CN"/>
        </w:rPr>
        <w:t>0</w:t>
      </w:r>
      <w:bookmarkEnd w:id="167"/>
      <w:bookmarkEnd w:id="168"/>
    </w:p>
    <w:bookmarkEnd w:id="169"/>
    <w:bookmarkEnd w:id="170"/>
    <w:p w14:paraId="36CFFDED" w14:textId="77777777" w:rsidR="00306099" w:rsidRPr="0049263A" w:rsidRDefault="00306099">
      <w:pPr>
        <w:suppressAutoHyphens w:val="0"/>
        <w:rPr>
          <w:rFonts w:ascii="Book Antiqua" w:hAnsi="Book Antiqua" w:cs="Arial"/>
          <w:b/>
          <w:sz w:val="24"/>
          <w:szCs w:val="24"/>
          <w:lang w:val="en-GB"/>
        </w:rPr>
      </w:pPr>
      <w:r w:rsidRPr="0049263A">
        <w:rPr>
          <w:rFonts w:ascii="Book Antiqua" w:hAnsi="Book Antiqua" w:cs="Arial"/>
          <w:b/>
          <w:sz w:val="24"/>
          <w:szCs w:val="24"/>
          <w:lang w:val="en-GB"/>
        </w:rPr>
        <w:br w:type="page"/>
      </w:r>
    </w:p>
    <w:p w14:paraId="6ADBAEB3" w14:textId="65D9A145" w:rsidR="0093205E" w:rsidRPr="0049263A" w:rsidRDefault="0093205E" w:rsidP="00AA734A">
      <w:pPr>
        <w:snapToGrid w:val="0"/>
        <w:spacing w:line="360" w:lineRule="auto"/>
        <w:jc w:val="both"/>
        <w:rPr>
          <w:rFonts w:ascii="Book Antiqua" w:hAnsi="Book Antiqua" w:cs="Arial"/>
          <w:b/>
          <w:sz w:val="24"/>
          <w:szCs w:val="24"/>
          <w:lang w:val="en-GB"/>
        </w:rPr>
      </w:pPr>
      <w:r w:rsidRPr="0049263A">
        <w:rPr>
          <w:rFonts w:ascii="Book Antiqua" w:hAnsi="Book Antiqua" w:cs="Arial"/>
          <w:b/>
          <w:sz w:val="24"/>
          <w:szCs w:val="24"/>
          <w:lang w:val="en-GB"/>
        </w:rPr>
        <w:lastRenderedPageBreak/>
        <w:t>Table 1</w:t>
      </w:r>
      <w:r w:rsidR="00306099" w:rsidRPr="0049263A">
        <w:rPr>
          <w:rFonts w:ascii="Book Antiqua" w:hAnsi="Book Antiqua" w:cs="Arial" w:hint="eastAsia"/>
          <w:b/>
          <w:sz w:val="24"/>
          <w:szCs w:val="24"/>
          <w:lang w:val="en-GB" w:eastAsia="zh-CN"/>
        </w:rPr>
        <w:t xml:space="preserve"> </w:t>
      </w:r>
      <w:r w:rsidRPr="0049263A">
        <w:rPr>
          <w:rFonts w:ascii="Book Antiqua" w:hAnsi="Book Antiqua" w:cs="Arial"/>
          <w:b/>
          <w:sz w:val="24"/>
          <w:szCs w:val="24"/>
          <w:lang w:val="en-GB"/>
        </w:rPr>
        <w:t>Preoperative fibrinogen plasma levels (mg/</w:t>
      </w:r>
      <w:proofErr w:type="spellStart"/>
      <w:r w:rsidRPr="0049263A">
        <w:rPr>
          <w:rFonts w:ascii="Book Antiqua" w:hAnsi="Book Antiqua" w:cs="Arial"/>
          <w:b/>
          <w:sz w:val="24"/>
          <w:szCs w:val="24"/>
          <w:lang w:val="en-GB"/>
        </w:rPr>
        <w:t>dL</w:t>
      </w:r>
      <w:proofErr w:type="spellEnd"/>
      <w:r w:rsidRPr="0049263A">
        <w:rPr>
          <w:rFonts w:ascii="Book Antiqua" w:hAnsi="Book Antiqua" w:cs="Arial"/>
          <w:b/>
          <w:sz w:val="24"/>
          <w:szCs w:val="24"/>
          <w:lang w:val="en-GB"/>
        </w:rPr>
        <w:t>) according to the main demographic and clinical characteristics of the 652 patients under study</w:t>
      </w:r>
      <w:r w:rsidR="00306099" w:rsidRPr="0049263A">
        <w:rPr>
          <w:rFonts w:ascii="Book Antiqua" w:hAnsi="Book Antiqua" w:cs="Arial" w:hint="eastAsia"/>
          <w:b/>
          <w:sz w:val="24"/>
          <w:szCs w:val="24"/>
          <w:vertAlign w:val="superscript"/>
          <w:lang w:val="en-GB" w:eastAsia="zh-CN"/>
        </w:rPr>
        <w:t>1</w:t>
      </w:r>
    </w:p>
    <w:tbl>
      <w:tblPr>
        <w:tblW w:w="0" w:type="auto"/>
        <w:jc w:val="center"/>
        <w:tblBorders>
          <w:top w:val="single" w:sz="8" w:space="0" w:color="000000"/>
          <w:bottom w:val="single" w:sz="4" w:space="0" w:color="000000"/>
        </w:tblBorders>
        <w:tblLayout w:type="fixed"/>
        <w:tblCellMar>
          <w:left w:w="70" w:type="dxa"/>
          <w:right w:w="70" w:type="dxa"/>
        </w:tblCellMar>
        <w:tblLook w:val="0000" w:firstRow="0" w:lastRow="0" w:firstColumn="0" w:lastColumn="0" w:noHBand="0" w:noVBand="0"/>
      </w:tblPr>
      <w:tblGrid>
        <w:gridCol w:w="2962"/>
        <w:gridCol w:w="1537"/>
        <w:gridCol w:w="1537"/>
        <w:gridCol w:w="1537"/>
        <w:gridCol w:w="1552"/>
      </w:tblGrid>
      <w:tr w:rsidR="003777B7" w:rsidRPr="0049263A" w14:paraId="3468EE7F" w14:textId="77777777" w:rsidTr="0069564A">
        <w:trPr>
          <w:trHeight w:val="431"/>
          <w:tblHeader/>
          <w:jc w:val="center"/>
        </w:trPr>
        <w:tc>
          <w:tcPr>
            <w:tcW w:w="2962" w:type="dxa"/>
            <w:vMerge w:val="restart"/>
            <w:tcBorders>
              <w:top w:val="single" w:sz="8" w:space="0" w:color="000000"/>
              <w:bottom w:val="single" w:sz="8" w:space="0" w:color="000000"/>
            </w:tcBorders>
            <w:shd w:val="clear" w:color="auto" w:fill="auto"/>
            <w:vAlign w:val="bottom"/>
          </w:tcPr>
          <w:p w14:paraId="08C9E8CA" w14:textId="77777777" w:rsidR="0093205E" w:rsidRPr="0049263A" w:rsidRDefault="0093205E" w:rsidP="00AA734A">
            <w:pPr>
              <w:snapToGrid w:val="0"/>
              <w:spacing w:line="360" w:lineRule="auto"/>
              <w:ind w:left="175"/>
              <w:jc w:val="both"/>
              <w:rPr>
                <w:rFonts w:ascii="Book Antiqua" w:hAnsi="Book Antiqua" w:cs="Arial"/>
                <w:sz w:val="24"/>
                <w:szCs w:val="24"/>
                <w:lang w:val="en-GB"/>
              </w:rPr>
            </w:pPr>
          </w:p>
        </w:tc>
        <w:tc>
          <w:tcPr>
            <w:tcW w:w="1537" w:type="dxa"/>
            <w:vMerge w:val="restart"/>
            <w:tcBorders>
              <w:top w:val="single" w:sz="8" w:space="0" w:color="000000"/>
              <w:bottom w:val="single" w:sz="8" w:space="0" w:color="000000"/>
            </w:tcBorders>
            <w:shd w:val="clear" w:color="auto" w:fill="auto"/>
            <w:vAlign w:val="center"/>
          </w:tcPr>
          <w:p w14:paraId="44F44641" w14:textId="77777777" w:rsidR="0093205E" w:rsidRPr="0049263A" w:rsidRDefault="0093205E" w:rsidP="00306099">
            <w:pPr>
              <w:snapToGrid w:val="0"/>
              <w:spacing w:line="360" w:lineRule="auto"/>
              <w:jc w:val="center"/>
              <w:rPr>
                <w:rFonts w:ascii="Book Antiqua" w:hAnsi="Book Antiqua" w:cs="Arial"/>
                <w:b/>
                <w:sz w:val="24"/>
                <w:szCs w:val="24"/>
                <w:lang w:val="en-GB"/>
              </w:rPr>
            </w:pPr>
            <w:r w:rsidRPr="0049263A">
              <w:rPr>
                <w:rFonts w:ascii="Book Antiqua" w:hAnsi="Book Antiqua" w:cs="Arial"/>
                <w:b/>
                <w:sz w:val="24"/>
                <w:szCs w:val="24"/>
                <w:lang w:val="en-GB"/>
              </w:rPr>
              <w:t>No. of patients</w:t>
            </w:r>
          </w:p>
        </w:tc>
        <w:tc>
          <w:tcPr>
            <w:tcW w:w="3074" w:type="dxa"/>
            <w:gridSpan w:val="2"/>
            <w:tcBorders>
              <w:top w:val="single" w:sz="8" w:space="0" w:color="000000"/>
              <w:bottom w:val="single" w:sz="8" w:space="0" w:color="000000"/>
            </w:tcBorders>
            <w:shd w:val="clear" w:color="auto" w:fill="auto"/>
            <w:vAlign w:val="center"/>
          </w:tcPr>
          <w:p w14:paraId="6A380048" w14:textId="77777777" w:rsidR="0093205E" w:rsidRPr="0049263A" w:rsidRDefault="0093205E" w:rsidP="00306099">
            <w:pPr>
              <w:snapToGrid w:val="0"/>
              <w:spacing w:line="360" w:lineRule="auto"/>
              <w:jc w:val="center"/>
              <w:rPr>
                <w:rFonts w:ascii="Book Antiqua" w:hAnsi="Book Antiqua" w:cs="Arial"/>
                <w:b/>
                <w:i/>
                <w:sz w:val="24"/>
                <w:szCs w:val="24"/>
                <w:lang w:val="en-GB"/>
              </w:rPr>
            </w:pPr>
            <w:r w:rsidRPr="0049263A">
              <w:rPr>
                <w:rFonts w:ascii="Book Antiqua" w:hAnsi="Book Antiqua" w:cs="Arial"/>
                <w:b/>
                <w:sz w:val="24"/>
                <w:szCs w:val="24"/>
                <w:lang w:val="en-GB"/>
              </w:rPr>
              <w:t>Fibrinogen plasma level</w:t>
            </w:r>
          </w:p>
        </w:tc>
        <w:tc>
          <w:tcPr>
            <w:tcW w:w="1552" w:type="dxa"/>
            <w:vMerge w:val="restart"/>
            <w:tcBorders>
              <w:top w:val="single" w:sz="8" w:space="0" w:color="000000"/>
              <w:bottom w:val="single" w:sz="8" w:space="0" w:color="000000"/>
            </w:tcBorders>
            <w:shd w:val="clear" w:color="auto" w:fill="auto"/>
            <w:vAlign w:val="center"/>
          </w:tcPr>
          <w:p w14:paraId="016FADBD" w14:textId="77777777" w:rsidR="0093205E" w:rsidRPr="0049263A" w:rsidRDefault="0093205E" w:rsidP="00306099">
            <w:pPr>
              <w:snapToGrid w:val="0"/>
              <w:spacing w:line="360" w:lineRule="auto"/>
              <w:jc w:val="center"/>
              <w:rPr>
                <w:rFonts w:ascii="Book Antiqua" w:eastAsia="MS Mincho" w:hAnsi="Book Antiqua" w:cs="Arial"/>
                <w:b/>
                <w:sz w:val="24"/>
                <w:szCs w:val="24"/>
                <w:lang w:val="en-GB"/>
              </w:rPr>
            </w:pPr>
            <w:r w:rsidRPr="0049263A">
              <w:rPr>
                <w:rFonts w:ascii="Book Antiqua" w:hAnsi="Book Antiqua" w:cs="Arial"/>
                <w:b/>
                <w:i/>
                <w:sz w:val="24"/>
                <w:szCs w:val="24"/>
                <w:lang w:val="en-GB"/>
              </w:rPr>
              <w:t>P</w:t>
            </w:r>
            <w:r w:rsidRPr="0049263A">
              <w:rPr>
                <w:rFonts w:ascii="Book Antiqua" w:hAnsi="Book Antiqua" w:cs="Arial"/>
                <w:b/>
                <w:sz w:val="24"/>
                <w:szCs w:val="24"/>
                <w:lang w:val="en-GB"/>
              </w:rPr>
              <w:t xml:space="preserve"> value</w:t>
            </w:r>
          </w:p>
        </w:tc>
      </w:tr>
      <w:tr w:rsidR="003777B7" w:rsidRPr="0049263A" w14:paraId="17F7FD3D" w14:textId="77777777" w:rsidTr="0069564A">
        <w:trPr>
          <w:trHeight w:val="552"/>
          <w:jc w:val="center"/>
        </w:trPr>
        <w:tc>
          <w:tcPr>
            <w:tcW w:w="2962" w:type="dxa"/>
            <w:vMerge/>
            <w:tcBorders>
              <w:top w:val="single" w:sz="8" w:space="0" w:color="000000"/>
              <w:bottom w:val="single" w:sz="8" w:space="0" w:color="000000"/>
            </w:tcBorders>
            <w:shd w:val="clear" w:color="auto" w:fill="auto"/>
            <w:vAlign w:val="center"/>
          </w:tcPr>
          <w:p w14:paraId="389258E0" w14:textId="77777777" w:rsidR="0093205E" w:rsidRPr="0049263A" w:rsidRDefault="0093205E" w:rsidP="00AA734A">
            <w:pPr>
              <w:snapToGrid w:val="0"/>
              <w:spacing w:line="360" w:lineRule="auto"/>
              <w:ind w:left="175"/>
              <w:jc w:val="both"/>
              <w:rPr>
                <w:rFonts w:ascii="Book Antiqua" w:eastAsia="MS Mincho" w:hAnsi="Book Antiqua" w:cs="Arial"/>
                <w:sz w:val="24"/>
                <w:szCs w:val="24"/>
                <w:lang w:val="en-GB"/>
              </w:rPr>
            </w:pPr>
          </w:p>
        </w:tc>
        <w:tc>
          <w:tcPr>
            <w:tcW w:w="1537" w:type="dxa"/>
            <w:vMerge/>
            <w:tcBorders>
              <w:top w:val="single" w:sz="8" w:space="0" w:color="000000"/>
              <w:bottom w:val="single" w:sz="8" w:space="0" w:color="000000"/>
            </w:tcBorders>
            <w:shd w:val="clear" w:color="auto" w:fill="auto"/>
          </w:tcPr>
          <w:p w14:paraId="61686D71" w14:textId="77777777" w:rsidR="0093205E" w:rsidRPr="0049263A" w:rsidRDefault="0093205E" w:rsidP="00306099">
            <w:pPr>
              <w:snapToGrid w:val="0"/>
              <w:spacing w:line="360" w:lineRule="auto"/>
              <w:jc w:val="center"/>
              <w:rPr>
                <w:rFonts w:ascii="Book Antiqua" w:hAnsi="Book Antiqua" w:cs="Arial"/>
                <w:sz w:val="24"/>
                <w:szCs w:val="24"/>
                <w:lang w:val="en-GB"/>
              </w:rPr>
            </w:pPr>
          </w:p>
        </w:tc>
        <w:tc>
          <w:tcPr>
            <w:tcW w:w="1537" w:type="dxa"/>
            <w:tcBorders>
              <w:top w:val="single" w:sz="8" w:space="0" w:color="000000"/>
              <w:bottom w:val="single" w:sz="8" w:space="0" w:color="000000"/>
            </w:tcBorders>
            <w:shd w:val="clear" w:color="auto" w:fill="auto"/>
            <w:vAlign w:val="center"/>
          </w:tcPr>
          <w:p w14:paraId="7E3B64F5" w14:textId="77777777" w:rsidR="0093205E" w:rsidRPr="0049263A" w:rsidRDefault="0093205E" w:rsidP="00306099">
            <w:pPr>
              <w:snapToGrid w:val="0"/>
              <w:spacing w:line="360" w:lineRule="auto"/>
              <w:jc w:val="center"/>
              <w:rPr>
                <w:rFonts w:ascii="Book Antiqua" w:hAnsi="Book Antiqua" w:cs="Arial"/>
                <w:b/>
                <w:sz w:val="24"/>
                <w:szCs w:val="24"/>
                <w:lang w:val="en-GB"/>
              </w:rPr>
            </w:pPr>
            <w:r w:rsidRPr="0049263A">
              <w:rPr>
                <w:rFonts w:ascii="Book Antiqua" w:hAnsi="Book Antiqua" w:cs="Arial"/>
                <w:b/>
                <w:sz w:val="24"/>
                <w:szCs w:val="24"/>
                <w:lang w:val="en-GB"/>
              </w:rPr>
              <w:t>Mean value</w:t>
            </w:r>
          </w:p>
        </w:tc>
        <w:tc>
          <w:tcPr>
            <w:tcW w:w="1537" w:type="dxa"/>
            <w:tcBorders>
              <w:top w:val="single" w:sz="8" w:space="0" w:color="000000"/>
              <w:bottom w:val="single" w:sz="8" w:space="0" w:color="000000"/>
            </w:tcBorders>
            <w:shd w:val="clear" w:color="auto" w:fill="auto"/>
            <w:vAlign w:val="center"/>
          </w:tcPr>
          <w:p w14:paraId="479D1433" w14:textId="17708F0E" w:rsidR="0093205E" w:rsidRPr="0049263A" w:rsidRDefault="0093205E" w:rsidP="00306099">
            <w:pPr>
              <w:snapToGrid w:val="0"/>
              <w:spacing w:line="360" w:lineRule="auto"/>
              <w:jc w:val="center"/>
              <w:rPr>
                <w:rFonts w:ascii="Book Antiqua" w:hAnsi="Book Antiqua" w:cs="Arial"/>
                <w:b/>
                <w:sz w:val="24"/>
                <w:szCs w:val="24"/>
                <w:lang w:val="en-GB"/>
              </w:rPr>
            </w:pPr>
            <w:r w:rsidRPr="0049263A">
              <w:rPr>
                <w:rFonts w:ascii="Book Antiqua" w:hAnsi="Book Antiqua" w:cs="Arial"/>
                <w:b/>
                <w:sz w:val="24"/>
                <w:szCs w:val="24"/>
                <w:lang w:val="en-GB"/>
              </w:rPr>
              <w:t>±</w:t>
            </w:r>
            <w:r w:rsidR="00306099" w:rsidRPr="0049263A">
              <w:rPr>
                <w:rFonts w:ascii="Book Antiqua" w:hAnsi="Book Antiqua" w:cs="Arial" w:hint="eastAsia"/>
                <w:b/>
                <w:sz w:val="24"/>
                <w:szCs w:val="24"/>
                <w:lang w:val="en-GB" w:eastAsia="zh-CN"/>
              </w:rPr>
              <w:t xml:space="preserve"> </w:t>
            </w:r>
            <w:r w:rsidRPr="0049263A">
              <w:rPr>
                <w:rFonts w:ascii="Book Antiqua" w:hAnsi="Book Antiqua" w:cs="Arial"/>
                <w:b/>
                <w:sz w:val="24"/>
                <w:szCs w:val="24"/>
                <w:lang w:val="en-GB"/>
              </w:rPr>
              <w:t>SD</w:t>
            </w:r>
          </w:p>
        </w:tc>
        <w:tc>
          <w:tcPr>
            <w:tcW w:w="1552" w:type="dxa"/>
            <w:vMerge/>
            <w:tcBorders>
              <w:top w:val="single" w:sz="8" w:space="0" w:color="000000"/>
              <w:bottom w:val="single" w:sz="8" w:space="0" w:color="000000"/>
            </w:tcBorders>
            <w:shd w:val="clear" w:color="auto" w:fill="auto"/>
            <w:vAlign w:val="center"/>
          </w:tcPr>
          <w:p w14:paraId="701CB27B" w14:textId="77777777" w:rsidR="0093205E" w:rsidRPr="0049263A" w:rsidRDefault="0093205E" w:rsidP="00306099">
            <w:pPr>
              <w:snapToGrid w:val="0"/>
              <w:spacing w:line="360" w:lineRule="auto"/>
              <w:jc w:val="center"/>
              <w:rPr>
                <w:rFonts w:ascii="Book Antiqua" w:hAnsi="Book Antiqua" w:cs="Arial"/>
                <w:sz w:val="24"/>
                <w:szCs w:val="24"/>
                <w:lang w:val="en-GB"/>
              </w:rPr>
            </w:pPr>
          </w:p>
        </w:tc>
      </w:tr>
      <w:tr w:rsidR="003777B7" w:rsidRPr="0049263A" w14:paraId="6202A863" w14:textId="77777777" w:rsidTr="0069564A">
        <w:trPr>
          <w:trHeight w:hRule="exact" w:val="340"/>
          <w:jc w:val="center"/>
        </w:trPr>
        <w:tc>
          <w:tcPr>
            <w:tcW w:w="2962" w:type="dxa"/>
            <w:tcBorders>
              <w:top w:val="single" w:sz="8" w:space="0" w:color="000000"/>
              <w:bottom w:val="nil"/>
            </w:tcBorders>
            <w:shd w:val="clear" w:color="auto" w:fill="auto"/>
            <w:vAlign w:val="center"/>
          </w:tcPr>
          <w:p w14:paraId="720984DC" w14:textId="6E3ADCD9" w:rsidR="0093205E" w:rsidRPr="0049263A" w:rsidRDefault="00306099" w:rsidP="00AA734A">
            <w:pPr>
              <w:snapToGrid w:val="0"/>
              <w:spacing w:line="360" w:lineRule="auto"/>
              <w:jc w:val="both"/>
              <w:rPr>
                <w:rFonts w:ascii="Book Antiqua" w:hAnsi="Book Antiqua" w:cs="Arial"/>
                <w:i/>
                <w:sz w:val="24"/>
                <w:szCs w:val="24"/>
                <w:lang w:val="en-GB"/>
              </w:rPr>
            </w:pPr>
            <w:r w:rsidRPr="0049263A">
              <w:rPr>
                <w:rFonts w:ascii="Book Antiqua" w:hAnsi="Book Antiqua" w:cs="Arial"/>
                <w:sz w:val="24"/>
                <w:szCs w:val="24"/>
                <w:lang w:val="en-GB"/>
              </w:rPr>
              <w:t>Age (</w:t>
            </w:r>
            <w:proofErr w:type="spellStart"/>
            <w:r w:rsidRPr="0049263A">
              <w:rPr>
                <w:rFonts w:ascii="Book Antiqua" w:hAnsi="Book Antiqua" w:cs="Arial"/>
                <w:sz w:val="24"/>
                <w:szCs w:val="24"/>
                <w:lang w:val="en-GB"/>
              </w:rPr>
              <w:t>yr</w:t>
            </w:r>
            <w:proofErr w:type="spellEnd"/>
            <w:r w:rsidR="0093205E" w:rsidRPr="0049263A">
              <w:rPr>
                <w:rFonts w:ascii="Book Antiqua" w:hAnsi="Book Antiqua" w:cs="Arial"/>
                <w:sz w:val="24"/>
                <w:szCs w:val="24"/>
                <w:lang w:val="en-GB"/>
              </w:rPr>
              <w:t>)</w:t>
            </w:r>
          </w:p>
        </w:tc>
        <w:tc>
          <w:tcPr>
            <w:tcW w:w="1537" w:type="dxa"/>
            <w:tcBorders>
              <w:top w:val="single" w:sz="8" w:space="0" w:color="000000"/>
              <w:bottom w:val="nil"/>
            </w:tcBorders>
            <w:shd w:val="clear" w:color="auto" w:fill="auto"/>
          </w:tcPr>
          <w:p w14:paraId="723AD15F" w14:textId="77777777" w:rsidR="0093205E" w:rsidRPr="0049263A" w:rsidRDefault="0093205E" w:rsidP="00306099">
            <w:pPr>
              <w:snapToGrid w:val="0"/>
              <w:spacing w:line="360" w:lineRule="auto"/>
              <w:jc w:val="center"/>
              <w:rPr>
                <w:rFonts w:ascii="Book Antiqua" w:hAnsi="Book Antiqua" w:cs="Arial"/>
                <w:i/>
                <w:sz w:val="24"/>
                <w:szCs w:val="24"/>
                <w:lang w:val="en-GB"/>
              </w:rPr>
            </w:pPr>
          </w:p>
        </w:tc>
        <w:tc>
          <w:tcPr>
            <w:tcW w:w="1537" w:type="dxa"/>
            <w:tcBorders>
              <w:top w:val="single" w:sz="8" w:space="0" w:color="000000"/>
              <w:bottom w:val="nil"/>
            </w:tcBorders>
            <w:shd w:val="clear" w:color="auto" w:fill="auto"/>
          </w:tcPr>
          <w:p w14:paraId="557F279D" w14:textId="77777777" w:rsidR="0093205E" w:rsidRPr="0049263A" w:rsidRDefault="0093205E" w:rsidP="00306099">
            <w:pPr>
              <w:snapToGrid w:val="0"/>
              <w:spacing w:line="360" w:lineRule="auto"/>
              <w:jc w:val="center"/>
              <w:rPr>
                <w:rFonts w:ascii="Book Antiqua" w:hAnsi="Book Antiqua" w:cs="Arial"/>
                <w:i/>
                <w:sz w:val="24"/>
                <w:szCs w:val="24"/>
                <w:lang w:val="en-GB"/>
              </w:rPr>
            </w:pPr>
          </w:p>
        </w:tc>
        <w:tc>
          <w:tcPr>
            <w:tcW w:w="1537" w:type="dxa"/>
            <w:tcBorders>
              <w:top w:val="single" w:sz="8" w:space="0" w:color="000000"/>
              <w:bottom w:val="nil"/>
            </w:tcBorders>
            <w:shd w:val="clear" w:color="auto" w:fill="auto"/>
          </w:tcPr>
          <w:p w14:paraId="0A1FA6DA" w14:textId="77777777" w:rsidR="0093205E" w:rsidRPr="0049263A" w:rsidRDefault="0093205E" w:rsidP="00306099">
            <w:pPr>
              <w:snapToGrid w:val="0"/>
              <w:spacing w:line="360" w:lineRule="auto"/>
              <w:jc w:val="center"/>
              <w:rPr>
                <w:rFonts w:ascii="Book Antiqua" w:hAnsi="Book Antiqua" w:cs="Arial"/>
                <w:i/>
                <w:sz w:val="24"/>
                <w:szCs w:val="24"/>
                <w:lang w:val="en-GB"/>
              </w:rPr>
            </w:pPr>
          </w:p>
        </w:tc>
        <w:tc>
          <w:tcPr>
            <w:tcW w:w="1552" w:type="dxa"/>
            <w:tcBorders>
              <w:top w:val="single" w:sz="8" w:space="0" w:color="000000"/>
              <w:bottom w:val="nil"/>
            </w:tcBorders>
            <w:shd w:val="clear" w:color="auto" w:fill="auto"/>
            <w:vAlign w:val="center"/>
          </w:tcPr>
          <w:p w14:paraId="7B50B37C" w14:textId="77777777" w:rsidR="0093205E" w:rsidRPr="0049263A" w:rsidRDefault="0093205E" w:rsidP="00306099">
            <w:pPr>
              <w:snapToGrid w:val="0"/>
              <w:spacing w:line="360" w:lineRule="auto"/>
              <w:jc w:val="center"/>
              <w:rPr>
                <w:rFonts w:ascii="Book Antiqua" w:eastAsia="MS Mincho" w:hAnsi="Book Antiqua" w:cs="Arial"/>
                <w:sz w:val="24"/>
                <w:szCs w:val="24"/>
                <w:lang w:val="en-GB"/>
              </w:rPr>
            </w:pPr>
            <w:r w:rsidRPr="0049263A">
              <w:rPr>
                <w:rFonts w:ascii="Book Antiqua" w:hAnsi="Book Antiqua" w:cs="Arial"/>
                <w:i/>
                <w:sz w:val="24"/>
                <w:szCs w:val="24"/>
                <w:lang w:val="en-GB"/>
              </w:rPr>
              <w:t>P</w:t>
            </w:r>
            <w:r w:rsidRPr="0049263A">
              <w:rPr>
                <w:rFonts w:ascii="Book Antiqua" w:hAnsi="Book Antiqua" w:cs="Arial"/>
                <w:sz w:val="24"/>
                <w:szCs w:val="24"/>
                <w:lang w:val="en-GB"/>
              </w:rPr>
              <w:t xml:space="preserve"> = 0.003</w:t>
            </w:r>
          </w:p>
        </w:tc>
      </w:tr>
      <w:tr w:rsidR="003777B7" w:rsidRPr="0049263A" w14:paraId="0D5EEC5B" w14:textId="77777777" w:rsidTr="0069564A">
        <w:trPr>
          <w:trHeight w:hRule="exact" w:val="340"/>
          <w:jc w:val="center"/>
        </w:trPr>
        <w:tc>
          <w:tcPr>
            <w:tcW w:w="2962" w:type="dxa"/>
            <w:tcBorders>
              <w:top w:val="nil"/>
            </w:tcBorders>
            <w:shd w:val="clear" w:color="auto" w:fill="auto"/>
            <w:vAlign w:val="center"/>
          </w:tcPr>
          <w:p w14:paraId="538E5D48" w14:textId="77777777" w:rsidR="00306099" w:rsidRPr="0049263A" w:rsidRDefault="00306099" w:rsidP="00306099">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 68.8</w:t>
            </w:r>
          </w:p>
        </w:tc>
        <w:tc>
          <w:tcPr>
            <w:tcW w:w="1537" w:type="dxa"/>
            <w:tcBorders>
              <w:top w:val="nil"/>
            </w:tcBorders>
            <w:shd w:val="clear" w:color="auto" w:fill="auto"/>
          </w:tcPr>
          <w:p w14:paraId="179D7397"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326</w:t>
            </w:r>
          </w:p>
        </w:tc>
        <w:tc>
          <w:tcPr>
            <w:tcW w:w="1537" w:type="dxa"/>
            <w:tcBorders>
              <w:top w:val="nil"/>
            </w:tcBorders>
            <w:shd w:val="clear" w:color="auto" w:fill="auto"/>
          </w:tcPr>
          <w:p w14:paraId="0E6838EE"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412.1</w:t>
            </w:r>
          </w:p>
        </w:tc>
        <w:tc>
          <w:tcPr>
            <w:tcW w:w="1537" w:type="dxa"/>
            <w:tcBorders>
              <w:top w:val="nil"/>
            </w:tcBorders>
            <w:shd w:val="clear" w:color="auto" w:fill="auto"/>
          </w:tcPr>
          <w:p w14:paraId="4F5CCA77"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119.8</w:t>
            </w:r>
          </w:p>
        </w:tc>
        <w:tc>
          <w:tcPr>
            <w:tcW w:w="1552" w:type="dxa"/>
            <w:tcBorders>
              <w:top w:val="nil"/>
            </w:tcBorders>
            <w:shd w:val="clear" w:color="auto" w:fill="auto"/>
            <w:vAlign w:val="center"/>
          </w:tcPr>
          <w:p w14:paraId="35D0266D" w14:textId="77777777" w:rsidR="00306099" w:rsidRPr="0049263A" w:rsidRDefault="00306099" w:rsidP="00306099">
            <w:pPr>
              <w:snapToGrid w:val="0"/>
              <w:spacing w:line="360" w:lineRule="auto"/>
              <w:jc w:val="center"/>
              <w:rPr>
                <w:rFonts w:ascii="Book Antiqua" w:hAnsi="Book Antiqua" w:cs="Arial"/>
                <w:sz w:val="24"/>
                <w:szCs w:val="24"/>
                <w:lang w:val="en-GB"/>
              </w:rPr>
            </w:pPr>
          </w:p>
        </w:tc>
      </w:tr>
      <w:tr w:rsidR="003777B7" w:rsidRPr="0049263A" w14:paraId="146CFD6D" w14:textId="77777777" w:rsidTr="0069564A">
        <w:trPr>
          <w:trHeight w:hRule="exact" w:val="340"/>
          <w:jc w:val="center"/>
        </w:trPr>
        <w:tc>
          <w:tcPr>
            <w:tcW w:w="2962" w:type="dxa"/>
            <w:shd w:val="clear" w:color="auto" w:fill="auto"/>
            <w:vAlign w:val="center"/>
          </w:tcPr>
          <w:p w14:paraId="065EEABE" w14:textId="77777777" w:rsidR="00306099" w:rsidRPr="0049263A" w:rsidRDefault="00306099" w:rsidP="00306099">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&gt; 68.8</w:t>
            </w:r>
          </w:p>
        </w:tc>
        <w:tc>
          <w:tcPr>
            <w:tcW w:w="1537" w:type="dxa"/>
            <w:shd w:val="clear" w:color="auto" w:fill="auto"/>
          </w:tcPr>
          <w:p w14:paraId="02604090"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326</w:t>
            </w:r>
          </w:p>
        </w:tc>
        <w:tc>
          <w:tcPr>
            <w:tcW w:w="1537" w:type="dxa"/>
            <w:shd w:val="clear" w:color="auto" w:fill="auto"/>
          </w:tcPr>
          <w:p w14:paraId="41997701"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440.3</w:t>
            </w:r>
          </w:p>
        </w:tc>
        <w:tc>
          <w:tcPr>
            <w:tcW w:w="1537" w:type="dxa"/>
            <w:shd w:val="clear" w:color="auto" w:fill="auto"/>
          </w:tcPr>
          <w:p w14:paraId="37773F07"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125.1</w:t>
            </w:r>
          </w:p>
        </w:tc>
        <w:tc>
          <w:tcPr>
            <w:tcW w:w="1552" w:type="dxa"/>
            <w:shd w:val="clear" w:color="auto" w:fill="auto"/>
            <w:vAlign w:val="center"/>
          </w:tcPr>
          <w:p w14:paraId="74B9BBF8" w14:textId="77777777" w:rsidR="00306099" w:rsidRPr="0049263A" w:rsidRDefault="00306099" w:rsidP="00306099">
            <w:pPr>
              <w:snapToGrid w:val="0"/>
              <w:spacing w:line="360" w:lineRule="auto"/>
              <w:jc w:val="center"/>
              <w:rPr>
                <w:rFonts w:ascii="Book Antiqua" w:hAnsi="Book Antiqua" w:cs="Arial"/>
                <w:sz w:val="24"/>
                <w:szCs w:val="24"/>
                <w:lang w:val="en-GB"/>
              </w:rPr>
            </w:pPr>
          </w:p>
        </w:tc>
      </w:tr>
      <w:tr w:rsidR="003777B7" w:rsidRPr="0049263A" w14:paraId="71C34A1D" w14:textId="77777777" w:rsidTr="0069564A">
        <w:trPr>
          <w:trHeight w:hRule="exact" w:val="340"/>
          <w:jc w:val="center"/>
        </w:trPr>
        <w:tc>
          <w:tcPr>
            <w:tcW w:w="2962" w:type="dxa"/>
            <w:shd w:val="clear" w:color="auto" w:fill="auto"/>
            <w:vAlign w:val="center"/>
          </w:tcPr>
          <w:p w14:paraId="3442FA77" w14:textId="77777777" w:rsidR="0093205E" w:rsidRPr="0049263A" w:rsidRDefault="0093205E" w:rsidP="00AA734A">
            <w:pPr>
              <w:snapToGrid w:val="0"/>
              <w:spacing w:line="360" w:lineRule="auto"/>
              <w:jc w:val="both"/>
              <w:rPr>
                <w:rFonts w:ascii="Book Antiqua" w:hAnsi="Book Antiqua" w:cs="Arial"/>
                <w:i/>
                <w:sz w:val="24"/>
                <w:szCs w:val="24"/>
                <w:lang w:val="en-GB"/>
              </w:rPr>
            </w:pPr>
            <w:r w:rsidRPr="0049263A">
              <w:rPr>
                <w:rFonts w:ascii="Book Antiqua" w:hAnsi="Book Antiqua" w:cs="Arial"/>
                <w:sz w:val="24"/>
                <w:szCs w:val="24"/>
                <w:lang w:val="en-GB"/>
              </w:rPr>
              <w:t>Gender</w:t>
            </w:r>
          </w:p>
        </w:tc>
        <w:tc>
          <w:tcPr>
            <w:tcW w:w="1537" w:type="dxa"/>
            <w:shd w:val="clear" w:color="auto" w:fill="auto"/>
          </w:tcPr>
          <w:p w14:paraId="088F8618" w14:textId="77777777" w:rsidR="0093205E" w:rsidRPr="0049263A" w:rsidRDefault="0093205E" w:rsidP="00306099">
            <w:pPr>
              <w:snapToGrid w:val="0"/>
              <w:spacing w:line="360" w:lineRule="auto"/>
              <w:jc w:val="center"/>
              <w:rPr>
                <w:rFonts w:ascii="Book Antiqua" w:hAnsi="Book Antiqua" w:cs="Arial"/>
                <w:i/>
                <w:sz w:val="24"/>
                <w:szCs w:val="24"/>
                <w:lang w:val="en-GB"/>
              </w:rPr>
            </w:pPr>
          </w:p>
        </w:tc>
        <w:tc>
          <w:tcPr>
            <w:tcW w:w="1537" w:type="dxa"/>
            <w:shd w:val="clear" w:color="auto" w:fill="auto"/>
          </w:tcPr>
          <w:p w14:paraId="0517F88D" w14:textId="77777777" w:rsidR="0093205E" w:rsidRPr="0049263A" w:rsidRDefault="0093205E" w:rsidP="00306099">
            <w:pPr>
              <w:snapToGrid w:val="0"/>
              <w:spacing w:line="360" w:lineRule="auto"/>
              <w:jc w:val="center"/>
              <w:rPr>
                <w:rFonts w:ascii="Book Antiqua" w:hAnsi="Book Antiqua" w:cs="Arial"/>
                <w:i/>
                <w:sz w:val="24"/>
                <w:szCs w:val="24"/>
                <w:lang w:val="en-GB"/>
              </w:rPr>
            </w:pPr>
          </w:p>
        </w:tc>
        <w:tc>
          <w:tcPr>
            <w:tcW w:w="1537" w:type="dxa"/>
            <w:shd w:val="clear" w:color="auto" w:fill="auto"/>
          </w:tcPr>
          <w:p w14:paraId="03A6E4AF" w14:textId="77777777" w:rsidR="0093205E" w:rsidRPr="0049263A" w:rsidRDefault="0093205E" w:rsidP="00306099">
            <w:pPr>
              <w:snapToGrid w:val="0"/>
              <w:spacing w:line="360" w:lineRule="auto"/>
              <w:jc w:val="center"/>
              <w:rPr>
                <w:rFonts w:ascii="Book Antiqua" w:hAnsi="Book Antiqua" w:cs="Arial"/>
                <w:i/>
                <w:sz w:val="24"/>
                <w:szCs w:val="24"/>
                <w:lang w:val="en-GB"/>
              </w:rPr>
            </w:pPr>
          </w:p>
        </w:tc>
        <w:tc>
          <w:tcPr>
            <w:tcW w:w="1552" w:type="dxa"/>
            <w:shd w:val="clear" w:color="auto" w:fill="auto"/>
            <w:vAlign w:val="center"/>
          </w:tcPr>
          <w:p w14:paraId="349FCE8A" w14:textId="77777777" w:rsidR="0093205E" w:rsidRPr="0049263A" w:rsidRDefault="0093205E" w:rsidP="00306099">
            <w:pPr>
              <w:snapToGrid w:val="0"/>
              <w:spacing w:line="360" w:lineRule="auto"/>
              <w:jc w:val="center"/>
              <w:rPr>
                <w:rFonts w:ascii="Book Antiqua" w:eastAsia="MS Mincho" w:hAnsi="Book Antiqua" w:cs="Arial"/>
                <w:sz w:val="24"/>
                <w:szCs w:val="24"/>
                <w:lang w:val="en-GB"/>
              </w:rPr>
            </w:pPr>
            <w:r w:rsidRPr="0049263A">
              <w:rPr>
                <w:rFonts w:ascii="Book Antiqua" w:hAnsi="Book Antiqua" w:cs="Arial"/>
                <w:i/>
                <w:sz w:val="24"/>
                <w:szCs w:val="24"/>
                <w:lang w:val="en-GB"/>
              </w:rPr>
              <w:t>P</w:t>
            </w:r>
            <w:r w:rsidRPr="0049263A">
              <w:rPr>
                <w:rFonts w:ascii="Book Antiqua" w:hAnsi="Book Antiqua" w:cs="Arial"/>
                <w:sz w:val="24"/>
                <w:szCs w:val="24"/>
                <w:lang w:val="en-GB"/>
              </w:rPr>
              <w:t xml:space="preserve"> = 0.479</w:t>
            </w:r>
          </w:p>
        </w:tc>
      </w:tr>
      <w:tr w:rsidR="003777B7" w:rsidRPr="0049263A" w14:paraId="7243D37B" w14:textId="77777777" w:rsidTr="0069564A">
        <w:trPr>
          <w:trHeight w:hRule="exact" w:val="340"/>
          <w:jc w:val="center"/>
        </w:trPr>
        <w:tc>
          <w:tcPr>
            <w:tcW w:w="2962" w:type="dxa"/>
            <w:shd w:val="clear" w:color="auto" w:fill="auto"/>
            <w:vAlign w:val="center"/>
          </w:tcPr>
          <w:p w14:paraId="377D8D6E" w14:textId="77777777" w:rsidR="00306099" w:rsidRPr="0049263A" w:rsidRDefault="00306099" w:rsidP="00306099">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Male</w:t>
            </w:r>
          </w:p>
        </w:tc>
        <w:tc>
          <w:tcPr>
            <w:tcW w:w="1537" w:type="dxa"/>
            <w:shd w:val="clear" w:color="auto" w:fill="auto"/>
          </w:tcPr>
          <w:p w14:paraId="66A773AD"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373</w:t>
            </w:r>
          </w:p>
        </w:tc>
        <w:tc>
          <w:tcPr>
            <w:tcW w:w="1537" w:type="dxa"/>
            <w:shd w:val="clear" w:color="auto" w:fill="auto"/>
          </w:tcPr>
          <w:p w14:paraId="410D8EF6"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429.1</w:t>
            </w:r>
          </w:p>
        </w:tc>
        <w:tc>
          <w:tcPr>
            <w:tcW w:w="1537" w:type="dxa"/>
            <w:shd w:val="clear" w:color="auto" w:fill="auto"/>
          </w:tcPr>
          <w:p w14:paraId="40324869"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128.3</w:t>
            </w:r>
          </w:p>
        </w:tc>
        <w:tc>
          <w:tcPr>
            <w:tcW w:w="1552" w:type="dxa"/>
            <w:shd w:val="clear" w:color="auto" w:fill="auto"/>
            <w:vAlign w:val="center"/>
          </w:tcPr>
          <w:p w14:paraId="6410C433" w14:textId="77777777" w:rsidR="00306099" w:rsidRPr="0049263A" w:rsidRDefault="00306099" w:rsidP="00306099">
            <w:pPr>
              <w:snapToGrid w:val="0"/>
              <w:spacing w:line="360" w:lineRule="auto"/>
              <w:jc w:val="center"/>
              <w:rPr>
                <w:rFonts w:ascii="Book Antiqua" w:hAnsi="Book Antiqua" w:cs="Arial"/>
                <w:sz w:val="24"/>
                <w:szCs w:val="24"/>
                <w:lang w:val="en-GB"/>
              </w:rPr>
            </w:pPr>
          </w:p>
        </w:tc>
      </w:tr>
      <w:tr w:rsidR="003777B7" w:rsidRPr="0049263A" w14:paraId="73996133" w14:textId="77777777" w:rsidTr="0069564A">
        <w:trPr>
          <w:trHeight w:hRule="exact" w:val="340"/>
          <w:jc w:val="center"/>
        </w:trPr>
        <w:tc>
          <w:tcPr>
            <w:tcW w:w="2962" w:type="dxa"/>
            <w:shd w:val="clear" w:color="auto" w:fill="auto"/>
            <w:vAlign w:val="center"/>
          </w:tcPr>
          <w:p w14:paraId="575FD25A" w14:textId="77777777" w:rsidR="00306099" w:rsidRPr="0049263A" w:rsidRDefault="00306099" w:rsidP="00306099">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Female</w:t>
            </w:r>
          </w:p>
        </w:tc>
        <w:tc>
          <w:tcPr>
            <w:tcW w:w="1537" w:type="dxa"/>
            <w:shd w:val="clear" w:color="auto" w:fill="auto"/>
          </w:tcPr>
          <w:p w14:paraId="1215A110"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279</w:t>
            </w:r>
          </w:p>
        </w:tc>
        <w:tc>
          <w:tcPr>
            <w:tcW w:w="1537" w:type="dxa"/>
            <w:shd w:val="clear" w:color="auto" w:fill="auto"/>
          </w:tcPr>
          <w:p w14:paraId="62D09889"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422.2</w:t>
            </w:r>
          </w:p>
        </w:tc>
        <w:tc>
          <w:tcPr>
            <w:tcW w:w="1537" w:type="dxa"/>
            <w:shd w:val="clear" w:color="auto" w:fill="auto"/>
          </w:tcPr>
          <w:p w14:paraId="7778A2AC"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116.2</w:t>
            </w:r>
          </w:p>
        </w:tc>
        <w:tc>
          <w:tcPr>
            <w:tcW w:w="1552" w:type="dxa"/>
            <w:shd w:val="clear" w:color="auto" w:fill="auto"/>
            <w:vAlign w:val="center"/>
          </w:tcPr>
          <w:p w14:paraId="6A0597B1" w14:textId="77777777" w:rsidR="00306099" w:rsidRPr="0049263A" w:rsidRDefault="00306099" w:rsidP="00306099">
            <w:pPr>
              <w:snapToGrid w:val="0"/>
              <w:spacing w:line="360" w:lineRule="auto"/>
              <w:jc w:val="center"/>
              <w:rPr>
                <w:rFonts w:ascii="Book Antiqua" w:hAnsi="Book Antiqua" w:cs="Arial"/>
                <w:sz w:val="24"/>
                <w:szCs w:val="24"/>
                <w:lang w:val="en-GB"/>
              </w:rPr>
            </w:pPr>
          </w:p>
        </w:tc>
      </w:tr>
      <w:tr w:rsidR="003777B7" w:rsidRPr="0049263A" w14:paraId="29FA0BF7" w14:textId="77777777" w:rsidTr="0069564A">
        <w:trPr>
          <w:trHeight w:hRule="exact" w:val="340"/>
          <w:jc w:val="center"/>
        </w:trPr>
        <w:tc>
          <w:tcPr>
            <w:tcW w:w="2962" w:type="dxa"/>
            <w:shd w:val="clear" w:color="auto" w:fill="auto"/>
            <w:vAlign w:val="center"/>
          </w:tcPr>
          <w:p w14:paraId="5E32E40D" w14:textId="77777777" w:rsidR="0093205E" w:rsidRPr="0049263A" w:rsidRDefault="0093205E" w:rsidP="00AA734A">
            <w:pPr>
              <w:snapToGrid w:val="0"/>
              <w:spacing w:line="360" w:lineRule="auto"/>
              <w:jc w:val="both"/>
              <w:rPr>
                <w:rFonts w:ascii="Book Antiqua" w:hAnsi="Book Antiqua" w:cs="Arial"/>
                <w:i/>
                <w:sz w:val="24"/>
                <w:szCs w:val="24"/>
                <w:lang w:val="en-GB"/>
              </w:rPr>
            </w:pPr>
            <w:r w:rsidRPr="0049263A">
              <w:rPr>
                <w:rFonts w:ascii="Book Antiqua" w:hAnsi="Book Antiqua" w:cs="Arial"/>
                <w:sz w:val="24"/>
                <w:szCs w:val="24"/>
                <w:lang w:val="en-GB"/>
              </w:rPr>
              <w:t>Tumour location</w:t>
            </w:r>
          </w:p>
        </w:tc>
        <w:tc>
          <w:tcPr>
            <w:tcW w:w="1537" w:type="dxa"/>
            <w:shd w:val="clear" w:color="auto" w:fill="auto"/>
          </w:tcPr>
          <w:p w14:paraId="6163B0BF" w14:textId="77777777" w:rsidR="0093205E" w:rsidRPr="0049263A" w:rsidRDefault="0093205E" w:rsidP="00306099">
            <w:pPr>
              <w:snapToGrid w:val="0"/>
              <w:spacing w:line="360" w:lineRule="auto"/>
              <w:jc w:val="center"/>
              <w:rPr>
                <w:rFonts w:ascii="Book Antiqua" w:hAnsi="Book Antiqua" w:cs="Arial"/>
                <w:i/>
                <w:sz w:val="24"/>
                <w:szCs w:val="24"/>
                <w:lang w:val="en-GB"/>
              </w:rPr>
            </w:pPr>
          </w:p>
        </w:tc>
        <w:tc>
          <w:tcPr>
            <w:tcW w:w="1537" w:type="dxa"/>
            <w:shd w:val="clear" w:color="auto" w:fill="auto"/>
          </w:tcPr>
          <w:p w14:paraId="48806A0D" w14:textId="77777777" w:rsidR="0093205E" w:rsidRPr="0049263A" w:rsidRDefault="0093205E" w:rsidP="00306099">
            <w:pPr>
              <w:snapToGrid w:val="0"/>
              <w:spacing w:line="360" w:lineRule="auto"/>
              <w:jc w:val="center"/>
              <w:rPr>
                <w:rFonts w:ascii="Book Antiqua" w:hAnsi="Book Antiqua" w:cs="Arial"/>
                <w:i/>
                <w:sz w:val="24"/>
                <w:szCs w:val="24"/>
                <w:lang w:val="en-GB"/>
              </w:rPr>
            </w:pPr>
          </w:p>
        </w:tc>
        <w:tc>
          <w:tcPr>
            <w:tcW w:w="1537" w:type="dxa"/>
            <w:shd w:val="clear" w:color="auto" w:fill="auto"/>
          </w:tcPr>
          <w:p w14:paraId="01714653" w14:textId="77777777" w:rsidR="0093205E" w:rsidRPr="0049263A" w:rsidRDefault="0093205E" w:rsidP="00306099">
            <w:pPr>
              <w:snapToGrid w:val="0"/>
              <w:spacing w:line="360" w:lineRule="auto"/>
              <w:jc w:val="center"/>
              <w:rPr>
                <w:rFonts w:ascii="Book Antiqua" w:hAnsi="Book Antiqua" w:cs="Arial"/>
                <w:i/>
                <w:sz w:val="24"/>
                <w:szCs w:val="24"/>
                <w:lang w:val="en-GB"/>
              </w:rPr>
            </w:pPr>
          </w:p>
        </w:tc>
        <w:tc>
          <w:tcPr>
            <w:tcW w:w="1552" w:type="dxa"/>
            <w:shd w:val="clear" w:color="auto" w:fill="auto"/>
            <w:vAlign w:val="center"/>
          </w:tcPr>
          <w:p w14:paraId="71A38A35" w14:textId="77777777" w:rsidR="0093205E" w:rsidRPr="0049263A" w:rsidRDefault="0093205E" w:rsidP="00306099">
            <w:pPr>
              <w:snapToGrid w:val="0"/>
              <w:spacing w:line="360" w:lineRule="auto"/>
              <w:jc w:val="center"/>
              <w:rPr>
                <w:rFonts w:ascii="Book Antiqua" w:eastAsia="MS Mincho" w:hAnsi="Book Antiqua" w:cs="Arial"/>
                <w:sz w:val="24"/>
                <w:szCs w:val="24"/>
                <w:lang w:val="en-GB"/>
              </w:rPr>
            </w:pPr>
            <w:r w:rsidRPr="0049263A">
              <w:rPr>
                <w:rFonts w:ascii="Book Antiqua" w:hAnsi="Book Antiqua" w:cs="Arial"/>
                <w:i/>
                <w:sz w:val="24"/>
                <w:szCs w:val="24"/>
                <w:lang w:val="en-GB"/>
              </w:rPr>
              <w:t>P</w:t>
            </w:r>
            <w:r w:rsidRPr="0049263A">
              <w:rPr>
                <w:rFonts w:ascii="Book Antiqua" w:hAnsi="Book Antiqua" w:cs="Arial"/>
                <w:sz w:val="24"/>
                <w:szCs w:val="24"/>
                <w:lang w:val="en-GB"/>
              </w:rPr>
              <w:t xml:space="preserve"> = 0.111</w:t>
            </w:r>
          </w:p>
        </w:tc>
      </w:tr>
      <w:tr w:rsidR="003777B7" w:rsidRPr="0049263A" w14:paraId="2265ACA3" w14:textId="77777777" w:rsidTr="0069564A">
        <w:trPr>
          <w:trHeight w:hRule="exact" w:val="340"/>
          <w:jc w:val="center"/>
        </w:trPr>
        <w:tc>
          <w:tcPr>
            <w:tcW w:w="2962" w:type="dxa"/>
            <w:shd w:val="clear" w:color="auto" w:fill="auto"/>
            <w:vAlign w:val="center"/>
          </w:tcPr>
          <w:p w14:paraId="271263A1" w14:textId="77777777" w:rsidR="00306099" w:rsidRPr="0049263A" w:rsidRDefault="00306099" w:rsidP="00306099">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Colon</w:t>
            </w:r>
          </w:p>
        </w:tc>
        <w:tc>
          <w:tcPr>
            <w:tcW w:w="1537" w:type="dxa"/>
            <w:shd w:val="clear" w:color="auto" w:fill="auto"/>
          </w:tcPr>
          <w:p w14:paraId="0784CDAA"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536</w:t>
            </w:r>
          </w:p>
        </w:tc>
        <w:tc>
          <w:tcPr>
            <w:tcW w:w="1537" w:type="dxa"/>
            <w:shd w:val="clear" w:color="auto" w:fill="auto"/>
          </w:tcPr>
          <w:p w14:paraId="0CD2B2C0"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429.8</w:t>
            </w:r>
          </w:p>
        </w:tc>
        <w:tc>
          <w:tcPr>
            <w:tcW w:w="1537" w:type="dxa"/>
            <w:shd w:val="clear" w:color="auto" w:fill="auto"/>
          </w:tcPr>
          <w:p w14:paraId="0A2027E0"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125.0</w:t>
            </w:r>
          </w:p>
        </w:tc>
        <w:tc>
          <w:tcPr>
            <w:tcW w:w="1552" w:type="dxa"/>
            <w:shd w:val="clear" w:color="auto" w:fill="auto"/>
            <w:vAlign w:val="center"/>
          </w:tcPr>
          <w:p w14:paraId="0EA671BA" w14:textId="77777777" w:rsidR="00306099" w:rsidRPr="0049263A" w:rsidRDefault="00306099" w:rsidP="00306099">
            <w:pPr>
              <w:snapToGrid w:val="0"/>
              <w:spacing w:line="360" w:lineRule="auto"/>
              <w:jc w:val="center"/>
              <w:rPr>
                <w:rFonts w:ascii="Book Antiqua" w:hAnsi="Book Antiqua" w:cs="Arial"/>
                <w:sz w:val="24"/>
                <w:szCs w:val="24"/>
                <w:lang w:val="en-GB"/>
              </w:rPr>
            </w:pPr>
          </w:p>
        </w:tc>
      </w:tr>
      <w:tr w:rsidR="003777B7" w:rsidRPr="0049263A" w14:paraId="3CF37D79" w14:textId="77777777" w:rsidTr="0069564A">
        <w:trPr>
          <w:trHeight w:hRule="exact" w:val="340"/>
          <w:jc w:val="center"/>
        </w:trPr>
        <w:tc>
          <w:tcPr>
            <w:tcW w:w="2962" w:type="dxa"/>
            <w:shd w:val="clear" w:color="auto" w:fill="auto"/>
            <w:vAlign w:val="center"/>
          </w:tcPr>
          <w:p w14:paraId="61F18FED" w14:textId="77777777" w:rsidR="00306099" w:rsidRPr="0049263A" w:rsidRDefault="00306099" w:rsidP="00306099">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Rectum</w:t>
            </w:r>
          </w:p>
        </w:tc>
        <w:tc>
          <w:tcPr>
            <w:tcW w:w="1537" w:type="dxa"/>
            <w:shd w:val="clear" w:color="auto" w:fill="auto"/>
          </w:tcPr>
          <w:p w14:paraId="0B2B5DE7"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116</w:t>
            </w:r>
          </w:p>
        </w:tc>
        <w:tc>
          <w:tcPr>
            <w:tcW w:w="1537" w:type="dxa"/>
            <w:shd w:val="clear" w:color="auto" w:fill="auto"/>
          </w:tcPr>
          <w:p w14:paraId="19BE227D"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409.6</w:t>
            </w:r>
          </w:p>
        </w:tc>
        <w:tc>
          <w:tcPr>
            <w:tcW w:w="1537" w:type="dxa"/>
            <w:shd w:val="clear" w:color="auto" w:fill="auto"/>
          </w:tcPr>
          <w:p w14:paraId="2E3DD866"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113.7</w:t>
            </w:r>
          </w:p>
        </w:tc>
        <w:tc>
          <w:tcPr>
            <w:tcW w:w="1552" w:type="dxa"/>
            <w:shd w:val="clear" w:color="auto" w:fill="auto"/>
            <w:vAlign w:val="center"/>
          </w:tcPr>
          <w:p w14:paraId="15A3835E" w14:textId="77777777" w:rsidR="00306099" w:rsidRPr="0049263A" w:rsidRDefault="00306099" w:rsidP="00306099">
            <w:pPr>
              <w:snapToGrid w:val="0"/>
              <w:spacing w:line="360" w:lineRule="auto"/>
              <w:jc w:val="center"/>
              <w:rPr>
                <w:rFonts w:ascii="Book Antiqua" w:hAnsi="Book Antiqua" w:cs="Arial"/>
                <w:sz w:val="24"/>
                <w:szCs w:val="24"/>
                <w:lang w:val="en-GB"/>
              </w:rPr>
            </w:pPr>
          </w:p>
        </w:tc>
      </w:tr>
      <w:tr w:rsidR="003777B7" w:rsidRPr="0049263A" w14:paraId="19B4DD3B" w14:textId="77777777" w:rsidTr="0069564A">
        <w:trPr>
          <w:trHeight w:hRule="exact" w:val="340"/>
          <w:jc w:val="center"/>
        </w:trPr>
        <w:tc>
          <w:tcPr>
            <w:tcW w:w="2962" w:type="dxa"/>
            <w:shd w:val="clear" w:color="auto" w:fill="auto"/>
            <w:vAlign w:val="center"/>
          </w:tcPr>
          <w:p w14:paraId="64215A01" w14:textId="77777777" w:rsidR="0093205E" w:rsidRPr="0049263A" w:rsidRDefault="0093205E" w:rsidP="00AA734A">
            <w:pPr>
              <w:snapToGrid w:val="0"/>
              <w:spacing w:line="360" w:lineRule="auto"/>
              <w:jc w:val="both"/>
              <w:rPr>
                <w:rFonts w:ascii="Book Antiqua" w:hAnsi="Book Antiqua" w:cs="Arial"/>
                <w:i/>
                <w:sz w:val="24"/>
                <w:szCs w:val="24"/>
                <w:lang w:val="en-GB"/>
              </w:rPr>
            </w:pPr>
            <w:r w:rsidRPr="0049263A">
              <w:rPr>
                <w:rFonts w:ascii="Book Antiqua" w:hAnsi="Book Antiqua" w:cs="Arial"/>
                <w:sz w:val="24"/>
                <w:szCs w:val="24"/>
                <w:lang w:val="en-GB"/>
              </w:rPr>
              <w:t>Type of surgery</w:t>
            </w:r>
          </w:p>
        </w:tc>
        <w:tc>
          <w:tcPr>
            <w:tcW w:w="1537" w:type="dxa"/>
            <w:shd w:val="clear" w:color="auto" w:fill="auto"/>
          </w:tcPr>
          <w:p w14:paraId="6E86CA67" w14:textId="77777777" w:rsidR="0093205E" w:rsidRPr="0049263A" w:rsidRDefault="0093205E" w:rsidP="00306099">
            <w:pPr>
              <w:snapToGrid w:val="0"/>
              <w:spacing w:line="360" w:lineRule="auto"/>
              <w:jc w:val="center"/>
              <w:rPr>
                <w:rFonts w:ascii="Book Antiqua" w:hAnsi="Book Antiqua" w:cs="Arial"/>
                <w:i/>
                <w:sz w:val="24"/>
                <w:szCs w:val="24"/>
                <w:lang w:val="en-GB"/>
              </w:rPr>
            </w:pPr>
          </w:p>
        </w:tc>
        <w:tc>
          <w:tcPr>
            <w:tcW w:w="1537" w:type="dxa"/>
            <w:shd w:val="clear" w:color="auto" w:fill="auto"/>
          </w:tcPr>
          <w:p w14:paraId="440FBCCA" w14:textId="77777777" w:rsidR="0093205E" w:rsidRPr="0049263A" w:rsidRDefault="0093205E" w:rsidP="00306099">
            <w:pPr>
              <w:snapToGrid w:val="0"/>
              <w:spacing w:line="360" w:lineRule="auto"/>
              <w:jc w:val="center"/>
              <w:rPr>
                <w:rFonts w:ascii="Book Antiqua" w:hAnsi="Book Antiqua" w:cs="Arial"/>
                <w:i/>
                <w:sz w:val="24"/>
                <w:szCs w:val="24"/>
                <w:lang w:val="en-GB"/>
              </w:rPr>
            </w:pPr>
          </w:p>
        </w:tc>
        <w:tc>
          <w:tcPr>
            <w:tcW w:w="1537" w:type="dxa"/>
            <w:shd w:val="clear" w:color="auto" w:fill="auto"/>
          </w:tcPr>
          <w:p w14:paraId="2ACA7676" w14:textId="77777777" w:rsidR="0093205E" w:rsidRPr="0049263A" w:rsidRDefault="0093205E" w:rsidP="00306099">
            <w:pPr>
              <w:snapToGrid w:val="0"/>
              <w:spacing w:line="360" w:lineRule="auto"/>
              <w:jc w:val="center"/>
              <w:rPr>
                <w:rFonts w:ascii="Book Antiqua" w:hAnsi="Book Antiqua" w:cs="Arial"/>
                <w:i/>
                <w:sz w:val="24"/>
                <w:szCs w:val="24"/>
                <w:lang w:val="en-GB"/>
              </w:rPr>
            </w:pPr>
          </w:p>
        </w:tc>
        <w:tc>
          <w:tcPr>
            <w:tcW w:w="1552" w:type="dxa"/>
            <w:shd w:val="clear" w:color="auto" w:fill="auto"/>
            <w:vAlign w:val="center"/>
          </w:tcPr>
          <w:p w14:paraId="342F67FB" w14:textId="77777777" w:rsidR="0093205E" w:rsidRPr="0049263A" w:rsidRDefault="0093205E" w:rsidP="00306099">
            <w:pPr>
              <w:snapToGrid w:val="0"/>
              <w:spacing w:line="360" w:lineRule="auto"/>
              <w:jc w:val="center"/>
              <w:rPr>
                <w:rFonts w:ascii="Book Antiqua" w:eastAsia="MS Mincho" w:hAnsi="Book Antiqua" w:cs="Arial"/>
                <w:sz w:val="24"/>
                <w:szCs w:val="24"/>
                <w:lang w:val="en-GB"/>
              </w:rPr>
            </w:pPr>
            <w:r w:rsidRPr="0049263A">
              <w:rPr>
                <w:rFonts w:ascii="Book Antiqua" w:hAnsi="Book Antiqua" w:cs="Arial"/>
                <w:i/>
                <w:sz w:val="24"/>
                <w:szCs w:val="24"/>
                <w:lang w:val="en-GB"/>
              </w:rPr>
              <w:t>P</w:t>
            </w:r>
            <w:r w:rsidRPr="0049263A">
              <w:rPr>
                <w:rFonts w:ascii="Book Antiqua" w:hAnsi="Book Antiqua" w:cs="Arial"/>
                <w:sz w:val="24"/>
                <w:szCs w:val="24"/>
                <w:lang w:val="en-GB"/>
              </w:rPr>
              <w:t xml:space="preserve"> = 0.053</w:t>
            </w:r>
          </w:p>
        </w:tc>
      </w:tr>
      <w:tr w:rsidR="003777B7" w:rsidRPr="0049263A" w14:paraId="7C9B56D1" w14:textId="77777777" w:rsidTr="0069564A">
        <w:trPr>
          <w:trHeight w:hRule="exact" w:val="340"/>
          <w:jc w:val="center"/>
        </w:trPr>
        <w:tc>
          <w:tcPr>
            <w:tcW w:w="2962" w:type="dxa"/>
            <w:shd w:val="clear" w:color="auto" w:fill="auto"/>
            <w:vAlign w:val="center"/>
          </w:tcPr>
          <w:p w14:paraId="3E97F895" w14:textId="77777777" w:rsidR="00306099" w:rsidRPr="0049263A" w:rsidRDefault="00306099" w:rsidP="00306099">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Elective</w:t>
            </w:r>
          </w:p>
        </w:tc>
        <w:tc>
          <w:tcPr>
            <w:tcW w:w="1537" w:type="dxa"/>
            <w:shd w:val="clear" w:color="auto" w:fill="auto"/>
          </w:tcPr>
          <w:p w14:paraId="672848BD"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618</w:t>
            </w:r>
          </w:p>
        </w:tc>
        <w:tc>
          <w:tcPr>
            <w:tcW w:w="1537" w:type="dxa"/>
            <w:shd w:val="clear" w:color="auto" w:fill="auto"/>
          </w:tcPr>
          <w:p w14:paraId="0F7B67FC"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424.0</w:t>
            </w:r>
          </w:p>
        </w:tc>
        <w:tc>
          <w:tcPr>
            <w:tcW w:w="1537" w:type="dxa"/>
            <w:shd w:val="clear" w:color="auto" w:fill="auto"/>
          </w:tcPr>
          <w:p w14:paraId="0C50E28D"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120.1</w:t>
            </w:r>
          </w:p>
        </w:tc>
        <w:tc>
          <w:tcPr>
            <w:tcW w:w="1552" w:type="dxa"/>
            <w:shd w:val="clear" w:color="auto" w:fill="auto"/>
            <w:vAlign w:val="center"/>
          </w:tcPr>
          <w:p w14:paraId="160FF0F3" w14:textId="77777777" w:rsidR="00306099" w:rsidRPr="0049263A" w:rsidRDefault="00306099" w:rsidP="00306099">
            <w:pPr>
              <w:snapToGrid w:val="0"/>
              <w:spacing w:line="360" w:lineRule="auto"/>
              <w:jc w:val="center"/>
              <w:rPr>
                <w:rFonts w:ascii="Book Antiqua" w:hAnsi="Book Antiqua" w:cs="Arial"/>
                <w:sz w:val="24"/>
                <w:szCs w:val="24"/>
                <w:lang w:val="en-GB"/>
              </w:rPr>
            </w:pPr>
          </w:p>
        </w:tc>
      </w:tr>
      <w:tr w:rsidR="003777B7" w:rsidRPr="0049263A" w14:paraId="129BF336" w14:textId="77777777" w:rsidTr="0069564A">
        <w:trPr>
          <w:trHeight w:hRule="exact" w:val="340"/>
          <w:jc w:val="center"/>
        </w:trPr>
        <w:tc>
          <w:tcPr>
            <w:tcW w:w="2962" w:type="dxa"/>
            <w:shd w:val="clear" w:color="auto" w:fill="auto"/>
            <w:vAlign w:val="center"/>
          </w:tcPr>
          <w:p w14:paraId="3B732341" w14:textId="77777777" w:rsidR="00306099" w:rsidRPr="0049263A" w:rsidRDefault="00306099" w:rsidP="00306099">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Urgent</w:t>
            </w:r>
          </w:p>
        </w:tc>
        <w:tc>
          <w:tcPr>
            <w:tcW w:w="1537" w:type="dxa"/>
            <w:shd w:val="clear" w:color="auto" w:fill="auto"/>
          </w:tcPr>
          <w:p w14:paraId="4B1C50DA"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34</w:t>
            </w:r>
          </w:p>
        </w:tc>
        <w:tc>
          <w:tcPr>
            <w:tcW w:w="1537" w:type="dxa"/>
            <w:shd w:val="clear" w:color="auto" w:fill="auto"/>
          </w:tcPr>
          <w:p w14:paraId="185685AD"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466.0</w:t>
            </w:r>
          </w:p>
        </w:tc>
        <w:tc>
          <w:tcPr>
            <w:tcW w:w="1537" w:type="dxa"/>
            <w:shd w:val="clear" w:color="auto" w:fill="auto"/>
          </w:tcPr>
          <w:p w14:paraId="4A530674"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167.9</w:t>
            </w:r>
          </w:p>
        </w:tc>
        <w:tc>
          <w:tcPr>
            <w:tcW w:w="1552" w:type="dxa"/>
            <w:shd w:val="clear" w:color="auto" w:fill="auto"/>
            <w:vAlign w:val="center"/>
          </w:tcPr>
          <w:p w14:paraId="6E2B6A5A" w14:textId="77777777" w:rsidR="00306099" w:rsidRPr="0049263A" w:rsidRDefault="00306099" w:rsidP="00306099">
            <w:pPr>
              <w:snapToGrid w:val="0"/>
              <w:spacing w:line="360" w:lineRule="auto"/>
              <w:jc w:val="center"/>
              <w:rPr>
                <w:rFonts w:ascii="Book Antiqua" w:hAnsi="Book Antiqua" w:cs="Arial"/>
                <w:sz w:val="24"/>
                <w:szCs w:val="24"/>
                <w:lang w:val="en-GB"/>
              </w:rPr>
            </w:pPr>
          </w:p>
        </w:tc>
      </w:tr>
      <w:tr w:rsidR="003777B7" w:rsidRPr="0049263A" w14:paraId="3968F798" w14:textId="77777777" w:rsidTr="0069564A">
        <w:trPr>
          <w:trHeight w:hRule="exact" w:val="340"/>
          <w:jc w:val="center"/>
        </w:trPr>
        <w:tc>
          <w:tcPr>
            <w:tcW w:w="2962" w:type="dxa"/>
            <w:shd w:val="clear" w:color="auto" w:fill="auto"/>
            <w:vAlign w:val="center"/>
          </w:tcPr>
          <w:p w14:paraId="03CE237B" w14:textId="77777777" w:rsidR="0093205E" w:rsidRPr="0049263A" w:rsidRDefault="0093205E" w:rsidP="00AA734A">
            <w:pPr>
              <w:snapToGrid w:val="0"/>
              <w:spacing w:line="360" w:lineRule="auto"/>
              <w:jc w:val="both"/>
              <w:rPr>
                <w:rFonts w:ascii="Book Antiqua" w:hAnsi="Book Antiqua" w:cs="Arial"/>
                <w:i/>
                <w:sz w:val="24"/>
                <w:szCs w:val="24"/>
                <w:lang w:val="en-GB"/>
              </w:rPr>
            </w:pPr>
            <w:r w:rsidRPr="0049263A">
              <w:rPr>
                <w:rFonts w:ascii="Book Antiqua" w:hAnsi="Book Antiqua" w:cs="Arial"/>
                <w:sz w:val="24"/>
                <w:szCs w:val="24"/>
                <w:lang w:val="en-GB"/>
              </w:rPr>
              <w:t>Resection</w:t>
            </w:r>
          </w:p>
        </w:tc>
        <w:tc>
          <w:tcPr>
            <w:tcW w:w="1537" w:type="dxa"/>
            <w:shd w:val="clear" w:color="auto" w:fill="auto"/>
          </w:tcPr>
          <w:p w14:paraId="1633D664" w14:textId="77777777" w:rsidR="0093205E" w:rsidRPr="0049263A" w:rsidRDefault="0093205E" w:rsidP="00306099">
            <w:pPr>
              <w:snapToGrid w:val="0"/>
              <w:spacing w:line="360" w:lineRule="auto"/>
              <w:jc w:val="center"/>
              <w:rPr>
                <w:rFonts w:ascii="Book Antiqua" w:hAnsi="Book Antiqua" w:cs="Arial"/>
                <w:i/>
                <w:sz w:val="24"/>
                <w:szCs w:val="24"/>
                <w:lang w:val="en-GB"/>
              </w:rPr>
            </w:pPr>
          </w:p>
        </w:tc>
        <w:tc>
          <w:tcPr>
            <w:tcW w:w="1537" w:type="dxa"/>
            <w:shd w:val="clear" w:color="auto" w:fill="auto"/>
          </w:tcPr>
          <w:p w14:paraId="5DB4705A" w14:textId="77777777" w:rsidR="0093205E" w:rsidRPr="0049263A" w:rsidRDefault="0093205E" w:rsidP="00306099">
            <w:pPr>
              <w:snapToGrid w:val="0"/>
              <w:spacing w:line="360" w:lineRule="auto"/>
              <w:jc w:val="center"/>
              <w:rPr>
                <w:rFonts w:ascii="Book Antiqua" w:hAnsi="Book Antiqua" w:cs="Arial"/>
                <w:i/>
                <w:sz w:val="24"/>
                <w:szCs w:val="24"/>
                <w:lang w:val="en-GB"/>
              </w:rPr>
            </w:pPr>
          </w:p>
        </w:tc>
        <w:tc>
          <w:tcPr>
            <w:tcW w:w="1537" w:type="dxa"/>
            <w:shd w:val="clear" w:color="auto" w:fill="auto"/>
          </w:tcPr>
          <w:p w14:paraId="6E47051C" w14:textId="77777777" w:rsidR="0093205E" w:rsidRPr="0049263A" w:rsidRDefault="0093205E" w:rsidP="00306099">
            <w:pPr>
              <w:snapToGrid w:val="0"/>
              <w:spacing w:line="360" w:lineRule="auto"/>
              <w:jc w:val="center"/>
              <w:rPr>
                <w:rFonts w:ascii="Book Antiqua" w:hAnsi="Book Antiqua" w:cs="Arial"/>
                <w:i/>
                <w:sz w:val="24"/>
                <w:szCs w:val="24"/>
                <w:lang w:val="en-GB"/>
              </w:rPr>
            </w:pPr>
          </w:p>
        </w:tc>
        <w:tc>
          <w:tcPr>
            <w:tcW w:w="1552" w:type="dxa"/>
            <w:shd w:val="clear" w:color="auto" w:fill="auto"/>
            <w:vAlign w:val="center"/>
          </w:tcPr>
          <w:p w14:paraId="359BE9E6" w14:textId="77777777" w:rsidR="0093205E" w:rsidRPr="0049263A" w:rsidRDefault="0093205E" w:rsidP="00306099">
            <w:pPr>
              <w:snapToGrid w:val="0"/>
              <w:spacing w:line="360" w:lineRule="auto"/>
              <w:jc w:val="center"/>
              <w:rPr>
                <w:rFonts w:ascii="Book Antiqua" w:eastAsia="MS Mincho" w:hAnsi="Book Antiqua" w:cs="Arial"/>
                <w:sz w:val="24"/>
                <w:szCs w:val="24"/>
                <w:lang w:val="en-GB"/>
              </w:rPr>
            </w:pPr>
            <w:r w:rsidRPr="0049263A">
              <w:rPr>
                <w:rFonts w:ascii="Book Antiqua" w:hAnsi="Book Antiqua" w:cs="Arial"/>
                <w:i/>
                <w:sz w:val="24"/>
                <w:szCs w:val="24"/>
                <w:lang w:val="en-GB"/>
              </w:rPr>
              <w:t>P</w:t>
            </w:r>
            <w:r w:rsidRPr="0049263A">
              <w:rPr>
                <w:rFonts w:ascii="Book Antiqua" w:hAnsi="Book Antiqua" w:cs="Arial"/>
                <w:sz w:val="24"/>
                <w:szCs w:val="24"/>
                <w:lang w:val="en-GB"/>
              </w:rPr>
              <w:t xml:space="preserve"> &lt; 0.001</w:t>
            </w:r>
          </w:p>
        </w:tc>
      </w:tr>
      <w:tr w:rsidR="003777B7" w:rsidRPr="0049263A" w14:paraId="7256C759" w14:textId="77777777" w:rsidTr="0069564A">
        <w:trPr>
          <w:trHeight w:hRule="exact" w:val="340"/>
          <w:jc w:val="center"/>
        </w:trPr>
        <w:tc>
          <w:tcPr>
            <w:tcW w:w="2962" w:type="dxa"/>
            <w:shd w:val="clear" w:color="auto" w:fill="auto"/>
            <w:vAlign w:val="center"/>
          </w:tcPr>
          <w:p w14:paraId="19E8316E" w14:textId="77777777" w:rsidR="00306099" w:rsidRPr="0049263A" w:rsidRDefault="00306099" w:rsidP="00306099">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Yes</w:t>
            </w:r>
          </w:p>
        </w:tc>
        <w:tc>
          <w:tcPr>
            <w:tcW w:w="1537" w:type="dxa"/>
            <w:shd w:val="clear" w:color="auto" w:fill="auto"/>
          </w:tcPr>
          <w:p w14:paraId="7BBCF6D0"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640</w:t>
            </w:r>
          </w:p>
        </w:tc>
        <w:tc>
          <w:tcPr>
            <w:tcW w:w="1537" w:type="dxa"/>
            <w:shd w:val="clear" w:color="auto" w:fill="auto"/>
          </w:tcPr>
          <w:p w14:paraId="1B559010"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423.8</w:t>
            </w:r>
          </w:p>
        </w:tc>
        <w:tc>
          <w:tcPr>
            <w:tcW w:w="1537" w:type="dxa"/>
            <w:shd w:val="clear" w:color="auto" w:fill="auto"/>
          </w:tcPr>
          <w:p w14:paraId="3C846B16"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121.3</w:t>
            </w:r>
          </w:p>
        </w:tc>
        <w:tc>
          <w:tcPr>
            <w:tcW w:w="1552" w:type="dxa"/>
            <w:shd w:val="clear" w:color="auto" w:fill="auto"/>
            <w:vAlign w:val="center"/>
          </w:tcPr>
          <w:p w14:paraId="3F0D0A74" w14:textId="77777777" w:rsidR="00306099" w:rsidRPr="0049263A" w:rsidRDefault="00306099" w:rsidP="00306099">
            <w:pPr>
              <w:snapToGrid w:val="0"/>
              <w:spacing w:line="360" w:lineRule="auto"/>
              <w:jc w:val="center"/>
              <w:rPr>
                <w:rFonts w:ascii="Book Antiqua" w:hAnsi="Book Antiqua" w:cs="Arial"/>
                <w:sz w:val="24"/>
                <w:szCs w:val="24"/>
                <w:lang w:val="en-GB"/>
              </w:rPr>
            </w:pPr>
          </w:p>
        </w:tc>
      </w:tr>
      <w:tr w:rsidR="003777B7" w:rsidRPr="0049263A" w14:paraId="2D92D938" w14:textId="77777777" w:rsidTr="0069564A">
        <w:trPr>
          <w:trHeight w:hRule="exact" w:val="340"/>
          <w:jc w:val="center"/>
        </w:trPr>
        <w:tc>
          <w:tcPr>
            <w:tcW w:w="2962" w:type="dxa"/>
            <w:shd w:val="clear" w:color="auto" w:fill="auto"/>
            <w:vAlign w:val="center"/>
          </w:tcPr>
          <w:p w14:paraId="2C1F3AF8" w14:textId="77777777" w:rsidR="00306099" w:rsidRPr="0049263A" w:rsidRDefault="00306099" w:rsidP="00306099">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No</w:t>
            </w:r>
          </w:p>
        </w:tc>
        <w:tc>
          <w:tcPr>
            <w:tcW w:w="1537" w:type="dxa"/>
            <w:shd w:val="clear" w:color="auto" w:fill="auto"/>
          </w:tcPr>
          <w:p w14:paraId="45260C44"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12</w:t>
            </w:r>
          </w:p>
        </w:tc>
        <w:tc>
          <w:tcPr>
            <w:tcW w:w="1537" w:type="dxa"/>
            <w:shd w:val="clear" w:color="auto" w:fill="auto"/>
          </w:tcPr>
          <w:p w14:paraId="5FB1742D"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551.3</w:t>
            </w:r>
          </w:p>
        </w:tc>
        <w:tc>
          <w:tcPr>
            <w:tcW w:w="1537" w:type="dxa"/>
            <w:shd w:val="clear" w:color="auto" w:fill="auto"/>
          </w:tcPr>
          <w:p w14:paraId="35C2DCA2"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162.1</w:t>
            </w:r>
          </w:p>
        </w:tc>
        <w:tc>
          <w:tcPr>
            <w:tcW w:w="1552" w:type="dxa"/>
            <w:shd w:val="clear" w:color="auto" w:fill="auto"/>
            <w:vAlign w:val="center"/>
          </w:tcPr>
          <w:p w14:paraId="0F96F71D" w14:textId="77777777" w:rsidR="00306099" w:rsidRPr="0049263A" w:rsidRDefault="00306099" w:rsidP="00306099">
            <w:pPr>
              <w:snapToGrid w:val="0"/>
              <w:spacing w:line="360" w:lineRule="auto"/>
              <w:jc w:val="center"/>
              <w:rPr>
                <w:rFonts w:ascii="Book Antiqua" w:hAnsi="Book Antiqua" w:cs="Arial"/>
                <w:sz w:val="24"/>
                <w:szCs w:val="24"/>
                <w:lang w:val="en-GB"/>
              </w:rPr>
            </w:pPr>
          </w:p>
        </w:tc>
      </w:tr>
      <w:tr w:rsidR="003777B7" w:rsidRPr="0049263A" w14:paraId="7E1C4D11" w14:textId="77777777" w:rsidTr="0069564A">
        <w:trPr>
          <w:trHeight w:hRule="exact" w:val="340"/>
          <w:jc w:val="center"/>
        </w:trPr>
        <w:tc>
          <w:tcPr>
            <w:tcW w:w="2962" w:type="dxa"/>
            <w:shd w:val="clear" w:color="auto" w:fill="auto"/>
            <w:vAlign w:val="center"/>
          </w:tcPr>
          <w:p w14:paraId="75A41055" w14:textId="77777777" w:rsidR="0093205E" w:rsidRPr="0049263A" w:rsidRDefault="0093205E" w:rsidP="00AA734A">
            <w:pPr>
              <w:snapToGrid w:val="0"/>
              <w:spacing w:line="360" w:lineRule="auto"/>
              <w:jc w:val="both"/>
              <w:rPr>
                <w:rFonts w:ascii="Book Antiqua" w:hAnsi="Book Antiqua" w:cs="Arial"/>
                <w:i/>
                <w:sz w:val="24"/>
                <w:szCs w:val="24"/>
                <w:lang w:val="en-GB"/>
              </w:rPr>
            </w:pPr>
            <w:r w:rsidRPr="0049263A">
              <w:rPr>
                <w:rFonts w:ascii="Book Antiqua" w:hAnsi="Book Antiqua" w:cs="Arial"/>
                <w:sz w:val="24"/>
                <w:szCs w:val="24"/>
                <w:lang w:val="en-GB"/>
              </w:rPr>
              <w:t>Type of resection (R)</w:t>
            </w:r>
          </w:p>
        </w:tc>
        <w:tc>
          <w:tcPr>
            <w:tcW w:w="1537" w:type="dxa"/>
            <w:shd w:val="clear" w:color="auto" w:fill="auto"/>
          </w:tcPr>
          <w:p w14:paraId="321388A9" w14:textId="77777777" w:rsidR="0093205E" w:rsidRPr="0049263A" w:rsidRDefault="0093205E" w:rsidP="00306099">
            <w:pPr>
              <w:snapToGrid w:val="0"/>
              <w:spacing w:line="360" w:lineRule="auto"/>
              <w:jc w:val="center"/>
              <w:rPr>
                <w:rFonts w:ascii="Book Antiqua" w:hAnsi="Book Antiqua" w:cs="Arial"/>
                <w:i/>
                <w:sz w:val="24"/>
                <w:szCs w:val="24"/>
                <w:lang w:val="en-GB"/>
              </w:rPr>
            </w:pPr>
          </w:p>
        </w:tc>
        <w:tc>
          <w:tcPr>
            <w:tcW w:w="1537" w:type="dxa"/>
            <w:shd w:val="clear" w:color="auto" w:fill="auto"/>
          </w:tcPr>
          <w:p w14:paraId="326E97EF" w14:textId="77777777" w:rsidR="0093205E" w:rsidRPr="0049263A" w:rsidRDefault="0093205E" w:rsidP="00306099">
            <w:pPr>
              <w:snapToGrid w:val="0"/>
              <w:spacing w:line="360" w:lineRule="auto"/>
              <w:jc w:val="center"/>
              <w:rPr>
                <w:rFonts w:ascii="Book Antiqua" w:hAnsi="Book Antiqua" w:cs="Arial"/>
                <w:i/>
                <w:sz w:val="24"/>
                <w:szCs w:val="24"/>
                <w:lang w:val="en-GB"/>
              </w:rPr>
            </w:pPr>
          </w:p>
        </w:tc>
        <w:tc>
          <w:tcPr>
            <w:tcW w:w="1537" w:type="dxa"/>
            <w:shd w:val="clear" w:color="auto" w:fill="auto"/>
          </w:tcPr>
          <w:p w14:paraId="57C76BD0" w14:textId="77777777" w:rsidR="0093205E" w:rsidRPr="0049263A" w:rsidRDefault="0093205E" w:rsidP="00306099">
            <w:pPr>
              <w:snapToGrid w:val="0"/>
              <w:spacing w:line="360" w:lineRule="auto"/>
              <w:jc w:val="center"/>
              <w:rPr>
                <w:rFonts w:ascii="Book Antiqua" w:hAnsi="Book Antiqua" w:cs="Arial"/>
                <w:i/>
                <w:sz w:val="24"/>
                <w:szCs w:val="24"/>
                <w:lang w:val="en-GB"/>
              </w:rPr>
            </w:pPr>
          </w:p>
        </w:tc>
        <w:tc>
          <w:tcPr>
            <w:tcW w:w="1552" w:type="dxa"/>
            <w:shd w:val="clear" w:color="auto" w:fill="auto"/>
            <w:vAlign w:val="center"/>
          </w:tcPr>
          <w:p w14:paraId="187FE90D" w14:textId="77777777" w:rsidR="0093205E" w:rsidRPr="0049263A" w:rsidRDefault="0093205E" w:rsidP="00306099">
            <w:pPr>
              <w:snapToGrid w:val="0"/>
              <w:spacing w:line="360" w:lineRule="auto"/>
              <w:jc w:val="center"/>
              <w:rPr>
                <w:rFonts w:ascii="Book Antiqua" w:eastAsia="MS Mincho" w:hAnsi="Book Antiqua" w:cs="Arial"/>
                <w:sz w:val="24"/>
                <w:szCs w:val="24"/>
                <w:lang w:val="en-GB"/>
              </w:rPr>
            </w:pPr>
            <w:r w:rsidRPr="0049263A">
              <w:rPr>
                <w:rFonts w:ascii="Book Antiqua" w:hAnsi="Book Antiqua" w:cs="Arial"/>
                <w:i/>
                <w:sz w:val="24"/>
                <w:szCs w:val="24"/>
                <w:lang w:val="en-GB"/>
              </w:rPr>
              <w:t>P</w:t>
            </w:r>
            <w:r w:rsidRPr="0049263A">
              <w:rPr>
                <w:rFonts w:ascii="Book Antiqua" w:hAnsi="Book Antiqua" w:cs="Arial"/>
                <w:sz w:val="24"/>
                <w:szCs w:val="24"/>
                <w:lang w:val="en-GB"/>
              </w:rPr>
              <w:t xml:space="preserve"> &lt; 0.001</w:t>
            </w:r>
          </w:p>
        </w:tc>
      </w:tr>
      <w:tr w:rsidR="003777B7" w:rsidRPr="0049263A" w14:paraId="4EE53B93" w14:textId="77777777" w:rsidTr="0069564A">
        <w:trPr>
          <w:trHeight w:hRule="exact" w:val="340"/>
          <w:jc w:val="center"/>
        </w:trPr>
        <w:tc>
          <w:tcPr>
            <w:tcW w:w="2962" w:type="dxa"/>
            <w:shd w:val="clear" w:color="auto" w:fill="auto"/>
            <w:vAlign w:val="center"/>
          </w:tcPr>
          <w:p w14:paraId="1C7D9643" w14:textId="77777777" w:rsidR="00306099" w:rsidRPr="0049263A" w:rsidRDefault="00306099" w:rsidP="00306099">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R0</w:t>
            </w:r>
          </w:p>
        </w:tc>
        <w:tc>
          <w:tcPr>
            <w:tcW w:w="1537" w:type="dxa"/>
            <w:shd w:val="clear" w:color="auto" w:fill="auto"/>
          </w:tcPr>
          <w:p w14:paraId="18FA408A"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556</w:t>
            </w:r>
          </w:p>
        </w:tc>
        <w:tc>
          <w:tcPr>
            <w:tcW w:w="1537" w:type="dxa"/>
            <w:shd w:val="clear" w:color="auto" w:fill="auto"/>
          </w:tcPr>
          <w:p w14:paraId="538AAA73"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412.4</w:t>
            </w:r>
          </w:p>
        </w:tc>
        <w:tc>
          <w:tcPr>
            <w:tcW w:w="1537" w:type="dxa"/>
            <w:shd w:val="clear" w:color="auto" w:fill="auto"/>
          </w:tcPr>
          <w:p w14:paraId="09B9E016"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110.4</w:t>
            </w:r>
          </w:p>
        </w:tc>
        <w:tc>
          <w:tcPr>
            <w:tcW w:w="1552" w:type="dxa"/>
            <w:shd w:val="clear" w:color="auto" w:fill="auto"/>
            <w:vAlign w:val="center"/>
          </w:tcPr>
          <w:p w14:paraId="3AD66B75" w14:textId="77777777" w:rsidR="00306099" w:rsidRPr="0049263A" w:rsidRDefault="00306099" w:rsidP="00306099">
            <w:pPr>
              <w:snapToGrid w:val="0"/>
              <w:spacing w:line="360" w:lineRule="auto"/>
              <w:jc w:val="center"/>
              <w:rPr>
                <w:rFonts w:ascii="Book Antiqua" w:hAnsi="Book Antiqua" w:cs="Arial"/>
                <w:sz w:val="24"/>
                <w:szCs w:val="24"/>
                <w:lang w:val="en-GB"/>
              </w:rPr>
            </w:pPr>
          </w:p>
        </w:tc>
      </w:tr>
      <w:tr w:rsidR="003777B7" w:rsidRPr="0049263A" w14:paraId="1EBE8254" w14:textId="77777777" w:rsidTr="0069564A">
        <w:trPr>
          <w:trHeight w:hRule="exact" w:val="340"/>
          <w:jc w:val="center"/>
        </w:trPr>
        <w:tc>
          <w:tcPr>
            <w:tcW w:w="2962" w:type="dxa"/>
            <w:shd w:val="clear" w:color="auto" w:fill="auto"/>
            <w:vAlign w:val="center"/>
          </w:tcPr>
          <w:p w14:paraId="568CF963" w14:textId="77777777" w:rsidR="00306099" w:rsidRPr="0049263A" w:rsidRDefault="00306099" w:rsidP="00306099">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R1</w:t>
            </w:r>
          </w:p>
        </w:tc>
        <w:tc>
          <w:tcPr>
            <w:tcW w:w="1537" w:type="dxa"/>
            <w:shd w:val="clear" w:color="auto" w:fill="auto"/>
          </w:tcPr>
          <w:p w14:paraId="794822B4"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7</w:t>
            </w:r>
          </w:p>
        </w:tc>
        <w:tc>
          <w:tcPr>
            <w:tcW w:w="1537" w:type="dxa"/>
            <w:shd w:val="clear" w:color="auto" w:fill="auto"/>
          </w:tcPr>
          <w:p w14:paraId="5F684821"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406.0</w:t>
            </w:r>
          </w:p>
        </w:tc>
        <w:tc>
          <w:tcPr>
            <w:tcW w:w="1537" w:type="dxa"/>
            <w:shd w:val="clear" w:color="auto" w:fill="auto"/>
          </w:tcPr>
          <w:p w14:paraId="3EA3F3D4"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113.1</w:t>
            </w:r>
          </w:p>
        </w:tc>
        <w:tc>
          <w:tcPr>
            <w:tcW w:w="1552" w:type="dxa"/>
            <w:shd w:val="clear" w:color="auto" w:fill="auto"/>
            <w:vAlign w:val="center"/>
          </w:tcPr>
          <w:p w14:paraId="32CDDDB0" w14:textId="77777777" w:rsidR="00306099" w:rsidRPr="0049263A" w:rsidRDefault="00306099" w:rsidP="00306099">
            <w:pPr>
              <w:snapToGrid w:val="0"/>
              <w:spacing w:line="360" w:lineRule="auto"/>
              <w:jc w:val="center"/>
              <w:rPr>
                <w:rFonts w:ascii="Book Antiqua" w:hAnsi="Book Antiqua" w:cs="Arial"/>
                <w:sz w:val="24"/>
                <w:szCs w:val="24"/>
                <w:lang w:val="en-GB"/>
              </w:rPr>
            </w:pPr>
          </w:p>
        </w:tc>
      </w:tr>
      <w:tr w:rsidR="003777B7" w:rsidRPr="0049263A" w14:paraId="30A6E3AC" w14:textId="77777777" w:rsidTr="0069564A">
        <w:trPr>
          <w:trHeight w:hRule="exact" w:val="340"/>
          <w:jc w:val="center"/>
        </w:trPr>
        <w:tc>
          <w:tcPr>
            <w:tcW w:w="2962" w:type="dxa"/>
            <w:shd w:val="clear" w:color="auto" w:fill="auto"/>
            <w:vAlign w:val="center"/>
          </w:tcPr>
          <w:p w14:paraId="7FC8AAC6" w14:textId="77777777" w:rsidR="00306099" w:rsidRPr="0049263A" w:rsidRDefault="00306099" w:rsidP="00306099">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R2</w:t>
            </w:r>
          </w:p>
        </w:tc>
        <w:tc>
          <w:tcPr>
            <w:tcW w:w="1537" w:type="dxa"/>
            <w:shd w:val="clear" w:color="auto" w:fill="auto"/>
          </w:tcPr>
          <w:p w14:paraId="504C6045"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89</w:t>
            </w:r>
          </w:p>
        </w:tc>
        <w:tc>
          <w:tcPr>
            <w:tcW w:w="1537" w:type="dxa"/>
            <w:shd w:val="clear" w:color="auto" w:fill="auto"/>
          </w:tcPr>
          <w:p w14:paraId="1D16181A"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513.9</w:t>
            </w:r>
          </w:p>
        </w:tc>
        <w:tc>
          <w:tcPr>
            <w:tcW w:w="1537" w:type="dxa"/>
            <w:shd w:val="clear" w:color="auto" w:fill="auto"/>
          </w:tcPr>
          <w:p w14:paraId="73A75989"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159.6</w:t>
            </w:r>
          </w:p>
        </w:tc>
        <w:tc>
          <w:tcPr>
            <w:tcW w:w="1552" w:type="dxa"/>
            <w:shd w:val="clear" w:color="auto" w:fill="auto"/>
            <w:vAlign w:val="center"/>
          </w:tcPr>
          <w:p w14:paraId="7622D088" w14:textId="77777777" w:rsidR="00306099" w:rsidRPr="0049263A" w:rsidRDefault="00306099" w:rsidP="00306099">
            <w:pPr>
              <w:snapToGrid w:val="0"/>
              <w:spacing w:line="360" w:lineRule="auto"/>
              <w:jc w:val="center"/>
              <w:rPr>
                <w:rFonts w:ascii="Book Antiqua" w:hAnsi="Book Antiqua" w:cs="Arial"/>
                <w:sz w:val="24"/>
                <w:szCs w:val="24"/>
                <w:lang w:val="en-GB"/>
              </w:rPr>
            </w:pPr>
          </w:p>
        </w:tc>
      </w:tr>
      <w:tr w:rsidR="003777B7" w:rsidRPr="0049263A" w14:paraId="3014708D" w14:textId="77777777" w:rsidTr="0069564A">
        <w:trPr>
          <w:trHeight w:hRule="exact" w:val="340"/>
          <w:jc w:val="center"/>
        </w:trPr>
        <w:tc>
          <w:tcPr>
            <w:tcW w:w="2962" w:type="dxa"/>
            <w:shd w:val="clear" w:color="auto" w:fill="auto"/>
            <w:vAlign w:val="center"/>
          </w:tcPr>
          <w:p w14:paraId="0D79177A" w14:textId="54909E86" w:rsidR="0093205E" w:rsidRPr="0049263A" w:rsidRDefault="0093205E" w:rsidP="00AA734A">
            <w:pPr>
              <w:snapToGrid w:val="0"/>
              <w:spacing w:line="360" w:lineRule="auto"/>
              <w:jc w:val="both"/>
              <w:rPr>
                <w:rFonts w:ascii="Book Antiqua" w:hAnsi="Book Antiqua" w:cs="Arial"/>
                <w:i/>
                <w:sz w:val="24"/>
                <w:szCs w:val="24"/>
                <w:lang w:val="en-GB"/>
              </w:rPr>
            </w:pPr>
            <w:r w:rsidRPr="0049263A">
              <w:rPr>
                <w:rFonts w:ascii="Book Antiqua" w:hAnsi="Book Antiqua" w:cs="Arial"/>
                <w:sz w:val="24"/>
                <w:szCs w:val="24"/>
                <w:lang w:val="en-GB"/>
              </w:rPr>
              <w:t>Depth of invasion (</w:t>
            </w:r>
            <w:proofErr w:type="spellStart"/>
            <w:r w:rsidRPr="0049263A">
              <w:rPr>
                <w:rFonts w:ascii="Book Antiqua" w:hAnsi="Book Antiqua" w:cs="Arial"/>
                <w:sz w:val="24"/>
                <w:szCs w:val="24"/>
                <w:lang w:val="en-GB"/>
              </w:rPr>
              <w:t>pT</w:t>
            </w:r>
            <w:proofErr w:type="spellEnd"/>
            <w:r w:rsidRPr="0049263A">
              <w:rPr>
                <w:rFonts w:ascii="Book Antiqua" w:hAnsi="Book Antiqua" w:cs="Arial"/>
                <w:sz w:val="24"/>
                <w:szCs w:val="24"/>
                <w:lang w:val="en-GB"/>
              </w:rPr>
              <w:t>)</w:t>
            </w:r>
            <w:r w:rsidR="00306099" w:rsidRPr="0049263A">
              <w:rPr>
                <w:rFonts w:ascii="Book Antiqua" w:hAnsi="Book Antiqua" w:cs="Arial" w:hint="eastAsia"/>
                <w:sz w:val="24"/>
                <w:szCs w:val="24"/>
                <w:vertAlign w:val="superscript"/>
                <w:lang w:val="en-GB" w:eastAsia="zh-CN"/>
              </w:rPr>
              <w:t>1</w:t>
            </w:r>
          </w:p>
        </w:tc>
        <w:tc>
          <w:tcPr>
            <w:tcW w:w="1537" w:type="dxa"/>
            <w:shd w:val="clear" w:color="auto" w:fill="auto"/>
          </w:tcPr>
          <w:p w14:paraId="79865C90" w14:textId="77777777" w:rsidR="0093205E" w:rsidRPr="0049263A" w:rsidRDefault="0093205E" w:rsidP="00306099">
            <w:pPr>
              <w:snapToGrid w:val="0"/>
              <w:spacing w:line="360" w:lineRule="auto"/>
              <w:jc w:val="center"/>
              <w:rPr>
                <w:rFonts w:ascii="Book Antiqua" w:hAnsi="Book Antiqua" w:cs="Arial"/>
                <w:i/>
                <w:sz w:val="24"/>
                <w:szCs w:val="24"/>
                <w:lang w:val="en-GB"/>
              </w:rPr>
            </w:pPr>
          </w:p>
        </w:tc>
        <w:tc>
          <w:tcPr>
            <w:tcW w:w="1537" w:type="dxa"/>
            <w:shd w:val="clear" w:color="auto" w:fill="auto"/>
          </w:tcPr>
          <w:p w14:paraId="3299F7D3" w14:textId="77777777" w:rsidR="0093205E" w:rsidRPr="0049263A" w:rsidRDefault="0093205E" w:rsidP="00306099">
            <w:pPr>
              <w:snapToGrid w:val="0"/>
              <w:spacing w:line="360" w:lineRule="auto"/>
              <w:jc w:val="center"/>
              <w:rPr>
                <w:rFonts w:ascii="Book Antiqua" w:hAnsi="Book Antiqua" w:cs="Arial"/>
                <w:i/>
                <w:sz w:val="24"/>
                <w:szCs w:val="24"/>
                <w:lang w:val="en-GB"/>
              </w:rPr>
            </w:pPr>
          </w:p>
        </w:tc>
        <w:tc>
          <w:tcPr>
            <w:tcW w:w="1537" w:type="dxa"/>
            <w:shd w:val="clear" w:color="auto" w:fill="auto"/>
          </w:tcPr>
          <w:p w14:paraId="57C528B3" w14:textId="77777777" w:rsidR="0093205E" w:rsidRPr="0049263A" w:rsidRDefault="0093205E" w:rsidP="00306099">
            <w:pPr>
              <w:snapToGrid w:val="0"/>
              <w:spacing w:line="360" w:lineRule="auto"/>
              <w:jc w:val="center"/>
              <w:rPr>
                <w:rFonts w:ascii="Book Antiqua" w:hAnsi="Book Antiqua" w:cs="Arial"/>
                <w:i/>
                <w:sz w:val="24"/>
                <w:szCs w:val="24"/>
                <w:lang w:val="en-GB"/>
              </w:rPr>
            </w:pPr>
          </w:p>
        </w:tc>
        <w:tc>
          <w:tcPr>
            <w:tcW w:w="1552" w:type="dxa"/>
            <w:shd w:val="clear" w:color="auto" w:fill="auto"/>
            <w:vAlign w:val="center"/>
          </w:tcPr>
          <w:p w14:paraId="41B74D12" w14:textId="77777777" w:rsidR="0093205E" w:rsidRPr="0049263A" w:rsidRDefault="0093205E" w:rsidP="00306099">
            <w:pPr>
              <w:snapToGrid w:val="0"/>
              <w:spacing w:line="360" w:lineRule="auto"/>
              <w:jc w:val="center"/>
              <w:rPr>
                <w:rFonts w:ascii="Book Antiqua" w:eastAsia="MS Mincho" w:hAnsi="Book Antiqua" w:cs="Arial"/>
                <w:sz w:val="24"/>
                <w:szCs w:val="24"/>
                <w:lang w:val="en-GB"/>
              </w:rPr>
            </w:pPr>
            <w:r w:rsidRPr="0049263A">
              <w:rPr>
                <w:rFonts w:ascii="Book Antiqua" w:hAnsi="Book Antiqua" w:cs="Arial"/>
                <w:i/>
                <w:sz w:val="24"/>
                <w:szCs w:val="24"/>
                <w:lang w:val="en-GB"/>
              </w:rPr>
              <w:t>P</w:t>
            </w:r>
            <w:r w:rsidRPr="0049263A">
              <w:rPr>
                <w:rFonts w:ascii="Book Antiqua" w:hAnsi="Book Antiqua" w:cs="Arial"/>
                <w:sz w:val="24"/>
                <w:szCs w:val="24"/>
                <w:lang w:val="en-GB"/>
              </w:rPr>
              <w:t xml:space="preserve"> &lt; 0.001</w:t>
            </w:r>
          </w:p>
        </w:tc>
      </w:tr>
      <w:tr w:rsidR="003777B7" w:rsidRPr="0049263A" w14:paraId="574244BD" w14:textId="77777777" w:rsidTr="0069564A">
        <w:trPr>
          <w:trHeight w:hRule="exact" w:val="340"/>
          <w:jc w:val="center"/>
        </w:trPr>
        <w:tc>
          <w:tcPr>
            <w:tcW w:w="2962" w:type="dxa"/>
            <w:shd w:val="clear" w:color="auto" w:fill="auto"/>
            <w:vAlign w:val="center"/>
          </w:tcPr>
          <w:p w14:paraId="6451E56E" w14:textId="77777777" w:rsidR="00306099" w:rsidRPr="0049263A" w:rsidRDefault="00306099" w:rsidP="00306099">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pT1</w:t>
            </w:r>
          </w:p>
        </w:tc>
        <w:tc>
          <w:tcPr>
            <w:tcW w:w="1537" w:type="dxa"/>
            <w:shd w:val="clear" w:color="auto" w:fill="auto"/>
          </w:tcPr>
          <w:p w14:paraId="34DB8620"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86</w:t>
            </w:r>
          </w:p>
        </w:tc>
        <w:tc>
          <w:tcPr>
            <w:tcW w:w="1537" w:type="dxa"/>
            <w:shd w:val="clear" w:color="auto" w:fill="auto"/>
          </w:tcPr>
          <w:p w14:paraId="64B5594E"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373.7</w:t>
            </w:r>
          </w:p>
        </w:tc>
        <w:tc>
          <w:tcPr>
            <w:tcW w:w="1537" w:type="dxa"/>
            <w:shd w:val="clear" w:color="auto" w:fill="auto"/>
          </w:tcPr>
          <w:p w14:paraId="1C3003D1"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97.1</w:t>
            </w:r>
          </w:p>
        </w:tc>
        <w:tc>
          <w:tcPr>
            <w:tcW w:w="1552" w:type="dxa"/>
            <w:shd w:val="clear" w:color="auto" w:fill="auto"/>
            <w:vAlign w:val="center"/>
          </w:tcPr>
          <w:p w14:paraId="790F33C7" w14:textId="77777777" w:rsidR="00306099" w:rsidRPr="0049263A" w:rsidRDefault="00306099" w:rsidP="00306099">
            <w:pPr>
              <w:snapToGrid w:val="0"/>
              <w:spacing w:line="360" w:lineRule="auto"/>
              <w:jc w:val="center"/>
              <w:rPr>
                <w:rFonts w:ascii="Book Antiqua" w:hAnsi="Book Antiqua" w:cs="Arial"/>
                <w:sz w:val="24"/>
                <w:szCs w:val="24"/>
                <w:lang w:val="en-GB"/>
              </w:rPr>
            </w:pPr>
          </w:p>
        </w:tc>
      </w:tr>
      <w:tr w:rsidR="003777B7" w:rsidRPr="0049263A" w14:paraId="50B31A6F" w14:textId="77777777" w:rsidTr="0069564A">
        <w:trPr>
          <w:trHeight w:hRule="exact" w:val="340"/>
          <w:jc w:val="center"/>
        </w:trPr>
        <w:tc>
          <w:tcPr>
            <w:tcW w:w="2962" w:type="dxa"/>
            <w:shd w:val="clear" w:color="auto" w:fill="auto"/>
            <w:vAlign w:val="center"/>
          </w:tcPr>
          <w:p w14:paraId="4395C09E" w14:textId="77777777" w:rsidR="00306099" w:rsidRPr="0049263A" w:rsidRDefault="00306099" w:rsidP="00306099">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pT2</w:t>
            </w:r>
          </w:p>
        </w:tc>
        <w:tc>
          <w:tcPr>
            <w:tcW w:w="1537" w:type="dxa"/>
            <w:shd w:val="clear" w:color="auto" w:fill="auto"/>
          </w:tcPr>
          <w:p w14:paraId="630B3EB2"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61</w:t>
            </w:r>
          </w:p>
        </w:tc>
        <w:tc>
          <w:tcPr>
            <w:tcW w:w="1537" w:type="dxa"/>
            <w:shd w:val="clear" w:color="auto" w:fill="auto"/>
          </w:tcPr>
          <w:p w14:paraId="41710F93"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373.6</w:t>
            </w:r>
          </w:p>
        </w:tc>
        <w:tc>
          <w:tcPr>
            <w:tcW w:w="1537" w:type="dxa"/>
            <w:shd w:val="clear" w:color="auto" w:fill="auto"/>
          </w:tcPr>
          <w:p w14:paraId="296F5D3C"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89.8</w:t>
            </w:r>
          </w:p>
        </w:tc>
        <w:tc>
          <w:tcPr>
            <w:tcW w:w="1552" w:type="dxa"/>
            <w:shd w:val="clear" w:color="auto" w:fill="auto"/>
            <w:vAlign w:val="center"/>
          </w:tcPr>
          <w:p w14:paraId="305890AD" w14:textId="77777777" w:rsidR="00306099" w:rsidRPr="0049263A" w:rsidRDefault="00306099" w:rsidP="00306099">
            <w:pPr>
              <w:snapToGrid w:val="0"/>
              <w:spacing w:line="360" w:lineRule="auto"/>
              <w:jc w:val="center"/>
              <w:rPr>
                <w:rFonts w:ascii="Book Antiqua" w:hAnsi="Book Antiqua" w:cs="Arial"/>
                <w:sz w:val="24"/>
                <w:szCs w:val="24"/>
                <w:lang w:val="en-GB"/>
              </w:rPr>
            </w:pPr>
          </w:p>
        </w:tc>
      </w:tr>
      <w:tr w:rsidR="003777B7" w:rsidRPr="0049263A" w14:paraId="62354E3F" w14:textId="77777777" w:rsidTr="0069564A">
        <w:trPr>
          <w:trHeight w:hRule="exact" w:val="340"/>
          <w:jc w:val="center"/>
        </w:trPr>
        <w:tc>
          <w:tcPr>
            <w:tcW w:w="2962" w:type="dxa"/>
            <w:shd w:val="clear" w:color="auto" w:fill="auto"/>
            <w:vAlign w:val="center"/>
          </w:tcPr>
          <w:p w14:paraId="5141FB98" w14:textId="77777777" w:rsidR="00306099" w:rsidRPr="0049263A" w:rsidRDefault="00306099" w:rsidP="00306099">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pT3</w:t>
            </w:r>
          </w:p>
        </w:tc>
        <w:tc>
          <w:tcPr>
            <w:tcW w:w="1537" w:type="dxa"/>
            <w:shd w:val="clear" w:color="auto" w:fill="auto"/>
          </w:tcPr>
          <w:p w14:paraId="6B5DD72D"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259</w:t>
            </w:r>
          </w:p>
        </w:tc>
        <w:tc>
          <w:tcPr>
            <w:tcW w:w="1537" w:type="dxa"/>
            <w:shd w:val="clear" w:color="auto" w:fill="auto"/>
          </w:tcPr>
          <w:p w14:paraId="0A14CBD7"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421.5</w:t>
            </w:r>
          </w:p>
        </w:tc>
        <w:tc>
          <w:tcPr>
            <w:tcW w:w="1537" w:type="dxa"/>
            <w:shd w:val="clear" w:color="auto" w:fill="auto"/>
          </w:tcPr>
          <w:p w14:paraId="5ADCBF8F"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111.1</w:t>
            </w:r>
          </w:p>
        </w:tc>
        <w:tc>
          <w:tcPr>
            <w:tcW w:w="1552" w:type="dxa"/>
            <w:shd w:val="clear" w:color="auto" w:fill="auto"/>
            <w:vAlign w:val="center"/>
          </w:tcPr>
          <w:p w14:paraId="61ADC396" w14:textId="77777777" w:rsidR="00306099" w:rsidRPr="0049263A" w:rsidRDefault="00306099" w:rsidP="00306099">
            <w:pPr>
              <w:snapToGrid w:val="0"/>
              <w:spacing w:line="360" w:lineRule="auto"/>
              <w:jc w:val="center"/>
              <w:rPr>
                <w:rFonts w:ascii="Book Antiqua" w:hAnsi="Book Antiqua" w:cs="Arial"/>
                <w:sz w:val="24"/>
                <w:szCs w:val="24"/>
                <w:lang w:val="en-GB"/>
              </w:rPr>
            </w:pPr>
          </w:p>
        </w:tc>
      </w:tr>
      <w:tr w:rsidR="003777B7" w:rsidRPr="0049263A" w14:paraId="2F93C6D8" w14:textId="77777777" w:rsidTr="0069564A">
        <w:trPr>
          <w:trHeight w:hRule="exact" w:val="340"/>
          <w:jc w:val="center"/>
        </w:trPr>
        <w:tc>
          <w:tcPr>
            <w:tcW w:w="2962" w:type="dxa"/>
            <w:shd w:val="clear" w:color="auto" w:fill="auto"/>
            <w:vAlign w:val="center"/>
          </w:tcPr>
          <w:p w14:paraId="6C2914A9" w14:textId="77777777" w:rsidR="00306099" w:rsidRPr="0049263A" w:rsidRDefault="00306099" w:rsidP="00306099">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pT4a</w:t>
            </w:r>
          </w:p>
        </w:tc>
        <w:tc>
          <w:tcPr>
            <w:tcW w:w="1537" w:type="dxa"/>
            <w:shd w:val="clear" w:color="auto" w:fill="auto"/>
          </w:tcPr>
          <w:p w14:paraId="7F0A7ABF"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141</w:t>
            </w:r>
          </w:p>
        </w:tc>
        <w:tc>
          <w:tcPr>
            <w:tcW w:w="1537" w:type="dxa"/>
            <w:shd w:val="clear" w:color="auto" w:fill="auto"/>
          </w:tcPr>
          <w:p w14:paraId="5013EC32"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442.0</w:t>
            </w:r>
          </w:p>
        </w:tc>
        <w:tc>
          <w:tcPr>
            <w:tcW w:w="1537" w:type="dxa"/>
            <w:shd w:val="clear" w:color="auto" w:fill="auto"/>
          </w:tcPr>
          <w:p w14:paraId="275908EA"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143.9</w:t>
            </w:r>
          </w:p>
        </w:tc>
        <w:tc>
          <w:tcPr>
            <w:tcW w:w="1552" w:type="dxa"/>
            <w:shd w:val="clear" w:color="auto" w:fill="auto"/>
            <w:vAlign w:val="center"/>
          </w:tcPr>
          <w:p w14:paraId="1DB7CF2E" w14:textId="77777777" w:rsidR="00306099" w:rsidRPr="0049263A" w:rsidRDefault="00306099" w:rsidP="00306099">
            <w:pPr>
              <w:snapToGrid w:val="0"/>
              <w:spacing w:line="360" w:lineRule="auto"/>
              <w:jc w:val="center"/>
              <w:rPr>
                <w:rFonts w:ascii="Book Antiqua" w:hAnsi="Book Antiqua" w:cs="Arial"/>
                <w:sz w:val="24"/>
                <w:szCs w:val="24"/>
                <w:lang w:val="en-GB"/>
              </w:rPr>
            </w:pPr>
          </w:p>
        </w:tc>
      </w:tr>
      <w:tr w:rsidR="003777B7" w:rsidRPr="0049263A" w14:paraId="23367ACE" w14:textId="77777777" w:rsidTr="0069564A">
        <w:trPr>
          <w:trHeight w:hRule="exact" w:val="340"/>
          <w:jc w:val="center"/>
        </w:trPr>
        <w:tc>
          <w:tcPr>
            <w:tcW w:w="2962" w:type="dxa"/>
            <w:shd w:val="clear" w:color="auto" w:fill="auto"/>
            <w:vAlign w:val="center"/>
          </w:tcPr>
          <w:p w14:paraId="5ABD87E7" w14:textId="77777777" w:rsidR="00306099" w:rsidRPr="0049263A" w:rsidRDefault="00306099" w:rsidP="00306099">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pT4b</w:t>
            </w:r>
          </w:p>
        </w:tc>
        <w:tc>
          <w:tcPr>
            <w:tcW w:w="1537" w:type="dxa"/>
            <w:shd w:val="clear" w:color="auto" w:fill="auto"/>
          </w:tcPr>
          <w:p w14:paraId="341387C7"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93</w:t>
            </w:r>
          </w:p>
        </w:tc>
        <w:tc>
          <w:tcPr>
            <w:tcW w:w="1537" w:type="dxa"/>
            <w:shd w:val="clear" w:color="auto" w:fill="auto"/>
          </w:tcPr>
          <w:p w14:paraId="6C4CB57B"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482.1</w:t>
            </w:r>
          </w:p>
        </w:tc>
        <w:tc>
          <w:tcPr>
            <w:tcW w:w="1537" w:type="dxa"/>
            <w:shd w:val="clear" w:color="auto" w:fill="auto"/>
          </w:tcPr>
          <w:p w14:paraId="55DB27DE"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118.6</w:t>
            </w:r>
          </w:p>
        </w:tc>
        <w:tc>
          <w:tcPr>
            <w:tcW w:w="1552" w:type="dxa"/>
            <w:shd w:val="clear" w:color="auto" w:fill="auto"/>
            <w:vAlign w:val="center"/>
          </w:tcPr>
          <w:p w14:paraId="539556F9" w14:textId="77777777" w:rsidR="00306099" w:rsidRPr="0049263A" w:rsidRDefault="00306099" w:rsidP="00306099">
            <w:pPr>
              <w:snapToGrid w:val="0"/>
              <w:spacing w:line="360" w:lineRule="auto"/>
              <w:jc w:val="center"/>
              <w:rPr>
                <w:rFonts w:ascii="Book Antiqua" w:hAnsi="Book Antiqua" w:cs="Arial"/>
                <w:sz w:val="24"/>
                <w:szCs w:val="24"/>
                <w:lang w:val="en-GB"/>
              </w:rPr>
            </w:pPr>
          </w:p>
        </w:tc>
      </w:tr>
      <w:tr w:rsidR="003777B7" w:rsidRPr="0049263A" w14:paraId="51625DE4" w14:textId="77777777" w:rsidTr="0069564A">
        <w:trPr>
          <w:trHeight w:hRule="exact" w:val="340"/>
          <w:jc w:val="center"/>
        </w:trPr>
        <w:tc>
          <w:tcPr>
            <w:tcW w:w="2962" w:type="dxa"/>
            <w:shd w:val="clear" w:color="auto" w:fill="auto"/>
            <w:vAlign w:val="center"/>
          </w:tcPr>
          <w:p w14:paraId="7C11FD56" w14:textId="26AE600E" w:rsidR="0093205E" w:rsidRPr="0049263A" w:rsidRDefault="0093205E" w:rsidP="00AA734A">
            <w:pPr>
              <w:snapToGrid w:val="0"/>
              <w:spacing w:line="360" w:lineRule="auto"/>
              <w:jc w:val="both"/>
              <w:rPr>
                <w:rFonts w:ascii="Book Antiqua" w:hAnsi="Book Antiqua" w:cs="Arial"/>
                <w:i/>
                <w:sz w:val="24"/>
                <w:szCs w:val="24"/>
                <w:lang w:val="en-GB"/>
              </w:rPr>
            </w:pPr>
            <w:r w:rsidRPr="0049263A">
              <w:rPr>
                <w:rFonts w:ascii="Book Antiqua" w:hAnsi="Book Antiqua" w:cs="Arial"/>
                <w:sz w:val="24"/>
                <w:szCs w:val="24"/>
                <w:lang w:val="en-GB"/>
              </w:rPr>
              <w:t>Node involvement (</w:t>
            </w:r>
            <w:proofErr w:type="spellStart"/>
            <w:r w:rsidRPr="0049263A">
              <w:rPr>
                <w:rFonts w:ascii="Book Antiqua" w:hAnsi="Book Antiqua" w:cs="Arial"/>
                <w:sz w:val="24"/>
                <w:szCs w:val="24"/>
                <w:lang w:val="en-GB"/>
              </w:rPr>
              <w:t>pN</w:t>
            </w:r>
            <w:proofErr w:type="spellEnd"/>
            <w:r w:rsidRPr="0049263A">
              <w:rPr>
                <w:rFonts w:ascii="Book Antiqua" w:hAnsi="Book Antiqua" w:cs="Arial"/>
                <w:sz w:val="24"/>
                <w:szCs w:val="24"/>
                <w:lang w:val="en-GB"/>
              </w:rPr>
              <w:t>)</w:t>
            </w:r>
            <w:r w:rsidR="00306099" w:rsidRPr="0049263A">
              <w:rPr>
                <w:rFonts w:ascii="Book Antiqua" w:hAnsi="Book Antiqua" w:cs="Arial" w:hint="eastAsia"/>
                <w:sz w:val="24"/>
                <w:szCs w:val="24"/>
                <w:vertAlign w:val="superscript"/>
                <w:lang w:val="en-GB" w:eastAsia="zh-CN"/>
              </w:rPr>
              <w:t>1</w:t>
            </w:r>
          </w:p>
        </w:tc>
        <w:tc>
          <w:tcPr>
            <w:tcW w:w="1537" w:type="dxa"/>
            <w:shd w:val="clear" w:color="auto" w:fill="auto"/>
          </w:tcPr>
          <w:p w14:paraId="5930B78A" w14:textId="77777777" w:rsidR="0093205E" w:rsidRPr="0049263A" w:rsidRDefault="0093205E" w:rsidP="00306099">
            <w:pPr>
              <w:snapToGrid w:val="0"/>
              <w:spacing w:line="360" w:lineRule="auto"/>
              <w:ind w:left="175"/>
              <w:jc w:val="center"/>
              <w:rPr>
                <w:rFonts w:ascii="Book Antiqua" w:hAnsi="Book Antiqua" w:cs="Arial"/>
                <w:i/>
                <w:sz w:val="24"/>
                <w:szCs w:val="24"/>
                <w:lang w:val="en-GB"/>
              </w:rPr>
            </w:pPr>
          </w:p>
        </w:tc>
        <w:tc>
          <w:tcPr>
            <w:tcW w:w="1537" w:type="dxa"/>
            <w:shd w:val="clear" w:color="auto" w:fill="auto"/>
          </w:tcPr>
          <w:p w14:paraId="3CFE072B" w14:textId="77777777" w:rsidR="0093205E" w:rsidRPr="0049263A" w:rsidRDefault="0093205E" w:rsidP="00306099">
            <w:pPr>
              <w:snapToGrid w:val="0"/>
              <w:spacing w:line="360" w:lineRule="auto"/>
              <w:ind w:left="175"/>
              <w:jc w:val="center"/>
              <w:rPr>
                <w:rFonts w:ascii="Book Antiqua" w:hAnsi="Book Antiqua" w:cs="Arial"/>
                <w:i/>
                <w:sz w:val="24"/>
                <w:szCs w:val="24"/>
                <w:lang w:val="en-GB"/>
              </w:rPr>
            </w:pPr>
          </w:p>
        </w:tc>
        <w:tc>
          <w:tcPr>
            <w:tcW w:w="1537" w:type="dxa"/>
            <w:shd w:val="clear" w:color="auto" w:fill="auto"/>
          </w:tcPr>
          <w:p w14:paraId="7865D4E2" w14:textId="77777777" w:rsidR="0093205E" w:rsidRPr="0049263A" w:rsidRDefault="0093205E" w:rsidP="00306099">
            <w:pPr>
              <w:snapToGrid w:val="0"/>
              <w:spacing w:line="360" w:lineRule="auto"/>
              <w:ind w:left="175"/>
              <w:jc w:val="center"/>
              <w:rPr>
                <w:rFonts w:ascii="Book Antiqua" w:hAnsi="Book Antiqua" w:cs="Arial"/>
                <w:i/>
                <w:sz w:val="24"/>
                <w:szCs w:val="24"/>
                <w:lang w:val="en-GB"/>
              </w:rPr>
            </w:pPr>
          </w:p>
        </w:tc>
        <w:tc>
          <w:tcPr>
            <w:tcW w:w="1552" w:type="dxa"/>
            <w:shd w:val="clear" w:color="auto" w:fill="auto"/>
            <w:vAlign w:val="center"/>
          </w:tcPr>
          <w:p w14:paraId="75A4E140" w14:textId="77777777" w:rsidR="0093205E" w:rsidRPr="0049263A" w:rsidRDefault="0093205E" w:rsidP="00306099">
            <w:pPr>
              <w:snapToGrid w:val="0"/>
              <w:spacing w:line="360" w:lineRule="auto"/>
              <w:ind w:left="175"/>
              <w:jc w:val="center"/>
              <w:rPr>
                <w:rFonts w:ascii="Book Antiqua" w:eastAsia="MS Mincho" w:hAnsi="Book Antiqua" w:cs="Arial"/>
                <w:sz w:val="24"/>
                <w:szCs w:val="24"/>
                <w:lang w:val="en-GB"/>
              </w:rPr>
            </w:pPr>
            <w:r w:rsidRPr="0049263A">
              <w:rPr>
                <w:rFonts w:ascii="Book Antiqua" w:hAnsi="Book Antiqua" w:cs="Arial"/>
                <w:i/>
                <w:sz w:val="24"/>
                <w:szCs w:val="24"/>
                <w:lang w:val="en-GB"/>
              </w:rPr>
              <w:t>P</w:t>
            </w:r>
            <w:r w:rsidRPr="0049263A">
              <w:rPr>
                <w:rFonts w:ascii="Book Antiqua" w:hAnsi="Book Antiqua" w:cs="Arial"/>
                <w:sz w:val="24"/>
                <w:szCs w:val="24"/>
                <w:lang w:val="en-GB"/>
              </w:rPr>
              <w:t xml:space="preserve"> = 0.001</w:t>
            </w:r>
          </w:p>
        </w:tc>
      </w:tr>
      <w:tr w:rsidR="003777B7" w:rsidRPr="0049263A" w14:paraId="19DCC364" w14:textId="77777777" w:rsidTr="0069564A">
        <w:trPr>
          <w:trHeight w:hRule="exact" w:val="340"/>
          <w:jc w:val="center"/>
        </w:trPr>
        <w:tc>
          <w:tcPr>
            <w:tcW w:w="2962" w:type="dxa"/>
            <w:shd w:val="clear" w:color="auto" w:fill="auto"/>
            <w:vAlign w:val="center"/>
          </w:tcPr>
          <w:p w14:paraId="61997E0B" w14:textId="77777777" w:rsidR="00306099" w:rsidRPr="0049263A" w:rsidRDefault="00306099" w:rsidP="00306099">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pN0</w:t>
            </w:r>
          </w:p>
        </w:tc>
        <w:tc>
          <w:tcPr>
            <w:tcW w:w="1537" w:type="dxa"/>
            <w:shd w:val="clear" w:color="auto" w:fill="auto"/>
          </w:tcPr>
          <w:p w14:paraId="5885654E"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372</w:t>
            </w:r>
          </w:p>
        </w:tc>
        <w:tc>
          <w:tcPr>
            <w:tcW w:w="1537" w:type="dxa"/>
            <w:shd w:val="clear" w:color="auto" w:fill="auto"/>
          </w:tcPr>
          <w:p w14:paraId="108C3E1A"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408.2</w:t>
            </w:r>
          </w:p>
        </w:tc>
        <w:tc>
          <w:tcPr>
            <w:tcW w:w="1537" w:type="dxa"/>
            <w:shd w:val="clear" w:color="auto" w:fill="auto"/>
          </w:tcPr>
          <w:p w14:paraId="6F3719F9"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108.7</w:t>
            </w:r>
          </w:p>
        </w:tc>
        <w:tc>
          <w:tcPr>
            <w:tcW w:w="1552" w:type="dxa"/>
            <w:shd w:val="clear" w:color="auto" w:fill="auto"/>
            <w:vAlign w:val="center"/>
          </w:tcPr>
          <w:p w14:paraId="2FEC5DF1" w14:textId="77777777" w:rsidR="00306099" w:rsidRPr="0049263A" w:rsidRDefault="00306099" w:rsidP="00306099">
            <w:pPr>
              <w:snapToGrid w:val="0"/>
              <w:spacing w:line="360" w:lineRule="auto"/>
              <w:jc w:val="center"/>
              <w:rPr>
                <w:rFonts w:ascii="Book Antiqua" w:hAnsi="Book Antiqua" w:cs="Arial"/>
                <w:sz w:val="24"/>
                <w:szCs w:val="24"/>
                <w:lang w:val="en-GB"/>
              </w:rPr>
            </w:pPr>
          </w:p>
        </w:tc>
      </w:tr>
      <w:tr w:rsidR="003777B7" w:rsidRPr="0049263A" w14:paraId="08DDD689" w14:textId="77777777" w:rsidTr="0069564A">
        <w:trPr>
          <w:trHeight w:hRule="exact" w:val="340"/>
          <w:jc w:val="center"/>
        </w:trPr>
        <w:tc>
          <w:tcPr>
            <w:tcW w:w="2962" w:type="dxa"/>
            <w:shd w:val="clear" w:color="auto" w:fill="auto"/>
            <w:vAlign w:val="center"/>
          </w:tcPr>
          <w:p w14:paraId="57CDFB04" w14:textId="77777777" w:rsidR="00306099" w:rsidRPr="0049263A" w:rsidRDefault="00306099" w:rsidP="00306099">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pN1</w:t>
            </w:r>
          </w:p>
        </w:tc>
        <w:tc>
          <w:tcPr>
            <w:tcW w:w="1537" w:type="dxa"/>
            <w:shd w:val="clear" w:color="auto" w:fill="auto"/>
          </w:tcPr>
          <w:p w14:paraId="1423A5AB"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166</w:t>
            </w:r>
          </w:p>
        </w:tc>
        <w:tc>
          <w:tcPr>
            <w:tcW w:w="1537" w:type="dxa"/>
            <w:shd w:val="clear" w:color="auto" w:fill="auto"/>
          </w:tcPr>
          <w:p w14:paraId="36974319"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445.0</w:t>
            </w:r>
          </w:p>
        </w:tc>
        <w:tc>
          <w:tcPr>
            <w:tcW w:w="1537" w:type="dxa"/>
            <w:shd w:val="clear" w:color="auto" w:fill="auto"/>
          </w:tcPr>
          <w:p w14:paraId="63F5F5D7"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142.6</w:t>
            </w:r>
          </w:p>
        </w:tc>
        <w:tc>
          <w:tcPr>
            <w:tcW w:w="1552" w:type="dxa"/>
            <w:shd w:val="clear" w:color="auto" w:fill="auto"/>
            <w:vAlign w:val="center"/>
          </w:tcPr>
          <w:p w14:paraId="6DE51830" w14:textId="77777777" w:rsidR="00306099" w:rsidRPr="0049263A" w:rsidRDefault="00306099" w:rsidP="00306099">
            <w:pPr>
              <w:snapToGrid w:val="0"/>
              <w:spacing w:line="360" w:lineRule="auto"/>
              <w:jc w:val="center"/>
              <w:rPr>
                <w:rFonts w:ascii="Book Antiqua" w:hAnsi="Book Antiqua" w:cs="Arial"/>
                <w:sz w:val="24"/>
                <w:szCs w:val="24"/>
                <w:lang w:val="en-GB"/>
              </w:rPr>
            </w:pPr>
          </w:p>
        </w:tc>
      </w:tr>
      <w:tr w:rsidR="003777B7" w:rsidRPr="0049263A" w14:paraId="60A39456" w14:textId="77777777" w:rsidTr="0069564A">
        <w:trPr>
          <w:trHeight w:hRule="exact" w:val="340"/>
          <w:jc w:val="center"/>
        </w:trPr>
        <w:tc>
          <w:tcPr>
            <w:tcW w:w="2962" w:type="dxa"/>
            <w:shd w:val="clear" w:color="auto" w:fill="auto"/>
            <w:vAlign w:val="center"/>
          </w:tcPr>
          <w:p w14:paraId="4EC79885" w14:textId="77777777" w:rsidR="00306099" w:rsidRPr="0049263A" w:rsidRDefault="00306099" w:rsidP="00306099">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pN2</w:t>
            </w:r>
          </w:p>
        </w:tc>
        <w:tc>
          <w:tcPr>
            <w:tcW w:w="1537" w:type="dxa"/>
            <w:shd w:val="clear" w:color="auto" w:fill="auto"/>
          </w:tcPr>
          <w:p w14:paraId="5A330819"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102</w:t>
            </w:r>
          </w:p>
        </w:tc>
        <w:tc>
          <w:tcPr>
            <w:tcW w:w="1537" w:type="dxa"/>
            <w:shd w:val="clear" w:color="auto" w:fill="auto"/>
          </w:tcPr>
          <w:p w14:paraId="72CA827E"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446.5</w:t>
            </w:r>
          </w:p>
        </w:tc>
        <w:tc>
          <w:tcPr>
            <w:tcW w:w="1537" w:type="dxa"/>
            <w:shd w:val="clear" w:color="auto" w:fill="auto"/>
          </w:tcPr>
          <w:p w14:paraId="5DFD0CB0"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119.5</w:t>
            </w:r>
          </w:p>
        </w:tc>
        <w:tc>
          <w:tcPr>
            <w:tcW w:w="1552" w:type="dxa"/>
            <w:shd w:val="clear" w:color="auto" w:fill="auto"/>
            <w:vAlign w:val="center"/>
          </w:tcPr>
          <w:p w14:paraId="4FDCB1F3" w14:textId="77777777" w:rsidR="00306099" w:rsidRPr="0049263A" w:rsidRDefault="00306099" w:rsidP="00306099">
            <w:pPr>
              <w:snapToGrid w:val="0"/>
              <w:spacing w:line="360" w:lineRule="auto"/>
              <w:jc w:val="center"/>
              <w:rPr>
                <w:rFonts w:ascii="Book Antiqua" w:hAnsi="Book Antiqua" w:cs="Arial"/>
                <w:sz w:val="24"/>
                <w:szCs w:val="24"/>
                <w:lang w:val="en-GB"/>
              </w:rPr>
            </w:pPr>
          </w:p>
        </w:tc>
      </w:tr>
      <w:tr w:rsidR="003777B7" w:rsidRPr="0049263A" w14:paraId="7AC6DAE3" w14:textId="77777777" w:rsidTr="0069564A">
        <w:trPr>
          <w:trHeight w:hRule="exact" w:val="340"/>
          <w:jc w:val="center"/>
        </w:trPr>
        <w:tc>
          <w:tcPr>
            <w:tcW w:w="2962" w:type="dxa"/>
            <w:shd w:val="clear" w:color="auto" w:fill="auto"/>
            <w:vAlign w:val="center"/>
          </w:tcPr>
          <w:p w14:paraId="7E7E9801" w14:textId="77777777" w:rsidR="0093205E" w:rsidRPr="0049263A" w:rsidRDefault="0093205E" w:rsidP="00AA734A">
            <w:pPr>
              <w:snapToGrid w:val="0"/>
              <w:spacing w:line="360" w:lineRule="auto"/>
              <w:jc w:val="both"/>
              <w:rPr>
                <w:rFonts w:ascii="Book Antiqua" w:hAnsi="Book Antiqua" w:cs="Arial"/>
                <w:i/>
                <w:sz w:val="24"/>
                <w:szCs w:val="24"/>
                <w:lang w:val="en-GB"/>
              </w:rPr>
            </w:pPr>
            <w:r w:rsidRPr="0049263A">
              <w:rPr>
                <w:rFonts w:ascii="Book Antiqua" w:hAnsi="Book Antiqua" w:cs="Arial"/>
                <w:sz w:val="24"/>
                <w:szCs w:val="24"/>
                <w:lang w:val="en-GB"/>
              </w:rPr>
              <w:t>Systemic metastasis (M)</w:t>
            </w:r>
          </w:p>
        </w:tc>
        <w:tc>
          <w:tcPr>
            <w:tcW w:w="1537" w:type="dxa"/>
            <w:shd w:val="clear" w:color="auto" w:fill="auto"/>
          </w:tcPr>
          <w:p w14:paraId="599A6CBA" w14:textId="77777777" w:rsidR="0093205E" w:rsidRPr="0049263A" w:rsidRDefault="0093205E" w:rsidP="00306099">
            <w:pPr>
              <w:snapToGrid w:val="0"/>
              <w:spacing w:line="360" w:lineRule="auto"/>
              <w:jc w:val="center"/>
              <w:rPr>
                <w:rFonts w:ascii="Book Antiqua" w:hAnsi="Book Antiqua" w:cs="Arial"/>
                <w:i/>
                <w:sz w:val="24"/>
                <w:szCs w:val="24"/>
                <w:lang w:val="en-GB"/>
              </w:rPr>
            </w:pPr>
          </w:p>
        </w:tc>
        <w:tc>
          <w:tcPr>
            <w:tcW w:w="1537" w:type="dxa"/>
            <w:shd w:val="clear" w:color="auto" w:fill="auto"/>
          </w:tcPr>
          <w:p w14:paraId="1449F9E8" w14:textId="77777777" w:rsidR="0093205E" w:rsidRPr="0049263A" w:rsidRDefault="0093205E" w:rsidP="00306099">
            <w:pPr>
              <w:snapToGrid w:val="0"/>
              <w:spacing w:line="360" w:lineRule="auto"/>
              <w:jc w:val="center"/>
              <w:rPr>
                <w:rFonts w:ascii="Book Antiqua" w:hAnsi="Book Antiqua" w:cs="Arial"/>
                <w:i/>
                <w:sz w:val="24"/>
                <w:szCs w:val="24"/>
                <w:lang w:val="en-GB"/>
              </w:rPr>
            </w:pPr>
          </w:p>
        </w:tc>
        <w:tc>
          <w:tcPr>
            <w:tcW w:w="1537" w:type="dxa"/>
            <w:shd w:val="clear" w:color="auto" w:fill="auto"/>
          </w:tcPr>
          <w:p w14:paraId="7505070E" w14:textId="77777777" w:rsidR="0093205E" w:rsidRPr="0049263A" w:rsidRDefault="0093205E" w:rsidP="00306099">
            <w:pPr>
              <w:snapToGrid w:val="0"/>
              <w:spacing w:line="360" w:lineRule="auto"/>
              <w:jc w:val="center"/>
              <w:rPr>
                <w:rFonts w:ascii="Book Antiqua" w:hAnsi="Book Antiqua" w:cs="Arial"/>
                <w:i/>
                <w:sz w:val="24"/>
                <w:szCs w:val="24"/>
                <w:lang w:val="en-GB"/>
              </w:rPr>
            </w:pPr>
          </w:p>
        </w:tc>
        <w:tc>
          <w:tcPr>
            <w:tcW w:w="1552" w:type="dxa"/>
            <w:shd w:val="clear" w:color="auto" w:fill="auto"/>
            <w:vAlign w:val="center"/>
          </w:tcPr>
          <w:p w14:paraId="5CEC92C1" w14:textId="77777777" w:rsidR="0093205E" w:rsidRPr="0049263A" w:rsidRDefault="0093205E" w:rsidP="00306099">
            <w:pPr>
              <w:snapToGrid w:val="0"/>
              <w:spacing w:line="360" w:lineRule="auto"/>
              <w:jc w:val="center"/>
              <w:rPr>
                <w:rFonts w:ascii="Book Antiqua" w:eastAsia="MS Mincho" w:hAnsi="Book Antiqua" w:cs="Arial"/>
                <w:sz w:val="24"/>
                <w:szCs w:val="24"/>
                <w:lang w:val="en-GB"/>
              </w:rPr>
            </w:pPr>
            <w:r w:rsidRPr="0049263A">
              <w:rPr>
                <w:rFonts w:ascii="Book Antiqua" w:hAnsi="Book Antiqua" w:cs="Arial"/>
                <w:i/>
                <w:sz w:val="24"/>
                <w:szCs w:val="24"/>
                <w:lang w:val="en-GB"/>
              </w:rPr>
              <w:t>P</w:t>
            </w:r>
            <w:r w:rsidRPr="0049263A">
              <w:rPr>
                <w:rFonts w:ascii="Book Antiqua" w:hAnsi="Book Antiqua" w:cs="Arial"/>
                <w:sz w:val="24"/>
                <w:szCs w:val="24"/>
                <w:lang w:val="en-GB"/>
              </w:rPr>
              <w:t xml:space="preserve"> &lt; 0.001</w:t>
            </w:r>
          </w:p>
        </w:tc>
      </w:tr>
      <w:tr w:rsidR="003777B7" w:rsidRPr="0049263A" w14:paraId="235C2732" w14:textId="77777777" w:rsidTr="0069564A">
        <w:trPr>
          <w:trHeight w:hRule="exact" w:val="340"/>
          <w:jc w:val="center"/>
        </w:trPr>
        <w:tc>
          <w:tcPr>
            <w:tcW w:w="2962" w:type="dxa"/>
            <w:shd w:val="clear" w:color="auto" w:fill="auto"/>
            <w:vAlign w:val="center"/>
          </w:tcPr>
          <w:p w14:paraId="52A95B7D" w14:textId="77777777" w:rsidR="00306099" w:rsidRPr="0049263A" w:rsidRDefault="00306099" w:rsidP="00306099">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M0</w:t>
            </w:r>
          </w:p>
        </w:tc>
        <w:tc>
          <w:tcPr>
            <w:tcW w:w="1537" w:type="dxa"/>
            <w:shd w:val="clear" w:color="auto" w:fill="auto"/>
          </w:tcPr>
          <w:p w14:paraId="4627A8F8"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534</w:t>
            </w:r>
          </w:p>
        </w:tc>
        <w:tc>
          <w:tcPr>
            <w:tcW w:w="1537" w:type="dxa"/>
            <w:shd w:val="clear" w:color="auto" w:fill="auto"/>
          </w:tcPr>
          <w:p w14:paraId="7A8A14C5"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412.1</w:t>
            </w:r>
          </w:p>
        </w:tc>
        <w:tc>
          <w:tcPr>
            <w:tcW w:w="1537" w:type="dxa"/>
            <w:shd w:val="clear" w:color="auto" w:fill="auto"/>
          </w:tcPr>
          <w:p w14:paraId="1E4BD23D"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109.6</w:t>
            </w:r>
          </w:p>
        </w:tc>
        <w:tc>
          <w:tcPr>
            <w:tcW w:w="1552" w:type="dxa"/>
            <w:shd w:val="clear" w:color="auto" w:fill="auto"/>
            <w:vAlign w:val="center"/>
          </w:tcPr>
          <w:p w14:paraId="5DCD2D9F" w14:textId="77777777" w:rsidR="00306099" w:rsidRPr="0049263A" w:rsidRDefault="00306099" w:rsidP="00306099">
            <w:pPr>
              <w:snapToGrid w:val="0"/>
              <w:spacing w:line="360" w:lineRule="auto"/>
              <w:jc w:val="center"/>
              <w:rPr>
                <w:rFonts w:ascii="Book Antiqua" w:hAnsi="Book Antiqua" w:cs="Arial"/>
                <w:sz w:val="24"/>
                <w:szCs w:val="24"/>
                <w:lang w:val="en-GB"/>
              </w:rPr>
            </w:pPr>
          </w:p>
        </w:tc>
      </w:tr>
      <w:tr w:rsidR="003777B7" w:rsidRPr="0049263A" w14:paraId="29291397" w14:textId="77777777" w:rsidTr="0069564A">
        <w:trPr>
          <w:trHeight w:hRule="exact" w:val="340"/>
          <w:jc w:val="center"/>
        </w:trPr>
        <w:tc>
          <w:tcPr>
            <w:tcW w:w="2962" w:type="dxa"/>
            <w:shd w:val="clear" w:color="auto" w:fill="auto"/>
            <w:vAlign w:val="center"/>
          </w:tcPr>
          <w:p w14:paraId="5A815C3A" w14:textId="77777777" w:rsidR="00306099" w:rsidRPr="0049263A" w:rsidRDefault="00306099" w:rsidP="00306099">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M1a</w:t>
            </w:r>
          </w:p>
        </w:tc>
        <w:tc>
          <w:tcPr>
            <w:tcW w:w="1537" w:type="dxa"/>
            <w:shd w:val="clear" w:color="auto" w:fill="auto"/>
          </w:tcPr>
          <w:p w14:paraId="2FBBF4D0"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69</w:t>
            </w:r>
          </w:p>
        </w:tc>
        <w:tc>
          <w:tcPr>
            <w:tcW w:w="1537" w:type="dxa"/>
            <w:shd w:val="clear" w:color="auto" w:fill="auto"/>
          </w:tcPr>
          <w:p w14:paraId="58AB9DF0"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466.8</w:t>
            </w:r>
          </w:p>
        </w:tc>
        <w:tc>
          <w:tcPr>
            <w:tcW w:w="1537" w:type="dxa"/>
            <w:shd w:val="clear" w:color="auto" w:fill="auto"/>
          </w:tcPr>
          <w:p w14:paraId="4AD6D9E0"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144.1</w:t>
            </w:r>
          </w:p>
        </w:tc>
        <w:tc>
          <w:tcPr>
            <w:tcW w:w="1552" w:type="dxa"/>
            <w:shd w:val="clear" w:color="auto" w:fill="auto"/>
            <w:vAlign w:val="center"/>
          </w:tcPr>
          <w:p w14:paraId="2F71507A" w14:textId="77777777" w:rsidR="00306099" w:rsidRPr="0049263A" w:rsidRDefault="00306099" w:rsidP="00306099">
            <w:pPr>
              <w:snapToGrid w:val="0"/>
              <w:spacing w:line="360" w:lineRule="auto"/>
              <w:jc w:val="center"/>
              <w:rPr>
                <w:rFonts w:ascii="Book Antiqua" w:hAnsi="Book Antiqua" w:cs="Arial"/>
                <w:sz w:val="24"/>
                <w:szCs w:val="24"/>
                <w:lang w:val="en-GB"/>
              </w:rPr>
            </w:pPr>
          </w:p>
        </w:tc>
      </w:tr>
      <w:tr w:rsidR="003777B7" w:rsidRPr="0049263A" w14:paraId="755618E2" w14:textId="77777777" w:rsidTr="0069564A">
        <w:trPr>
          <w:trHeight w:hRule="exact" w:val="340"/>
          <w:jc w:val="center"/>
        </w:trPr>
        <w:tc>
          <w:tcPr>
            <w:tcW w:w="2962" w:type="dxa"/>
            <w:shd w:val="clear" w:color="auto" w:fill="auto"/>
            <w:vAlign w:val="center"/>
          </w:tcPr>
          <w:p w14:paraId="0A9370AE" w14:textId="77777777" w:rsidR="00306099" w:rsidRPr="0049263A" w:rsidRDefault="00306099" w:rsidP="00306099">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M1b</w:t>
            </w:r>
          </w:p>
        </w:tc>
        <w:tc>
          <w:tcPr>
            <w:tcW w:w="1537" w:type="dxa"/>
            <w:shd w:val="clear" w:color="auto" w:fill="auto"/>
          </w:tcPr>
          <w:p w14:paraId="55566BAC"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49</w:t>
            </w:r>
          </w:p>
        </w:tc>
        <w:tc>
          <w:tcPr>
            <w:tcW w:w="1537" w:type="dxa"/>
            <w:shd w:val="clear" w:color="auto" w:fill="auto"/>
          </w:tcPr>
          <w:p w14:paraId="6F6D829E"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522.3</w:t>
            </w:r>
          </w:p>
        </w:tc>
        <w:tc>
          <w:tcPr>
            <w:tcW w:w="1537" w:type="dxa"/>
            <w:shd w:val="clear" w:color="auto" w:fill="auto"/>
          </w:tcPr>
          <w:p w14:paraId="5738DF22"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170.5</w:t>
            </w:r>
          </w:p>
        </w:tc>
        <w:tc>
          <w:tcPr>
            <w:tcW w:w="1552" w:type="dxa"/>
            <w:shd w:val="clear" w:color="auto" w:fill="auto"/>
            <w:vAlign w:val="center"/>
          </w:tcPr>
          <w:p w14:paraId="3BD4FF62" w14:textId="77777777" w:rsidR="00306099" w:rsidRPr="0049263A" w:rsidRDefault="00306099" w:rsidP="00306099">
            <w:pPr>
              <w:snapToGrid w:val="0"/>
              <w:spacing w:line="360" w:lineRule="auto"/>
              <w:jc w:val="center"/>
              <w:rPr>
                <w:rFonts w:ascii="Book Antiqua" w:hAnsi="Book Antiqua" w:cs="Arial"/>
                <w:sz w:val="24"/>
                <w:szCs w:val="24"/>
                <w:lang w:val="en-GB"/>
              </w:rPr>
            </w:pPr>
          </w:p>
        </w:tc>
      </w:tr>
      <w:tr w:rsidR="003777B7" w:rsidRPr="0049263A" w14:paraId="032F4D8C" w14:textId="77777777" w:rsidTr="0069564A">
        <w:trPr>
          <w:trHeight w:hRule="exact" w:val="340"/>
          <w:jc w:val="center"/>
        </w:trPr>
        <w:tc>
          <w:tcPr>
            <w:tcW w:w="2962" w:type="dxa"/>
            <w:shd w:val="clear" w:color="auto" w:fill="auto"/>
            <w:vAlign w:val="center"/>
          </w:tcPr>
          <w:p w14:paraId="03057E7B" w14:textId="7192828A" w:rsidR="0093205E" w:rsidRPr="0049263A" w:rsidRDefault="0093205E" w:rsidP="00AA734A">
            <w:pPr>
              <w:snapToGrid w:val="0"/>
              <w:spacing w:line="360" w:lineRule="auto"/>
              <w:jc w:val="both"/>
              <w:rPr>
                <w:rFonts w:ascii="Book Antiqua" w:hAnsi="Book Antiqua" w:cs="Arial"/>
                <w:i/>
                <w:sz w:val="24"/>
                <w:szCs w:val="24"/>
                <w:lang w:val="en-GB"/>
              </w:rPr>
            </w:pPr>
            <w:r w:rsidRPr="0049263A">
              <w:rPr>
                <w:rFonts w:ascii="Book Antiqua" w:hAnsi="Book Antiqua" w:cs="Arial"/>
                <w:sz w:val="24"/>
                <w:szCs w:val="24"/>
                <w:lang w:val="en-GB"/>
              </w:rPr>
              <w:t>CEA serum level</w:t>
            </w:r>
            <w:r w:rsidR="0069564A" w:rsidRPr="0049263A">
              <w:rPr>
                <w:rFonts w:ascii="Book Antiqua" w:hAnsi="Book Antiqua" w:cs="Arial" w:hint="eastAsia"/>
                <w:sz w:val="24"/>
                <w:szCs w:val="24"/>
                <w:vertAlign w:val="superscript"/>
                <w:lang w:val="en-GB" w:eastAsia="zh-CN"/>
              </w:rPr>
              <w:t>2</w:t>
            </w:r>
          </w:p>
        </w:tc>
        <w:tc>
          <w:tcPr>
            <w:tcW w:w="1537" w:type="dxa"/>
            <w:shd w:val="clear" w:color="auto" w:fill="auto"/>
          </w:tcPr>
          <w:p w14:paraId="04D1E936" w14:textId="77777777" w:rsidR="0093205E" w:rsidRPr="0049263A" w:rsidRDefault="0093205E" w:rsidP="00306099">
            <w:pPr>
              <w:snapToGrid w:val="0"/>
              <w:spacing w:line="360" w:lineRule="auto"/>
              <w:jc w:val="center"/>
              <w:rPr>
                <w:rFonts w:ascii="Book Antiqua" w:hAnsi="Book Antiqua" w:cs="Arial"/>
                <w:i/>
                <w:sz w:val="24"/>
                <w:szCs w:val="24"/>
                <w:lang w:val="en-GB"/>
              </w:rPr>
            </w:pPr>
          </w:p>
        </w:tc>
        <w:tc>
          <w:tcPr>
            <w:tcW w:w="1537" w:type="dxa"/>
            <w:shd w:val="clear" w:color="auto" w:fill="auto"/>
          </w:tcPr>
          <w:p w14:paraId="03EC7CC3" w14:textId="77777777" w:rsidR="0093205E" w:rsidRPr="0049263A" w:rsidRDefault="0093205E" w:rsidP="00306099">
            <w:pPr>
              <w:snapToGrid w:val="0"/>
              <w:spacing w:line="360" w:lineRule="auto"/>
              <w:jc w:val="center"/>
              <w:rPr>
                <w:rFonts w:ascii="Book Antiqua" w:hAnsi="Book Antiqua" w:cs="Arial"/>
                <w:i/>
                <w:sz w:val="24"/>
                <w:szCs w:val="24"/>
                <w:lang w:val="en-GB"/>
              </w:rPr>
            </w:pPr>
          </w:p>
        </w:tc>
        <w:tc>
          <w:tcPr>
            <w:tcW w:w="1537" w:type="dxa"/>
            <w:shd w:val="clear" w:color="auto" w:fill="auto"/>
          </w:tcPr>
          <w:p w14:paraId="227AFB88" w14:textId="77777777" w:rsidR="0093205E" w:rsidRPr="0049263A" w:rsidRDefault="0093205E" w:rsidP="00306099">
            <w:pPr>
              <w:snapToGrid w:val="0"/>
              <w:spacing w:line="360" w:lineRule="auto"/>
              <w:jc w:val="center"/>
              <w:rPr>
                <w:rFonts w:ascii="Book Antiqua" w:hAnsi="Book Antiqua" w:cs="Arial"/>
                <w:i/>
                <w:sz w:val="24"/>
                <w:szCs w:val="24"/>
                <w:lang w:val="en-GB"/>
              </w:rPr>
            </w:pPr>
          </w:p>
        </w:tc>
        <w:tc>
          <w:tcPr>
            <w:tcW w:w="1552" w:type="dxa"/>
            <w:shd w:val="clear" w:color="auto" w:fill="auto"/>
            <w:vAlign w:val="center"/>
          </w:tcPr>
          <w:p w14:paraId="63104B8D" w14:textId="77777777" w:rsidR="0093205E" w:rsidRPr="0049263A" w:rsidRDefault="0093205E" w:rsidP="00306099">
            <w:pPr>
              <w:snapToGrid w:val="0"/>
              <w:spacing w:line="360" w:lineRule="auto"/>
              <w:jc w:val="center"/>
              <w:rPr>
                <w:rFonts w:ascii="Book Antiqua" w:eastAsia="MS Mincho" w:hAnsi="Book Antiqua" w:cs="Arial"/>
                <w:sz w:val="24"/>
                <w:szCs w:val="24"/>
                <w:lang w:val="en-GB"/>
              </w:rPr>
            </w:pPr>
            <w:r w:rsidRPr="0049263A">
              <w:rPr>
                <w:rFonts w:ascii="Book Antiqua" w:hAnsi="Book Antiqua" w:cs="Arial"/>
                <w:i/>
                <w:sz w:val="24"/>
                <w:szCs w:val="24"/>
                <w:lang w:val="en-GB"/>
              </w:rPr>
              <w:t>P</w:t>
            </w:r>
            <w:r w:rsidRPr="0049263A">
              <w:rPr>
                <w:rFonts w:ascii="Book Antiqua" w:hAnsi="Book Antiqua" w:cs="Arial"/>
                <w:sz w:val="24"/>
                <w:szCs w:val="24"/>
                <w:lang w:val="en-GB"/>
              </w:rPr>
              <w:t xml:space="preserve"> &lt; 0.001</w:t>
            </w:r>
          </w:p>
        </w:tc>
      </w:tr>
      <w:tr w:rsidR="003777B7" w:rsidRPr="0049263A" w14:paraId="7688C701" w14:textId="77777777" w:rsidTr="0069564A">
        <w:trPr>
          <w:trHeight w:hRule="exact" w:val="340"/>
          <w:jc w:val="center"/>
        </w:trPr>
        <w:tc>
          <w:tcPr>
            <w:tcW w:w="2962" w:type="dxa"/>
            <w:shd w:val="clear" w:color="auto" w:fill="auto"/>
            <w:vAlign w:val="center"/>
          </w:tcPr>
          <w:p w14:paraId="553A7F03" w14:textId="77777777" w:rsidR="00306099" w:rsidRPr="0049263A" w:rsidRDefault="00306099" w:rsidP="00306099">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 xml:space="preserve">≤ 5 </w:t>
            </w:r>
            <w:proofErr w:type="spellStart"/>
            <w:r w:rsidRPr="0049263A">
              <w:rPr>
                <w:rFonts w:ascii="Book Antiqua" w:hAnsi="Book Antiqua" w:cs="Arial"/>
                <w:sz w:val="24"/>
                <w:szCs w:val="24"/>
                <w:lang w:val="en-GB"/>
              </w:rPr>
              <w:t>ng</w:t>
            </w:r>
            <w:proofErr w:type="spellEnd"/>
            <w:r w:rsidRPr="0049263A">
              <w:rPr>
                <w:rFonts w:ascii="Book Antiqua" w:hAnsi="Book Antiqua" w:cs="Arial"/>
                <w:sz w:val="24"/>
                <w:szCs w:val="24"/>
                <w:lang w:val="en-GB"/>
              </w:rPr>
              <w:t>/mL</w:t>
            </w:r>
          </w:p>
        </w:tc>
        <w:tc>
          <w:tcPr>
            <w:tcW w:w="1537" w:type="dxa"/>
            <w:shd w:val="clear" w:color="auto" w:fill="auto"/>
          </w:tcPr>
          <w:p w14:paraId="402769A3"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284</w:t>
            </w:r>
          </w:p>
        </w:tc>
        <w:tc>
          <w:tcPr>
            <w:tcW w:w="1537" w:type="dxa"/>
            <w:shd w:val="clear" w:color="auto" w:fill="auto"/>
          </w:tcPr>
          <w:p w14:paraId="430C59FF"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393.4</w:t>
            </w:r>
          </w:p>
        </w:tc>
        <w:tc>
          <w:tcPr>
            <w:tcW w:w="1537" w:type="dxa"/>
            <w:shd w:val="clear" w:color="auto" w:fill="auto"/>
          </w:tcPr>
          <w:p w14:paraId="4BE565ED"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101.0</w:t>
            </w:r>
          </w:p>
        </w:tc>
        <w:tc>
          <w:tcPr>
            <w:tcW w:w="1552" w:type="dxa"/>
            <w:shd w:val="clear" w:color="auto" w:fill="auto"/>
            <w:vAlign w:val="center"/>
          </w:tcPr>
          <w:p w14:paraId="3A840A38" w14:textId="77777777" w:rsidR="00306099" w:rsidRPr="0049263A" w:rsidRDefault="00306099" w:rsidP="00306099">
            <w:pPr>
              <w:snapToGrid w:val="0"/>
              <w:spacing w:line="360" w:lineRule="auto"/>
              <w:jc w:val="center"/>
              <w:rPr>
                <w:rFonts w:ascii="Book Antiqua" w:hAnsi="Book Antiqua" w:cs="Arial"/>
                <w:sz w:val="24"/>
                <w:szCs w:val="24"/>
                <w:lang w:val="en-GB"/>
              </w:rPr>
            </w:pPr>
          </w:p>
        </w:tc>
      </w:tr>
      <w:tr w:rsidR="003777B7" w:rsidRPr="0049263A" w14:paraId="01B37949" w14:textId="77777777" w:rsidTr="0069564A">
        <w:trPr>
          <w:trHeight w:hRule="exact" w:val="340"/>
          <w:jc w:val="center"/>
        </w:trPr>
        <w:tc>
          <w:tcPr>
            <w:tcW w:w="2962" w:type="dxa"/>
            <w:shd w:val="clear" w:color="auto" w:fill="auto"/>
            <w:vAlign w:val="center"/>
          </w:tcPr>
          <w:p w14:paraId="667549A9" w14:textId="77777777" w:rsidR="00306099" w:rsidRPr="0049263A" w:rsidRDefault="00306099" w:rsidP="00306099">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 xml:space="preserve">&gt; 5 </w:t>
            </w:r>
            <w:proofErr w:type="spellStart"/>
            <w:r w:rsidRPr="0049263A">
              <w:rPr>
                <w:rFonts w:ascii="Book Antiqua" w:hAnsi="Book Antiqua" w:cs="Arial"/>
                <w:sz w:val="24"/>
                <w:szCs w:val="24"/>
                <w:lang w:val="en-GB"/>
              </w:rPr>
              <w:t>ng</w:t>
            </w:r>
            <w:proofErr w:type="spellEnd"/>
            <w:r w:rsidRPr="0049263A">
              <w:rPr>
                <w:rFonts w:ascii="Book Antiqua" w:hAnsi="Book Antiqua" w:cs="Arial"/>
                <w:sz w:val="24"/>
                <w:szCs w:val="24"/>
                <w:lang w:val="en-GB"/>
              </w:rPr>
              <w:t>/mL</w:t>
            </w:r>
          </w:p>
        </w:tc>
        <w:tc>
          <w:tcPr>
            <w:tcW w:w="1537" w:type="dxa"/>
            <w:shd w:val="clear" w:color="auto" w:fill="auto"/>
          </w:tcPr>
          <w:p w14:paraId="3C97D035"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130</w:t>
            </w:r>
          </w:p>
        </w:tc>
        <w:tc>
          <w:tcPr>
            <w:tcW w:w="1537" w:type="dxa"/>
            <w:shd w:val="clear" w:color="auto" w:fill="auto"/>
          </w:tcPr>
          <w:p w14:paraId="271B45BD"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485.7</w:t>
            </w:r>
          </w:p>
        </w:tc>
        <w:tc>
          <w:tcPr>
            <w:tcW w:w="1537" w:type="dxa"/>
            <w:shd w:val="clear" w:color="auto" w:fill="auto"/>
          </w:tcPr>
          <w:p w14:paraId="5C4F3E3F" w14:textId="77777777" w:rsidR="00306099" w:rsidRPr="0049263A" w:rsidRDefault="00306099" w:rsidP="00306099">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129.6</w:t>
            </w:r>
          </w:p>
        </w:tc>
        <w:tc>
          <w:tcPr>
            <w:tcW w:w="1552" w:type="dxa"/>
            <w:shd w:val="clear" w:color="auto" w:fill="auto"/>
            <w:vAlign w:val="center"/>
          </w:tcPr>
          <w:p w14:paraId="6713E7E0" w14:textId="77777777" w:rsidR="00306099" w:rsidRPr="0049263A" w:rsidRDefault="00306099" w:rsidP="00306099">
            <w:pPr>
              <w:snapToGrid w:val="0"/>
              <w:spacing w:line="360" w:lineRule="auto"/>
              <w:jc w:val="center"/>
              <w:rPr>
                <w:rFonts w:ascii="Book Antiqua" w:hAnsi="Book Antiqua" w:cs="Arial"/>
                <w:sz w:val="24"/>
                <w:szCs w:val="24"/>
                <w:lang w:val="en-GB"/>
              </w:rPr>
            </w:pPr>
          </w:p>
        </w:tc>
      </w:tr>
    </w:tbl>
    <w:p w14:paraId="110C6DE5" w14:textId="32023420" w:rsidR="00921CCC" w:rsidRPr="0049263A" w:rsidRDefault="00306099" w:rsidP="00AA734A">
      <w:pPr>
        <w:snapToGrid w:val="0"/>
        <w:spacing w:line="360" w:lineRule="auto"/>
        <w:jc w:val="both"/>
        <w:rPr>
          <w:rFonts w:ascii="Book Antiqua" w:hAnsi="Book Antiqua" w:cs="Arial"/>
          <w:sz w:val="24"/>
          <w:szCs w:val="24"/>
          <w:lang w:val="en-GB"/>
        </w:rPr>
      </w:pPr>
      <w:r w:rsidRPr="0049263A">
        <w:rPr>
          <w:rFonts w:ascii="Book Antiqua" w:hAnsi="Book Antiqua" w:cs="Arial" w:hint="eastAsia"/>
          <w:sz w:val="24"/>
          <w:szCs w:val="24"/>
          <w:vertAlign w:val="superscript"/>
          <w:lang w:val="en-GB" w:eastAsia="zh-CN"/>
        </w:rPr>
        <w:t>1</w:t>
      </w:r>
      <w:r w:rsidR="0093205E" w:rsidRPr="0049263A">
        <w:rPr>
          <w:rFonts w:ascii="Book Antiqua" w:hAnsi="Book Antiqua" w:cs="Arial"/>
          <w:sz w:val="24"/>
          <w:szCs w:val="24"/>
          <w:lang w:val="en-GB"/>
        </w:rPr>
        <w:t>Depth of tumour invasion (</w:t>
      </w:r>
      <w:proofErr w:type="spellStart"/>
      <w:r w:rsidR="0093205E" w:rsidRPr="0049263A">
        <w:rPr>
          <w:rFonts w:ascii="Book Antiqua" w:hAnsi="Book Antiqua" w:cs="Arial"/>
          <w:sz w:val="24"/>
          <w:szCs w:val="24"/>
          <w:lang w:val="en-GB"/>
        </w:rPr>
        <w:t>pT</w:t>
      </w:r>
      <w:proofErr w:type="spellEnd"/>
      <w:r w:rsidR="0093205E" w:rsidRPr="0049263A">
        <w:rPr>
          <w:rFonts w:ascii="Book Antiqua" w:hAnsi="Book Antiqua" w:cs="Arial"/>
          <w:sz w:val="24"/>
          <w:szCs w:val="24"/>
          <w:lang w:val="en-GB"/>
        </w:rPr>
        <w:t>) and nodal involvement (</w:t>
      </w:r>
      <w:proofErr w:type="spellStart"/>
      <w:r w:rsidR="0093205E" w:rsidRPr="0049263A">
        <w:rPr>
          <w:rFonts w:ascii="Book Antiqua" w:hAnsi="Book Antiqua" w:cs="Arial"/>
          <w:sz w:val="24"/>
          <w:szCs w:val="24"/>
          <w:lang w:val="en-GB"/>
        </w:rPr>
        <w:t>pN</w:t>
      </w:r>
      <w:proofErr w:type="spellEnd"/>
      <w:r w:rsidR="0093205E" w:rsidRPr="0049263A">
        <w:rPr>
          <w:rFonts w:ascii="Book Antiqua" w:hAnsi="Book Antiqua" w:cs="Arial"/>
          <w:sz w:val="24"/>
          <w:szCs w:val="24"/>
          <w:lang w:val="en-GB"/>
        </w:rPr>
        <w:t>) were evaluated in 640 resected patients</w:t>
      </w:r>
      <w:r w:rsidR="0069564A" w:rsidRPr="0049263A">
        <w:rPr>
          <w:rFonts w:ascii="Book Antiqua" w:hAnsi="Book Antiqua" w:cs="Arial" w:hint="eastAsia"/>
          <w:sz w:val="24"/>
          <w:szCs w:val="24"/>
          <w:lang w:val="en-GB" w:eastAsia="zh-CN"/>
        </w:rPr>
        <w:t>;</w:t>
      </w:r>
      <w:r w:rsidR="0093205E" w:rsidRPr="0049263A">
        <w:rPr>
          <w:rFonts w:ascii="Book Antiqua" w:hAnsi="Book Antiqua" w:cs="Arial"/>
          <w:sz w:val="24"/>
          <w:szCs w:val="24"/>
          <w:lang w:val="en-GB"/>
        </w:rPr>
        <w:t xml:space="preserve"> </w:t>
      </w:r>
      <w:r w:rsidR="0069564A" w:rsidRPr="0049263A">
        <w:rPr>
          <w:rFonts w:ascii="Book Antiqua" w:hAnsi="Book Antiqua" w:cs="Arial" w:hint="eastAsia"/>
          <w:sz w:val="24"/>
          <w:szCs w:val="24"/>
          <w:vertAlign w:val="superscript"/>
          <w:lang w:val="en-GB" w:eastAsia="zh-CN"/>
        </w:rPr>
        <w:t>2</w:t>
      </w:r>
      <w:r w:rsidR="0093205E" w:rsidRPr="0049263A">
        <w:rPr>
          <w:rFonts w:ascii="Book Antiqua" w:hAnsi="Book Antiqua" w:cs="Arial"/>
          <w:sz w:val="24"/>
          <w:szCs w:val="24"/>
          <w:lang w:val="en-GB"/>
        </w:rPr>
        <w:t>CEA serum level was available for 414 patients.</w:t>
      </w:r>
    </w:p>
    <w:p w14:paraId="19968E90" w14:textId="77777777" w:rsidR="00921CCC" w:rsidRPr="0049263A" w:rsidRDefault="00921CCC">
      <w:pPr>
        <w:suppressAutoHyphens w:val="0"/>
        <w:rPr>
          <w:rFonts w:ascii="Book Antiqua" w:hAnsi="Book Antiqua" w:cs="Arial"/>
          <w:sz w:val="24"/>
          <w:szCs w:val="24"/>
          <w:lang w:val="en-GB"/>
        </w:rPr>
      </w:pPr>
      <w:r w:rsidRPr="0049263A">
        <w:rPr>
          <w:rFonts w:ascii="Book Antiqua" w:hAnsi="Book Antiqua" w:cs="Arial"/>
          <w:sz w:val="24"/>
          <w:szCs w:val="24"/>
          <w:lang w:val="en-GB"/>
        </w:rPr>
        <w:br w:type="page"/>
      </w:r>
    </w:p>
    <w:p w14:paraId="24E09893" w14:textId="23E6E3EB" w:rsidR="0093205E" w:rsidRPr="0049263A" w:rsidRDefault="0093205E" w:rsidP="00AA734A">
      <w:pPr>
        <w:snapToGrid w:val="0"/>
        <w:spacing w:line="360" w:lineRule="auto"/>
        <w:jc w:val="both"/>
        <w:rPr>
          <w:rFonts w:ascii="Book Antiqua" w:hAnsi="Book Antiqua" w:cs="Arial"/>
          <w:sz w:val="24"/>
          <w:szCs w:val="24"/>
          <w:lang w:val="en-GB" w:eastAsia="zh-CN"/>
        </w:rPr>
      </w:pPr>
      <w:r w:rsidRPr="0049263A">
        <w:rPr>
          <w:rFonts w:ascii="Book Antiqua" w:hAnsi="Book Antiqua" w:cs="Arial"/>
          <w:b/>
          <w:sz w:val="24"/>
          <w:szCs w:val="24"/>
          <w:lang w:val="en-GB"/>
        </w:rPr>
        <w:lastRenderedPageBreak/>
        <w:t>Table 2</w:t>
      </w:r>
      <w:r w:rsidR="0069564A" w:rsidRPr="0049263A">
        <w:rPr>
          <w:rFonts w:ascii="Book Antiqua" w:hAnsi="Book Antiqua" w:cs="Arial" w:hint="eastAsia"/>
          <w:b/>
          <w:sz w:val="24"/>
          <w:szCs w:val="24"/>
          <w:lang w:val="en-GB" w:eastAsia="zh-CN"/>
        </w:rPr>
        <w:t xml:space="preserve"> </w:t>
      </w:r>
      <w:r w:rsidRPr="0049263A">
        <w:rPr>
          <w:rFonts w:ascii="Book Antiqua" w:eastAsia="MS Mincho" w:hAnsi="Book Antiqua" w:cs="Arial"/>
          <w:b/>
          <w:sz w:val="24"/>
          <w:szCs w:val="24"/>
          <w:lang w:val="en-GB"/>
        </w:rPr>
        <w:t>Relative risk of death as a function of p</w:t>
      </w:r>
      <w:r w:rsidRPr="0049263A">
        <w:rPr>
          <w:rFonts w:ascii="Book Antiqua" w:hAnsi="Book Antiqua" w:cs="Arial"/>
          <w:b/>
          <w:sz w:val="24"/>
          <w:szCs w:val="24"/>
          <w:lang w:val="en-GB"/>
        </w:rPr>
        <w:t>reoperative fibrinogen plasma level (mg/</w:t>
      </w:r>
      <w:proofErr w:type="spellStart"/>
      <w:r w:rsidRPr="0049263A">
        <w:rPr>
          <w:rFonts w:ascii="Book Antiqua" w:hAnsi="Book Antiqua" w:cs="Arial"/>
          <w:b/>
          <w:sz w:val="24"/>
          <w:szCs w:val="24"/>
          <w:lang w:val="en-GB"/>
        </w:rPr>
        <w:t>dL</w:t>
      </w:r>
      <w:proofErr w:type="spellEnd"/>
      <w:r w:rsidRPr="0049263A">
        <w:rPr>
          <w:rFonts w:ascii="Book Antiqua" w:hAnsi="Book Antiqua" w:cs="Arial"/>
          <w:b/>
          <w:sz w:val="24"/>
          <w:szCs w:val="24"/>
          <w:lang w:val="en-GB"/>
        </w:rPr>
        <w:t>) for the 652 patients under study</w:t>
      </w:r>
      <w:r w:rsidR="00286CC6" w:rsidRPr="0049263A">
        <w:rPr>
          <w:rFonts w:ascii="Book Antiqua" w:hAnsi="Book Antiqua" w:cs="Arial" w:hint="eastAsia"/>
          <w:b/>
          <w:sz w:val="24"/>
          <w:szCs w:val="24"/>
          <w:vertAlign w:val="superscript"/>
          <w:lang w:val="en-GB" w:eastAsia="zh-CN"/>
        </w:rPr>
        <w:t>1</w:t>
      </w:r>
    </w:p>
    <w:tbl>
      <w:tblPr>
        <w:tblW w:w="0" w:type="auto"/>
        <w:jc w:val="center"/>
        <w:tblBorders>
          <w:top w:val="single" w:sz="8" w:space="0" w:color="000000"/>
          <w:bottom w:val="single" w:sz="4" w:space="0" w:color="000000"/>
        </w:tblBorders>
        <w:tblLayout w:type="fixed"/>
        <w:tblCellMar>
          <w:left w:w="70" w:type="dxa"/>
          <w:right w:w="70" w:type="dxa"/>
        </w:tblCellMar>
        <w:tblLook w:val="0000" w:firstRow="0" w:lastRow="0" w:firstColumn="0" w:lastColumn="0" w:noHBand="0" w:noVBand="0"/>
      </w:tblPr>
      <w:tblGrid>
        <w:gridCol w:w="2962"/>
        <w:gridCol w:w="2074"/>
        <w:gridCol w:w="1101"/>
        <w:gridCol w:w="2301"/>
        <w:gridCol w:w="1079"/>
      </w:tblGrid>
      <w:tr w:rsidR="003777B7" w:rsidRPr="0049263A" w14:paraId="6B4B9F36" w14:textId="77777777" w:rsidTr="00286CC6">
        <w:trPr>
          <w:trHeight w:val="431"/>
          <w:tblHeader/>
          <w:jc w:val="center"/>
        </w:trPr>
        <w:tc>
          <w:tcPr>
            <w:tcW w:w="2962" w:type="dxa"/>
            <w:vMerge w:val="restart"/>
            <w:tcBorders>
              <w:top w:val="single" w:sz="8" w:space="0" w:color="000000"/>
              <w:bottom w:val="single" w:sz="8" w:space="0" w:color="000000"/>
            </w:tcBorders>
            <w:shd w:val="clear" w:color="auto" w:fill="auto"/>
            <w:vAlign w:val="bottom"/>
          </w:tcPr>
          <w:p w14:paraId="574A0396" w14:textId="77777777" w:rsidR="0093205E" w:rsidRPr="0049263A" w:rsidRDefault="0093205E" w:rsidP="00AA734A">
            <w:pPr>
              <w:snapToGrid w:val="0"/>
              <w:spacing w:line="360" w:lineRule="auto"/>
              <w:ind w:left="175"/>
              <w:jc w:val="both"/>
              <w:rPr>
                <w:rFonts w:ascii="Book Antiqua" w:hAnsi="Book Antiqua" w:cs="Arial"/>
                <w:sz w:val="24"/>
                <w:szCs w:val="24"/>
                <w:lang w:val="en-GB"/>
              </w:rPr>
            </w:pPr>
          </w:p>
        </w:tc>
        <w:tc>
          <w:tcPr>
            <w:tcW w:w="3175" w:type="dxa"/>
            <w:gridSpan w:val="2"/>
            <w:tcBorders>
              <w:top w:val="single" w:sz="8" w:space="0" w:color="000000"/>
              <w:bottom w:val="single" w:sz="8" w:space="0" w:color="000000"/>
            </w:tcBorders>
            <w:shd w:val="clear" w:color="auto" w:fill="auto"/>
            <w:vAlign w:val="center"/>
          </w:tcPr>
          <w:p w14:paraId="4D787692" w14:textId="045C260E" w:rsidR="0093205E" w:rsidRPr="0049263A" w:rsidRDefault="00E27998" w:rsidP="0069564A">
            <w:pPr>
              <w:snapToGrid w:val="0"/>
              <w:spacing w:line="360" w:lineRule="auto"/>
              <w:jc w:val="center"/>
              <w:rPr>
                <w:rFonts w:ascii="Book Antiqua" w:hAnsi="Book Antiqua" w:cs="Arial"/>
                <w:b/>
                <w:sz w:val="24"/>
                <w:szCs w:val="24"/>
                <w:lang w:val="en-GB"/>
              </w:rPr>
            </w:pPr>
            <w:r w:rsidRPr="0049263A">
              <w:rPr>
                <w:rFonts w:ascii="Book Antiqua" w:hAnsi="Book Antiqua" w:cs="Arial"/>
                <w:b/>
                <w:sz w:val="24"/>
                <w:szCs w:val="24"/>
                <w:lang w:val="en-GB"/>
              </w:rPr>
              <w:t>S</w:t>
            </w:r>
            <w:r w:rsidR="0093205E" w:rsidRPr="0049263A">
              <w:rPr>
                <w:rFonts w:ascii="Book Antiqua" w:hAnsi="Book Antiqua" w:cs="Arial"/>
                <w:b/>
                <w:sz w:val="24"/>
                <w:szCs w:val="24"/>
                <w:lang w:val="en-GB"/>
              </w:rPr>
              <w:t>urvival</w:t>
            </w:r>
          </w:p>
        </w:tc>
        <w:tc>
          <w:tcPr>
            <w:tcW w:w="3380" w:type="dxa"/>
            <w:gridSpan w:val="2"/>
            <w:tcBorders>
              <w:top w:val="single" w:sz="8" w:space="0" w:color="000000"/>
              <w:bottom w:val="single" w:sz="8" w:space="0" w:color="000000"/>
            </w:tcBorders>
            <w:shd w:val="clear" w:color="auto" w:fill="auto"/>
            <w:vAlign w:val="center"/>
          </w:tcPr>
          <w:p w14:paraId="21699A27" w14:textId="436FB1E2" w:rsidR="0093205E" w:rsidRPr="0049263A" w:rsidRDefault="00E27998" w:rsidP="0069564A">
            <w:pPr>
              <w:snapToGrid w:val="0"/>
              <w:spacing w:line="360" w:lineRule="auto"/>
              <w:jc w:val="center"/>
              <w:rPr>
                <w:rFonts w:ascii="Book Antiqua" w:eastAsia="MS Mincho" w:hAnsi="Book Antiqua" w:cs="Arial"/>
                <w:b/>
                <w:sz w:val="24"/>
                <w:szCs w:val="24"/>
                <w:lang w:val="en-GB"/>
              </w:rPr>
            </w:pPr>
            <w:r w:rsidRPr="0049263A">
              <w:rPr>
                <w:rFonts w:ascii="Book Antiqua" w:hAnsi="Book Antiqua" w:cs="Arial"/>
                <w:b/>
                <w:sz w:val="24"/>
                <w:szCs w:val="24"/>
                <w:lang w:val="en-GB"/>
              </w:rPr>
              <w:t>T</w:t>
            </w:r>
            <w:r w:rsidR="0093205E" w:rsidRPr="0049263A">
              <w:rPr>
                <w:rFonts w:ascii="Book Antiqua" w:hAnsi="Book Antiqua" w:cs="Arial"/>
                <w:b/>
                <w:sz w:val="24"/>
                <w:szCs w:val="24"/>
                <w:lang w:val="en-GB"/>
              </w:rPr>
              <w:t>umour-related survival</w:t>
            </w:r>
          </w:p>
        </w:tc>
      </w:tr>
      <w:tr w:rsidR="003777B7" w:rsidRPr="0049263A" w14:paraId="3096312A" w14:textId="77777777" w:rsidTr="00286CC6">
        <w:trPr>
          <w:trHeight w:val="369"/>
          <w:jc w:val="center"/>
        </w:trPr>
        <w:tc>
          <w:tcPr>
            <w:tcW w:w="2962" w:type="dxa"/>
            <w:vMerge/>
            <w:tcBorders>
              <w:top w:val="single" w:sz="8" w:space="0" w:color="000000"/>
              <w:bottom w:val="single" w:sz="8" w:space="0" w:color="000000"/>
            </w:tcBorders>
            <w:shd w:val="clear" w:color="auto" w:fill="auto"/>
            <w:vAlign w:val="center"/>
          </w:tcPr>
          <w:p w14:paraId="4F27BAAD" w14:textId="77777777" w:rsidR="0093205E" w:rsidRPr="0049263A" w:rsidRDefault="0093205E" w:rsidP="00AA734A">
            <w:pPr>
              <w:snapToGrid w:val="0"/>
              <w:spacing w:line="360" w:lineRule="auto"/>
              <w:ind w:left="175"/>
              <w:jc w:val="both"/>
              <w:rPr>
                <w:rFonts w:ascii="Book Antiqua" w:eastAsia="MS Mincho" w:hAnsi="Book Antiqua" w:cs="Arial"/>
                <w:sz w:val="24"/>
                <w:szCs w:val="24"/>
                <w:lang w:val="en-GB"/>
              </w:rPr>
            </w:pPr>
          </w:p>
        </w:tc>
        <w:tc>
          <w:tcPr>
            <w:tcW w:w="2074" w:type="dxa"/>
            <w:tcBorders>
              <w:top w:val="single" w:sz="8" w:space="0" w:color="000000"/>
              <w:bottom w:val="single" w:sz="8" w:space="0" w:color="000000"/>
            </w:tcBorders>
            <w:shd w:val="clear" w:color="auto" w:fill="auto"/>
            <w:vAlign w:val="center"/>
          </w:tcPr>
          <w:p w14:paraId="42315397" w14:textId="0CC4B7BC" w:rsidR="0093205E" w:rsidRPr="0049263A" w:rsidRDefault="00E27998" w:rsidP="0069564A">
            <w:pPr>
              <w:snapToGrid w:val="0"/>
              <w:spacing w:line="360" w:lineRule="auto"/>
              <w:jc w:val="center"/>
              <w:rPr>
                <w:rFonts w:ascii="Book Antiqua" w:hAnsi="Book Antiqua" w:cs="Arial"/>
                <w:b/>
                <w:i/>
                <w:sz w:val="24"/>
                <w:szCs w:val="24"/>
                <w:lang w:val="en-GB"/>
              </w:rPr>
            </w:pPr>
            <w:r w:rsidRPr="0049263A">
              <w:rPr>
                <w:rFonts w:ascii="Book Antiqua" w:hAnsi="Book Antiqua" w:cs="Arial"/>
                <w:b/>
                <w:sz w:val="24"/>
                <w:szCs w:val="24"/>
                <w:lang w:val="en-GB"/>
              </w:rPr>
              <w:t>H</w:t>
            </w:r>
            <w:r w:rsidR="006E7273" w:rsidRPr="0049263A">
              <w:rPr>
                <w:rFonts w:ascii="Book Antiqua" w:hAnsi="Book Antiqua" w:cs="Arial"/>
                <w:b/>
                <w:sz w:val="24"/>
                <w:szCs w:val="24"/>
                <w:lang w:val="en-GB"/>
              </w:rPr>
              <w:t>R (95%</w:t>
            </w:r>
            <w:r w:rsidR="0093205E" w:rsidRPr="0049263A">
              <w:rPr>
                <w:rFonts w:ascii="Book Antiqua" w:hAnsi="Book Antiqua" w:cs="Arial"/>
                <w:b/>
                <w:sz w:val="24"/>
                <w:szCs w:val="24"/>
                <w:lang w:val="en-GB"/>
              </w:rPr>
              <w:t>CI)</w:t>
            </w:r>
          </w:p>
        </w:tc>
        <w:tc>
          <w:tcPr>
            <w:tcW w:w="1101" w:type="dxa"/>
            <w:tcBorders>
              <w:top w:val="single" w:sz="8" w:space="0" w:color="000000"/>
              <w:bottom w:val="single" w:sz="8" w:space="0" w:color="000000"/>
            </w:tcBorders>
            <w:shd w:val="clear" w:color="auto" w:fill="auto"/>
            <w:vAlign w:val="center"/>
          </w:tcPr>
          <w:p w14:paraId="7960B266" w14:textId="77777777" w:rsidR="0093205E" w:rsidRPr="0049263A" w:rsidRDefault="0093205E" w:rsidP="0069564A">
            <w:pPr>
              <w:snapToGrid w:val="0"/>
              <w:spacing w:line="360" w:lineRule="auto"/>
              <w:jc w:val="center"/>
              <w:rPr>
                <w:rFonts w:ascii="Book Antiqua" w:hAnsi="Book Antiqua" w:cs="Arial"/>
                <w:b/>
                <w:sz w:val="24"/>
                <w:szCs w:val="24"/>
                <w:lang w:val="en-GB"/>
              </w:rPr>
            </w:pPr>
            <w:r w:rsidRPr="0049263A">
              <w:rPr>
                <w:rFonts w:ascii="Book Antiqua" w:hAnsi="Book Antiqua" w:cs="Arial"/>
                <w:b/>
                <w:i/>
                <w:sz w:val="24"/>
                <w:szCs w:val="24"/>
                <w:lang w:val="en-GB"/>
              </w:rPr>
              <w:t>P</w:t>
            </w:r>
            <w:r w:rsidRPr="0049263A">
              <w:rPr>
                <w:rFonts w:ascii="Book Antiqua" w:hAnsi="Book Antiqua" w:cs="Arial"/>
                <w:b/>
                <w:sz w:val="24"/>
                <w:szCs w:val="24"/>
                <w:lang w:val="en-GB"/>
              </w:rPr>
              <w:t xml:space="preserve"> value</w:t>
            </w:r>
          </w:p>
        </w:tc>
        <w:tc>
          <w:tcPr>
            <w:tcW w:w="2301" w:type="dxa"/>
            <w:tcBorders>
              <w:top w:val="single" w:sz="8" w:space="0" w:color="000000"/>
              <w:bottom w:val="single" w:sz="8" w:space="0" w:color="000000"/>
            </w:tcBorders>
            <w:shd w:val="clear" w:color="auto" w:fill="auto"/>
            <w:vAlign w:val="center"/>
          </w:tcPr>
          <w:p w14:paraId="0DA8FE80" w14:textId="5547689E" w:rsidR="0093205E" w:rsidRPr="0049263A" w:rsidRDefault="00E27998" w:rsidP="0069564A">
            <w:pPr>
              <w:snapToGrid w:val="0"/>
              <w:spacing w:line="360" w:lineRule="auto"/>
              <w:jc w:val="center"/>
              <w:rPr>
                <w:rFonts w:ascii="Book Antiqua" w:hAnsi="Book Antiqua" w:cs="Arial"/>
                <w:b/>
                <w:i/>
                <w:sz w:val="24"/>
                <w:szCs w:val="24"/>
                <w:lang w:val="en-GB"/>
              </w:rPr>
            </w:pPr>
            <w:r w:rsidRPr="0049263A">
              <w:rPr>
                <w:rFonts w:ascii="Book Antiqua" w:hAnsi="Book Antiqua" w:cs="Arial"/>
                <w:b/>
                <w:sz w:val="24"/>
                <w:szCs w:val="24"/>
                <w:lang w:val="en-GB"/>
              </w:rPr>
              <w:t>H</w:t>
            </w:r>
            <w:r w:rsidR="006E7273" w:rsidRPr="0049263A">
              <w:rPr>
                <w:rFonts w:ascii="Book Antiqua" w:hAnsi="Book Antiqua" w:cs="Arial"/>
                <w:b/>
                <w:sz w:val="24"/>
                <w:szCs w:val="24"/>
                <w:lang w:val="en-GB"/>
              </w:rPr>
              <w:t>R (95%</w:t>
            </w:r>
            <w:r w:rsidR="0093205E" w:rsidRPr="0049263A">
              <w:rPr>
                <w:rFonts w:ascii="Book Antiqua" w:hAnsi="Book Antiqua" w:cs="Arial"/>
                <w:b/>
                <w:sz w:val="24"/>
                <w:szCs w:val="24"/>
                <w:lang w:val="en-GB"/>
              </w:rPr>
              <w:t>CI)</w:t>
            </w:r>
          </w:p>
        </w:tc>
        <w:tc>
          <w:tcPr>
            <w:tcW w:w="1079" w:type="dxa"/>
            <w:tcBorders>
              <w:top w:val="single" w:sz="8" w:space="0" w:color="000000"/>
              <w:bottom w:val="single" w:sz="8" w:space="0" w:color="000000"/>
            </w:tcBorders>
            <w:shd w:val="clear" w:color="auto" w:fill="auto"/>
            <w:vAlign w:val="center"/>
          </w:tcPr>
          <w:p w14:paraId="27382954" w14:textId="77777777" w:rsidR="0093205E" w:rsidRPr="0049263A" w:rsidRDefault="0093205E" w:rsidP="0069564A">
            <w:pPr>
              <w:snapToGrid w:val="0"/>
              <w:spacing w:line="360" w:lineRule="auto"/>
              <w:jc w:val="center"/>
              <w:rPr>
                <w:rFonts w:ascii="Book Antiqua" w:eastAsia="MS Mincho" w:hAnsi="Book Antiqua" w:cs="Arial"/>
                <w:b/>
                <w:sz w:val="24"/>
                <w:szCs w:val="24"/>
                <w:lang w:val="en-GB"/>
              </w:rPr>
            </w:pPr>
            <w:r w:rsidRPr="0049263A">
              <w:rPr>
                <w:rFonts w:ascii="Book Antiqua" w:hAnsi="Book Antiqua" w:cs="Arial"/>
                <w:b/>
                <w:i/>
                <w:sz w:val="24"/>
                <w:szCs w:val="24"/>
                <w:lang w:val="en-GB"/>
              </w:rPr>
              <w:t>P</w:t>
            </w:r>
            <w:r w:rsidRPr="0049263A">
              <w:rPr>
                <w:rFonts w:ascii="Book Antiqua" w:hAnsi="Book Antiqua" w:cs="Arial"/>
                <w:b/>
                <w:sz w:val="24"/>
                <w:szCs w:val="24"/>
                <w:lang w:val="en-GB"/>
              </w:rPr>
              <w:t xml:space="preserve"> value</w:t>
            </w:r>
          </w:p>
        </w:tc>
      </w:tr>
      <w:tr w:rsidR="003777B7" w:rsidRPr="0049263A" w14:paraId="0B9FC098" w14:textId="77777777" w:rsidTr="00286CC6">
        <w:trPr>
          <w:trHeight w:hRule="exact" w:val="340"/>
          <w:jc w:val="center"/>
        </w:trPr>
        <w:tc>
          <w:tcPr>
            <w:tcW w:w="2962" w:type="dxa"/>
            <w:tcBorders>
              <w:top w:val="single" w:sz="8" w:space="0" w:color="000000"/>
            </w:tcBorders>
            <w:shd w:val="clear" w:color="auto" w:fill="auto"/>
            <w:vAlign w:val="center"/>
          </w:tcPr>
          <w:p w14:paraId="5C890103" w14:textId="008F7991" w:rsidR="0093205E" w:rsidRPr="0049263A" w:rsidRDefault="0093205E" w:rsidP="00AA734A">
            <w:pPr>
              <w:snapToGrid w:val="0"/>
              <w:spacing w:line="360" w:lineRule="auto"/>
              <w:jc w:val="both"/>
              <w:rPr>
                <w:rFonts w:ascii="Book Antiqua" w:hAnsi="Book Antiqua" w:cs="Arial"/>
                <w:i/>
                <w:sz w:val="24"/>
                <w:szCs w:val="24"/>
                <w:lang w:val="en-GB"/>
              </w:rPr>
            </w:pPr>
            <w:r w:rsidRPr="0049263A">
              <w:rPr>
                <w:rFonts w:ascii="Book Antiqua" w:hAnsi="Book Antiqua" w:cs="Arial"/>
                <w:sz w:val="24"/>
                <w:szCs w:val="24"/>
                <w:lang w:val="en-GB"/>
              </w:rPr>
              <w:t>Ag</w:t>
            </w:r>
            <w:r w:rsidR="0069564A" w:rsidRPr="0049263A">
              <w:rPr>
                <w:rFonts w:ascii="Book Antiqua" w:hAnsi="Book Antiqua" w:cs="Arial"/>
                <w:sz w:val="24"/>
                <w:szCs w:val="24"/>
                <w:lang w:val="en-GB"/>
              </w:rPr>
              <w:t>e (</w:t>
            </w:r>
            <w:proofErr w:type="spellStart"/>
            <w:r w:rsidR="0069564A" w:rsidRPr="0049263A">
              <w:rPr>
                <w:rFonts w:ascii="Book Antiqua" w:hAnsi="Book Antiqua" w:cs="Arial"/>
                <w:sz w:val="24"/>
                <w:szCs w:val="24"/>
                <w:lang w:val="en-GB"/>
              </w:rPr>
              <w:t>yr</w:t>
            </w:r>
            <w:proofErr w:type="spellEnd"/>
            <w:r w:rsidRPr="0049263A">
              <w:rPr>
                <w:rFonts w:ascii="Book Antiqua" w:hAnsi="Book Antiqua" w:cs="Arial"/>
                <w:sz w:val="24"/>
                <w:szCs w:val="24"/>
                <w:lang w:val="en-GB"/>
              </w:rPr>
              <w:t>)</w:t>
            </w:r>
          </w:p>
        </w:tc>
        <w:tc>
          <w:tcPr>
            <w:tcW w:w="2074" w:type="dxa"/>
            <w:tcBorders>
              <w:top w:val="single" w:sz="8" w:space="0" w:color="000000"/>
            </w:tcBorders>
            <w:shd w:val="clear" w:color="auto" w:fill="auto"/>
            <w:vAlign w:val="center"/>
          </w:tcPr>
          <w:p w14:paraId="0EF8AA4F" w14:textId="77777777" w:rsidR="0093205E" w:rsidRPr="0049263A" w:rsidRDefault="0093205E" w:rsidP="0069564A">
            <w:pPr>
              <w:snapToGrid w:val="0"/>
              <w:spacing w:line="360" w:lineRule="auto"/>
              <w:jc w:val="center"/>
              <w:rPr>
                <w:rFonts w:ascii="Book Antiqua" w:hAnsi="Book Antiqua" w:cs="Arial"/>
                <w:i/>
                <w:sz w:val="24"/>
                <w:szCs w:val="24"/>
                <w:lang w:val="en-GB"/>
              </w:rPr>
            </w:pPr>
          </w:p>
        </w:tc>
        <w:tc>
          <w:tcPr>
            <w:tcW w:w="1101" w:type="dxa"/>
            <w:tcBorders>
              <w:top w:val="single" w:sz="8" w:space="0" w:color="000000"/>
            </w:tcBorders>
            <w:shd w:val="clear" w:color="auto" w:fill="auto"/>
            <w:vAlign w:val="center"/>
          </w:tcPr>
          <w:p w14:paraId="74AA407C" w14:textId="5082B557" w:rsidR="0093205E" w:rsidRPr="0049263A" w:rsidRDefault="0093205E" w:rsidP="0069564A">
            <w:pPr>
              <w:snapToGrid w:val="0"/>
              <w:spacing w:line="360" w:lineRule="auto"/>
              <w:jc w:val="center"/>
              <w:rPr>
                <w:rFonts w:ascii="Book Antiqua" w:hAnsi="Book Antiqua" w:cs="Arial"/>
                <w:i/>
                <w:sz w:val="24"/>
                <w:szCs w:val="24"/>
                <w:lang w:val="en-GB"/>
              </w:rPr>
            </w:pPr>
            <w:r w:rsidRPr="0049263A">
              <w:rPr>
                <w:rFonts w:ascii="Book Antiqua" w:hAnsi="Book Antiqua" w:cs="Arial"/>
                <w:sz w:val="24"/>
                <w:szCs w:val="24"/>
                <w:lang w:val="en-GB"/>
              </w:rPr>
              <w:t>&lt;</w:t>
            </w:r>
            <w:r w:rsidR="00286CC6"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0.001</w:t>
            </w:r>
          </w:p>
        </w:tc>
        <w:tc>
          <w:tcPr>
            <w:tcW w:w="2301" w:type="dxa"/>
            <w:tcBorders>
              <w:top w:val="single" w:sz="8" w:space="0" w:color="000000"/>
            </w:tcBorders>
            <w:shd w:val="clear" w:color="auto" w:fill="auto"/>
            <w:vAlign w:val="center"/>
          </w:tcPr>
          <w:p w14:paraId="4278C032" w14:textId="77777777" w:rsidR="0093205E" w:rsidRPr="0049263A" w:rsidRDefault="0093205E" w:rsidP="0069564A">
            <w:pPr>
              <w:snapToGrid w:val="0"/>
              <w:spacing w:line="360" w:lineRule="auto"/>
              <w:jc w:val="center"/>
              <w:rPr>
                <w:rFonts w:ascii="Book Antiqua" w:hAnsi="Book Antiqua" w:cs="Arial"/>
                <w:i/>
                <w:sz w:val="24"/>
                <w:szCs w:val="24"/>
                <w:lang w:val="en-GB"/>
              </w:rPr>
            </w:pPr>
          </w:p>
        </w:tc>
        <w:tc>
          <w:tcPr>
            <w:tcW w:w="1079" w:type="dxa"/>
            <w:tcBorders>
              <w:top w:val="single" w:sz="8" w:space="0" w:color="000000"/>
            </w:tcBorders>
            <w:shd w:val="clear" w:color="auto" w:fill="auto"/>
            <w:vAlign w:val="center"/>
          </w:tcPr>
          <w:p w14:paraId="2D720E6A" w14:textId="49165FDF" w:rsidR="0093205E" w:rsidRPr="0049263A" w:rsidRDefault="0093205E" w:rsidP="0069564A">
            <w:pPr>
              <w:snapToGrid w:val="0"/>
              <w:spacing w:line="360" w:lineRule="auto"/>
              <w:jc w:val="center"/>
              <w:rPr>
                <w:rFonts w:ascii="Book Antiqua" w:eastAsia="MS Mincho" w:hAnsi="Book Antiqua" w:cs="Arial"/>
                <w:sz w:val="24"/>
                <w:szCs w:val="24"/>
                <w:lang w:val="en-GB"/>
              </w:rPr>
            </w:pPr>
            <w:r w:rsidRPr="0049263A">
              <w:rPr>
                <w:rFonts w:ascii="Book Antiqua" w:hAnsi="Book Antiqua" w:cs="Arial"/>
                <w:sz w:val="24"/>
                <w:szCs w:val="24"/>
                <w:lang w:val="en-GB"/>
              </w:rPr>
              <w:t>&lt;</w:t>
            </w:r>
            <w:r w:rsidR="00286CC6"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0.001</w:t>
            </w:r>
          </w:p>
        </w:tc>
      </w:tr>
      <w:tr w:rsidR="003777B7" w:rsidRPr="0049263A" w14:paraId="0FF2CEEF" w14:textId="77777777" w:rsidTr="00286CC6">
        <w:trPr>
          <w:trHeight w:hRule="exact" w:val="340"/>
          <w:jc w:val="center"/>
        </w:trPr>
        <w:tc>
          <w:tcPr>
            <w:tcW w:w="2962" w:type="dxa"/>
            <w:shd w:val="clear" w:color="auto" w:fill="auto"/>
            <w:vAlign w:val="center"/>
          </w:tcPr>
          <w:p w14:paraId="0AD361AB" w14:textId="4090F03D" w:rsidR="0069564A" w:rsidRPr="0049263A" w:rsidRDefault="0069564A" w:rsidP="0069564A">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 xml:space="preserve">&gt; 68.8 </w:t>
            </w:r>
            <w:proofErr w:type="spellStart"/>
            <w:r w:rsidRPr="0049263A">
              <w:rPr>
                <w:rFonts w:ascii="Book Antiqua" w:hAnsi="Book Antiqua" w:cs="Arial"/>
                <w:i/>
                <w:sz w:val="24"/>
                <w:szCs w:val="24"/>
                <w:lang w:val="en-GB"/>
              </w:rPr>
              <w:t>vs</w:t>
            </w:r>
            <w:proofErr w:type="spellEnd"/>
            <w:r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 68.8</w:t>
            </w:r>
          </w:p>
        </w:tc>
        <w:tc>
          <w:tcPr>
            <w:tcW w:w="2074" w:type="dxa"/>
            <w:shd w:val="clear" w:color="auto" w:fill="auto"/>
            <w:vAlign w:val="center"/>
          </w:tcPr>
          <w:p w14:paraId="6A569F48" w14:textId="77777777" w:rsidR="0069564A" w:rsidRPr="0049263A" w:rsidRDefault="0069564A" w:rsidP="0069564A">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2.55 (1.91-3.40)</w:t>
            </w:r>
          </w:p>
        </w:tc>
        <w:tc>
          <w:tcPr>
            <w:tcW w:w="1101" w:type="dxa"/>
            <w:shd w:val="clear" w:color="auto" w:fill="auto"/>
            <w:vAlign w:val="center"/>
          </w:tcPr>
          <w:p w14:paraId="182975E9" w14:textId="77777777" w:rsidR="0069564A" w:rsidRPr="0049263A" w:rsidRDefault="0069564A" w:rsidP="0069564A">
            <w:pPr>
              <w:snapToGrid w:val="0"/>
              <w:spacing w:line="360" w:lineRule="auto"/>
              <w:jc w:val="center"/>
              <w:rPr>
                <w:rFonts w:ascii="Book Antiqua" w:hAnsi="Book Antiqua" w:cs="Arial"/>
                <w:sz w:val="24"/>
                <w:szCs w:val="24"/>
                <w:lang w:val="en-GB"/>
              </w:rPr>
            </w:pPr>
          </w:p>
        </w:tc>
        <w:tc>
          <w:tcPr>
            <w:tcW w:w="2301" w:type="dxa"/>
            <w:shd w:val="clear" w:color="auto" w:fill="auto"/>
            <w:vAlign w:val="center"/>
          </w:tcPr>
          <w:p w14:paraId="099D1C94" w14:textId="77777777" w:rsidR="0069564A" w:rsidRPr="0049263A" w:rsidRDefault="0069564A" w:rsidP="0069564A">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2.13 (1.47-3.09)</w:t>
            </w:r>
          </w:p>
        </w:tc>
        <w:tc>
          <w:tcPr>
            <w:tcW w:w="1079" w:type="dxa"/>
            <w:shd w:val="clear" w:color="auto" w:fill="auto"/>
            <w:vAlign w:val="center"/>
          </w:tcPr>
          <w:p w14:paraId="6B5DFE54" w14:textId="77777777" w:rsidR="0069564A" w:rsidRPr="0049263A" w:rsidRDefault="0069564A" w:rsidP="0069564A">
            <w:pPr>
              <w:snapToGrid w:val="0"/>
              <w:spacing w:line="360" w:lineRule="auto"/>
              <w:jc w:val="center"/>
              <w:rPr>
                <w:rFonts w:ascii="Book Antiqua" w:hAnsi="Book Antiqua" w:cs="Arial"/>
                <w:sz w:val="24"/>
                <w:szCs w:val="24"/>
                <w:lang w:val="en-GB"/>
              </w:rPr>
            </w:pPr>
          </w:p>
        </w:tc>
      </w:tr>
      <w:tr w:rsidR="003777B7" w:rsidRPr="0049263A" w14:paraId="31929CD9" w14:textId="77777777" w:rsidTr="00286CC6">
        <w:trPr>
          <w:trHeight w:hRule="exact" w:val="340"/>
          <w:jc w:val="center"/>
        </w:trPr>
        <w:tc>
          <w:tcPr>
            <w:tcW w:w="2962" w:type="dxa"/>
            <w:shd w:val="clear" w:color="auto" w:fill="auto"/>
            <w:vAlign w:val="center"/>
          </w:tcPr>
          <w:p w14:paraId="70F96862" w14:textId="77777777" w:rsidR="0093205E" w:rsidRPr="0049263A" w:rsidRDefault="0093205E" w:rsidP="00AA734A">
            <w:pPr>
              <w:snapToGrid w:val="0"/>
              <w:spacing w:line="360" w:lineRule="auto"/>
              <w:jc w:val="both"/>
              <w:rPr>
                <w:rFonts w:ascii="Book Antiqua" w:hAnsi="Book Antiqua" w:cs="Arial"/>
                <w:i/>
                <w:sz w:val="24"/>
                <w:szCs w:val="24"/>
                <w:lang w:val="en-GB"/>
              </w:rPr>
            </w:pPr>
            <w:r w:rsidRPr="0049263A">
              <w:rPr>
                <w:rFonts w:ascii="Book Antiqua" w:hAnsi="Book Antiqua" w:cs="Arial"/>
                <w:sz w:val="24"/>
                <w:szCs w:val="24"/>
                <w:lang w:val="en-GB"/>
              </w:rPr>
              <w:t>Gender</w:t>
            </w:r>
          </w:p>
        </w:tc>
        <w:tc>
          <w:tcPr>
            <w:tcW w:w="2074" w:type="dxa"/>
            <w:shd w:val="clear" w:color="auto" w:fill="auto"/>
            <w:vAlign w:val="center"/>
          </w:tcPr>
          <w:p w14:paraId="2B267555" w14:textId="77777777" w:rsidR="0093205E" w:rsidRPr="0049263A" w:rsidRDefault="0093205E" w:rsidP="0069564A">
            <w:pPr>
              <w:snapToGrid w:val="0"/>
              <w:spacing w:line="360" w:lineRule="auto"/>
              <w:jc w:val="center"/>
              <w:rPr>
                <w:rFonts w:ascii="Book Antiqua" w:hAnsi="Book Antiqua" w:cs="Arial"/>
                <w:i/>
                <w:sz w:val="24"/>
                <w:szCs w:val="24"/>
                <w:lang w:val="en-GB"/>
              </w:rPr>
            </w:pPr>
          </w:p>
        </w:tc>
        <w:tc>
          <w:tcPr>
            <w:tcW w:w="1101" w:type="dxa"/>
            <w:shd w:val="clear" w:color="auto" w:fill="auto"/>
            <w:vAlign w:val="center"/>
          </w:tcPr>
          <w:p w14:paraId="7D700FEC" w14:textId="77777777" w:rsidR="0093205E" w:rsidRPr="0049263A" w:rsidRDefault="0093205E" w:rsidP="0069564A">
            <w:pPr>
              <w:snapToGrid w:val="0"/>
              <w:spacing w:line="360" w:lineRule="auto"/>
              <w:jc w:val="center"/>
              <w:rPr>
                <w:rFonts w:ascii="Book Antiqua" w:hAnsi="Book Antiqua" w:cs="Arial"/>
                <w:i/>
                <w:sz w:val="24"/>
                <w:szCs w:val="24"/>
                <w:lang w:val="en-GB"/>
              </w:rPr>
            </w:pPr>
            <w:r w:rsidRPr="0049263A">
              <w:rPr>
                <w:rFonts w:ascii="Book Antiqua" w:hAnsi="Book Antiqua" w:cs="Arial"/>
                <w:sz w:val="24"/>
                <w:szCs w:val="24"/>
                <w:lang w:val="en-GB"/>
              </w:rPr>
              <w:t>0.298</w:t>
            </w:r>
          </w:p>
        </w:tc>
        <w:tc>
          <w:tcPr>
            <w:tcW w:w="2301" w:type="dxa"/>
            <w:shd w:val="clear" w:color="auto" w:fill="auto"/>
            <w:vAlign w:val="center"/>
          </w:tcPr>
          <w:p w14:paraId="4F1FCCF7" w14:textId="77777777" w:rsidR="0093205E" w:rsidRPr="0049263A" w:rsidRDefault="0093205E" w:rsidP="0069564A">
            <w:pPr>
              <w:snapToGrid w:val="0"/>
              <w:spacing w:line="360" w:lineRule="auto"/>
              <w:jc w:val="center"/>
              <w:rPr>
                <w:rFonts w:ascii="Book Antiqua" w:hAnsi="Book Antiqua" w:cs="Arial"/>
                <w:i/>
                <w:sz w:val="24"/>
                <w:szCs w:val="24"/>
                <w:lang w:val="en-GB"/>
              </w:rPr>
            </w:pPr>
          </w:p>
        </w:tc>
        <w:tc>
          <w:tcPr>
            <w:tcW w:w="1079" w:type="dxa"/>
            <w:shd w:val="clear" w:color="auto" w:fill="auto"/>
            <w:vAlign w:val="center"/>
          </w:tcPr>
          <w:p w14:paraId="1206FFDE" w14:textId="77777777" w:rsidR="0093205E" w:rsidRPr="0049263A" w:rsidRDefault="0093205E" w:rsidP="0069564A">
            <w:pPr>
              <w:snapToGrid w:val="0"/>
              <w:spacing w:line="360" w:lineRule="auto"/>
              <w:jc w:val="center"/>
              <w:rPr>
                <w:rFonts w:ascii="Book Antiqua" w:eastAsia="MS Mincho" w:hAnsi="Book Antiqua" w:cs="Arial"/>
                <w:sz w:val="24"/>
                <w:szCs w:val="24"/>
                <w:lang w:val="en-GB"/>
              </w:rPr>
            </w:pPr>
            <w:r w:rsidRPr="0049263A">
              <w:rPr>
                <w:rFonts w:ascii="Book Antiqua" w:hAnsi="Book Antiqua" w:cs="Arial"/>
                <w:sz w:val="24"/>
                <w:szCs w:val="24"/>
                <w:lang w:val="en-GB"/>
              </w:rPr>
              <w:t>0.155</w:t>
            </w:r>
          </w:p>
        </w:tc>
      </w:tr>
      <w:tr w:rsidR="003777B7" w:rsidRPr="0049263A" w14:paraId="73CB2431" w14:textId="77777777" w:rsidTr="00286CC6">
        <w:trPr>
          <w:trHeight w:hRule="exact" w:val="340"/>
          <w:jc w:val="center"/>
        </w:trPr>
        <w:tc>
          <w:tcPr>
            <w:tcW w:w="2962" w:type="dxa"/>
            <w:shd w:val="clear" w:color="auto" w:fill="auto"/>
            <w:vAlign w:val="center"/>
          </w:tcPr>
          <w:p w14:paraId="43AA7C7C" w14:textId="6825DA77" w:rsidR="0069564A" w:rsidRPr="0049263A" w:rsidRDefault="0069564A" w:rsidP="0069564A">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 xml:space="preserve">Male </w:t>
            </w:r>
            <w:proofErr w:type="spellStart"/>
            <w:r w:rsidRPr="0049263A">
              <w:rPr>
                <w:rFonts w:ascii="Book Antiqua" w:hAnsi="Book Antiqua" w:cs="Arial"/>
                <w:i/>
                <w:sz w:val="24"/>
                <w:szCs w:val="24"/>
                <w:lang w:val="en-GB"/>
              </w:rPr>
              <w:t>vs</w:t>
            </w:r>
            <w:proofErr w:type="spellEnd"/>
            <w:r w:rsidRPr="0049263A">
              <w:rPr>
                <w:rFonts w:ascii="Book Antiqua" w:hAnsi="Book Antiqua" w:cs="Arial"/>
                <w:sz w:val="24"/>
                <w:szCs w:val="24"/>
                <w:lang w:val="en-GB"/>
              </w:rPr>
              <w:t xml:space="preserve"> female</w:t>
            </w:r>
          </w:p>
        </w:tc>
        <w:tc>
          <w:tcPr>
            <w:tcW w:w="2074" w:type="dxa"/>
            <w:shd w:val="clear" w:color="auto" w:fill="auto"/>
            <w:vAlign w:val="center"/>
          </w:tcPr>
          <w:p w14:paraId="7E7677E3" w14:textId="77777777" w:rsidR="0069564A" w:rsidRPr="0049263A" w:rsidRDefault="0069564A" w:rsidP="0069564A">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1.16 (0.88-1.53)</w:t>
            </w:r>
          </w:p>
        </w:tc>
        <w:tc>
          <w:tcPr>
            <w:tcW w:w="1101" w:type="dxa"/>
            <w:shd w:val="clear" w:color="auto" w:fill="auto"/>
            <w:vAlign w:val="center"/>
          </w:tcPr>
          <w:p w14:paraId="21E22D50" w14:textId="77777777" w:rsidR="0069564A" w:rsidRPr="0049263A" w:rsidRDefault="0069564A" w:rsidP="0069564A">
            <w:pPr>
              <w:snapToGrid w:val="0"/>
              <w:spacing w:line="360" w:lineRule="auto"/>
              <w:jc w:val="center"/>
              <w:rPr>
                <w:rFonts w:ascii="Book Antiqua" w:hAnsi="Book Antiqua" w:cs="Arial"/>
                <w:sz w:val="24"/>
                <w:szCs w:val="24"/>
                <w:lang w:val="en-GB"/>
              </w:rPr>
            </w:pPr>
          </w:p>
        </w:tc>
        <w:tc>
          <w:tcPr>
            <w:tcW w:w="2301" w:type="dxa"/>
            <w:shd w:val="clear" w:color="auto" w:fill="auto"/>
            <w:vAlign w:val="center"/>
          </w:tcPr>
          <w:p w14:paraId="7CF114A0" w14:textId="77777777" w:rsidR="0069564A" w:rsidRPr="0049263A" w:rsidRDefault="0069564A" w:rsidP="0069564A">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1.31 (0.90-1.89)</w:t>
            </w:r>
          </w:p>
        </w:tc>
        <w:tc>
          <w:tcPr>
            <w:tcW w:w="1079" w:type="dxa"/>
            <w:shd w:val="clear" w:color="auto" w:fill="auto"/>
            <w:vAlign w:val="center"/>
          </w:tcPr>
          <w:p w14:paraId="47B131AA" w14:textId="77777777" w:rsidR="0069564A" w:rsidRPr="0049263A" w:rsidRDefault="0069564A" w:rsidP="0069564A">
            <w:pPr>
              <w:snapToGrid w:val="0"/>
              <w:spacing w:line="360" w:lineRule="auto"/>
              <w:jc w:val="center"/>
              <w:rPr>
                <w:rFonts w:ascii="Book Antiqua" w:hAnsi="Book Antiqua" w:cs="Arial"/>
                <w:sz w:val="24"/>
                <w:szCs w:val="24"/>
                <w:lang w:val="en-GB"/>
              </w:rPr>
            </w:pPr>
          </w:p>
        </w:tc>
      </w:tr>
      <w:tr w:rsidR="003777B7" w:rsidRPr="0049263A" w14:paraId="01CB1D37" w14:textId="77777777" w:rsidTr="00286CC6">
        <w:trPr>
          <w:trHeight w:hRule="exact" w:val="340"/>
          <w:jc w:val="center"/>
        </w:trPr>
        <w:tc>
          <w:tcPr>
            <w:tcW w:w="2962" w:type="dxa"/>
            <w:shd w:val="clear" w:color="auto" w:fill="auto"/>
            <w:vAlign w:val="center"/>
          </w:tcPr>
          <w:p w14:paraId="5338590C" w14:textId="77777777" w:rsidR="0093205E" w:rsidRPr="0049263A" w:rsidRDefault="0093205E" w:rsidP="00AA734A">
            <w:pPr>
              <w:snapToGrid w:val="0"/>
              <w:spacing w:line="360" w:lineRule="auto"/>
              <w:jc w:val="both"/>
              <w:rPr>
                <w:rFonts w:ascii="Book Antiqua" w:hAnsi="Book Antiqua" w:cs="Arial"/>
                <w:i/>
                <w:sz w:val="24"/>
                <w:szCs w:val="24"/>
                <w:lang w:val="en-GB"/>
              </w:rPr>
            </w:pPr>
            <w:r w:rsidRPr="0049263A">
              <w:rPr>
                <w:rFonts w:ascii="Book Antiqua" w:hAnsi="Book Antiqua" w:cs="Arial"/>
                <w:sz w:val="24"/>
                <w:szCs w:val="24"/>
                <w:lang w:val="en-GB"/>
              </w:rPr>
              <w:t>Tumour location</w:t>
            </w:r>
          </w:p>
        </w:tc>
        <w:tc>
          <w:tcPr>
            <w:tcW w:w="2074" w:type="dxa"/>
            <w:shd w:val="clear" w:color="auto" w:fill="auto"/>
            <w:vAlign w:val="center"/>
          </w:tcPr>
          <w:p w14:paraId="33BCF4E8" w14:textId="77777777" w:rsidR="0093205E" w:rsidRPr="0049263A" w:rsidRDefault="0093205E" w:rsidP="0069564A">
            <w:pPr>
              <w:snapToGrid w:val="0"/>
              <w:spacing w:line="360" w:lineRule="auto"/>
              <w:jc w:val="center"/>
              <w:rPr>
                <w:rFonts w:ascii="Book Antiqua" w:hAnsi="Book Antiqua" w:cs="Arial"/>
                <w:i/>
                <w:sz w:val="24"/>
                <w:szCs w:val="24"/>
                <w:lang w:val="en-GB"/>
              </w:rPr>
            </w:pPr>
          </w:p>
        </w:tc>
        <w:tc>
          <w:tcPr>
            <w:tcW w:w="1101" w:type="dxa"/>
            <w:shd w:val="clear" w:color="auto" w:fill="auto"/>
            <w:vAlign w:val="center"/>
          </w:tcPr>
          <w:p w14:paraId="730C300F" w14:textId="77777777" w:rsidR="0093205E" w:rsidRPr="0049263A" w:rsidRDefault="0093205E" w:rsidP="0069564A">
            <w:pPr>
              <w:snapToGrid w:val="0"/>
              <w:spacing w:line="360" w:lineRule="auto"/>
              <w:jc w:val="center"/>
              <w:rPr>
                <w:rFonts w:ascii="Book Antiqua" w:hAnsi="Book Antiqua" w:cs="Arial"/>
                <w:i/>
                <w:sz w:val="24"/>
                <w:szCs w:val="24"/>
                <w:lang w:val="en-GB"/>
              </w:rPr>
            </w:pPr>
            <w:r w:rsidRPr="0049263A">
              <w:rPr>
                <w:rFonts w:ascii="Book Antiqua" w:hAnsi="Book Antiqua" w:cs="Arial"/>
                <w:sz w:val="24"/>
                <w:szCs w:val="24"/>
                <w:lang w:val="en-GB"/>
              </w:rPr>
              <w:t>0.368</w:t>
            </w:r>
          </w:p>
        </w:tc>
        <w:tc>
          <w:tcPr>
            <w:tcW w:w="2301" w:type="dxa"/>
            <w:shd w:val="clear" w:color="auto" w:fill="auto"/>
            <w:vAlign w:val="center"/>
          </w:tcPr>
          <w:p w14:paraId="359CB01A" w14:textId="77777777" w:rsidR="0093205E" w:rsidRPr="0049263A" w:rsidRDefault="0093205E" w:rsidP="0069564A">
            <w:pPr>
              <w:snapToGrid w:val="0"/>
              <w:spacing w:line="360" w:lineRule="auto"/>
              <w:jc w:val="center"/>
              <w:rPr>
                <w:rFonts w:ascii="Book Antiqua" w:hAnsi="Book Antiqua" w:cs="Arial"/>
                <w:i/>
                <w:sz w:val="24"/>
                <w:szCs w:val="24"/>
                <w:lang w:val="en-GB"/>
              </w:rPr>
            </w:pPr>
          </w:p>
        </w:tc>
        <w:tc>
          <w:tcPr>
            <w:tcW w:w="1079" w:type="dxa"/>
            <w:shd w:val="clear" w:color="auto" w:fill="auto"/>
            <w:vAlign w:val="center"/>
          </w:tcPr>
          <w:p w14:paraId="571CAAA3" w14:textId="77777777" w:rsidR="0093205E" w:rsidRPr="0049263A" w:rsidRDefault="0093205E" w:rsidP="0069564A">
            <w:pPr>
              <w:snapToGrid w:val="0"/>
              <w:spacing w:line="360" w:lineRule="auto"/>
              <w:jc w:val="center"/>
              <w:rPr>
                <w:rFonts w:ascii="Book Antiqua" w:eastAsia="MS Mincho" w:hAnsi="Book Antiqua" w:cs="Arial"/>
                <w:sz w:val="24"/>
                <w:szCs w:val="24"/>
                <w:lang w:val="en-GB"/>
              </w:rPr>
            </w:pPr>
            <w:r w:rsidRPr="0049263A">
              <w:rPr>
                <w:rFonts w:ascii="Book Antiqua" w:hAnsi="Book Antiqua" w:cs="Arial"/>
                <w:sz w:val="24"/>
                <w:szCs w:val="24"/>
                <w:lang w:val="en-GB"/>
              </w:rPr>
              <w:t>0.928</w:t>
            </w:r>
          </w:p>
        </w:tc>
      </w:tr>
      <w:tr w:rsidR="003777B7" w:rsidRPr="0049263A" w14:paraId="3EBE3827" w14:textId="77777777" w:rsidTr="00286CC6">
        <w:trPr>
          <w:trHeight w:hRule="exact" w:val="340"/>
          <w:jc w:val="center"/>
        </w:trPr>
        <w:tc>
          <w:tcPr>
            <w:tcW w:w="2962" w:type="dxa"/>
            <w:shd w:val="clear" w:color="auto" w:fill="auto"/>
            <w:vAlign w:val="center"/>
          </w:tcPr>
          <w:p w14:paraId="0B5D4376" w14:textId="61F5D468" w:rsidR="0069564A" w:rsidRPr="0049263A" w:rsidRDefault="0069564A" w:rsidP="0069564A">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 xml:space="preserve">Rectum </w:t>
            </w:r>
            <w:proofErr w:type="spellStart"/>
            <w:r w:rsidRPr="0049263A">
              <w:rPr>
                <w:rFonts w:ascii="Book Antiqua" w:hAnsi="Book Antiqua" w:cs="Arial"/>
                <w:i/>
                <w:sz w:val="24"/>
                <w:szCs w:val="24"/>
                <w:lang w:val="en-GB"/>
              </w:rPr>
              <w:t>vs</w:t>
            </w:r>
            <w:proofErr w:type="spellEnd"/>
            <w:r w:rsidRPr="0049263A">
              <w:rPr>
                <w:rFonts w:ascii="Book Antiqua" w:hAnsi="Book Antiqua" w:cs="Arial"/>
                <w:sz w:val="24"/>
                <w:szCs w:val="24"/>
                <w:lang w:val="en-GB"/>
              </w:rPr>
              <w:t xml:space="preserve"> colon</w:t>
            </w:r>
          </w:p>
        </w:tc>
        <w:tc>
          <w:tcPr>
            <w:tcW w:w="2074" w:type="dxa"/>
            <w:shd w:val="clear" w:color="auto" w:fill="auto"/>
            <w:vAlign w:val="center"/>
          </w:tcPr>
          <w:p w14:paraId="13F1B66C" w14:textId="77777777" w:rsidR="0069564A" w:rsidRPr="0049263A" w:rsidRDefault="0069564A" w:rsidP="0069564A">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1.19 (0.82-1.72)</w:t>
            </w:r>
          </w:p>
        </w:tc>
        <w:tc>
          <w:tcPr>
            <w:tcW w:w="1101" w:type="dxa"/>
            <w:shd w:val="clear" w:color="auto" w:fill="auto"/>
            <w:vAlign w:val="center"/>
          </w:tcPr>
          <w:p w14:paraId="3AF01BAF" w14:textId="77777777" w:rsidR="0069564A" w:rsidRPr="0049263A" w:rsidRDefault="0069564A" w:rsidP="0069564A">
            <w:pPr>
              <w:snapToGrid w:val="0"/>
              <w:spacing w:line="360" w:lineRule="auto"/>
              <w:jc w:val="center"/>
              <w:rPr>
                <w:rFonts w:ascii="Book Antiqua" w:hAnsi="Book Antiqua" w:cs="Arial"/>
                <w:sz w:val="24"/>
                <w:szCs w:val="24"/>
                <w:lang w:val="en-GB"/>
              </w:rPr>
            </w:pPr>
          </w:p>
        </w:tc>
        <w:tc>
          <w:tcPr>
            <w:tcW w:w="2301" w:type="dxa"/>
            <w:shd w:val="clear" w:color="auto" w:fill="auto"/>
            <w:vAlign w:val="center"/>
          </w:tcPr>
          <w:p w14:paraId="2862E93C" w14:textId="77777777" w:rsidR="0069564A" w:rsidRPr="0049263A" w:rsidRDefault="0069564A" w:rsidP="0069564A">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0.98 (0.59-1.61)</w:t>
            </w:r>
          </w:p>
        </w:tc>
        <w:tc>
          <w:tcPr>
            <w:tcW w:w="1079" w:type="dxa"/>
            <w:shd w:val="clear" w:color="auto" w:fill="auto"/>
            <w:vAlign w:val="center"/>
          </w:tcPr>
          <w:p w14:paraId="759A6268" w14:textId="77777777" w:rsidR="0069564A" w:rsidRPr="0049263A" w:rsidRDefault="0069564A" w:rsidP="0069564A">
            <w:pPr>
              <w:snapToGrid w:val="0"/>
              <w:spacing w:line="360" w:lineRule="auto"/>
              <w:jc w:val="center"/>
              <w:rPr>
                <w:rFonts w:ascii="Book Antiqua" w:hAnsi="Book Antiqua" w:cs="Arial"/>
                <w:sz w:val="24"/>
                <w:szCs w:val="24"/>
                <w:lang w:val="en-GB"/>
              </w:rPr>
            </w:pPr>
          </w:p>
        </w:tc>
      </w:tr>
      <w:tr w:rsidR="003777B7" w:rsidRPr="0049263A" w14:paraId="792448B0" w14:textId="77777777" w:rsidTr="00286CC6">
        <w:trPr>
          <w:trHeight w:hRule="exact" w:val="340"/>
          <w:jc w:val="center"/>
        </w:trPr>
        <w:tc>
          <w:tcPr>
            <w:tcW w:w="2962" w:type="dxa"/>
            <w:shd w:val="clear" w:color="auto" w:fill="auto"/>
            <w:vAlign w:val="center"/>
          </w:tcPr>
          <w:p w14:paraId="227CFA20" w14:textId="77777777" w:rsidR="0093205E" w:rsidRPr="0049263A" w:rsidRDefault="0093205E" w:rsidP="00AA734A">
            <w:pPr>
              <w:snapToGrid w:val="0"/>
              <w:spacing w:line="360" w:lineRule="auto"/>
              <w:jc w:val="both"/>
              <w:rPr>
                <w:rFonts w:ascii="Book Antiqua" w:hAnsi="Book Antiqua" w:cs="Arial"/>
                <w:i/>
                <w:sz w:val="24"/>
                <w:szCs w:val="24"/>
                <w:lang w:val="en-GB"/>
              </w:rPr>
            </w:pPr>
            <w:r w:rsidRPr="0049263A">
              <w:rPr>
                <w:rFonts w:ascii="Book Antiqua" w:hAnsi="Book Antiqua" w:cs="Arial"/>
                <w:sz w:val="24"/>
                <w:szCs w:val="24"/>
                <w:lang w:val="en-GB"/>
              </w:rPr>
              <w:t>Type of surgery</w:t>
            </w:r>
          </w:p>
        </w:tc>
        <w:tc>
          <w:tcPr>
            <w:tcW w:w="2074" w:type="dxa"/>
            <w:shd w:val="clear" w:color="auto" w:fill="auto"/>
            <w:vAlign w:val="center"/>
          </w:tcPr>
          <w:p w14:paraId="2F945BD1" w14:textId="77777777" w:rsidR="0093205E" w:rsidRPr="0049263A" w:rsidRDefault="0093205E" w:rsidP="0069564A">
            <w:pPr>
              <w:snapToGrid w:val="0"/>
              <w:spacing w:line="360" w:lineRule="auto"/>
              <w:jc w:val="center"/>
              <w:rPr>
                <w:rFonts w:ascii="Book Antiqua" w:hAnsi="Book Antiqua" w:cs="Arial"/>
                <w:i/>
                <w:sz w:val="24"/>
                <w:szCs w:val="24"/>
                <w:lang w:val="en-GB"/>
              </w:rPr>
            </w:pPr>
          </w:p>
        </w:tc>
        <w:tc>
          <w:tcPr>
            <w:tcW w:w="1101" w:type="dxa"/>
            <w:shd w:val="clear" w:color="auto" w:fill="auto"/>
            <w:vAlign w:val="center"/>
          </w:tcPr>
          <w:p w14:paraId="6993319F" w14:textId="77777777" w:rsidR="0093205E" w:rsidRPr="0049263A" w:rsidRDefault="0093205E" w:rsidP="0069564A">
            <w:pPr>
              <w:snapToGrid w:val="0"/>
              <w:spacing w:line="360" w:lineRule="auto"/>
              <w:jc w:val="center"/>
              <w:rPr>
                <w:rFonts w:ascii="Book Antiqua" w:hAnsi="Book Antiqua" w:cs="Arial"/>
                <w:i/>
                <w:sz w:val="24"/>
                <w:szCs w:val="24"/>
                <w:lang w:val="en-GB"/>
              </w:rPr>
            </w:pPr>
            <w:r w:rsidRPr="0049263A">
              <w:rPr>
                <w:rFonts w:ascii="Book Antiqua" w:hAnsi="Book Antiqua" w:cs="Arial"/>
                <w:sz w:val="24"/>
                <w:szCs w:val="24"/>
                <w:lang w:val="en-GB"/>
              </w:rPr>
              <w:t>0.180</w:t>
            </w:r>
          </w:p>
        </w:tc>
        <w:tc>
          <w:tcPr>
            <w:tcW w:w="2301" w:type="dxa"/>
            <w:shd w:val="clear" w:color="auto" w:fill="auto"/>
            <w:vAlign w:val="center"/>
          </w:tcPr>
          <w:p w14:paraId="4EE392A7" w14:textId="77777777" w:rsidR="0093205E" w:rsidRPr="0049263A" w:rsidRDefault="0093205E" w:rsidP="0069564A">
            <w:pPr>
              <w:snapToGrid w:val="0"/>
              <w:spacing w:line="360" w:lineRule="auto"/>
              <w:jc w:val="center"/>
              <w:rPr>
                <w:rFonts w:ascii="Book Antiqua" w:hAnsi="Book Antiqua" w:cs="Arial"/>
                <w:i/>
                <w:sz w:val="24"/>
                <w:szCs w:val="24"/>
                <w:lang w:val="en-GB"/>
              </w:rPr>
            </w:pPr>
          </w:p>
        </w:tc>
        <w:tc>
          <w:tcPr>
            <w:tcW w:w="1079" w:type="dxa"/>
            <w:shd w:val="clear" w:color="auto" w:fill="auto"/>
            <w:vAlign w:val="center"/>
          </w:tcPr>
          <w:p w14:paraId="0B7DEE1B" w14:textId="77777777" w:rsidR="0093205E" w:rsidRPr="0049263A" w:rsidRDefault="0093205E" w:rsidP="0069564A">
            <w:pPr>
              <w:snapToGrid w:val="0"/>
              <w:spacing w:line="360" w:lineRule="auto"/>
              <w:jc w:val="center"/>
              <w:rPr>
                <w:rFonts w:ascii="Book Antiqua" w:eastAsia="MS Mincho" w:hAnsi="Book Antiqua" w:cs="Arial"/>
                <w:sz w:val="24"/>
                <w:szCs w:val="24"/>
                <w:lang w:val="en-GB"/>
              </w:rPr>
            </w:pPr>
            <w:r w:rsidRPr="0049263A">
              <w:rPr>
                <w:rFonts w:ascii="Book Antiqua" w:hAnsi="Book Antiqua" w:cs="Arial"/>
                <w:sz w:val="24"/>
                <w:szCs w:val="24"/>
                <w:lang w:val="en-GB"/>
              </w:rPr>
              <w:t>0.805</w:t>
            </w:r>
          </w:p>
        </w:tc>
      </w:tr>
      <w:tr w:rsidR="003777B7" w:rsidRPr="0049263A" w14:paraId="6A8E8F19" w14:textId="77777777" w:rsidTr="00286CC6">
        <w:trPr>
          <w:trHeight w:hRule="exact" w:val="340"/>
          <w:jc w:val="center"/>
        </w:trPr>
        <w:tc>
          <w:tcPr>
            <w:tcW w:w="2962" w:type="dxa"/>
            <w:shd w:val="clear" w:color="auto" w:fill="auto"/>
            <w:vAlign w:val="center"/>
          </w:tcPr>
          <w:p w14:paraId="6E4D69F2" w14:textId="4282B507" w:rsidR="0069564A" w:rsidRPr="0049263A" w:rsidRDefault="0069564A" w:rsidP="0069564A">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 xml:space="preserve">Urgent </w:t>
            </w:r>
            <w:proofErr w:type="spellStart"/>
            <w:r w:rsidRPr="0049263A">
              <w:rPr>
                <w:rFonts w:ascii="Book Antiqua" w:hAnsi="Book Antiqua" w:cs="Arial"/>
                <w:i/>
                <w:sz w:val="24"/>
                <w:szCs w:val="24"/>
                <w:lang w:val="en-GB"/>
              </w:rPr>
              <w:t>vs</w:t>
            </w:r>
            <w:proofErr w:type="spellEnd"/>
            <w:r w:rsidRPr="0049263A">
              <w:rPr>
                <w:rFonts w:ascii="Book Antiqua" w:hAnsi="Book Antiqua" w:cs="Arial"/>
                <w:sz w:val="24"/>
                <w:szCs w:val="24"/>
                <w:lang w:val="en-GB"/>
              </w:rPr>
              <w:t xml:space="preserve"> elective</w:t>
            </w:r>
          </w:p>
        </w:tc>
        <w:tc>
          <w:tcPr>
            <w:tcW w:w="2074" w:type="dxa"/>
            <w:shd w:val="clear" w:color="auto" w:fill="auto"/>
            <w:vAlign w:val="center"/>
          </w:tcPr>
          <w:p w14:paraId="2AE6526B" w14:textId="77777777" w:rsidR="0069564A" w:rsidRPr="0049263A" w:rsidRDefault="0069564A" w:rsidP="0069564A">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1.42 (0.85-2.38)</w:t>
            </w:r>
          </w:p>
        </w:tc>
        <w:tc>
          <w:tcPr>
            <w:tcW w:w="1101" w:type="dxa"/>
            <w:shd w:val="clear" w:color="auto" w:fill="auto"/>
            <w:vAlign w:val="center"/>
          </w:tcPr>
          <w:p w14:paraId="60F48AB1" w14:textId="77777777" w:rsidR="0069564A" w:rsidRPr="0049263A" w:rsidRDefault="0069564A" w:rsidP="0069564A">
            <w:pPr>
              <w:snapToGrid w:val="0"/>
              <w:spacing w:line="360" w:lineRule="auto"/>
              <w:jc w:val="center"/>
              <w:rPr>
                <w:rFonts w:ascii="Book Antiqua" w:hAnsi="Book Antiqua" w:cs="Arial"/>
                <w:sz w:val="24"/>
                <w:szCs w:val="24"/>
                <w:lang w:val="en-GB"/>
              </w:rPr>
            </w:pPr>
          </w:p>
        </w:tc>
        <w:tc>
          <w:tcPr>
            <w:tcW w:w="2301" w:type="dxa"/>
            <w:shd w:val="clear" w:color="auto" w:fill="auto"/>
            <w:vAlign w:val="center"/>
          </w:tcPr>
          <w:p w14:paraId="20798E81" w14:textId="77777777" w:rsidR="0069564A" w:rsidRPr="0049263A" w:rsidRDefault="0069564A" w:rsidP="0069564A">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0.92 (0.49-1.74)</w:t>
            </w:r>
          </w:p>
        </w:tc>
        <w:tc>
          <w:tcPr>
            <w:tcW w:w="1079" w:type="dxa"/>
            <w:shd w:val="clear" w:color="auto" w:fill="auto"/>
            <w:vAlign w:val="center"/>
          </w:tcPr>
          <w:p w14:paraId="725CBB69" w14:textId="77777777" w:rsidR="0069564A" w:rsidRPr="0049263A" w:rsidRDefault="0069564A" w:rsidP="0069564A">
            <w:pPr>
              <w:snapToGrid w:val="0"/>
              <w:spacing w:line="360" w:lineRule="auto"/>
              <w:jc w:val="center"/>
              <w:rPr>
                <w:rFonts w:ascii="Book Antiqua" w:hAnsi="Book Antiqua" w:cs="Arial"/>
                <w:sz w:val="24"/>
                <w:szCs w:val="24"/>
                <w:lang w:val="en-GB"/>
              </w:rPr>
            </w:pPr>
          </w:p>
        </w:tc>
      </w:tr>
      <w:tr w:rsidR="003777B7" w:rsidRPr="0049263A" w14:paraId="497FB839" w14:textId="77777777" w:rsidTr="00286CC6">
        <w:trPr>
          <w:trHeight w:hRule="exact" w:val="340"/>
          <w:jc w:val="center"/>
        </w:trPr>
        <w:tc>
          <w:tcPr>
            <w:tcW w:w="2962" w:type="dxa"/>
            <w:shd w:val="clear" w:color="auto" w:fill="auto"/>
            <w:vAlign w:val="center"/>
          </w:tcPr>
          <w:p w14:paraId="7A1497E8" w14:textId="77777777" w:rsidR="0093205E" w:rsidRPr="0049263A" w:rsidRDefault="0093205E" w:rsidP="00AA734A">
            <w:pPr>
              <w:snapToGrid w:val="0"/>
              <w:spacing w:line="360" w:lineRule="auto"/>
              <w:jc w:val="both"/>
              <w:rPr>
                <w:rFonts w:ascii="Book Antiqua" w:hAnsi="Book Antiqua" w:cs="Arial"/>
                <w:i/>
                <w:sz w:val="24"/>
                <w:szCs w:val="24"/>
                <w:lang w:val="en-GB"/>
              </w:rPr>
            </w:pPr>
            <w:r w:rsidRPr="0049263A">
              <w:rPr>
                <w:rFonts w:ascii="Book Antiqua" w:hAnsi="Book Antiqua" w:cs="Arial"/>
                <w:sz w:val="24"/>
                <w:szCs w:val="24"/>
                <w:lang w:val="en-GB"/>
              </w:rPr>
              <w:t>Type of resection (R)</w:t>
            </w:r>
          </w:p>
        </w:tc>
        <w:tc>
          <w:tcPr>
            <w:tcW w:w="2074" w:type="dxa"/>
            <w:shd w:val="clear" w:color="auto" w:fill="auto"/>
            <w:vAlign w:val="center"/>
          </w:tcPr>
          <w:p w14:paraId="031499B8" w14:textId="77777777" w:rsidR="0093205E" w:rsidRPr="0049263A" w:rsidRDefault="0093205E" w:rsidP="0069564A">
            <w:pPr>
              <w:snapToGrid w:val="0"/>
              <w:spacing w:line="360" w:lineRule="auto"/>
              <w:jc w:val="center"/>
              <w:rPr>
                <w:rFonts w:ascii="Book Antiqua" w:hAnsi="Book Antiqua" w:cs="Arial"/>
                <w:i/>
                <w:sz w:val="24"/>
                <w:szCs w:val="24"/>
                <w:lang w:val="en-GB"/>
              </w:rPr>
            </w:pPr>
          </w:p>
        </w:tc>
        <w:tc>
          <w:tcPr>
            <w:tcW w:w="1101" w:type="dxa"/>
            <w:shd w:val="clear" w:color="auto" w:fill="auto"/>
            <w:vAlign w:val="center"/>
          </w:tcPr>
          <w:p w14:paraId="4859D3D4" w14:textId="54C624E8" w:rsidR="0093205E" w:rsidRPr="0049263A" w:rsidRDefault="0093205E" w:rsidP="0069564A">
            <w:pPr>
              <w:snapToGrid w:val="0"/>
              <w:spacing w:line="360" w:lineRule="auto"/>
              <w:jc w:val="center"/>
              <w:rPr>
                <w:rFonts w:ascii="Book Antiqua" w:hAnsi="Book Antiqua" w:cs="Arial"/>
                <w:i/>
                <w:sz w:val="24"/>
                <w:szCs w:val="24"/>
                <w:lang w:val="en-GB"/>
              </w:rPr>
            </w:pPr>
            <w:r w:rsidRPr="0049263A">
              <w:rPr>
                <w:rFonts w:ascii="Book Antiqua" w:hAnsi="Book Antiqua" w:cs="Arial"/>
                <w:sz w:val="24"/>
                <w:szCs w:val="24"/>
                <w:lang w:val="en-GB"/>
              </w:rPr>
              <w:t>&lt;</w:t>
            </w:r>
            <w:r w:rsidR="00286CC6"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0.001</w:t>
            </w:r>
          </w:p>
        </w:tc>
        <w:tc>
          <w:tcPr>
            <w:tcW w:w="2301" w:type="dxa"/>
            <w:shd w:val="clear" w:color="auto" w:fill="auto"/>
            <w:vAlign w:val="center"/>
          </w:tcPr>
          <w:p w14:paraId="39203766" w14:textId="77777777" w:rsidR="0093205E" w:rsidRPr="0049263A" w:rsidRDefault="0093205E" w:rsidP="0069564A">
            <w:pPr>
              <w:snapToGrid w:val="0"/>
              <w:spacing w:line="360" w:lineRule="auto"/>
              <w:jc w:val="center"/>
              <w:rPr>
                <w:rFonts w:ascii="Book Antiqua" w:hAnsi="Book Antiqua" w:cs="Arial"/>
                <w:i/>
                <w:sz w:val="24"/>
                <w:szCs w:val="24"/>
                <w:lang w:val="en-GB"/>
              </w:rPr>
            </w:pPr>
          </w:p>
        </w:tc>
        <w:tc>
          <w:tcPr>
            <w:tcW w:w="1079" w:type="dxa"/>
            <w:shd w:val="clear" w:color="auto" w:fill="auto"/>
            <w:vAlign w:val="center"/>
          </w:tcPr>
          <w:p w14:paraId="23FA0432" w14:textId="4173BB5F" w:rsidR="0093205E" w:rsidRPr="0049263A" w:rsidRDefault="0093205E" w:rsidP="0069564A">
            <w:pPr>
              <w:snapToGrid w:val="0"/>
              <w:spacing w:line="360" w:lineRule="auto"/>
              <w:jc w:val="center"/>
              <w:rPr>
                <w:rFonts w:ascii="Book Antiqua" w:eastAsia="MS Mincho" w:hAnsi="Book Antiqua" w:cs="Arial"/>
                <w:sz w:val="24"/>
                <w:szCs w:val="24"/>
                <w:lang w:val="en-GB"/>
              </w:rPr>
            </w:pPr>
            <w:r w:rsidRPr="0049263A">
              <w:rPr>
                <w:rFonts w:ascii="Book Antiqua" w:hAnsi="Book Antiqua" w:cs="Arial"/>
                <w:sz w:val="24"/>
                <w:szCs w:val="24"/>
                <w:lang w:val="en-GB"/>
              </w:rPr>
              <w:t>&lt;</w:t>
            </w:r>
            <w:r w:rsidR="00286CC6"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0.001</w:t>
            </w:r>
          </w:p>
        </w:tc>
      </w:tr>
      <w:tr w:rsidR="003777B7" w:rsidRPr="0049263A" w14:paraId="12B5E4CB" w14:textId="77777777" w:rsidTr="00286CC6">
        <w:trPr>
          <w:trHeight w:hRule="exact" w:val="340"/>
          <w:jc w:val="center"/>
        </w:trPr>
        <w:tc>
          <w:tcPr>
            <w:tcW w:w="2962" w:type="dxa"/>
            <w:shd w:val="clear" w:color="auto" w:fill="auto"/>
            <w:vAlign w:val="center"/>
          </w:tcPr>
          <w:p w14:paraId="65EA4386" w14:textId="3900B136" w:rsidR="0069564A" w:rsidRPr="0049263A" w:rsidRDefault="0069564A" w:rsidP="0069564A">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 xml:space="preserve">R1 </w:t>
            </w:r>
            <w:proofErr w:type="spellStart"/>
            <w:r w:rsidRPr="0049263A">
              <w:rPr>
                <w:rFonts w:ascii="Book Antiqua" w:hAnsi="Book Antiqua" w:cs="Arial"/>
                <w:i/>
                <w:sz w:val="24"/>
                <w:szCs w:val="24"/>
                <w:lang w:val="en-GB"/>
              </w:rPr>
              <w:t>vs</w:t>
            </w:r>
            <w:proofErr w:type="spellEnd"/>
            <w:r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R0</w:t>
            </w:r>
          </w:p>
        </w:tc>
        <w:tc>
          <w:tcPr>
            <w:tcW w:w="2074" w:type="dxa"/>
            <w:shd w:val="clear" w:color="auto" w:fill="auto"/>
            <w:vAlign w:val="center"/>
          </w:tcPr>
          <w:p w14:paraId="672D4A16" w14:textId="77777777" w:rsidR="0069564A" w:rsidRPr="0049263A" w:rsidRDefault="0069564A" w:rsidP="0069564A">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1.98 (0.77-5.07)</w:t>
            </w:r>
          </w:p>
        </w:tc>
        <w:tc>
          <w:tcPr>
            <w:tcW w:w="1101" w:type="dxa"/>
            <w:shd w:val="clear" w:color="auto" w:fill="auto"/>
            <w:vAlign w:val="center"/>
          </w:tcPr>
          <w:p w14:paraId="4F802919" w14:textId="77777777" w:rsidR="0069564A" w:rsidRPr="0049263A" w:rsidRDefault="0069564A" w:rsidP="0069564A">
            <w:pPr>
              <w:snapToGrid w:val="0"/>
              <w:spacing w:line="360" w:lineRule="auto"/>
              <w:jc w:val="center"/>
              <w:rPr>
                <w:rFonts w:ascii="Book Antiqua" w:hAnsi="Book Antiqua" w:cs="Arial"/>
                <w:sz w:val="24"/>
                <w:szCs w:val="24"/>
                <w:lang w:val="en-GB"/>
              </w:rPr>
            </w:pPr>
          </w:p>
        </w:tc>
        <w:tc>
          <w:tcPr>
            <w:tcW w:w="2301" w:type="dxa"/>
            <w:shd w:val="clear" w:color="auto" w:fill="auto"/>
            <w:vAlign w:val="center"/>
          </w:tcPr>
          <w:p w14:paraId="02B58EA2" w14:textId="77777777" w:rsidR="0069564A" w:rsidRPr="0049263A" w:rsidRDefault="0069564A" w:rsidP="0069564A">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4.39 (1.61-11.97)</w:t>
            </w:r>
          </w:p>
        </w:tc>
        <w:tc>
          <w:tcPr>
            <w:tcW w:w="1079" w:type="dxa"/>
            <w:shd w:val="clear" w:color="auto" w:fill="auto"/>
            <w:vAlign w:val="center"/>
          </w:tcPr>
          <w:p w14:paraId="0A2D9B92" w14:textId="77777777" w:rsidR="0069564A" w:rsidRPr="0049263A" w:rsidRDefault="0069564A" w:rsidP="0069564A">
            <w:pPr>
              <w:snapToGrid w:val="0"/>
              <w:spacing w:line="360" w:lineRule="auto"/>
              <w:jc w:val="center"/>
              <w:rPr>
                <w:rFonts w:ascii="Book Antiqua" w:hAnsi="Book Antiqua" w:cs="Arial"/>
                <w:sz w:val="24"/>
                <w:szCs w:val="24"/>
                <w:lang w:val="en-GB"/>
              </w:rPr>
            </w:pPr>
          </w:p>
        </w:tc>
      </w:tr>
      <w:tr w:rsidR="003777B7" w:rsidRPr="0049263A" w14:paraId="4B374D4D" w14:textId="77777777" w:rsidTr="00286CC6">
        <w:trPr>
          <w:trHeight w:hRule="exact" w:val="340"/>
          <w:jc w:val="center"/>
        </w:trPr>
        <w:tc>
          <w:tcPr>
            <w:tcW w:w="2962" w:type="dxa"/>
            <w:shd w:val="clear" w:color="auto" w:fill="auto"/>
            <w:vAlign w:val="center"/>
          </w:tcPr>
          <w:p w14:paraId="7937C7FA" w14:textId="02B546FF" w:rsidR="0069564A" w:rsidRPr="0049263A" w:rsidRDefault="0069564A" w:rsidP="0069564A">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 xml:space="preserve">R2 </w:t>
            </w:r>
            <w:proofErr w:type="spellStart"/>
            <w:r w:rsidRPr="0049263A">
              <w:rPr>
                <w:rFonts w:ascii="Book Antiqua" w:hAnsi="Book Antiqua" w:cs="Arial"/>
                <w:i/>
                <w:sz w:val="24"/>
                <w:szCs w:val="24"/>
                <w:lang w:val="en-GB"/>
              </w:rPr>
              <w:t>vs</w:t>
            </w:r>
            <w:proofErr w:type="spellEnd"/>
            <w:r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R0</w:t>
            </w:r>
          </w:p>
        </w:tc>
        <w:tc>
          <w:tcPr>
            <w:tcW w:w="2074" w:type="dxa"/>
            <w:shd w:val="clear" w:color="auto" w:fill="auto"/>
            <w:vAlign w:val="center"/>
          </w:tcPr>
          <w:p w14:paraId="6BFFABC4" w14:textId="77777777" w:rsidR="0069564A" w:rsidRPr="0049263A" w:rsidRDefault="0069564A" w:rsidP="0069564A">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2.93 (1.82-4.71)</w:t>
            </w:r>
          </w:p>
        </w:tc>
        <w:tc>
          <w:tcPr>
            <w:tcW w:w="1101" w:type="dxa"/>
            <w:shd w:val="clear" w:color="auto" w:fill="auto"/>
            <w:vAlign w:val="center"/>
          </w:tcPr>
          <w:p w14:paraId="4A6D7869" w14:textId="77777777" w:rsidR="0069564A" w:rsidRPr="0049263A" w:rsidRDefault="0069564A" w:rsidP="0069564A">
            <w:pPr>
              <w:snapToGrid w:val="0"/>
              <w:spacing w:line="360" w:lineRule="auto"/>
              <w:jc w:val="center"/>
              <w:rPr>
                <w:rFonts w:ascii="Book Antiqua" w:hAnsi="Book Antiqua" w:cs="Arial"/>
                <w:sz w:val="24"/>
                <w:szCs w:val="24"/>
                <w:lang w:val="en-GB"/>
              </w:rPr>
            </w:pPr>
          </w:p>
        </w:tc>
        <w:tc>
          <w:tcPr>
            <w:tcW w:w="2301" w:type="dxa"/>
            <w:shd w:val="clear" w:color="auto" w:fill="auto"/>
            <w:vAlign w:val="center"/>
          </w:tcPr>
          <w:p w14:paraId="64B137DF" w14:textId="77777777" w:rsidR="0069564A" w:rsidRPr="0049263A" w:rsidRDefault="0069564A" w:rsidP="0069564A">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6.46 (3.63-11.49)</w:t>
            </w:r>
          </w:p>
        </w:tc>
        <w:tc>
          <w:tcPr>
            <w:tcW w:w="1079" w:type="dxa"/>
            <w:shd w:val="clear" w:color="auto" w:fill="auto"/>
            <w:vAlign w:val="center"/>
          </w:tcPr>
          <w:p w14:paraId="7DB95D25" w14:textId="77777777" w:rsidR="0069564A" w:rsidRPr="0049263A" w:rsidRDefault="0069564A" w:rsidP="0069564A">
            <w:pPr>
              <w:snapToGrid w:val="0"/>
              <w:spacing w:line="360" w:lineRule="auto"/>
              <w:jc w:val="center"/>
              <w:rPr>
                <w:rFonts w:ascii="Book Antiqua" w:hAnsi="Book Antiqua" w:cs="Arial"/>
                <w:sz w:val="24"/>
                <w:szCs w:val="24"/>
                <w:lang w:val="en-GB"/>
              </w:rPr>
            </w:pPr>
          </w:p>
        </w:tc>
      </w:tr>
      <w:tr w:rsidR="003777B7" w:rsidRPr="0049263A" w14:paraId="192E1022" w14:textId="77777777" w:rsidTr="00286CC6">
        <w:trPr>
          <w:trHeight w:hRule="exact" w:val="340"/>
          <w:jc w:val="center"/>
        </w:trPr>
        <w:tc>
          <w:tcPr>
            <w:tcW w:w="2962" w:type="dxa"/>
            <w:shd w:val="clear" w:color="auto" w:fill="auto"/>
            <w:vAlign w:val="center"/>
          </w:tcPr>
          <w:p w14:paraId="239D5C5D" w14:textId="64A9EE70" w:rsidR="0093205E" w:rsidRPr="0049263A" w:rsidRDefault="0093205E" w:rsidP="00AA734A">
            <w:pPr>
              <w:snapToGrid w:val="0"/>
              <w:spacing w:line="360" w:lineRule="auto"/>
              <w:jc w:val="both"/>
              <w:rPr>
                <w:rFonts w:ascii="Book Antiqua" w:hAnsi="Book Antiqua" w:cs="Arial"/>
                <w:i/>
                <w:sz w:val="24"/>
                <w:szCs w:val="24"/>
                <w:lang w:val="en-GB"/>
              </w:rPr>
            </w:pPr>
            <w:r w:rsidRPr="0049263A">
              <w:rPr>
                <w:rFonts w:ascii="Book Antiqua" w:hAnsi="Book Antiqua" w:cs="Arial"/>
                <w:sz w:val="24"/>
                <w:szCs w:val="24"/>
                <w:lang w:val="en-GB"/>
              </w:rPr>
              <w:t>Depth of invasion (</w:t>
            </w:r>
            <w:proofErr w:type="spellStart"/>
            <w:r w:rsidRPr="0049263A">
              <w:rPr>
                <w:rFonts w:ascii="Book Antiqua" w:hAnsi="Book Antiqua" w:cs="Arial"/>
                <w:sz w:val="24"/>
                <w:szCs w:val="24"/>
                <w:lang w:val="en-GB"/>
              </w:rPr>
              <w:t>pT</w:t>
            </w:r>
            <w:proofErr w:type="spellEnd"/>
            <w:r w:rsidRPr="0049263A">
              <w:rPr>
                <w:rFonts w:ascii="Book Antiqua" w:hAnsi="Book Antiqua" w:cs="Arial"/>
                <w:sz w:val="24"/>
                <w:szCs w:val="24"/>
                <w:lang w:val="en-GB"/>
              </w:rPr>
              <w:t>)</w:t>
            </w:r>
            <w:r w:rsidR="00286CC6" w:rsidRPr="0049263A">
              <w:rPr>
                <w:rFonts w:ascii="Book Antiqua" w:hAnsi="Book Antiqua" w:cs="Arial" w:hint="eastAsia"/>
                <w:sz w:val="24"/>
                <w:szCs w:val="24"/>
                <w:vertAlign w:val="superscript"/>
                <w:lang w:val="en-GB" w:eastAsia="zh-CN"/>
              </w:rPr>
              <w:t>1</w:t>
            </w:r>
          </w:p>
        </w:tc>
        <w:tc>
          <w:tcPr>
            <w:tcW w:w="2074" w:type="dxa"/>
            <w:shd w:val="clear" w:color="auto" w:fill="auto"/>
            <w:vAlign w:val="center"/>
          </w:tcPr>
          <w:p w14:paraId="66ED2A02" w14:textId="77777777" w:rsidR="0093205E" w:rsidRPr="0049263A" w:rsidRDefault="0093205E" w:rsidP="0069564A">
            <w:pPr>
              <w:snapToGrid w:val="0"/>
              <w:spacing w:line="360" w:lineRule="auto"/>
              <w:jc w:val="center"/>
              <w:rPr>
                <w:rFonts w:ascii="Book Antiqua" w:hAnsi="Book Antiqua" w:cs="Arial"/>
                <w:i/>
                <w:sz w:val="24"/>
                <w:szCs w:val="24"/>
                <w:lang w:val="en-GB"/>
              </w:rPr>
            </w:pPr>
          </w:p>
        </w:tc>
        <w:tc>
          <w:tcPr>
            <w:tcW w:w="1101" w:type="dxa"/>
            <w:shd w:val="clear" w:color="auto" w:fill="auto"/>
            <w:vAlign w:val="center"/>
          </w:tcPr>
          <w:p w14:paraId="337180D8" w14:textId="11FA922B" w:rsidR="0093205E" w:rsidRPr="0049263A" w:rsidRDefault="0093205E" w:rsidP="0069564A">
            <w:pPr>
              <w:snapToGrid w:val="0"/>
              <w:spacing w:line="360" w:lineRule="auto"/>
              <w:jc w:val="center"/>
              <w:rPr>
                <w:rFonts w:ascii="Book Antiqua" w:hAnsi="Book Antiqua" w:cs="Arial"/>
                <w:i/>
                <w:sz w:val="24"/>
                <w:szCs w:val="24"/>
                <w:lang w:val="en-GB"/>
              </w:rPr>
            </w:pPr>
            <w:r w:rsidRPr="0049263A">
              <w:rPr>
                <w:rFonts w:ascii="Book Antiqua" w:hAnsi="Book Antiqua" w:cs="Arial"/>
                <w:sz w:val="24"/>
                <w:szCs w:val="24"/>
                <w:lang w:val="en-GB"/>
              </w:rPr>
              <w:t>&lt;</w:t>
            </w:r>
            <w:r w:rsidR="00286CC6"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0.001</w:t>
            </w:r>
          </w:p>
        </w:tc>
        <w:tc>
          <w:tcPr>
            <w:tcW w:w="2301" w:type="dxa"/>
            <w:shd w:val="clear" w:color="auto" w:fill="auto"/>
            <w:vAlign w:val="center"/>
          </w:tcPr>
          <w:p w14:paraId="2468AA73" w14:textId="77777777" w:rsidR="0093205E" w:rsidRPr="0049263A" w:rsidRDefault="0093205E" w:rsidP="0069564A">
            <w:pPr>
              <w:snapToGrid w:val="0"/>
              <w:spacing w:line="360" w:lineRule="auto"/>
              <w:jc w:val="center"/>
              <w:rPr>
                <w:rFonts w:ascii="Book Antiqua" w:hAnsi="Book Antiqua" w:cs="Arial"/>
                <w:i/>
                <w:sz w:val="24"/>
                <w:szCs w:val="24"/>
                <w:lang w:val="en-GB"/>
              </w:rPr>
            </w:pPr>
          </w:p>
        </w:tc>
        <w:tc>
          <w:tcPr>
            <w:tcW w:w="1079" w:type="dxa"/>
            <w:shd w:val="clear" w:color="auto" w:fill="auto"/>
            <w:vAlign w:val="center"/>
          </w:tcPr>
          <w:p w14:paraId="5E5FB84B" w14:textId="0FE81384" w:rsidR="0093205E" w:rsidRPr="0049263A" w:rsidRDefault="0093205E" w:rsidP="0069564A">
            <w:pPr>
              <w:snapToGrid w:val="0"/>
              <w:spacing w:line="360" w:lineRule="auto"/>
              <w:jc w:val="center"/>
              <w:rPr>
                <w:rFonts w:ascii="Book Antiqua" w:eastAsia="MS Mincho" w:hAnsi="Book Antiqua" w:cs="Arial"/>
                <w:sz w:val="24"/>
                <w:szCs w:val="24"/>
                <w:lang w:val="en-GB"/>
              </w:rPr>
            </w:pPr>
            <w:r w:rsidRPr="0049263A">
              <w:rPr>
                <w:rFonts w:ascii="Book Antiqua" w:hAnsi="Book Antiqua" w:cs="Arial"/>
                <w:sz w:val="24"/>
                <w:szCs w:val="24"/>
                <w:lang w:val="en-GB"/>
              </w:rPr>
              <w:t>&lt;</w:t>
            </w:r>
            <w:r w:rsidR="00286CC6"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0.001</w:t>
            </w:r>
          </w:p>
        </w:tc>
      </w:tr>
      <w:tr w:rsidR="003777B7" w:rsidRPr="0049263A" w14:paraId="767D774C" w14:textId="77777777" w:rsidTr="00286CC6">
        <w:trPr>
          <w:trHeight w:hRule="exact" w:val="340"/>
          <w:jc w:val="center"/>
        </w:trPr>
        <w:tc>
          <w:tcPr>
            <w:tcW w:w="2962" w:type="dxa"/>
            <w:shd w:val="clear" w:color="auto" w:fill="auto"/>
            <w:vAlign w:val="center"/>
          </w:tcPr>
          <w:p w14:paraId="4B1EECEE" w14:textId="61029CD0" w:rsidR="0069564A" w:rsidRPr="0049263A" w:rsidRDefault="0069564A" w:rsidP="0069564A">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 xml:space="preserve">pT2 </w:t>
            </w:r>
            <w:proofErr w:type="spellStart"/>
            <w:r w:rsidRPr="0049263A">
              <w:rPr>
                <w:rFonts w:ascii="Book Antiqua" w:hAnsi="Book Antiqua" w:cs="Arial"/>
                <w:i/>
                <w:sz w:val="24"/>
                <w:szCs w:val="24"/>
                <w:lang w:val="en-GB"/>
              </w:rPr>
              <w:t>vs</w:t>
            </w:r>
            <w:proofErr w:type="spellEnd"/>
            <w:r w:rsidRPr="0049263A">
              <w:rPr>
                <w:rFonts w:ascii="Book Antiqua" w:hAnsi="Book Antiqua" w:cs="Arial"/>
                <w:sz w:val="24"/>
                <w:szCs w:val="24"/>
                <w:lang w:val="en-GB"/>
              </w:rPr>
              <w:t xml:space="preserve"> pT1</w:t>
            </w:r>
          </w:p>
        </w:tc>
        <w:tc>
          <w:tcPr>
            <w:tcW w:w="2074" w:type="dxa"/>
            <w:shd w:val="clear" w:color="auto" w:fill="auto"/>
            <w:vAlign w:val="center"/>
          </w:tcPr>
          <w:p w14:paraId="7C744072" w14:textId="77777777" w:rsidR="0069564A" w:rsidRPr="0049263A" w:rsidRDefault="0069564A" w:rsidP="0069564A">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1.51 (0.59-3.86)</w:t>
            </w:r>
          </w:p>
        </w:tc>
        <w:tc>
          <w:tcPr>
            <w:tcW w:w="1101" w:type="dxa"/>
            <w:shd w:val="clear" w:color="auto" w:fill="auto"/>
            <w:vAlign w:val="center"/>
          </w:tcPr>
          <w:p w14:paraId="12D95B64" w14:textId="77777777" w:rsidR="0069564A" w:rsidRPr="0049263A" w:rsidRDefault="0069564A" w:rsidP="0069564A">
            <w:pPr>
              <w:snapToGrid w:val="0"/>
              <w:spacing w:line="360" w:lineRule="auto"/>
              <w:jc w:val="center"/>
              <w:rPr>
                <w:rFonts w:ascii="Book Antiqua" w:hAnsi="Book Antiqua" w:cs="Arial"/>
                <w:sz w:val="24"/>
                <w:szCs w:val="24"/>
                <w:lang w:val="en-GB"/>
              </w:rPr>
            </w:pPr>
          </w:p>
        </w:tc>
        <w:tc>
          <w:tcPr>
            <w:tcW w:w="2301" w:type="dxa"/>
            <w:shd w:val="clear" w:color="auto" w:fill="auto"/>
            <w:vAlign w:val="center"/>
          </w:tcPr>
          <w:p w14:paraId="3793B61D" w14:textId="77777777" w:rsidR="0069564A" w:rsidRPr="0049263A" w:rsidRDefault="0069564A" w:rsidP="0069564A">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7.53 (0.88-64.83)</w:t>
            </w:r>
          </w:p>
        </w:tc>
        <w:tc>
          <w:tcPr>
            <w:tcW w:w="1079" w:type="dxa"/>
            <w:shd w:val="clear" w:color="auto" w:fill="auto"/>
            <w:vAlign w:val="center"/>
          </w:tcPr>
          <w:p w14:paraId="38BE4583" w14:textId="77777777" w:rsidR="0069564A" w:rsidRPr="0049263A" w:rsidRDefault="0069564A" w:rsidP="0069564A">
            <w:pPr>
              <w:snapToGrid w:val="0"/>
              <w:spacing w:line="360" w:lineRule="auto"/>
              <w:jc w:val="center"/>
              <w:rPr>
                <w:rFonts w:ascii="Book Antiqua" w:hAnsi="Book Antiqua" w:cs="Arial"/>
                <w:sz w:val="24"/>
                <w:szCs w:val="24"/>
                <w:lang w:val="en-GB"/>
              </w:rPr>
            </w:pPr>
          </w:p>
        </w:tc>
      </w:tr>
      <w:tr w:rsidR="003777B7" w:rsidRPr="0049263A" w14:paraId="12142E00" w14:textId="77777777" w:rsidTr="00286CC6">
        <w:trPr>
          <w:trHeight w:hRule="exact" w:val="340"/>
          <w:jc w:val="center"/>
        </w:trPr>
        <w:tc>
          <w:tcPr>
            <w:tcW w:w="2962" w:type="dxa"/>
            <w:shd w:val="clear" w:color="auto" w:fill="auto"/>
            <w:vAlign w:val="center"/>
          </w:tcPr>
          <w:p w14:paraId="01966014" w14:textId="13DB7EE5" w:rsidR="0069564A" w:rsidRPr="0049263A" w:rsidRDefault="0069564A" w:rsidP="0069564A">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 xml:space="preserve">pT3 </w:t>
            </w:r>
            <w:proofErr w:type="spellStart"/>
            <w:r w:rsidRPr="0049263A">
              <w:rPr>
                <w:rFonts w:ascii="Book Antiqua" w:hAnsi="Book Antiqua" w:cs="Arial"/>
                <w:i/>
                <w:sz w:val="24"/>
                <w:szCs w:val="24"/>
                <w:lang w:val="en-GB"/>
              </w:rPr>
              <w:t>vs</w:t>
            </w:r>
            <w:proofErr w:type="spellEnd"/>
            <w:r w:rsidRPr="0049263A">
              <w:rPr>
                <w:rFonts w:ascii="Book Antiqua" w:hAnsi="Book Antiqua" w:cs="Arial"/>
                <w:sz w:val="24"/>
                <w:szCs w:val="24"/>
                <w:lang w:val="en-GB"/>
              </w:rPr>
              <w:t xml:space="preserve"> pT1</w:t>
            </w:r>
          </w:p>
        </w:tc>
        <w:tc>
          <w:tcPr>
            <w:tcW w:w="2074" w:type="dxa"/>
            <w:shd w:val="clear" w:color="auto" w:fill="auto"/>
            <w:vAlign w:val="center"/>
          </w:tcPr>
          <w:p w14:paraId="00F09093" w14:textId="77777777" w:rsidR="0069564A" w:rsidRPr="0049263A" w:rsidRDefault="0069564A" w:rsidP="0069564A">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1.97 (0.93-4.13)</w:t>
            </w:r>
          </w:p>
        </w:tc>
        <w:tc>
          <w:tcPr>
            <w:tcW w:w="1101" w:type="dxa"/>
            <w:shd w:val="clear" w:color="auto" w:fill="auto"/>
            <w:vAlign w:val="center"/>
          </w:tcPr>
          <w:p w14:paraId="27E6F873" w14:textId="77777777" w:rsidR="0069564A" w:rsidRPr="0049263A" w:rsidRDefault="0069564A" w:rsidP="0069564A">
            <w:pPr>
              <w:snapToGrid w:val="0"/>
              <w:spacing w:line="360" w:lineRule="auto"/>
              <w:jc w:val="center"/>
              <w:rPr>
                <w:rFonts w:ascii="Book Antiqua" w:hAnsi="Book Antiqua" w:cs="Arial"/>
                <w:sz w:val="24"/>
                <w:szCs w:val="24"/>
                <w:lang w:val="en-GB"/>
              </w:rPr>
            </w:pPr>
          </w:p>
        </w:tc>
        <w:tc>
          <w:tcPr>
            <w:tcW w:w="2301" w:type="dxa"/>
            <w:shd w:val="clear" w:color="auto" w:fill="auto"/>
            <w:vAlign w:val="center"/>
          </w:tcPr>
          <w:p w14:paraId="62D616B9" w14:textId="77777777" w:rsidR="0069564A" w:rsidRPr="0049263A" w:rsidRDefault="0069564A" w:rsidP="0069564A">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6.03 (0.81-44.63)</w:t>
            </w:r>
          </w:p>
        </w:tc>
        <w:tc>
          <w:tcPr>
            <w:tcW w:w="1079" w:type="dxa"/>
            <w:shd w:val="clear" w:color="auto" w:fill="auto"/>
            <w:vAlign w:val="center"/>
          </w:tcPr>
          <w:p w14:paraId="4A329893" w14:textId="77777777" w:rsidR="0069564A" w:rsidRPr="0049263A" w:rsidRDefault="0069564A" w:rsidP="0069564A">
            <w:pPr>
              <w:snapToGrid w:val="0"/>
              <w:spacing w:line="360" w:lineRule="auto"/>
              <w:jc w:val="center"/>
              <w:rPr>
                <w:rFonts w:ascii="Book Antiqua" w:hAnsi="Book Antiqua" w:cs="Arial"/>
                <w:sz w:val="24"/>
                <w:szCs w:val="24"/>
                <w:lang w:val="en-GB"/>
              </w:rPr>
            </w:pPr>
          </w:p>
        </w:tc>
      </w:tr>
      <w:tr w:rsidR="003777B7" w:rsidRPr="0049263A" w14:paraId="4E567D31" w14:textId="77777777" w:rsidTr="00286CC6">
        <w:trPr>
          <w:trHeight w:hRule="exact" w:val="340"/>
          <w:jc w:val="center"/>
        </w:trPr>
        <w:tc>
          <w:tcPr>
            <w:tcW w:w="2962" w:type="dxa"/>
            <w:shd w:val="clear" w:color="auto" w:fill="auto"/>
            <w:vAlign w:val="center"/>
          </w:tcPr>
          <w:p w14:paraId="3BB1B845" w14:textId="00300129" w:rsidR="0069564A" w:rsidRPr="0049263A" w:rsidRDefault="0069564A" w:rsidP="0069564A">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 xml:space="preserve">pT4a </w:t>
            </w:r>
            <w:proofErr w:type="spellStart"/>
            <w:r w:rsidRPr="0049263A">
              <w:rPr>
                <w:rFonts w:ascii="Book Antiqua" w:hAnsi="Book Antiqua" w:cs="Arial"/>
                <w:i/>
                <w:sz w:val="24"/>
                <w:szCs w:val="24"/>
                <w:lang w:val="en-GB"/>
              </w:rPr>
              <w:t>vs</w:t>
            </w:r>
            <w:proofErr w:type="spellEnd"/>
            <w:r w:rsidRPr="0049263A">
              <w:rPr>
                <w:rFonts w:ascii="Book Antiqua" w:hAnsi="Book Antiqua" w:cs="Arial"/>
                <w:sz w:val="24"/>
                <w:szCs w:val="24"/>
                <w:lang w:val="en-GB"/>
              </w:rPr>
              <w:t xml:space="preserve"> pT1</w:t>
            </w:r>
          </w:p>
        </w:tc>
        <w:tc>
          <w:tcPr>
            <w:tcW w:w="2074" w:type="dxa"/>
            <w:shd w:val="clear" w:color="auto" w:fill="auto"/>
            <w:vAlign w:val="center"/>
          </w:tcPr>
          <w:p w14:paraId="2BF6F1FB" w14:textId="77777777" w:rsidR="0069564A" w:rsidRPr="0049263A" w:rsidRDefault="0069564A" w:rsidP="0069564A">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4.06 (1.90-8.68)</w:t>
            </w:r>
          </w:p>
        </w:tc>
        <w:tc>
          <w:tcPr>
            <w:tcW w:w="1101" w:type="dxa"/>
            <w:shd w:val="clear" w:color="auto" w:fill="auto"/>
            <w:vAlign w:val="center"/>
          </w:tcPr>
          <w:p w14:paraId="3BADE587" w14:textId="77777777" w:rsidR="0069564A" w:rsidRPr="0049263A" w:rsidRDefault="0069564A" w:rsidP="0069564A">
            <w:pPr>
              <w:snapToGrid w:val="0"/>
              <w:spacing w:line="360" w:lineRule="auto"/>
              <w:jc w:val="center"/>
              <w:rPr>
                <w:rFonts w:ascii="Book Antiqua" w:hAnsi="Book Antiqua" w:cs="Arial"/>
                <w:sz w:val="24"/>
                <w:szCs w:val="24"/>
                <w:lang w:val="en-GB"/>
              </w:rPr>
            </w:pPr>
          </w:p>
        </w:tc>
        <w:tc>
          <w:tcPr>
            <w:tcW w:w="2301" w:type="dxa"/>
            <w:shd w:val="clear" w:color="auto" w:fill="auto"/>
            <w:vAlign w:val="center"/>
          </w:tcPr>
          <w:p w14:paraId="194B407D" w14:textId="77777777" w:rsidR="0069564A" w:rsidRPr="0049263A" w:rsidRDefault="0069564A" w:rsidP="0069564A">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14.99 (2.02-111.57)</w:t>
            </w:r>
          </w:p>
        </w:tc>
        <w:tc>
          <w:tcPr>
            <w:tcW w:w="1079" w:type="dxa"/>
            <w:shd w:val="clear" w:color="auto" w:fill="auto"/>
            <w:vAlign w:val="center"/>
          </w:tcPr>
          <w:p w14:paraId="76F5CA15" w14:textId="77777777" w:rsidR="0069564A" w:rsidRPr="0049263A" w:rsidRDefault="0069564A" w:rsidP="0069564A">
            <w:pPr>
              <w:snapToGrid w:val="0"/>
              <w:spacing w:line="360" w:lineRule="auto"/>
              <w:jc w:val="center"/>
              <w:rPr>
                <w:rFonts w:ascii="Book Antiqua" w:hAnsi="Book Antiqua" w:cs="Arial"/>
                <w:sz w:val="24"/>
                <w:szCs w:val="24"/>
                <w:lang w:val="en-GB"/>
              </w:rPr>
            </w:pPr>
          </w:p>
        </w:tc>
      </w:tr>
      <w:tr w:rsidR="003777B7" w:rsidRPr="0049263A" w14:paraId="5E495A3F" w14:textId="77777777" w:rsidTr="00286CC6">
        <w:trPr>
          <w:trHeight w:hRule="exact" w:val="340"/>
          <w:jc w:val="center"/>
        </w:trPr>
        <w:tc>
          <w:tcPr>
            <w:tcW w:w="2962" w:type="dxa"/>
            <w:shd w:val="clear" w:color="auto" w:fill="auto"/>
            <w:vAlign w:val="center"/>
          </w:tcPr>
          <w:p w14:paraId="0FEC9783" w14:textId="1A31DF2D" w:rsidR="0069564A" w:rsidRPr="0049263A" w:rsidRDefault="0069564A" w:rsidP="0069564A">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 xml:space="preserve">pT4b </w:t>
            </w:r>
            <w:proofErr w:type="spellStart"/>
            <w:r w:rsidRPr="0049263A">
              <w:rPr>
                <w:rFonts w:ascii="Book Antiqua" w:hAnsi="Book Antiqua" w:cs="Arial"/>
                <w:i/>
                <w:sz w:val="24"/>
                <w:szCs w:val="24"/>
                <w:lang w:val="en-GB"/>
              </w:rPr>
              <w:t>vs</w:t>
            </w:r>
            <w:proofErr w:type="spellEnd"/>
            <w:r w:rsidRPr="0049263A">
              <w:rPr>
                <w:rFonts w:ascii="Book Antiqua" w:hAnsi="Book Antiqua" w:cs="Arial"/>
                <w:sz w:val="24"/>
                <w:szCs w:val="24"/>
                <w:lang w:val="en-GB"/>
              </w:rPr>
              <w:t xml:space="preserve"> pT1</w:t>
            </w:r>
          </w:p>
        </w:tc>
        <w:tc>
          <w:tcPr>
            <w:tcW w:w="2074" w:type="dxa"/>
            <w:shd w:val="clear" w:color="auto" w:fill="auto"/>
            <w:vAlign w:val="center"/>
          </w:tcPr>
          <w:p w14:paraId="027D37DD" w14:textId="77777777" w:rsidR="0069564A" w:rsidRPr="0049263A" w:rsidRDefault="0069564A" w:rsidP="0069564A">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2.88 (1.30-6.37)</w:t>
            </w:r>
          </w:p>
        </w:tc>
        <w:tc>
          <w:tcPr>
            <w:tcW w:w="1101" w:type="dxa"/>
            <w:shd w:val="clear" w:color="auto" w:fill="auto"/>
            <w:vAlign w:val="center"/>
          </w:tcPr>
          <w:p w14:paraId="18D4C067" w14:textId="77777777" w:rsidR="0069564A" w:rsidRPr="0049263A" w:rsidRDefault="0069564A" w:rsidP="0069564A">
            <w:pPr>
              <w:snapToGrid w:val="0"/>
              <w:spacing w:line="360" w:lineRule="auto"/>
              <w:jc w:val="center"/>
              <w:rPr>
                <w:rFonts w:ascii="Book Antiqua" w:hAnsi="Book Antiqua" w:cs="Arial"/>
                <w:sz w:val="24"/>
                <w:szCs w:val="24"/>
                <w:lang w:val="en-GB"/>
              </w:rPr>
            </w:pPr>
          </w:p>
        </w:tc>
        <w:tc>
          <w:tcPr>
            <w:tcW w:w="2301" w:type="dxa"/>
            <w:shd w:val="clear" w:color="auto" w:fill="auto"/>
            <w:vAlign w:val="center"/>
          </w:tcPr>
          <w:p w14:paraId="34E5DBDB" w14:textId="77777777" w:rsidR="0069564A" w:rsidRPr="0049263A" w:rsidRDefault="0069564A" w:rsidP="0069564A">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15.55 (2.07-117.09)</w:t>
            </w:r>
          </w:p>
        </w:tc>
        <w:tc>
          <w:tcPr>
            <w:tcW w:w="1079" w:type="dxa"/>
            <w:shd w:val="clear" w:color="auto" w:fill="auto"/>
            <w:vAlign w:val="center"/>
          </w:tcPr>
          <w:p w14:paraId="71302005" w14:textId="77777777" w:rsidR="0069564A" w:rsidRPr="0049263A" w:rsidRDefault="0069564A" w:rsidP="0069564A">
            <w:pPr>
              <w:snapToGrid w:val="0"/>
              <w:spacing w:line="360" w:lineRule="auto"/>
              <w:jc w:val="center"/>
              <w:rPr>
                <w:rFonts w:ascii="Book Antiqua" w:hAnsi="Book Antiqua" w:cs="Arial"/>
                <w:sz w:val="24"/>
                <w:szCs w:val="24"/>
                <w:lang w:val="en-GB"/>
              </w:rPr>
            </w:pPr>
          </w:p>
        </w:tc>
      </w:tr>
      <w:tr w:rsidR="003777B7" w:rsidRPr="0049263A" w14:paraId="692932A7" w14:textId="77777777" w:rsidTr="00286CC6">
        <w:trPr>
          <w:trHeight w:hRule="exact" w:val="340"/>
          <w:jc w:val="center"/>
        </w:trPr>
        <w:tc>
          <w:tcPr>
            <w:tcW w:w="2962" w:type="dxa"/>
            <w:shd w:val="clear" w:color="auto" w:fill="auto"/>
            <w:vAlign w:val="center"/>
          </w:tcPr>
          <w:p w14:paraId="3F181B99" w14:textId="662D1886" w:rsidR="0093205E" w:rsidRPr="0049263A" w:rsidRDefault="0093205E" w:rsidP="00AA734A">
            <w:pPr>
              <w:snapToGrid w:val="0"/>
              <w:spacing w:line="360" w:lineRule="auto"/>
              <w:jc w:val="both"/>
              <w:rPr>
                <w:rFonts w:ascii="Book Antiqua" w:hAnsi="Book Antiqua" w:cs="Arial"/>
                <w:i/>
                <w:sz w:val="24"/>
                <w:szCs w:val="24"/>
                <w:lang w:val="en-GB"/>
              </w:rPr>
            </w:pPr>
            <w:r w:rsidRPr="0049263A">
              <w:rPr>
                <w:rFonts w:ascii="Book Antiqua" w:hAnsi="Book Antiqua" w:cs="Arial"/>
                <w:sz w:val="24"/>
                <w:szCs w:val="24"/>
                <w:lang w:val="en-GB"/>
              </w:rPr>
              <w:t>Node involvement (</w:t>
            </w:r>
            <w:proofErr w:type="spellStart"/>
            <w:r w:rsidRPr="0049263A">
              <w:rPr>
                <w:rFonts w:ascii="Book Antiqua" w:hAnsi="Book Antiqua" w:cs="Arial"/>
                <w:sz w:val="24"/>
                <w:szCs w:val="24"/>
                <w:lang w:val="en-GB"/>
              </w:rPr>
              <w:t>pN</w:t>
            </w:r>
            <w:proofErr w:type="spellEnd"/>
            <w:r w:rsidRPr="0049263A">
              <w:rPr>
                <w:rFonts w:ascii="Book Antiqua" w:hAnsi="Book Antiqua" w:cs="Arial"/>
                <w:sz w:val="24"/>
                <w:szCs w:val="24"/>
                <w:lang w:val="en-GB"/>
              </w:rPr>
              <w:t>)</w:t>
            </w:r>
            <w:r w:rsidR="00286CC6" w:rsidRPr="0049263A">
              <w:rPr>
                <w:rFonts w:ascii="Book Antiqua" w:hAnsi="Book Antiqua" w:cs="Arial" w:hint="eastAsia"/>
                <w:sz w:val="24"/>
                <w:szCs w:val="24"/>
                <w:vertAlign w:val="superscript"/>
                <w:lang w:val="en-GB" w:eastAsia="zh-CN"/>
              </w:rPr>
              <w:t>1</w:t>
            </w:r>
          </w:p>
        </w:tc>
        <w:tc>
          <w:tcPr>
            <w:tcW w:w="2074" w:type="dxa"/>
            <w:shd w:val="clear" w:color="auto" w:fill="auto"/>
            <w:vAlign w:val="center"/>
          </w:tcPr>
          <w:p w14:paraId="1AE787F6" w14:textId="77777777" w:rsidR="0093205E" w:rsidRPr="0049263A" w:rsidRDefault="0093205E" w:rsidP="0069564A">
            <w:pPr>
              <w:snapToGrid w:val="0"/>
              <w:spacing w:line="360" w:lineRule="auto"/>
              <w:ind w:left="175"/>
              <w:jc w:val="center"/>
              <w:rPr>
                <w:rFonts w:ascii="Book Antiqua" w:hAnsi="Book Antiqua" w:cs="Arial"/>
                <w:i/>
                <w:sz w:val="24"/>
                <w:szCs w:val="24"/>
                <w:lang w:val="en-GB"/>
              </w:rPr>
            </w:pPr>
          </w:p>
        </w:tc>
        <w:tc>
          <w:tcPr>
            <w:tcW w:w="1101" w:type="dxa"/>
            <w:shd w:val="clear" w:color="auto" w:fill="auto"/>
            <w:vAlign w:val="center"/>
          </w:tcPr>
          <w:p w14:paraId="3F57B7DE" w14:textId="77D3C35C" w:rsidR="0093205E" w:rsidRPr="0049263A" w:rsidRDefault="0093205E" w:rsidP="0069564A">
            <w:pPr>
              <w:snapToGrid w:val="0"/>
              <w:spacing w:line="360" w:lineRule="auto"/>
              <w:jc w:val="center"/>
              <w:rPr>
                <w:rFonts w:ascii="Book Antiqua" w:hAnsi="Book Antiqua" w:cs="Arial"/>
                <w:i/>
                <w:sz w:val="24"/>
                <w:szCs w:val="24"/>
                <w:lang w:val="en-GB"/>
              </w:rPr>
            </w:pPr>
            <w:r w:rsidRPr="0049263A">
              <w:rPr>
                <w:rFonts w:ascii="Book Antiqua" w:hAnsi="Book Antiqua" w:cs="Arial"/>
                <w:sz w:val="24"/>
                <w:szCs w:val="24"/>
                <w:lang w:val="en-GB"/>
              </w:rPr>
              <w:t>&lt;</w:t>
            </w:r>
            <w:r w:rsidR="00286CC6"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0.001</w:t>
            </w:r>
          </w:p>
        </w:tc>
        <w:tc>
          <w:tcPr>
            <w:tcW w:w="2301" w:type="dxa"/>
            <w:shd w:val="clear" w:color="auto" w:fill="auto"/>
            <w:vAlign w:val="center"/>
          </w:tcPr>
          <w:p w14:paraId="23358EC6" w14:textId="77777777" w:rsidR="0093205E" w:rsidRPr="0049263A" w:rsidRDefault="0093205E" w:rsidP="0069564A">
            <w:pPr>
              <w:snapToGrid w:val="0"/>
              <w:spacing w:line="360" w:lineRule="auto"/>
              <w:ind w:left="175"/>
              <w:jc w:val="center"/>
              <w:rPr>
                <w:rFonts w:ascii="Book Antiqua" w:hAnsi="Book Antiqua" w:cs="Arial"/>
                <w:i/>
                <w:sz w:val="24"/>
                <w:szCs w:val="24"/>
                <w:lang w:val="en-GB"/>
              </w:rPr>
            </w:pPr>
          </w:p>
        </w:tc>
        <w:tc>
          <w:tcPr>
            <w:tcW w:w="1079" w:type="dxa"/>
            <w:shd w:val="clear" w:color="auto" w:fill="auto"/>
            <w:vAlign w:val="center"/>
          </w:tcPr>
          <w:p w14:paraId="58B31493" w14:textId="77777777" w:rsidR="0093205E" w:rsidRPr="0049263A" w:rsidRDefault="0093205E" w:rsidP="0069564A">
            <w:pPr>
              <w:snapToGrid w:val="0"/>
              <w:spacing w:line="360" w:lineRule="auto"/>
              <w:jc w:val="center"/>
              <w:rPr>
                <w:rFonts w:ascii="Book Antiqua" w:eastAsia="MS Mincho" w:hAnsi="Book Antiqua" w:cs="Arial"/>
                <w:sz w:val="24"/>
                <w:szCs w:val="24"/>
                <w:lang w:val="en-GB"/>
              </w:rPr>
            </w:pPr>
            <w:r w:rsidRPr="0049263A">
              <w:rPr>
                <w:rFonts w:ascii="Book Antiqua" w:hAnsi="Book Antiqua" w:cs="Arial"/>
                <w:sz w:val="24"/>
                <w:szCs w:val="24"/>
                <w:lang w:val="en-GB"/>
              </w:rPr>
              <w:t>0.135</w:t>
            </w:r>
          </w:p>
        </w:tc>
      </w:tr>
      <w:tr w:rsidR="003777B7" w:rsidRPr="0049263A" w14:paraId="12511A83" w14:textId="77777777" w:rsidTr="00286CC6">
        <w:trPr>
          <w:trHeight w:hRule="exact" w:val="340"/>
          <w:jc w:val="center"/>
        </w:trPr>
        <w:tc>
          <w:tcPr>
            <w:tcW w:w="2962" w:type="dxa"/>
            <w:shd w:val="clear" w:color="auto" w:fill="auto"/>
            <w:vAlign w:val="center"/>
          </w:tcPr>
          <w:p w14:paraId="621F9AFB" w14:textId="301BB719" w:rsidR="0069564A" w:rsidRPr="0049263A" w:rsidRDefault="0069564A" w:rsidP="0069564A">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 xml:space="preserve">pN1 </w:t>
            </w:r>
            <w:proofErr w:type="spellStart"/>
            <w:r w:rsidRPr="0049263A">
              <w:rPr>
                <w:rFonts w:ascii="Book Antiqua" w:hAnsi="Book Antiqua" w:cs="Arial"/>
                <w:i/>
                <w:sz w:val="24"/>
                <w:szCs w:val="24"/>
                <w:lang w:val="en-GB"/>
              </w:rPr>
              <w:t>vs</w:t>
            </w:r>
            <w:proofErr w:type="spellEnd"/>
            <w:r w:rsidRPr="0049263A">
              <w:rPr>
                <w:rFonts w:ascii="Book Antiqua" w:hAnsi="Book Antiqua" w:cs="Arial"/>
                <w:sz w:val="24"/>
                <w:szCs w:val="24"/>
                <w:lang w:val="en-GB"/>
              </w:rPr>
              <w:t xml:space="preserve"> pN0</w:t>
            </w:r>
          </w:p>
        </w:tc>
        <w:tc>
          <w:tcPr>
            <w:tcW w:w="2074" w:type="dxa"/>
            <w:shd w:val="clear" w:color="auto" w:fill="auto"/>
            <w:vAlign w:val="center"/>
          </w:tcPr>
          <w:p w14:paraId="71897A1B" w14:textId="77777777" w:rsidR="0069564A" w:rsidRPr="0049263A" w:rsidRDefault="0069564A" w:rsidP="0069564A">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1.33 (0.94-1.87)</w:t>
            </w:r>
          </w:p>
        </w:tc>
        <w:tc>
          <w:tcPr>
            <w:tcW w:w="1101" w:type="dxa"/>
            <w:shd w:val="clear" w:color="auto" w:fill="auto"/>
            <w:vAlign w:val="center"/>
          </w:tcPr>
          <w:p w14:paraId="421E3F5E" w14:textId="77777777" w:rsidR="0069564A" w:rsidRPr="0049263A" w:rsidRDefault="0069564A" w:rsidP="0069564A">
            <w:pPr>
              <w:snapToGrid w:val="0"/>
              <w:spacing w:line="360" w:lineRule="auto"/>
              <w:jc w:val="center"/>
              <w:rPr>
                <w:rFonts w:ascii="Book Antiqua" w:hAnsi="Book Antiqua" w:cs="Arial"/>
                <w:sz w:val="24"/>
                <w:szCs w:val="24"/>
                <w:lang w:val="en-GB"/>
              </w:rPr>
            </w:pPr>
          </w:p>
        </w:tc>
        <w:tc>
          <w:tcPr>
            <w:tcW w:w="2301" w:type="dxa"/>
            <w:shd w:val="clear" w:color="auto" w:fill="auto"/>
            <w:vAlign w:val="center"/>
          </w:tcPr>
          <w:p w14:paraId="1D71BFCF" w14:textId="77777777" w:rsidR="0069564A" w:rsidRPr="0049263A" w:rsidRDefault="0069564A" w:rsidP="0069564A">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1.51 (0.97-2.37)</w:t>
            </w:r>
          </w:p>
        </w:tc>
        <w:tc>
          <w:tcPr>
            <w:tcW w:w="1079" w:type="dxa"/>
            <w:shd w:val="clear" w:color="auto" w:fill="auto"/>
            <w:vAlign w:val="center"/>
          </w:tcPr>
          <w:p w14:paraId="2FD826B1" w14:textId="77777777" w:rsidR="0069564A" w:rsidRPr="0049263A" w:rsidRDefault="0069564A" w:rsidP="0069564A">
            <w:pPr>
              <w:snapToGrid w:val="0"/>
              <w:spacing w:line="360" w:lineRule="auto"/>
              <w:jc w:val="center"/>
              <w:rPr>
                <w:rFonts w:ascii="Book Antiqua" w:hAnsi="Book Antiqua" w:cs="Arial"/>
                <w:sz w:val="24"/>
                <w:szCs w:val="24"/>
                <w:lang w:val="en-GB"/>
              </w:rPr>
            </w:pPr>
          </w:p>
        </w:tc>
      </w:tr>
      <w:tr w:rsidR="003777B7" w:rsidRPr="0049263A" w14:paraId="60AA22CD" w14:textId="77777777" w:rsidTr="00286CC6">
        <w:trPr>
          <w:trHeight w:hRule="exact" w:val="340"/>
          <w:jc w:val="center"/>
        </w:trPr>
        <w:tc>
          <w:tcPr>
            <w:tcW w:w="2962" w:type="dxa"/>
            <w:shd w:val="clear" w:color="auto" w:fill="auto"/>
            <w:vAlign w:val="center"/>
          </w:tcPr>
          <w:p w14:paraId="6B6DFBC9" w14:textId="2B435ACE" w:rsidR="0069564A" w:rsidRPr="0049263A" w:rsidRDefault="0069564A" w:rsidP="0069564A">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 xml:space="preserve">pN2 </w:t>
            </w:r>
            <w:proofErr w:type="spellStart"/>
            <w:r w:rsidRPr="0049263A">
              <w:rPr>
                <w:rFonts w:ascii="Book Antiqua" w:hAnsi="Book Antiqua" w:cs="Arial"/>
                <w:i/>
                <w:sz w:val="24"/>
                <w:szCs w:val="24"/>
                <w:lang w:val="en-GB"/>
              </w:rPr>
              <w:t>vs</w:t>
            </w:r>
            <w:proofErr w:type="spellEnd"/>
            <w:r w:rsidRPr="0049263A">
              <w:rPr>
                <w:rFonts w:ascii="Book Antiqua" w:hAnsi="Book Antiqua" w:cs="Arial"/>
                <w:sz w:val="24"/>
                <w:szCs w:val="24"/>
                <w:lang w:val="en-GB"/>
              </w:rPr>
              <w:t xml:space="preserve"> pN0</w:t>
            </w:r>
          </w:p>
        </w:tc>
        <w:tc>
          <w:tcPr>
            <w:tcW w:w="2074" w:type="dxa"/>
            <w:shd w:val="clear" w:color="auto" w:fill="auto"/>
            <w:vAlign w:val="center"/>
          </w:tcPr>
          <w:p w14:paraId="75612D2D" w14:textId="77777777" w:rsidR="0069564A" w:rsidRPr="0049263A" w:rsidRDefault="0069564A" w:rsidP="0069564A">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2.45 (1.69-3.54)</w:t>
            </w:r>
          </w:p>
        </w:tc>
        <w:tc>
          <w:tcPr>
            <w:tcW w:w="1101" w:type="dxa"/>
            <w:shd w:val="clear" w:color="auto" w:fill="auto"/>
            <w:vAlign w:val="center"/>
          </w:tcPr>
          <w:p w14:paraId="2C0F0B90" w14:textId="77777777" w:rsidR="0069564A" w:rsidRPr="0049263A" w:rsidRDefault="0069564A" w:rsidP="0069564A">
            <w:pPr>
              <w:snapToGrid w:val="0"/>
              <w:spacing w:line="360" w:lineRule="auto"/>
              <w:jc w:val="center"/>
              <w:rPr>
                <w:rFonts w:ascii="Book Antiqua" w:hAnsi="Book Antiqua" w:cs="Arial"/>
                <w:sz w:val="24"/>
                <w:szCs w:val="24"/>
                <w:lang w:val="en-GB"/>
              </w:rPr>
            </w:pPr>
          </w:p>
        </w:tc>
        <w:tc>
          <w:tcPr>
            <w:tcW w:w="2301" w:type="dxa"/>
            <w:shd w:val="clear" w:color="auto" w:fill="auto"/>
            <w:vAlign w:val="center"/>
          </w:tcPr>
          <w:p w14:paraId="583B62A9" w14:textId="77777777" w:rsidR="0069564A" w:rsidRPr="0049263A" w:rsidRDefault="0069564A" w:rsidP="0069564A">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1.59 (0.94-2.67)</w:t>
            </w:r>
          </w:p>
        </w:tc>
        <w:tc>
          <w:tcPr>
            <w:tcW w:w="1079" w:type="dxa"/>
            <w:shd w:val="clear" w:color="auto" w:fill="auto"/>
            <w:vAlign w:val="center"/>
          </w:tcPr>
          <w:p w14:paraId="7944D4F1" w14:textId="77777777" w:rsidR="0069564A" w:rsidRPr="0049263A" w:rsidRDefault="0069564A" w:rsidP="0069564A">
            <w:pPr>
              <w:snapToGrid w:val="0"/>
              <w:spacing w:line="360" w:lineRule="auto"/>
              <w:jc w:val="center"/>
              <w:rPr>
                <w:rFonts w:ascii="Book Antiqua" w:hAnsi="Book Antiqua" w:cs="Arial"/>
                <w:sz w:val="24"/>
                <w:szCs w:val="24"/>
                <w:lang w:val="en-GB"/>
              </w:rPr>
            </w:pPr>
          </w:p>
        </w:tc>
      </w:tr>
      <w:tr w:rsidR="003777B7" w:rsidRPr="0049263A" w14:paraId="30AAE92A" w14:textId="77777777" w:rsidTr="00286CC6">
        <w:trPr>
          <w:trHeight w:hRule="exact" w:val="340"/>
          <w:jc w:val="center"/>
        </w:trPr>
        <w:tc>
          <w:tcPr>
            <w:tcW w:w="2962" w:type="dxa"/>
            <w:shd w:val="clear" w:color="auto" w:fill="auto"/>
            <w:vAlign w:val="center"/>
          </w:tcPr>
          <w:p w14:paraId="7A05F90C" w14:textId="77777777" w:rsidR="0093205E" w:rsidRPr="0049263A" w:rsidRDefault="0093205E" w:rsidP="00AA734A">
            <w:pPr>
              <w:snapToGrid w:val="0"/>
              <w:spacing w:line="360" w:lineRule="auto"/>
              <w:jc w:val="both"/>
              <w:rPr>
                <w:rFonts w:ascii="Book Antiqua" w:hAnsi="Book Antiqua" w:cs="Arial"/>
                <w:i/>
                <w:sz w:val="24"/>
                <w:szCs w:val="24"/>
                <w:lang w:val="en-GB"/>
              </w:rPr>
            </w:pPr>
            <w:r w:rsidRPr="0049263A">
              <w:rPr>
                <w:rFonts w:ascii="Book Antiqua" w:hAnsi="Book Antiqua" w:cs="Arial"/>
                <w:sz w:val="24"/>
                <w:szCs w:val="24"/>
                <w:lang w:val="en-GB"/>
              </w:rPr>
              <w:t>Systemic metastasis (M)</w:t>
            </w:r>
          </w:p>
        </w:tc>
        <w:tc>
          <w:tcPr>
            <w:tcW w:w="2074" w:type="dxa"/>
            <w:shd w:val="clear" w:color="auto" w:fill="auto"/>
            <w:vAlign w:val="center"/>
          </w:tcPr>
          <w:p w14:paraId="523034C0" w14:textId="77777777" w:rsidR="0093205E" w:rsidRPr="0049263A" w:rsidRDefault="0093205E" w:rsidP="0069564A">
            <w:pPr>
              <w:snapToGrid w:val="0"/>
              <w:spacing w:line="360" w:lineRule="auto"/>
              <w:jc w:val="center"/>
              <w:rPr>
                <w:rFonts w:ascii="Book Antiqua" w:hAnsi="Book Antiqua" w:cs="Arial"/>
                <w:i/>
                <w:sz w:val="24"/>
                <w:szCs w:val="24"/>
                <w:lang w:val="en-GB"/>
              </w:rPr>
            </w:pPr>
          </w:p>
        </w:tc>
        <w:tc>
          <w:tcPr>
            <w:tcW w:w="1101" w:type="dxa"/>
            <w:shd w:val="clear" w:color="auto" w:fill="auto"/>
            <w:vAlign w:val="center"/>
          </w:tcPr>
          <w:p w14:paraId="1E64791A" w14:textId="28F91CD4" w:rsidR="0093205E" w:rsidRPr="0049263A" w:rsidRDefault="0093205E" w:rsidP="0069564A">
            <w:pPr>
              <w:snapToGrid w:val="0"/>
              <w:spacing w:line="360" w:lineRule="auto"/>
              <w:jc w:val="center"/>
              <w:rPr>
                <w:rFonts w:ascii="Book Antiqua" w:hAnsi="Book Antiqua" w:cs="Arial"/>
                <w:i/>
                <w:sz w:val="24"/>
                <w:szCs w:val="24"/>
                <w:lang w:val="en-GB"/>
              </w:rPr>
            </w:pPr>
            <w:r w:rsidRPr="0049263A">
              <w:rPr>
                <w:rFonts w:ascii="Book Antiqua" w:hAnsi="Book Antiqua" w:cs="Arial"/>
                <w:sz w:val="24"/>
                <w:szCs w:val="24"/>
                <w:lang w:val="en-GB"/>
              </w:rPr>
              <w:t>&lt;</w:t>
            </w:r>
            <w:r w:rsidR="00286CC6"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0.001</w:t>
            </w:r>
          </w:p>
        </w:tc>
        <w:tc>
          <w:tcPr>
            <w:tcW w:w="2301" w:type="dxa"/>
            <w:shd w:val="clear" w:color="auto" w:fill="auto"/>
            <w:vAlign w:val="center"/>
          </w:tcPr>
          <w:p w14:paraId="0F869BA3" w14:textId="77777777" w:rsidR="0093205E" w:rsidRPr="0049263A" w:rsidRDefault="0093205E" w:rsidP="0069564A">
            <w:pPr>
              <w:snapToGrid w:val="0"/>
              <w:spacing w:line="360" w:lineRule="auto"/>
              <w:jc w:val="center"/>
              <w:rPr>
                <w:rFonts w:ascii="Book Antiqua" w:hAnsi="Book Antiqua" w:cs="Arial"/>
                <w:i/>
                <w:sz w:val="24"/>
                <w:szCs w:val="24"/>
                <w:lang w:val="en-GB"/>
              </w:rPr>
            </w:pPr>
          </w:p>
        </w:tc>
        <w:tc>
          <w:tcPr>
            <w:tcW w:w="1079" w:type="dxa"/>
            <w:shd w:val="clear" w:color="auto" w:fill="auto"/>
            <w:vAlign w:val="center"/>
          </w:tcPr>
          <w:p w14:paraId="3A0D70BE" w14:textId="554166EC" w:rsidR="0093205E" w:rsidRPr="0049263A" w:rsidRDefault="0093205E" w:rsidP="0069564A">
            <w:pPr>
              <w:snapToGrid w:val="0"/>
              <w:spacing w:line="360" w:lineRule="auto"/>
              <w:jc w:val="center"/>
              <w:rPr>
                <w:rFonts w:ascii="Book Antiqua" w:eastAsia="MS Mincho" w:hAnsi="Book Antiqua" w:cs="Arial"/>
                <w:sz w:val="24"/>
                <w:szCs w:val="24"/>
                <w:lang w:val="en-GB"/>
              </w:rPr>
            </w:pPr>
            <w:r w:rsidRPr="0049263A">
              <w:rPr>
                <w:rFonts w:ascii="Book Antiqua" w:hAnsi="Book Antiqua" w:cs="Arial"/>
                <w:sz w:val="24"/>
                <w:szCs w:val="24"/>
                <w:lang w:val="en-GB"/>
              </w:rPr>
              <w:t>&lt;</w:t>
            </w:r>
            <w:r w:rsidR="00286CC6" w:rsidRPr="0049263A">
              <w:rPr>
                <w:rFonts w:ascii="Book Antiqua" w:hAnsi="Book Antiqua" w:cs="Arial" w:hint="eastAsia"/>
                <w:sz w:val="24"/>
                <w:szCs w:val="24"/>
                <w:lang w:val="en-GB" w:eastAsia="zh-CN"/>
              </w:rPr>
              <w:t xml:space="preserve"> </w:t>
            </w:r>
            <w:r w:rsidRPr="0049263A">
              <w:rPr>
                <w:rFonts w:ascii="Book Antiqua" w:hAnsi="Book Antiqua" w:cs="Arial"/>
                <w:sz w:val="24"/>
                <w:szCs w:val="24"/>
                <w:lang w:val="en-GB"/>
              </w:rPr>
              <w:t>0.001</w:t>
            </w:r>
          </w:p>
        </w:tc>
      </w:tr>
      <w:tr w:rsidR="003777B7" w:rsidRPr="0049263A" w14:paraId="7E92DA0F" w14:textId="77777777" w:rsidTr="00286CC6">
        <w:trPr>
          <w:trHeight w:hRule="exact" w:val="340"/>
          <w:jc w:val="center"/>
        </w:trPr>
        <w:tc>
          <w:tcPr>
            <w:tcW w:w="2962" w:type="dxa"/>
            <w:shd w:val="clear" w:color="auto" w:fill="auto"/>
            <w:vAlign w:val="center"/>
          </w:tcPr>
          <w:p w14:paraId="00C214E6" w14:textId="4C9B5851" w:rsidR="0069564A" w:rsidRPr="0049263A" w:rsidRDefault="0069564A" w:rsidP="0069564A">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 xml:space="preserve">M1a </w:t>
            </w:r>
            <w:proofErr w:type="spellStart"/>
            <w:r w:rsidRPr="0049263A">
              <w:rPr>
                <w:rFonts w:ascii="Book Antiqua" w:hAnsi="Book Antiqua" w:cs="Arial"/>
                <w:i/>
                <w:sz w:val="24"/>
                <w:szCs w:val="24"/>
                <w:lang w:val="en-GB"/>
              </w:rPr>
              <w:t>vs</w:t>
            </w:r>
            <w:proofErr w:type="spellEnd"/>
            <w:r w:rsidRPr="0049263A">
              <w:rPr>
                <w:rFonts w:ascii="Book Antiqua" w:hAnsi="Book Antiqua" w:cs="Arial"/>
                <w:sz w:val="24"/>
                <w:szCs w:val="24"/>
                <w:lang w:val="en-GB"/>
              </w:rPr>
              <w:t xml:space="preserve"> M0</w:t>
            </w:r>
          </w:p>
        </w:tc>
        <w:tc>
          <w:tcPr>
            <w:tcW w:w="2074" w:type="dxa"/>
            <w:shd w:val="clear" w:color="auto" w:fill="auto"/>
            <w:vAlign w:val="center"/>
          </w:tcPr>
          <w:p w14:paraId="30A87C5E" w14:textId="77777777" w:rsidR="0069564A" w:rsidRPr="0049263A" w:rsidRDefault="0069564A" w:rsidP="0069564A">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2.62 (1.72-3.99)</w:t>
            </w:r>
          </w:p>
        </w:tc>
        <w:tc>
          <w:tcPr>
            <w:tcW w:w="1101" w:type="dxa"/>
            <w:shd w:val="clear" w:color="auto" w:fill="auto"/>
            <w:vAlign w:val="center"/>
          </w:tcPr>
          <w:p w14:paraId="4AB8008F" w14:textId="77777777" w:rsidR="0069564A" w:rsidRPr="0049263A" w:rsidRDefault="0069564A" w:rsidP="0069564A">
            <w:pPr>
              <w:snapToGrid w:val="0"/>
              <w:spacing w:line="360" w:lineRule="auto"/>
              <w:jc w:val="center"/>
              <w:rPr>
                <w:rFonts w:ascii="Book Antiqua" w:hAnsi="Book Antiqua" w:cs="Arial"/>
                <w:sz w:val="24"/>
                <w:szCs w:val="24"/>
                <w:lang w:val="en-GB"/>
              </w:rPr>
            </w:pPr>
          </w:p>
        </w:tc>
        <w:tc>
          <w:tcPr>
            <w:tcW w:w="2301" w:type="dxa"/>
            <w:shd w:val="clear" w:color="auto" w:fill="auto"/>
            <w:vAlign w:val="center"/>
          </w:tcPr>
          <w:p w14:paraId="0FFA4E33" w14:textId="77777777" w:rsidR="0069564A" w:rsidRPr="0049263A" w:rsidRDefault="0069564A" w:rsidP="0069564A">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4.72 (2.72-8.19)</w:t>
            </w:r>
          </w:p>
        </w:tc>
        <w:tc>
          <w:tcPr>
            <w:tcW w:w="1079" w:type="dxa"/>
            <w:shd w:val="clear" w:color="auto" w:fill="auto"/>
            <w:vAlign w:val="center"/>
          </w:tcPr>
          <w:p w14:paraId="1096A70A" w14:textId="77777777" w:rsidR="0069564A" w:rsidRPr="0049263A" w:rsidRDefault="0069564A" w:rsidP="0069564A">
            <w:pPr>
              <w:snapToGrid w:val="0"/>
              <w:spacing w:line="360" w:lineRule="auto"/>
              <w:jc w:val="center"/>
              <w:rPr>
                <w:rFonts w:ascii="Book Antiqua" w:hAnsi="Book Antiqua" w:cs="Arial"/>
                <w:sz w:val="24"/>
                <w:szCs w:val="24"/>
                <w:lang w:val="en-GB"/>
              </w:rPr>
            </w:pPr>
          </w:p>
        </w:tc>
      </w:tr>
      <w:tr w:rsidR="003777B7" w:rsidRPr="0049263A" w14:paraId="43388FDB" w14:textId="77777777" w:rsidTr="00286CC6">
        <w:trPr>
          <w:trHeight w:hRule="exact" w:val="340"/>
          <w:jc w:val="center"/>
        </w:trPr>
        <w:tc>
          <w:tcPr>
            <w:tcW w:w="2962" w:type="dxa"/>
            <w:shd w:val="clear" w:color="auto" w:fill="auto"/>
            <w:vAlign w:val="center"/>
          </w:tcPr>
          <w:p w14:paraId="252946C4" w14:textId="253ED3AC" w:rsidR="0069564A" w:rsidRPr="0049263A" w:rsidRDefault="0069564A" w:rsidP="0069564A">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 xml:space="preserve">M1b </w:t>
            </w:r>
            <w:proofErr w:type="spellStart"/>
            <w:r w:rsidRPr="0049263A">
              <w:rPr>
                <w:rFonts w:ascii="Book Antiqua" w:hAnsi="Book Antiqua" w:cs="Arial"/>
                <w:i/>
                <w:sz w:val="24"/>
                <w:szCs w:val="24"/>
                <w:lang w:val="en-GB"/>
              </w:rPr>
              <w:t>vs</w:t>
            </w:r>
            <w:proofErr w:type="spellEnd"/>
            <w:r w:rsidRPr="0049263A">
              <w:rPr>
                <w:rFonts w:ascii="Book Antiqua" w:hAnsi="Book Antiqua" w:cs="Arial"/>
                <w:sz w:val="24"/>
                <w:szCs w:val="24"/>
                <w:lang w:val="en-GB"/>
              </w:rPr>
              <w:t xml:space="preserve"> M0</w:t>
            </w:r>
          </w:p>
        </w:tc>
        <w:tc>
          <w:tcPr>
            <w:tcW w:w="2074" w:type="dxa"/>
            <w:shd w:val="clear" w:color="auto" w:fill="auto"/>
            <w:vAlign w:val="center"/>
          </w:tcPr>
          <w:p w14:paraId="3B8C8733" w14:textId="77777777" w:rsidR="0069564A" w:rsidRPr="0049263A" w:rsidRDefault="0069564A" w:rsidP="0069564A">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1.88 (1.06-3.30)</w:t>
            </w:r>
          </w:p>
        </w:tc>
        <w:tc>
          <w:tcPr>
            <w:tcW w:w="1101" w:type="dxa"/>
            <w:shd w:val="clear" w:color="auto" w:fill="auto"/>
            <w:vAlign w:val="center"/>
          </w:tcPr>
          <w:p w14:paraId="192B79A2" w14:textId="77777777" w:rsidR="0069564A" w:rsidRPr="0049263A" w:rsidRDefault="0069564A" w:rsidP="0069564A">
            <w:pPr>
              <w:snapToGrid w:val="0"/>
              <w:spacing w:line="360" w:lineRule="auto"/>
              <w:jc w:val="center"/>
              <w:rPr>
                <w:rFonts w:ascii="Book Antiqua" w:hAnsi="Book Antiqua" w:cs="Arial"/>
                <w:sz w:val="24"/>
                <w:szCs w:val="24"/>
                <w:lang w:val="en-GB"/>
              </w:rPr>
            </w:pPr>
          </w:p>
        </w:tc>
        <w:tc>
          <w:tcPr>
            <w:tcW w:w="2301" w:type="dxa"/>
            <w:shd w:val="clear" w:color="auto" w:fill="auto"/>
            <w:vAlign w:val="center"/>
          </w:tcPr>
          <w:p w14:paraId="33E607FB" w14:textId="77777777" w:rsidR="0069564A" w:rsidRPr="0049263A" w:rsidRDefault="0069564A" w:rsidP="0069564A">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2.59 (1.32-5.06)</w:t>
            </w:r>
          </w:p>
        </w:tc>
        <w:tc>
          <w:tcPr>
            <w:tcW w:w="1079" w:type="dxa"/>
            <w:shd w:val="clear" w:color="auto" w:fill="auto"/>
            <w:vAlign w:val="center"/>
          </w:tcPr>
          <w:p w14:paraId="1ACCF0A4" w14:textId="77777777" w:rsidR="0069564A" w:rsidRPr="0049263A" w:rsidRDefault="0069564A" w:rsidP="0069564A">
            <w:pPr>
              <w:snapToGrid w:val="0"/>
              <w:spacing w:line="360" w:lineRule="auto"/>
              <w:jc w:val="center"/>
              <w:rPr>
                <w:rFonts w:ascii="Book Antiqua" w:hAnsi="Book Antiqua" w:cs="Arial"/>
                <w:sz w:val="24"/>
                <w:szCs w:val="24"/>
                <w:lang w:val="en-GB"/>
              </w:rPr>
            </w:pPr>
          </w:p>
        </w:tc>
      </w:tr>
      <w:tr w:rsidR="003777B7" w:rsidRPr="0049263A" w14:paraId="3172E5A1" w14:textId="77777777" w:rsidTr="00286CC6">
        <w:trPr>
          <w:trHeight w:hRule="exact" w:val="340"/>
          <w:jc w:val="center"/>
        </w:trPr>
        <w:tc>
          <w:tcPr>
            <w:tcW w:w="2962" w:type="dxa"/>
            <w:shd w:val="clear" w:color="auto" w:fill="auto"/>
            <w:vAlign w:val="center"/>
          </w:tcPr>
          <w:p w14:paraId="6BF39AF3" w14:textId="77777777" w:rsidR="0093205E" w:rsidRPr="0049263A" w:rsidRDefault="0093205E" w:rsidP="00AA734A">
            <w:pPr>
              <w:snapToGrid w:val="0"/>
              <w:spacing w:line="360" w:lineRule="auto"/>
              <w:jc w:val="both"/>
              <w:rPr>
                <w:rFonts w:ascii="Book Antiqua" w:hAnsi="Book Antiqua" w:cs="Arial"/>
                <w:sz w:val="24"/>
                <w:szCs w:val="24"/>
                <w:lang w:val="en-GB"/>
              </w:rPr>
            </w:pPr>
            <w:r w:rsidRPr="0049263A">
              <w:rPr>
                <w:rFonts w:ascii="Book Antiqua" w:hAnsi="Book Antiqua" w:cs="Arial"/>
                <w:sz w:val="24"/>
                <w:szCs w:val="24"/>
                <w:lang w:val="en-GB"/>
              </w:rPr>
              <w:t>Fibrinogen plasma value</w:t>
            </w:r>
          </w:p>
        </w:tc>
        <w:tc>
          <w:tcPr>
            <w:tcW w:w="2074" w:type="dxa"/>
            <w:shd w:val="clear" w:color="auto" w:fill="auto"/>
            <w:vAlign w:val="center"/>
          </w:tcPr>
          <w:p w14:paraId="7B8C46AC" w14:textId="77777777" w:rsidR="0093205E" w:rsidRPr="0049263A" w:rsidRDefault="0093205E" w:rsidP="0069564A">
            <w:pPr>
              <w:snapToGrid w:val="0"/>
              <w:spacing w:line="360" w:lineRule="auto"/>
              <w:jc w:val="center"/>
              <w:rPr>
                <w:rFonts w:ascii="Book Antiqua" w:hAnsi="Book Antiqua" w:cs="Arial"/>
                <w:sz w:val="24"/>
                <w:szCs w:val="24"/>
                <w:lang w:val="en-GB"/>
              </w:rPr>
            </w:pPr>
          </w:p>
        </w:tc>
        <w:tc>
          <w:tcPr>
            <w:tcW w:w="1101" w:type="dxa"/>
            <w:shd w:val="clear" w:color="auto" w:fill="auto"/>
            <w:vAlign w:val="center"/>
          </w:tcPr>
          <w:p w14:paraId="4F8031FD" w14:textId="77777777" w:rsidR="0093205E" w:rsidRPr="0049263A" w:rsidRDefault="0093205E" w:rsidP="0069564A">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0.355</w:t>
            </w:r>
          </w:p>
        </w:tc>
        <w:tc>
          <w:tcPr>
            <w:tcW w:w="2301" w:type="dxa"/>
            <w:shd w:val="clear" w:color="auto" w:fill="auto"/>
            <w:vAlign w:val="center"/>
          </w:tcPr>
          <w:p w14:paraId="040A9A58" w14:textId="77777777" w:rsidR="0093205E" w:rsidRPr="0049263A" w:rsidRDefault="0093205E" w:rsidP="0069564A">
            <w:pPr>
              <w:snapToGrid w:val="0"/>
              <w:spacing w:line="360" w:lineRule="auto"/>
              <w:jc w:val="center"/>
              <w:rPr>
                <w:rFonts w:ascii="Book Antiqua" w:hAnsi="Book Antiqua" w:cs="Arial"/>
                <w:sz w:val="24"/>
                <w:szCs w:val="24"/>
                <w:lang w:val="en-GB"/>
              </w:rPr>
            </w:pPr>
          </w:p>
        </w:tc>
        <w:tc>
          <w:tcPr>
            <w:tcW w:w="1079" w:type="dxa"/>
            <w:shd w:val="clear" w:color="auto" w:fill="auto"/>
            <w:vAlign w:val="center"/>
          </w:tcPr>
          <w:p w14:paraId="25CFD6DF" w14:textId="77777777" w:rsidR="0093205E" w:rsidRPr="0049263A" w:rsidRDefault="0093205E" w:rsidP="0069564A">
            <w:pPr>
              <w:snapToGrid w:val="0"/>
              <w:spacing w:line="360" w:lineRule="auto"/>
              <w:jc w:val="center"/>
              <w:rPr>
                <w:rFonts w:ascii="Book Antiqua" w:eastAsia="MS Mincho" w:hAnsi="Book Antiqua" w:cs="Arial"/>
                <w:sz w:val="24"/>
                <w:szCs w:val="24"/>
                <w:lang w:val="en-GB"/>
              </w:rPr>
            </w:pPr>
            <w:r w:rsidRPr="0049263A">
              <w:rPr>
                <w:rFonts w:ascii="Book Antiqua" w:hAnsi="Book Antiqua" w:cs="Arial"/>
                <w:sz w:val="24"/>
                <w:szCs w:val="24"/>
                <w:lang w:val="en-GB"/>
              </w:rPr>
              <w:t>0.313</w:t>
            </w:r>
          </w:p>
        </w:tc>
      </w:tr>
      <w:tr w:rsidR="003777B7" w:rsidRPr="0049263A" w14:paraId="69F7DFAF" w14:textId="77777777" w:rsidTr="00286CC6">
        <w:trPr>
          <w:trHeight w:hRule="exact" w:val="340"/>
          <w:jc w:val="center"/>
        </w:trPr>
        <w:tc>
          <w:tcPr>
            <w:tcW w:w="2962" w:type="dxa"/>
            <w:shd w:val="clear" w:color="auto" w:fill="auto"/>
            <w:vAlign w:val="center"/>
          </w:tcPr>
          <w:p w14:paraId="759D6AAD" w14:textId="3E3EAC61" w:rsidR="0069564A" w:rsidRPr="0049263A" w:rsidRDefault="0069564A" w:rsidP="0069564A">
            <w:pPr>
              <w:snapToGrid w:val="0"/>
              <w:spacing w:line="360" w:lineRule="auto"/>
              <w:ind w:firstLineChars="100" w:firstLine="240"/>
              <w:jc w:val="both"/>
              <w:rPr>
                <w:rFonts w:ascii="Book Antiqua" w:hAnsi="Book Antiqua" w:cs="Arial"/>
                <w:sz w:val="24"/>
                <w:szCs w:val="24"/>
                <w:lang w:val="en-GB"/>
              </w:rPr>
            </w:pPr>
            <w:r w:rsidRPr="0049263A">
              <w:rPr>
                <w:rFonts w:ascii="Book Antiqua" w:hAnsi="Book Antiqua" w:cs="Arial"/>
                <w:sz w:val="24"/>
                <w:szCs w:val="24"/>
                <w:lang w:val="en-GB"/>
              </w:rPr>
              <w:t xml:space="preserve">&gt; 400 </w:t>
            </w:r>
            <w:proofErr w:type="spellStart"/>
            <w:r w:rsidRPr="0049263A">
              <w:rPr>
                <w:rFonts w:ascii="Book Antiqua" w:hAnsi="Book Antiqua" w:cs="Arial"/>
                <w:i/>
                <w:sz w:val="24"/>
                <w:szCs w:val="24"/>
                <w:lang w:val="en-GB"/>
              </w:rPr>
              <w:t>vs</w:t>
            </w:r>
            <w:proofErr w:type="spellEnd"/>
            <w:r w:rsidRPr="0049263A">
              <w:rPr>
                <w:rFonts w:ascii="Book Antiqua" w:hAnsi="Book Antiqua" w:cs="Arial"/>
                <w:sz w:val="24"/>
                <w:szCs w:val="24"/>
                <w:lang w:val="en-GB"/>
              </w:rPr>
              <w:t xml:space="preserve"> ≤ 400</w:t>
            </w:r>
          </w:p>
        </w:tc>
        <w:tc>
          <w:tcPr>
            <w:tcW w:w="2074" w:type="dxa"/>
            <w:shd w:val="clear" w:color="auto" w:fill="auto"/>
            <w:vAlign w:val="center"/>
          </w:tcPr>
          <w:p w14:paraId="33126AC8" w14:textId="77777777" w:rsidR="0069564A" w:rsidRPr="0049263A" w:rsidRDefault="0069564A" w:rsidP="0069564A">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1.15 (0.86-1.54)</w:t>
            </w:r>
          </w:p>
        </w:tc>
        <w:tc>
          <w:tcPr>
            <w:tcW w:w="1101" w:type="dxa"/>
            <w:shd w:val="clear" w:color="auto" w:fill="auto"/>
            <w:vAlign w:val="center"/>
          </w:tcPr>
          <w:p w14:paraId="64973EEA" w14:textId="77777777" w:rsidR="0069564A" w:rsidRPr="0049263A" w:rsidRDefault="0069564A" w:rsidP="0069564A">
            <w:pPr>
              <w:snapToGrid w:val="0"/>
              <w:spacing w:line="360" w:lineRule="auto"/>
              <w:jc w:val="center"/>
              <w:rPr>
                <w:rFonts w:ascii="Book Antiqua" w:hAnsi="Book Antiqua" w:cs="Arial"/>
                <w:sz w:val="24"/>
                <w:szCs w:val="24"/>
                <w:lang w:val="en-GB"/>
              </w:rPr>
            </w:pPr>
          </w:p>
        </w:tc>
        <w:tc>
          <w:tcPr>
            <w:tcW w:w="2301" w:type="dxa"/>
            <w:shd w:val="clear" w:color="auto" w:fill="auto"/>
            <w:vAlign w:val="center"/>
          </w:tcPr>
          <w:p w14:paraId="1955830F" w14:textId="77777777" w:rsidR="0069564A" w:rsidRPr="0049263A" w:rsidRDefault="0069564A" w:rsidP="0069564A">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0.82 (0.54-1.21)</w:t>
            </w:r>
          </w:p>
        </w:tc>
        <w:tc>
          <w:tcPr>
            <w:tcW w:w="1079" w:type="dxa"/>
            <w:shd w:val="clear" w:color="auto" w:fill="auto"/>
            <w:vAlign w:val="center"/>
          </w:tcPr>
          <w:p w14:paraId="00918715" w14:textId="77777777" w:rsidR="0069564A" w:rsidRPr="0049263A" w:rsidRDefault="0069564A" w:rsidP="0069564A">
            <w:pPr>
              <w:snapToGrid w:val="0"/>
              <w:spacing w:line="360" w:lineRule="auto"/>
              <w:jc w:val="center"/>
              <w:rPr>
                <w:rFonts w:ascii="Book Antiqua" w:hAnsi="Book Antiqua" w:cs="Arial"/>
                <w:sz w:val="24"/>
                <w:szCs w:val="24"/>
                <w:lang w:val="en-GB"/>
              </w:rPr>
            </w:pPr>
          </w:p>
        </w:tc>
      </w:tr>
    </w:tbl>
    <w:p w14:paraId="59C938FD" w14:textId="6FA29E73" w:rsidR="0093205E" w:rsidRPr="0049263A" w:rsidRDefault="00286CC6" w:rsidP="00AA734A">
      <w:pPr>
        <w:snapToGrid w:val="0"/>
        <w:spacing w:line="360" w:lineRule="auto"/>
        <w:jc w:val="both"/>
        <w:rPr>
          <w:rFonts w:ascii="Book Antiqua" w:hAnsi="Book Antiqua" w:cs="Arial"/>
          <w:b/>
          <w:sz w:val="24"/>
          <w:szCs w:val="24"/>
          <w:lang w:val="en-GB"/>
        </w:rPr>
      </w:pPr>
      <w:r w:rsidRPr="0049263A">
        <w:rPr>
          <w:rFonts w:ascii="Book Antiqua" w:hAnsi="Book Antiqua" w:cs="Arial" w:hint="eastAsia"/>
          <w:sz w:val="24"/>
          <w:szCs w:val="24"/>
          <w:vertAlign w:val="superscript"/>
          <w:lang w:val="en-GB" w:eastAsia="zh-CN"/>
        </w:rPr>
        <w:t>1</w:t>
      </w:r>
      <w:r w:rsidR="0093205E" w:rsidRPr="0049263A">
        <w:rPr>
          <w:rFonts w:ascii="Book Antiqua" w:eastAsia="MS Mincho" w:hAnsi="Book Antiqua" w:cs="Arial"/>
          <w:sz w:val="24"/>
          <w:szCs w:val="24"/>
          <w:lang w:val="en-GB"/>
        </w:rPr>
        <w:t>Values in parentheses are</w:t>
      </w:r>
      <w:r w:rsidRPr="0049263A">
        <w:rPr>
          <w:rFonts w:ascii="Book Antiqua" w:hAnsi="Book Antiqua" w:cs="Arial" w:hint="eastAsia"/>
          <w:sz w:val="24"/>
          <w:szCs w:val="24"/>
          <w:lang w:val="en-GB" w:eastAsia="zh-CN"/>
        </w:rPr>
        <w:t xml:space="preserve"> </w:t>
      </w:r>
      <w:r w:rsidR="0093205E" w:rsidRPr="0049263A">
        <w:rPr>
          <w:rFonts w:ascii="Book Antiqua" w:eastAsia="MS Mincho" w:hAnsi="Book Antiqua" w:cs="Arial"/>
          <w:sz w:val="24"/>
          <w:szCs w:val="24"/>
          <w:lang w:val="en-GB"/>
        </w:rPr>
        <w:t xml:space="preserve">95% confidence intervals. </w:t>
      </w:r>
      <w:r w:rsidR="00E27998" w:rsidRPr="0049263A">
        <w:rPr>
          <w:rFonts w:ascii="Book Antiqua" w:eastAsia="MS Mincho" w:hAnsi="Book Antiqua" w:cs="Arial"/>
          <w:sz w:val="24"/>
          <w:szCs w:val="24"/>
          <w:lang w:val="en-GB"/>
        </w:rPr>
        <w:t>Hazard ratio</w:t>
      </w:r>
      <w:r w:rsidR="0093205E" w:rsidRPr="0049263A">
        <w:rPr>
          <w:rFonts w:ascii="Book Antiqua" w:eastAsia="MS Mincho" w:hAnsi="Book Antiqua" w:cs="Arial"/>
          <w:sz w:val="24"/>
          <w:szCs w:val="24"/>
          <w:lang w:val="en-GB"/>
        </w:rPr>
        <w:t xml:space="preserve"> and </w:t>
      </w:r>
      <w:r w:rsidR="0093205E" w:rsidRPr="0049263A">
        <w:rPr>
          <w:rFonts w:ascii="Book Antiqua" w:eastAsia="MS Mincho" w:hAnsi="Book Antiqua" w:cs="Arial"/>
          <w:i/>
          <w:sz w:val="24"/>
          <w:szCs w:val="24"/>
          <w:lang w:val="en-GB"/>
        </w:rPr>
        <w:t>P</w:t>
      </w:r>
      <w:r w:rsidR="0093205E" w:rsidRPr="0049263A">
        <w:rPr>
          <w:rFonts w:ascii="Book Antiqua" w:eastAsia="MS Mincho" w:hAnsi="Book Antiqua" w:cs="Arial"/>
          <w:sz w:val="24"/>
          <w:szCs w:val="24"/>
          <w:lang w:val="en-GB"/>
        </w:rPr>
        <w:t>-values were derived from Cox regression analysis, controlling for all other variables.</w:t>
      </w:r>
    </w:p>
    <w:p w14:paraId="31E74347" w14:textId="77777777" w:rsidR="00286CC6" w:rsidRPr="0049263A" w:rsidRDefault="00286CC6">
      <w:pPr>
        <w:suppressAutoHyphens w:val="0"/>
        <w:rPr>
          <w:rFonts w:ascii="Book Antiqua" w:hAnsi="Book Antiqua" w:cs="Arial"/>
          <w:b/>
          <w:sz w:val="24"/>
          <w:szCs w:val="24"/>
          <w:lang w:val="en-GB"/>
        </w:rPr>
      </w:pPr>
      <w:r w:rsidRPr="0049263A">
        <w:rPr>
          <w:rFonts w:ascii="Book Antiqua" w:hAnsi="Book Antiqua" w:cs="Arial"/>
          <w:b/>
          <w:sz w:val="24"/>
          <w:szCs w:val="24"/>
          <w:lang w:val="en-GB"/>
        </w:rPr>
        <w:br w:type="page"/>
      </w:r>
    </w:p>
    <w:p w14:paraId="18B7F70C" w14:textId="5FE93D82" w:rsidR="0093205E" w:rsidRPr="0049263A" w:rsidRDefault="0093205E" w:rsidP="00AA734A">
      <w:pPr>
        <w:snapToGrid w:val="0"/>
        <w:spacing w:line="360" w:lineRule="auto"/>
        <w:jc w:val="both"/>
        <w:rPr>
          <w:rFonts w:ascii="Book Antiqua" w:hAnsi="Book Antiqua" w:cs="Arial"/>
          <w:b/>
          <w:sz w:val="24"/>
          <w:szCs w:val="24"/>
          <w:lang w:val="en-GB"/>
        </w:rPr>
      </w:pPr>
      <w:r w:rsidRPr="0049263A">
        <w:rPr>
          <w:rFonts w:ascii="Book Antiqua" w:hAnsi="Book Antiqua" w:cs="Arial"/>
          <w:b/>
          <w:sz w:val="24"/>
          <w:szCs w:val="24"/>
          <w:lang w:val="en-GB"/>
        </w:rPr>
        <w:lastRenderedPageBreak/>
        <w:t>Table 3</w:t>
      </w:r>
      <w:r w:rsidR="00261F97" w:rsidRPr="0049263A">
        <w:rPr>
          <w:rFonts w:ascii="Book Antiqua" w:hAnsi="Book Antiqua" w:cs="Arial" w:hint="eastAsia"/>
          <w:b/>
          <w:sz w:val="24"/>
          <w:szCs w:val="24"/>
          <w:lang w:val="en-GB" w:eastAsia="zh-CN"/>
        </w:rPr>
        <w:t xml:space="preserve"> </w:t>
      </w:r>
      <w:r w:rsidRPr="0049263A">
        <w:rPr>
          <w:rFonts w:ascii="Book Antiqua" w:eastAsia="MS Mincho" w:hAnsi="Book Antiqua" w:cs="Arial"/>
          <w:b/>
          <w:sz w:val="24"/>
          <w:szCs w:val="24"/>
          <w:lang w:val="en-GB"/>
        </w:rPr>
        <w:t>Survival rates according to TNM stage as a function of p</w:t>
      </w:r>
      <w:r w:rsidRPr="0049263A">
        <w:rPr>
          <w:rFonts w:ascii="Book Antiqua" w:hAnsi="Book Antiqua" w:cs="Arial"/>
          <w:b/>
          <w:sz w:val="24"/>
          <w:szCs w:val="24"/>
          <w:lang w:val="en-GB"/>
        </w:rPr>
        <w:t>reoperative fibrinogen plasma level (mg/</w:t>
      </w:r>
      <w:proofErr w:type="spellStart"/>
      <w:r w:rsidRPr="0049263A">
        <w:rPr>
          <w:rFonts w:ascii="Book Antiqua" w:hAnsi="Book Antiqua" w:cs="Arial"/>
          <w:b/>
          <w:sz w:val="24"/>
          <w:szCs w:val="24"/>
          <w:lang w:val="en-GB"/>
        </w:rPr>
        <w:t>dL</w:t>
      </w:r>
      <w:proofErr w:type="spellEnd"/>
      <w:r w:rsidRPr="0049263A">
        <w:rPr>
          <w:rFonts w:ascii="Book Antiqua" w:hAnsi="Book Antiqua" w:cs="Arial"/>
          <w:b/>
          <w:sz w:val="24"/>
          <w:szCs w:val="24"/>
          <w:lang w:val="en-GB"/>
        </w:rPr>
        <w:t>) for the 556 R0 patients under study</w:t>
      </w:r>
    </w:p>
    <w:tbl>
      <w:tblPr>
        <w:tblW w:w="0" w:type="auto"/>
        <w:jc w:val="center"/>
        <w:tblBorders>
          <w:top w:val="single" w:sz="8" w:space="0" w:color="000000"/>
          <w:bottom w:val="single" w:sz="4" w:space="0" w:color="000000"/>
        </w:tblBorders>
        <w:tblLayout w:type="fixed"/>
        <w:tblCellMar>
          <w:left w:w="70" w:type="dxa"/>
          <w:right w:w="70" w:type="dxa"/>
        </w:tblCellMar>
        <w:tblLook w:val="0000" w:firstRow="0" w:lastRow="0" w:firstColumn="0" w:lastColumn="0" w:noHBand="0" w:noVBand="0"/>
      </w:tblPr>
      <w:tblGrid>
        <w:gridCol w:w="3172"/>
        <w:gridCol w:w="1835"/>
        <w:gridCol w:w="1340"/>
        <w:gridCol w:w="1920"/>
        <w:gridCol w:w="1460"/>
      </w:tblGrid>
      <w:tr w:rsidR="003777B7" w:rsidRPr="0049263A" w14:paraId="0FFB4750" w14:textId="77777777" w:rsidTr="00261F97">
        <w:trPr>
          <w:trHeight w:val="431"/>
          <w:tblHeader/>
          <w:jc w:val="center"/>
        </w:trPr>
        <w:tc>
          <w:tcPr>
            <w:tcW w:w="3172" w:type="dxa"/>
            <w:vMerge w:val="restart"/>
            <w:tcBorders>
              <w:top w:val="single" w:sz="8" w:space="0" w:color="000000"/>
              <w:bottom w:val="single" w:sz="8" w:space="0" w:color="000000"/>
            </w:tcBorders>
            <w:shd w:val="clear" w:color="auto" w:fill="auto"/>
            <w:vAlign w:val="bottom"/>
          </w:tcPr>
          <w:p w14:paraId="648D4E9D" w14:textId="77777777" w:rsidR="0093205E" w:rsidRPr="0049263A" w:rsidRDefault="0093205E" w:rsidP="00AA734A">
            <w:pPr>
              <w:snapToGrid w:val="0"/>
              <w:spacing w:line="360" w:lineRule="auto"/>
              <w:ind w:left="175"/>
              <w:jc w:val="both"/>
              <w:rPr>
                <w:rFonts w:ascii="Book Antiqua" w:hAnsi="Book Antiqua" w:cs="Arial"/>
                <w:sz w:val="24"/>
                <w:szCs w:val="24"/>
                <w:lang w:val="en-GB"/>
              </w:rPr>
            </w:pPr>
          </w:p>
        </w:tc>
        <w:tc>
          <w:tcPr>
            <w:tcW w:w="3175" w:type="dxa"/>
            <w:gridSpan w:val="2"/>
            <w:tcBorders>
              <w:top w:val="single" w:sz="8" w:space="0" w:color="000000"/>
              <w:bottom w:val="single" w:sz="8" w:space="0" w:color="000000"/>
            </w:tcBorders>
            <w:shd w:val="clear" w:color="auto" w:fill="auto"/>
            <w:vAlign w:val="center"/>
          </w:tcPr>
          <w:p w14:paraId="1C0DD346" w14:textId="77777777" w:rsidR="0093205E" w:rsidRPr="0049263A" w:rsidRDefault="0093205E" w:rsidP="00261F97">
            <w:pPr>
              <w:snapToGrid w:val="0"/>
              <w:spacing w:line="360" w:lineRule="auto"/>
              <w:jc w:val="center"/>
              <w:rPr>
                <w:rFonts w:ascii="Book Antiqua" w:hAnsi="Book Antiqua" w:cs="Arial"/>
                <w:b/>
                <w:sz w:val="24"/>
                <w:szCs w:val="24"/>
                <w:lang w:val="en-GB"/>
              </w:rPr>
            </w:pPr>
            <w:r w:rsidRPr="0049263A">
              <w:rPr>
                <w:rFonts w:ascii="Book Antiqua" w:hAnsi="Book Antiqua" w:cs="Arial"/>
                <w:b/>
                <w:sz w:val="24"/>
                <w:szCs w:val="24"/>
                <w:lang w:val="en-GB"/>
              </w:rPr>
              <w:t>Survival</w:t>
            </w:r>
          </w:p>
        </w:tc>
        <w:tc>
          <w:tcPr>
            <w:tcW w:w="3380" w:type="dxa"/>
            <w:gridSpan w:val="2"/>
            <w:tcBorders>
              <w:top w:val="single" w:sz="8" w:space="0" w:color="000000"/>
              <w:bottom w:val="single" w:sz="8" w:space="0" w:color="000000"/>
            </w:tcBorders>
            <w:shd w:val="clear" w:color="auto" w:fill="auto"/>
            <w:vAlign w:val="center"/>
          </w:tcPr>
          <w:p w14:paraId="596EF008" w14:textId="77777777" w:rsidR="0093205E" w:rsidRPr="0049263A" w:rsidRDefault="0093205E" w:rsidP="00261F97">
            <w:pPr>
              <w:snapToGrid w:val="0"/>
              <w:spacing w:line="360" w:lineRule="auto"/>
              <w:jc w:val="center"/>
              <w:rPr>
                <w:rFonts w:ascii="Book Antiqua" w:eastAsia="MS Mincho" w:hAnsi="Book Antiqua" w:cs="Arial"/>
                <w:b/>
                <w:sz w:val="24"/>
                <w:szCs w:val="24"/>
                <w:lang w:val="en-GB"/>
              </w:rPr>
            </w:pPr>
            <w:r w:rsidRPr="0049263A">
              <w:rPr>
                <w:rFonts w:ascii="Book Antiqua" w:hAnsi="Book Antiqua" w:cs="Arial"/>
                <w:b/>
                <w:sz w:val="24"/>
                <w:szCs w:val="24"/>
                <w:lang w:val="en-GB"/>
              </w:rPr>
              <w:t>Tumour-related survival</w:t>
            </w:r>
          </w:p>
        </w:tc>
      </w:tr>
      <w:tr w:rsidR="003777B7" w:rsidRPr="0049263A" w14:paraId="6A5FFCAD" w14:textId="77777777" w:rsidTr="00261F97">
        <w:trPr>
          <w:trHeight w:val="552"/>
          <w:jc w:val="center"/>
        </w:trPr>
        <w:tc>
          <w:tcPr>
            <w:tcW w:w="3172" w:type="dxa"/>
            <w:vMerge/>
            <w:tcBorders>
              <w:top w:val="single" w:sz="8" w:space="0" w:color="000000"/>
              <w:bottom w:val="single" w:sz="8" w:space="0" w:color="000000"/>
            </w:tcBorders>
            <w:shd w:val="clear" w:color="auto" w:fill="auto"/>
            <w:vAlign w:val="center"/>
          </w:tcPr>
          <w:p w14:paraId="35EB8AD3" w14:textId="77777777" w:rsidR="0093205E" w:rsidRPr="0049263A" w:rsidRDefault="0093205E" w:rsidP="00AA734A">
            <w:pPr>
              <w:snapToGrid w:val="0"/>
              <w:spacing w:line="360" w:lineRule="auto"/>
              <w:ind w:left="175"/>
              <w:jc w:val="both"/>
              <w:rPr>
                <w:rFonts w:ascii="Book Antiqua" w:eastAsia="MS Mincho" w:hAnsi="Book Antiqua" w:cs="Arial"/>
                <w:sz w:val="24"/>
                <w:szCs w:val="24"/>
                <w:lang w:val="en-GB"/>
              </w:rPr>
            </w:pPr>
          </w:p>
        </w:tc>
        <w:tc>
          <w:tcPr>
            <w:tcW w:w="1835" w:type="dxa"/>
            <w:tcBorders>
              <w:top w:val="single" w:sz="8" w:space="0" w:color="000000"/>
              <w:bottom w:val="single" w:sz="8" w:space="0" w:color="000000"/>
            </w:tcBorders>
            <w:shd w:val="clear" w:color="auto" w:fill="auto"/>
            <w:vAlign w:val="center"/>
          </w:tcPr>
          <w:p w14:paraId="2839946D" w14:textId="50BC7039" w:rsidR="0093205E" w:rsidRPr="0049263A" w:rsidRDefault="00261F97" w:rsidP="00261F97">
            <w:pPr>
              <w:snapToGrid w:val="0"/>
              <w:spacing w:line="360" w:lineRule="auto"/>
              <w:jc w:val="center"/>
              <w:rPr>
                <w:rFonts w:ascii="Book Antiqua" w:hAnsi="Book Antiqua" w:cs="Arial"/>
                <w:b/>
                <w:i/>
                <w:sz w:val="24"/>
                <w:szCs w:val="24"/>
                <w:lang w:val="en-GB"/>
              </w:rPr>
            </w:pPr>
            <w:r w:rsidRPr="0049263A">
              <w:rPr>
                <w:rFonts w:ascii="Book Antiqua" w:hAnsi="Book Antiqua" w:cs="Arial"/>
                <w:b/>
                <w:sz w:val="24"/>
                <w:szCs w:val="24"/>
                <w:lang w:val="en-GB"/>
              </w:rPr>
              <w:t>5-y</w:t>
            </w:r>
            <w:r w:rsidR="0093205E" w:rsidRPr="0049263A">
              <w:rPr>
                <w:rFonts w:ascii="Book Antiqua" w:hAnsi="Book Antiqua" w:cs="Arial"/>
                <w:b/>
                <w:sz w:val="24"/>
                <w:szCs w:val="24"/>
                <w:lang w:val="en-GB"/>
              </w:rPr>
              <w:t>r rate</w:t>
            </w:r>
          </w:p>
        </w:tc>
        <w:tc>
          <w:tcPr>
            <w:tcW w:w="1340" w:type="dxa"/>
            <w:tcBorders>
              <w:top w:val="single" w:sz="8" w:space="0" w:color="000000"/>
              <w:bottom w:val="single" w:sz="8" w:space="0" w:color="000000"/>
            </w:tcBorders>
            <w:shd w:val="clear" w:color="auto" w:fill="auto"/>
            <w:vAlign w:val="center"/>
          </w:tcPr>
          <w:p w14:paraId="43FFCFEC" w14:textId="77777777" w:rsidR="0093205E" w:rsidRPr="0049263A" w:rsidRDefault="0093205E" w:rsidP="00261F97">
            <w:pPr>
              <w:snapToGrid w:val="0"/>
              <w:spacing w:line="360" w:lineRule="auto"/>
              <w:jc w:val="center"/>
              <w:rPr>
                <w:rFonts w:ascii="Book Antiqua" w:hAnsi="Book Antiqua" w:cs="Arial"/>
                <w:b/>
                <w:sz w:val="24"/>
                <w:szCs w:val="24"/>
                <w:lang w:val="en-GB"/>
              </w:rPr>
            </w:pPr>
            <w:r w:rsidRPr="0049263A">
              <w:rPr>
                <w:rFonts w:ascii="Book Antiqua" w:hAnsi="Book Antiqua" w:cs="Arial"/>
                <w:b/>
                <w:i/>
                <w:sz w:val="24"/>
                <w:szCs w:val="24"/>
                <w:lang w:val="en-GB"/>
              </w:rPr>
              <w:t>P</w:t>
            </w:r>
            <w:r w:rsidRPr="0049263A">
              <w:rPr>
                <w:rFonts w:ascii="Book Antiqua" w:hAnsi="Book Antiqua" w:cs="Arial"/>
                <w:b/>
                <w:sz w:val="24"/>
                <w:szCs w:val="24"/>
                <w:lang w:val="en-GB"/>
              </w:rPr>
              <w:t xml:space="preserve"> value</w:t>
            </w:r>
          </w:p>
        </w:tc>
        <w:tc>
          <w:tcPr>
            <w:tcW w:w="1920" w:type="dxa"/>
            <w:tcBorders>
              <w:top w:val="single" w:sz="8" w:space="0" w:color="000000"/>
              <w:bottom w:val="single" w:sz="8" w:space="0" w:color="000000"/>
            </w:tcBorders>
            <w:shd w:val="clear" w:color="auto" w:fill="auto"/>
            <w:vAlign w:val="center"/>
          </w:tcPr>
          <w:p w14:paraId="47D85EA9" w14:textId="6383E522" w:rsidR="0093205E" w:rsidRPr="0049263A" w:rsidRDefault="00261F97" w:rsidP="00261F97">
            <w:pPr>
              <w:snapToGrid w:val="0"/>
              <w:spacing w:line="360" w:lineRule="auto"/>
              <w:jc w:val="center"/>
              <w:rPr>
                <w:rFonts w:ascii="Book Antiqua" w:hAnsi="Book Antiqua" w:cs="Arial"/>
                <w:b/>
                <w:i/>
                <w:sz w:val="24"/>
                <w:szCs w:val="24"/>
                <w:lang w:val="en-GB"/>
              </w:rPr>
            </w:pPr>
            <w:r w:rsidRPr="0049263A">
              <w:rPr>
                <w:rFonts w:ascii="Book Antiqua" w:hAnsi="Book Antiqua" w:cs="Arial"/>
                <w:b/>
                <w:sz w:val="24"/>
                <w:szCs w:val="24"/>
                <w:lang w:val="en-GB"/>
              </w:rPr>
              <w:t>5-y</w:t>
            </w:r>
            <w:r w:rsidR="0093205E" w:rsidRPr="0049263A">
              <w:rPr>
                <w:rFonts w:ascii="Book Antiqua" w:hAnsi="Book Antiqua" w:cs="Arial"/>
                <w:b/>
                <w:sz w:val="24"/>
                <w:szCs w:val="24"/>
                <w:lang w:val="en-GB"/>
              </w:rPr>
              <w:t>r rate</w:t>
            </w:r>
          </w:p>
        </w:tc>
        <w:tc>
          <w:tcPr>
            <w:tcW w:w="1460" w:type="dxa"/>
            <w:tcBorders>
              <w:top w:val="single" w:sz="8" w:space="0" w:color="000000"/>
              <w:bottom w:val="single" w:sz="8" w:space="0" w:color="000000"/>
            </w:tcBorders>
            <w:shd w:val="clear" w:color="auto" w:fill="auto"/>
            <w:vAlign w:val="center"/>
          </w:tcPr>
          <w:p w14:paraId="52B44FA3" w14:textId="77777777" w:rsidR="0093205E" w:rsidRPr="0049263A" w:rsidRDefault="0093205E" w:rsidP="00261F97">
            <w:pPr>
              <w:snapToGrid w:val="0"/>
              <w:spacing w:line="360" w:lineRule="auto"/>
              <w:jc w:val="center"/>
              <w:rPr>
                <w:rFonts w:ascii="Book Antiqua" w:eastAsia="MS Mincho" w:hAnsi="Book Antiqua" w:cs="Arial"/>
                <w:b/>
                <w:sz w:val="24"/>
                <w:szCs w:val="24"/>
                <w:lang w:val="en-GB"/>
              </w:rPr>
            </w:pPr>
            <w:r w:rsidRPr="0049263A">
              <w:rPr>
                <w:rFonts w:ascii="Book Antiqua" w:hAnsi="Book Antiqua" w:cs="Arial"/>
                <w:b/>
                <w:i/>
                <w:sz w:val="24"/>
                <w:szCs w:val="24"/>
                <w:lang w:val="en-GB"/>
              </w:rPr>
              <w:t>P</w:t>
            </w:r>
            <w:r w:rsidRPr="0049263A">
              <w:rPr>
                <w:rFonts w:ascii="Book Antiqua" w:hAnsi="Book Antiqua" w:cs="Arial"/>
                <w:b/>
                <w:sz w:val="24"/>
                <w:szCs w:val="24"/>
                <w:lang w:val="en-GB"/>
              </w:rPr>
              <w:t xml:space="preserve"> value</w:t>
            </w:r>
          </w:p>
        </w:tc>
      </w:tr>
      <w:tr w:rsidR="003777B7" w:rsidRPr="0049263A" w14:paraId="2F4CAFA3" w14:textId="77777777" w:rsidTr="00261F97">
        <w:trPr>
          <w:trHeight w:hRule="exact" w:val="340"/>
          <w:jc w:val="center"/>
        </w:trPr>
        <w:tc>
          <w:tcPr>
            <w:tcW w:w="3172" w:type="dxa"/>
            <w:tcBorders>
              <w:top w:val="single" w:sz="8" w:space="0" w:color="000000"/>
            </w:tcBorders>
            <w:shd w:val="clear" w:color="auto" w:fill="auto"/>
            <w:vAlign w:val="center"/>
          </w:tcPr>
          <w:p w14:paraId="3A1EA6DD" w14:textId="77777777" w:rsidR="0093205E" w:rsidRPr="0049263A" w:rsidRDefault="0093205E" w:rsidP="00261F97">
            <w:pPr>
              <w:snapToGrid w:val="0"/>
              <w:spacing w:line="360" w:lineRule="auto"/>
              <w:rPr>
                <w:rFonts w:ascii="Book Antiqua" w:hAnsi="Book Antiqua" w:cs="Arial"/>
                <w:i/>
                <w:sz w:val="24"/>
                <w:szCs w:val="24"/>
                <w:lang w:val="en-GB"/>
              </w:rPr>
            </w:pPr>
            <w:r w:rsidRPr="0049263A">
              <w:rPr>
                <w:rFonts w:ascii="Book Antiqua" w:hAnsi="Book Antiqua" w:cs="Arial"/>
                <w:sz w:val="24"/>
                <w:szCs w:val="24"/>
                <w:lang w:val="en-GB"/>
              </w:rPr>
              <w:t>Stage I</w:t>
            </w:r>
          </w:p>
        </w:tc>
        <w:tc>
          <w:tcPr>
            <w:tcW w:w="1835" w:type="dxa"/>
            <w:tcBorders>
              <w:top w:val="single" w:sz="8" w:space="0" w:color="000000"/>
            </w:tcBorders>
            <w:shd w:val="clear" w:color="auto" w:fill="auto"/>
            <w:vAlign w:val="center"/>
          </w:tcPr>
          <w:p w14:paraId="44F4423A" w14:textId="77777777" w:rsidR="0093205E" w:rsidRPr="0049263A" w:rsidRDefault="0093205E" w:rsidP="00261F97">
            <w:pPr>
              <w:snapToGrid w:val="0"/>
              <w:spacing w:line="360" w:lineRule="auto"/>
              <w:jc w:val="center"/>
              <w:rPr>
                <w:rFonts w:ascii="Book Antiqua" w:hAnsi="Book Antiqua" w:cs="Arial"/>
                <w:i/>
                <w:sz w:val="24"/>
                <w:szCs w:val="24"/>
                <w:lang w:val="en-GB"/>
              </w:rPr>
            </w:pPr>
          </w:p>
        </w:tc>
        <w:tc>
          <w:tcPr>
            <w:tcW w:w="1340" w:type="dxa"/>
            <w:tcBorders>
              <w:top w:val="single" w:sz="8" w:space="0" w:color="000000"/>
            </w:tcBorders>
            <w:shd w:val="clear" w:color="auto" w:fill="auto"/>
            <w:vAlign w:val="center"/>
          </w:tcPr>
          <w:p w14:paraId="699D9205" w14:textId="77777777" w:rsidR="0093205E" w:rsidRPr="0049263A" w:rsidRDefault="0093205E" w:rsidP="00261F97">
            <w:pPr>
              <w:snapToGrid w:val="0"/>
              <w:spacing w:line="360" w:lineRule="auto"/>
              <w:jc w:val="center"/>
              <w:rPr>
                <w:rFonts w:ascii="Book Antiqua" w:hAnsi="Book Antiqua" w:cs="Arial"/>
                <w:i/>
                <w:sz w:val="24"/>
                <w:szCs w:val="24"/>
                <w:lang w:val="en-GB"/>
              </w:rPr>
            </w:pPr>
            <w:r w:rsidRPr="0049263A">
              <w:rPr>
                <w:rFonts w:ascii="Book Antiqua" w:hAnsi="Book Antiqua" w:cs="Arial"/>
                <w:sz w:val="24"/>
                <w:szCs w:val="24"/>
                <w:lang w:val="en-GB"/>
              </w:rPr>
              <w:t>0.812</w:t>
            </w:r>
          </w:p>
        </w:tc>
        <w:tc>
          <w:tcPr>
            <w:tcW w:w="1920" w:type="dxa"/>
            <w:tcBorders>
              <w:top w:val="single" w:sz="8" w:space="0" w:color="000000"/>
            </w:tcBorders>
            <w:shd w:val="clear" w:color="auto" w:fill="auto"/>
            <w:vAlign w:val="center"/>
          </w:tcPr>
          <w:p w14:paraId="5CF7B9AF" w14:textId="77777777" w:rsidR="0093205E" w:rsidRPr="0049263A" w:rsidRDefault="0093205E" w:rsidP="00261F97">
            <w:pPr>
              <w:snapToGrid w:val="0"/>
              <w:spacing w:line="360" w:lineRule="auto"/>
              <w:jc w:val="center"/>
              <w:rPr>
                <w:rFonts w:ascii="Book Antiqua" w:hAnsi="Book Antiqua" w:cs="Arial"/>
                <w:i/>
                <w:sz w:val="24"/>
                <w:szCs w:val="24"/>
                <w:lang w:val="en-GB"/>
              </w:rPr>
            </w:pPr>
          </w:p>
        </w:tc>
        <w:tc>
          <w:tcPr>
            <w:tcW w:w="1460" w:type="dxa"/>
            <w:tcBorders>
              <w:top w:val="single" w:sz="8" w:space="0" w:color="000000"/>
            </w:tcBorders>
            <w:shd w:val="clear" w:color="auto" w:fill="auto"/>
            <w:vAlign w:val="center"/>
          </w:tcPr>
          <w:p w14:paraId="269B4FAF" w14:textId="77777777" w:rsidR="0093205E" w:rsidRPr="0049263A" w:rsidRDefault="0093205E" w:rsidP="00261F97">
            <w:pPr>
              <w:snapToGrid w:val="0"/>
              <w:spacing w:line="360" w:lineRule="auto"/>
              <w:jc w:val="center"/>
              <w:rPr>
                <w:rFonts w:ascii="Book Antiqua" w:eastAsia="MS Mincho" w:hAnsi="Book Antiqua" w:cs="Arial"/>
                <w:sz w:val="24"/>
                <w:szCs w:val="24"/>
                <w:lang w:val="en-GB"/>
              </w:rPr>
            </w:pPr>
            <w:r w:rsidRPr="0049263A">
              <w:rPr>
                <w:rFonts w:ascii="Book Antiqua" w:hAnsi="Book Antiqua" w:cs="Arial"/>
                <w:sz w:val="24"/>
                <w:szCs w:val="24"/>
                <w:lang w:val="en-GB"/>
              </w:rPr>
              <w:t>0.674</w:t>
            </w:r>
          </w:p>
        </w:tc>
      </w:tr>
      <w:tr w:rsidR="003777B7" w:rsidRPr="0049263A" w14:paraId="78D9D179" w14:textId="77777777" w:rsidTr="00261F97">
        <w:trPr>
          <w:trHeight w:hRule="exact" w:val="340"/>
          <w:jc w:val="center"/>
        </w:trPr>
        <w:tc>
          <w:tcPr>
            <w:tcW w:w="3172" w:type="dxa"/>
            <w:shd w:val="clear" w:color="auto" w:fill="auto"/>
            <w:vAlign w:val="center"/>
          </w:tcPr>
          <w:p w14:paraId="4F10D957" w14:textId="77777777" w:rsidR="00261F97" w:rsidRPr="0049263A" w:rsidRDefault="00261F97" w:rsidP="00261F97">
            <w:pPr>
              <w:snapToGrid w:val="0"/>
              <w:spacing w:line="360" w:lineRule="auto"/>
              <w:ind w:firstLineChars="100" w:firstLine="240"/>
              <w:rPr>
                <w:rFonts w:ascii="Book Antiqua" w:hAnsi="Book Antiqua" w:cs="Arial"/>
                <w:sz w:val="24"/>
                <w:szCs w:val="24"/>
                <w:lang w:val="en-GB"/>
              </w:rPr>
            </w:pPr>
            <w:r w:rsidRPr="0049263A">
              <w:rPr>
                <w:rFonts w:ascii="Book Antiqua" w:hAnsi="Book Antiqua" w:cs="Arial"/>
                <w:sz w:val="24"/>
                <w:szCs w:val="24"/>
                <w:lang w:val="en-GB"/>
              </w:rPr>
              <w:t>Fibrinogen ≤ 400 mg/</w:t>
            </w:r>
            <w:proofErr w:type="spellStart"/>
            <w:r w:rsidRPr="0049263A">
              <w:rPr>
                <w:rFonts w:ascii="Book Antiqua" w:hAnsi="Book Antiqua" w:cs="Arial"/>
                <w:sz w:val="24"/>
                <w:szCs w:val="24"/>
                <w:lang w:val="en-GB"/>
              </w:rPr>
              <w:t>dL</w:t>
            </w:r>
            <w:proofErr w:type="spellEnd"/>
          </w:p>
        </w:tc>
        <w:tc>
          <w:tcPr>
            <w:tcW w:w="1835" w:type="dxa"/>
            <w:shd w:val="clear" w:color="auto" w:fill="auto"/>
            <w:vAlign w:val="center"/>
          </w:tcPr>
          <w:p w14:paraId="546EAE07" w14:textId="77777777" w:rsidR="00261F97" w:rsidRPr="0049263A" w:rsidRDefault="00261F97" w:rsidP="00261F97">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91.5</w:t>
            </w:r>
          </w:p>
        </w:tc>
        <w:tc>
          <w:tcPr>
            <w:tcW w:w="1340" w:type="dxa"/>
            <w:shd w:val="clear" w:color="auto" w:fill="auto"/>
            <w:vAlign w:val="center"/>
          </w:tcPr>
          <w:p w14:paraId="35173110" w14:textId="77777777" w:rsidR="00261F97" w:rsidRPr="0049263A" w:rsidRDefault="00261F97" w:rsidP="00261F97">
            <w:pPr>
              <w:snapToGrid w:val="0"/>
              <w:spacing w:line="360" w:lineRule="auto"/>
              <w:jc w:val="center"/>
              <w:rPr>
                <w:rFonts w:ascii="Book Antiqua" w:hAnsi="Book Antiqua" w:cs="Arial"/>
                <w:sz w:val="24"/>
                <w:szCs w:val="24"/>
                <w:lang w:val="en-GB"/>
              </w:rPr>
            </w:pPr>
          </w:p>
        </w:tc>
        <w:tc>
          <w:tcPr>
            <w:tcW w:w="1920" w:type="dxa"/>
            <w:shd w:val="clear" w:color="auto" w:fill="auto"/>
            <w:vAlign w:val="center"/>
          </w:tcPr>
          <w:p w14:paraId="55C20994" w14:textId="77777777" w:rsidR="00261F97" w:rsidRPr="0049263A" w:rsidRDefault="00261F97" w:rsidP="00261F97">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98.3</w:t>
            </w:r>
          </w:p>
        </w:tc>
        <w:tc>
          <w:tcPr>
            <w:tcW w:w="1460" w:type="dxa"/>
            <w:shd w:val="clear" w:color="auto" w:fill="auto"/>
            <w:vAlign w:val="center"/>
          </w:tcPr>
          <w:p w14:paraId="0FF659A5" w14:textId="77777777" w:rsidR="00261F97" w:rsidRPr="0049263A" w:rsidRDefault="00261F97" w:rsidP="00261F97">
            <w:pPr>
              <w:snapToGrid w:val="0"/>
              <w:spacing w:line="360" w:lineRule="auto"/>
              <w:jc w:val="center"/>
              <w:rPr>
                <w:rFonts w:ascii="Book Antiqua" w:hAnsi="Book Antiqua" w:cs="Arial"/>
                <w:sz w:val="24"/>
                <w:szCs w:val="24"/>
                <w:lang w:val="en-GB"/>
              </w:rPr>
            </w:pPr>
          </w:p>
        </w:tc>
      </w:tr>
      <w:tr w:rsidR="003777B7" w:rsidRPr="0049263A" w14:paraId="07012DA3" w14:textId="77777777" w:rsidTr="00261F97">
        <w:trPr>
          <w:trHeight w:hRule="exact" w:val="340"/>
          <w:jc w:val="center"/>
        </w:trPr>
        <w:tc>
          <w:tcPr>
            <w:tcW w:w="3172" w:type="dxa"/>
            <w:shd w:val="clear" w:color="auto" w:fill="auto"/>
            <w:vAlign w:val="center"/>
          </w:tcPr>
          <w:p w14:paraId="377555FC" w14:textId="77777777" w:rsidR="00261F97" w:rsidRPr="0049263A" w:rsidRDefault="00261F97" w:rsidP="00261F97">
            <w:pPr>
              <w:snapToGrid w:val="0"/>
              <w:spacing w:line="360" w:lineRule="auto"/>
              <w:ind w:firstLineChars="100" w:firstLine="240"/>
              <w:rPr>
                <w:rFonts w:ascii="Book Antiqua" w:hAnsi="Book Antiqua" w:cs="Arial"/>
                <w:sz w:val="24"/>
                <w:szCs w:val="24"/>
                <w:lang w:val="en-GB"/>
              </w:rPr>
            </w:pPr>
            <w:r w:rsidRPr="0049263A">
              <w:rPr>
                <w:rFonts w:ascii="Book Antiqua" w:hAnsi="Book Antiqua" w:cs="Arial"/>
                <w:sz w:val="24"/>
                <w:szCs w:val="24"/>
                <w:lang w:val="en-GB"/>
              </w:rPr>
              <w:t>Fibrinogen &gt; 400 mg/</w:t>
            </w:r>
            <w:proofErr w:type="spellStart"/>
            <w:r w:rsidRPr="0049263A">
              <w:rPr>
                <w:rFonts w:ascii="Book Antiqua" w:hAnsi="Book Antiqua" w:cs="Arial"/>
                <w:sz w:val="24"/>
                <w:szCs w:val="24"/>
                <w:lang w:val="en-GB"/>
              </w:rPr>
              <w:t>dL</w:t>
            </w:r>
            <w:proofErr w:type="spellEnd"/>
          </w:p>
        </w:tc>
        <w:tc>
          <w:tcPr>
            <w:tcW w:w="1835" w:type="dxa"/>
            <w:shd w:val="clear" w:color="auto" w:fill="auto"/>
            <w:vAlign w:val="center"/>
          </w:tcPr>
          <w:p w14:paraId="2B707851" w14:textId="77777777" w:rsidR="00261F97" w:rsidRPr="0049263A" w:rsidRDefault="00261F97" w:rsidP="00261F97">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88.2</w:t>
            </w:r>
          </w:p>
        </w:tc>
        <w:tc>
          <w:tcPr>
            <w:tcW w:w="1340" w:type="dxa"/>
            <w:shd w:val="clear" w:color="auto" w:fill="auto"/>
            <w:vAlign w:val="center"/>
          </w:tcPr>
          <w:p w14:paraId="14C4981D" w14:textId="77777777" w:rsidR="00261F97" w:rsidRPr="0049263A" w:rsidRDefault="00261F97" w:rsidP="00261F97">
            <w:pPr>
              <w:snapToGrid w:val="0"/>
              <w:spacing w:line="360" w:lineRule="auto"/>
              <w:jc w:val="center"/>
              <w:rPr>
                <w:rFonts w:ascii="Book Antiqua" w:hAnsi="Book Antiqua" w:cs="Arial"/>
                <w:sz w:val="24"/>
                <w:szCs w:val="24"/>
                <w:lang w:val="en-GB"/>
              </w:rPr>
            </w:pPr>
          </w:p>
        </w:tc>
        <w:tc>
          <w:tcPr>
            <w:tcW w:w="1920" w:type="dxa"/>
            <w:shd w:val="clear" w:color="auto" w:fill="auto"/>
            <w:vAlign w:val="center"/>
          </w:tcPr>
          <w:p w14:paraId="550C5E76" w14:textId="77777777" w:rsidR="00261F97" w:rsidRPr="0049263A" w:rsidRDefault="00261F97" w:rsidP="00261F97">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95.2</w:t>
            </w:r>
          </w:p>
        </w:tc>
        <w:tc>
          <w:tcPr>
            <w:tcW w:w="1460" w:type="dxa"/>
            <w:shd w:val="clear" w:color="auto" w:fill="auto"/>
            <w:vAlign w:val="center"/>
          </w:tcPr>
          <w:p w14:paraId="5690AB1C" w14:textId="77777777" w:rsidR="00261F97" w:rsidRPr="0049263A" w:rsidRDefault="00261F97" w:rsidP="00261F97">
            <w:pPr>
              <w:snapToGrid w:val="0"/>
              <w:spacing w:line="360" w:lineRule="auto"/>
              <w:jc w:val="center"/>
              <w:rPr>
                <w:rFonts w:ascii="Book Antiqua" w:hAnsi="Book Antiqua" w:cs="Arial"/>
                <w:sz w:val="24"/>
                <w:szCs w:val="24"/>
                <w:lang w:val="en-GB"/>
              </w:rPr>
            </w:pPr>
          </w:p>
        </w:tc>
      </w:tr>
      <w:tr w:rsidR="003777B7" w:rsidRPr="0049263A" w14:paraId="4C913AB5" w14:textId="77777777" w:rsidTr="00261F97">
        <w:trPr>
          <w:trHeight w:hRule="exact" w:val="340"/>
          <w:jc w:val="center"/>
        </w:trPr>
        <w:tc>
          <w:tcPr>
            <w:tcW w:w="3172" w:type="dxa"/>
            <w:shd w:val="clear" w:color="auto" w:fill="auto"/>
            <w:vAlign w:val="center"/>
          </w:tcPr>
          <w:p w14:paraId="53407F3C" w14:textId="77777777" w:rsidR="0093205E" w:rsidRPr="0049263A" w:rsidRDefault="0093205E" w:rsidP="00261F97">
            <w:pPr>
              <w:snapToGrid w:val="0"/>
              <w:spacing w:line="360" w:lineRule="auto"/>
              <w:rPr>
                <w:rFonts w:ascii="Book Antiqua" w:hAnsi="Book Antiqua" w:cs="Arial"/>
                <w:i/>
                <w:sz w:val="24"/>
                <w:szCs w:val="24"/>
                <w:lang w:val="en-GB"/>
              </w:rPr>
            </w:pPr>
            <w:r w:rsidRPr="0049263A">
              <w:rPr>
                <w:rFonts w:ascii="Book Antiqua" w:hAnsi="Book Antiqua" w:cs="Arial"/>
                <w:sz w:val="24"/>
                <w:szCs w:val="24"/>
                <w:lang w:val="en-GB"/>
              </w:rPr>
              <w:t>Stage II</w:t>
            </w:r>
          </w:p>
        </w:tc>
        <w:tc>
          <w:tcPr>
            <w:tcW w:w="1835" w:type="dxa"/>
            <w:shd w:val="clear" w:color="auto" w:fill="auto"/>
            <w:vAlign w:val="center"/>
          </w:tcPr>
          <w:p w14:paraId="6C5E0366" w14:textId="77777777" w:rsidR="0093205E" w:rsidRPr="0049263A" w:rsidRDefault="0093205E" w:rsidP="00261F97">
            <w:pPr>
              <w:snapToGrid w:val="0"/>
              <w:spacing w:line="360" w:lineRule="auto"/>
              <w:jc w:val="center"/>
              <w:rPr>
                <w:rFonts w:ascii="Book Antiqua" w:hAnsi="Book Antiqua" w:cs="Arial"/>
                <w:i/>
                <w:sz w:val="24"/>
                <w:szCs w:val="24"/>
                <w:lang w:val="en-GB"/>
              </w:rPr>
            </w:pPr>
          </w:p>
        </w:tc>
        <w:tc>
          <w:tcPr>
            <w:tcW w:w="1340" w:type="dxa"/>
            <w:shd w:val="clear" w:color="auto" w:fill="auto"/>
            <w:vAlign w:val="center"/>
          </w:tcPr>
          <w:p w14:paraId="6DB561C1" w14:textId="77777777" w:rsidR="0093205E" w:rsidRPr="0049263A" w:rsidRDefault="0093205E" w:rsidP="00261F97">
            <w:pPr>
              <w:snapToGrid w:val="0"/>
              <w:spacing w:line="360" w:lineRule="auto"/>
              <w:jc w:val="center"/>
              <w:rPr>
                <w:rFonts w:ascii="Book Antiqua" w:hAnsi="Book Antiqua" w:cs="Arial"/>
                <w:i/>
                <w:sz w:val="24"/>
                <w:szCs w:val="24"/>
                <w:lang w:val="en-GB"/>
              </w:rPr>
            </w:pPr>
            <w:r w:rsidRPr="0049263A">
              <w:rPr>
                <w:rFonts w:ascii="Book Antiqua" w:hAnsi="Book Antiqua" w:cs="Arial"/>
                <w:sz w:val="24"/>
                <w:szCs w:val="24"/>
                <w:lang w:val="en-GB"/>
              </w:rPr>
              <w:t>0.036</w:t>
            </w:r>
          </w:p>
        </w:tc>
        <w:tc>
          <w:tcPr>
            <w:tcW w:w="1920" w:type="dxa"/>
            <w:shd w:val="clear" w:color="auto" w:fill="auto"/>
            <w:vAlign w:val="center"/>
          </w:tcPr>
          <w:p w14:paraId="62741323" w14:textId="77777777" w:rsidR="0093205E" w:rsidRPr="0049263A" w:rsidRDefault="0093205E" w:rsidP="00261F97">
            <w:pPr>
              <w:snapToGrid w:val="0"/>
              <w:spacing w:line="360" w:lineRule="auto"/>
              <w:jc w:val="center"/>
              <w:rPr>
                <w:rFonts w:ascii="Book Antiqua" w:hAnsi="Book Antiqua" w:cs="Arial"/>
                <w:i/>
                <w:sz w:val="24"/>
                <w:szCs w:val="24"/>
                <w:lang w:val="en-GB"/>
              </w:rPr>
            </w:pPr>
          </w:p>
        </w:tc>
        <w:tc>
          <w:tcPr>
            <w:tcW w:w="1460" w:type="dxa"/>
            <w:shd w:val="clear" w:color="auto" w:fill="auto"/>
            <w:vAlign w:val="center"/>
          </w:tcPr>
          <w:p w14:paraId="1A0F0075" w14:textId="77777777" w:rsidR="0093205E" w:rsidRPr="0049263A" w:rsidRDefault="0093205E" w:rsidP="00261F97">
            <w:pPr>
              <w:snapToGrid w:val="0"/>
              <w:spacing w:line="360" w:lineRule="auto"/>
              <w:jc w:val="center"/>
              <w:rPr>
                <w:rFonts w:ascii="Book Antiqua" w:eastAsia="MS Mincho" w:hAnsi="Book Antiqua" w:cs="Arial"/>
                <w:sz w:val="24"/>
                <w:szCs w:val="24"/>
                <w:lang w:val="en-GB"/>
              </w:rPr>
            </w:pPr>
            <w:r w:rsidRPr="0049263A">
              <w:rPr>
                <w:rFonts w:ascii="Book Antiqua" w:hAnsi="Book Antiqua" w:cs="Arial"/>
                <w:sz w:val="24"/>
                <w:szCs w:val="24"/>
                <w:lang w:val="en-GB"/>
              </w:rPr>
              <w:t>0.467</w:t>
            </w:r>
          </w:p>
        </w:tc>
      </w:tr>
      <w:tr w:rsidR="003777B7" w:rsidRPr="0049263A" w14:paraId="66430EBC" w14:textId="77777777" w:rsidTr="00261F97">
        <w:trPr>
          <w:trHeight w:hRule="exact" w:val="340"/>
          <w:jc w:val="center"/>
        </w:trPr>
        <w:tc>
          <w:tcPr>
            <w:tcW w:w="3172" w:type="dxa"/>
            <w:shd w:val="clear" w:color="auto" w:fill="auto"/>
            <w:vAlign w:val="center"/>
          </w:tcPr>
          <w:p w14:paraId="01BCEBD0" w14:textId="77777777" w:rsidR="00261F97" w:rsidRPr="0049263A" w:rsidRDefault="00261F97" w:rsidP="00261F97">
            <w:pPr>
              <w:snapToGrid w:val="0"/>
              <w:spacing w:line="360" w:lineRule="auto"/>
              <w:ind w:firstLineChars="100" w:firstLine="240"/>
              <w:rPr>
                <w:rFonts w:ascii="Book Antiqua" w:hAnsi="Book Antiqua" w:cs="Arial"/>
                <w:sz w:val="24"/>
                <w:szCs w:val="24"/>
                <w:lang w:val="en-GB"/>
              </w:rPr>
            </w:pPr>
            <w:r w:rsidRPr="0049263A">
              <w:rPr>
                <w:rFonts w:ascii="Book Antiqua" w:hAnsi="Book Antiqua" w:cs="Arial"/>
                <w:sz w:val="24"/>
                <w:szCs w:val="24"/>
                <w:lang w:val="en-GB"/>
              </w:rPr>
              <w:t>Fibrinogen ≤ 400 mg/</w:t>
            </w:r>
            <w:proofErr w:type="spellStart"/>
            <w:r w:rsidRPr="0049263A">
              <w:rPr>
                <w:rFonts w:ascii="Book Antiqua" w:hAnsi="Book Antiqua" w:cs="Arial"/>
                <w:sz w:val="24"/>
                <w:szCs w:val="24"/>
                <w:lang w:val="en-GB"/>
              </w:rPr>
              <w:t>dL</w:t>
            </w:r>
            <w:proofErr w:type="spellEnd"/>
          </w:p>
        </w:tc>
        <w:tc>
          <w:tcPr>
            <w:tcW w:w="1835" w:type="dxa"/>
            <w:shd w:val="clear" w:color="auto" w:fill="auto"/>
            <w:vAlign w:val="center"/>
          </w:tcPr>
          <w:p w14:paraId="47AF2C0E" w14:textId="77777777" w:rsidR="00261F97" w:rsidRPr="0049263A" w:rsidRDefault="00261F97" w:rsidP="00261F97">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81.7</w:t>
            </w:r>
          </w:p>
        </w:tc>
        <w:tc>
          <w:tcPr>
            <w:tcW w:w="1340" w:type="dxa"/>
            <w:shd w:val="clear" w:color="auto" w:fill="auto"/>
            <w:vAlign w:val="center"/>
          </w:tcPr>
          <w:p w14:paraId="2639F659" w14:textId="77777777" w:rsidR="00261F97" w:rsidRPr="0049263A" w:rsidRDefault="00261F97" w:rsidP="00261F97">
            <w:pPr>
              <w:snapToGrid w:val="0"/>
              <w:spacing w:line="360" w:lineRule="auto"/>
              <w:jc w:val="center"/>
              <w:rPr>
                <w:rFonts w:ascii="Book Antiqua" w:hAnsi="Book Antiqua" w:cs="Arial"/>
                <w:sz w:val="24"/>
                <w:szCs w:val="24"/>
                <w:lang w:val="en-GB"/>
              </w:rPr>
            </w:pPr>
          </w:p>
        </w:tc>
        <w:tc>
          <w:tcPr>
            <w:tcW w:w="1920" w:type="dxa"/>
            <w:shd w:val="clear" w:color="auto" w:fill="auto"/>
            <w:vAlign w:val="center"/>
          </w:tcPr>
          <w:p w14:paraId="18AC75F9" w14:textId="77777777" w:rsidR="00261F97" w:rsidRPr="0049263A" w:rsidRDefault="00261F97" w:rsidP="00261F97">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92.2</w:t>
            </w:r>
          </w:p>
        </w:tc>
        <w:tc>
          <w:tcPr>
            <w:tcW w:w="1460" w:type="dxa"/>
            <w:shd w:val="clear" w:color="auto" w:fill="auto"/>
            <w:vAlign w:val="center"/>
          </w:tcPr>
          <w:p w14:paraId="2B36896E" w14:textId="77777777" w:rsidR="00261F97" w:rsidRPr="0049263A" w:rsidRDefault="00261F97" w:rsidP="00261F97">
            <w:pPr>
              <w:snapToGrid w:val="0"/>
              <w:spacing w:line="360" w:lineRule="auto"/>
              <w:jc w:val="center"/>
              <w:rPr>
                <w:rFonts w:ascii="Book Antiqua" w:hAnsi="Book Antiqua" w:cs="Arial"/>
                <w:sz w:val="24"/>
                <w:szCs w:val="24"/>
                <w:lang w:val="en-GB"/>
              </w:rPr>
            </w:pPr>
          </w:p>
        </w:tc>
      </w:tr>
      <w:tr w:rsidR="003777B7" w:rsidRPr="0049263A" w14:paraId="795AE299" w14:textId="77777777" w:rsidTr="00261F97">
        <w:trPr>
          <w:trHeight w:hRule="exact" w:val="340"/>
          <w:jc w:val="center"/>
        </w:trPr>
        <w:tc>
          <w:tcPr>
            <w:tcW w:w="3172" w:type="dxa"/>
            <w:shd w:val="clear" w:color="auto" w:fill="auto"/>
            <w:vAlign w:val="center"/>
          </w:tcPr>
          <w:p w14:paraId="50F8586F" w14:textId="77777777" w:rsidR="00261F97" w:rsidRPr="0049263A" w:rsidRDefault="00261F97" w:rsidP="00261F97">
            <w:pPr>
              <w:snapToGrid w:val="0"/>
              <w:spacing w:line="360" w:lineRule="auto"/>
              <w:ind w:firstLineChars="100" w:firstLine="240"/>
              <w:rPr>
                <w:rFonts w:ascii="Book Antiqua" w:hAnsi="Book Antiqua" w:cs="Arial"/>
                <w:sz w:val="24"/>
                <w:szCs w:val="24"/>
                <w:lang w:val="en-GB"/>
              </w:rPr>
            </w:pPr>
            <w:r w:rsidRPr="0049263A">
              <w:rPr>
                <w:rFonts w:ascii="Book Antiqua" w:hAnsi="Book Antiqua" w:cs="Arial"/>
                <w:sz w:val="24"/>
                <w:szCs w:val="24"/>
                <w:lang w:val="en-GB"/>
              </w:rPr>
              <w:t>Fibrinogen &gt; 400 mg/</w:t>
            </w:r>
            <w:proofErr w:type="spellStart"/>
            <w:r w:rsidRPr="0049263A">
              <w:rPr>
                <w:rFonts w:ascii="Book Antiqua" w:hAnsi="Book Antiqua" w:cs="Arial"/>
                <w:sz w:val="24"/>
                <w:szCs w:val="24"/>
                <w:lang w:val="en-GB"/>
              </w:rPr>
              <w:t>dL</w:t>
            </w:r>
            <w:proofErr w:type="spellEnd"/>
          </w:p>
        </w:tc>
        <w:tc>
          <w:tcPr>
            <w:tcW w:w="1835" w:type="dxa"/>
            <w:shd w:val="clear" w:color="auto" w:fill="auto"/>
            <w:vAlign w:val="center"/>
          </w:tcPr>
          <w:p w14:paraId="626578F5" w14:textId="77777777" w:rsidR="00261F97" w:rsidRPr="0049263A" w:rsidRDefault="00261F97" w:rsidP="00261F97">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74.0</w:t>
            </w:r>
          </w:p>
        </w:tc>
        <w:tc>
          <w:tcPr>
            <w:tcW w:w="1340" w:type="dxa"/>
            <w:shd w:val="clear" w:color="auto" w:fill="auto"/>
            <w:vAlign w:val="center"/>
          </w:tcPr>
          <w:p w14:paraId="69DE38A7" w14:textId="77777777" w:rsidR="00261F97" w:rsidRPr="0049263A" w:rsidRDefault="00261F97" w:rsidP="00261F97">
            <w:pPr>
              <w:snapToGrid w:val="0"/>
              <w:spacing w:line="360" w:lineRule="auto"/>
              <w:jc w:val="center"/>
              <w:rPr>
                <w:rFonts w:ascii="Book Antiqua" w:hAnsi="Book Antiqua" w:cs="Arial"/>
                <w:sz w:val="24"/>
                <w:szCs w:val="24"/>
                <w:lang w:val="en-GB"/>
              </w:rPr>
            </w:pPr>
          </w:p>
        </w:tc>
        <w:tc>
          <w:tcPr>
            <w:tcW w:w="1920" w:type="dxa"/>
            <w:shd w:val="clear" w:color="auto" w:fill="auto"/>
            <w:vAlign w:val="center"/>
          </w:tcPr>
          <w:p w14:paraId="0D303CDB" w14:textId="77777777" w:rsidR="00261F97" w:rsidRPr="0049263A" w:rsidRDefault="00261F97" w:rsidP="00261F97">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92.1</w:t>
            </w:r>
          </w:p>
        </w:tc>
        <w:tc>
          <w:tcPr>
            <w:tcW w:w="1460" w:type="dxa"/>
            <w:shd w:val="clear" w:color="auto" w:fill="auto"/>
            <w:vAlign w:val="center"/>
          </w:tcPr>
          <w:p w14:paraId="0E9B5D67" w14:textId="77777777" w:rsidR="00261F97" w:rsidRPr="0049263A" w:rsidRDefault="00261F97" w:rsidP="00261F97">
            <w:pPr>
              <w:snapToGrid w:val="0"/>
              <w:spacing w:line="360" w:lineRule="auto"/>
              <w:jc w:val="center"/>
              <w:rPr>
                <w:rFonts w:ascii="Book Antiqua" w:hAnsi="Book Antiqua" w:cs="Arial"/>
                <w:sz w:val="24"/>
                <w:szCs w:val="24"/>
                <w:lang w:val="en-GB"/>
              </w:rPr>
            </w:pPr>
          </w:p>
        </w:tc>
      </w:tr>
      <w:tr w:rsidR="003777B7" w:rsidRPr="0049263A" w14:paraId="5E8BBD31" w14:textId="77777777" w:rsidTr="00261F97">
        <w:trPr>
          <w:trHeight w:hRule="exact" w:val="340"/>
          <w:jc w:val="center"/>
        </w:trPr>
        <w:tc>
          <w:tcPr>
            <w:tcW w:w="3172" w:type="dxa"/>
            <w:shd w:val="clear" w:color="auto" w:fill="auto"/>
            <w:vAlign w:val="center"/>
          </w:tcPr>
          <w:p w14:paraId="2EB411E7" w14:textId="77777777" w:rsidR="0093205E" w:rsidRPr="0049263A" w:rsidRDefault="0093205E" w:rsidP="00261F97">
            <w:pPr>
              <w:snapToGrid w:val="0"/>
              <w:spacing w:line="360" w:lineRule="auto"/>
              <w:rPr>
                <w:rFonts w:ascii="Book Antiqua" w:hAnsi="Book Antiqua" w:cs="Arial"/>
                <w:i/>
                <w:sz w:val="24"/>
                <w:szCs w:val="24"/>
                <w:lang w:val="en-GB"/>
              </w:rPr>
            </w:pPr>
            <w:r w:rsidRPr="0049263A">
              <w:rPr>
                <w:rFonts w:ascii="Book Antiqua" w:hAnsi="Book Antiqua" w:cs="Arial"/>
                <w:sz w:val="24"/>
                <w:szCs w:val="24"/>
                <w:lang w:val="en-GB"/>
              </w:rPr>
              <w:t>Stage III</w:t>
            </w:r>
          </w:p>
        </w:tc>
        <w:tc>
          <w:tcPr>
            <w:tcW w:w="1835" w:type="dxa"/>
            <w:shd w:val="clear" w:color="auto" w:fill="auto"/>
            <w:vAlign w:val="center"/>
          </w:tcPr>
          <w:p w14:paraId="4D1F8A62" w14:textId="77777777" w:rsidR="0093205E" w:rsidRPr="0049263A" w:rsidRDefault="0093205E" w:rsidP="00261F97">
            <w:pPr>
              <w:snapToGrid w:val="0"/>
              <w:spacing w:line="360" w:lineRule="auto"/>
              <w:jc w:val="center"/>
              <w:rPr>
                <w:rFonts w:ascii="Book Antiqua" w:hAnsi="Book Antiqua" w:cs="Arial"/>
                <w:i/>
                <w:sz w:val="24"/>
                <w:szCs w:val="24"/>
                <w:lang w:val="en-GB"/>
              </w:rPr>
            </w:pPr>
          </w:p>
        </w:tc>
        <w:tc>
          <w:tcPr>
            <w:tcW w:w="1340" w:type="dxa"/>
            <w:shd w:val="clear" w:color="auto" w:fill="auto"/>
            <w:vAlign w:val="center"/>
          </w:tcPr>
          <w:p w14:paraId="4E0CA5AC" w14:textId="77777777" w:rsidR="0093205E" w:rsidRPr="0049263A" w:rsidRDefault="0093205E" w:rsidP="00261F97">
            <w:pPr>
              <w:snapToGrid w:val="0"/>
              <w:spacing w:line="360" w:lineRule="auto"/>
              <w:jc w:val="center"/>
              <w:rPr>
                <w:rFonts w:ascii="Book Antiqua" w:hAnsi="Book Antiqua" w:cs="Arial"/>
                <w:i/>
                <w:sz w:val="24"/>
                <w:szCs w:val="24"/>
                <w:lang w:val="en-GB"/>
              </w:rPr>
            </w:pPr>
            <w:r w:rsidRPr="0049263A">
              <w:rPr>
                <w:rFonts w:ascii="Book Antiqua" w:hAnsi="Book Antiqua" w:cs="Arial"/>
                <w:sz w:val="24"/>
                <w:szCs w:val="24"/>
                <w:lang w:val="en-GB"/>
              </w:rPr>
              <w:t>0.206</w:t>
            </w:r>
          </w:p>
        </w:tc>
        <w:tc>
          <w:tcPr>
            <w:tcW w:w="1920" w:type="dxa"/>
            <w:shd w:val="clear" w:color="auto" w:fill="auto"/>
            <w:vAlign w:val="center"/>
          </w:tcPr>
          <w:p w14:paraId="563C89AE" w14:textId="77777777" w:rsidR="0093205E" w:rsidRPr="0049263A" w:rsidRDefault="0093205E" w:rsidP="00261F97">
            <w:pPr>
              <w:snapToGrid w:val="0"/>
              <w:spacing w:line="360" w:lineRule="auto"/>
              <w:jc w:val="center"/>
              <w:rPr>
                <w:rFonts w:ascii="Book Antiqua" w:hAnsi="Book Antiqua" w:cs="Arial"/>
                <w:i/>
                <w:sz w:val="24"/>
                <w:szCs w:val="24"/>
                <w:lang w:val="en-GB"/>
              </w:rPr>
            </w:pPr>
          </w:p>
        </w:tc>
        <w:tc>
          <w:tcPr>
            <w:tcW w:w="1460" w:type="dxa"/>
            <w:shd w:val="clear" w:color="auto" w:fill="auto"/>
            <w:vAlign w:val="center"/>
          </w:tcPr>
          <w:p w14:paraId="6B7ABC03" w14:textId="77777777" w:rsidR="0093205E" w:rsidRPr="0049263A" w:rsidRDefault="0093205E" w:rsidP="00261F97">
            <w:pPr>
              <w:snapToGrid w:val="0"/>
              <w:spacing w:line="360" w:lineRule="auto"/>
              <w:jc w:val="center"/>
              <w:rPr>
                <w:rFonts w:ascii="Book Antiqua" w:eastAsia="MS Mincho" w:hAnsi="Book Antiqua" w:cs="Arial"/>
                <w:sz w:val="24"/>
                <w:szCs w:val="24"/>
                <w:lang w:val="en-GB"/>
              </w:rPr>
            </w:pPr>
            <w:r w:rsidRPr="0049263A">
              <w:rPr>
                <w:rFonts w:ascii="Book Antiqua" w:hAnsi="Book Antiqua" w:cs="Arial"/>
                <w:sz w:val="24"/>
                <w:szCs w:val="24"/>
                <w:lang w:val="en-GB"/>
              </w:rPr>
              <w:t>0.627</w:t>
            </w:r>
          </w:p>
        </w:tc>
      </w:tr>
      <w:tr w:rsidR="003777B7" w:rsidRPr="0049263A" w14:paraId="294FB9BD" w14:textId="77777777" w:rsidTr="00261F97">
        <w:trPr>
          <w:trHeight w:hRule="exact" w:val="340"/>
          <w:jc w:val="center"/>
        </w:trPr>
        <w:tc>
          <w:tcPr>
            <w:tcW w:w="3172" w:type="dxa"/>
            <w:shd w:val="clear" w:color="auto" w:fill="auto"/>
            <w:vAlign w:val="center"/>
          </w:tcPr>
          <w:p w14:paraId="5E0C68B1" w14:textId="77777777" w:rsidR="00261F97" w:rsidRPr="0049263A" w:rsidRDefault="00261F97" w:rsidP="00261F97">
            <w:pPr>
              <w:snapToGrid w:val="0"/>
              <w:spacing w:line="360" w:lineRule="auto"/>
              <w:ind w:firstLineChars="100" w:firstLine="240"/>
              <w:rPr>
                <w:rFonts w:ascii="Book Antiqua" w:hAnsi="Book Antiqua" w:cs="Arial"/>
                <w:sz w:val="24"/>
                <w:szCs w:val="24"/>
                <w:lang w:val="en-GB"/>
              </w:rPr>
            </w:pPr>
            <w:r w:rsidRPr="0049263A">
              <w:rPr>
                <w:rFonts w:ascii="Book Antiqua" w:hAnsi="Book Antiqua" w:cs="Arial"/>
                <w:sz w:val="24"/>
                <w:szCs w:val="24"/>
                <w:lang w:val="en-GB"/>
              </w:rPr>
              <w:t>Fibrinogen ≤ 400 mg/</w:t>
            </w:r>
            <w:proofErr w:type="spellStart"/>
            <w:r w:rsidRPr="0049263A">
              <w:rPr>
                <w:rFonts w:ascii="Book Antiqua" w:hAnsi="Book Antiqua" w:cs="Arial"/>
                <w:sz w:val="24"/>
                <w:szCs w:val="24"/>
                <w:lang w:val="en-GB"/>
              </w:rPr>
              <w:t>dL</w:t>
            </w:r>
            <w:proofErr w:type="spellEnd"/>
          </w:p>
        </w:tc>
        <w:tc>
          <w:tcPr>
            <w:tcW w:w="1835" w:type="dxa"/>
            <w:shd w:val="clear" w:color="auto" w:fill="auto"/>
            <w:vAlign w:val="center"/>
          </w:tcPr>
          <w:p w14:paraId="1D193448" w14:textId="77777777" w:rsidR="00261F97" w:rsidRPr="0049263A" w:rsidRDefault="00261F97" w:rsidP="00261F97">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70.6</w:t>
            </w:r>
          </w:p>
        </w:tc>
        <w:tc>
          <w:tcPr>
            <w:tcW w:w="1340" w:type="dxa"/>
            <w:shd w:val="clear" w:color="auto" w:fill="auto"/>
            <w:vAlign w:val="center"/>
          </w:tcPr>
          <w:p w14:paraId="6AF769CC" w14:textId="77777777" w:rsidR="00261F97" w:rsidRPr="0049263A" w:rsidRDefault="00261F97" w:rsidP="00261F97">
            <w:pPr>
              <w:snapToGrid w:val="0"/>
              <w:spacing w:line="360" w:lineRule="auto"/>
              <w:jc w:val="center"/>
              <w:rPr>
                <w:rFonts w:ascii="Book Antiqua" w:hAnsi="Book Antiqua" w:cs="Arial"/>
                <w:sz w:val="24"/>
                <w:szCs w:val="24"/>
                <w:lang w:val="en-GB"/>
              </w:rPr>
            </w:pPr>
          </w:p>
        </w:tc>
        <w:tc>
          <w:tcPr>
            <w:tcW w:w="1920" w:type="dxa"/>
            <w:shd w:val="clear" w:color="auto" w:fill="auto"/>
            <w:vAlign w:val="center"/>
          </w:tcPr>
          <w:p w14:paraId="30A2A76E" w14:textId="77777777" w:rsidR="00261F97" w:rsidRPr="0049263A" w:rsidRDefault="00261F97" w:rsidP="00261F97">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81.8</w:t>
            </w:r>
          </w:p>
        </w:tc>
        <w:tc>
          <w:tcPr>
            <w:tcW w:w="1460" w:type="dxa"/>
            <w:shd w:val="clear" w:color="auto" w:fill="auto"/>
            <w:vAlign w:val="center"/>
          </w:tcPr>
          <w:p w14:paraId="6AFDE539" w14:textId="77777777" w:rsidR="00261F97" w:rsidRPr="0049263A" w:rsidRDefault="00261F97" w:rsidP="00261F97">
            <w:pPr>
              <w:snapToGrid w:val="0"/>
              <w:spacing w:line="360" w:lineRule="auto"/>
              <w:jc w:val="center"/>
              <w:rPr>
                <w:rFonts w:ascii="Book Antiqua" w:hAnsi="Book Antiqua" w:cs="Arial"/>
                <w:sz w:val="24"/>
                <w:szCs w:val="24"/>
                <w:lang w:val="en-GB"/>
              </w:rPr>
            </w:pPr>
          </w:p>
        </w:tc>
      </w:tr>
      <w:tr w:rsidR="003777B7" w:rsidRPr="0049263A" w14:paraId="209EF6AB" w14:textId="77777777" w:rsidTr="00261F97">
        <w:trPr>
          <w:trHeight w:hRule="exact" w:val="340"/>
          <w:jc w:val="center"/>
        </w:trPr>
        <w:tc>
          <w:tcPr>
            <w:tcW w:w="3172" w:type="dxa"/>
            <w:shd w:val="clear" w:color="auto" w:fill="auto"/>
            <w:vAlign w:val="center"/>
          </w:tcPr>
          <w:p w14:paraId="650CDCBA" w14:textId="77777777" w:rsidR="00261F97" w:rsidRPr="0049263A" w:rsidRDefault="00261F97" w:rsidP="00261F97">
            <w:pPr>
              <w:snapToGrid w:val="0"/>
              <w:spacing w:line="360" w:lineRule="auto"/>
              <w:ind w:firstLineChars="100" w:firstLine="240"/>
              <w:rPr>
                <w:rFonts w:ascii="Book Antiqua" w:hAnsi="Book Antiqua" w:cs="Arial"/>
                <w:sz w:val="24"/>
                <w:szCs w:val="24"/>
                <w:lang w:val="en-GB"/>
              </w:rPr>
            </w:pPr>
            <w:r w:rsidRPr="0049263A">
              <w:rPr>
                <w:rFonts w:ascii="Book Antiqua" w:hAnsi="Book Antiqua" w:cs="Arial"/>
                <w:sz w:val="24"/>
                <w:szCs w:val="24"/>
                <w:lang w:val="en-GB"/>
              </w:rPr>
              <w:t>Fibrinogen &gt; 400 mg/</w:t>
            </w:r>
            <w:proofErr w:type="spellStart"/>
            <w:r w:rsidRPr="0049263A">
              <w:rPr>
                <w:rFonts w:ascii="Book Antiqua" w:hAnsi="Book Antiqua" w:cs="Arial"/>
                <w:sz w:val="24"/>
                <w:szCs w:val="24"/>
                <w:lang w:val="en-GB"/>
              </w:rPr>
              <w:t>dL</w:t>
            </w:r>
            <w:proofErr w:type="spellEnd"/>
          </w:p>
        </w:tc>
        <w:tc>
          <w:tcPr>
            <w:tcW w:w="1835" w:type="dxa"/>
            <w:shd w:val="clear" w:color="auto" w:fill="auto"/>
            <w:vAlign w:val="center"/>
          </w:tcPr>
          <w:p w14:paraId="397CAD34" w14:textId="77777777" w:rsidR="00261F97" w:rsidRPr="0049263A" w:rsidRDefault="00261F97" w:rsidP="00261F97">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60.8</w:t>
            </w:r>
          </w:p>
        </w:tc>
        <w:tc>
          <w:tcPr>
            <w:tcW w:w="1340" w:type="dxa"/>
            <w:shd w:val="clear" w:color="auto" w:fill="auto"/>
            <w:vAlign w:val="center"/>
          </w:tcPr>
          <w:p w14:paraId="7F0D715D" w14:textId="77777777" w:rsidR="00261F97" w:rsidRPr="0049263A" w:rsidRDefault="00261F97" w:rsidP="00261F97">
            <w:pPr>
              <w:snapToGrid w:val="0"/>
              <w:spacing w:line="360" w:lineRule="auto"/>
              <w:jc w:val="center"/>
              <w:rPr>
                <w:rFonts w:ascii="Book Antiqua" w:hAnsi="Book Antiqua" w:cs="Arial"/>
                <w:sz w:val="24"/>
                <w:szCs w:val="24"/>
                <w:lang w:val="en-GB"/>
              </w:rPr>
            </w:pPr>
          </w:p>
        </w:tc>
        <w:tc>
          <w:tcPr>
            <w:tcW w:w="1920" w:type="dxa"/>
            <w:shd w:val="clear" w:color="auto" w:fill="auto"/>
            <w:vAlign w:val="center"/>
          </w:tcPr>
          <w:p w14:paraId="41C2F5F2" w14:textId="77777777" w:rsidR="00261F97" w:rsidRPr="0049263A" w:rsidRDefault="00261F97" w:rsidP="00261F97">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85.0</w:t>
            </w:r>
          </w:p>
        </w:tc>
        <w:tc>
          <w:tcPr>
            <w:tcW w:w="1460" w:type="dxa"/>
            <w:shd w:val="clear" w:color="auto" w:fill="auto"/>
            <w:vAlign w:val="center"/>
          </w:tcPr>
          <w:p w14:paraId="6F6213D0" w14:textId="77777777" w:rsidR="00261F97" w:rsidRPr="0049263A" w:rsidRDefault="00261F97" w:rsidP="00261F97">
            <w:pPr>
              <w:snapToGrid w:val="0"/>
              <w:spacing w:line="360" w:lineRule="auto"/>
              <w:jc w:val="center"/>
              <w:rPr>
                <w:rFonts w:ascii="Book Antiqua" w:hAnsi="Book Antiqua" w:cs="Arial"/>
                <w:sz w:val="24"/>
                <w:szCs w:val="24"/>
                <w:lang w:val="en-GB"/>
              </w:rPr>
            </w:pPr>
          </w:p>
        </w:tc>
      </w:tr>
      <w:tr w:rsidR="003777B7" w:rsidRPr="0049263A" w14:paraId="3F09A377" w14:textId="77777777" w:rsidTr="00261F97">
        <w:trPr>
          <w:trHeight w:hRule="exact" w:val="340"/>
          <w:jc w:val="center"/>
        </w:trPr>
        <w:tc>
          <w:tcPr>
            <w:tcW w:w="3172" w:type="dxa"/>
            <w:shd w:val="clear" w:color="auto" w:fill="auto"/>
            <w:vAlign w:val="center"/>
          </w:tcPr>
          <w:p w14:paraId="0D69CB60" w14:textId="77777777" w:rsidR="0093205E" w:rsidRPr="0049263A" w:rsidRDefault="0093205E" w:rsidP="00261F97">
            <w:pPr>
              <w:snapToGrid w:val="0"/>
              <w:spacing w:line="360" w:lineRule="auto"/>
              <w:rPr>
                <w:rFonts w:ascii="Book Antiqua" w:hAnsi="Book Antiqua" w:cs="Arial"/>
                <w:i/>
                <w:sz w:val="24"/>
                <w:szCs w:val="24"/>
                <w:lang w:val="en-GB"/>
              </w:rPr>
            </w:pPr>
            <w:r w:rsidRPr="0049263A">
              <w:rPr>
                <w:rFonts w:ascii="Book Antiqua" w:hAnsi="Book Antiqua" w:cs="Arial"/>
                <w:sz w:val="24"/>
                <w:szCs w:val="24"/>
                <w:lang w:val="en-GB"/>
              </w:rPr>
              <w:t>Stage IV</w:t>
            </w:r>
          </w:p>
        </w:tc>
        <w:tc>
          <w:tcPr>
            <w:tcW w:w="1835" w:type="dxa"/>
            <w:shd w:val="clear" w:color="auto" w:fill="auto"/>
            <w:vAlign w:val="center"/>
          </w:tcPr>
          <w:p w14:paraId="2EABDFC4" w14:textId="77777777" w:rsidR="0093205E" w:rsidRPr="0049263A" w:rsidRDefault="0093205E" w:rsidP="00261F97">
            <w:pPr>
              <w:snapToGrid w:val="0"/>
              <w:spacing w:line="360" w:lineRule="auto"/>
              <w:jc w:val="center"/>
              <w:rPr>
                <w:rFonts w:ascii="Book Antiqua" w:hAnsi="Book Antiqua" w:cs="Arial"/>
                <w:i/>
                <w:sz w:val="24"/>
                <w:szCs w:val="24"/>
                <w:lang w:val="en-GB"/>
              </w:rPr>
            </w:pPr>
          </w:p>
        </w:tc>
        <w:tc>
          <w:tcPr>
            <w:tcW w:w="1340" w:type="dxa"/>
            <w:shd w:val="clear" w:color="auto" w:fill="auto"/>
            <w:vAlign w:val="center"/>
          </w:tcPr>
          <w:p w14:paraId="12B43D65" w14:textId="77777777" w:rsidR="0093205E" w:rsidRPr="0049263A" w:rsidRDefault="0093205E" w:rsidP="00261F97">
            <w:pPr>
              <w:snapToGrid w:val="0"/>
              <w:spacing w:line="360" w:lineRule="auto"/>
              <w:jc w:val="center"/>
              <w:rPr>
                <w:rFonts w:ascii="Book Antiqua" w:hAnsi="Book Antiqua" w:cs="Arial"/>
                <w:i/>
                <w:sz w:val="24"/>
                <w:szCs w:val="24"/>
                <w:lang w:val="en-GB"/>
              </w:rPr>
            </w:pPr>
            <w:r w:rsidRPr="0049263A">
              <w:rPr>
                <w:rFonts w:ascii="Book Antiqua" w:hAnsi="Book Antiqua" w:cs="Arial"/>
                <w:sz w:val="24"/>
                <w:szCs w:val="24"/>
                <w:lang w:val="en-GB"/>
              </w:rPr>
              <w:t>0.566</w:t>
            </w:r>
          </w:p>
        </w:tc>
        <w:tc>
          <w:tcPr>
            <w:tcW w:w="1920" w:type="dxa"/>
            <w:shd w:val="clear" w:color="auto" w:fill="auto"/>
            <w:vAlign w:val="center"/>
          </w:tcPr>
          <w:p w14:paraId="27A40158" w14:textId="77777777" w:rsidR="0093205E" w:rsidRPr="0049263A" w:rsidRDefault="0093205E" w:rsidP="00261F97">
            <w:pPr>
              <w:snapToGrid w:val="0"/>
              <w:spacing w:line="360" w:lineRule="auto"/>
              <w:jc w:val="center"/>
              <w:rPr>
                <w:rFonts w:ascii="Book Antiqua" w:hAnsi="Book Antiqua" w:cs="Arial"/>
                <w:i/>
                <w:sz w:val="24"/>
                <w:szCs w:val="24"/>
                <w:lang w:val="en-GB"/>
              </w:rPr>
            </w:pPr>
          </w:p>
        </w:tc>
        <w:tc>
          <w:tcPr>
            <w:tcW w:w="1460" w:type="dxa"/>
            <w:shd w:val="clear" w:color="auto" w:fill="auto"/>
            <w:vAlign w:val="center"/>
          </w:tcPr>
          <w:p w14:paraId="59D4428B" w14:textId="77777777" w:rsidR="0093205E" w:rsidRPr="0049263A" w:rsidRDefault="0093205E" w:rsidP="00261F97">
            <w:pPr>
              <w:snapToGrid w:val="0"/>
              <w:spacing w:line="360" w:lineRule="auto"/>
              <w:jc w:val="center"/>
              <w:rPr>
                <w:rFonts w:ascii="Book Antiqua" w:eastAsia="MS Mincho" w:hAnsi="Book Antiqua" w:cs="Arial"/>
                <w:sz w:val="24"/>
                <w:szCs w:val="24"/>
                <w:lang w:val="en-GB"/>
              </w:rPr>
            </w:pPr>
            <w:r w:rsidRPr="0049263A">
              <w:rPr>
                <w:rFonts w:ascii="Book Antiqua" w:hAnsi="Book Antiqua" w:cs="Arial"/>
                <w:sz w:val="24"/>
                <w:szCs w:val="24"/>
                <w:lang w:val="en-GB"/>
              </w:rPr>
              <w:t>0.213</w:t>
            </w:r>
          </w:p>
        </w:tc>
      </w:tr>
      <w:tr w:rsidR="003777B7" w:rsidRPr="0049263A" w14:paraId="62B29E75" w14:textId="77777777" w:rsidTr="00261F97">
        <w:trPr>
          <w:trHeight w:hRule="exact" w:val="340"/>
          <w:jc w:val="center"/>
        </w:trPr>
        <w:tc>
          <w:tcPr>
            <w:tcW w:w="3172" w:type="dxa"/>
            <w:shd w:val="clear" w:color="auto" w:fill="auto"/>
            <w:vAlign w:val="center"/>
          </w:tcPr>
          <w:p w14:paraId="3BFA5381" w14:textId="77777777" w:rsidR="00261F97" w:rsidRPr="0049263A" w:rsidRDefault="00261F97" w:rsidP="00261F97">
            <w:pPr>
              <w:snapToGrid w:val="0"/>
              <w:spacing w:line="360" w:lineRule="auto"/>
              <w:ind w:firstLineChars="100" w:firstLine="240"/>
              <w:rPr>
                <w:rFonts w:ascii="Book Antiqua" w:hAnsi="Book Antiqua" w:cs="Arial"/>
                <w:sz w:val="24"/>
                <w:szCs w:val="24"/>
                <w:lang w:val="en-GB"/>
              </w:rPr>
            </w:pPr>
            <w:r w:rsidRPr="0049263A">
              <w:rPr>
                <w:rFonts w:ascii="Book Antiqua" w:hAnsi="Book Antiqua" w:cs="Arial"/>
                <w:sz w:val="24"/>
                <w:szCs w:val="24"/>
                <w:lang w:val="en-GB"/>
              </w:rPr>
              <w:t>Fibrinogen ≤ 400 mg/</w:t>
            </w:r>
            <w:proofErr w:type="spellStart"/>
            <w:r w:rsidRPr="0049263A">
              <w:rPr>
                <w:rFonts w:ascii="Book Antiqua" w:hAnsi="Book Antiqua" w:cs="Arial"/>
                <w:sz w:val="24"/>
                <w:szCs w:val="24"/>
                <w:lang w:val="en-GB"/>
              </w:rPr>
              <w:t>dL</w:t>
            </w:r>
            <w:proofErr w:type="spellEnd"/>
          </w:p>
        </w:tc>
        <w:tc>
          <w:tcPr>
            <w:tcW w:w="1835" w:type="dxa"/>
            <w:shd w:val="clear" w:color="auto" w:fill="auto"/>
            <w:vAlign w:val="center"/>
          </w:tcPr>
          <w:p w14:paraId="0D62581A" w14:textId="77777777" w:rsidR="00261F97" w:rsidRPr="0049263A" w:rsidRDefault="00261F97" w:rsidP="00261F97">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30.0</w:t>
            </w:r>
          </w:p>
        </w:tc>
        <w:tc>
          <w:tcPr>
            <w:tcW w:w="1340" w:type="dxa"/>
            <w:shd w:val="clear" w:color="auto" w:fill="auto"/>
            <w:vAlign w:val="center"/>
          </w:tcPr>
          <w:p w14:paraId="10DAA7ED" w14:textId="77777777" w:rsidR="00261F97" w:rsidRPr="0049263A" w:rsidRDefault="00261F97" w:rsidP="00261F97">
            <w:pPr>
              <w:snapToGrid w:val="0"/>
              <w:spacing w:line="360" w:lineRule="auto"/>
              <w:jc w:val="center"/>
              <w:rPr>
                <w:rFonts w:ascii="Book Antiqua" w:hAnsi="Book Antiqua" w:cs="Arial"/>
                <w:sz w:val="24"/>
                <w:szCs w:val="24"/>
                <w:lang w:val="en-GB"/>
              </w:rPr>
            </w:pPr>
          </w:p>
        </w:tc>
        <w:tc>
          <w:tcPr>
            <w:tcW w:w="1920" w:type="dxa"/>
            <w:shd w:val="clear" w:color="auto" w:fill="auto"/>
            <w:vAlign w:val="center"/>
          </w:tcPr>
          <w:p w14:paraId="2F68F7B4" w14:textId="77777777" w:rsidR="00261F97" w:rsidRPr="0049263A" w:rsidRDefault="00261F97" w:rsidP="00261F97">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31.8</w:t>
            </w:r>
          </w:p>
        </w:tc>
        <w:tc>
          <w:tcPr>
            <w:tcW w:w="1460" w:type="dxa"/>
            <w:shd w:val="clear" w:color="auto" w:fill="auto"/>
            <w:vAlign w:val="center"/>
          </w:tcPr>
          <w:p w14:paraId="68F38E9A" w14:textId="77777777" w:rsidR="00261F97" w:rsidRPr="0049263A" w:rsidRDefault="00261F97" w:rsidP="00261F97">
            <w:pPr>
              <w:snapToGrid w:val="0"/>
              <w:spacing w:line="360" w:lineRule="auto"/>
              <w:jc w:val="center"/>
              <w:rPr>
                <w:rFonts w:ascii="Book Antiqua" w:hAnsi="Book Antiqua" w:cs="Arial"/>
                <w:sz w:val="24"/>
                <w:szCs w:val="24"/>
                <w:lang w:val="en-GB"/>
              </w:rPr>
            </w:pPr>
          </w:p>
        </w:tc>
      </w:tr>
      <w:tr w:rsidR="00261F97" w:rsidRPr="0049263A" w14:paraId="073033C3" w14:textId="77777777" w:rsidTr="00261F97">
        <w:trPr>
          <w:trHeight w:hRule="exact" w:val="340"/>
          <w:jc w:val="center"/>
        </w:trPr>
        <w:tc>
          <w:tcPr>
            <w:tcW w:w="3172" w:type="dxa"/>
            <w:shd w:val="clear" w:color="auto" w:fill="auto"/>
            <w:vAlign w:val="center"/>
          </w:tcPr>
          <w:p w14:paraId="392BABC4" w14:textId="77777777" w:rsidR="00261F97" w:rsidRPr="0049263A" w:rsidRDefault="00261F97" w:rsidP="00261F97">
            <w:pPr>
              <w:snapToGrid w:val="0"/>
              <w:spacing w:line="360" w:lineRule="auto"/>
              <w:ind w:firstLineChars="100" w:firstLine="240"/>
              <w:rPr>
                <w:rFonts w:ascii="Book Antiqua" w:hAnsi="Book Antiqua" w:cs="Arial"/>
                <w:sz w:val="24"/>
                <w:szCs w:val="24"/>
                <w:lang w:val="en-GB"/>
              </w:rPr>
            </w:pPr>
            <w:r w:rsidRPr="0049263A">
              <w:rPr>
                <w:rFonts w:ascii="Book Antiqua" w:hAnsi="Book Antiqua" w:cs="Arial"/>
                <w:sz w:val="24"/>
                <w:szCs w:val="24"/>
                <w:lang w:val="en-GB"/>
              </w:rPr>
              <w:t>Fibrinogen &gt; 400 mg/</w:t>
            </w:r>
            <w:proofErr w:type="spellStart"/>
            <w:r w:rsidRPr="0049263A">
              <w:rPr>
                <w:rFonts w:ascii="Book Antiqua" w:hAnsi="Book Antiqua" w:cs="Arial"/>
                <w:sz w:val="24"/>
                <w:szCs w:val="24"/>
                <w:lang w:val="en-GB"/>
              </w:rPr>
              <w:t>dL</w:t>
            </w:r>
            <w:proofErr w:type="spellEnd"/>
          </w:p>
        </w:tc>
        <w:tc>
          <w:tcPr>
            <w:tcW w:w="1835" w:type="dxa"/>
            <w:shd w:val="clear" w:color="auto" w:fill="auto"/>
            <w:vAlign w:val="center"/>
          </w:tcPr>
          <w:p w14:paraId="5B695EC9" w14:textId="77777777" w:rsidR="00261F97" w:rsidRPr="0049263A" w:rsidRDefault="00261F97" w:rsidP="00261F97">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40.4</w:t>
            </w:r>
          </w:p>
        </w:tc>
        <w:tc>
          <w:tcPr>
            <w:tcW w:w="1340" w:type="dxa"/>
            <w:shd w:val="clear" w:color="auto" w:fill="auto"/>
            <w:vAlign w:val="center"/>
          </w:tcPr>
          <w:p w14:paraId="74662407" w14:textId="77777777" w:rsidR="00261F97" w:rsidRPr="0049263A" w:rsidRDefault="00261F97" w:rsidP="00261F97">
            <w:pPr>
              <w:snapToGrid w:val="0"/>
              <w:spacing w:line="360" w:lineRule="auto"/>
              <w:jc w:val="center"/>
              <w:rPr>
                <w:rFonts w:ascii="Book Antiqua" w:hAnsi="Book Antiqua" w:cs="Arial"/>
                <w:sz w:val="24"/>
                <w:szCs w:val="24"/>
                <w:lang w:val="en-GB"/>
              </w:rPr>
            </w:pPr>
          </w:p>
        </w:tc>
        <w:tc>
          <w:tcPr>
            <w:tcW w:w="1920" w:type="dxa"/>
            <w:shd w:val="clear" w:color="auto" w:fill="auto"/>
            <w:vAlign w:val="center"/>
          </w:tcPr>
          <w:p w14:paraId="0D8106AC" w14:textId="77777777" w:rsidR="00261F97" w:rsidRPr="0049263A" w:rsidRDefault="00261F97" w:rsidP="00261F97">
            <w:pPr>
              <w:snapToGrid w:val="0"/>
              <w:spacing w:line="360" w:lineRule="auto"/>
              <w:jc w:val="center"/>
              <w:rPr>
                <w:rFonts w:ascii="Book Antiqua" w:hAnsi="Book Antiqua" w:cs="Arial"/>
                <w:sz w:val="24"/>
                <w:szCs w:val="24"/>
                <w:lang w:val="en-GB"/>
              </w:rPr>
            </w:pPr>
            <w:r w:rsidRPr="0049263A">
              <w:rPr>
                <w:rFonts w:ascii="Book Antiqua" w:hAnsi="Book Antiqua" w:cs="Arial"/>
                <w:sz w:val="24"/>
                <w:szCs w:val="24"/>
                <w:lang w:val="en-GB"/>
              </w:rPr>
              <w:t>61.2</w:t>
            </w:r>
          </w:p>
        </w:tc>
        <w:tc>
          <w:tcPr>
            <w:tcW w:w="1460" w:type="dxa"/>
            <w:shd w:val="clear" w:color="auto" w:fill="auto"/>
            <w:vAlign w:val="center"/>
          </w:tcPr>
          <w:p w14:paraId="29E9BE24" w14:textId="77777777" w:rsidR="00261F97" w:rsidRPr="0049263A" w:rsidRDefault="00261F97" w:rsidP="00261F97">
            <w:pPr>
              <w:snapToGrid w:val="0"/>
              <w:spacing w:line="360" w:lineRule="auto"/>
              <w:jc w:val="center"/>
              <w:rPr>
                <w:rFonts w:ascii="Book Antiqua" w:hAnsi="Book Antiqua" w:cs="Arial"/>
                <w:sz w:val="24"/>
                <w:szCs w:val="24"/>
                <w:lang w:val="en-GB"/>
              </w:rPr>
            </w:pPr>
          </w:p>
        </w:tc>
      </w:tr>
    </w:tbl>
    <w:p w14:paraId="0E636DC3" w14:textId="77777777" w:rsidR="0093205E" w:rsidRPr="0049263A" w:rsidRDefault="0093205E" w:rsidP="00AA734A">
      <w:pPr>
        <w:snapToGrid w:val="0"/>
        <w:spacing w:line="360" w:lineRule="auto"/>
        <w:jc w:val="both"/>
        <w:rPr>
          <w:rFonts w:ascii="Book Antiqua" w:eastAsia="MS Mincho" w:hAnsi="Book Antiqua" w:cs="Arial"/>
          <w:sz w:val="24"/>
          <w:szCs w:val="24"/>
          <w:lang w:val="en-GB"/>
        </w:rPr>
      </w:pPr>
    </w:p>
    <w:p w14:paraId="7D0A2815" w14:textId="77777777" w:rsidR="00261F97" w:rsidRPr="0049263A" w:rsidRDefault="00261F97">
      <w:pPr>
        <w:suppressAutoHyphens w:val="0"/>
        <w:rPr>
          <w:rFonts w:ascii="Book Antiqua" w:eastAsia="MS Mincho" w:hAnsi="Book Antiqua" w:cs="Arial"/>
          <w:sz w:val="24"/>
          <w:szCs w:val="24"/>
          <w:lang w:val="en-GB"/>
        </w:rPr>
      </w:pPr>
      <w:r w:rsidRPr="0049263A">
        <w:rPr>
          <w:rFonts w:ascii="Book Antiqua" w:eastAsia="MS Mincho" w:hAnsi="Book Antiqua" w:cs="Arial"/>
          <w:sz w:val="24"/>
          <w:szCs w:val="24"/>
          <w:lang w:val="en-GB"/>
        </w:rPr>
        <w:br w:type="page"/>
      </w:r>
    </w:p>
    <w:p w14:paraId="559C4413" w14:textId="6F1897FE" w:rsidR="00261F97" w:rsidRPr="0049263A" w:rsidRDefault="0093205E" w:rsidP="00261F97">
      <w:pPr>
        <w:snapToGrid w:val="0"/>
        <w:spacing w:line="360" w:lineRule="auto"/>
        <w:jc w:val="both"/>
        <w:rPr>
          <w:rFonts w:ascii="Book Antiqua" w:hAnsi="Book Antiqua"/>
          <w:sz w:val="24"/>
          <w:szCs w:val="24"/>
          <w:lang w:val="en-US"/>
        </w:rPr>
      </w:pPr>
      <w:r w:rsidRPr="0049263A">
        <w:rPr>
          <w:rFonts w:ascii="Book Antiqua" w:eastAsia="MS Mincho" w:hAnsi="Book Antiqua" w:cs="Arial"/>
          <w:sz w:val="24"/>
          <w:szCs w:val="24"/>
          <w:lang w:val="en-GB"/>
        </w:rPr>
        <w:lastRenderedPageBreak/>
        <w:t>A</w:t>
      </w:r>
      <w:r w:rsidR="00261F97" w:rsidRPr="0049263A">
        <w:rPr>
          <w:rFonts w:ascii="Book Antiqua" w:hAnsi="Book Antiqua" w:cs="Arial" w:hint="eastAsia"/>
          <w:sz w:val="24"/>
          <w:szCs w:val="24"/>
          <w:lang w:val="en-GB" w:eastAsia="zh-CN"/>
        </w:rPr>
        <w:t xml:space="preserve">                                                                            </w:t>
      </w:r>
      <w:r w:rsidR="00261F97" w:rsidRPr="0049263A">
        <w:rPr>
          <w:rFonts w:ascii="Book Antiqua" w:hAnsi="Book Antiqua" w:cs="Arial"/>
          <w:sz w:val="24"/>
          <w:szCs w:val="24"/>
          <w:lang w:val="en-GB"/>
        </w:rPr>
        <w:t>B</w:t>
      </w:r>
    </w:p>
    <w:p w14:paraId="5EBFDDB6" w14:textId="0F86CDBE" w:rsidR="0093205E" w:rsidRPr="0049263A" w:rsidRDefault="003B5394" w:rsidP="00AA734A">
      <w:pPr>
        <w:snapToGrid w:val="0"/>
        <w:spacing w:line="360" w:lineRule="auto"/>
        <w:jc w:val="both"/>
        <w:rPr>
          <w:rFonts w:ascii="Book Antiqua" w:hAnsi="Book Antiqua" w:cs="Arial"/>
          <w:sz w:val="24"/>
          <w:szCs w:val="24"/>
          <w:lang w:val="en-GB" w:eastAsia="zh-CN"/>
        </w:rPr>
      </w:pPr>
      <w:r w:rsidRPr="0049263A">
        <w:rPr>
          <w:rFonts w:ascii="Book Antiqua" w:hAnsi="Book Antiqua" w:cs="Arial"/>
          <w:noProof/>
          <w:sz w:val="24"/>
          <w:szCs w:val="24"/>
          <w:lang w:val="en-US" w:eastAsia="en-US"/>
        </w:rPr>
        <w:drawing>
          <wp:inline distT="0" distB="0" distL="0" distR="0" wp14:anchorId="7D44116F" wp14:editId="0316475C">
            <wp:extent cx="2918500" cy="2340864"/>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665" cy="2348215"/>
                    </a:xfrm>
                    <a:prstGeom prst="rect">
                      <a:avLst/>
                    </a:prstGeom>
                    <a:solidFill>
                      <a:srgbClr val="FFFFFF"/>
                    </a:solidFill>
                    <a:ln>
                      <a:noFill/>
                    </a:ln>
                  </pic:spPr>
                </pic:pic>
              </a:graphicData>
            </a:graphic>
          </wp:inline>
        </w:drawing>
      </w:r>
      <w:r w:rsidR="00261F97" w:rsidRPr="0049263A">
        <w:rPr>
          <w:rFonts w:ascii="Book Antiqua" w:hAnsi="Book Antiqua" w:cs="Arial" w:hint="eastAsia"/>
          <w:sz w:val="24"/>
          <w:szCs w:val="24"/>
          <w:lang w:val="en-GB" w:eastAsia="zh-CN"/>
        </w:rPr>
        <w:t xml:space="preserve"> </w:t>
      </w:r>
      <w:r w:rsidR="00261F97" w:rsidRPr="0049263A">
        <w:rPr>
          <w:rFonts w:ascii="Book Antiqua" w:hAnsi="Book Antiqua" w:cs="Arial"/>
          <w:noProof/>
          <w:sz w:val="24"/>
          <w:szCs w:val="24"/>
          <w:lang w:val="en-US" w:eastAsia="en-US"/>
        </w:rPr>
        <w:drawing>
          <wp:inline distT="0" distB="0" distL="0" distR="0" wp14:anchorId="418F9EE8" wp14:editId="7A549E69">
            <wp:extent cx="2916936" cy="2335899"/>
            <wp:effectExtent l="0" t="0" r="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0802" cy="2338995"/>
                    </a:xfrm>
                    <a:prstGeom prst="rect">
                      <a:avLst/>
                    </a:prstGeom>
                    <a:solidFill>
                      <a:srgbClr val="FFFFFF"/>
                    </a:solidFill>
                    <a:ln>
                      <a:noFill/>
                    </a:ln>
                  </pic:spPr>
                </pic:pic>
              </a:graphicData>
            </a:graphic>
          </wp:inline>
        </w:drawing>
      </w:r>
    </w:p>
    <w:p w14:paraId="75DB89C9" w14:textId="3A8D82FE" w:rsidR="0093205E" w:rsidRPr="0049263A" w:rsidRDefault="0093205E" w:rsidP="00AA734A">
      <w:pPr>
        <w:snapToGrid w:val="0"/>
        <w:spacing w:line="360" w:lineRule="auto"/>
        <w:jc w:val="both"/>
        <w:rPr>
          <w:rFonts w:ascii="Book Antiqua" w:hAnsi="Book Antiqua"/>
          <w:sz w:val="24"/>
          <w:szCs w:val="24"/>
          <w:lang w:val="en-US" w:eastAsia="zh-CN"/>
        </w:rPr>
      </w:pPr>
      <w:r w:rsidRPr="0049263A">
        <w:rPr>
          <w:rFonts w:ascii="Book Antiqua" w:hAnsi="Book Antiqua" w:cs="Arial"/>
          <w:sz w:val="24"/>
          <w:szCs w:val="24"/>
          <w:lang w:val="en-GB"/>
        </w:rPr>
        <w:t>C</w:t>
      </w:r>
      <w:r w:rsidR="00261F97" w:rsidRPr="0049263A">
        <w:rPr>
          <w:rFonts w:ascii="Book Antiqua" w:hAnsi="Book Antiqua" w:cs="Arial" w:hint="eastAsia"/>
          <w:sz w:val="24"/>
          <w:szCs w:val="24"/>
          <w:lang w:val="en-GB" w:eastAsia="zh-CN"/>
        </w:rPr>
        <w:t xml:space="preserve">                                                                             </w:t>
      </w:r>
      <w:r w:rsidR="00261F97" w:rsidRPr="0049263A">
        <w:rPr>
          <w:rFonts w:ascii="Book Antiqua" w:hAnsi="Book Antiqua" w:cs="Arial"/>
          <w:sz w:val="24"/>
          <w:szCs w:val="24"/>
          <w:lang w:val="en-GB"/>
        </w:rPr>
        <w:t>D</w:t>
      </w:r>
    </w:p>
    <w:p w14:paraId="0241CEF2" w14:textId="2131CB7E" w:rsidR="0093205E" w:rsidRPr="0049263A" w:rsidRDefault="003B5394" w:rsidP="00AA734A">
      <w:pPr>
        <w:snapToGrid w:val="0"/>
        <w:spacing w:line="360" w:lineRule="auto"/>
        <w:jc w:val="both"/>
        <w:rPr>
          <w:rFonts w:ascii="Book Antiqua" w:hAnsi="Book Antiqua" w:cs="Arial"/>
          <w:sz w:val="24"/>
          <w:szCs w:val="24"/>
          <w:lang w:val="en-GB" w:eastAsia="zh-CN"/>
        </w:rPr>
      </w:pPr>
      <w:r w:rsidRPr="0049263A">
        <w:rPr>
          <w:rFonts w:ascii="Book Antiqua" w:hAnsi="Book Antiqua" w:cs="Arial"/>
          <w:noProof/>
          <w:sz w:val="24"/>
          <w:szCs w:val="24"/>
          <w:lang w:val="en-US" w:eastAsia="en-US"/>
        </w:rPr>
        <w:drawing>
          <wp:inline distT="0" distB="0" distL="0" distR="0" wp14:anchorId="54171FCF" wp14:editId="5C82BE55">
            <wp:extent cx="2945975" cy="2359152"/>
            <wp:effectExtent l="0" t="0" r="6985" b="31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7670" cy="2360510"/>
                    </a:xfrm>
                    <a:prstGeom prst="rect">
                      <a:avLst/>
                    </a:prstGeom>
                    <a:solidFill>
                      <a:srgbClr val="FFFFFF"/>
                    </a:solidFill>
                    <a:ln>
                      <a:noFill/>
                    </a:ln>
                  </pic:spPr>
                </pic:pic>
              </a:graphicData>
            </a:graphic>
          </wp:inline>
        </w:drawing>
      </w:r>
      <w:r w:rsidR="00261F97" w:rsidRPr="0049263A">
        <w:rPr>
          <w:rFonts w:ascii="Book Antiqua" w:hAnsi="Book Antiqua" w:cs="Arial" w:hint="eastAsia"/>
          <w:sz w:val="24"/>
          <w:szCs w:val="24"/>
          <w:lang w:val="en-GB" w:eastAsia="zh-CN"/>
        </w:rPr>
        <w:t xml:space="preserve"> </w:t>
      </w:r>
      <w:r w:rsidR="00261F97" w:rsidRPr="0049263A">
        <w:rPr>
          <w:rFonts w:ascii="Book Antiqua" w:hAnsi="Book Antiqua" w:cs="Arial"/>
          <w:noProof/>
          <w:sz w:val="24"/>
          <w:szCs w:val="24"/>
          <w:lang w:val="en-US" w:eastAsia="en-US"/>
        </w:rPr>
        <w:drawing>
          <wp:inline distT="0" distB="0" distL="0" distR="0" wp14:anchorId="0E5860D7" wp14:editId="0F560C15">
            <wp:extent cx="3003066" cy="2404872"/>
            <wp:effectExtent l="0" t="0" r="698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00683" cy="2402963"/>
                    </a:xfrm>
                    <a:prstGeom prst="rect">
                      <a:avLst/>
                    </a:prstGeom>
                    <a:solidFill>
                      <a:srgbClr val="FFFFFF"/>
                    </a:solidFill>
                    <a:ln>
                      <a:noFill/>
                    </a:ln>
                  </pic:spPr>
                </pic:pic>
              </a:graphicData>
            </a:graphic>
          </wp:inline>
        </w:drawing>
      </w:r>
    </w:p>
    <w:p w14:paraId="2BD20E48" w14:textId="702B6591" w:rsidR="00261F97" w:rsidRPr="0049263A" w:rsidRDefault="00801057" w:rsidP="00261F97">
      <w:pPr>
        <w:autoSpaceDE w:val="0"/>
        <w:snapToGrid w:val="0"/>
        <w:spacing w:line="360" w:lineRule="auto"/>
        <w:jc w:val="both"/>
        <w:rPr>
          <w:rFonts w:ascii="Book Antiqua" w:hAnsi="Book Antiqua" w:cs="Arial"/>
          <w:sz w:val="24"/>
          <w:szCs w:val="24"/>
          <w:lang w:val="en-GB" w:eastAsia="zh-CN"/>
        </w:rPr>
      </w:pPr>
      <w:r w:rsidRPr="0049263A">
        <w:rPr>
          <w:rFonts w:ascii="Book Antiqua" w:eastAsia="MS Mincho" w:hAnsi="Book Antiqua" w:cs="Arial"/>
          <w:b/>
          <w:sz w:val="24"/>
          <w:szCs w:val="24"/>
          <w:lang w:val="en-GB"/>
        </w:rPr>
        <w:t>Figure 1</w:t>
      </w:r>
      <w:r w:rsidRPr="0049263A">
        <w:rPr>
          <w:rFonts w:ascii="Book Antiqua" w:hAnsi="Book Antiqua" w:cs="Arial" w:hint="eastAsia"/>
          <w:b/>
          <w:sz w:val="24"/>
          <w:szCs w:val="24"/>
          <w:lang w:val="en-GB" w:eastAsia="zh-CN"/>
        </w:rPr>
        <w:t xml:space="preserve"> </w:t>
      </w:r>
      <w:r w:rsidRPr="0049263A">
        <w:rPr>
          <w:rFonts w:ascii="Book Antiqua" w:eastAsia="MS Mincho" w:hAnsi="Book Antiqua" w:cs="Arial"/>
          <w:b/>
          <w:sz w:val="24"/>
          <w:szCs w:val="24"/>
          <w:lang w:val="en-GB"/>
        </w:rPr>
        <w:t>Kaplan-Meier estimates</w:t>
      </w:r>
      <w:r w:rsidRPr="0049263A">
        <w:rPr>
          <w:rFonts w:ascii="Book Antiqua" w:hAnsi="Book Antiqua" w:cs="Arial" w:hint="eastAsia"/>
          <w:b/>
          <w:sz w:val="24"/>
          <w:szCs w:val="24"/>
          <w:lang w:val="en-GB" w:eastAsia="zh-CN"/>
        </w:rPr>
        <w:t xml:space="preserve">. </w:t>
      </w:r>
      <w:r w:rsidR="00261F97" w:rsidRPr="0049263A">
        <w:rPr>
          <w:rFonts w:ascii="Book Antiqua" w:eastAsia="MS Mincho" w:hAnsi="Book Antiqua" w:cs="Arial"/>
          <w:sz w:val="24"/>
          <w:szCs w:val="24"/>
          <w:lang w:val="en-GB"/>
        </w:rPr>
        <w:t>A</w:t>
      </w:r>
      <w:r w:rsidRPr="0049263A">
        <w:rPr>
          <w:rFonts w:ascii="Book Antiqua" w:hAnsi="Book Antiqua" w:cs="Arial" w:hint="eastAsia"/>
          <w:sz w:val="24"/>
          <w:szCs w:val="24"/>
          <w:lang w:val="en-GB" w:eastAsia="zh-CN"/>
        </w:rPr>
        <w:t xml:space="preserve">: </w:t>
      </w:r>
      <w:r w:rsidR="00261F97" w:rsidRPr="0049263A">
        <w:rPr>
          <w:rFonts w:ascii="Book Antiqua" w:eastAsia="MS Mincho" w:hAnsi="Book Antiqua" w:cs="Arial"/>
          <w:sz w:val="24"/>
          <w:szCs w:val="24"/>
          <w:lang w:val="en-GB"/>
        </w:rPr>
        <w:t>Kaplan-Meier estimates of overall survival according to fibrinogen plasma levels in the 652 patients enrolled in the study</w:t>
      </w:r>
      <w:r w:rsidRPr="0049263A">
        <w:rPr>
          <w:rFonts w:ascii="Book Antiqua" w:hAnsi="Book Antiqua" w:cs="Arial" w:hint="eastAsia"/>
          <w:sz w:val="24"/>
          <w:szCs w:val="24"/>
          <w:lang w:val="en-GB" w:eastAsia="zh-CN"/>
        </w:rPr>
        <w:t xml:space="preserve">; </w:t>
      </w:r>
      <w:r w:rsidR="00261F97" w:rsidRPr="0049263A">
        <w:rPr>
          <w:rFonts w:ascii="Book Antiqua" w:eastAsia="MS Mincho" w:hAnsi="Book Antiqua" w:cs="Arial"/>
          <w:sz w:val="24"/>
          <w:szCs w:val="24"/>
          <w:lang w:val="en-GB"/>
        </w:rPr>
        <w:t>B</w:t>
      </w:r>
      <w:r w:rsidRPr="0049263A">
        <w:rPr>
          <w:rFonts w:ascii="Book Antiqua" w:hAnsi="Book Antiqua" w:cs="Arial" w:hint="eastAsia"/>
          <w:sz w:val="24"/>
          <w:szCs w:val="24"/>
          <w:lang w:val="en-GB" w:eastAsia="zh-CN"/>
        </w:rPr>
        <w:t xml:space="preserve">: </w:t>
      </w:r>
      <w:r w:rsidR="00261F97" w:rsidRPr="0049263A">
        <w:rPr>
          <w:rFonts w:ascii="Book Antiqua" w:eastAsia="MS Mincho" w:hAnsi="Book Antiqua" w:cs="Arial"/>
          <w:sz w:val="24"/>
          <w:szCs w:val="24"/>
          <w:lang w:val="en-GB"/>
        </w:rPr>
        <w:t>Kaplan-Meier estimates of tumour-related survival according to fibrinogen plasma levels in the 652 patients enrolled in the study</w:t>
      </w:r>
      <w:r w:rsidRPr="0049263A">
        <w:rPr>
          <w:rFonts w:ascii="Book Antiqua" w:hAnsi="Book Antiqua" w:cs="Arial" w:hint="eastAsia"/>
          <w:sz w:val="24"/>
          <w:szCs w:val="24"/>
          <w:lang w:val="en-GB" w:eastAsia="zh-CN"/>
        </w:rPr>
        <w:t xml:space="preserve">; </w:t>
      </w:r>
      <w:r w:rsidR="00261F97" w:rsidRPr="0049263A">
        <w:rPr>
          <w:rFonts w:ascii="Book Antiqua" w:eastAsia="MS Mincho" w:hAnsi="Book Antiqua" w:cs="Arial"/>
          <w:sz w:val="24"/>
          <w:szCs w:val="24"/>
          <w:lang w:val="en-GB"/>
        </w:rPr>
        <w:t>C</w:t>
      </w:r>
      <w:r w:rsidRPr="0049263A">
        <w:rPr>
          <w:rFonts w:ascii="Book Antiqua" w:hAnsi="Book Antiqua" w:cs="Arial" w:hint="eastAsia"/>
          <w:sz w:val="24"/>
          <w:szCs w:val="24"/>
          <w:lang w:val="en-GB" w:eastAsia="zh-CN"/>
        </w:rPr>
        <w:t xml:space="preserve">: </w:t>
      </w:r>
      <w:r w:rsidR="00261F97" w:rsidRPr="0049263A">
        <w:rPr>
          <w:rFonts w:ascii="Book Antiqua" w:eastAsia="MS Mincho" w:hAnsi="Book Antiqua" w:cs="Arial"/>
          <w:sz w:val="24"/>
          <w:szCs w:val="24"/>
          <w:lang w:val="en-GB"/>
        </w:rPr>
        <w:t>Kaplan-Meier estimates of overall survival according to fibrinogen plasma levels in the 556 R0</w:t>
      </w:r>
      <w:r w:rsidRPr="0049263A">
        <w:rPr>
          <w:rFonts w:ascii="Book Antiqua" w:eastAsia="MS Mincho" w:hAnsi="Book Antiqua" w:cs="Arial"/>
          <w:sz w:val="24"/>
          <w:szCs w:val="24"/>
          <w:lang w:val="en-GB"/>
        </w:rPr>
        <w:t xml:space="preserve"> patients enrolled in the study</w:t>
      </w:r>
      <w:r w:rsidRPr="0049263A">
        <w:rPr>
          <w:rFonts w:ascii="Book Antiqua" w:hAnsi="Book Antiqua" w:cs="Arial" w:hint="eastAsia"/>
          <w:sz w:val="24"/>
          <w:szCs w:val="24"/>
          <w:lang w:val="en-GB" w:eastAsia="zh-CN"/>
        </w:rPr>
        <w:t xml:space="preserve">; </w:t>
      </w:r>
      <w:r w:rsidR="00261F97" w:rsidRPr="0049263A">
        <w:rPr>
          <w:rFonts w:ascii="Book Antiqua" w:eastAsia="MS Mincho" w:hAnsi="Book Antiqua" w:cs="Arial"/>
          <w:sz w:val="24"/>
          <w:szCs w:val="24"/>
          <w:lang w:val="en-GB"/>
        </w:rPr>
        <w:t>D</w:t>
      </w:r>
      <w:r w:rsidRPr="0049263A">
        <w:rPr>
          <w:rFonts w:ascii="Book Antiqua" w:hAnsi="Book Antiqua" w:cs="Arial" w:hint="eastAsia"/>
          <w:sz w:val="24"/>
          <w:szCs w:val="24"/>
          <w:lang w:val="en-GB" w:eastAsia="zh-CN"/>
        </w:rPr>
        <w:t xml:space="preserve">: </w:t>
      </w:r>
      <w:r w:rsidR="00261F97" w:rsidRPr="0049263A">
        <w:rPr>
          <w:rFonts w:ascii="Book Antiqua" w:eastAsia="MS Mincho" w:hAnsi="Book Antiqua" w:cs="Arial"/>
          <w:sz w:val="24"/>
          <w:szCs w:val="24"/>
          <w:lang w:val="en-GB"/>
        </w:rPr>
        <w:t>Kaplan-Meier estimates of tumour-related survival according to fibrinogen plasma levels in the 556 R0 patients enrolled in the study.</w:t>
      </w:r>
    </w:p>
    <w:p w14:paraId="1DE1DF66" w14:textId="01F62B9A" w:rsidR="0093205E" w:rsidRPr="0049263A" w:rsidRDefault="0093205E" w:rsidP="00AA734A">
      <w:pPr>
        <w:snapToGrid w:val="0"/>
        <w:spacing w:line="360" w:lineRule="auto"/>
        <w:jc w:val="both"/>
        <w:rPr>
          <w:rFonts w:ascii="Book Antiqua" w:hAnsi="Book Antiqua"/>
          <w:sz w:val="24"/>
          <w:szCs w:val="24"/>
          <w:lang w:val="en-US"/>
        </w:rPr>
      </w:pPr>
    </w:p>
    <w:sectPr w:rsidR="0093205E" w:rsidRPr="0049263A">
      <w:pgSz w:w="11906" w:h="16838"/>
      <w:pgMar w:top="567" w:right="1134" w:bottom="568"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9798B" w14:textId="77777777" w:rsidR="002B33D3" w:rsidRDefault="002B33D3" w:rsidP="009C5D25">
      <w:r>
        <w:separator/>
      </w:r>
    </w:p>
  </w:endnote>
  <w:endnote w:type="continuationSeparator" w:id="0">
    <w:p w14:paraId="0C5BBB2E" w14:textId="77777777" w:rsidR="002B33D3" w:rsidRDefault="002B33D3" w:rsidP="009C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altName w:val="宋体"/>
    <w:charset w:val="50"/>
    <w:family w:val="auto"/>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4F8CE" w14:textId="77777777" w:rsidR="002B33D3" w:rsidRDefault="002B33D3" w:rsidP="009C5D25">
      <w:r>
        <w:separator/>
      </w:r>
    </w:p>
  </w:footnote>
  <w:footnote w:type="continuationSeparator" w:id="0">
    <w:p w14:paraId="304F6574" w14:textId="77777777" w:rsidR="002B33D3" w:rsidRDefault="002B33D3" w:rsidP="009C5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4"/>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394"/>
    <w:rsid w:val="00057D3B"/>
    <w:rsid w:val="00082435"/>
    <w:rsid w:val="000F1D71"/>
    <w:rsid w:val="00132FD4"/>
    <w:rsid w:val="001D79E4"/>
    <w:rsid w:val="00235026"/>
    <w:rsid w:val="00254E1F"/>
    <w:rsid w:val="00261F97"/>
    <w:rsid w:val="00284F66"/>
    <w:rsid w:val="00286CC6"/>
    <w:rsid w:val="002B33D3"/>
    <w:rsid w:val="002B6848"/>
    <w:rsid w:val="002C4284"/>
    <w:rsid w:val="00306099"/>
    <w:rsid w:val="003777B7"/>
    <w:rsid w:val="003B5394"/>
    <w:rsid w:val="00483907"/>
    <w:rsid w:val="0049263A"/>
    <w:rsid w:val="004A3E4C"/>
    <w:rsid w:val="00522782"/>
    <w:rsid w:val="005270C1"/>
    <w:rsid w:val="00560A46"/>
    <w:rsid w:val="00561D85"/>
    <w:rsid w:val="005D68D6"/>
    <w:rsid w:val="00607BEC"/>
    <w:rsid w:val="006207CB"/>
    <w:rsid w:val="00686785"/>
    <w:rsid w:val="0069564A"/>
    <w:rsid w:val="006E33FA"/>
    <w:rsid w:val="006E7273"/>
    <w:rsid w:val="00721071"/>
    <w:rsid w:val="007A2C5B"/>
    <w:rsid w:val="007A3204"/>
    <w:rsid w:val="00801057"/>
    <w:rsid w:val="008B497F"/>
    <w:rsid w:val="00921CCC"/>
    <w:rsid w:val="0093205E"/>
    <w:rsid w:val="0093229B"/>
    <w:rsid w:val="009542D1"/>
    <w:rsid w:val="00976C38"/>
    <w:rsid w:val="0099690C"/>
    <w:rsid w:val="009C5D25"/>
    <w:rsid w:val="009C7E5B"/>
    <w:rsid w:val="00A657EC"/>
    <w:rsid w:val="00AA734A"/>
    <w:rsid w:val="00AE00DC"/>
    <w:rsid w:val="00B1068A"/>
    <w:rsid w:val="00B33D51"/>
    <w:rsid w:val="00BA61AD"/>
    <w:rsid w:val="00BC5E48"/>
    <w:rsid w:val="00BE50DF"/>
    <w:rsid w:val="00BF1719"/>
    <w:rsid w:val="00C2178F"/>
    <w:rsid w:val="00CC200A"/>
    <w:rsid w:val="00CF489E"/>
    <w:rsid w:val="00D40B9D"/>
    <w:rsid w:val="00D62AC8"/>
    <w:rsid w:val="00DB57D1"/>
    <w:rsid w:val="00E27998"/>
    <w:rsid w:val="00EA707D"/>
    <w:rsid w:val="00EB6225"/>
    <w:rsid w:val="00EC7429"/>
    <w:rsid w:val="00ED3C22"/>
    <w:rsid w:val="00F814B6"/>
    <w:rsid w:val="00FC04B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38872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tterepredefinitoparagrafo1">
    <w:name w:val="Carattere predefinito paragrafo1"/>
  </w:style>
  <w:style w:type="character" w:customStyle="1" w:styleId="Caratterenotadichiusura">
    <w:name w:val="Carattere nota di chiusura"/>
    <w:rPr>
      <w:vertAlign w:val="superscript"/>
    </w:rPr>
  </w:style>
  <w:style w:type="character" w:styleId="Hyperlink">
    <w:name w:val="Hyperlink"/>
  </w:style>
  <w:style w:type="character" w:customStyle="1" w:styleId="CommentReference1">
    <w:name w:val="Comment Reference1"/>
  </w:style>
  <w:style w:type="character" w:customStyle="1" w:styleId="CommentTextChar">
    <w:name w:val="Comment Text Char"/>
  </w:style>
  <w:style w:type="character" w:customStyle="1" w:styleId="CommentSubjectChar">
    <w:name w:val="Comment Subject Char"/>
  </w:style>
  <w:style w:type="character" w:customStyle="1" w:styleId="BalloonTextChar">
    <w:name w:val="Balloon Text Char"/>
  </w:style>
  <w:style w:type="paragraph" w:customStyle="1" w:styleId="Intestazione1">
    <w:name w:val="Intestazione1"/>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customStyle="1" w:styleId="Didascalia1">
    <w:name w:val="Didascalia1"/>
    <w:basedOn w:val="Normal"/>
    <w:pPr>
      <w:suppressLineNumbers/>
      <w:spacing w:before="120" w:after="120"/>
    </w:pPr>
  </w:style>
  <w:style w:type="paragraph" w:customStyle="1" w:styleId="Indice">
    <w:name w:val="Indice"/>
    <w:basedOn w:val="Normal"/>
    <w:pPr>
      <w:suppressLineNumbers/>
    </w:pPr>
    <w:rPr>
      <w:rFonts w:cs="Mangal"/>
    </w:rPr>
  </w:style>
  <w:style w:type="paragraph" w:customStyle="1" w:styleId="CommentText1">
    <w:name w:val="Comment Text1"/>
    <w:basedOn w:val="Normal"/>
    <w:rPr>
      <w:lang w:val="en-GB"/>
    </w:rPr>
  </w:style>
  <w:style w:type="paragraph" w:customStyle="1" w:styleId="CommentSubject1">
    <w:name w:val="Comment Subject1"/>
    <w:basedOn w:val="CommentText1"/>
    <w:next w:val="CommentText1"/>
  </w:style>
  <w:style w:type="paragraph" w:customStyle="1" w:styleId="Testofumetto1">
    <w:name w:val="Testo fumetto1"/>
    <w:basedOn w:val="Normal"/>
  </w:style>
  <w:style w:type="paragraph" w:customStyle="1" w:styleId="Revisione1">
    <w:name w:val="Revisione1"/>
    <w:pPr>
      <w:suppressAutoHyphens/>
    </w:pPr>
  </w:style>
  <w:style w:type="paragraph" w:customStyle="1" w:styleId="Contenutotabella">
    <w:name w:val="Contenuto tabella"/>
    <w:basedOn w:val="Normal"/>
    <w:pPr>
      <w:suppressLineNumbers/>
    </w:pPr>
  </w:style>
  <w:style w:type="paragraph" w:customStyle="1" w:styleId="Intestazionetabella">
    <w:name w:val="Intestazione tabella"/>
    <w:basedOn w:val="Contenutotabella"/>
    <w:pPr>
      <w:jc w:val="center"/>
    </w:pPr>
    <w:rPr>
      <w:b/>
      <w:bCs/>
    </w:rPr>
  </w:style>
  <w:style w:type="paragraph" w:styleId="BalloonText">
    <w:name w:val="Balloon Text"/>
    <w:basedOn w:val="Normal"/>
    <w:link w:val="BalloonTextChar1"/>
    <w:uiPriority w:val="99"/>
    <w:semiHidden/>
    <w:unhideWhenUsed/>
    <w:rsid w:val="003B539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B5394"/>
    <w:rPr>
      <w:rFonts w:ascii="Lucida Grande" w:hAnsi="Lucida Grande"/>
      <w:sz w:val="18"/>
      <w:szCs w:val="18"/>
    </w:rPr>
  </w:style>
  <w:style w:type="paragraph" w:customStyle="1" w:styleId="1">
    <w:name w:val="正文1"/>
    <w:uiPriority w:val="99"/>
    <w:rsid w:val="0099690C"/>
    <w:pPr>
      <w:spacing w:line="276" w:lineRule="auto"/>
    </w:pPr>
    <w:rPr>
      <w:rFonts w:ascii="Arial" w:hAnsi="Arial" w:cs="Arial"/>
      <w:color w:val="000000"/>
      <w:sz w:val="22"/>
      <w:lang w:val="pl-PL" w:eastAsia="pl-PL"/>
    </w:rPr>
  </w:style>
  <w:style w:type="paragraph" w:styleId="Header">
    <w:name w:val="header"/>
    <w:basedOn w:val="Normal"/>
    <w:link w:val="HeaderChar"/>
    <w:uiPriority w:val="99"/>
    <w:unhideWhenUsed/>
    <w:rsid w:val="009C5D2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C5D25"/>
    <w:rPr>
      <w:sz w:val="18"/>
      <w:szCs w:val="18"/>
    </w:rPr>
  </w:style>
  <w:style w:type="paragraph" w:styleId="Footer">
    <w:name w:val="footer"/>
    <w:basedOn w:val="Normal"/>
    <w:link w:val="FooterChar"/>
    <w:uiPriority w:val="99"/>
    <w:unhideWhenUsed/>
    <w:rsid w:val="009C5D2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C5D25"/>
    <w:rPr>
      <w:sz w:val="18"/>
      <w:szCs w:val="18"/>
    </w:rPr>
  </w:style>
  <w:style w:type="character" w:styleId="CommentReference">
    <w:name w:val="annotation reference"/>
    <w:basedOn w:val="DefaultParagraphFont"/>
    <w:uiPriority w:val="99"/>
    <w:semiHidden/>
    <w:unhideWhenUsed/>
    <w:rsid w:val="00AE00DC"/>
    <w:rPr>
      <w:sz w:val="21"/>
      <w:szCs w:val="21"/>
    </w:rPr>
  </w:style>
  <w:style w:type="paragraph" w:styleId="CommentText">
    <w:name w:val="annotation text"/>
    <w:basedOn w:val="Normal"/>
    <w:link w:val="CommentTextChar1"/>
    <w:uiPriority w:val="99"/>
    <w:unhideWhenUsed/>
    <w:rsid w:val="00AE00DC"/>
  </w:style>
  <w:style w:type="character" w:customStyle="1" w:styleId="CommentTextChar1">
    <w:name w:val="Comment Text Char1"/>
    <w:basedOn w:val="DefaultParagraphFont"/>
    <w:link w:val="CommentText"/>
    <w:uiPriority w:val="99"/>
    <w:rsid w:val="00AE00DC"/>
  </w:style>
  <w:style w:type="paragraph" w:styleId="CommentSubject">
    <w:name w:val="annotation subject"/>
    <w:basedOn w:val="CommentText"/>
    <w:next w:val="CommentText"/>
    <w:link w:val="CommentSubjectChar1"/>
    <w:uiPriority w:val="99"/>
    <w:semiHidden/>
    <w:unhideWhenUsed/>
    <w:rsid w:val="00AE00DC"/>
    <w:rPr>
      <w:b/>
      <w:bCs/>
    </w:rPr>
  </w:style>
  <w:style w:type="character" w:customStyle="1" w:styleId="CommentSubjectChar1">
    <w:name w:val="Comment Subject Char1"/>
    <w:basedOn w:val="CommentTextChar1"/>
    <w:link w:val="CommentSubject"/>
    <w:uiPriority w:val="99"/>
    <w:semiHidden/>
    <w:rsid w:val="00AE00D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atterepredefinitoparagrafo1">
    <w:name w:val="Carattere predefinito paragrafo1"/>
  </w:style>
  <w:style w:type="character" w:customStyle="1" w:styleId="Caratterenotadichiusura">
    <w:name w:val="Carattere nota di chiusura"/>
    <w:rPr>
      <w:vertAlign w:val="superscript"/>
    </w:rPr>
  </w:style>
  <w:style w:type="character" w:styleId="Hyperlink">
    <w:name w:val="Hyperlink"/>
  </w:style>
  <w:style w:type="character" w:customStyle="1" w:styleId="CommentReference1">
    <w:name w:val="Comment Reference1"/>
  </w:style>
  <w:style w:type="character" w:customStyle="1" w:styleId="CommentTextChar">
    <w:name w:val="Comment Text Char"/>
  </w:style>
  <w:style w:type="character" w:customStyle="1" w:styleId="CommentSubjectChar">
    <w:name w:val="Comment Subject Char"/>
  </w:style>
  <w:style w:type="character" w:customStyle="1" w:styleId="BalloonTextChar">
    <w:name w:val="Balloon Text Char"/>
  </w:style>
  <w:style w:type="paragraph" w:customStyle="1" w:styleId="Intestazione1">
    <w:name w:val="Intestazione1"/>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customStyle="1" w:styleId="Didascalia1">
    <w:name w:val="Didascalia1"/>
    <w:basedOn w:val="Normal"/>
    <w:pPr>
      <w:suppressLineNumbers/>
      <w:spacing w:before="120" w:after="120"/>
    </w:pPr>
  </w:style>
  <w:style w:type="paragraph" w:customStyle="1" w:styleId="Indice">
    <w:name w:val="Indice"/>
    <w:basedOn w:val="Normal"/>
    <w:pPr>
      <w:suppressLineNumbers/>
    </w:pPr>
    <w:rPr>
      <w:rFonts w:cs="Mangal"/>
    </w:rPr>
  </w:style>
  <w:style w:type="paragraph" w:customStyle="1" w:styleId="CommentText1">
    <w:name w:val="Comment Text1"/>
    <w:basedOn w:val="Normal"/>
    <w:rPr>
      <w:lang w:val="en-GB"/>
    </w:rPr>
  </w:style>
  <w:style w:type="paragraph" w:customStyle="1" w:styleId="CommentSubject1">
    <w:name w:val="Comment Subject1"/>
    <w:basedOn w:val="CommentText1"/>
    <w:next w:val="CommentText1"/>
  </w:style>
  <w:style w:type="paragraph" w:customStyle="1" w:styleId="Testofumetto1">
    <w:name w:val="Testo fumetto1"/>
    <w:basedOn w:val="Normal"/>
  </w:style>
  <w:style w:type="paragraph" w:customStyle="1" w:styleId="Revisione1">
    <w:name w:val="Revisione1"/>
    <w:pPr>
      <w:suppressAutoHyphens/>
    </w:pPr>
  </w:style>
  <w:style w:type="paragraph" w:customStyle="1" w:styleId="Contenutotabella">
    <w:name w:val="Contenuto tabella"/>
    <w:basedOn w:val="Normal"/>
    <w:pPr>
      <w:suppressLineNumbers/>
    </w:pPr>
  </w:style>
  <w:style w:type="paragraph" w:customStyle="1" w:styleId="Intestazionetabella">
    <w:name w:val="Intestazione tabella"/>
    <w:basedOn w:val="Contenutotabella"/>
    <w:pPr>
      <w:jc w:val="center"/>
    </w:pPr>
    <w:rPr>
      <w:b/>
      <w:bCs/>
    </w:rPr>
  </w:style>
  <w:style w:type="paragraph" w:styleId="BalloonText">
    <w:name w:val="Balloon Text"/>
    <w:basedOn w:val="Normal"/>
    <w:link w:val="BalloonTextChar1"/>
    <w:uiPriority w:val="99"/>
    <w:semiHidden/>
    <w:unhideWhenUsed/>
    <w:rsid w:val="003B5394"/>
    <w:rPr>
      <w:rFonts w:ascii="Lucida Grande" w:hAnsi="Lucida Grande"/>
      <w:sz w:val="18"/>
      <w:szCs w:val="18"/>
    </w:rPr>
  </w:style>
  <w:style w:type="character" w:customStyle="1" w:styleId="BalloonTextChar1">
    <w:name w:val="Balloon Text Char1"/>
    <w:basedOn w:val="DefaultParagraphFont"/>
    <w:link w:val="BalloonText"/>
    <w:uiPriority w:val="99"/>
    <w:semiHidden/>
    <w:rsid w:val="003B5394"/>
    <w:rPr>
      <w:rFonts w:ascii="Lucida Grande" w:hAnsi="Lucida Grande"/>
      <w:sz w:val="18"/>
      <w:szCs w:val="18"/>
    </w:rPr>
  </w:style>
  <w:style w:type="paragraph" w:customStyle="1" w:styleId="1">
    <w:name w:val="正文1"/>
    <w:uiPriority w:val="99"/>
    <w:rsid w:val="0099690C"/>
    <w:pPr>
      <w:spacing w:line="276" w:lineRule="auto"/>
    </w:pPr>
    <w:rPr>
      <w:rFonts w:ascii="Arial" w:hAnsi="Arial" w:cs="Arial"/>
      <w:color w:val="000000"/>
      <w:sz w:val="22"/>
      <w:lang w:val="pl-PL" w:eastAsia="pl-PL"/>
    </w:rPr>
  </w:style>
  <w:style w:type="paragraph" w:styleId="Header">
    <w:name w:val="header"/>
    <w:basedOn w:val="Normal"/>
    <w:link w:val="HeaderChar"/>
    <w:uiPriority w:val="99"/>
    <w:unhideWhenUsed/>
    <w:rsid w:val="009C5D2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C5D25"/>
    <w:rPr>
      <w:sz w:val="18"/>
      <w:szCs w:val="18"/>
    </w:rPr>
  </w:style>
  <w:style w:type="paragraph" w:styleId="Footer">
    <w:name w:val="footer"/>
    <w:basedOn w:val="Normal"/>
    <w:link w:val="FooterChar"/>
    <w:uiPriority w:val="99"/>
    <w:unhideWhenUsed/>
    <w:rsid w:val="009C5D2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C5D25"/>
    <w:rPr>
      <w:sz w:val="18"/>
      <w:szCs w:val="18"/>
    </w:rPr>
  </w:style>
  <w:style w:type="character" w:styleId="CommentReference">
    <w:name w:val="annotation reference"/>
    <w:basedOn w:val="DefaultParagraphFont"/>
    <w:uiPriority w:val="99"/>
    <w:semiHidden/>
    <w:unhideWhenUsed/>
    <w:rsid w:val="00AE00DC"/>
    <w:rPr>
      <w:sz w:val="21"/>
      <w:szCs w:val="21"/>
    </w:rPr>
  </w:style>
  <w:style w:type="paragraph" w:styleId="CommentText">
    <w:name w:val="annotation text"/>
    <w:basedOn w:val="Normal"/>
    <w:link w:val="CommentTextChar1"/>
    <w:uiPriority w:val="99"/>
    <w:unhideWhenUsed/>
    <w:rsid w:val="00AE00DC"/>
  </w:style>
  <w:style w:type="character" w:customStyle="1" w:styleId="CommentTextChar1">
    <w:name w:val="Comment Text Char1"/>
    <w:basedOn w:val="DefaultParagraphFont"/>
    <w:link w:val="CommentText"/>
    <w:uiPriority w:val="99"/>
    <w:rsid w:val="00AE00DC"/>
  </w:style>
  <w:style w:type="paragraph" w:styleId="CommentSubject">
    <w:name w:val="annotation subject"/>
    <w:basedOn w:val="CommentText"/>
    <w:next w:val="CommentText"/>
    <w:link w:val="CommentSubjectChar1"/>
    <w:uiPriority w:val="99"/>
    <w:semiHidden/>
    <w:unhideWhenUsed/>
    <w:rsid w:val="00AE00DC"/>
    <w:rPr>
      <w:b/>
      <w:bCs/>
    </w:rPr>
  </w:style>
  <w:style w:type="character" w:customStyle="1" w:styleId="CommentSubjectChar1">
    <w:name w:val="Comment Subject Char1"/>
    <w:basedOn w:val="CommentTextChar1"/>
    <w:link w:val="CommentSubject"/>
    <w:uiPriority w:val="99"/>
    <w:semiHidden/>
    <w:rsid w:val="00AE0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orrado.pedrazzani@univr.it" TargetMode="External"/><Relationship Id="rId8" Type="http://schemas.openxmlformats.org/officeDocument/2006/relationships/hyperlink" Target="http://creativecommons.org/licenses/by-nc/4.0/" TargetMode="External"/><Relationship Id="rId9" Type="http://schemas.openxmlformats.org/officeDocument/2006/relationships/hyperlink" Target="mailto:corrado.pedrazzani@univr.it" TargetMode="External"/><Relationship Id="rId10"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5713</Words>
  <Characters>32570</Characters>
  <Application>Microsoft Macintosh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CPedrazzani</dc:creator>
  <cp:lastModifiedBy>Na Ma</cp:lastModifiedBy>
  <cp:revision>2</cp:revision>
  <cp:lastPrinted>2015-10-27T15:15:00Z</cp:lastPrinted>
  <dcterms:created xsi:type="dcterms:W3CDTF">2016-11-12T22:43:00Z</dcterms:created>
  <dcterms:modified xsi:type="dcterms:W3CDTF">2016-11-12T22:43:00Z</dcterms:modified>
</cp:coreProperties>
</file>