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87E69" w14:textId="05926745" w:rsidR="008234B5" w:rsidRPr="00E23170" w:rsidRDefault="008234B5" w:rsidP="008234B5">
      <w:pPr>
        <w:adjustRightInd w:val="0"/>
        <w:snapToGrid w:val="0"/>
        <w:spacing w:line="360" w:lineRule="auto"/>
        <w:jc w:val="both"/>
        <w:rPr>
          <w:rFonts w:ascii="Book Antiqua" w:eastAsia="Times New Roman" w:hAnsi="Book Antiqua" w:cs="宋体"/>
          <w:b/>
          <w:i/>
          <w:color w:val="000000"/>
          <w:sz w:val="24"/>
        </w:rPr>
      </w:pPr>
      <w:bookmarkStart w:id="0" w:name="OLE_LINK545"/>
      <w:bookmarkStart w:id="1" w:name="OLE_LINK546"/>
      <w:bookmarkStart w:id="2" w:name="OLE_LINK592"/>
      <w:r w:rsidRPr="009F19CA">
        <w:rPr>
          <w:rFonts w:ascii="Book Antiqua" w:eastAsia="Times New Roman" w:hAnsi="Book Antiqua" w:cs="宋体"/>
          <w:b/>
          <w:color w:val="000000"/>
          <w:sz w:val="24"/>
        </w:rPr>
        <w:t xml:space="preserve">Name of </w:t>
      </w:r>
      <w:r w:rsidR="00127477">
        <w:rPr>
          <w:rFonts w:ascii="Book Antiqua" w:eastAsia="宋体" w:hAnsi="Book Antiqua" w:cs="宋体" w:hint="eastAsia"/>
          <w:b/>
          <w:color w:val="000000"/>
          <w:sz w:val="24"/>
          <w:lang w:eastAsia="zh-CN"/>
        </w:rPr>
        <w:t>J</w:t>
      </w:r>
      <w:r w:rsidRPr="009F19CA">
        <w:rPr>
          <w:rFonts w:ascii="Book Antiqua" w:eastAsia="Times New Roman" w:hAnsi="Book Antiqua" w:cs="宋体"/>
          <w:b/>
          <w:color w:val="000000"/>
          <w:sz w:val="24"/>
        </w:rPr>
        <w:t xml:space="preserve">ournal: </w:t>
      </w:r>
      <w:r w:rsidR="00355403" w:rsidRPr="00355403">
        <w:rPr>
          <w:rFonts w:ascii="Book Antiqua" w:eastAsia="Times New Roman" w:hAnsi="Book Antiqua" w:cs="宋体"/>
          <w:b/>
          <w:i/>
          <w:color w:val="000000"/>
          <w:sz w:val="24"/>
        </w:rPr>
        <w:t>World Journal of Gastrointestinal Surgery</w:t>
      </w:r>
    </w:p>
    <w:p w14:paraId="6B86651F" w14:textId="3E2E6E73" w:rsidR="008234B5" w:rsidRPr="008234B5" w:rsidRDefault="008234B5" w:rsidP="008234B5">
      <w:pPr>
        <w:adjustRightInd w:val="0"/>
        <w:snapToGrid w:val="0"/>
        <w:spacing w:line="360" w:lineRule="auto"/>
        <w:jc w:val="both"/>
        <w:rPr>
          <w:rFonts w:ascii="Book Antiqua" w:eastAsia="宋体" w:hAnsi="Book Antiqua" w:cs="Arial"/>
          <w:color w:val="000000"/>
          <w:sz w:val="24"/>
          <w:lang w:val="en" w:eastAsia="zh-CN"/>
        </w:rPr>
      </w:pPr>
      <w:r w:rsidRPr="009F19CA">
        <w:rPr>
          <w:rFonts w:ascii="Book Antiqua" w:hAnsi="Book Antiqua" w:cs="Arial"/>
          <w:b/>
          <w:color w:val="000000"/>
          <w:sz w:val="24"/>
          <w:lang w:val="en"/>
        </w:rPr>
        <w:t xml:space="preserve">ESPS Manuscript NO: </w:t>
      </w:r>
      <w:r>
        <w:rPr>
          <w:rFonts w:ascii="Book Antiqua" w:eastAsia="宋体" w:hAnsi="Book Antiqua" w:cs="Arial" w:hint="eastAsia"/>
          <w:b/>
          <w:color w:val="000000"/>
          <w:sz w:val="24"/>
          <w:lang w:val="en" w:eastAsia="zh-CN"/>
        </w:rPr>
        <w:t>28751</w:t>
      </w:r>
    </w:p>
    <w:p w14:paraId="0608C13F" w14:textId="3C4F3F09" w:rsidR="008234B5" w:rsidRDefault="008234B5" w:rsidP="008234B5">
      <w:pPr>
        <w:spacing w:line="360" w:lineRule="auto"/>
        <w:jc w:val="both"/>
        <w:rPr>
          <w:rFonts w:ascii="Book Antiqua" w:eastAsia="宋体" w:hAnsi="Book Antiqua"/>
          <w:b/>
          <w:sz w:val="24"/>
          <w:lang w:eastAsia="zh-CN"/>
        </w:rPr>
      </w:pPr>
      <w:r w:rsidRPr="00753939">
        <w:rPr>
          <w:rFonts w:ascii="Book Antiqua" w:hAnsi="Book Antiqua"/>
          <w:b/>
          <w:sz w:val="24"/>
        </w:rPr>
        <w:t>Manuscript Type</w:t>
      </w:r>
      <w:r w:rsidRPr="00753939">
        <w:rPr>
          <w:rFonts w:ascii="Book Antiqua" w:hAnsi="Book Antiqua" w:hint="eastAsia"/>
          <w:b/>
          <w:sz w:val="24"/>
        </w:rPr>
        <w:t>:</w:t>
      </w:r>
      <w:r w:rsidR="00EA6265" w:rsidRPr="00753939">
        <w:rPr>
          <w:rFonts w:ascii="Book Antiqua" w:hAnsi="Book Antiqua"/>
          <w:b/>
          <w:sz w:val="24"/>
        </w:rPr>
        <w:t xml:space="preserve"> </w:t>
      </w:r>
      <w:bookmarkEnd w:id="0"/>
      <w:bookmarkEnd w:id="1"/>
      <w:bookmarkEnd w:id="2"/>
      <w:r w:rsidR="00EA6265" w:rsidRPr="008234B5">
        <w:rPr>
          <w:rFonts w:ascii="Book Antiqua" w:hAnsi="Book Antiqua"/>
          <w:b/>
          <w:sz w:val="24"/>
        </w:rPr>
        <w:t>CASE REPORT</w:t>
      </w:r>
    </w:p>
    <w:p w14:paraId="7027A3F1" w14:textId="77777777" w:rsidR="008234B5" w:rsidRDefault="008234B5" w:rsidP="008234B5">
      <w:pPr>
        <w:spacing w:line="360" w:lineRule="auto"/>
        <w:jc w:val="both"/>
        <w:rPr>
          <w:rFonts w:ascii="Book Antiqua" w:eastAsia="宋体" w:hAnsi="Book Antiqua"/>
          <w:b/>
          <w:sz w:val="24"/>
          <w:lang w:eastAsia="zh-CN"/>
        </w:rPr>
      </w:pPr>
    </w:p>
    <w:p w14:paraId="348CCD82" w14:textId="10BDD9FF" w:rsidR="00FE77C3" w:rsidRDefault="00C67019" w:rsidP="008234B5">
      <w:pPr>
        <w:spacing w:line="360" w:lineRule="auto"/>
        <w:jc w:val="both"/>
        <w:rPr>
          <w:rFonts w:ascii="Book Antiqua" w:eastAsia="宋体" w:hAnsi="Book Antiqua"/>
          <w:b/>
          <w:sz w:val="24"/>
          <w:szCs w:val="24"/>
          <w:lang w:eastAsia="zh-CN"/>
        </w:rPr>
      </w:pPr>
      <w:r w:rsidRPr="008234B5">
        <w:rPr>
          <w:rFonts w:ascii="Book Antiqua" w:hAnsi="Book Antiqua"/>
          <w:b/>
          <w:sz w:val="24"/>
          <w:szCs w:val="24"/>
        </w:rPr>
        <w:t>Bevacizumab and GI bleeding</w:t>
      </w:r>
      <w:r w:rsidR="00FE77C3" w:rsidRPr="008234B5">
        <w:rPr>
          <w:rFonts w:ascii="Book Antiqua" w:hAnsi="Book Antiqua"/>
          <w:b/>
          <w:sz w:val="24"/>
          <w:szCs w:val="24"/>
        </w:rPr>
        <w:t xml:space="preserve"> in </w:t>
      </w:r>
      <w:r w:rsidR="008234B5" w:rsidRPr="008234B5">
        <w:rPr>
          <w:rFonts w:ascii="Book Antiqua" w:hAnsi="Book Antiqua"/>
          <w:b/>
          <w:sz w:val="24"/>
          <w:szCs w:val="24"/>
        </w:rPr>
        <w:t>hereditary hemorrhagic telangiectasia</w:t>
      </w:r>
    </w:p>
    <w:p w14:paraId="3BC9537B" w14:textId="77777777" w:rsidR="008234B5" w:rsidRPr="008234B5" w:rsidRDefault="008234B5" w:rsidP="008234B5">
      <w:pPr>
        <w:spacing w:line="360" w:lineRule="auto"/>
        <w:jc w:val="both"/>
        <w:rPr>
          <w:rFonts w:ascii="Book Antiqua" w:eastAsia="宋体" w:hAnsi="Book Antiqua"/>
          <w:b/>
          <w:sz w:val="24"/>
          <w:szCs w:val="24"/>
          <w:lang w:eastAsia="zh-CN"/>
        </w:rPr>
      </w:pPr>
    </w:p>
    <w:p w14:paraId="29490877" w14:textId="291A63AB" w:rsidR="006C52E7" w:rsidRPr="00B12757" w:rsidRDefault="00EA6265" w:rsidP="008234B5">
      <w:pPr>
        <w:spacing w:line="360" w:lineRule="auto"/>
        <w:jc w:val="both"/>
        <w:rPr>
          <w:rFonts w:ascii="Book Antiqua" w:hAnsi="Book Antiqua"/>
          <w:sz w:val="24"/>
          <w:szCs w:val="24"/>
        </w:rPr>
      </w:pPr>
      <w:proofErr w:type="spellStart"/>
      <w:r w:rsidRPr="00B12757">
        <w:rPr>
          <w:rFonts w:ascii="Book Antiqua" w:hAnsi="Book Antiqua"/>
          <w:sz w:val="24"/>
          <w:szCs w:val="24"/>
        </w:rPr>
        <w:t>Ou</w:t>
      </w:r>
      <w:proofErr w:type="spellEnd"/>
      <w:r w:rsidRPr="00B12757">
        <w:rPr>
          <w:rFonts w:ascii="Book Antiqua" w:hAnsi="Book Antiqua"/>
          <w:sz w:val="24"/>
          <w:szCs w:val="24"/>
        </w:rPr>
        <w:t xml:space="preserve"> </w:t>
      </w:r>
      <w:r>
        <w:rPr>
          <w:rFonts w:ascii="Book Antiqua" w:eastAsia="宋体" w:hAnsi="Book Antiqua" w:hint="eastAsia"/>
          <w:sz w:val="24"/>
          <w:szCs w:val="24"/>
          <w:lang w:eastAsia="zh-CN"/>
        </w:rPr>
        <w:t xml:space="preserve">G </w:t>
      </w:r>
      <w:r w:rsidRPr="00EA6265">
        <w:rPr>
          <w:rFonts w:ascii="Book Antiqua" w:eastAsia="宋体" w:hAnsi="Book Antiqua" w:hint="eastAsia"/>
          <w:i/>
          <w:sz w:val="24"/>
          <w:szCs w:val="24"/>
          <w:lang w:eastAsia="zh-CN"/>
        </w:rPr>
        <w:t>et al.</w:t>
      </w:r>
      <w:r>
        <w:rPr>
          <w:rFonts w:ascii="Book Antiqua" w:eastAsia="宋体" w:hAnsi="Book Antiqua" w:hint="eastAsia"/>
          <w:sz w:val="24"/>
          <w:szCs w:val="24"/>
          <w:lang w:eastAsia="zh-CN"/>
        </w:rPr>
        <w:t xml:space="preserve"> </w:t>
      </w:r>
      <w:r w:rsidR="006C52E7" w:rsidRPr="00B12757">
        <w:rPr>
          <w:rFonts w:ascii="Book Antiqua" w:hAnsi="Book Antiqua"/>
          <w:sz w:val="24"/>
          <w:szCs w:val="24"/>
        </w:rPr>
        <w:t>Bevacizumab HHT</w:t>
      </w:r>
      <w:r w:rsidR="00456570" w:rsidRPr="00B12757">
        <w:rPr>
          <w:rFonts w:ascii="Book Antiqua" w:hAnsi="Book Antiqua"/>
          <w:sz w:val="24"/>
          <w:szCs w:val="24"/>
        </w:rPr>
        <w:t xml:space="preserve"> GI Bleeding</w:t>
      </w:r>
    </w:p>
    <w:p w14:paraId="71D67400" w14:textId="77777777" w:rsidR="006C52E7" w:rsidRPr="00B12757" w:rsidRDefault="006C52E7" w:rsidP="008234B5">
      <w:pPr>
        <w:spacing w:line="360" w:lineRule="auto"/>
        <w:jc w:val="both"/>
        <w:rPr>
          <w:rFonts w:ascii="Book Antiqua" w:hAnsi="Book Antiqua"/>
          <w:sz w:val="24"/>
          <w:szCs w:val="24"/>
        </w:rPr>
      </w:pPr>
    </w:p>
    <w:p w14:paraId="009627C0" w14:textId="07EF17BA" w:rsidR="000A57A4" w:rsidRPr="00EA6265" w:rsidRDefault="000A57A4" w:rsidP="008234B5">
      <w:pPr>
        <w:spacing w:line="360" w:lineRule="auto"/>
        <w:jc w:val="both"/>
        <w:rPr>
          <w:rFonts w:ascii="Book Antiqua" w:eastAsia="宋体" w:hAnsi="Book Antiqua"/>
          <w:b/>
          <w:sz w:val="24"/>
          <w:szCs w:val="24"/>
          <w:lang w:eastAsia="zh-CN"/>
        </w:rPr>
      </w:pPr>
      <w:r w:rsidRPr="00EA6265">
        <w:rPr>
          <w:rFonts w:ascii="Book Antiqua" w:hAnsi="Book Antiqua"/>
          <w:b/>
          <w:sz w:val="24"/>
          <w:szCs w:val="24"/>
        </w:rPr>
        <w:t xml:space="preserve">George </w:t>
      </w:r>
      <w:proofErr w:type="spellStart"/>
      <w:r w:rsidRPr="00EA6265">
        <w:rPr>
          <w:rFonts w:ascii="Book Antiqua" w:hAnsi="Book Antiqua"/>
          <w:b/>
          <w:sz w:val="24"/>
          <w:szCs w:val="24"/>
        </w:rPr>
        <w:t>Ou</w:t>
      </w:r>
      <w:proofErr w:type="spellEnd"/>
      <w:r w:rsidRPr="00EA6265">
        <w:rPr>
          <w:rFonts w:ascii="Book Antiqua" w:hAnsi="Book Antiqua"/>
          <w:b/>
          <w:sz w:val="24"/>
          <w:szCs w:val="24"/>
        </w:rPr>
        <w:t xml:space="preserve">, Cherry </w:t>
      </w:r>
      <w:proofErr w:type="spellStart"/>
      <w:r w:rsidRPr="00EA6265">
        <w:rPr>
          <w:rFonts w:ascii="Book Antiqua" w:hAnsi="Book Antiqua"/>
          <w:b/>
          <w:sz w:val="24"/>
          <w:szCs w:val="24"/>
        </w:rPr>
        <w:t>Galorport</w:t>
      </w:r>
      <w:proofErr w:type="spellEnd"/>
      <w:r w:rsidRPr="00EA6265">
        <w:rPr>
          <w:rFonts w:ascii="Book Antiqua" w:hAnsi="Book Antiqua"/>
          <w:b/>
          <w:sz w:val="24"/>
          <w:szCs w:val="24"/>
        </w:rPr>
        <w:t>, Robert Enns</w:t>
      </w:r>
    </w:p>
    <w:p w14:paraId="1B7F911F" w14:textId="77777777" w:rsidR="000A57A4" w:rsidRPr="00EA6265" w:rsidRDefault="000A57A4" w:rsidP="008234B5">
      <w:pPr>
        <w:spacing w:line="360" w:lineRule="auto"/>
        <w:jc w:val="both"/>
        <w:rPr>
          <w:rFonts w:ascii="Book Antiqua" w:eastAsia="宋体" w:hAnsi="Book Antiqua"/>
          <w:sz w:val="24"/>
          <w:szCs w:val="24"/>
          <w:lang w:eastAsia="zh-CN"/>
        </w:rPr>
      </w:pPr>
    </w:p>
    <w:p w14:paraId="6A278CD7" w14:textId="56986BF1" w:rsidR="00FE77C3" w:rsidRPr="00B12757" w:rsidRDefault="00FE77C3" w:rsidP="008234B5">
      <w:pPr>
        <w:spacing w:line="360" w:lineRule="auto"/>
        <w:jc w:val="both"/>
        <w:rPr>
          <w:rFonts w:ascii="Book Antiqua" w:hAnsi="Book Antiqua"/>
          <w:sz w:val="24"/>
          <w:szCs w:val="24"/>
        </w:rPr>
      </w:pPr>
      <w:r w:rsidRPr="00B12757">
        <w:rPr>
          <w:rFonts w:ascii="Book Antiqua" w:hAnsi="Book Antiqua"/>
          <w:b/>
          <w:sz w:val="24"/>
          <w:szCs w:val="24"/>
        </w:rPr>
        <w:t xml:space="preserve">George </w:t>
      </w:r>
      <w:proofErr w:type="spellStart"/>
      <w:r w:rsidRPr="00B12757">
        <w:rPr>
          <w:rFonts w:ascii="Book Antiqua" w:hAnsi="Book Antiqua"/>
          <w:b/>
          <w:sz w:val="24"/>
          <w:szCs w:val="24"/>
        </w:rPr>
        <w:t>Ou</w:t>
      </w:r>
      <w:proofErr w:type="spellEnd"/>
      <w:r w:rsidRPr="00B12757">
        <w:rPr>
          <w:rFonts w:ascii="Book Antiqua" w:hAnsi="Book Antiqua"/>
          <w:b/>
          <w:sz w:val="24"/>
          <w:szCs w:val="24"/>
        </w:rPr>
        <w:t xml:space="preserve">, </w:t>
      </w:r>
      <w:r w:rsidR="006C52E7" w:rsidRPr="00B12757">
        <w:rPr>
          <w:rFonts w:ascii="Book Antiqua" w:hAnsi="Book Antiqua"/>
          <w:b/>
          <w:sz w:val="24"/>
          <w:szCs w:val="24"/>
        </w:rPr>
        <w:t xml:space="preserve">Cherry </w:t>
      </w:r>
      <w:proofErr w:type="spellStart"/>
      <w:r w:rsidR="006C52E7" w:rsidRPr="00B12757">
        <w:rPr>
          <w:rFonts w:ascii="Book Antiqua" w:hAnsi="Book Antiqua"/>
          <w:b/>
          <w:sz w:val="24"/>
          <w:szCs w:val="24"/>
        </w:rPr>
        <w:t>Galorport</w:t>
      </w:r>
      <w:proofErr w:type="spellEnd"/>
      <w:r w:rsidR="006C52E7" w:rsidRPr="00B12757">
        <w:rPr>
          <w:rFonts w:ascii="Book Antiqua" w:hAnsi="Book Antiqua"/>
          <w:b/>
          <w:sz w:val="24"/>
          <w:szCs w:val="24"/>
        </w:rPr>
        <w:t xml:space="preserve">, </w:t>
      </w:r>
      <w:r w:rsidRPr="00B12757">
        <w:rPr>
          <w:rFonts w:ascii="Book Antiqua" w:hAnsi="Book Antiqua"/>
          <w:b/>
          <w:sz w:val="24"/>
          <w:szCs w:val="24"/>
        </w:rPr>
        <w:t>Robert Enns</w:t>
      </w:r>
      <w:r w:rsidR="006C52E7" w:rsidRPr="00B12757">
        <w:rPr>
          <w:rFonts w:ascii="Book Antiqua" w:hAnsi="Book Antiqua"/>
          <w:sz w:val="24"/>
          <w:szCs w:val="24"/>
        </w:rPr>
        <w:t xml:space="preserve">, </w:t>
      </w:r>
      <w:r w:rsidRPr="00B12757">
        <w:rPr>
          <w:rFonts w:ascii="Book Antiqua" w:hAnsi="Book Antiqua"/>
          <w:sz w:val="24"/>
          <w:szCs w:val="24"/>
        </w:rPr>
        <w:t>Division of Gastroenterology, Department of Medicine, St. Paul’s Hospital, University of British Columbia, Vancouver, British Columbia,</w:t>
      </w:r>
      <w:r w:rsidR="006C52E7" w:rsidRPr="00B12757">
        <w:rPr>
          <w:rFonts w:ascii="Book Antiqua" w:hAnsi="Book Antiqua"/>
          <w:sz w:val="24"/>
          <w:szCs w:val="24"/>
        </w:rPr>
        <w:t xml:space="preserve"> V6Z 1Y6,</w:t>
      </w:r>
      <w:r w:rsidRPr="00B12757">
        <w:rPr>
          <w:rFonts w:ascii="Book Antiqua" w:hAnsi="Book Antiqua"/>
          <w:sz w:val="24"/>
          <w:szCs w:val="24"/>
        </w:rPr>
        <w:t xml:space="preserve"> Canada</w:t>
      </w:r>
    </w:p>
    <w:p w14:paraId="28086522" w14:textId="77777777" w:rsidR="006C52E7" w:rsidRPr="008234B5" w:rsidRDefault="006C52E7" w:rsidP="008234B5">
      <w:pPr>
        <w:spacing w:line="360" w:lineRule="auto"/>
        <w:jc w:val="both"/>
        <w:rPr>
          <w:rFonts w:ascii="Book Antiqua" w:hAnsi="Book Antiqua"/>
          <w:b/>
          <w:sz w:val="24"/>
          <w:szCs w:val="24"/>
        </w:rPr>
      </w:pPr>
    </w:p>
    <w:p w14:paraId="2603BFEE" w14:textId="77777777" w:rsidR="00685662" w:rsidRPr="00B12757" w:rsidRDefault="006C52E7" w:rsidP="008234B5">
      <w:pPr>
        <w:spacing w:line="360" w:lineRule="auto"/>
        <w:jc w:val="both"/>
        <w:rPr>
          <w:rFonts w:ascii="Book Antiqua" w:hAnsi="Book Antiqua"/>
          <w:sz w:val="24"/>
          <w:szCs w:val="24"/>
        </w:rPr>
      </w:pPr>
      <w:r w:rsidRPr="008234B5">
        <w:rPr>
          <w:rFonts w:ascii="Book Antiqua" w:hAnsi="Book Antiqua"/>
          <w:b/>
          <w:sz w:val="24"/>
          <w:szCs w:val="24"/>
        </w:rPr>
        <w:t>Author contributions:</w:t>
      </w:r>
      <w:r w:rsidR="000A57A4" w:rsidRPr="00B12757">
        <w:rPr>
          <w:rFonts w:ascii="Book Antiqua" w:hAnsi="Book Antiqua"/>
          <w:sz w:val="24"/>
          <w:szCs w:val="24"/>
        </w:rPr>
        <w:t xml:space="preserve"> </w:t>
      </w:r>
      <w:proofErr w:type="spellStart"/>
      <w:r w:rsidR="000A57A4" w:rsidRPr="00B12757">
        <w:rPr>
          <w:rFonts w:ascii="Book Antiqua" w:hAnsi="Book Antiqua"/>
          <w:sz w:val="24"/>
          <w:szCs w:val="24"/>
        </w:rPr>
        <w:t>Ou</w:t>
      </w:r>
      <w:proofErr w:type="spellEnd"/>
      <w:r w:rsidR="000A57A4" w:rsidRPr="00B12757">
        <w:rPr>
          <w:rFonts w:ascii="Book Antiqua" w:hAnsi="Book Antiqua"/>
          <w:sz w:val="24"/>
          <w:szCs w:val="24"/>
        </w:rPr>
        <w:t xml:space="preserve"> G, </w:t>
      </w:r>
      <w:proofErr w:type="spellStart"/>
      <w:r w:rsidR="000A57A4" w:rsidRPr="00B12757">
        <w:rPr>
          <w:rFonts w:ascii="Book Antiqua" w:hAnsi="Book Antiqua"/>
          <w:sz w:val="24"/>
          <w:szCs w:val="24"/>
        </w:rPr>
        <w:t>Galorport</w:t>
      </w:r>
      <w:proofErr w:type="spellEnd"/>
      <w:r w:rsidR="000A57A4" w:rsidRPr="00B12757">
        <w:rPr>
          <w:rFonts w:ascii="Book Antiqua" w:hAnsi="Book Antiqua"/>
          <w:sz w:val="24"/>
          <w:szCs w:val="24"/>
        </w:rPr>
        <w:t xml:space="preserve"> C, and Enns R designed the report and drafted the article; </w:t>
      </w:r>
      <w:proofErr w:type="spellStart"/>
      <w:r w:rsidR="000A57A4" w:rsidRPr="00B12757">
        <w:rPr>
          <w:rFonts w:ascii="Book Antiqua" w:hAnsi="Book Antiqua"/>
          <w:sz w:val="24"/>
          <w:szCs w:val="24"/>
        </w:rPr>
        <w:t>Ou</w:t>
      </w:r>
      <w:proofErr w:type="spellEnd"/>
      <w:r w:rsidR="000A57A4" w:rsidRPr="00B12757">
        <w:rPr>
          <w:rFonts w:ascii="Book Antiqua" w:hAnsi="Book Antiqua"/>
          <w:sz w:val="24"/>
          <w:szCs w:val="24"/>
        </w:rPr>
        <w:t xml:space="preserve"> G and </w:t>
      </w:r>
      <w:proofErr w:type="spellStart"/>
      <w:r w:rsidR="000A57A4" w:rsidRPr="00B12757">
        <w:rPr>
          <w:rFonts w:ascii="Book Antiqua" w:hAnsi="Book Antiqua"/>
          <w:sz w:val="24"/>
          <w:szCs w:val="24"/>
        </w:rPr>
        <w:t>Galorport</w:t>
      </w:r>
      <w:proofErr w:type="spellEnd"/>
      <w:r w:rsidR="000A57A4" w:rsidRPr="00B12757">
        <w:rPr>
          <w:rFonts w:ascii="Book Antiqua" w:hAnsi="Book Antiqua"/>
          <w:sz w:val="24"/>
          <w:szCs w:val="24"/>
        </w:rPr>
        <w:t xml:space="preserve"> C collected the data; </w:t>
      </w:r>
      <w:proofErr w:type="spellStart"/>
      <w:r w:rsidR="000A57A4" w:rsidRPr="00B12757">
        <w:rPr>
          <w:rFonts w:ascii="Book Antiqua" w:hAnsi="Book Antiqua"/>
          <w:sz w:val="24"/>
          <w:szCs w:val="24"/>
        </w:rPr>
        <w:t>Ou</w:t>
      </w:r>
      <w:proofErr w:type="spellEnd"/>
      <w:r w:rsidR="000A57A4" w:rsidRPr="00B12757">
        <w:rPr>
          <w:rFonts w:ascii="Book Antiqua" w:hAnsi="Book Antiqua"/>
          <w:sz w:val="24"/>
          <w:szCs w:val="24"/>
        </w:rPr>
        <w:t xml:space="preserve"> G and Enns R drafted the manuscript; all authors contributed to the critical revision and final approval of the manuscript.</w:t>
      </w:r>
    </w:p>
    <w:p w14:paraId="19329234" w14:textId="77777777" w:rsidR="00685662" w:rsidRPr="00EA6265" w:rsidRDefault="00685662" w:rsidP="008234B5">
      <w:pPr>
        <w:spacing w:line="360" w:lineRule="auto"/>
        <w:jc w:val="both"/>
        <w:rPr>
          <w:rFonts w:ascii="Book Antiqua" w:eastAsia="宋体" w:hAnsi="Book Antiqua"/>
          <w:sz w:val="24"/>
          <w:szCs w:val="24"/>
          <w:lang w:eastAsia="zh-CN"/>
        </w:rPr>
      </w:pPr>
    </w:p>
    <w:p w14:paraId="5FF04592" w14:textId="1E080C07" w:rsidR="00685662" w:rsidRPr="00B12757" w:rsidRDefault="00685662" w:rsidP="008234B5">
      <w:pPr>
        <w:spacing w:line="360" w:lineRule="auto"/>
        <w:jc w:val="both"/>
        <w:rPr>
          <w:rFonts w:ascii="Book Antiqua" w:hAnsi="Book Antiqua"/>
          <w:sz w:val="24"/>
          <w:szCs w:val="24"/>
        </w:rPr>
      </w:pPr>
      <w:r w:rsidRPr="00EA6265">
        <w:rPr>
          <w:rFonts w:ascii="Book Antiqua" w:hAnsi="Book Antiqua"/>
          <w:b/>
          <w:sz w:val="24"/>
          <w:szCs w:val="24"/>
        </w:rPr>
        <w:t>Institutional review board statement:</w:t>
      </w:r>
      <w:r w:rsidR="00382613" w:rsidRPr="00EA6265">
        <w:rPr>
          <w:rFonts w:ascii="Book Antiqua" w:hAnsi="Book Antiqua"/>
          <w:b/>
          <w:sz w:val="24"/>
          <w:szCs w:val="24"/>
        </w:rPr>
        <w:t xml:space="preserve"> </w:t>
      </w:r>
      <w:r w:rsidR="00897D76">
        <w:rPr>
          <w:rFonts w:ascii="Book Antiqua" w:hAnsi="Book Antiqua"/>
          <w:sz w:val="24"/>
          <w:szCs w:val="24"/>
        </w:rPr>
        <w:t>Not applicable</w:t>
      </w:r>
      <w:r w:rsidR="00382613" w:rsidRPr="00B12757">
        <w:rPr>
          <w:rFonts w:ascii="Book Antiqua" w:hAnsi="Book Antiqua"/>
          <w:sz w:val="24"/>
          <w:szCs w:val="24"/>
        </w:rPr>
        <w:t xml:space="preserve"> (Ethics approval not required </w:t>
      </w:r>
      <w:r w:rsidR="00830810" w:rsidRPr="00B12757">
        <w:rPr>
          <w:rFonts w:ascii="Book Antiqua" w:hAnsi="Book Antiqua"/>
          <w:sz w:val="24"/>
          <w:szCs w:val="24"/>
        </w:rPr>
        <w:t xml:space="preserve">for single case report as </w:t>
      </w:r>
      <w:r w:rsidR="00382613" w:rsidRPr="00B12757">
        <w:rPr>
          <w:rFonts w:ascii="Book Antiqua" w:hAnsi="Book Antiqua"/>
          <w:sz w:val="24"/>
          <w:szCs w:val="24"/>
        </w:rPr>
        <w:t>per University of British Columbia Research Ethics Board)</w:t>
      </w:r>
    </w:p>
    <w:p w14:paraId="5104DCA4" w14:textId="77777777" w:rsidR="00685662" w:rsidRPr="00B12757" w:rsidRDefault="00685662" w:rsidP="008234B5">
      <w:pPr>
        <w:spacing w:line="360" w:lineRule="auto"/>
        <w:jc w:val="both"/>
        <w:rPr>
          <w:rFonts w:ascii="Book Antiqua" w:hAnsi="Book Antiqua"/>
          <w:sz w:val="24"/>
          <w:szCs w:val="24"/>
        </w:rPr>
      </w:pPr>
    </w:p>
    <w:p w14:paraId="5E598172" w14:textId="3B56F509" w:rsidR="00685662" w:rsidRPr="00B12757" w:rsidRDefault="00685662" w:rsidP="008234B5">
      <w:pPr>
        <w:spacing w:line="360" w:lineRule="auto"/>
        <w:jc w:val="both"/>
        <w:rPr>
          <w:rFonts w:ascii="Book Antiqua" w:hAnsi="Book Antiqua"/>
          <w:sz w:val="24"/>
          <w:szCs w:val="24"/>
        </w:rPr>
      </w:pPr>
      <w:r w:rsidRPr="00EA6265">
        <w:rPr>
          <w:rFonts w:ascii="Book Antiqua" w:hAnsi="Book Antiqua"/>
          <w:b/>
          <w:sz w:val="24"/>
          <w:szCs w:val="24"/>
        </w:rPr>
        <w:t>Informed consent statement:</w:t>
      </w:r>
      <w:r w:rsidR="00382613" w:rsidRPr="00B12757">
        <w:rPr>
          <w:rFonts w:ascii="Book Antiqua" w:hAnsi="Book Antiqua"/>
          <w:sz w:val="24"/>
          <w:szCs w:val="24"/>
        </w:rPr>
        <w:t xml:space="preserve"> </w:t>
      </w:r>
      <w:r w:rsidR="00830810" w:rsidRPr="00B12757">
        <w:rPr>
          <w:rFonts w:ascii="Book Antiqua" w:hAnsi="Book Antiqua"/>
          <w:sz w:val="24"/>
          <w:szCs w:val="24"/>
        </w:rPr>
        <w:t xml:space="preserve">The patient provided </w:t>
      </w:r>
      <w:r w:rsidR="00456570" w:rsidRPr="00B12757">
        <w:rPr>
          <w:rFonts w:ascii="Book Antiqua" w:hAnsi="Book Antiqua"/>
          <w:sz w:val="24"/>
          <w:szCs w:val="24"/>
        </w:rPr>
        <w:t>written</w:t>
      </w:r>
      <w:r w:rsidR="00830810" w:rsidRPr="00B12757">
        <w:rPr>
          <w:rFonts w:ascii="Book Antiqua" w:hAnsi="Book Antiqua"/>
          <w:sz w:val="24"/>
          <w:szCs w:val="24"/>
        </w:rPr>
        <w:t xml:space="preserve"> informed</w:t>
      </w:r>
      <w:r w:rsidR="00280F5A">
        <w:rPr>
          <w:rFonts w:ascii="Book Antiqua" w:hAnsi="Book Antiqua"/>
          <w:sz w:val="24"/>
          <w:szCs w:val="24"/>
        </w:rPr>
        <w:t xml:space="preserve"> consent prior to participation in this case report.</w:t>
      </w:r>
    </w:p>
    <w:p w14:paraId="4F8EB8CA" w14:textId="77777777" w:rsidR="00685662" w:rsidRPr="00B12757" w:rsidRDefault="00685662" w:rsidP="008234B5">
      <w:pPr>
        <w:spacing w:line="360" w:lineRule="auto"/>
        <w:jc w:val="both"/>
        <w:rPr>
          <w:rFonts w:ascii="Book Antiqua" w:hAnsi="Book Antiqua"/>
          <w:sz w:val="24"/>
          <w:szCs w:val="24"/>
        </w:rPr>
      </w:pPr>
    </w:p>
    <w:p w14:paraId="65188487" w14:textId="07BB2963" w:rsidR="00685662" w:rsidRDefault="00685662" w:rsidP="008234B5">
      <w:pPr>
        <w:spacing w:line="360" w:lineRule="auto"/>
        <w:jc w:val="both"/>
        <w:rPr>
          <w:rFonts w:ascii="Book Antiqua" w:eastAsia="宋体" w:hAnsi="Book Antiqua"/>
          <w:sz w:val="24"/>
          <w:szCs w:val="24"/>
          <w:lang w:eastAsia="zh-CN"/>
        </w:rPr>
      </w:pPr>
      <w:r w:rsidRPr="00EA6265">
        <w:rPr>
          <w:rFonts w:ascii="Book Antiqua" w:hAnsi="Book Antiqua"/>
          <w:b/>
          <w:sz w:val="24"/>
          <w:szCs w:val="24"/>
        </w:rPr>
        <w:t>Conf</w:t>
      </w:r>
      <w:r w:rsidR="009757C2" w:rsidRPr="00EA6265">
        <w:rPr>
          <w:rFonts w:ascii="Book Antiqua" w:hAnsi="Book Antiqua"/>
          <w:b/>
          <w:sz w:val="24"/>
          <w:szCs w:val="24"/>
        </w:rPr>
        <w:t>lict-of-interest statement:</w:t>
      </w:r>
      <w:r w:rsidR="009757C2" w:rsidRPr="00B12757">
        <w:rPr>
          <w:rFonts w:ascii="Book Antiqua" w:hAnsi="Book Antiqua"/>
          <w:sz w:val="24"/>
          <w:szCs w:val="24"/>
        </w:rPr>
        <w:t xml:space="preserve"> The authors have no conflict of interest to declare.</w:t>
      </w:r>
    </w:p>
    <w:p w14:paraId="746E7228" w14:textId="77777777" w:rsidR="00EA6265" w:rsidRPr="00EA6265" w:rsidRDefault="00EA6265" w:rsidP="008234B5">
      <w:pPr>
        <w:spacing w:line="360" w:lineRule="auto"/>
        <w:jc w:val="both"/>
        <w:rPr>
          <w:rFonts w:ascii="Book Antiqua" w:eastAsia="宋体" w:hAnsi="Book Antiqua"/>
          <w:sz w:val="24"/>
          <w:szCs w:val="24"/>
          <w:lang w:eastAsia="zh-CN"/>
        </w:rPr>
      </w:pPr>
    </w:p>
    <w:p w14:paraId="68980EF0" w14:textId="77777777" w:rsidR="008234B5" w:rsidRPr="00164EDB" w:rsidRDefault="008234B5" w:rsidP="0070350E">
      <w:pPr>
        <w:spacing w:line="360" w:lineRule="auto"/>
        <w:jc w:val="both"/>
        <w:rPr>
          <w:rFonts w:ascii="Book Antiqua" w:hAnsi="Book Antiqua"/>
          <w:b/>
          <w:color w:val="000000"/>
          <w:sz w:val="24"/>
        </w:rPr>
      </w:pPr>
      <w:bookmarkStart w:id="3" w:name="OLE_LINK155"/>
      <w:bookmarkStart w:id="4" w:name="OLE_LINK183"/>
      <w:bookmarkStart w:id="5" w:name="OLE_LINK441"/>
      <w:r w:rsidRPr="00164EDB">
        <w:rPr>
          <w:rFonts w:ascii="Book Antiqua" w:hAnsi="Book Antiqua"/>
          <w:b/>
          <w:color w:val="000000"/>
          <w:sz w:val="24"/>
        </w:rPr>
        <w:t xml:space="preserve">Open-Access: </w:t>
      </w:r>
      <w:r w:rsidRPr="00164EDB">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t>
      </w:r>
      <w:r w:rsidRPr="00164EDB">
        <w:rPr>
          <w:rFonts w:ascii="Book Antiqua" w:hAnsi="Book Antiqua"/>
          <w:color w:val="000000"/>
          <w:sz w:val="24"/>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14:paraId="2C8201A1" w14:textId="77777777" w:rsidR="008234B5" w:rsidRPr="00712F63" w:rsidRDefault="008234B5" w:rsidP="008234B5">
      <w:pPr>
        <w:spacing w:line="360" w:lineRule="auto"/>
        <w:rPr>
          <w:rFonts w:ascii="Book Antiqua" w:hAnsi="Book Antiqua" w:cs="Arial Unicode MS"/>
          <w:color w:val="000000"/>
          <w:sz w:val="24"/>
        </w:rPr>
      </w:pPr>
    </w:p>
    <w:p w14:paraId="02CC6EB9" w14:textId="77777777" w:rsidR="008234B5" w:rsidRDefault="008234B5" w:rsidP="008234B5">
      <w:pPr>
        <w:spacing w:line="360" w:lineRule="auto"/>
        <w:rPr>
          <w:rFonts w:ascii="Book Antiqua" w:hAnsi="Book Antiqua" w:cs="Arial Unicode MS"/>
          <w:color w:val="000000"/>
          <w:sz w:val="24"/>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14:paraId="59A72C25" w14:textId="77777777" w:rsidR="00685662" w:rsidRPr="00B12757" w:rsidRDefault="00685662" w:rsidP="008234B5">
      <w:pPr>
        <w:spacing w:line="360" w:lineRule="auto"/>
        <w:jc w:val="both"/>
        <w:rPr>
          <w:rFonts w:ascii="Book Antiqua" w:hAnsi="Book Antiqua"/>
          <w:sz w:val="24"/>
          <w:szCs w:val="24"/>
        </w:rPr>
      </w:pPr>
    </w:p>
    <w:p w14:paraId="7092A1A8" w14:textId="31BEF770" w:rsidR="00685662" w:rsidRPr="00B12757" w:rsidRDefault="007D5D02" w:rsidP="008234B5">
      <w:pPr>
        <w:spacing w:line="360" w:lineRule="auto"/>
        <w:jc w:val="both"/>
        <w:rPr>
          <w:rFonts w:ascii="Book Antiqua" w:hAnsi="Book Antiqua"/>
          <w:sz w:val="24"/>
          <w:szCs w:val="24"/>
        </w:rPr>
      </w:pPr>
      <w:r w:rsidRPr="00EA6265">
        <w:rPr>
          <w:rFonts w:ascii="Book Antiqua" w:hAnsi="Book Antiqua"/>
          <w:b/>
          <w:sz w:val="24"/>
          <w:szCs w:val="24"/>
        </w:rPr>
        <w:t>Correspondence to</w:t>
      </w:r>
      <w:r w:rsidR="00685662" w:rsidRPr="00EA6265">
        <w:rPr>
          <w:rFonts w:ascii="Book Antiqua" w:hAnsi="Book Antiqua"/>
          <w:b/>
          <w:sz w:val="24"/>
          <w:szCs w:val="24"/>
        </w:rPr>
        <w:t xml:space="preserve">: Robert Enns, MD, FRCPC, </w:t>
      </w:r>
      <w:r w:rsidR="00685662" w:rsidRPr="00B12757">
        <w:rPr>
          <w:rFonts w:ascii="Book Antiqua" w:hAnsi="Book Antiqua"/>
          <w:sz w:val="24"/>
          <w:szCs w:val="24"/>
        </w:rPr>
        <w:t xml:space="preserve">Division of Gastroenterology, St. Paul’s Hospital, University of British Columbia, Pacific Gastroenterology Associates, Suite 770 - 1190 Hornby Street, Vancouver, British Columbia, </w:t>
      </w:r>
      <w:r w:rsidR="00EA6265" w:rsidRPr="00B12757">
        <w:rPr>
          <w:rFonts w:ascii="Book Antiqua" w:hAnsi="Book Antiqua"/>
          <w:sz w:val="24"/>
          <w:szCs w:val="24"/>
        </w:rPr>
        <w:t>V6Z 1Y6</w:t>
      </w:r>
      <w:r w:rsidR="00EA6265">
        <w:rPr>
          <w:rFonts w:ascii="Book Antiqua" w:eastAsia="宋体" w:hAnsi="Book Antiqua" w:hint="eastAsia"/>
          <w:sz w:val="24"/>
          <w:szCs w:val="24"/>
          <w:lang w:eastAsia="zh-CN"/>
        </w:rPr>
        <w:t xml:space="preserve">, </w:t>
      </w:r>
      <w:r w:rsidR="00685662" w:rsidRPr="00B12757">
        <w:rPr>
          <w:rFonts w:ascii="Book Antiqua" w:hAnsi="Book Antiqua"/>
          <w:sz w:val="24"/>
          <w:szCs w:val="24"/>
        </w:rPr>
        <w:t>Canada. rob.enns@ubc.ca</w:t>
      </w:r>
    </w:p>
    <w:p w14:paraId="620D7AAB" w14:textId="464D8D63" w:rsidR="00685662" w:rsidRPr="00B12757" w:rsidRDefault="00EA6265" w:rsidP="008234B5">
      <w:pPr>
        <w:spacing w:line="360" w:lineRule="auto"/>
        <w:jc w:val="both"/>
        <w:rPr>
          <w:rFonts w:ascii="Book Antiqua" w:hAnsi="Book Antiqua"/>
          <w:sz w:val="24"/>
          <w:szCs w:val="24"/>
        </w:rPr>
      </w:pPr>
      <w:r w:rsidRPr="00EA6265">
        <w:rPr>
          <w:rFonts w:ascii="Book Antiqua" w:eastAsia="宋体" w:hAnsi="Book Antiqua" w:hint="eastAsia"/>
          <w:b/>
          <w:sz w:val="24"/>
          <w:szCs w:val="24"/>
          <w:lang w:eastAsia="zh-CN"/>
        </w:rPr>
        <w:t>Tele</w:t>
      </w:r>
      <w:r w:rsidRPr="00EA6265">
        <w:rPr>
          <w:rFonts w:ascii="Book Antiqua" w:hAnsi="Book Antiqua"/>
          <w:b/>
          <w:sz w:val="24"/>
          <w:szCs w:val="24"/>
        </w:rPr>
        <w:t>p</w:t>
      </w:r>
      <w:r w:rsidR="00685662" w:rsidRPr="00EA6265">
        <w:rPr>
          <w:rFonts w:ascii="Book Antiqua" w:hAnsi="Book Antiqua"/>
          <w:b/>
          <w:sz w:val="24"/>
          <w:szCs w:val="24"/>
        </w:rPr>
        <w:t>hone</w:t>
      </w:r>
      <w:r>
        <w:rPr>
          <w:rFonts w:ascii="Book Antiqua" w:hAnsi="Book Antiqua"/>
          <w:sz w:val="24"/>
          <w:szCs w:val="24"/>
        </w:rPr>
        <w:t>: +1-604-688</w:t>
      </w:r>
      <w:r w:rsidR="00685662" w:rsidRPr="00B12757">
        <w:rPr>
          <w:rFonts w:ascii="Book Antiqua" w:hAnsi="Book Antiqua"/>
          <w:sz w:val="24"/>
          <w:szCs w:val="24"/>
        </w:rPr>
        <w:t>6332</w:t>
      </w:r>
      <w:r w:rsidR="00C30AB9">
        <w:rPr>
          <w:rFonts w:ascii="Book Antiqua" w:eastAsia="宋体" w:hAnsi="Book Antiqua" w:hint="eastAsia"/>
          <w:sz w:val="24"/>
          <w:szCs w:val="24"/>
          <w:lang w:eastAsia="zh-CN"/>
        </w:rPr>
        <w:t>-</w:t>
      </w:r>
      <w:r w:rsidR="00685662" w:rsidRPr="00B12757">
        <w:rPr>
          <w:rFonts w:ascii="Book Antiqua" w:hAnsi="Book Antiqua"/>
          <w:sz w:val="24"/>
          <w:szCs w:val="24"/>
        </w:rPr>
        <w:t>222</w:t>
      </w:r>
    </w:p>
    <w:p w14:paraId="7AB70C57" w14:textId="7BA91DFA" w:rsidR="008234B5" w:rsidRDefault="00685662" w:rsidP="008234B5">
      <w:pPr>
        <w:spacing w:line="360" w:lineRule="auto"/>
        <w:jc w:val="both"/>
        <w:rPr>
          <w:rFonts w:ascii="Book Antiqua" w:eastAsia="宋体" w:hAnsi="Book Antiqua"/>
          <w:sz w:val="24"/>
          <w:szCs w:val="24"/>
          <w:lang w:eastAsia="zh-CN"/>
        </w:rPr>
      </w:pPr>
      <w:r w:rsidRPr="00EA6265">
        <w:rPr>
          <w:rFonts w:ascii="Book Antiqua" w:hAnsi="Book Antiqua"/>
          <w:b/>
          <w:sz w:val="24"/>
          <w:szCs w:val="24"/>
        </w:rPr>
        <w:t>Fax</w:t>
      </w:r>
      <w:r w:rsidR="00EA6265">
        <w:rPr>
          <w:rFonts w:ascii="Book Antiqua" w:hAnsi="Book Antiqua"/>
          <w:sz w:val="24"/>
          <w:szCs w:val="24"/>
        </w:rPr>
        <w:t>: +1-604-689</w:t>
      </w:r>
      <w:r w:rsidRPr="00B12757">
        <w:rPr>
          <w:rFonts w:ascii="Book Antiqua" w:hAnsi="Book Antiqua"/>
          <w:sz w:val="24"/>
          <w:szCs w:val="24"/>
        </w:rPr>
        <w:t>2004</w:t>
      </w:r>
    </w:p>
    <w:p w14:paraId="443D9458" w14:textId="77777777" w:rsidR="008234B5" w:rsidRDefault="008234B5" w:rsidP="008234B5">
      <w:pPr>
        <w:spacing w:line="360" w:lineRule="auto"/>
        <w:jc w:val="both"/>
        <w:rPr>
          <w:rFonts w:ascii="Book Antiqua" w:eastAsia="宋体" w:hAnsi="Book Antiqua"/>
          <w:sz w:val="24"/>
          <w:szCs w:val="24"/>
          <w:lang w:eastAsia="zh-CN"/>
        </w:rPr>
      </w:pPr>
    </w:p>
    <w:p w14:paraId="0970C4E5" w14:textId="21F00BB7" w:rsidR="008234B5" w:rsidRPr="00EA6265" w:rsidRDefault="008234B5" w:rsidP="008234B5">
      <w:pPr>
        <w:spacing w:line="360" w:lineRule="auto"/>
        <w:rPr>
          <w:rFonts w:ascii="Book Antiqua" w:eastAsia="宋体" w:hAnsi="Book Antiqua"/>
          <w:sz w:val="24"/>
          <w:lang w:eastAsia="zh-CN"/>
        </w:rPr>
      </w:pPr>
      <w:bookmarkStart w:id="6" w:name="OLE_LINK476"/>
      <w:bookmarkStart w:id="7" w:name="OLE_LINK477"/>
      <w:bookmarkStart w:id="8" w:name="OLE_LINK117"/>
      <w:bookmarkStart w:id="9" w:name="OLE_LINK528"/>
      <w:bookmarkStart w:id="10" w:name="OLE_LINK557"/>
      <w:r>
        <w:rPr>
          <w:rFonts w:ascii="Book Antiqua" w:hAnsi="Book Antiqua"/>
          <w:b/>
          <w:sz w:val="24"/>
        </w:rPr>
        <w:t>Received</w:t>
      </w:r>
      <w:r w:rsidRPr="00EA6265">
        <w:rPr>
          <w:rFonts w:ascii="Book Antiqua" w:hAnsi="Book Antiqua"/>
          <w:sz w:val="24"/>
        </w:rPr>
        <w:t>:</w:t>
      </w:r>
      <w:r w:rsidR="00EA6265" w:rsidRPr="00EA6265">
        <w:rPr>
          <w:rFonts w:ascii="Book Antiqua" w:eastAsia="宋体" w:hAnsi="Book Antiqua" w:hint="eastAsia"/>
          <w:sz w:val="24"/>
          <w:lang w:eastAsia="zh-CN"/>
        </w:rPr>
        <w:t xml:space="preserve"> August 4, 2016</w:t>
      </w:r>
    </w:p>
    <w:p w14:paraId="463E3F43" w14:textId="1229100D" w:rsidR="008234B5" w:rsidRPr="00EA6265" w:rsidRDefault="008234B5" w:rsidP="008234B5">
      <w:pPr>
        <w:spacing w:line="360" w:lineRule="auto"/>
        <w:rPr>
          <w:rFonts w:ascii="Book Antiqua" w:eastAsia="宋体" w:hAnsi="Book Antiqua"/>
          <w:b/>
          <w:sz w:val="24"/>
          <w:lang w:eastAsia="zh-CN"/>
        </w:rPr>
      </w:pPr>
      <w:r w:rsidRPr="009659DA">
        <w:rPr>
          <w:rFonts w:ascii="Book Antiqua" w:hAnsi="Book Antiqua" w:hint="eastAsia"/>
          <w:b/>
          <w:sz w:val="24"/>
        </w:rPr>
        <w:t>Peer-review started</w:t>
      </w:r>
      <w:r>
        <w:rPr>
          <w:rFonts w:ascii="Book Antiqua" w:hAnsi="Book Antiqua"/>
          <w:b/>
          <w:sz w:val="24"/>
        </w:rPr>
        <w:t>:</w:t>
      </w:r>
      <w:r w:rsidR="00EA6265">
        <w:rPr>
          <w:rFonts w:ascii="Book Antiqua" w:eastAsia="宋体" w:hAnsi="Book Antiqua" w:hint="eastAsia"/>
          <w:b/>
          <w:sz w:val="24"/>
          <w:lang w:eastAsia="zh-CN"/>
        </w:rPr>
        <w:t xml:space="preserve"> </w:t>
      </w:r>
      <w:r w:rsidR="00EA6265" w:rsidRPr="00EA6265">
        <w:rPr>
          <w:rFonts w:ascii="Book Antiqua" w:eastAsia="宋体" w:hAnsi="Book Antiqua" w:hint="eastAsia"/>
          <w:sz w:val="24"/>
          <w:lang w:eastAsia="zh-CN"/>
        </w:rPr>
        <w:t xml:space="preserve">August </w:t>
      </w:r>
      <w:r w:rsidR="00EA6265">
        <w:rPr>
          <w:rFonts w:ascii="Book Antiqua" w:eastAsia="宋体" w:hAnsi="Book Antiqua" w:hint="eastAsia"/>
          <w:sz w:val="24"/>
          <w:lang w:eastAsia="zh-CN"/>
        </w:rPr>
        <w:t>5</w:t>
      </w:r>
      <w:r w:rsidR="00EA6265" w:rsidRPr="00EA6265">
        <w:rPr>
          <w:rFonts w:ascii="Book Antiqua" w:eastAsia="宋体" w:hAnsi="Book Antiqua" w:hint="eastAsia"/>
          <w:sz w:val="24"/>
          <w:lang w:eastAsia="zh-CN"/>
        </w:rPr>
        <w:t>, 2016</w:t>
      </w:r>
    </w:p>
    <w:p w14:paraId="5D0DBE69" w14:textId="6CF5A459" w:rsidR="008234B5" w:rsidRPr="00EA6265" w:rsidRDefault="008234B5" w:rsidP="008234B5">
      <w:pPr>
        <w:spacing w:line="360" w:lineRule="auto"/>
        <w:rPr>
          <w:rFonts w:ascii="Book Antiqua" w:eastAsia="宋体" w:hAnsi="Book Antiqua"/>
          <w:b/>
          <w:sz w:val="24"/>
          <w:lang w:eastAsia="zh-CN"/>
        </w:rPr>
      </w:pPr>
      <w:r w:rsidRPr="009659DA">
        <w:rPr>
          <w:rFonts w:ascii="Book Antiqua" w:hAnsi="Book Antiqua"/>
          <w:b/>
          <w:sz w:val="24"/>
        </w:rPr>
        <w:t>First decision:</w:t>
      </w:r>
      <w:r w:rsidR="00EA6265">
        <w:rPr>
          <w:rFonts w:ascii="Book Antiqua" w:eastAsia="宋体" w:hAnsi="Book Antiqua" w:hint="eastAsia"/>
          <w:b/>
          <w:sz w:val="24"/>
          <w:lang w:eastAsia="zh-CN"/>
        </w:rPr>
        <w:t xml:space="preserve"> </w:t>
      </w:r>
      <w:r w:rsidR="00EA6265" w:rsidRPr="00EA6265">
        <w:rPr>
          <w:rFonts w:ascii="Book Antiqua" w:eastAsia="宋体" w:hAnsi="Book Antiqua" w:hint="eastAsia"/>
          <w:sz w:val="24"/>
          <w:lang w:eastAsia="zh-CN"/>
        </w:rPr>
        <w:t xml:space="preserve">August </w:t>
      </w:r>
      <w:r w:rsidR="00EA6265">
        <w:rPr>
          <w:rFonts w:ascii="Book Antiqua" w:eastAsia="宋体" w:hAnsi="Book Antiqua" w:hint="eastAsia"/>
          <w:sz w:val="24"/>
          <w:lang w:eastAsia="zh-CN"/>
        </w:rPr>
        <w:t>26</w:t>
      </w:r>
      <w:r w:rsidR="00EA6265" w:rsidRPr="00EA6265">
        <w:rPr>
          <w:rFonts w:ascii="Book Antiqua" w:eastAsia="宋体" w:hAnsi="Book Antiqua" w:hint="eastAsia"/>
          <w:sz w:val="24"/>
          <w:lang w:eastAsia="zh-CN"/>
        </w:rPr>
        <w:t>, 2016</w:t>
      </w:r>
    </w:p>
    <w:p w14:paraId="734EB083" w14:textId="38AF28C5" w:rsidR="008234B5" w:rsidRPr="00EA6265" w:rsidRDefault="008234B5" w:rsidP="008234B5">
      <w:pPr>
        <w:spacing w:line="360" w:lineRule="auto"/>
        <w:rPr>
          <w:rFonts w:ascii="Book Antiqua" w:eastAsia="宋体" w:hAnsi="Book Antiqua"/>
          <w:sz w:val="24"/>
          <w:lang w:eastAsia="zh-CN"/>
        </w:rPr>
      </w:pPr>
      <w:r>
        <w:rPr>
          <w:rFonts w:ascii="Book Antiqua" w:hAnsi="Book Antiqua"/>
          <w:b/>
          <w:sz w:val="24"/>
        </w:rPr>
        <w:t>Revised:</w:t>
      </w:r>
      <w:r w:rsidR="00EA6265">
        <w:rPr>
          <w:rFonts w:ascii="Book Antiqua" w:eastAsia="宋体" w:hAnsi="Book Antiqua" w:hint="eastAsia"/>
          <w:b/>
          <w:sz w:val="24"/>
          <w:lang w:eastAsia="zh-CN"/>
        </w:rPr>
        <w:t xml:space="preserve"> </w:t>
      </w:r>
      <w:r w:rsidR="00EA6265" w:rsidRPr="00EA6265">
        <w:rPr>
          <w:rFonts w:ascii="Book Antiqua" w:eastAsia="宋体" w:hAnsi="Book Antiqua"/>
          <w:sz w:val="24"/>
          <w:lang w:eastAsia="zh-CN"/>
        </w:rPr>
        <w:t>September</w:t>
      </w:r>
      <w:r w:rsidR="00EA6265" w:rsidRPr="00EA6265">
        <w:rPr>
          <w:rFonts w:ascii="Book Antiqua" w:eastAsia="宋体" w:hAnsi="Book Antiqua" w:hint="eastAsia"/>
          <w:sz w:val="24"/>
          <w:lang w:eastAsia="zh-CN"/>
        </w:rPr>
        <w:t xml:space="preserve"> 7, 2016</w:t>
      </w:r>
    </w:p>
    <w:p w14:paraId="2CD680C9" w14:textId="11FB8026" w:rsidR="008234B5" w:rsidRPr="00595796" w:rsidRDefault="008234B5" w:rsidP="00595796">
      <w:pPr>
        <w:rPr>
          <w:rFonts w:ascii="Book Antiqua" w:hAnsi="Book Antiqua"/>
          <w:iCs/>
          <w:sz w:val="24"/>
        </w:rPr>
      </w:pPr>
      <w:r>
        <w:rPr>
          <w:rFonts w:ascii="Book Antiqua" w:hAnsi="Book Antiqua"/>
          <w:b/>
          <w:sz w:val="24"/>
        </w:rPr>
        <w:t>Accepted:</w:t>
      </w:r>
      <w:r>
        <w:rPr>
          <w:rFonts w:ascii="Book Antiqua" w:hAnsi="Book Antiqua" w:hint="eastAsia"/>
          <w:b/>
          <w:sz w:val="24"/>
        </w:rPr>
        <w:t xml:space="preserve"> </w:t>
      </w:r>
      <w:bookmarkStart w:id="11" w:name="_GoBack"/>
      <w:bookmarkEnd w:id="11"/>
      <w:r w:rsidR="00595796">
        <w:rPr>
          <w:rStyle w:val="Emphasis"/>
        </w:rPr>
        <w:t xml:space="preserve">October </w:t>
      </w:r>
      <w:r w:rsidR="00595796">
        <w:rPr>
          <w:rStyle w:val="Emphasis"/>
          <w:rFonts w:ascii="宋体" w:hAnsi="宋体" w:cs="宋体" w:hint="eastAsia"/>
        </w:rPr>
        <w:t>17</w:t>
      </w:r>
      <w:r w:rsidR="00595796" w:rsidRPr="00235CD4">
        <w:rPr>
          <w:rStyle w:val="Emphasis"/>
        </w:rPr>
        <w:t>,</w:t>
      </w:r>
      <w:r w:rsidR="00595796">
        <w:rPr>
          <w:rStyle w:val="Emphasis"/>
        </w:rPr>
        <w:t xml:space="preserve"> 2016</w:t>
      </w:r>
    </w:p>
    <w:p w14:paraId="3C1767C7" w14:textId="77777777" w:rsidR="008234B5" w:rsidRDefault="008234B5" w:rsidP="008234B5">
      <w:pPr>
        <w:spacing w:line="360" w:lineRule="auto"/>
        <w:rPr>
          <w:rFonts w:ascii="Book Antiqua" w:hAnsi="Book Antiqua"/>
          <w:b/>
          <w:sz w:val="24"/>
        </w:rPr>
      </w:pPr>
      <w:r w:rsidRPr="009659DA">
        <w:rPr>
          <w:rFonts w:ascii="Book Antiqua" w:hAnsi="Book Antiqua"/>
          <w:b/>
          <w:sz w:val="24"/>
        </w:rPr>
        <w:t>Article in press:</w:t>
      </w:r>
    </w:p>
    <w:p w14:paraId="68F4FF14" w14:textId="77777777" w:rsidR="008234B5" w:rsidRPr="00ED7CB9" w:rsidRDefault="008234B5" w:rsidP="008234B5">
      <w:pPr>
        <w:spacing w:line="360" w:lineRule="auto"/>
        <w:rPr>
          <w:rFonts w:ascii="Book Antiqua" w:hAnsi="Book Antiqua"/>
          <w:b/>
          <w:sz w:val="24"/>
        </w:rPr>
      </w:pPr>
      <w:r>
        <w:rPr>
          <w:rFonts w:ascii="Book Antiqua" w:hAnsi="Book Antiqua"/>
          <w:b/>
          <w:sz w:val="24"/>
        </w:rPr>
        <w:t>Published online:</w:t>
      </w:r>
    </w:p>
    <w:bookmarkEnd w:id="6"/>
    <w:bookmarkEnd w:id="7"/>
    <w:bookmarkEnd w:id="8"/>
    <w:bookmarkEnd w:id="9"/>
    <w:bookmarkEnd w:id="10"/>
    <w:p w14:paraId="0A1AE0A6" w14:textId="5B61711F" w:rsidR="00FE77C3" w:rsidRPr="00B12757" w:rsidRDefault="00FE77C3" w:rsidP="008234B5">
      <w:pPr>
        <w:spacing w:line="360" w:lineRule="auto"/>
        <w:jc w:val="both"/>
        <w:rPr>
          <w:rFonts w:ascii="Book Antiqua" w:hAnsi="Book Antiqua"/>
          <w:sz w:val="24"/>
          <w:szCs w:val="24"/>
        </w:rPr>
      </w:pPr>
      <w:r w:rsidRPr="00B12757">
        <w:rPr>
          <w:rFonts w:ascii="Book Antiqua" w:hAnsi="Book Antiqua"/>
          <w:sz w:val="24"/>
          <w:szCs w:val="24"/>
        </w:rPr>
        <w:br w:type="page"/>
      </w:r>
    </w:p>
    <w:p w14:paraId="2B9F0ABC" w14:textId="77777777" w:rsidR="005A3F87" w:rsidRPr="00B12757" w:rsidRDefault="005A3F87" w:rsidP="008234B5">
      <w:pPr>
        <w:spacing w:line="360" w:lineRule="auto"/>
        <w:jc w:val="both"/>
        <w:rPr>
          <w:rFonts w:ascii="Book Antiqua" w:hAnsi="Book Antiqua"/>
          <w:b/>
          <w:sz w:val="24"/>
          <w:szCs w:val="24"/>
        </w:rPr>
      </w:pPr>
      <w:r w:rsidRPr="00B12757">
        <w:rPr>
          <w:rFonts w:ascii="Book Antiqua" w:hAnsi="Book Antiqua"/>
          <w:b/>
          <w:sz w:val="24"/>
          <w:szCs w:val="24"/>
        </w:rPr>
        <w:lastRenderedPageBreak/>
        <w:t>Abstract</w:t>
      </w:r>
    </w:p>
    <w:p w14:paraId="5C98C479" w14:textId="1EF607A5" w:rsidR="005A3F87" w:rsidRPr="00B12757" w:rsidRDefault="006F0127" w:rsidP="008234B5">
      <w:pPr>
        <w:spacing w:line="360" w:lineRule="auto"/>
        <w:jc w:val="both"/>
        <w:rPr>
          <w:rFonts w:ascii="Book Antiqua" w:hAnsi="Book Antiqua"/>
          <w:sz w:val="24"/>
          <w:szCs w:val="24"/>
        </w:rPr>
      </w:pPr>
      <w:r w:rsidRPr="00B12757">
        <w:rPr>
          <w:rFonts w:ascii="Book Antiqua" w:hAnsi="Book Antiqua"/>
          <w:sz w:val="24"/>
          <w:szCs w:val="24"/>
        </w:rPr>
        <w:t xml:space="preserve">We </w:t>
      </w:r>
      <w:r w:rsidR="008A182E" w:rsidRPr="00B12757">
        <w:rPr>
          <w:rFonts w:ascii="Book Antiqua" w:hAnsi="Book Antiqua"/>
          <w:sz w:val="24"/>
          <w:szCs w:val="24"/>
        </w:rPr>
        <w:t>report</w:t>
      </w:r>
      <w:r w:rsidRPr="00B12757">
        <w:rPr>
          <w:rFonts w:ascii="Book Antiqua" w:hAnsi="Book Antiqua"/>
          <w:sz w:val="24"/>
          <w:szCs w:val="24"/>
        </w:rPr>
        <w:t xml:space="preserve"> a case</w:t>
      </w:r>
      <w:r w:rsidR="008A182E" w:rsidRPr="00B12757">
        <w:rPr>
          <w:rFonts w:ascii="Book Antiqua" w:hAnsi="Book Antiqua"/>
          <w:sz w:val="24"/>
          <w:szCs w:val="24"/>
        </w:rPr>
        <w:t xml:space="preserve"> of severe, refractory GI bleeding in a patient with </w:t>
      </w:r>
      <w:r w:rsidR="0072339D" w:rsidRPr="00B12757">
        <w:rPr>
          <w:rFonts w:ascii="Book Antiqua" w:hAnsi="Book Antiqua"/>
          <w:sz w:val="24"/>
          <w:szCs w:val="24"/>
        </w:rPr>
        <w:t>hereditary hemorrhagic telangiectasia</w:t>
      </w:r>
      <w:r w:rsidR="008A182E" w:rsidRPr="00B12757">
        <w:rPr>
          <w:rFonts w:ascii="Book Antiqua" w:hAnsi="Book Antiqua"/>
          <w:sz w:val="24"/>
          <w:szCs w:val="24"/>
        </w:rPr>
        <w:t xml:space="preserve"> </w:t>
      </w:r>
      <w:r w:rsidR="009024A0">
        <w:rPr>
          <w:rFonts w:ascii="Book Antiqua" w:hAnsi="Book Antiqua"/>
          <w:sz w:val="24"/>
          <w:szCs w:val="24"/>
        </w:rPr>
        <w:t xml:space="preserve">(HHT) </w:t>
      </w:r>
      <w:r w:rsidR="008A182E" w:rsidRPr="00B12757">
        <w:rPr>
          <w:rFonts w:ascii="Book Antiqua" w:hAnsi="Book Antiqua"/>
          <w:sz w:val="24"/>
          <w:szCs w:val="24"/>
        </w:rPr>
        <w:t>who</w:t>
      </w:r>
      <w:r w:rsidR="00A95075" w:rsidRPr="00B12757">
        <w:rPr>
          <w:rFonts w:ascii="Book Antiqua" w:hAnsi="Book Antiqua"/>
          <w:sz w:val="24"/>
          <w:szCs w:val="24"/>
        </w:rPr>
        <w:t xml:space="preserve">se massive transfusion </w:t>
      </w:r>
      <w:r w:rsidR="004D766D" w:rsidRPr="00B12757">
        <w:rPr>
          <w:rFonts w:ascii="Book Antiqua" w:hAnsi="Book Antiqua"/>
          <w:sz w:val="24"/>
          <w:szCs w:val="24"/>
        </w:rPr>
        <w:t>dependence</w:t>
      </w:r>
      <w:r w:rsidR="00A95075" w:rsidRPr="00B12757">
        <w:rPr>
          <w:rFonts w:ascii="Book Antiqua" w:hAnsi="Book Antiqua"/>
          <w:sz w:val="24"/>
          <w:szCs w:val="24"/>
        </w:rPr>
        <w:t xml:space="preserve"> was lifted shortly after treatment with</w:t>
      </w:r>
      <w:r w:rsidR="008A182E" w:rsidRPr="00B12757">
        <w:rPr>
          <w:rFonts w:ascii="Book Antiqua" w:hAnsi="Book Antiqua"/>
          <w:sz w:val="24"/>
          <w:szCs w:val="24"/>
        </w:rPr>
        <w:t xml:space="preserve"> bevacizumab, an anti-vascular endothe</w:t>
      </w:r>
      <w:r w:rsidR="00597C9C" w:rsidRPr="00B12757">
        <w:rPr>
          <w:rFonts w:ascii="Book Antiqua" w:hAnsi="Book Antiqua"/>
          <w:sz w:val="24"/>
          <w:szCs w:val="24"/>
        </w:rPr>
        <w:t>lial growth factor</w:t>
      </w:r>
      <w:r w:rsidR="001802F5" w:rsidRPr="00B12757">
        <w:rPr>
          <w:rFonts w:ascii="Book Antiqua" w:hAnsi="Book Antiqua"/>
          <w:sz w:val="24"/>
          <w:szCs w:val="24"/>
        </w:rPr>
        <w:t>.</w:t>
      </w:r>
      <w:r w:rsidR="00597C9C" w:rsidRPr="00B12757">
        <w:rPr>
          <w:rFonts w:ascii="Book Antiqua" w:hAnsi="Book Antiqua"/>
          <w:sz w:val="24"/>
          <w:szCs w:val="24"/>
        </w:rPr>
        <w:t xml:space="preserve"> </w:t>
      </w:r>
      <w:r w:rsidR="00657546" w:rsidRPr="00B12757">
        <w:rPr>
          <w:rFonts w:ascii="Book Antiqua" w:hAnsi="Book Antiqua"/>
          <w:sz w:val="24"/>
          <w:szCs w:val="24"/>
        </w:rPr>
        <w:t xml:space="preserve">The patient’s bleeding </w:t>
      </w:r>
      <w:r w:rsidR="0072339D" w:rsidRPr="00B12757">
        <w:rPr>
          <w:rFonts w:ascii="Book Antiqua" w:hAnsi="Book Antiqua"/>
          <w:sz w:val="24"/>
          <w:szCs w:val="24"/>
        </w:rPr>
        <w:t>had been</w:t>
      </w:r>
      <w:r w:rsidR="00657546" w:rsidRPr="00B12757">
        <w:rPr>
          <w:rFonts w:ascii="Book Antiqua" w:hAnsi="Book Antiqua"/>
          <w:sz w:val="24"/>
          <w:szCs w:val="24"/>
        </w:rPr>
        <w:t xml:space="preserve"> refractory to repeated endoscopic </w:t>
      </w:r>
      <w:r w:rsidR="0072339D" w:rsidRPr="00B12757">
        <w:rPr>
          <w:rFonts w:ascii="Book Antiqua" w:hAnsi="Book Antiqua"/>
          <w:sz w:val="24"/>
          <w:szCs w:val="24"/>
        </w:rPr>
        <w:t>interventions</w:t>
      </w:r>
      <w:r w:rsidR="00657546" w:rsidRPr="00B12757">
        <w:rPr>
          <w:rFonts w:ascii="Book Antiqua" w:hAnsi="Book Antiqua"/>
          <w:sz w:val="24"/>
          <w:szCs w:val="24"/>
        </w:rPr>
        <w:t>, tranexamic acid, and tamoxifen. However, f</w:t>
      </w:r>
      <w:r w:rsidR="001802F5" w:rsidRPr="00B12757">
        <w:rPr>
          <w:rFonts w:ascii="Book Antiqua" w:hAnsi="Book Antiqua"/>
          <w:sz w:val="24"/>
          <w:szCs w:val="24"/>
        </w:rPr>
        <w:t xml:space="preserve">ollowing treatment with bevacizumab at 5mg/kg every other week, nearly 300 units of packed red blood cell transfusions were </w:t>
      </w:r>
      <w:r w:rsidR="00657546" w:rsidRPr="00B12757">
        <w:rPr>
          <w:rFonts w:ascii="Book Antiqua" w:hAnsi="Book Antiqua"/>
          <w:sz w:val="24"/>
          <w:szCs w:val="24"/>
        </w:rPr>
        <w:t>avoided</w:t>
      </w:r>
      <w:r w:rsidR="001802F5" w:rsidRPr="00B12757">
        <w:rPr>
          <w:rFonts w:ascii="Book Antiqua" w:hAnsi="Book Antiqua"/>
          <w:sz w:val="24"/>
          <w:szCs w:val="24"/>
        </w:rPr>
        <w:t xml:space="preserve"> in one year</w:t>
      </w:r>
      <w:r w:rsidR="00657546" w:rsidRPr="00B12757">
        <w:rPr>
          <w:rFonts w:ascii="Book Antiqua" w:hAnsi="Book Antiqua"/>
          <w:sz w:val="24"/>
          <w:szCs w:val="24"/>
        </w:rPr>
        <w:t>’s time.</w:t>
      </w:r>
      <w:r w:rsidR="001802F5" w:rsidRPr="00B12757">
        <w:rPr>
          <w:rFonts w:ascii="Book Antiqua" w:hAnsi="Book Antiqua"/>
          <w:sz w:val="24"/>
          <w:szCs w:val="24"/>
        </w:rPr>
        <w:t xml:space="preserve"> </w:t>
      </w:r>
      <w:r w:rsidR="00313784" w:rsidRPr="00B12757">
        <w:rPr>
          <w:rFonts w:ascii="Book Antiqua" w:hAnsi="Book Antiqua"/>
          <w:sz w:val="24"/>
          <w:szCs w:val="24"/>
        </w:rPr>
        <w:t xml:space="preserve">Despite its relatively high cost, </w:t>
      </w:r>
      <w:r w:rsidR="001802F5" w:rsidRPr="00B12757">
        <w:rPr>
          <w:rFonts w:ascii="Book Antiqua" w:hAnsi="Book Antiqua"/>
          <w:sz w:val="24"/>
          <w:szCs w:val="24"/>
        </w:rPr>
        <w:t xml:space="preserve">bevacizumab may </w:t>
      </w:r>
      <w:r w:rsidR="00313784" w:rsidRPr="00B12757">
        <w:rPr>
          <w:rFonts w:ascii="Book Antiqua" w:hAnsi="Book Antiqua"/>
          <w:sz w:val="24"/>
          <w:szCs w:val="24"/>
        </w:rPr>
        <w:t>have</w:t>
      </w:r>
      <w:r w:rsidR="001802F5" w:rsidRPr="00B12757">
        <w:rPr>
          <w:rFonts w:ascii="Book Antiqua" w:hAnsi="Book Antiqua"/>
          <w:sz w:val="24"/>
          <w:szCs w:val="24"/>
        </w:rPr>
        <w:t xml:space="preserve"> a more active role in the management of s</w:t>
      </w:r>
      <w:r w:rsidR="00313784" w:rsidRPr="00B12757">
        <w:rPr>
          <w:rFonts w:ascii="Book Antiqua" w:hAnsi="Book Antiqua"/>
          <w:sz w:val="24"/>
          <w:szCs w:val="24"/>
        </w:rPr>
        <w:t>evere GI bleeding in HHT if such remarkable response can be consistently demonstrated.</w:t>
      </w:r>
    </w:p>
    <w:p w14:paraId="03673C7F" w14:textId="77777777" w:rsidR="006F0127" w:rsidRPr="00B12757" w:rsidRDefault="006F0127" w:rsidP="008234B5">
      <w:pPr>
        <w:spacing w:line="360" w:lineRule="auto"/>
        <w:jc w:val="both"/>
        <w:rPr>
          <w:rFonts w:ascii="Book Antiqua" w:hAnsi="Book Antiqua"/>
          <w:sz w:val="24"/>
          <w:szCs w:val="24"/>
        </w:rPr>
      </w:pPr>
    </w:p>
    <w:p w14:paraId="0E398668" w14:textId="2564FEF0" w:rsidR="005A3F87" w:rsidRDefault="005A3F87" w:rsidP="008234B5">
      <w:pPr>
        <w:spacing w:line="360" w:lineRule="auto"/>
        <w:jc w:val="both"/>
        <w:rPr>
          <w:rFonts w:ascii="Book Antiqua" w:eastAsia="宋体" w:hAnsi="Book Antiqua"/>
          <w:sz w:val="24"/>
          <w:szCs w:val="24"/>
          <w:lang w:eastAsia="zh-CN"/>
        </w:rPr>
      </w:pPr>
      <w:r w:rsidRPr="00B12757">
        <w:rPr>
          <w:rFonts w:ascii="Book Antiqua" w:hAnsi="Book Antiqua"/>
          <w:b/>
          <w:sz w:val="24"/>
          <w:szCs w:val="24"/>
        </w:rPr>
        <w:t>Key words</w:t>
      </w:r>
      <w:r w:rsidRPr="00B12757">
        <w:rPr>
          <w:rFonts w:ascii="Book Antiqua" w:hAnsi="Book Antiqua"/>
          <w:sz w:val="24"/>
          <w:szCs w:val="24"/>
        </w:rPr>
        <w:t xml:space="preserve">: </w:t>
      </w:r>
      <w:r w:rsidR="00EA6265" w:rsidRPr="00B12757">
        <w:rPr>
          <w:rFonts w:ascii="Book Antiqua" w:hAnsi="Book Antiqua"/>
          <w:sz w:val="24"/>
          <w:szCs w:val="24"/>
        </w:rPr>
        <w:t>Bevacizumab</w:t>
      </w:r>
      <w:r w:rsidR="007D5D02" w:rsidRPr="00B12757">
        <w:rPr>
          <w:rFonts w:ascii="Book Antiqua" w:hAnsi="Book Antiqua"/>
          <w:sz w:val="24"/>
          <w:szCs w:val="24"/>
        </w:rPr>
        <w:t>;</w:t>
      </w:r>
      <w:r w:rsidRPr="00B12757">
        <w:rPr>
          <w:rFonts w:ascii="Book Antiqua" w:hAnsi="Book Antiqua"/>
          <w:sz w:val="24"/>
          <w:szCs w:val="24"/>
        </w:rPr>
        <w:t xml:space="preserve"> </w:t>
      </w:r>
      <w:r w:rsidR="00EA6265" w:rsidRPr="00B12757">
        <w:rPr>
          <w:rFonts w:ascii="Book Antiqua" w:hAnsi="Book Antiqua"/>
          <w:sz w:val="24"/>
          <w:szCs w:val="24"/>
        </w:rPr>
        <w:t>Bleeding</w:t>
      </w:r>
      <w:r w:rsidR="007D5D02" w:rsidRPr="00B12757">
        <w:rPr>
          <w:rFonts w:ascii="Book Antiqua" w:hAnsi="Book Antiqua"/>
          <w:sz w:val="24"/>
          <w:szCs w:val="24"/>
        </w:rPr>
        <w:t>;</w:t>
      </w:r>
      <w:r w:rsidRPr="00B12757">
        <w:rPr>
          <w:rFonts w:ascii="Book Antiqua" w:hAnsi="Book Antiqua"/>
          <w:sz w:val="24"/>
          <w:szCs w:val="24"/>
        </w:rPr>
        <w:t xml:space="preserve"> </w:t>
      </w:r>
      <w:r w:rsidR="00EA6265" w:rsidRPr="00B12757">
        <w:rPr>
          <w:rFonts w:ascii="Book Antiqua" w:hAnsi="Book Antiqua"/>
          <w:sz w:val="24"/>
          <w:szCs w:val="24"/>
        </w:rPr>
        <w:t xml:space="preserve">Hereditary </w:t>
      </w:r>
      <w:r w:rsidRPr="00B12757">
        <w:rPr>
          <w:rFonts w:ascii="Book Antiqua" w:hAnsi="Book Antiqua"/>
          <w:sz w:val="24"/>
          <w:szCs w:val="24"/>
        </w:rPr>
        <w:t>hemorrhagic telangiectasia</w:t>
      </w:r>
      <w:r w:rsidR="007D5D02" w:rsidRPr="00B12757">
        <w:rPr>
          <w:rFonts w:ascii="Book Antiqua" w:hAnsi="Book Antiqua"/>
          <w:sz w:val="24"/>
          <w:szCs w:val="24"/>
        </w:rPr>
        <w:t>;</w:t>
      </w:r>
      <w:r w:rsidRPr="00B12757">
        <w:rPr>
          <w:rFonts w:ascii="Book Antiqua" w:hAnsi="Book Antiqua"/>
          <w:sz w:val="24"/>
          <w:szCs w:val="24"/>
        </w:rPr>
        <w:t xml:space="preserve"> Osler-Weber-</w:t>
      </w:r>
      <w:proofErr w:type="spellStart"/>
      <w:r w:rsidRPr="00B12757">
        <w:rPr>
          <w:rFonts w:ascii="Book Antiqua" w:hAnsi="Book Antiqua"/>
          <w:sz w:val="24"/>
          <w:szCs w:val="24"/>
        </w:rPr>
        <w:t>Rendu</w:t>
      </w:r>
      <w:proofErr w:type="spellEnd"/>
      <w:r w:rsidRPr="00B12757">
        <w:rPr>
          <w:rFonts w:ascii="Book Antiqua" w:hAnsi="Book Antiqua"/>
          <w:sz w:val="24"/>
          <w:szCs w:val="24"/>
        </w:rPr>
        <w:t xml:space="preserve"> syndrome</w:t>
      </w:r>
      <w:r w:rsidR="00EA6265">
        <w:rPr>
          <w:rFonts w:ascii="Book Antiqua" w:eastAsia="宋体" w:hAnsi="Book Antiqua" w:hint="eastAsia"/>
          <w:sz w:val="24"/>
          <w:szCs w:val="24"/>
          <w:lang w:eastAsia="zh-CN"/>
        </w:rPr>
        <w:t>;</w:t>
      </w:r>
      <w:r w:rsidR="009024A0">
        <w:rPr>
          <w:rFonts w:ascii="Book Antiqua" w:hAnsi="Book Antiqua"/>
          <w:sz w:val="24"/>
          <w:szCs w:val="24"/>
        </w:rPr>
        <w:t xml:space="preserve"> </w:t>
      </w:r>
      <w:r w:rsidR="00EA6265" w:rsidRPr="00EA6265">
        <w:rPr>
          <w:rFonts w:ascii="Book Antiqua" w:hAnsi="Book Antiqua"/>
          <w:sz w:val="24"/>
          <w:szCs w:val="24"/>
        </w:rPr>
        <w:t>Vascular endothelial growth factor</w:t>
      </w:r>
    </w:p>
    <w:p w14:paraId="635EAE2D" w14:textId="77777777" w:rsidR="008234B5" w:rsidRPr="008234B5" w:rsidRDefault="008234B5" w:rsidP="008234B5">
      <w:pPr>
        <w:spacing w:line="360" w:lineRule="auto"/>
        <w:jc w:val="both"/>
        <w:rPr>
          <w:rFonts w:ascii="Book Antiqua" w:eastAsia="宋体" w:hAnsi="Book Antiqua"/>
          <w:sz w:val="24"/>
          <w:szCs w:val="24"/>
          <w:lang w:eastAsia="zh-CN"/>
        </w:rPr>
      </w:pPr>
    </w:p>
    <w:p w14:paraId="566B09AA" w14:textId="77777777" w:rsidR="008234B5" w:rsidRDefault="008234B5" w:rsidP="008234B5">
      <w:pPr>
        <w:spacing w:line="360" w:lineRule="auto"/>
        <w:rPr>
          <w:rFonts w:ascii="Book Antiqua" w:hAnsi="Book Antiqua" w:cs="Arial"/>
          <w:sz w:val="24"/>
        </w:rPr>
      </w:pPr>
      <w:bookmarkStart w:id="12" w:name="OLE_LINK55"/>
      <w:bookmarkStart w:id="13" w:name="OLE_LINK56"/>
      <w:bookmarkStart w:id="14" w:name="OLE_LINK105"/>
      <w:bookmarkStart w:id="15" w:name="OLE_LINK116"/>
      <w:bookmarkStart w:id="16" w:name="OLE_LINK89"/>
      <w:proofErr w:type="gramStart"/>
      <w:r w:rsidRPr="0071780A">
        <w:rPr>
          <w:rFonts w:ascii="Book Antiqua" w:hAnsi="Book Antiqua"/>
          <w:b/>
          <w:sz w:val="24"/>
        </w:rPr>
        <w:t>©</w:t>
      </w:r>
      <w:bookmarkEnd w:id="12"/>
      <w:bookmarkEnd w:id="13"/>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w:t>
      </w:r>
      <w:proofErr w:type="gramEnd"/>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bookmarkEnd w:id="14"/>
    <w:bookmarkEnd w:id="15"/>
    <w:bookmarkEnd w:id="16"/>
    <w:p w14:paraId="47874B67" w14:textId="77777777" w:rsidR="005A3F87" w:rsidRPr="00B12757" w:rsidRDefault="005A3F87" w:rsidP="008234B5">
      <w:pPr>
        <w:spacing w:line="360" w:lineRule="auto"/>
        <w:jc w:val="both"/>
        <w:rPr>
          <w:rFonts w:ascii="Book Antiqua" w:hAnsi="Book Antiqua"/>
          <w:sz w:val="24"/>
          <w:szCs w:val="24"/>
        </w:rPr>
      </w:pPr>
    </w:p>
    <w:p w14:paraId="086CEF84" w14:textId="2E664607" w:rsidR="00EA6265" w:rsidRPr="0070350E" w:rsidRDefault="005A3F87" w:rsidP="008234B5">
      <w:pPr>
        <w:spacing w:line="360" w:lineRule="auto"/>
        <w:jc w:val="both"/>
        <w:rPr>
          <w:rFonts w:ascii="Book Antiqua" w:eastAsia="宋体" w:hAnsi="Book Antiqua"/>
          <w:sz w:val="24"/>
          <w:szCs w:val="24"/>
          <w:lang w:eastAsia="zh-CN"/>
        </w:rPr>
      </w:pPr>
      <w:r w:rsidRPr="00B12757">
        <w:rPr>
          <w:rFonts w:ascii="Book Antiqua" w:hAnsi="Book Antiqua"/>
          <w:b/>
          <w:sz w:val="24"/>
          <w:szCs w:val="24"/>
        </w:rPr>
        <w:t>Core tip</w:t>
      </w:r>
      <w:r w:rsidRPr="00B12757">
        <w:rPr>
          <w:rFonts w:ascii="Book Antiqua" w:hAnsi="Book Antiqua"/>
          <w:sz w:val="24"/>
          <w:szCs w:val="24"/>
        </w:rPr>
        <w:t xml:space="preserve">: </w:t>
      </w:r>
      <w:r w:rsidR="00140835" w:rsidRPr="00B12757">
        <w:rPr>
          <w:rFonts w:ascii="Book Antiqua" w:hAnsi="Book Antiqua"/>
          <w:sz w:val="24"/>
          <w:szCs w:val="24"/>
        </w:rPr>
        <w:t>Management of GI bleeding in patients with hereditary hemorrhagic telangiectasia</w:t>
      </w:r>
      <w:r w:rsidR="000F59E1" w:rsidRPr="00B12757">
        <w:rPr>
          <w:rFonts w:ascii="Book Antiqua" w:hAnsi="Book Antiqua"/>
          <w:sz w:val="24"/>
          <w:szCs w:val="24"/>
        </w:rPr>
        <w:t xml:space="preserve"> (HHT)</w:t>
      </w:r>
      <w:r w:rsidR="00140835" w:rsidRPr="00B12757">
        <w:rPr>
          <w:rFonts w:ascii="Book Antiqua" w:hAnsi="Book Antiqua"/>
          <w:sz w:val="24"/>
          <w:szCs w:val="24"/>
        </w:rPr>
        <w:t xml:space="preserve"> </w:t>
      </w:r>
      <w:r w:rsidR="000F59E1" w:rsidRPr="00B12757">
        <w:rPr>
          <w:rFonts w:ascii="Book Antiqua" w:hAnsi="Book Antiqua"/>
          <w:sz w:val="24"/>
          <w:szCs w:val="24"/>
        </w:rPr>
        <w:t>can be challenging when the vascular lesions recur despite repeated</w:t>
      </w:r>
      <w:r w:rsidR="00140835" w:rsidRPr="00B12757">
        <w:rPr>
          <w:rFonts w:ascii="Book Antiqua" w:hAnsi="Book Antiqua"/>
          <w:sz w:val="24"/>
          <w:szCs w:val="24"/>
        </w:rPr>
        <w:t xml:space="preserve"> endoscopic treatments</w:t>
      </w:r>
      <w:r w:rsidR="000F59E1" w:rsidRPr="00B12757">
        <w:rPr>
          <w:rFonts w:ascii="Book Antiqua" w:hAnsi="Book Antiqua"/>
          <w:sz w:val="24"/>
          <w:szCs w:val="24"/>
        </w:rPr>
        <w:t>. There is increasing evidence supporting the use of anti-angiogenesis agents in the management of bleeding in HHT patients.</w:t>
      </w:r>
      <w:r w:rsidR="00647F3C" w:rsidRPr="00B12757">
        <w:rPr>
          <w:rFonts w:ascii="Book Antiqua" w:hAnsi="Book Antiqua"/>
          <w:sz w:val="24"/>
          <w:szCs w:val="24"/>
        </w:rPr>
        <w:t xml:space="preserve"> Bevacizumab, a </w:t>
      </w:r>
      <w:r w:rsidR="009024A0">
        <w:rPr>
          <w:rFonts w:ascii="Book Antiqua" w:hAnsi="Book Antiqua"/>
          <w:sz w:val="24"/>
          <w:szCs w:val="24"/>
        </w:rPr>
        <w:t xml:space="preserve">monoclonal antibody against </w:t>
      </w:r>
      <w:r w:rsidR="00647F3C" w:rsidRPr="00B12757">
        <w:rPr>
          <w:rFonts w:ascii="Book Antiqua" w:hAnsi="Book Antiqua"/>
          <w:sz w:val="24"/>
          <w:szCs w:val="24"/>
        </w:rPr>
        <w:t>vascular endothelial growth factor, has been shown to reduce recurrent epistaxis. This case demonstrates the therapeutic potential of bevacizumab in patients with severe GI bleeding requiring massive transfusions.</w:t>
      </w:r>
    </w:p>
    <w:p w14:paraId="562D5A6B" w14:textId="77777777" w:rsidR="00EA6265" w:rsidRDefault="00EA6265" w:rsidP="008234B5">
      <w:pPr>
        <w:spacing w:line="360" w:lineRule="auto"/>
        <w:jc w:val="both"/>
        <w:rPr>
          <w:rFonts w:ascii="Book Antiqua" w:eastAsia="宋体" w:hAnsi="Book Antiqua"/>
          <w:sz w:val="24"/>
          <w:szCs w:val="24"/>
          <w:lang w:eastAsia="zh-CN"/>
        </w:rPr>
      </w:pPr>
    </w:p>
    <w:p w14:paraId="24F28EF1" w14:textId="77777777" w:rsidR="00EA6265" w:rsidRPr="00EA6265" w:rsidRDefault="00EA6265" w:rsidP="00EA6265">
      <w:pPr>
        <w:spacing w:line="360" w:lineRule="auto"/>
        <w:jc w:val="both"/>
        <w:rPr>
          <w:rFonts w:ascii="Book Antiqua" w:eastAsia="宋体" w:hAnsi="Book Antiqua"/>
          <w:sz w:val="24"/>
          <w:szCs w:val="24"/>
          <w:lang w:eastAsia="zh-CN"/>
        </w:rPr>
      </w:pPr>
      <w:proofErr w:type="spellStart"/>
      <w:r w:rsidRPr="00B12757">
        <w:rPr>
          <w:rFonts w:ascii="Book Antiqua" w:hAnsi="Book Antiqua"/>
          <w:sz w:val="24"/>
          <w:szCs w:val="24"/>
        </w:rPr>
        <w:t>Ou</w:t>
      </w:r>
      <w:proofErr w:type="spellEnd"/>
      <w:r>
        <w:rPr>
          <w:rFonts w:ascii="Book Antiqua" w:eastAsia="宋体" w:hAnsi="Book Antiqua" w:hint="eastAsia"/>
          <w:sz w:val="24"/>
          <w:szCs w:val="24"/>
          <w:lang w:eastAsia="zh-CN"/>
        </w:rPr>
        <w:t xml:space="preserve"> G, </w:t>
      </w:r>
      <w:proofErr w:type="spellStart"/>
      <w:r w:rsidRPr="00B12757">
        <w:rPr>
          <w:rFonts w:ascii="Book Antiqua" w:hAnsi="Book Antiqua"/>
          <w:sz w:val="24"/>
          <w:szCs w:val="24"/>
        </w:rPr>
        <w:t>Galorport</w:t>
      </w:r>
      <w:proofErr w:type="spellEnd"/>
      <w:r>
        <w:rPr>
          <w:rFonts w:ascii="Book Antiqua" w:eastAsia="宋体" w:hAnsi="Book Antiqua" w:hint="eastAsia"/>
          <w:sz w:val="24"/>
          <w:szCs w:val="24"/>
          <w:lang w:eastAsia="zh-CN"/>
        </w:rPr>
        <w:t xml:space="preserve"> C, </w:t>
      </w:r>
      <w:r w:rsidRPr="00B12757">
        <w:rPr>
          <w:rFonts w:ascii="Book Antiqua" w:hAnsi="Book Antiqua"/>
          <w:sz w:val="24"/>
          <w:szCs w:val="24"/>
        </w:rPr>
        <w:t>Enns</w:t>
      </w:r>
      <w:r>
        <w:rPr>
          <w:rFonts w:ascii="Book Antiqua" w:eastAsia="宋体" w:hAnsi="Book Antiqua" w:hint="eastAsia"/>
          <w:sz w:val="24"/>
          <w:szCs w:val="24"/>
          <w:lang w:eastAsia="zh-CN"/>
        </w:rPr>
        <w:t xml:space="preserve"> R. </w:t>
      </w:r>
      <w:r w:rsidRPr="00EA6265">
        <w:rPr>
          <w:rFonts w:ascii="Book Antiqua" w:eastAsia="宋体" w:hAnsi="Book Antiqua"/>
          <w:sz w:val="24"/>
          <w:szCs w:val="24"/>
          <w:lang w:eastAsia="zh-CN"/>
        </w:rPr>
        <w:t>Bevacizumab and GI bleeding in hereditary hemorrhagic telangiectasia</w:t>
      </w:r>
      <w:r>
        <w:rPr>
          <w:rFonts w:ascii="Book Antiqua" w:eastAsia="宋体" w:hAnsi="Book Antiqua" w:hint="eastAsia"/>
          <w:sz w:val="24"/>
          <w:szCs w:val="24"/>
          <w:lang w:eastAsia="zh-CN"/>
        </w:rPr>
        <w:t xml:space="preserve">. </w:t>
      </w:r>
      <w:r w:rsidRPr="00EA6265">
        <w:rPr>
          <w:rFonts w:ascii="Book Antiqua" w:eastAsia="Times New Roman" w:hAnsi="Book Antiqua" w:cs="宋体"/>
          <w:i/>
          <w:color w:val="000000"/>
          <w:sz w:val="24"/>
        </w:rPr>
        <w:t xml:space="preserve">World J </w:t>
      </w:r>
      <w:proofErr w:type="spellStart"/>
      <w:r w:rsidRPr="00EA6265">
        <w:rPr>
          <w:rFonts w:ascii="Book Antiqua" w:eastAsia="Times New Roman" w:hAnsi="Book Antiqua" w:cs="宋体"/>
          <w:i/>
          <w:color w:val="000000"/>
          <w:sz w:val="24"/>
        </w:rPr>
        <w:t>Gastrointest</w:t>
      </w:r>
      <w:proofErr w:type="spellEnd"/>
      <w:r>
        <w:rPr>
          <w:rFonts w:ascii="Book Antiqua" w:eastAsia="宋体" w:hAnsi="Book Antiqua" w:cs="宋体" w:hint="eastAsia"/>
          <w:i/>
          <w:color w:val="000000"/>
          <w:sz w:val="24"/>
          <w:lang w:eastAsia="zh-CN"/>
        </w:rPr>
        <w:t xml:space="preserve"> </w:t>
      </w:r>
      <w:r w:rsidRPr="00EA6265">
        <w:rPr>
          <w:rFonts w:ascii="Book Antiqua" w:eastAsia="Times New Roman" w:hAnsi="Book Antiqua" w:cs="宋体"/>
          <w:i/>
          <w:color w:val="000000"/>
          <w:sz w:val="24"/>
        </w:rPr>
        <w:t>Surg</w:t>
      </w:r>
      <w:r>
        <w:rPr>
          <w:rFonts w:ascii="Book Antiqua" w:eastAsia="宋体" w:hAnsi="Book Antiqua" w:cs="宋体" w:hint="eastAsia"/>
          <w:color w:val="000000"/>
          <w:sz w:val="24"/>
          <w:lang w:eastAsia="zh-CN"/>
        </w:rPr>
        <w:t xml:space="preserve">2016; </w:t>
      </w:r>
      <w:proofErr w:type="gramStart"/>
      <w:r>
        <w:rPr>
          <w:rFonts w:ascii="Book Antiqua" w:eastAsia="宋体" w:hAnsi="Book Antiqua" w:cs="宋体" w:hint="eastAsia"/>
          <w:color w:val="000000"/>
          <w:sz w:val="24"/>
          <w:lang w:eastAsia="zh-CN"/>
        </w:rPr>
        <w:t>In</w:t>
      </w:r>
      <w:proofErr w:type="gramEnd"/>
      <w:r>
        <w:rPr>
          <w:rFonts w:ascii="Book Antiqua" w:eastAsia="宋体" w:hAnsi="Book Antiqua" w:cs="宋体" w:hint="eastAsia"/>
          <w:color w:val="000000"/>
          <w:sz w:val="24"/>
          <w:lang w:eastAsia="zh-CN"/>
        </w:rPr>
        <w:t xml:space="preserve"> press</w:t>
      </w:r>
    </w:p>
    <w:p w14:paraId="29E9893A" w14:textId="62E864B9" w:rsidR="005A3F87" w:rsidRPr="00B12757" w:rsidRDefault="005A3F87" w:rsidP="008234B5">
      <w:pPr>
        <w:spacing w:line="360" w:lineRule="auto"/>
        <w:jc w:val="both"/>
        <w:rPr>
          <w:rFonts w:ascii="Book Antiqua" w:hAnsi="Book Antiqua"/>
          <w:sz w:val="24"/>
          <w:szCs w:val="24"/>
        </w:rPr>
      </w:pPr>
      <w:r w:rsidRPr="00B12757">
        <w:rPr>
          <w:rFonts w:ascii="Book Antiqua" w:hAnsi="Book Antiqua"/>
          <w:sz w:val="24"/>
          <w:szCs w:val="24"/>
        </w:rPr>
        <w:br w:type="page"/>
      </w:r>
    </w:p>
    <w:p w14:paraId="17C0088A" w14:textId="46B1D431" w:rsidR="002F591A" w:rsidRPr="00B12757" w:rsidRDefault="00EA6265" w:rsidP="008234B5">
      <w:pPr>
        <w:spacing w:line="360" w:lineRule="auto"/>
        <w:jc w:val="both"/>
        <w:rPr>
          <w:rFonts w:ascii="Book Antiqua" w:hAnsi="Book Antiqua"/>
          <w:b/>
          <w:sz w:val="24"/>
          <w:szCs w:val="24"/>
        </w:rPr>
      </w:pPr>
      <w:r w:rsidRPr="00B12757">
        <w:rPr>
          <w:rFonts w:ascii="Book Antiqua" w:hAnsi="Book Antiqua"/>
          <w:b/>
          <w:sz w:val="24"/>
          <w:szCs w:val="24"/>
        </w:rPr>
        <w:lastRenderedPageBreak/>
        <w:t>INTRODUCTION</w:t>
      </w:r>
    </w:p>
    <w:p w14:paraId="68656832" w14:textId="5363C139" w:rsidR="00091C74" w:rsidRPr="00B12757" w:rsidRDefault="0002206F" w:rsidP="008234B5">
      <w:pPr>
        <w:spacing w:line="360" w:lineRule="auto"/>
        <w:jc w:val="both"/>
        <w:rPr>
          <w:rFonts w:ascii="Book Antiqua" w:hAnsi="Book Antiqua"/>
          <w:sz w:val="24"/>
          <w:szCs w:val="24"/>
        </w:rPr>
      </w:pPr>
      <w:r w:rsidRPr="00B12757">
        <w:rPr>
          <w:rFonts w:ascii="Book Antiqua" w:hAnsi="Book Antiqua"/>
          <w:noProof/>
          <w:sz w:val="24"/>
          <w:szCs w:val="24"/>
          <w:lang w:val="en-US" w:eastAsia="en-US"/>
        </w:rPr>
        <mc:AlternateContent>
          <mc:Choice Requires="wpi">
            <w:drawing>
              <wp:anchor distT="0" distB="0" distL="114300" distR="114300" simplePos="0" relativeHeight="251659264" behindDoc="0" locked="0" layoutInCell="1" allowOverlap="1" wp14:anchorId="6A2B8AFD" wp14:editId="40D725D4">
                <wp:simplePos x="0" y="0"/>
                <wp:positionH relativeFrom="column">
                  <wp:posOffset>7410300</wp:posOffset>
                </wp:positionH>
                <wp:positionV relativeFrom="paragraph">
                  <wp:posOffset>383395</wp:posOffset>
                </wp:positionV>
                <wp:extent cx="9360" cy="17280"/>
                <wp:effectExtent l="38100" t="38100" r="48260" b="4000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9360" cy="17280"/>
                      </w14:xfrm>
                    </w14:contentPart>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1F6E3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83.1pt;margin-top:29.9pt;width:1.45pt;height:2.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">
                <v:imagedata r:id="rId8" o:title=""/>
              </v:shape>
            </w:pict>
          </mc:Fallback>
        </mc:AlternateContent>
      </w:r>
      <w:r w:rsidR="008E5EC4" w:rsidRPr="00B12757">
        <w:rPr>
          <w:rFonts w:ascii="Book Antiqua" w:hAnsi="Book Antiqua"/>
          <w:sz w:val="24"/>
          <w:szCs w:val="24"/>
        </w:rPr>
        <w:t>Hereditary hemorrhagic telangiectasia (HHT) is</w:t>
      </w:r>
      <w:r w:rsidR="000D5D77" w:rsidRPr="00B12757">
        <w:rPr>
          <w:rFonts w:ascii="Book Antiqua" w:hAnsi="Book Antiqua"/>
          <w:sz w:val="24"/>
          <w:szCs w:val="24"/>
        </w:rPr>
        <w:t xml:space="preserve"> a</w:t>
      </w:r>
      <w:r w:rsidR="00194320" w:rsidRPr="00B12757">
        <w:rPr>
          <w:rFonts w:ascii="Book Antiqua" w:hAnsi="Book Antiqua"/>
          <w:sz w:val="24"/>
          <w:szCs w:val="24"/>
        </w:rPr>
        <w:t xml:space="preserve">n autosomal dominant condition </w:t>
      </w:r>
      <w:r w:rsidR="000D5D77" w:rsidRPr="00B12757">
        <w:rPr>
          <w:rFonts w:ascii="Book Antiqua" w:hAnsi="Book Antiqua"/>
          <w:sz w:val="24"/>
          <w:szCs w:val="24"/>
        </w:rPr>
        <w:t xml:space="preserve">characterized by </w:t>
      </w:r>
      <w:r w:rsidR="00194320" w:rsidRPr="00B12757">
        <w:rPr>
          <w:rFonts w:ascii="Book Antiqua" w:hAnsi="Book Antiqua"/>
          <w:sz w:val="24"/>
          <w:szCs w:val="24"/>
        </w:rPr>
        <w:t>vascular</w:t>
      </w:r>
      <w:r w:rsidR="000D5D77" w:rsidRPr="00B12757">
        <w:rPr>
          <w:rFonts w:ascii="Book Antiqua" w:hAnsi="Book Antiqua"/>
          <w:sz w:val="24"/>
          <w:szCs w:val="24"/>
        </w:rPr>
        <w:t xml:space="preserve"> malformations that occur </w:t>
      </w:r>
      <w:r w:rsidR="00266F6D" w:rsidRPr="00B12757">
        <w:rPr>
          <w:rFonts w:ascii="Book Antiqua" w:hAnsi="Book Antiqua"/>
          <w:sz w:val="24"/>
          <w:szCs w:val="24"/>
        </w:rPr>
        <w:t>systemically</w:t>
      </w:r>
      <w:r w:rsidR="0046026D" w:rsidRPr="00B12757">
        <w:rPr>
          <w:rFonts w:ascii="Book Antiqua" w:hAnsi="Book Antiqua"/>
          <w:sz w:val="24"/>
          <w:szCs w:val="24"/>
        </w:rPr>
        <w:t>, leading to manifestations such as recurrent e</w:t>
      </w:r>
      <w:r w:rsidR="00194320" w:rsidRPr="00B12757">
        <w:rPr>
          <w:rFonts w:ascii="Book Antiqua" w:hAnsi="Book Antiqua"/>
          <w:sz w:val="24"/>
          <w:szCs w:val="24"/>
        </w:rPr>
        <w:t>pistaxis, gastrointestinal</w:t>
      </w:r>
      <w:r w:rsidR="0046026D" w:rsidRPr="00B12757">
        <w:rPr>
          <w:rFonts w:ascii="Book Antiqua" w:hAnsi="Book Antiqua"/>
          <w:sz w:val="24"/>
          <w:szCs w:val="24"/>
        </w:rPr>
        <w:t xml:space="preserve"> (GI)</w:t>
      </w:r>
      <w:r w:rsidR="00194320" w:rsidRPr="00B12757">
        <w:rPr>
          <w:rFonts w:ascii="Book Antiqua" w:hAnsi="Book Antiqua"/>
          <w:sz w:val="24"/>
          <w:szCs w:val="24"/>
        </w:rPr>
        <w:t xml:space="preserve"> bleeding, and arteriovenous malformations (AVM) of the lung, liver, and brain</w:t>
      </w:r>
      <w:r w:rsidR="000D5D77" w:rsidRPr="00B12757">
        <w:rPr>
          <w:rFonts w:ascii="Book Antiqua" w:hAnsi="Book Antiqua"/>
          <w:sz w:val="24"/>
          <w:szCs w:val="24"/>
        </w:rPr>
        <w:t xml:space="preserve">. </w:t>
      </w:r>
      <w:r w:rsidR="0046026D" w:rsidRPr="00B12757">
        <w:rPr>
          <w:rFonts w:ascii="Book Antiqua" w:hAnsi="Book Antiqua"/>
          <w:sz w:val="24"/>
          <w:szCs w:val="24"/>
        </w:rPr>
        <w:t>Since the discovery of elevated vascular endothelial growth factor (VEGF) e</w:t>
      </w:r>
      <w:r w:rsidR="002529B3">
        <w:rPr>
          <w:rFonts w:ascii="Book Antiqua" w:hAnsi="Book Antiqua"/>
          <w:sz w:val="24"/>
          <w:szCs w:val="24"/>
        </w:rPr>
        <w:t>xpression in patients with HHT</w:t>
      </w:r>
      <w:r w:rsidR="002529B3" w:rsidRPr="002529B3">
        <w:rPr>
          <w:rFonts w:ascii="Book Antiqua" w:hAnsi="Book Antiqua"/>
          <w:sz w:val="24"/>
          <w:vertAlign w:val="superscript"/>
        </w:rPr>
        <w:t>[</w:t>
      </w:r>
      <w:r w:rsidR="00241FA5" w:rsidRPr="002529B3">
        <w:rPr>
          <w:rFonts w:ascii="Book Antiqua" w:hAnsi="Book Antiqua"/>
          <w:sz w:val="24"/>
          <w:vertAlign w:val="superscript"/>
        </w:rPr>
        <w:t>1</w:t>
      </w:r>
      <w:r w:rsidR="002529B3" w:rsidRPr="002529B3">
        <w:rPr>
          <w:rFonts w:ascii="Book Antiqua" w:hAnsi="Book Antiqua"/>
          <w:sz w:val="24"/>
          <w:vertAlign w:val="superscript"/>
        </w:rPr>
        <w:t>]</w:t>
      </w:r>
      <w:r w:rsidR="0046026D" w:rsidRPr="00B12757">
        <w:rPr>
          <w:rFonts w:ascii="Book Antiqua" w:hAnsi="Book Antiqua"/>
          <w:sz w:val="24"/>
          <w:szCs w:val="24"/>
        </w:rPr>
        <w:t xml:space="preserve">, </w:t>
      </w:r>
      <w:r w:rsidR="009024A0" w:rsidRPr="00B12757">
        <w:rPr>
          <w:rFonts w:ascii="Book Antiqua" w:hAnsi="Book Antiqua"/>
          <w:sz w:val="24"/>
          <w:szCs w:val="24"/>
        </w:rPr>
        <w:t xml:space="preserve">reports of </w:t>
      </w:r>
      <w:r w:rsidR="009024A0">
        <w:rPr>
          <w:rFonts w:ascii="Book Antiqua" w:hAnsi="Book Antiqua"/>
          <w:sz w:val="24"/>
          <w:szCs w:val="24"/>
        </w:rPr>
        <w:t>bevacizumab, a monoclonal antibody against VEGF,</w:t>
      </w:r>
      <w:r w:rsidR="009024A0" w:rsidRPr="00B12757">
        <w:rPr>
          <w:rFonts w:ascii="Book Antiqua" w:hAnsi="Book Antiqua"/>
          <w:sz w:val="24"/>
          <w:szCs w:val="24"/>
        </w:rPr>
        <w:t xml:space="preserve"> in managing </w:t>
      </w:r>
      <w:r w:rsidR="00091C74" w:rsidRPr="00B12757">
        <w:rPr>
          <w:rFonts w:ascii="Book Antiqua" w:hAnsi="Book Antiqua"/>
          <w:sz w:val="24"/>
          <w:szCs w:val="24"/>
        </w:rPr>
        <w:t>complications of HHT have emerged</w:t>
      </w:r>
      <w:r w:rsidR="002529B3" w:rsidRPr="002529B3">
        <w:rPr>
          <w:rFonts w:ascii="Book Antiqua" w:hAnsi="Book Antiqua" w:cs="Times New Roman"/>
          <w:sz w:val="24"/>
          <w:szCs w:val="24"/>
          <w:vertAlign w:val="superscript"/>
        </w:rPr>
        <w:t>[2–16]</w:t>
      </w:r>
      <w:r w:rsidR="00091C74" w:rsidRPr="00B12757">
        <w:rPr>
          <w:rFonts w:ascii="Book Antiqua" w:hAnsi="Book Antiqua"/>
          <w:sz w:val="24"/>
          <w:szCs w:val="24"/>
        </w:rPr>
        <w:t xml:space="preserve">, with most of the reported experience in recurrent epistaxis. We present a case of HHT with </w:t>
      </w:r>
      <w:r w:rsidR="00686809" w:rsidRPr="00B12757">
        <w:rPr>
          <w:rFonts w:ascii="Book Antiqua" w:hAnsi="Book Antiqua"/>
          <w:sz w:val="24"/>
          <w:szCs w:val="24"/>
        </w:rPr>
        <w:t xml:space="preserve">massive, refractory </w:t>
      </w:r>
      <w:r w:rsidR="00091C74" w:rsidRPr="00B12757">
        <w:rPr>
          <w:rFonts w:ascii="Book Antiqua" w:hAnsi="Book Antiqua"/>
          <w:sz w:val="24"/>
          <w:szCs w:val="24"/>
        </w:rPr>
        <w:t>transfusion requirements secondary to severe GI bleeding that did not respond to conventional therapy, but subsequently achieved transfusion-independence with anti-VEGF mono-therapy.</w:t>
      </w:r>
    </w:p>
    <w:p w14:paraId="2F66B00E" w14:textId="6B59531C" w:rsidR="00E13D2D" w:rsidRPr="00B12757" w:rsidRDefault="00E13D2D" w:rsidP="008234B5">
      <w:pPr>
        <w:spacing w:line="360" w:lineRule="auto"/>
        <w:jc w:val="both"/>
        <w:rPr>
          <w:rFonts w:ascii="Book Antiqua" w:hAnsi="Book Antiqua"/>
          <w:sz w:val="24"/>
          <w:szCs w:val="24"/>
        </w:rPr>
      </w:pPr>
    </w:p>
    <w:p w14:paraId="4E612A0A" w14:textId="4168BC74" w:rsidR="002F591A" w:rsidRPr="00B12757" w:rsidRDefault="00EA6265" w:rsidP="008234B5">
      <w:pPr>
        <w:spacing w:line="360" w:lineRule="auto"/>
        <w:jc w:val="both"/>
        <w:rPr>
          <w:rFonts w:ascii="Book Antiqua" w:hAnsi="Book Antiqua"/>
          <w:b/>
          <w:sz w:val="24"/>
          <w:szCs w:val="24"/>
        </w:rPr>
      </w:pPr>
      <w:r w:rsidRPr="00B12757">
        <w:rPr>
          <w:rFonts w:ascii="Book Antiqua" w:hAnsi="Book Antiqua"/>
          <w:b/>
          <w:sz w:val="24"/>
          <w:szCs w:val="24"/>
        </w:rPr>
        <w:t>CASE REPORT</w:t>
      </w:r>
    </w:p>
    <w:p w14:paraId="1CF65C0E" w14:textId="34F89B53" w:rsidR="003D4465" w:rsidRPr="00B12757" w:rsidRDefault="00E751B0" w:rsidP="008234B5">
      <w:pPr>
        <w:spacing w:line="360" w:lineRule="auto"/>
        <w:jc w:val="both"/>
        <w:rPr>
          <w:rFonts w:ascii="Book Antiqua" w:hAnsi="Book Antiqua"/>
          <w:sz w:val="24"/>
          <w:szCs w:val="24"/>
        </w:rPr>
      </w:pPr>
      <w:r w:rsidRPr="00B12757">
        <w:rPr>
          <w:rFonts w:ascii="Book Antiqua" w:hAnsi="Book Antiqua"/>
          <w:sz w:val="24"/>
          <w:szCs w:val="24"/>
        </w:rPr>
        <w:t xml:space="preserve">A </w:t>
      </w:r>
      <w:r w:rsidR="007C4D4B" w:rsidRPr="00B12757">
        <w:rPr>
          <w:rFonts w:ascii="Book Antiqua" w:hAnsi="Book Antiqua"/>
          <w:sz w:val="24"/>
          <w:szCs w:val="24"/>
        </w:rPr>
        <w:t>58-year-old</w:t>
      </w:r>
      <w:r w:rsidRPr="00B12757">
        <w:rPr>
          <w:rFonts w:ascii="Book Antiqua" w:hAnsi="Book Antiqua"/>
          <w:sz w:val="24"/>
          <w:szCs w:val="24"/>
        </w:rPr>
        <w:t xml:space="preserve"> female with </w:t>
      </w:r>
      <w:r w:rsidR="008E5EC4" w:rsidRPr="00B12757">
        <w:rPr>
          <w:rFonts w:ascii="Book Antiqua" w:hAnsi="Book Antiqua"/>
          <w:sz w:val="24"/>
          <w:szCs w:val="24"/>
        </w:rPr>
        <w:t xml:space="preserve">HHT </w:t>
      </w:r>
      <w:r w:rsidR="00BF7B2C" w:rsidRPr="00B12757">
        <w:rPr>
          <w:rFonts w:ascii="Book Antiqua" w:hAnsi="Book Antiqua"/>
          <w:sz w:val="24"/>
          <w:szCs w:val="24"/>
        </w:rPr>
        <w:t>and positive family history, involving her mother, sister, and daughter, presents with</w:t>
      </w:r>
      <w:r w:rsidR="00291D1B" w:rsidRPr="00B12757">
        <w:rPr>
          <w:rFonts w:ascii="Book Antiqua" w:hAnsi="Book Antiqua"/>
          <w:sz w:val="24"/>
          <w:szCs w:val="24"/>
        </w:rPr>
        <w:t xml:space="preserve"> </w:t>
      </w:r>
      <w:r w:rsidR="009024A0">
        <w:rPr>
          <w:rFonts w:ascii="Book Antiqua" w:hAnsi="Book Antiqua"/>
          <w:sz w:val="24"/>
          <w:szCs w:val="24"/>
        </w:rPr>
        <w:t xml:space="preserve">a </w:t>
      </w:r>
      <w:r w:rsidR="00291D1B" w:rsidRPr="00B12757">
        <w:rPr>
          <w:rFonts w:ascii="Book Antiqua" w:hAnsi="Book Antiqua"/>
          <w:sz w:val="24"/>
          <w:szCs w:val="24"/>
        </w:rPr>
        <w:t>30-plus-year history of increasing</w:t>
      </w:r>
      <w:r w:rsidR="00BF7B2C" w:rsidRPr="00B12757">
        <w:rPr>
          <w:rFonts w:ascii="Book Antiqua" w:hAnsi="Book Antiqua"/>
          <w:sz w:val="24"/>
          <w:szCs w:val="24"/>
        </w:rPr>
        <w:t xml:space="preserve"> transfusion dependency</w:t>
      </w:r>
      <w:r w:rsidR="003D4465" w:rsidRPr="00B12757">
        <w:rPr>
          <w:rFonts w:ascii="Book Antiqua" w:hAnsi="Book Antiqua"/>
          <w:sz w:val="24"/>
          <w:szCs w:val="24"/>
        </w:rPr>
        <w:t xml:space="preserve"> due to a combination of daily epistaxis, gastrointestinal bleeding, and intermittent gross hematuria. </w:t>
      </w:r>
      <w:r w:rsidR="00A15705" w:rsidRPr="00B12757">
        <w:rPr>
          <w:rFonts w:ascii="Book Antiqua" w:hAnsi="Book Antiqua"/>
          <w:sz w:val="24"/>
          <w:szCs w:val="24"/>
        </w:rPr>
        <w:t>She did not have hemoptysis.</w:t>
      </w:r>
      <w:r w:rsidR="002653BC" w:rsidRPr="00B12757">
        <w:rPr>
          <w:rFonts w:ascii="Book Antiqua" w:hAnsi="Book Antiqua"/>
          <w:sz w:val="24"/>
          <w:szCs w:val="24"/>
        </w:rPr>
        <w:t xml:space="preserve"> </w:t>
      </w:r>
      <w:r w:rsidR="003D4465" w:rsidRPr="00B12757">
        <w:rPr>
          <w:rFonts w:ascii="Book Antiqua" w:hAnsi="Book Antiqua"/>
          <w:sz w:val="24"/>
          <w:szCs w:val="24"/>
        </w:rPr>
        <w:t>Relevant medical history include</w:t>
      </w:r>
      <w:r w:rsidR="009024A0">
        <w:rPr>
          <w:rFonts w:ascii="Book Antiqua" w:hAnsi="Book Antiqua"/>
          <w:sz w:val="24"/>
          <w:szCs w:val="24"/>
        </w:rPr>
        <w:t>d</w:t>
      </w:r>
      <w:r w:rsidR="003D4465" w:rsidRPr="00B12757">
        <w:rPr>
          <w:rFonts w:ascii="Book Antiqua" w:hAnsi="Book Antiqua"/>
          <w:sz w:val="24"/>
          <w:szCs w:val="24"/>
        </w:rPr>
        <w:t xml:space="preserve"> hepatitis C infection</w:t>
      </w:r>
      <w:r w:rsidR="00686809" w:rsidRPr="00B12757">
        <w:rPr>
          <w:rFonts w:ascii="Book Antiqua" w:hAnsi="Book Antiqua"/>
          <w:sz w:val="24"/>
          <w:szCs w:val="24"/>
        </w:rPr>
        <w:t xml:space="preserve"> secondary to</w:t>
      </w:r>
      <w:r w:rsidR="003D4465" w:rsidRPr="00B12757">
        <w:rPr>
          <w:rFonts w:ascii="Book Antiqua" w:hAnsi="Book Antiqua"/>
          <w:sz w:val="24"/>
          <w:szCs w:val="24"/>
        </w:rPr>
        <w:t xml:space="preserve"> transfusion</w:t>
      </w:r>
      <w:r w:rsidR="00686809" w:rsidRPr="00B12757">
        <w:rPr>
          <w:rFonts w:ascii="Book Antiqua" w:hAnsi="Book Antiqua"/>
          <w:sz w:val="24"/>
          <w:szCs w:val="24"/>
        </w:rPr>
        <w:t>s</w:t>
      </w:r>
      <w:r w:rsidR="003D4465" w:rsidRPr="00B12757">
        <w:rPr>
          <w:rFonts w:ascii="Book Antiqua" w:hAnsi="Book Antiqua"/>
          <w:sz w:val="24"/>
          <w:szCs w:val="24"/>
        </w:rPr>
        <w:t>, pulmonary hypertension</w:t>
      </w:r>
      <w:r w:rsidR="000D5D77" w:rsidRPr="00B12757">
        <w:rPr>
          <w:rFonts w:ascii="Book Antiqua" w:hAnsi="Book Antiqua"/>
          <w:sz w:val="24"/>
          <w:szCs w:val="24"/>
        </w:rPr>
        <w:t xml:space="preserve"> from high cardiac output</w:t>
      </w:r>
      <w:r w:rsidR="00091C74" w:rsidRPr="00B12757">
        <w:rPr>
          <w:rFonts w:ascii="Book Antiqua" w:hAnsi="Book Antiqua"/>
          <w:sz w:val="24"/>
          <w:szCs w:val="24"/>
        </w:rPr>
        <w:t xml:space="preserve"> secondary to chronic severe anemia</w:t>
      </w:r>
      <w:r w:rsidR="003D4465" w:rsidRPr="00B12757">
        <w:rPr>
          <w:rFonts w:ascii="Book Antiqua" w:hAnsi="Book Antiqua"/>
          <w:sz w:val="24"/>
          <w:szCs w:val="24"/>
        </w:rPr>
        <w:t xml:space="preserve">, pulmonary </w:t>
      </w:r>
      <w:r w:rsidR="00FE1B14" w:rsidRPr="00B12757">
        <w:rPr>
          <w:rFonts w:ascii="Book Antiqua" w:hAnsi="Book Antiqua"/>
          <w:sz w:val="24"/>
          <w:szCs w:val="24"/>
        </w:rPr>
        <w:t>AVM</w:t>
      </w:r>
      <w:r w:rsidR="00BC39C4" w:rsidRPr="00B12757">
        <w:rPr>
          <w:rFonts w:ascii="Book Antiqua" w:hAnsi="Book Antiqua"/>
          <w:sz w:val="24"/>
          <w:szCs w:val="24"/>
        </w:rPr>
        <w:t>s</w:t>
      </w:r>
      <w:r w:rsidR="00A15705" w:rsidRPr="00B12757">
        <w:rPr>
          <w:rFonts w:ascii="Book Antiqua" w:hAnsi="Book Antiqua"/>
          <w:sz w:val="24"/>
          <w:szCs w:val="24"/>
        </w:rPr>
        <w:t xml:space="preserve"> with previous </w:t>
      </w:r>
      <w:proofErr w:type="spellStart"/>
      <w:r w:rsidR="00A15705" w:rsidRPr="00B12757">
        <w:rPr>
          <w:rFonts w:ascii="Book Antiqua" w:hAnsi="Book Antiqua"/>
          <w:sz w:val="24"/>
          <w:szCs w:val="24"/>
        </w:rPr>
        <w:t>embolizations</w:t>
      </w:r>
      <w:proofErr w:type="spellEnd"/>
      <w:r w:rsidR="003D4465" w:rsidRPr="00B12757">
        <w:rPr>
          <w:rFonts w:ascii="Book Antiqua" w:hAnsi="Book Antiqua"/>
          <w:sz w:val="24"/>
          <w:szCs w:val="24"/>
        </w:rPr>
        <w:t xml:space="preserve">, and hysterectomy at the age of 26 for menorrhagia. </w:t>
      </w:r>
    </w:p>
    <w:p w14:paraId="6048AAD5" w14:textId="04A18872" w:rsidR="00266F6D" w:rsidRPr="00B12757" w:rsidRDefault="003D4465" w:rsidP="00EA6265">
      <w:pPr>
        <w:spacing w:line="360" w:lineRule="auto"/>
        <w:ind w:firstLineChars="100" w:firstLine="240"/>
        <w:jc w:val="both"/>
        <w:rPr>
          <w:rFonts w:ascii="Book Antiqua" w:hAnsi="Book Antiqua"/>
          <w:sz w:val="24"/>
          <w:szCs w:val="24"/>
        </w:rPr>
      </w:pPr>
      <w:r w:rsidRPr="00B12757">
        <w:rPr>
          <w:rFonts w:ascii="Book Antiqua" w:hAnsi="Book Antiqua"/>
          <w:sz w:val="24"/>
          <w:szCs w:val="24"/>
        </w:rPr>
        <w:t>Her initial transfusion requirement was approximately one unit of packed red blood cells (</w:t>
      </w:r>
      <w:proofErr w:type="spellStart"/>
      <w:r w:rsidRPr="00B12757">
        <w:rPr>
          <w:rFonts w:ascii="Book Antiqua" w:hAnsi="Book Antiqua"/>
          <w:sz w:val="24"/>
          <w:szCs w:val="24"/>
        </w:rPr>
        <w:t>pRBC</w:t>
      </w:r>
      <w:proofErr w:type="spellEnd"/>
      <w:r w:rsidRPr="00B12757">
        <w:rPr>
          <w:rFonts w:ascii="Book Antiqua" w:hAnsi="Book Antiqua"/>
          <w:sz w:val="24"/>
          <w:szCs w:val="24"/>
        </w:rPr>
        <w:t>) per month, but as of 2003 required &gt;</w:t>
      </w:r>
      <w:r w:rsidR="00EA6265">
        <w:rPr>
          <w:rFonts w:ascii="Book Antiqua" w:eastAsia="宋体" w:hAnsi="Book Antiqua" w:hint="eastAsia"/>
          <w:sz w:val="24"/>
          <w:szCs w:val="24"/>
          <w:lang w:eastAsia="zh-CN"/>
        </w:rPr>
        <w:t xml:space="preserve"> </w:t>
      </w:r>
      <w:r w:rsidRPr="00B12757">
        <w:rPr>
          <w:rFonts w:ascii="Book Antiqua" w:hAnsi="Book Antiqua"/>
          <w:sz w:val="24"/>
          <w:szCs w:val="24"/>
        </w:rPr>
        <w:t xml:space="preserve">40 </w:t>
      </w:r>
      <w:r w:rsidR="00EA6265">
        <w:rPr>
          <w:rFonts w:ascii="Book Antiqua" w:eastAsia="宋体" w:hAnsi="Book Antiqua" w:hint="eastAsia"/>
          <w:sz w:val="24"/>
          <w:szCs w:val="24"/>
          <w:lang w:eastAsia="zh-CN"/>
        </w:rPr>
        <w:t>UI</w:t>
      </w:r>
      <w:r w:rsidRPr="00B12757">
        <w:rPr>
          <w:rFonts w:ascii="Book Antiqua" w:hAnsi="Book Antiqua"/>
          <w:sz w:val="24"/>
          <w:szCs w:val="24"/>
        </w:rPr>
        <w:t xml:space="preserve"> per year</w:t>
      </w:r>
      <w:r w:rsidR="00952BD7" w:rsidRPr="00B12757">
        <w:rPr>
          <w:rFonts w:ascii="Book Antiqua" w:hAnsi="Book Antiqua"/>
          <w:sz w:val="24"/>
          <w:szCs w:val="24"/>
        </w:rPr>
        <w:t xml:space="preserve"> due to persistent epistaxis and increasing upper GI bleeding in the form of melena</w:t>
      </w:r>
      <w:r w:rsidRPr="00B12757">
        <w:rPr>
          <w:rFonts w:ascii="Book Antiqua" w:hAnsi="Book Antiqua"/>
          <w:sz w:val="24"/>
          <w:szCs w:val="24"/>
        </w:rPr>
        <w:t xml:space="preserve">. </w:t>
      </w:r>
      <w:r w:rsidR="000E6C01" w:rsidRPr="00B12757">
        <w:rPr>
          <w:rFonts w:ascii="Book Antiqua" w:hAnsi="Book Antiqua"/>
          <w:sz w:val="24"/>
          <w:szCs w:val="24"/>
        </w:rPr>
        <w:t xml:space="preserve">Capsule endoscopies and upper endoscopies demonstrated </w:t>
      </w:r>
      <w:r w:rsidR="00686809" w:rsidRPr="00B12757">
        <w:rPr>
          <w:rFonts w:ascii="Book Antiqua" w:hAnsi="Book Antiqua"/>
          <w:sz w:val="24"/>
          <w:szCs w:val="24"/>
        </w:rPr>
        <w:t xml:space="preserve">innumerable </w:t>
      </w:r>
      <w:r w:rsidR="00D40574" w:rsidRPr="00B12757">
        <w:rPr>
          <w:rFonts w:ascii="Book Antiqua" w:hAnsi="Book Antiqua"/>
          <w:sz w:val="24"/>
          <w:szCs w:val="24"/>
        </w:rPr>
        <w:t>AVMs</w:t>
      </w:r>
      <w:r w:rsidR="000E6C01" w:rsidRPr="00B12757">
        <w:rPr>
          <w:rFonts w:ascii="Book Antiqua" w:hAnsi="Book Antiqua"/>
          <w:sz w:val="24"/>
          <w:szCs w:val="24"/>
        </w:rPr>
        <w:t xml:space="preserve"> in the esophagus, stomach, duodenum, and jejunum, with the bulk of the lesions located in the proximal small bowel where active bleeding was most frequently seen. Mesenteric angiography also demonstrated diffuse vascular abnormality/telangiectasia involving proximal small bowel but no focal AVM amenable to embolization. </w:t>
      </w:r>
      <w:r w:rsidR="00942F96" w:rsidRPr="00B12757">
        <w:rPr>
          <w:rFonts w:ascii="Book Antiqua" w:hAnsi="Book Antiqua"/>
          <w:sz w:val="24"/>
          <w:szCs w:val="24"/>
        </w:rPr>
        <w:t xml:space="preserve">Biochemical investigations excluding other </w:t>
      </w:r>
      <w:proofErr w:type="spellStart"/>
      <w:r w:rsidR="00942F96" w:rsidRPr="00B12757">
        <w:rPr>
          <w:rFonts w:ascii="Book Antiqua" w:hAnsi="Book Antiqua"/>
          <w:sz w:val="24"/>
          <w:szCs w:val="24"/>
        </w:rPr>
        <w:t>etiologies</w:t>
      </w:r>
      <w:proofErr w:type="spellEnd"/>
      <w:r w:rsidR="00942F96" w:rsidRPr="00B12757">
        <w:rPr>
          <w:rFonts w:ascii="Book Antiqua" w:hAnsi="Book Antiqua"/>
          <w:sz w:val="24"/>
          <w:szCs w:val="24"/>
        </w:rPr>
        <w:t xml:space="preserve"> include</w:t>
      </w:r>
      <w:r w:rsidR="009024A0">
        <w:rPr>
          <w:rFonts w:ascii="Book Antiqua" w:hAnsi="Book Antiqua"/>
          <w:sz w:val="24"/>
          <w:szCs w:val="24"/>
        </w:rPr>
        <w:t>d</w:t>
      </w:r>
      <w:r w:rsidR="00F95E95" w:rsidRPr="00B12757">
        <w:rPr>
          <w:rFonts w:ascii="Book Antiqua" w:hAnsi="Book Antiqua"/>
          <w:sz w:val="24"/>
          <w:szCs w:val="24"/>
        </w:rPr>
        <w:t xml:space="preserve"> normal </w:t>
      </w:r>
      <w:r w:rsidR="00942F96" w:rsidRPr="00B12757">
        <w:rPr>
          <w:rFonts w:ascii="Book Antiqua" w:hAnsi="Book Antiqua"/>
          <w:sz w:val="24"/>
          <w:szCs w:val="24"/>
        </w:rPr>
        <w:t xml:space="preserve">renal function, thyroid stimulating hormone, </w:t>
      </w:r>
      <w:proofErr w:type="spellStart"/>
      <w:r w:rsidR="00F95E95" w:rsidRPr="00B12757">
        <w:rPr>
          <w:rFonts w:ascii="Book Antiqua" w:hAnsi="Book Antiqua"/>
          <w:sz w:val="24"/>
          <w:szCs w:val="24"/>
        </w:rPr>
        <w:lastRenderedPageBreak/>
        <w:t>haptoglobin</w:t>
      </w:r>
      <w:proofErr w:type="spellEnd"/>
      <w:r w:rsidR="00F95E95" w:rsidRPr="00B12757">
        <w:rPr>
          <w:rFonts w:ascii="Book Antiqua" w:hAnsi="Book Antiqua"/>
          <w:sz w:val="24"/>
          <w:szCs w:val="24"/>
        </w:rPr>
        <w:t>, bilirubin, lactate dehydrogenase, direct agglutination testing, serum protein electrophoresis, serum free light chain, urine protein electrophoresis</w:t>
      </w:r>
      <w:r w:rsidR="000215F1" w:rsidRPr="00B12757">
        <w:rPr>
          <w:rFonts w:ascii="Book Antiqua" w:hAnsi="Book Antiqua"/>
          <w:sz w:val="24"/>
          <w:szCs w:val="24"/>
        </w:rPr>
        <w:t xml:space="preserve">, and von </w:t>
      </w:r>
      <w:proofErr w:type="spellStart"/>
      <w:r w:rsidR="000215F1" w:rsidRPr="00B12757">
        <w:rPr>
          <w:rFonts w:ascii="Book Antiqua" w:hAnsi="Book Antiqua"/>
          <w:sz w:val="24"/>
          <w:szCs w:val="24"/>
        </w:rPr>
        <w:t>Willebrand</w:t>
      </w:r>
      <w:proofErr w:type="spellEnd"/>
      <w:r w:rsidR="000215F1" w:rsidRPr="00B12757">
        <w:rPr>
          <w:rFonts w:ascii="Book Antiqua" w:hAnsi="Book Antiqua"/>
          <w:sz w:val="24"/>
          <w:szCs w:val="24"/>
        </w:rPr>
        <w:t xml:space="preserve"> </w:t>
      </w:r>
      <w:r w:rsidR="00057BBC" w:rsidRPr="00B12757">
        <w:rPr>
          <w:rFonts w:ascii="Book Antiqua" w:hAnsi="Book Antiqua"/>
          <w:sz w:val="24"/>
          <w:szCs w:val="24"/>
        </w:rPr>
        <w:t>factor studies</w:t>
      </w:r>
      <w:r w:rsidR="00F95E95" w:rsidRPr="00B12757">
        <w:rPr>
          <w:rFonts w:ascii="Book Antiqua" w:hAnsi="Book Antiqua"/>
          <w:sz w:val="24"/>
          <w:szCs w:val="24"/>
        </w:rPr>
        <w:t>.</w:t>
      </w:r>
      <w:r w:rsidR="00E10647" w:rsidRPr="00B12757">
        <w:rPr>
          <w:rFonts w:ascii="Book Antiqua" w:hAnsi="Book Antiqua"/>
          <w:sz w:val="24"/>
          <w:szCs w:val="24"/>
        </w:rPr>
        <w:t xml:space="preserve"> </w:t>
      </w:r>
      <w:r w:rsidR="008B1893" w:rsidRPr="00B12757">
        <w:rPr>
          <w:rFonts w:ascii="Book Antiqua" w:hAnsi="Book Antiqua"/>
          <w:sz w:val="24"/>
          <w:szCs w:val="24"/>
        </w:rPr>
        <w:t>Her hepatitis C viral load was low and abdominal ultrasound</w:t>
      </w:r>
      <w:r w:rsidR="007C4D4B" w:rsidRPr="00B12757">
        <w:rPr>
          <w:rFonts w:ascii="Book Antiqua" w:hAnsi="Book Antiqua"/>
          <w:sz w:val="24"/>
          <w:szCs w:val="24"/>
        </w:rPr>
        <w:t xml:space="preserve"> did not demonstrate cirrhosis.</w:t>
      </w:r>
    </w:p>
    <w:p w14:paraId="64F99FEC" w14:textId="2CF866B8" w:rsidR="003D4465" w:rsidRPr="00B12757" w:rsidRDefault="00F95E95" w:rsidP="00EA6265">
      <w:pPr>
        <w:spacing w:line="360" w:lineRule="auto"/>
        <w:ind w:firstLineChars="150" w:firstLine="360"/>
        <w:jc w:val="both"/>
        <w:rPr>
          <w:rFonts w:ascii="Book Antiqua" w:hAnsi="Book Antiqua"/>
          <w:sz w:val="24"/>
          <w:szCs w:val="24"/>
        </w:rPr>
      </w:pPr>
      <w:r w:rsidRPr="00B12757">
        <w:rPr>
          <w:rFonts w:ascii="Book Antiqua" w:hAnsi="Book Antiqua"/>
          <w:sz w:val="24"/>
          <w:szCs w:val="24"/>
        </w:rPr>
        <w:t>H</w:t>
      </w:r>
      <w:r w:rsidR="00952BD7" w:rsidRPr="00B12757">
        <w:rPr>
          <w:rFonts w:ascii="Book Antiqua" w:hAnsi="Book Antiqua"/>
          <w:sz w:val="24"/>
          <w:szCs w:val="24"/>
        </w:rPr>
        <w:t xml:space="preserve">er transfusion requirement further escalated despite </w:t>
      </w:r>
      <w:r w:rsidR="00686809" w:rsidRPr="00B12757">
        <w:rPr>
          <w:rFonts w:ascii="Book Antiqua" w:hAnsi="Book Antiqua"/>
          <w:sz w:val="24"/>
          <w:szCs w:val="24"/>
        </w:rPr>
        <w:t xml:space="preserve">successful </w:t>
      </w:r>
      <w:r w:rsidR="00952BD7" w:rsidRPr="00B12757">
        <w:rPr>
          <w:rFonts w:ascii="Book Antiqua" w:hAnsi="Book Antiqua"/>
          <w:sz w:val="24"/>
          <w:szCs w:val="24"/>
        </w:rPr>
        <w:t>i</w:t>
      </w:r>
      <w:r w:rsidR="003D4465" w:rsidRPr="00B12757">
        <w:rPr>
          <w:rFonts w:ascii="Book Antiqua" w:hAnsi="Book Antiqua"/>
          <w:sz w:val="24"/>
          <w:szCs w:val="24"/>
        </w:rPr>
        <w:t xml:space="preserve">nterventions </w:t>
      </w:r>
      <w:r w:rsidR="00952BD7" w:rsidRPr="00B12757">
        <w:rPr>
          <w:rFonts w:ascii="Book Antiqua" w:hAnsi="Book Antiqua"/>
          <w:sz w:val="24"/>
          <w:szCs w:val="24"/>
        </w:rPr>
        <w:t>including</w:t>
      </w:r>
      <w:r w:rsidR="003D4465" w:rsidRPr="00B12757">
        <w:rPr>
          <w:rFonts w:ascii="Book Antiqua" w:hAnsi="Book Antiqua"/>
          <w:sz w:val="24"/>
          <w:szCs w:val="24"/>
        </w:rPr>
        <w:t xml:space="preserve"> multiple septal </w:t>
      </w:r>
      <w:proofErr w:type="spellStart"/>
      <w:r w:rsidR="003D4465" w:rsidRPr="00B12757">
        <w:rPr>
          <w:rFonts w:ascii="Book Antiqua" w:hAnsi="Book Antiqua"/>
          <w:sz w:val="24"/>
          <w:szCs w:val="24"/>
        </w:rPr>
        <w:t>dermatoplasties</w:t>
      </w:r>
      <w:proofErr w:type="spellEnd"/>
      <w:r w:rsidR="003D4465" w:rsidRPr="00B12757">
        <w:rPr>
          <w:rFonts w:ascii="Book Antiqua" w:hAnsi="Book Antiqua"/>
          <w:sz w:val="24"/>
          <w:szCs w:val="24"/>
        </w:rPr>
        <w:t xml:space="preserve"> and facial/nasal vessel angiography with embolization</w:t>
      </w:r>
      <w:r w:rsidR="00BC39C4" w:rsidRPr="00B12757">
        <w:rPr>
          <w:rFonts w:ascii="Book Antiqua" w:hAnsi="Book Antiqua"/>
          <w:sz w:val="24"/>
          <w:szCs w:val="24"/>
        </w:rPr>
        <w:t>.</w:t>
      </w:r>
      <w:r w:rsidR="003D4465" w:rsidRPr="00B12757">
        <w:rPr>
          <w:rFonts w:ascii="Book Antiqua" w:hAnsi="Book Antiqua"/>
          <w:sz w:val="24"/>
          <w:szCs w:val="24"/>
        </w:rPr>
        <w:t xml:space="preserve"> </w:t>
      </w:r>
      <w:r w:rsidR="00686809" w:rsidRPr="00B12757">
        <w:rPr>
          <w:rFonts w:ascii="Book Antiqua" w:hAnsi="Book Antiqua"/>
          <w:sz w:val="24"/>
          <w:szCs w:val="24"/>
        </w:rPr>
        <w:t xml:space="preserve">At least </w:t>
      </w:r>
      <w:r w:rsidR="009024A0">
        <w:rPr>
          <w:rFonts w:ascii="Book Antiqua" w:hAnsi="Book Antiqua"/>
          <w:sz w:val="24"/>
          <w:szCs w:val="24"/>
        </w:rPr>
        <w:t>seven</w:t>
      </w:r>
      <w:r w:rsidR="00D63E8E" w:rsidRPr="00B12757">
        <w:rPr>
          <w:rFonts w:ascii="Book Antiqua" w:hAnsi="Book Antiqua"/>
          <w:sz w:val="24"/>
          <w:szCs w:val="24"/>
        </w:rPr>
        <w:t xml:space="preserve"> upper endoscopies with</w:t>
      </w:r>
      <w:r w:rsidR="003D4465" w:rsidRPr="00B12757">
        <w:rPr>
          <w:rFonts w:ascii="Book Antiqua" w:hAnsi="Book Antiqua"/>
          <w:sz w:val="24"/>
          <w:szCs w:val="24"/>
        </w:rPr>
        <w:t xml:space="preserve"> argon plasma coagulation</w:t>
      </w:r>
      <w:r w:rsidR="00A15705" w:rsidRPr="00B12757">
        <w:rPr>
          <w:rFonts w:ascii="Book Antiqua" w:hAnsi="Book Antiqua"/>
          <w:sz w:val="24"/>
          <w:szCs w:val="24"/>
        </w:rPr>
        <w:t xml:space="preserve">, </w:t>
      </w:r>
      <w:r w:rsidR="00952BD7" w:rsidRPr="00B12757">
        <w:rPr>
          <w:rFonts w:ascii="Book Antiqua" w:hAnsi="Book Antiqua"/>
          <w:sz w:val="24"/>
          <w:szCs w:val="24"/>
        </w:rPr>
        <w:t xml:space="preserve">two-month </w:t>
      </w:r>
      <w:r w:rsidR="00A15705" w:rsidRPr="00B12757">
        <w:rPr>
          <w:rFonts w:ascii="Book Antiqua" w:hAnsi="Book Antiqua"/>
          <w:sz w:val="24"/>
          <w:szCs w:val="24"/>
        </w:rPr>
        <w:t>tamoxifen therapy</w:t>
      </w:r>
      <w:r w:rsidR="00D63E8E" w:rsidRPr="00B12757">
        <w:rPr>
          <w:rFonts w:ascii="Book Antiqua" w:hAnsi="Book Antiqua"/>
          <w:sz w:val="24"/>
          <w:szCs w:val="24"/>
        </w:rPr>
        <w:t xml:space="preserve">, and tranexamic </w:t>
      </w:r>
      <w:proofErr w:type="gramStart"/>
      <w:r w:rsidR="00D63E8E" w:rsidRPr="00B12757">
        <w:rPr>
          <w:rFonts w:ascii="Book Antiqua" w:hAnsi="Book Antiqua"/>
          <w:sz w:val="24"/>
          <w:szCs w:val="24"/>
        </w:rPr>
        <w:t>acid which</w:t>
      </w:r>
      <w:proofErr w:type="gramEnd"/>
      <w:r w:rsidR="00D63E8E" w:rsidRPr="00B12757">
        <w:rPr>
          <w:rFonts w:ascii="Book Antiqua" w:hAnsi="Book Antiqua"/>
          <w:sz w:val="24"/>
          <w:szCs w:val="24"/>
        </w:rPr>
        <w:t xml:space="preserve"> led to upper extremity deep vein thrombosis</w:t>
      </w:r>
      <w:r w:rsidR="00BC39C4" w:rsidRPr="00B12757">
        <w:rPr>
          <w:rFonts w:ascii="Book Antiqua" w:hAnsi="Book Antiqua"/>
          <w:sz w:val="24"/>
          <w:szCs w:val="24"/>
        </w:rPr>
        <w:t>,</w:t>
      </w:r>
      <w:r w:rsidR="00686809" w:rsidRPr="00B12757">
        <w:rPr>
          <w:rFonts w:ascii="Book Antiqua" w:hAnsi="Book Antiqua"/>
          <w:sz w:val="24"/>
          <w:szCs w:val="24"/>
        </w:rPr>
        <w:t xml:space="preserve"> were used for ongoing bleeding from</w:t>
      </w:r>
      <w:r w:rsidR="00BC39C4" w:rsidRPr="00B12757">
        <w:rPr>
          <w:rFonts w:ascii="Book Antiqua" w:hAnsi="Book Antiqua"/>
          <w:sz w:val="24"/>
          <w:szCs w:val="24"/>
        </w:rPr>
        <w:t xml:space="preserve"> the</w:t>
      </w:r>
      <w:r w:rsidR="00686809" w:rsidRPr="00B12757">
        <w:rPr>
          <w:rFonts w:ascii="Book Antiqua" w:hAnsi="Book Antiqua"/>
          <w:sz w:val="24"/>
          <w:szCs w:val="24"/>
        </w:rPr>
        <w:t xml:space="preserve"> duodenum/proximal jejunum</w:t>
      </w:r>
      <w:r w:rsidR="00A15705" w:rsidRPr="00B12757">
        <w:rPr>
          <w:rFonts w:ascii="Book Antiqua" w:hAnsi="Book Antiqua"/>
          <w:sz w:val="24"/>
          <w:szCs w:val="24"/>
        </w:rPr>
        <w:t>.</w:t>
      </w:r>
      <w:r w:rsidR="00952BD7" w:rsidRPr="00B12757">
        <w:rPr>
          <w:rFonts w:ascii="Book Antiqua" w:hAnsi="Book Antiqua"/>
          <w:sz w:val="24"/>
          <w:szCs w:val="24"/>
        </w:rPr>
        <w:t xml:space="preserve"> </w:t>
      </w:r>
      <w:r w:rsidR="00D63E8E" w:rsidRPr="00B12757">
        <w:rPr>
          <w:rFonts w:ascii="Book Antiqua" w:hAnsi="Book Antiqua"/>
          <w:sz w:val="24"/>
          <w:szCs w:val="24"/>
        </w:rPr>
        <w:t xml:space="preserve">She received neither estrogen therapy nor thalidomide due to </w:t>
      </w:r>
      <w:r w:rsidR="001E7E6E" w:rsidRPr="00B12757">
        <w:rPr>
          <w:rFonts w:ascii="Book Antiqua" w:hAnsi="Book Antiqua"/>
          <w:sz w:val="24"/>
          <w:szCs w:val="24"/>
        </w:rPr>
        <w:t>risk</w:t>
      </w:r>
      <w:r w:rsidR="00D63E8E" w:rsidRPr="00B12757">
        <w:rPr>
          <w:rFonts w:ascii="Book Antiqua" w:hAnsi="Book Antiqua"/>
          <w:sz w:val="24"/>
          <w:szCs w:val="24"/>
        </w:rPr>
        <w:t xml:space="preserve"> of hormone-sensitive malignancy</w:t>
      </w:r>
      <w:r w:rsidR="001E7E6E" w:rsidRPr="00B12757">
        <w:rPr>
          <w:rFonts w:ascii="Book Antiqua" w:hAnsi="Book Antiqua"/>
          <w:sz w:val="24"/>
          <w:szCs w:val="24"/>
        </w:rPr>
        <w:t xml:space="preserve"> </w:t>
      </w:r>
      <w:r w:rsidR="00D63E8E" w:rsidRPr="00B12757">
        <w:rPr>
          <w:rFonts w:ascii="Book Antiqua" w:hAnsi="Book Antiqua"/>
          <w:sz w:val="24"/>
          <w:szCs w:val="24"/>
        </w:rPr>
        <w:t>and</w:t>
      </w:r>
      <w:r w:rsidR="001E7E6E" w:rsidRPr="00B12757">
        <w:rPr>
          <w:rFonts w:ascii="Book Antiqua" w:hAnsi="Book Antiqua"/>
          <w:sz w:val="24"/>
          <w:szCs w:val="24"/>
        </w:rPr>
        <w:t xml:space="preserve"> limited access/f</w:t>
      </w:r>
      <w:r w:rsidR="00D63E8E" w:rsidRPr="00B12757">
        <w:rPr>
          <w:rFonts w:ascii="Book Antiqua" w:hAnsi="Book Antiqua"/>
          <w:sz w:val="24"/>
          <w:szCs w:val="24"/>
        </w:rPr>
        <w:t xml:space="preserve">inancial constraint, respectively. </w:t>
      </w:r>
      <w:r w:rsidR="00CE4777" w:rsidRPr="00B12757">
        <w:rPr>
          <w:rFonts w:ascii="Book Antiqua" w:hAnsi="Book Antiqua"/>
          <w:sz w:val="24"/>
          <w:szCs w:val="24"/>
        </w:rPr>
        <w:t xml:space="preserve">Additionally, her advanced </w:t>
      </w:r>
      <w:r w:rsidR="00895EB0" w:rsidRPr="00B12757">
        <w:rPr>
          <w:rFonts w:ascii="Book Antiqua" w:hAnsi="Book Antiqua"/>
          <w:sz w:val="24"/>
          <w:szCs w:val="24"/>
        </w:rPr>
        <w:t xml:space="preserve">cardiopulmonary </w:t>
      </w:r>
      <w:r w:rsidR="00CE4777" w:rsidRPr="00B12757">
        <w:rPr>
          <w:rFonts w:ascii="Book Antiqua" w:hAnsi="Book Antiqua"/>
          <w:sz w:val="24"/>
          <w:szCs w:val="24"/>
        </w:rPr>
        <w:t xml:space="preserve">comorbidities, which </w:t>
      </w:r>
      <w:r w:rsidR="00A07E08" w:rsidRPr="00B12757">
        <w:rPr>
          <w:rFonts w:ascii="Book Antiqua" w:hAnsi="Book Antiqua"/>
          <w:sz w:val="24"/>
          <w:szCs w:val="24"/>
        </w:rPr>
        <w:t xml:space="preserve">were complications of </w:t>
      </w:r>
      <w:r w:rsidR="00CE4777" w:rsidRPr="00B12757">
        <w:rPr>
          <w:rFonts w:ascii="Book Antiqua" w:hAnsi="Book Antiqua"/>
          <w:sz w:val="24"/>
          <w:szCs w:val="24"/>
        </w:rPr>
        <w:t xml:space="preserve">HHT, precluded </w:t>
      </w:r>
      <w:r w:rsidR="001E7E6E" w:rsidRPr="00B12757">
        <w:rPr>
          <w:rFonts w:ascii="Book Antiqua" w:hAnsi="Book Antiqua"/>
          <w:sz w:val="24"/>
          <w:szCs w:val="24"/>
        </w:rPr>
        <w:t xml:space="preserve">surgical resection of </w:t>
      </w:r>
      <w:r w:rsidR="00BC39C4" w:rsidRPr="00B12757">
        <w:rPr>
          <w:rFonts w:ascii="Book Antiqua" w:hAnsi="Book Antiqua"/>
          <w:sz w:val="24"/>
          <w:szCs w:val="24"/>
        </w:rPr>
        <w:t xml:space="preserve">the </w:t>
      </w:r>
      <w:r w:rsidR="001E7E6E" w:rsidRPr="00B12757">
        <w:rPr>
          <w:rFonts w:ascii="Book Antiqua" w:hAnsi="Book Antiqua"/>
          <w:sz w:val="24"/>
          <w:szCs w:val="24"/>
        </w:rPr>
        <w:t>proximal small bowel</w:t>
      </w:r>
      <w:r w:rsidR="00A07E08" w:rsidRPr="00B12757">
        <w:rPr>
          <w:rFonts w:ascii="Book Antiqua" w:hAnsi="Book Antiqua"/>
          <w:sz w:val="24"/>
          <w:szCs w:val="24"/>
        </w:rPr>
        <w:t xml:space="preserve"> </w:t>
      </w:r>
      <w:r w:rsidR="00686809" w:rsidRPr="00B12757">
        <w:rPr>
          <w:rFonts w:ascii="Book Antiqua" w:hAnsi="Book Antiqua"/>
          <w:sz w:val="24"/>
          <w:szCs w:val="24"/>
        </w:rPr>
        <w:t>(</w:t>
      </w:r>
      <w:r w:rsidR="00EA6265" w:rsidRPr="00EA6265">
        <w:rPr>
          <w:rFonts w:ascii="Book Antiqua" w:hAnsi="Book Antiqua"/>
          <w:i/>
          <w:sz w:val="24"/>
          <w:szCs w:val="24"/>
        </w:rPr>
        <w:t>i.e.</w:t>
      </w:r>
      <w:r w:rsidR="00EA6265" w:rsidRPr="00EA6265">
        <w:rPr>
          <w:rFonts w:ascii="Book Antiqua" w:eastAsia="宋体" w:hAnsi="Book Antiqua" w:hint="eastAsia"/>
          <w:i/>
          <w:sz w:val="24"/>
          <w:szCs w:val="24"/>
          <w:lang w:eastAsia="zh-CN"/>
        </w:rPr>
        <w:t>,</w:t>
      </w:r>
      <w:r w:rsidR="00686809" w:rsidRPr="00B12757">
        <w:rPr>
          <w:rFonts w:ascii="Book Antiqua" w:hAnsi="Book Antiqua"/>
          <w:sz w:val="24"/>
          <w:szCs w:val="24"/>
        </w:rPr>
        <w:t xml:space="preserve"> Whipple procedure) </w:t>
      </w:r>
      <w:r w:rsidR="00A07E08" w:rsidRPr="00B12757">
        <w:rPr>
          <w:rFonts w:ascii="Book Antiqua" w:hAnsi="Book Antiqua"/>
          <w:sz w:val="24"/>
          <w:szCs w:val="24"/>
        </w:rPr>
        <w:t xml:space="preserve">containing the majority of the </w:t>
      </w:r>
      <w:r w:rsidR="000D5D77" w:rsidRPr="00B12757">
        <w:rPr>
          <w:rFonts w:ascii="Book Antiqua" w:hAnsi="Book Antiqua"/>
          <w:sz w:val="24"/>
          <w:szCs w:val="24"/>
        </w:rPr>
        <w:t>vascular lesions</w:t>
      </w:r>
      <w:r w:rsidR="00CE4777" w:rsidRPr="00B12757">
        <w:rPr>
          <w:rFonts w:ascii="Book Antiqua" w:hAnsi="Book Antiqua"/>
          <w:sz w:val="24"/>
          <w:szCs w:val="24"/>
        </w:rPr>
        <w:t xml:space="preserve"> </w:t>
      </w:r>
      <w:r w:rsidR="00A07E08" w:rsidRPr="00B12757">
        <w:rPr>
          <w:rFonts w:ascii="Book Antiqua" w:hAnsi="Book Antiqua"/>
          <w:sz w:val="24"/>
          <w:szCs w:val="24"/>
        </w:rPr>
        <w:t xml:space="preserve">in order </w:t>
      </w:r>
      <w:r w:rsidR="00CE4777" w:rsidRPr="00B12757">
        <w:rPr>
          <w:rFonts w:ascii="Book Antiqua" w:hAnsi="Book Antiqua"/>
          <w:sz w:val="24"/>
          <w:szCs w:val="24"/>
        </w:rPr>
        <w:t xml:space="preserve">to reduce GI bleeding. </w:t>
      </w:r>
      <w:r w:rsidR="00952BD7" w:rsidRPr="00B12757">
        <w:rPr>
          <w:rFonts w:ascii="Book Antiqua" w:hAnsi="Book Antiqua"/>
          <w:sz w:val="24"/>
          <w:szCs w:val="24"/>
        </w:rPr>
        <w:t xml:space="preserve">Between 2008 and 2015, </w:t>
      </w:r>
      <w:r w:rsidRPr="00B12757">
        <w:rPr>
          <w:rFonts w:ascii="Book Antiqua" w:hAnsi="Book Antiqua"/>
          <w:sz w:val="24"/>
          <w:szCs w:val="24"/>
        </w:rPr>
        <w:t>she received</w:t>
      </w:r>
      <w:r w:rsidR="00D63E8E" w:rsidRPr="00B12757">
        <w:rPr>
          <w:rFonts w:ascii="Book Antiqua" w:hAnsi="Book Antiqua"/>
          <w:sz w:val="24"/>
          <w:szCs w:val="24"/>
        </w:rPr>
        <w:t xml:space="preserve"> </w:t>
      </w:r>
      <w:r w:rsidR="005C1BBF" w:rsidRPr="00B12757">
        <w:rPr>
          <w:rFonts w:ascii="Book Antiqua" w:hAnsi="Book Antiqua"/>
          <w:sz w:val="24"/>
          <w:szCs w:val="24"/>
        </w:rPr>
        <w:t xml:space="preserve">on average </w:t>
      </w:r>
      <w:r w:rsidR="009024A0">
        <w:rPr>
          <w:rFonts w:ascii="Book Antiqua" w:hAnsi="Book Antiqua"/>
          <w:sz w:val="24"/>
          <w:szCs w:val="24"/>
        </w:rPr>
        <w:t>six</w:t>
      </w:r>
      <w:r w:rsidR="00D63E8E" w:rsidRPr="00B12757">
        <w:rPr>
          <w:rFonts w:ascii="Book Antiqua" w:hAnsi="Book Antiqua"/>
          <w:sz w:val="24"/>
          <w:szCs w:val="24"/>
        </w:rPr>
        <w:t xml:space="preserve"> units of</w:t>
      </w:r>
      <w:r w:rsidRPr="00B12757">
        <w:rPr>
          <w:rFonts w:ascii="Book Antiqua" w:hAnsi="Book Antiqua"/>
          <w:sz w:val="24"/>
          <w:szCs w:val="24"/>
        </w:rPr>
        <w:t xml:space="preserve"> </w:t>
      </w:r>
      <w:proofErr w:type="spellStart"/>
      <w:r w:rsidRPr="00B12757">
        <w:rPr>
          <w:rFonts w:ascii="Book Antiqua" w:hAnsi="Book Antiqua"/>
          <w:sz w:val="24"/>
          <w:szCs w:val="24"/>
        </w:rPr>
        <w:t>pRBC</w:t>
      </w:r>
      <w:proofErr w:type="spellEnd"/>
      <w:r w:rsidRPr="00B12757">
        <w:rPr>
          <w:rFonts w:ascii="Book Antiqua" w:hAnsi="Book Antiqua"/>
          <w:sz w:val="24"/>
          <w:szCs w:val="24"/>
        </w:rPr>
        <w:t xml:space="preserve"> weekly </w:t>
      </w:r>
      <w:r w:rsidR="00FE1B14" w:rsidRPr="00B12757">
        <w:rPr>
          <w:rFonts w:ascii="Book Antiqua" w:hAnsi="Book Antiqua"/>
          <w:sz w:val="24"/>
          <w:szCs w:val="24"/>
        </w:rPr>
        <w:t>(</w:t>
      </w:r>
      <w:r w:rsidR="00FE1B14" w:rsidRPr="00EA6265">
        <w:rPr>
          <w:rFonts w:ascii="Book Antiqua" w:hAnsi="Book Antiqua"/>
          <w:i/>
          <w:sz w:val="24"/>
          <w:szCs w:val="24"/>
        </w:rPr>
        <w:t>i.e.</w:t>
      </w:r>
      <w:r w:rsidR="00EA6265" w:rsidRPr="00EA6265">
        <w:rPr>
          <w:rFonts w:ascii="Book Antiqua" w:eastAsia="宋体" w:hAnsi="Book Antiqua" w:hint="eastAsia"/>
          <w:i/>
          <w:sz w:val="24"/>
          <w:szCs w:val="24"/>
          <w:lang w:eastAsia="zh-CN"/>
        </w:rPr>
        <w:t>,</w:t>
      </w:r>
      <w:r w:rsidR="00FE1B14" w:rsidRPr="00B12757">
        <w:rPr>
          <w:rFonts w:ascii="Book Antiqua" w:hAnsi="Book Antiqua"/>
          <w:sz w:val="24"/>
          <w:szCs w:val="24"/>
        </w:rPr>
        <w:t xml:space="preserve"> 312 </w:t>
      </w:r>
      <w:r w:rsidR="0070350E">
        <w:rPr>
          <w:rFonts w:ascii="Book Antiqua" w:eastAsia="宋体" w:hAnsi="Book Antiqua" w:hint="eastAsia"/>
          <w:sz w:val="24"/>
          <w:szCs w:val="24"/>
          <w:lang w:eastAsia="zh-CN"/>
        </w:rPr>
        <w:t>unit</w:t>
      </w:r>
      <w:r w:rsidR="00FE1B14" w:rsidRPr="00B12757">
        <w:rPr>
          <w:rFonts w:ascii="Book Antiqua" w:hAnsi="Book Antiqua"/>
          <w:sz w:val="24"/>
          <w:szCs w:val="24"/>
        </w:rPr>
        <w:t xml:space="preserve"> per year) </w:t>
      </w:r>
      <w:r w:rsidR="00B60130" w:rsidRPr="00B12757">
        <w:rPr>
          <w:rFonts w:ascii="Book Antiqua" w:hAnsi="Book Antiqua"/>
          <w:sz w:val="24"/>
          <w:szCs w:val="24"/>
        </w:rPr>
        <w:t>as well as</w:t>
      </w:r>
      <w:r w:rsidRPr="00B12757">
        <w:rPr>
          <w:rFonts w:ascii="Book Antiqua" w:hAnsi="Book Antiqua"/>
          <w:sz w:val="24"/>
          <w:szCs w:val="24"/>
        </w:rPr>
        <w:t xml:space="preserve"> monthly intravenous iron infusion.</w:t>
      </w:r>
      <w:r w:rsidR="00CE4777" w:rsidRPr="00B12757">
        <w:rPr>
          <w:rFonts w:ascii="Book Antiqua" w:hAnsi="Book Antiqua"/>
          <w:sz w:val="24"/>
          <w:szCs w:val="24"/>
        </w:rPr>
        <w:t xml:space="preserve"> </w:t>
      </w:r>
    </w:p>
    <w:p w14:paraId="2FDC89D4" w14:textId="7F94B048" w:rsidR="00952BD7" w:rsidRPr="00B12757" w:rsidRDefault="004C3A26" w:rsidP="00EA6265">
      <w:pPr>
        <w:spacing w:line="360" w:lineRule="auto"/>
        <w:ind w:firstLineChars="100" w:firstLine="240"/>
        <w:jc w:val="both"/>
        <w:rPr>
          <w:rFonts w:ascii="Book Antiqua" w:hAnsi="Book Antiqua"/>
          <w:sz w:val="24"/>
          <w:szCs w:val="24"/>
        </w:rPr>
      </w:pPr>
      <w:r w:rsidRPr="00B12757">
        <w:rPr>
          <w:rFonts w:ascii="Book Antiqua" w:hAnsi="Book Antiqua"/>
          <w:sz w:val="24"/>
          <w:szCs w:val="24"/>
        </w:rPr>
        <w:t>In April 2015</w:t>
      </w:r>
      <w:r w:rsidR="00F61B58" w:rsidRPr="00B12757">
        <w:rPr>
          <w:rFonts w:ascii="Book Antiqua" w:hAnsi="Book Antiqua"/>
          <w:sz w:val="24"/>
          <w:szCs w:val="24"/>
        </w:rPr>
        <w:t xml:space="preserve">, </w:t>
      </w:r>
      <w:r w:rsidR="00CE4777" w:rsidRPr="00B12757">
        <w:rPr>
          <w:rFonts w:ascii="Book Antiqua" w:hAnsi="Book Antiqua"/>
          <w:sz w:val="24"/>
          <w:szCs w:val="24"/>
        </w:rPr>
        <w:t xml:space="preserve">she was started on </w:t>
      </w:r>
      <w:r w:rsidRPr="00B12757">
        <w:rPr>
          <w:rFonts w:ascii="Book Antiqua" w:hAnsi="Book Antiqua"/>
          <w:sz w:val="24"/>
          <w:szCs w:val="24"/>
        </w:rPr>
        <w:t>bevacizumab, an anti-VEGF antibody,</w:t>
      </w:r>
      <w:r w:rsidR="00BA1B2A" w:rsidRPr="00B12757">
        <w:rPr>
          <w:rFonts w:ascii="Book Antiqua" w:hAnsi="Book Antiqua"/>
          <w:sz w:val="24"/>
          <w:szCs w:val="24"/>
        </w:rPr>
        <w:t xml:space="preserve"> at</w:t>
      </w:r>
      <w:r w:rsidR="00CE4777" w:rsidRPr="00B12757">
        <w:rPr>
          <w:rFonts w:ascii="Book Antiqua" w:hAnsi="Book Antiqua"/>
          <w:sz w:val="24"/>
          <w:szCs w:val="24"/>
        </w:rPr>
        <w:t xml:space="preserve"> 5</w:t>
      </w:r>
      <w:r w:rsidR="00EA6265">
        <w:rPr>
          <w:rFonts w:ascii="Book Antiqua" w:eastAsia="宋体" w:hAnsi="Book Antiqua" w:hint="eastAsia"/>
          <w:sz w:val="24"/>
          <w:szCs w:val="24"/>
          <w:lang w:eastAsia="zh-CN"/>
        </w:rPr>
        <w:t xml:space="preserve"> </w:t>
      </w:r>
      <w:r w:rsidR="00CE4777" w:rsidRPr="00B12757">
        <w:rPr>
          <w:rFonts w:ascii="Book Antiqua" w:hAnsi="Book Antiqua"/>
          <w:sz w:val="24"/>
          <w:szCs w:val="24"/>
        </w:rPr>
        <w:t>mg/kg every two weeks</w:t>
      </w:r>
      <w:r w:rsidR="0022424E" w:rsidRPr="00B12757">
        <w:rPr>
          <w:rFonts w:ascii="Book Antiqua" w:hAnsi="Book Antiqua"/>
          <w:sz w:val="24"/>
          <w:szCs w:val="24"/>
        </w:rPr>
        <w:t xml:space="preserve"> as a </w:t>
      </w:r>
      <w:r w:rsidRPr="00B12757">
        <w:rPr>
          <w:rFonts w:ascii="Book Antiqua" w:hAnsi="Book Antiqua"/>
          <w:sz w:val="24"/>
          <w:szCs w:val="24"/>
        </w:rPr>
        <w:t>last resort</w:t>
      </w:r>
      <w:r w:rsidR="00CE4777" w:rsidRPr="00B12757">
        <w:rPr>
          <w:rFonts w:ascii="Book Antiqua" w:hAnsi="Book Antiqua"/>
          <w:sz w:val="24"/>
          <w:szCs w:val="24"/>
        </w:rPr>
        <w:t>.</w:t>
      </w:r>
      <w:r w:rsidR="00A07E08" w:rsidRPr="00B12757">
        <w:rPr>
          <w:rFonts w:ascii="Book Antiqua" w:hAnsi="Book Antiqua"/>
          <w:sz w:val="24"/>
          <w:szCs w:val="24"/>
        </w:rPr>
        <w:t xml:space="preserve"> The patient’s response to bevacizumab </w:t>
      </w:r>
      <w:r w:rsidR="00942F96" w:rsidRPr="00B12757">
        <w:rPr>
          <w:rFonts w:ascii="Book Antiqua" w:hAnsi="Book Antiqua"/>
          <w:sz w:val="24"/>
          <w:szCs w:val="24"/>
        </w:rPr>
        <w:t xml:space="preserve">in terms of GI bleeding </w:t>
      </w:r>
      <w:r w:rsidR="00A07E08" w:rsidRPr="00B12757">
        <w:rPr>
          <w:rFonts w:ascii="Book Antiqua" w:hAnsi="Book Antiqua"/>
          <w:sz w:val="24"/>
          <w:szCs w:val="24"/>
        </w:rPr>
        <w:t xml:space="preserve">was immediate and dramatic: </w:t>
      </w:r>
      <w:r w:rsidR="00942F96" w:rsidRPr="00B12757">
        <w:rPr>
          <w:rFonts w:ascii="Book Antiqua" w:hAnsi="Book Antiqua"/>
          <w:sz w:val="24"/>
          <w:szCs w:val="24"/>
        </w:rPr>
        <w:t xml:space="preserve">her </w:t>
      </w:r>
      <w:r w:rsidR="00A07E08" w:rsidRPr="00B12757">
        <w:rPr>
          <w:rFonts w:ascii="Book Antiqua" w:hAnsi="Book Antiqua"/>
          <w:sz w:val="24"/>
          <w:szCs w:val="24"/>
        </w:rPr>
        <w:t xml:space="preserve">stools returned to normal color </w:t>
      </w:r>
      <w:r w:rsidR="00942F96" w:rsidRPr="00B12757">
        <w:rPr>
          <w:rFonts w:ascii="Book Antiqua" w:hAnsi="Book Antiqua"/>
          <w:sz w:val="24"/>
          <w:szCs w:val="24"/>
        </w:rPr>
        <w:t xml:space="preserve">and consistency, </w:t>
      </w:r>
      <w:r w:rsidR="00A07E08" w:rsidRPr="00B12757">
        <w:rPr>
          <w:rFonts w:ascii="Book Antiqua" w:hAnsi="Book Antiqua"/>
          <w:sz w:val="24"/>
          <w:szCs w:val="24"/>
        </w:rPr>
        <w:t xml:space="preserve">and her transfusion requirement dropped to </w:t>
      </w:r>
      <w:r w:rsidR="00942F96" w:rsidRPr="00B12757">
        <w:rPr>
          <w:rFonts w:ascii="Book Antiqua" w:hAnsi="Book Antiqua"/>
          <w:sz w:val="24"/>
          <w:szCs w:val="24"/>
        </w:rPr>
        <w:t>four units per month between May and September, and further down to only two units over the course of the following seven months</w:t>
      </w:r>
      <w:r w:rsidR="00350A84" w:rsidRPr="00B12757">
        <w:rPr>
          <w:rFonts w:ascii="Book Antiqua" w:hAnsi="Book Antiqua"/>
          <w:sz w:val="24"/>
          <w:szCs w:val="24"/>
        </w:rPr>
        <w:t xml:space="preserve"> with intravenous iron supplementation</w:t>
      </w:r>
      <w:r w:rsidR="00942F96" w:rsidRPr="00B12757">
        <w:rPr>
          <w:rFonts w:ascii="Book Antiqua" w:hAnsi="Book Antiqua"/>
          <w:sz w:val="24"/>
          <w:szCs w:val="24"/>
        </w:rPr>
        <w:t>.</w:t>
      </w:r>
      <w:r w:rsidR="00BC39C4" w:rsidRPr="00B12757">
        <w:rPr>
          <w:rFonts w:ascii="Book Antiqua" w:hAnsi="Book Antiqua"/>
          <w:sz w:val="24"/>
          <w:szCs w:val="24"/>
        </w:rPr>
        <w:t xml:space="preserve"> </w:t>
      </w:r>
      <w:r w:rsidR="00942F96" w:rsidRPr="00B12757">
        <w:rPr>
          <w:rFonts w:ascii="Book Antiqua" w:hAnsi="Book Antiqua"/>
          <w:sz w:val="24"/>
          <w:szCs w:val="24"/>
        </w:rPr>
        <w:t xml:space="preserve">She continued to experience </w:t>
      </w:r>
      <w:r w:rsidR="00266F6D" w:rsidRPr="00B12757">
        <w:rPr>
          <w:rFonts w:ascii="Book Antiqua" w:hAnsi="Book Antiqua"/>
          <w:sz w:val="24"/>
          <w:szCs w:val="24"/>
        </w:rPr>
        <w:t xml:space="preserve">minor </w:t>
      </w:r>
      <w:r w:rsidR="00942F96" w:rsidRPr="00B12757">
        <w:rPr>
          <w:rFonts w:ascii="Book Antiqua" w:hAnsi="Book Antiqua"/>
          <w:sz w:val="24"/>
          <w:szCs w:val="24"/>
        </w:rPr>
        <w:t>epistaxis</w:t>
      </w:r>
      <w:r w:rsidR="007C4D4B" w:rsidRPr="00B12757">
        <w:rPr>
          <w:rFonts w:ascii="Book Antiqua" w:hAnsi="Book Antiqua"/>
          <w:sz w:val="24"/>
          <w:szCs w:val="24"/>
        </w:rPr>
        <w:t xml:space="preserve"> that was</w:t>
      </w:r>
      <w:r w:rsidR="00BC39C4" w:rsidRPr="00B12757">
        <w:rPr>
          <w:rFonts w:ascii="Book Antiqua" w:hAnsi="Book Antiqua"/>
          <w:sz w:val="24"/>
          <w:szCs w:val="24"/>
        </w:rPr>
        <w:t xml:space="preserve"> much</w:t>
      </w:r>
      <w:r w:rsidR="00942F96" w:rsidRPr="00B12757">
        <w:rPr>
          <w:rFonts w:ascii="Book Antiqua" w:hAnsi="Book Antiqua"/>
          <w:sz w:val="24"/>
          <w:szCs w:val="24"/>
        </w:rPr>
        <w:t xml:space="preserve"> less severe than previous, and </w:t>
      </w:r>
      <w:r w:rsidR="00ED41D6" w:rsidRPr="00B12757">
        <w:rPr>
          <w:rFonts w:ascii="Book Antiqua" w:hAnsi="Book Antiqua"/>
          <w:sz w:val="24"/>
          <w:szCs w:val="24"/>
        </w:rPr>
        <w:t xml:space="preserve">ongoing </w:t>
      </w:r>
      <w:r w:rsidR="00942F96" w:rsidRPr="00B12757">
        <w:rPr>
          <w:rFonts w:ascii="Book Antiqua" w:hAnsi="Book Antiqua"/>
          <w:sz w:val="24"/>
          <w:szCs w:val="24"/>
        </w:rPr>
        <w:t>microscopic hematuria</w:t>
      </w:r>
      <w:r w:rsidR="00ED41D6" w:rsidRPr="00B12757">
        <w:rPr>
          <w:rFonts w:ascii="Book Antiqua" w:hAnsi="Book Antiqua"/>
          <w:sz w:val="24"/>
          <w:szCs w:val="24"/>
        </w:rPr>
        <w:t xml:space="preserve"> without proteinuria or renal function impairment</w:t>
      </w:r>
      <w:r w:rsidR="00942F96" w:rsidRPr="00B12757">
        <w:rPr>
          <w:rFonts w:ascii="Book Antiqua" w:hAnsi="Book Antiqua"/>
          <w:sz w:val="24"/>
          <w:szCs w:val="24"/>
        </w:rPr>
        <w:t xml:space="preserve">. </w:t>
      </w:r>
    </w:p>
    <w:p w14:paraId="7C379F7F" w14:textId="00EB0FCF" w:rsidR="001F2B3A" w:rsidRPr="00B12757" w:rsidRDefault="001F2B3A" w:rsidP="00EA6265">
      <w:pPr>
        <w:spacing w:line="360" w:lineRule="auto"/>
        <w:ind w:firstLineChars="150" w:firstLine="360"/>
        <w:jc w:val="both"/>
        <w:rPr>
          <w:rFonts w:ascii="Book Antiqua" w:hAnsi="Book Antiqua"/>
          <w:sz w:val="24"/>
          <w:szCs w:val="24"/>
        </w:rPr>
      </w:pPr>
      <w:r w:rsidRPr="00B12757">
        <w:rPr>
          <w:rFonts w:ascii="Book Antiqua" w:hAnsi="Book Antiqua"/>
          <w:sz w:val="24"/>
          <w:szCs w:val="24"/>
        </w:rPr>
        <w:t xml:space="preserve">Over the </w:t>
      </w:r>
      <w:r w:rsidR="00ED41D6" w:rsidRPr="00B12757">
        <w:rPr>
          <w:rFonts w:ascii="Book Antiqua" w:hAnsi="Book Antiqua"/>
          <w:sz w:val="24"/>
          <w:szCs w:val="24"/>
        </w:rPr>
        <w:t xml:space="preserve">past 12 </w:t>
      </w:r>
      <w:proofErr w:type="spellStart"/>
      <w:r w:rsidR="00EA6265">
        <w:rPr>
          <w:rFonts w:ascii="Book Antiqua" w:eastAsia="宋体" w:hAnsi="Book Antiqua" w:hint="eastAsia"/>
          <w:sz w:val="24"/>
          <w:szCs w:val="24"/>
          <w:lang w:eastAsia="zh-CN"/>
        </w:rPr>
        <w:t>mo</w:t>
      </w:r>
      <w:proofErr w:type="spellEnd"/>
      <w:r w:rsidRPr="00B12757">
        <w:rPr>
          <w:rFonts w:ascii="Book Antiqua" w:hAnsi="Book Antiqua"/>
          <w:sz w:val="24"/>
          <w:szCs w:val="24"/>
        </w:rPr>
        <w:t>,</w:t>
      </w:r>
      <w:r w:rsidR="00091C74" w:rsidRPr="00B12757">
        <w:rPr>
          <w:rFonts w:ascii="Book Antiqua" w:hAnsi="Book Antiqua"/>
          <w:sz w:val="24"/>
          <w:szCs w:val="24"/>
        </w:rPr>
        <w:t xml:space="preserve"> the</w:t>
      </w:r>
      <w:r w:rsidRPr="00B12757">
        <w:rPr>
          <w:rFonts w:ascii="Book Antiqua" w:hAnsi="Book Antiqua"/>
          <w:sz w:val="24"/>
          <w:szCs w:val="24"/>
        </w:rPr>
        <w:t xml:space="preserve"> administration of bevacizumab </w:t>
      </w:r>
      <w:r w:rsidR="00091C74" w:rsidRPr="00B12757">
        <w:rPr>
          <w:rFonts w:ascii="Book Antiqua" w:hAnsi="Book Antiqua"/>
          <w:sz w:val="24"/>
          <w:szCs w:val="24"/>
        </w:rPr>
        <w:t xml:space="preserve">has </w:t>
      </w:r>
      <w:r w:rsidR="00686809" w:rsidRPr="00B12757">
        <w:rPr>
          <w:rFonts w:ascii="Book Antiqua" w:hAnsi="Book Antiqua"/>
          <w:sz w:val="24"/>
          <w:szCs w:val="24"/>
        </w:rPr>
        <w:t xml:space="preserve">resulted in </w:t>
      </w:r>
      <w:r w:rsidR="00266F6D" w:rsidRPr="00B12757">
        <w:rPr>
          <w:rFonts w:ascii="Book Antiqua" w:hAnsi="Book Antiqua"/>
          <w:sz w:val="24"/>
          <w:szCs w:val="24"/>
        </w:rPr>
        <w:t>a decrease</w:t>
      </w:r>
      <w:r w:rsidR="00686809" w:rsidRPr="00B12757">
        <w:rPr>
          <w:rFonts w:ascii="Book Antiqua" w:hAnsi="Book Antiqua"/>
          <w:sz w:val="24"/>
          <w:szCs w:val="24"/>
        </w:rPr>
        <w:t xml:space="preserve"> of approximately</w:t>
      </w:r>
      <w:r w:rsidRPr="00B12757">
        <w:rPr>
          <w:rFonts w:ascii="Book Antiqua" w:hAnsi="Book Antiqua"/>
          <w:sz w:val="24"/>
          <w:szCs w:val="24"/>
        </w:rPr>
        <w:t xml:space="preserve"> 290 units of </w:t>
      </w:r>
      <w:proofErr w:type="spellStart"/>
      <w:r w:rsidRPr="00B12757">
        <w:rPr>
          <w:rFonts w:ascii="Book Antiqua" w:hAnsi="Book Antiqua"/>
          <w:sz w:val="24"/>
          <w:szCs w:val="24"/>
        </w:rPr>
        <w:t>pRBC’s</w:t>
      </w:r>
      <w:proofErr w:type="spellEnd"/>
      <w:r w:rsidRPr="00B12757">
        <w:rPr>
          <w:rFonts w:ascii="Book Antiqua" w:hAnsi="Book Antiqua"/>
          <w:sz w:val="24"/>
          <w:szCs w:val="24"/>
        </w:rPr>
        <w:t xml:space="preserve"> and improved the patient’s quality of life immensely.</w:t>
      </w:r>
      <w:r w:rsidR="00091C74" w:rsidRPr="00B12757">
        <w:rPr>
          <w:rFonts w:ascii="Book Antiqua" w:hAnsi="Book Antiqua"/>
          <w:sz w:val="24"/>
          <w:szCs w:val="24"/>
        </w:rPr>
        <w:t xml:space="preserve"> The patient has tolerated the infusions without any reported side-effects.</w:t>
      </w:r>
    </w:p>
    <w:p w14:paraId="59662015" w14:textId="77777777" w:rsidR="00D63E8E" w:rsidRPr="00B12757" w:rsidRDefault="00D63E8E" w:rsidP="008234B5">
      <w:pPr>
        <w:spacing w:line="360" w:lineRule="auto"/>
        <w:jc w:val="both"/>
        <w:rPr>
          <w:rFonts w:ascii="Book Antiqua" w:hAnsi="Book Antiqua"/>
          <w:sz w:val="24"/>
          <w:szCs w:val="24"/>
        </w:rPr>
      </w:pPr>
    </w:p>
    <w:p w14:paraId="38340894" w14:textId="6B229BB5" w:rsidR="000F67D9" w:rsidRPr="00B12757" w:rsidRDefault="00EA6265" w:rsidP="008234B5">
      <w:pPr>
        <w:spacing w:line="360" w:lineRule="auto"/>
        <w:jc w:val="both"/>
        <w:rPr>
          <w:rFonts w:ascii="Book Antiqua" w:hAnsi="Book Antiqua"/>
          <w:b/>
          <w:sz w:val="24"/>
          <w:szCs w:val="24"/>
        </w:rPr>
      </w:pPr>
      <w:r w:rsidRPr="00B12757">
        <w:rPr>
          <w:rFonts w:ascii="Book Antiqua" w:hAnsi="Book Antiqua"/>
          <w:b/>
          <w:sz w:val="24"/>
          <w:szCs w:val="24"/>
        </w:rPr>
        <w:t>DISCUSSION</w:t>
      </w:r>
    </w:p>
    <w:p w14:paraId="15B6632B" w14:textId="753215D5" w:rsidR="0066202E" w:rsidRPr="00B12757" w:rsidRDefault="0066202E" w:rsidP="008234B5">
      <w:pPr>
        <w:spacing w:line="360" w:lineRule="auto"/>
        <w:jc w:val="both"/>
        <w:rPr>
          <w:rFonts w:ascii="Book Antiqua" w:hAnsi="Book Antiqua"/>
          <w:sz w:val="24"/>
          <w:szCs w:val="24"/>
        </w:rPr>
      </w:pPr>
      <w:r w:rsidRPr="00B12757">
        <w:rPr>
          <w:rFonts w:ascii="Book Antiqua" w:hAnsi="Book Antiqua"/>
          <w:sz w:val="24"/>
          <w:szCs w:val="24"/>
        </w:rPr>
        <w:lastRenderedPageBreak/>
        <w:t>This case highlights the potential challenges in managing HHT with complicated, refractory GI bleeding</w:t>
      </w:r>
      <w:r w:rsidR="00B57373" w:rsidRPr="00B12757">
        <w:rPr>
          <w:rFonts w:ascii="Book Antiqua" w:hAnsi="Book Antiqua"/>
          <w:sz w:val="24"/>
          <w:szCs w:val="24"/>
        </w:rPr>
        <w:t>. In our patient’s case, she acquired</w:t>
      </w:r>
      <w:r w:rsidRPr="00B12757">
        <w:rPr>
          <w:rFonts w:ascii="Book Antiqua" w:hAnsi="Book Antiqua"/>
          <w:sz w:val="24"/>
          <w:szCs w:val="24"/>
        </w:rPr>
        <w:t xml:space="preserve"> hepatitis C infection</w:t>
      </w:r>
      <w:r w:rsidR="00B57373" w:rsidRPr="00B12757">
        <w:rPr>
          <w:rFonts w:ascii="Book Antiqua" w:hAnsi="Book Antiqua"/>
          <w:sz w:val="24"/>
          <w:szCs w:val="24"/>
        </w:rPr>
        <w:t xml:space="preserve"> due to repeated transfusions</w:t>
      </w:r>
      <w:r w:rsidRPr="00B12757">
        <w:rPr>
          <w:rFonts w:ascii="Book Antiqua" w:hAnsi="Book Antiqua"/>
          <w:sz w:val="24"/>
          <w:szCs w:val="24"/>
        </w:rPr>
        <w:t xml:space="preserve">, and </w:t>
      </w:r>
      <w:r w:rsidR="00B57373" w:rsidRPr="00B12757">
        <w:rPr>
          <w:rFonts w:ascii="Book Antiqua" w:hAnsi="Book Antiqua"/>
          <w:sz w:val="24"/>
          <w:szCs w:val="24"/>
        </w:rPr>
        <w:t xml:space="preserve">developed </w:t>
      </w:r>
      <w:r w:rsidRPr="00B12757">
        <w:rPr>
          <w:rFonts w:ascii="Book Antiqua" w:hAnsi="Book Antiqua"/>
          <w:sz w:val="24"/>
          <w:szCs w:val="24"/>
        </w:rPr>
        <w:t xml:space="preserve">high-output cardiac failure </w:t>
      </w:r>
      <w:r w:rsidR="00B57373" w:rsidRPr="00B12757">
        <w:rPr>
          <w:rFonts w:ascii="Book Antiqua" w:hAnsi="Book Antiqua"/>
          <w:sz w:val="24"/>
          <w:szCs w:val="24"/>
        </w:rPr>
        <w:t>and</w:t>
      </w:r>
      <w:r w:rsidRPr="00B12757">
        <w:rPr>
          <w:rFonts w:ascii="Book Antiqua" w:hAnsi="Book Antiqua"/>
          <w:sz w:val="24"/>
          <w:szCs w:val="24"/>
        </w:rPr>
        <w:t xml:space="preserve"> pulmonary hypertension</w:t>
      </w:r>
      <w:r w:rsidR="00B57373" w:rsidRPr="00B12757">
        <w:rPr>
          <w:rFonts w:ascii="Book Antiqua" w:hAnsi="Book Antiqua"/>
          <w:sz w:val="24"/>
          <w:szCs w:val="24"/>
        </w:rPr>
        <w:t xml:space="preserve"> due to severe chronic anemia</w:t>
      </w:r>
      <w:r w:rsidRPr="00B12757">
        <w:rPr>
          <w:rFonts w:ascii="Book Antiqua" w:hAnsi="Book Antiqua"/>
          <w:sz w:val="24"/>
          <w:szCs w:val="24"/>
        </w:rPr>
        <w:t xml:space="preserve">. </w:t>
      </w:r>
      <w:r w:rsidR="009D2E54" w:rsidRPr="00B12757">
        <w:rPr>
          <w:rFonts w:ascii="Book Antiqua" w:hAnsi="Book Antiqua"/>
          <w:sz w:val="24"/>
          <w:szCs w:val="24"/>
        </w:rPr>
        <w:t xml:space="preserve">Her functional capacity was poor due to anemia and pulmonary hypertension, but the need for frequent </w:t>
      </w:r>
      <w:r w:rsidRPr="00B12757">
        <w:rPr>
          <w:rFonts w:ascii="Book Antiqua" w:hAnsi="Book Antiqua"/>
          <w:sz w:val="24"/>
          <w:szCs w:val="24"/>
        </w:rPr>
        <w:t>transfusions three times a week</w:t>
      </w:r>
      <w:r w:rsidR="00B57373" w:rsidRPr="00B12757">
        <w:rPr>
          <w:rFonts w:ascii="Book Antiqua" w:hAnsi="Book Antiqua"/>
          <w:sz w:val="24"/>
          <w:szCs w:val="24"/>
        </w:rPr>
        <w:t xml:space="preserve"> (&gt;</w:t>
      </w:r>
      <w:r w:rsidR="00EA6265">
        <w:rPr>
          <w:rFonts w:ascii="Book Antiqua" w:eastAsia="宋体" w:hAnsi="Book Antiqua" w:hint="eastAsia"/>
          <w:sz w:val="24"/>
          <w:szCs w:val="24"/>
          <w:lang w:eastAsia="zh-CN"/>
        </w:rPr>
        <w:t xml:space="preserve"> </w:t>
      </w:r>
      <w:r w:rsidR="00B57373" w:rsidRPr="00B12757">
        <w:rPr>
          <w:rFonts w:ascii="Book Antiqua" w:hAnsi="Book Antiqua"/>
          <w:sz w:val="24"/>
          <w:szCs w:val="24"/>
        </w:rPr>
        <w:t xml:space="preserve">1400 </w:t>
      </w:r>
      <w:r w:rsidR="00EA6265">
        <w:rPr>
          <w:rFonts w:ascii="Book Antiqua" w:eastAsia="宋体" w:hAnsi="Book Antiqua" w:hint="eastAsia"/>
          <w:sz w:val="24"/>
          <w:szCs w:val="24"/>
          <w:lang w:eastAsia="zh-CN"/>
        </w:rPr>
        <w:t>UI</w:t>
      </w:r>
      <w:r w:rsidR="00B57373" w:rsidRPr="00B12757">
        <w:rPr>
          <w:rFonts w:ascii="Book Antiqua" w:hAnsi="Book Antiqua"/>
          <w:sz w:val="24"/>
          <w:szCs w:val="24"/>
        </w:rPr>
        <w:t xml:space="preserve"> of </w:t>
      </w:r>
      <w:proofErr w:type="spellStart"/>
      <w:r w:rsidR="00B57373" w:rsidRPr="00B12757">
        <w:rPr>
          <w:rFonts w:ascii="Book Antiqua" w:hAnsi="Book Antiqua"/>
          <w:sz w:val="24"/>
          <w:szCs w:val="24"/>
        </w:rPr>
        <w:t>pRBC</w:t>
      </w:r>
      <w:proofErr w:type="spellEnd"/>
      <w:r w:rsidR="00B57373" w:rsidRPr="00B12757">
        <w:rPr>
          <w:rFonts w:ascii="Book Antiqua" w:hAnsi="Book Antiqua"/>
          <w:sz w:val="24"/>
          <w:szCs w:val="24"/>
        </w:rPr>
        <w:t xml:space="preserve"> in the five years prior to treatment)</w:t>
      </w:r>
      <w:r w:rsidR="009D2E54" w:rsidRPr="00B12757">
        <w:rPr>
          <w:rFonts w:ascii="Book Antiqua" w:hAnsi="Book Antiqua"/>
          <w:sz w:val="24"/>
          <w:szCs w:val="24"/>
        </w:rPr>
        <w:t xml:space="preserve"> also posed a tremendous negative impact on her quality of life in addition to causing a </w:t>
      </w:r>
      <w:r w:rsidR="00B57373" w:rsidRPr="00B12757">
        <w:rPr>
          <w:rFonts w:ascii="Book Antiqua" w:hAnsi="Book Antiqua"/>
          <w:sz w:val="24"/>
          <w:szCs w:val="24"/>
        </w:rPr>
        <w:t xml:space="preserve">significant </w:t>
      </w:r>
      <w:r w:rsidRPr="00B12757">
        <w:rPr>
          <w:rFonts w:ascii="Book Antiqua" w:hAnsi="Book Antiqua"/>
          <w:sz w:val="24"/>
          <w:szCs w:val="24"/>
        </w:rPr>
        <w:t>burden on the health care system</w:t>
      </w:r>
      <w:r w:rsidR="00A33624" w:rsidRPr="00B12757">
        <w:rPr>
          <w:rFonts w:ascii="Book Antiqua" w:hAnsi="Book Antiqua"/>
          <w:sz w:val="24"/>
          <w:szCs w:val="24"/>
        </w:rPr>
        <w:t>.</w:t>
      </w:r>
      <w:r w:rsidRPr="00B12757">
        <w:rPr>
          <w:rFonts w:ascii="Book Antiqua" w:hAnsi="Book Antiqua"/>
          <w:sz w:val="24"/>
          <w:szCs w:val="24"/>
        </w:rPr>
        <w:t xml:space="preserve"> </w:t>
      </w:r>
      <w:r w:rsidR="009D2E54" w:rsidRPr="00B12757">
        <w:rPr>
          <w:rFonts w:ascii="Book Antiqua" w:hAnsi="Book Antiqua"/>
          <w:sz w:val="24"/>
          <w:szCs w:val="24"/>
        </w:rPr>
        <w:t>Fortunately, t</w:t>
      </w:r>
      <w:r w:rsidR="00F2767E" w:rsidRPr="00B12757">
        <w:rPr>
          <w:rFonts w:ascii="Book Antiqua" w:hAnsi="Book Antiqua"/>
          <w:sz w:val="24"/>
          <w:szCs w:val="24"/>
        </w:rPr>
        <w:t xml:space="preserve">he patient’s response to bevacizumab </w:t>
      </w:r>
      <w:r w:rsidR="004E6815" w:rsidRPr="00B12757">
        <w:rPr>
          <w:rFonts w:ascii="Book Antiqua" w:hAnsi="Book Antiqua"/>
          <w:sz w:val="24"/>
          <w:szCs w:val="24"/>
        </w:rPr>
        <w:t>exceeded</w:t>
      </w:r>
      <w:r w:rsidR="00F2767E" w:rsidRPr="00B12757">
        <w:rPr>
          <w:rFonts w:ascii="Book Antiqua" w:hAnsi="Book Antiqua"/>
          <w:sz w:val="24"/>
          <w:szCs w:val="24"/>
        </w:rPr>
        <w:t xml:space="preserve"> our expectation</w:t>
      </w:r>
      <w:r w:rsidR="00A33624" w:rsidRPr="00B12757">
        <w:rPr>
          <w:rFonts w:ascii="Book Antiqua" w:hAnsi="Book Antiqua"/>
          <w:sz w:val="24"/>
          <w:szCs w:val="24"/>
        </w:rPr>
        <w:t>s</w:t>
      </w:r>
      <w:r w:rsidR="009D2E54" w:rsidRPr="00B12757">
        <w:rPr>
          <w:rFonts w:ascii="Book Antiqua" w:hAnsi="Book Antiqua"/>
          <w:sz w:val="24"/>
          <w:szCs w:val="24"/>
        </w:rPr>
        <w:t>.</w:t>
      </w:r>
      <w:r w:rsidR="00F2767E" w:rsidRPr="00B12757">
        <w:rPr>
          <w:rFonts w:ascii="Book Antiqua" w:hAnsi="Book Antiqua"/>
          <w:sz w:val="24"/>
          <w:szCs w:val="24"/>
        </w:rPr>
        <w:t xml:space="preserve"> </w:t>
      </w:r>
      <w:r w:rsidR="00686809" w:rsidRPr="00B12757">
        <w:rPr>
          <w:rFonts w:ascii="Book Antiqua" w:hAnsi="Book Antiqua"/>
          <w:sz w:val="24"/>
          <w:szCs w:val="24"/>
        </w:rPr>
        <w:t xml:space="preserve">The greatest hurdle of obtaining the drug was in fact, obtaining approval from regulatory bodies for financial coverage of it. However, after one year, the overall cost to the health care system of avoiding most transfusions is staggering. </w:t>
      </w:r>
      <w:r w:rsidR="009D2E54" w:rsidRPr="00B12757">
        <w:rPr>
          <w:rFonts w:ascii="Book Antiqua" w:hAnsi="Book Antiqua"/>
          <w:sz w:val="24"/>
          <w:szCs w:val="24"/>
        </w:rPr>
        <w:t>G</w:t>
      </w:r>
      <w:r w:rsidR="00F2767E" w:rsidRPr="00B12757">
        <w:rPr>
          <w:rFonts w:ascii="Book Antiqua" w:hAnsi="Book Antiqua"/>
          <w:sz w:val="24"/>
          <w:szCs w:val="24"/>
        </w:rPr>
        <w:t>iven the</w:t>
      </w:r>
      <w:r w:rsidR="0022424E" w:rsidRPr="00B12757">
        <w:rPr>
          <w:rFonts w:ascii="Book Antiqua" w:hAnsi="Book Antiqua"/>
          <w:sz w:val="24"/>
          <w:szCs w:val="24"/>
        </w:rPr>
        <w:t xml:space="preserve"> severity of her blood loss, which to our knowledge is one of</w:t>
      </w:r>
      <w:r w:rsidR="009D2E54" w:rsidRPr="00B12757">
        <w:rPr>
          <w:rFonts w:ascii="Book Antiqua" w:hAnsi="Book Antiqua"/>
          <w:sz w:val="24"/>
          <w:szCs w:val="24"/>
        </w:rPr>
        <w:t xml:space="preserve"> the most severe cases reported, o</w:t>
      </w:r>
      <w:r w:rsidRPr="00B12757">
        <w:rPr>
          <w:rFonts w:ascii="Book Antiqua" w:hAnsi="Book Antiqua"/>
          <w:sz w:val="24"/>
          <w:szCs w:val="24"/>
        </w:rPr>
        <w:t xml:space="preserve">ur initial goal </w:t>
      </w:r>
      <w:r w:rsidR="00A33624" w:rsidRPr="00B12757">
        <w:rPr>
          <w:rFonts w:ascii="Book Antiqua" w:hAnsi="Book Antiqua"/>
          <w:sz w:val="24"/>
          <w:szCs w:val="24"/>
        </w:rPr>
        <w:t>had been</w:t>
      </w:r>
      <w:r w:rsidRPr="00B12757">
        <w:rPr>
          <w:rFonts w:ascii="Book Antiqua" w:hAnsi="Book Antiqua"/>
          <w:sz w:val="24"/>
          <w:szCs w:val="24"/>
        </w:rPr>
        <w:t xml:space="preserve"> to reduce her transfusion requirement by 40</w:t>
      </w:r>
      <w:r w:rsidR="00EA6265">
        <w:rPr>
          <w:rFonts w:ascii="Book Antiqua" w:eastAsia="宋体" w:hAnsi="Book Antiqua" w:hint="eastAsia"/>
          <w:sz w:val="24"/>
          <w:szCs w:val="24"/>
          <w:lang w:eastAsia="zh-CN"/>
        </w:rPr>
        <w:t>%</w:t>
      </w:r>
      <w:r w:rsidRPr="00B12757">
        <w:rPr>
          <w:rFonts w:ascii="Book Antiqua" w:hAnsi="Book Antiqua"/>
          <w:sz w:val="24"/>
          <w:szCs w:val="24"/>
        </w:rPr>
        <w:t>-50%</w:t>
      </w:r>
      <w:r w:rsidR="00DE7F63" w:rsidRPr="00B12757">
        <w:rPr>
          <w:rFonts w:ascii="Book Antiqua" w:hAnsi="Book Antiqua"/>
          <w:sz w:val="24"/>
          <w:szCs w:val="24"/>
        </w:rPr>
        <w:t>, but</w:t>
      </w:r>
      <w:r w:rsidRPr="00B12757">
        <w:rPr>
          <w:rFonts w:ascii="Book Antiqua" w:hAnsi="Book Antiqua"/>
          <w:sz w:val="24"/>
          <w:szCs w:val="24"/>
        </w:rPr>
        <w:t xml:space="preserve"> she essentially became transfusion-independent</w:t>
      </w:r>
      <w:r w:rsidR="00B57373" w:rsidRPr="00B12757">
        <w:rPr>
          <w:rFonts w:ascii="Book Antiqua" w:hAnsi="Book Antiqua"/>
          <w:sz w:val="24"/>
          <w:szCs w:val="24"/>
        </w:rPr>
        <w:t>.</w:t>
      </w:r>
    </w:p>
    <w:p w14:paraId="6398FD70" w14:textId="4780BF7C" w:rsidR="00686809" w:rsidRPr="00B12757" w:rsidRDefault="00372719" w:rsidP="00EA6265">
      <w:pPr>
        <w:spacing w:line="360" w:lineRule="auto"/>
        <w:ind w:firstLineChars="150" w:firstLine="360"/>
        <w:jc w:val="both"/>
        <w:rPr>
          <w:rFonts w:ascii="Book Antiqua" w:hAnsi="Book Antiqua"/>
          <w:sz w:val="24"/>
          <w:szCs w:val="24"/>
        </w:rPr>
      </w:pPr>
      <w:r w:rsidRPr="00B12757">
        <w:rPr>
          <w:rFonts w:ascii="Book Antiqua" w:hAnsi="Book Antiqua"/>
          <w:sz w:val="24"/>
          <w:szCs w:val="24"/>
        </w:rPr>
        <w:t>We opted to prescribe 5</w:t>
      </w:r>
      <w:r w:rsidR="00B4141D">
        <w:rPr>
          <w:rFonts w:ascii="Book Antiqua" w:eastAsia="宋体" w:hAnsi="Book Antiqua" w:hint="eastAsia"/>
          <w:sz w:val="24"/>
          <w:szCs w:val="24"/>
          <w:lang w:eastAsia="zh-CN"/>
        </w:rPr>
        <w:t xml:space="preserve"> </w:t>
      </w:r>
      <w:r w:rsidRPr="00B12757">
        <w:rPr>
          <w:rFonts w:ascii="Book Antiqua" w:hAnsi="Book Antiqua"/>
          <w:sz w:val="24"/>
          <w:szCs w:val="24"/>
        </w:rPr>
        <w:t>mg/kg every other week</w:t>
      </w:r>
      <w:r w:rsidR="00612335" w:rsidRPr="00B12757">
        <w:rPr>
          <w:rFonts w:ascii="Book Antiqua" w:hAnsi="Book Antiqua"/>
          <w:sz w:val="24"/>
          <w:szCs w:val="24"/>
        </w:rPr>
        <w:t xml:space="preserve">, which is </w:t>
      </w:r>
      <w:r w:rsidR="00A33624" w:rsidRPr="00B12757">
        <w:rPr>
          <w:rFonts w:ascii="Book Antiqua" w:hAnsi="Book Antiqua"/>
          <w:sz w:val="24"/>
          <w:szCs w:val="24"/>
        </w:rPr>
        <w:t>the typical dose for solid organ malignancies</w:t>
      </w:r>
      <w:r w:rsidR="00612335" w:rsidRPr="00B12757">
        <w:rPr>
          <w:rFonts w:ascii="Book Antiqua" w:hAnsi="Book Antiqua"/>
          <w:sz w:val="24"/>
          <w:szCs w:val="24"/>
        </w:rPr>
        <w:t>,</w:t>
      </w:r>
      <w:r w:rsidRPr="00B12757">
        <w:rPr>
          <w:rFonts w:ascii="Book Antiqua" w:hAnsi="Book Antiqua"/>
          <w:sz w:val="24"/>
          <w:szCs w:val="24"/>
        </w:rPr>
        <w:t xml:space="preserve"> </w:t>
      </w:r>
      <w:r w:rsidR="00612335" w:rsidRPr="00B12757">
        <w:rPr>
          <w:rFonts w:ascii="Book Antiqua" w:hAnsi="Book Antiqua"/>
          <w:sz w:val="24"/>
          <w:szCs w:val="24"/>
        </w:rPr>
        <w:t>since this</w:t>
      </w:r>
      <w:r w:rsidRPr="00B12757">
        <w:rPr>
          <w:rFonts w:ascii="Book Antiqua" w:hAnsi="Book Antiqua"/>
          <w:sz w:val="24"/>
          <w:szCs w:val="24"/>
        </w:rPr>
        <w:t xml:space="preserve"> is the regimen with the most</w:t>
      </w:r>
      <w:r w:rsidR="00612335" w:rsidRPr="00B12757">
        <w:rPr>
          <w:rFonts w:ascii="Book Antiqua" w:hAnsi="Book Antiqua"/>
          <w:sz w:val="24"/>
          <w:szCs w:val="24"/>
        </w:rPr>
        <w:t xml:space="preserve"> clinical</w:t>
      </w:r>
      <w:r w:rsidRPr="00B12757">
        <w:rPr>
          <w:rFonts w:ascii="Book Antiqua" w:hAnsi="Book Antiqua"/>
          <w:sz w:val="24"/>
          <w:szCs w:val="24"/>
        </w:rPr>
        <w:t xml:space="preserve"> evidence to date</w:t>
      </w:r>
      <w:r w:rsidR="007C4D4B" w:rsidRPr="00B12757">
        <w:rPr>
          <w:rFonts w:ascii="Book Antiqua" w:hAnsi="Book Antiqua"/>
          <w:sz w:val="24"/>
          <w:szCs w:val="24"/>
        </w:rPr>
        <w:t xml:space="preserve"> for </w:t>
      </w:r>
      <w:proofErr w:type="gramStart"/>
      <w:r w:rsidR="007C4D4B" w:rsidRPr="00B12757">
        <w:rPr>
          <w:rFonts w:ascii="Book Antiqua" w:hAnsi="Book Antiqua"/>
          <w:sz w:val="24"/>
          <w:szCs w:val="24"/>
        </w:rPr>
        <w:t>HHT</w:t>
      </w:r>
      <w:r w:rsidR="002529B3" w:rsidRPr="002529B3">
        <w:rPr>
          <w:rFonts w:ascii="Book Antiqua" w:hAnsi="Book Antiqua"/>
          <w:sz w:val="24"/>
          <w:vertAlign w:val="superscript"/>
        </w:rPr>
        <w:t>[</w:t>
      </w:r>
      <w:proofErr w:type="gramEnd"/>
      <w:r w:rsidR="002529B3" w:rsidRPr="002529B3">
        <w:rPr>
          <w:rFonts w:ascii="Book Antiqua" w:hAnsi="Book Antiqua"/>
          <w:sz w:val="24"/>
          <w:vertAlign w:val="superscript"/>
        </w:rPr>
        <w:t>17]</w:t>
      </w:r>
      <w:r w:rsidR="009F70CA" w:rsidRPr="00B12757">
        <w:rPr>
          <w:rFonts w:ascii="Book Antiqua" w:hAnsi="Book Antiqua"/>
          <w:sz w:val="24"/>
          <w:szCs w:val="24"/>
        </w:rPr>
        <w:t xml:space="preserve">. </w:t>
      </w:r>
      <w:r w:rsidR="008B47B3" w:rsidRPr="00B12757">
        <w:rPr>
          <w:rFonts w:ascii="Book Antiqua" w:hAnsi="Book Antiqua"/>
          <w:sz w:val="24"/>
          <w:szCs w:val="24"/>
        </w:rPr>
        <w:t xml:space="preserve">The optimal dosage and duration of bevacizumab for GI bleeding in HHT remains to be determined, </w:t>
      </w:r>
      <w:r w:rsidR="00CA4A10" w:rsidRPr="00B12757">
        <w:rPr>
          <w:rFonts w:ascii="Book Antiqua" w:hAnsi="Book Antiqua"/>
          <w:sz w:val="24"/>
          <w:szCs w:val="24"/>
        </w:rPr>
        <w:t>and requires balancing</w:t>
      </w:r>
      <w:r w:rsidR="008B47B3" w:rsidRPr="00B12757">
        <w:rPr>
          <w:rFonts w:ascii="Book Antiqua" w:hAnsi="Book Antiqua"/>
          <w:sz w:val="24"/>
          <w:szCs w:val="24"/>
        </w:rPr>
        <w:t xml:space="preserve"> the clinical benefits against potential adverse events of systemic treatment such as such as </w:t>
      </w:r>
      <w:r w:rsidR="00A33624" w:rsidRPr="00B12757">
        <w:rPr>
          <w:rFonts w:ascii="Book Antiqua" w:hAnsi="Book Antiqua"/>
          <w:sz w:val="24"/>
          <w:szCs w:val="24"/>
        </w:rPr>
        <w:t>h</w:t>
      </w:r>
      <w:r w:rsidR="008B47B3" w:rsidRPr="00B12757">
        <w:rPr>
          <w:rFonts w:ascii="Book Antiqua" w:hAnsi="Book Antiqua"/>
          <w:sz w:val="24"/>
          <w:szCs w:val="24"/>
        </w:rPr>
        <w:t>ypertension, nephrotic syndrome, poor wound healing, bowel perforat</w:t>
      </w:r>
      <w:r w:rsidR="007C4D4B" w:rsidRPr="00B12757">
        <w:rPr>
          <w:rFonts w:ascii="Book Antiqua" w:hAnsi="Book Antiqua"/>
          <w:sz w:val="24"/>
          <w:szCs w:val="24"/>
        </w:rPr>
        <w:t>ion, and thromboembolic events</w:t>
      </w:r>
      <w:r w:rsidR="002529B3" w:rsidRPr="002529B3">
        <w:rPr>
          <w:rFonts w:ascii="Book Antiqua" w:hAnsi="Book Antiqua"/>
          <w:sz w:val="24"/>
          <w:vertAlign w:val="superscript"/>
        </w:rPr>
        <w:t>[18]</w:t>
      </w:r>
      <w:r w:rsidR="008B47B3" w:rsidRPr="00B12757">
        <w:rPr>
          <w:rFonts w:ascii="Book Antiqua" w:hAnsi="Book Antiqua"/>
          <w:sz w:val="24"/>
          <w:szCs w:val="24"/>
        </w:rPr>
        <w:t>.</w:t>
      </w:r>
      <w:r w:rsidR="00CA4A10" w:rsidRPr="00B12757">
        <w:rPr>
          <w:rFonts w:ascii="Book Antiqua" w:hAnsi="Book Antiqua"/>
          <w:sz w:val="24"/>
          <w:szCs w:val="24"/>
        </w:rPr>
        <w:t xml:space="preserve"> </w:t>
      </w:r>
      <w:r w:rsidR="009F70CA" w:rsidRPr="00B12757">
        <w:rPr>
          <w:rFonts w:ascii="Book Antiqua" w:hAnsi="Book Antiqua"/>
          <w:sz w:val="24"/>
          <w:szCs w:val="24"/>
        </w:rPr>
        <w:t>T</w:t>
      </w:r>
      <w:r w:rsidRPr="00B12757">
        <w:rPr>
          <w:rFonts w:ascii="Book Antiqua" w:hAnsi="Book Antiqua"/>
          <w:sz w:val="24"/>
          <w:szCs w:val="24"/>
        </w:rPr>
        <w:t xml:space="preserve">here have been reports successfully utilizing lower doses </w:t>
      </w:r>
      <w:r w:rsidR="007E7FE0" w:rsidRPr="00B12757">
        <w:rPr>
          <w:rFonts w:ascii="Book Antiqua" w:hAnsi="Book Antiqua"/>
          <w:sz w:val="24"/>
          <w:szCs w:val="24"/>
        </w:rPr>
        <w:t xml:space="preserve">for GI bleeding, </w:t>
      </w:r>
      <w:r w:rsidR="00612335" w:rsidRPr="00B12757">
        <w:rPr>
          <w:rFonts w:ascii="Book Antiqua" w:hAnsi="Book Antiqua"/>
          <w:sz w:val="24"/>
          <w:szCs w:val="24"/>
        </w:rPr>
        <w:t>based on the drug’s pharmacokinetics</w:t>
      </w:r>
      <w:r w:rsidR="002529B3" w:rsidRPr="002529B3">
        <w:rPr>
          <w:rFonts w:ascii="Book Antiqua" w:hAnsi="Book Antiqua"/>
          <w:sz w:val="24"/>
          <w:vertAlign w:val="superscript"/>
        </w:rPr>
        <w:t>[4,5,7,15]</w:t>
      </w:r>
      <w:r w:rsidR="007E7FE0" w:rsidRPr="00B12757">
        <w:rPr>
          <w:rFonts w:ascii="Book Antiqua" w:hAnsi="Book Antiqua"/>
          <w:sz w:val="24"/>
          <w:szCs w:val="24"/>
        </w:rPr>
        <w:t>,</w:t>
      </w:r>
      <w:r w:rsidR="00612335" w:rsidRPr="00B12757">
        <w:rPr>
          <w:rFonts w:ascii="Book Antiqua" w:hAnsi="Book Antiqua"/>
          <w:sz w:val="24"/>
          <w:szCs w:val="24"/>
        </w:rPr>
        <w:t xml:space="preserve"> </w:t>
      </w:r>
      <w:r w:rsidR="00350A84" w:rsidRPr="00B12757">
        <w:rPr>
          <w:rFonts w:ascii="Book Antiqua" w:hAnsi="Book Antiqua"/>
          <w:sz w:val="24"/>
          <w:szCs w:val="24"/>
        </w:rPr>
        <w:t xml:space="preserve">but some patients may require </w:t>
      </w:r>
      <w:r w:rsidR="00C87D00" w:rsidRPr="00B12757">
        <w:rPr>
          <w:rFonts w:ascii="Book Antiqua" w:hAnsi="Book Antiqua"/>
          <w:sz w:val="24"/>
          <w:szCs w:val="24"/>
        </w:rPr>
        <w:t>higher</w:t>
      </w:r>
      <w:r w:rsidR="00A70D37" w:rsidRPr="00B12757">
        <w:rPr>
          <w:rFonts w:ascii="Book Antiqua" w:hAnsi="Book Antiqua"/>
          <w:sz w:val="24"/>
          <w:szCs w:val="24"/>
        </w:rPr>
        <w:t xml:space="preserve"> dose</w:t>
      </w:r>
      <w:r w:rsidR="007C4D4B" w:rsidRPr="00B12757">
        <w:rPr>
          <w:rFonts w:ascii="Book Antiqua" w:hAnsi="Book Antiqua"/>
          <w:sz w:val="24"/>
          <w:szCs w:val="24"/>
        </w:rPr>
        <w:t>s to maintain optimal response</w:t>
      </w:r>
      <w:r w:rsidR="002529B3">
        <w:rPr>
          <w:rFonts w:ascii="Book Antiqua" w:hAnsi="Book Antiqua"/>
          <w:sz w:val="24"/>
          <w:szCs w:val="24"/>
          <w:vertAlign w:val="superscript"/>
        </w:rPr>
        <w:t>[10]</w:t>
      </w:r>
      <w:r w:rsidR="00A70D37" w:rsidRPr="00B12757">
        <w:rPr>
          <w:rFonts w:ascii="Book Antiqua" w:hAnsi="Book Antiqua"/>
          <w:sz w:val="24"/>
          <w:szCs w:val="24"/>
        </w:rPr>
        <w:t>.</w:t>
      </w:r>
      <w:r w:rsidR="009F70CA" w:rsidRPr="00B12757">
        <w:rPr>
          <w:rFonts w:ascii="Book Antiqua" w:hAnsi="Book Antiqua"/>
          <w:sz w:val="24"/>
          <w:szCs w:val="24"/>
        </w:rPr>
        <w:t xml:space="preserve"> </w:t>
      </w:r>
      <w:r w:rsidR="00E72DA9" w:rsidRPr="00B12757">
        <w:rPr>
          <w:rFonts w:ascii="Book Antiqua" w:hAnsi="Book Antiqua"/>
          <w:sz w:val="24"/>
          <w:szCs w:val="24"/>
        </w:rPr>
        <w:t xml:space="preserve">Although the specific </w:t>
      </w:r>
      <w:r w:rsidR="00706B2B">
        <w:rPr>
          <w:rFonts w:ascii="Book Antiqua" w:hAnsi="Book Antiqua"/>
          <w:sz w:val="24"/>
          <w:szCs w:val="24"/>
        </w:rPr>
        <w:t xml:space="preserve">optimal </w:t>
      </w:r>
      <w:r w:rsidR="00E72DA9" w:rsidRPr="00B12757">
        <w:rPr>
          <w:rFonts w:ascii="Book Antiqua" w:hAnsi="Book Antiqua"/>
          <w:sz w:val="24"/>
          <w:szCs w:val="24"/>
        </w:rPr>
        <w:t>dosage is not entirely clear at this time, the duration of treatment is likely</w:t>
      </w:r>
      <w:r w:rsidR="00D32634" w:rsidRPr="00B12757">
        <w:rPr>
          <w:rFonts w:ascii="Book Antiqua" w:hAnsi="Book Antiqua"/>
          <w:sz w:val="24"/>
          <w:szCs w:val="24"/>
        </w:rPr>
        <w:t xml:space="preserve"> indefinite </w:t>
      </w:r>
      <w:r w:rsidR="00E72DA9" w:rsidRPr="00B12757">
        <w:rPr>
          <w:rFonts w:ascii="Book Antiqua" w:hAnsi="Book Antiqua"/>
          <w:sz w:val="24"/>
          <w:szCs w:val="24"/>
        </w:rPr>
        <w:t>as relapses upon discontinuation of therapy have been noted in previous reports, with the interval ranging from one to t</w:t>
      </w:r>
      <w:r w:rsidR="007C4D4B" w:rsidRPr="00B12757">
        <w:rPr>
          <w:rFonts w:ascii="Book Antiqua" w:hAnsi="Book Antiqua"/>
          <w:sz w:val="24"/>
          <w:szCs w:val="24"/>
        </w:rPr>
        <w:t>hree months after the last dose</w:t>
      </w:r>
      <w:r w:rsidR="002529B3" w:rsidRPr="002529B3">
        <w:rPr>
          <w:rFonts w:ascii="Book Antiqua" w:hAnsi="Book Antiqua"/>
          <w:sz w:val="24"/>
          <w:vertAlign w:val="superscript"/>
        </w:rPr>
        <w:t>[4,7,8,15]</w:t>
      </w:r>
      <w:r w:rsidR="00173FE6" w:rsidRPr="00B12757">
        <w:rPr>
          <w:rFonts w:ascii="Book Antiqua" w:hAnsi="Book Antiqua"/>
          <w:sz w:val="24"/>
          <w:szCs w:val="24"/>
        </w:rPr>
        <w:t>.</w:t>
      </w:r>
      <w:r w:rsidR="002529B3">
        <w:rPr>
          <w:rFonts w:ascii="Book Antiqua" w:hAnsi="Book Antiqua"/>
          <w:sz w:val="24"/>
          <w:szCs w:val="24"/>
        </w:rPr>
        <w:t xml:space="preserve"> </w:t>
      </w:r>
    </w:p>
    <w:p w14:paraId="08F32660" w14:textId="77777777" w:rsidR="00350A84" w:rsidRPr="00B12757" w:rsidRDefault="00350A84" w:rsidP="008234B5">
      <w:pPr>
        <w:spacing w:line="360" w:lineRule="auto"/>
        <w:jc w:val="both"/>
        <w:rPr>
          <w:rFonts w:ascii="Book Antiqua" w:hAnsi="Book Antiqua"/>
          <w:sz w:val="24"/>
          <w:szCs w:val="24"/>
        </w:rPr>
      </w:pPr>
    </w:p>
    <w:p w14:paraId="5A87F468" w14:textId="5FB17851" w:rsidR="00721E28" w:rsidRPr="00B12757" w:rsidRDefault="00686809" w:rsidP="00EA6265">
      <w:pPr>
        <w:spacing w:line="360" w:lineRule="auto"/>
        <w:ind w:firstLineChars="150" w:firstLine="360"/>
        <w:jc w:val="both"/>
        <w:rPr>
          <w:rFonts w:ascii="Book Antiqua" w:hAnsi="Book Antiqua"/>
          <w:sz w:val="24"/>
          <w:szCs w:val="24"/>
        </w:rPr>
      </w:pPr>
      <w:r w:rsidRPr="00B12757">
        <w:rPr>
          <w:rFonts w:ascii="Book Antiqua" w:hAnsi="Book Antiqua"/>
          <w:sz w:val="24"/>
          <w:szCs w:val="24"/>
        </w:rPr>
        <w:t>This case demonstrates a remarkable response in regards to GI bleeding to bevacizumab in the setting of HHT</w:t>
      </w:r>
      <w:r w:rsidR="001317E2" w:rsidRPr="00B12757">
        <w:rPr>
          <w:rFonts w:ascii="Book Antiqua" w:hAnsi="Book Antiqua"/>
          <w:sz w:val="24"/>
          <w:szCs w:val="24"/>
        </w:rPr>
        <w:t>.</w:t>
      </w:r>
      <w:r w:rsidR="00721E28" w:rsidRPr="00B12757">
        <w:rPr>
          <w:rFonts w:ascii="Book Antiqua" w:hAnsi="Book Antiqua"/>
          <w:sz w:val="24"/>
          <w:szCs w:val="24"/>
        </w:rPr>
        <w:t xml:space="preserve"> </w:t>
      </w:r>
      <w:r w:rsidR="001317E2" w:rsidRPr="00B12757">
        <w:rPr>
          <w:rFonts w:ascii="Book Antiqua" w:hAnsi="Book Antiqua"/>
          <w:sz w:val="24"/>
          <w:szCs w:val="24"/>
        </w:rPr>
        <w:t>Although not specifically examined yet in our patient, a</w:t>
      </w:r>
      <w:r w:rsidR="00721E28" w:rsidRPr="00B12757">
        <w:rPr>
          <w:rFonts w:ascii="Book Antiqua" w:hAnsi="Book Antiqua"/>
          <w:sz w:val="24"/>
          <w:szCs w:val="24"/>
        </w:rPr>
        <w:t xml:space="preserve">dditional benefits such as </w:t>
      </w:r>
      <w:r w:rsidR="001317E2" w:rsidRPr="00B12757">
        <w:rPr>
          <w:rFonts w:ascii="Book Antiqua" w:hAnsi="Book Antiqua"/>
          <w:sz w:val="24"/>
          <w:szCs w:val="24"/>
        </w:rPr>
        <w:t>partial reversal of</w:t>
      </w:r>
      <w:r w:rsidR="00721E28" w:rsidRPr="00B12757">
        <w:rPr>
          <w:rFonts w:ascii="Book Antiqua" w:hAnsi="Book Antiqua"/>
          <w:sz w:val="24"/>
          <w:szCs w:val="24"/>
        </w:rPr>
        <w:t xml:space="preserve"> liver failure and high cardiac </w:t>
      </w:r>
      <w:r w:rsidR="00721E28" w:rsidRPr="00B12757">
        <w:rPr>
          <w:rFonts w:ascii="Book Antiqua" w:hAnsi="Book Antiqua"/>
          <w:sz w:val="24"/>
          <w:szCs w:val="24"/>
        </w:rPr>
        <w:lastRenderedPageBreak/>
        <w:t xml:space="preserve">output failure have also been </w:t>
      </w:r>
      <w:proofErr w:type="gramStart"/>
      <w:r w:rsidR="00721E28" w:rsidRPr="00B12757">
        <w:rPr>
          <w:rFonts w:ascii="Book Antiqua" w:hAnsi="Book Antiqua"/>
          <w:sz w:val="24"/>
          <w:szCs w:val="24"/>
        </w:rPr>
        <w:t>reported</w:t>
      </w:r>
      <w:r w:rsidR="002529B3" w:rsidRPr="002529B3">
        <w:rPr>
          <w:rFonts w:ascii="Book Antiqua" w:hAnsi="Book Antiqua" w:cs="Times New Roman"/>
          <w:sz w:val="24"/>
          <w:szCs w:val="24"/>
          <w:vertAlign w:val="superscript"/>
        </w:rPr>
        <w:t>[</w:t>
      </w:r>
      <w:proofErr w:type="gramEnd"/>
      <w:r w:rsidR="002529B3" w:rsidRPr="002529B3">
        <w:rPr>
          <w:rFonts w:ascii="Book Antiqua" w:hAnsi="Book Antiqua" w:cs="Times New Roman"/>
          <w:sz w:val="24"/>
          <w:szCs w:val="24"/>
          <w:vertAlign w:val="superscript"/>
        </w:rPr>
        <w:t>19–21</w:t>
      </w:r>
      <w:r w:rsidR="002529B3">
        <w:rPr>
          <w:rFonts w:ascii="Book Antiqua" w:hAnsi="Book Antiqua" w:cs="Times New Roman"/>
          <w:sz w:val="24"/>
          <w:szCs w:val="24"/>
          <w:vertAlign w:val="superscript"/>
        </w:rPr>
        <w:t>]</w:t>
      </w:r>
      <w:r w:rsidR="00721E28" w:rsidRPr="00B12757">
        <w:rPr>
          <w:rFonts w:ascii="Book Antiqua" w:hAnsi="Book Antiqua"/>
          <w:sz w:val="24"/>
          <w:szCs w:val="24"/>
        </w:rPr>
        <w:t xml:space="preserve">. </w:t>
      </w:r>
      <w:r w:rsidRPr="00B12757">
        <w:rPr>
          <w:rFonts w:ascii="Book Antiqua" w:hAnsi="Book Antiqua"/>
          <w:sz w:val="24"/>
          <w:szCs w:val="24"/>
        </w:rPr>
        <w:t xml:space="preserve">Despite its high cost, </w:t>
      </w:r>
      <w:r w:rsidR="00350A84" w:rsidRPr="00B12757">
        <w:rPr>
          <w:rFonts w:ascii="Book Antiqua" w:hAnsi="Book Antiqua"/>
          <w:sz w:val="24"/>
          <w:szCs w:val="24"/>
        </w:rPr>
        <w:t xml:space="preserve">earlier administration should be considered </w:t>
      </w:r>
      <w:r w:rsidRPr="00B12757">
        <w:rPr>
          <w:rFonts w:ascii="Book Antiqua" w:hAnsi="Book Antiqua"/>
          <w:sz w:val="24"/>
          <w:szCs w:val="24"/>
        </w:rPr>
        <w:t>if benefit of this extent is regularly demonstrated in this group of patients</w:t>
      </w:r>
      <w:r w:rsidR="00266F6D" w:rsidRPr="00B12757">
        <w:rPr>
          <w:rFonts w:ascii="Book Antiqua" w:hAnsi="Book Antiqua"/>
          <w:sz w:val="24"/>
          <w:szCs w:val="24"/>
        </w:rPr>
        <w:t xml:space="preserve"> as prevention of end organ complications (</w:t>
      </w:r>
      <w:r w:rsidR="00EA6265" w:rsidRPr="00EA6265">
        <w:rPr>
          <w:rFonts w:ascii="Book Antiqua" w:hAnsi="Book Antiqua"/>
          <w:i/>
          <w:sz w:val="24"/>
          <w:szCs w:val="24"/>
        </w:rPr>
        <w:t>i.e.</w:t>
      </w:r>
      <w:r w:rsidR="00EA6265" w:rsidRPr="00EA6265">
        <w:rPr>
          <w:rFonts w:ascii="Book Antiqua" w:eastAsia="宋体" w:hAnsi="Book Antiqua" w:hint="eastAsia"/>
          <w:i/>
          <w:sz w:val="24"/>
          <w:szCs w:val="24"/>
          <w:lang w:eastAsia="zh-CN"/>
        </w:rPr>
        <w:t>,</w:t>
      </w:r>
      <w:r w:rsidR="00266F6D" w:rsidRPr="00B12757">
        <w:rPr>
          <w:rFonts w:ascii="Book Antiqua" w:hAnsi="Book Antiqua"/>
          <w:sz w:val="24"/>
          <w:szCs w:val="24"/>
        </w:rPr>
        <w:t xml:space="preserve"> cardiac/hepatic) theoretically might have been prevented with early </w:t>
      </w:r>
      <w:r w:rsidR="005D41C1" w:rsidRPr="00B12757">
        <w:rPr>
          <w:rFonts w:ascii="Book Antiqua" w:hAnsi="Book Antiqua"/>
          <w:sz w:val="24"/>
          <w:szCs w:val="24"/>
        </w:rPr>
        <w:t>administration.</w:t>
      </w:r>
      <w:r w:rsidR="001317E2" w:rsidRPr="00B12757">
        <w:rPr>
          <w:rFonts w:ascii="Book Antiqua" w:hAnsi="Book Antiqua"/>
          <w:sz w:val="24"/>
          <w:szCs w:val="24"/>
        </w:rPr>
        <w:t xml:space="preserve"> T</w:t>
      </w:r>
      <w:r w:rsidRPr="00B12757">
        <w:rPr>
          <w:rFonts w:ascii="Book Antiqua" w:hAnsi="Book Antiqua"/>
          <w:sz w:val="24"/>
          <w:szCs w:val="24"/>
        </w:rPr>
        <w:t>he issue of cost in many situations perhaps should not be paramount when aiming for ideal care in these patients with limited options.</w:t>
      </w:r>
    </w:p>
    <w:p w14:paraId="40304464" w14:textId="62DBC960" w:rsidR="007D5D02" w:rsidRPr="00B12757" w:rsidRDefault="00E34E03" w:rsidP="00C30AB9">
      <w:pPr>
        <w:spacing w:line="360" w:lineRule="auto"/>
        <w:ind w:firstLineChars="100" w:firstLine="240"/>
        <w:jc w:val="both"/>
        <w:rPr>
          <w:rFonts w:ascii="Book Antiqua" w:hAnsi="Book Antiqua"/>
          <w:sz w:val="24"/>
          <w:szCs w:val="24"/>
        </w:rPr>
      </w:pPr>
      <w:r w:rsidRPr="00B12757">
        <w:rPr>
          <w:rFonts w:ascii="Book Antiqua" w:hAnsi="Book Antiqua"/>
          <w:sz w:val="24"/>
          <w:szCs w:val="24"/>
        </w:rPr>
        <w:t>Bevacizumab effectively controlled severe GI bleeding in this patient with complicated HHT.</w:t>
      </w:r>
    </w:p>
    <w:p w14:paraId="3E30FFCD" w14:textId="48D846BE" w:rsidR="00F45BBF" w:rsidRPr="00B12757" w:rsidRDefault="00F45BBF" w:rsidP="008234B5">
      <w:pPr>
        <w:spacing w:line="360" w:lineRule="auto"/>
        <w:jc w:val="both"/>
        <w:rPr>
          <w:rFonts w:ascii="Book Antiqua" w:hAnsi="Book Antiqua"/>
          <w:sz w:val="24"/>
          <w:szCs w:val="24"/>
        </w:rPr>
      </w:pPr>
    </w:p>
    <w:p w14:paraId="2C1EC73C" w14:textId="588884CC" w:rsidR="00F45BBF" w:rsidRPr="00B12757" w:rsidRDefault="00EA6265" w:rsidP="008234B5">
      <w:pPr>
        <w:spacing w:line="360" w:lineRule="auto"/>
        <w:jc w:val="both"/>
        <w:rPr>
          <w:rFonts w:ascii="Book Antiqua" w:hAnsi="Book Antiqua"/>
          <w:b/>
          <w:sz w:val="24"/>
          <w:szCs w:val="24"/>
        </w:rPr>
      </w:pPr>
      <w:r w:rsidRPr="00B12757">
        <w:rPr>
          <w:rFonts w:ascii="Book Antiqua" w:hAnsi="Book Antiqua"/>
          <w:b/>
          <w:sz w:val="24"/>
          <w:szCs w:val="24"/>
        </w:rPr>
        <w:t>COMMENTS</w:t>
      </w:r>
    </w:p>
    <w:p w14:paraId="546130B8" w14:textId="5DFD4ED9" w:rsidR="00F45BBF" w:rsidRPr="00EA6265" w:rsidRDefault="00F45BBF" w:rsidP="008234B5">
      <w:pPr>
        <w:spacing w:line="360" w:lineRule="auto"/>
        <w:jc w:val="both"/>
        <w:rPr>
          <w:rFonts w:ascii="Book Antiqua" w:hAnsi="Book Antiqua"/>
          <w:b/>
          <w:i/>
          <w:sz w:val="24"/>
          <w:szCs w:val="24"/>
        </w:rPr>
      </w:pPr>
      <w:r w:rsidRPr="00EA6265">
        <w:rPr>
          <w:rFonts w:ascii="Book Antiqua" w:hAnsi="Book Antiqua"/>
          <w:b/>
          <w:i/>
          <w:sz w:val="24"/>
          <w:szCs w:val="24"/>
        </w:rPr>
        <w:t>Case characteristics</w:t>
      </w:r>
    </w:p>
    <w:p w14:paraId="59C6B3D8" w14:textId="492CE916" w:rsidR="00F45BBF" w:rsidRPr="00B12757" w:rsidRDefault="00F45BBF" w:rsidP="008234B5">
      <w:pPr>
        <w:spacing w:line="360" w:lineRule="auto"/>
        <w:jc w:val="both"/>
        <w:rPr>
          <w:rFonts w:ascii="Book Antiqua" w:hAnsi="Book Antiqua"/>
          <w:sz w:val="24"/>
          <w:szCs w:val="24"/>
        </w:rPr>
      </w:pPr>
      <w:proofErr w:type="gramStart"/>
      <w:r w:rsidRPr="00B12757">
        <w:rPr>
          <w:rFonts w:ascii="Book Antiqua" w:hAnsi="Book Antiqua"/>
          <w:sz w:val="24"/>
          <w:szCs w:val="24"/>
        </w:rPr>
        <w:t>A 58-year-old women</w:t>
      </w:r>
      <w:proofErr w:type="gramEnd"/>
      <w:r w:rsidRPr="00B12757">
        <w:rPr>
          <w:rFonts w:ascii="Book Antiqua" w:hAnsi="Book Antiqua"/>
          <w:sz w:val="24"/>
          <w:szCs w:val="24"/>
        </w:rPr>
        <w:t xml:space="preserve"> </w:t>
      </w:r>
      <w:r w:rsidR="00E3295F" w:rsidRPr="00B12757">
        <w:rPr>
          <w:rFonts w:ascii="Book Antiqua" w:hAnsi="Book Antiqua"/>
          <w:sz w:val="24"/>
          <w:szCs w:val="24"/>
        </w:rPr>
        <w:t xml:space="preserve">with hereditary hemorrhagic telangiectasia (HHT) </w:t>
      </w:r>
      <w:r w:rsidRPr="00B12757">
        <w:rPr>
          <w:rFonts w:ascii="Book Antiqua" w:hAnsi="Book Antiqua"/>
          <w:sz w:val="24"/>
          <w:szCs w:val="24"/>
        </w:rPr>
        <w:t>present</w:t>
      </w:r>
      <w:r w:rsidR="00706B2B">
        <w:rPr>
          <w:rFonts w:ascii="Book Antiqua" w:hAnsi="Book Antiqua"/>
          <w:sz w:val="24"/>
          <w:szCs w:val="24"/>
        </w:rPr>
        <w:t>ed</w:t>
      </w:r>
      <w:r w:rsidRPr="00B12757">
        <w:rPr>
          <w:rFonts w:ascii="Book Antiqua" w:hAnsi="Book Antiqua"/>
          <w:sz w:val="24"/>
          <w:szCs w:val="24"/>
        </w:rPr>
        <w:t xml:space="preserve"> with severe, chronic GI bleeding refractory to multiple treatment modalities.</w:t>
      </w:r>
    </w:p>
    <w:p w14:paraId="39E2842F" w14:textId="41F5D983" w:rsidR="00F45BBF" w:rsidRPr="00B12757" w:rsidRDefault="00F45BBF" w:rsidP="008234B5">
      <w:pPr>
        <w:spacing w:line="360" w:lineRule="auto"/>
        <w:jc w:val="both"/>
        <w:rPr>
          <w:rFonts w:ascii="Book Antiqua" w:hAnsi="Book Antiqua"/>
          <w:sz w:val="24"/>
          <w:szCs w:val="24"/>
        </w:rPr>
      </w:pPr>
    </w:p>
    <w:p w14:paraId="0FA659A6" w14:textId="4D7A15AD" w:rsidR="00F45BBF" w:rsidRPr="00EA6265" w:rsidRDefault="00F45BBF" w:rsidP="008234B5">
      <w:pPr>
        <w:spacing w:line="360" w:lineRule="auto"/>
        <w:jc w:val="both"/>
        <w:rPr>
          <w:rFonts w:ascii="Book Antiqua" w:hAnsi="Book Antiqua"/>
          <w:b/>
          <w:i/>
          <w:sz w:val="24"/>
          <w:szCs w:val="24"/>
        </w:rPr>
      </w:pPr>
      <w:r w:rsidRPr="00EA6265">
        <w:rPr>
          <w:rFonts w:ascii="Book Antiqua" w:hAnsi="Book Antiqua"/>
          <w:b/>
          <w:i/>
          <w:sz w:val="24"/>
          <w:szCs w:val="24"/>
        </w:rPr>
        <w:t>Clinical diagnosis</w:t>
      </w:r>
    </w:p>
    <w:p w14:paraId="5F9E67B0" w14:textId="177C6C9C" w:rsidR="00F45BBF" w:rsidRPr="00B12757" w:rsidRDefault="00652F78" w:rsidP="008234B5">
      <w:pPr>
        <w:spacing w:line="360" w:lineRule="auto"/>
        <w:jc w:val="both"/>
        <w:rPr>
          <w:rFonts w:ascii="Book Antiqua" w:hAnsi="Book Antiqua"/>
          <w:sz w:val="24"/>
          <w:szCs w:val="24"/>
        </w:rPr>
      </w:pPr>
      <w:r w:rsidRPr="00B12757">
        <w:rPr>
          <w:rFonts w:ascii="Book Antiqua" w:hAnsi="Book Antiqua"/>
          <w:sz w:val="24"/>
          <w:szCs w:val="24"/>
        </w:rPr>
        <w:t>Endoscopies demonstrated numerous arteriovenous malformations in the esophagus, stomach, duodenum, and jejunum. The majority of the lesions were located in the proximal small bowel where active bleeding was frequently seen.</w:t>
      </w:r>
    </w:p>
    <w:p w14:paraId="6CCF876B" w14:textId="5F73CB20" w:rsidR="00652F78" w:rsidRPr="00B12757" w:rsidRDefault="00652F78" w:rsidP="008234B5">
      <w:pPr>
        <w:spacing w:line="360" w:lineRule="auto"/>
        <w:jc w:val="both"/>
        <w:rPr>
          <w:rFonts w:ascii="Book Antiqua" w:hAnsi="Book Antiqua"/>
          <w:sz w:val="24"/>
          <w:szCs w:val="24"/>
        </w:rPr>
      </w:pPr>
    </w:p>
    <w:p w14:paraId="78446403" w14:textId="057340BB" w:rsidR="00652F78" w:rsidRPr="00EA6265" w:rsidRDefault="00652F78" w:rsidP="008234B5">
      <w:pPr>
        <w:spacing w:line="360" w:lineRule="auto"/>
        <w:jc w:val="both"/>
        <w:rPr>
          <w:rFonts w:ascii="Book Antiqua" w:hAnsi="Book Antiqua"/>
          <w:b/>
          <w:i/>
          <w:sz w:val="24"/>
          <w:szCs w:val="24"/>
        </w:rPr>
      </w:pPr>
      <w:r w:rsidRPr="00EA6265">
        <w:rPr>
          <w:rFonts w:ascii="Book Antiqua" w:hAnsi="Book Antiqua"/>
          <w:b/>
          <w:i/>
          <w:sz w:val="24"/>
          <w:szCs w:val="24"/>
        </w:rPr>
        <w:t>Differential diagnosis</w:t>
      </w:r>
    </w:p>
    <w:p w14:paraId="3186E75A" w14:textId="37119A30" w:rsidR="00652F78" w:rsidRPr="00EA6265" w:rsidRDefault="00135C92" w:rsidP="008234B5">
      <w:pPr>
        <w:spacing w:line="360" w:lineRule="auto"/>
        <w:jc w:val="both"/>
        <w:rPr>
          <w:rFonts w:ascii="Book Antiqua" w:eastAsia="宋体" w:hAnsi="Book Antiqua"/>
          <w:sz w:val="24"/>
          <w:szCs w:val="24"/>
          <w:lang w:eastAsia="zh-CN"/>
        </w:rPr>
      </w:pPr>
      <w:r w:rsidRPr="00B12757">
        <w:rPr>
          <w:rFonts w:ascii="Book Antiqua" w:hAnsi="Book Antiqua"/>
          <w:sz w:val="24"/>
          <w:szCs w:val="24"/>
        </w:rPr>
        <w:t xml:space="preserve">Vascular lesions of GI tract: </w:t>
      </w:r>
      <w:proofErr w:type="spellStart"/>
      <w:r w:rsidRPr="00B12757">
        <w:rPr>
          <w:rFonts w:ascii="Book Antiqua" w:hAnsi="Book Antiqua"/>
          <w:sz w:val="24"/>
          <w:szCs w:val="24"/>
        </w:rPr>
        <w:t>angiodysplasia</w:t>
      </w:r>
      <w:proofErr w:type="spellEnd"/>
      <w:r w:rsidRPr="00B12757">
        <w:rPr>
          <w:rFonts w:ascii="Book Antiqua" w:hAnsi="Book Antiqua"/>
          <w:sz w:val="24"/>
          <w:szCs w:val="24"/>
        </w:rPr>
        <w:t xml:space="preserve"> (sporadic, end-stage renal disease, aortic stenosis, von </w:t>
      </w:r>
      <w:proofErr w:type="spellStart"/>
      <w:r w:rsidRPr="00B12757">
        <w:rPr>
          <w:rFonts w:ascii="Book Antiqua" w:hAnsi="Book Antiqua"/>
          <w:sz w:val="24"/>
          <w:szCs w:val="24"/>
        </w:rPr>
        <w:t>Willebrand</w:t>
      </w:r>
      <w:proofErr w:type="spellEnd"/>
      <w:r w:rsidRPr="00B12757">
        <w:rPr>
          <w:rFonts w:ascii="Book Antiqua" w:hAnsi="Book Antiqua"/>
          <w:sz w:val="24"/>
          <w:szCs w:val="24"/>
        </w:rPr>
        <w:t xml:space="preserve"> disease, left ventricular assist device), systemic disease (CREST, </w:t>
      </w:r>
      <w:r w:rsidR="00E3295F" w:rsidRPr="00B12757">
        <w:rPr>
          <w:rFonts w:ascii="Book Antiqua" w:hAnsi="Book Antiqua"/>
          <w:sz w:val="24"/>
          <w:szCs w:val="24"/>
        </w:rPr>
        <w:t>HHT</w:t>
      </w:r>
      <w:r w:rsidRPr="00B12757">
        <w:rPr>
          <w:rFonts w:ascii="Book Antiqua" w:hAnsi="Book Antiqua"/>
          <w:sz w:val="24"/>
          <w:szCs w:val="24"/>
        </w:rPr>
        <w:t>)</w:t>
      </w:r>
      <w:r w:rsidR="00EA6265">
        <w:rPr>
          <w:rFonts w:ascii="Book Antiqua" w:eastAsia="宋体" w:hAnsi="Book Antiqua" w:hint="eastAsia"/>
          <w:sz w:val="24"/>
          <w:szCs w:val="24"/>
          <w:lang w:eastAsia="zh-CN"/>
        </w:rPr>
        <w:t>.</w:t>
      </w:r>
    </w:p>
    <w:p w14:paraId="0E3DCC33" w14:textId="42A58C96" w:rsidR="000215F1" w:rsidRPr="00EA6265" w:rsidRDefault="000215F1" w:rsidP="008234B5">
      <w:pPr>
        <w:spacing w:line="360" w:lineRule="auto"/>
        <w:jc w:val="both"/>
        <w:rPr>
          <w:rFonts w:ascii="Book Antiqua" w:hAnsi="Book Antiqua"/>
          <w:sz w:val="24"/>
          <w:szCs w:val="24"/>
        </w:rPr>
      </w:pPr>
    </w:p>
    <w:p w14:paraId="640F2B62" w14:textId="5A0C4BF5" w:rsidR="000215F1" w:rsidRPr="00EA6265" w:rsidRDefault="000215F1" w:rsidP="008234B5">
      <w:pPr>
        <w:spacing w:line="360" w:lineRule="auto"/>
        <w:jc w:val="both"/>
        <w:rPr>
          <w:rFonts w:ascii="Book Antiqua" w:hAnsi="Book Antiqua"/>
          <w:b/>
          <w:i/>
          <w:sz w:val="24"/>
          <w:szCs w:val="24"/>
        </w:rPr>
      </w:pPr>
      <w:r w:rsidRPr="00EA6265">
        <w:rPr>
          <w:rFonts w:ascii="Book Antiqua" w:hAnsi="Book Antiqua"/>
          <w:b/>
          <w:i/>
          <w:sz w:val="24"/>
          <w:szCs w:val="24"/>
        </w:rPr>
        <w:t>Laboratory diagnosis</w:t>
      </w:r>
    </w:p>
    <w:p w14:paraId="24CACBA6" w14:textId="1CDC3FF3" w:rsidR="000215F1" w:rsidRPr="00B12757" w:rsidRDefault="000215F1" w:rsidP="008234B5">
      <w:pPr>
        <w:spacing w:line="360" w:lineRule="auto"/>
        <w:jc w:val="both"/>
        <w:rPr>
          <w:rFonts w:ascii="Book Antiqua" w:hAnsi="Book Antiqua"/>
          <w:sz w:val="24"/>
          <w:szCs w:val="24"/>
        </w:rPr>
      </w:pPr>
      <w:r w:rsidRPr="00B12757">
        <w:rPr>
          <w:rFonts w:ascii="Book Antiqua" w:hAnsi="Book Antiqua"/>
          <w:sz w:val="24"/>
          <w:szCs w:val="24"/>
        </w:rPr>
        <w:t>Biochemical investigations include</w:t>
      </w:r>
      <w:r w:rsidR="009024A0">
        <w:rPr>
          <w:rFonts w:ascii="Book Antiqua" w:hAnsi="Book Antiqua"/>
          <w:sz w:val="24"/>
          <w:szCs w:val="24"/>
        </w:rPr>
        <w:t>d</w:t>
      </w:r>
      <w:r w:rsidRPr="00B12757">
        <w:rPr>
          <w:rFonts w:ascii="Book Antiqua" w:hAnsi="Book Antiqua"/>
          <w:sz w:val="24"/>
          <w:szCs w:val="24"/>
        </w:rPr>
        <w:t xml:space="preserve"> normal renal function, thyroid stimulating hormone, </w:t>
      </w:r>
      <w:proofErr w:type="spellStart"/>
      <w:r w:rsidRPr="00B12757">
        <w:rPr>
          <w:rFonts w:ascii="Book Antiqua" w:hAnsi="Book Antiqua"/>
          <w:sz w:val="24"/>
          <w:szCs w:val="24"/>
        </w:rPr>
        <w:t>haptoglobin</w:t>
      </w:r>
      <w:proofErr w:type="spellEnd"/>
      <w:r w:rsidRPr="00B12757">
        <w:rPr>
          <w:rFonts w:ascii="Book Antiqua" w:hAnsi="Book Antiqua"/>
          <w:sz w:val="24"/>
          <w:szCs w:val="24"/>
        </w:rPr>
        <w:t xml:space="preserve">, bilirubin, lactate dehydrogenase, direct agglutination testing, serum protein electrophoresis, serum free light chain, </w:t>
      </w:r>
      <w:r w:rsidR="00057BBC" w:rsidRPr="00B12757">
        <w:rPr>
          <w:rFonts w:ascii="Book Antiqua" w:hAnsi="Book Antiqua"/>
          <w:sz w:val="24"/>
          <w:szCs w:val="24"/>
        </w:rPr>
        <w:t xml:space="preserve">urine protein electrophoresis, and von </w:t>
      </w:r>
      <w:proofErr w:type="spellStart"/>
      <w:r w:rsidR="00057BBC" w:rsidRPr="00B12757">
        <w:rPr>
          <w:rFonts w:ascii="Book Antiqua" w:hAnsi="Book Antiqua"/>
          <w:sz w:val="24"/>
          <w:szCs w:val="24"/>
        </w:rPr>
        <w:t>Willebrand</w:t>
      </w:r>
      <w:proofErr w:type="spellEnd"/>
      <w:r w:rsidR="00057BBC" w:rsidRPr="00B12757">
        <w:rPr>
          <w:rFonts w:ascii="Book Antiqua" w:hAnsi="Book Antiqua"/>
          <w:sz w:val="24"/>
          <w:szCs w:val="24"/>
        </w:rPr>
        <w:t xml:space="preserve"> factor studies. Pre-</w:t>
      </w:r>
      <w:r w:rsidR="00896A9D" w:rsidRPr="00B12757">
        <w:rPr>
          <w:rFonts w:ascii="Book Antiqua" w:hAnsi="Book Antiqua"/>
          <w:sz w:val="24"/>
          <w:szCs w:val="24"/>
        </w:rPr>
        <w:t>bevacizumab</w:t>
      </w:r>
      <w:r w:rsidR="00057BBC" w:rsidRPr="00B12757">
        <w:rPr>
          <w:rFonts w:ascii="Book Antiqua" w:hAnsi="Book Antiqua"/>
          <w:sz w:val="24"/>
          <w:szCs w:val="24"/>
        </w:rPr>
        <w:t xml:space="preserve"> mean hemoglobin was 57.2 ± 5.8 </w:t>
      </w:r>
      <w:r w:rsidR="00896A9D" w:rsidRPr="00B12757">
        <w:rPr>
          <w:rFonts w:ascii="Book Antiqua" w:hAnsi="Book Antiqua"/>
          <w:sz w:val="24"/>
          <w:szCs w:val="24"/>
        </w:rPr>
        <w:t>g/</w:t>
      </w:r>
      <w:proofErr w:type="spellStart"/>
      <w:r w:rsidR="00896A9D" w:rsidRPr="00B12757">
        <w:rPr>
          <w:rFonts w:ascii="Book Antiqua" w:hAnsi="Book Antiqua"/>
          <w:sz w:val="24"/>
          <w:szCs w:val="24"/>
        </w:rPr>
        <w:t>dL</w:t>
      </w:r>
      <w:proofErr w:type="spellEnd"/>
      <w:r w:rsidR="00896A9D" w:rsidRPr="00B12757">
        <w:rPr>
          <w:rFonts w:ascii="Book Antiqua" w:hAnsi="Book Antiqua"/>
          <w:sz w:val="24"/>
          <w:szCs w:val="24"/>
        </w:rPr>
        <w:t>. Post-bevacizumab hemoglobin was 103.4 ± 8.3 g/</w:t>
      </w:r>
      <w:proofErr w:type="spellStart"/>
      <w:r w:rsidR="00896A9D" w:rsidRPr="00B12757">
        <w:rPr>
          <w:rFonts w:ascii="Book Antiqua" w:hAnsi="Book Antiqua"/>
          <w:sz w:val="24"/>
          <w:szCs w:val="24"/>
        </w:rPr>
        <w:t>dL</w:t>
      </w:r>
      <w:proofErr w:type="spellEnd"/>
      <w:r w:rsidR="00896A9D" w:rsidRPr="00B12757">
        <w:rPr>
          <w:rFonts w:ascii="Book Antiqua" w:hAnsi="Book Antiqua"/>
          <w:sz w:val="24"/>
          <w:szCs w:val="24"/>
        </w:rPr>
        <w:t>.</w:t>
      </w:r>
    </w:p>
    <w:p w14:paraId="4C221D4E" w14:textId="167441DC" w:rsidR="00896A9D" w:rsidRPr="00B12757" w:rsidRDefault="00896A9D" w:rsidP="008234B5">
      <w:pPr>
        <w:spacing w:line="360" w:lineRule="auto"/>
        <w:jc w:val="both"/>
        <w:rPr>
          <w:rFonts w:ascii="Book Antiqua" w:hAnsi="Book Antiqua"/>
          <w:sz w:val="24"/>
          <w:szCs w:val="24"/>
        </w:rPr>
      </w:pPr>
    </w:p>
    <w:p w14:paraId="050F50B8" w14:textId="51863D9A" w:rsidR="00896A9D" w:rsidRPr="00EA6265" w:rsidRDefault="00896A9D" w:rsidP="008234B5">
      <w:pPr>
        <w:spacing w:line="360" w:lineRule="auto"/>
        <w:jc w:val="both"/>
        <w:rPr>
          <w:rFonts w:ascii="Book Antiqua" w:hAnsi="Book Antiqua"/>
          <w:b/>
          <w:i/>
          <w:sz w:val="24"/>
          <w:szCs w:val="24"/>
        </w:rPr>
      </w:pPr>
      <w:r w:rsidRPr="00EA6265">
        <w:rPr>
          <w:rFonts w:ascii="Book Antiqua" w:hAnsi="Book Antiqua"/>
          <w:b/>
          <w:i/>
          <w:sz w:val="24"/>
          <w:szCs w:val="24"/>
        </w:rPr>
        <w:t>Imaging diagnosis</w:t>
      </w:r>
    </w:p>
    <w:p w14:paraId="25F62339" w14:textId="69587F64" w:rsidR="00896A9D" w:rsidRPr="00B12757" w:rsidRDefault="00896A9D" w:rsidP="008234B5">
      <w:pPr>
        <w:spacing w:line="360" w:lineRule="auto"/>
        <w:jc w:val="both"/>
        <w:rPr>
          <w:rFonts w:ascii="Book Antiqua" w:hAnsi="Book Antiqua"/>
          <w:sz w:val="24"/>
          <w:szCs w:val="24"/>
        </w:rPr>
      </w:pPr>
      <w:r w:rsidRPr="00B12757">
        <w:rPr>
          <w:rFonts w:ascii="Book Antiqua" w:hAnsi="Book Antiqua"/>
          <w:sz w:val="24"/>
          <w:szCs w:val="24"/>
        </w:rPr>
        <w:t xml:space="preserve">Mesenteric angiography did not identify suitable arteriovenous malformation that </w:t>
      </w:r>
      <w:r w:rsidR="00957378" w:rsidRPr="00B12757">
        <w:rPr>
          <w:rFonts w:ascii="Book Antiqua" w:hAnsi="Book Antiqua"/>
          <w:sz w:val="24"/>
          <w:szCs w:val="24"/>
        </w:rPr>
        <w:t>was</w:t>
      </w:r>
      <w:r w:rsidRPr="00B12757">
        <w:rPr>
          <w:rFonts w:ascii="Book Antiqua" w:hAnsi="Book Antiqua"/>
          <w:sz w:val="24"/>
          <w:szCs w:val="24"/>
        </w:rPr>
        <w:t xml:space="preserve"> amenable to treatment by </w:t>
      </w:r>
      <w:proofErr w:type="spellStart"/>
      <w:r w:rsidRPr="00B12757">
        <w:rPr>
          <w:rFonts w:ascii="Book Antiqua" w:hAnsi="Book Antiqua"/>
          <w:sz w:val="24"/>
          <w:szCs w:val="24"/>
        </w:rPr>
        <w:t>embolizing</w:t>
      </w:r>
      <w:proofErr w:type="spellEnd"/>
      <w:r w:rsidRPr="00B12757">
        <w:rPr>
          <w:rFonts w:ascii="Book Antiqua" w:hAnsi="Book Antiqua"/>
          <w:sz w:val="24"/>
          <w:szCs w:val="24"/>
        </w:rPr>
        <w:t xml:space="preserve"> the gastroduodenal artery.</w:t>
      </w:r>
    </w:p>
    <w:p w14:paraId="0E6DA2C1" w14:textId="0F429575" w:rsidR="00957378" w:rsidRPr="00B12757" w:rsidRDefault="00957378" w:rsidP="008234B5">
      <w:pPr>
        <w:spacing w:line="360" w:lineRule="auto"/>
        <w:jc w:val="both"/>
        <w:rPr>
          <w:rFonts w:ascii="Book Antiqua" w:hAnsi="Book Antiqua"/>
          <w:sz w:val="24"/>
          <w:szCs w:val="24"/>
        </w:rPr>
      </w:pPr>
    </w:p>
    <w:p w14:paraId="086C56EA" w14:textId="4ABA7A30" w:rsidR="00957378" w:rsidRPr="00EA6265" w:rsidRDefault="00957378" w:rsidP="008234B5">
      <w:pPr>
        <w:spacing w:line="360" w:lineRule="auto"/>
        <w:jc w:val="both"/>
        <w:rPr>
          <w:rFonts w:ascii="Book Antiqua" w:hAnsi="Book Antiqua"/>
          <w:b/>
          <w:i/>
          <w:sz w:val="24"/>
          <w:szCs w:val="24"/>
        </w:rPr>
      </w:pPr>
      <w:r w:rsidRPr="00EA6265">
        <w:rPr>
          <w:rFonts w:ascii="Book Antiqua" w:hAnsi="Book Antiqua"/>
          <w:b/>
          <w:i/>
          <w:sz w:val="24"/>
          <w:szCs w:val="24"/>
        </w:rPr>
        <w:t>Treatment</w:t>
      </w:r>
    </w:p>
    <w:p w14:paraId="6EEE546F" w14:textId="49209B6E" w:rsidR="00957378" w:rsidRPr="00B12757" w:rsidRDefault="00957378" w:rsidP="008234B5">
      <w:pPr>
        <w:spacing w:line="360" w:lineRule="auto"/>
        <w:jc w:val="both"/>
        <w:rPr>
          <w:rFonts w:ascii="Book Antiqua" w:hAnsi="Book Antiqua"/>
          <w:sz w:val="24"/>
          <w:szCs w:val="24"/>
        </w:rPr>
      </w:pPr>
      <w:proofErr w:type="gramStart"/>
      <w:r w:rsidRPr="00B12757">
        <w:rPr>
          <w:rFonts w:ascii="Book Antiqua" w:hAnsi="Book Antiqua"/>
          <w:sz w:val="24"/>
          <w:szCs w:val="24"/>
        </w:rPr>
        <w:t xml:space="preserve">Bevacizumab 5mg/kg infusion </w:t>
      </w:r>
      <w:r w:rsidR="00706B2B">
        <w:rPr>
          <w:rFonts w:ascii="Book Antiqua" w:hAnsi="Book Antiqua"/>
          <w:sz w:val="24"/>
          <w:szCs w:val="24"/>
        </w:rPr>
        <w:t xml:space="preserve">every other </w:t>
      </w:r>
      <w:r w:rsidRPr="00B12757">
        <w:rPr>
          <w:rFonts w:ascii="Book Antiqua" w:hAnsi="Book Antiqua"/>
          <w:sz w:val="24"/>
          <w:szCs w:val="24"/>
        </w:rPr>
        <w:t>week.</w:t>
      </w:r>
      <w:proofErr w:type="gramEnd"/>
    </w:p>
    <w:p w14:paraId="1678828F" w14:textId="283569F6" w:rsidR="00E3295F" w:rsidRPr="00B12757" w:rsidRDefault="00E3295F" w:rsidP="008234B5">
      <w:pPr>
        <w:spacing w:line="360" w:lineRule="auto"/>
        <w:jc w:val="both"/>
        <w:rPr>
          <w:rFonts w:ascii="Book Antiqua" w:hAnsi="Book Antiqua"/>
          <w:sz w:val="24"/>
          <w:szCs w:val="24"/>
        </w:rPr>
      </w:pPr>
    </w:p>
    <w:p w14:paraId="242EDD2F" w14:textId="6323505A" w:rsidR="00E3295F" w:rsidRPr="00EA6265" w:rsidRDefault="00E3295F" w:rsidP="008234B5">
      <w:pPr>
        <w:spacing w:line="360" w:lineRule="auto"/>
        <w:jc w:val="both"/>
        <w:rPr>
          <w:rFonts w:ascii="Book Antiqua" w:hAnsi="Book Antiqua"/>
          <w:b/>
          <w:i/>
          <w:sz w:val="24"/>
          <w:szCs w:val="24"/>
        </w:rPr>
      </w:pPr>
      <w:r w:rsidRPr="00EA6265">
        <w:rPr>
          <w:rFonts w:ascii="Book Antiqua" w:hAnsi="Book Antiqua"/>
          <w:b/>
          <w:i/>
          <w:sz w:val="24"/>
          <w:szCs w:val="24"/>
        </w:rPr>
        <w:t>Related reports</w:t>
      </w:r>
    </w:p>
    <w:p w14:paraId="5CCE864D" w14:textId="152485BE" w:rsidR="00E3295F" w:rsidRPr="00B12757" w:rsidRDefault="00E3295F" w:rsidP="008234B5">
      <w:pPr>
        <w:spacing w:line="360" w:lineRule="auto"/>
        <w:jc w:val="both"/>
        <w:rPr>
          <w:rFonts w:ascii="Book Antiqua" w:hAnsi="Book Antiqua"/>
          <w:sz w:val="24"/>
          <w:szCs w:val="24"/>
        </w:rPr>
      </w:pPr>
      <w:r w:rsidRPr="00B12757">
        <w:rPr>
          <w:rFonts w:ascii="Book Antiqua" w:hAnsi="Book Antiqua"/>
          <w:sz w:val="24"/>
          <w:szCs w:val="24"/>
        </w:rPr>
        <w:t xml:space="preserve">There is growing evidence in the literature on bevacizumab’s efficacy in treating recurrent epistaxis </w:t>
      </w:r>
      <w:r w:rsidR="009C2E6B" w:rsidRPr="00B12757">
        <w:rPr>
          <w:rFonts w:ascii="Book Antiqua" w:hAnsi="Book Antiqua"/>
          <w:sz w:val="24"/>
          <w:szCs w:val="24"/>
        </w:rPr>
        <w:t xml:space="preserve">due to </w:t>
      </w:r>
      <w:r w:rsidRPr="00B12757">
        <w:rPr>
          <w:rFonts w:ascii="Book Antiqua" w:hAnsi="Book Antiqua"/>
          <w:sz w:val="24"/>
          <w:szCs w:val="24"/>
        </w:rPr>
        <w:t>HHT, but relatively few reports exist for</w:t>
      </w:r>
      <w:r w:rsidR="00706B2B">
        <w:rPr>
          <w:rFonts w:ascii="Book Antiqua" w:hAnsi="Book Antiqua"/>
          <w:sz w:val="24"/>
          <w:szCs w:val="24"/>
        </w:rPr>
        <w:t xml:space="preserve"> the</w:t>
      </w:r>
      <w:r w:rsidRPr="00B12757">
        <w:rPr>
          <w:rFonts w:ascii="Book Antiqua" w:hAnsi="Book Antiqua"/>
          <w:sz w:val="24"/>
          <w:szCs w:val="24"/>
        </w:rPr>
        <w:t xml:space="preserve"> management of severe, chronic, refractory GI bleeding.</w:t>
      </w:r>
      <w:r w:rsidR="00BC6978" w:rsidRPr="00B12757">
        <w:rPr>
          <w:rFonts w:ascii="Book Antiqua" w:hAnsi="Book Antiqua"/>
          <w:sz w:val="24"/>
          <w:szCs w:val="24"/>
        </w:rPr>
        <w:t xml:space="preserve"> This case highlights the </w:t>
      </w:r>
      <w:r w:rsidR="009C2E6B" w:rsidRPr="00B12757">
        <w:rPr>
          <w:rFonts w:ascii="Book Antiqua" w:hAnsi="Book Antiqua"/>
          <w:sz w:val="24"/>
          <w:szCs w:val="24"/>
        </w:rPr>
        <w:t xml:space="preserve">potential </w:t>
      </w:r>
      <w:r w:rsidR="00BC6978" w:rsidRPr="00B12757">
        <w:rPr>
          <w:rFonts w:ascii="Book Antiqua" w:hAnsi="Book Antiqua"/>
          <w:sz w:val="24"/>
          <w:szCs w:val="24"/>
        </w:rPr>
        <w:t>utility of bevacizu</w:t>
      </w:r>
      <w:r w:rsidR="009C2E6B" w:rsidRPr="00B12757">
        <w:rPr>
          <w:rFonts w:ascii="Book Antiqua" w:hAnsi="Book Antiqua"/>
          <w:sz w:val="24"/>
          <w:szCs w:val="24"/>
        </w:rPr>
        <w:t>mab for such management.</w:t>
      </w:r>
    </w:p>
    <w:p w14:paraId="34D42BC0" w14:textId="6B60AE1D" w:rsidR="009C2E6B" w:rsidRPr="00B12757" w:rsidRDefault="009C2E6B" w:rsidP="008234B5">
      <w:pPr>
        <w:spacing w:line="360" w:lineRule="auto"/>
        <w:jc w:val="both"/>
        <w:rPr>
          <w:rFonts w:ascii="Book Antiqua" w:hAnsi="Book Antiqua"/>
          <w:sz w:val="24"/>
          <w:szCs w:val="24"/>
        </w:rPr>
      </w:pPr>
    </w:p>
    <w:p w14:paraId="7704818C" w14:textId="49386746" w:rsidR="009C2E6B" w:rsidRPr="00EA6265" w:rsidRDefault="009C2E6B" w:rsidP="008234B5">
      <w:pPr>
        <w:spacing w:line="360" w:lineRule="auto"/>
        <w:jc w:val="both"/>
        <w:rPr>
          <w:rFonts w:ascii="Book Antiqua" w:hAnsi="Book Antiqua"/>
          <w:b/>
          <w:i/>
          <w:sz w:val="24"/>
          <w:szCs w:val="24"/>
        </w:rPr>
      </w:pPr>
      <w:r w:rsidRPr="00EA6265">
        <w:rPr>
          <w:rFonts w:ascii="Book Antiqua" w:hAnsi="Book Antiqua"/>
          <w:b/>
          <w:i/>
          <w:sz w:val="24"/>
          <w:szCs w:val="24"/>
        </w:rPr>
        <w:t>Term explanation</w:t>
      </w:r>
    </w:p>
    <w:p w14:paraId="13DEC6EB" w14:textId="5A2FCE2D" w:rsidR="009C2E6B" w:rsidRPr="00B12757" w:rsidRDefault="009C2E6B" w:rsidP="008234B5">
      <w:pPr>
        <w:spacing w:line="360" w:lineRule="auto"/>
        <w:jc w:val="both"/>
        <w:rPr>
          <w:rFonts w:ascii="Book Antiqua" w:hAnsi="Book Antiqua"/>
          <w:sz w:val="24"/>
          <w:szCs w:val="24"/>
        </w:rPr>
      </w:pPr>
      <w:r w:rsidRPr="00B12757">
        <w:rPr>
          <w:rFonts w:ascii="Book Antiqua" w:hAnsi="Book Antiqua"/>
          <w:sz w:val="24"/>
          <w:szCs w:val="24"/>
        </w:rPr>
        <w:t xml:space="preserve">HHT is an autosomal dominant condition characterized by vascular malformations that can occur anywhere in the body, leading to various presentations including epistaxis, GI bleeding, high cardiac output failure, and hypoxemia. </w:t>
      </w:r>
    </w:p>
    <w:p w14:paraId="7EFB021E" w14:textId="77777777" w:rsidR="00957378" w:rsidRPr="00B12757" w:rsidRDefault="00957378" w:rsidP="008234B5">
      <w:pPr>
        <w:spacing w:line="360" w:lineRule="auto"/>
        <w:jc w:val="both"/>
        <w:rPr>
          <w:rFonts w:ascii="Book Antiqua" w:hAnsi="Book Antiqua"/>
          <w:sz w:val="24"/>
          <w:szCs w:val="24"/>
        </w:rPr>
      </w:pPr>
    </w:p>
    <w:p w14:paraId="58761E67" w14:textId="6EB1ADA8" w:rsidR="00652F78" w:rsidRPr="00EA6265" w:rsidRDefault="009C2E6B" w:rsidP="008234B5">
      <w:pPr>
        <w:spacing w:line="360" w:lineRule="auto"/>
        <w:jc w:val="both"/>
        <w:rPr>
          <w:rFonts w:ascii="Book Antiqua" w:hAnsi="Book Antiqua"/>
          <w:b/>
          <w:i/>
          <w:sz w:val="24"/>
          <w:szCs w:val="24"/>
        </w:rPr>
      </w:pPr>
      <w:r w:rsidRPr="00EA6265">
        <w:rPr>
          <w:rFonts w:ascii="Book Antiqua" w:hAnsi="Book Antiqua"/>
          <w:b/>
          <w:i/>
          <w:sz w:val="24"/>
          <w:szCs w:val="24"/>
        </w:rPr>
        <w:t>Experiences and lessons</w:t>
      </w:r>
    </w:p>
    <w:p w14:paraId="315FE963" w14:textId="1C56F5B6" w:rsidR="009C2E6B" w:rsidRDefault="009C2E6B" w:rsidP="008234B5">
      <w:pPr>
        <w:spacing w:line="360" w:lineRule="auto"/>
        <w:jc w:val="both"/>
        <w:rPr>
          <w:rFonts w:ascii="Book Antiqua" w:eastAsia="宋体" w:hAnsi="Book Antiqua"/>
          <w:sz w:val="24"/>
          <w:szCs w:val="24"/>
          <w:lang w:eastAsia="zh-CN"/>
        </w:rPr>
      </w:pPr>
      <w:r w:rsidRPr="00B12757">
        <w:rPr>
          <w:rFonts w:ascii="Book Antiqua" w:hAnsi="Book Antiqua"/>
          <w:sz w:val="24"/>
          <w:szCs w:val="24"/>
        </w:rPr>
        <w:t>Earlier administration of bevacizumab should be considered in patients with severe, refractory GI bleeding despite its relatively high cost given the potential benefit.</w:t>
      </w:r>
    </w:p>
    <w:p w14:paraId="3954F9D5" w14:textId="77777777" w:rsidR="00EA6265" w:rsidRDefault="00EA6265" w:rsidP="008234B5">
      <w:pPr>
        <w:spacing w:line="360" w:lineRule="auto"/>
        <w:jc w:val="both"/>
        <w:rPr>
          <w:rFonts w:ascii="Book Antiqua" w:eastAsia="宋体" w:hAnsi="Book Antiqua"/>
          <w:sz w:val="24"/>
          <w:szCs w:val="24"/>
          <w:lang w:eastAsia="zh-CN"/>
        </w:rPr>
      </w:pPr>
    </w:p>
    <w:p w14:paraId="0C01246B" w14:textId="22DECDA7" w:rsidR="00EA6265" w:rsidRPr="00EA6265" w:rsidRDefault="00EA6265" w:rsidP="008234B5">
      <w:pPr>
        <w:spacing w:line="360" w:lineRule="auto"/>
        <w:jc w:val="both"/>
        <w:rPr>
          <w:rFonts w:ascii="Book Antiqua" w:eastAsia="宋体" w:hAnsi="Book Antiqua"/>
          <w:b/>
          <w:i/>
          <w:sz w:val="24"/>
          <w:szCs w:val="24"/>
          <w:lang w:eastAsia="zh-CN"/>
        </w:rPr>
      </w:pPr>
      <w:r w:rsidRPr="00EA6265">
        <w:rPr>
          <w:rFonts w:ascii="Book Antiqua" w:eastAsia="宋体" w:hAnsi="Book Antiqua" w:hint="eastAsia"/>
          <w:b/>
          <w:i/>
          <w:sz w:val="24"/>
          <w:szCs w:val="24"/>
          <w:lang w:eastAsia="zh-CN"/>
        </w:rPr>
        <w:t>Peer-review</w:t>
      </w:r>
    </w:p>
    <w:p w14:paraId="3538E440" w14:textId="78A52B7A" w:rsidR="00A75BDA" w:rsidRPr="00EA6265" w:rsidRDefault="00EA6265" w:rsidP="008234B5">
      <w:pPr>
        <w:spacing w:line="360" w:lineRule="auto"/>
        <w:jc w:val="both"/>
        <w:rPr>
          <w:rFonts w:ascii="Book Antiqua" w:eastAsia="宋体" w:hAnsi="Book Antiqua"/>
          <w:sz w:val="24"/>
          <w:szCs w:val="24"/>
          <w:lang w:eastAsia="zh-CN"/>
        </w:rPr>
      </w:pPr>
      <w:r w:rsidRPr="00EA6265">
        <w:rPr>
          <w:rFonts w:ascii="Book Antiqua" w:hAnsi="Book Antiqua"/>
          <w:sz w:val="24"/>
          <w:szCs w:val="24"/>
        </w:rPr>
        <w:t>This is a pretty straightforward case report</w:t>
      </w:r>
      <w:r>
        <w:rPr>
          <w:rFonts w:ascii="Book Antiqua" w:eastAsia="宋体" w:hAnsi="Book Antiqua" w:hint="eastAsia"/>
          <w:sz w:val="24"/>
          <w:szCs w:val="24"/>
          <w:lang w:eastAsia="zh-CN"/>
        </w:rPr>
        <w:t>.</w:t>
      </w:r>
      <w:r w:rsidRPr="00EA6265">
        <w:rPr>
          <w:rFonts w:ascii="Book Antiqua" w:hAnsi="Book Antiqua"/>
          <w:sz w:val="24"/>
          <w:szCs w:val="24"/>
        </w:rPr>
        <w:t xml:space="preserve"> </w:t>
      </w:r>
    </w:p>
    <w:p w14:paraId="165964C0" w14:textId="7E7ADA09" w:rsidR="00A75BDA" w:rsidRPr="00B12757" w:rsidRDefault="00A75BDA" w:rsidP="008234B5">
      <w:pPr>
        <w:spacing w:line="360" w:lineRule="auto"/>
        <w:jc w:val="both"/>
        <w:rPr>
          <w:rFonts w:ascii="Book Antiqua" w:hAnsi="Book Antiqua"/>
          <w:sz w:val="24"/>
          <w:szCs w:val="24"/>
        </w:rPr>
      </w:pPr>
      <w:r w:rsidRPr="00B12757">
        <w:rPr>
          <w:rFonts w:ascii="Book Antiqua" w:hAnsi="Book Antiqua"/>
          <w:sz w:val="24"/>
          <w:szCs w:val="24"/>
        </w:rPr>
        <w:br w:type="page"/>
      </w:r>
    </w:p>
    <w:p w14:paraId="4EC5D1D4" w14:textId="121FF9B5" w:rsidR="00241FA5" w:rsidRDefault="00EA6265" w:rsidP="00B4141D">
      <w:pPr>
        <w:spacing w:line="360" w:lineRule="auto"/>
        <w:jc w:val="both"/>
        <w:rPr>
          <w:rFonts w:ascii="Book Antiqua" w:eastAsia="宋体" w:hAnsi="Book Antiqua"/>
          <w:sz w:val="24"/>
          <w:lang w:eastAsia="zh-CN"/>
        </w:rPr>
      </w:pPr>
      <w:r w:rsidRPr="00EA6265">
        <w:rPr>
          <w:rFonts w:ascii="Book Antiqua" w:hAnsi="Book Antiqua"/>
          <w:b/>
          <w:sz w:val="24"/>
          <w:szCs w:val="24"/>
        </w:rPr>
        <w:lastRenderedPageBreak/>
        <w:t>REFERENCES</w:t>
      </w:r>
    </w:p>
    <w:p w14:paraId="7FC0463D"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1 </w:t>
      </w:r>
      <w:proofErr w:type="spellStart"/>
      <w:r w:rsidRPr="00507CDB">
        <w:rPr>
          <w:rFonts w:ascii="Book Antiqua" w:eastAsia="宋体" w:hAnsi="Book Antiqua" w:cs="宋体"/>
          <w:b/>
          <w:bCs/>
          <w:sz w:val="24"/>
          <w:szCs w:val="24"/>
        </w:rPr>
        <w:t>Sadick</w:t>
      </w:r>
      <w:proofErr w:type="spellEnd"/>
      <w:r w:rsidRPr="00507CDB">
        <w:rPr>
          <w:rFonts w:ascii="Book Antiqua" w:eastAsia="宋体" w:hAnsi="Book Antiqua" w:cs="宋体"/>
          <w:b/>
          <w:bCs/>
          <w:sz w:val="24"/>
          <w:szCs w:val="24"/>
        </w:rPr>
        <w:t xml:space="preserve"> H</w:t>
      </w:r>
      <w:r w:rsidRPr="00507CDB">
        <w:rPr>
          <w:rFonts w:ascii="Book Antiqua" w:eastAsia="宋体" w:hAnsi="Book Antiqua" w:cs="宋体"/>
          <w:sz w:val="24"/>
          <w:szCs w:val="24"/>
        </w:rPr>
        <w:t xml:space="preserve">, Riedel F, </w:t>
      </w:r>
      <w:proofErr w:type="spellStart"/>
      <w:r w:rsidRPr="00507CDB">
        <w:rPr>
          <w:rFonts w:ascii="Book Antiqua" w:eastAsia="宋体" w:hAnsi="Book Antiqua" w:cs="宋体"/>
          <w:sz w:val="24"/>
          <w:szCs w:val="24"/>
        </w:rPr>
        <w:t>Naim</w:t>
      </w:r>
      <w:proofErr w:type="spellEnd"/>
      <w:r w:rsidRPr="00507CDB">
        <w:rPr>
          <w:rFonts w:ascii="Book Antiqua" w:eastAsia="宋体" w:hAnsi="Book Antiqua" w:cs="宋体"/>
          <w:sz w:val="24"/>
          <w:szCs w:val="24"/>
        </w:rPr>
        <w:t xml:space="preserve"> R, </w:t>
      </w:r>
      <w:proofErr w:type="spellStart"/>
      <w:r w:rsidRPr="00507CDB">
        <w:rPr>
          <w:rFonts w:ascii="Book Antiqua" w:eastAsia="宋体" w:hAnsi="Book Antiqua" w:cs="宋体"/>
          <w:sz w:val="24"/>
          <w:szCs w:val="24"/>
        </w:rPr>
        <w:t>Goessler</w:t>
      </w:r>
      <w:proofErr w:type="spellEnd"/>
      <w:r w:rsidRPr="00507CDB">
        <w:rPr>
          <w:rFonts w:ascii="Book Antiqua" w:eastAsia="宋体" w:hAnsi="Book Antiqua" w:cs="宋体"/>
          <w:sz w:val="24"/>
          <w:szCs w:val="24"/>
        </w:rPr>
        <w:t xml:space="preserve"> U, </w:t>
      </w:r>
      <w:proofErr w:type="spellStart"/>
      <w:r w:rsidRPr="00507CDB">
        <w:rPr>
          <w:rFonts w:ascii="Book Antiqua" w:eastAsia="宋体" w:hAnsi="Book Antiqua" w:cs="宋体"/>
          <w:sz w:val="24"/>
          <w:szCs w:val="24"/>
        </w:rPr>
        <w:t>Hörmann</w:t>
      </w:r>
      <w:proofErr w:type="spellEnd"/>
      <w:r w:rsidRPr="00507CDB">
        <w:rPr>
          <w:rFonts w:ascii="Book Antiqua" w:eastAsia="宋体" w:hAnsi="Book Antiqua" w:cs="宋体"/>
          <w:sz w:val="24"/>
          <w:szCs w:val="24"/>
        </w:rPr>
        <w:t xml:space="preserve"> K, </w:t>
      </w:r>
      <w:proofErr w:type="spellStart"/>
      <w:r w:rsidRPr="00507CDB">
        <w:rPr>
          <w:rFonts w:ascii="Book Antiqua" w:eastAsia="宋体" w:hAnsi="Book Antiqua" w:cs="宋体"/>
          <w:sz w:val="24"/>
          <w:szCs w:val="24"/>
        </w:rPr>
        <w:t>Hafner</w:t>
      </w:r>
      <w:proofErr w:type="spellEnd"/>
      <w:r w:rsidRPr="00507CDB">
        <w:rPr>
          <w:rFonts w:ascii="Book Antiqua" w:eastAsia="宋体" w:hAnsi="Book Antiqua" w:cs="宋体"/>
          <w:sz w:val="24"/>
          <w:szCs w:val="24"/>
        </w:rPr>
        <w:t xml:space="preserve"> M, Lux A. Patients with hereditary hemorrhagic telangiectasia have increased plasma levels of vascular endothelial growth factor and transforming growth factor-beta1 as well as high ALK1 tissue expression. </w:t>
      </w:r>
      <w:proofErr w:type="spellStart"/>
      <w:r w:rsidRPr="00507CDB">
        <w:rPr>
          <w:rFonts w:ascii="Book Antiqua" w:eastAsia="宋体" w:hAnsi="Book Antiqua" w:cs="宋体"/>
          <w:i/>
          <w:iCs/>
          <w:sz w:val="24"/>
          <w:szCs w:val="24"/>
        </w:rPr>
        <w:t>Haematologica</w:t>
      </w:r>
      <w:proofErr w:type="spellEnd"/>
      <w:r w:rsidRPr="00507CDB">
        <w:rPr>
          <w:rFonts w:ascii="Book Antiqua" w:eastAsia="宋体" w:hAnsi="Book Antiqua" w:cs="宋体"/>
          <w:sz w:val="24"/>
          <w:szCs w:val="24"/>
        </w:rPr>
        <w:t> 2005; </w:t>
      </w:r>
      <w:r w:rsidRPr="00507CDB">
        <w:rPr>
          <w:rFonts w:ascii="Book Antiqua" w:eastAsia="宋体" w:hAnsi="Book Antiqua" w:cs="宋体"/>
          <w:b/>
          <w:bCs/>
          <w:sz w:val="24"/>
          <w:szCs w:val="24"/>
        </w:rPr>
        <w:t>90</w:t>
      </w:r>
      <w:r w:rsidRPr="00507CDB">
        <w:rPr>
          <w:rFonts w:ascii="Book Antiqua" w:eastAsia="宋体" w:hAnsi="Book Antiqua" w:cs="宋体"/>
          <w:sz w:val="24"/>
          <w:szCs w:val="24"/>
        </w:rPr>
        <w:t>: 818-828 [PMID: 15951295]</w:t>
      </w:r>
    </w:p>
    <w:p w14:paraId="0E539104"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2 </w:t>
      </w:r>
      <w:r w:rsidRPr="00507CDB">
        <w:rPr>
          <w:rFonts w:ascii="Book Antiqua" w:eastAsia="宋体" w:hAnsi="Book Antiqua" w:cs="宋体"/>
          <w:b/>
          <w:bCs/>
          <w:sz w:val="24"/>
          <w:szCs w:val="24"/>
        </w:rPr>
        <w:t>Wee JW</w:t>
      </w:r>
      <w:r w:rsidRPr="00507CDB">
        <w:rPr>
          <w:rFonts w:ascii="Book Antiqua" w:eastAsia="宋体" w:hAnsi="Book Antiqua" w:cs="宋体"/>
          <w:sz w:val="24"/>
          <w:szCs w:val="24"/>
        </w:rPr>
        <w:t xml:space="preserve">, Jeon YW, </w:t>
      </w:r>
      <w:proofErr w:type="spellStart"/>
      <w:r w:rsidRPr="00507CDB">
        <w:rPr>
          <w:rFonts w:ascii="Book Antiqua" w:eastAsia="宋体" w:hAnsi="Book Antiqua" w:cs="宋体"/>
          <w:sz w:val="24"/>
          <w:szCs w:val="24"/>
        </w:rPr>
        <w:t>Eun</w:t>
      </w:r>
      <w:proofErr w:type="spellEnd"/>
      <w:r w:rsidRPr="00507CDB">
        <w:rPr>
          <w:rFonts w:ascii="Book Antiqua" w:eastAsia="宋体" w:hAnsi="Book Antiqua" w:cs="宋体"/>
          <w:sz w:val="24"/>
          <w:szCs w:val="24"/>
        </w:rPr>
        <w:t xml:space="preserve"> JY, Kim HJ, Bae SB, Lee KT. Hereditary hemorrhagic telangiectasia treated with low dose intravenous bevacizumab. </w:t>
      </w:r>
      <w:r w:rsidRPr="00507CDB">
        <w:rPr>
          <w:rFonts w:ascii="Book Antiqua" w:eastAsia="宋体" w:hAnsi="Book Antiqua" w:cs="宋体"/>
          <w:i/>
          <w:iCs/>
          <w:sz w:val="24"/>
          <w:szCs w:val="24"/>
        </w:rPr>
        <w:t>Blood Res</w:t>
      </w:r>
      <w:r w:rsidRPr="00507CDB">
        <w:rPr>
          <w:rFonts w:ascii="Book Antiqua" w:eastAsia="宋体" w:hAnsi="Book Antiqua" w:cs="宋体"/>
          <w:sz w:val="24"/>
          <w:szCs w:val="24"/>
        </w:rPr>
        <w:t> 2014; </w:t>
      </w:r>
      <w:r w:rsidRPr="00507CDB">
        <w:rPr>
          <w:rFonts w:ascii="Book Antiqua" w:eastAsia="宋体" w:hAnsi="Book Antiqua" w:cs="宋体"/>
          <w:b/>
          <w:bCs/>
          <w:sz w:val="24"/>
          <w:szCs w:val="24"/>
        </w:rPr>
        <w:t>49</w:t>
      </w:r>
      <w:r w:rsidRPr="00507CDB">
        <w:rPr>
          <w:rFonts w:ascii="Book Antiqua" w:eastAsia="宋体" w:hAnsi="Book Antiqua" w:cs="宋体"/>
          <w:sz w:val="24"/>
          <w:szCs w:val="24"/>
        </w:rPr>
        <w:t>: 192-195 [PMID: 25325040 DOI: 10.5045/br.2014.49.3.192]</w:t>
      </w:r>
    </w:p>
    <w:p w14:paraId="36EF0DDC"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3 </w:t>
      </w:r>
      <w:r w:rsidRPr="00507CDB">
        <w:rPr>
          <w:rFonts w:ascii="Book Antiqua" w:eastAsia="宋体" w:hAnsi="Book Antiqua" w:cs="宋体"/>
          <w:b/>
          <w:bCs/>
          <w:sz w:val="24"/>
          <w:szCs w:val="24"/>
        </w:rPr>
        <w:t>Thompson AB</w:t>
      </w:r>
      <w:r w:rsidRPr="00507CDB">
        <w:rPr>
          <w:rFonts w:ascii="Book Antiqua" w:eastAsia="宋体" w:hAnsi="Book Antiqua" w:cs="宋体"/>
          <w:sz w:val="24"/>
          <w:szCs w:val="24"/>
        </w:rPr>
        <w:t xml:space="preserve">, Ross DA, </w:t>
      </w:r>
      <w:proofErr w:type="spellStart"/>
      <w:r w:rsidRPr="00507CDB">
        <w:rPr>
          <w:rFonts w:ascii="Book Antiqua" w:eastAsia="宋体" w:hAnsi="Book Antiqua" w:cs="宋体"/>
          <w:sz w:val="24"/>
          <w:szCs w:val="24"/>
        </w:rPr>
        <w:t>Berard</w:t>
      </w:r>
      <w:proofErr w:type="spellEnd"/>
      <w:r w:rsidRPr="00507CDB">
        <w:rPr>
          <w:rFonts w:ascii="Book Antiqua" w:eastAsia="宋体" w:hAnsi="Book Antiqua" w:cs="宋体"/>
          <w:sz w:val="24"/>
          <w:szCs w:val="24"/>
        </w:rPr>
        <w:t xml:space="preserve"> P, Figueroa-Bodine J, </w:t>
      </w:r>
      <w:proofErr w:type="spellStart"/>
      <w:r w:rsidRPr="00507CDB">
        <w:rPr>
          <w:rFonts w:ascii="Book Antiqua" w:eastAsia="宋体" w:hAnsi="Book Antiqua" w:cs="宋体"/>
          <w:sz w:val="24"/>
          <w:szCs w:val="24"/>
        </w:rPr>
        <w:t>Livada</w:t>
      </w:r>
      <w:proofErr w:type="spellEnd"/>
      <w:r w:rsidRPr="00507CDB">
        <w:rPr>
          <w:rFonts w:ascii="Book Antiqua" w:eastAsia="宋体" w:hAnsi="Book Antiqua" w:cs="宋体"/>
          <w:sz w:val="24"/>
          <w:szCs w:val="24"/>
        </w:rPr>
        <w:t xml:space="preserve"> N, Richer SL. Very low dose bevacizumab for the treatment of epistaxis in patients with hereditary hemorrhagic telangiectasia. </w:t>
      </w:r>
      <w:r w:rsidRPr="00507CDB">
        <w:rPr>
          <w:rFonts w:ascii="Book Antiqua" w:eastAsia="宋体" w:hAnsi="Book Antiqua" w:cs="宋体"/>
          <w:i/>
          <w:iCs/>
          <w:sz w:val="24"/>
          <w:szCs w:val="24"/>
        </w:rPr>
        <w:t xml:space="preserve">Allergy </w:t>
      </w:r>
      <w:proofErr w:type="spellStart"/>
      <w:r w:rsidRPr="00507CDB">
        <w:rPr>
          <w:rFonts w:ascii="Book Antiqua" w:eastAsia="宋体" w:hAnsi="Book Antiqua" w:cs="宋体"/>
          <w:i/>
          <w:iCs/>
          <w:sz w:val="24"/>
          <w:szCs w:val="24"/>
        </w:rPr>
        <w:t>Rhinol</w:t>
      </w:r>
      <w:proofErr w:type="spellEnd"/>
      <w:r w:rsidRPr="00507CDB">
        <w:rPr>
          <w:rFonts w:ascii="Book Antiqua" w:eastAsia="宋体" w:hAnsi="Book Antiqua" w:cs="宋体"/>
          <w:i/>
          <w:iCs/>
          <w:sz w:val="24"/>
          <w:szCs w:val="24"/>
        </w:rPr>
        <w:t xml:space="preserve"> </w:t>
      </w:r>
      <w:r w:rsidRPr="00507CDB">
        <w:rPr>
          <w:rFonts w:ascii="Book Antiqua" w:eastAsia="宋体" w:hAnsi="Book Antiqua" w:cs="宋体"/>
          <w:iCs/>
          <w:sz w:val="24"/>
          <w:szCs w:val="24"/>
        </w:rPr>
        <w:t>(Providence)</w:t>
      </w:r>
      <w:r w:rsidRPr="00507CDB">
        <w:rPr>
          <w:rFonts w:ascii="Book Antiqua" w:eastAsia="宋体" w:hAnsi="Book Antiqua" w:cs="宋体"/>
          <w:sz w:val="24"/>
          <w:szCs w:val="24"/>
        </w:rPr>
        <w:t> 2014; </w:t>
      </w:r>
      <w:r w:rsidRPr="00507CDB">
        <w:rPr>
          <w:rFonts w:ascii="Book Antiqua" w:eastAsia="宋体" w:hAnsi="Book Antiqua" w:cs="宋体"/>
          <w:b/>
          <w:bCs/>
          <w:sz w:val="24"/>
          <w:szCs w:val="24"/>
        </w:rPr>
        <w:t>5</w:t>
      </w:r>
      <w:r w:rsidRPr="00507CDB">
        <w:rPr>
          <w:rFonts w:ascii="Book Antiqua" w:eastAsia="宋体" w:hAnsi="Book Antiqua" w:cs="宋体"/>
          <w:sz w:val="24"/>
          <w:szCs w:val="24"/>
        </w:rPr>
        <w:t>: 91-95 [PMID: 25199101 DOI: 10.2500/ar.2014.5.0091]</w:t>
      </w:r>
    </w:p>
    <w:p w14:paraId="0BF38EBC"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4 </w:t>
      </w:r>
      <w:proofErr w:type="spellStart"/>
      <w:r w:rsidRPr="00507CDB">
        <w:rPr>
          <w:rFonts w:ascii="Book Antiqua" w:eastAsia="宋体" w:hAnsi="Book Antiqua" w:cs="宋体"/>
          <w:b/>
          <w:bCs/>
          <w:sz w:val="24"/>
          <w:szCs w:val="24"/>
        </w:rPr>
        <w:t>Suppressa</w:t>
      </w:r>
      <w:proofErr w:type="spellEnd"/>
      <w:r w:rsidRPr="00507CDB">
        <w:rPr>
          <w:rFonts w:ascii="Book Antiqua" w:eastAsia="宋体" w:hAnsi="Book Antiqua" w:cs="宋体"/>
          <w:b/>
          <w:bCs/>
          <w:sz w:val="24"/>
          <w:szCs w:val="24"/>
        </w:rPr>
        <w:t xml:space="preserve"> P</w:t>
      </w:r>
      <w:r w:rsidRPr="00507CDB">
        <w:rPr>
          <w:rFonts w:ascii="Book Antiqua" w:eastAsia="宋体" w:hAnsi="Book Antiqua" w:cs="宋体"/>
          <w:sz w:val="24"/>
          <w:szCs w:val="24"/>
        </w:rPr>
        <w:t xml:space="preserve">, </w:t>
      </w:r>
      <w:proofErr w:type="spellStart"/>
      <w:r w:rsidRPr="00507CDB">
        <w:rPr>
          <w:rFonts w:ascii="Book Antiqua" w:eastAsia="宋体" w:hAnsi="Book Antiqua" w:cs="宋体"/>
          <w:sz w:val="24"/>
          <w:szCs w:val="24"/>
        </w:rPr>
        <w:t>Liso</w:t>
      </w:r>
      <w:proofErr w:type="spellEnd"/>
      <w:r w:rsidRPr="00507CDB">
        <w:rPr>
          <w:rFonts w:ascii="Book Antiqua" w:eastAsia="宋体" w:hAnsi="Book Antiqua" w:cs="宋体"/>
          <w:sz w:val="24"/>
          <w:szCs w:val="24"/>
        </w:rPr>
        <w:t xml:space="preserve"> A, </w:t>
      </w:r>
      <w:proofErr w:type="spellStart"/>
      <w:r w:rsidRPr="00507CDB">
        <w:rPr>
          <w:rFonts w:ascii="Book Antiqua" w:eastAsia="宋体" w:hAnsi="Book Antiqua" w:cs="宋体"/>
          <w:sz w:val="24"/>
          <w:szCs w:val="24"/>
        </w:rPr>
        <w:t>Sabbà</w:t>
      </w:r>
      <w:proofErr w:type="spellEnd"/>
      <w:r w:rsidRPr="00507CDB">
        <w:rPr>
          <w:rFonts w:ascii="Book Antiqua" w:eastAsia="宋体" w:hAnsi="Book Antiqua" w:cs="宋体"/>
          <w:sz w:val="24"/>
          <w:szCs w:val="24"/>
        </w:rPr>
        <w:t xml:space="preserve"> C. Low dose intravenous bevacizumab for the treatment of anaemia in hereditary haemorrhagic telangiectasia. </w:t>
      </w:r>
      <w:r w:rsidRPr="00507CDB">
        <w:rPr>
          <w:rFonts w:ascii="Book Antiqua" w:eastAsia="宋体" w:hAnsi="Book Antiqua" w:cs="宋体"/>
          <w:i/>
          <w:iCs/>
          <w:sz w:val="24"/>
          <w:szCs w:val="24"/>
        </w:rPr>
        <w:t xml:space="preserve">Br J </w:t>
      </w:r>
      <w:proofErr w:type="spellStart"/>
      <w:r w:rsidRPr="00507CDB">
        <w:rPr>
          <w:rFonts w:ascii="Book Antiqua" w:eastAsia="宋体" w:hAnsi="Book Antiqua" w:cs="宋体"/>
          <w:i/>
          <w:iCs/>
          <w:sz w:val="24"/>
          <w:szCs w:val="24"/>
        </w:rPr>
        <w:t>Haematol</w:t>
      </w:r>
      <w:proofErr w:type="spellEnd"/>
      <w:r w:rsidRPr="00507CDB">
        <w:rPr>
          <w:rFonts w:ascii="Book Antiqua" w:eastAsia="宋体" w:hAnsi="Book Antiqua" w:cs="宋体"/>
          <w:sz w:val="24"/>
          <w:szCs w:val="24"/>
        </w:rPr>
        <w:t> 2011; </w:t>
      </w:r>
      <w:r w:rsidRPr="00507CDB">
        <w:rPr>
          <w:rFonts w:ascii="Book Antiqua" w:eastAsia="宋体" w:hAnsi="Book Antiqua" w:cs="宋体"/>
          <w:b/>
          <w:bCs/>
          <w:sz w:val="24"/>
          <w:szCs w:val="24"/>
        </w:rPr>
        <w:t>152</w:t>
      </w:r>
      <w:r w:rsidRPr="00507CDB">
        <w:rPr>
          <w:rFonts w:ascii="Book Antiqua" w:eastAsia="宋体" w:hAnsi="Book Antiqua" w:cs="宋体"/>
          <w:sz w:val="24"/>
          <w:szCs w:val="24"/>
        </w:rPr>
        <w:t>: 365 [PMID: 21265821 DOI: 10.1111/j.1365-2141.2010.08481.x]</w:t>
      </w:r>
    </w:p>
    <w:p w14:paraId="19B785A9"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5 </w:t>
      </w:r>
      <w:proofErr w:type="spellStart"/>
      <w:r w:rsidRPr="00507CDB">
        <w:rPr>
          <w:rFonts w:ascii="Book Antiqua" w:eastAsia="宋体" w:hAnsi="Book Antiqua" w:cs="宋体"/>
          <w:b/>
          <w:bCs/>
          <w:sz w:val="24"/>
          <w:szCs w:val="24"/>
        </w:rPr>
        <w:t>Sehl</w:t>
      </w:r>
      <w:proofErr w:type="spellEnd"/>
      <w:r w:rsidRPr="00507CDB">
        <w:rPr>
          <w:rFonts w:ascii="Book Antiqua" w:eastAsia="宋体" w:hAnsi="Book Antiqua" w:cs="宋体"/>
          <w:b/>
          <w:bCs/>
          <w:sz w:val="24"/>
          <w:szCs w:val="24"/>
        </w:rPr>
        <w:t xml:space="preserve"> ME</w:t>
      </w:r>
      <w:r w:rsidRPr="00507CDB">
        <w:rPr>
          <w:rFonts w:ascii="Book Antiqua" w:eastAsia="宋体" w:hAnsi="Book Antiqua" w:cs="宋体"/>
          <w:sz w:val="24"/>
          <w:szCs w:val="24"/>
        </w:rPr>
        <w:t xml:space="preserve">, M Gruber T, McWilliams JP, </w:t>
      </w:r>
      <w:proofErr w:type="spellStart"/>
      <w:r w:rsidRPr="00507CDB">
        <w:rPr>
          <w:rFonts w:ascii="Book Antiqua" w:eastAsia="宋体" w:hAnsi="Book Antiqua" w:cs="宋体"/>
          <w:sz w:val="24"/>
          <w:szCs w:val="24"/>
        </w:rPr>
        <w:t>Marder</w:t>
      </w:r>
      <w:proofErr w:type="spellEnd"/>
      <w:r w:rsidRPr="00507CDB">
        <w:rPr>
          <w:rFonts w:ascii="Book Antiqua" w:eastAsia="宋体" w:hAnsi="Book Antiqua" w:cs="宋体"/>
          <w:sz w:val="24"/>
          <w:szCs w:val="24"/>
        </w:rPr>
        <w:t xml:space="preserve"> VJ. </w:t>
      </w:r>
      <w:proofErr w:type="gramStart"/>
      <w:r w:rsidRPr="00507CDB">
        <w:rPr>
          <w:rFonts w:ascii="Book Antiqua" w:eastAsia="宋体" w:hAnsi="Book Antiqua" w:cs="宋体"/>
          <w:sz w:val="24"/>
          <w:szCs w:val="24"/>
        </w:rPr>
        <w:t>Successful management of chronic gastrointestinal hemorrhage using bevacizumab in the setting of hereditary hemorrhagic telangiectasia.</w:t>
      </w:r>
      <w:proofErr w:type="gramEnd"/>
      <w:r w:rsidRPr="00507CDB">
        <w:rPr>
          <w:rFonts w:ascii="Book Antiqua" w:eastAsia="宋体" w:hAnsi="Book Antiqua" w:cs="宋体"/>
          <w:sz w:val="24"/>
          <w:szCs w:val="24"/>
        </w:rPr>
        <w:t> </w:t>
      </w:r>
      <w:r w:rsidRPr="00507CDB">
        <w:rPr>
          <w:rFonts w:ascii="Book Antiqua" w:eastAsia="宋体" w:hAnsi="Book Antiqua" w:cs="宋体"/>
          <w:i/>
          <w:iCs/>
          <w:sz w:val="24"/>
          <w:szCs w:val="24"/>
        </w:rPr>
        <w:t xml:space="preserve">Am J </w:t>
      </w:r>
      <w:proofErr w:type="spellStart"/>
      <w:r w:rsidRPr="00507CDB">
        <w:rPr>
          <w:rFonts w:ascii="Book Antiqua" w:eastAsia="宋体" w:hAnsi="Book Antiqua" w:cs="宋体"/>
          <w:i/>
          <w:iCs/>
          <w:sz w:val="24"/>
          <w:szCs w:val="24"/>
        </w:rPr>
        <w:t>Hematol</w:t>
      </w:r>
      <w:proofErr w:type="spellEnd"/>
      <w:r w:rsidRPr="00507CDB">
        <w:rPr>
          <w:rFonts w:ascii="Book Antiqua" w:eastAsia="宋体" w:hAnsi="Book Antiqua" w:cs="宋体"/>
          <w:sz w:val="24"/>
          <w:szCs w:val="24"/>
        </w:rPr>
        <w:t> 2015; </w:t>
      </w:r>
      <w:r w:rsidRPr="00507CDB">
        <w:rPr>
          <w:rFonts w:ascii="Book Antiqua" w:eastAsia="宋体" w:hAnsi="Book Antiqua" w:cs="宋体"/>
          <w:b/>
          <w:bCs/>
          <w:sz w:val="24"/>
          <w:szCs w:val="24"/>
        </w:rPr>
        <w:t>90</w:t>
      </w:r>
      <w:r w:rsidRPr="00507CDB">
        <w:rPr>
          <w:rFonts w:ascii="Book Antiqua" w:eastAsia="宋体" w:hAnsi="Book Antiqua" w:cs="宋体"/>
          <w:sz w:val="24"/>
          <w:szCs w:val="24"/>
        </w:rPr>
        <w:t>: 561-563 [PMID: 25677911 DOI: 10.1002/ajh.23969]</w:t>
      </w:r>
    </w:p>
    <w:p w14:paraId="308F6330"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6 </w:t>
      </w:r>
      <w:proofErr w:type="spellStart"/>
      <w:r w:rsidRPr="00507CDB">
        <w:rPr>
          <w:rFonts w:ascii="Book Antiqua" w:eastAsia="宋体" w:hAnsi="Book Antiqua" w:cs="宋体"/>
          <w:b/>
          <w:bCs/>
          <w:sz w:val="24"/>
          <w:szCs w:val="24"/>
        </w:rPr>
        <w:t>Lazaraki</w:t>
      </w:r>
      <w:proofErr w:type="spellEnd"/>
      <w:r w:rsidRPr="00507CDB">
        <w:rPr>
          <w:rFonts w:ascii="Book Antiqua" w:eastAsia="宋体" w:hAnsi="Book Antiqua" w:cs="宋体"/>
          <w:b/>
          <w:bCs/>
          <w:sz w:val="24"/>
          <w:szCs w:val="24"/>
        </w:rPr>
        <w:t xml:space="preserve"> G</w:t>
      </w:r>
      <w:r w:rsidRPr="00507CDB">
        <w:rPr>
          <w:rFonts w:ascii="Book Antiqua" w:eastAsia="宋体" w:hAnsi="Book Antiqua" w:cs="宋体"/>
          <w:sz w:val="24"/>
          <w:szCs w:val="24"/>
        </w:rPr>
        <w:t xml:space="preserve">, </w:t>
      </w:r>
      <w:proofErr w:type="spellStart"/>
      <w:r w:rsidRPr="00507CDB">
        <w:rPr>
          <w:rFonts w:ascii="Book Antiqua" w:eastAsia="宋体" w:hAnsi="Book Antiqua" w:cs="宋体"/>
          <w:sz w:val="24"/>
          <w:szCs w:val="24"/>
        </w:rPr>
        <w:t>Akriviadis</w:t>
      </w:r>
      <w:proofErr w:type="spellEnd"/>
      <w:r w:rsidRPr="00507CDB">
        <w:rPr>
          <w:rFonts w:ascii="Book Antiqua" w:eastAsia="宋体" w:hAnsi="Book Antiqua" w:cs="宋体"/>
          <w:sz w:val="24"/>
          <w:szCs w:val="24"/>
        </w:rPr>
        <w:t xml:space="preserve"> E, </w:t>
      </w:r>
      <w:proofErr w:type="spellStart"/>
      <w:r w:rsidRPr="00507CDB">
        <w:rPr>
          <w:rFonts w:ascii="Book Antiqua" w:eastAsia="宋体" w:hAnsi="Book Antiqua" w:cs="宋体"/>
          <w:sz w:val="24"/>
          <w:szCs w:val="24"/>
        </w:rPr>
        <w:t>Pilpilidis</w:t>
      </w:r>
      <w:proofErr w:type="spellEnd"/>
      <w:r w:rsidRPr="00507CDB">
        <w:rPr>
          <w:rFonts w:ascii="Book Antiqua" w:eastAsia="宋体" w:hAnsi="Book Antiqua" w:cs="宋体"/>
          <w:sz w:val="24"/>
          <w:szCs w:val="24"/>
        </w:rPr>
        <w:t xml:space="preserve"> I, </w:t>
      </w:r>
      <w:proofErr w:type="spellStart"/>
      <w:r w:rsidRPr="00507CDB">
        <w:rPr>
          <w:rFonts w:ascii="Book Antiqua" w:eastAsia="宋体" w:hAnsi="Book Antiqua" w:cs="宋体"/>
          <w:sz w:val="24"/>
          <w:szCs w:val="24"/>
        </w:rPr>
        <w:t>Parisi</w:t>
      </w:r>
      <w:proofErr w:type="spellEnd"/>
      <w:r w:rsidRPr="00507CDB">
        <w:rPr>
          <w:rFonts w:ascii="Book Antiqua" w:eastAsia="宋体" w:hAnsi="Book Antiqua" w:cs="宋体"/>
          <w:sz w:val="24"/>
          <w:szCs w:val="24"/>
        </w:rPr>
        <w:t xml:space="preserve"> I, </w:t>
      </w:r>
      <w:proofErr w:type="spellStart"/>
      <w:r w:rsidRPr="00507CDB">
        <w:rPr>
          <w:rFonts w:ascii="Book Antiqua" w:eastAsia="宋体" w:hAnsi="Book Antiqua" w:cs="宋体"/>
          <w:sz w:val="24"/>
          <w:szCs w:val="24"/>
        </w:rPr>
        <w:t>Tzilves</w:t>
      </w:r>
      <w:proofErr w:type="spellEnd"/>
      <w:r w:rsidRPr="00507CDB">
        <w:rPr>
          <w:rFonts w:ascii="Book Antiqua" w:eastAsia="宋体" w:hAnsi="Book Antiqua" w:cs="宋体"/>
          <w:sz w:val="24"/>
          <w:szCs w:val="24"/>
        </w:rPr>
        <w:t xml:space="preserve"> D, </w:t>
      </w:r>
      <w:proofErr w:type="spellStart"/>
      <w:r w:rsidRPr="00507CDB">
        <w:rPr>
          <w:rFonts w:ascii="Book Antiqua" w:eastAsia="宋体" w:hAnsi="Book Antiqua" w:cs="宋体"/>
          <w:sz w:val="24"/>
          <w:szCs w:val="24"/>
        </w:rPr>
        <w:t>Tarpangos</w:t>
      </w:r>
      <w:proofErr w:type="spellEnd"/>
      <w:r w:rsidRPr="00507CDB">
        <w:rPr>
          <w:rFonts w:ascii="Book Antiqua" w:eastAsia="宋体" w:hAnsi="Book Antiqua" w:cs="宋体"/>
          <w:sz w:val="24"/>
          <w:szCs w:val="24"/>
        </w:rPr>
        <w:t xml:space="preserve"> A. Low dose of bevacizumab is safe and effective in preventing bleeding episodes in hereditary hemorrhagic telangiectasia. </w:t>
      </w:r>
      <w:r w:rsidRPr="00507CDB">
        <w:rPr>
          <w:rFonts w:ascii="Book Antiqua" w:eastAsia="宋体" w:hAnsi="Book Antiqua" w:cs="宋体"/>
          <w:i/>
          <w:iCs/>
          <w:sz w:val="24"/>
          <w:szCs w:val="24"/>
        </w:rPr>
        <w:t xml:space="preserve">Am J </w:t>
      </w:r>
      <w:proofErr w:type="spellStart"/>
      <w:r w:rsidRPr="00507CDB">
        <w:rPr>
          <w:rFonts w:ascii="Book Antiqua" w:eastAsia="宋体" w:hAnsi="Book Antiqua" w:cs="宋体"/>
          <w:i/>
          <w:iCs/>
          <w:sz w:val="24"/>
          <w:szCs w:val="24"/>
        </w:rPr>
        <w:t>Gastroenterol</w:t>
      </w:r>
      <w:proofErr w:type="spellEnd"/>
      <w:r w:rsidRPr="00507CDB">
        <w:rPr>
          <w:rFonts w:ascii="Book Antiqua" w:eastAsia="宋体" w:hAnsi="Book Antiqua" w:cs="宋体"/>
          <w:sz w:val="24"/>
          <w:szCs w:val="24"/>
        </w:rPr>
        <w:t> 2011; </w:t>
      </w:r>
      <w:r w:rsidRPr="00507CDB">
        <w:rPr>
          <w:rFonts w:ascii="Book Antiqua" w:eastAsia="宋体" w:hAnsi="Book Antiqua" w:cs="宋体"/>
          <w:b/>
          <w:bCs/>
          <w:sz w:val="24"/>
          <w:szCs w:val="24"/>
        </w:rPr>
        <w:t>106</w:t>
      </w:r>
      <w:r w:rsidRPr="00507CDB">
        <w:rPr>
          <w:rFonts w:ascii="Book Antiqua" w:eastAsia="宋体" w:hAnsi="Book Antiqua" w:cs="宋体"/>
          <w:sz w:val="24"/>
          <w:szCs w:val="24"/>
        </w:rPr>
        <w:t>: 2204-2206 [PMID: 22138950 DOI: 10.1038/ajg.2011.287]</w:t>
      </w:r>
    </w:p>
    <w:p w14:paraId="07DCE429"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7 </w:t>
      </w:r>
      <w:proofErr w:type="spellStart"/>
      <w:r w:rsidRPr="00507CDB">
        <w:rPr>
          <w:rFonts w:ascii="Book Antiqua" w:eastAsia="宋体" w:hAnsi="Book Antiqua" w:cs="宋体"/>
          <w:b/>
          <w:bCs/>
          <w:sz w:val="24"/>
          <w:szCs w:val="24"/>
        </w:rPr>
        <w:t>Kochanowski</w:t>
      </w:r>
      <w:proofErr w:type="spellEnd"/>
      <w:r w:rsidRPr="00507CDB">
        <w:rPr>
          <w:rFonts w:ascii="Book Antiqua" w:eastAsia="宋体" w:hAnsi="Book Antiqua" w:cs="宋体"/>
          <w:b/>
          <w:bCs/>
          <w:sz w:val="24"/>
          <w:szCs w:val="24"/>
        </w:rPr>
        <w:t xml:space="preserve"> J</w:t>
      </w:r>
      <w:r w:rsidRPr="00507CDB">
        <w:rPr>
          <w:rFonts w:ascii="Book Antiqua" w:eastAsia="宋体" w:hAnsi="Book Antiqua" w:cs="宋体"/>
          <w:sz w:val="24"/>
          <w:szCs w:val="24"/>
        </w:rPr>
        <w:t xml:space="preserve">, </w:t>
      </w:r>
      <w:proofErr w:type="spellStart"/>
      <w:r w:rsidRPr="00507CDB">
        <w:rPr>
          <w:rFonts w:ascii="Book Antiqua" w:eastAsia="宋体" w:hAnsi="Book Antiqua" w:cs="宋体"/>
          <w:sz w:val="24"/>
          <w:szCs w:val="24"/>
        </w:rPr>
        <w:t>Sobieszczańska</w:t>
      </w:r>
      <w:proofErr w:type="spellEnd"/>
      <w:r w:rsidRPr="00507CDB">
        <w:rPr>
          <w:rFonts w:ascii="Book Antiqua" w:eastAsia="宋体" w:hAnsi="Book Antiqua" w:cs="宋体"/>
          <w:sz w:val="24"/>
          <w:szCs w:val="24"/>
        </w:rPr>
        <w:t xml:space="preserve"> M, </w:t>
      </w:r>
      <w:proofErr w:type="spellStart"/>
      <w:r w:rsidRPr="00507CDB">
        <w:rPr>
          <w:rFonts w:ascii="Book Antiqua" w:eastAsia="宋体" w:hAnsi="Book Antiqua" w:cs="宋体"/>
          <w:sz w:val="24"/>
          <w:szCs w:val="24"/>
        </w:rPr>
        <w:t>Tubek</w:t>
      </w:r>
      <w:proofErr w:type="spellEnd"/>
      <w:r w:rsidRPr="00507CDB">
        <w:rPr>
          <w:rFonts w:ascii="Book Antiqua" w:eastAsia="宋体" w:hAnsi="Book Antiqua" w:cs="宋体"/>
          <w:sz w:val="24"/>
          <w:szCs w:val="24"/>
        </w:rPr>
        <w:t xml:space="preserve"> S, </w:t>
      </w:r>
      <w:proofErr w:type="spellStart"/>
      <w:r w:rsidRPr="00507CDB">
        <w:rPr>
          <w:rFonts w:ascii="Book Antiqua" w:eastAsia="MS Mincho" w:hAnsi="Book Antiqua" w:cs="MS Mincho"/>
          <w:sz w:val="24"/>
          <w:szCs w:val="24"/>
        </w:rPr>
        <w:t>Ż</w:t>
      </w:r>
      <w:r w:rsidRPr="00507CDB">
        <w:rPr>
          <w:rFonts w:ascii="Book Antiqua" w:eastAsia="宋体" w:hAnsi="Book Antiqua" w:cs="宋体"/>
          <w:sz w:val="24"/>
          <w:szCs w:val="24"/>
        </w:rPr>
        <w:t>urek</w:t>
      </w:r>
      <w:proofErr w:type="spellEnd"/>
      <w:r w:rsidRPr="00507CDB">
        <w:rPr>
          <w:rFonts w:ascii="Book Antiqua" w:eastAsia="宋体" w:hAnsi="Book Antiqua" w:cs="宋体"/>
          <w:sz w:val="24"/>
          <w:szCs w:val="24"/>
        </w:rPr>
        <w:t xml:space="preserve"> M, </w:t>
      </w:r>
      <w:proofErr w:type="spellStart"/>
      <w:r w:rsidRPr="00507CDB">
        <w:rPr>
          <w:rFonts w:ascii="Book Antiqua" w:eastAsia="宋体" w:hAnsi="Book Antiqua" w:cs="宋体"/>
          <w:sz w:val="24"/>
          <w:szCs w:val="24"/>
        </w:rPr>
        <w:t>Pawe</w:t>
      </w:r>
      <w:r w:rsidRPr="00507CDB">
        <w:rPr>
          <w:rFonts w:ascii="Book Antiqua" w:eastAsia="MS Mincho" w:hAnsi="Book Antiqua" w:cs="MS Mincho"/>
          <w:sz w:val="24"/>
          <w:szCs w:val="24"/>
        </w:rPr>
        <w:t>ł</w:t>
      </w:r>
      <w:r w:rsidRPr="00507CDB">
        <w:rPr>
          <w:rFonts w:ascii="Book Antiqua" w:eastAsia="宋体" w:hAnsi="Book Antiqua" w:cs="宋体"/>
          <w:sz w:val="24"/>
          <w:szCs w:val="24"/>
        </w:rPr>
        <w:t>czak</w:t>
      </w:r>
      <w:proofErr w:type="spellEnd"/>
      <w:r w:rsidRPr="00507CDB">
        <w:rPr>
          <w:rFonts w:ascii="Book Antiqua" w:eastAsia="宋体" w:hAnsi="Book Antiqua" w:cs="宋体"/>
          <w:sz w:val="24"/>
          <w:szCs w:val="24"/>
        </w:rPr>
        <w:t xml:space="preserve"> J. Successful therapy with bevacizumab in a case of hereditary hemorrhagic telangiectasia. </w:t>
      </w:r>
      <w:r w:rsidRPr="00507CDB">
        <w:rPr>
          <w:rFonts w:ascii="Book Antiqua" w:eastAsia="宋体" w:hAnsi="Book Antiqua" w:cs="宋体"/>
          <w:i/>
          <w:iCs/>
          <w:sz w:val="24"/>
          <w:szCs w:val="24"/>
        </w:rPr>
        <w:t xml:space="preserve">Hum </w:t>
      </w:r>
      <w:proofErr w:type="spellStart"/>
      <w:r w:rsidRPr="00507CDB">
        <w:rPr>
          <w:rFonts w:ascii="Book Antiqua" w:eastAsia="宋体" w:hAnsi="Book Antiqua" w:cs="宋体"/>
          <w:i/>
          <w:iCs/>
          <w:sz w:val="24"/>
          <w:szCs w:val="24"/>
        </w:rPr>
        <w:t>Vaccin</w:t>
      </w:r>
      <w:proofErr w:type="spellEnd"/>
      <w:r w:rsidRPr="00507CDB">
        <w:rPr>
          <w:rFonts w:ascii="Book Antiqua" w:eastAsia="宋体" w:hAnsi="Book Antiqua" w:cs="宋体"/>
          <w:i/>
          <w:iCs/>
          <w:sz w:val="24"/>
          <w:szCs w:val="24"/>
        </w:rPr>
        <w:t xml:space="preserve"> </w:t>
      </w:r>
      <w:proofErr w:type="spellStart"/>
      <w:r w:rsidRPr="00507CDB">
        <w:rPr>
          <w:rFonts w:ascii="Book Antiqua" w:eastAsia="宋体" w:hAnsi="Book Antiqua" w:cs="宋体"/>
          <w:i/>
          <w:iCs/>
          <w:sz w:val="24"/>
          <w:szCs w:val="24"/>
        </w:rPr>
        <w:t>Immunother</w:t>
      </w:r>
      <w:proofErr w:type="spellEnd"/>
      <w:r w:rsidRPr="00507CDB">
        <w:rPr>
          <w:rFonts w:ascii="Book Antiqua" w:eastAsia="宋体" w:hAnsi="Book Antiqua" w:cs="宋体"/>
          <w:sz w:val="24"/>
          <w:szCs w:val="24"/>
        </w:rPr>
        <w:t> 2015; </w:t>
      </w:r>
      <w:r w:rsidRPr="00507CDB">
        <w:rPr>
          <w:rFonts w:ascii="Book Antiqua" w:eastAsia="宋体" w:hAnsi="Book Antiqua" w:cs="宋体"/>
          <w:b/>
          <w:bCs/>
          <w:sz w:val="24"/>
          <w:szCs w:val="24"/>
        </w:rPr>
        <w:t>11</w:t>
      </w:r>
      <w:r w:rsidRPr="00507CDB">
        <w:rPr>
          <w:rFonts w:ascii="Book Antiqua" w:eastAsia="宋体" w:hAnsi="Book Antiqua" w:cs="宋体"/>
          <w:sz w:val="24"/>
          <w:szCs w:val="24"/>
        </w:rPr>
        <w:t>: 680-681 [PMID: 25839219 DOI: 10.1080/21645515.2015.1011960]</w:t>
      </w:r>
    </w:p>
    <w:p w14:paraId="4029A374"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8 </w:t>
      </w:r>
      <w:proofErr w:type="spellStart"/>
      <w:r w:rsidRPr="00507CDB">
        <w:rPr>
          <w:rFonts w:ascii="Book Antiqua" w:eastAsia="宋体" w:hAnsi="Book Antiqua" w:cs="宋体"/>
          <w:b/>
          <w:bCs/>
          <w:sz w:val="24"/>
          <w:szCs w:val="24"/>
        </w:rPr>
        <w:t>Fodstad</w:t>
      </w:r>
      <w:proofErr w:type="spellEnd"/>
      <w:r w:rsidRPr="00507CDB">
        <w:rPr>
          <w:rFonts w:ascii="Book Antiqua" w:eastAsia="宋体" w:hAnsi="Book Antiqua" w:cs="宋体"/>
          <w:b/>
          <w:bCs/>
          <w:sz w:val="24"/>
          <w:szCs w:val="24"/>
        </w:rPr>
        <w:t xml:space="preserve"> P</w:t>
      </w:r>
      <w:r w:rsidRPr="00507CDB">
        <w:rPr>
          <w:rFonts w:ascii="Book Antiqua" w:eastAsia="宋体" w:hAnsi="Book Antiqua" w:cs="宋体"/>
          <w:sz w:val="24"/>
          <w:szCs w:val="24"/>
        </w:rPr>
        <w:t xml:space="preserve">, </w:t>
      </w:r>
      <w:proofErr w:type="spellStart"/>
      <w:r w:rsidRPr="00507CDB">
        <w:rPr>
          <w:rFonts w:ascii="Book Antiqua" w:eastAsia="宋体" w:hAnsi="Book Antiqua" w:cs="宋体"/>
          <w:sz w:val="24"/>
          <w:szCs w:val="24"/>
        </w:rPr>
        <w:t>Dheyauldeen</w:t>
      </w:r>
      <w:proofErr w:type="spellEnd"/>
      <w:r w:rsidRPr="00507CDB">
        <w:rPr>
          <w:rFonts w:ascii="Book Antiqua" w:eastAsia="宋体" w:hAnsi="Book Antiqua" w:cs="宋体"/>
          <w:sz w:val="24"/>
          <w:szCs w:val="24"/>
        </w:rPr>
        <w:t xml:space="preserve"> S, </w:t>
      </w:r>
      <w:proofErr w:type="spellStart"/>
      <w:r w:rsidRPr="00507CDB">
        <w:rPr>
          <w:rFonts w:ascii="Book Antiqua" w:eastAsia="宋体" w:hAnsi="Book Antiqua" w:cs="宋体"/>
          <w:sz w:val="24"/>
          <w:szCs w:val="24"/>
        </w:rPr>
        <w:t>Rinde</w:t>
      </w:r>
      <w:proofErr w:type="spellEnd"/>
      <w:r w:rsidRPr="00507CDB">
        <w:rPr>
          <w:rFonts w:ascii="Book Antiqua" w:eastAsia="宋体" w:hAnsi="Book Antiqua" w:cs="宋体"/>
          <w:sz w:val="24"/>
          <w:szCs w:val="24"/>
        </w:rPr>
        <w:t xml:space="preserve"> M, Bachmann-</w:t>
      </w:r>
      <w:proofErr w:type="spellStart"/>
      <w:r w:rsidRPr="00507CDB">
        <w:rPr>
          <w:rFonts w:ascii="Book Antiqua" w:eastAsia="宋体" w:hAnsi="Book Antiqua" w:cs="宋体"/>
          <w:sz w:val="24"/>
          <w:szCs w:val="24"/>
        </w:rPr>
        <w:t>Harildstad</w:t>
      </w:r>
      <w:proofErr w:type="spellEnd"/>
      <w:r w:rsidRPr="00507CDB">
        <w:rPr>
          <w:rFonts w:ascii="Book Antiqua" w:eastAsia="宋体" w:hAnsi="Book Antiqua" w:cs="宋体"/>
          <w:sz w:val="24"/>
          <w:szCs w:val="24"/>
        </w:rPr>
        <w:t xml:space="preserve"> G. Anti-VEGF with 3-week intervals is effective on anemia in a patient with severe hereditary hemorrhagic </w:t>
      </w:r>
      <w:r w:rsidRPr="00507CDB">
        <w:rPr>
          <w:rFonts w:ascii="Book Antiqua" w:eastAsia="宋体" w:hAnsi="Book Antiqua" w:cs="宋体"/>
          <w:sz w:val="24"/>
          <w:szCs w:val="24"/>
        </w:rPr>
        <w:lastRenderedPageBreak/>
        <w:t>telangiectasia. </w:t>
      </w:r>
      <w:r w:rsidRPr="00507CDB">
        <w:rPr>
          <w:rFonts w:ascii="Book Antiqua" w:eastAsia="宋体" w:hAnsi="Book Antiqua" w:cs="宋体"/>
          <w:i/>
          <w:iCs/>
          <w:sz w:val="24"/>
          <w:szCs w:val="24"/>
        </w:rPr>
        <w:t xml:space="preserve">Ann </w:t>
      </w:r>
      <w:proofErr w:type="spellStart"/>
      <w:r w:rsidRPr="00507CDB">
        <w:rPr>
          <w:rFonts w:ascii="Book Antiqua" w:eastAsia="宋体" w:hAnsi="Book Antiqua" w:cs="宋体"/>
          <w:i/>
          <w:iCs/>
          <w:sz w:val="24"/>
          <w:szCs w:val="24"/>
        </w:rPr>
        <w:t>Hematol</w:t>
      </w:r>
      <w:proofErr w:type="spellEnd"/>
      <w:r w:rsidRPr="00507CDB">
        <w:rPr>
          <w:rFonts w:ascii="Book Antiqua" w:eastAsia="宋体" w:hAnsi="Book Antiqua" w:cs="宋体"/>
          <w:sz w:val="24"/>
          <w:szCs w:val="24"/>
        </w:rPr>
        <w:t> 2011; </w:t>
      </w:r>
      <w:r w:rsidRPr="00507CDB">
        <w:rPr>
          <w:rFonts w:ascii="Book Antiqua" w:eastAsia="宋体" w:hAnsi="Book Antiqua" w:cs="宋体"/>
          <w:b/>
          <w:bCs/>
          <w:sz w:val="24"/>
          <w:szCs w:val="24"/>
        </w:rPr>
        <w:t>90</w:t>
      </w:r>
      <w:r w:rsidRPr="00507CDB">
        <w:rPr>
          <w:rFonts w:ascii="Book Antiqua" w:eastAsia="宋体" w:hAnsi="Book Antiqua" w:cs="宋体"/>
          <w:sz w:val="24"/>
          <w:szCs w:val="24"/>
        </w:rPr>
        <w:t>: 611-612 [PMID: 20824275 DOI: 10.1007/s00277-010-1063-5]</w:t>
      </w:r>
    </w:p>
    <w:p w14:paraId="18707993"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9 </w:t>
      </w:r>
      <w:proofErr w:type="spellStart"/>
      <w:r w:rsidRPr="00507CDB">
        <w:rPr>
          <w:rFonts w:ascii="Book Antiqua" w:eastAsia="宋体" w:hAnsi="Book Antiqua" w:cs="宋体"/>
          <w:b/>
          <w:bCs/>
          <w:sz w:val="24"/>
          <w:szCs w:val="24"/>
        </w:rPr>
        <w:t>Flieger</w:t>
      </w:r>
      <w:proofErr w:type="spellEnd"/>
      <w:r w:rsidRPr="00507CDB">
        <w:rPr>
          <w:rFonts w:ascii="Book Antiqua" w:eastAsia="宋体" w:hAnsi="Book Antiqua" w:cs="宋体"/>
          <w:b/>
          <w:bCs/>
          <w:sz w:val="24"/>
          <w:szCs w:val="24"/>
        </w:rPr>
        <w:t xml:space="preserve"> D</w:t>
      </w:r>
      <w:r w:rsidRPr="00507CDB">
        <w:rPr>
          <w:rFonts w:ascii="Book Antiqua" w:eastAsia="宋体" w:hAnsi="Book Antiqua" w:cs="宋体"/>
          <w:sz w:val="24"/>
          <w:szCs w:val="24"/>
        </w:rPr>
        <w:t xml:space="preserve">, </w:t>
      </w:r>
      <w:proofErr w:type="spellStart"/>
      <w:r w:rsidRPr="00507CDB">
        <w:rPr>
          <w:rFonts w:ascii="Book Antiqua" w:eastAsia="宋体" w:hAnsi="Book Antiqua" w:cs="宋体"/>
          <w:sz w:val="24"/>
          <w:szCs w:val="24"/>
        </w:rPr>
        <w:t>Hainke</w:t>
      </w:r>
      <w:proofErr w:type="spellEnd"/>
      <w:r w:rsidRPr="00507CDB">
        <w:rPr>
          <w:rFonts w:ascii="Book Antiqua" w:eastAsia="宋体" w:hAnsi="Book Antiqua" w:cs="宋体"/>
          <w:sz w:val="24"/>
          <w:szCs w:val="24"/>
        </w:rPr>
        <w:t xml:space="preserve"> S, </w:t>
      </w:r>
      <w:proofErr w:type="spellStart"/>
      <w:r w:rsidRPr="00507CDB">
        <w:rPr>
          <w:rFonts w:ascii="Book Antiqua" w:eastAsia="宋体" w:hAnsi="Book Antiqua" w:cs="宋体"/>
          <w:sz w:val="24"/>
          <w:szCs w:val="24"/>
        </w:rPr>
        <w:t>Fischbach</w:t>
      </w:r>
      <w:proofErr w:type="spellEnd"/>
      <w:r w:rsidRPr="00507CDB">
        <w:rPr>
          <w:rFonts w:ascii="Book Antiqua" w:eastAsia="宋体" w:hAnsi="Book Antiqua" w:cs="宋体"/>
          <w:sz w:val="24"/>
          <w:szCs w:val="24"/>
        </w:rPr>
        <w:t xml:space="preserve"> W. Dramatic improvement in hereditary hemorrhagic telangiectasia after treatment with the vascular endothelial growth factor (VEGF) antagonist bevacizumab. </w:t>
      </w:r>
      <w:r w:rsidRPr="00507CDB">
        <w:rPr>
          <w:rFonts w:ascii="Book Antiqua" w:eastAsia="宋体" w:hAnsi="Book Antiqua" w:cs="宋体"/>
          <w:i/>
          <w:iCs/>
          <w:sz w:val="24"/>
          <w:szCs w:val="24"/>
        </w:rPr>
        <w:t xml:space="preserve">Ann </w:t>
      </w:r>
      <w:proofErr w:type="spellStart"/>
      <w:r w:rsidRPr="00507CDB">
        <w:rPr>
          <w:rFonts w:ascii="Book Antiqua" w:eastAsia="宋体" w:hAnsi="Book Antiqua" w:cs="宋体"/>
          <w:i/>
          <w:iCs/>
          <w:sz w:val="24"/>
          <w:szCs w:val="24"/>
        </w:rPr>
        <w:t>Hematol</w:t>
      </w:r>
      <w:proofErr w:type="spellEnd"/>
      <w:r w:rsidRPr="00507CDB">
        <w:rPr>
          <w:rFonts w:ascii="Book Antiqua" w:eastAsia="宋体" w:hAnsi="Book Antiqua" w:cs="宋体"/>
          <w:sz w:val="24"/>
          <w:szCs w:val="24"/>
        </w:rPr>
        <w:t> 2006; </w:t>
      </w:r>
      <w:r w:rsidRPr="00507CDB">
        <w:rPr>
          <w:rFonts w:ascii="Book Antiqua" w:eastAsia="宋体" w:hAnsi="Book Antiqua" w:cs="宋体"/>
          <w:b/>
          <w:bCs/>
          <w:sz w:val="24"/>
          <w:szCs w:val="24"/>
        </w:rPr>
        <w:t>85</w:t>
      </w:r>
      <w:r w:rsidRPr="00507CDB">
        <w:rPr>
          <w:rFonts w:ascii="Book Antiqua" w:eastAsia="宋体" w:hAnsi="Book Antiqua" w:cs="宋体"/>
          <w:sz w:val="24"/>
          <w:szCs w:val="24"/>
        </w:rPr>
        <w:t>: 631-632 [PMID: 16807748 DOI: 10.1007/s00277-006-0147-8]</w:t>
      </w:r>
    </w:p>
    <w:p w14:paraId="2DF4CD7A"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10 </w:t>
      </w:r>
      <w:proofErr w:type="spellStart"/>
      <w:r w:rsidRPr="00507CDB">
        <w:rPr>
          <w:rFonts w:ascii="Book Antiqua" w:eastAsia="宋体" w:hAnsi="Book Antiqua" w:cs="宋体"/>
          <w:b/>
          <w:bCs/>
          <w:sz w:val="24"/>
          <w:szCs w:val="24"/>
        </w:rPr>
        <w:t>Epperla</w:t>
      </w:r>
      <w:proofErr w:type="spellEnd"/>
      <w:r w:rsidRPr="00507CDB">
        <w:rPr>
          <w:rFonts w:ascii="Book Antiqua" w:eastAsia="宋体" w:hAnsi="Book Antiqua" w:cs="宋体"/>
          <w:b/>
          <w:bCs/>
          <w:sz w:val="24"/>
          <w:szCs w:val="24"/>
        </w:rPr>
        <w:t xml:space="preserve"> N</w:t>
      </w:r>
      <w:r w:rsidRPr="00507CDB">
        <w:rPr>
          <w:rFonts w:ascii="Book Antiqua" w:eastAsia="宋体" w:hAnsi="Book Antiqua" w:cs="宋体"/>
          <w:sz w:val="24"/>
          <w:szCs w:val="24"/>
        </w:rPr>
        <w:t>, Hocking W. Blessing for the bleeder: bevacizumab in hereditary hemorrhagic telangiectasia. </w:t>
      </w:r>
      <w:proofErr w:type="spellStart"/>
      <w:r w:rsidRPr="00507CDB">
        <w:rPr>
          <w:rFonts w:ascii="Book Antiqua" w:eastAsia="宋体" w:hAnsi="Book Antiqua" w:cs="宋体"/>
          <w:i/>
          <w:iCs/>
          <w:sz w:val="24"/>
          <w:szCs w:val="24"/>
        </w:rPr>
        <w:t>Clin</w:t>
      </w:r>
      <w:proofErr w:type="spellEnd"/>
      <w:r w:rsidRPr="00507CDB">
        <w:rPr>
          <w:rFonts w:ascii="Book Antiqua" w:eastAsia="宋体" w:hAnsi="Book Antiqua" w:cs="宋体"/>
          <w:i/>
          <w:iCs/>
          <w:sz w:val="24"/>
          <w:szCs w:val="24"/>
        </w:rPr>
        <w:t xml:space="preserve"> Med Res</w:t>
      </w:r>
      <w:r w:rsidRPr="00507CDB">
        <w:rPr>
          <w:rFonts w:ascii="Book Antiqua" w:eastAsia="宋体" w:hAnsi="Book Antiqua" w:cs="宋体"/>
          <w:sz w:val="24"/>
          <w:szCs w:val="24"/>
        </w:rPr>
        <w:t> 2015; </w:t>
      </w:r>
      <w:r w:rsidRPr="00507CDB">
        <w:rPr>
          <w:rFonts w:ascii="Book Antiqua" w:eastAsia="宋体" w:hAnsi="Book Antiqua" w:cs="宋体"/>
          <w:b/>
          <w:bCs/>
          <w:sz w:val="24"/>
          <w:szCs w:val="24"/>
        </w:rPr>
        <w:t>13</w:t>
      </w:r>
      <w:r w:rsidRPr="00507CDB">
        <w:rPr>
          <w:rFonts w:ascii="Book Antiqua" w:eastAsia="宋体" w:hAnsi="Book Antiqua" w:cs="宋体"/>
          <w:sz w:val="24"/>
          <w:szCs w:val="24"/>
        </w:rPr>
        <w:t>: 32-35 [PMID: 24667223 DOI: 10.3121/cmr.2013.1205]</w:t>
      </w:r>
    </w:p>
    <w:p w14:paraId="237B8954"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11 </w:t>
      </w:r>
      <w:r w:rsidRPr="00507CDB">
        <w:rPr>
          <w:rFonts w:ascii="Book Antiqua" w:eastAsia="宋体" w:hAnsi="Book Antiqua" w:cs="宋体"/>
          <w:b/>
          <w:bCs/>
          <w:sz w:val="24"/>
          <w:szCs w:val="24"/>
        </w:rPr>
        <w:t>Brinkerhoff BT</w:t>
      </w:r>
      <w:r w:rsidRPr="00507CDB">
        <w:rPr>
          <w:rFonts w:ascii="Book Antiqua" w:eastAsia="宋体" w:hAnsi="Book Antiqua" w:cs="宋体"/>
          <w:sz w:val="24"/>
          <w:szCs w:val="24"/>
        </w:rPr>
        <w:t xml:space="preserve">, </w:t>
      </w:r>
      <w:proofErr w:type="spellStart"/>
      <w:r w:rsidRPr="00507CDB">
        <w:rPr>
          <w:rFonts w:ascii="Book Antiqua" w:eastAsia="宋体" w:hAnsi="Book Antiqua" w:cs="宋体"/>
          <w:sz w:val="24"/>
          <w:szCs w:val="24"/>
        </w:rPr>
        <w:t>Poetker</w:t>
      </w:r>
      <w:proofErr w:type="spellEnd"/>
      <w:r w:rsidRPr="00507CDB">
        <w:rPr>
          <w:rFonts w:ascii="Book Antiqua" w:eastAsia="宋体" w:hAnsi="Book Antiqua" w:cs="宋体"/>
          <w:sz w:val="24"/>
          <w:szCs w:val="24"/>
        </w:rPr>
        <w:t xml:space="preserve"> DM, </w:t>
      </w:r>
      <w:proofErr w:type="spellStart"/>
      <w:r w:rsidRPr="00507CDB">
        <w:rPr>
          <w:rFonts w:ascii="Book Antiqua" w:eastAsia="宋体" w:hAnsi="Book Antiqua" w:cs="宋体"/>
          <w:sz w:val="24"/>
          <w:szCs w:val="24"/>
        </w:rPr>
        <w:t>Choong</w:t>
      </w:r>
      <w:proofErr w:type="spellEnd"/>
      <w:r w:rsidRPr="00507CDB">
        <w:rPr>
          <w:rFonts w:ascii="Book Antiqua" w:eastAsia="宋体" w:hAnsi="Book Antiqua" w:cs="宋体"/>
          <w:sz w:val="24"/>
          <w:szCs w:val="24"/>
        </w:rPr>
        <w:t xml:space="preserve"> NW. </w:t>
      </w:r>
      <w:proofErr w:type="gramStart"/>
      <w:r w:rsidRPr="00507CDB">
        <w:rPr>
          <w:rFonts w:ascii="Book Antiqua" w:eastAsia="宋体" w:hAnsi="Book Antiqua" w:cs="宋体"/>
          <w:sz w:val="24"/>
          <w:szCs w:val="24"/>
        </w:rPr>
        <w:t>Long-term therapy with bevacizumab in hereditary hemorrhagic telangiectasia.</w:t>
      </w:r>
      <w:proofErr w:type="gramEnd"/>
      <w:r w:rsidRPr="00507CDB">
        <w:rPr>
          <w:rFonts w:ascii="Book Antiqua" w:eastAsia="宋体" w:hAnsi="Book Antiqua" w:cs="宋体"/>
          <w:sz w:val="24"/>
          <w:szCs w:val="24"/>
        </w:rPr>
        <w:t> </w:t>
      </w:r>
      <w:r w:rsidRPr="00507CDB">
        <w:rPr>
          <w:rFonts w:ascii="Book Antiqua" w:eastAsia="宋体" w:hAnsi="Book Antiqua" w:cs="宋体"/>
          <w:i/>
          <w:iCs/>
          <w:sz w:val="24"/>
          <w:szCs w:val="24"/>
        </w:rPr>
        <w:t xml:space="preserve">N </w:t>
      </w:r>
      <w:proofErr w:type="spellStart"/>
      <w:r w:rsidRPr="00507CDB">
        <w:rPr>
          <w:rFonts w:ascii="Book Antiqua" w:eastAsia="宋体" w:hAnsi="Book Antiqua" w:cs="宋体"/>
          <w:i/>
          <w:iCs/>
          <w:sz w:val="24"/>
          <w:szCs w:val="24"/>
        </w:rPr>
        <w:t>Engl</w:t>
      </w:r>
      <w:proofErr w:type="spellEnd"/>
      <w:r w:rsidRPr="00507CDB">
        <w:rPr>
          <w:rFonts w:ascii="Book Antiqua" w:eastAsia="宋体" w:hAnsi="Book Antiqua" w:cs="宋体"/>
          <w:i/>
          <w:iCs/>
          <w:sz w:val="24"/>
          <w:szCs w:val="24"/>
        </w:rPr>
        <w:t xml:space="preserve"> J Med</w:t>
      </w:r>
      <w:r w:rsidRPr="00507CDB">
        <w:rPr>
          <w:rFonts w:ascii="Book Antiqua" w:eastAsia="宋体" w:hAnsi="Book Antiqua" w:cs="宋体"/>
          <w:sz w:val="24"/>
          <w:szCs w:val="24"/>
        </w:rPr>
        <w:t> 2011; </w:t>
      </w:r>
      <w:r w:rsidRPr="00507CDB">
        <w:rPr>
          <w:rFonts w:ascii="Book Antiqua" w:eastAsia="宋体" w:hAnsi="Book Antiqua" w:cs="宋体"/>
          <w:b/>
          <w:bCs/>
          <w:sz w:val="24"/>
          <w:szCs w:val="24"/>
        </w:rPr>
        <w:t>364</w:t>
      </w:r>
      <w:r w:rsidRPr="00507CDB">
        <w:rPr>
          <w:rFonts w:ascii="Book Antiqua" w:eastAsia="宋体" w:hAnsi="Book Antiqua" w:cs="宋体"/>
          <w:sz w:val="24"/>
          <w:szCs w:val="24"/>
        </w:rPr>
        <w:t>: 688-689 [PMID: 21323562 DOI: 10.1056/NEJMc1012774]</w:t>
      </w:r>
    </w:p>
    <w:p w14:paraId="55502458" w14:textId="77777777" w:rsidR="00B4141D" w:rsidRPr="00507CDB" w:rsidRDefault="00B4141D" w:rsidP="00B4141D">
      <w:pPr>
        <w:spacing w:line="360" w:lineRule="auto"/>
        <w:jc w:val="both"/>
        <w:rPr>
          <w:rFonts w:ascii="Book Antiqua" w:eastAsia="宋体" w:hAnsi="Book Antiqua" w:cs="宋体"/>
          <w:sz w:val="24"/>
          <w:szCs w:val="24"/>
        </w:rPr>
      </w:pPr>
      <w:proofErr w:type="gramStart"/>
      <w:r w:rsidRPr="00507CDB">
        <w:rPr>
          <w:rFonts w:ascii="Book Antiqua" w:eastAsia="宋体" w:hAnsi="Book Antiqua" w:cs="宋体"/>
          <w:sz w:val="24"/>
          <w:szCs w:val="24"/>
        </w:rPr>
        <w:t>12 </w:t>
      </w:r>
      <w:r w:rsidRPr="00507CDB">
        <w:rPr>
          <w:rFonts w:ascii="Book Antiqua" w:eastAsia="宋体" w:hAnsi="Book Antiqua" w:cs="宋体"/>
          <w:b/>
          <w:bCs/>
          <w:sz w:val="24"/>
          <w:szCs w:val="24"/>
        </w:rPr>
        <w:t>Brinkerhoff BT</w:t>
      </w:r>
      <w:r w:rsidRPr="00507CDB">
        <w:rPr>
          <w:rFonts w:ascii="Book Antiqua" w:eastAsia="宋体" w:hAnsi="Book Antiqua" w:cs="宋体"/>
          <w:sz w:val="24"/>
          <w:szCs w:val="24"/>
        </w:rPr>
        <w:t xml:space="preserve">, </w:t>
      </w:r>
      <w:proofErr w:type="spellStart"/>
      <w:r w:rsidRPr="00507CDB">
        <w:rPr>
          <w:rFonts w:ascii="Book Antiqua" w:eastAsia="宋体" w:hAnsi="Book Antiqua" w:cs="宋体"/>
          <w:sz w:val="24"/>
          <w:szCs w:val="24"/>
        </w:rPr>
        <w:t>Choong</w:t>
      </w:r>
      <w:proofErr w:type="spellEnd"/>
      <w:r w:rsidRPr="00507CDB">
        <w:rPr>
          <w:rFonts w:ascii="Book Antiqua" w:eastAsia="宋体" w:hAnsi="Book Antiqua" w:cs="宋体"/>
          <w:sz w:val="24"/>
          <w:szCs w:val="24"/>
        </w:rPr>
        <w:t xml:space="preserve"> NW, </w:t>
      </w:r>
      <w:proofErr w:type="spellStart"/>
      <w:r w:rsidRPr="00507CDB">
        <w:rPr>
          <w:rFonts w:ascii="Book Antiqua" w:eastAsia="宋体" w:hAnsi="Book Antiqua" w:cs="宋体"/>
          <w:sz w:val="24"/>
          <w:szCs w:val="24"/>
        </w:rPr>
        <w:t>Treisman</w:t>
      </w:r>
      <w:proofErr w:type="spellEnd"/>
      <w:r w:rsidRPr="00507CDB">
        <w:rPr>
          <w:rFonts w:ascii="Book Antiqua" w:eastAsia="宋体" w:hAnsi="Book Antiqua" w:cs="宋体"/>
          <w:sz w:val="24"/>
          <w:szCs w:val="24"/>
        </w:rPr>
        <w:t xml:space="preserve"> JS, </w:t>
      </w:r>
      <w:proofErr w:type="spellStart"/>
      <w:r w:rsidRPr="00507CDB">
        <w:rPr>
          <w:rFonts w:ascii="Book Antiqua" w:eastAsia="宋体" w:hAnsi="Book Antiqua" w:cs="宋体"/>
          <w:sz w:val="24"/>
          <w:szCs w:val="24"/>
        </w:rPr>
        <w:t>Poetker</w:t>
      </w:r>
      <w:proofErr w:type="spellEnd"/>
      <w:r w:rsidRPr="00507CDB">
        <w:rPr>
          <w:rFonts w:ascii="Book Antiqua" w:eastAsia="宋体" w:hAnsi="Book Antiqua" w:cs="宋体"/>
          <w:sz w:val="24"/>
          <w:szCs w:val="24"/>
        </w:rPr>
        <w:t xml:space="preserve"> DM. Intravenous and topical intranasal bevacizumab (</w:t>
      </w:r>
      <w:proofErr w:type="spellStart"/>
      <w:r w:rsidRPr="00507CDB">
        <w:rPr>
          <w:rFonts w:ascii="Book Antiqua" w:eastAsia="宋体" w:hAnsi="Book Antiqua" w:cs="宋体"/>
          <w:sz w:val="24"/>
          <w:szCs w:val="24"/>
        </w:rPr>
        <w:t>Avastin</w:t>
      </w:r>
      <w:proofErr w:type="spellEnd"/>
      <w:r w:rsidRPr="00507CDB">
        <w:rPr>
          <w:rFonts w:ascii="Book Antiqua" w:eastAsia="宋体" w:hAnsi="Book Antiqua" w:cs="宋体"/>
          <w:sz w:val="24"/>
          <w:szCs w:val="24"/>
        </w:rPr>
        <w:t>) in hereditary hemorrhagic telangiectasia.</w:t>
      </w:r>
      <w:proofErr w:type="gramEnd"/>
      <w:r w:rsidRPr="00507CDB">
        <w:rPr>
          <w:rFonts w:ascii="Book Antiqua" w:eastAsia="宋体" w:hAnsi="Book Antiqua" w:cs="宋体"/>
          <w:sz w:val="24"/>
          <w:szCs w:val="24"/>
        </w:rPr>
        <w:t> </w:t>
      </w:r>
      <w:r w:rsidRPr="00507CDB">
        <w:rPr>
          <w:rFonts w:ascii="Book Antiqua" w:eastAsia="宋体" w:hAnsi="Book Antiqua" w:cs="宋体"/>
          <w:i/>
          <w:iCs/>
          <w:sz w:val="24"/>
          <w:szCs w:val="24"/>
        </w:rPr>
        <w:t xml:space="preserve">Am J </w:t>
      </w:r>
      <w:proofErr w:type="spellStart"/>
      <w:r w:rsidRPr="00507CDB">
        <w:rPr>
          <w:rFonts w:ascii="Book Antiqua" w:eastAsia="宋体" w:hAnsi="Book Antiqua" w:cs="宋体"/>
          <w:i/>
          <w:iCs/>
          <w:sz w:val="24"/>
          <w:szCs w:val="24"/>
        </w:rPr>
        <w:t>Otolaryngol</w:t>
      </w:r>
      <w:proofErr w:type="spellEnd"/>
      <w:r w:rsidRPr="00507CDB">
        <w:rPr>
          <w:rFonts w:ascii="Book Antiqua" w:eastAsia="宋体" w:hAnsi="Book Antiqua" w:cs="宋体"/>
          <w:sz w:val="24"/>
          <w:szCs w:val="24"/>
        </w:rPr>
        <w:t> </w:t>
      </w:r>
      <w:r>
        <w:rPr>
          <w:rFonts w:ascii="Book Antiqua" w:eastAsia="宋体" w:hAnsi="Book Antiqua" w:cs="宋体" w:hint="eastAsia"/>
          <w:sz w:val="24"/>
          <w:szCs w:val="24"/>
        </w:rPr>
        <w:t>2012</w:t>
      </w:r>
      <w:r w:rsidRPr="00507CDB">
        <w:rPr>
          <w:rFonts w:ascii="Book Antiqua" w:eastAsia="宋体" w:hAnsi="Book Antiqua" w:cs="宋体"/>
          <w:sz w:val="24"/>
          <w:szCs w:val="24"/>
        </w:rPr>
        <w:t>; </w:t>
      </w:r>
      <w:r w:rsidRPr="00507CDB">
        <w:rPr>
          <w:rFonts w:ascii="Book Antiqua" w:eastAsia="宋体" w:hAnsi="Book Antiqua" w:cs="宋体"/>
          <w:b/>
          <w:bCs/>
          <w:sz w:val="24"/>
          <w:szCs w:val="24"/>
        </w:rPr>
        <w:t>33</w:t>
      </w:r>
      <w:r w:rsidRPr="00507CDB">
        <w:rPr>
          <w:rFonts w:ascii="Book Antiqua" w:eastAsia="宋体" w:hAnsi="Book Antiqua" w:cs="宋体"/>
          <w:sz w:val="24"/>
          <w:szCs w:val="24"/>
        </w:rPr>
        <w:t>: 349-351 [PMID: 21917353 DOI: 10.1016/j.amjoto.2011.07.012]</w:t>
      </w:r>
    </w:p>
    <w:p w14:paraId="7E8F3315"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13 </w:t>
      </w:r>
      <w:r w:rsidRPr="00507CDB">
        <w:rPr>
          <w:rFonts w:ascii="Book Antiqua" w:eastAsia="宋体" w:hAnsi="Book Antiqua" w:cs="宋体"/>
          <w:b/>
          <w:bCs/>
          <w:sz w:val="24"/>
          <w:szCs w:val="24"/>
        </w:rPr>
        <w:t>Bose P</w:t>
      </w:r>
      <w:r w:rsidRPr="00507CDB">
        <w:rPr>
          <w:rFonts w:ascii="Book Antiqua" w:eastAsia="宋体" w:hAnsi="Book Antiqua" w:cs="宋体"/>
          <w:sz w:val="24"/>
          <w:szCs w:val="24"/>
        </w:rPr>
        <w:t xml:space="preserve">, </w:t>
      </w:r>
      <w:proofErr w:type="spellStart"/>
      <w:r w:rsidRPr="00507CDB">
        <w:rPr>
          <w:rFonts w:ascii="Book Antiqua" w:eastAsia="宋体" w:hAnsi="Book Antiqua" w:cs="宋体"/>
          <w:sz w:val="24"/>
          <w:szCs w:val="24"/>
        </w:rPr>
        <w:t>Holter</w:t>
      </w:r>
      <w:proofErr w:type="spellEnd"/>
      <w:r w:rsidRPr="00507CDB">
        <w:rPr>
          <w:rFonts w:ascii="Book Antiqua" w:eastAsia="宋体" w:hAnsi="Book Antiqua" w:cs="宋体"/>
          <w:sz w:val="24"/>
          <w:szCs w:val="24"/>
        </w:rPr>
        <w:t xml:space="preserve"> JL, Selby GB. </w:t>
      </w:r>
      <w:proofErr w:type="gramStart"/>
      <w:r w:rsidRPr="00507CDB">
        <w:rPr>
          <w:rFonts w:ascii="Book Antiqua" w:eastAsia="宋体" w:hAnsi="Book Antiqua" w:cs="宋体"/>
          <w:sz w:val="24"/>
          <w:szCs w:val="24"/>
        </w:rPr>
        <w:t>Bevacizumab in hereditary hemorrhagic telangiectasia.</w:t>
      </w:r>
      <w:proofErr w:type="gramEnd"/>
      <w:r w:rsidRPr="00507CDB">
        <w:rPr>
          <w:rFonts w:ascii="Book Antiqua" w:eastAsia="宋体" w:hAnsi="Book Antiqua" w:cs="宋体"/>
          <w:sz w:val="24"/>
          <w:szCs w:val="24"/>
        </w:rPr>
        <w:t> </w:t>
      </w:r>
      <w:r w:rsidRPr="00507CDB">
        <w:rPr>
          <w:rFonts w:ascii="Book Antiqua" w:eastAsia="宋体" w:hAnsi="Book Antiqua" w:cs="宋体"/>
          <w:i/>
          <w:iCs/>
          <w:sz w:val="24"/>
          <w:szCs w:val="24"/>
        </w:rPr>
        <w:t xml:space="preserve">N </w:t>
      </w:r>
      <w:proofErr w:type="spellStart"/>
      <w:r w:rsidRPr="00507CDB">
        <w:rPr>
          <w:rFonts w:ascii="Book Antiqua" w:eastAsia="宋体" w:hAnsi="Book Antiqua" w:cs="宋体"/>
          <w:i/>
          <w:iCs/>
          <w:sz w:val="24"/>
          <w:szCs w:val="24"/>
        </w:rPr>
        <w:t>Engl</w:t>
      </w:r>
      <w:proofErr w:type="spellEnd"/>
      <w:r w:rsidRPr="00507CDB">
        <w:rPr>
          <w:rFonts w:ascii="Book Antiqua" w:eastAsia="宋体" w:hAnsi="Book Antiqua" w:cs="宋体"/>
          <w:i/>
          <w:iCs/>
          <w:sz w:val="24"/>
          <w:szCs w:val="24"/>
        </w:rPr>
        <w:t xml:space="preserve"> J Med</w:t>
      </w:r>
      <w:r w:rsidRPr="00507CDB">
        <w:rPr>
          <w:rFonts w:ascii="Book Antiqua" w:eastAsia="宋体" w:hAnsi="Book Antiqua" w:cs="宋体"/>
          <w:sz w:val="24"/>
          <w:szCs w:val="24"/>
        </w:rPr>
        <w:t> 2009; </w:t>
      </w:r>
      <w:r w:rsidRPr="00507CDB">
        <w:rPr>
          <w:rFonts w:ascii="Book Antiqua" w:eastAsia="宋体" w:hAnsi="Book Antiqua" w:cs="宋体"/>
          <w:b/>
          <w:bCs/>
          <w:sz w:val="24"/>
          <w:szCs w:val="24"/>
        </w:rPr>
        <w:t>360</w:t>
      </w:r>
      <w:r w:rsidRPr="00507CDB">
        <w:rPr>
          <w:rFonts w:ascii="Book Antiqua" w:eastAsia="宋体" w:hAnsi="Book Antiqua" w:cs="宋体"/>
          <w:sz w:val="24"/>
          <w:szCs w:val="24"/>
        </w:rPr>
        <w:t>: 2143-2144 [PMID: 19439755 DOI: 10.1056/NEJMc0901421]</w:t>
      </w:r>
    </w:p>
    <w:p w14:paraId="56A7BB24"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14 </w:t>
      </w:r>
      <w:proofErr w:type="spellStart"/>
      <w:r w:rsidRPr="00507CDB">
        <w:rPr>
          <w:rFonts w:ascii="Book Antiqua" w:eastAsia="宋体" w:hAnsi="Book Antiqua" w:cs="宋体"/>
          <w:b/>
          <w:bCs/>
          <w:sz w:val="24"/>
          <w:szCs w:val="24"/>
        </w:rPr>
        <w:t>Amanzada</w:t>
      </w:r>
      <w:proofErr w:type="spellEnd"/>
      <w:r w:rsidRPr="00507CDB">
        <w:rPr>
          <w:rFonts w:ascii="Book Antiqua" w:eastAsia="宋体" w:hAnsi="Book Antiqua" w:cs="宋体"/>
          <w:b/>
          <w:bCs/>
          <w:sz w:val="24"/>
          <w:szCs w:val="24"/>
        </w:rPr>
        <w:t xml:space="preserve"> A</w:t>
      </w:r>
      <w:r w:rsidRPr="00507CDB">
        <w:rPr>
          <w:rFonts w:ascii="Book Antiqua" w:eastAsia="宋体" w:hAnsi="Book Antiqua" w:cs="宋体"/>
          <w:sz w:val="24"/>
          <w:szCs w:val="24"/>
        </w:rPr>
        <w:t xml:space="preserve">, </w:t>
      </w:r>
      <w:proofErr w:type="spellStart"/>
      <w:r w:rsidRPr="00507CDB">
        <w:rPr>
          <w:rFonts w:ascii="Book Antiqua" w:eastAsia="宋体" w:hAnsi="Book Antiqua" w:cs="宋体"/>
          <w:sz w:val="24"/>
          <w:szCs w:val="24"/>
        </w:rPr>
        <w:t>Töppler</w:t>
      </w:r>
      <w:proofErr w:type="spellEnd"/>
      <w:r w:rsidRPr="00507CDB">
        <w:rPr>
          <w:rFonts w:ascii="Book Antiqua" w:eastAsia="宋体" w:hAnsi="Book Antiqua" w:cs="宋体"/>
          <w:sz w:val="24"/>
          <w:szCs w:val="24"/>
        </w:rPr>
        <w:t xml:space="preserve"> GJ, Cameron S, </w:t>
      </w:r>
      <w:proofErr w:type="spellStart"/>
      <w:r w:rsidRPr="00507CDB">
        <w:rPr>
          <w:rFonts w:ascii="Book Antiqua" w:eastAsia="宋体" w:hAnsi="Book Antiqua" w:cs="宋体"/>
          <w:sz w:val="24"/>
          <w:szCs w:val="24"/>
        </w:rPr>
        <w:t>Schwörer</w:t>
      </w:r>
      <w:proofErr w:type="spellEnd"/>
      <w:r w:rsidRPr="00507CDB">
        <w:rPr>
          <w:rFonts w:ascii="Book Antiqua" w:eastAsia="宋体" w:hAnsi="Book Antiqua" w:cs="宋体"/>
          <w:sz w:val="24"/>
          <w:szCs w:val="24"/>
        </w:rPr>
        <w:t xml:space="preserve"> H, </w:t>
      </w:r>
      <w:proofErr w:type="spellStart"/>
      <w:r w:rsidRPr="00507CDB">
        <w:rPr>
          <w:rFonts w:ascii="Book Antiqua" w:eastAsia="宋体" w:hAnsi="Book Antiqua" w:cs="宋体"/>
          <w:sz w:val="24"/>
          <w:szCs w:val="24"/>
        </w:rPr>
        <w:t>Ramadori</w:t>
      </w:r>
      <w:proofErr w:type="spellEnd"/>
      <w:r w:rsidRPr="00507CDB">
        <w:rPr>
          <w:rFonts w:ascii="Book Antiqua" w:eastAsia="宋体" w:hAnsi="Book Antiqua" w:cs="宋体"/>
          <w:sz w:val="24"/>
          <w:szCs w:val="24"/>
        </w:rPr>
        <w:t xml:space="preserve"> G. A case report of a patient with hereditary hemorrhagic telangiectasia treated successively with thalidomide and bevacizumab. </w:t>
      </w:r>
      <w:r w:rsidRPr="00507CDB">
        <w:rPr>
          <w:rFonts w:ascii="Book Antiqua" w:eastAsia="宋体" w:hAnsi="Book Antiqua" w:cs="宋体"/>
          <w:i/>
          <w:iCs/>
          <w:sz w:val="24"/>
          <w:szCs w:val="24"/>
        </w:rPr>
        <w:t xml:space="preserve">Case Rep </w:t>
      </w:r>
      <w:proofErr w:type="spellStart"/>
      <w:r w:rsidRPr="00507CDB">
        <w:rPr>
          <w:rFonts w:ascii="Book Antiqua" w:eastAsia="宋体" w:hAnsi="Book Antiqua" w:cs="宋体"/>
          <w:i/>
          <w:iCs/>
          <w:sz w:val="24"/>
          <w:szCs w:val="24"/>
        </w:rPr>
        <w:t>Oncol</w:t>
      </w:r>
      <w:proofErr w:type="spellEnd"/>
      <w:r w:rsidRPr="00507CDB">
        <w:rPr>
          <w:rFonts w:ascii="Book Antiqua" w:eastAsia="宋体" w:hAnsi="Book Antiqua" w:cs="宋体"/>
          <w:sz w:val="24"/>
          <w:szCs w:val="24"/>
        </w:rPr>
        <w:t> 2010; </w:t>
      </w:r>
      <w:r w:rsidRPr="00507CDB">
        <w:rPr>
          <w:rFonts w:ascii="Book Antiqua" w:eastAsia="宋体" w:hAnsi="Book Antiqua" w:cs="宋体"/>
          <w:b/>
          <w:bCs/>
          <w:sz w:val="24"/>
          <w:szCs w:val="24"/>
        </w:rPr>
        <w:t>3</w:t>
      </w:r>
      <w:r w:rsidRPr="00507CDB">
        <w:rPr>
          <w:rFonts w:ascii="Book Antiqua" w:eastAsia="宋体" w:hAnsi="Book Antiqua" w:cs="宋体"/>
          <w:sz w:val="24"/>
          <w:szCs w:val="24"/>
        </w:rPr>
        <w:t>: 463-470 [PMID: 21611144 DOI: 10.1159/000323152]</w:t>
      </w:r>
    </w:p>
    <w:p w14:paraId="7BC34059"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15 </w:t>
      </w:r>
      <w:proofErr w:type="spellStart"/>
      <w:r w:rsidRPr="00507CDB">
        <w:rPr>
          <w:rFonts w:ascii="Book Antiqua" w:eastAsia="宋体" w:hAnsi="Book Antiqua" w:cs="宋体"/>
          <w:b/>
          <w:bCs/>
          <w:sz w:val="24"/>
          <w:szCs w:val="24"/>
        </w:rPr>
        <w:t>Lupu</w:t>
      </w:r>
      <w:proofErr w:type="spellEnd"/>
      <w:r w:rsidRPr="00507CDB">
        <w:rPr>
          <w:rFonts w:ascii="Book Antiqua" w:eastAsia="宋体" w:hAnsi="Book Antiqua" w:cs="宋体"/>
          <w:b/>
          <w:bCs/>
          <w:sz w:val="24"/>
          <w:szCs w:val="24"/>
        </w:rPr>
        <w:t xml:space="preserve"> A</w:t>
      </w:r>
      <w:r w:rsidRPr="00507CDB">
        <w:rPr>
          <w:rFonts w:ascii="Book Antiqua" w:eastAsia="宋体" w:hAnsi="Book Antiqua" w:cs="宋体"/>
          <w:sz w:val="24"/>
          <w:szCs w:val="24"/>
        </w:rPr>
        <w:t xml:space="preserve">, </w:t>
      </w:r>
      <w:proofErr w:type="spellStart"/>
      <w:r w:rsidRPr="00507CDB">
        <w:rPr>
          <w:rFonts w:ascii="Book Antiqua" w:eastAsia="宋体" w:hAnsi="Book Antiqua" w:cs="宋体"/>
          <w:sz w:val="24"/>
          <w:szCs w:val="24"/>
        </w:rPr>
        <w:t>Stefanescu</w:t>
      </w:r>
      <w:proofErr w:type="spellEnd"/>
      <w:r w:rsidRPr="00507CDB">
        <w:rPr>
          <w:rFonts w:ascii="Book Antiqua" w:eastAsia="宋体" w:hAnsi="Book Antiqua" w:cs="宋体"/>
          <w:sz w:val="24"/>
          <w:szCs w:val="24"/>
        </w:rPr>
        <w:t xml:space="preserve"> C, </w:t>
      </w:r>
      <w:proofErr w:type="spellStart"/>
      <w:r w:rsidRPr="00507CDB">
        <w:rPr>
          <w:rFonts w:ascii="Book Antiqua" w:eastAsia="宋体" w:hAnsi="Book Antiqua" w:cs="宋体"/>
          <w:sz w:val="24"/>
          <w:szCs w:val="24"/>
        </w:rPr>
        <w:t>Treton</w:t>
      </w:r>
      <w:proofErr w:type="spellEnd"/>
      <w:r w:rsidRPr="00507CDB">
        <w:rPr>
          <w:rFonts w:ascii="Book Antiqua" w:eastAsia="宋体" w:hAnsi="Book Antiqua" w:cs="宋体"/>
          <w:sz w:val="24"/>
          <w:szCs w:val="24"/>
        </w:rPr>
        <w:t xml:space="preserve"> X, Attar A, </w:t>
      </w:r>
      <w:proofErr w:type="spellStart"/>
      <w:r w:rsidRPr="00507CDB">
        <w:rPr>
          <w:rFonts w:ascii="Book Antiqua" w:eastAsia="宋体" w:hAnsi="Book Antiqua" w:cs="宋体"/>
          <w:sz w:val="24"/>
          <w:szCs w:val="24"/>
        </w:rPr>
        <w:t>Corcos</w:t>
      </w:r>
      <w:proofErr w:type="spellEnd"/>
      <w:r w:rsidRPr="00507CDB">
        <w:rPr>
          <w:rFonts w:ascii="Book Antiqua" w:eastAsia="宋体" w:hAnsi="Book Antiqua" w:cs="宋体"/>
          <w:sz w:val="24"/>
          <w:szCs w:val="24"/>
        </w:rPr>
        <w:t xml:space="preserve"> O, </w:t>
      </w:r>
      <w:proofErr w:type="spellStart"/>
      <w:r w:rsidRPr="00507CDB">
        <w:rPr>
          <w:rFonts w:ascii="Book Antiqua" w:eastAsia="宋体" w:hAnsi="Book Antiqua" w:cs="宋体"/>
          <w:sz w:val="24"/>
          <w:szCs w:val="24"/>
        </w:rPr>
        <w:t>Bouhnik</w:t>
      </w:r>
      <w:proofErr w:type="spellEnd"/>
      <w:r w:rsidRPr="00507CDB">
        <w:rPr>
          <w:rFonts w:ascii="Book Antiqua" w:eastAsia="宋体" w:hAnsi="Book Antiqua" w:cs="宋体"/>
          <w:sz w:val="24"/>
          <w:szCs w:val="24"/>
        </w:rPr>
        <w:t xml:space="preserve"> Y. Bevacizumab as rescue treatment for severe recurrent gastrointestinal bleeding in hereditary hemorrhagic telangiectasia. </w:t>
      </w:r>
      <w:r w:rsidRPr="00507CDB">
        <w:rPr>
          <w:rFonts w:ascii="Book Antiqua" w:eastAsia="宋体" w:hAnsi="Book Antiqua" w:cs="宋体"/>
          <w:i/>
          <w:iCs/>
          <w:sz w:val="24"/>
          <w:szCs w:val="24"/>
        </w:rPr>
        <w:t xml:space="preserve">J </w:t>
      </w:r>
      <w:proofErr w:type="spellStart"/>
      <w:r w:rsidRPr="00507CDB">
        <w:rPr>
          <w:rFonts w:ascii="Book Antiqua" w:eastAsia="宋体" w:hAnsi="Book Antiqua" w:cs="宋体"/>
          <w:i/>
          <w:iCs/>
          <w:sz w:val="24"/>
          <w:szCs w:val="24"/>
        </w:rPr>
        <w:t>Clin</w:t>
      </w:r>
      <w:proofErr w:type="spellEnd"/>
      <w:r w:rsidRPr="00507CDB">
        <w:rPr>
          <w:rFonts w:ascii="Book Antiqua" w:eastAsia="宋体" w:hAnsi="Book Antiqua" w:cs="宋体"/>
          <w:i/>
          <w:iCs/>
          <w:sz w:val="24"/>
          <w:szCs w:val="24"/>
        </w:rPr>
        <w:t xml:space="preserve"> </w:t>
      </w:r>
      <w:proofErr w:type="spellStart"/>
      <w:r w:rsidRPr="00507CDB">
        <w:rPr>
          <w:rFonts w:ascii="Book Antiqua" w:eastAsia="宋体" w:hAnsi="Book Antiqua" w:cs="宋体"/>
          <w:i/>
          <w:iCs/>
          <w:sz w:val="24"/>
          <w:szCs w:val="24"/>
        </w:rPr>
        <w:t>Gastroenterol</w:t>
      </w:r>
      <w:proofErr w:type="spellEnd"/>
      <w:r w:rsidRPr="00507CDB">
        <w:rPr>
          <w:rFonts w:ascii="Book Antiqua" w:eastAsia="宋体" w:hAnsi="Book Antiqua" w:cs="宋体"/>
          <w:sz w:val="24"/>
          <w:szCs w:val="24"/>
        </w:rPr>
        <w:t> 2013; </w:t>
      </w:r>
      <w:r w:rsidRPr="00507CDB">
        <w:rPr>
          <w:rFonts w:ascii="Book Antiqua" w:eastAsia="宋体" w:hAnsi="Book Antiqua" w:cs="宋体"/>
          <w:b/>
          <w:bCs/>
          <w:sz w:val="24"/>
          <w:szCs w:val="24"/>
        </w:rPr>
        <w:t>47</w:t>
      </w:r>
      <w:r w:rsidRPr="00507CDB">
        <w:rPr>
          <w:rFonts w:ascii="Book Antiqua" w:eastAsia="宋体" w:hAnsi="Book Antiqua" w:cs="宋体"/>
          <w:sz w:val="24"/>
          <w:szCs w:val="24"/>
        </w:rPr>
        <w:t>: 256-257 [PMID: 23164683 DOI: 10.1097/MCG.0b013e3182688d49]</w:t>
      </w:r>
    </w:p>
    <w:p w14:paraId="0C88823B"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16 </w:t>
      </w:r>
      <w:proofErr w:type="spellStart"/>
      <w:r w:rsidRPr="00507CDB">
        <w:rPr>
          <w:rFonts w:ascii="Book Antiqua" w:eastAsia="宋体" w:hAnsi="Book Antiqua" w:cs="宋体"/>
          <w:b/>
          <w:bCs/>
          <w:sz w:val="24"/>
          <w:szCs w:val="24"/>
        </w:rPr>
        <w:t>Amann</w:t>
      </w:r>
      <w:proofErr w:type="spellEnd"/>
      <w:r w:rsidRPr="00507CDB">
        <w:rPr>
          <w:rFonts w:ascii="Book Antiqua" w:eastAsia="宋体" w:hAnsi="Book Antiqua" w:cs="宋体"/>
          <w:b/>
          <w:bCs/>
          <w:sz w:val="24"/>
          <w:szCs w:val="24"/>
        </w:rPr>
        <w:t xml:space="preserve"> A</w:t>
      </w:r>
      <w:r w:rsidRPr="00507CDB">
        <w:rPr>
          <w:rFonts w:ascii="Book Antiqua" w:eastAsia="宋体" w:hAnsi="Book Antiqua" w:cs="宋体"/>
          <w:sz w:val="24"/>
          <w:szCs w:val="24"/>
        </w:rPr>
        <w:t xml:space="preserve">, Steiner N, </w:t>
      </w:r>
      <w:proofErr w:type="spellStart"/>
      <w:r w:rsidRPr="00507CDB">
        <w:rPr>
          <w:rFonts w:ascii="Book Antiqua" w:eastAsia="宋体" w:hAnsi="Book Antiqua" w:cs="宋体"/>
          <w:sz w:val="24"/>
          <w:szCs w:val="24"/>
        </w:rPr>
        <w:t>Gunsilius</w:t>
      </w:r>
      <w:proofErr w:type="spellEnd"/>
      <w:r w:rsidRPr="00507CDB">
        <w:rPr>
          <w:rFonts w:ascii="Book Antiqua" w:eastAsia="宋体" w:hAnsi="Book Antiqua" w:cs="宋体"/>
          <w:sz w:val="24"/>
          <w:szCs w:val="24"/>
        </w:rPr>
        <w:t xml:space="preserve"> E. Bevacizumab: an option for refractory epistaxis in hereditary haemorrhagic telangiectasia. </w:t>
      </w:r>
      <w:r w:rsidRPr="00507CDB">
        <w:rPr>
          <w:rFonts w:ascii="Book Antiqua" w:eastAsia="宋体" w:hAnsi="Book Antiqua" w:cs="宋体"/>
          <w:i/>
          <w:iCs/>
          <w:sz w:val="24"/>
          <w:szCs w:val="24"/>
        </w:rPr>
        <w:t xml:space="preserve">Wien </w:t>
      </w:r>
      <w:proofErr w:type="spellStart"/>
      <w:r w:rsidRPr="00507CDB">
        <w:rPr>
          <w:rFonts w:ascii="Book Antiqua" w:eastAsia="宋体" w:hAnsi="Book Antiqua" w:cs="宋体"/>
          <w:i/>
          <w:iCs/>
          <w:sz w:val="24"/>
          <w:szCs w:val="24"/>
        </w:rPr>
        <w:t>Klin</w:t>
      </w:r>
      <w:proofErr w:type="spellEnd"/>
      <w:r w:rsidRPr="00507CDB">
        <w:rPr>
          <w:rFonts w:ascii="Book Antiqua" w:eastAsia="宋体" w:hAnsi="Book Antiqua" w:cs="宋体"/>
          <w:i/>
          <w:iCs/>
          <w:sz w:val="24"/>
          <w:szCs w:val="24"/>
        </w:rPr>
        <w:t xml:space="preserve"> </w:t>
      </w:r>
      <w:proofErr w:type="spellStart"/>
      <w:r w:rsidRPr="00507CDB">
        <w:rPr>
          <w:rFonts w:ascii="Book Antiqua" w:eastAsia="宋体" w:hAnsi="Book Antiqua" w:cs="宋体"/>
          <w:i/>
          <w:iCs/>
          <w:sz w:val="24"/>
          <w:szCs w:val="24"/>
        </w:rPr>
        <w:t>Wochenschr</w:t>
      </w:r>
      <w:proofErr w:type="spellEnd"/>
      <w:r w:rsidRPr="00507CDB">
        <w:rPr>
          <w:rFonts w:ascii="Book Antiqua" w:eastAsia="宋体" w:hAnsi="Book Antiqua" w:cs="宋体"/>
          <w:sz w:val="24"/>
          <w:szCs w:val="24"/>
        </w:rPr>
        <w:t> 2015; </w:t>
      </w:r>
      <w:r w:rsidRPr="00507CDB">
        <w:rPr>
          <w:rFonts w:ascii="Book Antiqua" w:eastAsia="宋体" w:hAnsi="Book Antiqua" w:cs="宋体"/>
          <w:b/>
          <w:bCs/>
          <w:sz w:val="24"/>
          <w:szCs w:val="24"/>
        </w:rPr>
        <w:t>127</w:t>
      </w:r>
      <w:r w:rsidRPr="00507CDB">
        <w:rPr>
          <w:rFonts w:ascii="Book Antiqua" w:eastAsia="宋体" w:hAnsi="Book Antiqua" w:cs="宋体"/>
          <w:sz w:val="24"/>
          <w:szCs w:val="24"/>
        </w:rPr>
        <w:t>: 631-634 [PMID: 25986996 DOI: 10.1007/s00508-015-0789-4]</w:t>
      </w:r>
    </w:p>
    <w:p w14:paraId="6BF8DA7C"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lastRenderedPageBreak/>
        <w:t>17 </w:t>
      </w:r>
      <w:proofErr w:type="spellStart"/>
      <w:r w:rsidRPr="00507CDB">
        <w:rPr>
          <w:rFonts w:ascii="Book Antiqua" w:eastAsia="宋体" w:hAnsi="Book Antiqua" w:cs="宋体"/>
          <w:b/>
          <w:bCs/>
          <w:sz w:val="24"/>
          <w:szCs w:val="24"/>
        </w:rPr>
        <w:t>Arizmendez</w:t>
      </w:r>
      <w:proofErr w:type="spellEnd"/>
      <w:r w:rsidRPr="00507CDB">
        <w:rPr>
          <w:rFonts w:ascii="Book Antiqua" w:eastAsia="宋体" w:hAnsi="Book Antiqua" w:cs="宋体"/>
          <w:b/>
          <w:bCs/>
          <w:sz w:val="24"/>
          <w:szCs w:val="24"/>
        </w:rPr>
        <w:t xml:space="preserve"> NP</w:t>
      </w:r>
      <w:r w:rsidRPr="00507CDB">
        <w:rPr>
          <w:rFonts w:ascii="Book Antiqua" w:eastAsia="宋体" w:hAnsi="Book Antiqua" w:cs="宋体"/>
          <w:sz w:val="24"/>
          <w:szCs w:val="24"/>
        </w:rPr>
        <w:t xml:space="preserve">, </w:t>
      </w:r>
      <w:proofErr w:type="spellStart"/>
      <w:r w:rsidRPr="00507CDB">
        <w:rPr>
          <w:rFonts w:ascii="Book Antiqua" w:eastAsia="宋体" w:hAnsi="Book Antiqua" w:cs="宋体"/>
          <w:sz w:val="24"/>
          <w:szCs w:val="24"/>
        </w:rPr>
        <w:t>Rudmik</w:t>
      </w:r>
      <w:proofErr w:type="spellEnd"/>
      <w:r w:rsidRPr="00507CDB">
        <w:rPr>
          <w:rFonts w:ascii="Book Antiqua" w:eastAsia="宋体" w:hAnsi="Book Antiqua" w:cs="宋体"/>
          <w:sz w:val="24"/>
          <w:szCs w:val="24"/>
        </w:rPr>
        <w:t xml:space="preserve"> L, </w:t>
      </w:r>
      <w:proofErr w:type="spellStart"/>
      <w:r w:rsidRPr="00507CDB">
        <w:rPr>
          <w:rFonts w:ascii="Book Antiqua" w:eastAsia="宋体" w:hAnsi="Book Antiqua" w:cs="宋体"/>
          <w:sz w:val="24"/>
          <w:szCs w:val="24"/>
        </w:rPr>
        <w:t>Poetker</w:t>
      </w:r>
      <w:proofErr w:type="spellEnd"/>
      <w:r w:rsidRPr="00507CDB">
        <w:rPr>
          <w:rFonts w:ascii="Book Antiqua" w:eastAsia="宋体" w:hAnsi="Book Antiqua" w:cs="宋体"/>
          <w:sz w:val="24"/>
          <w:szCs w:val="24"/>
        </w:rPr>
        <w:t xml:space="preserve"> DM. Intravenous bevacizumab for complications of hereditary hemorrhagic telangiectasia: a review of the literature. </w:t>
      </w:r>
      <w:proofErr w:type="spellStart"/>
      <w:r w:rsidRPr="00507CDB">
        <w:rPr>
          <w:rFonts w:ascii="Book Antiqua" w:eastAsia="宋体" w:hAnsi="Book Antiqua" w:cs="宋体"/>
          <w:i/>
          <w:iCs/>
          <w:sz w:val="24"/>
          <w:szCs w:val="24"/>
        </w:rPr>
        <w:t>Int</w:t>
      </w:r>
      <w:proofErr w:type="spellEnd"/>
      <w:r w:rsidRPr="00507CDB">
        <w:rPr>
          <w:rFonts w:ascii="Book Antiqua" w:eastAsia="宋体" w:hAnsi="Book Antiqua" w:cs="宋体"/>
          <w:i/>
          <w:iCs/>
          <w:sz w:val="24"/>
          <w:szCs w:val="24"/>
        </w:rPr>
        <w:t xml:space="preserve"> Forum Allergy </w:t>
      </w:r>
      <w:proofErr w:type="spellStart"/>
      <w:r w:rsidRPr="00507CDB">
        <w:rPr>
          <w:rFonts w:ascii="Book Antiqua" w:eastAsia="宋体" w:hAnsi="Book Antiqua" w:cs="宋体"/>
          <w:i/>
          <w:iCs/>
          <w:sz w:val="24"/>
          <w:szCs w:val="24"/>
        </w:rPr>
        <w:t>Rhinol</w:t>
      </w:r>
      <w:proofErr w:type="spellEnd"/>
      <w:r w:rsidRPr="00507CDB">
        <w:rPr>
          <w:rFonts w:ascii="Book Antiqua" w:eastAsia="宋体" w:hAnsi="Book Antiqua" w:cs="宋体"/>
          <w:sz w:val="24"/>
          <w:szCs w:val="24"/>
        </w:rPr>
        <w:t> 2015; </w:t>
      </w:r>
      <w:r w:rsidRPr="00507CDB">
        <w:rPr>
          <w:rFonts w:ascii="Book Antiqua" w:eastAsia="宋体" w:hAnsi="Book Antiqua" w:cs="宋体"/>
          <w:b/>
          <w:bCs/>
          <w:sz w:val="24"/>
          <w:szCs w:val="24"/>
        </w:rPr>
        <w:t>5</w:t>
      </w:r>
      <w:r w:rsidRPr="00507CDB">
        <w:rPr>
          <w:rFonts w:ascii="Book Antiqua" w:eastAsia="宋体" w:hAnsi="Book Antiqua" w:cs="宋体"/>
          <w:sz w:val="24"/>
          <w:szCs w:val="24"/>
        </w:rPr>
        <w:t>: 1042-1047 [PMID: 26202958 DOI: 10.1002/alr.21587]</w:t>
      </w:r>
    </w:p>
    <w:p w14:paraId="44E2CB12"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18 </w:t>
      </w:r>
      <w:r w:rsidRPr="00507CDB">
        <w:rPr>
          <w:rFonts w:ascii="Book Antiqua" w:eastAsia="宋体" w:hAnsi="Book Antiqua" w:cs="宋体"/>
          <w:b/>
          <w:bCs/>
          <w:sz w:val="24"/>
          <w:szCs w:val="24"/>
        </w:rPr>
        <w:t>Cohen MH</w:t>
      </w:r>
      <w:r w:rsidRPr="00507CDB">
        <w:rPr>
          <w:rFonts w:ascii="Book Antiqua" w:eastAsia="宋体" w:hAnsi="Book Antiqua" w:cs="宋体"/>
          <w:sz w:val="24"/>
          <w:szCs w:val="24"/>
        </w:rPr>
        <w:t xml:space="preserve">, </w:t>
      </w:r>
      <w:proofErr w:type="spellStart"/>
      <w:r w:rsidRPr="00507CDB">
        <w:rPr>
          <w:rFonts w:ascii="Book Antiqua" w:eastAsia="宋体" w:hAnsi="Book Antiqua" w:cs="宋体"/>
          <w:sz w:val="24"/>
          <w:szCs w:val="24"/>
        </w:rPr>
        <w:t>Gootenberg</w:t>
      </w:r>
      <w:proofErr w:type="spellEnd"/>
      <w:r w:rsidRPr="00507CDB">
        <w:rPr>
          <w:rFonts w:ascii="Book Antiqua" w:eastAsia="宋体" w:hAnsi="Book Antiqua" w:cs="宋体"/>
          <w:sz w:val="24"/>
          <w:szCs w:val="24"/>
        </w:rPr>
        <w:t xml:space="preserve"> J, Keegan P, </w:t>
      </w:r>
      <w:proofErr w:type="spellStart"/>
      <w:r w:rsidRPr="00507CDB">
        <w:rPr>
          <w:rFonts w:ascii="Book Antiqua" w:eastAsia="宋体" w:hAnsi="Book Antiqua" w:cs="宋体"/>
          <w:sz w:val="24"/>
          <w:szCs w:val="24"/>
        </w:rPr>
        <w:t>Pazdur</w:t>
      </w:r>
      <w:proofErr w:type="spellEnd"/>
      <w:r w:rsidRPr="00507CDB">
        <w:rPr>
          <w:rFonts w:ascii="Book Antiqua" w:eastAsia="宋体" w:hAnsi="Book Antiqua" w:cs="宋体"/>
          <w:sz w:val="24"/>
          <w:szCs w:val="24"/>
        </w:rPr>
        <w:t xml:space="preserve"> R. FDA drug approval summary: bevacizumab (</w:t>
      </w:r>
      <w:proofErr w:type="spellStart"/>
      <w:r w:rsidRPr="00507CDB">
        <w:rPr>
          <w:rFonts w:ascii="Book Antiqua" w:eastAsia="宋体" w:hAnsi="Book Antiqua" w:cs="宋体"/>
          <w:sz w:val="24"/>
          <w:szCs w:val="24"/>
        </w:rPr>
        <w:t>Avastin</w:t>
      </w:r>
      <w:proofErr w:type="spellEnd"/>
      <w:r w:rsidRPr="00507CDB">
        <w:rPr>
          <w:rFonts w:ascii="Book Antiqua" w:eastAsia="宋体" w:hAnsi="Book Antiqua" w:cs="宋体"/>
          <w:sz w:val="24"/>
          <w:szCs w:val="24"/>
        </w:rPr>
        <w:t xml:space="preserve">) plus Carboplatin and Paclitaxel as first-line treatment of advanced/metastatic recurrent </w:t>
      </w:r>
      <w:proofErr w:type="spellStart"/>
      <w:r w:rsidRPr="00507CDB">
        <w:rPr>
          <w:rFonts w:ascii="Book Antiqua" w:eastAsia="宋体" w:hAnsi="Book Antiqua" w:cs="宋体"/>
          <w:sz w:val="24"/>
          <w:szCs w:val="24"/>
        </w:rPr>
        <w:t>nonsquamous</w:t>
      </w:r>
      <w:proofErr w:type="spellEnd"/>
      <w:r w:rsidRPr="00507CDB">
        <w:rPr>
          <w:rFonts w:ascii="Book Antiqua" w:eastAsia="宋体" w:hAnsi="Book Antiqua" w:cs="宋体"/>
          <w:sz w:val="24"/>
          <w:szCs w:val="24"/>
        </w:rPr>
        <w:t xml:space="preserve"> non-small cell lung cancer. </w:t>
      </w:r>
      <w:r w:rsidRPr="00507CDB">
        <w:rPr>
          <w:rFonts w:ascii="Book Antiqua" w:eastAsia="宋体" w:hAnsi="Book Antiqua" w:cs="宋体"/>
          <w:i/>
          <w:iCs/>
          <w:sz w:val="24"/>
          <w:szCs w:val="24"/>
        </w:rPr>
        <w:t>Oncologist</w:t>
      </w:r>
      <w:r w:rsidRPr="00507CDB">
        <w:rPr>
          <w:rFonts w:ascii="Book Antiqua" w:eastAsia="宋体" w:hAnsi="Book Antiqua" w:cs="宋体"/>
          <w:sz w:val="24"/>
          <w:szCs w:val="24"/>
        </w:rPr>
        <w:t> 2007; </w:t>
      </w:r>
      <w:r w:rsidRPr="00507CDB">
        <w:rPr>
          <w:rFonts w:ascii="Book Antiqua" w:eastAsia="宋体" w:hAnsi="Book Antiqua" w:cs="宋体"/>
          <w:b/>
          <w:bCs/>
          <w:sz w:val="24"/>
          <w:szCs w:val="24"/>
        </w:rPr>
        <w:t>12</w:t>
      </w:r>
      <w:r w:rsidRPr="00507CDB">
        <w:rPr>
          <w:rFonts w:ascii="Book Antiqua" w:eastAsia="宋体" w:hAnsi="Book Antiqua" w:cs="宋体"/>
          <w:sz w:val="24"/>
          <w:szCs w:val="24"/>
        </w:rPr>
        <w:t>: 713-718 [PMID: 17602060 DOI: 10.1634/theoncologist.12-6-713]</w:t>
      </w:r>
    </w:p>
    <w:p w14:paraId="4B954D53"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19 </w:t>
      </w:r>
      <w:proofErr w:type="spellStart"/>
      <w:r w:rsidRPr="00507CDB">
        <w:rPr>
          <w:rFonts w:ascii="Book Antiqua" w:eastAsia="宋体" w:hAnsi="Book Antiqua" w:cs="宋体"/>
          <w:b/>
          <w:bCs/>
          <w:sz w:val="24"/>
          <w:szCs w:val="24"/>
        </w:rPr>
        <w:t>Vlachou</w:t>
      </w:r>
      <w:proofErr w:type="spellEnd"/>
      <w:r w:rsidRPr="00507CDB">
        <w:rPr>
          <w:rFonts w:ascii="Book Antiqua" w:eastAsia="宋体" w:hAnsi="Book Antiqua" w:cs="宋体"/>
          <w:b/>
          <w:bCs/>
          <w:sz w:val="24"/>
          <w:szCs w:val="24"/>
        </w:rPr>
        <w:t xml:space="preserve"> PA</w:t>
      </w:r>
      <w:r w:rsidRPr="00507CDB">
        <w:rPr>
          <w:rFonts w:ascii="Book Antiqua" w:eastAsia="宋体" w:hAnsi="Book Antiqua" w:cs="宋体"/>
          <w:sz w:val="24"/>
          <w:szCs w:val="24"/>
        </w:rPr>
        <w:t xml:space="preserve">, </w:t>
      </w:r>
      <w:proofErr w:type="spellStart"/>
      <w:r w:rsidRPr="00507CDB">
        <w:rPr>
          <w:rFonts w:ascii="Book Antiqua" w:eastAsia="宋体" w:hAnsi="Book Antiqua" w:cs="宋体"/>
          <w:sz w:val="24"/>
          <w:szCs w:val="24"/>
        </w:rPr>
        <w:t>Colak</w:t>
      </w:r>
      <w:proofErr w:type="spellEnd"/>
      <w:r w:rsidRPr="00507CDB">
        <w:rPr>
          <w:rFonts w:ascii="Book Antiqua" w:eastAsia="宋体" w:hAnsi="Book Antiqua" w:cs="宋体"/>
          <w:sz w:val="24"/>
          <w:szCs w:val="24"/>
        </w:rPr>
        <w:t xml:space="preserve"> E, </w:t>
      </w:r>
      <w:proofErr w:type="spellStart"/>
      <w:r w:rsidRPr="00507CDB">
        <w:rPr>
          <w:rFonts w:ascii="Book Antiqua" w:eastAsia="宋体" w:hAnsi="Book Antiqua" w:cs="宋体"/>
          <w:sz w:val="24"/>
          <w:szCs w:val="24"/>
        </w:rPr>
        <w:t>Koculym</w:t>
      </w:r>
      <w:proofErr w:type="spellEnd"/>
      <w:r w:rsidRPr="00507CDB">
        <w:rPr>
          <w:rFonts w:ascii="Book Antiqua" w:eastAsia="宋体" w:hAnsi="Book Antiqua" w:cs="宋体"/>
          <w:sz w:val="24"/>
          <w:szCs w:val="24"/>
        </w:rPr>
        <w:t xml:space="preserve"> A, </w:t>
      </w:r>
      <w:proofErr w:type="spellStart"/>
      <w:r w:rsidRPr="00507CDB">
        <w:rPr>
          <w:rFonts w:ascii="Book Antiqua" w:eastAsia="宋体" w:hAnsi="Book Antiqua" w:cs="宋体"/>
          <w:sz w:val="24"/>
          <w:szCs w:val="24"/>
        </w:rPr>
        <w:t>Kirpalani</w:t>
      </w:r>
      <w:proofErr w:type="spellEnd"/>
      <w:r w:rsidRPr="00507CDB">
        <w:rPr>
          <w:rFonts w:ascii="Book Antiqua" w:eastAsia="宋体" w:hAnsi="Book Antiqua" w:cs="宋体"/>
          <w:sz w:val="24"/>
          <w:szCs w:val="24"/>
        </w:rPr>
        <w:t xml:space="preserve"> A, Kim TK, Hirschfield GM, </w:t>
      </w:r>
      <w:proofErr w:type="spellStart"/>
      <w:r w:rsidRPr="00507CDB">
        <w:rPr>
          <w:rFonts w:ascii="Book Antiqua" w:eastAsia="宋体" w:hAnsi="Book Antiqua" w:cs="宋体"/>
          <w:sz w:val="24"/>
          <w:szCs w:val="24"/>
        </w:rPr>
        <w:t>Faughnan</w:t>
      </w:r>
      <w:proofErr w:type="spellEnd"/>
      <w:r w:rsidRPr="00507CDB">
        <w:rPr>
          <w:rFonts w:ascii="Book Antiqua" w:eastAsia="宋体" w:hAnsi="Book Antiqua" w:cs="宋体"/>
          <w:sz w:val="24"/>
          <w:szCs w:val="24"/>
        </w:rPr>
        <w:t xml:space="preserve"> ME. </w:t>
      </w:r>
      <w:proofErr w:type="gramStart"/>
      <w:r w:rsidRPr="00507CDB">
        <w:rPr>
          <w:rFonts w:ascii="Book Antiqua" w:eastAsia="宋体" w:hAnsi="Book Antiqua" w:cs="宋体"/>
          <w:sz w:val="24"/>
          <w:szCs w:val="24"/>
        </w:rPr>
        <w:t xml:space="preserve">Improvement of ischemic </w:t>
      </w:r>
      <w:proofErr w:type="spellStart"/>
      <w:r w:rsidRPr="00507CDB">
        <w:rPr>
          <w:rFonts w:ascii="Book Antiqua" w:eastAsia="宋体" w:hAnsi="Book Antiqua" w:cs="宋体"/>
          <w:sz w:val="24"/>
          <w:szCs w:val="24"/>
        </w:rPr>
        <w:t>cholangiopathy</w:t>
      </w:r>
      <w:proofErr w:type="spellEnd"/>
      <w:r w:rsidRPr="00507CDB">
        <w:rPr>
          <w:rFonts w:ascii="Book Antiqua" w:eastAsia="宋体" w:hAnsi="Book Antiqua" w:cs="宋体"/>
          <w:sz w:val="24"/>
          <w:szCs w:val="24"/>
        </w:rPr>
        <w:t xml:space="preserve"> in three patients with hereditary hemorrhagic telangiectasia following treatment with bevacizumab.</w:t>
      </w:r>
      <w:proofErr w:type="gramEnd"/>
      <w:r w:rsidRPr="00507CDB">
        <w:rPr>
          <w:rFonts w:ascii="Book Antiqua" w:eastAsia="宋体" w:hAnsi="Book Antiqua" w:cs="宋体"/>
          <w:sz w:val="24"/>
          <w:szCs w:val="24"/>
        </w:rPr>
        <w:t> </w:t>
      </w:r>
      <w:r w:rsidRPr="00507CDB">
        <w:rPr>
          <w:rFonts w:ascii="Book Antiqua" w:eastAsia="宋体" w:hAnsi="Book Antiqua" w:cs="宋体"/>
          <w:i/>
          <w:iCs/>
          <w:sz w:val="24"/>
          <w:szCs w:val="24"/>
        </w:rPr>
        <w:t xml:space="preserve">J </w:t>
      </w:r>
      <w:proofErr w:type="spellStart"/>
      <w:r w:rsidRPr="00507CDB">
        <w:rPr>
          <w:rFonts w:ascii="Book Antiqua" w:eastAsia="宋体" w:hAnsi="Book Antiqua" w:cs="宋体"/>
          <w:i/>
          <w:iCs/>
          <w:sz w:val="24"/>
          <w:szCs w:val="24"/>
        </w:rPr>
        <w:t>Hepatol</w:t>
      </w:r>
      <w:proofErr w:type="spellEnd"/>
      <w:r w:rsidRPr="00507CDB">
        <w:rPr>
          <w:rFonts w:ascii="Book Antiqua" w:eastAsia="宋体" w:hAnsi="Book Antiqua" w:cs="宋体"/>
          <w:sz w:val="24"/>
          <w:szCs w:val="24"/>
        </w:rPr>
        <w:t> 2013; </w:t>
      </w:r>
      <w:r w:rsidRPr="00507CDB">
        <w:rPr>
          <w:rFonts w:ascii="Book Antiqua" w:eastAsia="宋体" w:hAnsi="Book Antiqua" w:cs="宋体"/>
          <w:b/>
          <w:bCs/>
          <w:sz w:val="24"/>
          <w:szCs w:val="24"/>
        </w:rPr>
        <w:t>59</w:t>
      </w:r>
      <w:r w:rsidRPr="00507CDB">
        <w:rPr>
          <w:rFonts w:ascii="Book Antiqua" w:eastAsia="宋体" w:hAnsi="Book Antiqua" w:cs="宋体"/>
          <w:sz w:val="24"/>
          <w:szCs w:val="24"/>
        </w:rPr>
        <w:t>: 186-189 [PMID: 23439260 DOI: 10.1016/j.jhep.2013.02.006]</w:t>
      </w:r>
    </w:p>
    <w:p w14:paraId="39C4568C"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20 </w:t>
      </w:r>
      <w:r w:rsidRPr="00507CDB">
        <w:rPr>
          <w:rFonts w:ascii="Book Antiqua" w:eastAsia="宋体" w:hAnsi="Book Antiqua" w:cs="宋体"/>
          <w:b/>
          <w:bCs/>
          <w:sz w:val="24"/>
          <w:szCs w:val="24"/>
        </w:rPr>
        <w:t>Dupuis-</w:t>
      </w:r>
      <w:proofErr w:type="spellStart"/>
      <w:r w:rsidRPr="00507CDB">
        <w:rPr>
          <w:rFonts w:ascii="Book Antiqua" w:eastAsia="宋体" w:hAnsi="Book Antiqua" w:cs="宋体"/>
          <w:b/>
          <w:bCs/>
          <w:sz w:val="24"/>
          <w:szCs w:val="24"/>
        </w:rPr>
        <w:t>Girod</w:t>
      </w:r>
      <w:proofErr w:type="spellEnd"/>
      <w:r w:rsidRPr="00507CDB">
        <w:rPr>
          <w:rFonts w:ascii="Book Antiqua" w:eastAsia="宋体" w:hAnsi="Book Antiqua" w:cs="宋体"/>
          <w:b/>
          <w:bCs/>
          <w:sz w:val="24"/>
          <w:szCs w:val="24"/>
        </w:rPr>
        <w:t xml:space="preserve"> S</w:t>
      </w:r>
      <w:r w:rsidRPr="00507CDB">
        <w:rPr>
          <w:rFonts w:ascii="Book Antiqua" w:eastAsia="宋体" w:hAnsi="Book Antiqua" w:cs="宋体"/>
          <w:sz w:val="24"/>
          <w:szCs w:val="24"/>
        </w:rPr>
        <w:t xml:space="preserve">, </w:t>
      </w:r>
      <w:proofErr w:type="spellStart"/>
      <w:r w:rsidRPr="00507CDB">
        <w:rPr>
          <w:rFonts w:ascii="Book Antiqua" w:eastAsia="宋体" w:hAnsi="Book Antiqua" w:cs="宋体"/>
          <w:sz w:val="24"/>
          <w:szCs w:val="24"/>
        </w:rPr>
        <w:t>Ginon</w:t>
      </w:r>
      <w:proofErr w:type="spellEnd"/>
      <w:r w:rsidRPr="00507CDB">
        <w:rPr>
          <w:rFonts w:ascii="Book Antiqua" w:eastAsia="宋体" w:hAnsi="Book Antiqua" w:cs="宋体"/>
          <w:sz w:val="24"/>
          <w:szCs w:val="24"/>
        </w:rPr>
        <w:t xml:space="preserve"> I, </w:t>
      </w:r>
      <w:proofErr w:type="spellStart"/>
      <w:r w:rsidRPr="00507CDB">
        <w:rPr>
          <w:rFonts w:ascii="Book Antiqua" w:eastAsia="宋体" w:hAnsi="Book Antiqua" w:cs="宋体"/>
          <w:sz w:val="24"/>
          <w:szCs w:val="24"/>
        </w:rPr>
        <w:t>Saurin</w:t>
      </w:r>
      <w:proofErr w:type="spellEnd"/>
      <w:r w:rsidRPr="00507CDB">
        <w:rPr>
          <w:rFonts w:ascii="Book Antiqua" w:eastAsia="宋体" w:hAnsi="Book Antiqua" w:cs="宋体"/>
          <w:sz w:val="24"/>
          <w:szCs w:val="24"/>
        </w:rPr>
        <w:t xml:space="preserve"> JC, Marion D, </w:t>
      </w:r>
      <w:proofErr w:type="spellStart"/>
      <w:r w:rsidRPr="00507CDB">
        <w:rPr>
          <w:rFonts w:ascii="Book Antiqua" w:eastAsia="宋体" w:hAnsi="Book Antiqua" w:cs="宋体"/>
          <w:sz w:val="24"/>
          <w:szCs w:val="24"/>
        </w:rPr>
        <w:t>Guillot</w:t>
      </w:r>
      <w:proofErr w:type="spellEnd"/>
      <w:r w:rsidRPr="00507CDB">
        <w:rPr>
          <w:rFonts w:ascii="Book Antiqua" w:eastAsia="宋体" w:hAnsi="Book Antiqua" w:cs="宋体"/>
          <w:sz w:val="24"/>
          <w:szCs w:val="24"/>
        </w:rPr>
        <w:t xml:space="preserve"> E, </w:t>
      </w:r>
      <w:proofErr w:type="spellStart"/>
      <w:r w:rsidRPr="00507CDB">
        <w:rPr>
          <w:rFonts w:ascii="Book Antiqua" w:eastAsia="宋体" w:hAnsi="Book Antiqua" w:cs="宋体"/>
          <w:sz w:val="24"/>
          <w:szCs w:val="24"/>
        </w:rPr>
        <w:t>Decullier</w:t>
      </w:r>
      <w:proofErr w:type="spellEnd"/>
      <w:r w:rsidRPr="00507CDB">
        <w:rPr>
          <w:rFonts w:ascii="Book Antiqua" w:eastAsia="宋体" w:hAnsi="Book Antiqua" w:cs="宋体"/>
          <w:sz w:val="24"/>
          <w:szCs w:val="24"/>
        </w:rPr>
        <w:t xml:space="preserve"> E, Roux A, </w:t>
      </w:r>
      <w:proofErr w:type="spellStart"/>
      <w:r w:rsidRPr="00507CDB">
        <w:rPr>
          <w:rFonts w:ascii="Book Antiqua" w:eastAsia="宋体" w:hAnsi="Book Antiqua" w:cs="宋体"/>
          <w:sz w:val="24"/>
          <w:szCs w:val="24"/>
        </w:rPr>
        <w:t>Carette</w:t>
      </w:r>
      <w:proofErr w:type="spellEnd"/>
      <w:r w:rsidRPr="00507CDB">
        <w:rPr>
          <w:rFonts w:ascii="Book Antiqua" w:eastAsia="宋体" w:hAnsi="Book Antiqua" w:cs="宋体"/>
          <w:sz w:val="24"/>
          <w:szCs w:val="24"/>
        </w:rPr>
        <w:t xml:space="preserve"> MF, Gilbert-</w:t>
      </w:r>
      <w:proofErr w:type="spellStart"/>
      <w:r w:rsidRPr="00507CDB">
        <w:rPr>
          <w:rFonts w:ascii="Book Antiqua" w:eastAsia="宋体" w:hAnsi="Book Antiqua" w:cs="宋体"/>
          <w:sz w:val="24"/>
          <w:szCs w:val="24"/>
        </w:rPr>
        <w:t>Dussardier</w:t>
      </w:r>
      <w:proofErr w:type="spellEnd"/>
      <w:r w:rsidRPr="00507CDB">
        <w:rPr>
          <w:rFonts w:ascii="Book Antiqua" w:eastAsia="宋体" w:hAnsi="Book Antiqua" w:cs="宋体"/>
          <w:sz w:val="24"/>
          <w:szCs w:val="24"/>
        </w:rPr>
        <w:t xml:space="preserve"> B, </w:t>
      </w:r>
      <w:proofErr w:type="spellStart"/>
      <w:r w:rsidRPr="00507CDB">
        <w:rPr>
          <w:rFonts w:ascii="Book Antiqua" w:eastAsia="宋体" w:hAnsi="Book Antiqua" w:cs="宋体"/>
          <w:sz w:val="24"/>
          <w:szCs w:val="24"/>
        </w:rPr>
        <w:t>Hatron</w:t>
      </w:r>
      <w:proofErr w:type="spellEnd"/>
      <w:r w:rsidRPr="00507CDB">
        <w:rPr>
          <w:rFonts w:ascii="Book Antiqua" w:eastAsia="宋体" w:hAnsi="Book Antiqua" w:cs="宋体"/>
          <w:sz w:val="24"/>
          <w:szCs w:val="24"/>
        </w:rPr>
        <w:t xml:space="preserve"> PY, Lacombe P, </w:t>
      </w:r>
      <w:proofErr w:type="spellStart"/>
      <w:r w:rsidRPr="00507CDB">
        <w:rPr>
          <w:rFonts w:ascii="Book Antiqua" w:eastAsia="宋体" w:hAnsi="Book Antiqua" w:cs="宋体"/>
          <w:sz w:val="24"/>
          <w:szCs w:val="24"/>
        </w:rPr>
        <w:t>Lorcerie</w:t>
      </w:r>
      <w:proofErr w:type="spellEnd"/>
      <w:r w:rsidRPr="00507CDB">
        <w:rPr>
          <w:rFonts w:ascii="Book Antiqua" w:eastAsia="宋体" w:hAnsi="Book Antiqua" w:cs="宋体"/>
          <w:sz w:val="24"/>
          <w:szCs w:val="24"/>
        </w:rPr>
        <w:t xml:space="preserve"> B, </w:t>
      </w:r>
      <w:proofErr w:type="spellStart"/>
      <w:r w:rsidRPr="00507CDB">
        <w:rPr>
          <w:rFonts w:ascii="Book Antiqua" w:eastAsia="宋体" w:hAnsi="Book Antiqua" w:cs="宋体"/>
          <w:sz w:val="24"/>
          <w:szCs w:val="24"/>
        </w:rPr>
        <w:t>Rivière</w:t>
      </w:r>
      <w:proofErr w:type="spellEnd"/>
      <w:r w:rsidRPr="00507CDB">
        <w:rPr>
          <w:rFonts w:ascii="Book Antiqua" w:eastAsia="宋体" w:hAnsi="Book Antiqua" w:cs="宋体"/>
          <w:sz w:val="24"/>
          <w:szCs w:val="24"/>
        </w:rPr>
        <w:t xml:space="preserve"> S, </w:t>
      </w:r>
      <w:proofErr w:type="spellStart"/>
      <w:r w:rsidRPr="00507CDB">
        <w:rPr>
          <w:rFonts w:ascii="Book Antiqua" w:eastAsia="宋体" w:hAnsi="Book Antiqua" w:cs="宋体"/>
          <w:sz w:val="24"/>
          <w:szCs w:val="24"/>
        </w:rPr>
        <w:t>Corre</w:t>
      </w:r>
      <w:proofErr w:type="spellEnd"/>
      <w:r w:rsidRPr="00507CDB">
        <w:rPr>
          <w:rFonts w:ascii="Book Antiqua" w:eastAsia="宋体" w:hAnsi="Book Antiqua" w:cs="宋体"/>
          <w:sz w:val="24"/>
          <w:szCs w:val="24"/>
        </w:rPr>
        <w:t xml:space="preserve"> R, Giraud S, </w:t>
      </w:r>
      <w:proofErr w:type="spellStart"/>
      <w:r w:rsidRPr="00507CDB">
        <w:rPr>
          <w:rFonts w:ascii="Book Antiqua" w:eastAsia="宋体" w:hAnsi="Book Antiqua" w:cs="宋体"/>
          <w:sz w:val="24"/>
          <w:szCs w:val="24"/>
        </w:rPr>
        <w:t>Bailly</w:t>
      </w:r>
      <w:proofErr w:type="spellEnd"/>
      <w:r w:rsidRPr="00507CDB">
        <w:rPr>
          <w:rFonts w:ascii="Book Antiqua" w:eastAsia="宋体" w:hAnsi="Book Antiqua" w:cs="宋体"/>
          <w:sz w:val="24"/>
          <w:szCs w:val="24"/>
        </w:rPr>
        <w:t xml:space="preserve"> S, </w:t>
      </w:r>
      <w:proofErr w:type="spellStart"/>
      <w:r w:rsidRPr="00507CDB">
        <w:rPr>
          <w:rFonts w:ascii="Book Antiqua" w:eastAsia="宋体" w:hAnsi="Book Antiqua" w:cs="宋体"/>
          <w:sz w:val="24"/>
          <w:szCs w:val="24"/>
        </w:rPr>
        <w:t>Paintaud</w:t>
      </w:r>
      <w:proofErr w:type="spellEnd"/>
      <w:r w:rsidRPr="00507CDB">
        <w:rPr>
          <w:rFonts w:ascii="Book Antiqua" w:eastAsia="宋体" w:hAnsi="Book Antiqua" w:cs="宋体"/>
          <w:sz w:val="24"/>
          <w:szCs w:val="24"/>
        </w:rPr>
        <w:t xml:space="preserve"> G, </w:t>
      </w:r>
      <w:proofErr w:type="spellStart"/>
      <w:r w:rsidRPr="00507CDB">
        <w:rPr>
          <w:rFonts w:ascii="Book Antiqua" w:eastAsia="宋体" w:hAnsi="Book Antiqua" w:cs="宋体"/>
          <w:sz w:val="24"/>
          <w:szCs w:val="24"/>
        </w:rPr>
        <w:t>Ternant</w:t>
      </w:r>
      <w:proofErr w:type="spellEnd"/>
      <w:r w:rsidRPr="00507CDB">
        <w:rPr>
          <w:rFonts w:ascii="Book Antiqua" w:eastAsia="宋体" w:hAnsi="Book Antiqua" w:cs="宋体"/>
          <w:sz w:val="24"/>
          <w:szCs w:val="24"/>
        </w:rPr>
        <w:t xml:space="preserve"> D, </w:t>
      </w:r>
      <w:proofErr w:type="spellStart"/>
      <w:r w:rsidRPr="00507CDB">
        <w:rPr>
          <w:rFonts w:ascii="Book Antiqua" w:eastAsia="宋体" w:hAnsi="Book Antiqua" w:cs="宋体"/>
          <w:sz w:val="24"/>
          <w:szCs w:val="24"/>
        </w:rPr>
        <w:t>Valette</w:t>
      </w:r>
      <w:proofErr w:type="spellEnd"/>
      <w:r w:rsidRPr="00507CDB">
        <w:rPr>
          <w:rFonts w:ascii="Book Antiqua" w:eastAsia="宋体" w:hAnsi="Book Antiqua" w:cs="宋体"/>
          <w:sz w:val="24"/>
          <w:szCs w:val="24"/>
        </w:rPr>
        <w:t xml:space="preserve"> PJ, </w:t>
      </w:r>
      <w:proofErr w:type="spellStart"/>
      <w:r w:rsidRPr="00507CDB">
        <w:rPr>
          <w:rFonts w:ascii="Book Antiqua" w:eastAsia="宋体" w:hAnsi="Book Antiqua" w:cs="宋体"/>
          <w:sz w:val="24"/>
          <w:szCs w:val="24"/>
        </w:rPr>
        <w:t>Plauchu</w:t>
      </w:r>
      <w:proofErr w:type="spellEnd"/>
      <w:r w:rsidRPr="00507CDB">
        <w:rPr>
          <w:rFonts w:ascii="Book Antiqua" w:eastAsia="宋体" w:hAnsi="Book Antiqua" w:cs="宋体"/>
          <w:sz w:val="24"/>
          <w:szCs w:val="24"/>
        </w:rPr>
        <w:t xml:space="preserve"> H, Faure F. Bevacizumab in patients with hereditary hemorrhagic telangiectasia and severe hepatic vascular malformations and high cardiac output. </w:t>
      </w:r>
      <w:r w:rsidRPr="00507CDB">
        <w:rPr>
          <w:rFonts w:ascii="Book Antiqua" w:eastAsia="宋体" w:hAnsi="Book Antiqua" w:cs="宋体"/>
          <w:i/>
          <w:iCs/>
          <w:sz w:val="24"/>
          <w:szCs w:val="24"/>
        </w:rPr>
        <w:t>JAMA</w:t>
      </w:r>
      <w:r w:rsidRPr="00507CDB">
        <w:rPr>
          <w:rFonts w:ascii="Book Antiqua" w:eastAsia="宋体" w:hAnsi="Book Antiqua" w:cs="宋体"/>
          <w:sz w:val="24"/>
          <w:szCs w:val="24"/>
        </w:rPr>
        <w:t> 2012; </w:t>
      </w:r>
      <w:r w:rsidRPr="00507CDB">
        <w:rPr>
          <w:rFonts w:ascii="Book Antiqua" w:eastAsia="宋体" w:hAnsi="Book Antiqua" w:cs="宋体"/>
          <w:b/>
          <w:bCs/>
          <w:sz w:val="24"/>
          <w:szCs w:val="24"/>
        </w:rPr>
        <w:t>307</w:t>
      </w:r>
      <w:r w:rsidRPr="00507CDB">
        <w:rPr>
          <w:rFonts w:ascii="Book Antiqua" w:eastAsia="宋体" w:hAnsi="Book Antiqua" w:cs="宋体"/>
          <w:sz w:val="24"/>
          <w:szCs w:val="24"/>
        </w:rPr>
        <w:t>: 948-955 [PMID: 22396517 DOI: 10.1001/jama.2012.250]</w:t>
      </w:r>
    </w:p>
    <w:p w14:paraId="3C391A31" w14:textId="77777777" w:rsidR="00B4141D" w:rsidRPr="00507CDB" w:rsidRDefault="00B4141D" w:rsidP="00B4141D">
      <w:pPr>
        <w:spacing w:line="360" w:lineRule="auto"/>
        <w:jc w:val="both"/>
        <w:rPr>
          <w:rFonts w:ascii="Book Antiqua" w:eastAsia="宋体" w:hAnsi="Book Antiqua" w:cs="宋体"/>
          <w:sz w:val="24"/>
          <w:szCs w:val="24"/>
        </w:rPr>
      </w:pPr>
      <w:r w:rsidRPr="00507CDB">
        <w:rPr>
          <w:rFonts w:ascii="Book Antiqua" w:eastAsia="宋体" w:hAnsi="Book Antiqua" w:cs="宋体"/>
          <w:sz w:val="24"/>
          <w:szCs w:val="24"/>
        </w:rPr>
        <w:t>21 </w:t>
      </w:r>
      <w:r w:rsidRPr="00507CDB">
        <w:rPr>
          <w:rFonts w:ascii="Book Antiqua" w:eastAsia="宋体" w:hAnsi="Book Antiqua" w:cs="宋体"/>
          <w:b/>
          <w:bCs/>
          <w:sz w:val="24"/>
          <w:szCs w:val="24"/>
        </w:rPr>
        <w:t>Mitchell A</w:t>
      </w:r>
      <w:r w:rsidRPr="00507CDB">
        <w:rPr>
          <w:rFonts w:ascii="Book Antiqua" w:eastAsia="宋体" w:hAnsi="Book Antiqua" w:cs="宋体"/>
          <w:sz w:val="24"/>
          <w:szCs w:val="24"/>
        </w:rPr>
        <w:t xml:space="preserve">, Adams LA, </w:t>
      </w:r>
      <w:proofErr w:type="spellStart"/>
      <w:r w:rsidRPr="00507CDB">
        <w:rPr>
          <w:rFonts w:ascii="Book Antiqua" w:eastAsia="宋体" w:hAnsi="Book Antiqua" w:cs="宋体"/>
          <w:sz w:val="24"/>
          <w:szCs w:val="24"/>
        </w:rPr>
        <w:t>MacQuillan</w:t>
      </w:r>
      <w:proofErr w:type="spellEnd"/>
      <w:r w:rsidRPr="00507CDB">
        <w:rPr>
          <w:rFonts w:ascii="Book Antiqua" w:eastAsia="宋体" w:hAnsi="Book Antiqua" w:cs="宋体"/>
          <w:sz w:val="24"/>
          <w:szCs w:val="24"/>
        </w:rPr>
        <w:t xml:space="preserve"> G, </w:t>
      </w:r>
      <w:proofErr w:type="spellStart"/>
      <w:r w:rsidRPr="00507CDB">
        <w:rPr>
          <w:rFonts w:ascii="Book Antiqua" w:eastAsia="宋体" w:hAnsi="Book Antiqua" w:cs="宋体"/>
          <w:sz w:val="24"/>
          <w:szCs w:val="24"/>
        </w:rPr>
        <w:t>Tibballs</w:t>
      </w:r>
      <w:proofErr w:type="spellEnd"/>
      <w:r w:rsidRPr="00507CDB">
        <w:rPr>
          <w:rFonts w:ascii="Book Antiqua" w:eastAsia="宋体" w:hAnsi="Book Antiqua" w:cs="宋体"/>
          <w:sz w:val="24"/>
          <w:szCs w:val="24"/>
        </w:rPr>
        <w:t xml:space="preserve"> J, </w:t>
      </w:r>
      <w:proofErr w:type="spellStart"/>
      <w:r w:rsidRPr="00507CDB">
        <w:rPr>
          <w:rFonts w:ascii="Book Antiqua" w:eastAsia="宋体" w:hAnsi="Book Antiqua" w:cs="宋体"/>
          <w:sz w:val="24"/>
          <w:szCs w:val="24"/>
        </w:rPr>
        <w:t>vanden</w:t>
      </w:r>
      <w:proofErr w:type="spellEnd"/>
      <w:r w:rsidRPr="00507CDB">
        <w:rPr>
          <w:rFonts w:ascii="Book Antiqua" w:eastAsia="宋体" w:hAnsi="Book Antiqua" w:cs="宋体"/>
          <w:sz w:val="24"/>
          <w:szCs w:val="24"/>
        </w:rPr>
        <w:t xml:space="preserve"> </w:t>
      </w:r>
      <w:proofErr w:type="spellStart"/>
      <w:r w:rsidRPr="00507CDB">
        <w:rPr>
          <w:rFonts w:ascii="Book Antiqua" w:eastAsia="宋体" w:hAnsi="Book Antiqua" w:cs="宋体"/>
          <w:sz w:val="24"/>
          <w:szCs w:val="24"/>
        </w:rPr>
        <w:t>Driesen</w:t>
      </w:r>
      <w:proofErr w:type="spellEnd"/>
      <w:r w:rsidRPr="00507CDB">
        <w:rPr>
          <w:rFonts w:ascii="Book Antiqua" w:eastAsia="宋体" w:hAnsi="Book Antiqua" w:cs="宋体"/>
          <w:sz w:val="24"/>
          <w:szCs w:val="24"/>
        </w:rPr>
        <w:t xml:space="preserve"> R, </w:t>
      </w:r>
      <w:proofErr w:type="spellStart"/>
      <w:r w:rsidRPr="00507CDB">
        <w:rPr>
          <w:rFonts w:ascii="Book Antiqua" w:eastAsia="宋体" w:hAnsi="Book Antiqua" w:cs="宋体"/>
          <w:sz w:val="24"/>
          <w:szCs w:val="24"/>
        </w:rPr>
        <w:t>Delriviere</w:t>
      </w:r>
      <w:proofErr w:type="spellEnd"/>
      <w:r w:rsidRPr="00507CDB">
        <w:rPr>
          <w:rFonts w:ascii="Book Antiqua" w:eastAsia="宋体" w:hAnsi="Book Antiqua" w:cs="宋体"/>
          <w:sz w:val="24"/>
          <w:szCs w:val="24"/>
        </w:rPr>
        <w:t xml:space="preserve"> L. Bevacizumab reverses need for liver transplantation in hereditary hemorrhagic telangiectasia. </w:t>
      </w:r>
      <w:r w:rsidRPr="00507CDB">
        <w:rPr>
          <w:rFonts w:ascii="Book Antiqua" w:eastAsia="宋体" w:hAnsi="Book Antiqua" w:cs="宋体"/>
          <w:i/>
          <w:iCs/>
          <w:sz w:val="24"/>
          <w:szCs w:val="24"/>
        </w:rPr>
        <w:t xml:space="preserve">Liver </w:t>
      </w:r>
      <w:proofErr w:type="spellStart"/>
      <w:r w:rsidRPr="00507CDB">
        <w:rPr>
          <w:rFonts w:ascii="Book Antiqua" w:eastAsia="宋体" w:hAnsi="Book Antiqua" w:cs="宋体"/>
          <w:i/>
          <w:iCs/>
          <w:sz w:val="24"/>
          <w:szCs w:val="24"/>
        </w:rPr>
        <w:t>Transpl</w:t>
      </w:r>
      <w:proofErr w:type="spellEnd"/>
      <w:r w:rsidRPr="00507CDB">
        <w:rPr>
          <w:rFonts w:ascii="Book Antiqua" w:eastAsia="宋体" w:hAnsi="Book Antiqua" w:cs="宋体"/>
          <w:sz w:val="24"/>
          <w:szCs w:val="24"/>
        </w:rPr>
        <w:t> 2008; </w:t>
      </w:r>
      <w:r w:rsidRPr="00507CDB">
        <w:rPr>
          <w:rFonts w:ascii="Book Antiqua" w:eastAsia="宋体" w:hAnsi="Book Antiqua" w:cs="宋体"/>
          <w:b/>
          <w:bCs/>
          <w:sz w:val="24"/>
          <w:szCs w:val="24"/>
        </w:rPr>
        <w:t>14</w:t>
      </w:r>
      <w:r w:rsidRPr="00507CDB">
        <w:rPr>
          <w:rFonts w:ascii="Book Antiqua" w:eastAsia="宋体" w:hAnsi="Book Antiqua" w:cs="宋体"/>
          <w:sz w:val="24"/>
          <w:szCs w:val="24"/>
        </w:rPr>
        <w:t>: 210-213 [PMID: 18236396 DOI: 10.1002/lt.21417]</w:t>
      </w:r>
    </w:p>
    <w:p w14:paraId="6FBB4E85" w14:textId="77777777" w:rsidR="00B4141D" w:rsidRPr="00B4141D" w:rsidRDefault="00B4141D" w:rsidP="00B4141D">
      <w:pPr>
        <w:spacing w:line="360" w:lineRule="auto"/>
        <w:jc w:val="both"/>
        <w:rPr>
          <w:rFonts w:ascii="Book Antiqua" w:eastAsia="宋体" w:hAnsi="Book Antiqua"/>
          <w:sz w:val="24"/>
          <w:lang w:eastAsia="zh-CN"/>
        </w:rPr>
      </w:pPr>
    </w:p>
    <w:p w14:paraId="3010FDF1" w14:textId="77777777" w:rsidR="00EA6265" w:rsidRPr="00EA6265" w:rsidRDefault="00EA6265" w:rsidP="00EA6265">
      <w:pPr>
        <w:rPr>
          <w:rFonts w:eastAsia="宋体"/>
          <w:lang w:eastAsia="zh-CN"/>
        </w:rPr>
      </w:pPr>
    </w:p>
    <w:p w14:paraId="37721EB6" w14:textId="16C0D1D1" w:rsidR="00EA6265" w:rsidRPr="008E0A88" w:rsidRDefault="00EA6265" w:rsidP="00C30AB9">
      <w:pPr>
        <w:pStyle w:val="ListParagraph"/>
        <w:spacing w:line="360" w:lineRule="auto"/>
        <w:ind w:right="120" w:firstLineChars="0" w:firstLine="0"/>
        <w:jc w:val="right"/>
        <w:rPr>
          <w:rFonts w:ascii="Book Antiqua" w:eastAsia="宋体"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EA6265">
        <w:t xml:space="preserve"> </w:t>
      </w:r>
      <w:r w:rsidRPr="00EA6265">
        <w:rPr>
          <w:rStyle w:val="Strong"/>
          <w:rFonts w:ascii="Book Antiqua" w:eastAsia="宋体" w:hAnsi="Book Antiqua" w:cs="Arial"/>
          <w:b w:val="0"/>
          <w:bCs w:val="0"/>
          <w:noProof/>
          <w:color w:val="000000"/>
          <w:lang w:eastAsia="zh-CN"/>
        </w:rPr>
        <w:t>Field K</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p w14:paraId="75220BB7" w14:textId="7381ED4A" w:rsidR="00EA6265" w:rsidRDefault="00EA6265">
      <w:pPr>
        <w:rPr>
          <w:rFonts w:ascii="Book Antiqua" w:hAnsi="Book Antiqua"/>
          <w:sz w:val="24"/>
          <w:szCs w:val="24"/>
        </w:rPr>
      </w:pPr>
      <w:r>
        <w:rPr>
          <w:rFonts w:ascii="Book Antiqua" w:hAnsi="Book Antiqua"/>
          <w:sz w:val="24"/>
          <w:szCs w:val="24"/>
        </w:rPr>
        <w:br w:type="page"/>
      </w:r>
    </w:p>
    <w:p w14:paraId="74E91CBD" w14:textId="77777777" w:rsidR="00EA6265" w:rsidRPr="00B12757" w:rsidRDefault="00EA6265" w:rsidP="00EA6265">
      <w:pPr>
        <w:spacing w:line="360" w:lineRule="auto"/>
        <w:jc w:val="both"/>
        <w:rPr>
          <w:rFonts w:ascii="Book Antiqua" w:hAnsi="Book Antiqua"/>
          <w:sz w:val="24"/>
          <w:szCs w:val="24"/>
        </w:rPr>
      </w:pPr>
      <w:r w:rsidRPr="00B12757">
        <w:rPr>
          <w:rFonts w:ascii="Book Antiqua" w:hAnsi="Book Antiqua"/>
          <w:noProof/>
          <w:sz w:val="24"/>
          <w:szCs w:val="24"/>
          <w:lang w:val="en-US" w:eastAsia="en-US"/>
        </w:rPr>
        <w:lastRenderedPageBreak/>
        <w:drawing>
          <wp:inline distT="0" distB="0" distL="0" distR="0" wp14:anchorId="61F06E66" wp14:editId="5FC8240E">
            <wp:extent cx="6391275" cy="46863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0070B4" w14:textId="77777777" w:rsidR="00EA6265" w:rsidRPr="00EA6265" w:rsidRDefault="00EA6265" w:rsidP="00EA6265">
      <w:pPr>
        <w:spacing w:line="360" w:lineRule="auto"/>
        <w:jc w:val="both"/>
        <w:rPr>
          <w:rFonts w:ascii="Book Antiqua" w:eastAsia="宋体" w:hAnsi="Book Antiqua"/>
          <w:b/>
          <w:sz w:val="24"/>
          <w:szCs w:val="24"/>
          <w:lang w:eastAsia="zh-CN"/>
        </w:rPr>
      </w:pPr>
      <w:r w:rsidRPr="00EA6265">
        <w:rPr>
          <w:rFonts w:ascii="Book Antiqua" w:hAnsi="Book Antiqua"/>
          <w:b/>
          <w:sz w:val="24"/>
          <w:szCs w:val="24"/>
        </w:rPr>
        <w:t>Figure 1</w:t>
      </w:r>
      <w:r w:rsidRPr="00EA6265">
        <w:rPr>
          <w:rFonts w:ascii="Book Antiqua" w:eastAsia="宋体" w:hAnsi="Book Antiqua" w:hint="eastAsia"/>
          <w:b/>
          <w:sz w:val="24"/>
          <w:szCs w:val="24"/>
          <w:lang w:eastAsia="zh-CN"/>
        </w:rPr>
        <w:t xml:space="preserve"> </w:t>
      </w:r>
      <w:r w:rsidRPr="00EA6265">
        <w:rPr>
          <w:rFonts w:ascii="Book Antiqua" w:hAnsi="Book Antiqua"/>
          <w:b/>
          <w:sz w:val="24"/>
          <w:szCs w:val="24"/>
        </w:rPr>
        <w:t>Hemoglobin trend</w:t>
      </w:r>
      <w:r w:rsidRPr="00EA6265">
        <w:rPr>
          <w:rFonts w:ascii="Book Antiqua" w:eastAsia="宋体" w:hAnsi="Book Antiqua" w:hint="eastAsia"/>
          <w:b/>
          <w:sz w:val="24"/>
          <w:szCs w:val="24"/>
          <w:lang w:eastAsia="zh-CN"/>
        </w:rPr>
        <w:t>.</w:t>
      </w:r>
      <w:r>
        <w:rPr>
          <w:rFonts w:ascii="Book Antiqua" w:eastAsia="宋体" w:hAnsi="Book Antiqua" w:hint="eastAsia"/>
          <w:b/>
          <w:sz w:val="24"/>
          <w:szCs w:val="24"/>
          <w:lang w:eastAsia="zh-CN"/>
        </w:rPr>
        <w:t xml:space="preserve"> </w:t>
      </w:r>
      <w:proofErr w:type="gramStart"/>
      <w:r>
        <w:rPr>
          <w:rFonts w:ascii="Book Antiqua" w:hAnsi="Book Antiqua"/>
          <w:sz w:val="24"/>
          <w:szCs w:val="24"/>
        </w:rPr>
        <w:t>Hemoglobin trend before and after</w:t>
      </w:r>
      <w:r w:rsidRPr="00B12757">
        <w:rPr>
          <w:rFonts w:ascii="Book Antiqua" w:hAnsi="Book Antiqua"/>
          <w:sz w:val="24"/>
          <w:szCs w:val="24"/>
        </w:rPr>
        <w:t xml:space="preserve"> initiation of bevacizumab 5mg/kg every other week</w:t>
      </w:r>
      <w:r>
        <w:rPr>
          <w:rFonts w:ascii="Book Antiqua" w:hAnsi="Book Antiqua"/>
          <w:sz w:val="24"/>
          <w:szCs w:val="24"/>
        </w:rPr>
        <w:t xml:space="preserve"> starting in April 2015.</w:t>
      </w:r>
      <w:proofErr w:type="gramEnd"/>
    </w:p>
    <w:p w14:paraId="5A792764" w14:textId="77777777" w:rsidR="00A75BDA" w:rsidRPr="00EA6265" w:rsidRDefault="00A75BDA" w:rsidP="008234B5">
      <w:pPr>
        <w:spacing w:line="360" w:lineRule="auto"/>
        <w:jc w:val="both"/>
        <w:rPr>
          <w:rFonts w:ascii="Book Antiqua" w:hAnsi="Book Antiqua"/>
          <w:sz w:val="24"/>
          <w:szCs w:val="24"/>
        </w:rPr>
      </w:pPr>
    </w:p>
    <w:sectPr w:rsidR="00A75BDA" w:rsidRPr="00EA62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9FD7A" w14:textId="77777777" w:rsidR="006C68B8" w:rsidRDefault="006C68B8" w:rsidP="008234B5">
      <w:r>
        <w:separator/>
      </w:r>
    </w:p>
  </w:endnote>
  <w:endnote w:type="continuationSeparator" w:id="0">
    <w:p w14:paraId="7FEA4FB0" w14:textId="77777777" w:rsidR="006C68B8" w:rsidRDefault="006C68B8" w:rsidP="0082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FCEE5" w14:textId="77777777" w:rsidR="006C68B8" w:rsidRDefault="006C68B8" w:rsidP="008234B5">
      <w:r>
        <w:separator/>
      </w:r>
    </w:p>
  </w:footnote>
  <w:footnote w:type="continuationSeparator" w:id="0">
    <w:p w14:paraId="5B8D3814" w14:textId="77777777" w:rsidR="006C68B8" w:rsidRDefault="006C68B8" w:rsidP="008234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Ou">
    <w15:presenceInfo w15:providerId="Windows Live" w15:userId="f5a8d3a52b4b2b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B0"/>
    <w:rsid w:val="000215F1"/>
    <w:rsid w:val="00021A74"/>
    <w:rsid w:val="0002206F"/>
    <w:rsid w:val="00024EF1"/>
    <w:rsid w:val="00057BBC"/>
    <w:rsid w:val="000866E0"/>
    <w:rsid w:val="00091C74"/>
    <w:rsid w:val="00093B88"/>
    <w:rsid w:val="000A57A4"/>
    <w:rsid w:val="000D5D77"/>
    <w:rsid w:val="000E6C01"/>
    <w:rsid w:val="000F59E1"/>
    <w:rsid w:val="000F5E7E"/>
    <w:rsid w:val="000F67D9"/>
    <w:rsid w:val="00127477"/>
    <w:rsid w:val="001317E2"/>
    <w:rsid w:val="00135C92"/>
    <w:rsid w:val="00140835"/>
    <w:rsid w:val="001553A0"/>
    <w:rsid w:val="00173FE6"/>
    <w:rsid w:val="001802F5"/>
    <w:rsid w:val="00194320"/>
    <w:rsid w:val="001A4E9C"/>
    <w:rsid w:val="001B71E4"/>
    <w:rsid w:val="001D75CD"/>
    <w:rsid w:val="001E7E6E"/>
    <w:rsid w:val="001F2040"/>
    <w:rsid w:val="001F2B3A"/>
    <w:rsid w:val="0022424E"/>
    <w:rsid w:val="002276EF"/>
    <w:rsid w:val="002336E3"/>
    <w:rsid w:val="00241FA5"/>
    <w:rsid w:val="0024465F"/>
    <w:rsid w:val="002529B3"/>
    <w:rsid w:val="00261AA0"/>
    <w:rsid w:val="002653BC"/>
    <w:rsid w:val="00266F6D"/>
    <w:rsid w:val="00280F5A"/>
    <w:rsid w:val="00283B86"/>
    <w:rsid w:val="00291D1B"/>
    <w:rsid w:val="002F591A"/>
    <w:rsid w:val="00311055"/>
    <w:rsid w:val="00313784"/>
    <w:rsid w:val="00335AC3"/>
    <w:rsid w:val="003425E9"/>
    <w:rsid w:val="00350A84"/>
    <w:rsid w:val="00355403"/>
    <w:rsid w:val="00372719"/>
    <w:rsid w:val="00382613"/>
    <w:rsid w:val="003956B2"/>
    <w:rsid w:val="003D4465"/>
    <w:rsid w:val="00431A77"/>
    <w:rsid w:val="0044463E"/>
    <w:rsid w:val="00456570"/>
    <w:rsid w:val="0046026D"/>
    <w:rsid w:val="00467BB4"/>
    <w:rsid w:val="00471C9E"/>
    <w:rsid w:val="004C3A26"/>
    <w:rsid w:val="004D766D"/>
    <w:rsid w:val="004E6815"/>
    <w:rsid w:val="0058723A"/>
    <w:rsid w:val="00595796"/>
    <w:rsid w:val="00597C9C"/>
    <w:rsid w:val="005A3F87"/>
    <w:rsid w:val="005C1BBF"/>
    <w:rsid w:val="005D41C1"/>
    <w:rsid w:val="00612335"/>
    <w:rsid w:val="00647F3C"/>
    <w:rsid w:val="00652F78"/>
    <w:rsid w:val="00657546"/>
    <w:rsid w:val="0066202E"/>
    <w:rsid w:val="00667806"/>
    <w:rsid w:val="00675753"/>
    <w:rsid w:val="00685662"/>
    <w:rsid w:val="00686809"/>
    <w:rsid w:val="006B3B07"/>
    <w:rsid w:val="006C0D93"/>
    <w:rsid w:val="006C3774"/>
    <w:rsid w:val="006C4203"/>
    <w:rsid w:val="006C52E7"/>
    <w:rsid w:val="006C68B8"/>
    <w:rsid w:val="006E68DD"/>
    <w:rsid w:val="006F0127"/>
    <w:rsid w:val="006F2BB4"/>
    <w:rsid w:val="0070350E"/>
    <w:rsid w:val="00706B2B"/>
    <w:rsid w:val="00711CCF"/>
    <w:rsid w:val="007155C4"/>
    <w:rsid w:val="00721E28"/>
    <w:rsid w:val="0072339D"/>
    <w:rsid w:val="00747250"/>
    <w:rsid w:val="00753932"/>
    <w:rsid w:val="00766BF4"/>
    <w:rsid w:val="007C4D4B"/>
    <w:rsid w:val="007D1C78"/>
    <w:rsid w:val="007D5D02"/>
    <w:rsid w:val="007E7FE0"/>
    <w:rsid w:val="0080014E"/>
    <w:rsid w:val="00806BA3"/>
    <w:rsid w:val="008234B5"/>
    <w:rsid w:val="00830810"/>
    <w:rsid w:val="00895EB0"/>
    <w:rsid w:val="00896A9D"/>
    <w:rsid w:val="00897D76"/>
    <w:rsid w:val="008A182E"/>
    <w:rsid w:val="008B1893"/>
    <w:rsid w:val="008B47B3"/>
    <w:rsid w:val="008E5EC4"/>
    <w:rsid w:val="009024A0"/>
    <w:rsid w:val="00930C8B"/>
    <w:rsid w:val="00942F96"/>
    <w:rsid w:val="00952BD7"/>
    <w:rsid w:val="00957378"/>
    <w:rsid w:val="009757C2"/>
    <w:rsid w:val="0098032F"/>
    <w:rsid w:val="009B497B"/>
    <w:rsid w:val="009C2E6B"/>
    <w:rsid w:val="009D2E54"/>
    <w:rsid w:val="009D7666"/>
    <w:rsid w:val="009F70CA"/>
    <w:rsid w:val="00A07E08"/>
    <w:rsid w:val="00A15705"/>
    <w:rsid w:val="00A33624"/>
    <w:rsid w:val="00A40F68"/>
    <w:rsid w:val="00A70D37"/>
    <w:rsid w:val="00A75BDA"/>
    <w:rsid w:val="00A95075"/>
    <w:rsid w:val="00AA0C44"/>
    <w:rsid w:val="00AC0523"/>
    <w:rsid w:val="00B12757"/>
    <w:rsid w:val="00B4141D"/>
    <w:rsid w:val="00B5225A"/>
    <w:rsid w:val="00B53476"/>
    <w:rsid w:val="00B57373"/>
    <w:rsid w:val="00B60130"/>
    <w:rsid w:val="00B63041"/>
    <w:rsid w:val="00B7148C"/>
    <w:rsid w:val="00B919F7"/>
    <w:rsid w:val="00BA1B2A"/>
    <w:rsid w:val="00BA4C8E"/>
    <w:rsid w:val="00BB2A55"/>
    <w:rsid w:val="00BC39C4"/>
    <w:rsid w:val="00BC6978"/>
    <w:rsid w:val="00BF6D1B"/>
    <w:rsid w:val="00BF6FC7"/>
    <w:rsid w:val="00BF7B2C"/>
    <w:rsid w:val="00C10B09"/>
    <w:rsid w:val="00C30AB9"/>
    <w:rsid w:val="00C67019"/>
    <w:rsid w:val="00C87D00"/>
    <w:rsid w:val="00CA0E4B"/>
    <w:rsid w:val="00CA4A10"/>
    <w:rsid w:val="00CB4970"/>
    <w:rsid w:val="00CC43B4"/>
    <w:rsid w:val="00CE4777"/>
    <w:rsid w:val="00D11CFD"/>
    <w:rsid w:val="00D15C60"/>
    <w:rsid w:val="00D32634"/>
    <w:rsid w:val="00D40574"/>
    <w:rsid w:val="00D63E8E"/>
    <w:rsid w:val="00D80417"/>
    <w:rsid w:val="00D96656"/>
    <w:rsid w:val="00DB26B0"/>
    <w:rsid w:val="00DE7F63"/>
    <w:rsid w:val="00E10647"/>
    <w:rsid w:val="00E13D2D"/>
    <w:rsid w:val="00E3295F"/>
    <w:rsid w:val="00E34E03"/>
    <w:rsid w:val="00E72DA9"/>
    <w:rsid w:val="00E751B0"/>
    <w:rsid w:val="00E80D82"/>
    <w:rsid w:val="00EA6265"/>
    <w:rsid w:val="00ED3AC2"/>
    <w:rsid w:val="00ED41D6"/>
    <w:rsid w:val="00F2767E"/>
    <w:rsid w:val="00F45BBF"/>
    <w:rsid w:val="00F55806"/>
    <w:rsid w:val="00F61B58"/>
    <w:rsid w:val="00F77A68"/>
    <w:rsid w:val="00F95E95"/>
    <w:rsid w:val="00FC5F65"/>
    <w:rsid w:val="00FD5241"/>
    <w:rsid w:val="00FE1B14"/>
    <w:rsid w:val="00FE77C3"/>
    <w:rsid w:val="00FF04BB"/>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D5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723A"/>
    <w:rPr>
      <w:sz w:val="16"/>
      <w:szCs w:val="16"/>
    </w:rPr>
  </w:style>
  <w:style w:type="paragraph" w:styleId="CommentText">
    <w:name w:val="annotation text"/>
    <w:basedOn w:val="Normal"/>
    <w:link w:val="CommentTextChar"/>
    <w:unhideWhenUsed/>
    <w:rsid w:val="0058723A"/>
    <w:rPr>
      <w:sz w:val="20"/>
      <w:szCs w:val="20"/>
    </w:rPr>
  </w:style>
  <w:style w:type="character" w:customStyle="1" w:styleId="CommentTextChar">
    <w:name w:val="Comment Text Char"/>
    <w:basedOn w:val="DefaultParagraphFont"/>
    <w:link w:val="CommentText"/>
    <w:rsid w:val="0058723A"/>
    <w:rPr>
      <w:sz w:val="20"/>
      <w:szCs w:val="20"/>
    </w:rPr>
  </w:style>
  <w:style w:type="paragraph" w:styleId="CommentSubject">
    <w:name w:val="annotation subject"/>
    <w:basedOn w:val="CommentText"/>
    <w:next w:val="CommentText"/>
    <w:link w:val="CommentSubjectChar"/>
    <w:uiPriority w:val="99"/>
    <w:semiHidden/>
    <w:unhideWhenUsed/>
    <w:rsid w:val="0058723A"/>
    <w:rPr>
      <w:b/>
      <w:bCs/>
    </w:rPr>
  </w:style>
  <w:style w:type="character" w:customStyle="1" w:styleId="CommentSubjectChar">
    <w:name w:val="Comment Subject Char"/>
    <w:basedOn w:val="CommentTextChar"/>
    <w:link w:val="CommentSubject"/>
    <w:uiPriority w:val="99"/>
    <w:semiHidden/>
    <w:rsid w:val="0058723A"/>
    <w:rPr>
      <w:b/>
      <w:bCs/>
      <w:sz w:val="20"/>
      <w:szCs w:val="20"/>
    </w:rPr>
  </w:style>
  <w:style w:type="paragraph" w:styleId="BalloonText">
    <w:name w:val="Balloon Text"/>
    <w:basedOn w:val="Normal"/>
    <w:link w:val="BalloonTextChar"/>
    <w:uiPriority w:val="99"/>
    <w:semiHidden/>
    <w:unhideWhenUsed/>
    <w:rsid w:val="00587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23A"/>
    <w:rPr>
      <w:rFonts w:ascii="Segoe UI" w:hAnsi="Segoe UI" w:cs="Segoe UI"/>
      <w:sz w:val="18"/>
      <w:szCs w:val="18"/>
    </w:rPr>
  </w:style>
  <w:style w:type="paragraph" w:styleId="NormalWeb">
    <w:name w:val="Normal (Web)"/>
    <w:basedOn w:val="Normal"/>
    <w:uiPriority w:val="99"/>
    <w:semiHidden/>
    <w:unhideWhenUsed/>
    <w:rsid w:val="006C377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6C4203"/>
  </w:style>
  <w:style w:type="character" w:styleId="Hyperlink">
    <w:name w:val="Hyperlink"/>
    <w:basedOn w:val="DefaultParagraphFont"/>
    <w:uiPriority w:val="99"/>
    <w:unhideWhenUsed/>
    <w:rsid w:val="00FE77C3"/>
    <w:rPr>
      <w:color w:val="0563C1" w:themeColor="hyperlink"/>
      <w:u w:val="single"/>
    </w:rPr>
  </w:style>
  <w:style w:type="paragraph" w:styleId="Bibliography">
    <w:name w:val="Bibliography"/>
    <w:basedOn w:val="Normal"/>
    <w:next w:val="Normal"/>
    <w:uiPriority w:val="37"/>
    <w:unhideWhenUsed/>
    <w:rsid w:val="00A75BDA"/>
    <w:pPr>
      <w:tabs>
        <w:tab w:val="left" w:pos="504"/>
      </w:tabs>
      <w:spacing w:after="240"/>
      <w:ind w:left="504" w:hanging="504"/>
    </w:pPr>
  </w:style>
  <w:style w:type="paragraph" w:styleId="Header">
    <w:name w:val="header"/>
    <w:basedOn w:val="Normal"/>
    <w:link w:val="HeaderChar"/>
    <w:uiPriority w:val="99"/>
    <w:unhideWhenUsed/>
    <w:rsid w:val="008234B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234B5"/>
    <w:rPr>
      <w:sz w:val="18"/>
      <w:szCs w:val="18"/>
    </w:rPr>
  </w:style>
  <w:style w:type="paragraph" w:styleId="Footer">
    <w:name w:val="footer"/>
    <w:basedOn w:val="Normal"/>
    <w:link w:val="FooterChar"/>
    <w:uiPriority w:val="99"/>
    <w:unhideWhenUsed/>
    <w:rsid w:val="008234B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234B5"/>
    <w:rPr>
      <w:sz w:val="18"/>
      <w:szCs w:val="18"/>
    </w:rPr>
  </w:style>
  <w:style w:type="character" w:styleId="Strong">
    <w:name w:val="Strong"/>
    <w:uiPriority w:val="22"/>
    <w:qFormat/>
    <w:rsid w:val="00EA6265"/>
    <w:rPr>
      <w:b/>
      <w:bCs/>
    </w:rPr>
  </w:style>
  <w:style w:type="paragraph" w:styleId="ListParagraph">
    <w:name w:val="List Paragraph"/>
    <w:basedOn w:val="Normal"/>
    <w:uiPriority w:val="34"/>
    <w:qFormat/>
    <w:rsid w:val="00EA6265"/>
    <w:pPr>
      <w:suppressAutoHyphens/>
      <w:ind w:firstLineChars="200" w:firstLine="420"/>
    </w:pPr>
    <w:rPr>
      <w:rFonts w:ascii="Times New Roman" w:eastAsia="Lucida Sans Unicode" w:hAnsi="Times New Roman" w:cs="Mangal"/>
      <w:kern w:val="1"/>
      <w:sz w:val="24"/>
      <w:szCs w:val="21"/>
      <w:lang w:val="it-IT" w:eastAsia="hi-IN" w:bidi="hi-IN"/>
    </w:rPr>
  </w:style>
  <w:style w:type="character" w:styleId="Emphasis">
    <w:name w:val="Emphasis"/>
    <w:qFormat/>
    <w:rsid w:val="0059579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723A"/>
    <w:rPr>
      <w:sz w:val="16"/>
      <w:szCs w:val="16"/>
    </w:rPr>
  </w:style>
  <w:style w:type="paragraph" w:styleId="CommentText">
    <w:name w:val="annotation text"/>
    <w:basedOn w:val="Normal"/>
    <w:link w:val="CommentTextChar"/>
    <w:unhideWhenUsed/>
    <w:rsid w:val="0058723A"/>
    <w:rPr>
      <w:sz w:val="20"/>
      <w:szCs w:val="20"/>
    </w:rPr>
  </w:style>
  <w:style w:type="character" w:customStyle="1" w:styleId="CommentTextChar">
    <w:name w:val="Comment Text Char"/>
    <w:basedOn w:val="DefaultParagraphFont"/>
    <w:link w:val="CommentText"/>
    <w:rsid w:val="0058723A"/>
    <w:rPr>
      <w:sz w:val="20"/>
      <w:szCs w:val="20"/>
    </w:rPr>
  </w:style>
  <w:style w:type="paragraph" w:styleId="CommentSubject">
    <w:name w:val="annotation subject"/>
    <w:basedOn w:val="CommentText"/>
    <w:next w:val="CommentText"/>
    <w:link w:val="CommentSubjectChar"/>
    <w:uiPriority w:val="99"/>
    <w:semiHidden/>
    <w:unhideWhenUsed/>
    <w:rsid w:val="0058723A"/>
    <w:rPr>
      <w:b/>
      <w:bCs/>
    </w:rPr>
  </w:style>
  <w:style w:type="character" w:customStyle="1" w:styleId="CommentSubjectChar">
    <w:name w:val="Comment Subject Char"/>
    <w:basedOn w:val="CommentTextChar"/>
    <w:link w:val="CommentSubject"/>
    <w:uiPriority w:val="99"/>
    <w:semiHidden/>
    <w:rsid w:val="0058723A"/>
    <w:rPr>
      <w:b/>
      <w:bCs/>
      <w:sz w:val="20"/>
      <w:szCs w:val="20"/>
    </w:rPr>
  </w:style>
  <w:style w:type="paragraph" w:styleId="BalloonText">
    <w:name w:val="Balloon Text"/>
    <w:basedOn w:val="Normal"/>
    <w:link w:val="BalloonTextChar"/>
    <w:uiPriority w:val="99"/>
    <w:semiHidden/>
    <w:unhideWhenUsed/>
    <w:rsid w:val="00587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23A"/>
    <w:rPr>
      <w:rFonts w:ascii="Segoe UI" w:hAnsi="Segoe UI" w:cs="Segoe UI"/>
      <w:sz w:val="18"/>
      <w:szCs w:val="18"/>
    </w:rPr>
  </w:style>
  <w:style w:type="paragraph" w:styleId="NormalWeb">
    <w:name w:val="Normal (Web)"/>
    <w:basedOn w:val="Normal"/>
    <w:uiPriority w:val="99"/>
    <w:semiHidden/>
    <w:unhideWhenUsed/>
    <w:rsid w:val="006C377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6C4203"/>
  </w:style>
  <w:style w:type="character" w:styleId="Hyperlink">
    <w:name w:val="Hyperlink"/>
    <w:basedOn w:val="DefaultParagraphFont"/>
    <w:uiPriority w:val="99"/>
    <w:unhideWhenUsed/>
    <w:rsid w:val="00FE77C3"/>
    <w:rPr>
      <w:color w:val="0563C1" w:themeColor="hyperlink"/>
      <w:u w:val="single"/>
    </w:rPr>
  </w:style>
  <w:style w:type="paragraph" w:styleId="Bibliography">
    <w:name w:val="Bibliography"/>
    <w:basedOn w:val="Normal"/>
    <w:next w:val="Normal"/>
    <w:uiPriority w:val="37"/>
    <w:unhideWhenUsed/>
    <w:rsid w:val="00A75BDA"/>
    <w:pPr>
      <w:tabs>
        <w:tab w:val="left" w:pos="504"/>
      </w:tabs>
      <w:spacing w:after="240"/>
      <w:ind w:left="504" w:hanging="504"/>
    </w:pPr>
  </w:style>
  <w:style w:type="paragraph" w:styleId="Header">
    <w:name w:val="header"/>
    <w:basedOn w:val="Normal"/>
    <w:link w:val="HeaderChar"/>
    <w:uiPriority w:val="99"/>
    <w:unhideWhenUsed/>
    <w:rsid w:val="008234B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234B5"/>
    <w:rPr>
      <w:sz w:val="18"/>
      <w:szCs w:val="18"/>
    </w:rPr>
  </w:style>
  <w:style w:type="paragraph" w:styleId="Footer">
    <w:name w:val="footer"/>
    <w:basedOn w:val="Normal"/>
    <w:link w:val="FooterChar"/>
    <w:uiPriority w:val="99"/>
    <w:unhideWhenUsed/>
    <w:rsid w:val="008234B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234B5"/>
    <w:rPr>
      <w:sz w:val="18"/>
      <w:szCs w:val="18"/>
    </w:rPr>
  </w:style>
  <w:style w:type="character" w:styleId="Strong">
    <w:name w:val="Strong"/>
    <w:uiPriority w:val="22"/>
    <w:qFormat/>
    <w:rsid w:val="00EA6265"/>
    <w:rPr>
      <w:b/>
      <w:bCs/>
    </w:rPr>
  </w:style>
  <w:style w:type="paragraph" w:styleId="ListParagraph">
    <w:name w:val="List Paragraph"/>
    <w:basedOn w:val="Normal"/>
    <w:uiPriority w:val="34"/>
    <w:qFormat/>
    <w:rsid w:val="00EA6265"/>
    <w:pPr>
      <w:suppressAutoHyphens/>
      <w:ind w:firstLineChars="200" w:firstLine="420"/>
    </w:pPr>
    <w:rPr>
      <w:rFonts w:ascii="Times New Roman" w:eastAsia="Lucida Sans Unicode" w:hAnsi="Times New Roman" w:cs="Mangal"/>
      <w:kern w:val="1"/>
      <w:sz w:val="24"/>
      <w:szCs w:val="21"/>
      <w:lang w:val="it-IT" w:eastAsia="hi-IN" w:bidi="hi-IN"/>
    </w:rPr>
  </w:style>
  <w:style w:type="character" w:styleId="Emphasis">
    <w:name w:val="Emphasis"/>
    <w:qFormat/>
    <w:rsid w:val="0059579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9046">
      <w:bodyDiv w:val="1"/>
      <w:marLeft w:val="0"/>
      <w:marRight w:val="0"/>
      <w:marTop w:val="0"/>
      <w:marBottom w:val="0"/>
      <w:divBdr>
        <w:top w:val="none" w:sz="0" w:space="0" w:color="auto"/>
        <w:left w:val="none" w:sz="0" w:space="0" w:color="auto"/>
        <w:bottom w:val="none" w:sz="0" w:space="0" w:color="auto"/>
        <w:right w:val="none" w:sz="0" w:space="0" w:color="auto"/>
      </w:divBdr>
    </w:div>
    <w:div w:id="580454315">
      <w:bodyDiv w:val="1"/>
      <w:marLeft w:val="0"/>
      <w:marRight w:val="0"/>
      <w:marTop w:val="0"/>
      <w:marBottom w:val="0"/>
      <w:divBdr>
        <w:top w:val="none" w:sz="0" w:space="0" w:color="auto"/>
        <w:left w:val="none" w:sz="0" w:space="0" w:color="auto"/>
        <w:bottom w:val="none" w:sz="0" w:space="0" w:color="auto"/>
        <w:right w:val="none" w:sz="0" w:space="0" w:color="auto"/>
      </w:divBdr>
    </w:div>
    <w:div w:id="596639948">
      <w:bodyDiv w:val="1"/>
      <w:marLeft w:val="0"/>
      <w:marRight w:val="0"/>
      <w:marTop w:val="0"/>
      <w:marBottom w:val="0"/>
      <w:divBdr>
        <w:top w:val="none" w:sz="0" w:space="0" w:color="auto"/>
        <w:left w:val="none" w:sz="0" w:space="0" w:color="auto"/>
        <w:bottom w:val="none" w:sz="0" w:space="0" w:color="auto"/>
        <w:right w:val="none" w:sz="0" w:space="0" w:color="auto"/>
      </w:divBdr>
    </w:div>
    <w:div w:id="629675853">
      <w:bodyDiv w:val="1"/>
      <w:marLeft w:val="0"/>
      <w:marRight w:val="0"/>
      <w:marTop w:val="0"/>
      <w:marBottom w:val="0"/>
      <w:divBdr>
        <w:top w:val="none" w:sz="0" w:space="0" w:color="auto"/>
        <w:left w:val="none" w:sz="0" w:space="0" w:color="auto"/>
        <w:bottom w:val="none" w:sz="0" w:space="0" w:color="auto"/>
        <w:right w:val="none" w:sz="0" w:space="0" w:color="auto"/>
      </w:divBdr>
    </w:div>
    <w:div w:id="672686084">
      <w:bodyDiv w:val="1"/>
      <w:marLeft w:val="0"/>
      <w:marRight w:val="0"/>
      <w:marTop w:val="0"/>
      <w:marBottom w:val="0"/>
      <w:divBdr>
        <w:top w:val="none" w:sz="0" w:space="0" w:color="auto"/>
        <w:left w:val="none" w:sz="0" w:space="0" w:color="auto"/>
        <w:bottom w:val="none" w:sz="0" w:space="0" w:color="auto"/>
        <w:right w:val="none" w:sz="0" w:space="0" w:color="auto"/>
      </w:divBdr>
    </w:div>
    <w:div w:id="928661675">
      <w:bodyDiv w:val="1"/>
      <w:marLeft w:val="0"/>
      <w:marRight w:val="0"/>
      <w:marTop w:val="0"/>
      <w:marBottom w:val="0"/>
      <w:divBdr>
        <w:top w:val="none" w:sz="0" w:space="0" w:color="auto"/>
        <w:left w:val="none" w:sz="0" w:space="0" w:color="auto"/>
        <w:bottom w:val="none" w:sz="0" w:space="0" w:color="auto"/>
        <w:right w:val="none" w:sz="0" w:space="0" w:color="auto"/>
      </w:divBdr>
    </w:div>
    <w:div w:id="928932299">
      <w:bodyDiv w:val="1"/>
      <w:marLeft w:val="0"/>
      <w:marRight w:val="0"/>
      <w:marTop w:val="0"/>
      <w:marBottom w:val="0"/>
      <w:divBdr>
        <w:top w:val="none" w:sz="0" w:space="0" w:color="auto"/>
        <w:left w:val="none" w:sz="0" w:space="0" w:color="auto"/>
        <w:bottom w:val="none" w:sz="0" w:space="0" w:color="auto"/>
        <w:right w:val="none" w:sz="0" w:space="0" w:color="auto"/>
      </w:divBdr>
    </w:div>
    <w:div w:id="950476122">
      <w:bodyDiv w:val="1"/>
      <w:marLeft w:val="0"/>
      <w:marRight w:val="0"/>
      <w:marTop w:val="0"/>
      <w:marBottom w:val="0"/>
      <w:divBdr>
        <w:top w:val="none" w:sz="0" w:space="0" w:color="auto"/>
        <w:left w:val="none" w:sz="0" w:space="0" w:color="auto"/>
        <w:bottom w:val="none" w:sz="0" w:space="0" w:color="auto"/>
        <w:right w:val="none" w:sz="0" w:space="0" w:color="auto"/>
      </w:divBdr>
    </w:div>
    <w:div w:id="1116483945">
      <w:bodyDiv w:val="1"/>
      <w:marLeft w:val="0"/>
      <w:marRight w:val="0"/>
      <w:marTop w:val="0"/>
      <w:marBottom w:val="0"/>
      <w:divBdr>
        <w:top w:val="none" w:sz="0" w:space="0" w:color="auto"/>
        <w:left w:val="none" w:sz="0" w:space="0" w:color="auto"/>
        <w:bottom w:val="none" w:sz="0" w:space="0" w:color="auto"/>
        <w:right w:val="none" w:sz="0" w:space="0" w:color="auto"/>
      </w:divBdr>
    </w:div>
    <w:div w:id="1163358410">
      <w:bodyDiv w:val="1"/>
      <w:marLeft w:val="0"/>
      <w:marRight w:val="0"/>
      <w:marTop w:val="0"/>
      <w:marBottom w:val="0"/>
      <w:divBdr>
        <w:top w:val="none" w:sz="0" w:space="0" w:color="auto"/>
        <w:left w:val="none" w:sz="0" w:space="0" w:color="auto"/>
        <w:bottom w:val="none" w:sz="0" w:space="0" w:color="auto"/>
        <w:right w:val="none" w:sz="0" w:space="0" w:color="auto"/>
      </w:divBdr>
    </w:div>
    <w:div w:id="1266116286">
      <w:bodyDiv w:val="1"/>
      <w:marLeft w:val="0"/>
      <w:marRight w:val="0"/>
      <w:marTop w:val="0"/>
      <w:marBottom w:val="0"/>
      <w:divBdr>
        <w:top w:val="none" w:sz="0" w:space="0" w:color="auto"/>
        <w:left w:val="none" w:sz="0" w:space="0" w:color="auto"/>
        <w:bottom w:val="none" w:sz="0" w:space="0" w:color="auto"/>
        <w:right w:val="none" w:sz="0" w:space="0" w:color="auto"/>
      </w:divBdr>
    </w:div>
    <w:div w:id="1372807186">
      <w:bodyDiv w:val="1"/>
      <w:marLeft w:val="0"/>
      <w:marRight w:val="0"/>
      <w:marTop w:val="0"/>
      <w:marBottom w:val="0"/>
      <w:divBdr>
        <w:top w:val="none" w:sz="0" w:space="0" w:color="auto"/>
        <w:left w:val="none" w:sz="0" w:space="0" w:color="auto"/>
        <w:bottom w:val="none" w:sz="0" w:space="0" w:color="auto"/>
        <w:right w:val="none" w:sz="0" w:space="0" w:color="auto"/>
      </w:divBdr>
    </w:div>
    <w:div w:id="1634679429">
      <w:bodyDiv w:val="1"/>
      <w:marLeft w:val="0"/>
      <w:marRight w:val="0"/>
      <w:marTop w:val="0"/>
      <w:marBottom w:val="0"/>
      <w:divBdr>
        <w:top w:val="none" w:sz="0" w:space="0" w:color="auto"/>
        <w:left w:val="none" w:sz="0" w:space="0" w:color="auto"/>
        <w:bottom w:val="none" w:sz="0" w:space="0" w:color="auto"/>
        <w:right w:val="none" w:sz="0" w:space="0" w:color="auto"/>
      </w:divBdr>
    </w:div>
    <w:div w:id="1703549243">
      <w:bodyDiv w:val="1"/>
      <w:marLeft w:val="0"/>
      <w:marRight w:val="0"/>
      <w:marTop w:val="0"/>
      <w:marBottom w:val="0"/>
      <w:divBdr>
        <w:top w:val="none" w:sz="0" w:space="0" w:color="auto"/>
        <w:left w:val="none" w:sz="0" w:space="0" w:color="auto"/>
        <w:bottom w:val="none" w:sz="0" w:space="0" w:color="auto"/>
        <w:right w:val="none" w:sz="0" w:space="0" w:color="auto"/>
      </w:divBdr>
    </w:div>
    <w:div w:id="1743797678">
      <w:bodyDiv w:val="1"/>
      <w:marLeft w:val="0"/>
      <w:marRight w:val="0"/>
      <w:marTop w:val="0"/>
      <w:marBottom w:val="0"/>
      <w:divBdr>
        <w:top w:val="none" w:sz="0" w:space="0" w:color="auto"/>
        <w:left w:val="none" w:sz="0" w:space="0" w:color="auto"/>
        <w:bottom w:val="none" w:sz="0" w:space="0" w:color="auto"/>
        <w:right w:val="none" w:sz="0" w:space="0" w:color="auto"/>
      </w:divBdr>
    </w:div>
    <w:div w:id="1752577819">
      <w:bodyDiv w:val="1"/>
      <w:marLeft w:val="0"/>
      <w:marRight w:val="0"/>
      <w:marTop w:val="0"/>
      <w:marBottom w:val="0"/>
      <w:divBdr>
        <w:top w:val="none" w:sz="0" w:space="0" w:color="auto"/>
        <w:left w:val="none" w:sz="0" w:space="0" w:color="auto"/>
        <w:bottom w:val="none" w:sz="0" w:space="0" w:color="auto"/>
        <w:right w:val="none" w:sz="0" w:space="0" w:color="auto"/>
      </w:divBdr>
    </w:div>
    <w:div w:id="1941839507">
      <w:bodyDiv w:val="1"/>
      <w:marLeft w:val="0"/>
      <w:marRight w:val="0"/>
      <w:marTop w:val="0"/>
      <w:marBottom w:val="0"/>
      <w:divBdr>
        <w:top w:val="none" w:sz="0" w:space="0" w:color="auto"/>
        <w:left w:val="none" w:sz="0" w:space="0" w:color="auto"/>
        <w:bottom w:val="none" w:sz="0" w:space="0" w:color="auto"/>
        <w:right w:val="none" w:sz="0" w:space="0" w:color="auto"/>
      </w:divBdr>
    </w:div>
    <w:div w:id="1974751904">
      <w:bodyDiv w:val="1"/>
      <w:marLeft w:val="0"/>
      <w:marRight w:val="0"/>
      <w:marTop w:val="0"/>
      <w:marBottom w:val="0"/>
      <w:divBdr>
        <w:top w:val="none" w:sz="0" w:space="0" w:color="auto"/>
        <w:left w:val="none" w:sz="0" w:space="0" w:color="auto"/>
        <w:bottom w:val="none" w:sz="0" w:space="0" w:color="auto"/>
        <w:right w:val="none" w:sz="0" w:space="0" w:color="auto"/>
      </w:divBdr>
    </w:div>
    <w:div w:id="21334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ustomXml" Target="ink/ink1.xml"/><Relationship Id="rId8" Type="http://schemas.openxmlformats.org/officeDocument/2006/relationships/image" Target="media/image1.emf"/><Relationship Id="rId9" Type="http://schemas.openxmlformats.org/officeDocument/2006/relationships/chart" Target="charts/chart1.xml"/><Relationship Id="rId1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f5a8d3a52b4b2ba8/Documents/_Working%20Files/Ongoing%20research/HHT%20Avastin/Data%20extra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224660747194"/>
          <c:y val="0.0979275148910037"/>
          <c:w val="0.811529150611493"/>
          <c:h val="0.770924378378165"/>
        </c:manualLayout>
      </c:layout>
      <c:lineChart>
        <c:grouping val="stacked"/>
        <c:varyColors val="0"/>
        <c:ser>
          <c:idx val="0"/>
          <c:order val="0"/>
          <c:tx>
            <c:strRef>
              <c:f>Sheet2!$B$1</c:f>
              <c:strCache>
                <c:ptCount val="1"/>
                <c:pt idx="0">
                  <c:v>Hb</c:v>
                </c:pt>
              </c:strCache>
            </c:strRef>
          </c:tx>
          <c:spPr>
            <a:ln w="28575" cap="rnd">
              <a:solidFill>
                <a:schemeClr val="accent1"/>
              </a:solidFill>
              <a:round/>
            </a:ln>
            <a:effectLst/>
          </c:spPr>
          <c:marker>
            <c:symbol val="none"/>
          </c:marker>
          <c:cat>
            <c:numRef>
              <c:f>Sheet2!$A$2:$A$119</c:f>
              <c:numCache>
                <c:formatCode>m/d/yyyy</c:formatCode>
                <c:ptCount val="118"/>
                <c:pt idx="0">
                  <c:v>42484.0</c:v>
                </c:pt>
                <c:pt idx="1">
                  <c:v>42480.0</c:v>
                </c:pt>
                <c:pt idx="2">
                  <c:v>42477.0</c:v>
                </c:pt>
                <c:pt idx="3">
                  <c:v>42475.0</c:v>
                </c:pt>
                <c:pt idx="4">
                  <c:v>42473.0</c:v>
                </c:pt>
                <c:pt idx="5">
                  <c:v>42470.0</c:v>
                </c:pt>
                <c:pt idx="6">
                  <c:v>42466.0</c:v>
                </c:pt>
                <c:pt idx="7">
                  <c:v>42463.0</c:v>
                </c:pt>
                <c:pt idx="8">
                  <c:v>42459.0</c:v>
                </c:pt>
                <c:pt idx="9">
                  <c:v>42456.0</c:v>
                </c:pt>
                <c:pt idx="10">
                  <c:v>42452.0</c:v>
                </c:pt>
                <c:pt idx="11">
                  <c:v>42449.0</c:v>
                </c:pt>
                <c:pt idx="12">
                  <c:v>42445.0</c:v>
                </c:pt>
                <c:pt idx="13">
                  <c:v>42442.0</c:v>
                </c:pt>
                <c:pt idx="14">
                  <c:v>42438.0</c:v>
                </c:pt>
                <c:pt idx="15">
                  <c:v>42435.0</c:v>
                </c:pt>
                <c:pt idx="16">
                  <c:v>42428.0</c:v>
                </c:pt>
                <c:pt idx="17">
                  <c:v>42421.0</c:v>
                </c:pt>
                <c:pt idx="18">
                  <c:v>42414.0</c:v>
                </c:pt>
                <c:pt idx="19">
                  <c:v>42407.0</c:v>
                </c:pt>
                <c:pt idx="20">
                  <c:v>42403.0</c:v>
                </c:pt>
                <c:pt idx="21">
                  <c:v>42400.0</c:v>
                </c:pt>
                <c:pt idx="22">
                  <c:v>42393.0</c:v>
                </c:pt>
                <c:pt idx="23">
                  <c:v>42386.0</c:v>
                </c:pt>
                <c:pt idx="24">
                  <c:v>42379.0</c:v>
                </c:pt>
                <c:pt idx="25">
                  <c:v>42372.0</c:v>
                </c:pt>
                <c:pt idx="26">
                  <c:v>42368.0</c:v>
                </c:pt>
                <c:pt idx="27">
                  <c:v>42365.0</c:v>
                </c:pt>
                <c:pt idx="28">
                  <c:v>42361.0</c:v>
                </c:pt>
                <c:pt idx="29">
                  <c:v>42358.0</c:v>
                </c:pt>
                <c:pt idx="30">
                  <c:v>42354.0</c:v>
                </c:pt>
                <c:pt idx="31">
                  <c:v>42351.0</c:v>
                </c:pt>
                <c:pt idx="32">
                  <c:v>42347.0</c:v>
                </c:pt>
                <c:pt idx="33">
                  <c:v>42344.0</c:v>
                </c:pt>
                <c:pt idx="34">
                  <c:v>42340.0</c:v>
                </c:pt>
                <c:pt idx="35">
                  <c:v>42337.0</c:v>
                </c:pt>
                <c:pt idx="36">
                  <c:v>42333.0</c:v>
                </c:pt>
                <c:pt idx="37">
                  <c:v>42330.0</c:v>
                </c:pt>
                <c:pt idx="38">
                  <c:v>42326.0</c:v>
                </c:pt>
                <c:pt idx="39">
                  <c:v>42323.0</c:v>
                </c:pt>
                <c:pt idx="40">
                  <c:v>42321.0</c:v>
                </c:pt>
                <c:pt idx="41">
                  <c:v>42319.0</c:v>
                </c:pt>
                <c:pt idx="42">
                  <c:v>42316.0</c:v>
                </c:pt>
                <c:pt idx="43">
                  <c:v>42312.0</c:v>
                </c:pt>
                <c:pt idx="44">
                  <c:v>42309.0</c:v>
                </c:pt>
                <c:pt idx="45">
                  <c:v>42305.0</c:v>
                </c:pt>
                <c:pt idx="46">
                  <c:v>42302.0</c:v>
                </c:pt>
                <c:pt idx="47">
                  <c:v>42298.0</c:v>
                </c:pt>
                <c:pt idx="48">
                  <c:v>42295.0</c:v>
                </c:pt>
                <c:pt idx="49">
                  <c:v>42291.0</c:v>
                </c:pt>
                <c:pt idx="50">
                  <c:v>42288.0</c:v>
                </c:pt>
                <c:pt idx="51">
                  <c:v>42284.0</c:v>
                </c:pt>
                <c:pt idx="52">
                  <c:v>42281.0</c:v>
                </c:pt>
                <c:pt idx="53">
                  <c:v>42277.0</c:v>
                </c:pt>
                <c:pt idx="54">
                  <c:v>42274.0</c:v>
                </c:pt>
                <c:pt idx="55">
                  <c:v>42270.0</c:v>
                </c:pt>
                <c:pt idx="56">
                  <c:v>42267.0</c:v>
                </c:pt>
                <c:pt idx="57">
                  <c:v>42263.0</c:v>
                </c:pt>
                <c:pt idx="58">
                  <c:v>42260.0</c:v>
                </c:pt>
                <c:pt idx="59">
                  <c:v>42256.0</c:v>
                </c:pt>
                <c:pt idx="60">
                  <c:v>42253.0</c:v>
                </c:pt>
                <c:pt idx="61">
                  <c:v>42249.0</c:v>
                </c:pt>
                <c:pt idx="62">
                  <c:v>42246.0</c:v>
                </c:pt>
                <c:pt idx="63">
                  <c:v>42242.0</c:v>
                </c:pt>
                <c:pt idx="64">
                  <c:v>42239.0</c:v>
                </c:pt>
                <c:pt idx="65">
                  <c:v>42235.0</c:v>
                </c:pt>
                <c:pt idx="66">
                  <c:v>42232.0</c:v>
                </c:pt>
                <c:pt idx="67">
                  <c:v>42228.0</c:v>
                </c:pt>
                <c:pt idx="68">
                  <c:v>42225.0</c:v>
                </c:pt>
                <c:pt idx="69">
                  <c:v>42221.0</c:v>
                </c:pt>
                <c:pt idx="70">
                  <c:v>42218.0</c:v>
                </c:pt>
                <c:pt idx="71">
                  <c:v>42214.0</c:v>
                </c:pt>
                <c:pt idx="72">
                  <c:v>42211.0</c:v>
                </c:pt>
                <c:pt idx="73">
                  <c:v>42207.0</c:v>
                </c:pt>
                <c:pt idx="74">
                  <c:v>42204.0</c:v>
                </c:pt>
                <c:pt idx="75">
                  <c:v>42200.0</c:v>
                </c:pt>
                <c:pt idx="76">
                  <c:v>42197.0</c:v>
                </c:pt>
                <c:pt idx="77">
                  <c:v>42195.0</c:v>
                </c:pt>
                <c:pt idx="78">
                  <c:v>42193.0</c:v>
                </c:pt>
                <c:pt idx="79">
                  <c:v>42190.0</c:v>
                </c:pt>
                <c:pt idx="80">
                  <c:v>42186.0</c:v>
                </c:pt>
                <c:pt idx="81">
                  <c:v>42179.0</c:v>
                </c:pt>
                <c:pt idx="82">
                  <c:v>42176.0</c:v>
                </c:pt>
                <c:pt idx="83">
                  <c:v>42172.0</c:v>
                </c:pt>
                <c:pt idx="84">
                  <c:v>42169.0</c:v>
                </c:pt>
                <c:pt idx="85">
                  <c:v>42167.0</c:v>
                </c:pt>
                <c:pt idx="86">
                  <c:v>42165.0</c:v>
                </c:pt>
                <c:pt idx="87">
                  <c:v>42162.0</c:v>
                </c:pt>
                <c:pt idx="88">
                  <c:v>42160.0</c:v>
                </c:pt>
                <c:pt idx="89">
                  <c:v>42158.0</c:v>
                </c:pt>
                <c:pt idx="90">
                  <c:v>42155.0</c:v>
                </c:pt>
                <c:pt idx="91">
                  <c:v>42153.0</c:v>
                </c:pt>
                <c:pt idx="92">
                  <c:v>42148.0</c:v>
                </c:pt>
                <c:pt idx="93">
                  <c:v>42146.0</c:v>
                </c:pt>
                <c:pt idx="94">
                  <c:v>42142.0</c:v>
                </c:pt>
                <c:pt idx="95">
                  <c:v>42139.0</c:v>
                </c:pt>
                <c:pt idx="96">
                  <c:v>42137.0</c:v>
                </c:pt>
                <c:pt idx="97">
                  <c:v>42134.0</c:v>
                </c:pt>
                <c:pt idx="98">
                  <c:v>42132.0</c:v>
                </c:pt>
                <c:pt idx="99">
                  <c:v>42130.0</c:v>
                </c:pt>
                <c:pt idx="100">
                  <c:v>42127.0</c:v>
                </c:pt>
                <c:pt idx="101">
                  <c:v>42120.0</c:v>
                </c:pt>
                <c:pt idx="102">
                  <c:v>42113.0</c:v>
                </c:pt>
                <c:pt idx="103">
                  <c:v>42106.0</c:v>
                </c:pt>
                <c:pt idx="104">
                  <c:v>42099.0</c:v>
                </c:pt>
                <c:pt idx="105">
                  <c:v>42092.0</c:v>
                </c:pt>
                <c:pt idx="106">
                  <c:v>42085.0</c:v>
                </c:pt>
                <c:pt idx="107">
                  <c:v>42078.0</c:v>
                </c:pt>
                <c:pt idx="108">
                  <c:v>42071.0</c:v>
                </c:pt>
                <c:pt idx="109">
                  <c:v>42069.0</c:v>
                </c:pt>
                <c:pt idx="110">
                  <c:v>42067.0</c:v>
                </c:pt>
                <c:pt idx="111">
                  <c:v>42064.0</c:v>
                </c:pt>
                <c:pt idx="112">
                  <c:v>42057.0</c:v>
                </c:pt>
                <c:pt idx="113">
                  <c:v>42051.0</c:v>
                </c:pt>
                <c:pt idx="114">
                  <c:v>42032.0</c:v>
                </c:pt>
                <c:pt idx="115">
                  <c:v>42029.0</c:v>
                </c:pt>
                <c:pt idx="116">
                  <c:v>42022.0</c:v>
                </c:pt>
                <c:pt idx="117">
                  <c:v>42008.0</c:v>
                </c:pt>
              </c:numCache>
            </c:numRef>
          </c:cat>
          <c:val>
            <c:numRef>
              <c:f>Sheet2!$B$2:$B$119</c:f>
              <c:numCache>
                <c:formatCode>General</c:formatCode>
                <c:ptCount val="118"/>
                <c:pt idx="0">
                  <c:v>104.0</c:v>
                </c:pt>
                <c:pt idx="1">
                  <c:v>101.0</c:v>
                </c:pt>
                <c:pt idx="2">
                  <c:v>99.0</c:v>
                </c:pt>
                <c:pt idx="3">
                  <c:v>103.0</c:v>
                </c:pt>
                <c:pt idx="4">
                  <c:v>100.0</c:v>
                </c:pt>
                <c:pt idx="5">
                  <c:v>107.0</c:v>
                </c:pt>
                <c:pt idx="6">
                  <c:v>99.0</c:v>
                </c:pt>
                <c:pt idx="7">
                  <c:v>102.0</c:v>
                </c:pt>
                <c:pt idx="8">
                  <c:v>108.0</c:v>
                </c:pt>
                <c:pt idx="9">
                  <c:v>107.0</c:v>
                </c:pt>
                <c:pt idx="10">
                  <c:v>110.0</c:v>
                </c:pt>
                <c:pt idx="11">
                  <c:v>89.0</c:v>
                </c:pt>
                <c:pt idx="12">
                  <c:v>106.0</c:v>
                </c:pt>
                <c:pt idx="13">
                  <c:v>102.0</c:v>
                </c:pt>
                <c:pt idx="14">
                  <c:v>99.0</c:v>
                </c:pt>
                <c:pt idx="15">
                  <c:v>99.0</c:v>
                </c:pt>
                <c:pt idx="16">
                  <c:v>115.0</c:v>
                </c:pt>
                <c:pt idx="17">
                  <c:v>109.0</c:v>
                </c:pt>
                <c:pt idx="18">
                  <c:v>98.0</c:v>
                </c:pt>
                <c:pt idx="19">
                  <c:v>97.0</c:v>
                </c:pt>
                <c:pt idx="20">
                  <c:v>98.0</c:v>
                </c:pt>
                <c:pt idx="21">
                  <c:v>102.0</c:v>
                </c:pt>
                <c:pt idx="22">
                  <c:v>104.0</c:v>
                </c:pt>
                <c:pt idx="23">
                  <c:v>108.0</c:v>
                </c:pt>
                <c:pt idx="24">
                  <c:v>112.0</c:v>
                </c:pt>
                <c:pt idx="25">
                  <c:v>112.0</c:v>
                </c:pt>
                <c:pt idx="26">
                  <c:v>114.0</c:v>
                </c:pt>
                <c:pt idx="27">
                  <c:v>112.0</c:v>
                </c:pt>
                <c:pt idx="28">
                  <c:v>110.0</c:v>
                </c:pt>
                <c:pt idx="29">
                  <c:v>110.0</c:v>
                </c:pt>
                <c:pt idx="30">
                  <c:v>105.0</c:v>
                </c:pt>
                <c:pt idx="31">
                  <c:v>97.0</c:v>
                </c:pt>
                <c:pt idx="32">
                  <c:v>94.0</c:v>
                </c:pt>
                <c:pt idx="33">
                  <c:v>98.0</c:v>
                </c:pt>
                <c:pt idx="34">
                  <c:v>104.0</c:v>
                </c:pt>
                <c:pt idx="35">
                  <c:v>105.0</c:v>
                </c:pt>
                <c:pt idx="36">
                  <c:v>108.0</c:v>
                </c:pt>
                <c:pt idx="37">
                  <c:v>108.0</c:v>
                </c:pt>
                <c:pt idx="38">
                  <c:v>105.0</c:v>
                </c:pt>
                <c:pt idx="39">
                  <c:v>101.0</c:v>
                </c:pt>
                <c:pt idx="40">
                  <c:v>94.0</c:v>
                </c:pt>
                <c:pt idx="41">
                  <c:v>105.0</c:v>
                </c:pt>
                <c:pt idx="42">
                  <c:v>107.0</c:v>
                </c:pt>
                <c:pt idx="43">
                  <c:v>120.0</c:v>
                </c:pt>
                <c:pt idx="44">
                  <c:v>99.0</c:v>
                </c:pt>
                <c:pt idx="45">
                  <c:v>100.0</c:v>
                </c:pt>
                <c:pt idx="46">
                  <c:v>100.0</c:v>
                </c:pt>
                <c:pt idx="47">
                  <c:v>101.0</c:v>
                </c:pt>
                <c:pt idx="48">
                  <c:v>96.0</c:v>
                </c:pt>
                <c:pt idx="49">
                  <c:v>105.0</c:v>
                </c:pt>
                <c:pt idx="50">
                  <c:v>105.0</c:v>
                </c:pt>
                <c:pt idx="51">
                  <c:v>110.0</c:v>
                </c:pt>
                <c:pt idx="52">
                  <c:v>104.0</c:v>
                </c:pt>
                <c:pt idx="53">
                  <c:v>110.0</c:v>
                </c:pt>
                <c:pt idx="54">
                  <c:v>105.0</c:v>
                </c:pt>
                <c:pt idx="55">
                  <c:v>111.0</c:v>
                </c:pt>
                <c:pt idx="56">
                  <c:v>110.0</c:v>
                </c:pt>
                <c:pt idx="57">
                  <c:v>107.0</c:v>
                </c:pt>
                <c:pt idx="58">
                  <c:v>86.0</c:v>
                </c:pt>
                <c:pt idx="59">
                  <c:v>99.0</c:v>
                </c:pt>
                <c:pt idx="60">
                  <c:v>96.0</c:v>
                </c:pt>
                <c:pt idx="61">
                  <c:v>102.0</c:v>
                </c:pt>
                <c:pt idx="62">
                  <c:v>101.0</c:v>
                </c:pt>
                <c:pt idx="63">
                  <c:v>101.0</c:v>
                </c:pt>
                <c:pt idx="64">
                  <c:v>99.0</c:v>
                </c:pt>
                <c:pt idx="65">
                  <c:v>115.0</c:v>
                </c:pt>
                <c:pt idx="66">
                  <c:v>113.0</c:v>
                </c:pt>
                <c:pt idx="67">
                  <c:v>118.0</c:v>
                </c:pt>
                <c:pt idx="68">
                  <c:v>113.0</c:v>
                </c:pt>
                <c:pt idx="69">
                  <c:v>100.0</c:v>
                </c:pt>
                <c:pt idx="70">
                  <c:v>95.0</c:v>
                </c:pt>
                <c:pt idx="71">
                  <c:v>93.0</c:v>
                </c:pt>
                <c:pt idx="72">
                  <c:v>101.0</c:v>
                </c:pt>
                <c:pt idx="73">
                  <c:v>90.0</c:v>
                </c:pt>
                <c:pt idx="74">
                  <c:v>94.0</c:v>
                </c:pt>
                <c:pt idx="75">
                  <c:v>105.0</c:v>
                </c:pt>
                <c:pt idx="76">
                  <c:v>109.0</c:v>
                </c:pt>
                <c:pt idx="77">
                  <c:v>87.0</c:v>
                </c:pt>
                <c:pt idx="78">
                  <c:v>97.0</c:v>
                </c:pt>
                <c:pt idx="79">
                  <c:v>100.0</c:v>
                </c:pt>
                <c:pt idx="80">
                  <c:v>110.0</c:v>
                </c:pt>
                <c:pt idx="81">
                  <c:v>114.0</c:v>
                </c:pt>
                <c:pt idx="82">
                  <c:v>105.0</c:v>
                </c:pt>
                <c:pt idx="83">
                  <c:v>108.0</c:v>
                </c:pt>
                <c:pt idx="84">
                  <c:v>105.0</c:v>
                </c:pt>
                <c:pt idx="85">
                  <c:v>102.0</c:v>
                </c:pt>
                <c:pt idx="86">
                  <c:v>105.0</c:v>
                </c:pt>
                <c:pt idx="87">
                  <c:v>93.0</c:v>
                </c:pt>
                <c:pt idx="88">
                  <c:v>105.0</c:v>
                </c:pt>
                <c:pt idx="89">
                  <c:v>109.0</c:v>
                </c:pt>
                <c:pt idx="90">
                  <c:v>114.0</c:v>
                </c:pt>
                <c:pt idx="91">
                  <c:v>94.0</c:v>
                </c:pt>
                <c:pt idx="92">
                  <c:v>108.0</c:v>
                </c:pt>
                <c:pt idx="93">
                  <c:v>109.0</c:v>
                </c:pt>
                <c:pt idx="94">
                  <c:v>113.0</c:v>
                </c:pt>
                <c:pt idx="95">
                  <c:v>99.0</c:v>
                </c:pt>
                <c:pt idx="96">
                  <c:v>104.0</c:v>
                </c:pt>
                <c:pt idx="97">
                  <c:v>114.0</c:v>
                </c:pt>
                <c:pt idx="98">
                  <c:v>94.0</c:v>
                </c:pt>
                <c:pt idx="99">
                  <c:v>103.0</c:v>
                </c:pt>
                <c:pt idx="100">
                  <c:v>102.0</c:v>
                </c:pt>
                <c:pt idx="101">
                  <c:v>77.0</c:v>
                </c:pt>
                <c:pt idx="102">
                  <c:v>63.0</c:v>
                </c:pt>
                <c:pt idx="103">
                  <c:v>61.0</c:v>
                </c:pt>
                <c:pt idx="104">
                  <c:v>65.0</c:v>
                </c:pt>
                <c:pt idx="105">
                  <c:v>61.0</c:v>
                </c:pt>
                <c:pt idx="106">
                  <c:v>57.0</c:v>
                </c:pt>
                <c:pt idx="107">
                  <c:v>55.0</c:v>
                </c:pt>
                <c:pt idx="108">
                  <c:v>60.0</c:v>
                </c:pt>
                <c:pt idx="109">
                  <c:v>69.0</c:v>
                </c:pt>
                <c:pt idx="110">
                  <c:v>52.0</c:v>
                </c:pt>
                <c:pt idx="111">
                  <c:v>49.0</c:v>
                </c:pt>
                <c:pt idx="112">
                  <c:v>58.0</c:v>
                </c:pt>
                <c:pt idx="113">
                  <c:v>52.0</c:v>
                </c:pt>
                <c:pt idx="114">
                  <c:v>56.0</c:v>
                </c:pt>
                <c:pt idx="115">
                  <c:v>55.0</c:v>
                </c:pt>
                <c:pt idx="116">
                  <c:v>54.0</c:v>
                </c:pt>
                <c:pt idx="117">
                  <c:v>48.0</c:v>
                </c:pt>
              </c:numCache>
            </c:numRef>
          </c:val>
          <c:smooth val="0"/>
          <c:extLst xmlns:c16r2="http://schemas.microsoft.com/office/drawing/2015/06/chart">
            <c:ext xmlns:c16="http://schemas.microsoft.com/office/drawing/2014/chart" uri="{C3380CC4-5D6E-409C-BE32-E72D297353CC}">
              <c16:uniqueId val="{00000000-785B-41EA-BB89-FD82263E09A2}"/>
            </c:ext>
          </c:extLst>
        </c:ser>
        <c:dLbls>
          <c:showLegendKey val="0"/>
          <c:showVal val="0"/>
          <c:showCatName val="0"/>
          <c:showSerName val="0"/>
          <c:showPercent val="0"/>
          <c:showBubbleSize val="0"/>
        </c:dLbls>
        <c:marker val="1"/>
        <c:smooth val="0"/>
        <c:axId val="-2130254792"/>
        <c:axId val="-2129710616"/>
      </c:lineChart>
      <c:dateAx>
        <c:axId val="-213025479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710616"/>
        <c:crosses val="autoZero"/>
        <c:auto val="0"/>
        <c:lblOffset val="100"/>
        <c:baseTimeUnit val="days"/>
      </c:dateAx>
      <c:valAx>
        <c:axId val="-2129710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sz="1400"/>
                  <a:t>Hemoglobin (g/L)</a:t>
                </a:r>
              </a:p>
            </c:rich>
          </c:tx>
          <c:layout>
            <c:manualLayout>
              <c:xMode val="edge"/>
              <c:yMode val="edge"/>
              <c:x val="0.0717935723460099"/>
              <c:y val="0.39767997423764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0254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6-11T07:33:13.468"/>
    </inkml:context>
    <inkml:brush xml:id="br0">
      <inkml:brushProperty name="width" value="0.06667" units="cm"/>
      <inkml:brushProperty name="height" value="0.06667" units="cm"/>
    </inkml:brush>
  </inkml:definitions>
  <inkml:trace contextRef="#ctx0" brushRef="#br0">12252 3677 3456,'3'-9'2048,"4"-4"-1664,-10 9 0,3 2-640,0-1 128,3-3-640,1 1 0,-1 3-1280,4-1 128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2797</Words>
  <Characters>15949</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Ou</dc:creator>
  <cp:keywords/>
  <dc:description/>
  <cp:lastModifiedBy>Na Ma</cp:lastModifiedBy>
  <cp:revision>2</cp:revision>
  <dcterms:created xsi:type="dcterms:W3CDTF">2016-10-18T01:46:00Z</dcterms:created>
  <dcterms:modified xsi:type="dcterms:W3CDTF">2016-10-18T01:46:00Z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id="qxRjczJ9"/&gt;&lt;style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