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6" w:type="dxa"/>
        <w:jc w:val="center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1"/>
        <w:gridCol w:w="1132"/>
        <w:gridCol w:w="1132"/>
        <w:gridCol w:w="1111"/>
        <w:gridCol w:w="1119"/>
        <w:gridCol w:w="1132"/>
        <w:gridCol w:w="1059"/>
      </w:tblGrid>
      <w:tr w:rsidR="00325656" w:rsidRPr="000B3203" w:rsidTr="00FB4A37">
        <w:trPr>
          <w:trHeight w:val="321"/>
          <w:jc w:val="center"/>
        </w:trPr>
        <w:tc>
          <w:tcPr>
            <w:tcW w:w="79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Supplementary Table 1. Age and Gender Distribution of Study Population (</w:t>
            </w:r>
            <w:r w:rsidRPr="000B3203">
              <w:rPr>
                <w:rFonts w:ascii="Book Antiqua" w:eastAsia="Malgun Gothic" w:hAnsi="Book Antiqua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  <w:t>n</w:t>
            </w:r>
            <w:r w:rsidRPr="000B3203">
              <w:rPr>
                <w:rFonts w:ascii="Book Antiqua" w:eastAsia="Malgun Gothic" w:hAnsi="Book Antiqua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, %)</w:t>
            </w:r>
          </w:p>
        </w:tc>
      </w:tr>
      <w:tr w:rsidR="00325656" w:rsidRPr="000B3203" w:rsidTr="00325656">
        <w:trPr>
          <w:trHeight w:val="1009"/>
          <w:jc w:val="center"/>
        </w:trPr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General Population</w:t>
            </w: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br/>
              <w:t>(</w:t>
            </w:r>
            <w:r w:rsidRPr="000B3203">
              <w:rPr>
                <w:rFonts w:ascii="Book Antiqua" w:eastAsia="Malgun Gothic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n</w:t>
            </w: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= 801,926)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Osteoarthritis Patients</w:t>
            </w: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br/>
              <w:t>(</w:t>
            </w:r>
            <w:r w:rsidRPr="000B3203">
              <w:rPr>
                <w:rFonts w:ascii="Book Antiqua" w:eastAsia="Malgun Gothic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n</w:t>
            </w: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= 93,855)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Subjects with</w:t>
            </w: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br/>
              <w:t>Health Check-up</w:t>
            </w: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br/>
              <w:t>(</w:t>
            </w:r>
            <w:r w:rsidRPr="000B3203">
              <w:rPr>
                <w:rFonts w:ascii="Book Antiqua" w:eastAsia="Malgun Gothic" w:hAnsi="Book Antiqua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n</w:t>
            </w: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 xml:space="preserve"> = 233,879)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Age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20-24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69,110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(8.62)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1,102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(1.17)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5,674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(2.43)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25-29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62,812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(7.83)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1,227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(1.31)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15,570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(6.66)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30-34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79,575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(9.92)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1,844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(1.96)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22,178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(9.48)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35-39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76,378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(9.52)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2,306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(2.46)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18,895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(8.08)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40-44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90,825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(11.33)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3,929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(4.19)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34,474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(14.74)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45-49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85,843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(10.70)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6,199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(6.60)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26,925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(11.51)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50-54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87,910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(10.96)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10,732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(11.43)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32,852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(14.05)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55-59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71,573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(8.92)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12,420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(13.23)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23,603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(10.09)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60-64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49,544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(6.18)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11,524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(12.28)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19,934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(8.52)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65-69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39,792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(4.96)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11,995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(12.78)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12,301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(5.26)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70-74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36,883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(4.60)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12,879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(13.72)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12,739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(5.45)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75-79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26,193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(3.27)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9,599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(10.23)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5,223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(2.23)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80-84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15,016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(1.87)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5,294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(5.64)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2,739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(1.17)</w:t>
            </w:r>
          </w:p>
        </w:tc>
      </w:tr>
      <w:tr w:rsidR="00325656" w:rsidRPr="000B3203" w:rsidTr="00325656">
        <w:trPr>
          <w:trHeight w:val="35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≥ 85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10,508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(1.31)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2,805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(2.99)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772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(0.33)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Sex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Times New Roman" w:hAnsi="Book Antiqua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Male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396,338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(49.42)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30,105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(32.08)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126,107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(53.92)</w:t>
            </w:r>
          </w:p>
        </w:tc>
      </w:tr>
      <w:tr w:rsidR="00325656" w:rsidRPr="000B3203" w:rsidTr="00325656">
        <w:trPr>
          <w:trHeight w:val="321"/>
          <w:jc w:val="center"/>
        </w:trPr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Female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405,624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(50.58)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63,750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(67.92)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107,772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 w:themeColor="text1"/>
                <w:kern w:val="0"/>
                <w:sz w:val="24"/>
                <w:szCs w:val="24"/>
              </w:rPr>
              <w:t>(46.08)</w:t>
            </w:r>
          </w:p>
        </w:tc>
      </w:tr>
    </w:tbl>
    <w:p w:rsidR="00325656" w:rsidRPr="000B3203" w:rsidRDefault="00325656" w:rsidP="00325656">
      <w:pPr>
        <w:widowControl/>
        <w:wordWrap/>
        <w:autoSpaceDE/>
        <w:autoSpaceDN/>
        <w:rPr>
          <w:rFonts w:ascii="Book Antiqua" w:hAnsi="Book Antiqua" w:cs="Times New Roman"/>
          <w:color w:val="000000" w:themeColor="text1"/>
          <w:sz w:val="24"/>
          <w:szCs w:val="24"/>
        </w:rPr>
        <w:sectPr w:rsidR="00325656" w:rsidRPr="000B3203" w:rsidSect="00FC7476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  <w:r w:rsidRPr="000B3203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p w:rsidR="00325656" w:rsidRPr="000B3203" w:rsidRDefault="00325656" w:rsidP="00325656">
      <w:pPr>
        <w:widowControl/>
        <w:wordWrap/>
        <w:autoSpaceDE/>
        <w:autoSpaceDN/>
        <w:rPr>
          <w:rFonts w:ascii="Book Antiqua" w:hAnsi="Book Antiqua" w:cs="Times New Roman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page" w:tblpX="554" w:tblpY="453"/>
        <w:tblW w:w="153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4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824"/>
      </w:tblGrid>
      <w:tr w:rsidR="00325656" w:rsidRPr="000B3203" w:rsidTr="00FB4A37">
        <w:trPr>
          <w:trHeight w:val="345"/>
        </w:trPr>
        <w:tc>
          <w:tcPr>
            <w:tcW w:w="1539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t>Supplementary Table 2. Age-Group Specific Prevalence of Gastrointestinal Bleeding Risk Factors in Osteoarthritis Patients (%)</w:t>
            </w:r>
          </w:p>
        </w:tc>
      </w:tr>
      <w:tr w:rsidR="00325656" w:rsidRPr="000B3203" w:rsidTr="00FB4A37">
        <w:trPr>
          <w:trHeight w:val="345"/>
        </w:trPr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20-24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25-29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30-34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35-39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40-44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45-49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50-54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55-59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60-64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65-69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70-74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75-79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80-84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≥85yr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Comorbid Conditions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Peptic Ulcer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6.62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8.64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9.27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10.88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13.82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14.60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18.20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18.54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20.21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21.43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23.45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21.70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20.10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16.33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1.57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3.38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5.17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7.89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10.98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14.74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20.10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24.01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27.06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27.42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25.71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18.29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Liver Disease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3.99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4.48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7.32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8.72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8.02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10.45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10.72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10.92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10.55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9.41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7.84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6.78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4.88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Chronic Renal Failure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0.26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0.45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0.69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1.37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</w:tr>
      <w:tr w:rsidR="00325656" w:rsidRPr="000B3203" w:rsidTr="00FB4A37">
        <w:trPr>
          <w:trHeight w:val="37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Gastroesophageal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Reflux Disease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12.98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14.34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16.38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17.74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21.71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22.58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26.61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27.97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29.28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30.28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30.76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27.32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24.16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18.18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7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Concomitant Drugs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Aspirin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1.60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3.68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6.63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11.55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17.36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20.99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25.57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26.26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27.14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23.28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2.48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3.87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5.49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9.22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9.44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8.20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Cilostazol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0.33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2.16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3.03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3.34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3.17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2.46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NSAIDs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5.99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6.52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7.59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11.14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15.47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18.18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24.13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27.73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31.35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33.06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34.87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35.83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36.46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32.87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Steroid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1.27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0.82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1.46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1.99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2.04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2.63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3.07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3.48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4.29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4.65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5.26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5.14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5.04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3.99 </w:t>
            </w:r>
          </w:p>
        </w:tc>
      </w:tr>
      <w:tr w:rsidR="00325656" w:rsidRPr="000B3203" w:rsidTr="00FB4A37">
        <w:trPr>
          <w:trHeight w:val="37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Anticoagulants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0.13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0.81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0.68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SSRI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0.24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0.16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0.30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0.53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1.18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1.73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1.72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1.43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No. of Risk Factors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4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≥ 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24.68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28.20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32.48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38.33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46.75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51.12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61.52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67.51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73.79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77.17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80.88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80.77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80.19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72.48 </w:t>
            </w:r>
          </w:p>
        </w:tc>
      </w:tr>
      <w:tr w:rsidR="00325656" w:rsidRPr="000B3203" w:rsidTr="00FB4A37">
        <w:trPr>
          <w:trHeight w:val="34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≥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6.17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6.44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9.06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12.97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16.95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21.52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28.66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34.63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41.73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47.09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51.56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51.10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49.06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39.82 </w:t>
            </w:r>
          </w:p>
        </w:tc>
      </w:tr>
      <w:tr w:rsidR="00325656" w:rsidRPr="000B3203" w:rsidTr="00FB4A37">
        <w:trPr>
          <w:trHeight w:val="34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≥ 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1.14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1.95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3.43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6.50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9.76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12.79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18.05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21.46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25.51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24.29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22.82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14.72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6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No. of Risk Factors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br/>
              <w:t xml:space="preserve">(Excluding </w:t>
            </w: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Concommitant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NSAIDs Use)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21.42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24.45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28.85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33.43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39.78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44.14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52.87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58.48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65.07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69.02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72.94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72.61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70.91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61.35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3.90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4.56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6.62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9.24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11.61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15.03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19.92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24.44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30.85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35.94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40.54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38.83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36.78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27.20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0.41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1.03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1.34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2.24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2.76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5.12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7.03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10.46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13.00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16.27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15.20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13.51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8.34 </w:t>
            </w:r>
          </w:p>
        </w:tc>
      </w:tr>
      <w:tr w:rsidR="00325656" w:rsidRPr="000B3203" w:rsidTr="00FB4A37">
        <w:trPr>
          <w:trHeight w:val="3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630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No. of Risk Factors 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br/>
              <w:t>(After H. pylori Prevalence Imputation)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4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≥ 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45.46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47.43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61.88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63.92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74.85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76.69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84.82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87.54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90.25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91.32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92.20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92.09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91.97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88.77 </w:t>
            </w:r>
          </w:p>
        </w:tc>
      </w:tr>
      <w:tr w:rsidR="00325656" w:rsidRPr="000B3203" w:rsidTr="00FB4A37">
        <w:trPr>
          <w:trHeight w:val="345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≥ 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11.62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12.39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19.31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23.33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33.14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36.86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48.61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54.65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61.99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65.57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68.54 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67.30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59.04 </w:t>
            </w:r>
          </w:p>
        </w:tc>
      </w:tr>
      <w:tr w:rsidR="00325656" w:rsidRPr="000B3203" w:rsidTr="00FB4A37">
        <w:trPr>
          <w:trHeight w:val="345"/>
        </w:trPr>
        <w:tc>
          <w:tcPr>
            <w:tcW w:w="4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≥ 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1.91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2.44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5.31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7.72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10.97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14.39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21.50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26.17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32.75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37.27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40.73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39.97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38.42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  <w:t xml:space="preserve">29.95 </w:t>
            </w:r>
          </w:p>
        </w:tc>
      </w:tr>
      <w:tr w:rsidR="00325656" w:rsidRPr="000B3203" w:rsidTr="00FB4A37">
        <w:trPr>
          <w:trHeight w:val="330"/>
        </w:trPr>
        <w:tc>
          <w:tcPr>
            <w:tcW w:w="107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NSAIDs, non-steroidal anti-inflammatory drugs; SSRI, selective serotonin reuptake inhibitor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* Subjects who were prescribed 60 days or more in 2013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99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Warfarin, </w:t>
            </w: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rivaroxaban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dabigatran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apixaban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were included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</w:tbl>
    <w:p w:rsidR="00325656" w:rsidRPr="000B3203" w:rsidRDefault="00325656" w:rsidP="00325656">
      <w:pPr>
        <w:spacing w:line="480" w:lineRule="auto"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325656" w:rsidRPr="000B3203" w:rsidRDefault="00325656" w:rsidP="00325656">
      <w:pPr>
        <w:widowControl/>
        <w:wordWrap/>
        <w:autoSpaceDE/>
        <w:autoSpaceDN/>
        <w:rPr>
          <w:rFonts w:ascii="Book Antiqua" w:hAnsi="Book Antiqua" w:cs="Times New Roman"/>
          <w:color w:val="000000" w:themeColor="text1"/>
          <w:sz w:val="24"/>
          <w:szCs w:val="24"/>
        </w:rPr>
      </w:pPr>
      <w:r w:rsidRPr="000B3203">
        <w:rPr>
          <w:rFonts w:ascii="Book Antiqua" w:hAnsi="Book Antiqua" w:cs="Times New Roman"/>
          <w:color w:val="000000" w:themeColor="text1"/>
          <w:sz w:val="24"/>
          <w:szCs w:val="24"/>
        </w:rPr>
        <w:br w:type="page"/>
      </w:r>
    </w:p>
    <w:tbl>
      <w:tblPr>
        <w:tblpPr w:leftFromText="142" w:rightFromText="142" w:vertAnchor="text" w:horzAnchor="page" w:tblpX="220" w:tblpY="538"/>
        <w:tblW w:w="162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80"/>
        <w:gridCol w:w="807"/>
        <w:gridCol w:w="833"/>
        <w:gridCol w:w="17"/>
        <w:gridCol w:w="853"/>
        <w:gridCol w:w="850"/>
        <w:gridCol w:w="22"/>
        <w:gridCol w:w="829"/>
        <w:gridCol w:w="41"/>
        <w:gridCol w:w="809"/>
        <w:gridCol w:w="61"/>
        <w:gridCol w:w="790"/>
        <w:gridCol w:w="819"/>
        <w:gridCol w:w="783"/>
        <w:gridCol w:w="808"/>
        <w:gridCol w:w="850"/>
        <w:gridCol w:w="851"/>
        <w:gridCol w:w="850"/>
        <w:gridCol w:w="851"/>
      </w:tblGrid>
      <w:tr w:rsidR="00325656" w:rsidRPr="000B3203" w:rsidTr="00FB4A37">
        <w:trPr>
          <w:trHeight w:val="330"/>
        </w:trPr>
        <w:tc>
          <w:tcPr>
            <w:tcW w:w="145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Supplementary Table 3. Prevalence of Gastrointestinal bleeding Risk Factors in Subjects Who Performed Health Check-up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20-24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25-29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30-34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35-39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40-44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45-49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50-54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55-59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60-64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65-69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70-74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75-79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80-84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85yr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Comorbid Conditions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Peptic Ulcer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4.99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5.13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6.29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10.74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11.86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15.02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16.59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18.24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19.32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21.98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21.64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19.02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17.23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Diabetes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0.32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0.40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0.72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1.79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3.47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5.62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8.96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12.99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18.35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21.41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24.59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25.46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23.48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18.26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Chronic Liver Disease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2.33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2.94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3.88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4.75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5.70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6.93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8.70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9.58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10.12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6.06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5.44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Chronic Renal Failure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0.16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0.63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1.78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1.50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1.17 </w:t>
            </w:r>
          </w:p>
        </w:tc>
      </w:tr>
      <w:tr w:rsidR="00325656" w:rsidRPr="000B3203" w:rsidTr="00FB4A37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Gastroesophageal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Reflux Disease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8.58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9.44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9.90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11.28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19.82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20.21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24.78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26.52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29.97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30.58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31.93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31.15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28.00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20.21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Concomitant Drugs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Aspirin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0.43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1.22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2.66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6.00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10.67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16.08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20.29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25.10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27.32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25.99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23.32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Clopidogrel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0.49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1.14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1.90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3.55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6.59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7.64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Cilostazol</w:t>
            </w:r>
            <w:proofErr w:type="spellEnd"/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0.12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0.48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0.83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1.37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1.81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2.39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3.01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2.59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2.85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NSAIDs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0.46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0.64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1.56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2.53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3.83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7.01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9.69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12.85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15.70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19.45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21.92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22.86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17.36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Steroid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0.28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0.37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0.60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0.88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1.25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1.73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2.09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2.97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3.34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2.72 </w:t>
            </w:r>
          </w:p>
        </w:tc>
      </w:tr>
      <w:tr w:rsidR="00325656" w:rsidRPr="000B3203" w:rsidTr="00FB4A37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Anticoagulants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0.09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0.10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0.18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0.29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0.55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0.96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0.73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0.39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SSRI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0.11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0.23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0.25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0.34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0.38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0.54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0.76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1.01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1.44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1.61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2.07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Personal Habits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Current Smoker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27.00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29.17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36.50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39.10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28.69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26.21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21.70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19.32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15.27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12.71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10.40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9.02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7.05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5.44 </w:t>
            </w:r>
          </w:p>
        </w:tc>
      </w:tr>
      <w:tr w:rsidR="00325656" w:rsidRPr="000B3203" w:rsidTr="00FB4A37">
        <w:trPr>
          <w:trHeight w:val="3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Problematic Drinker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26.98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24.66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25.42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24.03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19.72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18.06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15.04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11.92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8.91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18.13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12.43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8.48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6.54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4.66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No. of Risk Factors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51.52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51.80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57.07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60.66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58.74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60.25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64.04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68.09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72.83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77.76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80.41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80.91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78.93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69.95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16.94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17.98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22.04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23.45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25.07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26.18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31.07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34.62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40.20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47.45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50.43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51.31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47.10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38.21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lastRenderedPageBreak/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2.22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2.62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4.92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7.35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8.25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11.50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13.88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17.20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22.58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24.81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25.50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21.10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15.54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6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No. of Risk Factors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br/>
              <w:t>(After H. pylori Prevalence Imputation)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64.49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64.57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75.42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77.18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80.44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81.06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86.08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87.68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89.56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91.55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92.17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92.38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91.93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88.34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26.42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27.41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36.57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38.97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42.96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43.96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51.13 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55.08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60.51 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65.73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68.40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68.31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65.57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57.12 </w:t>
            </w:r>
          </w:p>
        </w:tc>
      </w:tr>
      <w:tr w:rsidR="00325656" w:rsidRPr="000B3203" w:rsidTr="00FB4A37">
        <w:trPr>
          <w:trHeight w:val="330"/>
        </w:trPr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Batang" w:hAnsi="Book Antiqua" w:cs="Times New Roman"/>
                <w:color w:val="000000"/>
                <w:kern w:val="0"/>
                <w:sz w:val="24"/>
                <w:szCs w:val="24"/>
              </w:rPr>
              <w:t>≥</w:t>
            </w: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5.75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6.56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11.31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12.74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16.48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17.83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23.34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26.44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31.47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38.29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39.63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40.03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36.66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29.66 </w:t>
            </w:r>
          </w:p>
        </w:tc>
      </w:tr>
      <w:tr w:rsidR="00325656" w:rsidRPr="000B3203" w:rsidTr="00FB4A37">
        <w:trPr>
          <w:trHeight w:val="330"/>
        </w:trPr>
        <w:tc>
          <w:tcPr>
            <w:tcW w:w="153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NSAIDs, non-steroidal anti-inflammatory drugs; SSRI, selective serotonin reuptake inhibitor; H. pylori, Helicobacter pylori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6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* Subjects who were prescribed 60 days or more in 2013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0B3203" w:rsidTr="00FB4A37">
        <w:trPr>
          <w:trHeight w:val="330"/>
        </w:trPr>
        <w:tc>
          <w:tcPr>
            <w:tcW w:w="103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† Warfarin, </w:t>
            </w: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rivaroxaban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dabigatran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, and </w:t>
            </w:r>
            <w:proofErr w:type="spellStart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apixaban</w:t>
            </w:r>
            <w:proofErr w:type="spellEnd"/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 xml:space="preserve"> were included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656" w:rsidRPr="000B3203" w:rsidRDefault="00325656" w:rsidP="00FB4A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Book Antiqua" w:eastAsia="Malgun Gothic" w:hAnsi="Book Antiqua" w:cs="Gulim"/>
                <w:color w:val="000000"/>
                <w:kern w:val="0"/>
                <w:sz w:val="24"/>
                <w:szCs w:val="24"/>
              </w:rPr>
            </w:pPr>
          </w:p>
        </w:tc>
      </w:tr>
      <w:tr w:rsidR="00325656" w:rsidRPr="006E77D1" w:rsidTr="00FB4A37">
        <w:trPr>
          <w:trHeight w:val="630"/>
        </w:trPr>
        <w:tc>
          <w:tcPr>
            <w:tcW w:w="1620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656" w:rsidRPr="006E77D1" w:rsidRDefault="00325656" w:rsidP="000B3203">
            <w:pPr>
              <w:widowControl/>
              <w:wordWrap/>
              <w:autoSpaceDE/>
              <w:autoSpaceDN/>
              <w:spacing w:after="0" w:line="360" w:lineRule="auto"/>
              <w:jc w:val="left"/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</w:pPr>
            <w:r w:rsidRPr="000B3203">
              <w:rPr>
                <w:rFonts w:ascii="Book Antiqua" w:eastAsia="Malgun Gothic" w:hAnsi="Book Antiqua" w:cs="Times New Roman"/>
                <w:color w:val="000000"/>
                <w:kern w:val="0"/>
                <w:sz w:val="24"/>
                <w:szCs w:val="24"/>
              </w:rPr>
              <w:t>‡ Men, &gt; 4 standard drinks in a day or &gt; 14 standard drinks in a week; Women, &gt; 3 standard drinks in a day or &gt; 7 standard drinks in a week; Aged 65 or more, &gt; 1 standard drinks in a day or &gt; 7 standard drinks in a week</w:t>
            </w:r>
          </w:p>
        </w:tc>
      </w:tr>
    </w:tbl>
    <w:p w:rsidR="00325656" w:rsidRPr="006E77D1" w:rsidRDefault="00325656" w:rsidP="00325656">
      <w:pPr>
        <w:widowControl/>
        <w:wordWrap/>
        <w:autoSpaceDE/>
        <w:autoSpaceDN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325656" w:rsidRPr="006E77D1" w:rsidRDefault="00325656" w:rsidP="00325656">
      <w:pPr>
        <w:widowControl/>
        <w:wordWrap/>
        <w:autoSpaceDE/>
        <w:autoSpaceDN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325656" w:rsidRPr="006E77D1" w:rsidRDefault="00325656" w:rsidP="00325656">
      <w:pPr>
        <w:widowControl/>
        <w:wordWrap/>
        <w:autoSpaceDE/>
        <w:autoSpaceDN/>
        <w:rPr>
          <w:rFonts w:ascii="Book Antiqua" w:hAnsi="Book Antiqua" w:cs="Times New Roman"/>
          <w:color w:val="000000" w:themeColor="text1"/>
          <w:sz w:val="24"/>
          <w:szCs w:val="24"/>
        </w:rPr>
      </w:pPr>
    </w:p>
    <w:p w:rsidR="00325656" w:rsidRDefault="00325656" w:rsidP="00325656"/>
    <w:p w:rsidR="001E53BA" w:rsidRPr="00325656" w:rsidRDefault="001E53BA"/>
    <w:sectPr w:rsidR="001E53BA" w:rsidRPr="00325656" w:rsidSect="00FC7476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4A" w:rsidRDefault="003D104A" w:rsidP="00325656">
      <w:pPr>
        <w:spacing w:after="0" w:line="240" w:lineRule="auto"/>
      </w:pPr>
      <w:r>
        <w:separator/>
      </w:r>
    </w:p>
  </w:endnote>
  <w:endnote w:type="continuationSeparator" w:id="0">
    <w:p w:rsidR="003D104A" w:rsidRDefault="003D104A" w:rsidP="0032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4A" w:rsidRDefault="003D104A" w:rsidP="00325656">
      <w:pPr>
        <w:spacing w:after="0" w:line="240" w:lineRule="auto"/>
      </w:pPr>
      <w:r>
        <w:separator/>
      </w:r>
    </w:p>
  </w:footnote>
  <w:footnote w:type="continuationSeparator" w:id="0">
    <w:p w:rsidR="003D104A" w:rsidRDefault="003D104A" w:rsidP="00325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87"/>
    <w:rsid w:val="000B3203"/>
    <w:rsid w:val="001E53BA"/>
    <w:rsid w:val="00265E87"/>
    <w:rsid w:val="00325656"/>
    <w:rsid w:val="003D104A"/>
    <w:rsid w:val="0082045F"/>
    <w:rsid w:val="00AB6355"/>
    <w:rsid w:val="00E0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6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656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center"/>
    </w:pPr>
    <w:rPr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25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656"/>
    <w:pP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left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25656"/>
    <w:rPr>
      <w:sz w:val="18"/>
      <w:szCs w:val="18"/>
    </w:rPr>
  </w:style>
  <w:style w:type="character" w:styleId="a5">
    <w:name w:val="Hyperlink"/>
    <w:uiPriority w:val="99"/>
    <w:unhideWhenUsed/>
    <w:rsid w:val="00325656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32565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25656"/>
    <w:rPr>
      <w:rFonts w:ascii="Malgun Gothic" w:eastAsia="Malgun Gothic" w:hAnsi="Malgun Gothic"/>
      <w:noProof/>
      <w:sz w:val="20"/>
      <w:szCs w:val="20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32565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325656"/>
    <w:rPr>
      <w:rFonts w:ascii="Malgun Gothic" w:eastAsia="Malgun Gothic" w:hAnsi="Malgun Gothic"/>
      <w:noProof/>
      <w:sz w:val="20"/>
      <w:szCs w:val="20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3256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5656"/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styleId="a7">
    <w:name w:val="annotation reference"/>
    <w:basedOn w:val="a0"/>
    <w:unhideWhenUsed/>
    <w:rsid w:val="00325656"/>
    <w:rPr>
      <w:sz w:val="18"/>
      <w:szCs w:val="18"/>
    </w:rPr>
  </w:style>
  <w:style w:type="paragraph" w:styleId="a8">
    <w:name w:val="annotation text"/>
    <w:link w:val="Char2"/>
    <w:unhideWhenUsed/>
    <w:rsid w:val="00325656"/>
    <w:pPr>
      <w:spacing w:after="200" w:line="276" w:lineRule="auto"/>
    </w:pPr>
    <w:rPr>
      <w:sz w:val="20"/>
      <w:szCs w:val="20"/>
      <w:lang w:eastAsia="ko-KR"/>
    </w:rPr>
  </w:style>
  <w:style w:type="character" w:customStyle="1" w:styleId="Char2">
    <w:name w:val="批注文字 Char"/>
    <w:basedOn w:val="a0"/>
    <w:link w:val="a8"/>
    <w:rsid w:val="00325656"/>
    <w:rPr>
      <w:sz w:val="20"/>
      <w:szCs w:val="20"/>
      <w:lang w:eastAsia="ko-K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2565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25656"/>
    <w:rPr>
      <w:b/>
      <w:bCs/>
      <w:sz w:val="20"/>
      <w:szCs w:val="20"/>
      <w:lang w:eastAsia="ko-KR"/>
    </w:rPr>
  </w:style>
  <w:style w:type="paragraph" w:styleId="aa">
    <w:name w:val="Revision"/>
    <w:hidden/>
    <w:uiPriority w:val="99"/>
    <w:semiHidden/>
    <w:rsid w:val="00325656"/>
    <w:rPr>
      <w:sz w:val="20"/>
      <w:szCs w:val="20"/>
      <w:lang w:eastAsia="ko-KR"/>
    </w:rPr>
  </w:style>
  <w:style w:type="paragraph" w:styleId="ab">
    <w:name w:val="Normal (Web)"/>
    <w:basedOn w:val="a"/>
    <w:uiPriority w:val="99"/>
    <w:unhideWhenUsed/>
    <w:rsid w:val="003256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ac">
    <w:name w:val="Strong"/>
    <w:uiPriority w:val="22"/>
    <w:qFormat/>
    <w:rsid w:val="00325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56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5656"/>
    <w:pPr>
      <w:pBdr>
        <w:bottom w:val="single" w:sz="6" w:space="1" w:color="auto"/>
      </w:pBd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center"/>
    </w:pPr>
    <w:rPr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3256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5656"/>
    <w:pPr>
      <w:tabs>
        <w:tab w:val="center" w:pos="4153"/>
        <w:tab w:val="right" w:pos="8306"/>
      </w:tabs>
      <w:wordWrap/>
      <w:autoSpaceDE/>
      <w:autoSpaceDN/>
      <w:snapToGrid w:val="0"/>
      <w:spacing w:after="0" w:line="240" w:lineRule="auto"/>
      <w:jc w:val="left"/>
    </w:pPr>
    <w:rPr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325656"/>
    <w:rPr>
      <w:sz w:val="18"/>
      <w:szCs w:val="18"/>
    </w:rPr>
  </w:style>
  <w:style w:type="character" w:styleId="a5">
    <w:name w:val="Hyperlink"/>
    <w:uiPriority w:val="99"/>
    <w:unhideWhenUsed/>
    <w:rsid w:val="00325656"/>
    <w:rPr>
      <w:color w:val="0000FF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325656"/>
    <w:pPr>
      <w:spacing w:after="0"/>
      <w:jc w:val="center"/>
    </w:pPr>
    <w:rPr>
      <w:rFonts w:ascii="Malgun Gothic" w:eastAsia="Malgun Gothic" w:hAnsi="Malgun Gothic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25656"/>
    <w:rPr>
      <w:rFonts w:ascii="Malgun Gothic" w:eastAsia="Malgun Gothic" w:hAnsi="Malgun Gothic"/>
      <w:noProof/>
      <w:sz w:val="20"/>
      <w:szCs w:val="20"/>
      <w:lang w:eastAsia="ko-KR"/>
    </w:rPr>
  </w:style>
  <w:style w:type="paragraph" w:customStyle="1" w:styleId="EndNoteBibliography">
    <w:name w:val="EndNote Bibliography"/>
    <w:basedOn w:val="a"/>
    <w:link w:val="EndNoteBibliographyChar"/>
    <w:rsid w:val="00325656"/>
    <w:pPr>
      <w:spacing w:line="240" w:lineRule="auto"/>
    </w:pPr>
    <w:rPr>
      <w:rFonts w:ascii="Malgun Gothic" w:eastAsia="Malgun Gothic" w:hAnsi="Malgun Gothic"/>
      <w:noProof/>
    </w:rPr>
  </w:style>
  <w:style w:type="character" w:customStyle="1" w:styleId="EndNoteBibliographyChar">
    <w:name w:val="EndNote Bibliography Char"/>
    <w:basedOn w:val="a0"/>
    <w:link w:val="EndNoteBibliography"/>
    <w:rsid w:val="00325656"/>
    <w:rPr>
      <w:rFonts w:ascii="Malgun Gothic" w:eastAsia="Malgun Gothic" w:hAnsi="Malgun Gothic"/>
      <w:noProof/>
      <w:sz w:val="20"/>
      <w:szCs w:val="20"/>
      <w:lang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3256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5656"/>
    <w:rPr>
      <w:rFonts w:asciiTheme="majorHAnsi" w:eastAsiaTheme="majorEastAsia" w:hAnsiTheme="majorHAnsi" w:cstheme="majorBidi"/>
      <w:sz w:val="18"/>
      <w:szCs w:val="18"/>
      <w:lang w:eastAsia="ko-KR"/>
    </w:rPr>
  </w:style>
  <w:style w:type="character" w:styleId="a7">
    <w:name w:val="annotation reference"/>
    <w:basedOn w:val="a0"/>
    <w:unhideWhenUsed/>
    <w:rsid w:val="00325656"/>
    <w:rPr>
      <w:sz w:val="18"/>
      <w:szCs w:val="18"/>
    </w:rPr>
  </w:style>
  <w:style w:type="paragraph" w:styleId="a8">
    <w:name w:val="annotation text"/>
    <w:link w:val="Char2"/>
    <w:unhideWhenUsed/>
    <w:rsid w:val="00325656"/>
    <w:pPr>
      <w:spacing w:after="200" w:line="276" w:lineRule="auto"/>
    </w:pPr>
    <w:rPr>
      <w:sz w:val="20"/>
      <w:szCs w:val="20"/>
      <w:lang w:eastAsia="ko-KR"/>
    </w:rPr>
  </w:style>
  <w:style w:type="character" w:customStyle="1" w:styleId="Char2">
    <w:name w:val="批注文字 Char"/>
    <w:basedOn w:val="a0"/>
    <w:link w:val="a8"/>
    <w:rsid w:val="00325656"/>
    <w:rPr>
      <w:sz w:val="20"/>
      <w:szCs w:val="20"/>
      <w:lang w:eastAsia="ko-KR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325656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325656"/>
    <w:rPr>
      <w:b/>
      <w:bCs/>
      <w:sz w:val="20"/>
      <w:szCs w:val="20"/>
      <w:lang w:eastAsia="ko-KR"/>
    </w:rPr>
  </w:style>
  <w:style w:type="paragraph" w:styleId="aa">
    <w:name w:val="Revision"/>
    <w:hidden/>
    <w:uiPriority w:val="99"/>
    <w:semiHidden/>
    <w:rsid w:val="00325656"/>
    <w:rPr>
      <w:sz w:val="20"/>
      <w:szCs w:val="20"/>
      <w:lang w:eastAsia="ko-KR"/>
    </w:rPr>
  </w:style>
  <w:style w:type="paragraph" w:styleId="ab">
    <w:name w:val="Normal (Web)"/>
    <w:basedOn w:val="a"/>
    <w:uiPriority w:val="99"/>
    <w:unhideWhenUsed/>
    <w:rsid w:val="0032565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it-IT" w:eastAsia="it-IT"/>
    </w:rPr>
  </w:style>
  <w:style w:type="character" w:styleId="ac">
    <w:name w:val="Strong"/>
    <w:uiPriority w:val="22"/>
    <w:qFormat/>
    <w:rsid w:val="00325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1039</Words>
  <Characters>5924</Characters>
  <Application>Microsoft Office Word</Application>
  <DocSecurity>0</DocSecurity>
  <Lines>49</Lines>
  <Paragraphs>13</Paragraphs>
  <ScaleCrop>false</ScaleCrop>
  <Company>Hewlett-Packard Company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qiyuan</dc:creator>
  <cp:keywords/>
  <dc:description/>
  <cp:lastModifiedBy>qiyuan</cp:lastModifiedBy>
  <cp:revision>3</cp:revision>
  <dcterms:created xsi:type="dcterms:W3CDTF">2016-10-21T06:01:00Z</dcterms:created>
  <dcterms:modified xsi:type="dcterms:W3CDTF">2016-10-21T06:48:00Z</dcterms:modified>
</cp:coreProperties>
</file>