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3E74E" w14:textId="77777777" w:rsidR="00007E53" w:rsidRPr="001F3737" w:rsidRDefault="00007E53" w:rsidP="001F3737">
      <w:pPr>
        <w:adjustRightInd w:val="0"/>
        <w:snapToGrid w:val="0"/>
        <w:spacing w:line="360" w:lineRule="auto"/>
        <w:jc w:val="both"/>
        <w:rPr>
          <w:rFonts w:ascii="Book Antiqua" w:eastAsia="Times New Roman" w:hAnsi="Book Antiqua" w:cs="宋体"/>
          <w:b/>
          <w:i/>
          <w:color w:val="000000"/>
        </w:rPr>
      </w:pPr>
      <w:bookmarkStart w:id="0" w:name="OLE_LINK545"/>
      <w:bookmarkStart w:id="1" w:name="OLE_LINK546"/>
      <w:bookmarkStart w:id="2" w:name="OLE_LINK592"/>
      <w:r w:rsidRPr="001F3737">
        <w:rPr>
          <w:rFonts w:ascii="Book Antiqua" w:eastAsia="Times New Roman" w:hAnsi="Book Antiqua" w:cs="宋体"/>
          <w:b/>
          <w:color w:val="000000"/>
        </w:rPr>
        <w:t xml:space="preserve">Name of journal: </w:t>
      </w:r>
      <w:bookmarkStart w:id="3" w:name="OLE_LINK718"/>
      <w:bookmarkStart w:id="4" w:name="OLE_LINK719"/>
      <w:bookmarkStart w:id="5" w:name="OLE_LINK645"/>
      <w:bookmarkStart w:id="6" w:name="OLE_LINK661"/>
      <w:bookmarkStart w:id="7" w:name="OLE_LINK1068"/>
      <w:r w:rsidRPr="001F3737">
        <w:rPr>
          <w:rFonts w:ascii="Book Antiqua" w:eastAsia="Times New Roman" w:hAnsi="Book Antiqua" w:cs="宋体"/>
          <w:b/>
          <w:i/>
          <w:color w:val="000000"/>
        </w:rPr>
        <w:t xml:space="preserve">World Journal of </w:t>
      </w:r>
      <w:bookmarkStart w:id="8" w:name="OLE_LINK1222"/>
      <w:bookmarkStart w:id="9" w:name="OLE_LINK1223"/>
      <w:r w:rsidRPr="001F3737">
        <w:rPr>
          <w:rFonts w:ascii="Book Antiqua" w:eastAsia="Times New Roman" w:hAnsi="Book Antiqua" w:cs="宋体"/>
          <w:b/>
          <w:i/>
          <w:color w:val="000000"/>
        </w:rPr>
        <w:t>Gastroenterology</w:t>
      </w:r>
      <w:bookmarkEnd w:id="3"/>
      <w:bookmarkEnd w:id="4"/>
      <w:bookmarkEnd w:id="5"/>
      <w:bookmarkEnd w:id="6"/>
      <w:bookmarkEnd w:id="7"/>
      <w:bookmarkEnd w:id="8"/>
      <w:bookmarkEnd w:id="9"/>
    </w:p>
    <w:p w14:paraId="5A2DA56D" w14:textId="74F5A2C7" w:rsidR="00007E53" w:rsidRPr="001F3737" w:rsidRDefault="00007E53" w:rsidP="001F3737">
      <w:pPr>
        <w:adjustRightInd w:val="0"/>
        <w:snapToGrid w:val="0"/>
        <w:spacing w:line="360" w:lineRule="auto"/>
        <w:jc w:val="both"/>
        <w:rPr>
          <w:rFonts w:ascii="Book Antiqua" w:eastAsia="宋体" w:hAnsi="Book Antiqua" w:cs="Arial"/>
          <w:color w:val="000000"/>
          <w:lang w:val="en" w:eastAsia="zh-CN"/>
        </w:rPr>
      </w:pPr>
      <w:r w:rsidRPr="001F3737">
        <w:rPr>
          <w:rFonts w:ascii="Book Antiqua" w:hAnsi="Book Antiqua" w:cs="Arial"/>
          <w:b/>
          <w:color w:val="000000"/>
          <w:lang w:val="en"/>
        </w:rPr>
        <w:t xml:space="preserve">ESPS Manuscript NO: </w:t>
      </w:r>
      <w:r w:rsidRPr="001F3737">
        <w:rPr>
          <w:rFonts w:ascii="Book Antiqua" w:eastAsia="宋体" w:hAnsi="Book Antiqua" w:cs="Arial"/>
          <w:b/>
          <w:color w:val="000000"/>
          <w:lang w:val="en" w:eastAsia="zh-CN"/>
        </w:rPr>
        <w:t>29274</w:t>
      </w:r>
    </w:p>
    <w:p w14:paraId="24303DD0" w14:textId="027ED55F" w:rsidR="00007E53" w:rsidRDefault="00007E53" w:rsidP="001F3737">
      <w:pPr>
        <w:spacing w:line="360" w:lineRule="auto"/>
        <w:jc w:val="both"/>
        <w:rPr>
          <w:rFonts w:ascii="Book Antiqua" w:eastAsia="宋体" w:hAnsi="Book Antiqua"/>
          <w:b/>
          <w:lang w:eastAsia="zh-CN"/>
        </w:rPr>
      </w:pPr>
      <w:r w:rsidRPr="001F3737">
        <w:rPr>
          <w:rFonts w:ascii="Book Antiqua" w:hAnsi="Book Antiqua"/>
          <w:b/>
        </w:rPr>
        <w:t xml:space="preserve">Manuscript Type: </w:t>
      </w:r>
      <w:r w:rsidR="003436D0" w:rsidRPr="001F3737">
        <w:rPr>
          <w:rFonts w:ascii="Book Antiqua" w:hAnsi="Book Antiqua"/>
          <w:b/>
        </w:rPr>
        <w:t>ORIGINAL ARTICLE</w:t>
      </w:r>
    </w:p>
    <w:p w14:paraId="7E3691A3" w14:textId="77777777" w:rsidR="00B65BF3" w:rsidRPr="00B65BF3" w:rsidRDefault="00B65BF3" w:rsidP="001F3737">
      <w:pPr>
        <w:spacing w:line="360" w:lineRule="auto"/>
        <w:jc w:val="both"/>
        <w:rPr>
          <w:rFonts w:ascii="Book Antiqua" w:eastAsia="宋体" w:hAnsi="Book Antiqua"/>
          <w:b/>
          <w:lang w:eastAsia="zh-CN"/>
        </w:rPr>
      </w:pPr>
    </w:p>
    <w:bookmarkEnd w:id="0"/>
    <w:bookmarkEnd w:id="1"/>
    <w:bookmarkEnd w:id="2"/>
    <w:p w14:paraId="69C007A9" w14:textId="2BDDFCC3" w:rsidR="00007E53" w:rsidRPr="005D4669" w:rsidRDefault="00B65BF3" w:rsidP="001F3737">
      <w:pPr>
        <w:pStyle w:val="Title"/>
        <w:spacing w:line="360" w:lineRule="auto"/>
        <w:jc w:val="both"/>
        <w:rPr>
          <w:rFonts w:ascii="Book Antiqua" w:eastAsia="宋体" w:hAnsi="Book Antiqua"/>
          <w:i/>
          <w:lang w:eastAsia="zh-CN"/>
        </w:rPr>
      </w:pPr>
      <w:r w:rsidRPr="005D4669">
        <w:rPr>
          <w:rFonts w:ascii="Book Antiqua" w:eastAsia="宋体" w:hAnsi="Book Antiqua"/>
          <w:i/>
          <w:lang w:eastAsia="zh-CN"/>
        </w:rPr>
        <w:t>Case Control Study</w:t>
      </w:r>
    </w:p>
    <w:p w14:paraId="36BC30F0" w14:textId="7AF3AF47" w:rsidR="00C238BA" w:rsidRPr="001F3737" w:rsidRDefault="00C238BA" w:rsidP="001F3737">
      <w:pPr>
        <w:pStyle w:val="Title"/>
        <w:spacing w:line="360" w:lineRule="auto"/>
        <w:jc w:val="both"/>
        <w:rPr>
          <w:rFonts w:ascii="Book Antiqua" w:eastAsia="宋体" w:hAnsi="Book Antiqua"/>
          <w:lang w:eastAsia="zh-CN"/>
        </w:rPr>
      </w:pPr>
      <w:r w:rsidRPr="001F3737">
        <w:rPr>
          <w:rFonts w:ascii="Book Antiqua" w:hAnsi="Book Antiqua"/>
        </w:rPr>
        <w:t xml:space="preserve">Use of a </w:t>
      </w:r>
      <w:r w:rsidR="003436D0" w:rsidRPr="001F3737">
        <w:rPr>
          <w:rFonts w:ascii="Book Antiqua" w:hAnsi="Book Antiqua"/>
        </w:rPr>
        <w:t>saline-coupled bipolar sealer open liver resection for hepatic malignan</w:t>
      </w:r>
      <w:r w:rsidRPr="001F3737">
        <w:rPr>
          <w:rFonts w:ascii="Book Antiqua" w:hAnsi="Book Antiqua"/>
        </w:rPr>
        <w:t xml:space="preserve">cy: Medical </w:t>
      </w:r>
      <w:r w:rsidR="003436D0" w:rsidRPr="001F3737">
        <w:rPr>
          <w:rFonts w:ascii="Book Antiqua" w:hAnsi="Book Antiqua"/>
        </w:rPr>
        <w:t>resource use and costs</w:t>
      </w:r>
    </w:p>
    <w:p w14:paraId="4E10B52B" w14:textId="77777777" w:rsidR="003436D0" w:rsidRPr="001F3737" w:rsidRDefault="003436D0" w:rsidP="001F3737">
      <w:pPr>
        <w:spacing w:line="360" w:lineRule="auto"/>
        <w:jc w:val="both"/>
        <w:rPr>
          <w:rFonts w:ascii="Book Antiqua" w:eastAsia="宋体" w:hAnsi="Book Antiqua"/>
          <w:lang w:eastAsia="zh-CN"/>
        </w:rPr>
      </w:pPr>
    </w:p>
    <w:p w14:paraId="0D1A8944" w14:textId="5D8848D3" w:rsidR="003436D0" w:rsidRPr="001F3737" w:rsidRDefault="003436D0" w:rsidP="001F3737">
      <w:pPr>
        <w:spacing w:line="360" w:lineRule="auto"/>
        <w:jc w:val="both"/>
        <w:rPr>
          <w:rFonts w:ascii="Book Antiqua" w:hAnsi="Book Antiqua"/>
          <w:b/>
        </w:rPr>
      </w:pPr>
      <w:r w:rsidRPr="001F3737">
        <w:rPr>
          <w:rFonts w:ascii="Book Antiqua" w:hAnsi="Book Antiqua"/>
        </w:rPr>
        <w:t xml:space="preserve">Nichols </w:t>
      </w:r>
      <w:r w:rsidRPr="001F3737">
        <w:rPr>
          <w:rFonts w:ascii="Book Antiqua" w:eastAsia="宋体" w:hAnsi="Book Antiqua"/>
          <w:lang w:eastAsia="zh-CN"/>
        </w:rPr>
        <w:t xml:space="preserve">CI </w:t>
      </w:r>
      <w:r w:rsidRPr="001F3737">
        <w:rPr>
          <w:rFonts w:ascii="Book Antiqua" w:eastAsia="宋体" w:hAnsi="Book Antiqua"/>
          <w:i/>
          <w:lang w:eastAsia="zh-CN"/>
        </w:rPr>
        <w:t xml:space="preserve">et al. </w:t>
      </w:r>
      <w:r w:rsidRPr="001F3737">
        <w:rPr>
          <w:rFonts w:ascii="Book Antiqua" w:hAnsi="Book Antiqua"/>
        </w:rPr>
        <w:t>Bipolar Sealer for</w:t>
      </w:r>
      <w:r w:rsidRPr="001F3737">
        <w:rPr>
          <w:rFonts w:ascii="Book Antiqua" w:hAnsi="Book Antiqua"/>
          <w:b/>
        </w:rPr>
        <w:t xml:space="preserve"> </w:t>
      </w:r>
      <w:r w:rsidRPr="001F3737">
        <w:rPr>
          <w:rFonts w:ascii="Book Antiqua" w:hAnsi="Book Antiqua"/>
        </w:rPr>
        <w:t>liver resection</w:t>
      </w:r>
    </w:p>
    <w:p w14:paraId="6CAE285F" w14:textId="77777777" w:rsidR="00C238BA" w:rsidRPr="001F3737" w:rsidRDefault="00C238BA" w:rsidP="001F3737">
      <w:pPr>
        <w:spacing w:line="360" w:lineRule="auto"/>
        <w:jc w:val="both"/>
        <w:rPr>
          <w:rFonts w:ascii="Book Antiqua" w:hAnsi="Book Antiqua"/>
        </w:rPr>
      </w:pPr>
    </w:p>
    <w:p w14:paraId="704FC5C3" w14:textId="01A5152D" w:rsidR="00C238BA" w:rsidRPr="001F3737" w:rsidRDefault="003436D0" w:rsidP="001F3737">
      <w:pPr>
        <w:spacing w:line="360" w:lineRule="auto"/>
        <w:jc w:val="both"/>
        <w:rPr>
          <w:rFonts w:ascii="Book Antiqua" w:eastAsia="宋体" w:hAnsi="Book Antiqua"/>
          <w:lang w:eastAsia="zh-CN"/>
        </w:rPr>
      </w:pPr>
      <w:r w:rsidRPr="001F3737">
        <w:rPr>
          <w:rFonts w:ascii="Book Antiqua" w:hAnsi="Book Antiqua"/>
        </w:rPr>
        <w:t>Christine I</w:t>
      </w:r>
      <w:r w:rsidR="00C238BA" w:rsidRPr="001F3737">
        <w:rPr>
          <w:rFonts w:ascii="Book Antiqua" w:hAnsi="Book Antiqua"/>
        </w:rPr>
        <w:t xml:space="preserve"> Nichols, </w:t>
      </w:r>
      <w:r w:rsidRPr="001F3737">
        <w:rPr>
          <w:rFonts w:ascii="Book Antiqua" w:hAnsi="Book Antiqua"/>
        </w:rPr>
        <w:t>Joshua G</w:t>
      </w:r>
      <w:r w:rsidRPr="001F3737">
        <w:rPr>
          <w:rFonts w:ascii="Book Antiqua" w:eastAsia="宋体" w:hAnsi="Book Antiqua"/>
          <w:lang w:eastAsia="zh-CN"/>
        </w:rPr>
        <w:t xml:space="preserve"> </w:t>
      </w:r>
      <w:r w:rsidR="00C238BA" w:rsidRPr="001F3737">
        <w:rPr>
          <w:rFonts w:ascii="Book Antiqua" w:hAnsi="Book Antiqua"/>
        </w:rPr>
        <w:t xml:space="preserve">Vose </w:t>
      </w:r>
    </w:p>
    <w:p w14:paraId="76F8BBCF" w14:textId="77777777" w:rsidR="00D471DE" w:rsidRPr="001F3737" w:rsidRDefault="00D471DE" w:rsidP="001F3737">
      <w:pPr>
        <w:spacing w:line="360" w:lineRule="auto"/>
        <w:jc w:val="both"/>
        <w:rPr>
          <w:rFonts w:ascii="Book Antiqua" w:eastAsia="宋体" w:hAnsi="Book Antiqua"/>
          <w:lang w:eastAsia="zh-CN"/>
        </w:rPr>
      </w:pPr>
    </w:p>
    <w:p w14:paraId="6784177B" w14:textId="52F9F478" w:rsidR="00D471DE" w:rsidRPr="001F3737" w:rsidRDefault="003436D0" w:rsidP="001F3737">
      <w:pPr>
        <w:spacing w:line="360" w:lineRule="auto"/>
        <w:jc w:val="both"/>
        <w:rPr>
          <w:rFonts w:ascii="Book Antiqua" w:eastAsia="宋体" w:hAnsi="Book Antiqua"/>
          <w:lang w:eastAsia="zh-CN"/>
        </w:rPr>
      </w:pPr>
      <w:r w:rsidRPr="001F3737">
        <w:rPr>
          <w:rFonts w:ascii="Book Antiqua" w:hAnsi="Book Antiqua"/>
          <w:b/>
        </w:rPr>
        <w:t>Christine I Nichols,</w:t>
      </w:r>
      <w:r w:rsidRPr="001F3737">
        <w:rPr>
          <w:rFonts w:ascii="Book Antiqua" w:eastAsia="宋体" w:hAnsi="Book Antiqua"/>
          <w:b/>
          <w:lang w:eastAsia="zh-CN"/>
        </w:rPr>
        <w:t xml:space="preserve"> </w:t>
      </w:r>
      <w:r w:rsidRPr="001F3737">
        <w:rPr>
          <w:rFonts w:ascii="Book Antiqua" w:hAnsi="Book Antiqua"/>
          <w:b/>
        </w:rPr>
        <w:t>Joshua G</w:t>
      </w:r>
      <w:r w:rsidRPr="001F3737">
        <w:rPr>
          <w:rFonts w:ascii="Book Antiqua" w:eastAsia="宋体" w:hAnsi="Book Antiqua"/>
          <w:b/>
          <w:lang w:eastAsia="zh-CN"/>
        </w:rPr>
        <w:t xml:space="preserve"> </w:t>
      </w:r>
      <w:r w:rsidRPr="001F3737">
        <w:rPr>
          <w:rFonts w:ascii="Book Antiqua" w:hAnsi="Book Antiqua"/>
          <w:b/>
        </w:rPr>
        <w:t>Vose</w:t>
      </w:r>
      <w:r w:rsidRPr="001F3737">
        <w:rPr>
          <w:rFonts w:ascii="Book Antiqua" w:eastAsia="宋体" w:hAnsi="Book Antiqua"/>
          <w:b/>
          <w:lang w:eastAsia="zh-CN"/>
        </w:rPr>
        <w:t xml:space="preserve">, </w:t>
      </w:r>
      <w:r w:rsidR="00D471DE" w:rsidRPr="001F3737">
        <w:rPr>
          <w:rFonts w:ascii="Book Antiqua" w:hAnsi="Book Antiqua"/>
        </w:rPr>
        <w:t>Medtronic Advanced Energy, 180 International Drive, Portsmouth, NH 03801</w:t>
      </w:r>
      <w:r w:rsidRPr="001F3737">
        <w:rPr>
          <w:rFonts w:ascii="Book Antiqua" w:eastAsia="宋体" w:hAnsi="Book Antiqua"/>
          <w:lang w:eastAsia="zh-CN"/>
        </w:rPr>
        <w:t xml:space="preserve">, </w:t>
      </w:r>
      <w:r w:rsidR="003E1BF5" w:rsidRPr="001F3737">
        <w:rPr>
          <w:rFonts w:ascii="Book Antiqua" w:hAnsi="Book Antiqua"/>
        </w:rPr>
        <w:t>United States</w:t>
      </w:r>
    </w:p>
    <w:p w14:paraId="4E558EA1" w14:textId="77777777" w:rsidR="003436D0" w:rsidRPr="001F3737" w:rsidRDefault="003436D0" w:rsidP="001F3737">
      <w:pPr>
        <w:spacing w:line="360" w:lineRule="auto"/>
        <w:jc w:val="both"/>
        <w:rPr>
          <w:rFonts w:ascii="Book Antiqua" w:eastAsia="宋体" w:hAnsi="Book Antiqua"/>
          <w:lang w:eastAsia="zh-CN"/>
        </w:rPr>
      </w:pPr>
    </w:p>
    <w:p w14:paraId="3F49EE55" w14:textId="11EAA884" w:rsidR="00D471DE" w:rsidRPr="001F3737" w:rsidRDefault="00D471DE" w:rsidP="001F3737">
      <w:pPr>
        <w:spacing w:line="360" w:lineRule="auto"/>
        <w:jc w:val="both"/>
        <w:rPr>
          <w:rFonts w:ascii="Book Antiqua" w:eastAsia="宋体" w:hAnsi="Book Antiqua"/>
          <w:lang w:eastAsia="zh-CN"/>
        </w:rPr>
      </w:pPr>
      <w:r w:rsidRPr="001F3737">
        <w:rPr>
          <w:rFonts w:ascii="Book Antiqua" w:hAnsi="Book Antiqua"/>
          <w:b/>
        </w:rPr>
        <w:t xml:space="preserve">Author </w:t>
      </w:r>
      <w:r w:rsidR="003436D0" w:rsidRPr="001F3737">
        <w:rPr>
          <w:rFonts w:ascii="Book Antiqua" w:hAnsi="Book Antiqua"/>
          <w:b/>
        </w:rPr>
        <w:t>contributions</w:t>
      </w:r>
      <w:r w:rsidRPr="001F3737">
        <w:rPr>
          <w:rFonts w:ascii="Book Antiqua" w:hAnsi="Book Antiqua"/>
          <w:b/>
        </w:rPr>
        <w:t xml:space="preserve">: </w:t>
      </w:r>
      <w:r w:rsidRPr="001F3737">
        <w:rPr>
          <w:rFonts w:ascii="Book Antiqua" w:hAnsi="Book Antiqua"/>
        </w:rPr>
        <w:t>Nichols CI and Vose JG designed the research</w:t>
      </w:r>
      <w:r w:rsidR="003436D0" w:rsidRPr="001F3737">
        <w:rPr>
          <w:rFonts w:ascii="Book Antiqua" w:eastAsia="宋体" w:hAnsi="Book Antiqua"/>
          <w:lang w:eastAsia="zh-CN"/>
        </w:rPr>
        <w:t>;</w:t>
      </w:r>
      <w:r w:rsidRPr="001F3737">
        <w:rPr>
          <w:rFonts w:ascii="Book Antiqua" w:hAnsi="Book Antiqua"/>
        </w:rPr>
        <w:t xml:space="preserve"> Nichols CI performed data analyses</w:t>
      </w:r>
      <w:r w:rsidR="003436D0" w:rsidRPr="001F3737">
        <w:rPr>
          <w:rFonts w:ascii="Book Antiqua" w:eastAsia="宋体" w:hAnsi="Book Antiqua"/>
          <w:lang w:eastAsia="zh-CN"/>
        </w:rPr>
        <w:t>;</w:t>
      </w:r>
      <w:r w:rsidRPr="001F3737">
        <w:rPr>
          <w:rFonts w:ascii="Book Antiqua" w:hAnsi="Book Antiqua"/>
        </w:rPr>
        <w:t xml:space="preserve"> Nichols CI and Vose JG analyzed the data</w:t>
      </w:r>
      <w:r w:rsidR="003436D0" w:rsidRPr="001F3737">
        <w:rPr>
          <w:rFonts w:ascii="Book Antiqua" w:eastAsia="宋体" w:hAnsi="Book Antiqua"/>
          <w:lang w:eastAsia="zh-CN"/>
        </w:rPr>
        <w:t>;</w:t>
      </w:r>
      <w:r w:rsidRPr="001F3737">
        <w:rPr>
          <w:rFonts w:ascii="Book Antiqua" w:hAnsi="Book Antiqua"/>
        </w:rPr>
        <w:t xml:space="preserve"> and Nichols CI and Vose JG wrote the paper and revisions.</w:t>
      </w:r>
    </w:p>
    <w:p w14:paraId="51580CA0" w14:textId="77777777" w:rsidR="003436D0" w:rsidRPr="001F3737" w:rsidRDefault="003436D0" w:rsidP="001F3737">
      <w:pPr>
        <w:spacing w:line="360" w:lineRule="auto"/>
        <w:jc w:val="both"/>
        <w:rPr>
          <w:rFonts w:ascii="Book Antiqua" w:eastAsia="宋体" w:hAnsi="Book Antiqua"/>
          <w:lang w:eastAsia="zh-CN"/>
        </w:rPr>
      </w:pPr>
    </w:p>
    <w:p w14:paraId="0FFD294C" w14:textId="55EF5FE7" w:rsidR="003436D0" w:rsidRPr="001F3737" w:rsidRDefault="003436D0" w:rsidP="001F3737">
      <w:pPr>
        <w:autoSpaceDE w:val="0"/>
        <w:autoSpaceDN w:val="0"/>
        <w:adjustRightInd w:val="0"/>
        <w:spacing w:line="360" w:lineRule="auto"/>
        <w:jc w:val="both"/>
        <w:rPr>
          <w:rFonts w:ascii="Book Antiqua" w:hAnsi="Book Antiqua"/>
          <w:bCs/>
          <w:iCs/>
          <w:color w:val="000000"/>
        </w:rPr>
      </w:pPr>
      <w:bookmarkStart w:id="10" w:name="OLE_LINK4"/>
      <w:bookmarkStart w:id="11" w:name="OLE_LINK5"/>
      <w:bookmarkStart w:id="12" w:name="OLE_LINK379"/>
      <w:bookmarkStart w:id="13" w:name="OLE_LINK380"/>
      <w:bookmarkStart w:id="14" w:name="OLE_LINK534"/>
      <w:bookmarkStart w:id="15" w:name="OLE_LINK498"/>
      <w:bookmarkStart w:id="16" w:name="OLE_LINK499"/>
      <w:bookmarkStart w:id="17" w:name="OLE_LINK513"/>
      <w:bookmarkStart w:id="18" w:name="OLE_LINK521"/>
      <w:r w:rsidRPr="001F3737">
        <w:rPr>
          <w:rFonts w:ascii="Book Antiqua" w:hAnsi="Book Antiqua"/>
          <w:b/>
          <w:bCs/>
          <w:iCs/>
          <w:color w:val="000000"/>
        </w:rPr>
        <w:t>Institutional review board</w:t>
      </w:r>
      <w:r w:rsidRPr="001F3737">
        <w:rPr>
          <w:rFonts w:ascii="Book Antiqua" w:hAnsi="Book Antiqua"/>
          <w:b/>
          <w:bCs/>
          <w:iCs/>
        </w:rPr>
        <w:t xml:space="preserve"> statement</w:t>
      </w:r>
      <w:r w:rsidRPr="001F3737">
        <w:rPr>
          <w:rFonts w:ascii="Book Antiqua" w:hAnsi="Book Antiqua"/>
          <w:b/>
          <w:bCs/>
          <w:iCs/>
          <w:color w:val="000000"/>
        </w:rPr>
        <w:t>:</w:t>
      </w:r>
      <w:r w:rsidRPr="001F3737">
        <w:rPr>
          <w:rFonts w:ascii="Book Antiqua" w:hAnsi="Book Antiqua"/>
        </w:rPr>
        <w:t xml:space="preserve"> </w:t>
      </w:r>
      <w:r w:rsidRPr="001F3737">
        <w:rPr>
          <w:rFonts w:ascii="Book Antiqua" w:hAnsi="Book Antiqua"/>
          <w:bCs/>
          <w:iCs/>
          <w:color w:val="000000"/>
        </w:rPr>
        <w:t xml:space="preserve">Given this study used de-identified patient data, it was not subject to Institutional Review Board (IRB) approval. The study dataset and full study tables are available from the corresponding author.  </w:t>
      </w:r>
    </w:p>
    <w:bookmarkEnd w:id="10"/>
    <w:bookmarkEnd w:id="11"/>
    <w:p w14:paraId="7133B964" w14:textId="77777777" w:rsidR="003436D0" w:rsidRPr="001F3737" w:rsidRDefault="003436D0" w:rsidP="001F3737">
      <w:pPr>
        <w:autoSpaceDE w:val="0"/>
        <w:autoSpaceDN w:val="0"/>
        <w:adjustRightInd w:val="0"/>
        <w:spacing w:line="360" w:lineRule="auto"/>
        <w:jc w:val="both"/>
        <w:rPr>
          <w:rFonts w:ascii="Book Antiqua" w:eastAsia="宋体" w:hAnsi="Book Antiqua"/>
          <w:b/>
          <w:bCs/>
          <w:iCs/>
          <w:color w:val="000000"/>
          <w:lang w:eastAsia="zh-CN"/>
        </w:rPr>
      </w:pPr>
    </w:p>
    <w:p w14:paraId="685C2205" w14:textId="7F715C89" w:rsidR="003436D0" w:rsidRPr="001F3737" w:rsidRDefault="003436D0" w:rsidP="001F3737">
      <w:pPr>
        <w:autoSpaceDE w:val="0"/>
        <w:autoSpaceDN w:val="0"/>
        <w:adjustRightInd w:val="0"/>
        <w:spacing w:line="360" w:lineRule="auto"/>
        <w:jc w:val="both"/>
        <w:rPr>
          <w:rFonts w:ascii="Book Antiqua" w:hAnsi="Book Antiqua"/>
          <w:bCs/>
          <w:iCs/>
          <w:color w:val="000000"/>
        </w:rPr>
      </w:pPr>
      <w:r w:rsidRPr="001F3737">
        <w:rPr>
          <w:rFonts w:ascii="Book Antiqua" w:hAnsi="Book Antiqua"/>
          <w:b/>
          <w:bCs/>
          <w:iCs/>
          <w:color w:val="000000"/>
        </w:rPr>
        <w:t>Informed consent</w:t>
      </w:r>
      <w:r w:rsidRPr="001F3737">
        <w:rPr>
          <w:rFonts w:ascii="Book Antiqua" w:hAnsi="Book Antiqua"/>
          <w:b/>
          <w:bCs/>
          <w:iCs/>
        </w:rPr>
        <w:t xml:space="preserve"> statement</w:t>
      </w:r>
      <w:r w:rsidRPr="001F3737">
        <w:rPr>
          <w:rFonts w:ascii="Book Antiqua" w:hAnsi="Book Antiqua"/>
          <w:b/>
          <w:bCs/>
          <w:iCs/>
          <w:color w:val="000000"/>
        </w:rPr>
        <w:t xml:space="preserve">: </w:t>
      </w:r>
      <w:r w:rsidR="003E1BF5" w:rsidRPr="001F3737">
        <w:rPr>
          <w:rFonts w:ascii="Book Antiqua" w:hAnsi="Book Antiqua"/>
          <w:bCs/>
          <w:iCs/>
          <w:color w:val="000000"/>
        </w:rPr>
        <w:t>All study participants, or their legal guardian, provided informed written consent prior to study enrollment.</w:t>
      </w:r>
    </w:p>
    <w:p w14:paraId="3191FADA" w14:textId="77777777" w:rsidR="003436D0" w:rsidRPr="001F3737" w:rsidRDefault="003436D0" w:rsidP="001F3737">
      <w:pPr>
        <w:autoSpaceDE w:val="0"/>
        <w:autoSpaceDN w:val="0"/>
        <w:adjustRightInd w:val="0"/>
        <w:spacing w:line="360" w:lineRule="auto"/>
        <w:jc w:val="both"/>
        <w:rPr>
          <w:rFonts w:ascii="Book Antiqua" w:hAnsi="Book Antiqua" w:cs="TimesNewRomanPS-BoldItalicMT"/>
          <w:b/>
          <w:bCs/>
          <w:iCs/>
          <w:color w:val="000000"/>
        </w:rPr>
      </w:pPr>
    </w:p>
    <w:bookmarkEnd w:id="12"/>
    <w:bookmarkEnd w:id="13"/>
    <w:bookmarkEnd w:id="14"/>
    <w:p w14:paraId="6F0F9948" w14:textId="77777777" w:rsidR="003436D0" w:rsidRPr="001F3737" w:rsidRDefault="003436D0" w:rsidP="001F3737">
      <w:pPr>
        <w:autoSpaceDE w:val="0"/>
        <w:autoSpaceDN w:val="0"/>
        <w:adjustRightInd w:val="0"/>
        <w:spacing w:line="360" w:lineRule="auto"/>
        <w:jc w:val="both"/>
        <w:rPr>
          <w:rFonts w:ascii="Book Antiqua" w:hAnsi="Book Antiqua" w:cs="TimesNewRomanPS-BoldItalicMT"/>
          <w:b/>
          <w:bCs/>
          <w:iCs/>
        </w:rPr>
      </w:pPr>
      <w:r w:rsidRPr="001F3737">
        <w:rPr>
          <w:rFonts w:ascii="Book Antiqua" w:hAnsi="Book Antiqua" w:cs="TimesNewRomanPS-BoldItalicMT"/>
          <w:b/>
          <w:bCs/>
          <w:iCs/>
        </w:rPr>
        <w:t>Conflict-of-interest</w:t>
      </w:r>
      <w:r w:rsidRPr="001F3737">
        <w:rPr>
          <w:rFonts w:ascii="Book Antiqua" w:hAnsi="Book Antiqua"/>
        </w:rPr>
        <w:t xml:space="preserve"> </w:t>
      </w:r>
      <w:r w:rsidRPr="001F3737">
        <w:rPr>
          <w:rFonts w:ascii="Book Antiqua" w:hAnsi="Book Antiqua" w:cs="TimesNewRomanPS-BoldItalicMT"/>
          <w:b/>
          <w:bCs/>
          <w:iCs/>
        </w:rPr>
        <w:t xml:space="preserve">statement: </w:t>
      </w:r>
      <w:r w:rsidRPr="001F3737">
        <w:rPr>
          <w:rFonts w:ascii="Book Antiqua" w:hAnsi="Book Antiqua"/>
        </w:rPr>
        <w:t>No potential conflicts of interest relevant to this article were reported.</w:t>
      </w:r>
    </w:p>
    <w:p w14:paraId="44785159" w14:textId="77777777" w:rsidR="003436D0" w:rsidRPr="001F3737" w:rsidRDefault="003436D0" w:rsidP="001F3737">
      <w:pPr>
        <w:autoSpaceDE w:val="0"/>
        <w:autoSpaceDN w:val="0"/>
        <w:adjustRightInd w:val="0"/>
        <w:spacing w:line="360" w:lineRule="auto"/>
        <w:jc w:val="both"/>
        <w:rPr>
          <w:rFonts w:ascii="Book Antiqua" w:hAnsi="Book Antiqua" w:cs="TimesNewRomanPS-BoldItalicMT"/>
          <w:b/>
          <w:bCs/>
          <w:iCs/>
          <w:color w:val="000000"/>
        </w:rPr>
      </w:pPr>
    </w:p>
    <w:p w14:paraId="41830CAC" w14:textId="5B89EA6A" w:rsidR="003436D0" w:rsidRPr="001F3737" w:rsidRDefault="003436D0" w:rsidP="001F3737">
      <w:pPr>
        <w:autoSpaceDE w:val="0"/>
        <w:autoSpaceDN w:val="0"/>
        <w:adjustRightInd w:val="0"/>
        <w:spacing w:line="360" w:lineRule="auto"/>
        <w:jc w:val="both"/>
        <w:rPr>
          <w:rFonts w:ascii="Book Antiqua" w:hAnsi="Book Antiqua"/>
          <w:b/>
          <w:bCs/>
          <w:iCs/>
        </w:rPr>
      </w:pPr>
      <w:r w:rsidRPr="001F3737">
        <w:rPr>
          <w:rFonts w:ascii="Book Antiqua" w:hAnsi="Book Antiqua" w:cs="TimesNewRomanPS-BoldItalicMT"/>
          <w:b/>
          <w:bCs/>
          <w:iCs/>
          <w:color w:val="000000"/>
        </w:rPr>
        <w:t>Data sharing</w:t>
      </w:r>
      <w:r w:rsidRPr="001F3737">
        <w:rPr>
          <w:rFonts w:ascii="Book Antiqua" w:hAnsi="Book Antiqua"/>
          <w:b/>
          <w:bCs/>
          <w:iCs/>
        </w:rPr>
        <w:t xml:space="preserve"> statement</w:t>
      </w:r>
      <w:r w:rsidRPr="001F3737">
        <w:rPr>
          <w:rFonts w:ascii="Book Antiqua" w:hAnsi="Book Antiqua" w:cs="TimesNewRomanPS-BoldItalicMT"/>
          <w:b/>
          <w:bCs/>
          <w:iCs/>
          <w:color w:val="000000"/>
        </w:rPr>
        <w:t>:</w:t>
      </w:r>
      <w:r w:rsidRPr="001F3737">
        <w:rPr>
          <w:rFonts w:ascii="Book Antiqua" w:hAnsi="Book Antiqua"/>
          <w:color w:val="000000"/>
        </w:rPr>
        <w:t xml:space="preserve"> No additional data are available.</w:t>
      </w:r>
    </w:p>
    <w:bookmarkEnd w:id="15"/>
    <w:bookmarkEnd w:id="16"/>
    <w:bookmarkEnd w:id="17"/>
    <w:bookmarkEnd w:id="18"/>
    <w:p w14:paraId="1F2FAE85" w14:textId="77777777" w:rsidR="003436D0" w:rsidRPr="001F3737" w:rsidRDefault="003436D0" w:rsidP="001F3737">
      <w:pPr>
        <w:spacing w:line="360" w:lineRule="auto"/>
        <w:jc w:val="both"/>
        <w:rPr>
          <w:rFonts w:ascii="Book Antiqua" w:eastAsia="宋体" w:hAnsi="Book Antiqua"/>
          <w:lang w:eastAsia="zh-CN"/>
        </w:rPr>
      </w:pPr>
    </w:p>
    <w:p w14:paraId="6B662BC4" w14:textId="77777777" w:rsidR="003436D0" w:rsidRPr="001F3737" w:rsidRDefault="003436D0" w:rsidP="001F3737">
      <w:pPr>
        <w:spacing w:line="360" w:lineRule="auto"/>
        <w:jc w:val="both"/>
        <w:rPr>
          <w:rFonts w:ascii="Book Antiqua" w:hAnsi="Book Antiqua"/>
          <w:b/>
          <w:color w:val="000000"/>
        </w:rPr>
      </w:pPr>
      <w:bookmarkStart w:id="19" w:name="OLE_LINK155"/>
      <w:bookmarkStart w:id="20" w:name="OLE_LINK183"/>
      <w:bookmarkStart w:id="21" w:name="OLE_LINK441"/>
      <w:r w:rsidRPr="001F3737">
        <w:rPr>
          <w:rFonts w:ascii="Book Antiqua" w:hAnsi="Book Antiqua"/>
          <w:b/>
          <w:color w:val="000000"/>
        </w:rPr>
        <w:t xml:space="preserve">Open-Access: </w:t>
      </w:r>
      <w:r w:rsidRPr="001F3737">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bookmarkEnd w:id="20"/>
    <w:bookmarkEnd w:id="21"/>
    <w:p w14:paraId="18BCF71A" w14:textId="77777777" w:rsidR="003436D0" w:rsidRPr="001F3737" w:rsidRDefault="003436D0" w:rsidP="001F3737">
      <w:pPr>
        <w:spacing w:line="360" w:lineRule="auto"/>
        <w:jc w:val="both"/>
        <w:rPr>
          <w:rFonts w:ascii="Book Antiqua" w:eastAsia="宋体" w:hAnsi="Book Antiqua" w:cs="Arial Unicode MS"/>
          <w:color w:val="000000"/>
          <w:lang w:eastAsia="zh-CN"/>
        </w:rPr>
      </w:pPr>
    </w:p>
    <w:p w14:paraId="2460587E" w14:textId="77777777" w:rsidR="003436D0" w:rsidRPr="001F3737" w:rsidRDefault="003436D0" w:rsidP="001F3737">
      <w:pPr>
        <w:spacing w:line="360" w:lineRule="auto"/>
        <w:jc w:val="both"/>
        <w:rPr>
          <w:rFonts w:ascii="Book Antiqua" w:hAnsi="Book Antiqua" w:cs="Arial Unicode MS"/>
          <w:color w:val="000000"/>
        </w:rPr>
      </w:pPr>
      <w:r w:rsidRPr="001F3737">
        <w:rPr>
          <w:rFonts w:ascii="Book Antiqua" w:hAnsi="Book Antiqua" w:cs="Arial Unicode MS"/>
          <w:b/>
          <w:color w:val="000000"/>
        </w:rPr>
        <w:t>Manuscript source:</w:t>
      </w:r>
      <w:r w:rsidRPr="001F3737">
        <w:rPr>
          <w:rFonts w:ascii="Book Antiqua" w:hAnsi="Book Antiqua" w:cs="Arial Unicode MS"/>
          <w:color w:val="000000"/>
        </w:rPr>
        <w:t xml:space="preserve"> Invited manuscript</w:t>
      </w:r>
    </w:p>
    <w:p w14:paraId="574E5577" w14:textId="7C1FCF71" w:rsidR="003436D0" w:rsidRPr="001F3737" w:rsidRDefault="003436D0" w:rsidP="001F3737">
      <w:pPr>
        <w:spacing w:line="360" w:lineRule="auto"/>
        <w:jc w:val="both"/>
        <w:rPr>
          <w:rFonts w:ascii="Book Antiqua" w:eastAsia="宋体" w:hAnsi="Book Antiqua"/>
          <w:lang w:eastAsia="zh-CN"/>
        </w:rPr>
      </w:pPr>
    </w:p>
    <w:p w14:paraId="2F2AC17A" w14:textId="216CD794" w:rsidR="003436D0" w:rsidRPr="001F3737" w:rsidRDefault="003436D0" w:rsidP="001F3737">
      <w:pPr>
        <w:spacing w:line="360" w:lineRule="auto"/>
        <w:jc w:val="both"/>
        <w:rPr>
          <w:rFonts w:ascii="Book Antiqua" w:eastAsia="宋体" w:hAnsi="Book Antiqua"/>
          <w:lang w:eastAsia="zh-CN"/>
        </w:rPr>
      </w:pPr>
      <w:bookmarkStart w:id="22" w:name="OLE_LINK535"/>
      <w:bookmarkStart w:id="23" w:name="OLE_LINK536"/>
      <w:r w:rsidRPr="001F3737">
        <w:rPr>
          <w:rFonts w:ascii="Book Antiqua" w:hAnsi="Book Antiqua"/>
          <w:b/>
          <w:color w:val="000000"/>
        </w:rPr>
        <w:t>Correspondence to:</w:t>
      </w:r>
      <w:bookmarkEnd w:id="22"/>
      <w:bookmarkEnd w:id="23"/>
      <w:r w:rsidRPr="001F3737">
        <w:rPr>
          <w:rFonts w:ascii="Book Antiqua" w:hAnsi="Book Antiqua"/>
        </w:rPr>
        <w:t xml:space="preserve"> </w:t>
      </w:r>
      <w:r w:rsidRPr="001F3737">
        <w:rPr>
          <w:rFonts w:ascii="Book Antiqua" w:hAnsi="Book Antiqua"/>
          <w:b/>
        </w:rPr>
        <w:t>Josh Vose</w:t>
      </w:r>
      <w:r w:rsidRPr="001F3737">
        <w:rPr>
          <w:rFonts w:ascii="Book Antiqua" w:eastAsia="宋体" w:hAnsi="Book Antiqua"/>
          <w:b/>
          <w:lang w:eastAsia="zh-CN"/>
        </w:rPr>
        <w:t>,</w:t>
      </w:r>
      <w:r w:rsidRPr="001F3737">
        <w:rPr>
          <w:rFonts w:ascii="Book Antiqua" w:hAnsi="Book Antiqua"/>
          <w:b/>
        </w:rPr>
        <w:t xml:space="preserve"> MD, Medical Director, </w:t>
      </w:r>
      <w:r w:rsidRPr="001F3737">
        <w:rPr>
          <w:rFonts w:ascii="Book Antiqua" w:hAnsi="Book Antiqua"/>
        </w:rPr>
        <w:t>Medtronic Advanced Energy, 180 International Drive, Portsmouth, NH 03801, United States</w:t>
      </w:r>
      <w:r w:rsidRPr="001F3737">
        <w:rPr>
          <w:rFonts w:ascii="Book Antiqua" w:eastAsia="宋体" w:hAnsi="Book Antiqua"/>
          <w:lang w:eastAsia="zh-CN"/>
        </w:rPr>
        <w:t xml:space="preserve">. </w:t>
      </w:r>
      <w:hyperlink r:id="rId8" w:history="1">
        <w:r w:rsidRPr="001F3737">
          <w:rPr>
            <w:rStyle w:val="Hyperlink"/>
            <w:rFonts w:ascii="Book Antiqua" w:hAnsi="Book Antiqua"/>
            <w:color w:val="auto"/>
            <w:u w:val="none"/>
          </w:rPr>
          <w:t>joshua.vose@medtronic.com</w:t>
        </w:r>
      </w:hyperlink>
    </w:p>
    <w:p w14:paraId="6D1F835D" w14:textId="2DE255EF" w:rsidR="003436D0" w:rsidRPr="001F3737" w:rsidRDefault="003436D0" w:rsidP="001F3737">
      <w:pPr>
        <w:spacing w:line="360" w:lineRule="auto"/>
        <w:jc w:val="both"/>
        <w:rPr>
          <w:rFonts w:ascii="Book Antiqua" w:eastAsia="宋体" w:hAnsi="Book Antiqua"/>
          <w:lang w:eastAsia="zh-CN"/>
        </w:rPr>
      </w:pPr>
      <w:r w:rsidRPr="001F3737">
        <w:rPr>
          <w:rFonts w:ascii="Book Antiqua" w:eastAsia="宋体" w:hAnsi="Book Antiqua"/>
          <w:b/>
          <w:lang w:eastAsia="zh-CN"/>
        </w:rPr>
        <w:t>Tele</w:t>
      </w:r>
      <w:r w:rsidRPr="001F3737">
        <w:rPr>
          <w:rFonts w:ascii="Book Antiqua" w:hAnsi="Book Antiqua"/>
          <w:b/>
        </w:rPr>
        <w:t>phone</w:t>
      </w:r>
      <w:r w:rsidRPr="001F3737">
        <w:rPr>
          <w:rFonts w:ascii="Book Antiqua" w:hAnsi="Book Antiqua"/>
        </w:rPr>
        <w:t xml:space="preserve"> +1-603-8424623</w:t>
      </w:r>
    </w:p>
    <w:p w14:paraId="4E73DF97" w14:textId="50AAB96C" w:rsidR="003436D0" w:rsidRPr="001F3737" w:rsidRDefault="003436D0" w:rsidP="001F3737">
      <w:pPr>
        <w:spacing w:line="360" w:lineRule="auto"/>
        <w:jc w:val="both"/>
        <w:rPr>
          <w:rStyle w:val="Hyperlink"/>
          <w:rFonts w:ascii="Book Antiqua" w:eastAsia="宋体" w:hAnsi="Book Antiqua"/>
          <w:b/>
          <w:color w:val="000000"/>
          <w:u w:val="none"/>
          <w:lang w:eastAsia="zh-CN"/>
        </w:rPr>
      </w:pPr>
      <w:r w:rsidRPr="001F3737">
        <w:rPr>
          <w:rFonts w:ascii="Book Antiqua" w:hAnsi="Book Antiqua"/>
          <w:b/>
        </w:rPr>
        <w:t>Fax</w:t>
      </w:r>
      <w:r w:rsidRPr="001F3737">
        <w:rPr>
          <w:rFonts w:ascii="Book Antiqua" w:eastAsia="宋体" w:hAnsi="Book Antiqua"/>
          <w:lang w:eastAsia="zh-CN"/>
        </w:rPr>
        <w:t>:</w:t>
      </w:r>
      <w:r w:rsidRPr="001F3737">
        <w:rPr>
          <w:rFonts w:ascii="Book Antiqua" w:hAnsi="Book Antiqua"/>
        </w:rPr>
        <w:t xml:space="preserve"> +1-603-7421488</w:t>
      </w:r>
    </w:p>
    <w:p w14:paraId="73318979" w14:textId="77777777" w:rsidR="003436D0" w:rsidRPr="001F3737" w:rsidRDefault="003436D0" w:rsidP="001F3737">
      <w:pPr>
        <w:spacing w:line="360" w:lineRule="auto"/>
        <w:jc w:val="both"/>
        <w:rPr>
          <w:rFonts w:ascii="Book Antiqua" w:eastAsia="宋体" w:hAnsi="Book Antiqua"/>
          <w:lang w:eastAsia="zh-CN"/>
        </w:rPr>
      </w:pPr>
    </w:p>
    <w:p w14:paraId="13B6F488" w14:textId="744C8B5E" w:rsidR="003436D0" w:rsidRPr="001F3737" w:rsidRDefault="003436D0" w:rsidP="001F3737">
      <w:pPr>
        <w:spacing w:line="360" w:lineRule="auto"/>
        <w:jc w:val="both"/>
        <w:rPr>
          <w:rFonts w:ascii="Book Antiqua" w:eastAsia="宋体" w:hAnsi="Book Antiqua"/>
          <w:lang w:eastAsia="zh-CN"/>
        </w:rPr>
      </w:pPr>
      <w:bookmarkStart w:id="24" w:name="OLE_LINK476"/>
      <w:bookmarkStart w:id="25" w:name="OLE_LINK477"/>
      <w:bookmarkStart w:id="26" w:name="OLE_LINK117"/>
      <w:bookmarkStart w:id="27" w:name="OLE_LINK528"/>
      <w:bookmarkStart w:id="28" w:name="OLE_LINK557"/>
      <w:r w:rsidRPr="001F3737">
        <w:rPr>
          <w:rFonts w:ascii="Book Antiqua" w:hAnsi="Book Antiqua"/>
          <w:b/>
        </w:rPr>
        <w:t>Received:</w:t>
      </w:r>
      <w:r w:rsidRPr="001F3737">
        <w:rPr>
          <w:rFonts w:ascii="Book Antiqua" w:eastAsia="宋体" w:hAnsi="Book Antiqua"/>
          <w:b/>
          <w:lang w:eastAsia="zh-CN"/>
        </w:rPr>
        <w:t xml:space="preserve"> </w:t>
      </w:r>
      <w:r w:rsidRPr="001F3737">
        <w:rPr>
          <w:rFonts w:ascii="Book Antiqua" w:eastAsia="宋体" w:hAnsi="Book Antiqua"/>
          <w:lang w:eastAsia="zh-CN"/>
        </w:rPr>
        <w:t>August 5, 2016</w:t>
      </w:r>
    </w:p>
    <w:p w14:paraId="6CCFC8FD" w14:textId="6BA3130B" w:rsidR="003436D0" w:rsidRPr="001F3737" w:rsidRDefault="003436D0" w:rsidP="001F3737">
      <w:pPr>
        <w:spacing w:line="360" w:lineRule="auto"/>
        <w:jc w:val="both"/>
        <w:rPr>
          <w:rFonts w:ascii="Book Antiqua" w:eastAsia="宋体" w:hAnsi="Book Antiqua"/>
          <w:lang w:eastAsia="zh-CN"/>
        </w:rPr>
      </w:pPr>
      <w:r w:rsidRPr="001F3737">
        <w:rPr>
          <w:rFonts w:ascii="Book Antiqua" w:hAnsi="Book Antiqua"/>
          <w:b/>
        </w:rPr>
        <w:t>Peer-review started:</w:t>
      </w:r>
      <w:r w:rsidRPr="001F3737">
        <w:rPr>
          <w:rFonts w:ascii="Book Antiqua" w:eastAsia="宋体" w:hAnsi="Book Antiqua"/>
          <w:lang w:eastAsia="zh-CN"/>
        </w:rPr>
        <w:t xml:space="preserve"> August 6, 2016</w:t>
      </w:r>
    </w:p>
    <w:p w14:paraId="7A5E8BF7" w14:textId="6A1E79B7" w:rsidR="003436D0" w:rsidRPr="001F3737" w:rsidRDefault="003436D0" w:rsidP="001F3737">
      <w:pPr>
        <w:spacing w:line="360" w:lineRule="auto"/>
        <w:jc w:val="both"/>
        <w:rPr>
          <w:rFonts w:ascii="Book Antiqua" w:eastAsia="宋体" w:hAnsi="Book Antiqua"/>
          <w:lang w:eastAsia="zh-CN"/>
        </w:rPr>
      </w:pPr>
      <w:r w:rsidRPr="001F3737">
        <w:rPr>
          <w:rFonts w:ascii="Book Antiqua" w:hAnsi="Book Antiqua"/>
          <w:b/>
        </w:rPr>
        <w:t>First decision:</w:t>
      </w:r>
      <w:r w:rsidRPr="001F3737">
        <w:rPr>
          <w:rFonts w:ascii="Book Antiqua" w:eastAsia="宋体" w:hAnsi="Book Antiqua"/>
          <w:lang w:eastAsia="zh-CN"/>
        </w:rPr>
        <w:t xml:space="preserve"> September 21, 2016</w:t>
      </w:r>
    </w:p>
    <w:p w14:paraId="182C7EE4" w14:textId="2E3050E6" w:rsidR="003436D0" w:rsidRPr="001F3737" w:rsidRDefault="003436D0" w:rsidP="001F3737">
      <w:pPr>
        <w:spacing w:line="360" w:lineRule="auto"/>
        <w:jc w:val="both"/>
        <w:rPr>
          <w:rFonts w:ascii="Book Antiqua" w:eastAsia="宋体" w:hAnsi="Book Antiqua"/>
          <w:lang w:eastAsia="zh-CN"/>
        </w:rPr>
      </w:pPr>
      <w:r w:rsidRPr="001F3737">
        <w:rPr>
          <w:rFonts w:ascii="Book Antiqua" w:hAnsi="Book Antiqua"/>
          <w:b/>
        </w:rPr>
        <w:t>Revised:</w:t>
      </w:r>
      <w:r w:rsidRPr="001F3737">
        <w:rPr>
          <w:rFonts w:ascii="Book Antiqua" w:eastAsia="宋体" w:hAnsi="Book Antiqua"/>
          <w:b/>
          <w:lang w:eastAsia="zh-CN"/>
        </w:rPr>
        <w:t xml:space="preserve"> </w:t>
      </w:r>
      <w:r w:rsidRPr="001F3737">
        <w:rPr>
          <w:rFonts w:ascii="Book Antiqua" w:eastAsia="宋体" w:hAnsi="Book Antiqua"/>
          <w:lang w:eastAsia="zh-CN"/>
        </w:rPr>
        <w:t>October 11, 2016</w:t>
      </w:r>
    </w:p>
    <w:p w14:paraId="7E0CA38D" w14:textId="3FD905D4" w:rsidR="003436D0" w:rsidRPr="00C2609C" w:rsidRDefault="00C2609C" w:rsidP="00C2609C">
      <w:pPr>
        <w:rPr>
          <w:rFonts w:ascii="Book Antiqua" w:hAnsi="Book Antiqua"/>
          <w:iCs/>
        </w:rPr>
      </w:pPr>
      <w:r>
        <w:rPr>
          <w:rFonts w:ascii="Book Antiqua" w:hAnsi="Book Antiqua"/>
          <w:b/>
        </w:rPr>
        <w:t>Accepted:</w:t>
      </w:r>
      <w:r w:rsidR="003436D0" w:rsidRPr="001F3737">
        <w:rPr>
          <w:rFonts w:ascii="Book Antiqua" w:hAnsi="Book Antiqua"/>
          <w:b/>
        </w:rPr>
        <w:t xml:space="preserve"> </w:t>
      </w:r>
      <w:r w:rsidRPr="00235CD4">
        <w:rPr>
          <w:rStyle w:val="Emphasis"/>
        </w:rPr>
        <w:t>201</w:t>
      </w:r>
      <w:r>
        <w:rPr>
          <w:rStyle w:val="Emphasis"/>
        </w:rPr>
        <w:t>6</w:t>
      </w:r>
      <w:r w:rsidRPr="00235CD4">
        <w:rPr>
          <w:rStyle w:val="Emphasis"/>
        </w:rPr>
        <w:t>-</w:t>
      </w:r>
      <w:r>
        <w:rPr>
          <w:rStyle w:val="Emphasis"/>
        </w:rPr>
        <w:t>11-</w:t>
      </w:r>
      <w:r>
        <w:rPr>
          <w:rStyle w:val="Emphasis"/>
          <w:rFonts w:ascii="宋体" w:hAnsi="宋体" w:cs="宋体" w:hint="eastAsia"/>
        </w:rPr>
        <w:t>15</w:t>
      </w:r>
    </w:p>
    <w:p w14:paraId="45EB574D" w14:textId="77777777" w:rsidR="003436D0" w:rsidRPr="001F3737" w:rsidRDefault="003436D0" w:rsidP="001F3737">
      <w:pPr>
        <w:spacing w:line="360" w:lineRule="auto"/>
        <w:jc w:val="both"/>
        <w:rPr>
          <w:rFonts w:ascii="Book Antiqua" w:hAnsi="Book Antiqua"/>
          <w:b/>
        </w:rPr>
      </w:pPr>
      <w:r w:rsidRPr="001F3737">
        <w:rPr>
          <w:rFonts w:ascii="Book Antiqua" w:hAnsi="Book Antiqua"/>
          <w:b/>
        </w:rPr>
        <w:t>Article in press:</w:t>
      </w:r>
    </w:p>
    <w:p w14:paraId="70810135" w14:textId="77777777" w:rsidR="003436D0" w:rsidRPr="001F3737" w:rsidRDefault="003436D0" w:rsidP="001F3737">
      <w:pPr>
        <w:spacing w:line="360" w:lineRule="auto"/>
        <w:jc w:val="both"/>
        <w:rPr>
          <w:rFonts w:ascii="Book Antiqua" w:hAnsi="Book Antiqua"/>
          <w:b/>
        </w:rPr>
      </w:pPr>
      <w:r w:rsidRPr="001F3737">
        <w:rPr>
          <w:rFonts w:ascii="Book Antiqua" w:hAnsi="Book Antiqua"/>
          <w:b/>
        </w:rPr>
        <w:t>Published online:</w:t>
      </w:r>
    </w:p>
    <w:bookmarkEnd w:id="24"/>
    <w:bookmarkEnd w:id="25"/>
    <w:bookmarkEnd w:id="26"/>
    <w:bookmarkEnd w:id="27"/>
    <w:bookmarkEnd w:id="28"/>
    <w:p w14:paraId="599A68E5" w14:textId="77777777" w:rsidR="003436D0" w:rsidRPr="001F3737" w:rsidRDefault="003436D0" w:rsidP="001F3737">
      <w:pPr>
        <w:spacing w:line="360" w:lineRule="auto"/>
        <w:jc w:val="both"/>
        <w:rPr>
          <w:rFonts w:ascii="Book Antiqua" w:eastAsia="宋体" w:hAnsi="Book Antiqua"/>
          <w:lang w:eastAsia="zh-CN"/>
        </w:rPr>
      </w:pPr>
    </w:p>
    <w:p w14:paraId="3ABB7ECC" w14:textId="3318D2D7" w:rsidR="00C238BA" w:rsidRPr="001F3737" w:rsidRDefault="00C238BA" w:rsidP="001F3737">
      <w:pPr>
        <w:pStyle w:val="MajorSectionHeading"/>
        <w:spacing w:line="360" w:lineRule="auto"/>
        <w:jc w:val="both"/>
        <w:rPr>
          <w:rFonts w:ascii="Book Antiqua" w:hAnsi="Book Antiqua"/>
        </w:rPr>
      </w:pPr>
      <w:r w:rsidRPr="001F3737">
        <w:rPr>
          <w:rFonts w:ascii="Book Antiqua" w:hAnsi="Book Antiqua"/>
        </w:rPr>
        <w:lastRenderedPageBreak/>
        <w:t>A</w:t>
      </w:r>
      <w:r w:rsidR="003E1BF5" w:rsidRPr="001F3737">
        <w:rPr>
          <w:rFonts w:ascii="Book Antiqua" w:hAnsi="Book Antiqua"/>
          <w:caps w:val="0"/>
        </w:rPr>
        <w:t>bstract</w:t>
      </w:r>
    </w:p>
    <w:p w14:paraId="27553874" w14:textId="77777777" w:rsidR="003E1BF5" w:rsidRPr="001F3737" w:rsidRDefault="00206477" w:rsidP="001F3737">
      <w:pPr>
        <w:spacing w:line="360" w:lineRule="auto"/>
        <w:jc w:val="both"/>
        <w:rPr>
          <w:rFonts w:ascii="Book Antiqua" w:eastAsia="宋体" w:hAnsi="Book Antiqua"/>
          <w:b/>
          <w:i/>
          <w:lang w:eastAsia="zh-CN"/>
        </w:rPr>
      </w:pPr>
      <w:r w:rsidRPr="001F3737">
        <w:rPr>
          <w:rFonts w:ascii="Book Antiqua" w:hAnsi="Book Antiqua"/>
          <w:b/>
          <w:i/>
        </w:rPr>
        <w:t>AIM</w:t>
      </w:r>
    </w:p>
    <w:p w14:paraId="45FC3E50" w14:textId="5E1E10AF" w:rsidR="00C238BA" w:rsidRPr="001F3737" w:rsidRDefault="003E1BF5" w:rsidP="001F3737">
      <w:pPr>
        <w:spacing w:line="360" w:lineRule="auto"/>
        <w:jc w:val="both"/>
        <w:rPr>
          <w:rFonts w:ascii="Book Antiqua" w:hAnsi="Book Antiqua"/>
        </w:rPr>
      </w:pPr>
      <w:r w:rsidRPr="001F3737">
        <w:rPr>
          <w:rFonts w:ascii="Book Antiqua" w:eastAsia="宋体" w:hAnsi="Book Antiqua"/>
          <w:lang w:eastAsia="zh-CN"/>
        </w:rPr>
        <w:t xml:space="preserve">To </w:t>
      </w:r>
      <w:r w:rsidR="00C238BA" w:rsidRPr="001F3737">
        <w:rPr>
          <w:rFonts w:ascii="Book Antiqua" w:hAnsi="Book Antiqua"/>
        </w:rPr>
        <w:t xml:space="preserve">evaluated outcomes associated with use of a saline coupled bipolar sealer during open partial liver resection. </w:t>
      </w:r>
    </w:p>
    <w:p w14:paraId="78EF539B" w14:textId="77777777" w:rsidR="00C238BA" w:rsidRPr="001F3737" w:rsidRDefault="00C238BA" w:rsidP="001F3737">
      <w:pPr>
        <w:spacing w:line="360" w:lineRule="auto"/>
        <w:jc w:val="both"/>
        <w:rPr>
          <w:rFonts w:ascii="Book Antiqua" w:hAnsi="Book Antiqua"/>
        </w:rPr>
      </w:pPr>
    </w:p>
    <w:p w14:paraId="2436FE16" w14:textId="77777777" w:rsidR="003E1BF5" w:rsidRPr="001F3737" w:rsidRDefault="003E1BF5" w:rsidP="001F3737">
      <w:pPr>
        <w:spacing w:line="360" w:lineRule="auto"/>
        <w:jc w:val="both"/>
        <w:rPr>
          <w:rFonts w:ascii="Book Antiqua" w:eastAsia="宋体" w:hAnsi="Book Antiqua"/>
          <w:b/>
          <w:i/>
          <w:lang w:eastAsia="zh-CN"/>
        </w:rPr>
      </w:pPr>
      <w:r w:rsidRPr="001F3737">
        <w:rPr>
          <w:rFonts w:ascii="Book Antiqua" w:hAnsi="Book Antiqua"/>
          <w:b/>
          <w:i/>
        </w:rPr>
        <w:t>METHODS</w:t>
      </w:r>
    </w:p>
    <w:p w14:paraId="10676BA1" w14:textId="6585C022" w:rsidR="00C238BA" w:rsidRPr="001F3737" w:rsidRDefault="00C238BA" w:rsidP="001F3737">
      <w:pPr>
        <w:spacing w:line="360" w:lineRule="auto"/>
        <w:jc w:val="both"/>
        <w:rPr>
          <w:rFonts w:ascii="Book Antiqua" w:hAnsi="Book Antiqua"/>
        </w:rPr>
      </w:pPr>
      <w:r w:rsidRPr="001F3737">
        <w:rPr>
          <w:rFonts w:ascii="Book Antiqua" w:hAnsi="Book Antiqua"/>
        </w:rPr>
        <w:t xml:space="preserve">This retrospective analysis utilized the </w:t>
      </w:r>
      <w:r w:rsidR="00CC1953" w:rsidRPr="00CC1953">
        <w:rPr>
          <w:rFonts w:ascii="Book Antiqua" w:hAnsi="Book Antiqua"/>
        </w:rPr>
        <w:t xml:space="preserve">United States </w:t>
      </w:r>
      <w:r w:rsidRPr="001F3737">
        <w:rPr>
          <w:rFonts w:ascii="Book Antiqua" w:hAnsi="Book Antiqua"/>
        </w:rPr>
        <w:t>Premier insurance claims</w:t>
      </w:r>
      <w:r w:rsidRPr="001F3737" w:rsidDel="00254298">
        <w:rPr>
          <w:rFonts w:ascii="Book Antiqua" w:hAnsi="Book Antiqua"/>
        </w:rPr>
        <w:t xml:space="preserve"> </w:t>
      </w:r>
      <w:r w:rsidRPr="001F3737">
        <w:rPr>
          <w:rFonts w:ascii="Book Antiqua" w:hAnsi="Book Antiqua"/>
        </w:rPr>
        <w:t>database (2010 - 2014). Patients were selected with codes for liver malignancy and partial hepatectomy or lobectomy. Cases were defined by use the saline-coupled bipolar sealer; controls had no use. A Propensity Score algorithm was used to match one case to five controls. A deviation-based cost modeling (DBCM) approach provided an estimate of cost-effectiveness.</w:t>
      </w:r>
    </w:p>
    <w:p w14:paraId="6A98BEF3" w14:textId="77777777" w:rsidR="00C238BA" w:rsidRPr="001F3737" w:rsidRDefault="00C238BA" w:rsidP="001F3737">
      <w:pPr>
        <w:spacing w:line="360" w:lineRule="auto"/>
        <w:jc w:val="both"/>
        <w:rPr>
          <w:rFonts w:ascii="Book Antiqua" w:hAnsi="Book Antiqua"/>
        </w:rPr>
      </w:pPr>
    </w:p>
    <w:p w14:paraId="1A2BC3C7" w14:textId="77777777" w:rsidR="003E1BF5" w:rsidRPr="001F3737" w:rsidRDefault="003E1BF5" w:rsidP="001F3737">
      <w:pPr>
        <w:spacing w:line="360" w:lineRule="auto"/>
        <w:jc w:val="both"/>
        <w:rPr>
          <w:rFonts w:ascii="Book Antiqua" w:eastAsia="宋体" w:hAnsi="Book Antiqua"/>
          <w:b/>
          <w:i/>
          <w:lang w:eastAsia="zh-CN"/>
        </w:rPr>
      </w:pPr>
      <w:r w:rsidRPr="001F3737">
        <w:rPr>
          <w:rFonts w:ascii="Book Antiqua" w:hAnsi="Book Antiqua"/>
          <w:b/>
          <w:i/>
        </w:rPr>
        <w:t>RESULTS</w:t>
      </w:r>
    </w:p>
    <w:p w14:paraId="00E26AB7" w14:textId="17EEB78C" w:rsidR="00C238BA" w:rsidRPr="001F3737" w:rsidRDefault="003E1BF5" w:rsidP="001F3737">
      <w:pPr>
        <w:spacing w:line="360" w:lineRule="auto"/>
        <w:jc w:val="both"/>
        <w:rPr>
          <w:rFonts w:ascii="Book Antiqua" w:hAnsi="Book Antiqua"/>
        </w:rPr>
      </w:pPr>
      <w:r w:rsidRPr="001F3737">
        <w:rPr>
          <w:rFonts w:ascii="Book Antiqua" w:hAnsi="Book Antiqua"/>
        </w:rPr>
        <w:t>One hundred and forty-four</w:t>
      </w:r>
      <w:r w:rsidR="00C238BA" w:rsidRPr="001F3737">
        <w:rPr>
          <w:rFonts w:ascii="Book Antiqua" w:hAnsi="Book Antiqua"/>
        </w:rPr>
        <w:t xml:space="preserve"> cases and 720 controls were available for analysis. Patients in the Case cohort received fewer transfusions</w:t>
      </w:r>
      <w:r w:rsidR="00CC1953" w:rsidRPr="00CC1953">
        <w:rPr>
          <w:rFonts w:ascii="Book Antiqua" w:hAnsi="Book Antiqua"/>
          <w:i/>
        </w:rPr>
        <w:t xml:space="preserve"> </w:t>
      </w:r>
      <w:r w:rsidR="00CC1953" w:rsidRPr="001F3737">
        <w:rPr>
          <w:rFonts w:ascii="Book Antiqua" w:hAnsi="Book Antiqua"/>
          <w:i/>
        </w:rPr>
        <w:t>vs</w:t>
      </w:r>
      <w:r w:rsidR="00C238BA" w:rsidRPr="001F3737">
        <w:rPr>
          <w:rFonts w:ascii="Book Antiqua" w:hAnsi="Book Antiqua"/>
        </w:rPr>
        <w:t xml:space="preserve"> controls (18.1% </w:t>
      </w:r>
      <w:r w:rsidR="00C238BA" w:rsidRPr="001F3737">
        <w:rPr>
          <w:rFonts w:ascii="Book Antiqua" w:hAnsi="Book Antiqua"/>
          <w:i/>
        </w:rPr>
        <w:t>vs</w:t>
      </w:r>
      <w:r w:rsidR="00C238BA" w:rsidRPr="001F3737">
        <w:rPr>
          <w:rFonts w:ascii="Book Antiqua" w:hAnsi="Book Antiqua"/>
        </w:rPr>
        <w:t xml:space="preserve"> 29.4%</w:t>
      </w:r>
      <w:r w:rsidRPr="001F3737">
        <w:rPr>
          <w:rFonts w:ascii="Book Antiqua" w:eastAsia="宋体" w:hAnsi="Book Antiqua"/>
          <w:lang w:eastAsia="zh-CN"/>
        </w:rPr>
        <w:t>,</w:t>
      </w:r>
      <w:r w:rsidR="00C238BA" w:rsidRPr="001F3737">
        <w:rPr>
          <w:rFonts w:ascii="Book Antiqua" w:hAnsi="Book Antiqua"/>
        </w:rPr>
        <w:t xml:space="preserve"> </w:t>
      </w:r>
      <w:r w:rsidR="00C238BA" w:rsidRPr="001F3737">
        <w:rPr>
          <w:rFonts w:ascii="Book Antiqua" w:hAnsi="Book Antiqua"/>
          <w:i/>
        </w:rPr>
        <w:t xml:space="preserve">P </w:t>
      </w:r>
      <w:r w:rsidR="00C238BA" w:rsidRPr="001F3737">
        <w:rPr>
          <w:rFonts w:ascii="Book Antiqua" w:hAnsi="Book Antiqua"/>
        </w:rPr>
        <w:t xml:space="preserve">= </w:t>
      </w:r>
      <w:r w:rsidRPr="001F3737">
        <w:rPr>
          <w:rFonts w:ascii="Book Antiqua" w:eastAsia="宋体" w:hAnsi="Book Antiqua"/>
          <w:lang w:eastAsia="zh-CN"/>
        </w:rPr>
        <w:t>0</w:t>
      </w:r>
      <w:r w:rsidR="00C238BA" w:rsidRPr="001F3737">
        <w:rPr>
          <w:rFonts w:ascii="Book Antiqua" w:hAnsi="Book Antiqua"/>
        </w:rPr>
        <w:t xml:space="preserve">.007). In DBCM, more patients in the case cohort experienced “on-course” hospitalizations (53.5% </w:t>
      </w:r>
      <w:r w:rsidRPr="001F3737">
        <w:rPr>
          <w:rFonts w:ascii="Book Antiqua" w:hAnsi="Book Antiqua"/>
          <w:i/>
        </w:rPr>
        <w:t>vs</w:t>
      </w:r>
      <w:r w:rsidRPr="001F3737">
        <w:rPr>
          <w:rFonts w:ascii="Book Antiqua" w:hAnsi="Book Antiqua"/>
        </w:rPr>
        <w:t xml:space="preserve"> </w:t>
      </w:r>
      <w:r w:rsidR="00C238BA" w:rsidRPr="001F3737">
        <w:rPr>
          <w:rFonts w:ascii="Book Antiqua" w:hAnsi="Book Antiqua"/>
        </w:rPr>
        <w:t xml:space="preserve">41.9%, </w:t>
      </w:r>
      <w:r w:rsidRPr="001F3737">
        <w:rPr>
          <w:rFonts w:ascii="Book Antiqua" w:hAnsi="Book Antiqua"/>
          <w:i/>
        </w:rPr>
        <w:t>P</w:t>
      </w:r>
      <w:r w:rsidR="00C238BA" w:rsidRPr="001F3737">
        <w:rPr>
          <w:rFonts w:ascii="Book Antiqua" w:hAnsi="Book Antiqua"/>
        </w:rPr>
        <w:t xml:space="preserve"> = </w:t>
      </w:r>
      <w:r w:rsidRPr="001F3737">
        <w:rPr>
          <w:rFonts w:ascii="Book Antiqua" w:eastAsia="宋体" w:hAnsi="Book Antiqua"/>
          <w:lang w:eastAsia="zh-CN"/>
        </w:rPr>
        <w:t>0</w:t>
      </w:r>
      <w:r w:rsidR="00C238BA" w:rsidRPr="001F3737">
        <w:rPr>
          <w:rFonts w:ascii="Book Antiqua" w:hAnsi="Book Antiqua"/>
        </w:rPr>
        <w:t>.009). The cost calculation showed an average savings in to</w:t>
      </w:r>
      <w:r w:rsidR="00CC1953">
        <w:rPr>
          <w:rFonts w:ascii="Book Antiqua" w:hAnsi="Book Antiqua"/>
        </w:rPr>
        <w:t>tal hospitalization costs of $1</w:t>
      </w:r>
      <w:r w:rsidR="00C238BA" w:rsidRPr="001F3737">
        <w:rPr>
          <w:rFonts w:ascii="Book Antiqua" w:hAnsi="Book Antiqua"/>
        </w:rPr>
        <w:t xml:space="preserve">027 for cases </w:t>
      </w:r>
      <w:r w:rsidRPr="001F3737">
        <w:rPr>
          <w:rFonts w:ascii="Book Antiqua" w:hAnsi="Book Antiqua"/>
          <w:i/>
        </w:rPr>
        <w:t>vs</w:t>
      </w:r>
      <w:r w:rsidR="00C238BA" w:rsidRPr="001F3737">
        <w:rPr>
          <w:rFonts w:ascii="Book Antiqua" w:hAnsi="Book Antiqua"/>
        </w:rPr>
        <w:t xml:space="preserve"> controls. In multivariate analysis, cases had lower odds of receivin</w:t>
      </w:r>
      <w:r w:rsidRPr="001F3737">
        <w:rPr>
          <w:rFonts w:ascii="Book Antiqua" w:hAnsi="Book Antiqua"/>
        </w:rPr>
        <w:t>g a transfusion (OR = 0.44, 95%</w:t>
      </w:r>
      <w:r w:rsidR="00C238BA" w:rsidRPr="001F3737">
        <w:rPr>
          <w:rFonts w:ascii="Book Antiqua" w:hAnsi="Book Antiqua"/>
        </w:rPr>
        <w:t>CI</w:t>
      </w:r>
      <w:r w:rsidRPr="001F3737">
        <w:rPr>
          <w:rFonts w:ascii="Book Antiqua" w:eastAsia="宋体" w:hAnsi="Book Antiqua"/>
          <w:lang w:eastAsia="zh-CN"/>
        </w:rPr>
        <w:t>:</w:t>
      </w:r>
      <w:r w:rsidR="00C238BA" w:rsidRPr="001F3737">
        <w:rPr>
          <w:rFonts w:ascii="Book Antiqua" w:hAnsi="Book Antiqua"/>
        </w:rPr>
        <w:t xml:space="preserve"> 0.27 – 0.71, </w:t>
      </w:r>
      <w:r w:rsidRPr="001F3737">
        <w:rPr>
          <w:rFonts w:ascii="Book Antiqua" w:hAnsi="Book Antiqua"/>
          <w:i/>
        </w:rPr>
        <w:t>P</w:t>
      </w:r>
      <w:r w:rsidR="00C238BA" w:rsidRPr="001F3737">
        <w:rPr>
          <w:rFonts w:ascii="Book Antiqua" w:hAnsi="Book Antiqua"/>
        </w:rPr>
        <w:t xml:space="preserve"> = </w:t>
      </w:r>
      <w:r w:rsidRPr="001F3737">
        <w:rPr>
          <w:rFonts w:ascii="Book Antiqua" w:eastAsia="宋体" w:hAnsi="Book Antiqua"/>
          <w:lang w:eastAsia="zh-CN"/>
        </w:rPr>
        <w:t>0</w:t>
      </w:r>
      <w:r w:rsidR="00C238BA" w:rsidRPr="001F3737">
        <w:rPr>
          <w:rFonts w:ascii="Book Antiqua" w:hAnsi="Book Antiqua"/>
        </w:rPr>
        <w:t>.0008).</w:t>
      </w:r>
    </w:p>
    <w:p w14:paraId="09249A51" w14:textId="77777777" w:rsidR="00C238BA" w:rsidRPr="001F3737" w:rsidRDefault="00C238BA" w:rsidP="001F3737">
      <w:pPr>
        <w:spacing w:line="360" w:lineRule="auto"/>
        <w:jc w:val="both"/>
        <w:rPr>
          <w:rFonts w:ascii="Book Antiqua" w:hAnsi="Book Antiqua"/>
        </w:rPr>
      </w:pPr>
    </w:p>
    <w:p w14:paraId="7748B1B5" w14:textId="77777777" w:rsidR="003E1BF5" w:rsidRPr="001F3737" w:rsidRDefault="00206477" w:rsidP="001F3737">
      <w:pPr>
        <w:spacing w:line="360" w:lineRule="auto"/>
        <w:jc w:val="both"/>
        <w:rPr>
          <w:rFonts w:ascii="Book Antiqua" w:eastAsia="宋体" w:hAnsi="Book Antiqua"/>
          <w:b/>
          <w:i/>
          <w:lang w:eastAsia="zh-CN"/>
        </w:rPr>
      </w:pPr>
      <w:r w:rsidRPr="001F3737">
        <w:rPr>
          <w:rFonts w:ascii="Book Antiqua" w:hAnsi="Book Antiqua"/>
          <w:b/>
          <w:i/>
        </w:rPr>
        <w:t>CONCLUSION</w:t>
      </w:r>
    </w:p>
    <w:p w14:paraId="5C40D2DE" w14:textId="3AD661F1" w:rsidR="00C238BA" w:rsidRPr="001F3737" w:rsidRDefault="00C238BA" w:rsidP="001F3737">
      <w:pPr>
        <w:spacing w:line="360" w:lineRule="auto"/>
        <w:jc w:val="both"/>
        <w:rPr>
          <w:rFonts w:ascii="Book Antiqua" w:hAnsi="Book Antiqua"/>
        </w:rPr>
      </w:pPr>
      <w:r w:rsidRPr="001F3737">
        <w:rPr>
          <w:rFonts w:ascii="Book Antiqua" w:hAnsi="Book Antiqua"/>
        </w:rPr>
        <w:t>Use of a saline-coupled bipolar sealer was associated with a greater proportion of patients with an “on course” hospitalization.</w:t>
      </w:r>
    </w:p>
    <w:p w14:paraId="3DE671E4" w14:textId="77777777" w:rsidR="00C238BA" w:rsidRPr="001F3737" w:rsidRDefault="00C238BA" w:rsidP="001F3737">
      <w:pPr>
        <w:spacing w:line="360" w:lineRule="auto"/>
        <w:jc w:val="both"/>
        <w:rPr>
          <w:rFonts w:ascii="Book Antiqua" w:hAnsi="Book Antiqua"/>
        </w:rPr>
      </w:pPr>
    </w:p>
    <w:p w14:paraId="00AA393C" w14:textId="66A1B648" w:rsidR="00C238BA" w:rsidRPr="001F3737" w:rsidRDefault="00C238BA" w:rsidP="001F3737">
      <w:pPr>
        <w:pStyle w:val="Heading1"/>
        <w:spacing w:line="360" w:lineRule="auto"/>
        <w:jc w:val="both"/>
        <w:rPr>
          <w:rFonts w:ascii="Book Antiqua" w:eastAsia="宋体" w:hAnsi="Book Antiqua"/>
          <w:b w:val="0"/>
          <w:caps w:val="0"/>
          <w:lang w:eastAsia="zh-CN"/>
        </w:rPr>
      </w:pPr>
      <w:r w:rsidRPr="001F3737">
        <w:rPr>
          <w:rFonts w:ascii="Book Antiqua" w:hAnsi="Book Antiqua"/>
        </w:rPr>
        <w:t>K</w:t>
      </w:r>
      <w:r w:rsidR="003E1BF5" w:rsidRPr="001F3737">
        <w:rPr>
          <w:rFonts w:ascii="Book Antiqua" w:hAnsi="Book Antiqua"/>
          <w:caps w:val="0"/>
        </w:rPr>
        <w:t>ey words</w:t>
      </w:r>
      <w:r w:rsidR="003E1BF5" w:rsidRPr="001F3737">
        <w:rPr>
          <w:rFonts w:ascii="Book Antiqua" w:eastAsia="宋体" w:hAnsi="Book Antiqua"/>
          <w:caps w:val="0"/>
          <w:lang w:eastAsia="zh-CN"/>
        </w:rPr>
        <w:t xml:space="preserve">: </w:t>
      </w:r>
      <w:r w:rsidRPr="001F3737">
        <w:rPr>
          <w:rFonts w:ascii="Book Antiqua" w:hAnsi="Book Antiqua"/>
          <w:b w:val="0"/>
        </w:rPr>
        <w:t>L</w:t>
      </w:r>
      <w:r w:rsidR="003E1BF5" w:rsidRPr="001F3737">
        <w:rPr>
          <w:rFonts w:ascii="Book Antiqua" w:hAnsi="Book Antiqua"/>
          <w:b w:val="0"/>
          <w:caps w:val="0"/>
        </w:rPr>
        <w:t>iver resection</w:t>
      </w:r>
      <w:r w:rsidR="003E1BF5" w:rsidRPr="001F3737">
        <w:rPr>
          <w:rFonts w:ascii="Book Antiqua" w:eastAsia="宋体" w:hAnsi="Book Antiqua"/>
          <w:b w:val="0"/>
          <w:lang w:eastAsia="zh-CN"/>
        </w:rPr>
        <w:t>;</w:t>
      </w:r>
      <w:r w:rsidRPr="001F3737">
        <w:rPr>
          <w:rFonts w:ascii="Book Antiqua" w:hAnsi="Book Antiqua"/>
          <w:b w:val="0"/>
        </w:rPr>
        <w:t xml:space="preserve"> h</w:t>
      </w:r>
      <w:r w:rsidR="003E1BF5" w:rsidRPr="001F3737">
        <w:rPr>
          <w:rFonts w:ascii="Book Antiqua" w:hAnsi="Book Antiqua"/>
          <w:b w:val="0"/>
          <w:caps w:val="0"/>
        </w:rPr>
        <w:t>epatocellular carcinoma</w:t>
      </w:r>
      <w:r w:rsidR="003E1BF5" w:rsidRPr="001F3737">
        <w:rPr>
          <w:rFonts w:ascii="Book Antiqua" w:eastAsia="宋体" w:hAnsi="Book Antiqua"/>
          <w:b w:val="0"/>
          <w:lang w:eastAsia="zh-CN"/>
        </w:rPr>
        <w:t>;</w:t>
      </w:r>
      <w:r w:rsidR="002800F0" w:rsidRPr="001F3737">
        <w:rPr>
          <w:rFonts w:ascii="Book Antiqua" w:hAnsi="Book Antiqua"/>
          <w:b w:val="0"/>
        </w:rPr>
        <w:t xml:space="preserve"> c</w:t>
      </w:r>
      <w:r w:rsidR="003E1BF5" w:rsidRPr="001F3737">
        <w:rPr>
          <w:rFonts w:ascii="Book Antiqua" w:hAnsi="Book Antiqua"/>
          <w:b w:val="0"/>
          <w:caps w:val="0"/>
        </w:rPr>
        <w:t>osts</w:t>
      </w:r>
    </w:p>
    <w:p w14:paraId="0130C88C" w14:textId="77777777" w:rsidR="003E1BF5" w:rsidRPr="001F3737" w:rsidRDefault="003E1BF5" w:rsidP="001F3737">
      <w:pPr>
        <w:spacing w:line="360" w:lineRule="auto"/>
        <w:jc w:val="both"/>
        <w:rPr>
          <w:rFonts w:ascii="Book Antiqua" w:eastAsia="宋体" w:hAnsi="Book Antiqua"/>
          <w:lang w:eastAsia="zh-CN"/>
        </w:rPr>
      </w:pPr>
    </w:p>
    <w:p w14:paraId="214FD0B8" w14:textId="77777777" w:rsidR="003E1BF5" w:rsidRPr="001F3737" w:rsidRDefault="003E1BF5" w:rsidP="001F3737">
      <w:pPr>
        <w:spacing w:line="360" w:lineRule="auto"/>
        <w:jc w:val="both"/>
        <w:rPr>
          <w:rFonts w:ascii="Book Antiqua" w:hAnsi="Book Antiqua" w:cs="Arial"/>
        </w:rPr>
      </w:pPr>
      <w:bookmarkStart w:id="29" w:name="OLE_LINK55"/>
      <w:bookmarkStart w:id="30" w:name="OLE_LINK56"/>
      <w:bookmarkStart w:id="31" w:name="OLE_LINK105"/>
      <w:bookmarkStart w:id="32" w:name="OLE_LINK116"/>
      <w:bookmarkStart w:id="33" w:name="OLE_LINK89"/>
      <w:r w:rsidRPr="001F3737">
        <w:rPr>
          <w:rFonts w:ascii="Book Antiqua" w:hAnsi="Book Antiqua"/>
          <w:b/>
        </w:rPr>
        <w:t>©</w:t>
      </w:r>
      <w:bookmarkEnd w:id="29"/>
      <w:bookmarkEnd w:id="30"/>
      <w:r w:rsidRPr="001F3737">
        <w:rPr>
          <w:rFonts w:ascii="Book Antiqua" w:hAnsi="Book Antiqua"/>
          <w:b/>
        </w:rPr>
        <w:t xml:space="preserve"> </w:t>
      </w:r>
      <w:r w:rsidRPr="001F3737">
        <w:rPr>
          <w:rFonts w:ascii="Book Antiqua" w:hAnsi="Book Antiqua" w:cs="Arial"/>
          <w:b/>
        </w:rPr>
        <w:t xml:space="preserve">The Author(s) 2016. </w:t>
      </w:r>
      <w:r w:rsidRPr="001F3737">
        <w:rPr>
          <w:rFonts w:ascii="Book Antiqua" w:hAnsi="Book Antiqua" w:cs="Arial"/>
        </w:rPr>
        <w:t>Published by Baishideng Publishing Group Inc. All rights reserved.</w:t>
      </w:r>
    </w:p>
    <w:bookmarkEnd w:id="31"/>
    <w:bookmarkEnd w:id="32"/>
    <w:bookmarkEnd w:id="33"/>
    <w:p w14:paraId="5E2B7870" w14:textId="783A2C90" w:rsidR="003E1BF5" w:rsidRPr="001F3737" w:rsidRDefault="003E1BF5" w:rsidP="001F3737">
      <w:pPr>
        <w:spacing w:line="360" w:lineRule="auto"/>
        <w:jc w:val="both"/>
        <w:rPr>
          <w:rFonts w:ascii="Book Antiqua" w:eastAsia="宋体" w:hAnsi="Book Antiqua" w:cs="Arial Unicode MS"/>
          <w:lang w:eastAsia="zh-CN"/>
        </w:rPr>
      </w:pPr>
      <w:r w:rsidRPr="001F3737">
        <w:rPr>
          <w:rFonts w:ascii="Book Antiqua" w:eastAsia="Times New Roman" w:hAnsi="Book Antiqua" w:cs="Arial Unicode MS"/>
          <w:b/>
        </w:rPr>
        <w:lastRenderedPageBreak/>
        <w:t>Core tip:</w:t>
      </w:r>
      <w:r w:rsidRPr="001F3737">
        <w:rPr>
          <w:rFonts w:ascii="Book Antiqua" w:eastAsia="宋体" w:hAnsi="Book Antiqua" w:cs="Arial Unicode MS"/>
          <w:lang w:eastAsia="zh-CN"/>
        </w:rPr>
        <w:t xml:space="preserve"> This is an interesting paper and well written. The current results will be great helpful to the surgical fields when evaluating the benefits and costs of alternative blood-management technologies during liver resection.</w:t>
      </w:r>
    </w:p>
    <w:p w14:paraId="00FBFF8C" w14:textId="77777777" w:rsidR="003E1BF5" w:rsidRPr="001F3737" w:rsidRDefault="003E1BF5" w:rsidP="001F3737">
      <w:pPr>
        <w:adjustRightInd w:val="0"/>
        <w:snapToGrid w:val="0"/>
        <w:spacing w:line="360" w:lineRule="auto"/>
        <w:jc w:val="both"/>
        <w:rPr>
          <w:rFonts w:ascii="Book Antiqua" w:hAnsi="Book Antiqua" w:cs="Tahoma"/>
        </w:rPr>
      </w:pPr>
    </w:p>
    <w:p w14:paraId="085F20E2" w14:textId="21F6FA14" w:rsidR="003E1BF5" w:rsidRPr="001F3737" w:rsidRDefault="003E1BF5" w:rsidP="001F3737">
      <w:pPr>
        <w:spacing w:line="360" w:lineRule="auto"/>
        <w:jc w:val="both"/>
        <w:rPr>
          <w:rFonts w:ascii="Book Antiqua" w:eastAsia="宋体" w:hAnsi="Book Antiqua"/>
          <w:lang w:eastAsia="zh-CN"/>
        </w:rPr>
      </w:pPr>
      <w:bookmarkStart w:id="34" w:name="OLE_LINK130"/>
      <w:bookmarkStart w:id="35" w:name="OLE_LINK134"/>
      <w:bookmarkStart w:id="36" w:name="OLE_LINK455"/>
      <w:bookmarkStart w:id="37" w:name="OLE_LINK464"/>
      <w:bookmarkStart w:id="38" w:name="OLE_LINK73"/>
      <w:bookmarkStart w:id="39" w:name="OLE_LINK74"/>
      <w:bookmarkStart w:id="40" w:name="OLE_LINK424"/>
      <w:bookmarkStart w:id="41" w:name="OLE_LINK425"/>
      <w:r w:rsidRPr="001F3737">
        <w:rPr>
          <w:rFonts w:ascii="Book Antiqua" w:hAnsi="Book Antiqua"/>
        </w:rPr>
        <w:t>Nichols</w:t>
      </w:r>
      <w:r w:rsidRPr="001F3737">
        <w:rPr>
          <w:rFonts w:ascii="Book Antiqua" w:eastAsia="宋体" w:hAnsi="Book Antiqua"/>
          <w:lang w:eastAsia="zh-CN"/>
        </w:rPr>
        <w:t xml:space="preserve"> CI, </w:t>
      </w:r>
      <w:r w:rsidRPr="001F3737">
        <w:rPr>
          <w:rFonts w:ascii="Book Antiqua" w:hAnsi="Book Antiqua"/>
        </w:rPr>
        <w:t>Vose</w:t>
      </w:r>
      <w:r w:rsidRPr="001F3737">
        <w:rPr>
          <w:rFonts w:ascii="Book Antiqua" w:eastAsia="宋体" w:hAnsi="Book Antiqua"/>
          <w:lang w:eastAsia="zh-CN"/>
        </w:rPr>
        <w:t xml:space="preserve"> JG. Use of a saline-coupled bipolar sealer open liver resection for hepatic malignancy: Medical resource use and costs. </w:t>
      </w:r>
      <w:r w:rsidRPr="001F3737">
        <w:rPr>
          <w:rFonts w:ascii="Book Antiqua" w:hAnsi="Book Antiqua"/>
          <w:i/>
        </w:rPr>
        <w:t>World J Gastroenterol</w:t>
      </w:r>
      <w:r w:rsidRPr="001F3737">
        <w:rPr>
          <w:rFonts w:ascii="Book Antiqua" w:hAnsi="Book Antiqua"/>
        </w:rPr>
        <w:t xml:space="preserve"> 2016; </w:t>
      </w:r>
      <w:bookmarkStart w:id="42" w:name="OLE_LINK1689"/>
      <w:bookmarkStart w:id="43" w:name="OLE_LINK1298"/>
      <w:bookmarkStart w:id="44" w:name="OLE_LINK1297"/>
      <w:r w:rsidRPr="001F3737">
        <w:rPr>
          <w:rFonts w:ascii="Book Antiqua" w:hAnsi="Book Antiqua"/>
        </w:rPr>
        <w:t>In press</w:t>
      </w:r>
      <w:bookmarkEnd w:id="42"/>
      <w:bookmarkEnd w:id="43"/>
      <w:bookmarkEnd w:id="44"/>
    </w:p>
    <w:bookmarkEnd w:id="34"/>
    <w:bookmarkEnd w:id="35"/>
    <w:bookmarkEnd w:id="36"/>
    <w:bookmarkEnd w:id="37"/>
    <w:bookmarkEnd w:id="38"/>
    <w:bookmarkEnd w:id="39"/>
    <w:bookmarkEnd w:id="40"/>
    <w:bookmarkEnd w:id="41"/>
    <w:p w14:paraId="478A579C" w14:textId="77777777" w:rsidR="003E1BF5" w:rsidRPr="001F3737" w:rsidRDefault="003E1BF5" w:rsidP="001F3737">
      <w:pPr>
        <w:spacing w:line="360" w:lineRule="auto"/>
        <w:jc w:val="both"/>
        <w:rPr>
          <w:rFonts w:ascii="Book Antiqua" w:eastAsia="宋体" w:hAnsi="Book Antiqua"/>
          <w:lang w:eastAsia="zh-CN"/>
        </w:rPr>
      </w:pPr>
    </w:p>
    <w:p w14:paraId="4A258812" w14:textId="77777777" w:rsidR="00C238BA" w:rsidRPr="001F3737" w:rsidRDefault="00C238BA" w:rsidP="001F3737">
      <w:pPr>
        <w:pStyle w:val="MajorSectionHeading"/>
        <w:spacing w:line="360" w:lineRule="auto"/>
        <w:jc w:val="both"/>
        <w:rPr>
          <w:rFonts w:ascii="Book Antiqua" w:hAnsi="Book Antiqua"/>
        </w:rPr>
      </w:pPr>
      <w:r w:rsidRPr="001F3737">
        <w:rPr>
          <w:rFonts w:ascii="Book Antiqua" w:hAnsi="Book Antiqua"/>
        </w:rPr>
        <w:lastRenderedPageBreak/>
        <w:t>INTRODUCTION</w:t>
      </w:r>
    </w:p>
    <w:p w14:paraId="1CE1E47F" w14:textId="1A1F5E50" w:rsidR="00C238BA" w:rsidRPr="001F3737" w:rsidRDefault="00C238BA" w:rsidP="001F3737">
      <w:pPr>
        <w:spacing w:line="360" w:lineRule="auto"/>
        <w:jc w:val="both"/>
        <w:rPr>
          <w:rFonts w:ascii="Book Antiqua" w:eastAsia="宋体" w:hAnsi="Book Antiqua"/>
          <w:lang w:eastAsia="zh-CN"/>
        </w:rPr>
      </w:pPr>
      <w:r w:rsidRPr="001F3737">
        <w:rPr>
          <w:rFonts w:ascii="Book Antiqua" w:hAnsi="Book Antiqua"/>
        </w:rPr>
        <w:t>Liver resection remains the only curative treatment for primary and metastatic liver malignancy. However, despite advances in surgical technique over the past two decades, blood transfusions are still required in a proportion of patients undergoing liver resection (3.3%</w:t>
      </w:r>
      <w:r w:rsidR="003E1BF5" w:rsidRPr="001F3737">
        <w:rPr>
          <w:rFonts w:ascii="Book Antiqua" w:eastAsia="宋体" w:hAnsi="Book Antiqua"/>
          <w:lang w:eastAsia="zh-CN"/>
        </w:rPr>
        <w:t>-</w:t>
      </w:r>
      <w:r w:rsidRPr="001F3737">
        <w:rPr>
          <w:rFonts w:ascii="Book Antiqua" w:hAnsi="Book Antiqua"/>
        </w:rPr>
        <w:t>59%), varying by the extent of the procedure and device combinations used</w:t>
      </w:r>
      <w:r w:rsidRPr="001F3737">
        <w:rPr>
          <w:rFonts w:ascii="Book Antiqua" w:hAnsi="Book Antiqua"/>
        </w:rPr>
        <w:fldChar w:fldCharType="begin"/>
      </w:r>
      <w:r w:rsidRPr="001F3737">
        <w:rPr>
          <w:rFonts w:ascii="Book Antiqua" w:hAnsi="Book Antiqua"/>
        </w:rPr>
        <w:instrText>ADDIN BEC{Guo et al., 2014, #99934; Ikeda et al., 2009, #25204; Nanashima et al., 2013, #64687; Saiura et al., 2006, #13879; Xia et al., 2008, #85342}</w:instrText>
      </w:r>
      <w:r w:rsidRPr="001F3737">
        <w:rPr>
          <w:rFonts w:ascii="Book Antiqua" w:hAnsi="Book Antiqua"/>
        </w:rPr>
        <w:fldChar w:fldCharType="separate"/>
      </w:r>
      <w:r w:rsidRPr="001F3737">
        <w:rPr>
          <w:rFonts w:ascii="Book Antiqua" w:hAnsi="Book Antiqua"/>
          <w:vertAlign w:val="superscript"/>
        </w:rPr>
        <w:t>[1–5]</w:t>
      </w:r>
      <w:r w:rsidRPr="001F3737">
        <w:rPr>
          <w:rFonts w:ascii="Book Antiqua" w:hAnsi="Book Antiqua"/>
        </w:rPr>
        <w:fldChar w:fldCharType="end"/>
      </w:r>
      <w:r w:rsidR="003E1BF5" w:rsidRPr="001F3737">
        <w:rPr>
          <w:rFonts w:ascii="Book Antiqua" w:eastAsia="宋体" w:hAnsi="Book Antiqua"/>
          <w:lang w:eastAsia="zh-CN"/>
        </w:rPr>
        <w:t xml:space="preserve">. </w:t>
      </w:r>
      <w:r w:rsidRPr="001F3737">
        <w:rPr>
          <w:rFonts w:ascii="Book Antiqua" w:hAnsi="Book Antiqua"/>
        </w:rPr>
        <w:t>Predictors of transfusion include factors related to the operative procedure (resection technique, extent of resection, tumor size, need for other major resections during the same hospitalization) as well as patient-specific characteristics (pre-operative hemoglobin and albumin levels, pre-operative biliary drainage, and diagnosis of a primary liver tumor, coronary artery disease, or cirrhosis)</w:t>
      </w:r>
      <w:r w:rsidRPr="001F3737">
        <w:rPr>
          <w:rFonts w:ascii="Book Antiqua" w:hAnsi="Book Antiqua"/>
        </w:rPr>
        <w:fldChar w:fldCharType="begin"/>
      </w:r>
      <w:r w:rsidRPr="001F3737">
        <w:rPr>
          <w:rFonts w:ascii="Book Antiqua" w:hAnsi="Book Antiqua"/>
        </w:rPr>
        <w:instrText>ADDIN BEC{Cockbain et al., 2010, #2; Lucas et al., 2014, #3; Pulitano et al., 2007, #4; Sima et al., 2009, #5}</w:instrText>
      </w:r>
      <w:r w:rsidRPr="001F3737">
        <w:rPr>
          <w:rFonts w:ascii="Book Antiqua" w:hAnsi="Book Antiqua"/>
        </w:rPr>
        <w:fldChar w:fldCharType="separate"/>
      </w:r>
      <w:r w:rsidRPr="001F3737">
        <w:rPr>
          <w:rFonts w:ascii="Book Antiqua" w:hAnsi="Book Antiqua"/>
          <w:vertAlign w:val="superscript"/>
        </w:rPr>
        <w:t>[6–9]</w:t>
      </w:r>
      <w:r w:rsidRPr="001F3737">
        <w:rPr>
          <w:rFonts w:ascii="Book Antiqua" w:hAnsi="Book Antiqua"/>
        </w:rPr>
        <w:fldChar w:fldCharType="end"/>
      </w:r>
      <w:r w:rsidR="003E1BF5" w:rsidRPr="001F3737">
        <w:rPr>
          <w:rFonts w:ascii="Book Antiqua" w:eastAsia="宋体" w:hAnsi="Book Antiqua"/>
          <w:lang w:eastAsia="zh-CN"/>
        </w:rPr>
        <w:t>.</w:t>
      </w:r>
    </w:p>
    <w:p w14:paraId="3BB85937" w14:textId="18BE9369" w:rsidR="00C238BA" w:rsidRPr="001F3737" w:rsidRDefault="00C238BA" w:rsidP="001F3737">
      <w:pPr>
        <w:spacing w:line="360" w:lineRule="auto"/>
        <w:ind w:firstLineChars="150" w:firstLine="360"/>
        <w:jc w:val="both"/>
        <w:rPr>
          <w:rFonts w:ascii="Book Antiqua" w:eastAsia="宋体" w:hAnsi="Book Antiqua"/>
          <w:lang w:eastAsia="zh-CN"/>
        </w:rPr>
      </w:pPr>
      <w:r w:rsidRPr="001F3737">
        <w:rPr>
          <w:rFonts w:ascii="Book Antiqua" w:hAnsi="Book Antiqua"/>
        </w:rPr>
        <w:t>The most serious complication associated with transfusion, beyond simple transfusion-related reactions or immunomodulatory effects, is the increased risk of tumor recurrence</w:t>
      </w:r>
      <w:r w:rsidRPr="001F3737">
        <w:rPr>
          <w:rFonts w:ascii="Book Antiqua" w:hAnsi="Book Antiqua"/>
        </w:rPr>
        <w:fldChar w:fldCharType="begin"/>
      </w:r>
      <w:r w:rsidRPr="001F3737">
        <w:rPr>
          <w:rFonts w:ascii="Book Antiqua" w:hAnsi="Book Antiqua"/>
        </w:rPr>
        <w:instrText>ADDIN BEC{Cockbain et al., 2010, #2; Liu et al., 2013, #75627; Pulitano et al., 2007, #4; Sima et al., 2009, #5}</w:instrText>
      </w:r>
      <w:r w:rsidRPr="001F3737">
        <w:rPr>
          <w:rFonts w:ascii="Book Antiqua" w:hAnsi="Book Antiqua"/>
        </w:rPr>
        <w:fldChar w:fldCharType="separate"/>
      </w:r>
      <w:r w:rsidRPr="001F3737">
        <w:rPr>
          <w:rFonts w:ascii="Book Antiqua" w:hAnsi="Book Antiqua"/>
          <w:vertAlign w:val="superscript"/>
        </w:rPr>
        <w:t>[6,8–10]</w:t>
      </w:r>
      <w:r w:rsidRPr="001F3737">
        <w:rPr>
          <w:rFonts w:ascii="Book Antiqua" w:hAnsi="Book Antiqua"/>
        </w:rPr>
        <w:fldChar w:fldCharType="end"/>
      </w:r>
      <w:r w:rsidR="003E1BF5" w:rsidRPr="001F3737">
        <w:rPr>
          <w:rFonts w:ascii="Book Antiqua" w:eastAsia="宋体" w:hAnsi="Book Antiqua"/>
          <w:lang w:eastAsia="zh-CN"/>
        </w:rPr>
        <w:t xml:space="preserve">. </w:t>
      </w:r>
      <w:r w:rsidRPr="001F3737">
        <w:rPr>
          <w:rFonts w:ascii="Book Antiqua" w:hAnsi="Book Antiqua"/>
        </w:rPr>
        <w:t>In a meta-analysis of 22 studies evaluating the impact of perioperative allogenic blood transfusion on long term outcomes following hepatocellular carcinoma (HCC) resection, authors found the risk of tumor recurrence was significantly higher among patients with a transfusion at one (OR = 1.70</w:t>
      </w:r>
      <w:r w:rsidR="003E1BF5" w:rsidRPr="001F3737">
        <w:rPr>
          <w:rFonts w:ascii="Book Antiqua" w:eastAsia="宋体" w:hAnsi="Book Antiqua"/>
          <w:lang w:eastAsia="zh-CN"/>
        </w:rPr>
        <w:t xml:space="preserve">, </w:t>
      </w:r>
      <w:r w:rsidR="003E1BF5" w:rsidRPr="001F3737">
        <w:rPr>
          <w:rFonts w:ascii="Book Antiqua" w:hAnsi="Book Antiqua"/>
        </w:rPr>
        <w:t>95%CI</w:t>
      </w:r>
      <w:r w:rsidR="003E1BF5" w:rsidRPr="001F3737">
        <w:rPr>
          <w:rFonts w:ascii="Book Antiqua" w:eastAsia="宋体" w:hAnsi="Book Antiqua"/>
          <w:lang w:eastAsia="zh-CN"/>
        </w:rPr>
        <w:t>:</w:t>
      </w:r>
      <w:r w:rsidR="003E1BF5" w:rsidRPr="001F3737">
        <w:rPr>
          <w:rFonts w:ascii="Book Antiqua" w:hAnsi="Book Antiqua"/>
        </w:rPr>
        <w:t xml:space="preserve"> </w:t>
      </w:r>
      <w:r w:rsidRPr="001F3737">
        <w:rPr>
          <w:rFonts w:ascii="Book Antiqua" w:hAnsi="Book Antiqua"/>
        </w:rPr>
        <w:t>1.</w:t>
      </w:r>
      <w:r w:rsidR="003E1BF5" w:rsidRPr="001F3737">
        <w:rPr>
          <w:rFonts w:ascii="Book Antiqua" w:hAnsi="Book Antiqua"/>
        </w:rPr>
        <w:t>38-1.10), three (OR = 1.22</w:t>
      </w:r>
      <w:r w:rsidR="003E1BF5" w:rsidRPr="001F3737">
        <w:rPr>
          <w:rFonts w:ascii="Book Antiqua" w:eastAsia="宋体" w:hAnsi="Book Antiqua"/>
          <w:lang w:eastAsia="zh-CN"/>
        </w:rPr>
        <w:t xml:space="preserve">, </w:t>
      </w:r>
      <w:r w:rsidR="003E1BF5" w:rsidRPr="001F3737">
        <w:rPr>
          <w:rFonts w:ascii="Book Antiqua" w:hAnsi="Book Antiqua"/>
        </w:rPr>
        <w:t>95%</w:t>
      </w:r>
      <w:r w:rsidRPr="001F3737">
        <w:rPr>
          <w:rFonts w:ascii="Book Antiqua" w:hAnsi="Book Antiqua"/>
        </w:rPr>
        <w:t>CI</w:t>
      </w:r>
      <w:r w:rsidR="003E1BF5" w:rsidRPr="001F3737">
        <w:rPr>
          <w:rFonts w:ascii="Book Antiqua" w:eastAsia="宋体" w:hAnsi="Book Antiqua"/>
          <w:lang w:eastAsia="zh-CN"/>
        </w:rPr>
        <w:t>:</w:t>
      </w:r>
      <w:r w:rsidRPr="001F3737">
        <w:rPr>
          <w:rFonts w:ascii="Book Antiqua" w:hAnsi="Book Antiqua"/>
        </w:rPr>
        <w:t xml:space="preserve"> 1.08-1.38), and five years (OR = 1.16</w:t>
      </w:r>
      <w:r w:rsidR="003E1BF5" w:rsidRPr="001F3737">
        <w:rPr>
          <w:rFonts w:ascii="Book Antiqua" w:eastAsia="宋体" w:hAnsi="Book Antiqua"/>
          <w:lang w:eastAsia="zh-CN"/>
        </w:rPr>
        <w:t>,</w:t>
      </w:r>
      <w:r w:rsidRPr="001F3737">
        <w:rPr>
          <w:rFonts w:ascii="Book Antiqua" w:hAnsi="Book Antiqua"/>
        </w:rPr>
        <w:t xml:space="preserve"> </w:t>
      </w:r>
      <w:r w:rsidR="003E1BF5" w:rsidRPr="001F3737">
        <w:rPr>
          <w:rFonts w:ascii="Book Antiqua" w:hAnsi="Book Antiqua"/>
        </w:rPr>
        <w:t>95%CI</w:t>
      </w:r>
      <w:r w:rsidR="003E1BF5" w:rsidRPr="001F3737">
        <w:rPr>
          <w:rFonts w:ascii="Book Antiqua" w:eastAsia="宋体" w:hAnsi="Book Antiqua"/>
          <w:lang w:eastAsia="zh-CN"/>
        </w:rPr>
        <w:t>:</w:t>
      </w:r>
      <w:r w:rsidR="003E1BF5" w:rsidRPr="001F3737">
        <w:rPr>
          <w:rFonts w:ascii="Book Antiqua" w:hAnsi="Book Antiqua"/>
        </w:rPr>
        <w:t xml:space="preserve"> </w:t>
      </w:r>
      <w:r w:rsidRPr="001F3737">
        <w:rPr>
          <w:rFonts w:ascii="Book Antiqua" w:hAnsi="Book Antiqua"/>
        </w:rPr>
        <w:t>1.08-1.24) post-resection compared with patients with no transfusion. This finding was confirmed in a Cochrane meta-analysis evaluating the risk of cancer recurrence following surgery for colorectal cancer among patients with versus without receipt of a transfusion.</w:t>
      </w:r>
      <w:r w:rsidRPr="001F3737">
        <w:rPr>
          <w:rFonts w:ascii="Book Antiqua" w:hAnsi="Book Antiqua"/>
        </w:rPr>
        <w:fldChar w:fldCharType="begin"/>
      </w:r>
      <w:r w:rsidRPr="001F3737">
        <w:rPr>
          <w:rFonts w:ascii="Book Antiqua" w:hAnsi="Book Antiqua"/>
        </w:rPr>
        <w:instrText>ADDIN BEC{Amato and Pescatori, 2006, #40013}</w:instrText>
      </w:r>
      <w:r w:rsidRPr="001F3737">
        <w:rPr>
          <w:rFonts w:ascii="Book Antiqua" w:hAnsi="Book Antiqua"/>
        </w:rPr>
        <w:fldChar w:fldCharType="separate"/>
      </w:r>
      <w:r w:rsidRPr="001F3737">
        <w:rPr>
          <w:rFonts w:ascii="Book Antiqua" w:hAnsi="Book Antiqua"/>
          <w:vertAlign w:val="superscript"/>
        </w:rPr>
        <w:t>[11]</w:t>
      </w:r>
      <w:r w:rsidRPr="001F3737">
        <w:rPr>
          <w:rFonts w:ascii="Book Antiqua" w:hAnsi="Book Antiqua"/>
        </w:rPr>
        <w:fldChar w:fldCharType="end"/>
      </w:r>
      <w:r w:rsidRPr="001F3737">
        <w:rPr>
          <w:rFonts w:ascii="Book Antiqua" w:hAnsi="Book Antiqua"/>
        </w:rPr>
        <w:t xml:space="preserve"> These studies suggest that transfusion may result in immunosuppression in the early postoperative period, which could allow for the progression of residual carcinoma and influence survival</w:t>
      </w:r>
      <w:r w:rsidRPr="001F3737">
        <w:rPr>
          <w:rFonts w:ascii="Book Antiqua" w:hAnsi="Book Antiqua"/>
        </w:rPr>
        <w:fldChar w:fldCharType="begin"/>
      </w:r>
      <w:r w:rsidRPr="001F3737">
        <w:rPr>
          <w:rFonts w:ascii="Book Antiqua" w:hAnsi="Book Antiqua"/>
        </w:rPr>
        <w:instrText>ADDIN BEC{Sugita et al., 2008, #6}</w:instrText>
      </w:r>
      <w:r w:rsidRPr="001F3737">
        <w:rPr>
          <w:rFonts w:ascii="Book Antiqua" w:hAnsi="Book Antiqua"/>
        </w:rPr>
        <w:fldChar w:fldCharType="separate"/>
      </w:r>
      <w:r w:rsidRPr="001F3737">
        <w:rPr>
          <w:rFonts w:ascii="Book Antiqua" w:hAnsi="Book Antiqua"/>
          <w:vertAlign w:val="superscript"/>
        </w:rPr>
        <w:t>[12]</w:t>
      </w:r>
      <w:r w:rsidRPr="001F3737">
        <w:rPr>
          <w:rFonts w:ascii="Book Antiqua" w:hAnsi="Book Antiqua"/>
        </w:rPr>
        <w:fldChar w:fldCharType="end"/>
      </w:r>
      <w:r w:rsidR="003E1BF5" w:rsidRPr="001F3737">
        <w:rPr>
          <w:rFonts w:ascii="Book Antiqua" w:eastAsia="宋体" w:hAnsi="Book Antiqua"/>
          <w:lang w:eastAsia="zh-CN"/>
        </w:rPr>
        <w:t>.</w:t>
      </w:r>
    </w:p>
    <w:p w14:paraId="758D7EA9" w14:textId="5D58288F" w:rsidR="00C238BA" w:rsidRPr="001F3737" w:rsidRDefault="00C238BA" w:rsidP="001F3737">
      <w:pPr>
        <w:spacing w:line="360" w:lineRule="auto"/>
        <w:ind w:firstLineChars="100" w:firstLine="240"/>
        <w:jc w:val="both"/>
        <w:rPr>
          <w:rFonts w:ascii="Book Antiqua" w:eastAsia="宋体" w:hAnsi="Book Antiqua"/>
          <w:lang w:eastAsia="zh-CN"/>
        </w:rPr>
      </w:pPr>
      <w:r w:rsidRPr="001F3737">
        <w:rPr>
          <w:rFonts w:ascii="Book Antiqua" w:hAnsi="Book Antiqua"/>
        </w:rPr>
        <w:t>Prior research has demonstrated the effects of surgical technique, peri-operative blood management protocols, and use of surgical technologies on the risk of transfusion</w:t>
      </w:r>
      <w:r w:rsidRPr="001F3737">
        <w:rPr>
          <w:rFonts w:ascii="Book Antiqua" w:hAnsi="Book Antiqua"/>
        </w:rPr>
        <w:fldChar w:fldCharType="begin"/>
      </w:r>
      <w:r w:rsidRPr="001F3737">
        <w:rPr>
          <w:rFonts w:ascii="Book Antiqua" w:hAnsi="Book Antiqua"/>
        </w:rPr>
        <w:instrText>ADDIN BEC{Guo et al., 2014, #99934; Ikeda et al., 2009, #25204; Nanashima et al., 2013, #64687; Saiura et al., 2006, #13879; Xia et al., 2008, #85342}</w:instrText>
      </w:r>
      <w:r w:rsidRPr="001F3737">
        <w:rPr>
          <w:rFonts w:ascii="Book Antiqua" w:hAnsi="Book Antiqua"/>
        </w:rPr>
        <w:fldChar w:fldCharType="separate"/>
      </w:r>
      <w:r w:rsidRPr="001F3737">
        <w:rPr>
          <w:rFonts w:ascii="Book Antiqua" w:hAnsi="Book Antiqua"/>
          <w:vertAlign w:val="superscript"/>
        </w:rPr>
        <w:t>[1–5]</w:t>
      </w:r>
      <w:r w:rsidRPr="001F3737">
        <w:rPr>
          <w:rFonts w:ascii="Book Antiqua" w:hAnsi="Book Antiqua"/>
        </w:rPr>
        <w:fldChar w:fldCharType="end"/>
      </w:r>
      <w:r w:rsidR="003E1BF5" w:rsidRPr="001F3737">
        <w:rPr>
          <w:rFonts w:ascii="Book Antiqua" w:eastAsia="宋体" w:hAnsi="Book Antiqua"/>
          <w:lang w:eastAsia="zh-CN"/>
        </w:rPr>
        <w:t xml:space="preserve">. </w:t>
      </w:r>
      <w:r w:rsidRPr="001F3737">
        <w:rPr>
          <w:rFonts w:ascii="Book Antiqua" w:hAnsi="Book Antiqua"/>
        </w:rPr>
        <w:t>Peri-operatively, studies have examined autologous blood donation, intravenous iron therapy, and strict transfusion protocols. Intraoperatively, other studies have examined the effects of clamping the hepatic artery and portal vein (</w:t>
      </w:r>
      <w:r w:rsidRPr="001F3737">
        <w:rPr>
          <w:rFonts w:ascii="Book Antiqua" w:hAnsi="Book Antiqua"/>
          <w:i/>
        </w:rPr>
        <w:t>i.e.</w:t>
      </w:r>
      <w:r w:rsidR="003E1BF5" w:rsidRPr="001F3737">
        <w:rPr>
          <w:rFonts w:ascii="Book Antiqua" w:eastAsia="宋体" w:hAnsi="Book Antiqua"/>
          <w:i/>
          <w:lang w:eastAsia="zh-CN"/>
        </w:rPr>
        <w:t>,</w:t>
      </w:r>
      <w:r w:rsidRPr="001F3737">
        <w:rPr>
          <w:rFonts w:ascii="Book Antiqua" w:hAnsi="Book Antiqua"/>
          <w:i/>
        </w:rPr>
        <w:t xml:space="preserve"> </w:t>
      </w:r>
      <w:r w:rsidRPr="001F3737">
        <w:rPr>
          <w:rFonts w:ascii="Book Antiqua" w:hAnsi="Book Antiqua"/>
        </w:rPr>
        <w:t xml:space="preserve">Pringle’s Maneuver), topical hemostatic agents, and use of technologies such as the Cavitron Ultrasonic Surgical Aspirator (CUSA), saline-coupled bipolar sealer (SCBS), </w:t>
      </w:r>
      <w:r w:rsidRPr="001F3737">
        <w:rPr>
          <w:rFonts w:ascii="Book Antiqua" w:hAnsi="Book Antiqua"/>
        </w:rPr>
        <w:lastRenderedPageBreak/>
        <w:t>argon beam coagulation (ABC), harmonic scalpel, bipolar scissors, vessel sealers, cell saver systems, and hydrodissector</w:t>
      </w:r>
      <w:r w:rsidRPr="001F3737">
        <w:rPr>
          <w:rFonts w:ascii="Book Antiqua" w:hAnsi="Book Antiqua"/>
        </w:rPr>
        <w:fldChar w:fldCharType="begin"/>
      </w:r>
      <w:r w:rsidRPr="001F3737">
        <w:rPr>
          <w:rFonts w:ascii="Book Antiqua" w:hAnsi="Book Antiqua"/>
        </w:rPr>
        <w:instrText>ADDIN BEC{Felekouras et al., 2014, #21}</w:instrText>
      </w:r>
      <w:r w:rsidRPr="001F3737">
        <w:rPr>
          <w:rFonts w:ascii="Book Antiqua" w:hAnsi="Book Antiqua"/>
        </w:rPr>
        <w:fldChar w:fldCharType="separate"/>
      </w:r>
      <w:r w:rsidRPr="001F3737">
        <w:rPr>
          <w:rFonts w:ascii="Book Antiqua" w:hAnsi="Book Antiqua"/>
          <w:vertAlign w:val="superscript"/>
        </w:rPr>
        <w:t>[13]</w:t>
      </w:r>
      <w:r w:rsidRPr="001F3737">
        <w:rPr>
          <w:rFonts w:ascii="Book Antiqua" w:hAnsi="Book Antiqua"/>
        </w:rPr>
        <w:fldChar w:fldCharType="end"/>
      </w:r>
      <w:r w:rsidR="003E1BF5" w:rsidRPr="001F3737">
        <w:rPr>
          <w:rFonts w:ascii="Book Antiqua" w:eastAsia="宋体" w:hAnsi="Book Antiqua"/>
          <w:lang w:eastAsia="zh-CN"/>
        </w:rPr>
        <w:t xml:space="preserve">. </w:t>
      </w:r>
      <w:r w:rsidRPr="001F3737">
        <w:rPr>
          <w:rFonts w:ascii="Book Antiqua" w:hAnsi="Book Antiqua"/>
        </w:rPr>
        <w:t>The majority of these studies examined clinical outcomes alone, with few examining the total cost of the procedure or incremental costs associated with complications. Two prior high-quality cost studies applied a novel methodology, deviation-based cost modeling (DBCM), however the primary comparison was of open versus laparoscopic approach rather than specific surgical technologies utilized during the procedure</w:t>
      </w:r>
      <w:r w:rsidRPr="001F3737">
        <w:rPr>
          <w:rFonts w:ascii="Book Antiqua" w:hAnsi="Book Antiqua"/>
        </w:rPr>
        <w:fldChar w:fldCharType="begin"/>
      </w:r>
      <w:r w:rsidRPr="001F3737">
        <w:rPr>
          <w:rFonts w:ascii="Book Antiqua" w:hAnsi="Book Antiqua"/>
        </w:rPr>
        <w:instrText>ADDIN BEC{Cannon et al., 2013, #15; Vanounou et al., 2010, #14}</w:instrText>
      </w:r>
      <w:r w:rsidRPr="001F3737">
        <w:rPr>
          <w:rFonts w:ascii="Book Antiqua" w:hAnsi="Book Antiqua"/>
        </w:rPr>
        <w:fldChar w:fldCharType="separate"/>
      </w:r>
      <w:r w:rsidRPr="001F3737">
        <w:rPr>
          <w:rFonts w:ascii="Book Antiqua" w:hAnsi="Book Antiqua"/>
          <w:vertAlign w:val="superscript"/>
        </w:rPr>
        <w:t>[14,15]</w:t>
      </w:r>
      <w:r w:rsidRPr="001F3737">
        <w:rPr>
          <w:rFonts w:ascii="Book Antiqua" w:hAnsi="Book Antiqua"/>
        </w:rPr>
        <w:fldChar w:fldCharType="end"/>
      </w:r>
      <w:r w:rsidR="003E1BF5" w:rsidRPr="001F3737">
        <w:rPr>
          <w:rFonts w:ascii="Book Antiqua" w:eastAsia="宋体" w:hAnsi="Book Antiqua"/>
          <w:lang w:eastAsia="zh-CN"/>
        </w:rPr>
        <w:t>.</w:t>
      </w:r>
    </w:p>
    <w:p w14:paraId="69A8951F" w14:textId="77777777" w:rsidR="00C238BA" w:rsidRPr="001F3737" w:rsidRDefault="00C238BA" w:rsidP="001F3737">
      <w:pPr>
        <w:spacing w:line="360" w:lineRule="auto"/>
        <w:ind w:firstLineChars="100" w:firstLine="240"/>
        <w:jc w:val="both"/>
        <w:rPr>
          <w:rFonts w:ascii="Book Antiqua" w:hAnsi="Book Antiqua"/>
        </w:rPr>
      </w:pPr>
      <w:r w:rsidRPr="001F3737">
        <w:rPr>
          <w:rFonts w:ascii="Book Antiqua" w:hAnsi="Book Antiqua"/>
        </w:rPr>
        <w:t>Given that few studies to date summarize total direct hospitalization costs by choice of surgical technology during hepatic resection, we sought to examine the resource use and costs by technology choice. Specifically, in the present study we evaluated the clinical and economic outcomes associated with the SCBS during open partial liver resections, using real-world data from a nationally representative US claims database.</w:t>
      </w:r>
    </w:p>
    <w:p w14:paraId="036DB469" w14:textId="77777777" w:rsidR="00C238BA" w:rsidRPr="001F3737" w:rsidRDefault="00C238BA" w:rsidP="001F3737">
      <w:pPr>
        <w:spacing w:line="360" w:lineRule="auto"/>
        <w:jc w:val="both"/>
        <w:rPr>
          <w:rFonts w:ascii="Book Antiqua" w:hAnsi="Book Antiqua"/>
        </w:rPr>
      </w:pPr>
    </w:p>
    <w:p w14:paraId="0CB43E5F" w14:textId="77777777" w:rsidR="003E1BF5" w:rsidRPr="001F3737" w:rsidRDefault="003E1BF5" w:rsidP="001F3737">
      <w:pPr>
        <w:spacing w:line="360" w:lineRule="auto"/>
        <w:jc w:val="both"/>
        <w:rPr>
          <w:rFonts w:ascii="Book Antiqua" w:hAnsi="Book Antiqua"/>
          <w:b/>
        </w:rPr>
      </w:pPr>
      <w:bookmarkStart w:id="45" w:name="OLE_LINK337"/>
      <w:bookmarkStart w:id="46" w:name="OLE_LINK338"/>
      <w:bookmarkStart w:id="47" w:name="OLE_LINK378"/>
      <w:bookmarkStart w:id="48" w:name="OLE_LINK388"/>
      <w:bookmarkStart w:id="49" w:name="OLE_LINK394"/>
      <w:r w:rsidRPr="001F3737">
        <w:rPr>
          <w:rFonts w:ascii="Book Antiqua" w:hAnsi="Book Antiqua"/>
          <w:b/>
        </w:rPr>
        <w:t>MATERIALS AND METHODS</w:t>
      </w:r>
    </w:p>
    <w:bookmarkEnd w:id="45"/>
    <w:bookmarkEnd w:id="46"/>
    <w:bookmarkEnd w:id="47"/>
    <w:bookmarkEnd w:id="48"/>
    <w:bookmarkEnd w:id="49"/>
    <w:p w14:paraId="280A8BA9" w14:textId="481A3320" w:rsidR="00C238BA" w:rsidRPr="001F3737" w:rsidRDefault="00C238BA" w:rsidP="001F3737">
      <w:pPr>
        <w:pStyle w:val="Heading2"/>
        <w:spacing w:line="360" w:lineRule="auto"/>
        <w:jc w:val="both"/>
        <w:rPr>
          <w:rFonts w:ascii="Book Antiqua" w:hAnsi="Book Antiqua"/>
          <w:i/>
        </w:rPr>
      </w:pPr>
      <w:r w:rsidRPr="001F3737">
        <w:rPr>
          <w:rFonts w:ascii="Book Antiqua" w:hAnsi="Book Antiqua"/>
          <w:i/>
        </w:rPr>
        <w:t xml:space="preserve">Data </w:t>
      </w:r>
      <w:r w:rsidR="003E1BF5" w:rsidRPr="001F3737">
        <w:rPr>
          <w:rFonts w:ascii="Book Antiqua" w:hAnsi="Book Antiqua"/>
          <w:i/>
        </w:rPr>
        <w:t>source and patient population</w:t>
      </w:r>
    </w:p>
    <w:p w14:paraId="379C930F" w14:textId="6F44AFA6" w:rsidR="00C238BA" w:rsidRPr="001F3737" w:rsidRDefault="00C238BA" w:rsidP="001F3737">
      <w:pPr>
        <w:spacing w:line="360" w:lineRule="auto"/>
        <w:jc w:val="both"/>
        <w:rPr>
          <w:rFonts w:ascii="Book Antiqua" w:hAnsi="Book Antiqua"/>
        </w:rPr>
      </w:pPr>
      <w:r w:rsidRPr="001F3737">
        <w:rPr>
          <w:rFonts w:ascii="Book Antiqua" w:hAnsi="Book Antiqua"/>
        </w:rPr>
        <w:t xml:space="preserve">This retrospective database analysis reviewed recent healthcare insurance claims data from the Premier Perspective database (Premier Inc., Charlotte, NC). Data were analyzed over the period 01/2010 to 06/2014. The database includes information on patient demographics, diagnosis and procedure codes, and cost information for over 2,000 hospitals and 300 million patient encounters. This database is limited to the inpatient period, with no ability to track patients longitudinally in follow-up. The Premier database allows for tracking of total hospitalization cost information on a per-patient basis. However, the inherent tradeoff of working with retrospective claims data is the reliance on ICD-9 diagnosis and procedure codes to identify liver resections – with the codes providing no information on the specific number of segments, lobes, or tissue volume resected. Given this study used de-identified patient data, it was not subject to Institutional Review Board (IRB) approval. </w:t>
      </w:r>
      <w:r w:rsidR="00B9735E" w:rsidRPr="001F3737">
        <w:rPr>
          <w:rFonts w:ascii="Book Antiqua" w:hAnsi="Book Antiqua"/>
        </w:rPr>
        <w:t xml:space="preserve">The study dataset and full study tables are available from the corresponding author.  </w:t>
      </w:r>
    </w:p>
    <w:p w14:paraId="1B5918B9" w14:textId="7F222A6D" w:rsidR="00C238BA" w:rsidRPr="001F3737" w:rsidRDefault="00C238BA" w:rsidP="001F3737">
      <w:pPr>
        <w:spacing w:line="360" w:lineRule="auto"/>
        <w:ind w:firstLineChars="150" w:firstLine="360"/>
        <w:jc w:val="both"/>
        <w:rPr>
          <w:rFonts w:ascii="Book Antiqua" w:hAnsi="Book Antiqua"/>
        </w:rPr>
      </w:pPr>
      <w:r w:rsidRPr="001F3737">
        <w:rPr>
          <w:rFonts w:ascii="Book Antiqua" w:hAnsi="Book Antiqua"/>
        </w:rPr>
        <w:t xml:space="preserve">Patients age 18 and older with records included International Classification of Diseases (ICD-9-CM) or Current Procedural Technology (CPT) procedure codes for </w:t>
      </w:r>
      <w:r w:rsidRPr="001F3737">
        <w:rPr>
          <w:rFonts w:ascii="Book Antiqua" w:hAnsi="Book Antiqua"/>
        </w:rPr>
        <w:lastRenderedPageBreak/>
        <w:t>liver resection during a hospitalization episode (50.22 – partial hepatectomy or 50.3</w:t>
      </w:r>
      <w:r w:rsidR="00CC1953">
        <w:rPr>
          <w:rFonts w:ascii="Book Antiqua" w:eastAsia="宋体" w:hAnsi="Book Antiqua" w:hint="eastAsia"/>
          <w:lang w:eastAsia="zh-CN"/>
        </w:rPr>
        <w:t xml:space="preserve"> </w:t>
      </w:r>
      <w:r w:rsidRPr="001F3737">
        <w:rPr>
          <w:rFonts w:ascii="Book Antiqua" w:hAnsi="Book Antiqua"/>
        </w:rPr>
        <w:t>x – lobectomy), accompanied by a diagnosis code for primary malignant neoplasm of the liver (155.0x) or metastatic neoplasm of the liver (197.7</w:t>
      </w:r>
      <w:r w:rsidR="00CC1953">
        <w:rPr>
          <w:rFonts w:ascii="Book Antiqua" w:eastAsia="宋体" w:hAnsi="Book Antiqua" w:hint="eastAsia"/>
          <w:lang w:eastAsia="zh-CN"/>
        </w:rPr>
        <w:t xml:space="preserve"> </w:t>
      </w:r>
      <w:r w:rsidRPr="001F3737">
        <w:rPr>
          <w:rFonts w:ascii="Book Antiqua" w:hAnsi="Book Antiqua"/>
        </w:rPr>
        <w:t>x), were selected. Those with benign neoplasms (211.5</w:t>
      </w:r>
      <w:r w:rsidR="00CC1953">
        <w:rPr>
          <w:rFonts w:ascii="Book Antiqua" w:eastAsia="宋体" w:hAnsi="Book Antiqua" w:hint="eastAsia"/>
          <w:lang w:eastAsia="zh-CN"/>
        </w:rPr>
        <w:t xml:space="preserve"> </w:t>
      </w:r>
      <w:r w:rsidRPr="001F3737">
        <w:rPr>
          <w:rFonts w:ascii="Book Antiqua" w:hAnsi="Book Antiqua"/>
        </w:rPr>
        <w:t>x) were excluded to reduce the potential confounding effects of different liver pathology and bleeding risk. Total liver resection and transplant procedures were excluded. Operations using ablation procedures or laparoscopic approaches (as identified by ICD-9-CM codes and key terms in Premier Chargemaster records) were excluded due to the high cost of these procedures and</w:t>
      </w:r>
      <w:r w:rsidRPr="001F3737" w:rsidDel="00DD4F87">
        <w:rPr>
          <w:rFonts w:ascii="Book Antiqua" w:hAnsi="Book Antiqua"/>
        </w:rPr>
        <w:t xml:space="preserve"> </w:t>
      </w:r>
      <w:r w:rsidRPr="001F3737">
        <w:rPr>
          <w:rFonts w:ascii="Book Antiqua" w:hAnsi="Book Antiqua"/>
        </w:rPr>
        <w:t xml:space="preserve">to better isolate the effects of SCBS use. Open SCBS device use was identified by the hospital Chargemaster file; laparoscopic SCBS models were excluded. </w:t>
      </w:r>
    </w:p>
    <w:p w14:paraId="22EE63B4" w14:textId="77777777" w:rsidR="00C238BA" w:rsidRPr="001F3737" w:rsidRDefault="00C238BA" w:rsidP="001F3737">
      <w:pPr>
        <w:pStyle w:val="Heading2"/>
        <w:keepNext w:val="0"/>
        <w:spacing w:line="360" w:lineRule="auto"/>
        <w:ind w:firstLineChars="100" w:firstLine="240"/>
        <w:jc w:val="both"/>
        <w:rPr>
          <w:rFonts w:ascii="Book Antiqua" w:hAnsi="Book Antiqua"/>
          <w:b w:val="0"/>
        </w:rPr>
      </w:pPr>
      <w:r w:rsidRPr="001F3737">
        <w:rPr>
          <w:rFonts w:ascii="Book Antiqua" w:hAnsi="Book Antiqua"/>
          <w:b w:val="0"/>
        </w:rPr>
        <w:t>The “case” cohort was defined as any hospitalization episode meeting all inclusion criteria listed above, where the SCBS was used. The “control” cohort was defined as cases in which the SCBS was not used. Similar to prior cost analyses,</w:t>
      </w:r>
      <w:r w:rsidRPr="001F3737">
        <w:rPr>
          <w:rFonts w:ascii="Book Antiqua" w:hAnsi="Book Antiqua"/>
          <w:b w:val="0"/>
        </w:rPr>
        <w:fldChar w:fldCharType="begin"/>
      </w:r>
      <w:r w:rsidRPr="001F3737">
        <w:rPr>
          <w:rFonts w:ascii="Book Antiqua" w:hAnsi="Book Antiqua"/>
          <w:b w:val="0"/>
        </w:rPr>
        <w:instrText>ADDIN BEC{Crawshaw et al., 2015, #22}</w:instrText>
      </w:r>
      <w:r w:rsidRPr="001F3737">
        <w:rPr>
          <w:rFonts w:ascii="Book Antiqua" w:hAnsi="Book Antiqua"/>
          <w:b w:val="0"/>
        </w:rPr>
        <w:fldChar w:fldCharType="separate"/>
      </w:r>
      <w:r w:rsidRPr="001F3737">
        <w:rPr>
          <w:rFonts w:ascii="Book Antiqua" w:hAnsi="Book Antiqua"/>
          <w:b w:val="0"/>
          <w:vertAlign w:val="superscript"/>
        </w:rPr>
        <w:t>[16]</w:t>
      </w:r>
      <w:r w:rsidRPr="001F3737">
        <w:rPr>
          <w:rFonts w:ascii="Book Antiqua" w:hAnsi="Book Antiqua"/>
          <w:b w:val="0"/>
        </w:rPr>
        <w:fldChar w:fldCharType="end"/>
      </w:r>
      <w:r w:rsidRPr="001F3737">
        <w:rPr>
          <w:rFonts w:ascii="Book Antiqua" w:hAnsi="Book Antiqua"/>
          <w:b w:val="0"/>
        </w:rPr>
        <w:t xml:space="preserve"> patients in the top one percent of total hospitalization cost within each cohort were excluded from analysis in order to reduce the effects of extreme outliers (&gt; $87,262 among Cases and &gt; $153,428 among Controls). Figure 1 provides a summary of patient selection.</w:t>
      </w:r>
    </w:p>
    <w:p w14:paraId="2E73A7FD" w14:textId="77777777" w:rsidR="00C238BA" w:rsidRPr="001F3737" w:rsidRDefault="00C238BA" w:rsidP="001F3737">
      <w:pPr>
        <w:pStyle w:val="Heading2"/>
        <w:keepNext w:val="0"/>
        <w:spacing w:line="360" w:lineRule="auto"/>
        <w:jc w:val="both"/>
        <w:rPr>
          <w:rFonts w:ascii="Book Antiqua" w:hAnsi="Book Antiqua"/>
          <w:b w:val="0"/>
        </w:rPr>
      </w:pPr>
    </w:p>
    <w:p w14:paraId="26006636" w14:textId="15F30D9F" w:rsidR="00C238BA" w:rsidRPr="001F3737" w:rsidRDefault="00C238BA" w:rsidP="001F3737">
      <w:pPr>
        <w:pStyle w:val="Heading2"/>
        <w:spacing w:line="360" w:lineRule="auto"/>
        <w:jc w:val="both"/>
        <w:rPr>
          <w:rFonts w:ascii="Book Antiqua" w:hAnsi="Book Antiqua"/>
          <w:i/>
        </w:rPr>
      </w:pPr>
      <w:r w:rsidRPr="001F3737">
        <w:rPr>
          <w:rFonts w:ascii="Book Antiqua" w:hAnsi="Book Antiqua"/>
          <w:i/>
        </w:rPr>
        <w:t xml:space="preserve">Study </w:t>
      </w:r>
      <w:r w:rsidR="003E1BF5" w:rsidRPr="001F3737">
        <w:rPr>
          <w:rFonts w:ascii="Book Antiqua" w:hAnsi="Book Antiqua"/>
          <w:i/>
        </w:rPr>
        <w:t>measures</w:t>
      </w:r>
    </w:p>
    <w:p w14:paraId="785DDC29" w14:textId="285E3CB8" w:rsidR="00C238BA" w:rsidRPr="001F3737" w:rsidRDefault="00C238BA" w:rsidP="001F3737">
      <w:pPr>
        <w:pStyle w:val="Heading2"/>
        <w:keepNext w:val="0"/>
        <w:spacing w:line="360" w:lineRule="auto"/>
        <w:jc w:val="both"/>
        <w:rPr>
          <w:rFonts w:ascii="Book Antiqua" w:hAnsi="Book Antiqua"/>
          <w:b w:val="0"/>
        </w:rPr>
      </w:pPr>
      <w:r w:rsidRPr="001F3737">
        <w:rPr>
          <w:rFonts w:ascii="Book Antiqua" w:hAnsi="Book Antiqua"/>
          <w:b w:val="0"/>
        </w:rPr>
        <w:t>Study measures included patient demographic, clinical, hospital, and surgeon characteristics, transfusion procedures and other complications during index hospitalization, hospital length of stay (LOS) and costs. Comorbidity status was evaluated with diagnoses recorded during the one year prior to admission (baseline period) through the index hospitalization episode. The Charlson Comorbidity Index (CCI) score, a composite measure of physical health status commonly used in studies of medical claims and chronic disease</w:t>
      </w:r>
      <w:r w:rsidRPr="001F3737">
        <w:rPr>
          <w:rFonts w:ascii="Book Antiqua" w:hAnsi="Book Antiqua"/>
          <w:b w:val="0"/>
        </w:rPr>
        <w:fldChar w:fldCharType="begin"/>
      </w:r>
      <w:r w:rsidRPr="001F3737">
        <w:rPr>
          <w:rFonts w:ascii="Book Antiqua" w:hAnsi="Book Antiqua"/>
          <w:b w:val="0"/>
        </w:rPr>
        <w:instrText>ADDIN BEC{Charlson et al., 1987, #11; Deyo et al., 1992, #12}</w:instrText>
      </w:r>
      <w:r w:rsidRPr="001F3737">
        <w:rPr>
          <w:rFonts w:ascii="Book Antiqua" w:hAnsi="Book Antiqua"/>
          <w:b w:val="0"/>
        </w:rPr>
        <w:fldChar w:fldCharType="separate"/>
      </w:r>
      <w:r w:rsidRPr="001F3737">
        <w:rPr>
          <w:rFonts w:ascii="Book Antiqua" w:hAnsi="Book Antiqua"/>
          <w:b w:val="0"/>
          <w:vertAlign w:val="superscript"/>
        </w:rPr>
        <w:t>[17,18]</w:t>
      </w:r>
      <w:r w:rsidRPr="001F3737">
        <w:rPr>
          <w:rFonts w:ascii="Book Antiqua" w:hAnsi="Book Antiqua"/>
          <w:b w:val="0"/>
        </w:rPr>
        <w:fldChar w:fldCharType="end"/>
      </w:r>
      <w:r w:rsidRPr="001F3737">
        <w:rPr>
          <w:rFonts w:ascii="Book Antiqua" w:hAnsi="Book Antiqua"/>
          <w:b w:val="0"/>
        </w:rPr>
        <w:t xml:space="preserve"> was calculated for each patient. For this study, malignancy, metastatic solid tumor, and mild or moderate liver disease were excluded from the CCI calculation as these were present for most patients. </w:t>
      </w:r>
    </w:p>
    <w:p w14:paraId="43D41A17" w14:textId="77777777" w:rsidR="00C238BA" w:rsidRPr="001F3737" w:rsidRDefault="00C238BA" w:rsidP="001F3737">
      <w:pPr>
        <w:pStyle w:val="Heading2"/>
        <w:keepNext w:val="0"/>
        <w:spacing w:line="360" w:lineRule="auto"/>
        <w:jc w:val="both"/>
        <w:rPr>
          <w:rFonts w:ascii="Book Antiqua" w:hAnsi="Book Antiqua"/>
          <w:b w:val="0"/>
          <w:i/>
        </w:rPr>
      </w:pPr>
    </w:p>
    <w:p w14:paraId="3AF9AE4F" w14:textId="27B7C13C" w:rsidR="00C238BA" w:rsidRPr="001F3737" w:rsidRDefault="00C238BA" w:rsidP="001F3737">
      <w:pPr>
        <w:pStyle w:val="Heading2"/>
        <w:spacing w:line="360" w:lineRule="auto"/>
        <w:jc w:val="both"/>
        <w:rPr>
          <w:rFonts w:ascii="Book Antiqua" w:hAnsi="Book Antiqua"/>
          <w:i/>
        </w:rPr>
      </w:pPr>
      <w:r w:rsidRPr="001F3737">
        <w:rPr>
          <w:rFonts w:ascii="Book Antiqua" w:hAnsi="Book Antiqua"/>
          <w:i/>
        </w:rPr>
        <w:lastRenderedPageBreak/>
        <w:t xml:space="preserve">Propensity </w:t>
      </w:r>
      <w:r w:rsidR="003E1BF5" w:rsidRPr="001F3737">
        <w:rPr>
          <w:rFonts w:ascii="Book Antiqua" w:hAnsi="Book Antiqua"/>
          <w:i/>
        </w:rPr>
        <w:t>score matching</w:t>
      </w:r>
    </w:p>
    <w:p w14:paraId="17A0F141" w14:textId="4F7CD0D2" w:rsidR="00C238BA" w:rsidRPr="001F3737" w:rsidRDefault="00C238BA" w:rsidP="001F3737">
      <w:pPr>
        <w:pStyle w:val="Heading2"/>
        <w:keepNext w:val="0"/>
        <w:spacing w:line="360" w:lineRule="auto"/>
        <w:jc w:val="both"/>
        <w:rPr>
          <w:rFonts w:ascii="Book Antiqua" w:hAnsi="Book Antiqua"/>
        </w:rPr>
      </w:pPr>
      <w:r w:rsidRPr="001F3737">
        <w:rPr>
          <w:rFonts w:ascii="Book Antiqua" w:hAnsi="Book Antiqua"/>
          <w:b w:val="0"/>
        </w:rPr>
        <w:t>In order to address selection bias and ensure demographic and hospitalization characteristics were similar across the case and control cohorts, a propensity-score matching algorithm was applied. Each case was matched to five controls based on age group, gender, race, region, primary payor, procedure type, indicating diagnosis, other comorbid liver-related conditions, CCI, surgeon specialty, and the proportion of surgeons with history of at least one liver procedure performed in the prior year. These matching covariates were chosen both based on significant differences observed in unmatched cohorts (</w:t>
      </w:r>
      <w:r w:rsidRPr="001F3737">
        <w:rPr>
          <w:rFonts w:ascii="Book Antiqua" w:hAnsi="Book Antiqua"/>
          <w:b w:val="0"/>
          <w:i/>
        </w:rPr>
        <w:t>P</w:t>
      </w:r>
      <w:r w:rsidRPr="001F3737">
        <w:rPr>
          <w:rFonts w:ascii="Book Antiqua" w:hAnsi="Book Antiqua"/>
          <w:b w:val="0"/>
        </w:rPr>
        <w:t xml:space="preserve"> values &lt; </w:t>
      </w:r>
      <w:r w:rsidR="003E1BF5" w:rsidRPr="001F3737">
        <w:rPr>
          <w:rFonts w:ascii="Book Antiqua" w:eastAsia="宋体" w:hAnsi="Book Antiqua"/>
          <w:b w:val="0"/>
          <w:lang w:eastAsia="zh-CN"/>
        </w:rPr>
        <w:t>0</w:t>
      </w:r>
      <w:r w:rsidRPr="001F3737">
        <w:rPr>
          <w:rFonts w:ascii="Book Antiqua" w:hAnsi="Book Antiqua"/>
          <w:b w:val="0"/>
        </w:rPr>
        <w:t xml:space="preserve">.05), and on the basis of clinical and demographic factors that may have impacted surgeon choice of technology use. Matching was applied using the nearest neighbor approach, with a caliper width of 0.10 of the standard deviation of the logit of the propensity score. </w:t>
      </w:r>
    </w:p>
    <w:p w14:paraId="14541B50" w14:textId="77777777" w:rsidR="00C238BA" w:rsidRPr="001F3737" w:rsidRDefault="00C238BA" w:rsidP="001F3737">
      <w:pPr>
        <w:spacing w:line="360" w:lineRule="auto"/>
        <w:jc w:val="both"/>
        <w:rPr>
          <w:rFonts w:ascii="Book Antiqua" w:hAnsi="Book Antiqua"/>
          <w:i/>
        </w:rPr>
      </w:pPr>
    </w:p>
    <w:p w14:paraId="79A89796" w14:textId="3778B007" w:rsidR="00C238BA" w:rsidRPr="001F3737" w:rsidRDefault="00C238BA" w:rsidP="001F3737">
      <w:pPr>
        <w:pStyle w:val="Heading2"/>
        <w:spacing w:line="360" w:lineRule="auto"/>
        <w:jc w:val="both"/>
        <w:rPr>
          <w:rFonts w:ascii="Book Antiqua" w:hAnsi="Book Antiqua"/>
          <w:i/>
        </w:rPr>
      </w:pPr>
      <w:r w:rsidRPr="001F3737">
        <w:rPr>
          <w:rFonts w:ascii="Book Antiqua" w:hAnsi="Book Antiqua"/>
          <w:i/>
        </w:rPr>
        <w:t xml:space="preserve">Hospital </w:t>
      </w:r>
      <w:r w:rsidR="003E1BF5" w:rsidRPr="001F3737">
        <w:rPr>
          <w:rFonts w:ascii="Book Antiqua" w:hAnsi="Book Antiqua"/>
          <w:i/>
        </w:rPr>
        <w:t xml:space="preserve">resource use and deviation-based cost modeling </w:t>
      </w:r>
    </w:p>
    <w:p w14:paraId="53CC594A" w14:textId="77777777" w:rsidR="00C238BA" w:rsidRPr="001F3737" w:rsidRDefault="00C238BA" w:rsidP="001F3737">
      <w:pPr>
        <w:pStyle w:val="Heading2"/>
        <w:keepNext w:val="0"/>
        <w:spacing w:line="360" w:lineRule="auto"/>
        <w:jc w:val="both"/>
        <w:rPr>
          <w:rFonts w:ascii="Book Antiqua" w:hAnsi="Book Antiqua"/>
        </w:rPr>
      </w:pPr>
      <w:r w:rsidRPr="001F3737">
        <w:rPr>
          <w:rFonts w:ascii="Book Antiqua" w:hAnsi="Book Antiqua"/>
          <w:b w:val="0"/>
        </w:rPr>
        <w:t xml:space="preserve">Transfusion procedures were identified by ICD-9 (V58.2, 99.00-99.04) or CPT codes (36430, P9010, P9011) or presence of the term “blood transfusion” in the hospital Chargemaster file. Topical hemostat use was identified by any mention of “hemostat” or “sealant” in the Chargemaster file under the “Medical Surgical Supplies” category. </w:t>
      </w:r>
    </w:p>
    <w:p w14:paraId="138CFA42" w14:textId="7CEC6D70" w:rsidR="00C238BA" w:rsidRPr="001F3737" w:rsidRDefault="00C238BA" w:rsidP="001F3737">
      <w:pPr>
        <w:spacing w:line="360" w:lineRule="auto"/>
        <w:ind w:firstLineChars="150" w:firstLine="360"/>
        <w:jc w:val="both"/>
        <w:rPr>
          <w:rFonts w:ascii="Book Antiqua" w:hAnsi="Book Antiqua"/>
        </w:rPr>
      </w:pPr>
      <w:r w:rsidRPr="001F3737">
        <w:rPr>
          <w:rFonts w:ascii="Book Antiqua" w:hAnsi="Book Antiqua"/>
        </w:rPr>
        <w:t>A deviation-based cost modeling (DBCM) approach was employed to account for variation in resource use associated with different hospital LOS categories and severity of complications</w:t>
      </w:r>
      <w:r w:rsidRPr="001F3737">
        <w:rPr>
          <w:rFonts w:ascii="Book Antiqua" w:hAnsi="Book Antiqua"/>
        </w:rPr>
        <w:fldChar w:fldCharType="begin"/>
      </w:r>
      <w:r w:rsidRPr="001F3737">
        <w:rPr>
          <w:rFonts w:ascii="Book Antiqua" w:hAnsi="Book Antiqua"/>
        </w:rPr>
        <w:instrText>ADDIN BEC{Cannon et al., 2013, #15; Vanounou et al., 2007, #13; Vanounou et al., 2010, #14}</w:instrText>
      </w:r>
      <w:r w:rsidRPr="001F3737">
        <w:rPr>
          <w:rFonts w:ascii="Book Antiqua" w:hAnsi="Book Antiqua"/>
        </w:rPr>
        <w:fldChar w:fldCharType="separate"/>
      </w:r>
      <w:r w:rsidRPr="001F3737">
        <w:rPr>
          <w:rFonts w:ascii="Book Antiqua" w:hAnsi="Book Antiqua"/>
          <w:vertAlign w:val="superscript"/>
        </w:rPr>
        <w:t>[14,15,19]</w:t>
      </w:r>
      <w:r w:rsidRPr="001F3737">
        <w:rPr>
          <w:rFonts w:ascii="Book Antiqua" w:hAnsi="Book Antiqua"/>
        </w:rPr>
        <w:fldChar w:fldCharType="end"/>
      </w:r>
      <w:r w:rsidR="00780CEC" w:rsidRPr="001F3737">
        <w:rPr>
          <w:rFonts w:ascii="Book Antiqua" w:eastAsia="宋体" w:hAnsi="Book Antiqua"/>
          <w:lang w:eastAsia="zh-CN"/>
        </w:rPr>
        <w:t xml:space="preserve">. </w:t>
      </w:r>
      <w:r w:rsidRPr="001F3737">
        <w:rPr>
          <w:rFonts w:ascii="Book Antiqua" w:hAnsi="Book Antiqua"/>
        </w:rPr>
        <w:t xml:space="preserve">Vanounou </w:t>
      </w:r>
      <w:r w:rsidRPr="001F3737">
        <w:rPr>
          <w:rFonts w:ascii="Book Antiqua" w:hAnsi="Book Antiqua"/>
          <w:i/>
        </w:rPr>
        <w:t>et al</w:t>
      </w:r>
      <w:r w:rsidR="00780CEC" w:rsidRPr="001F3737">
        <w:rPr>
          <w:rFonts w:ascii="Book Antiqua" w:hAnsi="Book Antiqua"/>
        </w:rPr>
        <w:fldChar w:fldCharType="begin"/>
      </w:r>
      <w:r w:rsidR="00780CEC" w:rsidRPr="001F3737">
        <w:rPr>
          <w:rFonts w:ascii="Book Antiqua" w:hAnsi="Book Antiqua"/>
        </w:rPr>
        <w:instrText>ADDIN BEC{Vanounou et al., 2007, #13; Vanounou et al., 2010, #14}</w:instrText>
      </w:r>
      <w:r w:rsidR="00780CEC" w:rsidRPr="001F3737">
        <w:rPr>
          <w:rFonts w:ascii="Book Antiqua" w:hAnsi="Book Antiqua"/>
        </w:rPr>
        <w:fldChar w:fldCharType="separate"/>
      </w:r>
      <w:r w:rsidR="00780CEC" w:rsidRPr="001F3737">
        <w:rPr>
          <w:rFonts w:ascii="Book Antiqua" w:hAnsi="Book Antiqua"/>
          <w:vertAlign w:val="superscript"/>
        </w:rPr>
        <w:t>[15,19]</w:t>
      </w:r>
      <w:r w:rsidR="00780CEC" w:rsidRPr="001F3737">
        <w:rPr>
          <w:rFonts w:ascii="Book Antiqua" w:hAnsi="Book Antiqua"/>
        </w:rPr>
        <w:fldChar w:fldCharType="end"/>
      </w:r>
      <w:r w:rsidRPr="001F3737">
        <w:rPr>
          <w:rFonts w:ascii="Book Antiqua" w:hAnsi="Book Antiqua"/>
        </w:rPr>
        <w:t xml:space="preserve"> originally developed this approach in analyses evaluating the economic impact of pancreaticoduodenectomy procedures and a comparison of laparoscopic versus open liver resection. This methodology measures the frequency and severity of deviations from an “expected” postoperative course and calculates the economic consequences of hospitalizations that do not follow expected outcomes. The benefits of this approach are the incorporation of complications, LOS, and costs into one measure, providing a single outcomes-based metric that provides more information than simply clinical or cost data alone</w:t>
      </w:r>
      <w:r w:rsidRPr="001F3737">
        <w:rPr>
          <w:rFonts w:ascii="Book Antiqua" w:hAnsi="Book Antiqua"/>
        </w:rPr>
        <w:fldChar w:fldCharType="begin"/>
      </w:r>
      <w:r w:rsidRPr="001F3737">
        <w:rPr>
          <w:rFonts w:ascii="Book Antiqua" w:hAnsi="Book Antiqua"/>
        </w:rPr>
        <w:instrText>ADDIN BEC{Cannon et al., 2013, #15; Vanounou et al., 2010, #14}</w:instrText>
      </w:r>
      <w:r w:rsidRPr="001F3737">
        <w:rPr>
          <w:rFonts w:ascii="Book Antiqua" w:hAnsi="Book Antiqua"/>
        </w:rPr>
        <w:fldChar w:fldCharType="separate"/>
      </w:r>
      <w:r w:rsidRPr="001F3737">
        <w:rPr>
          <w:rFonts w:ascii="Book Antiqua" w:hAnsi="Book Antiqua"/>
          <w:vertAlign w:val="superscript"/>
        </w:rPr>
        <w:t>[14,15]</w:t>
      </w:r>
      <w:r w:rsidRPr="001F3737">
        <w:rPr>
          <w:rFonts w:ascii="Book Antiqua" w:hAnsi="Book Antiqua"/>
        </w:rPr>
        <w:fldChar w:fldCharType="end"/>
      </w:r>
      <w:r w:rsidR="00780CEC" w:rsidRPr="001F3737">
        <w:rPr>
          <w:rFonts w:ascii="Book Antiqua" w:eastAsia="宋体" w:hAnsi="Book Antiqua"/>
          <w:lang w:eastAsia="zh-CN"/>
        </w:rPr>
        <w:t xml:space="preserve">. </w:t>
      </w:r>
      <w:r w:rsidRPr="001F3737">
        <w:rPr>
          <w:rFonts w:ascii="Book Antiqua" w:hAnsi="Book Antiqua"/>
        </w:rPr>
        <w:t xml:space="preserve">Data on LOS and complications were combined to create four deviation classes: on-course, minor, moderate, and severe. Definitions for each class are listed in Table 1. Once deviation </w:t>
      </w:r>
      <w:r w:rsidRPr="001F3737">
        <w:rPr>
          <w:rFonts w:ascii="Book Antiqua" w:hAnsi="Book Antiqua"/>
        </w:rPr>
        <w:lastRenderedPageBreak/>
        <w:t xml:space="preserve">groups were defined, a weighted average mean cost (WAMC) was calculated by multiplying the percentage of patients in each category by the mean cost of that category. </w:t>
      </w:r>
    </w:p>
    <w:p w14:paraId="22696BB4" w14:textId="77777777" w:rsidR="00C238BA" w:rsidRPr="001F3737" w:rsidRDefault="00C238BA" w:rsidP="001F3737">
      <w:pPr>
        <w:pStyle w:val="Heading2"/>
        <w:keepNext w:val="0"/>
        <w:spacing w:line="360" w:lineRule="auto"/>
        <w:jc w:val="both"/>
        <w:rPr>
          <w:rFonts w:ascii="Book Antiqua" w:hAnsi="Book Antiqua"/>
          <w:b w:val="0"/>
        </w:rPr>
      </w:pPr>
    </w:p>
    <w:p w14:paraId="415594EF" w14:textId="7C91253F" w:rsidR="00C238BA" w:rsidRPr="001F3737" w:rsidRDefault="00C238BA" w:rsidP="001F3737">
      <w:pPr>
        <w:pStyle w:val="Heading2"/>
        <w:spacing w:line="360" w:lineRule="auto"/>
        <w:jc w:val="both"/>
        <w:rPr>
          <w:rFonts w:ascii="Book Antiqua" w:hAnsi="Book Antiqua"/>
          <w:i/>
        </w:rPr>
      </w:pPr>
      <w:r w:rsidRPr="001F3737">
        <w:rPr>
          <w:rFonts w:ascii="Book Antiqua" w:hAnsi="Book Antiqua"/>
          <w:i/>
        </w:rPr>
        <w:t xml:space="preserve">Data </w:t>
      </w:r>
      <w:r w:rsidR="00780CEC" w:rsidRPr="001F3737">
        <w:rPr>
          <w:rFonts w:ascii="Book Antiqua" w:hAnsi="Book Antiqua"/>
          <w:i/>
        </w:rPr>
        <w:t>analyses</w:t>
      </w:r>
    </w:p>
    <w:p w14:paraId="0B3F65AD" w14:textId="77777777" w:rsidR="00C238BA" w:rsidRPr="001F3737" w:rsidRDefault="00C238BA" w:rsidP="001F3737">
      <w:pPr>
        <w:pStyle w:val="Heading2"/>
        <w:keepNext w:val="0"/>
        <w:spacing w:line="360" w:lineRule="auto"/>
        <w:jc w:val="both"/>
        <w:rPr>
          <w:rFonts w:ascii="Book Antiqua" w:hAnsi="Book Antiqua"/>
          <w:b w:val="0"/>
        </w:rPr>
      </w:pPr>
      <w:r w:rsidRPr="001F3737">
        <w:rPr>
          <w:rFonts w:ascii="Book Antiqua" w:hAnsi="Book Antiqua"/>
          <w:b w:val="0"/>
        </w:rPr>
        <w:t>Analyses were performed using the Instant Health Data Suite (Boston Health Economics, Inc., Boston, MA) and SAS software (Version 9.2, SAS Institute, Cary, NC). All costs were inflation-adjusted to 2014 USD using the medical care component of the Consumer Price Index. Statistical significance testing was performed with the Chi-square (</w:t>
      </w:r>
      <w:r w:rsidRPr="001F3737">
        <w:rPr>
          <w:rFonts w:ascii="Book Antiqua" w:hAnsi="Book Antiqua"/>
          <w:b w:val="0"/>
          <w:i/>
        </w:rPr>
        <w:t>χ</w:t>
      </w:r>
      <w:r w:rsidRPr="001F3737">
        <w:rPr>
          <w:rFonts w:ascii="Book Antiqua" w:hAnsi="Book Antiqua"/>
          <w:b w:val="0"/>
          <w:vertAlign w:val="superscript"/>
        </w:rPr>
        <w:t>2</w:t>
      </w:r>
      <w:r w:rsidRPr="001F3737">
        <w:rPr>
          <w:rFonts w:ascii="Book Antiqua" w:hAnsi="Book Antiqua"/>
          <w:b w:val="0"/>
        </w:rPr>
        <w:t>) test for categorical variables (or Fisher's Exact with cell frequencies &lt; 10) and Wilcoxon-Mann-Whitney test for non-normal continuous variables. Predictors of topical hemostat use and transfusion, controlling for demographic and clinical characteristics, provider specialty and experience, and study cohort, were evaluated using logistic regression analysis.</w:t>
      </w:r>
    </w:p>
    <w:p w14:paraId="1A2C50F4" w14:textId="77777777" w:rsidR="00C238BA" w:rsidRPr="001F3737" w:rsidRDefault="00C238BA" w:rsidP="001F3737">
      <w:pPr>
        <w:spacing w:line="360" w:lineRule="auto"/>
        <w:jc w:val="both"/>
        <w:rPr>
          <w:rFonts w:ascii="Book Antiqua" w:hAnsi="Book Antiqua"/>
        </w:rPr>
      </w:pPr>
    </w:p>
    <w:p w14:paraId="312A4F79" w14:textId="77777777" w:rsidR="00C238BA" w:rsidRPr="001F3737" w:rsidRDefault="00C238BA" w:rsidP="001F3737">
      <w:pPr>
        <w:pStyle w:val="Heading1"/>
        <w:spacing w:line="360" w:lineRule="auto"/>
        <w:jc w:val="both"/>
        <w:rPr>
          <w:rFonts w:ascii="Book Antiqua" w:hAnsi="Book Antiqua"/>
        </w:rPr>
      </w:pPr>
      <w:r w:rsidRPr="001F3737">
        <w:rPr>
          <w:rFonts w:ascii="Book Antiqua" w:hAnsi="Book Antiqua"/>
        </w:rPr>
        <w:t>RESULTS</w:t>
      </w:r>
    </w:p>
    <w:p w14:paraId="3F379C97" w14:textId="77777777" w:rsidR="00C238BA" w:rsidRPr="001F3737" w:rsidRDefault="00C238BA" w:rsidP="001F3737">
      <w:pPr>
        <w:pStyle w:val="Heading2"/>
        <w:spacing w:line="360" w:lineRule="auto"/>
        <w:jc w:val="both"/>
        <w:rPr>
          <w:rFonts w:ascii="Book Antiqua" w:hAnsi="Book Antiqua"/>
          <w:i/>
        </w:rPr>
      </w:pPr>
      <w:r w:rsidRPr="001F3737">
        <w:rPr>
          <w:rFonts w:ascii="Book Antiqua" w:hAnsi="Book Antiqua"/>
          <w:i/>
        </w:rPr>
        <w:t>Demographic and clinical characteristics</w:t>
      </w:r>
    </w:p>
    <w:p w14:paraId="537F1935" w14:textId="77777777" w:rsidR="00C238BA" w:rsidRPr="001F3737" w:rsidRDefault="00C238BA" w:rsidP="001F3737">
      <w:pPr>
        <w:spacing w:line="360" w:lineRule="auto"/>
        <w:jc w:val="both"/>
        <w:rPr>
          <w:rFonts w:ascii="Book Antiqua" w:hAnsi="Book Antiqua"/>
        </w:rPr>
      </w:pPr>
      <w:r w:rsidRPr="001F3737">
        <w:rPr>
          <w:rFonts w:ascii="Book Antiqua" w:hAnsi="Book Antiqua"/>
        </w:rPr>
        <w:t xml:space="preserve">Between January 2010 and June 2014, 152 cases and 2,993 unmatched controls were available for analysis after applying all sample selection criteria, with procedures performed at 284 hospitals nationally. Following application of the propensity score algorithm 144 cases and 720 controls were available for matched analyses (Table 2). Post-match, differences between cohorts were removed, with all clinical characteristics statistically similar. </w:t>
      </w:r>
    </w:p>
    <w:p w14:paraId="4DF6E39D" w14:textId="77777777" w:rsidR="00C238BA" w:rsidRPr="001F3737" w:rsidRDefault="00C238BA" w:rsidP="001F3737">
      <w:pPr>
        <w:spacing w:line="360" w:lineRule="auto"/>
        <w:jc w:val="both"/>
        <w:rPr>
          <w:rFonts w:ascii="Book Antiqua" w:hAnsi="Book Antiqua"/>
        </w:rPr>
      </w:pPr>
    </w:p>
    <w:p w14:paraId="1386E451" w14:textId="77777777" w:rsidR="00C238BA" w:rsidRPr="001F3737" w:rsidRDefault="00C238BA" w:rsidP="001F3737">
      <w:pPr>
        <w:pStyle w:val="Heading2"/>
        <w:spacing w:line="360" w:lineRule="auto"/>
        <w:jc w:val="both"/>
        <w:rPr>
          <w:rFonts w:ascii="Book Antiqua" w:hAnsi="Book Antiqua"/>
          <w:i/>
        </w:rPr>
      </w:pPr>
      <w:r w:rsidRPr="001F3737">
        <w:rPr>
          <w:rFonts w:ascii="Book Antiqua" w:hAnsi="Book Antiqua"/>
          <w:i/>
        </w:rPr>
        <w:t>Inpatient complications</w:t>
      </w:r>
    </w:p>
    <w:p w14:paraId="38F1A894" w14:textId="09EA6A34" w:rsidR="00C238BA" w:rsidRPr="001F3737" w:rsidRDefault="00C238BA" w:rsidP="001F3737">
      <w:pPr>
        <w:spacing w:line="360" w:lineRule="auto"/>
        <w:jc w:val="both"/>
        <w:rPr>
          <w:rFonts w:ascii="Book Antiqua" w:hAnsi="Book Antiqua"/>
          <w:b/>
        </w:rPr>
      </w:pPr>
      <w:r w:rsidRPr="001F3737">
        <w:rPr>
          <w:rFonts w:ascii="Book Antiqua" w:hAnsi="Book Antiqua"/>
        </w:rPr>
        <w:t xml:space="preserve">In matched analysis, patients in the Case cohort had lower incidence of transfusions versus the control cohort, with an absolute risk reduction of 11.3% and relative risk </w:t>
      </w:r>
      <w:r w:rsidR="00780CEC" w:rsidRPr="001F3737">
        <w:rPr>
          <w:rFonts w:ascii="Book Antiqua" w:hAnsi="Book Antiqua"/>
        </w:rPr>
        <w:t xml:space="preserve">reduction of 38.7% (18.1% </w:t>
      </w:r>
      <w:r w:rsidR="00780CEC" w:rsidRPr="001F3737">
        <w:rPr>
          <w:rFonts w:ascii="Book Antiqua" w:hAnsi="Book Antiqua"/>
          <w:i/>
        </w:rPr>
        <w:t>vs</w:t>
      </w:r>
      <w:r w:rsidRPr="001F3737">
        <w:rPr>
          <w:rFonts w:ascii="Book Antiqua" w:hAnsi="Book Antiqua"/>
        </w:rPr>
        <w:t xml:space="preserve"> 29.4%, </w:t>
      </w:r>
      <w:r w:rsidRPr="001F3737">
        <w:rPr>
          <w:rFonts w:ascii="Book Antiqua" w:hAnsi="Book Antiqua"/>
          <w:i/>
        </w:rPr>
        <w:t>P</w:t>
      </w:r>
      <w:r w:rsidRPr="001F3737">
        <w:rPr>
          <w:rFonts w:ascii="Book Antiqua" w:hAnsi="Book Antiqua"/>
        </w:rPr>
        <w:t xml:space="preserve"> = </w:t>
      </w:r>
      <w:r w:rsidR="00780CEC" w:rsidRPr="001F3737">
        <w:rPr>
          <w:rFonts w:ascii="Book Antiqua" w:eastAsia="宋体" w:hAnsi="Book Antiqua"/>
          <w:lang w:eastAsia="zh-CN"/>
        </w:rPr>
        <w:t>0</w:t>
      </w:r>
      <w:r w:rsidRPr="001F3737">
        <w:rPr>
          <w:rFonts w:ascii="Book Antiqua" w:hAnsi="Book Antiqua"/>
        </w:rPr>
        <w:t xml:space="preserve">.007). Additionally, patients in the Case cohort had fewer cases of acute kidney failure occurring during the same hospitalization episode (3.5% </w:t>
      </w:r>
      <w:r w:rsidR="00780CEC" w:rsidRPr="001F3737">
        <w:rPr>
          <w:rFonts w:ascii="Book Antiqua" w:hAnsi="Book Antiqua"/>
          <w:i/>
        </w:rPr>
        <w:t>vs</w:t>
      </w:r>
      <w:r w:rsidRPr="001F3737">
        <w:rPr>
          <w:rFonts w:ascii="Book Antiqua" w:hAnsi="Book Antiqua"/>
        </w:rPr>
        <w:t xml:space="preserve"> 8.8%, </w:t>
      </w:r>
      <w:r w:rsidRPr="001F3737">
        <w:rPr>
          <w:rFonts w:ascii="Book Antiqua" w:hAnsi="Book Antiqua"/>
          <w:i/>
        </w:rPr>
        <w:t xml:space="preserve">P </w:t>
      </w:r>
      <w:r w:rsidRPr="001F3737">
        <w:rPr>
          <w:rFonts w:ascii="Book Antiqua" w:hAnsi="Book Antiqua"/>
        </w:rPr>
        <w:t xml:space="preserve">= </w:t>
      </w:r>
      <w:r w:rsidR="00780CEC" w:rsidRPr="001F3737">
        <w:rPr>
          <w:rFonts w:ascii="Book Antiqua" w:eastAsia="宋体" w:hAnsi="Book Antiqua"/>
          <w:lang w:eastAsia="zh-CN"/>
        </w:rPr>
        <w:t>0</w:t>
      </w:r>
      <w:r w:rsidRPr="001F3737">
        <w:rPr>
          <w:rFonts w:ascii="Book Antiqua" w:hAnsi="Book Antiqua"/>
        </w:rPr>
        <w:t xml:space="preserve">.048). All other inpatient complications were statistically </w:t>
      </w:r>
      <w:r w:rsidRPr="001F3737">
        <w:rPr>
          <w:rFonts w:ascii="Book Antiqua" w:hAnsi="Book Antiqua"/>
        </w:rPr>
        <w:lastRenderedPageBreak/>
        <w:t xml:space="preserve">similar across cohorts, including infection, UTI, acute respiratory failure, pneumonia, DVT, hemorrhage or hematoma, wound disruption, and bile leak. One patient (0.694%) in the Case cohort had evidence of bile leak </w:t>
      </w:r>
      <w:r w:rsidR="00780CEC" w:rsidRPr="001F3737">
        <w:rPr>
          <w:rFonts w:ascii="Book Antiqua" w:hAnsi="Book Antiqua"/>
          <w:i/>
        </w:rPr>
        <w:t>vs</w:t>
      </w:r>
      <w:r w:rsidRPr="001F3737">
        <w:rPr>
          <w:rFonts w:ascii="Book Antiqua" w:hAnsi="Book Antiqua"/>
        </w:rPr>
        <w:t xml:space="preserve"> eight patients in the Control cohort (1.11%), however this difference was not significant (</w:t>
      </w:r>
      <w:r w:rsidRPr="001F3737">
        <w:rPr>
          <w:rFonts w:ascii="Book Antiqua" w:hAnsi="Book Antiqua"/>
          <w:i/>
        </w:rPr>
        <w:t>P</w:t>
      </w:r>
      <w:r w:rsidRPr="001F3737">
        <w:rPr>
          <w:rFonts w:ascii="Book Antiqua" w:hAnsi="Book Antiqua"/>
        </w:rPr>
        <w:t xml:space="preserve"> = 1.00). No patients in the case cohort experienced acute liver failure, PE, or transfusion-related complications, while 1.8%, 1.0%, and 0.6% of control patients developed these complications during the inpatient visit (all </w:t>
      </w:r>
      <w:r w:rsidR="00780CEC" w:rsidRPr="001F3737">
        <w:rPr>
          <w:rFonts w:ascii="Book Antiqua" w:hAnsi="Book Antiqua"/>
          <w:i/>
        </w:rPr>
        <w:t>P</w:t>
      </w:r>
      <w:r w:rsidRPr="001F3737">
        <w:rPr>
          <w:rFonts w:ascii="Book Antiqua" w:hAnsi="Book Antiqua"/>
        </w:rPr>
        <w:t xml:space="preserve"> &gt; </w:t>
      </w:r>
      <w:r w:rsidR="00780CEC" w:rsidRPr="001F3737">
        <w:rPr>
          <w:rFonts w:ascii="Book Antiqua" w:eastAsia="宋体" w:hAnsi="Book Antiqua"/>
          <w:lang w:eastAsia="zh-CN"/>
        </w:rPr>
        <w:t>0</w:t>
      </w:r>
      <w:r w:rsidRPr="001F3737">
        <w:rPr>
          <w:rFonts w:ascii="Book Antiqua" w:hAnsi="Book Antiqua"/>
        </w:rPr>
        <w:t xml:space="preserve">.05). </w:t>
      </w:r>
    </w:p>
    <w:p w14:paraId="219274A3" w14:textId="349F7ABB" w:rsidR="00C238BA" w:rsidRPr="001F3737" w:rsidRDefault="00C238BA" w:rsidP="001F3737">
      <w:pPr>
        <w:spacing w:line="360" w:lineRule="auto"/>
        <w:ind w:firstLineChars="150" w:firstLine="360"/>
        <w:jc w:val="both"/>
        <w:rPr>
          <w:rFonts w:ascii="Book Antiqua" w:hAnsi="Book Antiqua"/>
        </w:rPr>
      </w:pPr>
      <w:r w:rsidRPr="001F3737">
        <w:rPr>
          <w:rFonts w:ascii="Book Antiqua" w:hAnsi="Book Antiqua"/>
        </w:rPr>
        <w:t>Overall, 25.0% of the case cohort showed evidence of topical hemostat use during the liver resection procedure, while 17.2% of the control cohort showed evidence of topical hemostat use (</w:t>
      </w:r>
      <w:r w:rsidRPr="001F3737">
        <w:rPr>
          <w:rFonts w:ascii="Book Antiqua" w:hAnsi="Book Antiqua"/>
          <w:i/>
        </w:rPr>
        <w:t>P</w:t>
      </w:r>
      <w:r w:rsidRPr="001F3737">
        <w:rPr>
          <w:rFonts w:ascii="Book Antiqua" w:hAnsi="Book Antiqua"/>
        </w:rPr>
        <w:t xml:space="preserve"> = </w:t>
      </w:r>
      <w:r w:rsidR="00780CEC" w:rsidRPr="001F3737">
        <w:rPr>
          <w:rFonts w:ascii="Book Antiqua" w:eastAsia="宋体" w:hAnsi="Book Antiqua"/>
          <w:lang w:eastAsia="zh-CN"/>
        </w:rPr>
        <w:t>0</w:t>
      </w:r>
      <w:r w:rsidRPr="001F3737">
        <w:rPr>
          <w:rFonts w:ascii="Book Antiqua" w:hAnsi="Book Antiqua"/>
        </w:rPr>
        <w:t>.038). Among patients with topical hemostat use, the incidence of transfusions was lower in the case cohort, however the difference was not stat</w:t>
      </w:r>
      <w:r w:rsidR="00780CEC" w:rsidRPr="001F3737">
        <w:rPr>
          <w:rFonts w:ascii="Book Antiqua" w:hAnsi="Book Antiqua"/>
        </w:rPr>
        <w:t xml:space="preserve">istically significant (25.0% </w:t>
      </w:r>
      <w:r w:rsidR="00780CEC" w:rsidRPr="001F3737">
        <w:rPr>
          <w:rFonts w:ascii="Book Antiqua" w:hAnsi="Book Antiqua"/>
          <w:i/>
        </w:rPr>
        <w:t>vs</w:t>
      </w:r>
      <w:r w:rsidRPr="001F3737">
        <w:rPr>
          <w:rFonts w:ascii="Book Antiqua" w:hAnsi="Book Antiqua"/>
        </w:rPr>
        <w:t xml:space="preserve"> 37.9%, </w:t>
      </w:r>
      <w:r w:rsidRPr="001F3737">
        <w:rPr>
          <w:rFonts w:ascii="Book Antiqua" w:hAnsi="Book Antiqua"/>
          <w:i/>
        </w:rPr>
        <w:t>P</w:t>
      </w:r>
      <w:r w:rsidRPr="001F3737">
        <w:rPr>
          <w:rFonts w:ascii="Book Antiqua" w:hAnsi="Book Antiqua"/>
        </w:rPr>
        <w:t xml:space="preserve"> = </w:t>
      </w:r>
      <w:r w:rsidR="00780CEC" w:rsidRPr="001F3737">
        <w:rPr>
          <w:rFonts w:ascii="Book Antiqua" w:eastAsia="宋体" w:hAnsi="Book Antiqua"/>
          <w:lang w:eastAsia="zh-CN"/>
        </w:rPr>
        <w:t>0</w:t>
      </w:r>
      <w:r w:rsidRPr="001F3737">
        <w:rPr>
          <w:rFonts w:ascii="Book Antiqua" w:hAnsi="Book Antiqua"/>
        </w:rPr>
        <w:t xml:space="preserve">.108), Figure 2. When a topical hemostat was not used, the case cohort had lower incidence of transfusion compared to the control cohort (15.7% </w:t>
      </w:r>
      <w:r w:rsidR="00780CEC" w:rsidRPr="001F3737">
        <w:rPr>
          <w:rFonts w:ascii="Book Antiqua" w:hAnsi="Book Antiqua"/>
          <w:i/>
        </w:rPr>
        <w:t>vs</w:t>
      </w:r>
      <w:r w:rsidRPr="001F3737">
        <w:rPr>
          <w:rFonts w:ascii="Book Antiqua" w:hAnsi="Book Antiqua"/>
        </w:rPr>
        <w:t xml:space="preserve"> 27.7%, </w:t>
      </w:r>
      <w:r w:rsidRPr="001F3737">
        <w:rPr>
          <w:rFonts w:ascii="Book Antiqua" w:hAnsi="Book Antiqua"/>
          <w:i/>
        </w:rPr>
        <w:t>P</w:t>
      </w:r>
      <w:r w:rsidRPr="001F3737">
        <w:rPr>
          <w:rFonts w:ascii="Book Antiqua" w:hAnsi="Book Antiqua"/>
        </w:rPr>
        <w:t xml:space="preserve"> = </w:t>
      </w:r>
      <w:r w:rsidR="00780CEC" w:rsidRPr="001F3737">
        <w:rPr>
          <w:rFonts w:ascii="Book Antiqua" w:eastAsia="宋体" w:hAnsi="Book Antiqua"/>
          <w:lang w:eastAsia="zh-CN"/>
        </w:rPr>
        <w:t>0</w:t>
      </w:r>
      <w:r w:rsidRPr="001F3737">
        <w:rPr>
          <w:rFonts w:ascii="Book Antiqua" w:hAnsi="Book Antiqua"/>
        </w:rPr>
        <w:t xml:space="preserve">.009). </w:t>
      </w:r>
    </w:p>
    <w:p w14:paraId="0A9153D4" w14:textId="77777777" w:rsidR="00C238BA" w:rsidRPr="001F3737" w:rsidRDefault="00C238BA" w:rsidP="001F3737">
      <w:pPr>
        <w:spacing w:line="360" w:lineRule="auto"/>
        <w:jc w:val="both"/>
        <w:rPr>
          <w:rFonts w:ascii="Book Antiqua" w:hAnsi="Book Antiqua"/>
        </w:rPr>
      </w:pPr>
    </w:p>
    <w:p w14:paraId="0449B1DA" w14:textId="77777777" w:rsidR="00C238BA" w:rsidRPr="001F3737" w:rsidRDefault="00C238BA" w:rsidP="001F3737">
      <w:pPr>
        <w:pStyle w:val="Heading2"/>
        <w:spacing w:line="360" w:lineRule="auto"/>
        <w:jc w:val="both"/>
        <w:rPr>
          <w:rFonts w:ascii="Book Antiqua" w:hAnsi="Book Antiqua"/>
          <w:i/>
        </w:rPr>
      </w:pPr>
      <w:r w:rsidRPr="001F3737">
        <w:rPr>
          <w:rFonts w:ascii="Book Antiqua" w:hAnsi="Book Antiqua"/>
          <w:i/>
        </w:rPr>
        <w:t>DBCM analysis</w:t>
      </w:r>
    </w:p>
    <w:p w14:paraId="1A38B6C3" w14:textId="220ED1FD" w:rsidR="00C238BA" w:rsidRPr="001F3737" w:rsidRDefault="00C238BA" w:rsidP="001F3737">
      <w:pPr>
        <w:spacing w:line="360" w:lineRule="auto"/>
        <w:jc w:val="both"/>
        <w:rPr>
          <w:rFonts w:ascii="Book Antiqua" w:hAnsi="Book Antiqua"/>
        </w:rPr>
      </w:pPr>
      <w:r w:rsidRPr="001F3737">
        <w:rPr>
          <w:rFonts w:ascii="Book Antiqua" w:hAnsi="Book Antiqua"/>
        </w:rPr>
        <w:t>Length of stay was shorter in the case cohort, however the difference was not sta</w:t>
      </w:r>
      <w:r w:rsidR="00780CEC" w:rsidRPr="001F3737">
        <w:rPr>
          <w:rFonts w:ascii="Book Antiqua" w:hAnsi="Book Antiqua"/>
        </w:rPr>
        <w:t xml:space="preserve">tistically significant (7.38 </w:t>
      </w:r>
      <w:r w:rsidR="00780CEC" w:rsidRPr="001F3737">
        <w:rPr>
          <w:rFonts w:ascii="Book Antiqua" w:hAnsi="Book Antiqua"/>
          <w:i/>
        </w:rPr>
        <w:t>vs</w:t>
      </w:r>
      <w:r w:rsidRPr="001F3737">
        <w:rPr>
          <w:rFonts w:ascii="Book Antiqua" w:hAnsi="Book Antiqua"/>
        </w:rPr>
        <w:t xml:space="preserve"> 8.18, </w:t>
      </w:r>
      <w:r w:rsidRPr="001F3737">
        <w:rPr>
          <w:rFonts w:ascii="Book Antiqua" w:hAnsi="Book Antiqua"/>
          <w:i/>
        </w:rPr>
        <w:t>P</w:t>
      </w:r>
      <w:r w:rsidRPr="001F3737">
        <w:rPr>
          <w:rFonts w:ascii="Book Antiqua" w:hAnsi="Book Antiqua"/>
        </w:rPr>
        <w:t xml:space="preserve"> =</w:t>
      </w:r>
      <w:r w:rsidR="00780CEC" w:rsidRPr="001F3737">
        <w:rPr>
          <w:rFonts w:ascii="Book Antiqua" w:eastAsia="宋体" w:hAnsi="Book Antiqua"/>
          <w:lang w:eastAsia="zh-CN"/>
        </w:rPr>
        <w:t xml:space="preserve"> 0</w:t>
      </w:r>
      <w:r w:rsidRPr="001F3737">
        <w:rPr>
          <w:rFonts w:ascii="Book Antiqua" w:hAnsi="Book Antiqua"/>
        </w:rPr>
        <w:t xml:space="preserve">.210; Table </w:t>
      </w:r>
      <w:r w:rsidR="004F6BA8">
        <w:rPr>
          <w:rFonts w:ascii="Book Antiqua" w:eastAsia="宋体" w:hAnsi="Book Antiqua" w:hint="eastAsia"/>
          <w:lang w:eastAsia="zh-CN"/>
        </w:rPr>
        <w:t>3</w:t>
      </w:r>
      <w:r w:rsidRPr="001F3737">
        <w:rPr>
          <w:rFonts w:ascii="Book Antiqua" w:hAnsi="Book Antiqua"/>
        </w:rPr>
        <w:t xml:space="preserve">); the median LOS was six days for each cohort. A greater proportion of patients in the case cohort had an on-course hospitalization vs. the control (53.5% </w:t>
      </w:r>
      <w:r w:rsidR="00780CEC" w:rsidRPr="001F3737">
        <w:rPr>
          <w:rFonts w:ascii="Book Antiqua" w:hAnsi="Book Antiqua"/>
          <w:i/>
        </w:rPr>
        <w:t>vs</w:t>
      </w:r>
      <w:r w:rsidR="00780CEC" w:rsidRPr="001F3737">
        <w:rPr>
          <w:rFonts w:ascii="Book Antiqua" w:hAnsi="Book Antiqua"/>
        </w:rPr>
        <w:t xml:space="preserve"> </w:t>
      </w:r>
      <w:r w:rsidRPr="001F3737">
        <w:rPr>
          <w:rFonts w:ascii="Book Antiqua" w:hAnsi="Book Antiqua"/>
        </w:rPr>
        <w:t>41.9%,</w:t>
      </w:r>
      <w:r w:rsidRPr="001F3737">
        <w:rPr>
          <w:rFonts w:ascii="Book Antiqua" w:hAnsi="Book Antiqua"/>
          <w:i/>
        </w:rPr>
        <w:t xml:space="preserve"> P</w:t>
      </w:r>
      <w:r w:rsidRPr="001F3737">
        <w:rPr>
          <w:rFonts w:ascii="Book Antiqua" w:hAnsi="Book Antiqua"/>
        </w:rPr>
        <w:t xml:space="preserve"> = </w:t>
      </w:r>
      <w:r w:rsidR="00780CEC" w:rsidRPr="001F3737">
        <w:rPr>
          <w:rFonts w:ascii="Book Antiqua" w:eastAsia="宋体" w:hAnsi="Book Antiqua"/>
          <w:lang w:eastAsia="zh-CN"/>
        </w:rPr>
        <w:t>0</w:t>
      </w:r>
      <w:r w:rsidRPr="001F3737">
        <w:rPr>
          <w:rFonts w:ascii="Book Antiqua" w:hAnsi="Book Antiqua"/>
        </w:rPr>
        <w:t xml:space="preserve">.013; Table </w:t>
      </w:r>
      <w:r w:rsidR="0052420F" w:rsidRPr="001F3737">
        <w:rPr>
          <w:rFonts w:ascii="Book Antiqua" w:hAnsi="Book Antiqua"/>
        </w:rPr>
        <w:t>4</w:t>
      </w:r>
      <w:r w:rsidRPr="001F3737">
        <w:rPr>
          <w:rFonts w:ascii="Book Antiqua" w:hAnsi="Book Antiqua"/>
        </w:rPr>
        <w:t xml:space="preserve">). The proportion in other deviation classes was statistically similar across cohorts. Mean total hospitalization costs were greater among those with an on-course hospitalization in the case cohort </w:t>
      </w:r>
      <w:r w:rsidR="00780CEC" w:rsidRPr="001F3737">
        <w:rPr>
          <w:rFonts w:ascii="Book Antiqua" w:hAnsi="Book Antiqua"/>
          <w:i/>
        </w:rPr>
        <w:t>vs</w:t>
      </w:r>
      <w:r w:rsidRPr="001F3737">
        <w:rPr>
          <w:rFonts w:ascii="Book Antiqua" w:hAnsi="Book Antiqua"/>
        </w:rPr>
        <w:t xml:space="preserve"> controls ($18,000 </w:t>
      </w:r>
      <w:r w:rsidR="00780CEC" w:rsidRPr="001F3737">
        <w:rPr>
          <w:rFonts w:ascii="Book Antiqua" w:hAnsi="Book Antiqua"/>
          <w:i/>
        </w:rPr>
        <w:t>vs</w:t>
      </w:r>
      <w:r w:rsidR="00780CEC" w:rsidRPr="001F3737">
        <w:rPr>
          <w:rFonts w:ascii="Book Antiqua" w:hAnsi="Book Antiqua"/>
        </w:rPr>
        <w:t xml:space="preserve"> </w:t>
      </w:r>
      <w:r w:rsidRPr="001F3737">
        <w:rPr>
          <w:rFonts w:ascii="Book Antiqua" w:hAnsi="Book Antiqua"/>
        </w:rPr>
        <w:t xml:space="preserve">$16,813, </w:t>
      </w:r>
      <w:r w:rsidRPr="001F3737">
        <w:rPr>
          <w:rFonts w:ascii="Book Antiqua" w:hAnsi="Book Antiqua"/>
          <w:i/>
        </w:rPr>
        <w:t>P</w:t>
      </w:r>
      <w:r w:rsidRPr="001F3737">
        <w:rPr>
          <w:rFonts w:ascii="Book Antiqua" w:hAnsi="Book Antiqua"/>
        </w:rPr>
        <w:t xml:space="preserve"> = </w:t>
      </w:r>
      <w:r w:rsidR="00780CEC" w:rsidRPr="001F3737">
        <w:rPr>
          <w:rFonts w:ascii="Book Antiqua" w:eastAsia="宋体" w:hAnsi="Book Antiqua"/>
          <w:lang w:eastAsia="zh-CN"/>
        </w:rPr>
        <w:t>0</w:t>
      </w:r>
      <w:r w:rsidRPr="001F3737">
        <w:rPr>
          <w:rFonts w:ascii="Book Antiqua" w:hAnsi="Book Antiqua"/>
        </w:rPr>
        <w:t xml:space="preserve">.031); costs in other deviation classes were not statistically different. Overall, accounting for the distribution of patients in each deviation class and mean cost by deviation class, the WAMC for the case cohort </w:t>
      </w:r>
      <w:r w:rsidR="00CC1953">
        <w:rPr>
          <w:rFonts w:ascii="Book Antiqua" w:hAnsi="Book Antiqua"/>
        </w:rPr>
        <w:t xml:space="preserve">was $25503 </w:t>
      </w:r>
      <w:r w:rsidR="00CC1953" w:rsidRPr="00CC1953">
        <w:rPr>
          <w:rFonts w:ascii="Book Antiqua" w:hAnsi="Book Antiqua"/>
          <w:i/>
        </w:rPr>
        <w:t>vs</w:t>
      </w:r>
      <w:r w:rsidR="00CC1953">
        <w:rPr>
          <w:rFonts w:ascii="Book Antiqua" w:hAnsi="Book Antiqua"/>
        </w:rPr>
        <w:t xml:space="preserve"> $26</w:t>
      </w:r>
      <w:r w:rsidRPr="001F3737">
        <w:rPr>
          <w:rFonts w:ascii="Book Antiqua" w:hAnsi="Book Antiqua"/>
        </w:rPr>
        <w:t>530 for controls. This repr</w:t>
      </w:r>
      <w:r w:rsidR="00CC1953">
        <w:rPr>
          <w:rFonts w:ascii="Book Antiqua" w:hAnsi="Book Antiqua"/>
        </w:rPr>
        <w:t>esents an average savings of $1</w:t>
      </w:r>
      <w:r w:rsidRPr="001F3737">
        <w:rPr>
          <w:rFonts w:ascii="Book Antiqua" w:hAnsi="Book Antiqua"/>
        </w:rPr>
        <w:t>027 in the total hospitalization cost per patient when the SCBS was used.</w:t>
      </w:r>
    </w:p>
    <w:p w14:paraId="0CC82405" w14:textId="77777777" w:rsidR="00C238BA" w:rsidRPr="001F3737" w:rsidRDefault="00C238BA" w:rsidP="001F3737">
      <w:pPr>
        <w:spacing w:line="360" w:lineRule="auto"/>
        <w:jc w:val="both"/>
        <w:rPr>
          <w:rFonts w:ascii="Book Antiqua" w:hAnsi="Book Antiqua"/>
          <w:b/>
        </w:rPr>
      </w:pPr>
    </w:p>
    <w:p w14:paraId="751A8ABC" w14:textId="614565EC" w:rsidR="00C238BA" w:rsidRPr="001F3737" w:rsidRDefault="00C238BA" w:rsidP="001F3737">
      <w:pPr>
        <w:pStyle w:val="Heading2"/>
        <w:spacing w:line="360" w:lineRule="auto"/>
        <w:jc w:val="both"/>
        <w:rPr>
          <w:rFonts w:ascii="Book Antiqua" w:hAnsi="Book Antiqua"/>
          <w:i/>
        </w:rPr>
      </w:pPr>
      <w:r w:rsidRPr="001F3737">
        <w:rPr>
          <w:rFonts w:ascii="Book Antiqua" w:hAnsi="Book Antiqua"/>
          <w:i/>
        </w:rPr>
        <w:lastRenderedPageBreak/>
        <w:t xml:space="preserve">Predictors of </w:t>
      </w:r>
      <w:r w:rsidR="00780CEC" w:rsidRPr="001F3737">
        <w:rPr>
          <w:rFonts w:ascii="Book Antiqua" w:hAnsi="Book Antiqua"/>
          <w:i/>
        </w:rPr>
        <w:t>topical hemostat use and incidence of transfusion</w:t>
      </w:r>
    </w:p>
    <w:p w14:paraId="164953F9" w14:textId="12F529F0" w:rsidR="00C238BA" w:rsidRPr="001F3737" w:rsidRDefault="00C238BA" w:rsidP="001F3737">
      <w:pPr>
        <w:spacing w:line="360" w:lineRule="auto"/>
        <w:jc w:val="both"/>
        <w:rPr>
          <w:rFonts w:ascii="Book Antiqua" w:hAnsi="Book Antiqua"/>
        </w:rPr>
      </w:pPr>
      <w:r w:rsidRPr="001F3737">
        <w:rPr>
          <w:rFonts w:ascii="Book Antiqua" w:hAnsi="Book Antiqua"/>
        </w:rPr>
        <w:t xml:space="preserve">In logistic regression analysis of predictors of topical hemostat use, patients residing in the South were at greater odds of topical hemostat use compared to those in the Northeast, while patients with the surgery performed by a surgical oncologist were at lower odds of hemostat use compared to general surgeons (Table </w:t>
      </w:r>
      <w:r w:rsidR="0052420F" w:rsidRPr="001F3737">
        <w:rPr>
          <w:rFonts w:ascii="Book Antiqua" w:hAnsi="Book Antiqua"/>
        </w:rPr>
        <w:t>5</w:t>
      </w:r>
      <w:r w:rsidRPr="001F3737">
        <w:rPr>
          <w:rFonts w:ascii="Book Antiqua" w:hAnsi="Book Antiqua"/>
        </w:rPr>
        <w:t>). Patients in the case cohort were at higher odds of topical hemostat u</w:t>
      </w:r>
      <w:r w:rsidR="00780CEC" w:rsidRPr="001F3737">
        <w:rPr>
          <w:rFonts w:ascii="Book Antiqua" w:hAnsi="Book Antiqua"/>
        </w:rPr>
        <w:t xml:space="preserve">se </w:t>
      </w:r>
      <w:r w:rsidR="00780CEC" w:rsidRPr="001F3737">
        <w:rPr>
          <w:rFonts w:ascii="Book Antiqua" w:hAnsi="Book Antiqua"/>
          <w:i/>
        </w:rPr>
        <w:t>vs</w:t>
      </w:r>
      <w:r w:rsidR="00780CEC" w:rsidRPr="001F3737">
        <w:rPr>
          <w:rFonts w:ascii="Book Antiqua" w:eastAsia="宋体" w:hAnsi="Book Antiqua"/>
          <w:lang w:eastAsia="zh-CN"/>
        </w:rPr>
        <w:t xml:space="preserve"> </w:t>
      </w:r>
      <w:r w:rsidR="00780CEC" w:rsidRPr="001F3737">
        <w:rPr>
          <w:rFonts w:ascii="Book Antiqua" w:hAnsi="Book Antiqua"/>
        </w:rPr>
        <w:t>controls (OR = 2.56, 95%</w:t>
      </w:r>
      <w:r w:rsidRPr="001F3737">
        <w:rPr>
          <w:rFonts w:ascii="Book Antiqua" w:hAnsi="Book Antiqua"/>
        </w:rPr>
        <w:t>CI</w:t>
      </w:r>
      <w:r w:rsidR="00780CEC" w:rsidRPr="001F3737">
        <w:rPr>
          <w:rFonts w:ascii="Book Antiqua" w:eastAsia="宋体" w:hAnsi="Book Antiqua"/>
          <w:lang w:eastAsia="zh-CN"/>
        </w:rPr>
        <w:t>:</w:t>
      </w:r>
      <w:r w:rsidRPr="001F3737">
        <w:rPr>
          <w:rFonts w:ascii="Book Antiqua" w:hAnsi="Book Antiqua"/>
        </w:rPr>
        <w:t xml:space="preserve"> 1.70-3.86, </w:t>
      </w:r>
      <w:r w:rsidRPr="001F3737">
        <w:rPr>
          <w:rFonts w:ascii="Book Antiqua" w:hAnsi="Book Antiqua"/>
          <w:i/>
        </w:rPr>
        <w:t>P</w:t>
      </w:r>
      <w:r w:rsidRPr="001F3737">
        <w:rPr>
          <w:rFonts w:ascii="Book Antiqua" w:hAnsi="Book Antiqua"/>
        </w:rPr>
        <w:t xml:space="preserve"> &lt; </w:t>
      </w:r>
      <w:r w:rsidR="00780CEC" w:rsidRPr="001F3737">
        <w:rPr>
          <w:rFonts w:ascii="Book Antiqua" w:eastAsia="宋体" w:hAnsi="Book Antiqua"/>
          <w:lang w:eastAsia="zh-CN"/>
        </w:rPr>
        <w:t>0</w:t>
      </w:r>
      <w:r w:rsidRPr="001F3737">
        <w:rPr>
          <w:rFonts w:ascii="Book Antiqua" w:hAnsi="Book Antiqua"/>
        </w:rPr>
        <w:t>.001).</w:t>
      </w:r>
    </w:p>
    <w:p w14:paraId="77EBE164" w14:textId="2F05FB59" w:rsidR="00C238BA" w:rsidRPr="001F3737" w:rsidRDefault="00C238BA" w:rsidP="001F3737">
      <w:pPr>
        <w:spacing w:line="360" w:lineRule="auto"/>
        <w:ind w:firstLineChars="150" w:firstLine="360"/>
        <w:jc w:val="both"/>
        <w:rPr>
          <w:rFonts w:ascii="Book Antiqua" w:hAnsi="Book Antiqua"/>
        </w:rPr>
      </w:pPr>
      <w:r w:rsidRPr="001F3737">
        <w:rPr>
          <w:rFonts w:ascii="Book Antiqua" w:hAnsi="Book Antiqua"/>
        </w:rPr>
        <w:t xml:space="preserve">In a regression evaluating predictors of a transfusion during the hospitalization (Table </w:t>
      </w:r>
      <w:r w:rsidR="0052420F" w:rsidRPr="001F3737">
        <w:rPr>
          <w:rFonts w:ascii="Book Antiqua" w:hAnsi="Book Antiqua"/>
        </w:rPr>
        <w:t>5</w:t>
      </w:r>
      <w:r w:rsidRPr="001F3737">
        <w:rPr>
          <w:rFonts w:ascii="Book Antiqua" w:hAnsi="Book Antiqua"/>
        </w:rPr>
        <w:t>), patients aged 75 or older (</w:t>
      </w:r>
      <w:r w:rsidR="00780CEC" w:rsidRPr="001F3737">
        <w:rPr>
          <w:rFonts w:ascii="Book Antiqua" w:hAnsi="Book Antiqua"/>
          <w:i/>
        </w:rPr>
        <w:t>vs</w:t>
      </w:r>
      <w:r w:rsidR="00780CEC" w:rsidRPr="001F3737">
        <w:rPr>
          <w:rFonts w:ascii="Book Antiqua" w:hAnsi="Book Antiqua"/>
        </w:rPr>
        <w:t xml:space="preserve"> </w:t>
      </w:r>
      <w:r w:rsidRPr="001F3737">
        <w:rPr>
          <w:rFonts w:ascii="Book Antiqua" w:hAnsi="Book Antiqua"/>
        </w:rPr>
        <w:t>ages 18 to 44), Black race (versus Caucasian), and patients residing in the South (</w:t>
      </w:r>
      <w:r w:rsidR="00780CEC" w:rsidRPr="001F3737">
        <w:rPr>
          <w:rFonts w:ascii="Book Antiqua" w:hAnsi="Book Antiqua"/>
          <w:i/>
        </w:rPr>
        <w:t>vs</w:t>
      </w:r>
      <w:r w:rsidR="00780CEC" w:rsidRPr="001F3737">
        <w:rPr>
          <w:rFonts w:ascii="Book Antiqua" w:hAnsi="Book Antiqua"/>
        </w:rPr>
        <w:t xml:space="preserve"> </w:t>
      </w:r>
      <w:r w:rsidRPr="001F3737">
        <w:rPr>
          <w:rFonts w:ascii="Book Antiqua" w:hAnsi="Book Antiqua"/>
        </w:rPr>
        <w:t>Northeast), and patients operated on by a</w:t>
      </w:r>
      <w:r w:rsidR="00780CEC" w:rsidRPr="001F3737">
        <w:rPr>
          <w:rFonts w:ascii="Book Antiqua" w:hAnsi="Book Antiqua"/>
        </w:rPr>
        <w:t>n other surgical specialist (</w:t>
      </w:r>
      <w:r w:rsidR="00780CEC" w:rsidRPr="001F3737">
        <w:rPr>
          <w:rFonts w:ascii="Book Antiqua" w:hAnsi="Book Antiqua"/>
          <w:i/>
        </w:rPr>
        <w:t>vs</w:t>
      </w:r>
      <w:r w:rsidRPr="001F3737">
        <w:rPr>
          <w:rFonts w:ascii="Book Antiqua" w:hAnsi="Book Antiqua"/>
        </w:rPr>
        <w:t xml:space="preserve"> general surgeons) were at higher odds of receiving a transfusion. Patients undergoing a lobectomy (versus partial hepatectomy) were at higher odds, as were patients whose diagnosis was a primary malignancy (versus metastatic). Controlling for topical hemostat use, patients in the case cohort were at lower odds of transfusion </w:t>
      </w:r>
      <w:r w:rsidR="00780CEC" w:rsidRPr="001F3737">
        <w:rPr>
          <w:rFonts w:ascii="Book Antiqua" w:hAnsi="Book Antiqua"/>
        </w:rPr>
        <w:t>versus controls (OR = 0.44, 95%</w:t>
      </w:r>
      <w:r w:rsidRPr="001F3737">
        <w:rPr>
          <w:rFonts w:ascii="Book Antiqua" w:hAnsi="Book Antiqua"/>
        </w:rPr>
        <w:t>CI</w:t>
      </w:r>
      <w:r w:rsidR="00780CEC" w:rsidRPr="001F3737">
        <w:rPr>
          <w:rFonts w:ascii="Book Antiqua" w:eastAsia="宋体" w:hAnsi="Book Antiqua"/>
          <w:lang w:eastAsia="zh-CN"/>
        </w:rPr>
        <w:t>:</w:t>
      </w:r>
      <w:r w:rsidRPr="001F3737">
        <w:rPr>
          <w:rFonts w:ascii="Book Antiqua" w:hAnsi="Book Antiqua"/>
        </w:rPr>
        <w:t xml:space="preserve"> 0.27 – 0.71,</w:t>
      </w:r>
      <w:r w:rsidRPr="001F3737">
        <w:rPr>
          <w:rFonts w:ascii="Book Antiqua" w:hAnsi="Book Antiqua"/>
          <w:i/>
        </w:rPr>
        <w:t xml:space="preserve"> P</w:t>
      </w:r>
      <w:r w:rsidRPr="001F3737">
        <w:rPr>
          <w:rFonts w:ascii="Book Antiqua" w:hAnsi="Book Antiqua"/>
        </w:rPr>
        <w:t xml:space="preserve"> = </w:t>
      </w:r>
      <w:r w:rsidR="00780CEC" w:rsidRPr="001F3737">
        <w:rPr>
          <w:rFonts w:ascii="Book Antiqua" w:eastAsia="宋体" w:hAnsi="Book Antiqua"/>
          <w:lang w:eastAsia="zh-CN"/>
        </w:rPr>
        <w:t>0</w:t>
      </w:r>
      <w:r w:rsidRPr="001F3737">
        <w:rPr>
          <w:rFonts w:ascii="Book Antiqua" w:hAnsi="Book Antiqua"/>
        </w:rPr>
        <w:t>.0008)</w:t>
      </w:r>
    </w:p>
    <w:p w14:paraId="2F32A2E7" w14:textId="77777777" w:rsidR="00C238BA" w:rsidRPr="001F3737" w:rsidRDefault="00C238BA" w:rsidP="001F3737">
      <w:pPr>
        <w:spacing w:line="360" w:lineRule="auto"/>
        <w:jc w:val="both"/>
        <w:rPr>
          <w:rFonts w:ascii="Book Antiqua" w:hAnsi="Book Antiqua"/>
        </w:rPr>
      </w:pPr>
    </w:p>
    <w:p w14:paraId="44A04F36" w14:textId="77777777" w:rsidR="00C238BA" w:rsidRPr="001F3737" w:rsidRDefault="00C238BA" w:rsidP="001F3737">
      <w:pPr>
        <w:pStyle w:val="Heading1"/>
        <w:spacing w:line="360" w:lineRule="auto"/>
        <w:jc w:val="both"/>
        <w:rPr>
          <w:rFonts w:ascii="Book Antiqua" w:hAnsi="Book Antiqua"/>
        </w:rPr>
      </w:pPr>
      <w:r w:rsidRPr="001F3737">
        <w:rPr>
          <w:rFonts w:ascii="Book Antiqua" w:hAnsi="Book Antiqua"/>
        </w:rPr>
        <w:t>DISCUSSION</w:t>
      </w:r>
    </w:p>
    <w:p w14:paraId="550B958B" w14:textId="02C93890" w:rsidR="00C238BA" w:rsidRPr="001F3737" w:rsidRDefault="00C238BA" w:rsidP="001F3737">
      <w:pPr>
        <w:spacing w:line="360" w:lineRule="auto"/>
        <w:jc w:val="both"/>
        <w:rPr>
          <w:rFonts w:ascii="Book Antiqua" w:hAnsi="Book Antiqua"/>
        </w:rPr>
      </w:pPr>
      <w:r w:rsidRPr="001F3737">
        <w:rPr>
          <w:rFonts w:ascii="Book Antiqua" w:hAnsi="Book Antiqua"/>
        </w:rPr>
        <w:t xml:space="preserve">This retrospective database analysis evaluated the use of the SCBS in open partial liver resection for hepatic malignancy. After matching, patients treated with the SCBS had a lower incidence of transfusions (18.1% </w:t>
      </w:r>
      <w:r w:rsidR="00780CEC" w:rsidRPr="001F3737">
        <w:rPr>
          <w:rFonts w:ascii="Book Antiqua" w:hAnsi="Book Antiqua"/>
          <w:i/>
        </w:rPr>
        <w:t>vs</w:t>
      </w:r>
      <w:r w:rsidRPr="001F3737">
        <w:rPr>
          <w:rFonts w:ascii="Book Antiqua" w:hAnsi="Book Antiqua"/>
        </w:rPr>
        <w:t xml:space="preserve"> 29.4%, </w:t>
      </w:r>
      <w:r w:rsidRPr="001F3737">
        <w:rPr>
          <w:rFonts w:ascii="Book Antiqua" w:hAnsi="Book Antiqua"/>
          <w:i/>
        </w:rPr>
        <w:t>P</w:t>
      </w:r>
      <w:r w:rsidRPr="001F3737">
        <w:rPr>
          <w:rFonts w:ascii="Book Antiqua" w:hAnsi="Book Antiqua"/>
        </w:rPr>
        <w:t xml:space="preserve"> = </w:t>
      </w:r>
      <w:r w:rsidR="00780CEC" w:rsidRPr="001F3737">
        <w:rPr>
          <w:rFonts w:ascii="Book Antiqua" w:eastAsia="宋体" w:hAnsi="Book Antiqua"/>
          <w:lang w:eastAsia="zh-CN"/>
        </w:rPr>
        <w:t>0</w:t>
      </w:r>
      <w:r w:rsidRPr="001F3737">
        <w:rPr>
          <w:rFonts w:ascii="Book Antiqua" w:hAnsi="Book Antiqua"/>
        </w:rPr>
        <w:t>.007). Controlling for topical hemostat use, the reduction of transfusion incidence in univariate analysis was confirmed in multivariate analysis, with SCBS use associated with a lower odds of transfusio</w:t>
      </w:r>
      <w:r w:rsidR="00780CEC" w:rsidRPr="001F3737">
        <w:rPr>
          <w:rFonts w:ascii="Book Antiqua" w:hAnsi="Book Antiqua"/>
        </w:rPr>
        <w:t>n versus no use (OR = 0.44, 95%</w:t>
      </w:r>
      <w:r w:rsidRPr="001F3737">
        <w:rPr>
          <w:rFonts w:ascii="Book Antiqua" w:hAnsi="Book Antiqua"/>
        </w:rPr>
        <w:t>CI</w:t>
      </w:r>
      <w:r w:rsidR="00780CEC" w:rsidRPr="001F3737">
        <w:rPr>
          <w:rFonts w:ascii="Book Antiqua" w:eastAsia="宋体" w:hAnsi="Book Antiqua"/>
          <w:lang w:eastAsia="zh-CN"/>
        </w:rPr>
        <w:t>:</w:t>
      </w:r>
      <w:r w:rsidRPr="001F3737">
        <w:rPr>
          <w:rFonts w:ascii="Book Antiqua" w:hAnsi="Book Antiqua"/>
        </w:rPr>
        <w:t xml:space="preserve"> 0.27 – 0.71). Overall, DBCM analyses indicate</w:t>
      </w:r>
      <w:r w:rsidR="00780CEC" w:rsidRPr="001F3737">
        <w:rPr>
          <w:rFonts w:ascii="Book Antiqua" w:hAnsi="Book Antiqua"/>
        </w:rPr>
        <w:t>d an average cost savings of $1</w:t>
      </w:r>
      <w:r w:rsidRPr="001F3737">
        <w:rPr>
          <w:rFonts w:ascii="Book Antiqua" w:hAnsi="Book Antiqua"/>
        </w:rPr>
        <w:t xml:space="preserve">027 among cases when accounting for the proportion within each “hospital deviation” class, with significantly more patients in the SCBS cohort with an “on course” hospitalization (defined as no complications and a LOS less than the median). We believe this study, despite the lack of clinical detail on number of lobes resected, provides information on “real-world” practice outside of a controlled prospective study or randomized controlled trial. </w:t>
      </w:r>
    </w:p>
    <w:p w14:paraId="77F1BD7E" w14:textId="3CF44AA5" w:rsidR="00C238BA" w:rsidRPr="001F3737" w:rsidRDefault="00C238BA" w:rsidP="001F3737">
      <w:pPr>
        <w:spacing w:line="360" w:lineRule="auto"/>
        <w:ind w:firstLineChars="150" w:firstLine="360"/>
        <w:jc w:val="both"/>
        <w:rPr>
          <w:rFonts w:ascii="Book Antiqua" w:hAnsi="Book Antiqua"/>
        </w:rPr>
      </w:pPr>
      <w:r w:rsidRPr="001F3737">
        <w:rPr>
          <w:rFonts w:ascii="Book Antiqua" w:hAnsi="Book Antiqua"/>
        </w:rPr>
        <w:lastRenderedPageBreak/>
        <w:t>This study adds to a growing body of research evaluating the safety and efficacy of SCBS in liver resections. Authors at the University of Pittsburgh Starzl Transplant Institute performed a single-arm study evaluating the safety of the SCBS (formerly of “TissueLink Medical”) in 170 open liver resection procedures performed between 2001 and 2004</w:t>
      </w:r>
      <w:r w:rsidRPr="001F3737">
        <w:rPr>
          <w:rFonts w:ascii="Book Antiqua" w:hAnsi="Book Antiqua"/>
        </w:rPr>
        <w:fldChar w:fldCharType="begin"/>
      </w:r>
      <w:r w:rsidRPr="001F3737">
        <w:rPr>
          <w:rFonts w:ascii="Book Antiqua" w:hAnsi="Book Antiqua"/>
        </w:rPr>
        <w:instrText>ADDIN BEC{Geller et al., 2005, #19}</w:instrText>
      </w:r>
      <w:r w:rsidRPr="001F3737">
        <w:rPr>
          <w:rFonts w:ascii="Book Antiqua" w:hAnsi="Book Antiqua"/>
        </w:rPr>
        <w:fldChar w:fldCharType="separate"/>
      </w:r>
      <w:r w:rsidRPr="001F3737">
        <w:rPr>
          <w:rFonts w:ascii="Book Antiqua" w:hAnsi="Book Antiqua"/>
          <w:vertAlign w:val="superscript"/>
        </w:rPr>
        <w:t>[20]</w:t>
      </w:r>
      <w:r w:rsidRPr="001F3737">
        <w:rPr>
          <w:rFonts w:ascii="Book Antiqua" w:hAnsi="Book Antiqua"/>
        </w:rPr>
        <w:fldChar w:fldCharType="end"/>
      </w:r>
      <w:r w:rsidR="00780CEC" w:rsidRPr="001F3737">
        <w:rPr>
          <w:rFonts w:ascii="Book Antiqua" w:eastAsia="宋体" w:hAnsi="Book Antiqua"/>
          <w:lang w:eastAsia="zh-CN"/>
        </w:rPr>
        <w:t xml:space="preserve">. </w:t>
      </w:r>
      <w:r w:rsidRPr="001F3737">
        <w:rPr>
          <w:rFonts w:ascii="Book Antiqua" w:hAnsi="Book Antiqua"/>
        </w:rPr>
        <w:t>Overall, 3.5% of patients were transfused and 2.4% developed a postoperative bile leak. There were no cases of postoperative hemorrhage, hepatic failure, liver abscess, or reoperation. The authors concluded the SCBS was effective in achieving intraoperative hemostasis in hepatic resection. The observed transfusion rate is much lower than in our present study, however this is likely due to comparing outcomes from a single high-volume hospital versus our present study, which includes data from 284 hospitals.</w:t>
      </w:r>
    </w:p>
    <w:p w14:paraId="58193ADC" w14:textId="59AFFF92" w:rsidR="00C238BA" w:rsidRPr="001F3737" w:rsidRDefault="00C238BA" w:rsidP="001F3737">
      <w:pPr>
        <w:spacing w:line="360" w:lineRule="auto"/>
        <w:ind w:firstLineChars="100" w:firstLine="240"/>
        <w:jc w:val="both"/>
        <w:rPr>
          <w:rFonts w:ascii="Book Antiqua" w:hAnsi="Book Antiqua"/>
        </w:rPr>
      </w:pPr>
      <w:r w:rsidRPr="001F3737">
        <w:rPr>
          <w:rFonts w:ascii="Book Antiqua" w:hAnsi="Book Antiqua"/>
        </w:rPr>
        <w:t>In a prospective single-arm study in Italy, the incidence of early surgical complications (including bleeding, biliary leakage, and abscess development) following 12 partial hepatectomies with the SCBS was evaluated</w:t>
      </w:r>
      <w:r w:rsidRPr="001F3737">
        <w:rPr>
          <w:rFonts w:ascii="Book Antiqua" w:hAnsi="Book Antiqua"/>
        </w:rPr>
        <w:fldChar w:fldCharType="begin"/>
      </w:r>
      <w:r w:rsidRPr="001F3737">
        <w:rPr>
          <w:rFonts w:ascii="Book Antiqua" w:hAnsi="Book Antiqua"/>
        </w:rPr>
        <w:instrText>ADDIN BEC{Curro et al., 2014, #8}</w:instrText>
      </w:r>
      <w:r w:rsidRPr="001F3737">
        <w:rPr>
          <w:rFonts w:ascii="Book Antiqua" w:hAnsi="Book Antiqua"/>
        </w:rPr>
        <w:fldChar w:fldCharType="separate"/>
      </w:r>
      <w:r w:rsidRPr="001F3737">
        <w:rPr>
          <w:rFonts w:ascii="Book Antiqua" w:hAnsi="Book Antiqua"/>
          <w:vertAlign w:val="superscript"/>
        </w:rPr>
        <w:t>[21]</w:t>
      </w:r>
      <w:r w:rsidRPr="001F3737">
        <w:rPr>
          <w:rFonts w:ascii="Book Antiqua" w:hAnsi="Book Antiqua"/>
        </w:rPr>
        <w:fldChar w:fldCharType="end"/>
      </w:r>
      <w:r w:rsidR="00780CEC" w:rsidRPr="001F3737">
        <w:rPr>
          <w:rFonts w:ascii="Book Antiqua" w:eastAsia="宋体" w:hAnsi="Book Antiqua"/>
          <w:lang w:eastAsia="zh-CN"/>
        </w:rPr>
        <w:t xml:space="preserve">. </w:t>
      </w:r>
      <w:r w:rsidRPr="001F3737">
        <w:rPr>
          <w:rFonts w:ascii="Book Antiqua" w:hAnsi="Book Antiqua"/>
        </w:rPr>
        <w:t>Mean blood loss was 20 mL (range 5 to 80 mL), with no transfusions and a mean LOS of six days</w:t>
      </w:r>
      <w:r w:rsidRPr="001F3737">
        <w:rPr>
          <w:rFonts w:ascii="Book Antiqua" w:hAnsi="Book Antiqua"/>
        </w:rPr>
        <w:fldChar w:fldCharType="begin"/>
      </w:r>
      <w:r w:rsidRPr="001F3737">
        <w:rPr>
          <w:rFonts w:ascii="Book Antiqua" w:hAnsi="Book Antiqua"/>
        </w:rPr>
        <w:instrText>ADDIN BEC{Curro et al., 2014, #8}</w:instrText>
      </w:r>
      <w:r w:rsidRPr="001F3737">
        <w:rPr>
          <w:rFonts w:ascii="Book Antiqua" w:hAnsi="Book Antiqua"/>
        </w:rPr>
        <w:fldChar w:fldCharType="separate"/>
      </w:r>
      <w:r w:rsidRPr="001F3737">
        <w:rPr>
          <w:rFonts w:ascii="Book Antiqua" w:hAnsi="Book Antiqua"/>
          <w:vertAlign w:val="superscript"/>
        </w:rPr>
        <w:t>[21]</w:t>
      </w:r>
      <w:r w:rsidRPr="001F3737">
        <w:rPr>
          <w:rFonts w:ascii="Book Antiqua" w:hAnsi="Book Antiqua"/>
        </w:rPr>
        <w:fldChar w:fldCharType="end"/>
      </w:r>
      <w:r w:rsidR="00780CEC" w:rsidRPr="001F3737">
        <w:rPr>
          <w:rFonts w:ascii="Book Antiqua" w:eastAsia="宋体" w:hAnsi="Book Antiqua"/>
          <w:lang w:eastAsia="zh-CN"/>
        </w:rPr>
        <w:t xml:space="preserve">. </w:t>
      </w:r>
      <w:r w:rsidRPr="001F3737">
        <w:rPr>
          <w:rFonts w:ascii="Book Antiqua" w:hAnsi="Book Antiqua"/>
        </w:rPr>
        <w:t xml:space="preserve">This LOS is similar to the 7.4 </w:t>
      </w:r>
      <w:r w:rsidR="00780CEC" w:rsidRPr="001F3737">
        <w:rPr>
          <w:rFonts w:ascii="Book Antiqua" w:eastAsia="宋体" w:hAnsi="Book Antiqua"/>
          <w:lang w:eastAsia="zh-CN"/>
        </w:rPr>
        <w:t>d</w:t>
      </w:r>
      <w:r w:rsidRPr="001F3737">
        <w:rPr>
          <w:rFonts w:ascii="Book Antiqua" w:hAnsi="Book Antiqua"/>
        </w:rPr>
        <w:t xml:space="preserve"> observed in the case cohort of our study. </w:t>
      </w:r>
    </w:p>
    <w:p w14:paraId="5D8332D3" w14:textId="01F97910" w:rsidR="00C238BA" w:rsidRPr="001F3737" w:rsidRDefault="00C238BA" w:rsidP="001F3737">
      <w:pPr>
        <w:spacing w:line="360" w:lineRule="auto"/>
        <w:ind w:firstLineChars="100" w:firstLine="240"/>
        <w:jc w:val="both"/>
        <w:rPr>
          <w:rFonts w:ascii="Book Antiqua" w:hAnsi="Book Antiqua"/>
        </w:rPr>
      </w:pPr>
      <w:r w:rsidRPr="001F3737">
        <w:rPr>
          <w:rFonts w:ascii="Book Antiqua" w:hAnsi="Book Antiqua"/>
        </w:rPr>
        <w:t>Lastly, two studies have examined the combined use of the SCBS and CUSA. In the largest study of SCBS use in liver resection to date, authors at four hepatopancreaticobiliary</w:t>
      </w:r>
      <w:r w:rsidRPr="001F3737" w:rsidDel="002E2C0A">
        <w:rPr>
          <w:rFonts w:ascii="Book Antiqua" w:hAnsi="Book Antiqua"/>
        </w:rPr>
        <w:t xml:space="preserve"> </w:t>
      </w:r>
      <w:r w:rsidRPr="001F3737">
        <w:rPr>
          <w:rFonts w:ascii="Book Antiqua" w:hAnsi="Book Antiqua"/>
        </w:rPr>
        <w:t>units in Europe evaluated the safety and efficacy of combined use of SCBS plus CUSA during 114 minor and 199 major hepatectomies. Authors reported a transfusion rate of 10.5% and two postoperative deaths (0.6%), concluding the combined method is associated with decreased blood loss</w:t>
      </w:r>
      <w:r w:rsidRPr="001F3737">
        <w:rPr>
          <w:rFonts w:ascii="Book Antiqua" w:hAnsi="Book Antiqua"/>
        </w:rPr>
        <w:fldChar w:fldCharType="begin"/>
      </w:r>
      <w:r w:rsidRPr="001F3737">
        <w:rPr>
          <w:rFonts w:ascii="Book Antiqua" w:hAnsi="Book Antiqua"/>
        </w:rPr>
        <w:instrText>ADDIN BEC{Sima et al., 2009, #5}</w:instrText>
      </w:r>
      <w:r w:rsidRPr="001F3737">
        <w:rPr>
          <w:rFonts w:ascii="Book Antiqua" w:hAnsi="Book Antiqua"/>
        </w:rPr>
        <w:fldChar w:fldCharType="separate"/>
      </w:r>
      <w:r w:rsidRPr="001F3737">
        <w:rPr>
          <w:rFonts w:ascii="Book Antiqua" w:hAnsi="Book Antiqua"/>
          <w:vertAlign w:val="superscript"/>
        </w:rPr>
        <w:t>[9]</w:t>
      </w:r>
      <w:r w:rsidRPr="001F3737">
        <w:rPr>
          <w:rFonts w:ascii="Book Antiqua" w:hAnsi="Book Antiqua"/>
        </w:rPr>
        <w:fldChar w:fldCharType="end"/>
      </w:r>
      <w:r w:rsidR="00CC1953">
        <w:rPr>
          <w:rFonts w:ascii="Book Antiqua" w:eastAsia="宋体" w:hAnsi="Book Antiqua" w:hint="eastAsia"/>
          <w:lang w:eastAsia="zh-CN"/>
        </w:rPr>
        <w:t xml:space="preserve">. </w:t>
      </w:r>
      <w:r w:rsidRPr="001F3737">
        <w:rPr>
          <w:rFonts w:ascii="Book Antiqua" w:hAnsi="Book Antiqua"/>
        </w:rPr>
        <w:t>A similar Japanese study also evaluated the combined u</w:t>
      </w:r>
      <w:r w:rsidR="00780CEC" w:rsidRPr="001F3737">
        <w:rPr>
          <w:rFonts w:ascii="Book Antiqua" w:hAnsi="Book Antiqua"/>
        </w:rPr>
        <w:t>se of CUSA and SCBS (</w:t>
      </w:r>
      <w:r w:rsidR="00780CEC" w:rsidRPr="001F3737">
        <w:rPr>
          <w:rFonts w:ascii="Book Antiqua" w:hAnsi="Book Antiqua"/>
          <w:i/>
        </w:rPr>
        <w:t>n</w:t>
      </w:r>
      <w:r w:rsidR="00780CEC" w:rsidRPr="001F3737">
        <w:rPr>
          <w:rFonts w:ascii="Book Antiqua" w:hAnsi="Book Antiqua"/>
        </w:rPr>
        <w:t xml:space="preserve"> = 55) </w:t>
      </w:r>
      <w:r w:rsidR="00780CEC" w:rsidRPr="001F3737">
        <w:rPr>
          <w:rFonts w:ascii="Book Antiqua" w:hAnsi="Book Antiqua"/>
          <w:i/>
        </w:rPr>
        <w:t>vs</w:t>
      </w:r>
      <w:r w:rsidRPr="001F3737">
        <w:rPr>
          <w:rFonts w:ascii="Book Antiqua" w:hAnsi="Book Antiqua"/>
        </w:rPr>
        <w:t xml:space="preserve"> CUSA with traditional bipolar electrosurgery (</w:t>
      </w:r>
      <w:r w:rsidR="00780CEC" w:rsidRPr="001F3737">
        <w:rPr>
          <w:rFonts w:ascii="Book Antiqua" w:hAnsi="Book Antiqua"/>
          <w:i/>
        </w:rPr>
        <w:t>n</w:t>
      </w:r>
      <w:r w:rsidRPr="001F3737">
        <w:rPr>
          <w:rFonts w:ascii="Book Antiqua" w:hAnsi="Book Antiqua"/>
        </w:rPr>
        <w:t xml:space="preserve"> = 54)</w:t>
      </w:r>
      <w:r w:rsidRPr="001F3737">
        <w:rPr>
          <w:rFonts w:ascii="Book Antiqua" w:hAnsi="Book Antiqua"/>
        </w:rPr>
        <w:fldChar w:fldCharType="begin"/>
      </w:r>
      <w:r w:rsidRPr="001F3737">
        <w:rPr>
          <w:rFonts w:ascii="Book Antiqua" w:hAnsi="Book Antiqua"/>
        </w:rPr>
        <w:instrText>ADDIN BEC{Kaibori et al., 2013, #9}</w:instrText>
      </w:r>
      <w:r w:rsidRPr="001F3737">
        <w:rPr>
          <w:rFonts w:ascii="Book Antiqua" w:hAnsi="Book Antiqua"/>
        </w:rPr>
        <w:fldChar w:fldCharType="separate"/>
      </w:r>
      <w:r w:rsidRPr="001F3737">
        <w:rPr>
          <w:rFonts w:ascii="Book Antiqua" w:hAnsi="Book Antiqua"/>
          <w:vertAlign w:val="superscript"/>
        </w:rPr>
        <w:t>[22]</w:t>
      </w:r>
      <w:r w:rsidRPr="001F3737">
        <w:rPr>
          <w:rFonts w:ascii="Book Antiqua" w:hAnsi="Book Antiqua"/>
        </w:rPr>
        <w:fldChar w:fldCharType="end"/>
      </w:r>
      <w:r w:rsidR="00780CEC" w:rsidRPr="001F3737">
        <w:rPr>
          <w:rFonts w:ascii="Book Antiqua" w:eastAsia="宋体" w:hAnsi="Book Antiqua"/>
          <w:lang w:eastAsia="zh-CN"/>
        </w:rPr>
        <w:t xml:space="preserve">. </w:t>
      </w:r>
      <w:r w:rsidRPr="001F3737">
        <w:rPr>
          <w:rFonts w:ascii="Book Antiqua" w:hAnsi="Book Antiqua"/>
        </w:rPr>
        <w:t>The SCBS and CUSA cohort demonstrated significantly lower total blood loss (677</w:t>
      </w:r>
      <w:r w:rsidR="00780CEC" w:rsidRPr="001F3737">
        <w:rPr>
          <w:rFonts w:ascii="Book Antiqua" w:hAnsi="Book Antiqua"/>
          <w:i/>
        </w:rPr>
        <w:t xml:space="preserve"> </w:t>
      </w:r>
      <w:r w:rsidR="00780CEC" w:rsidRPr="001F3737">
        <w:rPr>
          <w:rFonts w:ascii="Book Antiqua" w:hAnsi="Book Antiqua"/>
        </w:rPr>
        <w:t>mL</w:t>
      </w:r>
      <w:r w:rsidR="00780CEC" w:rsidRPr="001F3737">
        <w:rPr>
          <w:rFonts w:ascii="Book Antiqua" w:hAnsi="Book Antiqua"/>
          <w:i/>
        </w:rPr>
        <w:t xml:space="preserve"> vs</w:t>
      </w:r>
      <w:r w:rsidR="00780CEC" w:rsidRPr="001F3737">
        <w:rPr>
          <w:rFonts w:ascii="Book Antiqua" w:hAnsi="Book Antiqua"/>
        </w:rPr>
        <w:t xml:space="preserve"> </w:t>
      </w:r>
      <w:r w:rsidRPr="001F3737">
        <w:rPr>
          <w:rFonts w:ascii="Book Antiqua" w:hAnsi="Book Antiqua"/>
        </w:rPr>
        <w:t xml:space="preserve">1076 mL, </w:t>
      </w:r>
      <w:r w:rsidRPr="001F3737">
        <w:rPr>
          <w:rFonts w:ascii="Book Antiqua" w:hAnsi="Book Antiqua"/>
          <w:i/>
        </w:rPr>
        <w:t>P</w:t>
      </w:r>
      <w:r w:rsidRPr="001F3737">
        <w:rPr>
          <w:rFonts w:ascii="Book Antiqua" w:hAnsi="Book Antiqua"/>
        </w:rPr>
        <w:t xml:space="preserve"> = </w:t>
      </w:r>
      <w:r w:rsidR="00780CEC" w:rsidRPr="001F3737">
        <w:rPr>
          <w:rFonts w:ascii="Book Antiqua" w:eastAsia="宋体" w:hAnsi="Book Antiqua"/>
          <w:lang w:eastAsia="zh-CN"/>
        </w:rPr>
        <w:t>0</w:t>
      </w:r>
      <w:r w:rsidRPr="001F3737">
        <w:rPr>
          <w:rFonts w:ascii="Book Antiqua" w:hAnsi="Book Antiqua"/>
        </w:rPr>
        <w:t>.0486), shorter transection time (81</w:t>
      </w:r>
      <w:r w:rsidR="00780CEC" w:rsidRPr="001F3737">
        <w:rPr>
          <w:rFonts w:ascii="Book Antiqua" w:eastAsia="宋体" w:hAnsi="Book Antiqua"/>
          <w:lang w:eastAsia="zh-CN"/>
        </w:rPr>
        <w:t xml:space="preserve"> min</w:t>
      </w:r>
      <w:r w:rsidRPr="001F3737">
        <w:rPr>
          <w:rFonts w:ascii="Book Antiqua" w:hAnsi="Book Antiqua"/>
        </w:rPr>
        <w:t xml:space="preserve"> </w:t>
      </w:r>
      <w:r w:rsidR="00780CEC" w:rsidRPr="001F3737">
        <w:rPr>
          <w:rFonts w:ascii="Book Antiqua" w:hAnsi="Book Antiqua"/>
          <w:i/>
        </w:rPr>
        <w:t>vs</w:t>
      </w:r>
      <w:r w:rsidRPr="001F3737">
        <w:rPr>
          <w:rFonts w:ascii="Book Antiqua" w:hAnsi="Book Antiqua"/>
        </w:rPr>
        <w:t xml:space="preserve"> 115 </w:t>
      </w:r>
      <w:r w:rsidR="00780CEC" w:rsidRPr="001F3737">
        <w:rPr>
          <w:rFonts w:ascii="Book Antiqua" w:eastAsia="宋体" w:hAnsi="Book Antiqua"/>
          <w:lang w:eastAsia="zh-CN"/>
        </w:rPr>
        <w:t>min</w:t>
      </w:r>
      <w:r w:rsidRPr="001F3737">
        <w:rPr>
          <w:rFonts w:ascii="Book Antiqua" w:hAnsi="Book Antiqua"/>
        </w:rPr>
        <w:t xml:space="preserve">, </w:t>
      </w:r>
      <w:r w:rsidRPr="001F3737">
        <w:rPr>
          <w:rFonts w:ascii="Book Antiqua" w:hAnsi="Book Antiqua"/>
          <w:i/>
        </w:rPr>
        <w:t xml:space="preserve">P </w:t>
      </w:r>
      <w:r w:rsidRPr="001F3737">
        <w:rPr>
          <w:rFonts w:ascii="Book Antiqua" w:hAnsi="Book Antiqua"/>
        </w:rPr>
        <w:t xml:space="preserve">= </w:t>
      </w:r>
      <w:r w:rsidR="00780CEC" w:rsidRPr="001F3737">
        <w:rPr>
          <w:rFonts w:ascii="Book Antiqua" w:eastAsia="宋体" w:hAnsi="Book Antiqua"/>
          <w:lang w:eastAsia="zh-CN"/>
        </w:rPr>
        <w:t>0</w:t>
      </w:r>
      <w:r w:rsidRPr="001F3737">
        <w:rPr>
          <w:rFonts w:ascii="Book Antiqua" w:hAnsi="Book Antiqua"/>
        </w:rPr>
        <w:t xml:space="preserve">.0025) and fewer ties required (13.1 </w:t>
      </w:r>
      <w:r w:rsidR="00780CEC" w:rsidRPr="001F3737">
        <w:rPr>
          <w:rFonts w:ascii="Book Antiqua" w:hAnsi="Book Antiqua"/>
          <w:i/>
        </w:rPr>
        <w:t>vs</w:t>
      </w:r>
      <w:r w:rsidRPr="001F3737">
        <w:rPr>
          <w:rFonts w:ascii="Book Antiqua" w:hAnsi="Book Antiqua"/>
        </w:rPr>
        <w:t xml:space="preserve"> 22.8, </w:t>
      </w:r>
      <w:r w:rsidRPr="001F3737">
        <w:rPr>
          <w:rFonts w:ascii="Book Antiqua" w:hAnsi="Book Antiqua"/>
          <w:i/>
        </w:rPr>
        <w:t>P</w:t>
      </w:r>
      <w:r w:rsidRPr="001F3737">
        <w:rPr>
          <w:rFonts w:ascii="Book Antiqua" w:hAnsi="Book Antiqua"/>
        </w:rPr>
        <w:t xml:space="preserve"> &lt;</w:t>
      </w:r>
      <w:r w:rsidR="00780CEC" w:rsidRPr="001F3737">
        <w:rPr>
          <w:rFonts w:ascii="Book Antiqua" w:eastAsia="宋体" w:hAnsi="Book Antiqua"/>
          <w:lang w:eastAsia="zh-CN"/>
        </w:rPr>
        <w:t xml:space="preserve"> 0</w:t>
      </w:r>
      <w:r w:rsidRPr="001F3737">
        <w:rPr>
          <w:rFonts w:ascii="Book Antiqua" w:hAnsi="Book Antiqua"/>
        </w:rPr>
        <w:t xml:space="preserve">.001) </w:t>
      </w:r>
      <w:r w:rsidR="00780CEC" w:rsidRPr="001F3737">
        <w:rPr>
          <w:rFonts w:ascii="Book Antiqua" w:hAnsi="Book Antiqua"/>
          <w:i/>
        </w:rPr>
        <w:t>vs</w:t>
      </w:r>
      <w:r w:rsidR="00780CEC" w:rsidRPr="001F3737">
        <w:rPr>
          <w:rFonts w:ascii="Book Antiqua" w:hAnsi="Book Antiqua"/>
        </w:rPr>
        <w:t xml:space="preserve"> </w:t>
      </w:r>
      <w:r w:rsidRPr="001F3737">
        <w:rPr>
          <w:rFonts w:ascii="Book Antiqua" w:hAnsi="Book Antiqua"/>
        </w:rPr>
        <w:t>the traditional electrosurgery and CUSA cohort</w:t>
      </w:r>
      <w:r w:rsidRPr="001F3737">
        <w:rPr>
          <w:rFonts w:ascii="Book Antiqua" w:hAnsi="Book Antiqua"/>
        </w:rPr>
        <w:fldChar w:fldCharType="begin"/>
      </w:r>
      <w:r w:rsidRPr="001F3737">
        <w:rPr>
          <w:rFonts w:ascii="Book Antiqua" w:hAnsi="Book Antiqua"/>
        </w:rPr>
        <w:instrText>ADDIN BEC{Kaibori et al., 2013, #9}</w:instrText>
      </w:r>
      <w:r w:rsidRPr="001F3737">
        <w:rPr>
          <w:rFonts w:ascii="Book Antiqua" w:hAnsi="Book Antiqua"/>
        </w:rPr>
        <w:fldChar w:fldCharType="separate"/>
      </w:r>
      <w:r w:rsidRPr="001F3737">
        <w:rPr>
          <w:rFonts w:ascii="Book Antiqua" w:hAnsi="Book Antiqua"/>
          <w:vertAlign w:val="superscript"/>
        </w:rPr>
        <w:t>[22]</w:t>
      </w:r>
      <w:r w:rsidRPr="001F3737">
        <w:rPr>
          <w:rFonts w:ascii="Book Antiqua" w:hAnsi="Book Antiqua"/>
        </w:rPr>
        <w:fldChar w:fldCharType="end"/>
      </w:r>
      <w:r w:rsidR="00780CEC" w:rsidRPr="001F3737">
        <w:rPr>
          <w:rFonts w:ascii="Book Antiqua" w:eastAsia="宋体" w:hAnsi="Book Antiqua"/>
          <w:lang w:eastAsia="zh-CN"/>
        </w:rPr>
        <w:t xml:space="preserve">. </w:t>
      </w:r>
      <w:r w:rsidRPr="001F3737">
        <w:rPr>
          <w:rFonts w:ascii="Book Antiqua" w:hAnsi="Book Antiqua"/>
        </w:rPr>
        <w:t>While the combined use of SCBS and CUSA is evaluated in these studies, other device combinations or techniques may provide equivalent outcomes at lower cost. This is an area for future research.</w:t>
      </w:r>
    </w:p>
    <w:p w14:paraId="2B371F9C" w14:textId="25AE7259" w:rsidR="00C238BA" w:rsidRPr="001F3737" w:rsidRDefault="00C238BA" w:rsidP="001F3737">
      <w:pPr>
        <w:spacing w:line="360" w:lineRule="auto"/>
        <w:ind w:firstLineChars="100" w:firstLine="240"/>
        <w:jc w:val="both"/>
        <w:rPr>
          <w:rFonts w:ascii="Book Antiqua" w:hAnsi="Book Antiqua"/>
        </w:rPr>
      </w:pPr>
      <w:r w:rsidRPr="001F3737">
        <w:rPr>
          <w:rFonts w:ascii="Book Antiqua" w:hAnsi="Book Antiqua"/>
        </w:rPr>
        <w:lastRenderedPageBreak/>
        <w:t>Although it was observed in the present study that a greater proportion of the case cohort had concurrent use of topical hemostats</w:t>
      </w:r>
      <w:r w:rsidR="00780CEC" w:rsidRPr="001F3737">
        <w:rPr>
          <w:rFonts w:ascii="Book Antiqua" w:hAnsi="Book Antiqua"/>
        </w:rPr>
        <w:t xml:space="preserve"> during the procedure (25.0% </w:t>
      </w:r>
      <w:r w:rsidR="00780CEC" w:rsidRPr="001F3737">
        <w:rPr>
          <w:rFonts w:ascii="Book Antiqua" w:hAnsi="Book Antiqua"/>
          <w:i/>
        </w:rPr>
        <w:t>vs</w:t>
      </w:r>
      <w:r w:rsidRPr="001F3737">
        <w:rPr>
          <w:rFonts w:ascii="Book Antiqua" w:hAnsi="Book Antiqua"/>
        </w:rPr>
        <w:t xml:space="preserve"> 17.2%, </w:t>
      </w:r>
      <w:r w:rsidRPr="001F3737">
        <w:rPr>
          <w:rFonts w:ascii="Book Antiqua" w:hAnsi="Book Antiqua"/>
          <w:i/>
        </w:rPr>
        <w:t xml:space="preserve">P </w:t>
      </w:r>
      <w:r w:rsidRPr="001F3737">
        <w:rPr>
          <w:rFonts w:ascii="Book Antiqua" w:hAnsi="Book Antiqua"/>
        </w:rPr>
        <w:t xml:space="preserve">= </w:t>
      </w:r>
      <w:r w:rsidR="00780CEC" w:rsidRPr="001F3737">
        <w:rPr>
          <w:rFonts w:ascii="Book Antiqua" w:eastAsia="宋体" w:hAnsi="Book Antiqua"/>
          <w:lang w:eastAsia="zh-CN"/>
        </w:rPr>
        <w:t>0</w:t>
      </w:r>
      <w:r w:rsidRPr="001F3737">
        <w:rPr>
          <w:rFonts w:ascii="Book Antiqua" w:hAnsi="Book Antiqua"/>
        </w:rPr>
        <w:t>.038), it appears hemostat use was reserved for the most severe cases. We infer this due to the incidence of transfusion being greater in both univariate and multivariate analyses among those with topical hemostat use versus no use, regardless of SCBS. However, there is likely an unmeasured confounder that is not readily observed in insurance claims data that may have influenced surgeon selection of both the SCBS and a hemostat. Nonetheless, incidence of transfusion remained numerically lower in the case cohort versus controls both when topical hemostats were used during the procedure and when they were not.</w:t>
      </w:r>
    </w:p>
    <w:p w14:paraId="16275DC3" w14:textId="30657EE6" w:rsidR="00C238BA" w:rsidRPr="001F3737" w:rsidRDefault="00C238BA" w:rsidP="001F3737">
      <w:pPr>
        <w:spacing w:line="360" w:lineRule="auto"/>
        <w:ind w:firstLineChars="100" w:firstLine="240"/>
        <w:jc w:val="both"/>
        <w:rPr>
          <w:rFonts w:ascii="Book Antiqua" w:hAnsi="Book Antiqua"/>
        </w:rPr>
      </w:pPr>
      <w:r w:rsidRPr="001F3737">
        <w:rPr>
          <w:rFonts w:ascii="Book Antiqua" w:hAnsi="Book Antiqua"/>
        </w:rPr>
        <w:t>Limitations of this study center on the lack of detailed clinical detail in the insurance claims dataset used for analysis, which included only diagnosis and procedure codes, and items listed in the hospital Chargemaster. Therefore, we could not evaluate the number of liver segments resected, the relative complexity of the procedure, pre- and post-operative hemoglobin levels, the Hg level triggering a transfusion, or number of units of blood transfused. Also, as noted, specific line-item costs for blood were not available for approximately two-thirds of patients. However, blood costs were captured in the next level roll-up of cost reporting under OR costs. During patient selection we did not attempt to query the Chargemaster</w:t>
      </w:r>
      <w:bookmarkStart w:id="50" w:name="_GoBack"/>
      <w:bookmarkEnd w:id="50"/>
      <w:r w:rsidRPr="001F3737">
        <w:rPr>
          <w:rFonts w:ascii="Book Antiqua" w:hAnsi="Book Antiqua"/>
        </w:rPr>
        <w:t xml:space="preserve"> file to evaluate concurrent devices used with the SCBS, as the only comparison in this study was at the highest level of use versus no use. Given the array of device choices during hepatic resection, and the variance of names listed in the Chargemaster file, we did not attempt to compare concurrent device use. Future studies may address the question of device synergy in influencing clinical outcomes (</w:t>
      </w:r>
      <w:r w:rsidRPr="001F3737">
        <w:rPr>
          <w:rFonts w:ascii="Book Antiqua" w:hAnsi="Book Antiqua"/>
          <w:i/>
        </w:rPr>
        <w:t>e.g.</w:t>
      </w:r>
      <w:r w:rsidR="00780CEC" w:rsidRPr="001F3737">
        <w:rPr>
          <w:rFonts w:ascii="Book Antiqua" w:eastAsia="宋体" w:hAnsi="Book Antiqua"/>
          <w:i/>
          <w:lang w:eastAsia="zh-CN"/>
        </w:rPr>
        <w:t>,</w:t>
      </w:r>
      <w:r w:rsidRPr="001F3737">
        <w:rPr>
          <w:rFonts w:ascii="Book Antiqua" w:hAnsi="Book Antiqua"/>
          <w:i/>
        </w:rPr>
        <w:t xml:space="preserve"> </w:t>
      </w:r>
      <w:r w:rsidRPr="001F3737">
        <w:rPr>
          <w:rFonts w:ascii="Book Antiqua" w:hAnsi="Book Antiqua"/>
        </w:rPr>
        <w:t>SCBS plus CUSA). Finally, while we observed a reduction in the incidence of transfusion associated with use of SCBS in the present study, the SCBS is not designed to provide hemostasis in the event of bleeding from large vessels – thus additional technology or techniques to control bleeding that cannot be accounted for may have been present.</w:t>
      </w:r>
    </w:p>
    <w:p w14:paraId="7EAB011D" w14:textId="77777777" w:rsidR="00C238BA" w:rsidRPr="001F3737" w:rsidRDefault="00C238BA" w:rsidP="001F3737">
      <w:pPr>
        <w:spacing w:line="360" w:lineRule="auto"/>
        <w:ind w:firstLineChars="100" w:firstLine="240"/>
        <w:jc w:val="both"/>
        <w:rPr>
          <w:rFonts w:ascii="Book Antiqua" w:hAnsi="Book Antiqua"/>
        </w:rPr>
      </w:pPr>
      <w:r w:rsidRPr="001F3737">
        <w:rPr>
          <w:rFonts w:ascii="Book Antiqua" w:hAnsi="Book Antiqua"/>
        </w:rPr>
        <w:t xml:space="preserve">This retrospective database analysis demonstrated that use of the SCBS in open partial liver resection for hepatic malignancy is associated with reduction in the need </w:t>
      </w:r>
      <w:r w:rsidRPr="001F3737">
        <w:rPr>
          <w:rFonts w:ascii="Book Antiqua" w:hAnsi="Book Antiqua"/>
        </w:rPr>
        <w:lastRenderedPageBreak/>
        <w:t>for transfusion, and is cost-effective in a deviation-based cost modeling analysis. This technology provides an alternative solution for bleeding control in partial liver resection compared to traditional methods.</w:t>
      </w:r>
    </w:p>
    <w:p w14:paraId="0156BA76" w14:textId="77777777" w:rsidR="00C238BA" w:rsidRPr="001F3737" w:rsidRDefault="00C238BA" w:rsidP="001F3737">
      <w:pPr>
        <w:spacing w:line="360" w:lineRule="auto"/>
        <w:jc w:val="both"/>
        <w:rPr>
          <w:rFonts w:ascii="Book Antiqua" w:hAnsi="Book Antiqua"/>
        </w:rPr>
      </w:pPr>
    </w:p>
    <w:p w14:paraId="773BFD55" w14:textId="77777777" w:rsidR="00C238BA" w:rsidRPr="001F3737" w:rsidRDefault="00C238BA" w:rsidP="001F3737">
      <w:pPr>
        <w:pStyle w:val="Heading1"/>
        <w:spacing w:line="360" w:lineRule="auto"/>
        <w:jc w:val="both"/>
        <w:rPr>
          <w:rFonts w:ascii="Book Antiqua" w:hAnsi="Book Antiqua"/>
        </w:rPr>
      </w:pPr>
      <w:r w:rsidRPr="001F3737">
        <w:rPr>
          <w:rFonts w:ascii="Book Antiqua" w:hAnsi="Book Antiqua"/>
        </w:rPr>
        <w:t>ACKNOWLEDGEMENTS</w:t>
      </w:r>
    </w:p>
    <w:p w14:paraId="5372961F" w14:textId="77777777" w:rsidR="00C238BA" w:rsidRPr="001F3737" w:rsidRDefault="00C238BA" w:rsidP="001F3737">
      <w:pPr>
        <w:spacing w:line="360" w:lineRule="auto"/>
        <w:jc w:val="both"/>
        <w:rPr>
          <w:rFonts w:ascii="Book Antiqua" w:hAnsi="Book Antiqua"/>
        </w:rPr>
      </w:pPr>
      <w:r w:rsidRPr="001F3737">
        <w:rPr>
          <w:rFonts w:ascii="Book Antiqua" w:hAnsi="Book Antiqua"/>
        </w:rPr>
        <w:t>The authors thank Jeanne McAdara-Berkowitz PhD for professional assistance with manuscript preparation.</w:t>
      </w:r>
    </w:p>
    <w:p w14:paraId="6DF60C62" w14:textId="77777777" w:rsidR="00C238BA" w:rsidRPr="001F3737" w:rsidRDefault="00C238BA" w:rsidP="001F3737">
      <w:pPr>
        <w:spacing w:line="360" w:lineRule="auto"/>
        <w:jc w:val="both"/>
        <w:rPr>
          <w:rFonts w:ascii="Book Antiqua" w:hAnsi="Book Antiqua"/>
        </w:rPr>
      </w:pPr>
    </w:p>
    <w:p w14:paraId="3E4ADB83" w14:textId="3308BC5B" w:rsidR="001F3737" w:rsidRPr="001F3737" w:rsidRDefault="001F3737" w:rsidP="001F3737">
      <w:pPr>
        <w:spacing w:line="360" w:lineRule="auto"/>
        <w:jc w:val="both"/>
        <w:rPr>
          <w:rFonts w:ascii="Book Antiqua" w:eastAsia="宋体" w:hAnsi="Book Antiqua"/>
          <w:b/>
          <w:lang w:eastAsia="zh-CN"/>
        </w:rPr>
      </w:pPr>
      <w:r w:rsidRPr="001F3737">
        <w:rPr>
          <w:rFonts w:ascii="Book Antiqua" w:eastAsia="宋体" w:hAnsi="Book Antiqua"/>
          <w:b/>
          <w:lang w:eastAsia="zh-CN"/>
        </w:rPr>
        <w:t>COMMENTS</w:t>
      </w:r>
    </w:p>
    <w:p w14:paraId="567C1F4F" w14:textId="77777777" w:rsidR="001F3737" w:rsidRPr="001F3737" w:rsidRDefault="001F3737" w:rsidP="001F3737">
      <w:pPr>
        <w:spacing w:line="360" w:lineRule="auto"/>
        <w:jc w:val="both"/>
        <w:rPr>
          <w:rFonts w:ascii="Book Antiqua" w:hAnsi="Book Antiqua"/>
          <w:b/>
          <w:i/>
        </w:rPr>
      </w:pPr>
      <w:r w:rsidRPr="001F3737">
        <w:rPr>
          <w:rFonts w:ascii="Book Antiqua" w:hAnsi="Book Antiqua"/>
          <w:b/>
          <w:i/>
        </w:rPr>
        <w:t>Background</w:t>
      </w:r>
    </w:p>
    <w:p w14:paraId="72C9EE11" w14:textId="77777777" w:rsidR="001F3737" w:rsidRDefault="001F3737" w:rsidP="001F3737">
      <w:pPr>
        <w:spacing w:line="360" w:lineRule="auto"/>
        <w:jc w:val="both"/>
        <w:rPr>
          <w:rFonts w:ascii="Book Antiqua" w:eastAsia="宋体" w:hAnsi="Book Antiqua"/>
          <w:lang w:eastAsia="zh-CN"/>
        </w:rPr>
      </w:pPr>
      <w:r w:rsidRPr="001F3737">
        <w:rPr>
          <w:rFonts w:ascii="Book Antiqua" w:hAnsi="Book Antiqua"/>
        </w:rPr>
        <w:t xml:space="preserve">Despite advances in surgical technique over the past two decades, blood transfusions are still required in a proportion of patients undergoing liver resection, varying by the extent of the procedure and device combinations used. Predictors of transfusion include factors related to the operative procedure as well as patient-specific characteristics.     </w:t>
      </w:r>
    </w:p>
    <w:p w14:paraId="712EBE2E" w14:textId="77777777" w:rsidR="001F3737" w:rsidRPr="001F3737" w:rsidRDefault="001F3737" w:rsidP="001F3737">
      <w:pPr>
        <w:spacing w:line="360" w:lineRule="auto"/>
        <w:jc w:val="both"/>
        <w:rPr>
          <w:rFonts w:ascii="Book Antiqua" w:eastAsia="宋体" w:hAnsi="Book Antiqua"/>
          <w:lang w:eastAsia="zh-CN"/>
        </w:rPr>
      </w:pPr>
    </w:p>
    <w:p w14:paraId="47BEF03F" w14:textId="77777777" w:rsidR="001F3737" w:rsidRPr="001F3737" w:rsidRDefault="001F3737" w:rsidP="001F3737">
      <w:pPr>
        <w:spacing w:line="360" w:lineRule="auto"/>
        <w:jc w:val="both"/>
        <w:rPr>
          <w:rFonts w:ascii="Book Antiqua" w:hAnsi="Book Antiqua"/>
          <w:b/>
          <w:i/>
        </w:rPr>
      </w:pPr>
      <w:r w:rsidRPr="001F3737">
        <w:rPr>
          <w:rFonts w:ascii="Book Antiqua" w:hAnsi="Book Antiqua"/>
          <w:b/>
          <w:i/>
        </w:rPr>
        <w:t>Research frontiers</w:t>
      </w:r>
    </w:p>
    <w:p w14:paraId="03137449" w14:textId="77777777" w:rsidR="001F3737" w:rsidRDefault="001F3737" w:rsidP="001F3737">
      <w:pPr>
        <w:spacing w:line="360" w:lineRule="auto"/>
        <w:jc w:val="both"/>
        <w:rPr>
          <w:rFonts w:ascii="Book Antiqua" w:eastAsia="宋体" w:hAnsi="Book Antiqua"/>
          <w:lang w:eastAsia="zh-CN"/>
        </w:rPr>
      </w:pPr>
      <w:r w:rsidRPr="001F3737">
        <w:rPr>
          <w:rFonts w:ascii="Book Antiqua" w:hAnsi="Book Antiqua"/>
        </w:rPr>
        <w:t>Prior research has demonstrated the effects of surgical technique, peri-operative blood management protocols, and use of surgical technologies on the risk of transfusion. The majority of these studies examined clinical outcomes alone, with few examining the total cost of the procedure or incremental costs associated with complications. Two prior cost studies applied a novel methodology, deviation-based cost modeling (DBCM), however the primary comparison was of open versus laparoscopic approach rather than specific surgical technologies utilized during the procedure.</w:t>
      </w:r>
    </w:p>
    <w:p w14:paraId="0626F12C" w14:textId="77777777" w:rsidR="001F3737" w:rsidRPr="001F3737" w:rsidRDefault="001F3737" w:rsidP="001F3737">
      <w:pPr>
        <w:spacing w:line="360" w:lineRule="auto"/>
        <w:jc w:val="both"/>
        <w:rPr>
          <w:rFonts w:ascii="Book Antiqua" w:eastAsia="宋体" w:hAnsi="Book Antiqua"/>
          <w:i/>
          <w:lang w:eastAsia="zh-CN"/>
        </w:rPr>
      </w:pPr>
    </w:p>
    <w:p w14:paraId="1C60CE5E" w14:textId="77777777" w:rsidR="001F3737" w:rsidRPr="001F3737" w:rsidRDefault="001F3737" w:rsidP="001F3737">
      <w:pPr>
        <w:spacing w:line="360" w:lineRule="auto"/>
        <w:jc w:val="both"/>
        <w:rPr>
          <w:rFonts w:ascii="Book Antiqua" w:hAnsi="Book Antiqua"/>
          <w:b/>
          <w:i/>
        </w:rPr>
      </w:pPr>
      <w:r w:rsidRPr="001F3737">
        <w:rPr>
          <w:rFonts w:ascii="Book Antiqua" w:hAnsi="Book Antiqua"/>
          <w:b/>
          <w:i/>
        </w:rPr>
        <w:t>Innovations and breakthroughs</w:t>
      </w:r>
    </w:p>
    <w:p w14:paraId="48D9A851" w14:textId="49AEAD73" w:rsidR="001F3737" w:rsidRDefault="001F3737" w:rsidP="001F3737">
      <w:pPr>
        <w:spacing w:line="360" w:lineRule="auto"/>
        <w:jc w:val="both"/>
        <w:rPr>
          <w:rFonts w:ascii="Book Antiqua" w:eastAsia="宋体" w:hAnsi="Book Antiqua"/>
          <w:lang w:eastAsia="zh-CN"/>
        </w:rPr>
      </w:pPr>
      <w:r w:rsidRPr="001F3737">
        <w:rPr>
          <w:rFonts w:ascii="Book Antiqua" w:hAnsi="Book Antiqua"/>
        </w:rPr>
        <w:t>This retrospective database analysis evaluated the use of a saline-coupled bipolar sealer (SCBS) in open partial liver resection for hepatic malignancy. After matching, patients treated with the SCBS had a lower inci</w:t>
      </w:r>
      <w:r w:rsidR="00CC1953">
        <w:rPr>
          <w:rFonts w:ascii="Book Antiqua" w:hAnsi="Book Antiqua"/>
        </w:rPr>
        <w:t xml:space="preserve">dence of transfusions (18.1% </w:t>
      </w:r>
      <w:r w:rsidR="00CC1953" w:rsidRPr="00CC1953">
        <w:rPr>
          <w:rFonts w:ascii="Book Antiqua" w:hAnsi="Book Antiqua"/>
          <w:i/>
        </w:rPr>
        <w:t>vs</w:t>
      </w:r>
      <w:r w:rsidRPr="001F3737">
        <w:rPr>
          <w:rFonts w:ascii="Book Antiqua" w:hAnsi="Book Antiqua"/>
        </w:rPr>
        <w:t xml:space="preserve"> 29.4%, </w:t>
      </w:r>
      <w:r w:rsidRPr="00CC1953">
        <w:rPr>
          <w:rFonts w:ascii="Book Antiqua" w:hAnsi="Book Antiqua"/>
          <w:i/>
        </w:rPr>
        <w:t>P</w:t>
      </w:r>
      <w:r w:rsidRPr="001F3737">
        <w:rPr>
          <w:rFonts w:ascii="Book Antiqua" w:hAnsi="Book Antiqua"/>
        </w:rPr>
        <w:t xml:space="preserve"> = </w:t>
      </w:r>
      <w:r w:rsidR="00CC1953">
        <w:rPr>
          <w:rFonts w:ascii="Book Antiqua" w:eastAsia="宋体" w:hAnsi="Book Antiqua" w:hint="eastAsia"/>
          <w:lang w:eastAsia="zh-CN"/>
        </w:rPr>
        <w:t>0</w:t>
      </w:r>
      <w:r w:rsidRPr="001F3737">
        <w:rPr>
          <w:rFonts w:ascii="Book Antiqua" w:hAnsi="Book Antiqua"/>
        </w:rPr>
        <w:t xml:space="preserve">.007). Controlling for topical hemostat use, the reduction of transfusion incidence was confirmed in multivariate analysis, with SCBS use associated with a lower odds of </w:t>
      </w:r>
      <w:r w:rsidRPr="001F3737">
        <w:rPr>
          <w:rFonts w:ascii="Book Antiqua" w:hAnsi="Book Antiqua"/>
        </w:rPr>
        <w:lastRenderedPageBreak/>
        <w:t>transfusion (OR = 0.44</w:t>
      </w:r>
      <w:r>
        <w:rPr>
          <w:rFonts w:ascii="Book Antiqua" w:hAnsi="Book Antiqua"/>
        </w:rPr>
        <w:t>, 95%</w:t>
      </w:r>
      <w:r w:rsidRPr="001F3737">
        <w:rPr>
          <w:rFonts w:ascii="Book Antiqua" w:hAnsi="Book Antiqua"/>
        </w:rPr>
        <w:t>CI</w:t>
      </w:r>
      <w:r>
        <w:rPr>
          <w:rFonts w:ascii="Book Antiqua" w:eastAsia="宋体" w:hAnsi="Book Antiqua" w:hint="eastAsia"/>
          <w:lang w:eastAsia="zh-CN"/>
        </w:rPr>
        <w:t>:</w:t>
      </w:r>
      <w:r w:rsidRPr="001F3737">
        <w:rPr>
          <w:rFonts w:ascii="Book Antiqua" w:hAnsi="Book Antiqua"/>
        </w:rPr>
        <w:t xml:space="preserve"> 0.27 – 0.71). Overall, DBCM cost analyses indicate</w:t>
      </w:r>
      <w:r w:rsidR="00CC1953">
        <w:rPr>
          <w:rFonts w:ascii="Book Antiqua" w:hAnsi="Book Antiqua"/>
        </w:rPr>
        <w:t>d an average cost savings of $1</w:t>
      </w:r>
      <w:r w:rsidRPr="001F3737">
        <w:rPr>
          <w:rFonts w:ascii="Book Antiqua" w:hAnsi="Book Antiqua"/>
        </w:rPr>
        <w:t>027 among cases when accounting for the proportion falling into each “hospital deviation” class, with significantly more patients in the SCBS cohort with an “on course” hospitalization (defined as no complications and a length of stay less than the median).</w:t>
      </w:r>
    </w:p>
    <w:p w14:paraId="1EFEEAF8" w14:textId="77777777" w:rsidR="001F3737" w:rsidRPr="001F3737" w:rsidRDefault="001F3737" w:rsidP="001F3737">
      <w:pPr>
        <w:spacing w:line="360" w:lineRule="auto"/>
        <w:jc w:val="both"/>
        <w:rPr>
          <w:rFonts w:ascii="Book Antiqua" w:eastAsia="宋体" w:hAnsi="Book Antiqua"/>
          <w:lang w:eastAsia="zh-CN"/>
        </w:rPr>
      </w:pPr>
    </w:p>
    <w:p w14:paraId="611B16CC" w14:textId="77777777" w:rsidR="001F3737" w:rsidRPr="001F3737" w:rsidRDefault="001F3737" w:rsidP="001F3737">
      <w:pPr>
        <w:spacing w:line="360" w:lineRule="auto"/>
        <w:jc w:val="both"/>
        <w:rPr>
          <w:rFonts w:ascii="Book Antiqua" w:hAnsi="Book Antiqua"/>
          <w:b/>
          <w:i/>
        </w:rPr>
      </w:pPr>
      <w:r w:rsidRPr="001F3737">
        <w:rPr>
          <w:rFonts w:ascii="Book Antiqua" w:hAnsi="Book Antiqua"/>
          <w:b/>
          <w:i/>
        </w:rPr>
        <w:t>Applications</w:t>
      </w:r>
    </w:p>
    <w:p w14:paraId="6746751C" w14:textId="77777777" w:rsidR="001F3737" w:rsidRDefault="001F3737" w:rsidP="001F3737">
      <w:pPr>
        <w:spacing w:line="360" w:lineRule="auto"/>
        <w:jc w:val="both"/>
        <w:rPr>
          <w:rFonts w:ascii="Book Antiqua" w:eastAsia="宋体" w:hAnsi="Book Antiqua"/>
          <w:lang w:eastAsia="zh-CN"/>
        </w:rPr>
      </w:pPr>
      <w:r w:rsidRPr="001F3737">
        <w:rPr>
          <w:rFonts w:ascii="Book Antiqua" w:hAnsi="Book Antiqua"/>
        </w:rPr>
        <w:t>This analysis demonstrated that use of the SCBS in open partial liver resection for hepatic malignancy is associated with reduction in the need for transfusion, and is cost-effective in a deviation-based cost modeling analysis. This technology provides an alternative solution for bleeding control in partial liver resection compared to traditional electrosurgical methods.</w:t>
      </w:r>
    </w:p>
    <w:p w14:paraId="366A4D2D" w14:textId="77777777" w:rsidR="001F3737" w:rsidRPr="001F3737" w:rsidRDefault="001F3737" w:rsidP="001F3737">
      <w:pPr>
        <w:spacing w:line="360" w:lineRule="auto"/>
        <w:jc w:val="both"/>
        <w:rPr>
          <w:rFonts w:ascii="Book Antiqua" w:eastAsia="宋体" w:hAnsi="Book Antiqua"/>
          <w:lang w:eastAsia="zh-CN"/>
        </w:rPr>
      </w:pPr>
    </w:p>
    <w:p w14:paraId="1507ADAF" w14:textId="77777777" w:rsidR="001F3737" w:rsidRPr="001F3737" w:rsidRDefault="001F3737" w:rsidP="001F3737">
      <w:pPr>
        <w:spacing w:line="360" w:lineRule="auto"/>
        <w:jc w:val="both"/>
        <w:rPr>
          <w:rFonts w:ascii="Book Antiqua" w:hAnsi="Book Antiqua"/>
          <w:b/>
          <w:i/>
        </w:rPr>
      </w:pPr>
      <w:r w:rsidRPr="001F3737">
        <w:rPr>
          <w:rFonts w:ascii="Book Antiqua" w:hAnsi="Book Antiqua"/>
          <w:b/>
          <w:i/>
        </w:rPr>
        <w:t>Terminology</w:t>
      </w:r>
    </w:p>
    <w:p w14:paraId="629EC560" w14:textId="557F12F7" w:rsidR="001F3737" w:rsidRDefault="001F3737" w:rsidP="001F3737">
      <w:pPr>
        <w:spacing w:line="360" w:lineRule="auto"/>
        <w:jc w:val="both"/>
        <w:rPr>
          <w:rFonts w:ascii="Book Antiqua" w:eastAsia="宋体" w:hAnsi="Book Antiqua"/>
          <w:lang w:eastAsia="zh-CN"/>
        </w:rPr>
      </w:pPr>
      <w:r w:rsidRPr="001F3737">
        <w:rPr>
          <w:rFonts w:ascii="Book Antiqua" w:hAnsi="Book Antiqua"/>
        </w:rPr>
        <w:t xml:space="preserve">A </w:t>
      </w:r>
      <w:r w:rsidR="00CC1953">
        <w:rPr>
          <w:rFonts w:ascii="Book Antiqua" w:hAnsi="Book Antiqua"/>
        </w:rPr>
        <w:t>DBCM</w:t>
      </w:r>
      <w:r w:rsidRPr="001F3737">
        <w:rPr>
          <w:rFonts w:ascii="Book Antiqua" w:hAnsi="Book Antiqua"/>
        </w:rPr>
        <w:t xml:space="preserve"> approach was employed in this study. This methodology measures the frequency and severity of deviations from an “expected” postoperative course and calculates the economic consequences of hospitalizations that do not follow expected outcomes. The benefits of this approach are the incorporation of complications, </w:t>
      </w:r>
      <w:r w:rsidR="00CC1953" w:rsidRPr="00CC1953">
        <w:rPr>
          <w:rFonts w:ascii="Book Antiqua" w:hAnsi="Book Antiqua"/>
        </w:rPr>
        <w:t>length of stay</w:t>
      </w:r>
      <w:r w:rsidRPr="001F3737">
        <w:rPr>
          <w:rFonts w:ascii="Book Antiqua" w:hAnsi="Book Antiqua"/>
        </w:rPr>
        <w:t>, and costs into one measure, providing a single outcomes-based metric that provides more information than simply clinical or cost data alone.</w:t>
      </w:r>
    </w:p>
    <w:p w14:paraId="271F9024" w14:textId="77777777" w:rsidR="001F3737" w:rsidRPr="001F3737" w:rsidRDefault="001F3737" w:rsidP="001F3737">
      <w:pPr>
        <w:spacing w:line="360" w:lineRule="auto"/>
        <w:jc w:val="both"/>
        <w:rPr>
          <w:rFonts w:ascii="Book Antiqua" w:eastAsia="宋体" w:hAnsi="Book Antiqua"/>
          <w:lang w:eastAsia="zh-CN"/>
        </w:rPr>
      </w:pPr>
    </w:p>
    <w:p w14:paraId="0006D390" w14:textId="77777777" w:rsidR="001F3737" w:rsidRPr="001F3737" w:rsidRDefault="001F3737" w:rsidP="001F3737">
      <w:pPr>
        <w:spacing w:line="360" w:lineRule="auto"/>
        <w:jc w:val="both"/>
        <w:rPr>
          <w:rFonts w:ascii="Book Antiqua" w:hAnsi="Book Antiqua"/>
          <w:b/>
          <w:i/>
        </w:rPr>
      </w:pPr>
      <w:r w:rsidRPr="001F3737">
        <w:rPr>
          <w:rFonts w:ascii="Book Antiqua" w:hAnsi="Book Antiqua"/>
          <w:b/>
          <w:i/>
        </w:rPr>
        <w:t>Peer-review</w:t>
      </w:r>
    </w:p>
    <w:p w14:paraId="20EEED11" w14:textId="77777777" w:rsidR="001F3737" w:rsidRPr="001F3737" w:rsidRDefault="001F3737" w:rsidP="001F3737">
      <w:pPr>
        <w:spacing w:line="360" w:lineRule="auto"/>
        <w:jc w:val="both"/>
        <w:rPr>
          <w:rFonts w:ascii="Book Antiqua" w:hAnsi="Book Antiqua"/>
          <w:b/>
        </w:rPr>
      </w:pPr>
      <w:r w:rsidRPr="001F3737">
        <w:rPr>
          <w:rFonts w:ascii="Book Antiqua" w:hAnsi="Book Antiqua"/>
        </w:rPr>
        <w:t>This is an interesting paper and well written. The current results will be great helpful to the surgical fields when evaluating the benefits and costs of alternative blood-management technologies during liver resection.</w:t>
      </w:r>
    </w:p>
    <w:p w14:paraId="134605BD" w14:textId="58D3F573" w:rsidR="00C238BA" w:rsidRPr="001F3737" w:rsidRDefault="00C238BA" w:rsidP="001F3737">
      <w:pPr>
        <w:spacing w:line="360" w:lineRule="auto"/>
        <w:jc w:val="both"/>
        <w:rPr>
          <w:rFonts w:ascii="Book Antiqua" w:hAnsi="Book Antiqua"/>
          <w:b/>
          <w:bCs/>
          <w:caps/>
        </w:rPr>
      </w:pPr>
      <w:r w:rsidRPr="001F3737">
        <w:rPr>
          <w:rFonts w:ascii="Book Antiqua" w:hAnsi="Book Antiqua"/>
        </w:rPr>
        <w:br w:type="page"/>
      </w:r>
    </w:p>
    <w:p w14:paraId="1EFB2637" w14:textId="51DEF6AF" w:rsidR="001F3737" w:rsidRDefault="00C238BA" w:rsidP="001F3737">
      <w:pPr>
        <w:spacing w:line="360" w:lineRule="auto"/>
        <w:jc w:val="both"/>
        <w:rPr>
          <w:rFonts w:ascii="Book Antiqua" w:eastAsia="宋体" w:hAnsi="Book Antiqua"/>
          <w:lang w:eastAsia="zh-CN"/>
        </w:rPr>
      </w:pPr>
      <w:r w:rsidRPr="001F3737">
        <w:rPr>
          <w:rFonts w:ascii="Book Antiqua" w:hAnsi="Book Antiqua"/>
          <w:b/>
        </w:rPr>
        <w:lastRenderedPageBreak/>
        <w:t>REFERENCES</w:t>
      </w:r>
    </w:p>
    <w:p w14:paraId="332F7CC9"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1 </w:t>
      </w:r>
      <w:r w:rsidRPr="00230B06">
        <w:rPr>
          <w:rFonts w:ascii="Book Antiqua" w:eastAsia="宋体" w:hAnsi="Book Antiqua" w:cs="宋体"/>
          <w:b/>
          <w:bCs/>
        </w:rPr>
        <w:t>Guo JY</w:t>
      </w:r>
      <w:r w:rsidRPr="00230B06">
        <w:rPr>
          <w:rFonts w:ascii="Book Antiqua" w:eastAsia="宋体" w:hAnsi="Book Antiqua" w:cs="宋体"/>
        </w:rPr>
        <w:t>, Li DW, Liao R, Huang P, Kong XB, Wang JM, Wang HL, Luo SQ, Yan X, Du CY. Outcomes of simple saline-coupled bipolar electrocautery for hepatic resection. </w:t>
      </w:r>
      <w:r w:rsidRPr="00230B06">
        <w:rPr>
          <w:rFonts w:ascii="Book Antiqua" w:eastAsia="宋体" w:hAnsi="Book Antiqua" w:cs="宋体"/>
          <w:i/>
          <w:iCs/>
        </w:rPr>
        <w:t>World J Gastroenterol</w:t>
      </w:r>
      <w:r w:rsidRPr="00230B06">
        <w:rPr>
          <w:rFonts w:ascii="Book Antiqua" w:eastAsia="宋体" w:hAnsi="Book Antiqua" w:cs="宋体"/>
        </w:rPr>
        <w:t> 2014; </w:t>
      </w:r>
      <w:r w:rsidRPr="00230B06">
        <w:rPr>
          <w:rFonts w:ascii="Book Antiqua" w:eastAsia="宋体" w:hAnsi="Book Antiqua" w:cs="宋体"/>
          <w:b/>
          <w:bCs/>
        </w:rPr>
        <w:t>20</w:t>
      </w:r>
      <w:r w:rsidRPr="00230B06">
        <w:rPr>
          <w:rFonts w:ascii="Book Antiqua" w:eastAsia="宋体" w:hAnsi="Book Antiqua" w:cs="宋体"/>
        </w:rPr>
        <w:t>: 8638-8645 [PMID: 25024620 DOI: 10.3748/wjg.v20.i26.8638]</w:t>
      </w:r>
    </w:p>
    <w:p w14:paraId="3FD2EB62"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2 </w:t>
      </w:r>
      <w:r w:rsidRPr="00230B06">
        <w:rPr>
          <w:rFonts w:ascii="Book Antiqua" w:eastAsia="宋体" w:hAnsi="Book Antiqua" w:cs="宋体"/>
          <w:b/>
          <w:bCs/>
        </w:rPr>
        <w:t>Ikeda M</w:t>
      </w:r>
      <w:r w:rsidRPr="00230B06">
        <w:rPr>
          <w:rFonts w:ascii="Book Antiqua" w:eastAsia="宋体" w:hAnsi="Book Antiqua" w:cs="宋体"/>
        </w:rPr>
        <w:t>, Hasegawa K, Sano K, Imamura H, Beck Y, Sugawara Y, Kokudo N, Makuuchi M. The vessel sealing system (LigaSure) in hepatic resection: a randomized controlled trial. </w:t>
      </w:r>
      <w:r w:rsidRPr="00230B06">
        <w:rPr>
          <w:rFonts w:ascii="Book Antiqua" w:eastAsia="宋体" w:hAnsi="Book Antiqua" w:cs="宋体"/>
          <w:i/>
          <w:iCs/>
        </w:rPr>
        <w:t>Ann Surg</w:t>
      </w:r>
      <w:r w:rsidRPr="00230B06">
        <w:rPr>
          <w:rFonts w:ascii="Book Antiqua" w:eastAsia="宋体" w:hAnsi="Book Antiqua" w:cs="宋体"/>
        </w:rPr>
        <w:t> 2009; </w:t>
      </w:r>
      <w:r w:rsidRPr="00230B06">
        <w:rPr>
          <w:rFonts w:ascii="Book Antiqua" w:eastAsia="宋体" w:hAnsi="Book Antiqua" w:cs="宋体"/>
          <w:b/>
          <w:bCs/>
        </w:rPr>
        <w:t>250</w:t>
      </w:r>
      <w:r w:rsidRPr="00230B06">
        <w:rPr>
          <w:rFonts w:ascii="Book Antiqua" w:eastAsia="宋体" w:hAnsi="Book Antiqua" w:cs="宋体"/>
        </w:rPr>
        <w:t>: 199-203 [PMID: 19638927 DOI: 10.1097/SLA.0b013e3181a334f9]</w:t>
      </w:r>
    </w:p>
    <w:p w14:paraId="199CE991"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3 </w:t>
      </w:r>
      <w:r w:rsidRPr="00230B06">
        <w:rPr>
          <w:rFonts w:ascii="Book Antiqua" w:eastAsia="宋体" w:hAnsi="Book Antiqua" w:cs="宋体"/>
          <w:b/>
          <w:bCs/>
        </w:rPr>
        <w:t>Nanashima A</w:t>
      </w:r>
      <w:r w:rsidRPr="00230B06">
        <w:rPr>
          <w:rFonts w:ascii="Book Antiqua" w:eastAsia="宋体" w:hAnsi="Book Antiqua" w:cs="宋体"/>
        </w:rPr>
        <w:t>, Abo T, Arai J, Takagi K, Matsumoto H, Takeshita H, Tsuchiya T, Nagayasu T. Usefulness of vessel-sealing devices combined with crush clamping method for hepatectomy: a retrospective cohort study. </w:t>
      </w:r>
      <w:r w:rsidRPr="00230B06">
        <w:rPr>
          <w:rFonts w:ascii="Book Antiqua" w:eastAsia="宋体" w:hAnsi="Book Antiqua" w:cs="宋体"/>
          <w:i/>
          <w:iCs/>
        </w:rPr>
        <w:t>Int J Surg</w:t>
      </w:r>
      <w:r w:rsidRPr="00230B06">
        <w:rPr>
          <w:rFonts w:ascii="Book Antiqua" w:eastAsia="宋体" w:hAnsi="Book Antiqua" w:cs="宋体"/>
        </w:rPr>
        <w:t> 2013; </w:t>
      </w:r>
      <w:r w:rsidRPr="00230B06">
        <w:rPr>
          <w:rFonts w:ascii="Book Antiqua" w:eastAsia="宋体" w:hAnsi="Book Antiqua" w:cs="宋体"/>
          <w:b/>
          <w:bCs/>
        </w:rPr>
        <w:t>11</w:t>
      </w:r>
      <w:r w:rsidRPr="00230B06">
        <w:rPr>
          <w:rFonts w:ascii="Book Antiqua" w:eastAsia="宋体" w:hAnsi="Book Antiqua" w:cs="宋体"/>
        </w:rPr>
        <w:t>: 891-897 [PMID: 23954369 DOI: 10.1016/j.ijsu.2013.07.012]</w:t>
      </w:r>
    </w:p>
    <w:p w14:paraId="33B926C9"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4 </w:t>
      </w:r>
      <w:r w:rsidRPr="00230B06">
        <w:rPr>
          <w:rFonts w:ascii="Book Antiqua" w:eastAsia="宋体" w:hAnsi="Book Antiqua" w:cs="宋体"/>
          <w:b/>
          <w:bCs/>
        </w:rPr>
        <w:t>Saiura A</w:t>
      </w:r>
      <w:r w:rsidRPr="00230B06">
        <w:rPr>
          <w:rFonts w:ascii="Book Antiqua" w:eastAsia="宋体" w:hAnsi="Book Antiqua" w:cs="宋体"/>
        </w:rPr>
        <w:t>, Yamamoto J, Koga R, Sakamoto Y, Kokudo N, Seki M, Yamaguchi T, Yamaguchi T, Muto T, Makuuchi M. Usefulness of LigaSure for liver resection: analysis by randomized clinical trial. </w:t>
      </w:r>
      <w:r w:rsidRPr="00230B06">
        <w:rPr>
          <w:rFonts w:ascii="Book Antiqua" w:eastAsia="宋体" w:hAnsi="Book Antiqua" w:cs="宋体"/>
          <w:i/>
          <w:iCs/>
        </w:rPr>
        <w:t>Am J Surg</w:t>
      </w:r>
      <w:r w:rsidRPr="00230B06">
        <w:rPr>
          <w:rFonts w:ascii="Book Antiqua" w:eastAsia="宋体" w:hAnsi="Book Antiqua" w:cs="宋体"/>
        </w:rPr>
        <w:t> 2006; </w:t>
      </w:r>
      <w:r w:rsidRPr="00230B06">
        <w:rPr>
          <w:rFonts w:ascii="Book Antiqua" w:eastAsia="宋体" w:hAnsi="Book Antiqua" w:cs="宋体"/>
          <w:b/>
          <w:bCs/>
        </w:rPr>
        <w:t>192</w:t>
      </w:r>
      <w:r w:rsidRPr="00230B06">
        <w:rPr>
          <w:rFonts w:ascii="Book Antiqua" w:eastAsia="宋体" w:hAnsi="Book Antiqua" w:cs="宋体"/>
        </w:rPr>
        <w:t>: 41-45 [PMID: 16769273 DOI: 10.1016/j.amjsurg.2006.01.025]</w:t>
      </w:r>
    </w:p>
    <w:p w14:paraId="6111AEF4"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5 </w:t>
      </w:r>
      <w:r w:rsidRPr="00230B06">
        <w:rPr>
          <w:rFonts w:ascii="Book Antiqua" w:eastAsia="宋体" w:hAnsi="Book Antiqua" w:cs="宋体"/>
          <w:b/>
          <w:bCs/>
        </w:rPr>
        <w:t>Xia F</w:t>
      </w:r>
      <w:r w:rsidRPr="00230B06">
        <w:rPr>
          <w:rFonts w:ascii="Book Antiqua" w:eastAsia="宋体" w:hAnsi="Book Antiqua" w:cs="宋体"/>
        </w:rPr>
        <w:t>, Wang S, Ma K, Feng X, Su Y, Dong J. The use of saline-linked radiofrequency dissecting sealer for liver transection in patients with cirrhosis. </w:t>
      </w:r>
      <w:r w:rsidRPr="00230B06">
        <w:rPr>
          <w:rFonts w:ascii="Book Antiqua" w:eastAsia="宋体" w:hAnsi="Book Antiqua" w:cs="宋体"/>
          <w:i/>
          <w:iCs/>
        </w:rPr>
        <w:t>J Surg Res</w:t>
      </w:r>
      <w:r w:rsidRPr="00230B06">
        <w:rPr>
          <w:rFonts w:ascii="Book Antiqua" w:eastAsia="宋体" w:hAnsi="Book Antiqua" w:cs="宋体"/>
        </w:rPr>
        <w:t> 2008; </w:t>
      </w:r>
      <w:r w:rsidRPr="00230B06">
        <w:rPr>
          <w:rFonts w:ascii="Book Antiqua" w:eastAsia="宋体" w:hAnsi="Book Antiqua" w:cs="宋体"/>
          <w:b/>
          <w:bCs/>
        </w:rPr>
        <w:t>149</w:t>
      </w:r>
      <w:r w:rsidRPr="00230B06">
        <w:rPr>
          <w:rFonts w:ascii="Book Antiqua" w:eastAsia="宋体" w:hAnsi="Book Antiqua" w:cs="宋体"/>
        </w:rPr>
        <w:t>: 110-114 [PMID: 18541264 DOI: 10.1016/j.jss.2008.01.002]</w:t>
      </w:r>
    </w:p>
    <w:p w14:paraId="7E71C0D8"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6 </w:t>
      </w:r>
      <w:r w:rsidRPr="00230B06">
        <w:rPr>
          <w:rFonts w:ascii="Book Antiqua" w:eastAsia="宋体" w:hAnsi="Book Antiqua" w:cs="宋体"/>
          <w:b/>
          <w:bCs/>
        </w:rPr>
        <w:t>Cockbain AJ</w:t>
      </w:r>
      <w:r w:rsidRPr="00230B06">
        <w:rPr>
          <w:rFonts w:ascii="Book Antiqua" w:eastAsia="宋体" w:hAnsi="Book Antiqua" w:cs="宋体"/>
        </w:rPr>
        <w:t>, Masudi T, Lodge JP, Toogood GJ, Prasad KR. Predictors of blood transfusion requirement in elective liver resection. </w:t>
      </w:r>
      <w:r w:rsidRPr="00230B06">
        <w:rPr>
          <w:rFonts w:ascii="Book Antiqua" w:eastAsia="宋体" w:hAnsi="Book Antiqua" w:cs="宋体"/>
          <w:i/>
          <w:iCs/>
        </w:rPr>
        <w:t>HPB (Oxford)</w:t>
      </w:r>
      <w:r w:rsidRPr="00230B06">
        <w:rPr>
          <w:rFonts w:ascii="Book Antiqua" w:eastAsia="宋体" w:hAnsi="Book Antiqua" w:cs="宋体"/>
        </w:rPr>
        <w:t> 2010; </w:t>
      </w:r>
      <w:r w:rsidRPr="00230B06">
        <w:rPr>
          <w:rFonts w:ascii="Book Antiqua" w:eastAsia="宋体" w:hAnsi="Book Antiqua" w:cs="宋体"/>
          <w:b/>
          <w:bCs/>
        </w:rPr>
        <w:t>12</w:t>
      </w:r>
      <w:r w:rsidRPr="00230B06">
        <w:rPr>
          <w:rFonts w:ascii="Book Antiqua" w:eastAsia="宋体" w:hAnsi="Book Antiqua" w:cs="宋体"/>
        </w:rPr>
        <w:t>: 50-55 [PMID: 20495645 DOI: 10.1111/j.1477-2574.2009.00126.x]</w:t>
      </w:r>
    </w:p>
    <w:p w14:paraId="6D00287C"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7 </w:t>
      </w:r>
      <w:r w:rsidRPr="00230B06">
        <w:rPr>
          <w:rFonts w:ascii="Book Antiqua" w:eastAsia="宋体" w:hAnsi="Book Antiqua" w:cs="宋体"/>
          <w:b/>
          <w:bCs/>
        </w:rPr>
        <w:t>Lucas DJ</w:t>
      </w:r>
      <w:r w:rsidRPr="00230B06">
        <w:rPr>
          <w:rFonts w:ascii="Book Antiqua" w:eastAsia="宋体" w:hAnsi="Book Antiqua" w:cs="宋体"/>
        </w:rPr>
        <w:t>, Schexneider KI, Weiss M, Wolfgang CL, Frank SM, Hirose K, Ahuja N, Makary M, Cameron JL, Pawlik TM. Trends and risk factors for transfusion in hepatopancreatobiliary surgery. </w:t>
      </w:r>
      <w:r w:rsidRPr="00230B06">
        <w:rPr>
          <w:rFonts w:ascii="Book Antiqua" w:eastAsia="宋体" w:hAnsi="Book Antiqua" w:cs="宋体"/>
          <w:i/>
          <w:iCs/>
        </w:rPr>
        <w:t>J Gastrointest Surg</w:t>
      </w:r>
      <w:r w:rsidRPr="00230B06">
        <w:rPr>
          <w:rFonts w:ascii="Book Antiqua" w:eastAsia="宋体" w:hAnsi="Book Antiqua" w:cs="宋体"/>
        </w:rPr>
        <w:t> 2014; </w:t>
      </w:r>
      <w:r w:rsidRPr="00230B06">
        <w:rPr>
          <w:rFonts w:ascii="Book Antiqua" w:eastAsia="宋体" w:hAnsi="Book Antiqua" w:cs="宋体"/>
          <w:b/>
          <w:bCs/>
        </w:rPr>
        <w:t>18</w:t>
      </w:r>
      <w:r w:rsidRPr="00230B06">
        <w:rPr>
          <w:rFonts w:ascii="Book Antiqua" w:eastAsia="宋体" w:hAnsi="Book Antiqua" w:cs="宋体"/>
        </w:rPr>
        <w:t>: 719-728 [PMID: 24323432 DOI: 10.1007/s11605-013-2417-9]</w:t>
      </w:r>
    </w:p>
    <w:p w14:paraId="3A1E0D37"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8 </w:t>
      </w:r>
      <w:r w:rsidRPr="00230B06">
        <w:rPr>
          <w:rFonts w:ascii="Book Antiqua" w:eastAsia="宋体" w:hAnsi="Book Antiqua" w:cs="宋体"/>
          <w:b/>
          <w:bCs/>
        </w:rPr>
        <w:t>Pulitanò C</w:t>
      </w:r>
      <w:r w:rsidRPr="00230B06">
        <w:rPr>
          <w:rFonts w:ascii="Book Antiqua" w:eastAsia="宋体" w:hAnsi="Book Antiqua" w:cs="宋体"/>
        </w:rPr>
        <w:t>, Arru M, Bellio L, Rossini S, Ferla G, Aldrighetti L. A risk score for predicting perioperative blood transfusion in liver surgery. </w:t>
      </w:r>
      <w:r w:rsidRPr="00230B06">
        <w:rPr>
          <w:rFonts w:ascii="Book Antiqua" w:eastAsia="宋体" w:hAnsi="Book Antiqua" w:cs="宋体"/>
          <w:i/>
          <w:iCs/>
        </w:rPr>
        <w:t>Br J Surg</w:t>
      </w:r>
      <w:r w:rsidRPr="00230B06">
        <w:rPr>
          <w:rFonts w:ascii="Book Antiqua" w:eastAsia="宋体" w:hAnsi="Book Antiqua" w:cs="宋体"/>
        </w:rPr>
        <w:t> 2007; </w:t>
      </w:r>
      <w:r w:rsidRPr="00230B06">
        <w:rPr>
          <w:rFonts w:ascii="Book Antiqua" w:eastAsia="宋体" w:hAnsi="Book Antiqua" w:cs="宋体"/>
          <w:b/>
          <w:bCs/>
        </w:rPr>
        <w:t>94</w:t>
      </w:r>
      <w:r w:rsidRPr="00230B06">
        <w:rPr>
          <w:rFonts w:ascii="Book Antiqua" w:eastAsia="宋体" w:hAnsi="Book Antiqua" w:cs="宋体"/>
        </w:rPr>
        <w:t>: 860-865 [PMID: 17380562 DOI: 10.1002/bjs.5731]</w:t>
      </w:r>
    </w:p>
    <w:p w14:paraId="2DEDCDAD"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lastRenderedPageBreak/>
        <w:t>9 </w:t>
      </w:r>
      <w:r w:rsidRPr="00230B06">
        <w:rPr>
          <w:rFonts w:ascii="Book Antiqua" w:eastAsia="宋体" w:hAnsi="Book Antiqua" w:cs="宋体"/>
          <w:b/>
          <w:bCs/>
        </w:rPr>
        <w:t>Sima CS</w:t>
      </w:r>
      <w:r w:rsidRPr="00230B06">
        <w:rPr>
          <w:rFonts w:ascii="Book Antiqua" w:eastAsia="宋体" w:hAnsi="Book Antiqua" w:cs="宋体"/>
        </w:rPr>
        <w:t>, Jarnagin WR, Fong Y, Elkin E, Fischer M, Wuest D, D'Angelica M, DeMatteo RP, Blumgart LH, Gönen M. Predicting the risk of perioperative transfusion for patients undergoing elective hepatectomy. </w:t>
      </w:r>
      <w:r w:rsidRPr="00230B06">
        <w:rPr>
          <w:rFonts w:ascii="Book Antiqua" w:eastAsia="宋体" w:hAnsi="Book Antiqua" w:cs="宋体"/>
          <w:i/>
          <w:iCs/>
        </w:rPr>
        <w:t>Ann Surg</w:t>
      </w:r>
      <w:r w:rsidRPr="00230B06">
        <w:rPr>
          <w:rFonts w:ascii="Book Antiqua" w:eastAsia="宋体" w:hAnsi="Book Antiqua" w:cs="宋体"/>
        </w:rPr>
        <w:t> 2009; </w:t>
      </w:r>
      <w:r w:rsidRPr="00230B06">
        <w:rPr>
          <w:rFonts w:ascii="Book Antiqua" w:eastAsia="宋体" w:hAnsi="Book Antiqua" w:cs="宋体"/>
          <w:b/>
          <w:bCs/>
        </w:rPr>
        <w:t>250</w:t>
      </w:r>
      <w:r w:rsidRPr="00230B06">
        <w:rPr>
          <w:rFonts w:ascii="Book Antiqua" w:eastAsia="宋体" w:hAnsi="Book Antiqua" w:cs="宋体"/>
        </w:rPr>
        <w:t>: 914-921 [PMID: 19953711]</w:t>
      </w:r>
    </w:p>
    <w:p w14:paraId="16F81F65" w14:textId="77777777" w:rsidR="001F3737" w:rsidRPr="00230B06" w:rsidRDefault="001F3737" w:rsidP="001F3737">
      <w:pPr>
        <w:spacing w:line="360" w:lineRule="auto"/>
        <w:jc w:val="both"/>
        <w:rPr>
          <w:rFonts w:ascii="Book Antiqua" w:eastAsia="宋体" w:hAnsi="Book Antiqua" w:cs="宋体"/>
        </w:rPr>
      </w:pPr>
      <w:r>
        <w:rPr>
          <w:rFonts w:ascii="Book Antiqua" w:eastAsia="宋体" w:hAnsi="Book Antiqua" w:cs="宋体"/>
        </w:rPr>
        <w:t>10</w:t>
      </w:r>
      <w:r w:rsidRPr="00230B06">
        <w:rPr>
          <w:rFonts w:ascii="Book Antiqua" w:eastAsia="宋体" w:hAnsi="Book Antiqua" w:cs="宋体"/>
          <w:b/>
        </w:rPr>
        <w:t xml:space="preserve"> Liu L,</w:t>
      </w:r>
      <w:r w:rsidRPr="00230B06">
        <w:rPr>
          <w:rFonts w:ascii="Book Antiqua" w:eastAsia="宋体" w:hAnsi="Book Antiqua" w:cs="宋体"/>
        </w:rPr>
        <w:t xml:space="preserve"> Wang Z, Jiang S, Shao B, Liu J, Zhang S, Zhou Y, Zhou Y, Zhang Y. Perioperative allogenenic blood transfusion is associated with worse clinical outcomes for hepatocellular carcinoma: a meta-analysis. PLoS One 2013; 8: e64261 [DOI: 10.1371/journal.pone.0064261]</w:t>
      </w:r>
    </w:p>
    <w:p w14:paraId="47D92C59"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11 </w:t>
      </w:r>
      <w:r w:rsidRPr="00230B06">
        <w:rPr>
          <w:rFonts w:ascii="Book Antiqua" w:eastAsia="宋体" w:hAnsi="Book Antiqua" w:cs="宋体"/>
          <w:b/>
          <w:bCs/>
        </w:rPr>
        <w:t>Amato A</w:t>
      </w:r>
      <w:r w:rsidRPr="00230B06">
        <w:rPr>
          <w:rFonts w:ascii="Book Antiqua" w:eastAsia="宋体" w:hAnsi="Book Antiqua" w:cs="宋体"/>
        </w:rPr>
        <w:t>, Pescatori M. Perioperative blood transfusions for the recurrence of colorectal cancer. </w:t>
      </w:r>
      <w:r w:rsidRPr="00230B06">
        <w:rPr>
          <w:rFonts w:ascii="Book Antiqua" w:eastAsia="宋体" w:hAnsi="Book Antiqua" w:cs="宋体"/>
          <w:i/>
          <w:iCs/>
        </w:rPr>
        <w:t>Cochrane Database Syst Rev</w:t>
      </w:r>
      <w:r w:rsidRPr="00230B06">
        <w:rPr>
          <w:rFonts w:ascii="Book Antiqua" w:eastAsia="宋体" w:hAnsi="Book Antiqua" w:cs="宋体"/>
        </w:rPr>
        <w:t> 2006;</w:t>
      </w:r>
      <w:r w:rsidRPr="00230B06">
        <w:rPr>
          <w:rFonts w:ascii="Book Antiqua" w:eastAsia="宋体" w:hAnsi="Book Antiqua" w:cs="宋体"/>
          <w:b/>
        </w:rPr>
        <w:t> </w:t>
      </w:r>
      <w:r w:rsidRPr="00230B06">
        <w:rPr>
          <w:rFonts w:ascii="Book Antiqua" w:eastAsia="宋体" w:hAnsi="Book Antiqua" w:cs="宋体" w:hint="eastAsia"/>
          <w:b/>
        </w:rPr>
        <w:t>(1)</w:t>
      </w:r>
      <w:r w:rsidRPr="00230B06">
        <w:rPr>
          <w:rFonts w:ascii="Book Antiqua" w:eastAsia="宋体" w:hAnsi="Book Antiqua" w:cs="宋体"/>
          <w:b/>
        </w:rPr>
        <w:t xml:space="preserve">: </w:t>
      </w:r>
      <w:r w:rsidRPr="00230B06">
        <w:rPr>
          <w:rFonts w:ascii="Book Antiqua" w:eastAsia="宋体" w:hAnsi="Book Antiqua" w:cs="宋体"/>
        </w:rPr>
        <w:t>CD005033 [PMID: 16437512 DOI: 10.1002/14651858.CD005033.pub2]</w:t>
      </w:r>
    </w:p>
    <w:p w14:paraId="7187372F"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12 </w:t>
      </w:r>
      <w:r w:rsidRPr="00230B06">
        <w:rPr>
          <w:rFonts w:ascii="Book Antiqua" w:eastAsia="宋体" w:hAnsi="Book Antiqua" w:cs="宋体"/>
          <w:b/>
          <w:bCs/>
        </w:rPr>
        <w:t>Sugita S</w:t>
      </w:r>
      <w:r w:rsidRPr="00230B06">
        <w:rPr>
          <w:rFonts w:ascii="Book Antiqua" w:eastAsia="宋体" w:hAnsi="Book Antiqua" w:cs="宋体"/>
        </w:rPr>
        <w:t>, Sasaki A, Iwaki K, Uchida H, Kai S, Shibata K, Ohta M, Kitano S. Prognosis and postoperative lymphocyte count in patients with hepatocellular carcinoma who received intraoperative allogenic blood transfusion: a retrospective study. </w:t>
      </w:r>
      <w:r w:rsidRPr="00230B06">
        <w:rPr>
          <w:rFonts w:ascii="Book Antiqua" w:eastAsia="宋体" w:hAnsi="Book Antiqua" w:cs="宋体"/>
          <w:i/>
          <w:iCs/>
        </w:rPr>
        <w:t>Eur J Surg Oncol</w:t>
      </w:r>
      <w:r w:rsidRPr="00230B06">
        <w:rPr>
          <w:rFonts w:ascii="Book Antiqua" w:eastAsia="宋体" w:hAnsi="Book Antiqua" w:cs="宋体"/>
        </w:rPr>
        <w:t> 2008; </w:t>
      </w:r>
      <w:r w:rsidRPr="00230B06">
        <w:rPr>
          <w:rFonts w:ascii="Book Antiqua" w:eastAsia="宋体" w:hAnsi="Book Antiqua" w:cs="宋体"/>
          <w:b/>
          <w:bCs/>
        </w:rPr>
        <w:t>34</w:t>
      </w:r>
      <w:r w:rsidRPr="00230B06">
        <w:rPr>
          <w:rFonts w:ascii="Book Antiqua" w:eastAsia="宋体" w:hAnsi="Book Antiqua" w:cs="宋体"/>
        </w:rPr>
        <w:t>: 339-345 [PMID: 17400417 DOI: 10.1016/j.ejso.2007.02.010]</w:t>
      </w:r>
    </w:p>
    <w:p w14:paraId="6B5CF2A5" w14:textId="77777777" w:rsidR="001F3737" w:rsidRPr="00230B06" w:rsidRDefault="001F3737" w:rsidP="001F3737">
      <w:pPr>
        <w:spacing w:line="360" w:lineRule="auto"/>
        <w:jc w:val="both"/>
        <w:rPr>
          <w:rFonts w:ascii="Book Antiqua" w:eastAsia="宋体" w:hAnsi="Book Antiqua" w:cs="宋体"/>
        </w:rPr>
      </w:pPr>
      <w:r>
        <w:rPr>
          <w:rFonts w:ascii="Book Antiqua" w:eastAsia="宋体" w:hAnsi="Book Antiqua" w:cs="宋体"/>
        </w:rPr>
        <w:t xml:space="preserve">13 </w:t>
      </w:r>
      <w:r w:rsidRPr="00230B06">
        <w:rPr>
          <w:rFonts w:ascii="Book Antiqua" w:eastAsia="宋体" w:hAnsi="Book Antiqua" w:cs="宋体"/>
          <w:b/>
        </w:rPr>
        <w:t>Felekouras E,</w:t>
      </w:r>
      <w:r w:rsidRPr="00230B06">
        <w:rPr>
          <w:rFonts w:ascii="Book Antiqua" w:eastAsia="宋体" w:hAnsi="Book Antiqua" w:cs="宋体"/>
        </w:rPr>
        <w:t xml:space="preserve"> Petrou A, Neofytou K, Giakoustidis A, Bagenal J, Cananzi F, Pikoulis E, Mudan S. Combined ultrasonic aspiration and saline-linked radiofrequency precoagulation: a step toward bloodless liver resection without the need of liver inflow occlusion: analysis of 313 consecutive patients. </w:t>
      </w:r>
      <w:r w:rsidRPr="00230B06">
        <w:rPr>
          <w:rFonts w:ascii="Book Antiqua" w:eastAsia="宋体" w:hAnsi="Book Antiqua" w:cs="宋体"/>
          <w:i/>
        </w:rPr>
        <w:t xml:space="preserve">World J Surg Oncol </w:t>
      </w:r>
      <w:r w:rsidRPr="00230B06">
        <w:rPr>
          <w:rFonts w:ascii="Book Antiqua" w:eastAsia="宋体" w:hAnsi="Book Antiqua" w:cs="宋体"/>
        </w:rPr>
        <w:t xml:space="preserve">2014; </w:t>
      </w:r>
      <w:r w:rsidRPr="00230B06">
        <w:rPr>
          <w:rFonts w:ascii="Book Antiqua" w:eastAsia="宋体" w:hAnsi="Book Antiqua" w:cs="宋体"/>
          <w:b/>
        </w:rPr>
        <w:t>12</w:t>
      </w:r>
      <w:r w:rsidRPr="00230B06">
        <w:rPr>
          <w:rFonts w:ascii="Book Antiqua" w:eastAsia="宋体" w:hAnsi="Book Antiqua" w:cs="宋体"/>
        </w:rPr>
        <w:t>: 357 [DOI: 10.1186/1477-7819-12-357]</w:t>
      </w:r>
    </w:p>
    <w:p w14:paraId="67D5856C"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14 </w:t>
      </w:r>
      <w:r w:rsidRPr="00230B06">
        <w:rPr>
          <w:rFonts w:ascii="Book Antiqua" w:eastAsia="宋体" w:hAnsi="Book Antiqua" w:cs="宋体"/>
          <w:b/>
          <w:bCs/>
        </w:rPr>
        <w:t>Cannon RM</w:t>
      </w:r>
      <w:r w:rsidRPr="00230B06">
        <w:rPr>
          <w:rFonts w:ascii="Book Antiqua" w:eastAsia="宋体" w:hAnsi="Book Antiqua" w:cs="宋体"/>
        </w:rPr>
        <w:t>, Scoggins CR, Callender GG, Quillo A, McMasters KM, Martin RC. Financial comparison of laparoscopic versus open hepatic resection using deviation-based cost modeling. </w:t>
      </w:r>
      <w:r w:rsidRPr="00230B06">
        <w:rPr>
          <w:rFonts w:ascii="Book Antiqua" w:eastAsia="宋体" w:hAnsi="Book Antiqua" w:cs="宋体"/>
          <w:i/>
          <w:iCs/>
        </w:rPr>
        <w:t>Ann Surg Oncol</w:t>
      </w:r>
      <w:r w:rsidRPr="00230B06">
        <w:rPr>
          <w:rFonts w:ascii="Book Antiqua" w:eastAsia="宋体" w:hAnsi="Book Antiqua" w:cs="宋体"/>
        </w:rPr>
        <w:t> 2013; </w:t>
      </w:r>
      <w:r w:rsidRPr="00230B06">
        <w:rPr>
          <w:rFonts w:ascii="Book Antiqua" w:eastAsia="宋体" w:hAnsi="Book Antiqua" w:cs="宋体"/>
          <w:b/>
          <w:bCs/>
        </w:rPr>
        <w:t>20</w:t>
      </w:r>
      <w:r w:rsidRPr="00230B06">
        <w:rPr>
          <w:rFonts w:ascii="Book Antiqua" w:eastAsia="宋体" w:hAnsi="Book Antiqua" w:cs="宋体"/>
        </w:rPr>
        <w:t>: 2887-2892 [PMID: 23636514 DOI: 10.1245/s10434-013-2993-7]</w:t>
      </w:r>
    </w:p>
    <w:p w14:paraId="056C6637"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15 </w:t>
      </w:r>
      <w:r w:rsidRPr="00230B06">
        <w:rPr>
          <w:rFonts w:ascii="Book Antiqua" w:eastAsia="宋体" w:hAnsi="Book Antiqua" w:cs="宋体"/>
          <w:b/>
          <w:bCs/>
        </w:rPr>
        <w:t xml:space="preserve">Vanounou T, </w:t>
      </w:r>
      <w:r w:rsidRPr="00230B06">
        <w:rPr>
          <w:rFonts w:ascii="Book Antiqua" w:eastAsia="宋体" w:hAnsi="Book Antiqua" w:cs="宋体"/>
          <w:bCs/>
        </w:rPr>
        <w:t xml:space="preserve">Steel JL, Nguyen KT, Tsung A, Marsh JW, Geller DA, Gamblin TC. Comparing the clinical and economic impact of laparoscopic versus open liver resection. </w:t>
      </w:r>
      <w:r w:rsidRPr="00230B06">
        <w:rPr>
          <w:rFonts w:ascii="Book Antiqua" w:eastAsia="宋体" w:hAnsi="Book Antiqua" w:cs="宋体"/>
          <w:bCs/>
          <w:i/>
        </w:rPr>
        <w:t xml:space="preserve">Ann Surg Oncol </w:t>
      </w:r>
      <w:r w:rsidRPr="00230B06">
        <w:rPr>
          <w:rFonts w:ascii="Book Antiqua" w:eastAsia="宋体" w:hAnsi="Book Antiqua" w:cs="宋体"/>
          <w:bCs/>
        </w:rPr>
        <w:t>2010;</w:t>
      </w:r>
      <w:r>
        <w:rPr>
          <w:rFonts w:ascii="Book Antiqua" w:eastAsia="宋体" w:hAnsi="Book Antiqua" w:cs="宋体" w:hint="eastAsia"/>
          <w:bCs/>
        </w:rPr>
        <w:t xml:space="preserve"> </w:t>
      </w:r>
      <w:r w:rsidRPr="00230B06">
        <w:rPr>
          <w:rFonts w:ascii="Book Antiqua" w:eastAsia="宋体" w:hAnsi="Book Antiqua" w:cs="宋体"/>
          <w:b/>
          <w:bCs/>
        </w:rPr>
        <w:t>17</w:t>
      </w:r>
      <w:r w:rsidRPr="00230B06">
        <w:rPr>
          <w:rFonts w:ascii="Book Antiqua" w:eastAsia="宋体" w:hAnsi="Book Antiqua" w:cs="宋体"/>
          <w:bCs/>
        </w:rPr>
        <w:t>: 998-1009 [PMID: 20033324 DOI: 10.1245/s10434-009-0839-0]</w:t>
      </w:r>
    </w:p>
    <w:p w14:paraId="2A9A07A0"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16 </w:t>
      </w:r>
      <w:r w:rsidRPr="00230B06">
        <w:rPr>
          <w:rFonts w:ascii="Book Antiqua" w:eastAsia="宋体" w:hAnsi="Book Antiqua" w:cs="宋体"/>
          <w:b/>
          <w:bCs/>
        </w:rPr>
        <w:t>Crawshaw BP</w:t>
      </w:r>
      <w:r w:rsidRPr="00230B06">
        <w:rPr>
          <w:rFonts w:ascii="Book Antiqua" w:eastAsia="宋体" w:hAnsi="Book Antiqua" w:cs="宋体"/>
        </w:rPr>
        <w:t>, Chien HL, Augestad KM, Delaney CP. Effect of laparoscopic surgery on health care utilization and costs in patients who undergo colectomy. </w:t>
      </w:r>
      <w:r w:rsidRPr="00230B06">
        <w:rPr>
          <w:rFonts w:ascii="Book Antiqua" w:eastAsia="宋体" w:hAnsi="Book Antiqua" w:cs="宋体"/>
          <w:i/>
          <w:iCs/>
        </w:rPr>
        <w:t>JAMA Surg</w:t>
      </w:r>
      <w:r w:rsidRPr="00230B06">
        <w:rPr>
          <w:rFonts w:ascii="Book Antiqua" w:eastAsia="宋体" w:hAnsi="Book Antiqua" w:cs="宋体"/>
        </w:rPr>
        <w:t> 2015; </w:t>
      </w:r>
      <w:r w:rsidRPr="00230B06">
        <w:rPr>
          <w:rFonts w:ascii="Book Antiqua" w:eastAsia="宋体" w:hAnsi="Book Antiqua" w:cs="宋体"/>
          <w:b/>
          <w:bCs/>
        </w:rPr>
        <w:t>150</w:t>
      </w:r>
      <w:r w:rsidRPr="00230B06">
        <w:rPr>
          <w:rFonts w:ascii="Book Antiqua" w:eastAsia="宋体" w:hAnsi="Book Antiqua" w:cs="宋体"/>
        </w:rPr>
        <w:t>: 410-415 [PMID: 25806476 DOI: 10.1001/jamasurg.2014.3171]</w:t>
      </w:r>
    </w:p>
    <w:p w14:paraId="72234F14"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lastRenderedPageBreak/>
        <w:t>17 </w:t>
      </w:r>
      <w:r w:rsidRPr="00230B06">
        <w:rPr>
          <w:rFonts w:ascii="Book Antiqua" w:eastAsia="宋体" w:hAnsi="Book Antiqua" w:cs="宋体"/>
          <w:b/>
          <w:bCs/>
        </w:rPr>
        <w:t>Charlson ME</w:t>
      </w:r>
      <w:r w:rsidRPr="00230B06">
        <w:rPr>
          <w:rFonts w:ascii="Book Antiqua" w:eastAsia="宋体" w:hAnsi="Book Antiqua" w:cs="宋体"/>
        </w:rPr>
        <w:t>, Pompei P, Ales KL, MacKenzie CR. A new method of classifying prognostic comorbidity in longitudinal studies: development and validation. </w:t>
      </w:r>
      <w:r w:rsidRPr="00230B06">
        <w:rPr>
          <w:rFonts w:ascii="Book Antiqua" w:eastAsia="宋体" w:hAnsi="Book Antiqua" w:cs="宋体"/>
          <w:i/>
          <w:iCs/>
        </w:rPr>
        <w:t>J Chronic Dis</w:t>
      </w:r>
      <w:r w:rsidRPr="00230B06">
        <w:rPr>
          <w:rFonts w:ascii="Book Antiqua" w:eastAsia="宋体" w:hAnsi="Book Antiqua" w:cs="宋体"/>
        </w:rPr>
        <w:t> 1987; </w:t>
      </w:r>
      <w:r w:rsidRPr="00230B06">
        <w:rPr>
          <w:rFonts w:ascii="Book Antiqua" w:eastAsia="宋体" w:hAnsi="Book Antiqua" w:cs="宋体"/>
          <w:b/>
          <w:bCs/>
        </w:rPr>
        <w:t>40</w:t>
      </w:r>
      <w:r w:rsidRPr="00230B06">
        <w:rPr>
          <w:rFonts w:ascii="Book Antiqua" w:eastAsia="宋体" w:hAnsi="Book Antiqua" w:cs="宋体"/>
        </w:rPr>
        <w:t>: 373-383 [PMID: 3558716]</w:t>
      </w:r>
    </w:p>
    <w:p w14:paraId="4F9D96D2"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18 </w:t>
      </w:r>
      <w:r w:rsidRPr="00230B06">
        <w:rPr>
          <w:rFonts w:ascii="Book Antiqua" w:eastAsia="宋体" w:hAnsi="Book Antiqua" w:cs="宋体"/>
          <w:b/>
          <w:bCs/>
        </w:rPr>
        <w:t>Deyo RA</w:t>
      </w:r>
      <w:r w:rsidRPr="00230B06">
        <w:rPr>
          <w:rFonts w:ascii="Book Antiqua" w:eastAsia="宋体" w:hAnsi="Book Antiqua" w:cs="宋体"/>
        </w:rPr>
        <w:t>, Cherkin DC, Ciol MA. Adapting a clinical comorbidity index for use with ICD-9-CM administrative databases. </w:t>
      </w:r>
      <w:r w:rsidRPr="00230B06">
        <w:rPr>
          <w:rFonts w:ascii="Book Antiqua" w:eastAsia="宋体" w:hAnsi="Book Antiqua" w:cs="宋体"/>
          <w:i/>
          <w:iCs/>
        </w:rPr>
        <w:t>J Clin Epidemiol</w:t>
      </w:r>
      <w:r w:rsidRPr="00230B06">
        <w:rPr>
          <w:rFonts w:ascii="Book Antiqua" w:eastAsia="宋体" w:hAnsi="Book Antiqua" w:cs="宋体"/>
        </w:rPr>
        <w:t> 1992; </w:t>
      </w:r>
      <w:r w:rsidRPr="00230B06">
        <w:rPr>
          <w:rFonts w:ascii="Book Antiqua" w:eastAsia="宋体" w:hAnsi="Book Antiqua" w:cs="宋体"/>
          <w:b/>
          <w:bCs/>
        </w:rPr>
        <w:t>45</w:t>
      </w:r>
      <w:r w:rsidRPr="00230B06">
        <w:rPr>
          <w:rFonts w:ascii="Book Antiqua" w:eastAsia="宋体" w:hAnsi="Book Antiqua" w:cs="宋体"/>
        </w:rPr>
        <w:t>: 613-619 [PMID: 1607900]</w:t>
      </w:r>
    </w:p>
    <w:p w14:paraId="6BAFC6FC"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19 </w:t>
      </w:r>
      <w:r w:rsidRPr="00230B06">
        <w:rPr>
          <w:rFonts w:ascii="Book Antiqua" w:eastAsia="宋体" w:hAnsi="Book Antiqua" w:cs="宋体"/>
          <w:b/>
          <w:bCs/>
        </w:rPr>
        <w:t>Vanounou T</w:t>
      </w:r>
      <w:r w:rsidRPr="00230B06">
        <w:rPr>
          <w:rFonts w:ascii="Book Antiqua" w:eastAsia="宋体" w:hAnsi="Book Antiqua" w:cs="宋体"/>
        </w:rPr>
        <w:t>, Pratt W, Fischer JE, Vollmer CM, Callery MP. Deviation-based cost modeling: a novel model to evaluate the clinical and economic impact of clinical pathways. </w:t>
      </w:r>
      <w:r w:rsidRPr="00230B06">
        <w:rPr>
          <w:rFonts w:ascii="Book Antiqua" w:eastAsia="宋体" w:hAnsi="Book Antiqua" w:cs="宋体"/>
          <w:i/>
          <w:iCs/>
        </w:rPr>
        <w:t>J Am Coll Surg</w:t>
      </w:r>
      <w:r w:rsidRPr="00230B06">
        <w:rPr>
          <w:rFonts w:ascii="Book Antiqua" w:eastAsia="宋体" w:hAnsi="Book Antiqua" w:cs="宋体"/>
        </w:rPr>
        <w:t> 2007; </w:t>
      </w:r>
      <w:r w:rsidRPr="00230B06">
        <w:rPr>
          <w:rFonts w:ascii="Book Antiqua" w:eastAsia="宋体" w:hAnsi="Book Antiqua" w:cs="宋体"/>
          <w:b/>
          <w:bCs/>
        </w:rPr>
        <w:t>204</w:t>
      </w:r>
      <w:r w:rsidRPr="00230B06">
        <w:rPr>
          <w:rFonts w:ascii="Book Antiqua" w:eastAsia="宋体" w:hAnsi="Book Antiqua" w:cs="宋体"/>
        </w:rPr>
        <w:t>: 570-579 [PMID: 17382215 DOI: 10.1016/j.jamcollsurg.2007.01.025]</w:t>
      </w:r>
    </w:p>
    <w:p w14:paraId="5171A370"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20 </w:t>
      </w:r>
      <w:r w:rsidRPr="00230B06">
        <w:rPr>
          <w:rFonts w:ascii="Book Antiqua" w:eastAsia="宋体" w:hAnsi="Book Antiqua" w:cs="宋体"/>
          <w:b/>
          <w:bCs/>
        </w:rPr>
        <w:t>Geller DA</w:t>
      </w:r>
      <w:r w:rsidRPr="00230B06">
        <w:rPr>
          <w:rFonts w:ascii="Book Antiqua" w:eastAsia="宋体" w:hAnsi="Book Antiqua" w:cs="宋体"/>
        </w:rPr>
        <w:t>, Tsung A, Maheshwari V, Rutstein LA, Fung JJ, Marsh JW. Hepatic resection in 170 patients using saline-cooled radiofrequency coagulation. </w:t>
      </w:r>
      <w:r w:rsidRPr="00230B06">
        <w:rPr>
          <w:rFonts w:ascii="Book Antiqua" w:eastAsia="宋体" w:hAnsi="Book Antiqua" w:cs="宋体"/>
          <w:i/>
          <w:iCs/>
        </w:rPr>
        <w:t>HPB</w:t>
      </w:r>
      <w:r w:rsidRPr="00230B06">
        <w:rPr>
          <w:rFonts w:ascii="Book Antiqua" w:eastAsia="宋体" w:hAnsi="Book Antiqua" w:cs="宋体"/>
          <w:iCs/>
        </w:rPr>
        <w:t xml:space="preserve"> (Oxford)</w:t>
      </w:r>
      <w:r w:rsidRPr="00230B06">
        <w:rPr>
          <w:rFonts w:ascii="Book Antiqua" w:eastAsia="宋体" w:hAnsi="Book Antiqua" w:cs="宋体"/>
        </w:rPr>
        <w:t> 2005; </w:t>
      </w:r>
      <w:r w:rsidRPr="00230B06">
        <w:rPr>
          <w:rFonts w:ascii="Book Antiqua" w:eastAsia="宋体" w:hAnsi="Book Antiqua" w:cs="宋体"/>
          <w:b/>
          <w:bCs/>
        </w:rPr>
        <w:t>7</w:t>
      </w:r>
      <w:r w:rsidRPr="00230B06">
        <w:rPr>
          <w:rFonts w:ascii="Book Antiqua" w:eastAsia="宋体" w:hAnsi="Book Antiqua" w:cs="宋体"/>
        </w:rPr>
        <w:t>: 208-213 [PMID: 18333192 DOI: 10.1080/13651820510028945]</w:t>
      </w:r>
    </w:p>
    <w:p w14:paraId="0F97DD20"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21 </w:t>
      </w:r>
      <w:r w:rsidRPr="00230B06">
        <w:rPr>
          <w:rFonts w:ascii="Book Antiqua" w:eastAsia="宋体" w:hAnsi="Book Antiqua" w:cs="宋体"/>
          <w:b/>
          <w:bCs/>
        </w:rPr>
        <w:t>Currò G</w:t>
      </w:r>
      <w:r w:rsidRPr="00230B06">
        <w:rPr>
          <w:rFonts w:ascii="Book Antiqua" w:eastAsia="宋体" w:hAnsi="Book Antiqua" w:cs="宋体"/>
        </w:rPr>
        <w:t>, Lazzara S, Barbera A, Cogliandolo A, Dattola A, De Marco ML, De Leo E, Rampulla V, Lazzara C, Navarra G. The Aquamantys® system as alternative for parenchymal division and hemostasis in liver resection for hepatocellular carcinoma: a preliminary study. </w:t>
      </w:r>
      <w:r w:rsidRPr="00230B06">
        <w:rPr>
          <w:rFonts w:ascii="Book Antiqua" w:eastAsia="宋体" w:hAnsi="Book Antiqua" w:cs="宋体"/>
          <w:i/>
          <w:iCs/>
        </w:rPr>
        <w:t>Eur Rev Med Pharmacol Sci</w:t>
      </w:r>
      <w:r w:rsidRPr="00230B06">
        <w:rPr>
          <w:rFonts w:ascii="Book Antiqua" w:eastAsia="宋体" w:hAnsi="Book Antiqua" w:cs="宋体"/>
        </w:rPr>
        <w:t> 2014; </w:t>
      </w:r>
      <w:r w:rsidRPr="00230B06">
        <w:rPr>
          <w:rFonts w:ascii="Book Antiqua" w:eastAsia="宋体" w:hAnsi="Book Antiqua" w:cs="宋体"/>
          <w:b/>
          <w:bCs/>
        </w:rPr>
        <w:t>18</w:t>
      </w:r>
      <w:r w:rsidRPr="00230B06">
        <w:rPr>
          <w:rFonts w:ascii="Book Antiqua" w:eastAsia="宋体" w:hAnsi="Book Antiqua" w:cs="宋体"/>
        </w:rPr>
        <w:t>: 2-5 [PMID: 25535183]</w:t>
      </w:r>
    </w:p>
    <w:p w14:paraId="500ADB82" w14:textId="77777777" w:rsidR="001F3737" w:rsidRPr="00230B06" w:rsidRDefault="001F3737" w:rsidP="001F3737">
      <w:pPr>
        <w:spacing w:line="360" w:lineRule="auto"/>
        <w:jc w:val="both"/>
        <w:rPr>
          <w:rFonts w:ascii="Book Antiqua" w:eastAsia="宋体" w:hAnsi="Book Antiqua" w:cs="宋体"/>
        </w:rPr>
      </w:pPr>
      <w:r w:rsidRPr="00230B06">
        <w:rPr>
          <w:rFonts w:ascii="Book Antiqua" w:eastAsia="宋体" w:hAnsi="Book Antiqua" w:cs="宋体"/>
        </w:rPr>
        <w:t>22 </w:t>
      </w:r>
      <w:r w:rsidRPr="00230B06">
        <w:rPr>
          <w:rFonts w:ascii="Book Antiqua" w:eastAsia="宋体" w:hAnsi="Book Antiqua" w:cs="宋体"/>
          <w:b/>
          <w:bCs/>
        </w:rPr>
        <w:t>Kaibori M</w:t>
      </w:r>
      <w:r w:rsidRPr="00230B06">
        <w:rPr>
          <w:rFonts w:ascii="Book Antiqua" w:eastAsia="宋体" w:hAnsi="Book Antiqua" w:cs="宋体"/>
        </w:rPr>
        <w:t>, Matsui K, Ishizaki M, Sakaguchi T, Matsushima H, Matsui Y, Kwon AH. A prospective randomized controlled trial of hemostasis with a bipolar sealer during hepatic transection for liver resection. </w:t>
      </w:r>
      <w:r w:rsidRPr="00230B06">
        <w:rPr>
          <w:rFonts w:ascii="Book Antiqua" w:eastAsia="宋体" w:hAnsi="Book Antiqua" w:cs="宋体"/>
          <w:i/>
          <w:iCs/>
        </w:rPr>
        <w:t>Surgery</w:t>
      </w:r>
      <w:r w:rsidRPr="00230B06">
        <w:rPr>
          <w:rFonts w:ascii="Book Antiqua" w:eastAsia="宋体" w:hAnsi="Book Antiqua" w:cs="宋体"/>
        </w:rPr>
        <w:t> 2013; </w:t>
      </w:r>
      <w:r w:rsidRPr="00230B06">
        <w:rPr>
          <w:rFonts w:ascii="Book Antiqua" w:eastAsia="宋体" w:hAnsi="Book Antiqua" w:cs="宋体"/>
          <w:b/>
          <w:bCs/>
        </w:rPr>
        <w:t>154</w:t>
      </w:r>
      <w:r w:rsidRPr="00230B06">
        <w:rPr>
          <w:rFonts w:ascii="Book Antiqua" w:eastAsia="宋体" w:hAnsi="Book Antiqua" w:cs="宋体"/>
        </w:rPr>
        <w:t>: 1046-1052 [PMID: 24075274 DOI: 10.1016/j.surg.2013.04.053]</w:t>
      </w:r>
    </w:p>
    <w:p w14:paraId="71AA73F5" w14:textId="77777777" w:rsidR="001F3737" w:rsidRPr="001F3737" w:rsidRDefault="001F3737" w:rsidP="001F3737">
      <w:pPr>
        <w:spacing w:line="360" w:lineRule="auto"/>
        <w:jc w:val="both"/>
        <w:rPr>
          <w:rStyle w:val="Strong"/>
          <w:rFonts w:ascii="Book Antiqua" w:eastAsia="宋体" w:hAnsi="Book Antiqua" w:cs="Arial"/>
          <w:bCs w:val="0"/>
          <w:noProof/>
          <w:color w:val="000000"/>
          <w:lang w:eastAsia="zh-CN"/>
        </w:rPr>
      </w:pPr>
    </w:p>
    <w:p w14:paraId="688F4B22" w14:textId="63FC4721" w:rsidR="00780CEC" w:rsidRPr="00206C54" w:rsidRDefault="00780CEC" w:rsidP="001F3737">
      <w:pPr>
        <w:spacing w:line="360" w:lineRule="auto"/>
        <w:jc w:val="both"/>
        <w:rPr>
          <w:rFonts w:ascii="Book Antiqua" w:eastAsia="宋体" w:hAnsi="Book Antiqua"/>
          <w:b/>
          <w:lang w:eastAsia="zh-CN"/>
        </w:rPr>
      </w:pPr>
      <w:r w:rsidRPr="001F3737">
        <w:rPr>
          <w:rStyle w:val="Strong"/>
          <w:rFonts w:ascii="Book Antiqua" w:hAnsi="Book Antiqua" w:cs="Arial"/>
          <w:bCs w:val="0"/>
          <w:noProof/>
          <w:color w:val="000000"/>
        </w:rPr>
        <w:t>P-Reviewer</w:t>
      </w:r>
      <w:r w:rsidRPr="001F3737">
        <w:rPr>
          <w:rStyle w:val="Strong"/>
          <w:rFonts w:ascii="Book Antiqua" w:eastAsia="宋体" w:hAnsi="Book Antiqua" w:cs="Arial"/>
          <w:bCs w:val="0"/>
          <w:noProof/>
          <w:color w:val="000000"/>
          <w:lang w:eastAsia="zh-CN"/>
        </w:rPr>
        <w:t>:</w:t>
      </w:r>
      <w:r w:rsidRPr="001F3737">
        <w:rPr>
          <w:rFonts w:ascii="Book Antiqua" w:hAnsi="Book Antiqua"/>
        </w:rPr>
        <w:t xml:space="preserve"> </w:t>
      </w:r>
      <w:r w:rsidR="0082590E" w:rsidRPr="001F3737">
        <w:rPr>
          <w:rFonts w:ascii="Book Antiqua" w:hAnsi="Book Antiqua"/>
        </w:rPr>
        <w:t>Chiu</w:t>
      </w:r>
      <w:r w:rsidR="0082590E" w:rsidRPr="001F3737">
        <w:rPr>
          <w:rFonts w:ascii="Book Antiqua" w:eastAsia="宋体" w:hAnsi="Book Antiqua"/>
          <w:lang w:eastAsia="zh-CN"/>
        </w:rPr>
        <w:t xml:space="preserve"> KW,</w:t>
      </w:r>
      <w:r w:rsidR="0082590E" w:rsidRPr="001F3737">
        <w:rPr>
          <w:rFonts w:ascii="Book Antiqua" w:hAnsi="Book Antiqua"/>
        </w:rPr>
        <w:t xml:space="preserve"> Morales-Gonzalez</w:t>
      </w:r>
      <w:r w:rsidR="0082590E" w:rsidRPr="001F3737">
        <w:rPr>
          <w:rFonts w:ascii="Book Antiqua" w:eastAsia="宋体" w:hAnsi="Book Antiqua"/>
          <w:lang w:eastAsia="zh-CN"/>
        </w:rPr>
        <w:t xml:space="preserve"> JA</w:t>
      </w:r>
      <w:r w:rsidRPr="001F3737">
        <w:rPr>
          <w:rFonts w:ascii="Book Antiqua" w:hAnsi="Book Antiqua"/>
        </w:rPr>
        <w:t xml:space="preserve"> </w:t>
      </w:r>
      <w:r w:rsidRPr="00206C54">
        <w:rPr>
          <w:rFonts w:ascii="Book Antiqua" w:hAnsi="Book Antiqua"/>
          <w:b/>
        </w:rPr>
        <w:t>S-Editor</w:t>
      </w:r>
      <w:r w:rsidRPr="00206C54">
        <w:rPr>
          <w:rFonts w:ascii="Book Antiqua" w:eastAsia="宋体" w:hAnsi="Book Antiqua"/>
          <w:b/>
          <w:lang w:eastAsia="zh-CN"/>
        </w:rPr>
        <w:t>:</w:t>
      </w:r>
      <w:r w:rsidRPr="00206C54">
        <w:rPr>
          <w:rFonts w:ascii="Book Antiqua" w:hAnsi="Book Antiqua"/>
          <w:b/>
        </w:rPr>
        <w:t xml:space="preserve"> </w:t>
      </w:r>
      <w:r w:rsidRPr="001F3737">
        <w:rPr>
          <w:rFonts w:ascii="Book Antiqua" w:eastAsia="宋体" w:hAnsi="Book Antiqua"/>
          <w:lang w:eastAsia="zh-CN"/>
        </w:rPr>
        <w:t>Qi Y</w:t>
      </w:r>
      <w:r w:rsidRPr="001F3737">
        <w:rPr>
          <w:rFonts w:ascii="Book Antiqua" w:hAnsi="Book Antiqua"/>
        </w:rPr>
        <w:t xml:space="preserve"> </w:t>
      </w:r>
      <w:r w:rsidRPr="00206C54">
        <w:rPr>
          <w:rFonts w:ascii="Book Antiqua" w:hAnsi="Book Antiqua"/>
          <w:b/>
        </w:rPr>
        <w:t xml:space="preserve">  L-Editor</w:t>
      </w:r>
      <w:r w:rsidRPr="00206C54">
        <w:rPr>
          <w:rFonts w:ascii="Book Antiqua" w:eastAsia="宋体" w:hAnsi="Book Antiqua"/>
          <w:b/>
          <w:lang w:eastAsia="zh-CN"/>
        </w:rPr>
        <w:t>:</w:t>
      </w:r>
      <w:r w:rsidRPr="00206C54">
        <w:rPr>
          <w:rFonts w:ascii="Book Antiqua" w:hAnsi="Book Antiqua"/>
          <w:b/>
        </w:rPr>
        <w:t xml:space="preserve">   E-Editor</w:t>
      </w:r>
      <w:r w:rsidRPr="00206C54">
        <w:rPr>
          <w:rFonts w:ascii="Book Antiqua" w:eastAsia="宋体" w:hAnsi="Book Antiqua"/>
          <w:b/>
          <w:lang w:eastAsia="zh-CN"/>
        </w:rPr>
        <w:t>:</w:t>
      </w:r>
    </w:p>
    <w:p w14:paraId="2381A58F" w14:textId="77777777" w:rsidR="004A4AD9" w:rsidRDefault="004A4AD9" w:rsidP="001F3737">
      <w:pPr>
        <w:shd w:val="clear" w:color="auto" w:fill="FFFFFF"/>
        <w:snapToGrid w:val="0"/>
        <w:spacing w:line="360" w:lineRule="auto"/>
        <w:jc w:val="both"/>
        <w:rPr>
          <w:rFonts w:ascii="Book Antiqua" w:eastAsia="宋体" w:hAnsi="Book Antiqua" w:cs="Helvetica"/>
          <w:b/>
          <w:lang w:eastAsia="zh-CN"/>
        </w:rPr>
      </w:pPr>
    </w:p>
    <w:p w14:paraId="5C423BAE" w14:textId="77777777" w:rsidR="00780CEC" w:rsidRPr="001F3737" w:rsidRDefault="00780CEC" w:rsidP="001F3737">
      <w:pPr>
        <w:shd w:val="clear" w:color="auto" w:fill="FFFFFF"/>
        <w:snapToGrid w:val="0"/>
        <w:spacing w:line="360" w:lineRule="auto"/>
        <w:jc w:val="both"/>
        <w:rPr>
          <w:rFonts w:ascii="Book Antiqua" w:hAnsi="Book Antiqua" w:cs="Helvetica"/>
          <w:b/>
        </w:rPr>
      </w:pPr>
      <w:r w:rsidRPr="001F3737">
        <w:rPr>
          <w:rFonts w:ascii="Book Antiqua" w:hAnsi="Book Antiqua" w:cs="Helvetica"/>
          <w:b/>
        </w:rPr>
        <w:t xml:space="preserve">Specialty type: </w:t>
      </w:r>
      <w:r w:rsidRPr="001F3737">
        <w:rPr>
          <w:rFonts w:ascii="Book Antiqua" w:hAnsi="Book Antiqua" w:cs="Helvetica"/>
        </w:rPr>
        <w:t>Gastroenterology and hepatology</w:t>
      </w:r>
    </w:p>
    <w:p w14:paraId="73F8645D" w14:textId="61A070C9" w:rsidR="00780CEC" w:rsidRPr="001F3737" w:rsidRDefault="00780CEC" w:rsidP="001F3737">
      <w:pPr>
        <w:shd w:val="clear" w:color="auto" w:fill="FFFFFF"/>
        <w:snapToGrid w:val="0"/>
        <w:spacing w:line="360" w:lineRule="auto"/>
        <w:jc w:val="both"/>
        <w:rPr>
          <w:rFonts w:ascii="Book Antiqua" w:hAnsi="Book Antiqua" w:cs="Helvetica"/>
        </w:rPr>
      </w:pPr>
      <w:r w:rsidRPr="001F3737">
        <w:rPr>
          <w:rFonts w:ascii="Book Antiqua" w:hAnsi="Book Antiqua" w:cs="Helvetica"/>
          <w:b/>
        </w:rPr>
        <w:t xml:space="preserve">Country of origin: </w:t>
      </w:r>
      <w:r w:rsidR="0082590E" w:rsidRPr="001F3737">
        <w:rPr>
          <w:rFonts w:ascii="Book Antiqua" w:hAnsi="Book Antiqua" w:cs="Helvetica"/>
        </w:rPr>
        <w:t>United States</w:t>
      </w:r>
    </w:p>
    <w:p w14:paraId="1B2F420B" w14:textId="77777777" w:rsidR="00780CEC" w:rsidRPr="001F3737" w:rsidRDefault="00780CEC" w:rsidP="001F3737">
      <w:pPr>
        <w:shd w:val="clear" w:color="auto" w:fill="FFFFFF"/>
        <w:snapToGrid w:val="0"/>
        <w:spacing w:line="360" w:lineRule="auto"/>
        <w:jc w:val="both"/>
        <w:rPr>
          <w:rFonts w:ascii="Book Antiqua" w:hAnsi="Book Antiqua" w:cs="Helvetica"/>
          <w:b/>
        </w:rPr>
      </w:pPr>
      <w:r w:rsidRPr="001F3737">
        <w:rPr>
          <w:rFonts w:ascii="Book Antiqua" w:hAnsi="Book Antiqua" w:cs="Helvetica"/>
          <w:b/>
        </w:rPr>
        <w:t>Peer-review report classification</w:t>
      </w:r>
    </w:p>
    <w:p w14:paraId="7F055604" w14:textId="77777777" w:rsidR="00780CEC" w:rsidRPr="001F3737" w:rsidRDefault="00780CEC" w:rsidP="001F3737">
      <w:pPr>
        <w:shd w:val="clear" w:color="auto" w:fill="FFFFFF"/>
        <w:snapToGrid w:val="0"/>
        <w:spacing w:line="360" w:lineRule="auto"/>
        <w:jc w:val="both"/>
        <w:rPr>
          <w:rFonts w:ascii="Book Antiqua" w:hAnsi="Book Antiqua" w:cs="Helvetica"/>
        </w:rPr>
      </w:pPr>
      <w:r w:rsidRPr="001F3737">
        <w:rPr>
          <w:rFonts w:ascii="Book Antiqua" w:hAnsi="Book Antiqua" w:cs="Helvetica"/>
        </w:rPr>
        <w:t>Grade A (Excellent): 0</w:t>
      </w:r>
    </w:p>
    <w:p w14:paraId="0AC1D63C" w14:textId="77777777" w:rsidR="00780CEC" w:rsidRPr="001F3737" w:rsidRDefault="00780CEC" w:rsidP="001F3737">
      <w:pPr>
        <w:shd w:val="clear" w:color="auto" w:fill="FFFFFF"/>
        <w:snapToGrid w:val="0"/>
        <w:spacing w:line="360" w:lineRule="auto"/>
        <w:jc w:val="both"/>
        <w:rPr>
          <w:rFonts w:ascii="Book Antiqua" w:hAnsi="Book Antiqua" w:cs="Helvetica"/>
        </w:rPr>
      </w:pPr>
      <w:r w:rsidRPr="001F3737">
        <w:rPr>
          <w:rFonts w:ascii="Book Antiqua" w:hAnsi="Book Antiqua" w:cs="Helvetica"/>
        </w:rPr>
        <w:t>Grade B (Very good): 0</w:t>
      </w:r>
    </w:p>
    <w:p w14:paraId="49447C29" w14:textId="70423351" w:rsidR="00780CEC" w:rsidRPr="001F3737" w:rsidRDefault="00780CEC" w:rsidP="001F3737">
      <w:pPr>
        <w:shd w:val="clear" w:color="auto" w:fill="FFFFFF"/>
        <w:snapToGrid w:val="0"/>
        <w:spacing w:line="360" w:lineRule="auto"/>
        <w:jc w:val="both"/>
        <w:rPr>
          <w:rFonts w:ascii="Book Antiqua" w:eastAsia="宋体" w:hAnsi="Book Antiqua" w:cs="Helvetica"/>
          <w:lang w:eastAsia="zh-CN"/>
        </w:rPr>
      </w:pPr>
      <w:r w:rsidRPr="001F3737">
        <w:rPr>
          <w:rFonts w:ascii="Book Antiqua" w:hAnsi="Book Antiqua" w:cs="Helvetica"/>
        </w:rPr>
        <w:t xml:space="preserve">Grade C (Good): </w:t>
      </w:r>
      <w:r w:rsidR="00676B93" w:rsidRPr="001F3737">
        <w:rPr>
          <w:rFonts w:ascii="Book Antiqua" w:eastAsia="宋体" w:hAnsi="Book Antiqua" w:cs="Helvetica"/>
          <w:lang w:eastAsia="zh-CN"/>
        </w:rPr>
        <w:t>C, C</w:t>
      </w:r>
    </w:p>
    <w:p w14:paraId="635C0BDB" w14:textId="77777777" w:rsidR="00780CEC" w:rsidRPr="001F3737" w:rsidRDefault="00780CEC" w:rsidP="001F3737">
      <w:pPr>
        <w:shd w:val="clear" w:color="auto" w:fill="FFFFFF"/>
        <w:snapToGrid w:val="0"/>
        <w:spacing w:line="360" w:lineRule="auto"/>
        <w:jc w:val="both"/>
        <w:rPr>
          <w:rFonts w:ascii="Book Antiqua" w:hAnsi="Book Antiqua" w:cs="Helvetica"/>
        </w:rPr>
      </w:pPr>
      <w:r w:rsidRPr="001F3737">
        <w:rPr>
          <w:rFonts w:ascii="Book Antiqua" w:hAnsi="Book Antiqua" w:cs="Helvetica"/>
        </w:rPr>
        <w:t>Grade D (Fair): 0</w:t>
      </w:r>
    </w:p>
    <w:p w14:paraId="5D3FBE07" w14:textId="77777777" w:rsidR="00780CEC" w:rsidRPr="001F3737" w:rsidRDefault="00780CEC" w:rsidP="001F3737">
      <w:pPr>
        <w:shd w:val="clear" w:color="auto" w:fill="FFFFFF"/>
        <w:snapToGrid w:val="0"/>
        <w:spacing w:line="360" w:lineRule="auto"/>
        <w:jc w:val="both"/>
        <w:rPr>
          <w:rFonts w:ascii="Book Antiqua" w:hAnsi="Book Antiqua" w:cs="Helvetica"/>
        </w:rPr>
      </w:pPr>
      <w:r w:rsidRPr="001F3737">
        <w:rPr>
          <w:rFonts w:ascii="Book Antiqua" w:hAnsi="Book Antiqua" w:cs="Helvetica"/>
        </w:rPr>
        <w:lastRenderedPageBreak/>
        <w:t>Grade E (Poor): 0</w:t>
      </w:r>
    </w:p>
    <w:p w14:paraId="23F5D9FC" w14:textId="6931EB94" w:rsidR="00C238BA" w:rsidRPr="001F3737" w:rsidRDefault="00C238BA" w:rsidP="001F3737">
      <w:pPr>
        <w:spacing w:line="360" w:lineRule="auto"/>
        <w:ind w:left="720" w:hanging="720"/>
        <w:jc w:val="both"/>
        <w:rPr>
          <w:rFonts w:ascii="Book Antiqua" w:hAnsi="Book Antiqua"/>
        </w:rPr>
      </w:pPr>
    </w:p>
    <w:p w14:paraId="268C131F" w14:textId="77777777" w:rsidR="00780CEC" w:rsidRPr="001F3737" w:rsidRDefault="00780CEC" w:rsidP="001F3737">
      <w:pPr>
        <w:spacing w:line="360" w:lineRule="auto"/>
        <w:jc w:val="both"/>
        <w:rPr>
          <w:rFonts w:ascii="Book Antiqua" w:hAnsi="Book Antiqua"/>
          <w:b/>
        </w:rPr>
      </w:pPr>
      <w:r w:rsidRPr="001F3737">
        <w:rPr>
          <w:rFonts w:ascii="Book Antiqua" w:hAnsi="Book Antiqua"/>
          <w:b/>
        </w:rPr>
        <w:br w:type="page"/>
      </w:r>
    </w:p>
    <w:p w14:paraId="141108C6" w14:textId="77777777" w:rsidR="0015098C" w:rsidRPr="001F3737" w:rsidRDefault="0015098C" w:rsidP="001F3737">
      <w:pPr>
        <w:spacing w:line="360" w:lineRule="auto"/>
        <w:jc w:val="both"/>
        <w:rPr>
          <w:rFonts w:ascii="Book Antiqua" w:eastAsia="宋体" w:hAnsi="Book Antiqua"/>
          <w:b/>
          <w:lang w:eastAsia="zh-CN"/>
        </w:rPr>
      </w:pPr>
      <w:r w:rsidRPr="001F3737">
        <w:rPr>
          <w:rFonts w:ascii="Book Antiqua" w:hAnsi="Book Antiqua"/>
          <w:noProof/>
        </w:rPr>
        <w:lastRenderedPageBreak/>
        <w:drawing>
          <wp:inline distT="0" distB="0" distL="0" distR="0" wp14:anchorId="5355FFB5" wp14:editId="253F9A59">
            <wp:extent cx="5486400" cy="4592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592320"/>
                    </a:xfrm>
                    <a:prstGeom prst="rect">
                      <a:avLst/>
                    </a:prstGeom>
                  </pic:spPr>
                </pic:pic>
              </a:graphicData>
            </a:graphic>
          </wp:inline>
        </w:drawing>
      </w:r>
    </w:p>
    <w:p w14:paraId="20F29534" w14:textId="0CCE4E76" w:rsidR="00C238BA" w:rsidRPr="001F3737" w:rsidRDefault="00780CEC" w:rsidP="001F3737">
      <w:pPr>
        <w:spacing w:line="360" w:lineRule="auto"/>
        <w:jc w:val="both"/>
        <w:rPr>
          <w:rFonts w:ascii="Book Antiqua" w:eastAsia="宋体" w:hAnsi="Book Antiqua"/>
          <w:b/>
          <w:lang w:eastAsia="zh-CN"/>
        </w:rPr>
      </w:pPr>
      <w:r w:rsidRPr="001F3737">
        <w:rPr>
          <w:rFonts w:ascii="Book Antiqua" w:hAnsi="Book Antiqua"/>
          <w:b/>
        </w:rPr>
        <w:t>Figure 1</w:t>
      </w:r>
      <w:r w:rsidR="00C238BA" w:rsidRPr="001F3737">
        <w:rPr>
          <w:rFonts w:ascii="Book Antiqua" w:hAnsi="Book Antiqua"/>
          <w:b/>
        </w:rPr>
        <w:t xml:space="preserve"> Patient </w:t>
      </w:r>
      <w:r w:rsidR="0015098C" w:rsidRPr="001F3737">
        <w:rPr>
          <w:rFonts w:ascii="Book Antiqua" w:hAnsi="Book Antiqua"/>
          <w:b/>
        </w:rPr>
        <w:t>selection</w:t>
      </w:r>
      <w:r w:rsidRPr="001F3737">
        <w:rPr>
          <w:rFonts w:ascii="Book Antiqua" w:eastAsia="宋体" w:hAnsi="Book Antiqua"/>
          <w:b/>
          <w:lang w:eastAsia="zh-CN"/>
        </w:rPr>
        <w:t>.</w:t>
      </w:r>
    </w:p>
    <w:p w14:paraId="26F539CA" w14:textId="5A35DAD4" w:rsidR="00993F31" w:rsidRPr="001F3737" w:rsidRDefault="00993F31" w:rsidP="001F3737">
      <w:pPr>
        <w:spacing w:line="360" w:lineRule="auto"/>
        <w:jc w:val="both"/>
        <w:rPr>
          <w:rFonts w:ascii="Book Antiqua" w:hAnsi="Book Antiqua"/>
          <w:b/>
        </w:rPr>
      </w:pPr>
    </w:p>
    <w:p w14:paraId="57FA58E3" w14:textId="77777777" w:rsidR="00993F31" w:rsidRPr="001F3737" w:rsidRDefault="00993F31" w:rsidP="001F3737">
      <w:pPr>
        <w:spacing w:line="360" w:lineRule="auto"/>
        <w:jc w:val="both"/>
        <w:rPr>
          <w:rFonts w:ascii="Book Antiqua" w:hAnsi="Book Antiqua"/>
          <w:b/>
        </w:rPr>
      </w:pPr>
      <w:r w:rsidRPr="001F3737">
        <w:rPr>
          <w:rFonts w:ascii="Book Antiqua" w:hAnsi="Book Antiqua"/>
          <w:b/>
        </w:rPr>
        <w:br w:type="page"/>
      </w:r>
    </w:p>
    <w:p w14:paraId="2CC1A825" w14:textId="77777777" w:rsidR="0015098C" w:rsidRPr="001F3737" w:rsidRDefault="0015098C" w:rsidP="001F3737">
      <w:pPr>
        <w:spacing w:line="360" w:lineRule="auto"/>
        <w:jc w:val="both"/>
        <w:rPr>
          <w:rFonts w:ascii="Book Antiqua" w:eastAsia="宋体" w:hAnsi="Book Antiqua"/>
          <w:b/>
          <w:lang w:eastAsia="zh-CN"/>
        </w:rPr>
      </w:pPr>
      <w:r w:rsidRPr="001F3737">
        <w:rPr>
          <w:rFonts w:ascii="Book Antiqua" w:hAnsi="Book Antiqua"/>
          <w:noProof/>
        </w:rPr>
        <w:lastRenderedPageBreak/>
        <w:drawing>
          <wp:inline distT="0" distB="0" distL="0" distR="0" wp14:anchorId="1AD0235A" wp14:editId="3DE8F311">
            <wp:extent cx="5486400" cy="294513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45130"/>
                    </a:xfrm>
                    <a:prstGeom prst="rect">
                      <a:avLst/>
                    </a:prstGeom>
                  </pic:spPr>
                </pic:pic>
              </a:graphicData>
            </a:graphic>
          </wp:inline>
        </w:drawing>
      </w:r>
    </w:p>
    <w:p w14:paraId="16DC39DF" w14:textId="1C5C6C89" w:rsidR="004C3E1E" w:rsidRPr="001F3737" w:rsidRDefault="00780CEC" w:rsidP="001F3737">
      <w:pPr>
        <w:spacing w:line="360" w:lineRule="auto"/>
        <w:jc w:val="both"/>
        <w:rPr>
          <w:rFonts w:ascii="Book Antiqua" w:eastAsia="宋体" w:hAnsi="Book Antiqua"/>
          <w:b/>
          <w:noProof/>
          <w:lang w:eastAsia="zh-CN"/>
        </w:rPr>
      </w:pPr>
      <w:r w:rsidRPr="001F3737">
        <w:rPr>
          <w:rFonts w:ascii="Book Antiqua" w:hAnsi="Book Antiqua"/>
          <w:b/>
        </w:rPr>
        <w:t>Figure 2</w:t>
      </w:r>
      <w:r w:rsidRPr="001F3737">
        <w:rPr>
          <w:rFonts w:ascii="Book Antiqua" w:eastAsia="宋体" w:hAnsi="Book Antiqua"/>
          <w:b/>
          <w:lang w:eastAsia="zh-CN"/>
        </w:rPr>
        <w:t xml:space="preserve"> </w:t>
      </w:r>
      <w:r w:rsidR="00C238BA" w:rsidRPr="001F3737">
        <w:rPr>
          <w:rFonts w:ascii="Book Antiqua" w:hAnsi="Book Antiqua"/>
          <w:b/>
        </w:rPr>
        <w:t>Transf</w:t>
      </w:r>
      <w:r w:rsidRPr="001F3737">
        <w:rPr>
          <w:rFonts w:ascii="Book Antiqua" w:hAnsi="Book Antiqua"/>
          <w:b/>
        </w:rPr>
        <w:t>usions and topical hemostat use</w:t>
      </w:r>
      <w:r w:rsidRPr="001F3737">
        <w:rPr>
          <w:rFonts w:ascii="Book Antiqua" w:eastAsia="宋体" w:hAnsi="Book Antiqua"/>
          <w:b/>
          <w:lang w:eastAsia="zh-CN"/>
        </w:rPr>
        <w:t>.</w:t>
      </w:r>
    </w:p>
    <w:p w14:paraId="1552B3AD" w14:textId="784DC2C4" w:rsidR="00C238BA" w:rsidRPr="001F3737" w:rsidRDefault="00C238BA" w:rsidP="001F3737">
      <w:pPr>
        <w:spacing w:line="360" w:lineRule="auto"/>
        <w:jc w:val="both"/>
        <w:rPr>
          <w:rFonts w:ascii="Book Antiqua" w:hAnsi="Book Antiqua"/>
          <w:b/>
        </w:rPr>
      </w:pPr>
    </w:p>
    <w:p w14:paraId="20C3A7C6" w14:textId="77777777" w:rsidR="00C238BA" w:rsidRPr="001F3737" w:rsidRDefault="00C238BA" w:rsidP="001F3737">
      <w:pPr>
        <w:spacing w:line="360" w:lineRule="auto"/>
        <w:jc w:val="both"/>
        <w:rPr>
          <w:rFonts w:ascii="Book Antiqua" w:hAnsi="Book Antiqua"/>
        </w:rPr>
      </w:pPr>
    </w:p>
    <w:p w14:paraId="0D082C0D" w14:textId="5C7F96FE" w:rsidR="0015098C" w:rsidRPr="001F3737" w:rsidRDefault="0015098C" w:rsidP="001F3737">
      <w:pPr>
        <w:spacing w:line="360" w:lineRule="auto"/>
        <w:jc w:val="both"/>
        <w:rPr>
          <w:rFonts w:ascii="Book Antiqua" w:hAnsi="Book Antiqua"/>
        </w:rPr>
      </w:pPr>
      <w:r w:rsidRPr="001F3737">
        <w:rPr>
          <w:rFonts w:ascii="Book Antiqua" w:hAnsi="Book Antiqua"/>
        </w:rPr>
        <w:br w:type="page"/>
      </w:r>
    </w:p>
    <w:p w14:paraId="25D06544" w14:textId="77777777" w:rsidR="00C238BA" w:rsidRPr="001F3737" w:rsidRDefault="00C238BA" w:rsidP="001F3737">
      <w:pPr>
        <w:spacing w:line="360" w:lineRule="auto"/>
        <w:jc w:val="both"/>
        <w:rPr>
          <w:rFonts w:ascii="Book Antiqua" w:hAnsi="Book Antiqua"/>
        </w:rPr>
      </w:pPr>
    </w:p>
    <w:p w14:paraId="35EB3970" w14:textId="2EDF4CFF" w:rsidR="00C238BA" w:rsidRPr="001F3737" w:rsidRDefault="00780CEC" w:rsidP="001F3737">
      <w:pPr>
        <w:pStyle w:val="Heading2"/>
        <w:spacing w:line="360" w:lineRule="auto"/>
        <w:jc w:val="both"/>
        <w:rPr>
          <w:rFonts w:ascii="Book Antiqua" w:hAnsi="Book Antiqua"/>
        </w:rPr>
      </w:pPr>
      <w:r w:rsidRPr="001F3737">
        <w:rPr>
          <w:rFonts w:ascii="Book Antiqua" w:hAnsi="Book Antiqua"/>
        </w:rPr>
        <w:t>Table 1</w:t>
      </w:r>
      <w:r w:rsidRPr="001F3737">
        <w:rPr>
          <w:rFonts w:ascii="Book Antiqua" w:eastAsia="宋体" w:hAnsi="Book Antiqua"/>
          <w:lang w:eastAsia="zh-CN"/>
        </w:rPr>
        <w:t xml:space="preserve"> </w:t>
      </w:r>
      <w:r w:rsidR="00C238BA" w:rsidRPr="001F3737">
        <w:rPr>
          <w:rFonts w:ascii="Book Antiqua" w:hAnsi="Book Antiqua"/>
        </w:rPr>
        <w:t xml:space="preserve">Definition of deviation mix for </w:t>
      </w:r>
      <w:r w:rsidR="00CC1953" w:rsidRPr="00CC1953">
        <w:rPr>
          <w:rFonts w:ascii="Book Antiqua" w:hAnsi="Book Antiqua"/>
        </w:rPr>
        <w:t>deviation-based cost modeling</w:t>
      </w:r>
    </w:p>
    <w:tbl>
      <w:tblPr>
        <w:tblW w:w="9828" w:type="dxa"/>
        <w:tblLook w:val="04A0" w:firstRow="1" w:lastRow="0" w:firstColumn="1" w:lastColumn="0" w:noHBand="0" w:noVBand="1"/>
      </w:tblPr>
      <w:tblGrid>
        <w:gridCol w:w="2636"/>
        <w:gridCol w:w="2616"/>
        <w:gridCol w:w="4576"/>
      </w:tblGrid>
      <w:tr w:rsidR="00C238BA" w:rsidRPr="001F3737" w14:paraId="217D91C1" w14:textId="77777777" w:rsidTr="00C238BA">
        <w:trPr>
          <w:trHeight w:val="321"/>
        </w:trPr>
        <w:tc>
          <w:tcPr>
            <w:tcW w:w="2636" w:type="dxa"/>
            <w:tcBorders>
              <w:top w:val="single" w:sz="4" w:space="0" w:color="auto"/>
              <w:left w:val="nil"/>
              <w:bottom w:val="single" w:sz="4" w:space="0" w:color="auto"/>
              <w:right w:val="nil"/>
            </w:tcBorders>
            <w:noWrap/>
            <w:vAlign w:val="bottom"/>
            <w:hideMark/>
          </w:tcPr>
          <w:p w14:paraId="1C075AAD"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Deviation</w:t>
            </w:r>
          </w:p>
        </w:tc>
        <w:tc>
          <w:tcPr>
            <w:tcW w:w="2616" w:type="dxa"/>
            <w:tcBorders>
              <w:top w:val="single" w:sz="4" w:space="0" w:color="auto"/>
              <w:left w:val="nil"/>
              <w:bottom w:val="single" w:sz="4" w:space="0" w:color="auto"/>
              <w:right w:val="nil"/>
            </w:tcBorders>
            <w:noWrap/>
            <w:vAlign w:val="bottom"/>
            <w:hideMark/>
          </w:tcPr>
          <w:p w14:paraId="612E6248"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LOS</w:t>
            </w:r>
          </w:p>
        </w:tc>
        <w:tc>
          <w:tcPr>
            <w:tcW w:w="4576" w:type="dxa"/>
            <w:tcBorders>
              <w:top w:val="single" w:sz="4" w:space="0" w:color="auto"/>
              <w:left w:val="nil"/>
              <w:bottom w:val="single" w:sz="4" w:space="0" w:color="auto"/>
              <w:right w:val="nil"/>
            </w:tcBorders>
            <w:noWrap/>
            <w:vAlign w:val="bottom"/>
            <w:hideMark/>
          </w:tcPr>
          <w:p w14:paraId="4B7D5047" w14:textId="360F0D71"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Complication Group</w:t>
            </w:r>
            <w:r w:rsidR="00780CEC" w:rsidRPr="001F3737">
              <w:rPr>
                <w:rFonts w:ascii="Book Antiqua" w:eastAsia="宋体" w:hAnsi="Book Antiqua"/>
                <w:vertAlign w:val="superscript"/>
                <w:lang w:eastAsia="zh-CN"/>
              </w:rPr>
              <w:t>1</w:t>
            </w:r>
          </w:p>
        </w:tc>
      </w:tr>
      <w:tr w:rsidR="00C238BA" w:rsidRPr="001F3737" w14:paraId="1D9F6341" w14:textId="77777777" w:rsidTr="00C238BA">
        <w:trPr>
          <w:trHeight w:val="321"/>
        </w:trPr>
        <w:tc>
          <w:tcPr>
            <w:tcW w:w="2636" w:type="dxa"/>
            <w:tcBorders>
              <w:top w:val="nil"/>
              <w:left w:val="nil"/>
              <w:bottom w:val="nil"/>
              <w:right w:val="nil"/>
            </w:tcBorders>
            <w:noWrap/>
            <w:hideMark/>
          </w:tcPr>
          <w:p w14:paraId="694D6A69"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On Course</w:t>
            </w:r>
          </w:p>
        </w:tc>
        <w:tc>
          <w:tcPr>
            <w:tcW w:w="2616" w:type="dxa"/>
            <w:tcBorders>
              <w:top w:val="nil"/>
              <w:left w:val="nil"/>
              <w:bottom w:val="nil"/>
              <w:right w:val="nil"/>
            </w:tcBorders>
            <w:noWrap/>
            <w:hideMark/>
          </w:tcPr>
          <w:p w14:paraId="59F81B0E"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 50</w:t>
            </w:r>
            <w:r w:rsidRPr="001F3737">
              <w:rPr>
                <w:rFonts w:ascii="Book Antiqua" w:hAnsi="Book Antiqua"/>
                <w:b w:val="0"/>
                <w:vertAlign w:val="superscript"/>
              </w:rPr>
              <w:t>th</w:t>
            </w:r>
            <w:r w:rsidRPr="001F3737">
              <w:rPr>
                <w:rFonts w:ascii="Book Antiqua" w:hAnsi="Book Antiqua"/>
                <w:b w:val="0"/>
              </w:rPr>
              <w:t xml:space="preserve"> percentile</w:t>
            </w:r>
          </w:p>
        </w:tc>
        <w:tc>
          <w:tcPr>
            <w:tcW w:w="4576" w:type="dxa"/>
            <w:tcBorders>
              <w:top w:val="nil"/>
              <w:left w:val="nil"/>
              <w:bottom w:val="nil"/>
              <w:right w:val="nil"/>
            </w:tcBorders>
            <w:noWrap/>
            <w:hideMark/>
          </w:tcPr>
          <w:p w14:paraId="1E32CAEB"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No complication</w:t>
            </w:r>
          </w:p>
        </w:tc>
      </w:tr>
      <w:tr w:rsidR="00C238BA" w:rsidRPr="001F3737" w14:paraId="04C8E631" w14:textId="77777777" w:rsidTr="00C238BA">
        <w:trPr>
          <w:trHeight w:val="204"/>
        </w:trPr>
        <w:tc>
          <w:tcPr>
            <w:tcW w:w="2636" w:type="dxa"/>
            <w:tcBorders>
              <w:top w:val="nil"/>
              <w:left w:val="nil"/>
              <w:bottom w:val="nil"/>
              <w:right w:val="nil"/>
            </w:tcBorders>
            <w:noWrap/>
            <w:hideMark/>
          </w:tcPr>
          <w:p w14:paraId="06AF6BD7" w14:textId="77777777" w:rsidR="00C238BA" w:rsidRPr="001F3737" w:rsidRDefault="00C238BA" w:rsidP="001F3737">
            <w:pPr>
              <w:pStyle w:val="Heading2"/>
              <w:spacing w:line="360" w:lineRule="auto"/>
              <w:jc w:val="both"/>
              <w:rPr>
                <w:rFonts w:ascii="Book Antiqua" w:hAnsi="Book Antiqua"/>
                <w:b w:val="0"/>
              </w:rPr>
            </w:pPr>
          </w:p>
        </w:tc>
        <w:tc>
          <w:tcPr>
            <w:tcW w:w="2616" w:type="dxa"/>
            <w:tcBorders>
              <w:top w:val="nil"/>
              <w:left w:val="nil"/>
              <w:bottom w:val="nil"/>
              <w:right w:val="nil"/>
            </w:tcBorders>
            <w:noWrap/>
            <w:hideMark/>
          </w:tcPr>
          <w:p w14:paraId="12C8C590" w14:textId="77777777" w:rsidR="00C238BA" w:rsidRPr="001F3737" w:rsidRDefault="00C238BA" w:rsidP="001F3737">
            <w:pPr>
              <w:pStyle w:val="Heading2"/>
              <w:spacing w:line="360" w:lineRule="auto"/>
              <w:jc w:val="both"/>
              <w:rPr>
                <w:rFonts w:ascii="Book Antiqua" w:hAnsi="Book Antiqua"/>
                <w:b w:val="0"/>
              </w:rPr>
            </w:pPr>
          </w:p>
        </w:tc>
        <w:tc>
          <w:tcPr>
            <w:tcW w:w="4576" w:type="dxa"/>
            <w:tcBorders>
              <w:top w:val="nil"/>
              <w:left w:val="nil"/>
              <w:bottom w:val="nil"/>
              <w:right w:val="nil"/>
            </w:tcBorders>
            <w:noWrap/>
            <w:hideMark/>
          </w:tcPr>
          <w:p w14:paraId="3B4FF077" w14:textId="77777777" w:rsidR="00C238BA" w:rsidRPr="001F3737" w:rsidRDefault="00C238BA" w:rsidP="001F3737">
            <w:pPr>
              <w:pStyle w:val="Heading2"/>
              <w:spacing w:line="360" w:lineRule="auto"/>
              <w:jc w:val="both"/>
              <w:rPr>
                <w:rFonts w:ascii="Book Antiqua" w:hAnsi="Book Antiqua"/>
                <w:b w:val="0"/>
              </w:rPr>
            </w:pPr>
          </w:p>
        </w:tc>
      </w:tr>
      <w:tr w:rsidR="00C238BA" w:rsidRPr="001F3737" w14:paraId="6B029672" w14:textId="77777777" w:rsidTr="00C238BA">
        <w:trPr>
          <w:trHeight w:val="321"/>
        </w:trPr>
        <w:tc>
          <w:tcPr>
            <w:tcW w:w="2636" w:type="dxa"/>
            <w:tcBorders>
              <w:top w:val="nil"/>
              <w:left w:val="nil"/>
              <w:bottom w:val="nil"/>
              <w:right w:val="nil"/>
            </w:tcBorders>
            <w:noWrap/>
            <w:hideMark/>
          </w:tcPr>
          <w:p w14:paraId="2A339AED"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Minor Deviation</w:t>
            </w:r>
          </w:p>
        </w:tc>
        <w:tc>
          <w:tcPr>
            <w:tcW w:w="2616" w:type="dxa"/>
            <w:tcBorders>
              <w:top w:val="nil"/>
              <w:left w:val="nil"/>
              <w:bottom w:val="nil"/>
              <w:right w:val="nil"/>
            </w:tcBorders>
            <w:noWrap/>
            <w:hideMark/>
          </w:tcPr>
          <w:p w14:paraId="18CB479F"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LOS &gt; 50</w:t>
            </w:r>
            <w:r w:rsidRPr="001F3737">
              <w:rPr>
                <w:rFonts w:ascii="Book Antiqua" w:hAnsi="Book Antiqua"/>
                <w:b w:val="0"/>
                <w:vertAlign w:val="superscript"/>
              </w:rPr>
              <w:t>th</w:t>
            </w:r>
            <w:r w:rsidRPr="001F3737">
              <w:rPr>
                <w:rFonts w:ascii="Book Antiqua" w:hAnsi="Book Antiqua"/>
                <w:b w:val="0"/>
              </w:rPr>
              <w:t xml:space="preserve"> percentile</w:t>
            </w:r>
          </w:p>
        </w:tc>
        <w:tc>
          <w:tcPr>
            <w:tcW w:w="4576" w:type="dxa"/>
            <w:tcBorders>
              <w:top w:val="nil"/>
              <w:left w:val="nil"/>
              <w:bottom w:val="nil"/>
              <w:right w:val="nil"/>
            </w:tcBorders>
            <w:noWrap/>
            <w:hideMark/>
          </w:tcPr>
          <w:p w14:paraId="49876A37"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No complication</w:t>
            </w:r>
          </w:p>
        </w:tc>
      </w:tr>
      <w:tr w:rsidR="00C238BA" w:rsidRPr="001F3737" w14:paraId="2097EF6E" w14:textId="77777777" w:rsidTr="00C238BA">
        <w:trPr>
          <w:trHeight w:val="321"/>
        </w:trPr>
        <w:tc>
          <w:tcPr>
            <w:tcW w:w="2636" w:type="dxa"/>
            <w:tcBorders>
              <w:top w:val="nil"/>
              <w:left w:val="nil"/>
              <w:bottom w:val="nil"/>
              <w:right w:val="nil"/>
            </w:tcBorders>
            <w:noWrap/>
            <w:hideMark/>
          </w:tcPr>
          <w:p w14:paraId="5D5284C7" w14:textId="77777777" w:rsidR="00C238BA" w:rsidRPr="001F3737" w:rsidRDefault="00C238BA" w:rsidP="001F3737">
            <w:pPr>
              <w:pStyle w:val="Heading2"/>
              <w:spacing w:line="360" w:lineRule="auto"/>
              <w:jc w:val="both"/>
              <w:rPr>
                <w:rFonts w:ascii="Book Antiqua" w:hAnsi="Book Antiqua"/>
                <w:b w:val="0"/>
              </w:rPr>
            </w:pPr>
          </w:p>
        </w:tc>
        <w:tc>
          <w:tcPr>
            <w:tcW w:w="2616" w:type="dxa"/>
            <w:tcBorders>
              <w:top w:val="nil"/>
              <w:left w:val="nil"/>
              <w:bottom w:val="nil"/>
              <w:right w:val="nil"/>
            </w:tcBorders>
            <w:noWrap/>
            <w:hideMark/>
          </w:tcPr>
          <w:p w14:paraId="41BCBFC0"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 50</w:t>
            </w:r>
            <w:r w:rsidRPr="001F3737">
              <w:rPr>
                <w:rFonts w:ascii="Book Antiqua" w:hAnsi="Book Antiqua"/>
                <w:b w:val="0"/>
                <w:vertAlign w:val="superscript"/>
              </w:rPr>
              <w:t>th</w:t>
            </w:r>
          </w:p>
        </w:tc>
        <w:tc>
          <w:tcPr>
            <w:tcW w:w="4576" w:type="dxa"/>
            <w:tcBorders>
              <w:top w:val="nil"/>
              <w:left w:val="nil"/>
              <w:bottom w:val="nil"/>
              <w:right w:val="nil"/>
            </w:tcBorders>
            <w:noWrap/>
            <w:hideMark/>
          </w:tcPr>
          <w:p w14:paraId="01151374"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Minor complication, no moderate or major</w:t>
            </w:r>
          </w:p>
        </w:tc>
      </w:tr>
      <w:tr w:rsidR="00C238BA" w:rsidRPr="001F3737" w14:paraId="2675DAC5" w14:textId="77777777" w:rsidTr="00C238BA">
        <w:trPr>
          <w:trHeight w:val="204"/>
        </w:trPr>
        <w:tc>
          <w:tcPr>
            <w:tcW w:w="2636" w:type="dxa"/>
            <w:tcBorders>
              <w:top w:val="nil"/>
              <w:left w:val="nil"/>
              <w:bottom w:val="nil"/>
              <w:right w:val="nil"/>
            </w:tcBorders>
            <w:noWrap/>
            <w:hideMark/>
          </w:tcPr>
          <w:p w14:paraId="7FC921D4" w14:textId="77777777" w:rsidR="00C238BA" w:rsidRPr="001F3737" w:rsidRDefault="00C238BA" w:rsidP="001F3737">
            <w:pPr>
              <w:pStyle w:val="Heading2"/>
              <w:spacing w:line="360" w:lineRule="auto"/>
              <w:jc w:val="both"/>
              <w:rPr>
                <w:rFonts w:ascii="Book Antiqua" w:hAnsi="Book Antiqua"/>
                <w:b w:val="0"/>
              </w:rPr>
            </w:pPr>
          </w:p>
        </w:tc>
        <w:tc>
          <w:tcPr>
            <w:tcW w:w="2616" w:type="dxa"/>
            <w:tcBorders>
              <w:top w:val="nil"/>
              <w:left w:val="nil"/>
              <w:bottom w:val="nil"/>
              <w:right w:val="nil"/>
            </w:tcBorders>
            <w:noWrap/>
            <w:hideMark/>
          </w:tcPr>
          <w:p w14:paraId="6223C9AC" w14:textId="77777777" w:rsidR="00C238BA" w:rsidRPr="001F3737" w:rsidRDefault="00C238BA" w:rsidP="001F3737">
            <w:pPr>
              <w:pStyle w:val="Heading2"/>
              <w:spacing w:line="360" w:lineRule="auto"/>
              <w:jc w:val="both"/>
              <w:rPr>
                <w:rFonts w:ascii="Book Antiqua" w:hAnsi="Book Antiqua"/>
                <w:b w:val="0"/>
              </w:rPr>
            </w:pPr>
          </w:p>
        </w:tc>
        <w:tc>
          <w:tcPr>
            <w:tcW w:w="4576" w:type="dxa"/>
            <w:tcBorders>
              <w:top w:val="nil"/>
              <w:left w:val="nil"/>
              <w:bottom w:val="nil"/>
              <w:right w:val="nil"/>
            </w:tcBorders>
            <w:noWrap/>
            <w:hideMark/>
          </w:tcPr>
          <w:p w14:paraId="11FCB343" w14:textId="77777777" w:rsidR="00C238BA" w:rsidRPr="001F3737" w:rsidRDefault="00C238BA" w:rsidP="001F3737">
            <w:pPr>
              <w:pStyle w:val="Heading2"/>
              <w:spacing w:line="360" w:lineRule="auto"/>
              <w:jc w:val="both"/>
              <w:rPr>
                <w:rFonts w:ascii="Book Antiqua" w:hAnsi="Book Antiqua"/>
                <w:b w:val="0"/>
              </w:rPr>
            </w:pPr>
          </w:p>
        </w:tc>
      </w:tr>
      <w:tr w:rsidR="00C238BA" w:rsidRPr="001F3737" w14:paraId="19609372" w14:textId="77777777" w:rsidTr="00C238BA">
        <w:trPr>
          <w:trHeight w:val="321"/>
        </w:trPr>
        <w:tc>
          <w:tcPr>
            <w:tcW w:w="2636" w:type="dxa"/>
            <w:tcBorders>
              <w:top w:val="nil"/>
              <w:left w:val="nil"/>
              <w:bottom w:val="nil"/>
              <w:right w:val="nil"/>
            </w:tcBorders>
            <w:noWrap/>
            <w:hideMark/>
          </w:tcPr>
          <w:p w14:paraId="125691B5"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Moderate Deviation</w:t>
            </w:r>
          </w:p>
        </w:tc>
        <w:tc>
          <w:tcPr>
            <w:tcW w:w="2616" w:type="dxa"/>
            <w:tcBorders>
              <w:top w:val="nil"/>
              <w:left w:val="nil"/>
              <w:bottom w:val="nil"/>
              <w:right w:val="nil"/>
            </w:tcBorders>
            <w:noWrap/>
            <w:hideMark/>
          </w:tcPr>
          <w:p w14:paraId="1E2093F0"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LOS &gt; 50</w:t>
            </w:r>
            <w:r w:rsidRPr="001F3737">
              <w:rPr>
                <w:rFonts w:ascii="Book Antiqua" w:hAnsi="Book Antiqua"/>
                <w:b w:val="0"/>
                <w:vertAlign w:val="superscript"/>
              </w:rPr>
              <w:t>th</w:t>
            </w:r>
            <w:r w:rsidRPr="001F3737">
              <w:rPr>
                <w:rFonts w:ascii="Book Antiqua" w:hAnsi="Book Antiqua"/>
                <w:b w:val="0"/>
              </w:rPr>
              <w:t xml:space="preserve"> percentile </w:t>
            </w:r>
          </w:p>
        </w:tc>
        <w:tc>
          <w:tcPr>
            <w:tcW w:w="4576" w:type="dxa"/>
            <w:tcBorders>
              <w:top w:val="nil"/>
              <w:left w:val="nil"/>
              <w:bottom w:val="nil"/>
              <w:right w:val="nil"/>
            </w:tcBorders>
            <w:noWrap/>
            <w:hideMark/>
          </w:tcPr>
          <w:p w14:paraId="62D82717"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Minor complication, no moderate or major</w:t>
            </w:r>
          </w:p>
        </w:tc>
      </w:tr>
      <w:tr w:rsidR="00C238BA" w:rsidRPr="001F3737" w14:paraId="1A27E6A2" w14:textId="77777777" w:rsidTr="00C238BA">
        <w:trPr>
          <w:trHeight w:val="321"/>
        </w:trPr>
        <w:tc>
          <w:tcPr>
            <w:tcW w:w="2636" w:type="dxa"/>
            <w:tcBorders>
              <w:top w:val="nil"/>
              <w:left w:val="nil"/>
              <w:bottom w:val="nil"/>
              <w:right w:val="nil"/>
            </w:tcBorders>
            <w:noWrap/>
            <w:hideMark/>
          </w:tcPr>
          <w:p w14:paraId="29053A15" w14:textId="77777777" w:rsidR="00C238BA" w:rsidRPr="001F3737" w:rsidRDefault="00C238BA" w:rsidP="001F3737">
            <w:pPr>
              <w:pStyle w:val="Heading2"/>
              <w:spacing w:line="360" w:lineRule="auto"/>
              <w:jc w:val="both"/>
              <w:rPr>
                <w:rFonts w:ascii="Book Antiqua" w:hAnsi="Book Antiqua"/>
                <w:b w:val="0"/>
              </w:rPr>
            </w:pPr>
          </w:p>
        </w:tc>
        <w:tc>
          <w:tcPr>
            <w:tcW w:w="2616" w:type="dxa"/>
            <w:tcBorders>
              <w:top w:val="nil"/>
              <w:left w:val="nil"/>
              <w:bottom w:val="nil"/>
              <w:right w:val="nil"/>
            </w:tcBorders>
            <w:noWrap/>
            <w:hideMark/>
          </w:tcPr>
          <w:p w14:paraId="4891FDE9"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Any LOS</w:t>
            </w:r>
          </w:p>
        </w:tc>
        <w:tc>
          <w:tcPr>
            <w:tcW w:w="4576" w:type="dxa"/>
            <w:tcBorders>
              <w:top w:val="nil"/>
              <w:left w:val="nil"/>
              <w:bottom w:val="nil"/>
              <w:right w:val="nil"/>
            </w:tcBorders>
            <w:noWrap/>
            <w:hideMark/>
          </w:tcPr>
          <w:p w14:paraId="23C6BC06"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Moderate no major</w:t>
            </w:r>
          </w:p>
        </w:tc>
      </w:tr>
      <w:tr w:rsidR="00C238BA" w:rsidRPr="001F3737" w14:paraId="277854A7" w14:textId="77777777" w:rsidTr="00C238BA">
        <w:trPr>
          <w:trHeight w:val="204"/>
        </w:trPr>
        <w:tc>
          <w:tcPr>
            <w:tcW w:w="2636" w:type="dxa"/>
            <w:tcBorders>
              <w:top w:val="nil"/>
              <w:left w:val="nil"/>
              <w:bottom w:val="nil"/>
              <w:right w:val="nil"/>
            </w:tcBorders>
            <w:noWrap/>
            <w:hideMark/>
          </w:tcPr>
          <w:p w14:paraId="07C78E07" w14:textId="77777777" w:rsidR="00C238BA" w:rsidRPr="001F3737" w:rsidRDefault="00C238BA" w:rsidP="001F3737">
            <w:pPr>
              <w:pStyle w:val="Heading2"/>
              <w:spacing w:line="360" w:lineRule="auto"/>
              <w:jc w:val="both"/>
              <w:rPr>
                <w:rFonts w:ascii="Book Antiqua" w:hAnsi="Book Antiqua"/>
                <w:b w:val="0"/>
              </w:rPr>
            </w:pPr>
          </w:p>
        </w:tc>
        <w:tc>
          <w:tcPr>
            <w:tcW w:w="2616" w:type="dxa"/>
            <w:tcBorders>
              <w:top w:val="nil"/>
              <w:left w:val="nil"/>
              <w:bottom w:val="nil"/>
              <w:right w:val="nil"/>
            </w:tcBorders>
            <w:noWrap/>
            <w:hideMark/>
          </w:tcPr>
          <w:p w14:paraId="0DA0465D" w14:textId="77777777" w:rsidR="00C238BA" w:rsidRPr="001F3737" w:rsidRDefault="00C238BA" w:rsidP="001F3737">
            <w:pPr>
              <w:pStyle w:val="Heading2"/>
              <w:spacing w:line="360" w:lineRule="auto"/>
              <w:jc w:val="both"/>
              <w:rPr>
                <w:rFonts w:ascii="Book Antiqua" w:hAnsi="Book Antiqua"/>
                <w:b w:val="0"/>
              </w:rPr>
            </w:pPr>
          </w:p>
        </w:tc>
        <w:tc>
          <w:tcPr>
            <w:tcW w:w="4576" w:type="dxa"/>
            <w:tcBorders>
              <w:top w:val="nil"/>
              <w:left w:val="nil"/>
              <w:bottom w:val="nil"/>
              <w:right w:val="nil"/>
            </w:tcBorders>
            <w:noWrap/>
            <w:hideMark/>
          </w:tcPr>
          <w:p w14:paraId="58B80A84" w14:textId="77777777" w:rsidR="00C238BA" w:rsidRPr="001F3737" w:rsidRDefault="00C238BA" w:rsidP="001F3737">
            <w:pPr>
              <w:pStyle w:val="Heading2"/>
              <w:spacing w:line="360" w:lineRule="auto"/>
              <w:jc w:val="both"/>
              <w:rPr>
                <w:rFonts w:ascii="Book Antiqua" w:hAnsi="Book Antiqua"/>
                <w:b w:val="0"/>
              </w:rPr>
            </w:pPr>
          </w:p>
        </w:tc>
      </w:tr>
      <w:tr w:rsidR="00C238BA" w:rsidRPr="001F3737" w14:paraId="77079E73" w14:textId="77777777" w:rsidTr="00C238BA">
        <w:trPr>
          <w:trHeight w:val="321"/>
        </w:trPr>
        <w:tc>
          <w:tcPr>
            <w:tcW w:w="2636" w:type="dxa"/>
            <w:tcBorders>
              <w:top w:val="nil"/>
              <w:left w:val="nil"/>
              <w:bottom w:val="single" w:sz="4" w:space="0" w:color="auto"/>
              <w:right w:val="nil"/>
            </w:tcBorders>
            <w:noWrap/>
            <w:hideMark/>
          </w:tcPr>
          <w:p w14:paraId="4E545752"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Major Deviation</w:t>
            </w:r>
          </w:p>
        </w:tc>
        <w:tc>
          <w:tcPr>
            <w:tcW w:w="2616" w:type="dxa"/>
            <w:tcBorders>
              <w:top w:val="nil"/>
              <w:left w:val="nil"/>
              <w:bottom w:val="single" w:sz="4" w:space="0" w:color="auto"/>
              <w:right w:val="nil"/>
            </w:tcBorders>
            <w:noWrap/>
            <w:hideMark/>
          </w:tcPr>
          <w:p w14:paraId="14A6B7AA"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Any LOS</w:t>
            </w:r>
          </w:p>
        </w:tc>
        <w:tc>
          <w:tcPr>
            <w:tcW w:w="4576" w:type="dxa"/>
            <w:tcBorders>
              <w:top w:val="nil"/>
              <w:left w:val="nil"/>
              <w:bottom w:val="single" w:sz="4" w:space="0" w:color="auto"/>
              <w:right w:val="nil"/>
            </w:tcBorders>
            <w:noWrap/>
            <w:hideMark/>
          </w:tcPr>
          <w:p w14:paraId="5AE0A430" w14:textId="77777777" w:rsidR="00C238BA" w:rsidRPr="001F3737" w:rsidRDefault="00C238BA" w:rsidP="001F3737">
            <w:pPr>
              <w:pStyle w:val="Heading2"/>
              <w:spacing w:line="360" w:lineRule="auto"/>
              <w:jc w:val="both"/>
              <w:rPr>
                <w:rFonts w:ascii="Book Antiqua" w:hAnsi="Book Antiqua"/>
                <w:b w:val="0"/>
              </w:rPr>
            </w:pPr>
            <w:r w:rsidRPr="001F3737">
              <w:rPr>
                <w:rFonts w:ascii="Book Antiqua" w:hAnsi="Book Antiqua"/>
                <w:b w:val="0"/>
              </w:rPr>
              <w:t>Major</w:t>
            </w:r>
          </w:p>
        </w:tc>
      </w:tr>
    </w:tbl>
    <w:p w14:paraId="3862F15E" w14:textId="58ED63E2" w:rsidR="00C238BA" w:rsidRPr="00CC1953" w:rsidRDefault="00780CEC" w:rsidP="001F3737">
      <w:pPr>
        <w:spacing w:line="360" w:lineRule="auto"/>
        <w:jc w:val="both"/>
        <w:rPr>
          <w:rFonts w:ascii="Book Antiqua" w:eastAsia="宋体" w:hAnsi="Book Antiqua"/>
          <w:lang w:eastAsia="zh-CN"/>
        </w:rPr>
      </w:pPr>
      <w:r w:rsidRPr="001F3737">
        <w:rPr>
          <w:rFonts w:ascii="Book Antiqua" w:eastAsia="宋体" w:hAnsi="Book Antiqua"/>
          <w:vertAlign w:val="superscript"/>
          <w:lang w:eastAsia="zh-CN"/>
        </w:rPr>
        <w:t>1</w:t>
      </w:r>
      <w:r w:rsidR="00C238BA" w:rsidRPr="001F3737">
        <w:rPr>
          <w:rFonts w:ascii="Book Antiqua" w:hAnsi="Book Antiqua"/>
        </w:rPr>
        <w:t>Minor complication:</w:t>
      </w:r>
      <w:r w:rsidRPr="001F3737">
        <w:rPr>
          <w:rFonts w:ascii="Book Antiqua" w:hAnsi="Book Antiqua"/>
        </w:rPr>
        <w:t xml:space="preserve"> Transfusion, UTI, hemorrhage/</w:t>
      </w:r>
      <w:r w:rsidR="00C238BA" w:rsidRPr="001F3737">
        <w:rPr>
          <w:rFonts w:ascii="Book Antiqua" w:hAnsi="Book Antiqua"/>
        </w:rPr>
        <w:t>hematoma, wound disruption, or transfusion complications</w:t>
      </w:r>
      <w:r w:rsidRPr="001F3737">
        <w:rPr>
          <w:rFonts w:ascii="Book Antiqua" w:eastAsia="宋体" w:hAnsi="Book Antiqua"/>
          <w:lang w:eastAsia="zh-CN"/>
        </w:rPr>
        <w:t xml:space="preserve">; </w:t>
      </w:r>
      <w:r w:rsidR="00C238BA" w:rsidRPr="001F3737">
        <w:rPr>
          <w:rFonts w:ascii="Book Antiqua" w:hAnsi="Book Antiqua"/>
        </w:rPr>
        <w:t>Moderate complication: DVT, PE, pneumonia, infection, or bile leak</w:t>
      </w:r>
      <w:r w:rsidRPr="001F3737">
        <w:rPr>
          <w:rFonts w:ascii="Book Antiqua" w:eastAsia="宋体" w:hAnsi="Book Antiqua"/>
          <w:lang w:eastAsia="zh-CN"/>
        </w:rPr>
        <w:t xml:space="preserve">; </w:t>
      </w:r>
      <w:r w:rsidR="00C238BA" w:rsidRPr="001F3737">
        <w:rPr>
          <w:rFonts w:ascii="Book Antiqua" w:hAnsi="Book Antiqua"/>
        </w:rPr>
        <w:t>Major Complication: Acute respiratory failure, acute kidney injury, or acute liver failure</w:t>
      </w:r>
      <w:r w:rsidRPr="001F3737">
        <w:rPr>
          <w:rFonts w:ascii="Book Antiqua" w:eastAsia="宋体" w:hAnsi="Book Antiqua"/>
          <w:lang w:eastAsia="zh-CN"/>
        </w:rPr>
        <w:t>.</w:t>
      </w:r>
      <w:r w:rsidR="00CC1953" w:rsidRPr="00CC1953">
        <w:rPr>
          <w:rFonts w:ascii="Book Antiqua" w:hAnsi="Book Antiqua"/>
        </w:rPr>
        <w:t xml:space="preserve"> </w:t>
      </w:r>
      <w:r w:rsidR="00CC1953" w:rsidRPr="001F3737">
        <w:rPr>
          <w:rFonts w:ascii="Book Antiqua" w:hAnsi="Book Antiqua"/>
        </w:rPr>
        <w:t>LOS</w:t>
      </w:r>
      <w:r w:rsidR="00CC1953">
        <w:rPr>
          <w:rFonts w:ascii="Book Antiqua" w:eastAsia="宋体" w:hAnsi="Book Antiqua" w:hint="eastAsia"/>
          <w:lang w:eastAsia="zh-CN"/>
        </w:rPr>
        <w:t xml:space="preserve">: </w:t>
      </w:r>
      <w:r w:rsidR="00CC1953" w:rsidRPr="00CC1953">
        <w:rPr>
          <w:rFonts w:ascii="Book Antiqua" w:eastAsia="宋体" w:hAnsi="Book Antiqua"/>
          <w:lang w:eastAsia="zh-CN"/>
        </w:rPr>
        <w:t>Length of stay</w:t>
      </w:r>
      <w:r w:rsidR="00CC1953">
        <w:rPr>
          <w:rFonts w:ascii="Book Antiqua" w:eastAsia="宋体" w:hAnsi="Book Antiqua" w:hint="eastAsia"/>
          <w:lang w:eastAsia="zh-CN"/>
        </w:rPr>
        <w:t>.</w:t>
      </w:r>
    </w:p>
    <w:p w14:paraId="46D267DC" w14:textId="77777777" w:rsidR="00C238BA" w:rsidRPr="001F3737" w:rsidRDefault="00C238BA" w:rsidP="001F3737">
      <w:pPr>
        <w:spacing w:line="360" w:lineRule="auto"/>
        <w:jc w:val="both"/>
        <w:rPr>
          <w:rFonts w:ascii="Book Antiqua" w:hAnsi="Book Antiqua"/>
        </w:rPr>
      </w:pPr>
    </w:p>
    <w:p w14:paraId="10E72C0E" w14:textId="77777777" w:rsidR="00C238BA" w:rsidRPr="001F3737" w:rsidRDefault="00C238BA" w:rsidP="001F3737">
      <w:pPr>
        <w:spacing w:line="360" w:lineRule="auto"/>
        <w:jc w:val="both"/>
        <w:rPr>
          <w:rFonts w:ascii="Book Antiqua" w:hAnsi="Book Antiqua"/>
        </w:rPr>
        <w:sectPr w:rsidR="00C238BA" w:rsidRPr="001F3737" w:rsidSect="000E6F71">
          <w:footerReference w:type="default" r:id="rId11"/>
          <w:pgSz w:w="12240" w:h="15840"/>
          <w:pgMar w:top="1440" w:right="1440" w:bottom="1440" w:left="1440" w:header="720" w:footer="720" w:gutter="0"/>
          <w:cols w:space="720"/>
          <w:docGrid w:linePitch="360"/>
        </w:sectPr>
      </w:pPr>
    </w:p>
    <w:p w14:paraId="0F91D35B" w14:textId="3F364B1A" w:rsidR="00C238BA" w:rsidRPr="00AB3FCF" w:rsidRDefault="00780CEC" w:rsidP="001F3737">
      <w:pPr>
        <w:spacing w:line="360" w:lineRule="auto"/>
        <w:jc w:val="both"/>
        <w:rPr>
          <w:rFonts w:ascii="Book Antiqua" w:hAnsi="Book Antiqua"/>
          <w:b/>
          <w:vertAlign w:val="superscript"/>
        </w:rPr>
      </w:pPr>
      <w:r w:rsidRPr="001F3737">
        <w:rPr>
          <w:rFonts w:ascii="Book Antiqua" w:hAnsi="Book Antiqua"/>
          <w:b/>
        </w:rPr>
        <w:lastRenderedPageBreak/>
        <w:t>Table 2</w:t>
      </w:r>
      <w:r w:rsidRPr="001F3737">
        <w:rPr>
          <w:rFonts w:ascii="Book Antiqua" w:eastAsia="宋体" w:hAnsi="Book Antiqua"/>
          <w:b/>
          <w:lang w:eastAsia="zh-CN"/>
        </w:rPr>
        <w:t xml:space="preserve"> </w:t>
      </w:r>
      <w:r w:rsidR="00C238BA" w:rsidRPr="001F3737">
        <w:rPr>
          <w:rFonts w:ascii="Book Antiqua" w:hAnsi="Book Antiqua"/>
          <w:b/>
        </w:rPr>
        <w:t xml:space="preserve">Patient </w:t>
      </w:r>
      <w:r w:rsidRPr="001F3737">
        <w:rPr>
          <w:rFonts w:ascii="Book Antiqua" w:hAnsi="Book Antiqua"/>
          <w:b/>
        </w:rPr>
        <w:t>demographics</w:t>
      </w:r>
      <w:r w:rsidR="00AB3FCF" w:rsidRPr="00AB3FCF">
        <w:rPr>
          <w:rFonts w:ascii="Book Antiqua" w:hAnsi="Book Antiqua"/>
          <w:b/>
        </w:rPr>
        <w:t xml:space="preserve"> </w:t>
      </w:r>
      <w:r w:rsidR="00AB3FCF" w:rsidRPr="00AB3FCF">
        <w:rPr>
          <w:rFonts w:ascii="Book Antiqua" w:hAnsi="Book Antiqua"/>
          <w:b/>
          <w:i/>
        </w:rPr>
        <w:t>n</w:t>
      </w:r>
      <w:r w:rsidR="00AB3FCF" w:rsidRPr="00AB3FCF">
        <w:rPr>
          <w:rFonts w:ascii="Book Antiqua" w:hAnsi="Book Antiqua"/>
          <w:b/>
        </w:rPr>
        <w:t xml:space="preserve"> (%)</w:t>
      </w:r>
    </w:p>
    <w:tbl>
      <w:tblPr>
        <w:tblW w:w="5000" w:type="pct"/>
        <w:tblLayout w:type="fixed"/>
        <w:tblLook w:val="04A0" w:firstRow="1" w:lastRow="0" w:firstColumn="1" w:lastColumn="0" w:noHBand="0" w:noVBand="1"/>
      </w:tblPr>
      <w:tblGrid>
        <w:gridCol w:w="3619"/>
        <w:gridCol w:w="2158"/>
        <w:gridCol w:w="2161"/>
        <w:gridCol w:w="901"/>
        <w:gridCol w:w="1889"/>
        <w:gridCol w:w="1531"/>
        <w:gridCol w:w="917"/>
      </w:tblGrid>
      <w:tr w:rsidR="00C238BA" w:rsidRPr="001F3737" w14:paraId="5283946B" w14:textId="77777777" w:rsidTr="00C238BA">
        <w:trPr>
          <w:cantSplit/>
          <w:trHeight w:val="288"/>
        </w:trPr>
        <w:tc>
          <w:tcPr>
            <w:tcW w:w="1373" w:type="pct"/>
            <w:vMerge w:val="restart"/>
            <w:tcBorders>
              <w:top w:val="single" w:sz="4" w:space="0" w:color="auto"/>
              <w:left w:val="nil"/>
              <w:right w:val="nil"/>
            </w:tcBorders>
            <w:noWrap/>
            <w:vAlign w:val="bottom"/>
            <w:hideMark/>
          </w:tcPr>
          <w:p w14:paraId="6865FB5C"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t> </w:t>
            </w:r>
          </w:p>
        </w:tc>
        <w:tc>
          <w:tcPr>
            <w:tcW w:w="1639" w:type="pct"/>
            <w:gridSpan w:val="2"/>
            <w:tcBorders>
              <w:top w:val="single" w:sz="4" w:space="0" w:color="auto"/>
              <w:left w:val="nil"/>
              <w:bottom w:val="single" w:sz="4" w:space="0" w:color="auto"/>
              <w:right w:val="nil"/>
            </w:tcBorders>
            <w:vAlign w:val="bottom"/>
          </w:tcPr>
          <w:p w14:paraId="2B68E632"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t>Unmatched</w:t>
            </w:r>
          </w:p>
        </w:tc>
        <w:tc>
          <w:tcPr>
            <w:tcW w:w="342" w:type="pct"/>
            <w:vMerge w:val="restart"/>
            <w:tcBorders>
              <w:top w:val="single" w:sz="4" w:space="0" w:color="auto"/>
              <w:left w:val="nil"/>
              <w:right w:val="nil"/>
            </w:tcBorders>
            <w:vAlign w:val="bottom"/>
            <w:hideMark/>
          </w:tcPr>
          <w:p w14:paraId="7253C39C" w14:textId="77777777" w:rsidR="00C238BA" w:rsidRPr="001F3737" w:rsidRDefault="00C238BA" w:rsidP="001F3737">
            <w:pPr>
              <w:spacing w:line="360" w:lineRule="auto"/>
              <w:jc w:val="both"/>
              <w:rPr>
                <w:rFonts w:ascii="Book Antiqua" w:hAnsi="Book Antiqua"/>
                <w:b/>
              </w:rPr>
            </w:pPr>
            <w:r w:rsidRPr="001F3737">
              <w:rPr>
                <w:rFonts w:ascii="Book Antiqua" w:hAnsi="Book Antiqua"/>
                <w:b/>
                <w:i/>
              </w:rPr>
              <w:t xml:space="preserve">P </w:t>
            </w:r>
            <w:r w:rsidRPr="001F3737">
              <w:rPr>
                <w:rFonts w:ascii="Book Antiqua" w:hAnsi="Book Antiqua"/>
                <w:b/>
              </w:rPr>
              <w:t>value</w:t>
            </w:r>
          </w:p>
        </w:tc>
        <w:tc>
          <w:tcPr>
            <w:tcW w:w="1298" w:type="pct"/>
            <w:gridSpan w:val="2"/>
            <w:tcBorders>
              <w:top w:val="single" w:sz="4" w:space="0" w:color="auto"/>
              <w:left w:val="nil"/>
              <w:bottom w:val="single" w:sz="4" w:space="0" w:color="auto"/>
              <w:right w:val="nil"/>
            </w:tcBorders>
            <w:vAlign w:val="bottom"/>
          </w:tcPr>
          <w:p w14:paraId="12842166"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t>Matched</w:t>
            </w:r>
          </w:p>
        </w:tc>
        <w:tc>
          <w:tcPr>
            <w:tcW w:w="348" w:type="pct"/>
            <w:vMerge w:val="restart"/>
            <w:tcBorders>
              <w:top w:val="single" w:sz="4" w:space="0" w:color="auto"/>
              <w:left w:val="nil"/>
              <w:right w:val="nil"/>
            </w:tcBorders>
            <w:vAlign w:val="bottom"/>
            <w:hideMark/>
          </w:tcPr>
          <w:p w14:paraId="720204EB" w14:textId="77777777" w:rsidR="00C238BA" w:rsidRPr="001F3737" w:rsidRDefault="00C238BA" w:rsidP="001F3737">
            <w:pPr>
              <w:spacing w:line="360" w:lineRule="auto"/>
              <w:jc w:val="both"/>
              <w:rPr>
                <w:rFonts w:ascii="Book Antiqua" w:hAnsi="Book Antiqua"/>
                <w:b/>
              </w:rPr>
            </w:pPr>
            <w:r w:rsidRPr="001F3737">
              <w:rPr>
                <w:rFonts w:ascii="Book Antiqua" w:hAnsi="Book Antiqua"/>
                <w:b/>
                <w:i/>
              </w:rPr>
              <w:t>P</w:t>
            </w:r>
            <w:r w:rsidRPr="001F3737">
              <w:rPr>
                <w:rFonts w:ascii="Book Antiqua" w:hAnsi="Book Antiqua"/>
                <w:b/>
              </w:rPr>
              <w:t xml:space="preserve"> value</w:t>
            </w:r>
          </w:p>
        </w:tc>
      </w:tr>
      <w:tr w:rsidR="00C238BA" w:rsidRPr="001F3737" w14:paraId="304B2FC3" w14:textId="77777777" w:rsidTr="00C238BA">
        <w:trPr>
          <w:cantSplit/>
          <w:trHeight w:val="719"/>
        </w:trPr>
        <w:tc>
          <w:tcPr>
            <w:tcW w:w="1373" w:type="pct"/>
            <w:vMerge/>
            <w:tcBorders>
              <w:left w:val="nil"/>
              <w:bottom w:val="single" w:sz="4" w:space="0" w:color="auto"/>
              <w:right w:val="nil"/>
            </w:tcBorders>
            <w:noWrap/>
            <w:vAlign w:val="bottom"/>
          </w:tcPr>
          <w:p w14:paraId="1CE1C030" w14:textId="77777777" w:rsidR="00C238BA" w:rsidRPr="001F3737" w:rsidRDefault="00C238BA" w:rsidP="001F3737">
            <w:pPr>
              <w:spacing w:line="360" w:lineRule="auto"/>
              <w:jc w:val="both"/>
              <w:rPr>
                <w:rFonts w:ascii="Book Antiqua" w:hAnsi="Book Antiqua"/>
                <w:b/>
              </w:rPr>
            </w:pPr>
          </w:p>
        </w:tc>
        <w:tc>
          <w:tcPr>
            <w:tcW w:w="819" w:type="pct"/>
            <w:tcBorders>
              <w:top w:val="single" w:sz="4" w:space="0" w:color="auto"/>
              <w:left w:val="nil"/>
              <w:bottom w:val="single" w:sz="4" w:space="0" w:color="auto"/>
              <w:right w:val="nil"/>
            </w:tcBorders>
            <w:vAlign w:val="bottom"/>
          </w:tcPr>
          <w:p w14:paraId="1B96B9D2"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br/>
              <w:t>SCBS</w:t>
            </w:r>
          </w:p>
        </w:tc>
        <w:tc>
          <w:tcPr>
            <w:tcW w:w="820" w:type="pct"/>
            <w:tcBorders>
              <w:top w:val="single" w:sz="4" w:space="0" w:color="auto"/>
              <w:left w:val="nil"/>
              <w:bottom w:val="single" w:sz="4" w:space="0" w:color="auto"/>
              <w:right w:val="nil"/>
            </w:tcBorders>
            <w:vAlign w:val="bottom"/>
          </w:tcPr>
          <w:p w14:paraId="0063729A"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t>No SCBS</w:t>
            </w:r>
          </w:p>
        </w:tc>
        <w:tc>
          <w:tcPr>
            <w:tcW w:w="342" w:type="pct"/>
            <w:vMerge/>
            <w:tcBorders>
              <w:left w:val="nil"/>
              <w:bottom w:val="single" w:sz="4" w:space="0" w:color="auto"/>
              <w:right w:val="nil"/>
            </w:tcBorders>
            <w:vAlign w:val="bottom"/>
          </w:tcPr>
          <w:p w14:paraId="02303219" w14:textId="77777777" w:rsidR="00C238BA" w:rsidRPr="001F3737" w:rsidRDefault="00C238BA" w:rsidP="001F3737">
            <w:pPr>
              <w:spacing w:line="360" w:lineRule="auto"/>
              <w:jc w:val="both"/>
              <w:rPr>
                <w:rFonts w:ascii="Book Antiqua" w:hAnsi="Book Antiqua"/>
                <w:b/>
              </w:rPr>
            </w:pPr>
          </w:p>
        </w:tc>
        <w:tc>
          <w:tcPr>
            <w:tcW w:w="717" w:type="pct"/>
            <w:tcBorders>
              <w:top w:val="single" w:sz="4" w:space="0" w:color="auto"/>
              <w:left w:val="nil"/>
              <w:bottom w:val="single" w:sz="4" w:space="0" w:color="auto"/>
              <w:right w:val="nil"/>
            </w:tcBorders>
            <w:vAlign w:val="bottom"/>
          </w:tcPr>
          <w:p w14:paraId="0DFEACBF"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t>SCBS</w:t>
            </w:r>
          </w:p>
        </w:tc>
        <w:tc>
          <w:tcPr>
            <w:tcW w:w="581" w:type="pct"/>
            <w:tcBorders>
              <w:top w:val="single" w:sz="4" w:space="0" w:color="auto"/>
              <w:left w:val="nil"/>
              <w:bottom w:val="single" w:sz="4" w:space="0" w:color="auto"/>
              <w:right w:val="nil"/>
            </w:tcBorders>
            <w:vAlign w:val="bottom"/>
          </w:tcPr>
          <w:p w14:paraId="7E35DE0F"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t>No SCBS</w:t>
            </w:r>
          </w:p>
        </w:tc>
        <w:tc>
          <w:tcPr>
            <w:tcW w:w="348" w:type="pct"/>
            <w:vMerge/>
            <w:tcBorders>
              <w:left w:val="nil"/>
              <w:bottom w:val="single" w:sz="4" w:space="0" w:color="auto"/>
              <w:right w:val="nil"/>
            </w:tcBorders>
            <w:vAlign w:val="bottom"/>
          </w:tcPr>
          <w:p w14:paraId="7394D8B9" w14:textId="77777777" w:rsidR="00C238BA" w:rsidRPr="001F3737" w:rsidRDefault="00C238BA" w:rsidP="001F3737">
            <w:pPr>
              <w:spacing w:line="360" w:lineRule="auto"/>
              <w:jc w:val="both"/>
              <w:rPr>
                <w:rFonts w:ascii="Book Antiqua" w:hAnsi="Book Antiqua"/>
                <w:b/>
              </w:rPr>
            </w:pPr>
          </w:p>
        </w:tc>
      </w:tr>
      <w:tr w:rsidR="00C238BA" w:rsidRPr="001F3737" w14:paraId="44E0C6B9" w14:textId="77777777" w:rsidTr="00C238BA">
        <w:trPr>
          <w:cantSplit/>
        </w:trPr>
        <w:tc>
          <w:tcPr>
            <w:tcW w:w="1373" w:type="pct"/>
            <w:tcBorders>
              <w:top w:val="single" w:sz="4" w:space="0" w:color="auto"/>
              <w:left w:val="nil"/>
              <w:bottom w:val="nil"/>
              <w:right w:val="nil"/>
            </w:tcBorders>
            <w:noWrap/>
            <w:vAlign w:val="bottom"/>
            <w:hideMark/>
          </w:tcPr>
          <w:p w14:paraId="4F741DBC" w14:textId="77777777" w:rsidR="00C238BA" w:rsidRPr="001F3737" w:rsidRDefault="00C238BA" w:rsidP="001F3737">
            <w:pPr>
              <w:spacing w:line="360" w:lineRule="auto"/>
              <w:jc w:val="both"/>
              <w:rPr>
                <w:rFonts w:ascii="Book Antiqua" w:hAnsi="Book Antiqua"/>
                <w:i/>
              </w:rPr>
            </w:pPr>
            <w:r w:rsidRPr="001F3737">
              <w:rPr>
                <w:rFonts w:ascii="Book Antiqua" w:hAnsi="Book Antiqua"/>
                <w:i/>
              </w:rPr>
              <w:t>n</w:t>
            </w:r>
          </w:p>
        </w:tc>
        <w:tc>
          <w:tcPr>
            <w:tcW w:w="819" w:type="pct"/>
            <w:tcBorders>
              <w:top w:val="single" w:sz="4" w:space="0" w:color="auto"/>
              <w:left w:val="nil"/>
              <w:bottom w:val="nil"/>
              <w:right w:val="nil"/>
            </w:tcBorders>
            <w:noWrap/>
            <w:vAlign w:val="bottom"/>
            <w:hideMark/>
          </w:tcPr>
          <w:p w14:paraId="34A5A398" w14:textId="77777777" w:rsidR="00C238BA" w:rsidRPr="001F3737" w:rsidRDefault="00C238BA" w:rsidP="001F3737">
            <w:pPr>
              <w:tabs>
                <w:tab w:val="decimal" w:pos="618"/>
              </w:tabs>
              <w:spacing w:line="360" w:lineRule="auto"/>
              <w:jc w:val="both"/>
              <w:rPr>
                <w:rFonts w:ascii="Book Antiqua" w:hAnsi="Book Antiqua"/>
              </w:rPr>
            </w:pPr>
            <w:r w:rsidRPr="001F3737">
              <w:rPr>
                <w:rFonts w:ascii="Book Antiqua" w:hAnsi="Book Antiqua"/>
              </w:rPr>
              <w:t>152</w:t>
            </w:r>
          </w:p>
        </w:tc>
        <w:tc>
          <w:tcPr>
            <w:tcW w:w="820" w:type="pct"/>
            <w:tcBorders>
              <w:top w:val="single" w:sz="4" w:space="0" w:color="auto"/>
              <w:left w:val="nil"/>
              <w:bottom w:val="nil"/>
              <w:right w:val="nil"/>
            </w:tcBorders>
            <w:noWrap/>
            <w:vAlign w:val="bottom"/>
            <w:hideMark/>
          </w:tcPr>
          <w:p w14:paraId="5181C014" w14:textId="17B7F643" w:rsidR="00C238BA" w:rsidRPr="001F3737" w:rsidRDefault="00780CEC" w:rsidP="001F3737">
            <w:pPr>
              <w:tabs>
                <w:tab w:val="decimal" w:pos="724"/>
              </w:tabs>
              <w:spacing w:line="360" w:lineRule="auto"/>
              <w:jc w:val="both"/>
              <w:rPr>
                <w:rFonts w:ascii="Book Antiqua" w:hAnsi="Book Antiqua"/>
              </w:rPr>
            </w:pPr>
            <w:r w:rsidRPr="001F3737">
              <w:rPr>
                <w:rFonts w:ascii="Book Antiqua" w:hAnsi="Book Antiqua"/>
              </w:rPr>
              <w:t>2</w:t>
            </w:r>
            <w:r w:rsidR="00C238BA" w:rsidRPr="001F3737">
              <w:rPr>
                <w:rFonts w:ascii="Book Antiqua" w:hAnsi="Book Antiqua"/>
              </w:rPr>
              <w:t>993</w:t>
            </w:r>
          </w:p>
        </w:tc>
        <w:tc>
          <w:tcPr>
            <w:tcW w:w="342" w:type="pct"/>
            <w:tcBorders>
              <w:top w:val="single" w:sz="4" w:space="0" w:color="auto"/>
              <w:left w:val="nil"/>
              <w:bottom w:val="nil"/>
              <w:right w:val="nil"/>
            </w:tcBorders>
            <w:noWrap/>
            <w:vAlign w:val="bottom"/>
            <w:hideMark/>
          </w:tcPr>
          <w:p w14:paraId="79B2B281" w14:textId="77777777" w:rsidR="00C238BA" w:rsidRPr="001F3737" w:rsidRDefault="00C238BA" w:rsidP="001F3737">
            <w:pPr>
              <w:spacing w:line="360" w:lineRule="auto"/>
              <w:jc w:val="both"/>
              <w:rPr>
                <w:rFonts w:ascii="Book Antiqua" w:hAnsi="Book Antiqua"/>
              </w:rPr>
            </w:pPr>
          </w:p>
        </w:tc>
        <w:tc>
          <w:tcPr>
            <w:tcW w:w="717" w:type="pct"/>
            <w:tcBorders>
              <w:top w:val="single" w:sz="4" w:space="0" w:color="auto"/>
              <w:left w:val="nil"/>
              <w:bottom w:val="nil"/>
              <w:right w:val="nil"/>
            </w:tcBorders>
            <w:noWrap/>
            <w:vAlign w:val="bottom"/>
            <w:hideMark/>
          </w:tcPr>
          <w:p w14:paraId="5776E6A3" w14:textId="77777777" w:rsidR="00C238BA" w:rsidRPr="001F3737" w:rsidRDefault="00C238BA" w:rsidP="001F3737">
            <w:pPr>
              <w:tabs>
                <w:tab w:val="decimal" w:pos="661"/>
              </w:tabs>
              <w:spacing w:line="360" w:lineRule="auto"/>
              <w:jc w:val="both"/>
              <w:rPr>
                <w:rFonts w:ascii="Book Antiqua" w:hAnsi="Book Antiqua"/>
              </w:rPr>
            </w:pPr>
            <w:r w:rsidRPr="001F3737">
              <w:rPr>
                <w:rFonts w:ascii="Book Antiqua" w:hAnsi="Book Antiqua"/>
              </w:rPr>
              <w:t>144</w:t>
            </w:r>
          </w:p>
        </w:tc>
        <w:tc>
          <w:tcPr>
            <w:tcW w:w="581" w:type="pct"/>
            <w:tcBorders>
              <w:top w:val="single" w:sz="4" w:space="0" w:color="auto"/>
              <w:left w:val="nil"/>
              <w:bottom w:val="nil"/>
              <w:right w:val="nil"/>
            </w:tcBorders>
            <w:noWrap/>
            <w:vAlign w:val="bottom"/>
            <w:hideMark/>
          </w:tcPr>
          <w:p w14:paraId="077AEB16" w14:textId="77777777" w:rsidR="00C238BA" w:rsidRPr="001F3737" w:rsidRDefault="00C238BA" w:rsidP="001F3737">
            <w:pPr>
              <w:tabs>
                <w:tab w:val="decimal" w:pos="586"/>
              </w:tabs>
              <w:spacing w:line="360" w:lineRule="auto"/>
              <w:jc w:val="both"/>
              <w:rPr>
                <w:rFonts w:ascii="Book Antiqua" w:hAnsi="Book Antiqua"/>
              </w:rPr>
            </w:pPr>
            <w:r w:rsidRPr="001F3737">
              <w:rPr>
                <w:rFonts w:ascii="Book Antiqua" w:hAnsi="Book Antiqua"/>
              </w:rPr>
              <w:t>720</w:t>
            </w:r>
          </w:p>
        </w:tc>
        <w:tc>
          <w:tcPr>
            <w:tcW w:w="348" w:type="pct"/>
            <w:tcBorders>
              <w:top w:val="single" w:sz="4" w:space="0" w:color="auto"/>
              <w:left w:val="nil"/>
              <w:bottom w:val="nil"/>
              <w:right w:val="nil"/>
            </w:tcBorders>
            <w:noWrap/>
            <w:vAlign w:val="bottom"/>
            <w:hideMark/>
          </w:tcPr>
          <w:p w14:paraId="119965BD" w14:textId="77777777" w:rsidR="00C238BA" w:rsidRPr="001F3737" w:rsidRDefault="00C238BA" w:rsidP="001F3737">
            <w:pPr>
              <w:spacing w:line="360" w:lineRule="auto"/>
              <w:jc w:val="both"/>
              <w:rPr>
                <w:rFonts w:ascii="Book Antiqua" w:hAnsi="Book Antiqua"/>
              </w:rPr>
            </w:pPr>
          </w:p>
        </w:tc>
      </w:tr>
      <w:tr w:rsidR="00C238BA" w:rsidRPr="001F3737" w14:paraId="3E04BB90" w14:textId="77777777" w:rsidTr="00C238BA">
        <w:trPr>
          <w:cantSplit/>
        </w:trPr>
        <w:tc>
          <w:tcPr>
            <w:tcW w:w="1373" w:type="pct"/>
            <w:tcBorders>
              <w:top w:val="nil"/>
              <w:left w:val="nil"/>
              <w:bottom w:val="nil"/>
              <w:right w:val="nil"/>
            </w:tcBorders>
            <w:noWrap/>
            <w:vAlign w:val="bottom"/>
            <w:hideMark/>
          </w:tcPr>
          <w:p w14:paraId="7E34707C" w14:textId="77777777" w:rsidR="00C238BA" w:rsidRPr="001F3737" w:rsidRDefault="00C238BA" w:rsidP="001F3737">
            <w:pPr>
              <w:spacing w:line="360" w:lineRule="auto"/>
              <w:jc w:val="both"/>
              <w:rPr>
                <w:rFonts w:ascii="Book Antiqua" w:hAnsi="Book Antiqua"/>
              </w:rPr>
            </w:pPr>
            <w:r w:rsidRPr="001F3737">
              <w:rPr>
                <w:rFonts w:ascii="Book Antiqua" w:hAnsi="Book Antiqua"/>
              </w:rPr>
              <w:t>Age, mean (SD)</w:t>
            </w:r>
          </w:p>
        </w:tc>
        <w:tc>
          <w:tcPr>
            <w:tcW w:w="819" w:type="pct"/>
            <w:tcBorders>
              <w:top w:val="nil"/>
              <w:left w:val="nil"/>
              <w:bottom w:val="nil"/>
              <w:right w:val="nil"/>
            </w:tcBorders>
            <w:noWrap/>
            <w:vAlign w:val="bottom"/>
            <w:hideMark/>
          </w:tcPr>
          <w:p w14:paraId="3CCC379D" w14:textId="77777777" w:rsidR="00C238BA" w:rsidRPr="001F3737" w:rsidRDefault="00C238BA" w:rsidP="001F3737">
            <w:pPr>
              <w:tabs>
                <w:tab w:val="decimal" w:pos="618"/>
              </w:tabs>
              <w:spacing w:line="360" w:lineRule="auto"/>
              <w:jc w:val="both"/>
              <w:rPr>
                <w:rFonts w:ascii="Book Antiqua" w:hAnsi="Book Antiqua"/>
              </w:rPr>
            </w:pPr>
            <w:r w:rsidRPr="001F3737">
              <w:rPr>
                <w:rFonts w:ascii="Book Antiqua" w:hAnsi="Book Antiqua"/>
              </w:rPr>
              <w:t>62 (12.5)</w:t>
            </w:r>
          </w:p>
        </w:tc>
        <w:tc>
          <w:tcPr>
            <w:tcW w:w="820" w:type="pct"/>
            <w:tcBorders>
              <w:top w:val="nil"/>
              <w:left w:val="nil"/>
              <w:bottom w:val="nil"/>
              <w:right w:val="nil"/>
            </w:tcBorders>
            <w:noWrap/>
            <w:vAlign w:val="bottom"/>
            <w:hideMark/>
          </w:tcPr>
          <w:p w14:paraId="017E518A" w14:textId="77777777" w:rsidR="00C238BA" w:rsidRPr="001F3737" w:rsidRDefault="00C238BA" w:rsidP="001F3737">
            <w:pPr>
              <w:tabs>
                <w:tab w:val="decimal" w:pos="724"/>
              </w:tabs>
              <w:spacing w:line="360" w:lineRule="auto"/>
              <w:jc w:val="both"/>
              <w:rPr>
                <w:rFonts w:ascii="Book Antiqua" w:hAnsi="Book Antiqua"/>
              </w:rPr>
            </w:pPr>
            <w:r w:rsidRPr="001F3737">
              <w:rPr>
                <w:rFonts w:ascii="Book Antiqua" w:hAnsi="Book Antiqua"/>
              </w:rPr>
              <w:t>61.58 (12.1)</w:t>
            </w:r>
          </w:p>
        </w:tc>
        <w:tc>
          <w:tcPr>
            <w:tcW w:w="342" w:type="pct"/>
            <w:tcBorders>
              <w:top w:val="nil"/>
              <w:left w:val="nil"/>
              <w:bottom w:val="nil"/>
              <w:right w:val="nil"/>
            </w:tcBorders>
            <w:noWrap/>
            <w:vAlign w:val="bottom"/>
            <w:hideMark/>
          </w:tcPr>
          <w:p w14:paraId="660AC3E4" w14:textId="77777777" w:rsidR="00C238BA" w:rsidRPr="001F3737" w:rsidRDefault="00C238BA" w:rsidP="001F3737">
            <w:pPr>
              <w:spacing w:line="360" w:lineRule="auto"/>
              <w:jc w:val="both"/>
              <w:rPr>
                <w:rFonts w:ascii="Book Antiqua" w:hAnsi="Book Antiqua"/>
              </w:rPr>
            </w:pPr>
            <w:r w:rsidRPr="001F3737">
              <w:rPr>
                <w:rFonts w:ascii="Book Antiqua" w:hAnsi="Book Antiqua"/>
              </w:rPr>
              <w:t>0.683</w:t>
            </w:r>
          </w:p>
        </w:tc>
        <w:tc>
          <w:tcPr>
            <w:tcW w:w="717" w:type="pct"/>
            <w:tcBorders>
              <w:top w:val="nil"/>
              <w:left w:val="nil"/>
              <w:bottom w:val="nil"/>
              <w:right w:val="nil"/>
            </w:tcBorders>
            <w:noWrap/>
            <w:vAlign w:val="bottom"/>
            <w:hideMark/>
          </w:tcPr>
          <w:p w14:paraId="4609FAD7" w14:textId="77777777" w:rsidR="00C238BA" w:rsidRPr="001F3737" w:rsidRDefault="00C238BA" w:rsidP="001F3737">
            <w:pPr>
              <w:tabs>
                <w:tab w:val="decimal" w:pos="661"/>
              </w:tabs>
              <w:spacing w:line="360" w:lineRule="auto"/>
              <w:jc w:val="both"/>
              <w:rPr>
                <w:rFonts w:ascii="Book Antiqua" w:hAnsi="Book Antiqua"/>
              </w:rPr>
            </w:pPr>
            <w:r w:rsidRPr="001F3737">
              <w:rPr>
                <w:rFonts w:ascii="Book Antiqua" w:hAnsi="Book Antiqua"/>
              </w:rPr>
              <w:t>61.49 (12.5)</w:t>
            </w:r>
          </w:p>
        </w:tc>
        <w:tc>
          <w:tcPr>
            <w:tcW w:w="581" w:type="pct"/>
            <w:tcBorders>
              <w:top w:val="nil"/>
              <w:left w:val="nil"/>
              <w:bottom w:val="nil"/>
              <w:right w:val="nil"/>
            </w:tcBorders>
            <w:noWrap/>
            <w:vAlign w:val="bottom"/>
            <w:hideMark/>
          </w:tcPr>
          <w:p w14:paraId="07E8D676" w14:textId="77777777" w:rsidR="00C238BA" w:rsidRPr="001F3737" w:rsidRDefault="00C238BA" w:rsidP="001F3737">
            <w:pPr>
              <w:tabs>
                <w:tab w:val="decimal" w:pos="586"/>
              </w:tabs>
              <w:spacing w:line="360" w:lineRule="auto"/>
              <w:jc w:val="both"/>
              <w:rPr>
                <w:rFonts w:ascii="Book Antiqua" w:hAnsi="Book Antiqua"/>
              </w:rPr>
            </w:pPr>
            <w:r w:rsidRPr="001F3737">
              <w:rPr>
                <w:rFonts w:ascii="Book Antiqua" w:hAnsi="Book Antiqua"/>
              </w:rPr>
              <w:t>62.14 (12.1)</w:t>
            </w:r>
          </w:p>
        </w:tc>
        <w:tc>
          <w:tcPr>
            <w:tcW w:w="348" w:type="pct"/>
            <w:tcBorders>
              <w:top w:val="nil"/>
              <w:left w:val="nil"/>
              <w:bottom w:val="nil"/>
              <w:right w:val="nil"/>
            </w:tcBorders>
            <w:noWrap/>
            <w:vAlign w:val="bottom"/>
            <w:hideMark/>
          </w:tcPr>
          <w:p w14:paraId="0A7823DE" w14:textId="77777777" w:rsidR="00C238BA" w:rsidRPr="001F3737" w:rsidRDefault="00C238BA" w:rsidP="001F3737">
            <w:pPr>
              <w:spacing w:line="360" w:lineRule="auto"/>
              <w:jc w:val="both"/>
              <w:rPr>
                <w:rFonts w:ascii="Book Antiqua" w:hAnsi="Book Antiqua"/>
              </w:rPr>
            </w:pPr>
            <w:r w:rsidRPr="001F3737">
              <w:rPr>
                <w:rFonts w:ascii="Book Antiqua" w:hAnsi="Book Antiqua"/>
              </w:rPr>
              <w:t>0.568</w:t>
            </w:r>
          </w:p>
        </w:tc>
      </w:tr>
      <w:tr w:rsidR="00C238BA" w:rsidRPr="001F3737" w14:paraId="711CE9FC" w14:textId="77777777" w:rsidTr="00C238BA">
        <w:trPr>
          <w:cantSplit/>
        </w:trPr>
        <w:tc>
          <w:tcPr>
            <w:tcW w:w="1373" w:type="pct"/>
            <w:tcBorders>
              <w:top w:val="nil"/>
              <w:left w:val="nil"/>
              <w:bottom w:val="nil"/>
              <w:right w:val="nil"/>
            </w:tcBorders>
            <w:noWrap/>
            <w:vAlign w:val="bottom"/>
            <w:hideMark/>
          </w:tcPr>
          <w:p w14:paraId="569C5AD4" w14:textId="18B34539" w:rsidR="00C238BA" w:rsidRPr="00AB3FCF" w:rsidRDefault="00C238BA" w:rsidP="00AB3FCF">
            <w:pPr>
              <w:spacing w:line="360" w:lineRule="auto"/>
              <w:jc w:val="both"/>
              <w:rPr>
                <w:rFonts w:ascii="Book Antiqua" w:eastAsia="宋体" w:hAnsi="Book Antiqua"/>
                <w:lang w:eastAsia="zh-CN"/>
              </w:rPr>
            </w:pPr>
            <w:r w:rsidRPr="001F3737">
              <w:rPr>
                <w:rFonts w:ascii="Book Antiqua" w:hAnsi="Book Antiqua"/>
              </w:rPr>
              <w:t>Age Group</w:t>
            </w:r>
          </w:p>
        </w:tc>
        <w:tc>
          <w:tcPr>
            <w:tcW w:w="819" w:type="pct"/>
            <w:tcBorders>
              <w:top w:val="nil"/>
              <w:left w:val="nil"/>
              <w:bottom w:val="nil"/>
              <w:right w:val="nil"/>
            </w:tcBorders>
            <w:noWrap/>
            <w:vAlign w:val="bottom"/>
            <w:hideMark/>
          </w:tcPr>
          <w:p w14:paraId="475556D9" w14:textId="77777777" w:rsidR="00C238BA" w:rsidRPr="001F3737" w:rsidRDefault="00C238BA" w:rsidP="001F3737">
            <w:pPr>
              <w:tabs>
                <w:tab w:val="decimal" w:pos="618"/>
              </w:tabs>
              <w:spacing w:line="360" w:lineRule="auto"/>
              <w:jc w:val="both"/>
              <w:rPr>
                <w:rFonts w:ascii="Book Antiqua" w:hAnsi="Book Antiqua"/>
              </w:rPr>
            </w:pPr>
          </w:p>
        </w:tc>
        <w:tc>
          <w:tcPr>
            <w:tcW w:w="820" w:type="pct"/>
            <w:tcBorders>
              <w:top w:val="nil"/>
              <w:left w:val="nil"/>
              <w:bottom w:val="nil"/>
              <w:right w:val="nil"/>
            </w:tcBorders>
            <w:noWrap/>
            <w:vAlign w:val="bottom"/>
            <w:hideMark/>
          </w:tcPr>
          <w:p w14:paraId="2FF1A8E3" w14:textId="77777777" w:rsidR="00C238BA" w:rsidRPr="001F3737" w:rsidRDefault="00C238BA" w:rsidP="001F3737">
            <w:pPr>
              <w:tabs>
                <w:tab w:val="decimal" w:pos="724"/>
              </w:tabs>
              <w:spacing w:line="360" w:lineRule="auto"/>
              <w:jc w:val="both"/>
              <w:rPr>
                <w:rFonts w:ascii="Book Antiqua" w:hAnsi="Book Antiqua"/>
              </w:rPr>
            </w:pPr>
          </w:p>
        </w:tc>
        <w:tc>
          <w:tcPr>
            <w:tcW w:w="342" w:type="pct"/>
            <w:tcBorders>
              <w:top w:val="nil"/>
              <w:left w:val="nil"/>
              <w:bottom w:val="nil"/>
              <w:right w:val="nil"/>
            </w:tcBorders>
            <w:noWrap/>
            <w:vAlign w:val="bottom"/>
            <w:hideMark/>
          </w:tcPr>
          <w:p w14:paraId="64E8CF13"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525CF819" w14:textId="77777777" w:rsidR="00C238BA" w:rsidRPr="001F3737" w:rsidRDefault="00C238BA" w:rsidP="001F3737">
            <w:pPr>
              <w:tabs>
                <w:tab w:val="decimal" w:pos="661"/>
              </w:tabs>
              <w:spacing w:line="360" w:lineRule="auto"/>
              <w:jc w:val="both"/>
              <w:rPr>
                <w:rFonts w:ascii="Book Antiqua" w:hAnsi="Book Antiqua"/>
              </w:rPr>
            </w:pPr>
          </w:p>
        </w:tc>
        <w:tc>
          <w:tcPr>
            <w:tcW w:w="581" w:type="pct"/>
            <w:tcBorders>
              <w:top w:val="nil"/>
              <w:left w:val="nil"/>
              <w:bottom w:val="nil"/>
              <w:right w:val="nil"/>
            </w:tcBorders>
            <w:noWrap/>
            <w:vAlign w:val="bottom"/>
            <w:hideMark/>
          </w:tcPr>
          <w:p w14:paraId="53A6BC02" w14:textId="77777777" w:rsidR="00C238BA" w:rsidRPr="001F3737" w:rsidRDefault="00C238BA" w:rsidP="001F3737">
            <w:pPr>
              <w:tabs>
                <w:tab w:val="decimal" w:pos="586"/>
              </w:tabs>
              <w:spacing w:line="360" w:lineRule="auto"/>
              <w:jc w:val="both"/>
              <w:rPr>
                <w:rFonts w:ascii="Book Antiqua" w:hAnsi="Book Antiqua"/>
              </w:rPr>
            </w:pPr>
          </w:p>
        </w:tc>
        <w:tc>
          <w:tcPr>
            <w:tcW w:w="348" w:type="pct"/>
            <w:tcBorders>
              <w:top w:val="nil"/>
              <w:left w:val="nil"/>
              <w:bottom w:val="nil"/>
              <w:right w:val="nil"/>
            </w:tcBorders>
            <w:noWrap/>
            <w:vAlign w:val="bottom"/>
            <w:hideMark/>
          </w:tcPr>
          <w:p w14:paraId="3E878C44" w14:textId="77777777" w:rsidR="00C238BA" w:rsidRPr="001F3737" w:rsidRDefault="00C238BA" w:rsidP="001F3737">
            <w:pPr>
              <w:spacing w:line="360" w:lineRule="auto"/>
              <w:jc w:val="both"/>
              <w:rPr>
                <w:rFonts w:ascii="Book Antiqua" w:hAnsi="Book Antiqua"/>
              </w:rPr>
            </w:pPr>
            <w:r w:rsidRPr="001F3737">
              <w:rPr>
                <w:rFonts w:ascii="Book Antiqua" w:hAnsi="Book Antiqua"/>
              </w:rPr>
              <w:t>0.960</w:t>
            </w:r>
          </w:p>
        </w:tc>
      </w:tr>
      <w:tr w:rsidR="00C238BA" w:rsidRPr="001F3737" w14:paraId="18279774" w14:textId="77777777" w:rsidTr="00C238BA">
        <w:trPr>
          <w:cantSplit/>
        </w:trPr>
        <w:tc>
          <w:tcPr>
            <w:tcW w:w="1373" w:type="pct"/>
            <w:tcBorders>
              <w:top w:val="nil"/>
              <w:left w:val="nil"/>
              <w:bottom w:val="nil"/>
              <w:right w:val="nil"/>
            </w:tcBorders>
            <w:noWrap/>
            <w:vAlign w:val="bottom"/>
            <w:hideMark/>
          </w:tcPr>
          <w:p w14:paraId="7D496E37"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18 to 44</w:t>
            </w:r>
          </w:p>
        </w:tc>
        <w:tc>
          <w:tcPr>
            <w:tcW w:w="819" w:type="pct"/>
            <w:tcBorders>
              <w:top w:val="nil"/>
              <w:left w:val="nil"/>
              <w:bottom w:val="nil"/>
              <w:right w:val="nil"/>
            </w:tcBorders>
            <w:noWrap/>
            <w:vAlign w:val="bottom"/>
            <w:hideMark/>
          </w:tcPr>
          <w:p w14:paraId="051635FC" w14:textId="2622C065" w:rsidR="00C238BA" w:rsidRPr="001F3737" w:rsidRDefault="00CC1953" w:rsidP="001F3737">
            <w:pPr>
              <w:tabs>
                <w:tab w:val="decimal" w:pos="618"/>
              </w:tabs>
              <w:spacing w:line="360" w:lineRule="auto"/>
              <w:jc w:val="both"/>
              <w:rPr>
                <w:rFonts w:ascii="Book Antiqua" w:hAnsi="Book Antiqua"/>
              </w:rPr>
            </w:pPr>
            <w:r>
              <w:rPr>
                <w:rFonts w:ascii="Book Antiqua" w:hAnsi="Book Antiqua"/>
              </w:rPr>
              <w:t>10 (6.6</w:t>
            </w:r>
            <w:r w:rsidR="00C238BA" w:rsidRPr="001F3737">
              <w:rPr>
                <w:rFonts w:ascii="Book Antiqua" w:hAnsi="Book Antiqua"/>
              </w:rPr>
              <w:t>)</w:t>
            </w:r>
          </w:p>
        </w:tc>
        <w:tc>
          <w:tcPr>
            <w:tcW w:w="820" w:type="pct"/>
            <w:tcBorders>
              <w:top w:val="nil"/>
              <w:left w:val="nil"/>
              <w:bottom w:val="nil"/>
              <w:right w:val="nil"/>
            </w:tcBorders>
            <w:noWrap/>
            <w:vAlign w:val="bottom"/>
            <w:hideMark/>
          </w:tcPr>
          <w:p w14:paraId="4021BDB8" w14:textId="17365B69" w:rsidR="00C238BA" w:rsidRPr="001F3737" w:rsidRDefault="00CC1953" w:rsidP="001F3737">
            <w:pPr>
              <w:tabs>
                <w:tab w:val="decimal" w:pos="724"/>
              </w:tabs>
              <w:spacing w:line="360" w:lineRule="auto"/>
              <w:jc w:val="both"/>
              <w:rPr>
                <w:rFonts w:ascii="Book Antiqua" w:hAnsi="Book Antiqua"/>
              </w:rPr>
            </w:pPr>
            <w:r>
              <w:rPr>
                <w:rFonts w:ascii="Book Antiqua" w:hAnsi="Book Antiqua"/>
              </w:rPr>
              <w:t>262 (8.8</w:t>
            </w:r>
            <w:r w:rsidR="00C238BA" w:rsidRPr="001F3737">
              <w:rPr>
                <w:rFonts w:ascii="Book Antiqua" w:hAnsi="Book Antiqua"/>
              </w:rPr>
              <w:t>)</w:t>
            </w:r>
          </w:p>
        </w:tc>
        <w:tc>
          <w:tcPr>
            <w:tcW w:w="342" w:type="pct"/>
            <w:tcBorders>
              <w:top w:val="nil"/>
              <w:left w:val="nil"/>
              <w:bottom w:val="nil"/>
              <w:right w:val="nil"/>
            </w:tcBorders>
            <w:noWrap/>
            <w:vAlign w:val="bottom"/>
            <w:hideMark/>
          </w:tcPr>
          <w:p w14:paraId="69780605" w14:textId="77777777" w:rsidR="00C238BA" w:rsidRPr="001F3737" w:rsidRDefault="00C238BA" w:rsidP="001F3737">
            <w:pPr>
              <w:spacing w:line="360" w:lineRule="auto"/>
              <w:jc w:val="both"/>
              <w:rPr>
                <w:rFonts w:ascii="Book Antiqua" w:hAnsi="Book Antiqua"/>
              </w:rPr>
            </w:pPr>
            <w:r w:rsidRPr="001F3737">
              <w:rPr>
                <w:rFonts w:ascii="Book Antiqua" w:hAnsi="Book Antiqua"/>
              </w:rPr>
              <w:t>0.868</w:t>
            </w:r>
          </w:p>
        </w:tc>
        <w:tc>
          <w:tcPr>
            <w:tcW w:w="717" w:type="pct"/>
            <w:tcBorders>
              <w:top w:val="nil"/>
              <w:left w:val="nil"/>
              <w:bottom w:val="nil"/>
              <w:right w:val="nil"/>
            </w:tcBorders>
            <w:noWrap/>
            <w:vAlign w:val="bottom"/>
            <w:hideMark/>
          </w:tcPr>
          <w:p w14:paraId="3C8BE747" w14:textId="6EBB0C52" w:rsidR="00C238BA" w:rsidRPr="001F3737" w:rsidRDefault="00CC1953" w:rsidP="001F3737">
            <w:pPr>
              <w:tabs>
                <w:tab w:val="decimal" w:pos="661"/>
              </w:tabs>
              <w:spacing w:line="360" w:lineRule="auto"/>
              <w:jc w:val="both"/>
              <w:rPr>
                <w:rFonts w:ascii="Book Antiqua" w:hAnsi="Book Antiqua"/>
              </w:rPr>
            </w:pPr>
            <w:r>
              <w:rPr>
                <w:rFonts w:ascii="Book Antiqua" w:hAnsi="Book Antiqua"/>
              </w:rPr>
              <w:t>10 (6.9</w:t>
            </w:r>
            <w:r w:rsidR="00C238BA" w:rsidRPr="001F3737">
              <w:rPr>
                <w:rFonts w:ascii="Book Antiqua" w:hAnsi="Book Antiqua"/>
              </w:rPr>
              <w:t>)</w:t>
            </w:r>
          </w:p>
        </w:tc>
        <w:tc>
          <w:tcPr>
            <w:tcW w:w="581" w:type="pct"/>
            <w:tcBorders>
              <w:top w:val="nil"/>
              <w:left w:val="nil"/>
              <w:bottom w:val="nil"/>
              <w:right w:val="nil"/>
            </w:tcBorders>
            <w:noWrap/>
            <w:vAlign w:val="bottom"/>
            <w:hideMark/>
          </w:tcPr>
          <w:p w14:paraId="5E345320" w14:textId="5AE64802" w:rsidR="00C238BA" w:rsidRPr="001F3737" w:rsidRDefault="00CC1953" w:rsidP="001F3737">
            <w:pPr>
              <w:tabs>
                <w:tab w:val="decimal" w:pos="586"/>
              </w:tabs>
              <w:spacing w:line="360" w:lineRule="auto"/>
              <w:jc w:val="both"/>
              <w:rPr>
                <w:rFonts w:ascii="Book Antiqua" w:hAnsi="Book Antiqua"/>
              </w:rPr>
            </w:pPr>
            <w:r>
              <w:rPr>
                <w:rFonts w:ascii="Book Antiqua" w:hAnsi="Book Antiqua"/>
              </w:rPr>
              <w:t>49 (6.8</w:t>
            </w:r>
            <w:r w:rsidR="00C238BA" w:rsidRPr="001F3737">
              <w:rPr>
                <w:rFonts w:ascii="Book Antiqua" w:hAnsi="Book Antiqua"/>
              </w:rPr>
              <w:t>)</w:t>
            </w:r>
          </w:p>
        </w:tc>
        <w:tc>
          <w:tcPr>
            <w:tcW w:w="348" w:type="pct"/>
            <w:tcBorders>
              <w:top w:val="nil"/>
              <w:left w:val="nil"/>
              <w:bottom w:val="nil"/>
              <w:right w:val="nil"/>
            </w:tcBorders>
            <w:noWrap/>
            <w:vAlign w:val="bottom"/>
            <w:hideMark/>
          </w:tcPr>
          <w:p w14:paraId="1865E5A5" w14:textId="77777777" w:rsidR="00C238BA" w:rsidRPr="001F3737" w:rsidRDefault="00C238BA" w:rsidP="001F3737">
            <w:pPr>
              <w:spacing w:line="360" w:lineRule="auto"/>
              <w:jc w:val="both"/>
              <w:rPr>
                <w:rFonts w:ascii="Book Antiqua" w:hAnsi="Book Antiqua"/>
              </w:rPr>
            </w:pPr>
          </w:p>
        </w:tc>
      </w:tr>
      <w:tr w:rsidR="00C238BA" w:rsidRPr="001F3737" w14:paraId="29599C69" w14:textId="77777777" w:rsidTr="00C238BA">
        <w:trPr>
          <w:cantSplit/>
        </w:trPr>
        <w:tc>
          <w:tcPr>
            <w:tcW w:w="1373" w:type="pct"/>
            <w:tcBorders>
              <w:top w:val="nil"/>
              <w:left w:val="nil"/>
              <w:bottom w:val="nil"/>
              <w:right w:val="nil"/>
            </w:tcBorders>
            <w:noWrap/>
            <w:vAlign w:val="bottom"/>
            <w:hideMark/>
          </w:tcPr>
          <w:p w14:paraId="41E9EC92"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45 to 54</w:t>
            </w:r>
          </w:p>
        </w:tc>
        <w:tc>
          <w:tcPr>
            <w:tcW w:w="819" w:type="pct"/>
            <w:tcBorders>
              <w:top w:val="nil"/>
              <w:left w:val="nil"/>
              <w:bottom w:val="nil"/>
              <w:right w:val="nil"/>
            </w:tcBorders>
            <w:noWrap/>
            <w:vAlign w:val="bottom"/>
            <w:hideMark/>
          </w:tcPr>
          <w:p w14:paraId="4625760E" w14:textId="71B741DD" w:rsidR="00C238BA" w:rsidRPr="001F3737" w:rsidRDefault="00CC1953" w:rsidP="001F3737">
            <w:pPr>
              <w:tabs>
                <w:tab w:val="decimal" w:pos="618"/>
              </w:tabs>
              <w:spacing w:line="360" w:lineRule="auto"/>
              <w:jc w:val="both"/>
              <w:rPr>
                <w:rFonts w:ascii="Book Antiqua" w:hAnsi="Book Antiqua"/>
              </w:rPr>
            </w:pPr>
            <w:r>
              <w:rPr>
                <w:rFonts w:ascii="Book Antiqua" w:hAnsi="Book Antiqua"/>
              </w:rPr>
              <w:t>29 (19.1</w:t>
            </w:r>
            <w:r w:rsidR="00C238BA" w:rsidRPr="001F3737">
              <w:rPr>
                <w:rFonts w:ascii="Book Antiqua" w:hAnsi="Book Antiqua"/>
              </w:rPr>
              <w:t>)</w:t>
            </w:r>
          </w:p>
        </w:tc>
        <w:tc>
          <w:tcPr>
            <w:tcW w:w="820" w:type="pct"/>
            <w:tcBorders>
              <w:top w:val="nil"/>
              <w:left w:val="nil"/>
              <w:bottom w:val="nil"/>
              <w:right w:val="nil"/>
            </w:tcBorders>
            <w:noWrap/>
            <w:vAlign w:val="bottom"/>
            <w:hideMark/>
          </w:tcPr>
          <w:p w14:paraId="262EC8D6" w14:textId="523622D9" w:rsidR="00C238BA" w:rsidRPr="001F3737" w:rsidRDefault="00CC1953" w:rsidP="001F3737">
            <w:pPr>
              <w:tabs>
                <w:tab w:val="decimal" w:pos="724"/>
              </w:tabs>
              <w:spacing w:line="360" w:lineRule="auto"/>
              <w:jc w:val="both"/>
              <w:rPr>
                <w:rFonts w:ascii="Book Antiqua" w:hAnsi="Book Antiqua"/>
              </w:rPr>
            </w:pPr>
            <w:r>
              <w:rPr>
                <w:rFonts w:ascii="Book Antiqua" w:hAnsi="Book Antiqua"/>
              </w:rPr>
              <w:t>536 (17.9</w:t>
            </w:r>
            <w:r w:rsidR="00C238BA" w:rsidRPr="001F3737">
              <w:rPr>
                <w:rFonts w:ascii="Book Antiqua" w:hAnsi="Book Antiqua"/>
              </w:rPr>
              <w:t>)</w:t>
            </w:r>
          </w:p>
        </w:tc>
        <w:tc>
          <w:tcPr>
            <w:tcW w:w="342" w:type="pct"/>
            <w:tcBorders>
              <w:top w:val="nil"/>
              <w:left w:val="nil"/>
              <w:bottom w:val="nil"/>
              <w:right w:val="nil"/>
            </w:tcBorders>
            <w:noWrap/>
            <w:vAlign w:val="bottom"/>
            <w:hideMark/>
          </w:tcPr>
          <w:p w14:paraId="6BDB73BC"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5CF3E3C3" w14:textId="2D647BE3" w:rsidR="00C238BA" w:rsidRPr="001F3737" w:rsidRDefault="00CC1953" w:rsidP="001F3737">
            <w:pPr>
              <w:tabs>
                <w:tab w:val="decimal" w:pos="661"/>
              </w:tabs>
              <w:spacing w:line="360" w:lineRule="auto"/>
              <w:jc w:val="both"/>
              <w:rPr>
                <w:rFonts w:ascii="Book Antiqua" w:hAnsi="Book Antiqua"/>
              </w:rPr>
            </w:pPr>
            <w:r>
              <w:rPr>
                <w:rFonts w:ascii="Book Antiqua" w:hAnsi="Book Antiqua"/>
              </w:rPr>
              <w:t>28 (19.4</w:t>
            </w:r>
            <w:r w:rsidR="00C238BA" w:rsidRPr="001F3737">
              <w:rPr>
                <w:rFonts w:ascii="Book Antiqua" w:hAnsi="Book Antiqua"/>
              </w:rPr>
              <w:t>)</w:t>
            </w:r>
          </w:p>
        </w:tc>
        <w:tc>
          <w:tcPr>
            <w:tcW w:w="581" w:type="pct"/>
            <w:tcBorders>
              <w:top w:val="nil"/>
              <w:left w:val="nil"/>
              <w:bottom w:val="nil"/>
              <w:right w:val="nil"/>
            </w:tcBorders>
            <w:noWrap/>
            <w:vAlign w:val="bottom"/>
            <w:hideMark/>
          </w:tcPr>
          <w:p w14:paraId="1375A269" w14:textId="7CA660CB" w:rsidR="00C238BA" w:rsidRPr="001F3737" w:rsidRDefault="00CC1953" w:rsidP="001F3737">
            <w:pPr>
              <w:tabs>
                <w:tab w:val="decimal" w:pos="586"/>
              </w:tabs>
              <w:spacing w:line="360" w:lineRule="auto"/>
              <w:jc w:val="both"/>
              <w:rPr>
                <w:rFonts w:ascii="Book Antiqua" w:hAnsi="Book Antiqua"/>
              </w:rPr>
            </w:pPr>
            <w:r>
              <w:rPr>
                <w:rFonts w:ascii="Book Antiqua" w:hAnsi="Book Antiqua"/>
              </w:rPr>
              <w:t>143 (19.9</w:t>
            </w:r>
            <w:r w:rsidR="00C238BA" w:rsidRPr="001F3737">
              <w:rPr>
                <w:rFonts w:ascii="Book Antiqua" w:hAnsi="Book Antiqua"/>
              </w:rPr>
              <w:t>)</w:t>
            </w:r>
          </w:p>
        </w:tc>
        <w:tc>
          <w:tcPr>
            <w:tcW w:w="348" w:type="pct"/>
            <w:tcBorders>
              <w:top w:val="nil"/>
              <w:left w:val="nil"/>
              <w:bottom w:val="nil"/>
              <w:right w:val="nil"/>
            </w:tcBorders>
            <w:noWrap/>
            <w:vAlign w:val="bottom"/>
            <w:hideMark/>
          </w:tcPr>
          <w:p w14:paraId="22E43F35" w14:textId="77777777" w:rsidR="00C238BA" w:rsidRPr="001F3737" w:rsidRDefault="00C238BA" w:rsidP="001F3737">
            <w:pPr>
              <w:spacing w:line="360" w:lineRule="auto"/>
              <w:jc w:val="both"/>
              <w:rPr>
                <w:rFonts w:ascii="Book Antiqua" w:hAnsi="Book Antiqua"/>
              </w:rPr>
            </w:pPr>
          </w:p>
        </w:tc>
      </w:tr>
      <w:tr w:rsidR="00C238BA" w:rsidRPr="001F3737" w14:paraId="5B6FEC23" w14:textId="77777777" w:rsidTr="00C238BA">
        <w:trPr>
          <w:cantSplit/>
        </w:trPr>
        <w:tc>
          <w:tcPr>
            <w:tcW w:w="1373" w:type="pct"/>
            <w:tcBorders>
              <w:top w:val="nil"/>
              <w:left w:val="nil"/>
              <w:bottom w:val="nil"/>
              <w:right w:val="nil"/>
            </w:tcBorders>
            <w:noWrap/>
            <w:vAlign w:val="bottom"/>
            <w:hideMark/>
          </w:tcPr>
          <w:p w14:paraId="6DD23EE9"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55 to 64</w:t>
            </w:r>
          </w:p>
        </w:tc>
        <w:tc>
          <w:tcPr>
            <w:tcW w:w="819" w:type="pct"/>
            <w:tcBorders>
              <w:top w:val="nil"/>
              <w:left w:val="nil"/>
              <w:bottom w:val="nil"/>
              <w:right w:val="nil"/>
            </w:tcBorders>
            <w:noWrap/>
            <w:vAlign w:val="bottom"/>
            <w:hideMark/>
          </w:tcPr>
          <w:p w14:paraId="35C45786" w14:textId="6589E3B6" w:rsidR="00C238BA" w:rsidRPr="001F3737" w:rsidRDefault="00CC1953" w:rsidP="001F3737">
            <w:pPr>
              <w:tabs>
                <w:tab w:val="decimal" w:pos="618"/>
              </w:tabs>
              <w:spacing w:line="360" w:lineRule="auto"/>
              <w:jc w:val="both"/>
              <w:rPr>
                <w:rFonts w:ascii="Book Antiqua" w:hAnsi="Book Antiqua"/>
              </w:rPr>
            </w:pPr>
            <w:r>
              <w:rPr>
                <w:rFonts w:ascii="Book Antiqua" w:hAnsi="Book Antiqua"/>
              </w:rPr>
              <w:t>44 (28.9</w:t>
            </w:r>
            <w:r w:rsidR="00C238BA" w:rsidRPr="001F3737">
              <w:rPr>
                <w:rFonts w:ascii="Book Antiqua" w:hAnsi="Book Antiqua"/>
              </w:rPr>
              <w:t>)</w:t>
            </w:r>
          </w:p>
        </w:tc>
        <w:tc>
          <w:tcPr>
            <w:tcW w:w="820" w:type="pct"/>
            <w:tcBorders>
              <w:top w:val="nil"/>
              <w:left w:val="nil"/>
              <w:bottom w:val="nil"/>
              <w:right w:val="nil"/>
            </w:tcBorders>
            <w:noWrap/>
            <w:vAlign w:val="bottom"/>
            <w:hideMark/>
          </w:tcPr>
          <w:p w14:paraId="485E724A" w14:textId="0B29DFF2" w:rsidR="00C238BA" w:rsidRPr="001F3737" w:rsidRDefault="00CC1953" w:rsidP="001F3737">
            <w:pPr>
              <w:tabs>
                <w:tab w:val="decimal" w:pos="724"/>
              </w:tabs>
              <w:spacing w:line="360" w:lineRule="auto"/>
              <w:jc w:val="both"/>
              <w:rPr>
                <w:rFonts w:ascii="Book Antiqua" w:hAnsi="Book Antiqua"/>
              </w:rPr>
            </w:pPr>
            <w:r>
              <w:rPr>
                <w:rFonts w:ascii="Book Antiqua" w:hAnsi="Book Antiqua"/>
              </w:rPr>
              <w:t>914 (30.5</w:t>
            </w:r>
            <w:r w:rsidR="00C238BA" w:rsidRPr="001F3737">
              <w:rPr>
                <w:rFonts w:ascii="Book Antiqua" w:hAnsi="Book Antiqua"/>
              </w:rPr>
              <w:t>)</w:t>
            </w:r>
          </w:p>
        </w:tc>
        <w:tc>
          <w:tcPr>
            <w:tcW w:w="342" w:type="pct"/>
            <w:tcBorders>
              <w:top w:val="nil"/>
              <w:left w:val="nil"/>
              <w:bottom w:val="nil"/>
              <w:right w:val="nil"/>
            </w:tcBorders>
            <w:noWrap/>
            <w:vAlign w:val="bottom"/>
            <w:hideMark/>
          </w:tcPr>
          <w:p w14:paraId="6A536D14"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1D8C7D32" w14:textId="08705362" w:rsidR="00C238BA" w:rsidRPr="001F3737" w:rsidRDefault="00CC1953" w:rsidP="001F3737">
            <w:pPr>
              <w:tabs>
                <w:tab w:val="decimal" w:pos="661"/>
              </w:tabs>
              <w:spacing w:line="360" w:lineRule="auto"/>
              <w:jc w:val="both"/>
              <w:rPr>
                <w:rFonts w:ascii="Book Antiqua" w:hAnsi="Book Antiqua"/>
              </w:rPr>
            </w:pPr>
            <w:r>
              <w:rPr>
                <w:rFonts w:ascii="Book Antiqua" w:hAnsi="Book Antiqua"/>
              </w:rPr>
              <w:t>44 (30.6</w:t>
            </w:r>
            <w:r w:rsidR="00C238BA" w:rsidRPr="001F3737">
              <w:rPr>
                <w:rFonts w:ascii="Book Antiqua" w:hAnsi="Book Antiqua"/>
              </w:rPr>
              <w:t>)</w:t>
            </w:r>
          </w:p>
        </w:tc>
        <w:tc>
          <w:tcPr>
            <w:tcW w:w="581" w:type="pct"/>
            <w:tcBorders>
              <w:top w:val="nil"/>
              <w:left w:val="nil"/>
              <w:bottom w:val="nil"/>
              <w:right w:val="nil"/>
            </w:tcBorders>
            <w:noWrap/>
            <w:vAlign w:val="bottom"/>
            <w:hideMark/>
          </w:tcPr>
          <w:p w14:paraId="31ABB457" w14:textId="3D9FCEF1" w:rsidR="00C238BA" w:rsidRPr="001F3737" w:rsidRDefault="00CC1953" w:rsidP="001F3737">
            <w:pPr>
              <w:tabs>
                <w:tab w:val="decimal" w:pos="586"/>
              </w:tabs>
              <w:spacing w:line="360" w:lineRule="auto"/>
              <w:jc w:val="both"/>
              <w:rPr>
                <w:rFonts w:ascii="Book Antiqua" w:hAnsi="Book Antiqua"/>
              </w:rPr>
            </w:pPr>
            <w:r>
              <w:rPr>
                <w:rFonts w:ascii="Book Antiqua" w:hAnsi="Book Antiqua"/>
              </w:rPr>
              <w:t>198 (27.5</w:t>
            </w:r>
            <w:r w:rsidR="00C238BA" w:rsidRPr="001F3737">
              <w:rPr>
                <w:rFonts w:ascii="Book Antiqua" w:hAnsi="Book Antiqua"/>
              </w:rPr>
              <w:t>)</w:t>
            </w:r>
          </w:p>
        </w:tc>
        <w:tc>
          <w:tcPr>
            <w:tcW w:w="348" w:type="pct"/>
            <w:tcBorders>
              <w:top w:val="nil"/>
              <w:left w:val="nil"/>
              <w:bottom w:val="nil"/>
              <w:right w:val="nil"/>
            </w:tcBorders>
            <w:noWrap/>
            <w:vAlign w:val="bottom"/>
            <w:hideMark/>
          </w:tcPr>
          <w:p w14:paraId="23324AE5" w14:textId="77777777" w:rsidR="00C238BA" w:rsidRPr="001F3737" w:rsidRDefault="00C238BA" w:rsidP="001F3737">
            <w:pPr>
              <w:spacing w:line="360" w:lineRule="auto"/>
              <w:jc w:val="both"/>
              <w:rPr>
                <w:rFonts w:ascii="Book Antiqua" w:hAnsi="Book Antiqua"/>
              </w:rPr>
            </w:pPr>
          </w:p>
        </w:tc>
      </w:tr>
      <w:tr w:rsidR="00C238BA" w:rsidRPr="001F3737" w14:paraId="43C82B06" w14:textId="77777777" w:rsidTr="00C238BA">
        <w:trPr>
          <w:cantSplit/>
        </w:trPr>
        <w:tc>
          <w:tcPr>
            <w:tcW w:w="1373" w:type="pct"/>
            <w:tcBorders>
              <w:top w:val="nil"/>
              <w:left w:val="nil"/>
              <w:bottom w:val="nil"/>
              <w:right w:val="nil"/>
            </w:tcBorders>
            <w:noWrap/>
            <w:vAlign w:val="bottom"/>
            <w:hideMark/>
          </w:tcPr>
          <w:p w14:paraId="6FC2D659"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65 to 74</w:t>
            </w:r>
          </w:p>
        </w:tc>
        <w:tc>
          <w:tcPr>
            <w:tcW w:w="819" w:type="pct"/>
            <w:tcBorders>
              <w:top w:val="nil"/>
              <w:left w:val="nil"/>
              <w:bottom w:val="nil"/>
              <w:right w:val="nil"/>
            </w:tcBorders>
            <w:noWrap/>
            <w:vAlign w:val="bottom"/>
            <w:hideMark/>
          </w:tcPr>
          <w:p w14:paraId="20A61A28" w14:textId="52191114" w:rsidR="00C238BA" w:rsidRPr="001F3737" w:rsidRDefault="00CC1953" w:rsidP="001F3737">
            <w:pPr>
              <w:tabs>
                <w:tab w:val="decimal" w:pos="618"/>
              </w:tabs>
              <w:spacing w:line="360" w:lineRule="auto"/>
              <w:jc w:val="both"/>
              <w:rPr>
                <w:rFonts w:ascii="Book Antiqua" w:hAnsi="Book Antiqua"/>
              </w:rPr>
            </w:pPr>
            <w:r>
              <w:rPr>
                <w:rFonts w:ascii="Book Antiqua" w:hAnsi="Book Antiqua"/>
              </w:rPr>
              <w:t>46 (30.3</w:t>
            </w:r>
            <w:r w:rsidR="00C238BA" w:rsidRPr="001F3737">
              <w:rPr>
                <w:rFonts w:ascii="Book Antiqua" w:hAnsi="Book Antiqua"/>
              </w:rPr>
              <w:t>)</w:t>
            </w:r>
          </w:p>
        </w:tc>
        <w:tc>
          <w:tcPr>
            <w:tcW w:w="820" w:type="pct"/>
            <w:tcBorders>
              <w:top w:val="nil"/>
              <w:left w:val="nil"/>
              <w:bottom w:val="nil"/>
              <w:right w:val="nil"/>
            </w:tcBorders>
            <w:noWrap/>
            <w:vAlign w:val="bottom"/>
            <w:hideMark/>
          </w:tcPr>
          <w:p w14:paraId="1F4633E5" w14:textId="29998837" w:rsidR="00C238BA" w:rsidRPr="001F3737" w:rsidRDefault="00CC1953" w:rsidP="001F3737">
            <w:pPr>
              <w:tabs>
                <w:tab w:val="decimal" w:pos="724"/>
              </w:tabs>
              <w:spacing w:line="360" w:lineRule="auto"/>
              <w:jc w:val="both"/>
              <w:rPr>
                <w:rFonts w:ascii="Book Antiqua" w:hAnsi="Book Antiqua"/>
              </w:rPr>
            </w:pPr>
            <w:r>
              <w:rPr>
                <w:rFonts w:ascii="Book Antiqua" w:hAnsi="Book Antiqua"/>
              </w:rPr>
              <w:t>862 (28.8</w:t>
            </w:r>
            <w:r w:rsidR="00C238BA" w:rsidRPr="001F3737">
              <w:rPr>
                <w:rFonts w:ascii="Book Antiqua" w:hAnsi="Book Antiqua"/>
              </w:rPr>
              <w:t>)</w:t>
            </w:r>
          </w:p>
        </w:tc>
        <w:tc>
          <w:tcPr>
            <w:tcW w:w="342" w:type="pct"/>
            <w:tcBorders>
              <w:top w:val="nil"/>
              <w:left w:val="nil"/>
              <w:bottom w:val="nil"/>
              <w:right w:val="nil"/>
            </w:tcBorders>
            <w:noWrap/>
            <w:vAlign w:val="bottom"/>
            <w:hideMark/>
          </w:tcPr>
          <w:p w14:paraId="634196FB"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6649FD43" w14:textId="7D2A8114" w:rsidR="00C238BA" w:rsidRPr="001F3737" w:rsidRDefault="00CC1953" w:rsidP="001F3737">
            <w:pPr>
              <w:tabs>
                <w:tab w:val="decimal" w:pos="661"/>
              </w:tabs>
              <w:spacing w:line="360" w:lineRule="auto"/>
              <w:jc w:val="both"/>
              <w:rPr>
                <w:rFonts w:ascii="Book Antiqua" w:hAnsi="Book Antiqua"/>
              </w:rPr>
            </w:pPr>
            <w:r>
              <w:rPr>
                <w:rFonts w:ascii="Book Antiqua" w:hAnsi="Book Antiqua"/>
              </w:rPr>
              <w:t>41 (28.5</w:t>
            </w:r>
            <w:r w:rsidR="00C238BA" w:rsidRPr="001F3737">
              <w:rPr>
                <w:rFonts w:ascii="Book Antiqua" w:hAnsi="Book Antiqua"/>
              </w:rPr>
              <w:t>)</w:t>
            </w:r>
          </w:p>
        </w:tc>
        <w:tc>
          <w:tcPr>
            <w:tcW w:w="581" w:type="pct"/>
            <w:tcBorders>
              <w:top w:val="nil"/>
              <w:left w:val="nil"/>
              <w:bottom w:val="nil"/>
              <w:right w:val="nil"/>
            </w:tcBorders>
            <w:noWrap/>
            <w:vAlign w:val="bottom"/>
            <w:hideMark/>
          </w:tcPr>
          <w:p w14:paraId="3F85EAA0" w14:textId="4E77BA03" w:rsidR="00C238BA" w:rsidRPr="001F3737" w:rsidRDefault="00CC1953" w:rsidP="001F3737">
            <w:pPr>
              <w:tabs>
                <w:tab w:val="decimal" w:pos="586"/>
              </w:tabs>
              <w:spacing w:line="360" w:lineRule="auto"/>
              <w:jc w:val="both"/>
              <w:rPr>
                <w:rFonts w:ascii="Book Antiqua" w:hAnsi="Book Antiqua"/>
              </w:rPr>
            </w:pPr>
            <w:r>
              <w:rPr>
                <w:rFonts w:ascii="Book Antiqua" w:hAnsi="Book Antiqua"/>
              </w:rPr>
              <w:t>220 (30.6</w:t>
            </w:r>
            <w:r w:rsidR="00C238BA" w:rsidRPr="001F3737">
              <w:rPr>
                <w:rFonts w:ascii="Book Antiqua" w:hAnsi="Book Antiqua"/>
              </w:rPr>
              <w:t>)</w:t>
            </w:r>
          </w:p>
        </w:tc>
        <w:tc>
          <w:tcPr>
            <w:tcW w:w="348" w:type="pct"/>
            <w:tcBorders>
              <w:top w:val="nil"/>
              <w:left w:val="nil"/>
              <w:bottom w:val="nil"/>
              <w:right w:val="nil"/>
            </w:tcBorders>
            <w:noWrap/>
            <w:vAlign w:val="bottom"/>
            <w:hideMark/>
          </w:tcPr>
          <w:p w14:paraId="0F86DC90" w14:textId="77777777" w:rsidR="00C238BA" w:rsidRPr="001F3737" w:rsidRDefault="00C238BA" w:rsidP="001F3737">
            <w:pPr>
              <w:spacing w:line="360" w:lineRule="auto"/>
              <w:jc w:val="both"/>
              <w:rPr>
                <w:rFonts w:ascii="Book Antiqua" w:hAnsi="Book Antiqua"/>
              </w:rPr>
            </w:pPr>
          </w:p>
        </w:tc>
      </w:tr>
      <w:tr w:rsidR="00C238BA" w:rsidRPr="001F3737" w14:paraId="4F6AC01E" w14:textId="77777777" w:rsidTr="00C238BA">
        <w:trPr>
          <w:cantSplit/>
        </w:trPr>
        <w:tc>
          <w:tcPr>
            <w:tcW w:w="1373" w:type="pct"/>
            <w:tcBorders>
              <w:top w:val="nil"/>
              <w:left w:val="nil"/>
              <w:bottom w:val="nil"/>
              <w:right w:val="nil"/>
            </w:tcBorders>
            <w:noWrap/>
            <w:vAlign w:val="bottom"/>
            <w:hideMark/>
          </w:tcPr>
          <w:p w14:paraId="71274D2F"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75 Plus</w:t>
            </w:r>
          </w:p>
        </w:tc>
        <w:tc>
          <w:tcPr>
            <w:tcW w:w="819" w:type="pct"/>
            <w:tcBorders>
              <w:top w:val="nil"/>
              <w:left w:val="nil"/>
              <w:bottom w:val="nil"/>
              <w:right w:val="nil"/>
            </w:tcBorders>
            <w:noWrap/>
            <w:vAlign w:val="bottom"/>
            <w:hideMark/>
          </w:tcPr>
          <w:p w14:paraId="0BC8F345" w14:textId="708EC81E" w:rsidR="00C238BA" w:rsidRPr="001F3737" w:rsidRDefault="00CC1953" w:rsidP="001F3737">
            <w:pPr>
              <w:tabs>
                <w:tab w:val="decimal" w:pos="618"/>
              </w:tabs>
              <w:spacing w:line="360" w:lineRule="auto"/>
              <w:jc w:val="both"/>
              <w:rPr>
                <w:rFonts w:ascii="Book Antiqua" w:hAnsi="Book Antiqua"/>
              </w:rPr>
            </w:pPr>
            <w:r>
              <w:rPr>
                <w:rFonts w:ascii="Book Antiqua" w:hAnsi="Book Antiqua"/>
              </w:rPr>
              <w:t>23 (15.1</w:t>
            </w:r>
            <w:r w:rsidR="00C238BA" w:rsidRPr="001F3737">
              <w:rPr>
                <w:rFonts w:ascii="Book Antiqua" w:hAnsi="Book Antiqua"/>
              </w:rPr>
              <w:t>)</w:t>
            </w:r>
          </w:p>
        </w:tc>
        <w:tc>
          <w:tcPr>
            <w:tcW w:w="820" w:type="pct"/>
            <w:tcBorders>
              <w:top w:val="nil"/>
              <w:left w:val="nil"/>
              <w:bottom w:val="nil"/>
              <w:right w:val="nil"/>
            </w:tcBorders>
            <w:noWrap/>
            <w:vAlign w:val="bottom"/>
            <w:hideMark/>
          </w:tcPr>
          <w:p w14:paraId="372966D3" w14:textId="16BAAD47" w:rsidR="00C238BA" w:rsidRPr="001F3737" w:rsidRDefault="00CC1953" w:rsidP="001F3737">
            <w:pPr>
              <w:tabs>
                <w:tab w:val="decimal" w:pos="724"/>
              </w:tabs>
              <w:spacing w:line="360" w:lineRule="auto"/>
              <w:jc w:val="both"/>
              <w:rPr>
                <w:rFonts w:ascii="Book Antiqua" w:hAnsi="Book Antiqua"/>
              </w:rPr>
            </w:pPr>
            <w:r>
              <w:rPr>
                <w:rFonts w:ascii="Book Antiqua" w:hAnsi="Book Antiqua"/>
              </w:rPr>
              <w:t>419 (14.0</w:t>
            </w:r>
            <w:r w:rsidR="00C238BA" w:rsidRPr="001F3737">
              <w:rPr>
                <w:rFonts w:ascii="Book Antiqua" w:hAnsi="Book Antiqua"/>
              </w:rPr>
              <w:t>)</w:t>
            </w:r>
          </w:p>
        </w:tc>
        <w:tc>
          <w:tcPr>
            <w:tcW w:w="342" w:type="pct"/>
            <w:tcBorders>
              <w:top w:val="nil"/>
              <w:left w:val="nil"/>
              <w:bottom w:val="nil"/>
              <w:right w:val="nil"/>
            </w:tcBorders>
            <w:noWrap/>
            <w:vAlign w:val="bottom"/>
            <w:hideMark/>
          </w:tcPr>
          <w:p w14:paraId="4A5A6E70"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0A4BAAF6" w14:textId="33FD9504" w:rsidR="00C238BA" w:rsidRPr="001F3737" w:rsidRDefault="00CC1953" w:rsidP="001F3737">
            <w:pPr>
              <w:tabs>
                <w:tab w:val="decimal" w:pos="661"/>
              </w:tabs>
              <w:spacing w:line="360" w:lineRule="auto"/>
              <w:jc w:val="both"/>
              <w:rPr>
                <w:rFonts w:ascii="Book Antiqua" w:hAnsi="Book Antiqua"/>
              </w:rPr>
            </w:pPr>
            <w:r>
              <w:rPr>
                <w:rFonts w:ascii="Book Antiqua" w:hAnsi="Book Antiqua"/>
              </w:rPr>
              <w:t>21 (14.6</w:t>
            </w:r>
            <w:r w:rsidR="00C238BA" w:rsidRPr="001F3737">
              <w:rPr>
                <w:rFonts w:ascii="Book Antiqua" w:hAnsi="Book Antiqua"/>
              </w:rPr>
              <w:t>)</w:t>
            </w:r>
          </w:p>
        </w:tc>
        <w:tc>
          <w:tcPr>
            <w:tcW w:w="581" w:type="pct"/>
            <w:tcBorders>
              <w:top w:val="nil"/>
              <w:left w:val="nil"/>
              <w:bottom w:val="nil"/>
              <w:right w:val="nil"/>
            </w:tcBorders>
            <w:noWrap/>
            <w:vAlign w:val="bottom"/>
            <w:hideMark/>
          </w:tcPr>
          <w:p w14:paraId="13EA64E7" w14:textId="2D5B50C0" w:rsidR="00C238BA" w:rsidRPr="001F3737" w:rsidRDefault="00CC1953" w:rsidP="001F3737">
            <w:pPr>
              <w:tabs>
                <w:tab w:val="decimal" w:pos="586"/>
              </w:tabs>
              <w:spacing w:line="360" w:lineRule="auto"/>
              <w:jc w:val="both"/>
              <w:rPr>
                <w:rFonts w:ascii="Book Antiqua" w:hAnsi="Book Antiqua"/>
              </w:rPr>
            </w:pPr>
            <w:r>
              <w:rPr>
                <w:rFonts w:ascii="Book Antiqua" w:hAnsi="Book Antiqua"/>
              </w:rPr>
              <w:t>110 (15.3</w:t>
            </w:r>
            <w:r w:rsidR="00C238BA" w:rsidRPr="001F3737">
              <w:rPr>
                <w:rFonts w:ascii="Book Antiqua" w:hAnsi="Book Antiqua"/>
              </w:rPr>
              <w:t>)</w:t>
            </w:r>
          </w:p>
        </w:tc>
        <w:tc>
          <w:tcPr>
            <w:tcW w:w="348" w:type="pct"/>
            <w:tcBorders>
              <w:top w:val="nil"/>
              <w:left w:val="nil"/>
              <w:bottom w:val="nil"/>
              <w:right w:val="nil"/>
            </w:tcBorders>
            <w:noWrap/>
            <w:vAlign w:val="bottom"/>
            <w:hideMark/>
          </w:tcPr>
          <w:p w14:paraId="222DBAFA" w14:textId="77777777" w:rsidR="00C238BA" w:rsidRPr="001F3737" w:rsidRDefault="00C238BA" w:rsidP="001F3737">
            <w:pPr>
              <w:spacing w:line="360" w:lineRule="auto"/>
              <w:jc w:val="both"/>
              <w:rPr>
                <w:rFonts w:ascii="Book Antiqua" w:hAnsi="Book Antiqua"/>
              </w:rPr>
            </w:pPr>
          </w:p>
        </w:tc>
      </w:tr>
      <w:tr w:rsidR="00C238BA" w:rsidRPr="001F3737" w14:paraId="7A9CCF39" w14:textId="77777777" w:rsidTr="00C238BA">
        <w:trPr>
          <w:cantSplit/>
        </w:trPr>
        <w:tc>
          <w:tcPr>
            <w:tcW w:w="1373" w:type="pct"/>
            <w:tcBorders>
              <w:top w:val="nil"/>
              <w:left w:val="nil"/>
              <w:bottom w:val="nil"/>
              <w:right w:val="nil"/>
            </w:tcBorders>
            <w:noWrap/>
            <w:vAlign w:val="bottom"/>
            <w:hideMark/>
          </w:tcPr>
          <w:p w14:paraId="4D591AAF" w14:textId="16B89AC7" w:rsidR="00C238BA" w:rsidRPr="00AB3FCF" w:rsidRDefault="00C238BA" w:rsidP="00AB3FCF">
            <w:pPr>
              <w:spacing w:line="360" w:lineRule="auto"/>
              <w:jc w:val="both"/>
              <w:rPr>
                <w:rFonts w:ascii="Book Antiqua" w:eastAsia="宋体" w:hAnsi="Book Antiqua"/>
                <w:lang w:eastAsia="zh-CN"/>
              </w:rPr>
            </w:pPr>
            <w:r w:rsidRPr="001F3737">
              <w:rPr>
                <w:rFonts w:ascii="Book Antiqua" w:hAnsi="Book Antiqua"/>
              </w:rPr>
              <w:t>Race</w:t>
            </w:r>
          </w:p>
        </w:tc>
        <w:tc>
          <w:tcPr>
            <w:tcW w:w="819" w:type="pct"/>
            <w:tcBorders>
              <w:top w:val="nil"/>
              <w:left w:val="nil"/>
              <w:bottom w:val="nil"/>
              <w:right w:val="nil"/>
            </w:tcBorders>
            <w:noWrap/>
            <w:vAlign w:val="bottom"/>
            <w:hideMark/>
          </w:tcPr>
          <w:p w14:paraId="6E6198F8" w14:textId="77777777" w:rsidR="00C238BA" w:rsidRPr="001F3737" w:rsidRDefault="00C238BA" w:rsidP="001F3737">
            <w:pPr>
              <w:tabs>
                <w:tab w:val="decimal" w:pos="618"/>
              </w:tabs>
              <w:spacing w:line="360" w:lineRule="auto"/>
              <w:jc w:val="both"/>
              <w:rPr>
                <w:rFonts w:ascii="Book Antiqua" w:hAnsi="Book Antiqua"/>
              </w:rPr>
            </w:pPr>
          </w:p>
        </w:tc>
        <w:tc>
          <w:tcPr>
            <w:tcW w:w="820" w:type="pct"/>
            <w:tcBorders>
              <w:top w:val="nil"/>
              <w:left w:val="nil"/>
              <w:bottom w:val="nil"/>
              <w:right w:val="nil"/>
            </w:tcBorders>
            <w:noWrap/>
            <w:vAlign w:val="bottom"/>
            <w:hideMark/>
          </w:tcPr>
          <w:p w14:paraId="3136436D" w14:textId="77777777" w:rsidR="00C238BA" w:rsidRPr="001F3737" w:rsidRDefault="00C238BA" w:rsidP="001F3737">
            <w:pPr>
              <w:tabs>
                <w:tab w:val="decimal" w:pos="724"/>
              </w:tabs>
              <w:spacing w:line="360" w:lineRule="auto"/>
              <w:jc w:val="both"/>
              <w:rPr>
                <w:rFonts w:ascii="Book Antiqua" w:hAnsi="Book Antiqua"/>
              </w:rPr>
            </w:pPr>
          </w:p>
        </w:tc>
        <w:tc>
          <w:tcPr>
            <w:tcW w:w="342" w:type="pct"/>
            <w:tcBorders>
              <w:top w:val="nil"/>
              <w:left w:val="nil"/>
              <w:bottom w:val="nil"/>
              <w:right w:val="nil"/>
            </w:tcBorders>
            <w:noWrap/>
            <w:vAlign w:val="bottom"/>
            <w:hideMark/>
          </w:tcPr>
          <w:p w14:paraId="09C584A4" w14:textId="77777777" w:rsidR="00C238BA" w:rsidRPr="001F3737" w:rsidRDefault="00C238BA" w:rsidP="001F3737">
            <w:pPr>
              <w:spacing w:line="360" w:lineRule="auto"/>
              <w:jc w:val="both"/>
              <w:rPr>
                <w:rFonts w:ascii="Book Antiqua" w:hAnsi="Book Antiqua"/>
              </w:rPr>
            </w:pPr>
            <w:r w:rsidRPr="001F3737">
              <w:rPr>
                <w:rFonts w:ascii="Book Antiqua" w:hAnsi="Book Antiqua"/>
              </w:rPr>
              <w:t>0.148</w:t>
            </w:r>
          </w:p>
        </w:tc>
        <w:tc>
          <w:tcPr>
            <w:tcW w:w="717" w:type="pct"/>
            <w:tcBorders>
              <w:top w:val="nil"/>
              <w:left w:val="nil"/>
              <w:bottom w:val="nil"/>
              <w:right w:val="nil"/>
            </w:tcBorders>
            <w:noWrap/>
            <w:vAlign w:val="bottom"/>
            <w:hideMark/>
          </w:tcPr>
          <w:p w14:paraId="797E4B76" w14:textId="77777777" w:rsidR="00C238BA" w:rsidRPr="001F3737" w:rsidRDefault="00C238BA" w:rsidP="001F3737">
            <w:pPr>
              <w:tabs>
                <w:tab w:val="decimal" w:pos="661"/>
              </w:tabs>
              <w:spacing w:line="360" w:lineRule="auto"/>
              <w:jc w:val="both"/>
              <w:rPr>
                <w:rFonts w:ascii="Book Antiqua" w:hAnsi="Book Antiqua"/>
              </w:rPr>
            </w:pPr>
          </w:p>
        </w:tc>
        <w:tc>
          <w:tcPr>
            <w:tcW w:w="581" w:type="pct"/>
            <w:tcBorders>
              <w:top w:val="nil"/>
              <w:left w:val="nil"/>
              <w:bottom w:val="nil"/>
              <w:right w:val="nil"/>
            </w:tcBorders>
            <w:noWrap/>
            <w:vAlign w:val="bottom"/>
            <w:hideMark/>
          </w:tcPr>
          <w:p w14:paraId="7D21DD6F" w14:textId="77777777" w:rsidR="00C238BA" w:rsidRPr="001F3737" w:rsidRDefault="00C238BA" w:rsidP="001F3737">
            <w:pPr>
              <w:tabs>
                <w:tab w:val="decimal" w:pos="586"/>
              </w:tabs>
              <w:spacing w:line="360" w:lineRule="auto"/>
              <w:jc w:val="both"/>
              <w:rPr>
                <w:rFonts w:ascii="Book Antiqua" w:hAnsi="Book Antiqua"/>
              </w:rPr>
            </w:pPr>
          </w:p>
        </w:tc>
        <w:tc>
          <w:tcPr>
            <w:tcW w:w="348" w:type="pct"/>
            <w:tcBorders>
              <w:top w:val="nil"/>
              <w:left w:val="nil"/>
              <w:bottom w:val="nil"/>
              <w:right w:val="nil"/>
            </w:tcBorders>
            <w:noWrap/>
            <w:vAlign w:val="bottom"/>
            <w:hideMark/>
          </w:tcPr>
          <w:p w14:paraId="1738D700" w14:textId="77777777" w:rsidR="00C238BA" w:rsidRPr="001F3737" w:rsidRDefault="00C238BA" w:rsidP="001F3737">
            <w:pPr>
              <w:spacing w:line="360" w:lineRule="auto"/>
              <w:jc w:val="both"/>
              <w:rPr>
                <w:rFonts w:ascii="Book Antiqua" w:hAnsi="Book Antiqua"/>
              </w:rPr>
            </w:pPr>
            <w:r w:rsidRPr="001F3737">
              <w:rPr>
                <w:rFonts w:ascii="Book Antiqua" w:hAnsi="Book Antiqua"/>
              </w:rPr>
              <w:t>0.692</w:t>
            </w:r>
          </w:p>
        </w:tc>
      </w:tr>
      <w:tr w:rsidR="00C238BA" w:rsidRPr="001F3737" w14:paraId="2350CC0A" w14:textId="77777777" w:rsidTr="00C238BA">
        <w:trPr>
          <w:cantSplit/>
        </w:trPr>
        <w:tc>
          <w:tcPr>
            <w:tcW w:w="1373" w:type="pct"/>
            <w:tcBorders>
              <w:top w:val="nil"/>
              <w:left w:val="nil"/>
              <w:bottom w:val="nil"/>
              <w:right w:val="nil"/>
            </w:tcBorders>
            <w:noWrap/>
            <w:vAlign w:val="bottom"/>
            <w:hideMark/>
          </w:tcPr>
          <w:p w14:paraId="6CC6AEB2"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Black</w:t>
            </w:r>
          </w:p>
        </w:tc>
        <w:tc>
          <w:tcPr>
            <w:tcW w:w="819" w:type="pct"/>
            <w:tcBorders>
              <w:top w:val="nil"/>
              <w:left w:val="nil"/>
              <w:bottom w:val="nil"/>
              <w:right w:val="nil"/>
            </w:tcBorders>
            <w:noWrap/>
            <w:vAlign w:val="bottom"/>
            <w:hideMark/>
          </w:tcPr>
          <w:p w14:paraId="1D28DF92" w14:textId="0668977A" w:rsidR="00C238BA" w:rsidRPr="001F3737" w:rsidRDefault="00CC1953" w:rsidP="001F3737">
            <w:pPr>
              <w:tabs>
                <w:tab w:val="decimal" w:pos="618"/>
              </w:tabs>
              <w:spacing w:line="360" w:lineRule="auto"/>
              <w:jc w:val="both"/>
              <w:rPr>
                <w:rFonts w:ascii="Book Antiqua" w:hAnsi="Book Antiqua"/>
              </w:rPr>
            </w:pPr>
            <w:r>
              <w:rPr>
                <w:rFonts w:ascii="Book Antiqua" w:hAnsi="Book Antiqua"/>
              </w:rPr>
              <w:t>18 (11.8</w:t>
            </w:r>
            <w:r w:rsidR="00C238BA" w:rsidRPr="001F3737">
              <w:rPr>
                <w:rFonts w:ascii="Book Antiqua" w:hAnsi="Book Antiqua"/>
              </w:rPr>
              <w:t>)</w:t>
            </w:r>
          </w:p>
        </w:tc>
        <w:tc>
          <w:tcPr>
            <w:tcW w:w="820" w:type="pct"/>
            <w:tcBorders>
              <w:top w:val="nil"/>
              <w:left w:val="nil"/>
              <w:bottom w:val="nil"/>
              <w:right w:val="nil"/>
            </w:tcBorders>
            <w:noWrap/>
            <w:vAlign w:val="bottom"/>
            <w:hideMark/>
          </w:tcPr>
          <w:p w14:paraId="4415B616" w14:textId="041A18C8" w:rsidR="00C238BA" w:rsidRPr="001F3737" w:rsidRDefault="00CC1953" w:rsidP="001F3737">
            <w:pPr>
              <w:tabs>
                <w:tab w:val="decimal" w:pos="724"/>
              </w:tabs>
              <w:spacing w:line="360" w:lineRule="auto"/>
              <w:jc w:val="both"/>
              <w:rPr>
                <w:rFonts w:ascii="Book Antiqua" w:hAnsi="Book Antiqua"/>
              </w:rPr>
            </w:pPr>
            <w:r>
              <w:rPr>
                <w:rFonts w:ascii="Book Antiqua" w:hAnsi="Book Antiqua"/>
              </w:rPr>
              <w:t>368 (12.3</w:t>
            </w:r>
            <w:r w:rsidR="00C238BA" w:rsidRPr="001F3737">
              <w:rPr>
                <w:rFonts w:ascii="Book Antiqua" w:hAnsi="Book Antiqua"/>
              </w:rPr>
              <w:t>)</w:t>
            </w:r>
          </w:p>
        </w:tc>
        <w:tc>
          <w:tcPr>
            <w:tcW w:w="342" w:type="pct"/>
            <w:tcBorders>
              <w:top w:val="nil"/>
              <w:left w:val="nil"/>
              <w:bottom w:val="nil"/>
              <w:right w:val="nil"/>
            </w:tcBorders>
            <w:noWrap/>
            <w:vAlign w:val="bottom"/>
            <w:hideMark/>
          </w:tcPr>
          <w:p w14:paraId="0FF73FDD"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1B59BAE8" w14:textId="2310A872" w:rsidR="00C238BA" w:rsidRPr="001F3737" w:rsidRDefault="00CC1953" w:rsidP="001F3737">
            <w:pPr>
              <w:tabs>
                <w:tab w:val="decimal" w:pos="661"/>
              </w:tabs>
              <w:spacing w:line="360" w:lineRule="auto"/>
              <w:jc w:val="both"/>
              <w:rPr>
                <w:rFonts w:ascii="Book Antiqua" w:hAnsi="Book Antiqua"/>
              </w:rPr>
            </w:pPr>
            <w:r>
              <w:rPr>
                <w:rFonts w:ascii="Book Antiqua" w:hAnsi="Book Antiqua"/>
              </w:rPr>
              <w:t>18 (12.5</w:t>
            </w:r>
            <w:r w:rsidR="00C238BA" w:rsidRPr="001F3737">
              <w:rPr>
                <w:rFonts w:ascii="Book Antiqua" w:hAnsi="Book Antiqua"/>
              </w:rPr>
              <w:t>)</w:t>
            </w:r>
          </w:p>
        </w:tc>
        <w:tc>
          <w:tcPr>
            <w:tcW w:w="581" w:type="pct"/>
            <w:tcBorders>
              <w:top w:val="nil"/>
              <w:left w:val="nil"/>
              <w:bottom w:val="nil"/>
              <w:right w:val="nil"/>
            </w:tcBorders>
            <w:noWrap/>
            <w:vAlign w:val="bottom"/>
            <w:hideMark/>
          </w:tcPr>
          <w:p w14:paraId="5C6423E8" w14:textId="58991F56" w:rsidR="00C238BA" w:rsidRPr="001F3737" w:rsidRDefault="00CC1953" w:rsidP="001F3737">
            <w:pPr>
              <w:tabs>
                <w:tab w:val="decimal" w:pos="586"/>
              </w:tabs>
              <w:spacing w:line="360" w:lineRule="auto"/>
              <w:jc w:val="both"/>
              <w:rPr>
                <w:rFonts w:ascii="Book Antiqua" w:hAnsi="Book Antiqua"/>
              </w:rPr>
            </w:pPr>
            <w:r>
              <w:rPr>
                <w:rFonts w:ascii="Book Antiqua" w:hAnsi="Book Antiqua"/>
              </w:rPr>
              <w:t>87 (12.1</w:t>
            </w:r>
            <w:r w:rsidR="00C238BA" w:rsidRPr="001F3737">
              <w:rPr>
                <w:rFonts w:ascii="Book Antiqua" w:hAnsi="Book Antiqua"/>
              </w:rPr>
              <w:t>)</w:t>
            </w:r>
          </w:p>
        </w:tc>
        <w:tc>
          <w:tcPr>
            <w:tcW w:w="348" w:type="pct"/>
            <w:tcBorders>
              <w:top w:val="nil"/>
              <w:left w:val="nil"/>
              <w:bottom w:val="nil"/>
              <w:right w:val="nil"/>
            </w:tcBorders>
            <w:noWrap/>
            <w:vAlign w:val="bottom"/>
            <w:hideMark/>
          </w:tcPr>
          <w:p w14:paraId="08C25C04" w14:textId="77777777" w:rsidR="00C238BA" w:rsidRPr="001F3737" w:rsidRDefault="00C238BA" w:rsidP="001F3737">
            <w:pPr>
              <w:spacing w:line="360" w:lineRule="auto"/>
              <w:jc w:val="both"/>
              <w:rPr>
                <w:rFonts w:ascii="Book Antiqua" w:hAnsi="Book Antiqua"/>
              </w:rPr>
            </w:pPr>
          </w:p>
        </w:tc>
      </w:tr>
      <w:tr w:rsidR="00C238BA" w:rsidRPr="001F3737" w14:paraId="15FDD2D9" w14:textId="77777777" w:rsidTr="00C238BA">
        <w:trPr>
          <w:cantSplit/>
        </w:trPr>
        <w:tc>
          <w:tcPr>
            <w:tcW w:w="1373" w:type="pct"/>
            <w:tcBorders>
              <w:top w:val="nil"/>
              <w:left w:val="nil"/>
              <w:bottom w:val="nil"/>
              <w:right w:val="nil"/>
            </w:tcBorders>
            <w:noWrap/>
            <w:vAlign w:val="bottom"/>
            <w:hideMark/>
          </w:tcPr>
          <w:p w14:paraId="6DB05327"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Caucasian</w:t>
            </w:r>
          </w:p>
        </w:tc>
        <w:tc>
          <w:tcPr>
            <w:tcW w:w="819" w:type="pct"/>
            <w:tcBorders>
              <w:top w:val="nil"/>
              <w:left w:val="nil"/>
              <w:bottom w:val="nil"/>
              <w:right w:val="nil"/>
            </w:tcBorders>
            <w:noWrap/>
            <w:vAlign w:val="bottom"/>
            <w:hideMark/>
          </w:tcPr>
          <w:p w14:paraId="2072EFDD" w14:textId="79BDA575" w:rsidR="00C238BA" w:rsidRPr="001F3737" w:rsidRDefault="00CC1953" w:rsidP="001F3737">
            <w:pPr>
              <w:tabs>
                <w:tab w:val="decimal" w:pos="618"/>
              </w:tabs>
              <w:spacing w:line="360" w:lineRule="auto"/>
              <w:jc w:val="both"/>
              <w:rPr>
                <w:rFonts w:ascii="Book Antiqua" w:hAnsi="Book Antiqua"/>
              </w:rPr>
            </w:pPr>
            <w:r>
              <w:rPr>
                <w:rFonts w:ascii="Book Antiqua" w:hAnsi="Book Antiqua"/>
              </w:rPr>
              <w:t>83 (54.6</w:t>
            </w:r>
            <w:r w:rsidR="00C238BA" w:rsidRPr="001F3737">
              <w:rPr>
                <w:rFonts w:ascii="Book Antiqua" w:hAnsi="Book Antiqua"/>
              </w:rPr>
              <w:t>)</w:t>
            </w:r>
          </w:p>
        </w:tc>
        <w:tc>
          <w:tcPr>
            <w:tcW w:w="820" w:type="pct"/>
            <w:tcBorders>
              <w:top w:val="nil"/>
              <w:left w:val="nil"/>
              <w:bottom w:val="nil"/>
              <w:right w:val="nil"/>
            </w:tcBorders>
            <w:noWrap/>
            <w:vAlign w:val="bottom"/>
            <w:hideMark/>
          </w:tcPr>
          <w:p w14:paraId="7468ABF3" w14:textId="3451F263" w:rsidR="00C238BA" w:rsidRPr="001F3737" w:rsidRDefault="00CC1953" w:rsidP="001F3737">
            <w:pPr>
              <w:tabs>
                <w:tab w:val="decimal" w:pos="724"/>
              </w:tabs>
              <w:spacing w:line="360" w:lineRule="auto"/>
              <w:jc w:val="both"/>
              <w:rPr>
                <w:rFonts w:ascii="Book Antiqua" w:hAnsi="Book Antiqua"/>
              </w:rPr>
            </w:pPr>
            <w:r>
              <w:rPr>
                <w:rFonts w:ascii="Book Antiqua" w:hAnsi="Book Antiqua"/>
              </w:rPr>
              <w:t>1788 (59.7</w:t>
            </w:r>
            <w:r w:rsidR="00C238BA" w:rsidRPr="001F3737">
              <w:rPr>
                <w:rFonts w:ascii="Book Antiqua" w:hAnsi="Book Antiqua"/>
              </w:rPr>
              <w:t>)</w:t>
            </w:r>
          </w:p>
        </w:tc>
        <w:tc>
          <w:tcPr>
            <w:tcW w:w="342" w:type="pct"/>
            <w:tcBorders>
              <w:top w:val="nil"/>
              <w:left w:val="nil"/>
              <w:bottom w:val="nil"/>
              <w:right w:val="nil"/>
            </w:tcBorders>
            <w:noWrap/>
            <w:vAlign w:val="bottom"/>
            <w:hideMark/>
          </w:tcPr>
          <w:p w14:paraId="6E999218"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148696A3" w14:textId="0E73197E" w:rsidR="00C238BA" w:rsidRPr="001F3737" w:rsidRDefault="00CC1953" w:rsidP="001F3737">
            <w:pPr>
              <w:tabs>
                <w:tab w:val="decimal" w:pos="661"/>
              </w:tabs>
              <w:spacing w:line="360" w:lineRule="auto"/>
              <w:jc w:val="both"/>
              <w:rPr>
                <w:rFonts w:ascii="Book Antiqua" w:hAnsi="Book Antiqua"/>
              </w:rPr>
            </w:pPr>
            <w:r>
              <w:rPr>
                <w:rFonts w:ascii="Book Antiqua" w:hAnsi="Book Antiqua"/>
              </w:rPr>
              <w:t>76 (52.8</w:t>
            </w:r>
            <w:r w:rsidR="00C238BA" w:rsidRPr="001F3737">
              <w:rPr>
                <w:rFonts w:ascii="Book Antiqua" w:hAnsi="Book Antiqua"/>
              </w:rPr>
              <w:t>)</w:t>
            </w:r>
          </w:p>
        </w:tc>
        <w:tc>
          <w:tcPr>
            <w:tcW w:w="581" w:type="pct"/>
            <w:tcBorders>
              <w:top w:val="nil"/>
              <w:left w:val="nil"/>
              <w:bottom w:val="nil"/>
              <w:right w:val="nil"/>
            </w:tcBorders>
            <w:noWrap/>
            <w:vAlign w:val="bottom"/>
            <w:hideMark/>
          </w:tcPr>
          <w:p w14:paraId="0A4D9EB2" w14:textId="029C96EB" w:rsidR="00C238BA" w:rsidRPr="001F3737" w:rsidRDefault="00CC1953" w:rsidP="001F3737">
            <w:pPr>
              <w:tabs>
                <w:tab w:val="decimal" w:pos="586"/>
              </w:tabs>
              <w:spacing w:line="360" w:lineRule="auto"/>
              <w:jc w:val="both"/>
              <w:rPr>
                <w:rFonts w:ascii="Book Antiqua" w:hAnsi="Book Antiqua"/>
              </w:rPr>
            </w:pPr>
            <w:r>
              <w:rPr>
                <w:rFonts w:ascii="Book Antiqua" w:hAnsi="Book Antiqua"/>
              </w:rPr>
              <w:t>407 (56.5</w:t>
            </w:r>
            <w:r w:rsidR="00C238BA" w:rsidRPr="001F3737">
              <w:rPr>
                <w:rFonts w:ascii="Book Antiqua" w:hAnsi="Book Antiqua"/>
              </w:rPr>
              <w:t>)</w:t>
            </w:r>
          </w:p>
        </w:tc>
        <w:tc>
          <w:tcPr>
            <w:tcW w:w="348" w:type="pct"/>
            <w:tcBorders>
              <w:top w:val="nil"/>
              <w:left w:val="nil"/>
              <w:bottom w:val="nil"/>
              <w:right w:val="nil"/>
            </w:tcBorders>
            <w:noWrap/>
            <w:vAlign w:val="bottom"/>
            <w:hideMark/>
          </w:tcPr>
          <w:p w14:paraId="5ECDBDF9" w14:textId="77777777" w:rsidR="00C238BA" w:rsidRPr="001F3737" w:rsidRDefault="00C238BA" w:rsidP="001F3737">
            <w:pPr>
              <w:spacing w:line="360" w:lineRule="auto"/>
              <w:jc w:val="both"/>
              <w:rPr>
                <w:rFonts w:ascii="Book Antiqua" w:hAnsi="Book Antiqua"/>
              </w:rPr>
            </w:pPr>
          </w:p>
        </w:tc>
      </w:tr>
      <w:tr w:rsidR="00C238BA" w:rsidRPr="001F3737" w14:paraId="04336470" w14:textId="77777777" w:rsidTr="00C238BA">
        <w:trPr>
          <w:cantSplit/>
        </w:trPr>
        <w:tc>
          <w:tcPr>
            <w:tcW w:w="1373" w:type="pct"/>
            <w:tcBorders>
              <w:top w:val="nil"/>
              <w:left w:val="nil"/>
              <w:bottom w:val="nil"/>
              <w:right w:val="nil"/>
            </w:tcBorders>
            <w:noWrap/>
            <w:vAlign w:val="bottom"/>
            <w:hideMark/>
          </w:tcPr>
          <w:p w14:paraId="458E9D0F"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Hispanic</w:t>
            </w:r>
          </w:p>
        </w:tc>
        <w:tc>
          <w:tcPr>
            <w:tcW w:w="819" w:type="pct"/>
            <w:tcBorders>
              <w:top w:val="nil"/>
              <w:left w:val="nil"/>
              <w:bottom w:val="nil"/>
              <w:right w:val="nil"/>
            </w:tcBorders>
            <w:noWrap/>
            <w:vAlign w:val="bottom"/>
            <w:hideMark/>
          </w:tcPr>
          <w:p w14:paraId="0B2C1435" w14:textId="2E1349F0" w:rsidR="00C238BA" w:rsidRPr="001F3737" w:rsidRDefault="00CC1953" w:rsidP="001F3737">
            <w:pPr>
              <w:tabs>
                <w:tab w:val="decimal" w:pos="618"/>
              </w:tabs>
              <w:spacing w:line="360" w:lineRule="auto"/>
              <w:jc w:val="both"/>
              <w:rPr>
                <w:rFonts w:ascii="Book Antiqua" w:hAnsi="Book Antiqua"/>
              </w:rPr>
            </w:pPr>
            <w:r>
              <w:rPr>
                <w:rFonts w:ascii="Book Antiqua" w:hAnsi="Book Antiqua"/>
              </w:rPr>
              <w:t>0 (0</w:t>
            </w:r>
            <w:r w:rsidR="00C238BA" w:rsidRPr="001F3737">
              <w:rPr>
                <w:rFonts w:ascii="Book Antiqua" w:hAnsi="Book Antiqua"/>
              </w:rPr>
              <w:t>)</w:t>
            </w:r>
          </w:p>
        </w:tc>
        <w:tc>
          <w:tcPr>
            <w:tcW w:w="820" w:type="pct"/>
            <w:tcBorders>
              <w:top w:val="nil"/>
              <w:left w:val="nil"/>
              <w:bottom w:val="nil"/>
              <w:right w:val="nil"/>
            </w:tcBorders>
            <w:noWrap/>
            <w:vAlign w:val="bottom"/>
            <w:hideMark/>
          </w:tcPr>
          <w:p w14:paraId="350FDADE" w14:textId="2E4CF284" w:rsidR="00C238BA" w:rsidRPr="001F3737" w:rsidRDefault="00CC1953" w:rsidP="001F3737">
            <w:pPr>
              <w:tabs>
                <w:tab w:val="decimal" w:pos="724"/>
              </w:tabs>
              <w:spacing w:line="360" w:lineRule="auto"/>
              <w:jc w:val="both"/>
              <w:rPr>
                <w:rFonts w:ascii="Book Antiqua" w:hAnsi="Book Antiqua"/>
              </w:rPr>
            </w:pPr>
            <w:r>
              <w:rPr>
                <w:rFonts w:ascii="Book Antiqua" w:hAnsi="Book Antiqua"/>
              </w:rPr>
              <w:t>41 (1.4</w:t>
            </w:r>
            <w:r w:rsidR="00C238BA" w:rsidRPr="001F3737">
              <w:rPr>
                <w:rFonts w:ascii="Book Antiqua" w:hAnsi="Book Antiqua"/>
              </w:rPr>
              <w:t>)</w:t>
            </w:r>
          </w:p>
        </w:tc>
        <w:tc>
          <w:tcPr>
            <w:tcW w:w="342" w:type="pct"/>
            <w:tcBorders>
              <w:top w:val="nil"/>
              <w:left w:val="nil"/>
              <w:bottom w:val="nil"/>
              <w:right w:val="nil"/>
            </w:tcBorders>
            <w:noWrap/>
            <w:vAlign w:val="bottom"/>
            <w:hideMark/>
          </w:tcPr>
          <w:p w14:paraId="3C4C5788"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57C6D0ED" w14:textId="1FA37DDD" w:rsidR="00C238BA" w:rsidRPr="001F3737" w:rsidRDefault="00CC1953" w:rsidP="001F3737">
            <w:pPr>
              <w:tabs>
                <w:tab w:val="decimal" w:pos="661"/>
              </w:tabs>
              <w:spacing w:line="360" w:lineRule="auto"/>
              <w:jc w:val="both"/>
              <w:rPr>
                <w:rFonts w:ascii="Book Antiqua" w:hAnsi="Book Antiqua"/>
              </w:rPr>
            </w:pPr>
            <w:r>
              <w:rPr>
                <w:rFonts w:ascii="Book Antiqua" w:hAnsi="Book Antiqua"/>
              </w:rPr>
              <w:t>0 (0</w:t>
            </w:r>
            <w:r w:rsidR="00C238BA" w:rsidRPr="001F3737">
              <w:rPr>
                <w:rFonts w:ascii="Book Antiqua" w:hAnsi="Book Antiqua"/>
              </w:rPr>
              <w:t>)</w:t>
            </w:r>
          </w:p>
        </w:tc>
        <w:tc>
          <w:tcPr>
            <w:tcW w:w="581" w:type="pct"/>
            <w:tcBorders>
              <w:top w:val="nil"/>
              <w:left w:val="nil"/>
              <w:bottom w:val="nil"/>
              <w:right w:val="nil"/>
            </w:tcBorders>
            <w:noWrap/>
            <w:vAlign w:val="bottom"/>
            <w:hideMark/>
          </w:tcPr>
          <w:p w14:paraId="0149E9BF" w14:textId="2815949F" w:rsidR="00C238BA" w:rsidRPr="001F3737" w:rsidRDefault="00C238BA" w:rsidP="001F3737">
            <w:pPr>
              <w:tabs>
                <w:tab w:val="decimal" w:pos="586"/>
              </w:tabs>
              <w:spacing w:line="360" w:lineRule="auto"/>
              <w:jc w:val="both"/>
              <w:rPr>
                <w:rFonts w:ascii="Book Antiqua" w:hAnsi="Book Antiqua"/>
              </w:rPr>
            </w:pPr>
            <w:r w:rsidRPr="001F3737">
              <w:rPr>
                <w:rFonts w:ascii="Book Antiqua" w:hAnsi="Book Antiqua"/>
              </w:rPr>
              <w:t xml:space="preserve">0 </w:t>
            </w:r>
            <w:r w:rsidR="00CC1953">
              <w:rPr>
                <w:rFonts w:ascii="Book Antiqua" w:hAnsi="Book Antiqua"/>
              </w:rPr>
              <w:t>(0</w:t>
            </w:r>
            <w:r w:rsidRPr="001F3737">
              <w:rPr>
                <w:rFonts w:ascii="Book Antiqua" w:hAnsi="Book Antiqua"/>
              </w:rPr>
              <w:t>)</w:t>
            </w:r>
          </w:p>
        </w:tc>
        <w:tc>
          <w:tcPr>
            <w:tcW w:w="348" w:type="pct"/>
            <w:tcBorders>
              <w:top w:val="nil"/>
              <w:left w:val="nil"/>
              <w:bottom w:val="nil"/>
              <w:right w:val="nil"/>
            </w:tcBorders>
            <w:noWrap/>
            <w:vAlign w:val="bottom"/>
            <w:hideMark/>
          </w:tcPr>
          <w:p w14:paraId="0B98E91B" w14:textId="77777777" w:rsidR="00C238BA" w:rsidRPr="001F3737" w:rsidRDefault="00C238BA" w:rsidP="001F3737">
            <w:pPr>
              <w:spacing w:line="360" w:lineRule="auto"/>
              <w:jc w:val="both"/>
              <w:rPr>
                <w:rFonts w:ascii="Book Antiqua" w:hAnsi="Book Antiqua"/>
              </w:rPr>
            </w:pPr>
          </w:p>
        </w:tc>
      </w:tr>
      <w:tr w:rsidR="00C238BA" w:rsidRPr="001F3737" w14:paraId="3A316AF3" w14:textId="77777777" w:rsidTr="00C238BA">
        <w:trPr>
          <w:cantSplit/>
        </w:trPr>
        <w:tc>
          <w:tcPr>
            <w:tcW w:w="1373" w:type="pct"/>
            <w:tcBorders>
              <w:top w:val="nil"/>
              <w:left w:val="nil"/>
              <w:bottom w:val="nil"/>
              <w:right w:val="nil"/>
            </w:tcBorders>
            <w:noWrap/>
            <w:vAlign w:val="bottom"/>
            <w:hideMark/>
          </w:tcPr>
          <w:p w14:paraId="42A0E16F"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Other</w:t>
            </w:r>
          </w:p>
        </w:tc>
        <w:tc>
          <w:tcPr>
            <w:tcW w:w="819" w:type="pct"/>
            <w:tcBorders>
              <w:top w:val="nil"/>
              <w:left w:val="nil"/>
              <w:bottom w:val="nil"/>
              <w:right w:val="nil"/>
            </w:tcBorders>
            <w:noWrap/>
            <w:vAlign w:val="bottom"/>
            <w:hideMark/>
          </w:tcPr>
          <w:p w14:paraId="30F53F1F" w14:textId="19947657" w:rsidR="00C238BA" w:rsidRPr="001F3737" w:rsidRDefault="00CC1953" w:rsidP="001F3737">
            <w:pPr>
              <w:tabs>
                <w:tab w:val="decimal" w:pos="618"/>
              </w:tabs>
              <w:spacing w:line="360" w:lineRule="auto"/>
              <w:jc w:val="both"/>
              <w:rPr>
                <w:rFonts w:ascii="Book Antiqua" w:hAnsi="Book Antiqua"/>
              </w:rPr>
            </w:pPr>
            <w:r>
              <w:rPr>
                <w:rFonts w:ascii="Book Antiqua" w:hAnsi="Book Antiqua"/>
              </w:rPr>
              <w:t>51 (33.6</w:t>
            </w:r>
            <w:r w:rsidR="00C238BA" w:rsidRPr="001F3737">
              <w:rPr>
                <w:rFonts w:ascii="Book Antiqua" w:hAnsi="Book Antiqua"/>
              </w:rPr>
              <w:t>)</w:t>
            </w:r>
          </w:p>
        </w:tc>
        <w:tc>
          <w:tcPr>
            <w:tcW w:w="820" w:type="pct"/>
            <w:tcBorders>
              <w:top w:val="nil"/>
              <w:left w:val="nil"/>
              <w:bottom w:val="nil"/>
              <w:right w:val="nil"/>
            </w:tcBorders>
            <w:noWrap/>
            <w:vAlign w:val="bottom"/>
            <w:hideMark/>
          </w:tcPr>
          <w:p w14:paraId="4B8357AF" w14:textId="01622611" w:rsidR="00C238BA" w:rsidRPr="001F3737" w:rsidRDefault="00CC1953" w:rsidP="001F3737">
            <w:pPr>
              <w:tabs>
                <w:tab w:val="decimal" w:pos="724"/>
              </w:tabs>
              <w:spacing w:line="360" w:lineRule="auto"/>
              <w:jc w:val="both"/>
              <w:rPr>
                <w:rFonts w:ascii="Book Antiqua" w:hAnsi="Book Antiqua"/>
              </w:rPr>
            </w:pPr>
            <w:r>
              <w:rPr>
                <w:rFonts w:ascii="Book Antiqua" w:hAnsi="Book Antiqua"/>
              </w:rPr>
              <w:t>796 (26.6</w:t>
            </w:r>
            <w:r w:rsidR="00C238BA" w:rsidRPr="001F3737">
              <w:rPr>
                <w:rFonts w:ascii="Book Antiqua" w:hAnsi="Book Antiqua"/>
              </w:rPr>
              <w:t>)</w:t>
            </w:r>
          </w:p>
        </w:tc>
        <w:tc>
          <w:tcPr>
            <w:tcW w:w="342" w:type="pct"/>
            <w:tcBorders>
              <w:top w:val="nil"/>
              <w:left w:val="nil"/>
              <w:bottom w:val="nil"/>
              <w:right w:val="nil"/>
            </w:tcBorders>
            <w:noWrap/>
            <w:vAlign w:val="bottom"/>
            <w:hideMark/>
          </w:tcPr>
          <w:p w14:paraId="08C7C319"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7294467C" w14:textId="164A1334" w:rsidR="00C238BA" w:rsidRPr="001F3737" w:rsidRDefault="00CC1953" w:rsidP="001F3737">
            <w:pPr>
              <w:tabs>
                <w:tab w:val="decimal" w:pos="661"/>
              </w:tabs>
              <w:spacing w:line="360" w:lineRule="auto"/>
              <w:jc w:val="both"/>
              <w:rPr>
                <w:rFonts w:ascii="Book Antiqua" w:hAnsi="Book Antiqua"/>
              </w:rPr>
            </w:pPr>
            <w:r>
              <w:rPr>
                <w:rFonts w:ascii="Book Antiqua" w:hAnsi="Book Antiqua"/>
              </w:rPr>
              <w:t>50 (34.7</w:t>
            </w:r>
            <w:r w:rsidR="00C238BA" w:rsidRPr="001F3737">
              <w:rPr>
                <w:rFonts w:ascii="Book Antiqua" w:hAnsi="Book Antiqua"/>
              </w:rPr>
              <w:t>)</w:t>
            </w:r>
          </w:p>
        </w:tc>
        <w:tc>
          <w:tcPr>
            <w:tcW w:w="581" w:type="pct"/>
            <w:tcBorders>
              <w:top w:val="nil"/>
              <w:left w:val="nil"/>
              <w:bottom w:val="nil"/>
              <w:right w:val="nil"/>
            </w:tcBorders>
            <w:noWrap/>
            <w:vAlign w:val="bottom"/>
            <w:hideMark/>
          </w:tcPr>
          <w:p w14:paraId="3D60E9ED" w14:textId="3C1AB576" w:rsidR="00C238BA" w:rsidRPr="001F3737" w:rsidRDefault="00CC1953" w:rsidP="001F3737">
            <w:pPr>
              <w:tabs>
                <w:tab w:val="decimal" w:pos="586"/>
              </w:tabs>
              <w:spacing w:line="360" w:lineRule="auto"/>
              <w:jc w:val="both"/>
              <w:rPr>
                <w:rFonts w:ascii="Book Antiqua" w:hAnsi="Book Antiqua"/>
              </w:rPr>
            </w:pPr>
            <w:r>
              <w:rPr>
                <w:rFonts w:ascii="Book Antiqua" w:hAnsi="Book Antiqua"/>
              </w:rPr>
              <w:t>226 (31.4</w:t>
            </w:r>
            <w:r w:rsidR="00C238BA" w:rsidRPr="001F3737">
              <w:rPr>
                <w:rFonts w:ascii="Book Antiqua" w:hAnsi="Book Antiqua"/>
              </w:rPr>
              <w:t>)</w:t>
            </w:r>
          </w:p>
        </w:tc>
        <w:tc>
          <w:tcPr>
            <w:tcW w:w="348" w:type="pct"/>
            <w:tcBorders>
              <w:top w:val="nil"/>
              <w:left w:val="nil"/>
              <w:bottom w:val="nil"/>
              <w:right w:val="nil"/>
            </w:tcBorders>
            <w:noWrap/>
            <w:vAlign w:val="bottom"/>
            <w:hideMark/>
          </w:tcPr>
          <w:p w14:paraId="49FAEBB5" w14:textId="77777777" w:rsidR="00C238BA" w:rsidRPr="001F3737" w:rsidRDefault="00C238BA" w:rsidP="001F3737">
            <w:pPr>
              <w:spacing w:line="360" w:lineRule="auto"/>
              <w:jc w:val="both"/>
              <w:rPr>
                <w:rFonts w:ascii="Book Antiqua" w:hAnsi="Book Antiqua"/>
              </w:rPr>
            </w:pPr>
          </w:p>
        </w:tc>
      </w:tr>
      <w:tr w:rsidR="00C238BA" w:rsidRPr="001F3737" w14:paraId="1DDA1261" w14:textId="77777777" w:rsidTr="00C238BA">
        <w:trPr>
          <w:cantSplit/>
        </w:trPr>
        <w:tc>
          <w:tcPr>
            <w:tcW w:w="1373" w:type="pct"/>
            <w:tcBorders>
              <w:top w:val="nil"/>
              <w:left w:val="nil"/>
              <w:bottom w:val="nil"/>
              <w:right w:val="nil"/>
            </w:tcBorders>
            <w:noWrap/>
            <w:vAlign w:val="bottom"/>
            <w:hideMark/>
          </w:tcPr>
          <w:p w14:paraId="14E0D135" w14:textId="2967E8B0" w:rsidR="00C238BA" w:rsidRPr="00AB3FCF" w:rsidRDefault="00C238BA" w:rsidP="00AB3FCF">
            <w:pPr>
              <w:spacing w:line="360" w:lineRule="auto"/>
              <w:jc w:val="both"/>
              <w:rPr>
                <w:rFonts w:ascii="Book Antiqua" w:eastAsia="宋体" w:hAnsi="Book Antiqua"/>
                <w:lang w:eastAsia="zh-CN"/>
              </w:rPr>
            </w:pPr>
            <w:r w:rsidRPr="001F3737">
              <w:rPr>
                <w:rFonts w:ascii="Book Antiqua" w:hAnsi="Book Antiqua"/>
              </w:rPr>
              <w:t>Region</w:t>
            </w:r>
          </w:p>
        </w:tc>
        <w:tc>
          <w:tcPr>
            <w:tcW w:w="819" w:type="pct"/>
            <w:tcBorders>
              <w:top w:val="nil"/>
              <w:left w:val="nil"/>
              <w:bottom w:val="nil"/>
              <w:right w:val="nil"/>
            </w:tcBorders>
            <w:noWrap/>
            <w:vAlign w:val="bottom"/>
            <w:hideMark/>
          </w:tcPr>
          <w:p w14:paraId="0FC6AB6F" w14:textId="77777777" w:rsidR="00C238BA" w:rsidRPr="001F3737" w:rsidRDefault="00C238BA" w:rsidP="001F3737">
            <w:pPr>
              <w:tabs>
                <w:tab w:val="decimal" w:pos="618"/>
              </w:tabs>
              <w:spacing w:line="360" w:lineRule="auto"/>
              <w:jc w:val="both"/>
              <w:rPr>
                <w:rFonts w:ascii="Book Antiqua" w:hAnsi="Book Antiqua"/>
              </w:rPr>
            </w:pPr>
          </w:p>
        </w:tc>
        <w:tc>
          <w:tcPr>
            <w:tcW w:w="820" w:type="pct"/>
            <w:tcBorders>
              <w:top w:val="nil"/>
              <w:left w:val="nil"/>
              <w:bottom w:val="nil"/>
              <w:right w:val="nil"/>
            </w:tcBorders>
            <w:noWrap/>
            <w:vAlign w:val="bottom"/>
            <w:hideMark/>
          </w:tcPr>
          <w:p w14:paraId="53AB783F" w14:textId="77777777" w:rsidR="00C238BA" w:rsidRPr="001F3737" w:rsidRDefault="00C238BA" w:rsidP="001F3737">
            <w:pPr>
              <w:tabs>
                <w:tab w:val="decimal" w:pos="724"/>
              </w:tabs>
              <w:spacing w:line="360" w:lineRule="auto"/>
              <w:jc w:val="both"/>
              <w:rPr>
                <w:rFonts w:ascii="Book Antiqua" w:hAnsi="Book Antiqua"/>
              </w:rPr>
            </w:pPr>
          </w:p>
        </w:tc>
        <w:tc>
          <w:tcPr>
            <w:tcW w:w="342" w:type="pct"/>
            <w:tcBorders>
              <w:top w:val="nil"/>
              <w:left w:val="nil"/>
              <w:bottom w:val="nil"/>
              <w:right w:val="nil"/>
            </w:tcBorders>
            <w:noWrap/>
            <w:vAlign w:val="bottom"/>
            <w:hideMark/>
          </w:tcPr>
          <w:p w14:paraId="7430E831" w14:textId="65F767A5" w:rsidR="00C238BA" w:rsidRPr="001F3737" w:rsidRDefault="00C238BA" w:rsidP="001F3737">
            <w:pPr>
              <w:spacing w:line="360" w:lineRule="auto"/>
              <w:jc w:val="both"/>
              <w:rPr>
                <w:rFonts w:ascii="Book Antiqua" w:hAnsi="Book Antiqua"/>
              </w:rPr>
            </w:pPr>
            <w:r w:rsidRPr="001F3737">
              <w:rPr>
                <w:rFonts w:ascii="Book Antiqua" w:hAnsi="Book Antiqua"/>
              </w:rPr>
              <w:t>&lt;</w:t>
            </w:r>
            <w:r w:rsidR="00780CEC" w:rsidRPr="001F3737">
              <w:rPr>
                <w:rFonts w:ascii="Book Antiqua" w:eastAsia="宋体" w:hAnsi="Book Antiqua"/>
                <w:lang w:eastAsia="zh-CN"/>
              </w:rPr>
              <w:t xml:space="preserve"> 0</w:t>
            </w:r>
            <w:r w:rsidRPr="001F3737">
              <w:rPr>
                <w:rFonts w:ascii="Book Antiqua" w:hAnsi="Book Antiqua"/>
              </w:rPr>
              <w:t>.001</w:t>
            </w:r>
          </w:p>
        </w:tc>
        <w:tc>
          <w:tcPr>
            <w:tcW w:w="717" w:type="pct"/>
            <w:tcBorders>
              <w:top w:val="nil"/>
              <w:left w:val="nil"/>
              <w:bottom w:val="nil"/>
              <w:right w:val="nil"/>
            </w:tcBorders>
            <w:noWrap/>
            <w:vAlign w:val="bottom"/>
            <w:hideMark/>
          </w:tcPr>
          <w:p w14:paraId="1348A1CE" w14:textId="77777777" w:rsidR="00C238BA" w:rsidRPr="001F3737" w:rsidRDefault="00C238BA" w:rsidP="001F3737">
            <w:pPr>
              <w:tabs>
                <w:tab w:val="decimal" w:pos="661"/>
              </w:tabs>
              <w:spacing w:line="360" w:lineRule="auto"/>
              <w:jc w:val="both"/>
              <w:rPr>
                <w:rFonts w:ascii="Book Antiqua" w:hAnsi="Book Antiqua"/>
              </w:rPr>
            </w:pPr>
          </w:p>
        </w:tc>
        <w:tc>
          <w:tcPr>
            <w:tcW w:w="581" w:type="pct"/>
            <w:tcBorders>
              <w:top w:val="nil"/>
              <w:left w:val="nil"/>
              <w:bottom w:val="nil"/>
              <w:right w:val="nil"/>
            </w:tcBorders>
            <w:noWrap/>
            <w:vAlign w:val="bottom"/>
            <w:hideMark/>
          </w:tcPr>
          <w:p w14:paraId="64741501" w14:textId="77777777" w:rsidR="00C238BA" w:rsidRPr="001F3737" w:rsidRDefault="00C238BA" w:rsidP="001F3737">
            <w:pPr>
              <w:tabs>
                <w:tab w:val="decimal" w:pos="586"/>
              </w:tabs>
              <w:spacing w:line="360" w:lineRule="auto"/>
              <w:jc w:val="both"/>
              <w:rPr>
                <w:rFonts w:ascii="Book Antiqua" w:hAnsi="Book Antiqua"/>
              </w:rPr>
            </w:pPr>
          </w:p>
        </w:tc>
        <w:tc>
          <w:tcPr>
            <w:tcW w:w="348" w:type="pct"/>
            <w:tcBorders>
              <w:top w:val="nil"/>
              <w:left w:val="nil"/>
              <w:bottom w:val="nil"/>
              <w:right w:val="nil"/>
            </w:tcBorders>
            <w:noWrap/>
            <w:vAlign w:val="bottom"/>
            <w:hideMark/>
          </w:tcPr>
          <w:p w14:paraId="5456B7E8" w14:textId="77777777" w:rsidR="00C238BA" w:rsidRPr="001F3737" w:rsidRDefault="00C238BA" w:rsidP="001F3737">
            <w:pPr>
              <w:spacing w:line="360" w:lineRule="auto"/>
              <w:jc w:val="both"/>
              <w:rPr>
                <w:rFonts w:ascii="Book Antiqua" w:hAnsi="Book Antiqua"/>
              </w:rPr>
            </w:pPr>
            <w:r w:rsidRPr="001F3737">
              <w:rPr>
                <w:rFonts w:ascii="Book Antiqua" w:hAnsi="Book Antiqua"/>
              </w:rPr>
              <w:t>0.892</w:t>
            </w:r>
          </w:p>
        </w:tc>
      </w:tr>
      <w:tr w:rsidR="00C238BA" w:rsidRPr="001F3737" w14:paraId="2584EF1E" w14:textId="77777777" w:rsidTr="00C238BA">
        <w:trPr>
          <w:cantSplit/>
        </w:trPr>
        <w:tc>
          <w:tcPr>
            <w:tcW w:w="1373" w:type="pct"/>
            <w:tcBorders>
              <w:top w:val="nil"/>
              <w:left w:val="nil"/>
              <w:bottom w:val="nil"/>
              <w:right w:val="nil"/>
            </w:tcBorders>
            <w:noWrap/>
            <w:vAlign w:val="bottom"/>
            <w:hideMark/>
          </w:tcPr>
          <w:p w14:paraId="51FFD792"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Midwest</w:t>
            </w:r>
          </w:p>
        </w:tc>
        <w:tc>
          <w:tcPr>
            <w:tcW w:w="819" w:type="pct"/>
            <w:tcBorders>
              <w:top w:val="nil"/>
              <w:left w:val="nil"/>
              <w:bottom w:val="nil"/>
              <w:right w:val="nil"/>
            </w:tcBorders>
            <w:noWrap/>
            <w:vAlign w:val="bottom"/>
            <w:hideMark/>
          </w:tcPr>
          <w:p w14:paraId="5EFDEF0D" w14:textId="35E7727E" w:rsidR="00C238BA" w:rsidRPr="001F3737" w:rsidRDefault="00CC1953" w:rsidP="001F3737">
            <w:pPr>
              <w:tabs>
                <w:tab w:val="decimal" w:pos="618"/>
              </w:tabs>
              <w:spacing w:line="360" w:lineRule="auto"/>
              <w:jc w:val="both"/>
              <w:rPr>
                <w:rFonts w:ascii="Book Antiqua" w:hAnsi="Book Antiqua"/>
              </w:rPr>
            </w:pPr>
            <w:r>
              <w:rPr>
                <w:rFonts w:ascii="Book Antiqua" w:hAnsi="Book Antiqua"/>
              </w:rPr>
              <w:t>31 (20.4</w:t>
            </w:r>
            <w:r w:rsidR="00C238BA" w:rsidRPr="001F3737">
              <w:rPr>
                <w:rFonts w:ascii="Book Antiqua" w:hAnsi="Book Antiqua"/>
              </w:rPr>
              <w:t>)</w:t>
            </w:r>
          </w:p>
        </w:tc>
        <w:tc>
          <w:tcPr>
            <w:tcW w:w="820" w:type="pct"/>
            <w:tcBorders>
              <w:top w:val="nil"/>
              <w:left w:val="nil"/>
              <w:bottom w:val="nil"/>
              <w:right w:val="nil"/>
            </w:tcBorders>
            <w:noWrap/>
            <w:vAlign w:val="bottom"/>
            <w:hideMark/>
          </w:tcPr>
          <w:p w14:paraId="4EC8BEF5" w14:textId="240B78B6" w:rsidR="00C238BA" w:rsidRPr="001F3737" w:rsidRDefault="00CC1953" w:rsidP="001F3737">
            <w:pPr>
              <w:tabs>
                <w:tab w:val="decimal" w:pos="724"/>
              </w:tabs>
              <w:spacing w:line="360" w:lineRule="auto"/>
              <w:jc w:val="both"/>
              <w:rPr>
                <w:rFonts w:ascii="Book Antiqua" w:hAnsi="Book Antiqua"/>
              </w:rPr>
            </w:pPr>
            <w:r>
              <w:rPr>
                <w:rFonts w:ascii="Book Antiqua" w:hAnsi="Book Antiqua"/>
              </w:rPr>
              <w:t>304 (10.2</w:t>
            </w:r>
            <w:r w:rsidR="00C238BA" w:rsidRPr="001F3737">
              <w:rPr>
                <w:rFonts w:ascii="Book Antiqua" w:hAnsi="Book Antiqua"/>
              </w:rPr>
              <w:t>)</w:t>
            </w:r>
          </w:p>
        </w:tc>
        <w:tc>
          <w:tcPr>
            <w:tcW w:w="342" w:type="pct"/>
            <w:tcBorders>
              <w:top w:val="nil"/>
              <w:left w:val="nil"/>
              <w:bottom w:val="nil"/>
              <w:right w:val="nil"/>
            </w:tcBorders>
            <w:noWrap/>
            <w:vAlign w:val="bottom"/>
            <w:hideMark/>
          </w:tcPr>
          <w:p w14:paraId="065292CD"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28D67520" w14:textId="77777777" w:rsidR="00C238BA" w:rsidRPr="001F3737" w:rsidRDefault="00C238BA" w:rsidP="001F3737">
            <w:pPr>
              <w:tabs>
                <w:tab w:val="decimal" w:pos="661"/>
              </w:tabs>
              <w:spacing w:line="360" w:lineRule="auto"/>
              <w:jc w:val="both"/>
              <w:rPr>
                <w:rFonts w:ascii="Book Antiqua" w:hAnsi="Book Antiqua"/>
              </w:rPr>
            </w:pPr>
            <w:r w:rsidRPr="001F3737">
              <w:rPr>
                <w:rFonts w:ascii="Book Antiqua" w:hAnsi="Book Antiqua"/>
              </w:rPr>
              <w:t>26 (18.1%)</w:t>
            </w:r>
          </w:p>
        </w:tc>
        <w:tc>
          <w:tcPr>
            <w:tcW w:w="581" w:type="pct"/>
            <w:tcBorders>
              <w:top w:val="nil"/>
              <w:left w:val="nil"/>
              <w:bottom w:val="nil"/>
              <w:right w:val="nil"/>
            </w:tcBorders>
            <w:noWrap/>
            <w:vAlign w:val="bottom"/>
            <w:hideMark/>
          </w:tcPr>
          <w:p w14:paraId="46581E5F" w14:textId="730DDF25" w:rsidR="00C238BA" w:rsidRPr="001F3737" w:rsidRDefault="00CC1953" w:rsidP="001F3737">
            <w:pPr>
              <w:tabs>
                <w:tab w:val="decimal" w:pos="586"/>
              </w:tabs>
              <w:spacing w:line="360" w:lineRule="auto"/>
              <w:jc w:val="both"/>
              <w:rPr>
                <w:rFonts w:ascii="Book Antiqua" w:hAnsi="Book Antiqua"/>
              </w:rPr>
            </w:pPr>
            <w:r>
              <w:rPr>
                <w:rFonts w:ascii="Book Antiqua" w:hAnsi="Book Antiqua"/>
              </w:rPr>
              <w:t>112 (15.6</w:t>
            </w:r>
            <w:r w:rsidR="00C238BA" w:rsidRPr="001F3737">
              <w:rPr>
                <w:rFonts w:ascii="Book Antiqua" w:hAnsi="Book Antiqua"/>
              </w:rPr>
              <w:t>)</w:t>
            </w:r>
          </w:p>
        </w:tc>
        <w:tc>
          <w:tcPr>
            <w:tcW w:w="348" w:type="pct"/>
            <w:tcBorders>
              <w:top w:val="nil"/>
              <w:left w:val="nil"/>
              <w:bottom w:val="nil"/>
              <w:right w:val="nil"/>
            </w:tcBorders>
            <w:noWrap/>
            <w:vAlign w:val="bottom"/>
            <w:hideMark/>
          </w:tcPr>
          <w:p w14:paraId="3D9202DF" w14:textId="77777777" w:rsidR="00C238BA" w:rsidRPr="001F3737" w:rsidRDefault="00C238BA" w:rsidP="001F3737">
            <w:pPr>
              <w:spacing w:line="360" w:lineRule="auto"/>
              <w:jc w:val="both"/>
              <w:rPr>
                <w:rFonts w:ascii="Book Antiqua" w:hAnsi="Book Antiqua"/>
              </w:rPr>
            </w:pPr>
          </w:p>
        </w:tc>
      </w:tr>
      <w:tr w:rsidR="00C238BA" w:rsidRPr="001F3737" w14:paraId="10539443" w14:textId="77777777" w:rsidTr="00C238BA">
        <w:trPr>
          <w:cantSplit/>
        </w:trPr>
        <w:tc>
          <w:tcPr>
            <w:tcW w:w="1373" w:type="pct"/>
            <w:tcBorders>
              <w:top w:val="nil"/>
              <w:left w:val="nil"/>
              <w:bottom w:val="nil"/>
              <w:right w:val="nil"/>
            </w:tcBorders>
            <w:noWrap/>
            <w:vAlign w:val="bottom"/>
            <w:hideMark/>
          </w:tcPr>
          <w:p w14:paraId="77D61E06"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Northeast</w:t>
            </w:r>
          </w:p>
        </w:tc>
        <w:tc>
          <w:tcPr>
            <w:tcW w:w="819" w:type="pct"/>
            <w:tcBorders>
              <w:top w:val="nil"/>
              <w:left w:val="nil"/>
              <w:bottom w:val="nil"/>
              <w:right w:val="nil"/>
            </w:tcBorders>
            <w:noWrap/>
            <w:vAlign w:val="bottom"/>
            <w:hideMark/>
          </w:tcPr>
          <w:p w14:paraId="6C4ABAFF" w14:textId="6A97D1FB" w:rsidR="00C238BA" w:rsidRPr="001F3737" w:rsidRDefault="00CC1953" w:rsidP="001F3737">
            <w:pPr>
              <w:tabs>
                <w:tab w:val="decimal" w:pos="618"/>
              </w:tabs>
              <w:spacing w:line="360" w:lineRule="auto"/>
              <w:jc w:val="both"/>
              <w:rPr>
                <w:rFonts w:ascii="Book Antiqua" w:hAnsi="Book Antiqua"/>
              </w:rPr>
            </w:pPr>
            <w:r>
              <w:rPr>
                <w:rFonts w:ascii="Book Antiqua" w:hAnsi="Book Antiqua"/>
              </w:rPr>
              <w:t>52 (34.2</w:t>
            </w:r>
            <w:r w:rsidR="00C238BA" w:rsidRPr="001F3737">
              <w:rPr>
                <w:rFonts w:ascii="Book Antiqua" w:hAnsi="Book Antiqua"/>
              </w:rPr>
              <w:t>)</w:t>
            </w:r>
          </w:p>
        </w:tc>
        <w:tc>
          <w:tcPr>
            <w:tcW w:w="820" w:type="pct"/>
            <w:tcBorders>
              <w:top w:val="nil"/>
              <w:left w:val="nil"/>
              <w:bottom w:val="nil"/>
              <w:right w:val="nil"/>
            </w:tcBorders>
            <w:noWrap/>
            <w:vAlign w:val="bottom"/>
            <w:hideMark/>
          </w:tcPr>
          <w:p w14:paraId="09F4BB5B" w14:textId="111B7BBF" w:rsidR="00C238BA" w:rsidRPr="001F3737" w:rsidRDefault="00CC1953" w:rsidP="001F3737">
            <w:pPr>
              <w:tabs>
                <w:tab w:val="decimal" w:pos="724"/>
              </w:tabs>
              <w:spacing w:line="360" w:lineRule="auto"/>
              <w:jc w:val="both"/>
              <w:rPr>
                <w:rFonts w:ascii="Book Antiqua" w:hAnsi="Book Antiqua"/>
              </w:rPr>
            </w:pPr>
            <w:r>
              <w:rPr>
                <w:rFonts w:ascii="Book Antiqua" w:hAnsi="Book Antiqua"/>
              </w:rPr>
              <w:t>959 (32.0</w:t>
            </w:r>
            <w:r w:rsidR="00C238BA" w:rsidRPr="001F3737">
              <w:rPr>
                <w:rFonts w:ascii="Book Antiqua" w:hAnsi="Book Antiqua"/>
              </w:rPr>
              <w:t>)</w:t>
            </w:r>
          </w:p>
        </w:tc>
        <w:tc>
          <w:tcPr>
            <w:tcW w:w="342" w:type="pct"/>
            <w:tcBorders>
              <w:top w:val="nil"/>
              <w:left w:val="nil"/>
              <w:bottom w:val="nil"/>
              <w:right w:val="nil"/>
            </w:tcBorders>
            <w:noWrap/>
            <w:vAlign w:val="bottom"/>
            <w:hideMark/>
          </w:tcPr>
          <w:p w14:paraId="0CC44922"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6136643B" w14:textId="363E3ADC" w:rsidR="00C238BA" w:rsidRPr="001F3737" w:rsidRDefault="00CC1953" w:rsidP="001F3737">
            <w:pPr>
              <w:tabs>
                <w:tab w:val="decimal" w:pos="661"/>
              </w:tabs>
              <w:spacing w:line="360" w:lineRule="auto"/>
              <w:jc w:val="both"/>
              <w:rPr>
                <w:rFonts w:ascii="Book Antiqua" w:hAnsi="Book Antiqua"/>
              </w:rPr>
            </w:pPr>
            <w:r>
              <w:rPr>
                <w:rFonts w:ascii="Book Antiqua" w:hAnsi="Book Antiqua"/>
              </w:rPr>
              <w:t>49 (34.0</w:t>
            </w:r>
            <w:r w:rsidR="00C238BA" w:rsidRPr="001F3737">
              <w:rPr>
                <w:rFonts w:ascii="Book Antiqua" w:hAnsi="Book Antiqua"/>
              </w:rPr>
              <w:t>)</w:t>
            </w:r>
          </w:p>
        </w:tc>
        <w:tc>
          <w:tcPr>
            <w:tcW w:w="581" w:type="pct"/>
            <w:tcBorders>
              <w:top w:val="nil"/>
              <w:left w:val="nil"/>
              <w:bottom w:val="nil"/>
              <w:right w:val="nil"/>
            </w:tcBorders>
            <w:noWrap/>
            <w:vAlign w:val="bottom"/>
            <w:hideMark/>
          </w:tcPr>
          <w:p w14:paraId="7EB02530" w14:textId="146E8DEE" w:rsidR="00C238BA" w:rsidRPr="001F3737" w:rsidRDefault="00CC1953" w:rsidP="001F3737">
            <w:pPr>
              <w:tabs>
                <w:tab w:val="decimal" w:pos="586"/>
              </w:tabs>
              <w:spacing w:line="360" w:lineRule="auto"/>
              <w:jc w:val="both"/>
              <w:rPr>
                <w:rFonts w:ascii="Book Antiqua" w:hAnsi="Book Antiqua"/>
              </w:rPr>
            </w:pPr>
            <w:r>
              <w:rPr>
                <w:rFonts w:ascii="Book Antiqua" w:hAnsi="Book Antiqua"/>
              </w:rPr>
              <w:t>260 (36.1</w:t>
            </w:r>
            <w:r w:rsidR="00C238BA" w:rsidRPr="001F3737">
              <w:rPr>
                <w:rFonts w:ascii="Book Antiqua" w:hAnsi="Book Antiqua"/>
              </w:rPr>
              <w:t>)</w:t>
            </w:r>
          </w:p>
        </w:tc>
        <w:tc>
          <w:tcPr>
            <w:tcW w:w="348" w:type="pct"/>
            <w:tcBorders>
              <w:top w:val="nil"/>
              <w:left w:val="nil"/>
              <w:bottom w:val="nil"/>
              <w:right w:val="nil"/>
            </w:tcBorders>
            <w:noWrap/>
            <w:vAlign w:val="bottom"/>
            <w:hideMark/>
          </w:tcPr>
          <w:p w14:paraId="468FA902" w14:textId="77777777" w:rsidR="00C238BA" w:rsidRPr="001F3737" w:rsidRDefault="00C238BA" w:rsidP="001F3737">
            <w:pPr>
              <w:spacing w:line="360" w:lineRule="auto"/>
              <w:jc w:val="both"/>
              <w:rPr>
                <w:rFonts w:ascii="Book Antiqua" w:hAnsi="Book Antiqua"/>
              </w:rPr>
            </w:pPr>
          </w:p>
        </w:tc>
      </w:tr>
      <w:tr w:rsidR="00C238BA" w:rsidRPr="001F3737" w14:paraId="173F4626" w14:textId="77777777" w:rsidTr="00C238BA">
        <w:trPr>
          <w:cantSplit/>
        </w:trPr>
        <w:tc>
          <w:tcPr>
            <w:tcW w:w="1373" w:type="pct"/>
            <w:tcBorders>
              <w:top w:val="nil"/>
              <w:left w:val="nil"/>
              <w:bottom w:val="nil"/>
              <w:right w:val="nil"/>
            </w:tcBorders>
            <w:noWrap/>
            <w:vAlign w:val="bottom"/>
            <w:hideMark/>
          </w:tcPr>
          <w:p w14:paraId="716B7C58"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lastRenderedPageBreak/>
              <w:t>South</w:t>
            </w:r>
          </w:p>
        </w:tc>
        <w:tc>
          <w:tcPr>
            <w:tcW w:w="819" w:type="pct"/>
            <w:tcBorders>
              <w:top w:val="nil"/>
              <w:left w:val="nil"/>
              <w:bottom w:val="nil"/>
              <w:right w:val="nil"/>
            </w:tcBorders>
            <w:noWrap/>
            <w:vAlign w:val="bottom"/>
            <w:hideMark/>
          </w:tcPr>
          <w:p w14:paraId="438E2A0A" w14:textId="348392B1" w:rsidR="00C238BA" w:rsidRPr="00CC1953" w:rsidRDefault="00CC1953" w:rsidP="001F3737">
            <w:pPr>
              <w:tabs>
                <w:tab w:val="decimal" w:pos="618"/>
              </w:tabs>
              <w:spacing w:line="360" w:lineRule="auto"/>
              <w:jc w:val="both"/>
              <w:rPr>
                <w:rFonts w:ascii="Book Antiqua" w:eastAsia="宋体" w:hAnsi="Book Antiqua"/>
                <w:lang w:eastAsia="zh-CN"/>
              </w:rPr>
            </w:pPr>
            <w:r>
              <w:rPr>
                <w:rFonts w:ascii="Book Antiqua" w:hAnsi="Book Antiqua"/>
              </w:rPr>
              <w:t>41 (27.0</w:t>
            </w:r>
            <w:r w:rsidR="00C238BA" w:rsidRPr="001F3737">
              <w:rPr>
                <w:rFonts w:ascii="Book Antiqua" w:hAnsi="Book Antiqua"/>
              </w:rPr>
              <w:t>)</w:t>
            </w:r>
          </w:p>
        </w:tc>
        <w:tc>
          <w:tcPr>
            <w:tcW w:w="820" w:type="pct"/>
            <w:tcBorders>
              <w:top w:val="nil"/>
              <w:left w:val="nil"/>
              <w:bottom w:val="nil"/>
              <w:right w:val="nil"/>
            </w:tcBorders>
            <w:noWrap/>
            <w:vAlign w:val="bottom"/>
            <w:hideMark/>
          </w:tcPr>
          <w:p w14:paraId="3FEF9507" w14:textId="5D8DFEC5" w:rsidR="00C238BA" w:rsidRPr="001F3737" w:rsidRDefault="00780CEC" w:rsidP="001F3737">
            <w:pPr>
              <w:tabs>
                <w:tab w:val="decimal" w:pos="724"/>
              </w:tabs>
              <w:spacing w:line="360" w:lineRule="auto"/>
              <w:jc w:val="both"/>
              <w:rPr>
                <w:rFonts w:ascii="Book Antiqua" w:hAnsi="Book Antiqua"/>
              </w:rPr>
            </w:pPr>
            <w:r w:rsidRPr="001F3737">
              <w:rPr>
                <w:rFonts w:ascii="Book Antiqua" w:hAnsi="Book Antiqua"/>
              </w:rPr>
              <w:t>1</w:t>
            </w:r>
            <w:r w:rsidR="00CC1953">
              <w:rPr>
                <w:rFonts w:ascii="Book Antiqua" w:hAnsi="Book Antiqua"/>
              </w:rPr>
              <w:t>321 (44.1</w:t>
            </w:r>
            <w:r w:rsidR="00C238BA" w:rsidRPr="001F3737">
              <w:rPr>
                <w:rFonts w:ascii="Book Antiqua" w:hAnsi="Book Antiqua"/>
              </w:rPr>
              <w:t>)</w:t>
            </w:r>
          </w:p>
        </w:tc>
        <w:tc>
          <w:tcPr>
            <w:tcW w:w="342" w:type="pct"/>
            <w:tcBorders>
              <w:top w:val="nil"/>
              <w:left w:val="nil"/>
              <w:bottom w:val="nil"/>
              <w:right w:val="nil"/>
            </w:tcBorders>
            <w:noWrap/>
            <w:vAlign w:val="bottom"/>
            <w:hideMark/>
          </w:tcPr>
          <w:p w14:paraId="65350DC0"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3F5D6148" w14:textId="2CE1265C" w:rsidR="00C238BA" w:rsidRPr="001F3737" w:rsidRDefault="00CC1953" w:rsidP="001F3737">
            <w:pPr>
              <w:tabs>
                <w:tab w:val="decimal" w:pos="661"/>
              </w:tabs>
              <w:spacing w:line="360" w:lineRule="auto"/>
              <w:jc w:val="both"/>
              <w:rPr>
                <w:rFonts w:ascii="Book Antiqua" w:hAnsi="Book Antiqua"/>
              </w:rPr>
            </w:pPr>
            <w:r>
              <w:rPr>
                <w:rFonts w:ascii="Book Antiqua" w:hAnsi="Book Antiqua"/>
              </w:rPr>
              <w:t>41 (28.5</w:t>
            </w:r>
            <w:r w:rsidR="00C238BA" w:rsidRPr="001F3737">
              <w:rPr>
                <w:rFonts w:ascii="Book Antiqua" w:hAnsi="Book Antiqua"/>
              </w:rPr>
              <w:t>)</w:t>
            </w:r>
          </w:p>
        </w:tc>
        <w:tc>
          <w:tcPr>
            <w:tcW w:w="581" w:type="pct"/>
            <w:tcBorders>
              <w:top w:val="nil"/>
              <w:left w:val="nil"/>
              <w:bottom w:val="nil"/>
              <w:right w:val="nil"/>
            </w:tcBorders>
            <w:noWrap/>
            <w:vAlign w:val="bottom"/>
            <w:hideMark/>
          </w:tcPr>
          <w:p w14:paraId="7C69DB86" w14:textId="0730F2F2" w:rsidR="00C238BA" w:rsidRPr="001F3737" w:rsidRDefault="00C238BA" w:rsidP="001F3737">
            <w:pPr>
              <w:tabs>
                <w:tab w:val="decimal" w:pos="586"/>
              </w:tabs>
              <w:spacing w:line="360" w:lineRule="auto"/>
              <w:jc w:val="both"/>
              <w:rPr>
                <w:rFonts w:ascii="Book Antiqua" w:hAnsi="Book Antiqua"/>
              </w:rPr>
            </w:pPr>
            <w:r w:rsidRPr="001F3737">
              <w:rPr>
                <w:rFonts w:ascii="Book Antiqua" w:hAnsi="Book Antiqua"/>
              </w:rPr>
              <w:t xml:space="preserve">206 </w:t>
            </w:r>
            <w:r w:rsidR="00CC1953">
              <w:rPr>
                <w:rFonts w:ascii="Book Antiqua" w:hAnsi="Book Antiqua"/>
              </w:rPr>
              <w:t>(28.6</w:t>
            </w:r>
            <w:r w:rsidRPr="001F3737">
              <w:rPr>
                <w:rFonts w:ascii="Book Antiqua" w:hAnsi="Book Antiqua"/>
              </w:rPr>
              <w:t>)</w:t>
            </w:r>
          </w:p>
        </w:tc>
        <w:tc>
          <w:tcPr>
            <w:tcW w:w="348" w:type="pct"/>
            <w:tcBorders>
              <w:top w:val="nil"/>
              <w:left w:val="nil"/>
              <w:bottom w:val="nil"/>
              <w:right w:val="nil"/>
            </w:tcBorders>
            <w:noWrap/>
            <w:vAlign w:val="bottom"/>
            <w:hideMark/>
          </w:tcPr>
          <w:p w14:paraId="041791C1" w14:textId="77777777" w:rsidR="00C238BA" w:rsidRPr="001F3737" w:rsidRDefault="00C238BA" w:rsidP="001F3737">
            <w:pPr>
              <w:spacing w:line="360" w:lineRule="auto"/>
              <w:jc w:val="both"/>
              <w:rPr>
                <w:rFonts w:ascii="Book Antiqua" w:hAnsi="Book Antiqua"/>
              </w:rPr>
            </w:pPr>
          </w:p>
        </w:tc>
      </w:tr>
      <w:tr w:rsidR="00C238BA" w:rsidRPr="001F3737" w14:paraId="782967AE" w14:textId="77777777" w:rsidTr="00C238BA">
        <w:trPr>
          <w:cantSplit/>
        </w:trPr>
        <w:tc>
          <w:tcPr>
            <w:tcW w:w="1373" w:type="pct"/>
            <w:tcBorders>
              <w:top w:val="nil"/>
              <w:left w:val="nil"/>
              <w:bottom w:val="nil"/>
              <w:right w:val="nil"/>
            </w:tcBorders>
            <w:noWrap/>
            <w:vAlign w:val="bottom"/>
            <w:hideMark/>
          </w:tcPr>
          <w:p w14:paraId="7172D9A6"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West</w:t>
            </w:r>
          </w:p>
        </w:tc>
        <w:tc>
          <w:tcPr>
            <w:tcW w:w="819" w:type="pct"/>
            <w:tcBorders>
              <w:top w:val="nil"/>
              <w:left w:val="nil"/>
              <w:bottom w:val="nil"/>
              <w:right w:val="nil"/>
            </w:tcBorders>
            <w:noWrap/>
            <w:vAlign w:val="bottom"/>
            <w:hideMark/>
          </w:tcPr>
          <w:p w14:paraId="5E1497D5" w14:textId="04B1CBEA" w:rsidR="00C238BA" w:rsidRPr="001F3737" w:rsidRDefault="00CC1953" w:rsidP="001F3737">
            <w:pPr>
              <w:tabs>
                <w:tab w:val="decimal" w:pos="618"/>
              </w:tabs>
              <w:spacing w:line="360" w:lineRule="auto"/>
              <w:jc w:val="both"/>
              <w:rPr>
                <w:rFonts w:ascii="Book Antiqua" w:hAnsi="Book Antiqua"/>
              </w:rPr>
            </w:pPr>
            <w:r>
              <w:rPr>
                <w:rFonts w:ascii="Book Antiqua" w:hAnsi="Book Antiqua"/>
              </w:rPr>
              <w:t>28 (18.4</w:t>
            </w:r>
            <w:r w:rsidR="00C238BA" w:rsidRPr="001F3737">
              <w:rPr>
                <w:rFonts w:ascii="Book Antiqua" w:hAnsi="Book Antiqua"/>
              </w:rPr>
              <w:t>)</w:t>
            </w:r>
          </w:p>
        </w:tc>
        <w:tc>
          <w:tcPr>
            <w:tcW w:w="820" w:type="pct"/>
            <w:tcBorders>
              <w:top w:val="nil"/>
              <w:left w:val="nil"/>
              <w:bottom w:val="nil"/>
              <w:right w:val="nil"/>
            </w:tcBorders>
            <w:noWrap/>
            <w:vAlign w:val="bottom"/>
            <w:hideMark/>
          </w:tcPr>
          <w:p w14:paraId="5711C12F" w14:textId="1A83445D" w:rsidR="00C238BA" w:rsidRPr="001F3737" w:rsidRDefault="00CC1953" w:rsidP="001F3737">
            <w:pPr>
              <w:tabs>
                <w:tab w:val="decimal" w:pos="724"/>
              </w:tabs>
              <w:spacing w:line="360" w:lineRule="auto"/>
              <w:jc w:val="both"/>
              <w:rPr>
                <w:rFonts w:ascii="Book Antiqua" w:hAnsi="Book Antiqua"/>
              </w:rPr>
            </w:pPr>
            <w:r>
              <w:rPr>
                <w:rFonts w:ascii="Book Antiqua" w:hAnsi="Book Antiqua"/>
              </w:rPr>
              <w:t>409 (13.7</w:t>
            </w:r>
            <w:r w:rsidR="00C238BA" w:rsidRPr="001F3737">
              <w:rPr>
                <w:rFonts w:ascii="Book Antiqua" w:hAnsi="Book Antiqua"/>
              </w:rPr>
              <w:t>)</w:t>
            </w:r>
          </w:p>
        </w:tc>
        <w:tc>
          <w:tcPr>
            <w:tcW w:w="342" w:type="pct"/>
            <w:tcBorders>
              <w:top w:val="nil"/>
              <w:left w:val="nil"/>
              <w:bottom w:val="nil"/>
              <w:right w:val="nil"/>
            </w:tcBorders>
            <w:noWrap/>
            <w:vAlign w:val="bottom"/>
            <w:hideMark/>
          </w:tcPr>
          <w:p w14:paraId="5F2D1D1C"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60C2B0BC" w14:textId="5BA74075" w:rsidR="00C238BA" w:rsidRPr="001F3737" w:rsidRDefault="00CC1953" w:rsidP="001F3737">
            <w:pPr>
              <w:tabs>
                <w:tab w:val="decimal" w:pos="661"/>
              </w:tabs>
              <w:spacing w:line="360" w:lineRule="auto"/>
              <w:jc w:val="both"/>
              <w:rPr>
                <w:rFonts w:ascii="Book Antiqua" w:hAnsi="Book Antiqua"/>
              </w:rPr>
            </w:pPr>
            <w:r>
              <w:rPr>
                <w:rFonts w:ascii="Book Antiqua" w:hAnsi="Book Antiqua"/>
              </w:rPr>
              <w:t>28 (19.4</w:t>
            </w:r>
            <w:r w:rsidR="00C238BA" w:rsidRPr="001F3737">
              <w:rPr>
                <w:rFonts w:ascii="Book Antiqua" w:hAnsi="Book Antiqua"/>
              </w:rPr>
              <w:t>)</w:t>
            </w:r>
          </w:p>
        </w:tc>
        <w:tc>
          <w:tcPr>
            <w:tcW w:w="581" w:type="pct"/>
            <w:tcBorders>
              <w:top w:val="nil"/>
              <w:left w:val="nil"/>
              <w:bottom w:val="nil"/>
              <w:right w:val="nil"/>
            </w:tcBorders>
            <w:noWrap/>
            <w:vAlign w:val="bottom"/>
            <w:hideMark/>
          </w:tcPr>
          <w:p w14:paraId="2802F5EA" w14:textId="1936ED84" w:rsidR="00C238BA" w:rsidRPr="001F3737" w:rsidRDefault="00CC1953" w:rsidP="001F3737">
            <w:pPr>
              <w:tabs>
                <w:tab w:val="decimal" w:pos="586"/>
              </w:tabs>
              <w:spacing w:line="360" w:lineRule="auto"/>
              <w:jc w:val="both"/>
              <w:rPr>
                <w:rFonts w:ascii="Book Antiqua" w:hAnsi="Book Antiqua"/>
              </w:rPr>
            </w:pPr>
            <w:r>
              <w:rPr>
                <w:rFonts w:ascii="Book Antiqua" w:hAnsi="Book Antiqua"/>
              </w:rPr>
              <w:t>142 (19.7</w:t>
            </w:r>
            <w:r w:rsidR="00C238BA" w:rsidRPr="001F3737">
              <w:rPr>
                <w:rFonts w:ascii="Book Antiqua" w:hAnsi="Book Antiqua"/>
              </w:rPr>
              <w:t>)</w:t>
            </w:r>
          </w:p>
        </w:tc>
        <w:tc>
          <w:tcPr>
            <w:tcW w:w="348" w:type="pct"/>
            <w:tcBorders>
              <w:top w:val="nil"/>
              <w:left w:val="nil"/>
              <w:bottom w:val="nil"/>
              <w:right w:val="nil"/>
            </w:tcBorders>
            <w:noWrap/>
            <w:vAlign w:val="bottom"/>
            <w:hideMark/>
          </w:tcPr>
          <w:p w14:paraId="14A0CEC7" w14:textId="77777777" w:rsidR="00C238BA" w:rsidRPr="001F3737" w:rsidRDefault="00C238BA" w:rsidP="001F3737">
            <w:pPr>
              <w:spacing w:line="360" w:lineRule="auto"/>
              <w:jc w:val="both"/>
              <w:rPr>
                <w:rFonts w:ascii="Book Antiqua" w:hAnsi="Book Antiqua"/>
              </w:rPr>
            </w:pPr>
          </w:p>
        </w:tc>
      </w:tr>
      <w:tr w:rsidR="00C238BA" w:rsidRPr="001F3737" w14:paraId="44C02D54" w14:textId="77777777" w:rsidTr="00C238BA">
        <w:trPr>
          <w:cantSplit/>
        </w:trPr>
        <w:tc>
          <w:tcPr>
            <w:tcW w:w="1373" w:type="pct"/>
            <w:tcBorders>
              <w:top w:val="nil"/>
              <w:left w:val="nil"/>
              <w:bottom w:val="nil"/>
              <w:right w:val="nil"/>
            </w:tcBorders>
            <w:noWrap/>
            <w:vAlign w:val="bottom"/>
            <w:hideMark/>
          </w:tcPr>
          <w:p w14:paraId="677B71AC" w14:textId="77777777" w:rsidR="00C238BA" w:rsidRPr="001F3737" w:rsidRDefault="00C238BA" w:rsidP="001F3737">
            <w:pPr>
              <w:spacing w:line="360" w:lineRule="auto"/>
              <w:jc w:val="both"/>
              <w:rPr>
                <w:rFonts w:ascii="Book Antiqua" w:hAnsi="Book Antiqua"/>
              </w:rPr>
            </w:pPr>
            <w:r w:rsidRPr="001F3737">
              <w:rPr>
                <w:rFonts w:ascii="Book Antiqua" w:hAnsi="Book Antiqua"/>
              </w:rPr>
              <w:t>Female Sex</w:t>
            </w:r>
          </w:p>
        </w:tc>
        <w:tc>
          <w:tcPr>
            <w:tcW w:w="819" w:type="pct"/>
            <w:tcBorders>
              <w:top w:val="nil"/>
              <w:left w:val="nil"/>
              <w:bottom w:val="nil"/>
              <w:right w:val="nil"/>
            </w:tcBorders>
            <w:noWrap/>
            <w:vAlign w:val="bottom"/>
            <w:hideMark/>
          </w:tcPr>
          <w:p w14:paraId="05C4D03E" w14:textId="7956C5BC" w:rsidR="00C238BA" w:rsidRPr="001F3737" w:rsidRDefault="00CC1953" w:rsidP="001F3737">
            <w:pPr>
              <w:tabs>
                <w:tab w:val="decimal" w:pos="618"/>
              </w:tabs>
              <w:spacing w:line="360" w:lineRule="auto"/>
              <w:jc w:val="both"/>
              <w:rPr>
                <w:rFonts w:ascii="Book Antiqua" w:hAnsi="Book Antiqua"/>
              </w:rPr>
            </w:pPr>
            <w:r>
              <w:rPr>
                <w:rFonts w:ascii="Book Antiqua" w:hAnsi="Book Antiqua"/>
              </w:rPr>
              <w:t>71 (46.7</w:t>
            </w:r>
            <w:r w:rsidR="00C238BA" w:rsidRPr="001F3737">
              <w:rPr>
                <w:rFonts w:ascii="Book Antiqua" w:hAnsi="Book Antiqua"/>
              </w:rPr>
              <w:t>)</w:t>
            </w:r>
          </w:p>
        </w:tc>
        <w:tc>
          <w:tcPr>
            <w:tcW w:w="820" w:type="pct"/>
            <w:tcBorders>
              <w:top w:val="nil"/>
              <w:left w:val="nil"/>
              <w:bottom w:val="nil"/>
              <w:right w:val="nil"/>
            </w:tcBorders>
            <w:noWrap/>
            <w:vAlign w:val="bottom"/>
            <w:hideMark/>
          </w:tcPr>
          <w:p w14:paraId="6A759E8E" w14:textId="1B44887D" w:rsidR="00C238BA" w:rsidRPr="001F3737" w:rsidRDefault="00780CEC" w:rsidP="001F3737">
            <w:pPr>
              <w:tabs>
                <w:tab w:val="decimal" w:pos="724"/>
              </w:tabs>
              <w:spacing w:line="360" w:lineRule="auto"/>
              <w:jc w:val="both"/>
              <w:rPr>
                <w:rFonts w:ascii="Book Antiqua" w:hAnsi="Book Antiqua"/>
              </w:rPr>
            </w:pPr>
            <w:r w:rsidRPr="001F3737">
              <w:rPr>
                <w:rFonts w:ascii="Book Antiqua" w:hAnsi="Book Antiqua"/>
              </w:rPr>
              <w:t>1</w:t>
            </w:r>
            <w:r w:rsidR="00CC1953">
              <w:rPr>
                <w:rFonts w:ascii="Book Antiqua" w:hAnsi="Book Antiqua"/>
              </w:rPr>
              <w:t>315 (43.9</w:t>
            </w:r>
            <w:r w:rsidR="00C238BA" w:rsidRPr="001F3737">
              <w:rPr>
                <w:rFonts w:ascii="Book Antiqua" w:hAnsi="Book Antiqua"/>
              </w:rPr>
              <w:t>)</w:t>
            </w:r>
          </w:p>
        </w:tc>
        <w:tc>
          <w:tcPr>
            <w:tcW w:w="342" w:type="pct"/>
            <w:tcBorders>
              <w:top w:val="nil"/>
              <w:left w:val="nil"/>
              <w:bottom w:val="nil"/>
              <w:right w:val="nil"/>
            </w:tcBorders>
            <w:noWrap/>
            <w:vAlign w:val="bottom"/>
            <w:hideMark/>
          </w:tcPr>
          <w:p w14:paraId="3D50AB17" w14:textId="77777777" w:rsidR="00C238BA" w:rsidRPr="001F3737" w:rsidRDefault="00C238BA" w:rsidP="001F3737">
            <w:pPr>
              <w:spacing w:line="360" w:lineRule="auto"/>
              <w:jc w:val="both"/>
              <w:rPr>
                <w:rFonts w:ascii="Book Antiqua" w:hAnsi="Book Antiqua"/>
              </w:rPr>
            </w:pPr>
            <w:r w:rsidRPr="001F3737">
              <w:rPr>
                <w:rFonts w:ascii="Book Antiqua" w:hAnsi="Book Antiqua"/>
              </w:rPr>
              <w:t>0.556</w:t>
            </w:r>
          </w:p>
        </w:tc>
        <w:tc>
          <w:tcPr>
            <w:tcW w:w="717" w:type="pct"/>
            <w:tcBorders>
              <w:top w:val="nil"/>
              <w:left w:val="nil"/>
              <w:bottom w:val="nil"/>
              <w:right w:val="nil"/>
            </w:tcBorders>
            <w:noWrap/>
            <w:vAlign w:val="bottom"/>
            <w:hideMark/>
          </w:tcPr>
          <w:p w14:paraId="5AC074B6" w14:textId="3853064E" w:rsidR="00C238BA" w:rsidRPr="001F3737" w:rsidRDefault="00CC1953" w:rsidP="001F3737">
            <w:pPr>
              <w:tabs>
                <w:tab w:val="decimal" w:pos="661"/>
              </w:tabs>
              <w:spacing w:line="360" w:lineRule="auto"/>
              <w:jc w:val="both"/>
              <w:rPr>
                <w:rFonts w:ascii="Book Antiqua" w:hAnsi="Book Antiqua"/>
              </w:rPr>
            </w:pPr>
            <w:r>
              <w:rPr>
                <w:rFonts w:ascii="Book Antiqua" w:hAnsi="Book Antiqua"/>
              </w:rPr>
              <w:t>67 (46.5</w:t>
            </w:r>
            <w:r w:rsidR="00C238BA" w:rsidRPr="001F3737">
              <w:rPr>
                <w:rFonts w:ascii="Book Antiqua" w:hAnsi="Book Antiqua"/>
              </w:rPr>
              <w:t>)</w:t>
            </w:r>
          </w:p>
        </w:tc>
        <w:tc>
          <w:tcPr>
            <w:tcW w:w="581" w:type="pct"/>
            <w:tcBorders>
              <w:top w:val="nil"/>
              <w:left w:val="nil"/>
              <w:bottom w:val="nil"/>
              <w:right w:val="nil"/>
            </w:tcBorders>
            <w:noWrap/>
            <w:vAlign w:val="bottom"/>
            <w:hideMark/>
          </w:tcPr>
          <w:p w14:paraId="244A3E6A" w14:textId="771F30C8" w:rsidR="00C238BA" w:rsidRPr="001F3737" w:rsidRDefault="00CC1953" w:rsidP="001F3737">
            <w:pPr>
              <w:tabs>
                <w:tab w:val="decimal" w:pos="586"/>
              </w:tabs>
              <w:spacing w:line="360" w:lineRule="auto"/>
              <w:jc w:val="both"/>
              <w:rPr>
                <w:rFonts w:ascii="Book Antiqua" w:hAnsi="Book Antiqua"/>
              </w:rPr>
            </w:pPr>
            <w:r>
              <w:rPr>
                <w:rFonts w:ascii="Book Antiqua" w:hAnsi="Book Antiqua"/>
              </w:rPr>
              <w:t>308 (42.8</w:t>
            </w:r>
            <w:r w:rsidR="00C238BA" w:rsidRPr="001F3737">
              <w:rPr>
                <w:rFonts w:ascii="Book Antiqua" w:hAnsi="Book Antiqua"/>
              </w:rPr>
              <w:t>)</w:t>
            </w:r>
          </w:p>
        </w:tc>
        <w:tc>
          <w:tcPr>
            <w:tcW w:w="348" w:type="pct"/>
            <w:tcBorders>
              <w:top w:val="nil"/>
              <w:left w:val="nil"/>
              <w:bottom w:val="nil"/>
              <w:right w:val="nil"/>
            </w:tcBorders>
            <w:noWrap/>
            <w:vAlign w:val="bottom"/>
            <w:hideMark/>
          </w:tcPr>
          <w:p w14:paraId="4F49293F" w14:textId="77777777" w:rsidR="00C238BA" w:rsidRPr="001F3737" w:rsidRDefault="00C238BA" w:rsidP="001F3737">
            <w:pPr>
              <w:spacing w:line="360" w:lineRule="auto"/>
              <w:jc w:val="both"/>
              <w:rPr>
                <w:rFonts w:ascii="Book Antiqua" w:hAnsi="Book Antiqua"/>
              </w:rPr>
            </w:pPr>
            <w:r w:rsidRPr="001F3737">
              <w:rPr>
                <w:rFonts w:ascii="Book Antiqua" w:hAnsi="Book Antiqua"/>
              </w:rPr>
              <w:t>0.461</w:t>
            </w:r>
          </w:p>
        </w:tc>
      </w:tr>
      <w:tr w:rsidR="00C238BA" w:rsidRPr="001F3737" w14:paraId="68874F12" w14:textId="77777777" w:rsidTr="00C238BA">
        <w:trPr>
          <w:cantSplit/>
        </w:trPr>
        <w:tc>
          <w:tcPr>
            <w:tcW w:w="1373" w:type="pct"/>
            <w:tcBorders>
              <w:top w:val="nil"/>
              <w:left w:val="nil"/>
              <w:bottom w:val="nil"/>
              <w:right w:val="nil"/>
            </w:tcBorders>
            <w:noWrap/>
            <w:vAlign w:val="bottom"/>
            <w:hideMark/>
          </w:tcPr>
          <w:p w14:paraId="1B97C862" w14:textId="0ADCCA74" w:rsidR="00C238BA" w:rsidRPr="001F3737" w:rsidRDefault="00C238BA" w:rsidP="00AB3FCF">
            <w:pPr>
              <w:spacing w:line="360" w:lineRule="auto"/>
              <w:jc w:val="both"/>
              <w:rPr>
                <w:rFonts w:ascii="Book Antiqua" w:hAnsi="Book Antiqua"/>
              </w:rPr>
            </w:pPr>
            <w:r w:rsidRPr="001F3737">
              <w:rPr>
                <w:rFonts w:ascii="Book Antiqua" w:hAnsi="Book Antiqua"/>
              </w:rPr>
              <w:t>Payor</w:t>
            </w:r>
          </w:p>
        </w:tc>
        <w:tc>
          <w:tcPr>
            <w:tcW w:w="819" w:type="pct"/>
            <w:tcBorders>
              <w:top w:val="nil"/>
              <w:left w:val="nil"/>
              <w:bottom w:val="nil"/>
              <w:right w:val="nil"/>
            </w:tcBorders>
            <w:noWrap/>
            <w:vAlign w:val="bottom"/>
            <w:hideMark/>
          </w:tcPr>
          <w:p w14:paraId="28EF1B6A" w14:textId="77777777" w:rsidR="00C238BA" w:rsidRPr="001F3737" w:rsidRDefault="00C238BA" w:rsidP="001F3737">
            <w:pPr>
              <w:tabs>
                <w:tab w:val="decimal" w:pos="618"/>
              </w:tabs>
              <w:spacing w:line="360" w:lineRule="auto"/>
              <w:jc w:val="both"/>
              <w:rPr>
                <w:rFonts w:ascii="Book Antiqua" w:hAnsi="Book Antiqua"/>
              </w:rPr>
            </w:pPr>
          </w:p>
        </w:tc>
        <w:tc>
          <w:tcPr>
            <w:tcW w:w="820" w:type="pct"/>
            <w:tcBorders>
              <w:top w:val="nil"/>
              <w:left w:val="nil"/>
              <w:bottom w:val="nil"/>
              <w:right w:val="nil"/>
            </w:tcBorders>
            <w:noWrap/>
            <w:vAlign w:val="bottom"/>
            <w:hideMark/>
          </w:tcPr>
          <w:p w14:paraId="77FB73BE" w14:textId="77777777" w:rsidR="00C238BA" w:rsidRPr="001F3737" w:rsidRDefault="00C238BA" w:rsidP="001F3737">
            <w:pPr>
              <w:tabs>
                <w:tab w:val="decimal" w:pos="724"/>
              </w:tabs>
              <w:spacing w:line="360" w:lineRule="auto"/>
              <w:jc w:val="both"/>
              <w:rPr>
                <w:rFonts w:ascii="Book Antiqua" w:hAnsi="Book Antiqua"/>
              </w:rPr>
            </w:pPr>
          </w:p>
        </w:tc>
        <w:tc>
          <w:tcPr>
            <w:tcW w:w="342" w:type="pct"/>
            <w:tcBorders>
              <w:top w:val="nil"/>
              <w:left w:val="nil"/>
              <w:bottom w:val="nil"/>
              <w:right w:val="nil"/>
            </w:tcBorders>
            <w:noWrap/>
            <w:vAlign w:val="bottom"/>
            <w:hideMark/>
          </w:tcPr>
          <w:p w14:paraId="04942FBF" w14:textId="77777777" w:rsidR="00C238BA" w:rsidRPr="001F3737" w:rsidRDefault="00C238BA" w:rsidP="001F3737">
            <w:pPr>
              <w:spacing w:line="360" w:lineRule="auto"/>
              <w:jc w:val="both"/>
              <w:rPr>
                <w:rFonts w:ascii="Book Antiqua" w:hAnsi="Book Antiqua"/>
              </w:rPr>
            </w:pPr>
            <w:r w:rsidRPr="001F3737">
              <w:rPr>
                <w:rFonts w:ascii="Book Antiqua" w:hAnsi="Book Antiqua"/>
              </w:rPr>
              <w:t>0.577</w:t>
            </w:r>
          </w:p>
        </w:tc>
        <w:tc>
          <w:tcPr>
            <w:tcW w:w="717" w:type="pct"/>
            <w:tcBorders>
              <w:top w:val="nil"/>
              <w:left w:val="nil"/>
              <w:bottom w:val="nil"/>
              <w:right w:val="nil"/>
            </w:tcBorders>
            <w:noWrap/>
            <w:vAlign w:val="bottom"/>
            <w:hideMark/>
          </w:tcPr>
          <w:p w14:paraId="43F85F45" w14:textId="77777777" w:rsidR="00C238BA" w:rsidRPr="001F3737" w:rsidRDefault="00C238BA" w:rsidP="001F3737">
            <w:pPr>
              <w:tabs>
                <w:tab w:val="decimal" w:pos="661"/>
              </w:tabs>
              <w:spacing w:line="360" w:lineRule="auto"/>
              <w:jc w:val="both"/>
              <w:rPr>
                <w:rFonts w:ascii="Book Antiqua" w:hAnsi="Book Antiqua"/>
              </w:rPr>
            </w:pPr>
          </w:p>
        </w:tc>
        <w:tc>
          <w:tcPr>
            <w:tcW w:w="581" w:type="pct"/>
            <w:tcBorders>
              <w:top w:val="nil"/>
              <w:left w:val="nil"/>
              <w:bottom w:val="nil"/>
              <w:right w:val="nil"/>
            </w:tcBorders>
            <w:noWrap/>
            <w:vAlign w:val="bottom"/>
            <w:hideMark/>
          </w:tcPr>
          <w:p w14:paraId="2A6BAC57" w14:textId="77777777" w:rsidR="00C238BA" w:rsidRPr="001F3737" w:rsidRDefault="00C238BA" w:rsidP="001F3737">
            <w:pPr>
              <w:tabs>
                <w:tab w:val="decimal" w:pos="586"/>
              </w:tabs>
              <w:spacing w:line="360" w:lineRule="auto"/>
              <w:jc w:val="both"/>
              <w:rPr>
                <w:rFonts w:ascii="Book Antiqua" w:hAnsi="Book Antiqua"/>
              </w:rPr>
            </w:pPr>
          </w:p>
        </w:tc>
        <w:tc>
          <w:tcPr>
            <w:tcW w:w="348" w:type="pct"/>
            <w:tcBorders>
              <w:top w:val="nil"/>
              <w:left w:val="nil"/>
              <w:bottom w:val="nil"/>
              <w:right w:val="nil"/>
            </w:tcBorders>
            <w:noWrap/>
            <w:vAlign w:val="bottom"/>
            <w:hideMark/>
          </w:tcPr>
          <w:p w14:paraId="7FBF4A03" w14:textId="77777777" w:rsidR="00C238BA" w:rsidRPr="001F3737" w:rsidRDefault="00C238BA" w:rsidP="001F3737">
            <w:pPr>
              <w:spacing w:line="360" w:lineRule="auto"/>
              <w:jc w:val="both"/>
              <w:rPr>
                <w:rFonts w:ascii="Book Antiqua" w:hAnsi="Book Antiqua"/>
              </w:rPr>
            </w:pPr>
            <w:r w:rsidRPr="001F3737">
              <w:rPr>
                <w:rFonts w:ascii="Book Antiqua" w:hAnsi="Book Antiqua"/>
              </w:rPr>
              <w:t>0.903</w:t>
            </w:r>
          </w:p>
        </w:tc>
      </w:tr>
      <w:tr w:rsidR="00C238BA" w:rsidRPr="001F3737" w14:paraId="31132F60" w14:textId="77777777" w:rsidTr="00C238BA">
        <w:trPr>
          <w:cantSplit/>
        </w:trPr>
        <w:tc>
          <w:tcPr>
            <w:tcW w:w="1373" w:type="pct"/>
            <w:tcBorders>
              <w:top w:val="nil"/>
              <w:left w:val="nil"/>
              <w:bottom w:val="nil"/>
              <w:right w:val="nil"/>
            </w:tcBorders>
            <w:noWrap/>
            <w:vAlign w:val="bottom"/>
            <w:hideMark/>
          </w:tcPr>
          <w:p w14:paraId="29F15AA7"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Commercial</w:t>
            </w:r>
          </w:p>
        </w:tc>
        <w:tc>
          <w:tcPr>
            <w:tcW w:w="819" w:type="pct"/>
            <w:tcBorders>
              <w:top w:val="nil"/>
              <w:left w:val="nil"/>
              <w:bottom w:val="nil"/>
              <w:right w:val="nil"/>
            </w:tcBorders>
            <w:noWrap/>
            <w:vAlign w:val="bottom"/>
            <w:hideMark/>
          </w:tcPr>
          <w:p w14:paraId="2B2F8ED6" w14:textId="63294086" w:rsidR="00C238BA" w:rsidRPr="001F3737" w:rsidRDefault="00CC1953" w:rsidP="001F3737">
            <w:pPr>
              <w:tabs>
                <w:tab w:val="decimal" w:pos="618"/>
              </w:tabs>
              <w:spacing w:line="360" w:lineRule="auto"/>
              <w:jc w:val="both"/>
              <w:rPr>
                <w:rFonts w:ascii="Book Antiqua" w:hAnsi="Book Antiqua"/>
              </w:rPr>
            </w:pPr>
            <w:r>
              <w:rPr>
                <w:rFonts w:ascii="Book Antiqua" w:hAnsi="Book Antiqua"/>
              </w:rPr>
              <w:t>49 (32.2</w:t>
            </w:r>
            <w:r w:rsidR="00C238BA" w:rsidRPr="001F3737">
              <w:rPr>
                <w:rFonts w:ascii="Book Antiqua" w:hAnsi="Book Antiqua"/>
              </w:rPr>
              <w:t>)</w:t>
            </w:r>
          </w:p>
        </w:tc>
        <w:tc>
          <w:tcPr>
            <w:tcW w:w="820" w:type="pct"/>
            <w:tcBorders>
              <w:top w:val="nil"/>
              <w:left w:val="nil"/>
              <w:bottom w:val="nil"/>
              <w:right w:val="nil"/>
            </w:tcBorders>
            <w:noWrap/>
            <w:vAlign w:val="bottom"/>
            <w:hideMark/>
          </w:tcPr>
          <w:p w14:paraId="5A877D3C" w14:textId="4B2C53D0" w:rsidR="00C238BA" w:rsidRPr="001F3737" w:rsidRDefault="00780CEC" w:rsidP="001F3737">
            <w:pPr>
              <w:tabs>
                <w:tab w:val="decimal" w:pos="724"/>
              </w:tabs>
              <w:spacing w:line="360" w:lineRule="auto"/>
              <w:jc w:val="both"/>
              <w:rPr>
                <w:rFonts w:ascii="Book Antiqua" w:hAnsi="Book Antiqua"/>
              </w:rPr>
            </w:pPr>
            <w:r w:rsidRPr="001F3737">
              <w:rPr>
                <w:rFonts w:ascii="Book Antiqua" w:hAnsi="Book Antiqua"/>
              </w:rPr>
              <w:t>1</w:t>
            </w:r>
            <w:r w:rsidR="00C238BA" w:rsidRPr="001F3737">
              <w:rPr>
                <w:rFonts w:ascii="Book Antiqua" w:hAnsi="Book Antiqua"/>
              </w:rPr>
              <w:t>166 (39.0%)</w:t>
            </w:r>
          </w:p>
        </w:tc>
        <w:tc>
          <w:tcPr>
            <w:tcW w:w="342" w:type="pct"/>
            <w:tcBorders>
              <w:top w:val="nil"/>
              <w:left w:val="nil"/>
              <w:bottom w:val="nil"/>
              <w:right w:val="nil"/>
            </w:tcBorders>
            <w:noWrap/>
            <w:vAlign w:val="bottom"/>
            <w:hideMark/>
          </w:tcPr>
          <w:p w14:paraId="1ADC4A4E"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101B4E35" w14:textId="12C48E4E" w:rsidR="00C238BA" w:rsidRPr="001F3737" w:rsidRDefault="00CC1953" w:rsidP="001F3737">
            <w:pPr>
              <w:tabs>
                <w:tab w:val="decimal" w:pos="661"/>
              </w:tabs>
              <w:spacing w:line="360" w:lineRule="auto"/>
              <w:jc w:val="both"/>
              <w:rPr>
                <w:rFonts w:ascii="Book Antiqua" w:hAnsi="Book Antiqua"/>
              </w:rPr>
            </w:pPr>
            <w:r>
              <w:rPr>
                <w:rFonts w:ascii="Book Antiqua" w:hAnsi="Book Antiqua"/>
              </w:rPr>
              <w:t>49 (34.0</w:t>
            </w:r>
            <w:r w:rsidR="00C238BA" w:rsidRPr="001F3737">
              <w:rPr>
                <w:rFonts w:ascii="Book Antiqua" w:hAnsi="Book Antiqua"/>
              </w:rPr>
              <w:t>)</w:t>
            </w:r>
          </w:p>
        </w:tc>
        <w:tc>
          <w:tcPr>
            <w:tcW w:w="581" w:type="pct"/>
            <w:tcBorders>
              <w:top w:val="nil"/>
              <w:left w:val="nil"/>
              <w:bottom w:val="nil"/>
              <w:right w:val="nil"/>
            </w:tcBorders>
            <w:noWrap/>
            <w:vAlign w:val="bottom"/>
            <w:hideMark/>
          </w:tcPr>
          <w:p w14:paraId="0293FFC1" w14:textId="36D1A554" w:rsidR="00C238BA" w:rsidRPr="001F3737" w:rsidRDefault="00CC1953" w:rsidP="001F3737">
            <w:pPr>
              <w:tabs>
                <w:tab w:val="decimal" w:pos="586"/>
              </w:tabs>
              <w:spacing w:line="360" w:lineRule="auto"/>
              <w:jc w:val="both"/>
              <w:rPr>
                <w:rFonts w:ascii="Book Antiqua" w:hAnsi="Book Antiqua"/>
              </w:rPr>
            </w:pPr>
            <w:r>
              <w:rPr>
                <w:rFonts w:ascii="Book Antiqua" w:hAnsi="Book Antiqua"/>
              </w:rPr>
              <w:t>234 (32.5</w:t>
            </w:r>
            <w:r w:rsidR="00C238BA" w:rsidRPr="001F3737">
              <w:rPr>
                <w:rFonts w:ascii="Book Antiqua" w:hAnsi="Book Antiqua"/>
              </w:rPr>
              <w:t>)</w:t>
            </w:r>
          </w:p>
        </w:tc>
        <w:tc>
          <w:tcPr>
            <w:tcW w:w="348" w:type="pct"/>
            <w:tcBorders>
              <w:top w:val="nil"/>
              <w:left w:val="nil"/>
              <w:bottom w:val="nil"/>
              <w:right w:val="nil"/>
            </w:tcBorders>
            <w:noWrap/>
            <w:vAlign w:val="bottom"/>
            <w:hideMark/>
          </w:tcPr>
          <w:p w14:paraId="02C740F2" w14:textId="77777777" w:rsidR="00C238BA" w:rsidRPr="001F3737" w:rsidRDefault="00C238BA" w:rsidP="001F3737">
            <w:pPr>
              <w:spacing w:line="360" w:lineRule="auto"/>
              <w:jc w:val="both"/>
              <w:rPr>
                <w:rFonts w:ascii="Book Antiqua" w:hAnsi="Book Antiqua"/>
              </w:rPr>
            </w:pPr>
          </w:p>
        </w:tc>
      </w:tr>
      <w:tr w:rsidR="00C238BA" w:rsidRPr="001F3737" w14:paraId="0420BEB6" w14:textId="77777777" w:rsidTr="00C238BA">
        <w:trPr>
          <w:cantSplit/>
        </w:trPr>
        <w:tc>
          <w:tcPr>
            <w:tcW w:w="1373" w:type="pct"/>
            <w:tcBorders>
              <w:top w:val="nil"/>
              <w:left w:val="nil"/>
              <w:bottom w:val="nil"/>
              <w:right w:val="nil"/>
            </w:tcBorders>
            <w:noWrap/>
            <w:vAlign w:val="bottom"/>
            <w:hideMark/>
          </w:tcPr>
          <w:p w14:paraId="480D4DD6"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Medicare</w:t>
            </w:r>
          </w:p>
        </w:tc>
        <w:tc>
          <w:tcPr>
            <w:tcW w:w="819" w:type="pct"/>
            <w:tcBorders>
              <w:top w:val="nil"/>
              <w:left w:val="nil"/>
              <w:bottom w:val="nil"/>
              <w:right w:val="nil"/>
            </w:tcBorders>
            <w:noWrap/>
            <w:vAlign w:val="bottom"/>
            <w:hideMark/>
          </w:tcPr>
          <w:p w14:paraId="416FE661" w14:textId="6BF6F47E" w:rsidR="00C238BA" w:rsidRPr="001F3737" w:rsidRDefault="00CC1953" w:rsidP="001F3737">
            <w:pPr>
              <w:tabs>
                <w:tab w:val="decimal" w:pos="618"/>
              </w:tabs>
              <w:spacing w:line="360" w:lineRule="auto"/>
              <w:jc w:val="both"/>
              <w:rPr>
                <w:rFonts w:ascii="Book Antiqua" w:hAnsi="Book Antiqua"/>
              </w:rPr>
            </w:pPr>
            <w:r>
              <w:rPr>
                <w:rFonts w:ascii="Book Antiqua" w:hAnsi="Book Antiqua"/>
              </w:rPr>
              <w:t>21 (13.8</w:t>
            </w:r>
            <w:r w:rsidR="00C238BA" w:rsidRPr="001F3737">
              <w:rPr>
                <w:rFonts w:ascii="Book Antiqua" w:hAnsi="Book Antiqua"/>
              </w:rPr>
              <w:t>)</w:t>
            </w:r>
          </w:p>
        </w:tc>
        <w:tc>
          <w:tcPr>
            <w:tcW w:w="820" w:type="pct"/>
            <w:tcBorders>
              <w:top w:val="nil"/>
              <w:left w:val="nil"/>
              <w:bottom w:val="nil"/>
              <w:right w:val="nil"/>
            </w:tcBorders>
            <w:noWrap/>
            <w:vAlign w:val="bottom"/>
            <w:hideMark/>
          </w:tcPr>
          <w:p w14:paraId="7CE5F6B2" w14:textId="4371CDAB" w:rsidR="00C238BA" w:rsidRPr="001F3737" w:rsidRDefault="00CC1953" w:rsidP="001F3737">
            <w:pPr>
              <w:tabs>
                <w:tab w:val="decimal" w:pos="724"/>
              </w:tabs>
              <w:spacing w:line="360" w:lineRule="auto"/>
              <w:jc w:val="both"/>
              <w:rPr>
                <w:rFonts w:ascii="Book Antiqua" w:hAnsi="Book Antiqua"/>
              </w:rPr>
            </w:pPr>
            <w:r>
              <w:rPr>
                <w:rFonts w:ascii="Book Antiqua" w:hAnsi="Book Antiqua"/>
              </w:rPr>
              <w:t>362 (12.1</w:t>
            </w:r>
            <w:r w:rsidR="00C238BA" w:rsidRPr="001F3737">
              <w:rPr>
                <w:rFonts w:ascii="Book Antiqua" w:hAnsi="Book Antiqua"/>
              </w:rPr>
              <w:t>)</w:t>
            </w:r>
          </w:p>
        </w:tc>
        <w:tc>
          <w:tcPr>
            <w:tcW w:w="342" w:type="pct"/>
            <w:tcBorders>
              <w:top w:val="nil"/>
              <w:left w:val="nil"/>
              <w:bottom w:val="nil"/>
              <w:right w:val="nil"/>
            </w:tcBorders>
            <w:noWrap/>
            <w:vAlign w:val="bottom"/>
            <w:hideMark/>
          </w:tcPr>
          <w:p w14:paraId="1D35F43E"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nil"/>
              <w:right w:val="nil"/>
            </w:tcBorders>
            <w:noWrap/>
            <w:vAlign w:val="bottom"/>
            <w:hideMark/>
          </w:tcPr>
          <w:p w14:paraId="39E79F74" w14:textId="0E0FE2DF" w:rsidR="00C238BA" w:rsidRPr="001F3737" w:rsidRDefault="00C238BA" w:rsidP="001F3737">
            <w:pPr>
              <w:tabs>
                <w:tab w:val="decimal" w:pos="661"/>
              </w:tabs>
              <w:spacing w:line="360" w:lineRule="auto"/>
              <w:jc w:val="both"/>
              <w:rPr>
                <w:rFonts w:ascii="Book Antiqua" w:hAnsi="Book Antiqua"/>
              </w:rPr>
            </w:pPr>
            <w:r w:rsidRPr="001F3737">
              <w:rPr>
                <w:rFonts w:ascii="Book Antiqua" w:hAnsi="Book Antiqua"/>
              </w:rPr>
              <w:t xml:space="preserve">21 </w:t>
            </w:r>
            <w:r w:rsidR="00CC1953">
              <w:rPr>
                <w:rFonts w:ascii="Book Antiqua" w:hAnsi="Book Antiqua"/>
              </w:rPr>
              <w:t>(14.6</w:t>
            </w:r>
            <w:r w:rsidRPr="001F3737">
              <w:rPr>
                <w:rFonts w:ascii="Book Antiqua" w:hAnsi="Book Antiqua"/>
              </w:rPr>
              <w:t>)</w:t>
            </w:r>
          </w:p>
        </w:tc>
        <w:tc>
          <w:tcPr>
            <w:tcW w:w="581" w:type="pct"/>
            <w:tcBorders>
              <w:top w:val="nil"/>
              <w:left w:val="nil"/>
              <w:bottom w:val="nil"/>
              <w:right w:val="nil"/>
            </w:tcBorders>
            <w:noWrap/>
            <w:vAlign w:val="bottom"/>
            <w:hideMark/>
          </w:tcPr>
          <w:p w14:paraId="05DCF013" w14:textId="238109F9" w:rsidR="00C238BA" w:rsidRPr="001F3737" w:rsidRDefault="00CC1953" w:rsidP="001F3737">
            <w:pPr>
              <w:tabs>
                <w:tab w:val="decimal" w:pos="586"/>
              </w:tabs>
              <w:spacing w:line="360" w:lineRule="auto"/>
              <w:jc w:val="both"/>
              <w:rPr>
                <w:rFonts w:ascii="Book Antiqua" w:hAnsi="Book Antiqua"/>
              </w:rPr>
            </w:pPr>
            <w:r>
              <w:rPr>
                <w:rFonts w:ascii="Book Antiqua" w:hAnsi="Book Antiqua"/>
              </w:rPr>
              <w:t>111 (15.4</w:t>
            </w:r>
            <w:r w:rsidR="00C238BA" w:rsidRPr="001F3737">
              <w:rPr>
                <w:rFonts w:ascii="Book Antiqua" w:hAnsi="Book Antiqua"/>
              </w:rPr>
              <w:t>)</w:t>
            </w:r>
          </w:p>
        </w:tc>
        <w:tc>
          <w:tcPr>
            <w:tcW w:w="348" w:type="pct"/>
            <w:tcBorders>
              <w:top w:val="nil"/>
              <w:left w:val="nil"/>
              <w:bottom w:val="nil"/>
              <w:right w:val="nil"/>
            </w:tcBorders>
            <w:noWrap/>
            <w:vAlign w:val="bottom"/>
            <w:hideMark/>
          </w:tcPr>
          <w:p w14:paraId="07F2AE98" w14:textId="77777777" w:rsidR="00C238BA" w:rsidRPr="001F3737" w:rsidRDefault="00C238BA" w:rsidP="001F3737">
            <w:pPr>
              <w:spacing w:line="360" w:lineRule="auto"/>
              <w:jc w:val="both"/>
              <w:rPr>
                <w:rFonts w:ascii="Book Antiqua" w:hAnsi="Book Antiqua"/>
              </w:rPr>
            </w:pPr>
          </w:p>
        </w:tc>
      </w:tr>
      <w:tr w:rsidR="00C238BA" w:rsidRPr="001F3737" w14:paraId="636DF090" w14:textId="77777777" w:rsidTr="003A0566">
        <w:trPr>
          <w:cantSplit/>
        </w:trPr>
        <w:tc>
          <w:tcPr>
            <w:tcW w:w="1373" w:type="pct"/>
            <w:tcBorders>
              <w:top w:val="nil"/>
              <w:left w:val="nil"/>
              <w:right w:val="nil"/>
            </w:tcBorders>
            <w:noWrap/>
            <w:vAlign w:val="bottom"/>
            <w:hideMark/>
          </w:tcPr>
          <w:p w14:paraId="7740F626"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Medicaid</w:t>
            </w:r>
          </w:p>
        </w:tc>
        <w:tc>
          <w:tcPr>
            <w:tcW w:w="819" w:type="pct"/>
            <w:tcBorders>
              <w:top w:val="nil"/>
              <w:left w:val="nil"/>
              <w:right w:val="nil"/>
            </w:tcBorders>
            <w:noWrap/>
            <w:vAlign w:val="bottom"/>
            <w:hideMark/>
          </w:tcPr>
          <w:p w14:paraId="12300C30" w14:textId="4F6B30B7" w:rsidR="00C238BA" w:rsidRPr="001F3737" w:rsidRDefault="00CC1953" w:rsidP="001F3737">
            <w:pPr>
              <w:tabs>
                <w:tab w:val="decimal" w:pos="618"/>
              </w:tabs>
              <w:spacing w:line="360" w:lineRule="auto"/>
              <w:jc w:val="both"/>
              <w:rPr>
                <w:rFonts w:ascii="Book Antiqua" w:hAnsi="Book Antiqua"/>
              </w:rPr>
            </w:pPr>
            <w:r>
              <w:rPr>
                <w:rFonts w:ascii="Book Antiqua" w:hAnsi="Book Antiqua"/>
              </w:rPr>
              <w:t>73 (48.0</w:t>
            </w:r>
            <w:r w:rsidR="00C238BA" w:rsidRPr="001F3737">
              <w:rPr>
                <w:rFonts w:ascii="Book Antiqua" w:hAnsi="Book Antiqua"/>
              </w:rPr>
              <w:t>)</w:t>
            </w:r>
          </w:p>
        </w:tc>
        <w:tc>
          <w:tcPr>
            <w:tcW w:w="820" w:type="pct"/>
            <w:tcBorders>
              <w:top w:val="nil"/>
              <w:left w:val="nil"/>
              <w:right w:val="nil"/>
            </w:tcBorders>
            <w:noWrap/>
            <w:vAlign w:val="bottom"/>
            <w:hideMark/>
          </w:tcPr>
          <w:p w14:paraId="585054FE" w14:textId="1EBA25A8" w:rsidR="00C238BA" w:rsidRPr="001F3737" w:rsidRDefault="00780CEC" w:rsidP="001F3737">
            <w:pPr>
              <w:tabs>
                <w:tab w:val="decimal" w:pos="724"/>
              </w:tabs>
              <w:spacing w:line="360" w:lineRule="auto"/>
              <w:jc w:val="both"/>
              <w:rPr>
                <w:rFonts w:ascii="Book Antiqua" w:hAnsi="Book Antiqua"/>
              </w:rPr>
            </w:pPr>
            <w:r w:rsidRPr="001F3737">
              <w:rPr>
                <w:rFonts w:ascii="Book Antiqua" w:hAnsi="Book Antiqua"/>
              </w:rPr>
              <w:t>1</w:t>
            </w:r>
            <w:r w:rsidR="00CC1953">
              <w:rPr>
                <w:rFonts w:ascii="Book Antiqua" w:hAnsi="Book Antiqua"/>
              </w:rPr>
              <w:t>302 (43.5</w:t>
            </w:r>
            <w:r w:rsidR="00C238BA" w:rsidRPr="001F3737">
              <w:rPr>
                <w:rFonts w:ascii="Book Antiqua" w:hAnsi="Book Antiqua"/>
              </w:rPr>
              <w:t>)</w:t>
            </w:r>
          </w:p>
        </w:tc>
        <w:tc>
          <w:tcPr>
            <w:tcW w:w="342" w:type="pct"/>
            <w:tcBorders>
              <w:top w:val="nil"/>
              <w:left w:val="nil"/>
              <w:right w:val="nil"/>
            </w:tcBorders>
            <w:noWrap/>
            <w:vAlign w:val="bottom"/>
            <w:hideMark/>
          </w:tcPr>
          <w:p w14:paraId="1CD98006" w14:textId="77777777" w:rsidR="00C238BA" w:rsidRPr="001F3737" w:rsidRDefault="00C238BA" w:rsidP="001F3737">
            <w:pPr>
              <w:spacing w:line="360" w:lineRule="auto"/>
              <w:jc w:val="both"/>
              <w:rPr>
                <w:rFonts w:ascii="Book Antiqua" w:hAnsi="Book Antiqua"/>
              </w:rPr>
            </w:pPr>
          </w:p>
        </w:tc>
        <w:tc>
          <w:tcPr>
            <w:tcW w:w="717" w:type="pct"/>
            <w:tcBorders>
              <w:top w:val="nil"/>
              <w:left w:val="nil"/>
              <w:right w:val="nil"/>
            </w:tcBorders>
            <w:noWrap/>
            <w:vAlign w:val="bottom"/>
            <w:hideMark/>
          </w:tcPr>
          <w:p w14:paraId="5F11214C" w14:textId="22427B85" w:rsidR="00C238BA" w:rsidRPr="001F3737" w:rsidRDefault="00CC1953" w:rsidP="001F3737">
            <w:pPr>
              <w:tabs>
                <w:tab w:val="decimal" w:pos="661"/>
              </w:tabs>
              <w:spacing w:line="360" w:lineRule="auto"/>
              <w:jc w:val="both"/>
              <w:rPr>
                <w:rFonts w:ascii="Book Antiqua" w:hAnsi="Book Antiqua"/>
              </w:rPr>
            </w:pPr>
            <w:r>
              <w:rPr>
                <w:rFonts w:ascii="Book Antiqua" w:hAnsi="Book Antiqua"/>
              </w:rPr>
              <w:t>65 (45.1</w:t>
            </w:r>
            <w:r w:rsidR="00C238BA" w:rsidRPr="001F3737">
              <w:rPr>
                <w:rFonts w:ascii="Book Antiqua" w:hAnsi="Book Antiqua"/>
              </w:rPr>
              <w:t>)</w:t>
            </w:r>
          </w:p>
        </w:tc>
        <w:tc>
          <w:tcPr>
            <w:tcW w:w="581" w:type="pct"/>
            <w:tcBorders>
              <w:top w:val="nil"/>
              <w:left w:val="nil"/>
              <w:right w:val="nil"/>
            </w:tcBorders>
            <w:noWrap/>
            <w:vAlign w:val="bottom"/>
            <w:hideMark/>
          </w:tcPr>
          <w:p w14:paraId="2F374683" w14:textId="45D3B2B3" w:rsidR="00C238BA" w:rsidRPr="001F3737" w:rsidRDefault="00CC1953" w:rsidP="001F3737">
            <w:pPr>
              <w:tabs>
                <w:tab w:val="decimal" w:pos="586"/>
              </w:tabs>
              <w:spacing w:line="360" w:lineRule="auto"/>
              <w:jc w:val="both"/>
              <w:rPr>
                <w:rFonts w:ascii="Book Antiqua" w:hAnsi="Book Antiqua"/>
              </w:rPr>
            </w:pPr>
            <w:r>
              <w:rPr>
                <w:rFonts w:ascii="Book Antiqua" w:hAnsi="Book Antiqua"/>
              </w:rPr>
              <w:t>341 (47.4</w:t>
            </w:r>
            <w:r w:rsidR="00C238BA" w:rsidRPr="001F3737">
              <w:rPr>
                <w:rFonts w:ascii="Book Antiqua" w:hAnsi="Book Antiqua"/>
              </w:rPr>
              <w:t>)</w:t>
            </w:r>
          </w:p>
        </w:tc>
        <w:tc>
          <w:tcPr>
            <w:tcW w:w="348" w:type="pct"/>
            <w:tcBorders>
              <w:top w:val="nil"/>
              <w:left w:val="nil"/>
              <w:right w:val="nil"/>
            </w:tcBorders>
            <w:noWrap/>
            <w:vAlign w:val="bottom"/>
            <w:hideMark/>
          </w:tcPr>
          <w:p w14:paraId="7698EAA0" w14:textId="77777777" w:rsidR="00C238BA" w:rsidRPr="001F3737" w:rsidRDefault="00C238BA" w:rsidP="001F3737">
            <w:pPr>
              <w:spacing w:line="360" w:lineRule="auto"/>
              <w:jc w:val="both"/>
              <w:rPr>
                <w:rFonts w:ascii="Book Antiqua" w:hAnsi="Book Antiqua"/>
              </w:rPr>
            </w:pPr>
          </w:p>
        </w:tc>
      </w:tr>
      <w:tr w:rsidR="00C238BA" w:rsidRPr="001F3737" w14:paraId="4D77C0D7" w14:textId="77777777" w:rsidTr="003A0566">
        <w:trPr>
          <w:cantSplit/>
        </w:trPr>
        <w:tc>
          <w:tcPr>
            <w:tcW w:w="1373" w:type="pct"/>
            <w:tcBorders>
              <w:top w:val="nil"/>
              <w:left w:val="nil"/>
              <w:bottom w:val="single" w:sz="4" w:space="0" w:color="auto"/>
              <w:right w:val="nil"/>
            </w:tcBorders>
            <w:noWrap/>
            <w:vAlign w:val="bottom"/>
            <w:hideMark/>
          </w:tcPr>
          <w:p w14:paraId="0BB2A8A5"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Other</w:t>
            </w:r>
          </w:p>
        </w:tc>
        <w:tc>
          <w:tcPr>
            <w:tcW w:w="819" w:type="pct"/>
            <w:tcBorders>
              <w:top w:val="nil"/>
              <w:left w:val="nil"/>
              <w:bottom w:val="single" w:sz="4" w:space="0" w:color="auto"/>
              <w:right w:val="nil"/>
            </w:tcBorders>
            <w:noWrap/>
            <w:vAlign w:val="bottom"/>
            <w:hideMark/>
          </w:tcPr>
          <w:p w14:paraId="5FFC7DBC" w14:textId="3FE842C6" w:rsidR="00C238BA" w:rsidRPr="001F3737" w:rsidRDefault="00CC1953" w:rsidP="001F3737">
            <w:pPr>
              <w:tabs>
                <w:tab w:val="decimal" w:pos="618"/>
              </w:tabs>
              <w:spacing w:line="360" w:lineRule="auto"/>
              <w:jc w:val="both"/>
              <w:rPr>
                <w:rFonts w:ascii="Book Antiqua" w:hAnsi="Book Antiqua"/>
              </w:rPr>
            </w:pPr>
            <w:r>
              <w:rPr>
                <w:rFonts w:ascii="Book Antiqua" w:hAnsi="Book Antiqua"/>
              </w:rPr>
              <w:t>9 (5.9</w:t>
            </w:r>
            <w:r w:rsidR="00C238BA" w:rsidRPr="001F3737">
              <w:rPr>
                <w:rFonts w:ascii="Book Antiqua" w:hAnsi="Book Antiqua"/>
              </w:rPr>
              <w:t>)</w:t>
            </w:r>
          </w:p>
        </w:tc>
        <w:tc>
          <w:tcPr>
            <w:tcW w:w="820" w:type="pct"/>
            <w:tcBorders>
              <w:top w:val="nil"/>
              <w:left w:val="nil"/>
              <w:bottom w:val="single" w:sz="4" w:space="0" w:color="auto"/>
              <w:right w:val="nil"/>
            </w:tcBorders>
            <w:noWrap/>
            <w:vAlign w:val="bottom"/>
            <w:hideMark/>
          </w:tcPr>
          <w:p w14:paraId="74706D2F" w14:textId="2BD84C9B" w:rsidR="00C238BA" w:rsidRPr="001F3737" w:rsidRDefault="00CC1953" w:rsidP="001F3737">
            <w:pPr>
              <w:tabs>
                <w:tab w:val="decimal" w:pos="724"/>
              </w:tabs>
              <w:spacing w:line="360" w:lineRule="auto"/>
              <w:jc w:val="both"/>
              <w:rPr>
                <w:rFonts w:ascii="Book Antiqua" w:hAnsi="Book Antiqua"/>
              </w:rPr>
            </w:pPr>
            <w:r>
              <w:rPr>
                <w:rFonts w:ascii="Book Antiqua" w:hAnsi="Book Antiqua"/>
              </w:rPr>
              <w:t>163 (5.5</w:t>
            </w:r>
            <w:r w:rsidR="00C238BA" w:rsidRPr="001F3737">
              <w:rPr>
                <w:rFonts w:ascii="Book Antiqua" w:hAnsi="Book Antiqua"/>
              </w:rPr>
              <w:t>)</w:t>
            </w:r>
          </w:p>
        </w:tc>
        <w:tc>
          <w:tcPr>
            <w:tcW w:w="342" w:type="pct"/>
            <w:tcBorders>
              <w:top w:val="nil"/>
              <w:left w:val="nil"/>
              <w:bottom w:val="single" w:sz="4" w:space="0" w:color="auto"/>
              <w:right w:val="nil"/>
            </w:tcBorders>
            <w:noWrap/>
            <w:vAlign w:val="bottom"/>
            <w:hideMark/>
          </w:tcPr>
          <w:p w14:paraId="1819A6C0" w14:textId="77777777" w:rsidR="00C238BA" w:rsidRPr="001F3737" w:rsidRDefault="00C238BA" w:rsidP="001F3737">
            <w:pPr>
              <w:spacing w:line="360" w:lineRule="auto"/>
              <w:jc w:val="both"/>
              <w:rPr>
                <w:rFonts w:ascii="Book Antiqua" w:hAnsi="Book Antiqua"/>
              </w:rPr>
            </w:pPr>
          </w:p>
        </w:tc>
        <w:tc>
          <w:tcPr>
            <w:tcW w:w="717" w:type="pct"/>
            <w:tcBorders>
              <w:top w:val="nil"/>
              <w:left w:val="nil"/>
              <w:bottom w:val="single" w:sz="4" w:space="0" w:color="auto"/>
              <w:right w:val="nil"/>
            </w:tcBorders>
            <w:noWrap/>
            <w:vAlign w:val="bottom"/>
            <w:hideMark/>
          </w:tcPr>
          <w:p w14:paraId="2B1EE533" w14:textId="198E43A6" w:rsidR="00C238BA" w:rsidRPr="001F3737" w:rsidRDefault="00CC1953" w:rsidP="001F3737">
            <w:pPr>
              <w:tabs>
                <w:tab w:val="decimal" w:pos="661"/>
              </w:tabs>
              <w:spacing w:line="360" w:lineRule="auto"/>
              <w:jc w:val="both"/>
              <w:rPr>
                <w:rFonts w:ascii="Book Antiqua" w:hAnsi="Book Antiqua"/>
              </w:rPr>
            </w:pPr>
            <w:r>
              <w:rPr>
                <w:rFonts w:ascii="Book Antiqua" w:hAnsi="Book Antiqua"/>
              </w:rPr>
              <w:t>9 (6.3</w:t>
            </w:r>
            <w:r w:rsidR="00C238BA" w:rsidRPr="001F3737">
              <w:rPr>
                <w:rFonts w:ascii="Book Antiqua" w:hAnsi="Book Antiqua"/>
              </w:rPr>
              <w:t>)</w:t>
            </w:r>
          </w:p>
        </w:tc>
        <w:tc>
          <w:tcPr>
            <w:tcW w:w="581" w:type="pct"/>
            <w:tcBorders>
              <w:top w:val="nil"/>
              <w:left w:val="nil"/>
              <w:bottom w:val="single" w:sz="4" w:space="0" w:color="auto"/>
              <w:right w:val="nil"/>
            </w:tcBorders>
            <w:noWrap/>
            <w:vAlign w:val="bottom"/>
            <w:hideMark/>
          </w:tcPr>
          <w:p w14:paraId="5B4B9A03" w14:textId="49080594" w:rsidR="00C238BA" w:rsidRPr="001F3737" w:rsidRDefault="00CC1953" w:rsidP="001F3737">
            <w:pPr>
              <w:tabs>
                <w:tab w:val="decimal" w:pos="586"/>
              </w:tabs>
              <w:spacing w:line="360" w:lineRule="auto"/>
              <w:jc w:val="both"/>
              <w:rPr>
                <w:rFonts w:ascii="Book Antiqua" w:hAnsi="Book Antiqua"/>
              </w:rPr>
            </w:pPr>
            <w:r>
              <w:rPr>
                <w:rFonts w:ascii="Book Antiqua" w:hAnsi="Book Antiqua"/>
              </w:rPr>
              <w:t>34 (4.7</w:t>
            </w:r>
            <w:r w:rsidR="00C238BA" w:rsidRPr="001F3737">
              <w:rPr>
                <w:rFonts w:ascii="Book Antiqua" w:hAnsi="Book Antiqua"/>
              </w:rPr>
              <w:t>)</w:t>
            </w:r>
          </w:p>
        </w:tc>
        <w:tc>
          <w:tcPr>
            <w:tcW w:w="348" w:type="pct"/>
            <w:tcBorders>
              <w:top w:val="nil"/>
              <w:left w:val="nil"/>
              <w:bottom w:val="single" w:sz="4" w:space="0" w:color="auto"/>
              <w:right w:val="nil"/>
            </w:tcBorders>
            <w:noWrap/>
            <w:vAlign w:val="bottom"/>
            <w:hideMark/>
          </w:tcPr>
          <w:p w14:paraId="7E603FAD" w14:textId="77777777" w:rsidR="00C238BA" w:rsidRPr="001F3737" w:rsidRDefault="00C238BA" w:rsidP="001F3737">
            <w:pPr>
              <w:spacing w:line="360" w:lineRule="auto"/>
              <w:jc w:val="both"/>
              <w:rPr>
                <w:rFonts w:ascii="Book Antiqua" w:hAnsi="Book Antiqua"/>
              </w:rPr>
            </w:pPr>
          </w:p>
        </w:tc>
      </w:tr>
    </w:tbl>
    <w:p w14:paraId="5CFA500B" w14:textId="5502839A" w:rsidR="00C238BA" w:rsidRPr="001F3737" w:rsidRDefault="0015098C" w:rsidP="001F3737">
      <w:pPr>
        <w:spacing w:line="360" w:lineRule="auto"/>
        <w:jc w:val="both"/>
        <w:rPr>
          <w:rFonts w:ascii="Book Antiqua" w:hAnsi="Book Antiqua"/>
          <w:b/>
        </w:rPr>
      </w:pPr>
      <w:r w:rsidRPr="001F3737">
        <w:rPr>
          <w:rFonts w:ascii="Book Antiqua" w:eastAsia="宋体" w:hAnsi="Book Antiqua"/>
          <w:vertAlign w:val="superscript"/>
          <w:lang w:eastAsia="zh-CN"/>
        </w:rPr>
        <w:t>1</w:t>
      </w:r>
      <w:r w:rsidRPr="001F3737">
        <w:rPr>
          <w:rFonts w:ascii="Book Antiqua" w:hAnsi="Book Antiqua"/>
        </w:rPr>
        <w:t>Excluding primary malignancy, metastatic solid tumor, mild liver disease, moderate or severe liver disease</w:t>
      </w:r>
      <w:r w:rsidRPr="001F3737">
        <w:rPr>
          <w:rFonts w:ascii="Book Antiqua" w:eastAsia="宋体" w:hAnsi="Book Antiqua"/>
          <w:lang w:eastAsia="zh-CN"/>
        </w:rPr>
        <w:t>.</w:t>
      </w:r>
      <w:r w:rsidRPr="001F3737">
        <w:rPr>
          <w:rFonts w:ascii="Book Antiqua" w:hAnsi="Book Antiqua"/>
          <w:b/>
        </w:rPr>
        <w:t xml:space="preserve"> </w:t>
      </w:r>
      <w:r w:rsidR="00C238BA" w:rsidRPr="001F3737">
        <w:rPr>
          <w:rFonts w:ascii="Book Antiqua" w:hAnsi="Book Antiqua"/>
          <w:i/>
        </w:rPr>
        <w:t>P</w:t>
      </w:r>
      <w:r w:rsidR="00C238BA" w:rsidRPr="001F3737">
        <w:rPr>
          <w:rFonts w:ascii="Book Antiqua" w:hAnsi="Book Antiqua"/>
        </w:rPr>
        <w:t xml:space="preserve"> values were calculated with the </w:t>
      </w:r>
      <w:r w:rsidR="00780CEC" w:rsidRPr="001F3737">
        <w:rPr>
          <w:rFonts w:ascii="Book Antiqua" w:hAnsi="Book Antiqua"/>
        </w:rPr>
        <w:sym w:font="Symbol" w:char="F063"/>
      </w:r>
      <w:r w:rsidR="00C238BA" w:rsidRPr="001F3737">
        <w:rPr>
          <w:rFonts w:ascii="Book Antiqua" w:hAnsi="Book Antiqua"/>
          <w:b/>
          <w:vertAlign w:val="superscript"/>
        </w:rPr>
        <w:t xml:space="preserve">2 </w:t>
      </w:r>
      <w:r w:rsidR="00C238BA" w:rsidRPr="001F3737">
        <w:rPr>
          <w:rFonts w:ascii="Book Antiqua" w:hAnsi="Book Antiqua"/>
        </w:rPr>
        <w:t xml:space="preserve">test (or Fisher's Exact where cell frequencies &lt; 10), </w:t>
      </w:r>
      <w:r w:rsidR="00C238BA" w:rsidRPr="00CC1953">
        <w:rPr>
          <w:rFonts w:ascii="Book Antiqua" w:hAnsi="Book Antiqua"/>
          <w:i/>
        </w:rPr>
        <w:t>t</w:t>
      </w:r>
      <w:r w:rsidR="00C238BA" w:rsidRPr="001F3737">
        <w:rPr>
          <w:rFonts w:ascii="Book Antiqua" w:hAnsi="Book Antiqua"/>
        </w:rPr>
        <w:t xml:space="preserve">-test (or Wilcoxon Mann-Whitney test for skewed distributions). </w:t>
      </w:r>
      <w:r w:rsidR="00780CEC" w:rsidRPr="001F3737">
        <w:rPr>
          <w:rFonts w:ascii="Book Antiqua" w:eastAsia="宋体" w:hAnsi="Book Antiqua"/>
          <w:lang w:eastAsia="zh-CN"/>
        </w:rPr>
        <w:t xml:space="preserve"> </w:t>
      </w:r>
      <w:r w:rsidR="00C238BA" w:rsidRPr="001F3737">
        <w:rPr>
          <w:rFonts w:ascii="Book Antiqua" w:hAnsi="Book Antiqua"/>
        </w:rPr>
        <w:t>SCBS: Saline-coupled bipolar sealer</w:t>
      </w:r>
      <w:r w:rsidR="00780CEC" w:rsidRPr="001F3737">
        <w:rPr>
          <w:rFonts w:ascii="Book Antiqua" w:eastAsia="宋体" w:hAnsi="Book Antiqua"/>
          <w:lang w:eastAsia="zh-CN"/>
        </w:rPr>
        <w:t>.</w:t>
      </w:r>
    </w:p>
    <w:p w14:paraId="1692532A" w14:textId="77777777" w:rsidR="003A0566" w:rsidRPr="001F3737" w:rsidRDefault="003A0566" w:rsidP="001F3737">
      <w:pPr>
        <w:spacing w:line="360" w:lineRule="auto"/>
        <w:jc w:val="both"/>
        <w:rPr>
          <w:rFonts w:ascii="Book Antiqua" w:hAnsi="Book Antiqua"/>
          <w:b/>
        </w:rPr>
      </w:pPr>
    </w:p>
    <w:p w14:paraId="068D29DC" w14:textId="77777777" w:rsidR="003A0566" w:rsidRPr="001F3737" w:rsidRDefault="003A0566" w:rsidP="001F3737">
      <w:pPr>
        <w:spacing w:line="360" w:lineRule="auto"/>
        <w:jc w:val="both"/>
        <w:rPr>
          <w:rFonts w:ascii="Book Antiqua" w:hAnsi="Book Antiqua"/>
          <w:b/>
        </w:rPr>
      </w:pPr>
    </w:p>
    <w:p w14:paraId="708B87DA" w14:textId="77777777" w:rsidR="003A0566" w:rsidRPr="001F3737" w:rsidRDefault="003A0566" w:rsidP="001F3737">
      <w:pPr>
        <w:spacing w:line="360" w:lineRule="auto"/>
        <w:jc w:val="both"/>
        <w:rPr>
          <w:rFonts w:ascii="Book Antiqua" w:hAnsi="Book Antiqua"/>
          <w:b/>
        </w:rPr>
      </w:pPr>
    </w:p>
    <w:p w14:paraId="33E7B979" w14:textId="77777777" w:rsidR="003A0566" w:rsidRPr="001F3737" w:rsidRDefault="003A0566" w:rsidP="001F3737">
      <w:pPr>
        <w:spacing w:line="360" w:lineRule="auto"/>
        <w:jc w:val="both"/>
        <w:rPr>
          <w:rFonts w:ascii="Book Antiqua" w:hAnsi="Book Antiqua"/>
          <w:b/>
        </w:rPr>
      </w:pPr>
    </w:p>
    <w:p w14:paraId="6A39F03C" w14:textId="77777777" w:rsidR="00780CEC" w:rsidRPr="001F3737" w:rsidRDefault="00780CEC" w:rsidP="001F3737">
      <w:pPr>
        <w:spacing w:line="360" w:lineRule="auto"/>
        <w:jc w:val="both"/>
        <w:rPr>
          <w:rFonts w:ascii="Book Antiqua" w:hAnsi="Book Antiqua"/>
          <w:b/>
        </w:rPr>
      </w:pPr>
      <w:r w:rsidRPr="001F3737">
        <w:rPr>
          <w:rFonts w:ascii="Book Antiqua" w:hAnsi="Book Antiqua"/>
          <w:b/>
        </w:rPr>
        <w:br w:type="page"/>
      </w:r>
    </w:p>
    <w:p w14:paraId="04B99341" w14:textId="545417C3" w:rsidR="003A0566" w:rsidRPr="00A6473E" w:rsidRDefault="00780CEC" w:rsidP="001F3737">
      <w:pPr>
        <w:spacing w:line="360" w:lineRule="auto"/>
        <w:jc w:val="both"/>
        <w:rPr>
          <w:rFonts w:ascii="Book Antiqua" w:hAnsi="Book Antiqua"/>
          <w:b/>
        </w:rPr>
      </w:pPr>
      <w:r w:rsidRPr="001F3737">
        <w:rPr>
          <w:rFonts w:ascii="Book Antiqua" w:hAnsi="Book Antiqua"/>
          <w:b/>
        </w:rPr>
        <w:lastRenderedPageBreak/>
        <w:t>Table 3</w:t>
      </w:r>
      <w:r w:rsidR="003A0566" w:rsidRPr="001F3737">
        <w:rPr>
          <w:rFonts w:ascii="Book Antiqua" w:hAnsi="Book Antiqua"/>
          <w:b/>
        </w:rPr>
        <w:t xml:space="preserve"> Clinical </w:t>
      </w:r>
      <w:r w:rsidRPr="001F3737">
        <w:rPr>
          <w:rFonts w:ascii="Book Antiqua" w:hAnsi="Book Antiqua"/>
          <w:b/>
        </w:rPr>
        <w:t>characteristics</w:t>
      </w:r>
      <w:r w:rsidR="00A6473E" w:rsidRPr="00A6473E">
        <w:rPr>
          <w:rFonts w:ascii="Book Antiqua" w:eastAsia="宋体" w:hAnsi="Book Antiqua"/>
          <w:b/>
          <w:i/>
          <w:lang w:eastAsia="zh-CN"/>
        </w:rPr>
        <w:t xml:space="preserve"> n </w:t>
      </w:r>
      <w:r w:rsidR="00A6473E" w:rsidRPr="00A6473E">
        <w:rPr>
          <w:rFonts w:ascii="Book Antiqua" w:eastAsia="宋体" w:hAnsi="Book Antiqua"/>
          <w:b/>
          <w:lang w:eastAsia="zh-CN"/>
        </w:rPr>
        <w:t>(%)</w:t>
      </w:r>
    </w:p>
    <w:tbl>
      <w:tblPr>
        <w:tblW w:w="5000" w:type="pct"/>
        <w:tblLayout w:type="fixed"/>
        <w:tblLook w:val="04A0" w:firstRow="1" w:lastRow="0" w:firstColumn="1" w:lastColumn="0" w:noHBand="0" w:noVBand="1"/>
      </w:tblPr>
      <w:tblGrid>
        <w:gridCol w:w="3619"/>
        <w:gridCol w:w="2158"/>
        <w:gridCol w:w="2161"/>
        <w:gridCol w:w="901"/>
        <w:gridCol w:w="1889"/>
        <w:gridCol w:w="1531"/>
        <w:gridCol w:w="917"/>
      </w:tblGrid>
      <w:tr w:rsidR="003A0566" w:rsidRPr="001F3737" w14:paraId="7A2ECF1E" w14:textId="77777777" w:rsidTr="003A0566">
        <w:trPr>
          <w:cantSplit/>
          <w:trHeight w:val="288"/>
        </w:trPr>
        <w:tc>
          <w:tcPr>
            <w:tcW w:w="1373" w:type="pct"/>
            <w:vMerge w:val="restart"/>
            <w:tcBorders>
              <w:top w:val="single" w:sz="4" w:space="0" w:color="auto"/>
              <w:left w:val="nil"/>
              <w:right w:val="nil"/>
            </w:tcBorders>
            <w:noWrap/>
            <w:vAlign w:val="bottom"/>
            <w:hideMark/>
          </w:tcPr>
          <w:p w14:paraId="5E52D77D" w14:textId="77777777" w:rsidR="003A0566" w:rsidRPr="001F3737" w:rsidRDefault="003A0566" w:rsidP="001F3737">
            <w:pPr>
              <w:spacing w:line="360" w:lineRule="auto"/>
              <w:jc w:val="both"/>
              <w:rPr>
                <w:rFonts w:ascii="Book Antiqua" w:hAnsi="Book Antiqua"/>
                <w:b/>
              </w:rPr>
            </w:pPr>
            <w:r w:rsidRPr="001F3737">
              <w:rPr>
                <w:rFonts w:ascii="Book Antiqua" w:hAnsi="Book Antiqua"/>
                <w:b/>
              </w:rPr>
              <w:t> </w:t>
            </w:r>
          </w:p>
        </w:tc>
        <w:tc>
          <w:tcPr>
            <w:tcW w:w="1639" w:type="pct"/>
            <w:gridSpan w:val="2"/>
            <w:tcBorders>
              <w:top w:val="single" w:sz="4" w:space="0" w:color="auto"/>
              <w:left w:val="nil"/>
              <w:bottom w:val="single" w:sz="4" w:space="0" w:color="auto"/>
              <w:right w:val="nil"/>
            </w:tcBorders>
            <w:vAlign w:val="bottom"/>
          </w:tcPr>
          <w:p w14:paraId="2B21BD10" w14:textId="77777777" w:rsidR="003A0566" w:rsidRPr="001F3737" w:rsidRDefault="003A0566" w:rsidP="001F3737">
            <w:pPr>
              <w:spacing w:line="360" w:lineRule="auto"/>
              <w:jc w:val="both"/>
              <w:rPr>
                <w:rFonts w:ascii="Book Antiqua" w:hAnsi="Book Antiqua"/>
                <w:b/>
              </w:rPr>
            </w:pPr>
            <w:r w:rsidRPr="001F3737">
              <w:rPr>
                <w:rFonts w:ascii="Book Antiqua" w:hAnsi="Book Antiqua"/>
                <w:b/>
              </w:rPr>
              <w:t>Unmatched</w:t>
            </w:r>
          </w:p>
        </w:tc>
        <w:tc>
          <w:tcPr>
            <w:tcW w:w="342" w:type="pct"/>
            <w:vMerge w:val="restart"/>
            <w:tcBorders>
              <w:top w:val="single" w:sz="4" w:space="0" w:color="auto"/>
              <w:left w:val="nil"/>
              <w:right w:val="nil"/>
            </w:tcBorders>
            <w:vAlign w:val="bottom"/>
            <w:hideMark/>
          </w:tcPr>
          <w:p w14:paraId="485EE2CF" w14:textId="77777777" w:rsidR="003A0566" w:rsidRPr="001F3737" w:rsidRDefault="003A0566" w:rsidP="001F3737">
            <w:pPr>
              <w:spacing w:line="360" w:lineRule="auto"/>
              <w:jc w:val="both"/>
              <w:rPr>
                <w:rFonts w:ascii="Book Antiqua" w:hAnsi="Book Antiqua"/>
                <w:b/>
              </w:rPr>
            </w:pPr>
            <w:r w:rsidRPr="001F3737">
              <w:rPr>
                <w:rFonts w:ascii="Book Antiqua" w:hAnsi="Book Antiqua"/>
                <w:b/>
                <w:i/>
              </w:rPr>
              <w:t xml:space="preserve">P </w:t>
            </w:r>
            <w:r w:rsidRPr="001F3737">
              <w:rPr>
                <w:rFonts w:ascii="Book Antiqua" w:hAnsi="Book Antiqua"/>
                <w:b/>
              </w:rPr>
              <w:t>value</w:t>
            </w:r>
          </w:p>
        </w:tc>
        <w:tc>
          <w:tcPr>
            <w:tcW w:w="1298" w:type="pct"/>
            <w:gridSpan w:val="2"/>
            <w:tcBorders>
              <w:top w:val="single" w:sz="4" w:space="0" w:color="auto"/>
              <w:left w:val="nil"/>
              <w:bottom w:val="single" w:sz="4" w:space="0" w:color="auto"/>
              <w:right w:val="nil"/>
            </w:tcBorders>
            <w:vAlign w:val="bottom"/>
          </w:tcPr>
          <w:p w14:paraId="7B2FEA6D" w14:textId="77777777" w:rsidR="003A0566" w:rsidRPr="001F3737" w:rsidRDefault="003A0566" w:rsidP="001F3737">
            <w:pPr>
              <w:spacing w:line="360" w:lineRule="auto"/>
              <w:jc w:val="both"/>
              <w:rPr>
                <w:rFonts w:ascii="Book Antiqua" w:hAnsi="Book Antiqua"/>
                <w:b/>
              </w:rPr>
            </w:pPr>
            <w:r w:rsidRPr="001F3737">
              <w:rPr>
                <w:rFonts w:ascii="Book Antiqua" w:hAnsi="Book Antiqua"/>
                <w:b/>
              </w:rPr>
              <w:t>Matched</w:t>
            </w:r>
          </w:p>
        </w:tc>
        <w:tc>
          <w:tcPr>
            <w:tcW w:w="348" w:type="pct"/>
            <w:vMerge w:val="restart"/>
            <w:tcBorders>
              <w:top w:val="single" w:sz="4" w:space="0" w:color="auto"/>
              <w:left w:val="nil"/>
              <w:right w:val="nil"/>
            </w:tcBorders>
            <w:vAlign w:val="bottom"/>
            <w:hideMark/>
          </w:tcPr>
          <w:p w14:paraId="78413F85" w14:textId="77777777" w:rsidR="003A0566" w:rsidRPr="001F3737" w:rsidRDefault="003A0566" w:rsidP="001F3737">
            <w:pPr>
              <w:spacing w:line="360" w:lineRule="auto"/>
              <w:jc w:val="both"/>
              <w:rPr>
                <w:rFonts w:ascii="Book Antiqua" w:hAnsi="Book Antiqua"/>
                <w:b/>
              </w:rPr>
            </w:pPr>
            <w:r w:rsidRPr="001F3737">
              <w:rPr>
                <w:rFonts w:ascii="Book Antiqua" w:hAnsi="Book Antiqua"/>
                <w:b/>
                <w:i/>
              </w:rPr>
              <w:t>P</w:t>
            </w:r>
            <w:r w:rsidRPr="001F3737">
              <w:rPr>
                <w:rFonts w:ascii="Book Antiqua" w:hAnsi="Book Antiqua"/>
                <w:b/>
              </w:rPr>
              <w:t xml:space="preserve"> value</w:t>
            </w:r>
          </w:p>
        </w:tc>
      </w:tr>
      <w:tr w:rsidR="003A0566" w:rsidRPr="001F3737" w14:paraId="42136EC3" w14:textId="77777777" w:rsidTr="003A0566">
        <w:trPr>
          <w:cantSplit/>
          <w:trHeight w:val="719"/>
        </w:trPr>
        <w:tc>
          <w:tcPr>
            <w:tcW w:w="1373" w:type="pct"/>
            <w:vMerge/>
            <w:tcBorders>
              <w:left w:val="nil"/>
              <w:bottom w:val="single" w:sz="4" w:space="0" w:color="auto"/>
              <w:right w:val="nil"/>
            </w:tcBorders>
            <w:noWrap/>
            <w:vAlign w:val="bottom"/>
          </w:tcPr>
          <w:p w14:paraId="70CCB133" w14:textId="77777777" w:rsidR="003A0566" w:rsidRPr="001F3737" w:rsidRDefault="003A0566" w:rsidP="001F3737">
            <w:pPr>
              <w:spacing w:line="360" w:lineRule="auto"/>
              <w:jc w:val="both"/>
              <w:rPr>
                <w:rFonts w:ascii="Book Antiqua" w:hAnsi="Book Antiqua"/>
                <w:b/>
              </w:rPr>
            </w:pPr>
          </w:p>
        </w:tc>
        <w:tc>
          <w:tcPr>
            <w:tcW w:w="819" w:type="pct"/>
            <w:tcBorders>
              <w:top w:val="single" w:sz="4" w:space="0" w:color="auto"/>
              <w:left w:val="nil"/>
              <w:bottom w:val="single" w:sz="4" w:space="0" w:color="auto"/>
              <w:right w:val="nil"/>
            </w:tcBorders>
            <w:vAlign w:val="bottom"/>
          </w:tcPr>
          <w:p w14:paraId="77B6E2BE" w14:textId="77777777" w:rsidR="003A0566" w:rsidRPr="001F3737" w:rsidRDefault="003A0566" w:rsidP="001F3737">
            <w:pPr>
              <w:spacing w:line="360" w:lineRule="auto"/>
              <w:jc w:val="both"/>
              <w:rPr>
                <w:rFonts w:ascii="Book Antiqua" w:hAnsi="Book Antiqua"/>
                <w:b/>
              </w:rPr>
            </w:pPr>
            <w:r w:rsidRPr="001F3737">
              <w:rPr>
                <w:rFonts w:ascii="Book Antiqua" w:hAnsi="Book Antiqua"/>
                <w:b/>
              </w:rPr>
              <w:br/>
              <w:t>SCBS</w:t>
            </w:r>
          </w:p>
        </w:tc>
        <w:tc>
          <w:tcPr>
            <w:tcW w:w="820" w:type="pct"/>
            <w:tcBorders>
              <w:top w:val="single" w:sz="4" w:space="0" w:color="auto"/>
              <w:left w:val="nil"/>
              <w:bottom w:val="single" w:sz="4" w:space="0" w:color="auto"/>
              <w:right w:val="nil"/>
            </w:tcBorders>
            <w:vAlign w:val="bottom"/>
          </w:tcPr>
          <w:p w14:paraId="3E257E8C" w14:textId="77777777" w:rsidR="003A0566" w:rsidRPr="001F3737" w:rsidRDefault="003A0566" w:rsidP="001F3737">
            <w:pPr>
              <w:spacing w:line="360" w:lineRule="auto"/>
              <w:jc w:val="both"/>
              <w:rPr>
                <w:rFonts w:ascii="Book Antiqua" w:hAnsi="Book Antiqua"/>
                <w:b/>
              </w:rPr>
            </w:pPr>
            <w:r w:rsidRPr="001F3737">
              <w:rPr>
                <w:rFonts w:ascii="Book Antiqua" w:hAnsi="Book Antiqua"/>
                <w:b/>
              </w:rPr>
              <w:t>No SCBS</w:t>
            </w:r>
          </w:p>
        </w:tc>
        <w:tc>
          <w:tcPr>
            <w:tcW w:w="342" w:type="pct"/>
            <w:vMerge/>
            <w:tcBorders>
              <w:left w:val="nil"/>
              <w:bottom w:val="single" w:sz="4" w:space="0" w:color="auto"/>
              <w:right w:val="nil"/>
            </w:tcBorders>
            <w:vAlign w:val="bottom"/>
          </w:tcPr>
          <w:p w14:paraId="3F748D83" w14:textId="77777777" w:rsidR="003A0566" w:rsidRPr="001F3737" w:rsidRDefault="003A0566" w:rsidP="001F3737">
            <w:pPr>
              <w:spacing w:line="360" w:lineRule="auto"/>
              <w:jc w:val="both"/>
              <w:rPr>
                <w:rFonts w:ascii="Book Antiqua" w:hAnsi="Book Antiqua"/>
                <w:b/>
              </w:rPr>
            </w:pPr>
          </w:p>
        </w:tc>
        <w:tc>
          <w:tcPr>
            <w:tcW w:w="717" w:type="pct"/>
            <w:tcBorders>
              <w:top w:val="single" w:sz="4" w:space="0" w:color="auto"/>
              <w:left w:val="nil"/>
              <w:bottom w:val="single" w:sz="4" w:space="0" w:color="auto"/>
              <w:right w:val="nil"/>
            </w:tcBorders>
            <w:vAlign w:val="bottom"/>
          </w:tcPr>
          <w:p w14:paraId="7565AD75" w14:textId="77777777" w:rsidR="003A0566" w:rsidRPr="001F3737" w:rsidRDefault="003A0566" w:rsidP="001F3737">
            <w:pPr>
              <w:spacing w:line="360" w:lineRule="auto"/>
              <w:jc w:val="both"/>
              <w:rPr>
                <w:rFonts w:ascii="Book Antiqua" w:hAnsi="Book Antiqua"/>
                <w:b/>
              </w:rPr>
            </w:pPr>
            <w:r w:rsidRPr="001F3737">
              <w:rPr>
                <w:rFonts w:ascii="Book Antiqua" w:hAnsi="Book Antiqua"/>
                <w:b/>
              </w:rPr>
              <w:t>SCBS</w:t>
            </w:r>
          </w:p>
        </w:tc>
        <w:tc>
          <w:tcPr>
            <w:tcW w:w="581" w:type="pct"/>
            <w:tcBorders>
              <w:top w:val="single" w:sz="4" w:space="0" w:color="auto"/>
              <w:left w:val="nil"/>
              <w:bottom w:val="single" w:sz="4" w:space="0" w:color="auto"/>
              <w:right w:val="nil"/>
            </w:tcBorders>
            <w:vAlign w:val="bottom"/>
          </w:tcPr>
          <w:p w14:paraId="58BC5DA9" w14:textId="77777777" w:rsidR="003A0566" w:rsidRPr="001F3737" w:rsidRDefault="003A0566" w:rsidP="001F3737">
            <w:pPr>
              <w:spacing w:line="360" w:lineRule="auto"/>
              <w:jc w:val="both"/>
              <w:rPr>
                <w:rFonts w:ascii="Book Antiqua" w:hAnsi="Book Antiqua"/>
                <w:b/>
              </w:rPr>
            </w:pPr>
            <w:r w:rsidRPr="001F3737">
              <w:rPr>
                <w:rFonts w:ascii="Book Antiqua" w:hAnsi="Book Antiqua"/>
                <w:b/>
              </w:rPr>
              <w:t>No SCBS</w:t>
            </w:r>
          </w:p>
        </w:tc>
        <w:tc>
          <w:tcPr>
            <w:tcW w:w="348" w:type="pct"/>
            <w:vMerge/>
            <w:tcBorders>
              <w:left w:val="nil"/>
              <w:bottom w:val="single" w:sz="4" w:space="0" w:color="auto"/>
              <w:right w:val="nil"/>
            </w:tcBorders>
            <w:vAlign w:val="bottom"/>
          </w:tcPr>
          <w:p w14:paraId="4D61F57C" w14:textId="77777777" w:rsidR="003A0566" w:rsidRPr="001F3737" w:rsidRDefault="003A0566" w:rsidP="001F3737">
            <w:pPr>
              <w:spacing w:line="360" w:lineRule="auto"/>
              <w:jc w:val="both"/>
              <w:rPr>
                <w:rFonts w:ascii="Book Antiqua" w:hAnsi="Book Antiqua"/>
                <w:b/>
              </w:rPr>
            </w:pPr>
          </w:p>
        </w:tc>
      </w:tr>
      <w:tr w:rsidR="003A0566" w:rsidRPr="001F3737" w14:paraId="58253338" w14:textId="77777777" w:rsidTr="003A0566">
        <w:trPr>
          <w:cantSplit/>
        </w:trPr>
        <w:tc>
          <w:tcPr>
            <w:tcW w:w="1373" w:type="pct"/>
            <w:tcBorders>
              <w:top w:val="single" w:sz="4" w:space="0" w:color="auto"/>
              <w:left w:val="nil"/>
              <w:bottom w:val="nil"/>
              <w:right w:val="nil"/>
            </w:tcBorders>
            <w:noWrap/>
            <w:vAlign w:val="bottom"/>
            <w:hideMark/>
          </w:tcPr>
          <w:p w14:paraId="7E8D0B13" w14:textId="77777777" w:rsidR="003A0566" w:rsidRPr="00A6473E" w:rsidRDefault="003A0566" w:rsidP="001F3737">
            <w:pPr>
              <w:spacing w:line="360" w:lineRule="auto"/>
              <w:jc w:val="both"/>
              <w:rPr>
                <w:rFonts w:ascii="Book Antiqua" w:hAnsi="Book Antiqua"/>
                <w:i/>
              </w:rPr>
            </w:pPr>
            <w:r w:rsidRPr="00A6473E">
              <w:rPr>
                <w:rFonts w:ascii="Book Antiqua" w:hAnsi="Book Antiqua"/>
                <w:i/>
              </w:rPr>
              <w:t>n</w:t>
            </w:r>
          </w:p>
        </w:tc>
        <w:tc>
          <w:tcPr>
            <w:tcW w:w="819" w:type="pct"/>
            <w:tcBorders>
              <w:top w:val="single" w:sz="4" w:space="0" w:color="auto"/>
              <w:left w:val="nil"/>
              <w:bottom w:val="nil"/>
              <w:right w:val="nil"/>
            </w:tcBorders>
            <w:noWrap/>
            <w:vAlign w:val="bottom"/>
            <w:hideMark/>
          </w:tcPr>
          <w:p w14:paraId="03EEC8C0" w14:textId="77777777" w:rsidR="003A0566" w:rsidRPr="001F3737" w:rsidRDefault="003A0566" w:rsidP="001F3737">
            <w:pPr>
              <w:tabs>
                <w:tab w:val="decimal" w:pos="618"/>
              </w:tabs>
              <w:spacing w:line="360" w:lineRule="auto"/>
              <w:jc w:val="both"/>
              <w:rPr>
                <w:rFonts w:ascii="Book Antiqua" w:hAnsi="Book Antiqua"/>
              </w:rPr>
            </w:pPr>
            <w:r w:rsidRPr="001F3737">
              <w:rPr>
                <w:rFonts w:ascii="Book Antiqua" w:hAnsi="Book Antiqua"/>
              </w:rPr>
              <w:t>152</w:t>
            </w:r>
          </w:p>
        </w:tc>
        <w:tc>
          <w:tcPr>
            <w:tcW w:w="820" w:type="pct"/>
            <w:tcBorders>
              <w:top w:val="single" w:sz="4" w:space="0" w:color="auto"/>
              <w:left w:val="nil"/>
              <w:bottom w:val="nil"/>
              <w:right w:val="nil"/>
            </w:tcBorders>
            <w:noWrap/>
            <w:vAlign w:val="bottom"/>
            <w:hideMark/>
          </w:tcPr>
          <w:p w14:paraId="7A980FFD" w14:textId="266FAEE4"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2</w:t>
            </w:r>
            <w:r w:rsidR="003A0566" w:rsidRPr="001F3737">
              <w:rPr>
                <w:rFonts w:ascii="Book Antiqua" w:hAnsi="Book Antiqua"/>
              </w:rPr>
              <w:t>993</w:t>
            </w:r>
          </w:p>
        </w:tc>
        <w:tc>
          <w:tcPr>
            <w:tcW w:w="342" w:type="pct"/>
            <w:tcBorders>
              <w:top w:val="single" w:sz="4" w:space="0" w:color="auto"/>
              <w:left w:val="nil"/>
              <w:bottom w:val="nil"/>
              <w:right w:val="nil"/>
            </w:tcBorders>
            <w:noWrap/>
            <w:vAlign w:val="bottom"/>
            <w:hideMark/>
          </w:tcPr>
          <w:p w14:paraId="36AA5D7D" w14:textId="77777777" w:rsidR="003A0566" w:rsidRPr="001F3737" w:rsidRDefault="003A0566" w:rsidP="001F3737">
            <w:pPr>
              <w:spacing w:line="360" w:lineRule="auto"/>
              <w:jc w:val="both"/>
              <w:rPr>
                <w:rFonts w:ascii="Book Antiqua" w:hAnsi="Book Antiqua"/>
              </w:rPr>
            </w:pPr>
          </w:p>
        </w:tc>
        <w:tc>
          <w:tcPr>
            <w:tcW w:w="717" w:type="pct"/>
            <w:tcBorders>
              <w:top w:val="single" w:sz="4" w:space="0" w:color="auto"/>
              <w:left w:val="nil"/>
              <w:bottom w:val="nil"/>
              <w:right w:val="nil"/>
            </w:tcBorders>
            <w:noWrap/>
            <w:vAlign w:val="bottom"/>
            <w:hideMark/>
          </w:tcPr>
          <w:p w14:paraId="40D15290" w14:textId="77777777" w:rsidR="003A0566" w:rsidRPr="001F3737" w:rsidRDefault="003A0566" w:rsidP="001F3737">
            <w:pPr>
              <w:tabs>
                <w:tab w:val="decimal" w:pos="661"/>
              </w:tabs>
              <w:spacing w:line="360" w:lineRule="auto"/>
              <w:jc w:val="both"/>
              <w:rPr>
                <w:rFonts w:ascii="Book Antiqua" w:hAnsi="Book Antiqua"/>
              </w:rPr>
            </w:pPr>
            <w:r w:rsidRPr="001F3737">
              <w:rPr>
                <w:rFonts w:ascii="Book Antiqua" w:hAnsi="Book Antiqua"/>
              </w:rPr>
              <w:t>144</w:t>
            </w:r>
          </w:p>
        </w:tc>
        <w:tc>
          <w:tcPr>
            <w:tcW w:w="581" w:type="pct"/>
            <w:tcBorders>
              <w:top w:val="single" w:sz="4" w:space="0" w:color="auto"/>
              <w:left w:val="nil"/>
              <w:bottom w:val="nil"/>
              <w:right w:val="nil"/>
            </w:tcBorders>
            <w:noWrap/>
            <w:vAlign w:val="bottom"/>
            <w:hideMark/>
          </w:tcPr>
          <w:p w14:paraId="39592319" w14:textId="77777777" w:rsidR="003A0566" w:rsidRPr="001F3737" w:rsidRDefault="003A0566" w:rsidP="001F3737">
            <w:pPr>
              <w:tabs>
                <w:tab w:val="decimal" w:pos="586"/>
              </w:tabs>
              <w:spacing w:line="360" w:lineRule="auto"/>
              <w:jc w:val="both"/>
              <w:rPr>
                <w:rFonts w:ascii="Book Antiqua" w:hAnsi="Book Antiqua"/>
              </w:rPr>
            </w:pPr>
            <w:r w:rsidRPr="001F3737">
              <w:rPr>
                <w:rFonts w:ascii="Book Antiqua" w:hAnsi="Book Antiqua"/>
              </w:rPr>
              <w:t>720</w:t>
            </w:r>
          </w:p>
        </w:tc>
        <w:tc>
          <w:tcPr>
            <w:tcW w:w="348" w:type="pct"/>
            <w:tcBorders>
              <w:top w:val="single" w:sz="4" w:space="0" w:color="auto"/>
              <w:left w:val="nil"/>
              <w:bottom w:val="nil"/>
              <w:right w:val="nil"/>
            </w:tcBorders>
            <w:noWrap/>
            <w:vAlign w:val="bottom"/>
            <w:hideMark/>
          </w:tcPr>
          <w:p w14:paraId="2BA4462F" w14:textId="77777777" w:rsidR="003A0566" w:rsidRPr="001F3737" w:rsidRDefault="003A0566" w:rsidP="001F3737">
            <w:pPr>
              <w:spacing w:line="360" w:lineRule="auto"/>
              <w:jc w:val="both"/>
              <w:rPr>
                <w:rFonts w:ascii="Book Antiqua" w:hAnsi="Book Antiqua"/>
              </w:rPr>
            </w:pPr>
          </w:p>
        </w:tc>
      </w:tr>
      <w:tr w:rsidR="003A0566" w:rsidRPr="001F3737" w14:paraId="5A0FF21F" w14:textId="77777777" w:rsidTr="003A0566">
        <w:trPr>
          <w:cantSplit/>
        </w:trPr>
        <w:tc>
          <w:tcPr>
            <w:tcW w:w="1373" w:type="pct"/>
            <w:tcBorders>
              <w:top w:val="nil"/>
              <w:left w:val="nil"/>
              <w:bottom w:val="nil"/>
              <w:right w:val="nil"/>
            </w:tcBorders>
            <w:noWrap/>
            <w:vAlign w:val="bottom"/>
          </w:tcPr>
          <w:p w14:paraId="655FC5A9" w14:textId="7F512943" w:rsidR="003A0566" w:rsidRPr="001F3737" w:rsidRDefault="003A0566" w:rsidP="00A6473E">
            <w:pPr>
              <w:spacing w:line="360" w:lineRule="auto"/>
              <w:jc w:val="both"/>
              <w:rPr>
                <w:rFonts w:ascii="Book Antiqua" w:hAnsi="Book Antiqua"/>
              </w:rPr>
            </w:pPr>
            <w:r w:rsidRPr="001F3737">
              <w:rPr>
                <w:rFonts w:ascii="Book Antiqua" w:hAnsi="Book Antiqua"/>
              </w:rPr>
              <w:t>Procedure Type</w:t>
            </w:r>
            <w:r w:rsidR="0015098C" w:rsidRPr="001F3737">
              <w:rPr>
                <w:rFonts w:ascii="Book Antiqua" w:eastAsia="宋体" w:hAnsi="Book Antiqua"/>
                <w:lang w:eastAsia="zh-CN"/>
              </w:rPr>
              <w:t xml:space="preserve">, </w:t>
            </w:r>
          </w:p>
        </w:tc>
        <w:tc>
          <w:tcPr>
            <w:tcW w:w="819" w:type="pct"/>
            <w:tcBorders>
              <w:top w:val="nil"/>
              <w:left w:val="nil"/>
              <w:bottom w:val="nil"/>
              <w:right w:val="nil"/>
            </w:tcBorders>
            <w:noWrap/>
            <w:vAlign w:val="bottom"/>
          </w:tcPr>
          <w:p w14:paraId="262EE01A" w14:textId="77777777" w:rsidR="003A0566" w:rsidRPr="001F3737" w:rsidRDefault="003A0566" w:rsidP="001F3737">
            <w:pPr>
              <w:tabs>
                <w:tab w:val="decimal" w:pos="618"/>
              </w:tabs>
              <w:spacing w:line="360" w:lineRule="auto"/>
              <w:jc w:val="both"/>
              <w:rPr>
                <w:rFonts w:ascii="Book Antiqua" w:hAnsi="Book Antiqua"/>
              </w:rPr>
            </w:pPr>
          </w:p>
        </w:tc>
        <w:tc>
          <w:tcPr>
            <w:tcW w:w="820" w:type="pct"/>
            <w:tcBorders>
              <w:top w:val="nil"/>
              <w:left w:val="nil"/>
              <w:bottom w:val="nil"/>
              <w:right w:val="nil"/>
            </w:tcBorders>
            <w:noWrap/>
            <w:vAlign w:val="bottom"/>
          </w:tcPr>
          <w:p w14:paraId="6F581B03" w14:textId="77777777" w:rsidR="003A0566" w:rsidRPr="001F3737" w:rsidRDefault="003A0566" w:rsidP="001F3737">
            <w:pPr>
              <w:tabs>
                <w:tab w:val="decimal" w:pos="724"/>
              </w:tabs>
              <w:spacing w:line="360" w:lineRule="auto"/>
              <w:jc w:val="both"/>
              <w:rPr>
                <w:rFonts w:ascii="Book Antiqua" w:hAnsi="Book Antiqua"/>
              </w:rPr>
            </w:pPr>
          </w:p>
        </w:tc>
        <w:tc>
          <w:tcPr>
            <w:tcW w:w="342" w:type="pct"/>
            <w:tcBorders>
              <w:top w:val="nil"/>
              <w:left w:val="nil"/>
              <w:bottom w:val="nil"/>
              <w:right w:val="nil"/>
            </w:tcBorders>
            <w:noWrap/>
            <w:vAlign w:val="bottom"/>
          </w:tcPr>
          <w:p w14:paraId="22112C91" w14:textId="77777777" w:rsidR="003A0566" w:rsidRPr="001F3737" w:rsidRDefault="003A0566" w:rsidP="001F3737">
            <w:pPr>
              <w:spacing w:line="360" w:lineRule="auto"/>
              <w:jc w:val="both"/>
              <w:rPr>
                <w:rFonts w:ascii="Book Antiqua" w:hAnsi="Book Antiqua"/>
              </w:rPr>
            </w:pPr>
          </w:p>
        </w:tc>
        <w:tc>
          <w:tcPr>
            <w:tcW w:w="717" w:type="pct"/>
            <w:tcBorders>
              <w:top w:val="nil"/>
              <w:left w:val="nil"/>
              <w:bottom w:val="nil"/>
              <w:right w:val="nil"/>
            </w:tcBorders>
            <w:noWrap/>
            <w:vAlign w:val="bottom"/>
          </w:tcPr>
          <w:p w14:paraId="07E76E80" w14:textId="77777777" w:rsidR="003A0566" w:rsidRPr="001F3737" w:rsidRDefault="003A0566" w:rsidP="001F3737">
            <w:pPr>
              <w:tabs>
                <w:tab w:val="decimal" w:pos="661"/>
              </w:tabs>
              <w:spacing w:line="360" w:lineRule="auto"/>
              <w:jc w:val="both"/>
              <w:rPr>
                <w:rFonts w:ascii="Book Antiqua" w:hAnsi="Book Antiqua"/>
              </w:rPr>
            </w:pPr>
          </w:p>
        </w:tc>
        <w:tc>
          <w:tcPr>
            <w:tcW w:w="581" w:type="pct"/>
            <w:tcBorders>
              <w:top w:val="nil"/>
              <w:left w:val="nil"/>
              <w:bottom w:val="nil"/>
              <w:right w:val="nil"/>
            </w:tcBorders>
            <w:noWrap/>
            <w:vAlign w:val="bottom"/>
          </w:tcPr>
          <w:p w14:paraId="5486E457" w14:textId="77777777" w:rsidR="003A0566" w:rsidRPr="001F3737" w:rsidRDefault="003A0566" w:rsidP="001F3737">
            <w:pPr>
              <w:tabs>
                <w:tab w:val="decimal" w:pos="586"/>
              </w:tabs>
              <w:spacing w:line="360" w:lineRule="auto"/>
              <w:jc w:val="both"/>
              <w:rPr>
                <w:rFonts w:ascii="Book Antiqua" w:hAnsi="Book Antiqua"/>
              </w:rPr>
            </w:pPr>
          </w:p>
        </w:tc>
        <w:tc>
          <w:tcPr>
            <w:tcW w:w="348" w:type="pct"/>
            <w:tcBorders>
              <w:top w:val="nil"/>
              <w:left w:val="nil"/>
              <w:bottom w:val="nil"/>
              <w:right w:val="nil"/>
            </w:tcBorders>
            <w:noWrap/>
            <w:vAlign w:val="bottom"/>
          </w:tcPr>
          <w:p w14:paraId="55F2AE27" w14:textId="77777777" w:rsidR="003A0566" w:rsidRPr="001F3737" w:rsidRDefault="003A0566" w:rsidP="001F3737">
            <w:pPr>
              <w:spacing w:line="360" w:lineRule="auto"/>
              <w:jc w:val="both"/>
              <w:rPr>
                <w:rFonts w:ascii="Book Antiqua" w:hAnsi="Book Antiqua"/>
              </w:rPr>
            </w:pPr>
          </w:p>
        </w:tc>
      </w:tr>
      <w:tr w:rsidR="003A0566" w:rsidRPr="001F3737" w14:paraId="3D7C8C77" w14:textId="77777777" w:rsidTr="003A0566">
        <w:trPr>
          <w:cantSplit/>
        </w:trPr>
        <w:tc>
          <w:tcPr>
            <w:tcW w:w="1373" w:type="pct"/>
            <w:tcBorders>
              <w:top w:val="nil"/>
              <w:left w:val="nil"/>
              <w:bottom w:val="nil"/>
              <w:right w:val="nil"/>
            </w:tcBorders>
            <w:noWrap/>
            <w:vAlign w:val="bottom"/>
          </w:tcPr>
          <w:p w14:paraId="30C874F1"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Partial hepatectomy </w:t>
            </w:r>
          </w:p>
        </w:tc>
        <w:tc>
          <w:tcPr>
            <w:tcW w:w="819" w:type="pct"/>
            <w:tcBorders>
              <w:top w:val="nil"/>
              <w:left w:val="nil"/>
              <w:bottom w:val="nil"/>
              <w:right w:val="nil"/>
            </w:tcBorders>
            <w:noWrap/>
            <w:vAlign w:val="bottom"/>
          </w:tcPr>
          <w:p w14:paraId="153B07B0" w14:textId="76670B3F"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99 (65.1</w:t>
            </w:r>
            <w:r w:rsidR="003A0566" w:rsidRPr="001F3737">
              <w:rPr>
                <w:rFonts w:ascii="Book Antiqua" w:hAnsi="Book Antiqua"/>
              </w:rPr>
              <w:t>)</w:t>
            </w:r>
          </w:p>
        </w:tc>
        <w:tc>
          <w:tcPr>
            <w:tcW w:w="820" w:type="pct"/>
            <w:tcBorders>
              <w:top w:val="nil"/>
              <w:left w:val="nil"/>
              <w:bottom w:val="nil"/>
              <w:right w:val="nil"/>
            </w:tcBorders>
            <w:noWrap/>
            <w:vAlign w:val="bottom"/>
          </w:tcPr>
          <w:p w14:paraId="14A29F04" w14:textId="63DC9EA2"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2061 (68.9</w:t>
            </w:r>
            <w:r w:rsidR="003A0566" w:rsidRPr="001F3737">
              <w:rPr>
                <w:rFonts w:ascii="Book Antiqua" w:hAnsi="Book Antiqua"/>
              </w:rPr>
              <w:t>)</w:t>
            </w:r>
          </w:p>
        </w:tc>
        <w:tc>
          <w:tcPr>
            <w:tcW w:w="342" w:type="pct"/>
            <w:tcBorders>
              <w:top w:val="nil"/>
              <w:left w:val="nil"/>
              <w:bottom w:val="nil"/>
              <w:right w:val="nil"/>
            </w:tcBorders>
            <w:noWrap/>
            <w:vAlign w:val="bottom"/>
          </w:tcPr>
          <w:p w14:paraId="3DBB1925" w14:textId="77777777" w:rsidR="003A0566" w:rsidRPr="001F3737" w:rsidRDefault="003A0566" w:rsidP="001F3737">
            <w:pPr>
              <w:spacing w:line="360" w:lineRule="auto"/>
              <w:jc w:val="both"/>
              <w:rPr>
                <w:rFonts w:ascii="Book Antiqua" w:hAnsi="Book Antiqua"/>
              </w:rPr>
            </w:pPr>
            <w:r w:rsidRPr="001F3737">
              <w:rPr>
                <w:rFonts w:ascii="Book Antiqua" w:hAnsi="Book Antiqua"/>
              </w:rPr>
              <w:t>0.308</w:t>
            </w:r>
          </w:p>
        </w:tc>
        <w:tc>
          <w:tcPr>
            <w:tcW w:w="717" w:type="pct"/>
            <w:tcBorders>
              <w:top w:val="nil"/>
              <w:left w:val="nil"/>
              <w:bottom w:val="nil"/>
              <w:right w:val="nil"/>
            </w:tcBorders>
            <w:noWrap/>
            <w:vAlign w:val="bottom"/>
          </w:tcPr>
          <w:p w14:paraId="4DC07F3A" w14:textId="10FA1672"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98 (68.1</w:t>
            </w:r>
            <w:r w:rsidR="003A0566" w:rsidRPr="001F3737">
              <w:rPr>
                <w:rFonts w:ascii="Book Antiqua" w:hAnsi="Book Antiqua"/>
              </w:rPr>
              <w:t>)</w:t>
            </w:r>
          </w:p>
        </w:tc>
        <w:tc>
          <w:tcPr>
            <w:tcW w:w="581" w:type="pct"/>
            <w:tcBorders>
              <w:top w:val="nil"/>
              <w:left w:val="nil"/>
              <w:bottom w:val="nil"/>
              <w:right w:val="nil"/>
            </w:tcBorders>
            <w:noWrap/>
            <w:vAlign w:val="bottom"/>
          </w:tcPr>
          <w:p w14:paraId="6CDDA54A" w14:textId="1C62E8EC"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478 (66.4</w:t>
            </w:r>
            <w:r w:rsidR="003A0566" w:rsidRPr="001F3737">
              <w:rPr>
                <w:rFonts w:ascii="Book Antiqua" w:hAnsi="Book Antiqua"/>
              </w:rPr>
              <w:t>)</w:t>
            </w:r>
          </w:p>
        </w:tc>
        <w:tc>
          <w:tcPr>
            <w:tcW w:w="348" w:type="pct"/>
            <w:tcBorders>
              <w:top w:val="nil"/>
              <w:left w:val="nil"/>
              <w:bottom w:val="nil"/>
              <w:right w:val="nil"/>
            </w:tcBorders>
            <w:noWrap/>
            <w:vAlign w:val="bottom"/>
          </w:tcPr>
          <w:p w14:paraId="0E1B0431" w14:textId="77777777" w:rsidR="003A0566" w:rsidRPr="001F3737" w:rsidRDefault="003A0566" w:rsidP="001F3737">
            <w:pPr>
              <w:spacing w:line="360" w:lineRule="auto"/>
              <w:jc w:val="both"/>
              <w:rPr>
                <w:rFonts w:ascii="Book Antiqua" w:hAnsi="Book Antiqua"/>
              </w:rPr>
            </w:pPr>
            <w:r w:rsidRPr="001F3737">
              <w:rPr>
                <w:rFonts w:ascii="Book Antiqua" w:hAnsi="Book Antiqua"/>
              </w:rPr>
              <w:t>0.772</w:t>
            </w:r>
          </w:p>
        </w:tc>
      </w:tr>
      <w:tr w:rsidR="003A0566" w:rsidRPr="001F3737" w14:paraId="05ADF768" w14:textId="77777777" w:rsidTr="003A0566">
        <w:trPr>
          <w:cantSplit/>
        </w:trPr>
        <w:tc>
          <w:tcPr>
            <w:tcW w:w="1373" w:type="pct"/>
            <w:tcBorders>
              <w:top w:val="nil"/>
              <w:left w:val="nil"/>
              <w:bottom w:val="nil"/>
              <w:right w:val="nil"/>
            </w:tcBorders>
            <w:noWrap/>
            <w:vAlign w:val="bottom"/>
          </w:tcPr>
          <w:p w14:paraId="6E2581B3"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Lobectomy</w:t>
            </w:r>
          </w:p>
        </w:tc>
        <w:tc>
          <w:tcPr>
            <w:tcW w:w="819" w:type="pct"/>
            <w:tcBorders>
              <w:top w:val="nil"/>
              <w:left w:val="nil"/>
              <w:bottom w:val="nil"/>
              <w:right w:val="nil"/>
            </w:tcBorders>
            <w:noWrap/>
            <w:vAlign w:val="bottom"/>
          </w:tcPr>
          <w:p w14:paraId="2FEDB361" w14:textId="04ADE36C"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53 (34.9</w:t>
            </w:r>
            <w:r w:rsidR="003A0566" w:rsidRPr="001F3737">
              <w:rPr>
                <w:rFonts w:ascii="Book Antiqua" w:hAnsi="Book Antiqua"/>
              </w:rPr>
              <w:t>)</w:t>
            </w:r>
          </w:p>
        </w:tc>
        <w:tc>
          <w:tcPr>
            <w:tcW w:w="820" w:type="pct"/>
            <w:tcBorders>
              <w:top w:val="nil"/>
              <w:left w:val="nil"/>
              <w:bottom w:val="nil"/>
              <w:right w:val="nil"/>
            </w:tcBorders>
            <w:noWrap/>
            <w:vAlign w:val="bottom"/>
          </w:tcPr>
          <w:p w14:paraId="4D0753C0" w14:textId="7948846E"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964 (32.2</w:t>
            </w:r>
            <w:r w:rsidR="003A0566" w:rsidRPr="001F3737">
              <w:rPr>
                <w:rFonts w:ascii="Book Antiqua" w:hAnsi="Book Antiqua"/>
              </w:rPr>
              <w:t>)</w:t>
            </w:r>
          </w:p>
        </w:tc>
        <w:tc>
          <w:tcPr>
            <w:tcW w:w="342" w:type="pct"/>
            <w:tcBorders>
              <w:top w:val="nil"/>
              <w:left w:val="nil"/>
              <w:bottom w:val="nil"/>
              <w:right w:val="nil"/>
            </w:tcBorders>
            <w:noWrap/>
            <w:vAlign w:val="bottom"/>
          </w:tcPr>
          <w:p w14:paraId="2D24B97A" w14:textId="77777777" w:rsidR="003A0566" w:rsidRPr="001F3737" w:rsidRDefault="003A0566" w:rsidP="001F3737">
            <w:pPr>
              <w:spacing w:line="360" w:lineRule="auto"/>
              <w:jc w:val="both"/>
              <w:rPr>
                <w:rFonts w:ascii="Book Antiqua" w:hAnsi="Book Antiqua"/>
              </w:rPr>
            </w:pPr>
            <w:r w:rsidRPr="001F3737">
              <w:rPr>
                <w:rFonts w:ascii="Book Antiqua" w:hAnsi="Book Antiqua"/>
              </w:rPr>
              <w:t>0.552</w:t>
            </w:r>
          </w:p>
        </w:tc>
        <w:tc>
          <w:tcPr>
            <w:tcW w:w="717" w:type="pct"/>
            <w:tcBorders>
              <w:top w:val="nil"/>
              <w:left w:val="nil"/>
              <w:bottom w:val="nil"/>
              <w:right w:val="nil"/>
            </w:tcBorders>
            <w:noWrap/>
            <w:vAlign w:val="bottom"/>
          </w:tcPr>
          <w:p w14:paraId="74EC5728" w14:textId="44018B34"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46 (31.9</w:t>
            </w:r>
            <w:r w:rsidR="003A0566" w:rsidRPr="001F3737">
              <w:rPr>
                <w:rFonts w:ascii="Book Antiqua" w:hAnsi="Book Antiqua"/>
              </w:rPr>
              <w:t>)</w:t>
            </w:r>
          </w:p>
        </w:tc>
        <w:tc>
          <w:tcPr>
            <w:tcW w:w="581" w:type="pct"/>
            <w:tcBorders>
              <w:top w:val="nil"/>
              <w:left w:val="nil"/>
              <w:bottom w:val="nil"/>
              <w:right w:val="nil"/>
            </w:tcBorders>
            <w:noWrap/>
            <w:vAlign w:val="bottom"/>
          </w:tcPr>
          <w:p w14:paraId="29D89191" w14:textId="6E16B038"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251 (34.9</w:t>
            </w:r>
            <w:r w:rsidR="003A0566" w:rsidRPr="001F3737">
              <w:rPr>
                <w:rFonts w:ascii="Book Antiqua" w:hAnsi="Book Antiqua"/>
              </w:rPr>
              <w:t>)</w:t>
            </w:r>
          </w:p>
        </w:tc>
        <w:tc>
          <w:tcPr>
            <w:tcW w:w="348" w:type="pct"/>
            <w:tcBorders>
              <w:top w:val="nil"/>
              <w:left w:val="nil"/>
              <w:bottom w:val="nil"/>
              <w:right w:val="nil"/>
            </w:tcBorders>
            <w:noWrap/>
            <w:vAlign w:val="bottom"/>
          </w:tcPr>
          <w:p w14:paraId="74554110" w14:textId="77777777" w:rsidR="003A0566" w:rsidRPr="001F3737" w:rsidRDefault="003A0566" w:rsidP="001F3737">
            <w:pPr>
              <w:spacing w:line="360" w:lineRule="auto"/>
              <w:jc w:val="both"/>
              <w:rPr>
                <w:rFonts w:ascii="Book Antiqua" w:hAnsi="Book Antiqua"/>
              </w:rPr>
            </w:pPr>
            <w:r w:rsidRPr="001F3737">
              <w:rPr>
                <w:rFonts w:ascii="Book Antiqua" w:hAnsi="Book Antiqua"/>
              </w:rPr>
              <w:t>0.564</w:t>
            </w:r>
          </w:p>
        </w:tc>
      </w:tr>
      <w:tr w:rsidR="003A0566" w:rsidRPr="001F3737" w14:paraId="1B2AE747" w14:textId="77777777" w:rsidTr="003A0566">
        <w:trPr>
          <w:cantSplit/>
        </w:trPr>
        <w:tc>
          <w:tcPr>
            <w:tcW w:w="1373" w:type="pct"/>
            <w:tcBorders>
              <w:top w:val="nil"/>
              <w:left w:val="nil"/>
              <w:bottom w:val="nil"/>
              <w:right w:val="nil"/>
            </w:tcBorders>
            <w:noWrap/>
            <w:vAlign w:val="bottom"/>
          </w:tcPr>
          <w:p w14:paraId="7DF8F62B" w14:textId="392081AF" w:rsidR="003A0566" w:rsidRPr="001F3737" w:rsidRDefault="003A0566" w:rsidP="00A6473E">
            <w:pPr>
              <w:spacing w:line="360" w:lineRule="auto"/>
              <w:jc w:val="both"/>
              <w:rPr>
                <w:rFonts w:ascii="Book Antiqua" w:hAnsi="Book Antiqua"/>
              </w:rPr>
            </w:pPr>
            <w:r w:rsidRPr="001F3737">
              <w:rPr>
                <w:rFonts w:ascii="Book Antiqua" w:hAnsi="Book Antiqua"/>
              </w:rPr>
              <w:t xml:space="preserve">Indicating </w:t>
            </w:r>
            <w:r w:rsidR="0015098C" w:rsidRPr="001F3737">
              <w:rPr>
                <w:rFonts w:ascii="Book Antiqua" w:hAnsi="Book Antiqua"/>
              </w:rPr>
              <w:t>diagnosis</w:t>
            </w:r>
          </w:p>
        </w:tc>
        <w:tc>
          <w:tcPr>
            <w:tcW w:w="819" w:type="pct"/>
            <w:tcBorders>
              <w:top w:val="nil"/>
              <w:left w:val="nil"/>
              <w:bottom w:val="nil"/>
              <w:right w:val="nil"/>
            </w:tcBorders>
            <w:noWrap/>
            <w:vAlign w:val="bottom"/>
          </w:tcPr>
          <w:p w14:paraId="5308C1F6" w14:textId="77777777" w:rsidR="003A0566" w:rsidRPr="001F3737" w:rsidRDefault="003A0566" w:rsidP="001F3737">
            <w:pPr>
              <w:tabs>
                <w:tab w:val="decimal" w:pos="618"/>
              </w:tabs>
              <w:spacing w:line="360" w:lineRule="auto"/>
              <w:jc w:val="both"/>
              <w:rPr>
                <w:rFonts w:ascii="Book Antiqua" w:hAnsi="Book Antiqua"/>
              </w:rPr>
            </w:pPr>
          </w:p>
        </w:tc>
        <w:tc>
          <w:tcPr>
            <w:tcW w:w="820" w:type="pct"/>
            <w:tcBorders>
              <w:top w:val="nil"/>
              <w:left w:val="nil"/>
              <w:bottom w:val="nil"/>
              <w:right w:val="nil"/>
            </w:tcBorders>
            <w:noWrap/>
            <w:vAlign w:val="bottom"/>
          </w:tcPr>
          <w:p w14:paraId="1205DB41" w14:textId="77777777" w:rsidR="003A0566" w:rsidRPr="001F3737" w:rsidRDefault="003A0566" w:rsidP="001F3737">
            <w:pPr>
              <w:tabs>
                <w:tab w:val="decimal" w:pos="724"/>
              </w:tabs>
              <w:spacing w:line="360" w:lineRule="auto"/>
              <w:jc w:val="both"/>
              <w:rPr>
                <w:rFonts w:ascii="Book Antiqua" w:hAnsi="Book Antiqua"/>
              </w:rPr>
            </w:pPr>
          </w:p>
        </w:tc>
        <w:tc>
          <w:tcPr>
            <w:tcW w:w="342" w:type="pct"/>
            <w:tcBorders>
              <w:top w:val="nil"/>
              <w:left w:val="nil"/>
              <w:bottom w:val="nil"/>
              <w:right w:val="nil"/>
            </w:tcBorders>
            <w:noWrap/>
            <w:vAlign w:val="bottom"/>
          </w:tcPr>
          <w:p w14:paraId="05B8FAC6" w14:textId="77777777" w:rsidR="003A0566" w:rsidRPr="001F3737" w:rsidRDefault="003A0566" w:rsidP="001F3737">
            <w:pPr>
              <w:spacing w:line="360" w:lineRule="auto"/>
              <w:jc w:val="both"/>
              <w:rPr>
                <w:rFonts w:ascii="Book Antiqua" w:hAnsi="Book Antiqua"/>
              </w:rPr>
            </w:pPr>
          </w:p>
        </w:tc>
        <w:tc>
          <w:tcPr>
            <w:tcW w:w="717" w:type="pct"/>
            <w:tcBorders>
              <w:top w:val="nil"/>
              <w:left w:val="nil"/>
              <w:bottom w:val="nil"/>
              <w:right w:val="nil"/>
            </w:tcBorders>
            <w:noWrap/>
            <w:vAlign w:val="bottom"/>
          </w:tcPr>
          <w:p w14:paraId="24792D36" w14:textId="77777777" w:rsidR="003A0566" w:rsidRPr="001F3737" w:rsidRDefault="003A0566" w:rsidP="001F3737">
            <w:pPr>
              <w:tabs>
                <w:tab w:val="decimal" w:pos="661"/>
              </w:tabs>
              <w:spacing w:line="360" w:lineRule="auto"/>
              <w:jc w:val="both"/>
              <w:rPr>
                <w:rFonts w:ascii="Book Antiqua" w:hAnsi="Book Antiqua"/>
              </w:rPr>
            </w:pPr>
          </w:p>
        </w:tc>
        <w:tc>
          <w:tcPr>
            <w:tcW w:w="581" w:type="pct"/>
            <w:tcBorders>
              <w:top w:val="nil"/>
              <w:left w:val="nil"/>
              <w:bottom w:val="nil"/>
              <w:right w:val="nil"/>
            </w:tcBorders>
            <w:noWrap/>
            <w:vAlign w:val="bottom"/>
          </w:tcPr>
          <w:p w14:paraId="57C83BB2" w14:textId="77777777" w:rsidR="003A0566" w:rsidRPr="001F3737" w:rsidRDefault="003A0566" w:rsidP="001F3737">
            <w:pPr>
              <w:tabs>
                <w:tab w:val="decimal" w:pos="586"/>
              </w:tabs>
              <w:spacing w:line="360" w:lineRule="auto"/>
              <w:jc w:val="both"/>
              <w:rPr>
                <w:rFonts w:ascii="Book Antiqua" w:hAnsi="Book Antiqua"/>
              </w:rPr>
            </w:pPr>
          </w:p>
        </w:tc>
        <w:tc>
          <w:tcPr>
            <w:tcW w:w="348" w:type="pct"/>
            <w:tcBorders>
              <w:top w:val="nil"/>
              <w:left w:val="nil"/>
              <w:bottom w:val="nil"/>
              <w:right w:val="nil"/>
            </w:tcBorders>
            <w:noWrap/>
            <w:vAlign w:val="bottom"/>
          </w:tcPr>
          <w:p w14:paraId="37A6F5A7" w14:textId="77777777" w:rsidR="003A0566" w:rsidRPr="001F3737" w:rsidRDefault="003A0566" w:rsidP="001F3737">
            <w:pPr>
              <w:spacing w:line="360" w:lineRule="auto"/>
              <w:jc w:val="both"/>
              <w:rPr>
                <w:rFonts w:ascii="Book Antiqua" w:hAnsi="Book Antiqua"/>
              </w:rPr>
            </w:pPr>
          </w:p>
        </w:tc>
      </w:tr>
      <w:tr w:rsidR="003A0566" w:rsidRPr="001F3737" w14:paraId="2A6B65B1" w14:textId="77777777" w:rsidTr="003A0566">
        <w:trPr>
          <w:cantSplit/>
        </w:trPr>
        <w:tc>
          <w:tcPr>
            <w:tcW w:w="1373" w:type="pct"/>
            <w:tcBorders>
              <w:top w:val="nil"/>
              <w:left w:val="nil"/>
              <w:bottom w:val="nil"/>
              <w:right w:val="nil"/>
            </w:tcBorders>
            <w:noWrap/>
            <w:vAlign w:val="bottom"/>
          </w:tcPr>
          <w:p w14:paraId="57F75FF0"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Primary hepatobiliary malignancy</w:t>
            </w:r>
          </w:p>
        </w:tc>
        <w:tc>
          <w:tcPr>
            <w:tcW w:w="819" w:type="pct"/>
            <w:tcBorders>
              <w:top w:val="nil"/>
              <w:left w:val="nil"/>
              <w:bottom w:val="nil"/>
              <w:right w:val="nil"/>
            </w:tcBorders>
            <w:noWrap/>
            <w:vAlign w:val="bottom"/>
          </w:tcPr>
          <w:p w14:paraId="48286F86" w14:textId="518B54D6"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63 (41.5</w:t>
            </w:r>
            <w:r w:rsidR="003A0566" w:rsidRPr="001F3737">
              <w:rPr>
                <w:rFonts w:ascii="Book Antiqua" w:hAnsi="Book Antiqua"/>
              </w:rPr>
              <w:t>)</w:t>
            </w:r>
          </w:p>
        </w:tc>
        <w:tc>
          <w:tcPr>
            <w:tcW w:w="820" w:type="pct"/>
            <w:tcBorders>
              <w:top w:val="nil"/>
              <w:left w:val="nil"/>
              <w:bottom w:val="nil"/>
              <w:right w:val="nil"/>
            </w:tcBorders>
            <w:noWrap/>
            <w:vAlign w:val="bottom"/>
          </w:tcPr>
          <w:p w14:paraId="524B52C0" w14:textId="3D9429C9"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850 (28.4</w:t>
            </w:r>
            <w:r w:rsidR="003A0566" w:rsidRPr="001F3737">
              <w:rPr>
                <w:rFonts w:ascii="Book Antiqua" w:hAnsi="Book Antiqua"/>
              </w:rPr>
              <w:t>)</w:t>
            </w:r>
          </w:p>
        </w:tc>
        <w:tc>
          <w:tcPr>
            <w:tcW w:w="342" w:type="pct"/>
            <w:tcBorders>
              <w:top w:val="nil"/>
              <w:left w:val="nil"/>
              <w:bottom w:val="nil"/>
              <w:right w:val="nil"/>
            </w:tcBorders>
            <w:noWrap/>
            <w:vAlign w:val="bottom"/>
          </w:tcPr>
          <w:p w14:paraId="2EB27F3F" w14:textId="77777777" w:rsidR="003A0566" w:rsidRPr="001F3737" w:rsidRDefault="003A0566" w:rsidP="001F3737">
            <w:pPr>
              <w:spacing w:line="360" w:lineRule="auto"/>
              <w:jc w:val="both"/>
              <w:rPr>
                <w:rFonts w:ascii="Book Antiqua" w:hAnsi="Book Antiqua"/>
              </w:rPr>
            </w:pPr>
            <w:r w:rsidRPr="001F3737">
              <w:rPr>
                <w:rFonts w:ascii="Book Antiqua" w:hAnsi="Book Antiqua"/>
              </w:rPr>
              <w:t>0.001</w:t>
            </w:r>
          </w:p>
        </w:tc>
        <w:tc>
          <w:tcPr>
            <w:tcW w:w="717" w:type="pct"/>
            <w:tcBorders>
              <w:top w:val="nil"/>
              <w:left w:val="nil"/>
              <w:bottom w:val="nil"/>
              <w:right w:val="nil"/>
            </w:tcBorders>
            <w:noWrap/>
            <w:vAlign w:val="bottom"/>
          </w:tcPr>
          <w:p w14:paraId="10C85228" w14:textId="4DCE2502" w:rsidR="003A0566" w:rsidRPr="001F3737" w:rsidRDefault="003A0566" w:rsidP="001F3737">
            <w:pPr>
              <w:tabs>
                <w:tab w:val="decimal" w:pos="661"/>
              </w:tabs>
              <w:spacing w:line="360" w:lineRule="auto"/>
              <w:jc w:val="both"/>
              <w:rPr>
                <w:rFonts w:ascii="Book Antiqua" w:hAnsi="Book Antiqua"/>
              </w:rPr>
            </w:pPr>
            <w:r w:rsidRPr="001F3737">
              <w:rPr>
                <w:rFonts w:ascii="Book Antiqua" w:hAnsi="Book Antiqua"/>
              </w:rPr>
              <w:t>56 (3</w:t>
            </w:r>
            <w:r w:rsidR="0015098C" w:rsidRPr="001F3737">
              <w:rPr>
                <w:rFonts w:ascii="Book Antiqua" w:hAnsi="Book Antiqua"/>
              </w:rPr>
              <w:t>8.9</w:t>
            </w:r>
            <w:r w:rsidRPr="001F3737">
              <w:rPr>
                <w:rFonts w:ascii="Book Antiqua" w:hAnsi="Book Antiqua"/>
              </w:rPr>
              <w:t>)</w:t>
            </w:r>
          </w:p>
        </w:tc>
        <w:tc>
          <w:tcPr>
            <w:tcW w:w="581" w:type="pct"/>
            <w:tcBorders>
              <w:top w:val="nil"/>
              <w:left w:val="nil"/>
              <w:bottom w:val="nil"/>
              <w:right w:val="nil"/>
            </w:tcBorders>
            <w:noWrap/>
            <w:vAlign w:val="bottom"/>
          </w:tcPr>
          <w:p w14:paraId="700479D5" w14:textId="110D84D4"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300 (41.7</w:t>
            </w:r>
            <w:r w:rsidR="003A0566" w:rsidRPr="001F3737">
              <w:rPr>
                <w:rFonts w:ascii="Book Antiqua" w:hAnsi="Book Antiqua"/>
              </w:rPr>
              <w:t>)</w:t>
            </w:r>
          </w:p>
        </w:tc>
        <w:tc>
          <w:tcPr>
            <w:tcW w:w="348" w:type="pct"/>
            <w:tcBorders>
              <w:top w:val="nil"/>
              <w:left w:val="nil"/>
              <w:bottom w:val="nil"/>
              <w:right w:val="nil"/>
            </w:tcBorders>
            <w:noWrap/>
            <w:vAlign w:val="bottom"/>
          </w:tcPr>
          <w:p w14:paraId="76C2CE25" w14:textId="77777777" w:rsidR="003A0566" w:rsidRPr="001F3737" w:rsidRDefault="003A0566" w:rsidP="001F3737">
            <w:pPr>
              <w:spacing w:line="360" w:lineRule="auto"/>
              <w:jc w:val="both"/>
              <w:rPr>
                <w:rFonts w:ascii="Book Antiqua" w:hAnsi="Book Antiqua"/>
              </w:rPr>
            </w:pPr>
            <w:r w:rsidRPr="001F3737">
              <w:rPr>
                <w:rFonts w:ascii="Book Antiqua" w:hAnsi="Book Antiqua"/>
              </w:rPr>
              <w:t>0.599</w:t>
            </w:r>
          </w:p>
        </w:tc>
      </w:tr>
      <w:tr w:rsidR="003A0566" w:rsidRPr="001F3737" w14:paraId="11FB8B34" w14:textId="77777777" w:rsidTr="003A0566">
        <w:trPr>
          <w:cantSplit/>
        </w:trPr>
        <w:tc>
          <w:tcPr>
            <w:tcW w:w="1373" w:type="pct"/>
            <w:tcBorders>
              <w:top w:val="nil"/>
              <w:left w:val="nil"/>
              <w:bottom w:val="nil"/>
              <w:right w:val="nil"/>
            </w:tcBorders>
            <w:noWrap/>
            <w:vAlign w:val="bottom"/>
          </w:tcPr>
          <w:p w14:paraId="752901B4"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Metastatic liver neoplasm</w:t>
            </w:r>
          </w:p>
        </w:tc>
        <w:tc>
          <w:tcPr>
            <w:tcW w:w="819" w:type="pct"/>
            <w:tcBorders>
              <w:top w:val="nil"/>
              <w:left w:val="nil"/>
              <w:bottom w:val="nil"/>
              <w:right w:val="nil"/>
            </w:tcBorders>
            <w:noWrap/>
            <w:vAlign w:val="bottom"/>
          </w:tcPr>
          <w:p w14:paraId="41333E64" w14:textId="336F27EF"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89 (58.6</w:t>
            </w:r>
            <w:r w:rsidR="003A0566" w:rsidRPr="001F3737">
              <w:rPr>
                <w:rFonts w:ascii="Book Antiqua" w:hAnsi="Book Antiqua"/>
              </w:rPr>
              <w:t>)</w:t>
            </w:r>
          </w:p>
        </w:tc>
        <w:tc>
          <w:tcPr>
            <w:tcW w:w="820" w:type="pct"/>
            <w:tcBorders>
              <w:top w:val="nil"/>
              <w:left w:val="nil"/>
              <w:bottom w:val="nil"/>
              <w:right w:val="nil"/>
            </w:tcBorders>
            <w:noWrap/>
            <w:vAlign w:val="bottom"/>
          </w:tcPr>
          <w:p w14:paraId="65ED60A9" w14:textId="53CD7A2E"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2143 (71.6</w:t>
            </w:r>
            <w:r w:rsidR="003A0566" w:rsidRPr="001F3737">
              <w:rPr>
                <w:rFonts w:ascii="Book Antiqua" w:hAnsi="Book Antiqua"/>
              </w:rPr>
              <w:t>)</w:t>
            </w:r>
          </w:p>
        </w:tc>
        <w:tc>
          <w:tcPr>
            <w:tcW w:w="342" w:type="pct"/>
            <w:tcBorders>
              <w:top w:val="nil"/>
              <w:left w:val="nil"/>
              <w:bottom w:val="nil"/>
              <w:right w:val="nil"/>
            </w:tcBorders>
            <w:noWrap/>
            <w:vAlign w:val="bottom"/>
          </w:tcPr>
          <w:p w14:paraId="5EA22788" w14:textId="77777777" w:rsidR="003A0566" w:rsidRPr="001F3737" w:rsidRDefault="003A0566" w:rsidP="001F3737">
            <w:pPr>
              <w:spacing w:line="360" w:lineRule="auto"/>
              <w:jc w:val="both"/>
              <w:rPr>
                <w:rFonts w:ascii="Book Antiqua" w:hAnsi="Book Antiqua"/>
              </w:rPr>
            </w:pPr>
            <w:r w:rsidRPr="001F3737">
              <w:rPr>
                <w:rFonts w:ascii="Book Antiqua" w:hAnsi="Book Antiqua"/>
              </w:rPr>
              <w:t>0.001</w:t>
            </w:r>
          </w:p>
        </w:tc>
        <w:tc>
          <w:tcPr>
            <w:tcW w:w="717" w:type="pct"/>
            <w:tcBorders>
              <w:top w:val="nil"/>
              <w:left w:val="nil"/>
              <w:bottom w:val="nil"/>
              <w:right w:val="nil"/>
            </w:tcBorders>
            <w:noWrap/>
            <w:vAlign w:val="bottom"/>
          </w:tcPr>
          <w:p w14:paraId="0DD37B14" w14:textId="562B277F"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88 (61.1</w:t>
            </w:r>
            <w:r w:rsidR="003A0566" w:rsidRPr="001F3737">
              <w:rPr>
                <w:rFonts w:ascii="Book Antiqua" w:hAnsi="Book Antiqua"/>
              </w:rPr>
              <w:t>)</w:t>
            </w:r>
          </w:p>
        </w:tc>
        <w:tc>
          <w:tcPr>
            <w:tcW w:w="581" w:type="pct"/>
            <w:tcBorders>
              <w:top w:val="nil"/>
              <w:left w:val="nil"/>
              <w:bottom w:val="nil"/>
              <w:right w:val="nil"/>
            </w:tcBorders>
            <w:noWrap/>
            <w:vAlign w:val="bottom"/>
          </w:tcPr>
          <w:p w14:paraId="05256C9C" w14:textId="48208BAC"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420 (58.3</w:t>
            </w:r>
            <w:r w:rsidR="003A0566" w:rsidRPr="001F3737">
              <w:rPr>
                <w:rFonts w:ascii="Book Antiqua" w:hAnsi="Book Antiqua"/>
              </w:rPr>
              <w:t>)</w:t>
            </w:r>
          </w:p>
        </w:tc>
        <w:tc>
          <w:tcPr>
            <w:tcW w:w="348" w:type="pct"/>
            <w:tcBorders>
              <w:top w:val="nil"/>
              <w:left w:val="nil"/>
              <w:bottom w:val="nil"/>
              <w:right w:val="nil"/>
            </w:tcBorders>
            <w:noWrap/>
            <w:vAlign w:val="bottom"/>
          </w:tcPr>
          <w:p w14:paraId="07C454F2" w14:textId="77777777" w:rsidR="003A0566" w:rsidRPr="001F3737" w:rsidRDefault="003A0566" w:rsidP="001F3737">
            <w:pPr>
              <w:spacing w:line="360" w:lineRule="auto"/>
              <w:jc w:val="both"/>
              <w:rPr>
                <w:rFonts w:ascii="Book Antiqua" w:hAnsi="Book Antiqua"/>
              </w:rPr>
            </w:pPr>
            <w:r w:rsidRPr="001F3737">
              <w:rPr>
                <w:rFonts w:ascii="Book Antiqua" w:hAnsi="Book Antiqua"/>
              </w:rPr>
              <w:t>0.599</w:t>
            </w:r>
          </w:p>
        </w:tc>
      </w:tr>
      <w:tr w:rsidR="003A0566" w:rsidRPr="001F3737" w14:paraId="71EB8F8B" w14:textId="77777777" w:rsidTr="003A0566">
        <w:trPr>
          <w:cantSplit/>
        </w:trPr>
        <w:tc>
          <w:tcPr>
            <w:tcW w:w="1373" w:type="pct"/>
            <w:tcBorders>
              <w:top w:val="nil"/>
              <w:left w:val="nil"/>
              <w:bottom w:val="nil"/>
              <w:right w:val="nil"/>
            </w:tcBorders>
            <w:noWrap/>
            <w:vAlign w:val="bottom"/>
          </w:tcPr>
          <w:p w14:paraId="7A1801B6" w14:textId="4DD90F1C" w:rsidR="003A0566" w:rsidRPr="001F3737" w:rsidRDefault="003A0566" w:rsidP="00A6473E">
            <w:pPr>
              <w:spacing w:line="360" w:lineRule="auto"/>
              <w:jc w:val="both"/>
              <w:rPr>
                <w:rFonts w:ascii="Book Antiqua" w:hAnsi="Book Antiqua"/>
              </w:rPr>
            </w:pPr>
            <w:r w:rsidRPr="001F3737">
              <w:rPr>
                <w:rFonts w:ascii="Book Antiqua" w:hAnsi="Book Antiqua"/>
              </w:rPr>
              <w:t xml:space="preserve">Comorbid </w:t>
            </w:r>
            <w:r w:rsidR="0015098C" w:rsidRPr="001F3737">
              <w:rPr>
                <w:rFonts w:ascii="Book Antiqua" w:hAnsi="Book Antiqua"/>
              </w:rPr>
              <w:t>liver diag</w:t>
            </w:r>
            <w:r w:rsidRPr="001F3737">
              <w:rPr>
                <w:rFonts w:ascii="Book Antiqua" w:hAnsi="Book Antiqua"/>
              </w:rPr>
              <w:t>noses</w:t>
            </w:r>
          </w:p>
        </w:tc>
        <w:tc>
          <w:tcPr>
            <w:tcW w:w="819" w:type="pct"/>
            <w:tcBorders>
              <w:top w:val="nil"/>
              <w:left w:val="nil"/>
              <w:bottom w:val="nil"/>
              <w:right w:val="nil"/>
            </w:tcBorders>
            <w:noWrap/>
            <w:vAlign w:val="bottom"/>
          </w:tcPr>
          <w:p w14:paraId="06068953" w14:textId="77777777" w:rsidR="003A0566" w:rsidRPr="001F3737" w:rsidRDefault="003A0566" w:rsidP="001F3737">
            <w:pPr>
              <w:tabs>
                <w:tab w:val="decimal" w:pos="618"/>
              </w:tabs>
              <w:spacing w:line="360" w:lineRule="auto"/>
              <w:jc w:val="both"/>
              <w:rPr>
                <w:rFonts w:ascii="Book Antiqua" w:hAnsi="Book Antiqua"/>
              </w:rPr>
            </w:pPr>
          </w:p>
        </w:tc>
        <w:tc>
          <w:tcPr>
            <w:tcW w:w="820" w:type="pct"/>
            <w:tcBorders>
              <w:top w:val="nil"/>
              <w:left w:val="nil"/>
              <w:bottom w:val="nil"/>
              <w:right w:val="nil"/>
            </w:tcBorders>
            <w:noWrap/>
            <w:vAlign w:val="bottom"/>
          </w:tcPr>
          <w:p w14:paraId="43CEDF56" w14:textId="77777777" w:rsidR="003A0566" w:rsidRPr="001F3737" w:rsidRDefault="003A0566" w:rsidP="001F3737">
            <w:pPr>
              <w:tabs>
                <w:tab w:val="decimal" w:pos="724"/>
              </w:tabs>
              <w:spacing w:line="360" w:lineRule="auto"/>
              <w:jc w:val="both"/>
              <w:rPr>
                <w:rFonts w:ascii="Book Antiqua" w:hAnsi="Book Antiqua"/>
              </w:rPr>
            </w:pPr>
          </w:p>
        </w:tc>
        <w:tc>
          <w:tcPr>
            <w:tcW w:w="342" w:type="pct"/>
            <w:tcBorders>
              <w:top w:val="nil"/>
              <w:left w:val="nil"/>
              <w:bottom w:val="nil"/>
              <w:right w:val="nil"/>
            </w:tcBorders>
            <w:noWrap/>
            <w:vAlign w:val="bottom"/>
          </w:tcPr>
          <w:p w14:paraId="725ACA32" w14:textId="77777777" w:rsidR="003A0566" w:rsidRPr="001F3737" w:rsidRDefault="003A0566" w:rsidP="001F3737">
            <w:pPr>
              <w:spacing w:line="360" w:lineRule="auto"/>
              <w:jc w:val="both"/>
              <w:rPr>
                <w:rFonts w:ascii="Book Antiqua" w:hAnsi="Book Antiqua"/>
              </w:rPr>
            </w:pPr>
          </w:p>
        </w:tc>
        <w:tc>
          <w:tcPr>
            <w:tcW w:w="717" w:type="pct"/>
            <w:tcBorders>
              <w:top w:val="nil"/>
              <w:left w:val="nil"/>
              <w:bottom w:val="nil"/>
              <w:right w:val="nil"/>
            </w:tcBorders>
            <w:noWrap/>
            <w:vAlign w:val="bottom"/>
          </w:tcPr>
          <w:p w14:paraId="200BC5D8" w14:textId="77777777" w:rsidR="003A0566" w:rsidRPr="001F3737" w:rsidRDefault="003A0566" w:rsidP="001F3737">
            <w:pPr>
              <w:tabs>
                <w:tab w:val="decimal" w:pos="661"/>
              </w:tabs>
              <w:spacing w:line="360" w:lineRule="auto"/>
              <w:jc w:val="both"/>
              <w:rPr>
                <w:rFonts w:ascii="Book Antiqua" w:hAnsi="Book Antiqua"/>
              </w:rPr>
            </w:pPr>
          </w:p>
        </w:tc>
        <w:tc>
          <w:tcPr>
            <w:tcW w:w="581" w:type="pct"/>
            <w:tcBorders>
              <w:top w:val="nil"/>
              <w:left w:val="nil"/>
              <w:bottom w:val="nil"/>
              <w:right w:val="nil"/>
            </w:tcBorders>
            <w:noWrap/>
            <w:vAlign w:val="bottom"/>
          </w:tcPr>
          <w:p w14:paraId="7EB1B5AC" w14:textId="77777777" w:rsidR="003A0566" w:rsidRPr="001F3737" w:rsidRDefault="003A0566" w:rsidP="001F3737">
            <w:pPr>
              <w:tabs>
                <w:tab w:val="decimal" w:pos="586"/>
              </w:tabs>
              <w:spacing w:line="360" w:lineRule="auto"/>
              <w:jc w:val="both"/>
              <w:rPr>
                <w:rFonts w:ascii="Book Antiqua" w:hAnsi="Book Antiqua"/>
              </w:rPr>
            </w:pPr>
          </w:p>
        </w:tc>
        <w:tc>
          <w:tcPr>
            <w:tcW w:w="348" w:type="pct"/>
            <w:tcBorders>
              <w:top w:val="nil"/>
              <w:left w:val="nil"/>
              <w:bottom w:val="nil"/>
              <w:right w:val="nil"/>
            </w:tcBorders>
            <w:noWrap/>
            <w:vAlign w:val="bottom"/>
          </w:tcPr>
          <w:p w14:paraId="02938F42" w14:textId="77777777" w:rsidR="003A0566" w:rsidRPr="001F3737" w:rsidRDefault="003A0566" w:rsidP="001F3737">
            <w:pPr>
              <w:spacing w:line="360" w:lineRule="auto"/>
              <w:jc w:val="both"/>
              <w:rPr>
                <w:rFonts w:ascii="Book Antiqua" w:hAnsi="Book Antiqua"/>
              </w:rPr>
            </w:pPr>
          </w:p>
        </w:tc>
      </w:tr>
      <w:tr w:rsidR="003A0566" w:rsidRPr="001F3737" w14:paraId="5E33B3CC" w14:textId="77777777" w:rsidTr="003A0566">
        <w:trPr>
          <w:cantSplit/>
        </w:trPr>
        <w:tc>
          <w:tcPr>
            <w:tcW w:w="1373" w:type="pct"/>
            <w:tcBorders>
              <w:top w:val="nil"/>
              <w:left w:val="nil"/>
              <w:bottom w:val="nil"/>
              <w:right w:val="nil"/>
            </w:tcBorders>
            <w:noWrap/>
            <w:vAlign w:val="bottom"/>
          </w:tcPr>
          <w:p w14:paraId="74EECD05"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Alcoholic cirrhosis</w:t>
            </w:r>
          </w:p>
        </w:tc>
        <w:tc>
          <w:tcPr>
            <w:tcW w:w="819" w:type="pct"/>
            <w:tcBorders>
              <w:top w:val="nil"/>
              <w:left w:val="nil"/>
              <w:bottom w:val="nil"/>
              <w:right w:val="nil"/>
            </w:tcBorders>
            <w:noWrap/>
            <w:vAlign w:val="bottom"/>
          </w:tcPr>
          <w:p w14:paraId="083C1D73" w14:textId="1780BB8F"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1 (0.66</w:t>
            </w:r>
            <w:r w:rsidR="003A0566" w:rsidRPr="001F3737">
              <w:rPr>
                <w:rFonts w:ascii="Book Antiqua" w:hAnsi="Book Antiqua"/>
              </w:rPr>
              <w:t>)</w:t>
            </w:r>
          </w:p>
        </w:tc>
        <w:tc>
          <w:tcPr>
            <w:tcW w:w="820" w:type="pct"/>
            <w:tcBorders>
              <w:top w:val="nil"/>
              <w:left w:val="nil"/>
              <w:bottom w:val="nil"/>
              <w:right w:val="nil"/>
            </w:tcBorders>
            <w:noWrap/>
            <w:vAlign w:val="bottom"/>
          </w:tcPr>
          <w:p w14:paraId="05427629" w14:textId="5FEF1931"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33 (1.1</w:t>
            </w:r>
            <w:r w:rsidR="003A0566" w:rsidRPr="001F3737">
              <w:rPr>
                <w:rFonts w:ascii="Book Antiqua" w:hAnsi="Book Antiqua"/>
              </w:rPr>
              <w:t>)</w:t>
            </w:r>
          </w:p>
        </w:tc>
        <w:tc>
          <w:tcPr>
            <w:tcW w:w="342" w:type="pct"/>
            <w:tcBorders>
              <w:top w:val="nil"/>
              <w:left w:val="nil"/>
              <w:bottom w:val="nil"/>
              <w:right w:val="nil"/>
            </w:tcBorders>
            <w:noWrap/>
            <w:vAlign w:val="bottom"/>
          </w:tcPr>
          <w:p w14:paraId="61BBAAE8" w14:textId="77777777" w:rsidR="003A0566" w:rsidRPr="001F3737" w:rsidRDefault="003A0566" w:rsidP="001F3737">
            <w:pPr>
              <w:spacing w:line="360" w:lineRule="auto"/>
              <w:jc w:val="both"/>
              <w:rPr>
                <w:rFonts w:ascii="Book Antiqua" w:hAnsi="Book Antiqua"/>
              </w:rPr>
            </w:pPr>
            <w:r w:rsidRPr="001F3737">
              <w:rPr>
                <w:rFonts w:ascii="Book Antiqua" w:hAnsi="Book Antiqua"/>
              </w:rPr>
              <w:t>0.908</w:t>
            </w:r>
          </w:p>
        </w:tc>
        <w:tc>
          <w:tcPr>
            <w:tcW w:w="717" w:type="pct"/>
            <w:tcBorders>
              <w:top w:val="nil"/>
              <w:left w:val="nil"/>
              <w:bottom w:val="nil"/>
              <w:right w:val="nil"/>
            </w:tcBorders>
            <w:noWrap/>
            <w:vAlign w:val="bottom"/>
          </w:tcPr>
          <w:p w14:paraId="77985FF8" w14:textId="710F1E41"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1 (0.69</w:t>
            </w:r>
            <w:r w:rsidR="003A0566" w:rsidRPr="001F3737">
              <w:rPr>
                <w:rFonts w:ascii="Book Antiqua" w:hAnsi="Book Antiqua"/>
              </w:rPr>
              <w:t>)</w:t>
            </w:r>
          </w:p>
        </w:tc>
        <w:tc>
          <w:tcPr>
            <w:tcW w:w="581" w:type="pct"/>
            <w:tcBorders>
              <w:top w:val="nil"/>
              <w:left w:val="nil"/>
              <w:bottom w:val="nil"/>
              <w:right w:val="nil"/>
            </w:tcBorders>
            <w:noWrap/>
            <w:vAlign w:val="bottom"/>
          </w:tcPr>
          <w:p w14:paraId="2BA69732" w14:textId="1E76893B"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4 (0.56</w:t>
            </w:r>
            <w:r w:rsidR="003A0566" w:rsidRPr="001F3737">
              <w:rPr>
                <w:rFonts w:ascii="Book Antiqua" w:hAnsi="Book Antiqua"/>
              </w:rPr>
              <w:t>)</w:t>
            </w:r>
          </w:p>
        </w:tc>
        <w:tc>
          <w:tcPr>
            <w:tcW w:w="348" w:type="pct"/>
            <w:tcBorders>
              <w:top w:val="nil"/>
              <w:left w:val="nil"/>
              <w:bottom w:val="nil"/>
              <w:right w:val="nil"/>
            </w:tcBorders>
            <w:noWrap/>
            <w:vAlign w:val="bottom"/>
          </w:tcPr>
          <w:p w14:paraId="3103146F" w14:textId="77777777" w:rsidR="003A0566" w:rsidRPr="001F3737" w:rsidRDefault="003A0566" w:rsidP="001F3737">
            <w:pPr>
              <w:spacing w:line="360" w:lineRule="auto"/>
              <w:jc w:val="both"/>
              <w:rPr>
                <w:rFonts w:ascii="Book Antiqua" w:hAnsi="Book Antiqua"/>
              </w:rPr>
            </w:pPr>
            <w:r w:rsidRPr="001F3737">
              <w:rPr>
                <w:rFonts w:ascii="Book Antiqua" w:hAnsi="Book Antiqua"/>
              </w:rPr>
              <w:t>1.000</w:t>
            </w:r>
          </w:p>
        </w:tc>
      </w:tr>
      <w:tr w:rsidR="003A0566" w:rsidRPr="001F3737" w14:paraId="428B3D70" w14:textId="77777777" w:rsidTr="003A0566">
        <w:trPr>
          <w:cantSplit/>
        </w:trPr>
        <w:tc>
          <w:tcPr>
            <w:tcW w:w="1373" w:type="pct"/>
            <w:tcBorders>
              <w:top w:val="nil"/>
              <w:left w:val="nil"/>
              <w:bottom w:val="nil"/>
              <w:right w:val="nil"/>
            </w:tcBorders>
            <w:noWrap/>
            <w:vAlign w:val="bottom"/>
          </w:tcPr>
          <w:p w14:paraId="00859246"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Non-alcoholic cirrhosis</w:t>
            </w:r>
          </w:p>
        </w:tc>
        <w:tc>
          <w:tcPr>
            <w:tcW w:w="819" w:type="pct"/>
            <w:tcBorders>
              <w:top w:val="nil"/>
              <w:left w:val="nil"/>
              <w:bottom w:val="nil"/>
              <w:right w:val="nil"/>
            </w:tcBorders>
            <w:noWrap/>
            <w:vAlign w:val="bottom"/>
          </w:tcPr>
          <w:p w14:paraId="1F492FE5" w14:textId="0DD53161"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23 (15.1</w:t>
            </w:r>
            <w:r w:rsidR="003A0566" w:rsidRPr="001F3737">
              <w:rPr>
                <w:rFonts w:ascii="Book Antiqua" w:hAnsi="Book Antiqua"/>
              </w:rPr>
              <w:t>)</w:t>
            </w:r>
          </w:p>
        </w:tc>
        <w:tc>
          <w:tcPr>
            <w:tcW w:w="820" w:type="pct"/>
            <w:tcBorders>
              <w:top w:val="nil"/>
              <w:left w:val="nil"/>
              <w:bottom w:val="nil"/>
              <w:right w:val="nil"/>
            </w:tcBorders>
            <w:noWrap/>
            <w:vAlign w:val="bottom"/>
          </w:tcPr>
          <w:p w14:paraId="55BF1AF7" w14:textId="7357CC10" w:rsidR="003A0566" w:rsidRPr="001F3737" w:rsidRDefault="003A0566" w:rsidP="001F3737">
            <w:pPr>
              <w:tabs>
                <w:tab w:val="decimal" w:pos="724"/>
              </w:tabs>
              <w:spacing w:line="360" w:lineRule="auto"/>
              <w:jc w:val="both"/>
              <w:rPr>
                <w:rFonts w:ascii="Book Antiqua" w:hAnsi="Book Antiqua"/>
              </w:rPr>
            </w:pPr>
            <w:r w:rsidRPr="001F3737">
              <w:rPr>
                <w:rFonts w:ascii="Book Antiqua" w:hAnsi="Book Antiqua"/>
              </w:rPr>
              <w:t xml:space="preserve">287 </w:t>
            </w:r>
            <w:r w:rsidR="0015098C" w:rsidRPr="001F3737">
              <w:rPr>
                <w:rFonts w:ascii="Book Antiqua" w:hAnsi="Book Antiqua"/>
              </w:rPr>
              <w:t>(9.6</w:t>
            </w:r>
            <w:r w:rsidRPr="001F3737">
              <w:rPr>
                <w:rFonts w:ascii="Book Antiqua" w:hAnsi="Book Antiqua"/>
              </w:rPr>
              <w:t>)</w:t>
            </w:r>
          </w:p>
        </w:tc>
        <w:tc>
          <w:tcPr>
            <w:tcW w:w="342" w:type="pct"/>
            <w:tcBorders>
              <w:top w:val="nil"/>
              <w:left w:val="nil"/>
              <w:bottom w:val="nil"/>
              <w:right w:val="nil"/>
            </w:tcBorders>
            <w:noWrap/>
            <w:vAlign w:val="bottom"/>
          </w:tcPr>
          <w:p w14:paraId="1F7A529B" w14:textId="77777777" w:rsidR="003A0566" w:rsidRPr="001F3737" w:rsidRDefault="003A0566" w:rsidP="001F3737">
            <w:pPr>
              <w:spacing w:line="360" w:lineRule="auto"/>
              <w:jc w:val="both"/>
              <w:rPr>
                <w:rFonts w:ascii="Book Antiqua" w:hAnsi="Book Antiqua"/>
              </w:rPr>
            </w:pPr>
            <w:r w:rsidRPr="001F3737">
              <w:rPr>
                <w:rFonts w:ascii="Book Antiqua" w:hAnsi="Book Antiqua"/>
              </w:rPr>
              <w:t>0.036</w:t>
            </w:r>
          </w:p>
        </w:tc>
        <w:tc>
          <w:tcPr>
            <w:tcW w:w="717" w:type="pct"/>
            <w:tcBorders>
              <w:top w:val="nil"/>
              <w:left w:val="nil"/>
              <w:bottom w:val="nil"/>
              <w:right w:val="nil"/>
            </w:tcBorders>
            <w:noWrap/>
            <w:vAlign w:val="bottom"/>
          </w:tcPr>
          <w:p w14:paraId="32BFD083" w14:textId="46F0C7A3"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20 (13.9</w:t>
            </w:r>
            <w:r w:rsidR="003A0566" w:rsidRPr="001F3737">
              <w:rPr>
                <w:rFonts w:ascii="Book Antiqua" w:hAnsi="Book Antiqua"/>
              </w:rPr>
              <w:t>)</w:t>
            </w:r>
          </w:p>
        </w:tc>
        <w:tc>
          <w:tcPr>
            <w:tcW w:w="581" w:type="pct"/>
            <w:tcBorders>
              <w:top w:val="nil"/>
              <w:left w:val="nil"/>
              <w:bottom w:val="nil"/>
              <w:right w:val="nil"/>
            </w:tcBorders>
            <w:noWrap/>
            <w:vAlign w:val="bottom"/>
          </w:tcPr>
          <w:p w14:paraId="03AF0105" w14:textId="4E8F3772"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100 (13.9</w:t>
            </w:r>
            <w:r w:rsidR="003A0566" w:rsidRPr="001F3737">
              <w:rPr>
                <w:rFonts w:ascii="Book Antiqua" w:hAnsi="Book Antiqua"/>
              </w:rPr>
              <w:t>)</w:t>
            </w:r>
          </w:p>
        </w:tc>
        <w:tc>
          <w:tcPr>
            <w:tcW w:w="348" w:type="pct"/>
            <w:tcBorders>
              <w:top w:val="nil"/>
              <w:left w:val="nil"/>
              <w:bottom w:val="nil"/>
              <w:right w:val="nil"/>
            </w:tcBorders>
            <w:noWrap/>
            <w:vAlign w:val="bottom"/>
          </w:tcPr>
          <w:p w14:paraId="6BC6BE9B" w14:textId="77777777" w:rsidR="003A0566" w:rsidRPr="001F3737" w:rsidRDefault="003A0566" w:rsidP="001F3737">
            <w:pPr>
              <w:spacing w:line="360" w:lineRule="auto"/>
              <w:jc w:val="both"/>
              <w:rPr>
                <w:rFonts w:ascii="Book Antiqua" w:hAnsi="Book Antiqua"/>
              </w:rPr>
            </w:pPr>
            <w:r w:rsidRPr="001F3737">
              <w:rPr>
                <w:rFonts w:ascii="Book Antiqua" w:hAnsi="Book Antiqua"/>
              </w:rPr>
              <w:t>1.000</w:t>
            </w:r>
          </w:p>
        </w:tc>
      </w:tr>
      <w:tr w:rsidR="003A0566" w:rsidRPr="001F3737" w14:paraId="3057E878" w14:textId="77777777" w:rsidTr="003A0566">
        <w:trPr>
          <w:cantSplit/>
        </w:trPr>
        <w:tc>
          <w:tcPr>
            <w:tcW w:w="1373" w:type="pct"/>
            <w:tcBorders>
              <w:top w:val="nil"/>
              <w:left w:val="nil"/>
              <w:bottom w:val="nil"/>
              <w:right w:val="nil"/>
            </w:tcBorders>
            <w:noWrap/>
            <w:vAlign w:val="bottom"/>
          </w:tcPr>
          <w:p w14:paraId="72C0D890"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Hepatitis A</w:t>
            </w:r>
          </w:p>
        </w:tc>
        <w:tc>
          <w:tcPr>
            <w:tcW w:w="819" w:type="pct"/>
            <w:tcBorders>
              <w:top w:val="nil"/>
              <w:left w:val="nil"/>
              <w:bottom w:val="nil"/>
              <w:right w:val="nil"/>
            </w:tcBorders>
            <w:noWrap/>
            <w:vAlign w:val="bottom"/>
          </w:tcPr>
          <w:p w14:paraId="6B40F536" w14:textId="52798124"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0 (0</w:t>
            </w:r>
            <w:r w:rsidR="003A0566" w:rsidRPr="001F3737">
              <w:rPr>
                <w:rFonts w:ascii="Book Antiqua" w:hAnsi="Book Antiqua"/>
              </w:rPr>
              <w:t>)</w:t>
            </w:r>
          </w:p>
        </w:tc>
        <w:tc>
          <w:tcPr>
            <w:tcW w:w="820" w:type="pct"/>
            <w:tcBorders>
              <w:top w:val="nil"/>
              <w:left w:val="nil"/>
              <w:bottom w:val="nil"/>
              <w:right w:val="nil"/>
            </w:tcBorders>
            <w:noWrap/>
            <w:vAlign w:val="bottom"/>
          </w:tcPr>
          <w:p w14:paraId="360BFDD9" w14:textId="4B1E8A30"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6 (0.2</w:t>
            </w:r>
            <w:r w:rsidR="003A0566" w:rsidRPr="001F3737">
              <w:rPr>
                <w:rFonts w:ascii="Book Antiqua" w:hAnsi="Book Antiqua"/>
              </w:rPr>
              <w:t>)</w:t>
            </w:r>
          </w:p>
        </w:tc>
        <w:tc>
          <w:tcPr>
            <w:tcW w:w="342" w:type="pct"/>
            <w:tcBorders>
              <w:top w:val="nil"/>
              <w:left w:val="nil"/>
              <w:bottom w:val="nil"/>
              <w:right w:val="nil"/>
            </w:tcBorders>
            <w:noWrap/>
            <w:vAlign w:val="bottom"/>
          </w:tcPr>
          <w:p w14:paraId="05163099" w14:textId="77777777" w:rsidR="003A0566" w:rsidRPr="001F3737" w:rsidRDefault="003A0566" w:rsidP="001F3737">
            <w:pPr>
              <w:spacing w:line="360" w:lineRule="auto"/>
              <w:jc w:val="both"/>
              <w:rPr>
                <w:rFonts w:ascii="Book Antiqua" w:hAnsi="Book Antiqua"/>
              </w:rPr>
            </w:pPr>
            <w:r w:rsidRPr="001F3737">
              <w:rPr>
                <w:rFonts w:ascii="Book Antiqua" w:hAnsi="Book Antiqua"/>
              </w:rPr>
              <w:t>1.000</w:t>
            </w:r>
          </w:p>
        </w:tc>
        <w:tc>
          <w:tcPr>
            <w:tcW w:w="717" w:type="pct"/>
            <w:tcBorders>
              <w:top w:val="nil"/>
              <w:left w:val="nil"/>
              <w:bottom w:val="nil"/>
              <w:right w:val="nil"/>
            </w:tcBorders>
            <w:noWrap/>
            <w:vAlign w:val="bottom"/>
          </w:tcPr>
          <w:p w14:paraId="3F530AFD" w14:textId="6142571E"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0 (0</w:t>
            </w:r>
            <w:r w:rsidR="003A0566" w:rsidRPr="001F3737">
              <w:rPr>
                <w:rFonts w:ascii="Book Antiqua" w:hAnsi="Book Antiqua"/>
              </w:rPr>
              <w:t>)</w:t>
            </w:r>
          </w:p>
        </w:tc>
        <w:tc>
          <w:tcPr>
            <w:tcW w:w="581" w:type="pct"/>
            <w:tcBorders>
              <w:top w:val="nil"/>
              <w:left w:val="nil"/>
              <w:bottom w:val="nil"/>
              <w:right w:val="nil"/>
            </w:tcBorders>
            <w:noWrap/>
            <w:vAlign w:val="bottom"/>
          </w:tcPr>
          <w:p w14:paraId="6FD96898" w14:textId="5CD62ABF"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0 (0</w:t>
            </w:r>
            <w:r w:rsidR="003A0566" w:rsidRPr="001F3737">
              <w:rPr>
                <w:rFonts w:ascii="Book Antiqua" w:hAnsi="Book Antiqua"/>
              </w:rPr>
              <w:t>)</w:t>
            </w:r>
          </w:p>
        </w:tc>
        <w:tc>
          <w:tcPr>
            <w:tcW w:w="348" w:type="pct"/>
            <w:tcBorders>
              <w:top w:val="nil"/>
              <w:left w:val="nil"/>
              <w:bottom w:val="nil"/>
              <w:right w:val="nil"/>
            </w:tcBorders>
            <w:noWrap/>
            <w:vAlign w:val="bottom"/>
          </w:tcPr>
          <w:p w14:paraId="028E8383" w14:textId="63959227" w:rsidR="003A0566" w:rsidRPr="001F3737" w:rsidRDefault="0015098C" w:rsidP="001F3737">
            <w:pPr>
              <w:spacing w:line="360" w:lineRule="auto"/>
              <w:jc w:val="both"/>
              <w:rPr>
                <w:rFonts w:ascii="Book Antiqua" w:hAnsi="Book Antiqua"/>
              </w:rPr>
            </w:pPr>
            <w:r w:rsidRPr="001F3737">
              <w:rPr>
                <w:rFonts w:ascii="Book Antiqua" w:hAnsi="Book Antiqua"/>
              </w:rPr>
              <w:t>N/A</w:t>
            </w:r>
          </w:p>
        </w:tc>
      </w:tr>
      <w:tr w:rsidR="003A0566" w:rsidRPr="001F3737" w14:paraId="3485C39C" w14:textId="77777777" w:rsidTr="003A0566">
        <w:trPr>
          <w:cantSplit/>
        </w:trPr>
        <w:tc>
          <w:tcPr>
            <w:tcW w:w="1373" w:type="pct"/>
            <w:tcBorders>
              <w:top w:val="nil"/>
              <w:left w:val="nil"/>
              <w:bottom w:val="nil"/>
              <w:right w:val="nil"/>
            </w:tcBorders>
            <w:noWrap/>
            <w:vAlign w:val="bottom"/>
          </w:tcPr>
          <w:p w14:paraId="377E200F"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Hepatitis B</w:t>
            </w:r>
          </w:p>
        </w:tc>
        <w:tc>
          <w:tcPr>
            <w:tcW w:w="819" w:type="pct"/>
            <w:tcBorders>
              <w:top w:val="nil"/>
              <w:left w:val="nil"/>
              <w:bottom w:val="nil"/>
              <w:right w:val="nil"/>
            </w:tcBorders>
            <w:noWrap/>
            <w:vAlign w:val="bottom"/>
          </w:tcPr>
          <w:p w14:paraId="7CA0AF78" w14:textId="5923C980"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18 (11.8</w:t>
            </w:r>
            <w:r w:rsidR="003A0566" w:rsidRPr="001F3737">
              <w:rPr>
                <w:rFonts w:ascii="Book Antiqua" w:hAnsi="Book Antiqua"/>
              </w:rPr>
              <w:t>)</w:t>
            </w:r>
          </w:p>
        </w:tc>
        <w:tc>
          <w:tcPr>
            <w:tcW w:w="820" w:type="pct"/>
            <w:tcBorders>
              <w:top w:val="nil"/>
              <w:left w:val="nil"/>
              <w:bottom w:val="nil"/>
              <w:right w:val="nil"/>
            </w:tcBorders>
            <w:noWrap/>
            <w:vAlign w:val="bottom"/>
          </w:tcPr>
          <w:p w14:paraId="3B788E7F" w14:textId="673FB593"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193 (6.4</w:t>
            </w:r>
            <w:r w:rsidR="003A0566" w:rsidRPr="001F3737">
              <w:rPr>
                <w:rFonts w:ascii="Book Antiqua" w:hAnsi="Book Antiqua"/>
              </w:rPr>
              <w:t>)</w:t>
            </w:r>
          </w:p>
        </w:tc>
        <w:tc>
          <w:tcPr>
            <w:tcW w:w="342" w:type="pct"/>
            <w:tcBorders>
              <w:top w:val="nil"/>
              <w:left w:val="nil"/>
              <w:bottom w:val="nil"/>
              <w:right w:val="nil"/>
            </w:tcBorders>
            <w:noWrap/>
            <w:vAlign w:val="bottom"/>
          </w:tcPr>
          <w:p w14:paraId="1AFF7A60" w14:textId="77777777" w:rsidR="003A0566" w:rsidRPr="001F3737" w:rsidRDefault="003A0566" w:rsidP="001F3737">
            <w:pPr>
              <w:spacing w:line="360" w:lineRule="auto"/>
              <w:jc w:val="both"/>
              <w:rPr>
                <w:rFonts w:ascii="Book Antiqua" w:hAnsi="Book Antiqua"/>
              </w:rPr>
            </w:pPr>
            <w:r w:rsidRPr="001F3737">
              <w:rPr>
                <w:rFonts w:ascii="Book Antiqua" w:hAnsi="Book Antiqua"/>
              </w:rPr>
              <w:t>0.015</w:t>
            </w:r>
          </w:p>
        </w:tc>
        <w:tc>
          <w:tcPr>
            <w:tcW w:w="717" w:type="pct"/>
            <w:tcBorders>
              <w:top w:val="nil"/>
              <w:left w:val="nil"/>
              <w:bottom w:val="nil"/>
              <w:right w:val="nil"/>
            </w:tcBorders>
            <w:noWrap/>
            <w:vAlign w:val="bottom"/>
          </w:tcPr>
          <w:p w14:paraId="56067F5A" w14:textId="693CE95D"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16 (11.1</w:t>
            </w:r>
            <w:r w:rsidR="003A0566" w:rsidRPr="001F3737">
              <w:rPr>
                <w:rFonts w:ascii="Book Antiqua" w:hAnsi="Book Antiqua"/>
              </w:rPr>
              <w:t>)</w:t>
            </w:r>
          </w:p>
        </w:tc>
        <w:tc>
          <w:tcPr>
            <w:tcW w:w="581" w:type="pct"/>
            <w:tcBorders>
              <w:top w:val="nil"/>
              <w:left w:val="nil"/>
              <w:bottom w:val="nil"/>
              <w:right w:val="nil"/>
            </w:tcBorders>
            <w:noWrap/>
            <w:vAlign w:val="bottom"/>
          </w:tcPr>
          <w:p w14:paraId="52508EAA" w14:textId="1F32BA54" w:rsidR="003A0566" w:rsidRPr="001F3737" w:rsidRDefault="003A0566" w:rsidP="001F3737">
            <w:pPr>
              <w:tabs>
                <w:tab w:val="decimal" w:pos="586"/>
              </w:tabs>
              <w:spacing w:line="360" w:lineRule="auto"/>
              <w:jc w:val="both"/>
              <w:rPr>
                <w:rFonts w:ascii="Book Antiqua" w:hAnsi="Book Antiqua"/>
              </w:rPr>
            </w:pPr>
            <w:r w:rsidRPr="001F3737">
              <w:rPr>
                <w:rFonts w:ascii="Book Antiqua" w:hAnsi="Book Antiqua"/>
              </w:rPr>
              <w:t>96 (13.3)</w:t>
            </w:r>
          </w:p>
        </w:tc>
        <w:tc>
          <w:tcPr>
            <w:tcW w:w="348" w:type="pct"/>
            <w:tcBorders>
              <w:top w:val="nil"/>
              <w:left w:val="nil"/>
              <w:bottom w:val="nil"/>
              <w:right w:val="nil"/>
            </w:tcBorders>
            <w:noWrap/>
            <w:vAlign w:val="bottom"/>
          </w:tcPr>
          <w:p w14:paraId="777DE9F8" w14:textId="77777777" w:rsidR="003A0566" w:rsidRPr="001F3737" w:rsidRDefault="003A0566" w:rsidP="001F3737">
            <w:pPr>
              <w:spacing w:line="360" w:lineRule="auto"/>
              <w:jc w:val="both"/>
              <w:rPr>
                <w:rFonts w:ascii="Book Antiqua" w:hAnsi="Book Antiqua"/>
              </w:rPr>
            </w:pPr>
            <w:r w:rsidRPr="001F3737">
              <w:rPr>
                <w:rFonts w:ascii="Book Antiqua" w:hAnsi="Book Antiqua"/>
              </w:rPr>
              <w:t>0.556</w:t>
            </w:r>
          </w:p>
        </w:tc>
      </w:tr>
      <w:tr w:rsidR="003A0566" w:rsidRPr="001F3737" w14:paraId="16B1B3E6" w14:textId="77777777" w:rsidTr="003A0566">
        <w:trPr>
          <w:cantSplit/>
        </w:trPr>
        <w:tc>
          <w:tcPr>
            <w:tcW w:w="1373" w:type="pct"/>
            <w:tcBorders>
              <w:top w:val="nil"/>
              <w:left w:val="nil"/>
              <w:bottom w:val="nil"/>
              <w:right w:val="nil"/>
            </w:tcBorders>
            <w:noWrap/>
            <w:vAlign w:val="bottom"/>
          </w:tcPr>
          <w:p w14:paraId="0AADFC89"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Hepatitis C</w:t>
            </w:r>
          </w:p>
        </w:tc>
        <w:tc>
          <w:tcPr>
            <w:tcW w:w="819" w:type="pct"/>
            <w:tcBorders>
              <w:top w:val="nil"/>
              <w:left w:val="nil"/>
              <w:bottom w:val="nil"/>
              <w:right w:val="nil"/>
            </w:tcBorders>
            <w:noWrap/>
            <w:vAlign w:val="bottom"/>
          </w:tcPr>
          <w:p w14:paraId="4FBDC479" w14:textId="193C13D2"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17 (11.2</w:t>
            </w:r>
            <w:r w:rsidR="003A0566" w:rsidRPr="001F3737">
              <w:rPr>
                <w:rFonts w:ascii="Book Antiqua" w:hAnsi="Book Antiqua"/>
              </w:rPr>
              <w:t>)</w:t>
            </w:r>
          </w:p>
        </w:tc>
        <w:tc>
          <w:tcPr>
            <w:tcW w:w="820" w:type="pct"/>
            <w:tcBorders>
              <w:top w:val="nil"/>
              <w:left w:val="nil"/>
              <w:bottom w:val="nil"/>
              <w:right w:val="nil"/>
            </w:tcBorders>
            <w:noWrap/>
            <w:vAlign w:val="bottom"/>
          </w:tcPr>
          <w:p w14:paraId="3E273258" w14:textId="4DF83AB4"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271 (9.1</w:t>
            </w:r>
            <w:r w:rsidR="003A0566" w:rsidRPr="001F3737">
              <w:rPr>
                <w:rFonts w:ascii="Book Antiqua" w:hAnsi="Book Antiqua"/>
              </w:rPr>
              <w:t>)</w:t>
            </w:r>
          </w:p>
        </w:tc>
        <w:tc>
          <w:tcPr>
            <w:tcW w:w="342" w:type="pct"/>
            <w:tcBorders>
              <w:top w:val="nil"/>
              <w:left w:val="nil"/>
              <w:bottom w:val="nil"/>
              <w:right w:val="nil"/>
            </w:tcBorders>
            <w:noWrap/>
            <w:vAlign w:val="bottom"/>
          </w:tcPr>
          <w:p w14:paraId="00C33263" w14:textId="77777777" w:rsidR="003A0566" w:rsidRPr="001F3737" w:rsidRDefault="003A0566" w:rsidP="001F3737">
            <w:pPr>
              <w:spacing w:line="360" w:lineRule="auto"/>
              <w:jc w:val="both"/>
              <w:rPr>
                <w:rFonts w:ascii="Book Antiqua" w:hAnsi="Book Antiqua"/>
              </w:rPr>
            </w:pPr>
            <w:r w:rsidRPr="001F3737">
              <w:rPr>
                <w:rFonts w:ascii="Book Antiqua" w:hAnsi="Book Antiqua"/>
              </w:rPr>
              <w:t>0.457</w:t>
            </w:r>
          </w:p>
        </w:tc>
        <w:tc>
          <w:tcPr>
            <w:tcW w:w="717" w:type="pct"/>
            <w:tcBorders>
              <w:top w:val="nil"/>
              <w:left w:val="nil"/>
              <w:bottom w:val="nil"/>
              <w:right w:val="nil"/>
            </w:tcBorders>
            <w:noWrap/>
            <w:vAlign w:val="bottom"/>
          </w:tcPr>
          <w:p w14:paraId="5B70C054" w14:textId="25E3F416"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17 (11.8</w:t>
            </w:r>
            <w:r w:rsidR="003A0566" w:rsidRPr="001F3737">
              <w:rPr>
                <w:rFonts w:ascii="Book Antiqua" w:hAnsi="Book Antiqua"/>
              </w:rPr>
              <w:t>)</w:t>
            </w:r>
          </w:p>
        </w:tc>
        <w:tc>
          <w:tcPr>
            <w:tcW w:w="581" w:type="pct"/>
            <w:tcBorders>
              <w:top w:val="nil"/>
              <w:left w:val="nil"/>
              <w:bottom w:val="nil"/>
              <w:right w:val="nil"/>
            </w:tcBorders>
            <w:noWrap/>
            <w:vAlign w:val="bottom"/>
          </w:tcPr>
          <w:p w14:paraId="0F8F317C" w14:textId="6FDC68B9"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71 (9.9</w:t>
            </w:r>
            <w:r w:rsidR="003A0566" w:rsidRPr="001F3737">
              <w:rPr>
                <w:rFonts w:ascii="Book Antiqua" w:hAnsi="Book Antiqua"/>
              </w:rPr>
              <w:t>)</w:t>
            </w:r>
          </w:p>
        </w:tc>
        <w:tc>
          <w:tcPr>
            <w:tcW w:w="348" w:type="pct"/>
            <w:tcBorders>
              <w:top w:val="nil"/>
              <w:left w:val="nil"/>
              <w:bottom w:val="nil"/>
              <w:right w:val="nil"/>
            </w:tcBorders>
            <w:noWrap/>
            <w:vAlign w:val="bottom"/>
          </w:tcPr>
          <w:p w14:paraId="036A0E42" w14:textId="77777777" w:rsidR="003A0566" w:rsidRPr="001F3737" w:rsidRDefault="003A0566" w:rsidP="001F3737">
            <w:pPr>
              <w:spacing w:line="360" w:lineRule="auto"/>
              <w:jc w:val="both"/>
              <w:rPr>
                <w:rFonts w:ascii="Book Antiqua" w:hAnsi="Book Antiqua"/>
              </w:rPr>
            </w:pPr>
            <w:r w:rsidRPr="001F3737">
              <w:rPr>
                <w:rFonts w:ascii="Book Antiqua" w:hAnsi="Book Antiqua"/>
              </w:rPr>
              <w:t>0.580</w:t>
            </w:r>
          </w:p>
        </w:tc>
      </w:tr>
      <w:tr w:rsidR="003A0566" w:rsidRPr="001F3737" w14:paraId="26ABECFE" w14:textId="77777777" w:rsidTr="003A0566">
        <w:trPr>
          <w:cantSplit/>
        </w:trPr>
        <w:tc>
          <w:tcPr>
            <w:tcW w:w="1373" w:type="pct"/>
            <w:tcBorders>
              <w:top w:val="nil"/>
              <w:left w:val="nil"/>
              <w:bottom w:val="nil"/>
              <w:right w:val="nil"/>
            </w:tcBorders>
            <w:noWrap/>
            <w:vAlign w:val="bottom"/>
          </w:tcPr>
          <w:p w14:paraId="3A4F41B1" w14:textId="5398BAB1" w:rsidR="003A0566" w:rsidRPr="001F3737" w:rsidRDefault="003A0566" w:rsidP="001F3737">
            <w:pPr>
              <w:spacing w:line="360" w:lineRule="auto"/>
              <w:jc w:val="both"/>
              <w:rPr>
                <w:rFonts w:ascii="Book Antiqua" w:eastAsia="宋体" w:hAnsi="Book Antiqua"/>
                <w:lang w:eastAsia="zh-CN"/>
              </w:rPr>
            </w:pPr>
            <w:r w:rsidRPr="001F3737">
              <w:rPr>
                <w:rFonts w:ascii="Book Antiqua" w:hAnsi="Book Antiqua"/>
              </w:rPr>
              <w:t>Charlson Score Group</w:t>
            </w:r>
            <w:r w:rsidR="00780CEC" w:rsidRPr="001F3737">
              <w:rPr>
                <w:rFonts w:ascii="Book Antiqua" w:eastAsia="宋体" w:hAnsi="Book Antiqua"/>
                <w:vertAlign w:val="superscript"/>
                <w:lang w:eastAsia="zh-CN"/>
              </w:rPr>
              <w:t>1</w:t>
            </w:r>
          </w:p>
        </w:tc>
        <w:tc>
          <w:tcPr>
            <w:tcW w:w="819" w:type="pct"/>
            <w:tcBorders>
              <w:top w:val="nil"/>
              <w:left w:val="nil"/>
              <w:bottom w:val="nil"/>
              <w:right w:val="nil"/>
            </w:tcBorders>
            <w:noWrap/>
            <w:vAlign w:val="bottom"/>
          </w:tcPr>
          <w:p w14:paraId="0D97F38D" w14:textId="77777777" w:rsidR="003A0566" w:rsidRPr="001F3737" w:rsidRDefault="003A0566" w:rsidP="001F3737">
            <w:pPr>
              <w:tabs>
                <w:tab w:val="decimal" w:pos="618"/>
              </w:tabs>
              <w:spacing w:line="360" w:lineRule="auto"/>
              <w:jc w:val="both"/>
              <w:rPr>
                <w:rFonts w:ascii="Book Antiqua" w:hAnsi="Book Antiqua"/>
              </w:rPr>
            </w:pPr>
          </w:p>
        </w:tc>
        <w:tc>
          <w:tcPr>
            <w:tcW w:w="820" w:type="pct"/>
            <w:tcBorders>
              <w:top w:val="nil"/>
              <w:left w:val="nil"/>
              <w:bottom w:val="nil"/>
              <w:right w:val="nil"/>
            </w:tcBorders>
            <w:noWrap/>
            <w:vAlign w:val="bottom"/>
          </w:tcPr>
          <w:p w14:paraId="1967304E" w14:textId="77777777" w:rsidR="003A0566" w:rsidRPr="001F3737" w:rsidRDefault="003A0566" w:rsidP="001F3737">
            <w:pPr>
              <w:tabs>
                <w:tab w:val="decimal" w:pos="724"/>
              </w:tabs>
              <w:spacing w:line="360" w:lineRule="auto"/>
              <w:jc w:val="both"/>
              <w:rPr>
                <w:rFonts w:ascii="Book Antiqua" w:hAnsi="Book Antiqua"/>
              </w:rPr>
            </w:pPr>
          </w:p>
        </w:tc>
        <w:tc>
          <w:tcPr>
            <w:tcW w:w="342" w:type="pct"/>
            <w:tcBorders>
              <w:top w:val="nil"/>
              <w:left w:val="nil"/>
              <w:bottom w:val="nil"/>
              <w:right w:val="nil"/>
            </w:tcBorders>
            <w:noWrap/>
            <w:vAlign w:val="bottom"/>
          </w:tcPr>
          <w:p w14:paraId="26B4F023" w14:textId="77777777" w:rsidR="003A0566" w:rsidRPr="001F3737" w:rsidRDefault="003A0566" w:rsidP="001F3737">
            <w:pPr>
              <w:spacing w:line="360" w:lineRule="auto"/>
              <w:jc w:val="both"/>
              <w:rPr>
                <w:rFonts w:ascii="Book Antiqua" w:hAnsi="Book Antiqua"/>
              </w:rPr>
            </w:pPr>
            <w:r w:rsidRPr="001F3737">
              <w:rPr>
                <w:rFonts w:ascii="Book Antiqua" w:hAnsi="Book Antiqua"/>
              </w:rPr>
              <w:t>0.518</w:t>
            </w:r>
          </w:p>
        </w:tc>
        <w:tc>
          <w:tcPr>
            <w:tcW w:w="717" w:type="pct"/>
            <w:tcBorders>
              <w:top w:val="nil"/>
              <w:left w:val="nil"/>
              <w:bottom w:val="nil"/>
              <w:right w:val="nil"/>
            </w:tcBorders>
            <w:noWrap/>
            <w:vAlign w:val="bottom"/>
          </w:tcPr>
          <w:p w14:paraId="066D335A" w14:textId="77777777" w:rsidR="003A0566" w:rsidRPr="001F3737" w:rsidRDefault="003A0566" w:rsidP="001F3737">
            <w:pPr>
              <w:tabs>
                <w:tab w:val="decimal" w:pos="661"/>
              </w:tabs>
              <w:spacing w:line="360" w:lineRule="auto"/>
              <w:jc w:val="both"/>
              <w:rPr>
                <w:rFonts w:ascii="Book Antiqua" w:hAnsi="Book Antiqua"/>
              </w:rPr>
            </w:pPr>
          </w:p>
        </w:tc>
        <w:tc>
          <w:tcPr>
            <w:tcW w:w="581" w:type="pct"/>
            <w:tcBorders>
              <w:top w:val="nil"/>
              <w:left w:val="nil"/>
              <w:bottom w:val="nil"/>
              <w:right w:val="nil"/>
            </w:tcBorders>
            <w:noWrap/>
            <w:vAlign w:val="bottom"/>
          </w:tcPr>
          <w:p w14:paraId="2657C5DC" w14:textId="77777777" w:rsidR="003A0566" w:rsidRPr="001F3737" w:rsidRDefault="003A0566" w:rsidP="001F3737">
            <w:pPr>
              <w:tabs>
                <w:tab w:val="decimal" w:pos="586"/>
              </w:tabs>
              <w:spacing w:line="360" w:lineRule="auto"/>
              <w:jc w:val="both"/>
              <w:rPr>
                <w:rFonts w:ascii="Book Antiqua" w:hAnsi="Book Antiqua"/>
              </w:rPr>
            </w:pPr>
          </w:p>
        </w:tc>
        <w:tc>
          <w:tcPr>
            <w:tcW w:w="348" w:type="pct"/>
            <w:tcBorders>
              <w:top w:val="nil"/>
              <w:left w:val="nil"/>
              <w:bottom w:val="nil"/>
              <w:right w:val="nil"/>
            </w:tcBorders>
            <w:noWrap/>
            <w:vAlign w:val="bottom"/>
          </w:tcPr>
          <w:p w14:paraId="104E4B50" w14:textId="77777777" w:rsidR="003A0566" w:rsidRPr="001F3737" w:rsidRDefault="003A0566" w:rsidP="001F3737">
            <w:pPr>
              <w:spacing w:line="360" w:lineRule="auto"/>
              <w:jc w:val="both"/>
              <w:rPr>
                <w:rFonts w:ascii="Book Antiqua" w:hAnsi="Book Antiqua"/>
              </w:rPr>
            </w:pPr>
            <w:r w:rsidRPr="001F3737">
              <w:rPr>
                <w:rFonts w:ascii="Book Antiqua" w:hAnsi="Book Antiqua"/>
              </w:rPr>
              <w:t>0.704</w:t>
            </w:r>
          </w:p>
        </w:tc>
      </w:tr>
      <w:tr w:rsidR="003A0566" w:rsidRPr="001F3737" w14:paraId="12EC5517" w14:textId="77777777" w:rsidTr="003A0566">
        <w:trPr>
          <w:cantSplit/>
        </w:trPr>
        <w:tc>
          <w:tcPr>
            <w:tcW w:w="1373" w:type="pct"/>
            <w:tcBorders>
              <w:top w:val="nil"/>
              <w:left w:val="nil"/>
              <w:bottom w:val="nil"/>
              <w:right w:val="nil"/>
            </w:tcBorders>
            <w:noWrap/>
            <w:vAlign w:val="bottom"/>
          </w:tcPr>
          <w:p w14:paraId="2CAF9734"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0</w:t>
            </w:r>
          </w:p>
        </w:tc>
        <w:tc>
          <w:tcPr>
            <w:tcW w:w="819" w:type="pct"/>
            <w:tcBorders>
              <w:top w:val="nil"/>
              <w:left w:val="nil"/>
              <w:bottom w:val="nil"/>
              <w:right w:val="nil"/>
            </w:tcBorders>
            <w:noWrap/>
            <w:vAlign w:val="bottom"/>
          </w:tcPr>
          <w:p w14:paraId="674871F1" w14:textId="7B7D6E1C"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76 (50</w:t>
            </w:r>
            <w:r w:rsidR="003A0566" w:rsidRPr="001F3737">
              <w:rPr>
                <w:rFonts w:ascii="Book Antiqua" w:hAnsi="Book Antiqua"/>
              </w:rPr>
              <w:t>)</w:t>
            </w:r>
          </w:p>
        </w:tc>
        <w:tc>
          <w:tcPr>
            <w:tcW w:w="820" w:type="pct"/>
            <w:tcBorders>
              <w:top w:val="nil"/>
              <w:left w:val="nil"/>
              <w:bottom w:val="nil"/>
              <w:right w:val="nil"/>
            </w:tcBorders>
            <w:noWrap/>
            <w:vAlign w:val="bottom"/>
          </w:tcPr>
          <w:p w14:paraId="61481266" w14:textId="049E0680" w:rsidR="003A0566" w:rsidRPr="001F3737" w:rsidRDefault="001F3737" w:rsidP="001F3737">
            <w:pPr>
              <w:tabs>
                <w:tab w:val="decimal" w:pos="724"/>
              </w:tabs>
              <w:spacing w:line="360" w:lineRule="auto"/>
              <w:jc w:val="both"/>
              <w:rPr>
                <w:rFonts w:ascii="Book Antiqua" w:hAnsi="Book Antiqua"/>
              </w:rPr>
            </w:pPr>
            <w:r>
              <w:rPr>
                <w:rFonts w:ascii="Book Antiqua" w:hAnsi="Book Antiqua"/>
              </w:rPr>
              <w:t>1</w:t>
            </w:r>
            <w:r w:rsidR="0015098C" w:rsidRPr="001F3737">
              <w:rPr>
                <w:rFonts w:ascii="Book Antiqua" w:hAnsi="Book Antiqua"/>
              </w:rPr>
              <w:t>637 (54.7</w:t>
            </w:r>
            <w:r w:rsidR="003A0566" w:rsidRPr="001F3737">
              <w:rPr>
                <w:rFonts w:ascii="Book Antiqua" w:hAnsi="Book Antiqua"/>
              </w:rPr>
              <w:t>)</w:t>
            </w:r>
          </w:p>
        </w:tc>
        <w:tc>
          <w:tcPr>
            <w:tcW w:w="342" w:type="pct"/>
            <w:tcBorders>
              <w:top w:val="nil"/>
              <w:left w:val="nil"/>
              <w:bottom w:val="nil"/>
              <w:right w:val="nil"/>
            </w:tcBorders>
            <w:noWrap/>
            <w:vAlign w:val="bottom"/>
          </w:tcPr>
          <w:p w14:paraId="24F6C9D1" w14:textId="77777777" w:rsidR="003A0566" w:rsidRPr="001F3737" w:rsidRDefault="003A0566" w:rsidP="001F3737">
            <w:pPr>
              <w:spacing w:line="360" w:lineRule="auto"/>
              <w:jc w:val="both"/>
              <w:rPr>
                <w:rFonts w:ascii="Book Antiqua" w:hAnsi="Book Antiqua"/>
              </w:rPr>
            </w:pPr>
          </w:p>
        </w:tc>
        <w:tc>
          <w:tcPr>
            <w:tcW w:w="717" w:type="pct"/>
            <w:tcBorders>
              <w:top w:val="nil"/>
              <w:left w:val="nil"/>
              <w:bottom w:val="nil"/>
              <w:right w:val="nil"/>
            </w:tcBorders>
            <w:noWrap/>
            <w:vAlign w:val="bottom"/>
          </w:tcPr>
          <w:p w14:paraId="2AA92CF2" w14:textId="4B06A1DB"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74 (51.4</w:t>
            </w:r>
            <w:r w:rsidR="003A0566" w:rsidRPr="001F3737">
              <w:rPr>
                <w:rFonts w:ascii="Book Antiqua" w:hAnsi="Book Antiqua"/>
              </w:rPr>
              <w:t>)</w:t>
            </w:r>
          </w:p>
        </w:tc>
        <w:tc>
          <w:tcPr>
            <w:tcW w:w="581" w:type="pct"/>
            <w:tcBorders>
              <w:top w:val="nil"/>
              <w:left w:val="nil"/>
              <w:bottom w:val="nil"/>
              <w:right w:val="nil"/>
            </w:tcBorders>
            <w:noWrap/>
            <w:vAlign w:val="bottom"/>
          </w:tcPr>
          <w:p w14:paraId="372E0779" w14:textId="71412BF2"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370 (51.4</w:t>
            </w:r>
            <w:r w:rsidR="003A0566" w:rsidRPr="001F3737">
              <w:rPr>
                <w:rFonts w:ascii="Book Antiqua" w:hAnsi="Book Antiqua"/>
              </w:rPr>
              <w:t>)</w:t>
            </w:r>
          </w:p>
        </w:tc>
        <w:tc>
          <w:tcPr>
            <w:tcW w:w="348" w:type="pct"/>
            <w:tcBorders>
              <w:top w:val="nil"/>
              <w:left w:val="nil"/>
              <w:bottom w:val="nil"/>
              <w:right w:val="nil"/>
            </w:tcBorders>
            <w:noWrap/>
            <w:vAlign w:val="bottom"/>
          </w:tcPr>
          <w:p w14:paraId="7BE17256" w14:textId="77777777" w:rsidR="003A0566" w:rsidRPr="001F3737" w:rsidRDefault="003A0566" w:rsidP="001F3737">
            <w:pPr>
              <w:spacing w:line="360" w:lineRule="auto"/>
              <w:jc w:val="both"/>
              <w:rPr>
                <w:rFonts w:ascii="Book Antiqua" w:hAnsi="Book Antiqua"/>
              </w:rPr>
            </w:pPr>
          </w:p>
        </w:tc>
      </w:tr>
      <w:tr w:rsidR="003A0566" w:rsidRPr="001F3737" w14:paraId="70B4E56B" w14:textId="77777777" w:rsidTr="003A0566">
        <w:trPr>
          <w:cantSplit/>
        </w:trPr>
        <w:tc>
          <w:tcPr>
            <w:tcW w:w="1373" w:type="pct"/>
            <w:tcBorders>
              <w:top w:val="nil"/>
              <w:left w:val="nil"/>
              <w:bottom w:val="nil"/>
              <w:right w:val="nil"/>
            </w:tcBorders>
            <w:noWrap/>
            <w:vAlign w:val="bottom"/>
          </w:tcPr>
          <w:p w14:paraId="0F8912F9"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1</w:t>
            </w:r>
          </w:p>
        </w:tc>
        <w:tc>
          <w:tcPr>
            <w:tcW w:w="819" w:type="pct"/>
            <w:tcBorders>
              <w:top w:val="nil"/>
              <w:left w:val="nil"/>
              <w:bottom w:val="nil"/>
              <w:right w:val="nil"/>
            </w:tcBorders>
            <w:noWrap/>
            <w:vAlign w:val="bottom"/>
          </w:tcPr>
          <w:p w14:paraId="18A9961A" w14:textId="482881EE"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45 (29.6</w:t>
            </w:r>
            <w:r w:rsidR="003A0566" w:rsidRPr="001F3737">
              <w:rPr>
                <w:rFonts w:ascii="Book Antiqua" w:hAnsi="Book Antiqua"/>
              </w:rPr>
              <w:t>)</w:t>
            </w:r>
          </w:p>
        </w:tc>
        <w:tc>
          <w:tcPr>
            <w:tcW w:w="820" w:type="pct"/>
            <w:tcBorders>
              <w:top w:val="nil"/>
              <w:left w:val="nil"/>
              <w:bottom w:val="nil"/>
              <w:right w:val="nil"/>
            </w:tcBorders>
            <w:noWrap/>
            <w:vAlign w:val="bottom"/>
          </w:tcPr>
          <w:p w14:paraId="3CF02D66" w14:textId="19A50906"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816 (27.3</w:t>
            </w:r>
            <w:r w:rsidR="003A0566" w:rsidRPr="001F3737">
              <w:rPr>
                <w:rFonts w:ascii="Book Antiqua" w:hAnsi="Book Antiqua"/>
              </w:rPr>
              <w:t>)</w:t>
            </w:r>
          </w:p>
        </w:tc>
        <w:tc>
          <w:tcPr>
            <w:tcW w:w="342" w:type="pct"/>
            <w:tcBorders>
              <w:top w:val="nil"/>
              <w:left w:val="nil"/>
              <w:bottom w:val="nil"/>
              <w:right w:val="nil"/>
            </w:tcBorders>
            <w:noWrap/>
            <w:vAlign w:val="bottom"/>
          </w:tcPr>
          <w:p w14:paraId="650A869B" w14:textId="77777777" w:rsidR="003A0566" w:rsidRPr="001F3737" w:rsidRDefault="003A0566" w:rsidP="001F3737">
            <w:pPr>
              <w:spacing w:line="360" w:lineRule="auto"/>
              <w:jc w:val="both"/>
              <w:rPr>
                <w:rFonts w:ascii="Book Antiqua" w:hAnsi="Book Antiqua"/>
              </w:rPr>
            </w:pPr>
          </w:p>
        </w:tc>
        <w:tc>
          <w:tcPr>
            <w:tcW w:w="717" w:type="pct"/>
            <w:tcBorders>
              <w:top w:val="nil"/>
              <w:left w:val="nil"/>
              <w:bottom w:val="nil"/>
              <w:right w:val="nil"/>
            </w:tcBorders>
            <w:noWrap/>
            <w:vAlign w:val="bottom"/>
          </w:tcPr>
          <w:p w14:paraId="5FDADF5E" w14:textId="19809CB7"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43 (29.9</w:t>
            </w:r>
            <w:r w:rsidR="003A0566" w:rsidRPr="001F3737">
              <w:rPr>
                <w:rFonts w:ascii="Book Antiqua" w:hAnsi="Book Antiqua"/>
              </w:rPr>
              <w:t>)</w:t>
            </w:r>
          </w:p>
        </w:tc>
        <w:tc>
          <w:tcPr>
            <w:tcW w:w="581" w:type="pct"/>
            <w:tcBorders>
              <w:top w:val="nil"/>
              <w:left w:val="nil"/>
              <w:bottom w:val="nil"/>
              <w:right w:val="nil"/>
            </w:tcBorders>
            <w:noWrap/>
            <w:vAlign w:val="bottom"/>
          </w:tcPr>
          <w:p w14:paraId="6AB80B0A" w14:textId="2C14C5D1"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196 (27.2</w:t>
            </w:r>
            <w:r w:rsidR="003A0566" w:rsidRPr="001F3737">
              <w:rPr>
                <w:rFonts w:ascii="Book Antiqua" w:hAnsi="Book Antiqua"/>
              </w:rPr>
              <w:t>)</w:t>
            </w:r>
          </w:p>
        </w:tc>
        <w:tc>
          <w:tcPr>
            <w:tcW w:w="348" w:type="pct"/>
            <w:tcBorders>
              <w:top w:val="nil"/>
              <w:left w:val="nil"/>
              <w:bottom w:val="nil"/>
              <w:right w:val="nil"/>
            </w:tcBorders>
            <w:noWrap/>
            <w:vAlign w:val="bottom"/>
          </w:tcPr>
          <w:p w14:paraId="318C5C12" w14:textId="77777777" w:rsidR="003A0566" w:rsidRPr="001F3737" w:rsidRDefault="003A0566" w:rsidP="001F3737">
            <w:pPr>
              <w:spacing w:line="360" w:lineRule="auto"/>
              <w:jc w:val="both"/>
              <w:rPr>
                <w:rFonts w:ascii="Book Antiqua" w:hAnsi="Book Antiqua"/>
              </w:rPr>
            </w:pPr>
          </w:p>
        </w:tc>
      </w:tr>
      <w:tr w:rsidR="003A0566" w:rsidRPr="001F3737" w14:paraId="04B7C703" w14:textId="77777777" w:rsidTr="003A0566">
        <w:trPr>
          <w:cantSplit/>
        </w:trPr>
        <w:tc>
          <w:tcPr>
            <w:tcW w:w="1373" w:type="pct"/>
            <w:tcBorders>
              <w:top w:val="nil"/>
              <w:left w:val="nil"/>
              <w:bottom w:val="nil"/>
              <w:right w:val="nil"/>
            </w:tcBorders>
            <w:noWrap/>
            <w:vAlign w:val="bottom"/>
          </w:tcPr>
          <w:p w14:paraId="66D233A1"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lastRenderedPageBreak/>
              <w:t>≥ 2</w:t>
            </w:r>
          </w:p>
        </w:tc>
        <w:tc>
          <w:tcPr>
            <w:tcW w:w="819" w:type="pct"/>
            <w:tcBorders>
              <w:top w:val="nil"/>
              <w:left w:val="nil"/>
              <w:bottom w:val="nil"/>
              <w:right w:val="nil"/>
            </w:tcBorders>
            <w:noWrap/>
            <w:vAlign w:val="bottom"/>
          </w:tcPr>
          <w:p w14:paraId="291387C6" w14:textId="28BCA78A"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31 (20.4</w:t>
            </w:r>
            <w:r w:rsidR="003A0566" w:rsidRPr="001F3737">
              <w:rPr>
                <w:rFonts w:ascii="Book Antiqua" w:hAnsi="Book Antiqua"/>
              </w:rPr>
              <w:t>)</w:t>
            </w:r>
          </w:p>
        </w:tc>
        <w:tc>
          <w:tcPr>
            <w:tcW w:w="820" w:type="pct"/>
            <w:tcBorders>
              <w:top w:val="nil"/>
              <w:left w:val="nil"/>
              <w:bottom w:val="nil"/>
              <w:right w:val="nil"/>
            </w:tcBorders>
            <w:noWrap/>
            <w:vAlign w:val="bottom"/>
          </w:tcPr>
          <w:p w14:paraId="6D4C7A10" w14:textId="260E18CF"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540 (18.0</w:t>
            </w:r>
            <w:r w:rsidR="003A0566" w:rsidRPr="001F3737">
              <w:rPr>
                <w:rFonts w:ascii="Book Antiqua" w:hAnsi="Book Antiqua"/>
              </w:rPr>
              <w:t>)</w:t>
            </w:r>
          </w:p>
        </w:tc>
        <w:tc>
          <w:tcPr>
            <w:tcW w:w="342" w:type="pct"/>
            <w:tcBorders>
              <w:top w:val="nil"/>
              <w:left w:val="nil"/>
              <w:bottom w:val="nil"/>
              <w:right w:val="nil"/>
            </w:tcBorders>
            <w:noWrap/>
            <w:vAlign w:val="bottom"/>
          </w:tcPr>
          <w:p w14:paraId="29F3AE6D" w14:textId="77777777" w:rsidR="003A0566" w:rsidRPr="001F3737" w:rsidRDefault="003A0566" w:rsidP="001F3737">
            <w:pPr>
              <w:spacing w:line="360" w:lineRule="auto"/>
              <w:jc w:val="both"/>
              <w:rPr>
                <w:rFonts w:ascii="Book Antiqua" w:hAnsi="Book Antiqua"/>
              </w:rPr>
            </w:pPr>
          </w:p>
        </w:tc>
        <w:tc>
          <w:tcPr>
            <w:tcW w:w="717" w:type="pct"/>
            <w:tcBorders>
              <w:top w:val="nil"/>
              <w:left w:val="nil"/>
              <w:bottom w:val="nil"/>
              <w:right w:val="nil"/>
            </w:tcBorders>
            <w:noWrap/>
            <w:vAlign w:val="bottom"/>
          </w:tcPr>
          <w:p w14:paraId="047753C2" w14:textId="1E6F4886"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27 (18.8</w:t>
            </w:r>
            <w:r w:rsidR="003A0566" w:rsidRPr="001F3737">
              <w:rPr>
                <w:rFonts w:ascii="Book Antiqua" w:hAnsi="Book Antiqua"/>
              </w:rPr>
              <w:t>)</w:t>
            </w:r>
          </w:p>
        </w:tc>
        <w:tc>
          <w:tcPr>
            <w:tcW w:w="581" w:type="pct"/>
            <w:tcBorders>
              <w:top w:val="nil"/>
              <w:left w:val="nil"/>
              <w:bottom w:val="nil"/>
              <w:right w:val="nil"/>
            </w:tcBorders>
            <w:noWrap/>
            <w:vAlign w:val="bottom"/>
          </w:tcPr>
          <w:p w14:paraId="70D4E9E1" w14:textId="2F0C9862"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154 (21.4</w:t>
            </w:r>
            <w:r w:rsidR="003A0566" w:rsidRPr="001F3737">
              <w:rPr>
                <w:rFonts w:ascii="Book Antiqua" w:hAnsi="Book Antiqua"/>
              </w:rPr>
              <w:t>)</w:t>
            </w:r>
          </w:p>
        </w:tc>
        <w:tc>
          <w:tcPr>
            <w:tcW w:w="348" w:type="pct"/>
            <w:tcBorders>
              <w:top w:val="nil"/>
              <w:left w:val="nil"/>
              <w:bottom w:val="nil"/>
              <w:right w:val="nil"/>
            </w:tcBorders>
            <w:noWrap/>
            <w:vAlign w:val="bottom"/>
          </w:tcPr>
          <w:p w14:paraId="331D439E" w14:textId="77777777" w:rsidR="003A0566" w:rsidRPr="001F3737" w:rsidRDefault="003A0566" w:rsidP="001F3737">
            <w:pPr>
              <w:spacing w:line="360" w:lineRule="auto"/>
              <w:jc w:val="both"/>
              <w:rPr>
                <w:rFonts w:ascii="Book Antiqua" w:hAnsi="Book Antiqua"/>
              </w:rPr>
            </w:pPr>
          </w:p>
        </w:tc>
      </w:tr>
      <w:tr w:rsidR="003A0566" w:rsidRPr="001F3737" w14:paraId="2EE7BB76" w14:textId="77777777" w:rsidTr="003A0566">
        <w:trPr>
          <w:cantSplit/>
        </w:trPr>
        <w:tc>
          <w:tcPr>
            <w:tcW w:w="1373" w:type="pct"/>
            <w:tcBorders>
              <w:top w:val="nil"/>
              <w:left w:val="nil"/>
              <w:bottom w:val="nil"/>
              <w:right w:val="nil"/>
            </w:tcBorders>
            <w:noWrap/>
            <w:vAlign w:val="bottom"/>
          </w:tcPr>
          <w:p w14:paraId="195A83ED" w14:textId="1B25877B" w:rsidR="003A0566" w:rsidRPr="001F3737" w:rsidRDefault="003A0566" w:rsidP="00A6473E">
            <w:pPr>
              <w:spacing w:line="360" w:lineRule="auto"/>
              <w:jc w:val="both"/>
              <w:rPr>
                <w:rFonts w:ascii="Book Antiqua" w:hAnsi="Book Antiqua"/>
              </w:rPr>
            </w:pPr>
            <w:r w:rsidRPr="001F3737">
              <w:rPr>
                <w:rFonts w:ascii="Book Antiqua" w:hAnsi="Book Antiqua"/>
              </w:rPr>
              <w:t xml:space="preserve">Provider </w:t>
            </w:r>
            <w:r w:rsidR="0015098C" w:rsidRPr="001F3737">
              <w:rPr>
                <w:rFonts w:ascii="Book Antiqua" w:hAnsi="Book Antiqua"/>
              </w:rPr>
              <w:t>specialty</w:t>
            </w:r>
          </w:p>
        </w:tc>
        <w:tc>
          <w:tcPr>
            <w:tcW w:w="819" w:type="pct"/>
            <w:tcBorders>
              <w:top w:val="nil"/>
              <w:left w:val="nil"/>
              <w:bottom w:val="nil"/>
              <w:right w:val="nil"/>
            </w:tcBorders>
            <w:noWrap/>
            <w:vAlign w:val="bottom"/>
          </w:tcPr>
          <w:p w14:paraId="4083D9AA" w14:textId="77777777" w:rsidR="003A0566" w:rsidRPr="001F3737" w:rsidRDefault="003A0566" w:rsidP="001F3737">
            <w:pPr>
              <w:tabs>
                <w:tab w:val="decimal" w:pos="618"/>
              </w:tabs>
              <w:spacing w:line="360" w:lineRule="auto"/>
              <w:jc w:val="both"/>
              <w:rPr>
                <w:rFonts w:ascii="Book Antiqua" w:hAnsi="Book Antiqua"/>
              </w:rPr>
            </w:pPr>
          </w:p>
        </w:tc>
        <w:tc>
          <w:tcPr>
            <w:tcW w:w="820" w:type="pct"/>
            <w:tcBorders>
              <w:top w:val="nil"/>
              <w:left w:val="nil"/>
              <w:bottom w:val="nil"/>
              <w:right w:val="nil"/>
            </w:tcBorders>
            <w:noWrap/>
            <w:vAlign w:val="bottom"/>
          </w:tcPr>
          <w:p w14:paraId="1D421BF0" w14:textId="77777777" w:rsidR="003A0566" w:rsidRPr="001F3737" w:rsidRDefault="003A0566" w:rsidP="001F3737">
            <w:pPr>
              <w:tabs>
                <w:tab w:val="decimal" w:pos="724"/>
              </w:tabs>
              <w:spacing w:line="360" w:lineRule="auto"/>
              <w:jc w:val="both"/>
              <w:rPr>
                <w:rFonts w:ascii="Book Antiqua" w:hAnsi="Book Antiqua"/>
              </w:rPr>
            </w:pPr>
          </w:p>
        </w:tc>
        <w:tc>
          <w:tcPr>
            <w:tcW w:w="342" w:type="pct"/>
            <w:tcBorders>
              <w:top w:val="nil"/>
              <w:left w:val="nil"/>
              <w:bottom w:val="nil"/>
              <w:right w:val="nil"/>
            </w:tcBorders>
            <w:noWrap/>
            <w:vAlign w:val="bottom"/>
          </w:tcPr>
          <w:p w14:paraId="0C367D1D" w14:textId="77777777" w:rsidR="003A0566" w:rsidRPr="001F3737" w:rsidRDefault="003A0566" w:rsidP="001F3737">
            <w:pPr>
              <w:spacing w:line="360" w:lineRule="auto"/>
              <w:jc w:val="both"/>
              <w:rPr>
                <w:rFonts w:ascii="Book Antiqua" w:hAnsi="Book Antiqua"/>
              </w:rPr>
            </w:pPr>
          </w:p>
        </w:tc>
        <w:tc>
          <w:tcPr>
            <w:tcW w:w="717" w:type="pct"/>
            <w:tcBorders>
              <w:top w:val="nil"/>
              <w:left w:val="nil"/>
              <w:bottom w:val="nil"/>
              <w:right w:val="nil"/>
            </w:tcBorders>
            <w:noWrap/>
            <w:vAlign w:val="bottom"/>
          </w:tcPr>
          <w:p w14:paraId="216A7A7C" w14:textId="77777777" w:rsidR="003A0566" w:rsidRPr="001F3737" w:rsidRDefault="003A0566" w:rsidP="001F3737">
            <w:pPr>
              <w:tabs>
                <w:tab w:val="decimal" w:pos="661"/>
              </w:tabs>
              <w:spacing w:line="360" w:lineRule="auto"/>
              <w:jc w:val="both"/>
              <w:rPr>
                <w:rFonts w:ascii="Book Antiqua" w:hAnsi="Book Antiqua"/>
              </w:rPr>
            </w:pPr>
          </w:p>
        </w:tc>
        <w:tc>
          <w:tcPr>
            <w:tcW w:w="581" w:type="pct"/>
            <w:tcBorders>
              <w:top w:val="nil"/>
              <w:left w:val="nil"/>
              <w:bottom w:val="nil"/>
              <w:right w:val="nil"/>
            </w:tcBorders>
            <w:noWrap/>
            <w:vAlign w:val="bottom"/>
          </w:tcPr>
          <w:p w14:paraId="0CE99C53" w14:textId="77777777" w:rsidR="003A0566" w:rsidRPr="001F3737" w:rsidRDefault="003A0566" w:rsidP="001F3737">
            <w:pPr>
              <w:tabs>
                <w:tab w:val="decimal" w:pos="586"/>
              </w:tabs>
              <w:spacing w:line="360" w:lineRule="auto"/>
              <w:jc w:val="both"/>
              <w:rPr>
                <w:rFonts w:ascii="Book Antiqua" w:hAnsi="Book Antiqua"/>
              </w:rPr>
            </w:pPr>
          </w:p>
        </w:tc>
        <w:tc>
          <w:tcPr>
            <w:tcW w:w="348" w:type="pct"/>
            <w:tcBorders>
              <w:top w:val="nil"/>
              <w:left w:val="nil"/>
              <w:bottom w:val="nil"/>
              <w:right w:val="nil"/>
            </w:tcBorders>
            <w:noWrap/>
            <w:vAlign w:val="bottom"/>
          </w:tcPr>
          <w:p w14:paraId="791ED53F" w14:textId="77777777" w:rsidR="003A0566" w:rsidRPr="001F3737" w:rsidRDefault="003A0566" w:rsidP="001F3737">
            <w:pPr>
              <w:spacing w:line="360" w:lineRule="auto"/>
              <w:jc w:val="both"/>
              <w:rPr>
                <w:rFonts w:ascii="Book Antiqua" w:hAnsi="Book Antiqua"/>
              </w:rPr>
            </w:pPr>
          </w:p>
        </w:tc>
      </w:tr>
      <w:tr w:rsidR="003A0566" w:rsidRPr="001F3737" w14:paraId="6E31BA3C" w14:textId="77777777" w:rsidTr="003A0566">
        <w:trPr>
          <w:cantSplit/>
        </w:trPr>
        <w:tc>
          <w:tcPr>
            <w:tcW w:w="1373" w:type="pct"/>
            <w:tcBorders>
              <w:top w:val="nil"/>
              <w:left w:val="nil"/>
              <w:bottom w:val="nil"/>
              <w:right w:val="nil"/>
            </w:tcBorders>
            <w:noWrap/>
            <w:vAlign w:val="bottom"/>
          </w:tcPr>
          <w:p w14:paraId="0B0F752A"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 xml:space="preserve">Surgical Oncology </w:t>
            </w:r>
          </w:p>
        </w:tc>
        <w:tc>
          <w:tcPr>
            <w:tcW w:w="819" w:type="pct"/>
            <w:tcBorders>
              <w:top w:val="nil"/>
              <w:left w:val="nil"/>
              <w:bottom w:val="nil"/>
              <w:right w:val="nil"/>
            </w:tcBorders>
            <w:noWrap/>
            <w:vAlign w:val="bottom"/>
          </w:tcPr>
          <w:p w14:paraId="6B0E70D2" w14:textId="79F3176C"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59 (38.8</w:t>
            </w:r>
            <w:r w:rsidR="003A0566" w:rsidRPr="001F3737">
              <w:rPr>
                <w:rFonts w:ascii="Book Antiqua" w:hAnsi="Book Antiqua"/>
              </w:rPr>
              <w:t>)</w:t>
            </w:r>
          </w:p>
        </w:tc>
        <w:tc>
          <w:tcPr>
            <w:tcW w:w="820" w:type="pct"/>
            <w:tcBorders>
              <w:top w:val="nil"/>
              <w:left w:val="nil"/>
              <w:bottom w:val="nil"/>
              <w:right w:val="nil"/>
            </w:tcBorders>
            <w:noWrap/>
            <w:vAlign w:val="bottom"/>
          </w:tcPr>
          <w:p w14:paraId="240B1AB5" w14:textId="2495F415"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531 (17.7</w:t>
            </w:r>
            <w:r w:rsidR="003A0566" w:rsidRPr="001F3737">
              <w:rPr>
                <w:rFonts w:ascii="Book Antiqua" w:hAnsi="Book Antiqua"/>
              </w:rPr>
              <w:t>)</w:t>
            </w:r>
          </w:p>
        </w:tc>
        <w:tc>
          <w:tcPr>
            <w:tcW w:w="342" w:type="pct"/>
            <w:tcBorders>
              <w:top w:val="nil"/>
              <w:left w:val="nil"/>
              <w:bottom w:val="nil"/>
              <w:right w:val="nil"/>
            </w:tcBorders>
            <w:noWrap/>
            <w:vAlign w:val="bottom"/>
          </w:tcPr>
          <w:p w14:paraId="590C5351" w14:textId="11F57D9E" w:rsidR="003A0566" w:rsidRPr="001F3737" w:rsidRDefault="003A0566" w:rsidP="001F3737">
            <w:pPr>
              <w:spacing w:line="360" w:lineRule="auto"/>
              <w:jc w:val="both"/>
              <w:rPr>
                <w:rFonts w:ascii="Book Antiqua" w:hAnsi="Book Antiqua"/>
              </w:rPr>
            </w:pPr>
            <w:r w:rsidRPr="001F3737">
              <w:rPr>
                <w:rFonts w:ascii="Book Antiqua" w:hAnsi="Book Antiqua"/>
              </w:rPr>
              <w:t>&lt;</w:t>
            </w:r>
            <w:r w:rsidR="00780CEC" w:rsidRPr="001F3737">
              <w:rPr>
                <w:rFonts w:ascii="Book Antiqua" w:eastAsia="宋体" w:hAnsi="Book Antiqua"/>
                <w:lang w:eastAsia="zh-CN"/>
              </w:rPr>
              <w:t xml:space="preserve"> 0</w:t>
            </w:r>
            <w:r w:rsidRPr="001F3737">
              <w:rPr>
                <w:rFonts w:ascii="Book Antiqua" w:hAnsi="Book Antiqua"/>
              </w:rPr>
              <w:t>.001</w:t>
            </w:r>
          </w:p>
        </w:tc>
        <w:tc>
          <w:tcPr>
            <w:tcW w:w="717" w:type="pct"/>
            <w:tcBorders>
              <w:top w:val="nil"/>
              <w:left w:val="nil"/>
              <w:bottom w:val="nil"/>
              <w:right w:val="nil"/>
            </w:tcBorders>
            <w:noWrap/>
            <w:vAlign w:val="bottom"/>
          </w:tcPr>
          <w:p w14:paraId="48E521CB" w14:textId="4716ED64"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56 (38.9</w:t>
            </w:r>
            <w:r w:rsidR="003A0566" w:rsidRPr="001F3737">
              <w:rPr>
                <w:rFonts w:ascii="Book Antiqua" w:hAnsi="Book Antiqua"/>
              </w:rPr>
              <w:t>)</w:t>
            </w:r>
          </w:p>
        </w:tc>
        <w:tc>
          <w:tcPr>
            <w:tcW w:w="581" w:type="pct"/>
            <w:tcBorders>
              <w:top w:val="nil"/>
              <w:left w:val="nil"/>
              <w:bottom w:val="nil"/>
              <w:right w:val="nil"/>
            </w:tcBorders>
            <w:noWrap/>
            <w:vAlign w:val="bottom"/>
          </w:tcPr>
          <w:p w14:paraId="194E3AA5" w14:textId="75430C65"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285 (39.6</w:t>
            </w:r>
            <w:r w:rsidR="003A0566" w:rsidRPr="001F3737">
              <w:rPr>
                <w:rFonts w:ascii="Book Antiqua" w:hAnsi="Book Antiqua"/>
              </w:rPr>
              <w:t>)</w:t>
            </w:r>
          </w:p>
        </w:tc>
        <w:tc>
          <w:tcPr>
            <w:tcW w:w="348" w:type="pct"/>
            <w:tcBorders>
              <w:top w:val="nil"/>
              <w:left w:val="nil"/>
              <w:bottom w:val="nil"/>
              <w:right w:val="nil"/>
            </w:tcBorders>
            <w:noWrap/>
            <w:vAlign w:val="bottom"/>
          </w:tcPr>
          <w:p w14:paraId="692C93DF" w14:textId="77777777" w:rsidR="003A0566" w:rsidRPr="001F3737" w:rsidRDefault="003A0566" w:rsidP="001F3737">
            <w:pPr>
              <w:spacing w:line="360" w:lineRule="auto"/>
              <w:jc w:val="both"/>
              <w:rPr>
                <w:rFonts w:ascii="Book Antiqua" w:hAnsi="Book Antiqua"/>
              </w:rPr>
            </w:pPr>
            <w:r w:rsidRPr="001F3737">
              <w:rPr>
                <w:rFonts w:ascii="Book Antiqua" w:hAnsi="Book Antiqua"/>
              </w:rPr>
              <w:t>0.950</w:t>
            </w:r>
          </w:p>
        </w:tc>
      </w:tr>
      <w:tr w:rsidR="003A0566" w:rsidRPr="001F3737" w14:paraId="0EBE21B6" w14:textId="77777777" w:rsidTr="003A0566">
        <w:trPr>
          <w:cantSplit/>
        </w:trPr>
        <w:tc>
          <w:tcPr>
            <w:tcW w:w="1373" w:type="pct"/>
            <w:tcBorders>
              <w:top w:val="nil"/>
              <w:left w:val="nil"/>
              <w:bottom w:val="nil"/>
              <w:right w:val="nil"/>
            </w:tcBorders>
            <w:noWrap/>
            <w:vAlign w:val="bottom"/>
          </w:tcPr>
          <w:p w14:paraId="04C2830A"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General Surgery</w:t>
            </w:r>
          </w:p>
        </w:tc>
        <w:tc>
          <w:tcPr>
            <w:tcW w:w="819" w:type="pct"/>
            <w:tcBorders>
              <w:top w:val="nil"/>
              <w:left w:val="nil"/>
              <w:bottom w:val="nil"/>
              <w:right w:val="nil"/>
            </w:tcBorders>
            <w:noWrap/>
            <w:vAlign w:val="bottom"/>
          </w:tcPr>
          <w:p w14:paraId="3529D80C" w14:textId="2B69F259"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79 (52.0</w:t>
            </w:r>
            <w:r w:rsidR="003A0566" w:rsidRPr="001F3737">
              <w:rPr>
                <w:rFonts w:ascii="Book Antiqua" w:hAnsi="Book Antiqua"/>
              </w:rPr>
              <w:t>)</w:t>
            </w:r>
          </w:p>
        </w:tc>
        <w:tc>
          <w:tcPr>
            <w:tcW w:w="820" w:type="pct"/>
            <w:tcBorders>
              <w:top w:val="nil"/>
              <w:left w:val="nil"/>
              <w:bottom w:val="nil"/>
              <w:right w:val="nil"/>
            </w:tcBorders>
            <w:noWrap/>
            <w:vAlign w:val="bottom"/>
          </w:tcPr>
          <w:p w14:paraId="21520DCB" w14:textId="464EBE6D"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1993 (66.6</w:t>
            </w:r>
            <w:r w:rsidR="003A0566" w:rsidRPr="001F3737">
              <w:rPr>
                <w:rFonts w:ascii="Book Antiqua" w:hAnsi="Book Antiqua"/>
              </w:rPr>
              <w:t>)</w:t>
            </w:r>
          </w:p>
        </w:tc>
        <w:tc>
          <w:tcPr>
            <w:tcW w:w="342" w:type="pct"/>
            <w:tcBorders>
              <w:top w:val="nil"/>
              <w:left w:val="nil"/>
              <w:bottom w:val="nil"/>
              <w:right w:val="nil"/>
            </w:tcBorders>
            <w:noWrap/>
            <w:vAlign w:val="bottom"/>
          </w:tcPr>
          <w:p w14:paraId="63E7D885" w14:textId="4A78A8EE" w:rsidR="003A0566" w:rsidRPr="001F3737" w:rsidRDefault="003A0566" w:rsidP="001F3737">
            <w:pPr>
              <w:spacing w:line="360" w:lineRule="auto"/>
              <w:jc w:val="both"/>
              <w:rPr>
                <w:rFonts w:ascii="Book Antiqua" w:hAnsi="Book Antiqua"/>
              </w:rPr>
            </w:pPr>
            <w:r w:rsidRPr="001F3737">
              <w:rPr>
                <w:rFonts w:ascii="Book Antiqua" w:hAnsi="Book Antiqua"/>
              </w:rPr>
              <w:t>&lt;</w:t>
            </w:r>
            <w:r w:rsidR="00780CEC" w:rsidRPr="001F3737">
              <w:rPr>
                <w:rFonts w:ascii="Book Antiqua" w:eastAsia="宋体" w:hAnsi="Book Antiqua"/>
                <w:lang w:eastAsia="zh-CN"/>
              </w:rPr>
              <w:t xml:space="preserve"> 0</w:t>
            </w:r>
            <w:r w:rsidRPr="001F3737">
              <w:rPr>
                <w:rFonts w:ascii="Book Antiqua" w:hAnsi="Book Antiqua"/>
              </w:rPr>
              <w:t>.001</w:t>
            </w:r>
          </w:p>
        </w:tc>
        <w:tc>
          <w:tcPr>
            <w:tcW w:w="717" w:type="pct"/>
            <w:tcBorders>
              <w:top w:val="nil"/>
              <w:left w:val="nil"/>
              <w:bottom w:val="nil"/>
              <w:right w:val="nil"/>
            </w:tcBorders>
            <w:noWrap/>
            <w:vAlign w:val="bottom"/>
          </w:tcPr>
          <w:p w14:paraId="506A53DC" w14:textId="27C78C77"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74 (51.4</w:t>
            </w:r>
            <w:r w:rsidR="003A0566" w:rsidRPr="001F3737">
              <w:rPr>
                <w:rFonts w:ascii="Book Antiqua" w:hAnsi="Book Antiqua"/>
              </w:rPr>
              <w:t>)</w:t>
            </w:r>
          </w:p>
        </w:tc>
        <w:tc>
          <w:tcPr>
            <w:tcW w:w="581" w:type="pct"/>
            <w:tcBorders>
              <w:top w:val="nil"/>
              <w:left w:val="nil"/>
              <w:bottom w:val="nil"/>
              <w:right w:val="nil"/>
            </w:tcBorders>
            <w:noWrap/>
            <w:vAlign w:val="bottom"/>
          </w:tcPr>
          <w:p w14:paraId="1A200E31" w14:textId="38C909AE"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369 (51.3</w:t>
            </w:r>
            <w:r w:rsidR="003A0566" w:rsidRPr="001F3737">
              <w:rPr>
                <w:rFonts w:ascii="Book Antiqua" w:hAnsi="Book Antiqua"/>
              </w:rPr>
              <w:t>)</w:t>
            </w:r>
          </w:p>
        </w:tc>
        <w:tc>
          <w:tcPr>
            <w:tcW w:w="348" w:type="pct"/>
            <w:tcBorders>
              <w:top w:val="nil"/>
              <w:left w:val="nil"/>
              <w:bottom w:val="nil"/>
              <w:right w:val="nil"/>
            </w:tcBorders>
            <w:noWrap/>
            <w:vAlign w:val="bottom"/>
          </w:tcPr>
          <w:p w14:paraId="5ACD3D86" w14:textId="77777777" w:rsidR="003A0566" w:rsidRPr="001F3737" w:rsidRDefault="003A0566" w:rsidP="001F3737">
            <w:pPr>
              <w:spacing w:line="360" w:lineRule="auto"/>
              <w:jc w:val="both"/>
              <w:rPr>
                <w:rFonts w:ascii="Book Antiqua" w:hAnsi="Book Antiqua"/>
              </w:rPr>
            </w:pPr>
            <w:r w:rsidRPr="001F3737">
              <w:rPr>
                <w:rFonts w:ascii="Book Antiqua" w:hAnsi="Book Antiqua"/>
              </w:rPr>
              <w:t>1.000</w:t>
            </w:r>
          </w:p>
        </w:tc>
      </w:tr>
      <w:tr w:rsidR="003A0566" w:rsidRPr="001F3737" w14:paraId="391C24D9" w14:textId="77777777" w:rsidTr="003A0566">
        <w:trPr>
          <w:cantSplit/>
        </w:trPr>
        <w:tc>
          <w:tcPr>
            <w:tcW w:w="1373" w:type="pct"/>
            <w:tcBorders>
              <w:top w:val="nil"/>
              <w:left w:val="nil"/>
              <w:bottom w:val="nil"/>
              <w:right w:val="nil"/>
            </w:tcBorders>
            <w:noWrap/>
            <w:vAlign w:val="bottom"/>
          </w:tcPr>
          <w:p w14:paraId="2F200967" w14:textId="77777777" w:rsidR="003A0566" w:rsidRPr="001F3737" w:rsidRDefault="003A0566" w:rsidP="001F3737">
            <w:pPr>
              <w:spacing w:line="360" w:lineRule="auto"/>
              <w:ind w:left="360"/>
              <w:jc w:val="both"/>
              <w:rPr>
                <w:rFonts w:ascii="Book Antiqua" w:hAnsi="Book Antiqua"/>
              </w:rPr>
            </w:pPr>
            <w:r w:rsidRPr="001F3737">
              <w:rPr>
                <w:rFonts w:ascii="Book Antiqua" w:hAnsi="Book Antiqua"/>
              </w:rPr>
              <w:t>Other</w:t>
            </w:r>
          </w:p>
        </w:tc>
        <w:tc>
          <w:tcPr>
            <w:tcW w:w="819" w:type="pct"/>
            <w:tcBorders>
              <w:top w:val="nil"/>
              <w:left w:val="nil"/>
              <w:bottom w:val="nil"/>
              <w:right w:val="nil"/>
            </w:tcBorders>
            <w:noWrap/>
            <w:vAlign w:val="bottom"/>
          </w:tcPr>
          <w:p w14:paraId="7B15766D" w14:textId="315F295E"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14 (9.2</w:t>
            </w:r>
            <w:r w:rsidR="003A0566" w:rsidRPr="001F3737">
              <w:rPr>
                <w:rFonts w:ascii="Book Antiqua" w:hAnsi="Book Antiqua"/>
              </w:rPr>
              <w:t>)</w:t>
            </w:r>
          </w:p>
        </w:tc>
        <w:tc>
          <w:tcPr>
            <w:tcW w:w="820" w:type="pct"/>
            <w:tcBorders>
              <w:top w:val="nil"/>
              <w:left w:val="nil"/>
              <w:bottom w:val="nil"/>
              <w:right w:val="nil"/>
            </w:tcBorders>
            <w:noWrap/>
            <w:vAlign w:val="bottom"/>
          </w:tcPr>
          <w:p w14:paraId="016D34C7" w14:textId="09474D2B" w:rsidR="003A0566" w:rsidRPr="001F3737" w:rsidRDefault="0015098C" w:rsidP="001F3737">
            <w:pPr>
              <w:tabs>
                <w:tab w:val="decimal" w:pos="724"/>
              </w:tabs>
              <w:spacing w:line="360" w:lineRule="auto"/>
              <w:jc w:val="both"/>
              <w:rPr>
                <w:rFonts w:ascii="Book Antiqua" w:hAnsi="Book Antiqua"/>
              </w:rPr>
            </w:pPr>
            <w:r w:rsidRPr="001F3737">
              <w:rPr>
                <w:rFonts w:ascii="Book Antiqua" w:hAnsi="Book Antiqua"/>
              </w:rPr>
              <w:t>469 (15.7</w:t>
            </w:r>
            <w:r w:rsidR="003A0566" w:rsidRPr="001F3737">
              <w:rPr>
                <w:rFonts w:ascii="Book Antiqua" w:hAnsi="Book Antiqua"/>
              </w:rPr>
              <w:t>)</w:t>
            </w:r>
          </w:p>
        </w:tc>
        <w:tc>
          <w:tcPr>
            <w:tcW w:w="342" w:type="pct"/>
            <w:tcBorders>
              <w:top w:val="nil"/>
              <w:left w:val="nil"/>
              <w:bottom w:val="nil"/>
              <w:right w:val="nil"/>
            </w:tcBorders>
            <w:noWrap/>
            <w:vAlign w:val="bottom"/>
          </w:tcPr>
          <w:p w14:paraId="558E6F76" w14:textId="77777777" w:rsidR="003A0566" w:rsidRPr="001F3737" w:rsidRDefault="003A0566" w:rsidP="001F3737">
            <w:pPr>
              <w:spacing w:line="360" w:lineRule="auto"/>
              <w:jc w:val="both"/>
              <w:rPr>
                <w:rFonts w:ascii="Book Antiqua" w:hAnsi="Book Antiqua"/>
              </w:rPr>
            </w:pPr>
            <w:r w:rsidRPr="001F3737">
              <w:rPr>
                <w:rFonts w:ascii="Book Antiqua" w:hAnsi="Book Antiqua"/>
              </w:rPr>
              <w:t>0.041</w:t>
            </w:r>
          </w:p>
        </w:tc>
        <w:tc>
          <w:tcPr>
            <w:tcW w:w="717" w:type="pct"/>
            <w:tcBorders>
              <w:top w:val="nil"/>
              <w:left w:val="nil"/>
              <w:bottom w:val="nil"/>
              <w:right w:val="nil"/>
            </w:tcBorders>
            <w:noWrap/>
            <w:vAlign w:val="bottom"/>
          </w:tcPr>
          <w:p w14:paraId="5456F269" w14:textId="04354EDB"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14 (9.7</w:t>
            </w:r>
            <w:r w:rsidR="003A0566" w:rsidRPr="001F3737">
              <w:rPr>
                <w:rFonts w:ascii="Book Antiqua" w:hAnsi="Book Antiqua"/>
              </w:rPr>
              <w:t>)</w:t>
            </w:r>
          </w:p>
        </w:tc>
        <w:tc>
          <w:tcPr>
            <w:tcW w:w="581" w:type="pct"/>
            <w:tcBorders>
              <w:top w:val="nil"/>
              <w:left w:val="nil"/>
              <w:bottom w:val="nil"/>
              <w:right w:val="nil"/>
            </w:tcBorders>
            <w:noWrap/>
            <w:vAlign w:val="bottom"/>
          </w:tcPr>
          <w:p w14:paraId="269E84B5" w14:textId="219758CE" w:rsidR="003A0566" w:rsidRPr="001F3737" w:rsidRDefault="0015098C" w:rsidP="001F3737">
            <w:pPr>
              <w:tabs>
                <w:tab w:val="decimal" w:pos="586"/>
              </w:tabs>
              <w:spacing w:line="360" w:lineRule="auto"/>
              <w:jc w:val="both"/>
              <w:rPr>
                <w:rFonts w:ascii="Book Antiqua" w:hAnsi="Book Antiqua"/>
              </w:rPr>
            </w:pPr>
            <w:r w:rsidRPr="001F3737">
              <w:rPr>
                <w:rFonts w:ascii="Book Antiqua" w:hAnsi="Book Antiqua"/>
              </w:rPr>
              <w:t>66 (9.2</w:t>
            </w:r>
            <w:r w:rsidR="003A0566" w:rsidRPr="001F3737">
              <w:rPr>
                <w:rFonts w:ascii="Book Antiqua" w:hAnsi="Book Antiqua"/>
              </w:rPr>
              <w:t>)</w:t>
            </w:r>
          </w:p>
        </w:tc>
        <w:tc>
          <w:tcPr>
            <w:tcW w:w="348" w:type="pct"/>
            <w:tcBorders>
              <w:top w:val="nil"/>
              <w:left w:val="nil"/>
              <w:bottom w:val="nil"/>
              <w:right w:val="nil"/>
            </w:tcBorders>
            <w:noWrap/>
            <w:vAlign w:val="bottom"/>
          </w:tcPr>
          <w:p w14:paraId="2A55D013" w14:textId="77777777" w:rsidR="003A0566" w:rsidRPr="001F3737" w:rsidRDefault="003A0566" w:rsidP="001F3737">
            <w:pPr>
              <w:spacing w:line="360" w:lineRule="auto"/>
              <w:jc w:val="both"/>
              <w:rPr>
                <w:rFonts w:ascii="Book Antiqua" w:hAnsi="Book Antiqua"/>
              </w:rPr>
            </w:pPr>
            <w:r w:rsidRPr="001F3737">
              <w:rPr>
                <w:rFonts w:ascii="Book Antiqua" w:hAnsi="Book Antiqua"/>
              </w:rPr>
              <w:t>0.958</w:t>
            </w:r>
          </w:p>
        </w:tc>
      </w:tr>
      <w:tr w:rsidR="003A0566" w:rsidRPr="001F3737" w14:paraId="6E64E4A8" w14:textId="77777777" w:rsidTr="003A0566">
        <w:trPr>
          <w:cantSplit/>
        </w:trPr>
        <w:tc>
          <w:tcPr>
            <w:tcW w:w="1373" w:type="pct"/>
            <w:tcBorders>
              <w:top w:val="nil"/>
              <w:left w:val="nil"/>
              <w:bottom w:val="single" w:sz="4" w:space="0" w:color="auto"/>
              <w:right w:val="nil"/>
            </w:tcBorders>
            <w:noWrap/>
            <w:vAlign w:val="bottom"/>
          </w:tcPr>
          <w:p w14:paraId="07BE584D" w14:textId="77777777" w:rsidR="003A0566" w:rsidRPr="001F3737" w:rsidRDefault="003A0566" w:rsidP="001F3737">
            <w:pPr>
              <w:spacing w:line="360" w:lineRule="auto"/>
              <w:jc w:val="both"/>
              <w:rPr>
                <w:rFonts w:ascii="Book Antiqua" w:hAnsi="Book Antiqua"/>
              </w:rPr>
            </w:pPr>
            <w:r w:rsidRPr="001F3737">
              <w:rPr>
                <w:rFonts w:ascii="Book Antiqua" w:hAnsi="Book Antiqua"/>
              </w:rPr>
              <w:t>Surgeon Experience, ≥ 1 liver procedure in prior year</w:t>
            </w:r>
          </w:p>
        </w:tc>
        <w:tc>
          <w:tcPr>
            <w:tcW w:w="819" w:type="pct"/>
            <w:tcBorders>
              <w:top w:val="nil"/>
              <w:left w:val="nil"/>
              <w:bottom w:val="single" w:sz="4" w:space="0" w:color="auto"/>
              <w:right w:val="nil"/>
            </w:tcBorders>
            <w:noWrap/>
            <w:vAlign w:val="bottom"/>
          </w:tcPr>
          <w:p w14:paraId="2C4E2FAE" w14:textId="0BD9E8F8" w:rsidR="003A0566" w:rsidRPr="001F3737" w:rsidRDefault="0015098C" w:rsidP="001F3737">
            <w:pPr>
              <w:tabs>
                <w:tab w:val="decimal" w:pos="618"/>
              </w:tabs>
              <w:spacing w:line="360" w:lineRule="auto"/>
              <w:jc w:val="both"/>
              <w:rPr>
                <w:rFonts w:ascii="Book Antiqua" w:hAnsi="Book Antiqua"/>
              </w:rPr>
            </w:pPr>
            <w:r w:rsidRPr="001F3737">
              <w:rPr>
                <w:rFonts w:ascii="Book Antiqua" w:hAnsi="Book Antiqua"/>
              </w:rPr>
              <w:t>125 (82.2</w:t>
            </w:r>
            <w:r w:rsidR="003A0566" w:rsidRPr="001F3737">
              <w:rPr>
                <w:rFonts w:ascii="Book Antiqua" w:hAnsi="Book Antiqua"/>
              </w:rPr>
              <w:t>)</w:t>
            </w:r>
          </w:p>
        </w:tc>
        <w:tc>
          <w:tcPr>
            <w:tcW w:w="820" w:type="pct"/>
            <w:tcBorders>
              <w:top w:val="nil"/>
              <w:left w:val="nil"/>
              <w:bottom w:val="single" w:sz="4" w:space="0" w:color="auto"/>
              <w:right w:val="nil"/>
            </w:tcBorders>
            <w:noWrap/>
            <w:vAlign w:val="bottom"/>
          </w:tcPr>
          <w:p w14:paraId="4E87F868" w14:textId="76689315" w:rsidR="003A0566" w:rsidRPr="001F3737" w:rsidRDefault="001F3737" w:rsidP="001F3737">
            <w:pPr>
              <w:tabs>
                <w:tab w:val="decimal" w:pos="724"/>
              </w:tabs>
              <w:spacing w:line="360" w:lineRule="auto"/>
              <w:jc w:val="both"/>
              <w:rPr>
                <w:rFonts w:ascii="Book Antiqua" w:hAnsi="Book Antiqua"/>
              </w:rPr>
            </w:pPr>
            <w:r>
              <w:rPr>
                <w:rFonts w:ascii="Book Antiqua" w:hAnsi="Book Antiqua"/>
              </w:rPr>
              <w:t>1</w:t>
            </w:r>
            <w:r w:rsidR="0015098C" w:rsidRPr="001F3737">
              <w:rPr>
                <w:rFonts w:ascii="Book Antiqua" w:hAnsi="Book Antiqua"/>
              </w:rPr>
              <w:t>991 (66.6</w:t>
            </w:r>
            <w:r w:rsidR="003A0566" w:rsidRPr="001F3737">
              <w:rPr>
                <w:rFonts w:ascii="Book Antiqua" w:hAnsi="Book Antiqua"/>
              </w:rPr>
              <w:t>)</w:t>
            </w:r>
          </w:p>
        </w:tc>
        <w:tc>
          <w:tcPr>
            <w:tcW w:w="342" w:type="pct"/>
            <w:tcBorders>
              <w:top w:val="nil"/>
              <w:left w:val="nil"/>
              <w:bottom w:val="single" w:sz="4" w:space="0" w:color="auto"/>
              <w:right w:val="nil"/>
            </w:tcBorders>
            <w:noWrap/>
            <w:vAlign w:val="bottom"/>
          </w:tcPr>
          <w:p w14:paraId="51519196" w14:textId="78EA2ACB" w:rsidR="003A0566" w:rsidRPr="001F3737" w:rsidRDefault="003A0566" w:rsidP="001F3737">
            <w:pPr>
              <w:spacing w:line="360" w:lineRule="auto"/>
              <w:jc w:val="both"/>
              <w:rPr>
                <w:rFonts w:ascii="Book Antiqua" w:hAnsi="Book Antiqua"/>
              </w:rPr>
            </w:pPr>
            <w:r w:rsidRPr="001F3737">
              <w:rPr>
                <w:rFonts w:ascii="Book Antiqua" w:hAnsi="Book Antiqua"/>
              </w:rPr>
              <w:t>&lt;</w:t>
            </w:r>
            <w:r w:rsidR="00780CEC" w:rsidRPr="001F3737">
              <w:rPr>
                <w:rFonts w:ascii="Book Antiqua" w:eastAsia="宋体" w:hAnsi="Book Antiqua"/>
                <w:lang w:eastAsia="zh-CN"/>
              </w:rPr>
              <w:t xml:space="preserve"> 0</w:t>
            </w:r>
            <w:r w:rsidRPr="001F3737">
              <w:rPr>
                <w:rFonts w:ascii="Book Antiqua" w:hAnsi="Book Antiqua"/>
              </w:rPr>
              <w:t>.001</w:t>
            </w:r>
          </w:p>
        </w:tc>
        <w:tc>
          <w:tcPr>
            <w:tcW w:w="717" w:type="pct"/>
            <w:tcBorders>
              <w:top w:val="nil"/>
              <w:left w:val="nil"/>
              <w:bottom w:val="single" w:sz="4" w:space="0" w:color="auto"/>
              <w:right w:val="nil"/>
            </w:tcBorders>
            <w:noWrap/>
            <w:vAlign w:val="bottom"/>
          </w:tcPr>
          <w:p w14:paraId="414AFF3C" w14:textId="14CBD0B5" w:rsidR="003A0566" w:rsidRPr="001F3737" w:rsidRDefault="0015098C" w:rsidP="001F3737">
            <w:pPr>
              <w:tabs>
                <w:tab w:val="decimal" w:pos="661"/>
              </w:tabs>
              <w:spacing w:line="360" w:lineRule="auto"/>
              <w:jc w:val="both"/>
              <w:rPr>
                <w:rFonts w:ascii="Book Antiqua" w:hAnsi="Book Antiqua"/>
              </w:rPr>
            </w:pPr>
            <w:r w:rsidRPr="001F3737">
              <w:rPr>
                <w:rFonts w:ascii="Book Antiqua" w:hAnsi="Book Antiqua"/>
              </w:rPr>
              <w:t>117 (81.3</w:t>
            </w:r>
            <w:r w:rsidR="003A0566" w:rsidRPr="001F3737">
              <w:rPr>
                <w:rFonts w:ascii="Book Antiqua" w:hAnsi="Book Antiqua"/>
              </w:rPr>
              <w:t>)</w:t>
            </w:r>
          </w:p>
        </w:tc>
        <w:tc>
          <w:tcPr>
            <w:tcW w:w="581" w:type="pct"/>
            <w:tcBorders>
              <w:top w:val="nil"/>
              <w:left w:val="nil"/>
              <w:bottom w:val="single" w:sz="4" w:space="0" w:color="auto"/>
              <w:right w:val="nil"/>
            </w:tcBorders>
            <w:noWrap/>
            <w:vAlign w:val="bottom"/>
          </w:tcPr>
          <w:p w14:paraId="752E6F2B" w14:textId="5DDA6716" w:rsidR="003A0566" w:rsidRPr="001F3737" w:rsidRDefault="003A0566" w:rsidP="001F3737">
            <w:pPr>
              <w:tabs>
                <w:tab w:val="decimal" w:pos="586"/>
              </w:tabs>
              <w:spacing w:line="360" w:lineRule="auto"/>
              <w:jc w:val="both"/>
              <w:rPr>
                <w:rFonts w:ascii="Book Antiqua" w:hAnsi="Book Antiqua"/>
              </w:rPr>
            </w:pPr>
            <w:r w:rsidRPr="001F3737">
              <w:rPr>
                <w:rFonts w:ascii="Book Antiqua" w:hAnsi="Book Antiqua"/>
              </w:rPr>
              <w:t>5</w:t>
            </w:r>
            <w:r w:rsidR="0015098C" w:rsidRPr="001F3737">
              <w:rPr>
                <w:rFonts w:ascii="Book Antiqua" w:hAnsi="Book Antiqua"/>
              </w:rPr>
              <w:t>95 (82.6</w:t>
            </w:r>
            <w:r w:rsidRPr="001F3737">
              <w:rPr>
                <w:rFonts w:ascii="Book Antiqua" w:hAnsi="Book Antiqua"/>
              </w:rPr>
              <w:t>)</w:t>
            </w:r>
          </w:p>
        </w:tc>
        <w:tc>
          <w:tcPr>
            <w:tcW w:w="348" w:type="pct"/>
            <w:tcBorders>
              <w:top w:val="nil"/>
              <w:left w:val="nil"/>
              <w:bottom w:val="single" w:sz="4" w:space="0" w:color="auto"/>
              <w:right w:val="nil"/>
            </w:tcBorders>
            <w:noWrap/>
            <w:vAlign w:val="bottom"/>
          </w:tcPr>
          <w:p w14:paraId="116BC4AD" w14:textId="77777777" w:rsidR="003A0566" w:rsidRPr="001F3737" w:rsidRDefault="003A0566" w:rsidP="001F3737">
            <w:pPr>
              <w:spacing w:line="360" w:lineRule="auto"/>
              <w:jc w:val="both"/>
              <w:rPr>
                <w:rFonts w:ascii="Book Antiqua" w:hAnsi="Book Antiqua"/>
              </w:rPr>
            </w:pPr>
            <w:r w:rsidRPr="001F3737">
              <w:rPr>
                <w:rFonts w:ascii="Book Antiqua" w:hAnsi="Book Antiqua"/>
              </w:rPr>
              <w:t>0.780</w:t>
            </w:r>
          </w:p>
        </w:tc>
      </w:tr>
    </w:tbl>
    <w:p w14:paraId="64A3B534" w14:textId="3EE882AE" w:rsidR="003A0566" w:rsidRPr="001F3737" w:rsidRDefault="00780CEC" w:rsidP="001F3737">
      <w:pPr>
        <w:spacing w:line="360" w:lineRule="auto"/>
        <w:jc w:val="both"/>
        <w:rPr>
          <w:rFonts w:ascii="Book Antiqua" w:eastAsia="宋体" w:hAnsi="Book Antiqua"/>
          <w:lang w:eastAsia="zh-CN"/>
        </w:rPr>
      </w:pPr>
      <w:r w:rsidRPr="001F3737">
        <w:rPr>
          <w:rFonts w:ascii="Book Antiqua" w:eastAsia="宋体" w:hAnsi="Book Antiqua"/>
          <w:vertAlign w:val="superscript"/>
          <w:lang w:eastAsia="zh-CN"/>
        </w:rPr>
        <w:t>1</w:t>
      </w:r>
      <w:r w:rsidRPr="001F3737">
        <w:rPr>
          <w:rFonts w:ascii="Book Antiqua" w:hAnsi="Book Antiqua"/>
        </w:rPr>
        <w:t>Excluding primary malignancy, metastatic solid tumor, mild liver disease, moderate or severe liver disease</w:t>
      </w:r>
      <w:r w:rsidRPr="001F3737">
        <w:rPr>
          <w:rFonts w:ascii="Book Antiqua" w:eastAsia="宋体" w:hAnsi="Book Antiqua"/>
          <w:lang w:eastAsia="zh-CN"/>
        </w:rPr>
        <w:t xml:space="preserve">. </w:t>
      </w:r>
      <w:r w:rsidR="003A0566" w:rsidRPr="001F3737">
        <w:rPr>
          <w:rFonts w:ascii="Book Antiqua" w:hAnsi="Book Antiqua"/>
          <w:i/>
        </w:rPr>
        <w:t>P</w:t>
      </w:r>
      <w:r w:rsidR="003A0566" w:rsidRPr="001F3737">
        <w:rPr>
          <w:rFonts w:ascii="Book Antiqua" w:hAnsi="Book Antiqua"/>
        </w:rPr>
        <w:t xml:space="preserve"> values were calculated with the </w:t>
      </w:r>
      <w:r w:rsidRPr="001F3737">
        <w:rPr>
          <w:rFonts w:ascii="Book Antiqua" w:hAnsi="Book Antiqua"/>
        </w:rPr>
        <w:sym w:font="Symbol" w:char="F063"/>
      </w:r>
      <w:r w:rsidR="003A0566" w:rsidRPr="001F3737">
        <w:rPr>
          <w:rFonts w:ascii="Book Antiqua" w:hAnsi="Book Antiqua"/>
          <w:b/>
          <w:vertAlign w:val="superscript"/>
        </w:rPr>
        <w:t xml:space="preserve">2 </w:t>
      </w:r>
      <w:r w:rsidR="003A0566" w:rsidRPr="001F3737">
        <w:rPr>
          <w:rFonts w:ascii="Book Antiqua" w:hAnsi="Book Antiqua"/>
        </w:rPr>
        <w:t>test (or Fisher's Exact where cell frequencies &lt; 10),</w:t>
      </w:r>
      <w:r w:rsidR="003A0566" w:rsidRPr="004F6BA8">
        <w:rPr>
          <w:rFonts w:ascii="Book Antiqua" w:hAnsi="Book Antiqua"/>
          <w:i/>
        </w:rPr>
        <w:t xml:space="preserve"> t</w:t>
      </w:r>
      <w:r w:rsidR="003A0566" w:rsidRPr="001F3737">
        <w:rPr>
          <w:rFonts w:ascii="Book Antiqua" w:hAnsi="Book Antiqua"/>
        </w:rPr>
        <w:t>-test (or Wilcoxon Mann-Whitney test for skewed distributions). SCBS: Saline-coupled bipolar sealer</w:t>
      </w:r>
      <w:r w:rsidRPr="001F3737">
        <w:rPr>
          <w:rFonts w:ascii="Book Antiqua" w:eastAsia="宋体" w:hAnsi="Book Antiqua"/>
          <w:lang w:eastAsia="zh-CN"/>
        </w:rPr>
        <w:t>.</w:t>
      </w:r>
    </w:p>
    <w:p w14:paraId="09DD8F8A" w14:textId="77777777" w:rsidR="00C238BA" w:rsidRPr="001F3737" w:rsidRDefault="00C238BA" w:rsidP="001F3737">
      <w:pPr>
        <w:spacing w:line="360" w:lineRule="auto"/>
        <w:jc w:val="both"/>
        <w:rPr>
          <w:rFonts w:ascii="Book Antiqua" w:hAnsi="Book Antiqua"/>
        </w:rPr>
      </w:pPr>
    </w:p>
    <w:p w14:paraId="13D856EF" w14:textId="045EB355" w:rsidR="00C238BA" w:rsidRPr="001F3737" w:rsidRDefault="00C238BA" w:rsidP="001F3737">
      <w:pPr>
        <w:pageBreakBefore/>
        <w:spacing w:line="360" w:lineRule="auto"/>
        <w:jc w:val="both"/>
        <w:rPr>
          <w:rFonts w:ascii="Book Antiqua" w:hAnsi="Book Antiqua"/>
          <w:b/>
          <w:vertAlign w:val="superscript"/>
        </w:rPr>
      </w:pPr>
      <w:r w:rsidRPr="001F3737">
        <w:rPr>
          <w:rFonts w:ascii="Book Antiqua" w:hAnsi="Book Antiqua"/>
          <w:b/>
        </w:rPr>
        <w:lastRenderedPageBreak/>
        <w:t xml:space="preserve">Table </w:t>
      </w:r>
      <w:r w:rsidR="003A0566" w:rsidRPr="001F3737">
        <w:rPr>
          <w:rFonts w:ascii="Book Antiqua" w:hAnsi="Book Antiqua"/>
          <w:b/>
        </w:rPr>
        <w:t>4</w:t>
      </w:r>
      <w:r w:rsidR="00780CEC" w:rsidRPr="001F3737">
        <w:rPr>
          <w:rFonts w:ascii="Book Antiqua" w:eastAsia="宋体" w:hAnsi="Book Antiqua"/>
          <w:b/>
          <w:lang w:eastAsia="zh-CN"/>
        </w:rPr>
        <w:t xml:space="preserve"> </w:t>
      </w:r>
      <w:r w:rsidRPr="001F3737">
        <w:rPr>
          <w:rFonts w:ascii="Book Antiqua" w:hAnsi="Book Antiqua"/>
          <w:b/>
        </w:rPr>
        <w:t xml:space="preserve">LOS, Deviation Mix and </w:t>
      </w:r>
      <w:r w:rsidR="004F6BA8" w:rsidRPr="004F6BA8">
        <w:rPr>
          <w:rFonts w:ascii="Book Antiqua" w:hAnsi="Book Antiqua"/>
          <w:b/>
        </w:rPr>
        <w:t xml:space="preserve">weighted average mean cost </w:t>
      </w:r>
      <w:r w:rsidRPr="001F3737">
        <w:rPr>
          <w:rFonts w:ascii="Book Antiqua" w:hAnsi="Book Antiqua"/>
          <w:b/>
        </w:rPr>
        <w:t>(Propensity-Matched Cohorts)</w:t>
      </w:r>
    </w:p>
    <w:tbl>
      <w:tblPr>
        <w:tblW w:w="0" w:type="auto"/>
        <w:tblLayout w:type="fixed"/>
        <w:tblLook w:val="04A0" w:firstRow="1" w:lastRow="0" w:firstColumn="1" w:lastColumn="0" w:noHBand="0" w:noVBand="1"/>
      </w:tblPr>
      <w:tblGrid>
        <w:gridCol w:w="3583"/>
        <w:gridCol w:w="2810"/>
        <w:gridCol w:w="2746"/>
        <w:gridCol w:w="2026"/>
      </w:tblGrid>
      <w:tr w:rsidR="00C238BA" w:rsidRPr="001F3737" w14:paraId="7D2EF386" w14:textId="77777777" w:rsidTr="00780CEC">
        <w:trPr>
          <w:trHeight w:val="288"/>
          <w:tblHeader/>
        </w:trPr>
        <w:tc>
          <w:tcPr>
            <w:tcW w:w="3583" w:type="dxa"/>
            <w:tcBorders>
              <w:top w:val="single" w:sz="4" w:space="0" w:color="auto"/>
              <w:left w:val="nil"/>
              <w:bottom w:val="single" w:sz="4" w:space="0" w:color="auto"/>
              <w:right w:val="nil"/>
            </w:tcBorders>
            <w:noWrap/>
            <w:vAlign w:val="bottom"/>
            <w:hideMark/>
          </w:tcPr>
          <w:p w14:paraId="6D8BD255"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t>Characteristic</w:t>
            </w:r>
          </w:p>
        </w:tc>
        <w:tc>
          <w:tcPr>
            <w:tcW w:w="2810" w:type="dxa"/>
            <w:tcBorders>
              <w:top w:val="single" w:sz="4" w:space="0" w:color="auto"/>
              <w:left w:val="nil"/>
              <w:bottom w:val="single" w:sz="4" w:space="0" w:color="auto"/>
              <w:right w:val="nil"/>
            </w:tcBorders>
            <w:noWrap/>
            <w:vAlign w:val="bottom"/>
            <w:hideMark/>
          </w:tcPr>
          <w:p w14:paraId="2810F9F8"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t>SCBS</w:t>
            </w:r>
          </w:p>
        </w:tc>
        <w:tc>
          <w:tcPr>
            <w:tcW w:w="2746" w:type="dxa"/>
            <w:tcBorders>
              <w:top w:val="single" w:sz="4" w:space="0" w:color="auto"/>
              <w:left w:val="nil"/>
              <w:bottom w:val="single" w:sz="4" w:space="0" w:color="auto"/>
              <w:right w:val="nil"/>
            </w:tcBorders>
            <w:noWrap/>
            <w:vAlign w:val="bottom"/>
            <w:hideMark/>
          </w:tcPr>
          <w:p w14:paraId="2E5278EF" w14:textId="77777777" w:rsidR="00C238BA" w:rsidRPr="001F3737" w:rsidRDefault="00C238BA" w:rsidP="001F3737">
            <w:pPr>
              <w:spacing w:line="360" w:lineRule="auto"/>
              <w:jc w:val="both"/>
              <w:rPr>
                <w:rFonts w:ascii="Book Antiqua" w:hAnsi="Book Antiqua"/>
                <w:b/>
              </w:rPr>
            </w:pPr>
            <w:r w:rsidRPr="001F3737">
              <w:rPr>
                <w:rFonts w:ascii="Book Antiqua" w:hAnsi="Book Antiqua"/>
                <w:b/>
              </w:rPr>
              <w:t>No SCBS</w:t>
            </w:r>
          </w:p>
        </w:tc>
        <w:tc>
          <w:tcPr>
            <w:tcW w:w="2026" w:type="dxa"/>
            <w:tcBorders>
              <w:top w:val="single" w:sz="4" w:space="0" w:color="auto"/>
              <w:left w:val="nil"/>
              <w:bottom w:val="single" w:sz="4" w:space="0" w:color="auto"/>
              <w:right w:val="nil"/>
            </w:tcBorders>
            <w:noWrap/>
            <w:vAlign w:val="bottom"/>
            <w:hideMark/>
          </w:tcPr>
          <w:p w14:paraId="2CF63A7F" w14:textId="77777777" w:rsidR="00C238BA" w:rsidRPr="001F3737" w:rsidRDefault="00C238BA" w:rsidP="001F3737">
            <w:pPr>
              <w:spacing w:line="360" w:lineRule="auto"/>
              <w:jc w:val="both"/>
              <w:rPr>
                <w:rFonts w:ascii="Book Antiqua" w:hAnsi="Book Antiqua"/>
                <w:b/>
              </w:rPr>
            </w:pPr>
            <w:r w:rsidRPr="001F3737">
              <w:rPr>
                <w:rFonts w:ascii="Book Antiqua" w:hAnsi="Book Antiqua"/>
                <w:b/>
                <w:i/>
              </w:rPr>
              <w:t>P</w:t>
            </w:r>
            <w:r w:rsidRPr="001F3737">
              <w:rPr>
                <w:rFonts w:ascii="Book Antiqua" w:hAnsi="Book Antiqua"/>
                <w:b/>
              </w:rPr>
              <w:t xml:space="preserve"> value</w:t>
            </w:r>
          </w:p>
        </w:tc>
      </w:tr>
      <w:tr w:rsidR="00C238BA" w:rsidRPr="001F3737" w14:paraId="5885DA03" w14:textId="77777777" w:rsidTr="00780CEC">
        <w:trPr>
          <w:trHeight w:val="360"/>
        </w:trPr>
        <w:tc>
          <w:tcPr>
            <w:tcW w:w="3583" w:type="dxa"/>
            <w:tcBorders>
              <w:top w:val="nil"/>
              <w:left w:val="nil"/>
              <w:bottom w:val="nil"/>
              <w:right w:val="nil"/>
            </w:tcBorders>
            <w:noWrap/>
            <w:vAlign w:val="bottom"/>
          </w:tcPr>
          <w:p w14:paraId="0D415046" w14:textId="2CEB8390" w:rsidR="00C238BA" w:rsidRPr="001F3737" w:rsidRDefault="00C238BA" w:rsidP="001F3737">
            <w:pPr>
              <w:spacing w:line="360" w:lineRule="auto"/>
              <w:jc w:val="both"/>
              <w:rPr>
                <w:rFonts w:ascii="Book Antiqua" w:eastAsia="宋体" w:hAnsi="Book Antiqua"/>
                <w:lang w:eastAsia="zh-CN"/>
              </w:rPr>
            </w:pPr>
            <w:r w:rsidRPr="001F3737">
              <w:rPr>
                <w:rFonts w:ascii="Book Antiqua" w:hAnsi="Book Antiqua"/>
              </w:rPr>
              <w:t>Length of Stay (LOS)</w:t>
            </w:r>
            <w:r w:rsidR="00780CEC" w:rsidRPr="001F3737">
              <w:rPr>
                <w:rFonts w:ascii="Book Antiqua" w:eastAsia="宋体" w:hAnsi="Book Antiqua"/>
                <w:lang w:eastAsia="zh-CN"/>
              </w:rPr>
              <w:t>,</w:t>
            </w:r>
            <w:r w:rsidRPr="001F3737">
              <w:rPr>
                <w:rFonts w:ascii="Book Antiqua" w:hAnsi="Book Antiqua"/>
              </w:rPr>
              <w:t xml:space="preserve"> </w:t>
            </w:r>
            <w:r w:rsidR="00780CEC" w:rsidRPr="001F3737">
              <w:rPr>
                <w:rFonts w:ascii="Book Antiqua" w:eastAsia="宋体" w:hAnsi="Book Antiqua"/>
                <w:lang w:eastAsia="zh-CN"/>
              </w:rPr>
              <w:t>d</w:t>
            </w:r>
          </w:p>
        </w:tc>
        <w:tc>
          <w:tcPr>
            <w:tcW w:w="2810" w:type="dxa"/>
            <w:tcBorders>
              <w:top w:val="nil"/>
              <w:left w:val="nil"/>
              <w:bottom w:val="nil"/>
              <w:right w:val="nil"/>
            </w:tcBorders>
            <w:noWrap/>
            <w:vAlign w:val="bottom"/>
          </w:tcPr>
          <w:p w14:paraId="1DB132D2" w14:textId="77777777" w:rsidR="00C238BA" w:rsidRPr="001F3737" w:rsidRDefault="00C238BA" w:rsidP="001F3737">
            <w:pPr>
              <w:tabs>
                <w:tab w:val="decimal" w:pos="1114"/>
              </w:tabs>
              <w:spacing w:line="360" w:lineRule="auto"/>
              <w:jc w:val="both"/>
              <w:rPr>
                <w:rFonts w:ascii="Book Antiqua" w:hAnsi="Book Antiqua"/>
              </w:rPr>
            </w:pPr>
          </w:p>
        </w:tc>
        <w:tc>
          <w:tcPr>
            <w:tcW w:w="2746" w:type="dxa"/>
            <w:tcBorders>
              <w:top w:val="nil"/>
              <w:left w:val="nil"/>
              <w:bottom w:val="nil"/>
              <w:right w:val="nil"/>
            </w:tcBorders>
            <w:noWrap/>
            <w:vAlign w:val="bottom"/>
          </w:tcPr>
          <w:p w14:paraId="31F76E44" w14:textId="77777777" w:rsidR="00C238BA" w:rsidRPr="001F3737" w:rsidRDefault="00C238BA" w:rsidP="001F3737">
            <w:pPr>
              <w:tabs>
                <w:tab w:val="decimal" w:pos="1050"/>
              </w:tabs>
              <w:spacing w:line="360" w:lineRule="auto"/>
              <w:jc w:val="both"/>
              <w:rPr>
                <w:rFonts w:ascii="Book Antiqua" w:hAnsi="Book Antiqua"/>
              </w:rPr>
            </w:pPr>
          </w:p>
        </w:tc>
        <w:tc>
          <w:tcPr>
            <w:tcW w:w="2026" w:type="dxa"/>
            <w:tcBorders>
              <w:top w:val="nil"/>
              <w:left w:val="nil"/>
              <w:bottom w:val="nil"/>
              <w:right w:val="nil"/>
            </w:tcBorders>
            <w:noWrap/>
            <w:vAlign w:val="bottom"/>
          </w:tcPr>
          <w:p w14:paraId="7C4E0795" w14:textId="77777777" w:rsidR="00C238BA" w:rsidRPr="001F3737" w:rsidRDefault="00C238BA" w:rsidP="001F3737">
            <w:pPr>
              <w:tabs>
                <w:tab w:val="decimal" w:pos="221"/>
              </w:tabs>
              <w:spacing w:line="360" w:lineRule="auto"/>
              <w:jc w:val="both"/>
              <w:rPr>
                <w:rFonts w:ascii="Book Antiqua" w:hAnsi="Book Antiqua"/>
              </w:rPr>
            </w:pPr>
          </w:p>
        </w:tc>
      </w:tr>
      <w:tr w:rsidR="00C238BA" w:rsidRPr="001F3737" w14:paraId="6DB79456" w14:textId="77777777" w:rsidTr="00780CEC">
        <w:trPr>
          <w:trHeight w:val="360"/>
        </w:trPr>
        <w:tc>
          <w:tcPr>
            <w:tcW w:w="3583" w:type="dxa"/>
            <w:tcBorders>
              <w:top w:val="nil"/>
              <w:left w:val="nil"/>
              <w:bottom w:val="nil"/>
              <w:right w:val="nil"/>
            </w:tcBorders>
            <w:noWrap/>
            <w:vAlign w:val="bottom"/>
          </w:tcPr>
          <w:p w14:paraId="22097ABC" w14:textId="16B55501" w:rsidR="00C238BA" w:rsidRPr="001F3737" w:rsidRDefault="00565107" w:rsidP="001F3737">
            <w:pPr>
              <w:spacing w:line="360" w:lineRule="auto"/>
              <w:ind w:left="360"/>
              <w:jc w:val="both"/>
              <w:rPr>
                <w:rFonts w:ascii="Book Antiqua" w:hAnsi="Book Antiqua"/>
              </w:rPr>
            </w:pPr>
            <w:r w:rsidRPr="001F3737">
              <w:rPr>
                <w:rFonts w:ascii="Book Antiqua" w:hAnsi="Book Antiqua"/>
              </w:rPr>
              <w:t xml:space="preserve">mean </w:t>
            </w:r>
            <w:r w:rsidR="00C238BA" w:rsidRPr="001F3737">
              <w:rPr>
                <w:rFonts w:ascii="Book Antiqua" w:hAnsi="Book Antiqua"/>
              </w:rPr>
              <w:t>(SD)</w:t>
            </w:r>
          </w:p>
        </w:tc>
        <w:tc>
          <w:tcPr>
            <w:tcW w:w="2810" w:type="dxa"/>
            <w:tcBorders>
              <w:top w:val="nil"/>
              <w:left w:val="nil"/>
              <w:bottom w:val="nil"/>
              <w:right w:val="nil"/>
            </w:tcBorders>
            <w:noWrap/>
            <w:vAlign w:val="bottom"/>
          </w:tcPr>
          <w:p w14:paraId="60B64960" w14:textId="77777777" w:rsidR="00C238BA" w:rsidRPr="001F3737" w:rsidRDefault="00C238BA" w:rsidP="001F3737">
            <w:pPr>
              <w:tabs>
                <w:tab w:val="decimal" w:pos="1114"/>
              </w:tabs>
              <w:spacing w:line="360" w:lineRule="auto"/>
              <w:jc w:val="both"/>
              <w:rPr>
                <w:rFonts w:ascii="Book Antiqua" w:hAnsi="Book Antiqua"/>
              </w:rPr>
            </w:pPr>
            <w:r w:rsidRPr="001F3737">
              <w:rPr>
                <w:rFonts w:ascii="Book Antiqua" w:hAnsi="Book Antiqua"/>
              </w:rPr>
              <w:t>7.38 (5.18)</w:t>
            </w:r>
          </w:p>
        </w:tc>
        <w:tc>
          <w:tcPr>
            <w:tcW w:w="2746" w:type="dxa"/>
            <w:tcBorders>
              <w:top w:val="nil"/>
              <w:left w:val="nil"/>
              <w:bottom w:val="nil"/>
              <w:right w:val="nil"/>
            </w:tcBorders>
            <w:noWrap/>
            <w:vAlign w:val="bottom"/>
          </w:tcPr>
          <w:p w14:paraId="4C29C1DD" w14:textId="77777777" w:rsidR="00C238BA" w:rsidRPr="001F3737" w:rsidRDefault="00C238BA" w:rsidP="001F3737">
            <w:pPr>
              <w:tabs>
                <w:tab w:val="decimal" w:pos="1050"/>
              </w:tabs>
              <w:spacing w:line="360" w:lineRule="auto"/>
              <w:jc w:val="both"/>
              <w:rPr>
                <w:rFonts w:ascii="Book Antiqua" w:hAnsi="Book Antiqua"/>
              </w:rPr>
            </w:pPr>
            <w:r w:rsidRPr="001F3737">
              <w:rPr>
                <w:rFonts w:ascii="Book Antiqua" w:hAnsi="Book Antiqua"/>
              </w:rPr>
              <w:t>8.18 (7.27)</w:t>
            </w:r>
          </w:p>
        </w:tc>
        <w:tc>
          <w:tcPr>
            <w:tcW w:w="2026" w:type="dxa"/>
            <w:tcBorders>
              <w:top w:val="nil"/>
              <w:left w:val="nil"/>
              <w:bottom w:val="nil"/>
              <w:right w:val="nil"/>
            </w:tcBorders>
            <w:noWrap/>
            <w:vAlign w:val="bottom"/>
          </w:tcPr>
          <w:p w14:paraId="78FF1AE4"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rPr>
              <w:t>0.210</w:t>
            </w:r>
          </w:p>
        </w:tc>
      </w:tr>
      <w:tr w:rsidR="00C238BA" w:rsidRPr="001F3737" w14:paraId="46B10BD6" w14:textId="77777777" w:rsidTr="00780CEC">
        <w:trPr>
          <w:trHeight w:val="360"/>
        </w:trPr>
        <w:tc>
          <w:tcPr>
            <w:tcW w:w="3583" w:type="dxa"/>
            <w:tcBorders>
              <w:top w:val="nil"/>
              <w:left w:val="nil"/>
              <w:bottom w:val="nil"/>
              <w:right w:val="nil"/>
            </w:tcBorders>
            <w:noWrap/>
            <w:vAlign w:val="bottom"/>
          </w:tcPr>
          <w:p w14:paraId="36C29CA8"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25</w:t>
            </w:r>
            <w:r w:rsidRPr="001F3737">
              <w:rPr>
                <w:rFonts w:ascii="Book Antiqua" w:hAnsi="Book Antiqua"/>
                <w:vertAlign w:val="superscript"/>
              </w:rPr>
              <w:t>th</w:t>
            </w:r>
            <w:r w:rsidRPr="001F3737">
              <w:rPr>
                <w:rFonts w:ascii="Book Antiqua" w:hAnsi="Book Antiqua"/>
              </w:rPr>
              <w:t xml:space="preserve"> percentile</w:t>
            </w:r>
          </w:p>
        </w:tc>
        <w:tc>
          <w:tcPr>
            <w:tcW w:w="2810" w:type="dxa"/>
            <w:tcBorders>
              <w:top w:val="nil"/>
              <w:left w:val="nil"/>
              <w:bottom w:val="nil"/>
              <w:right w:val="nil"/>
            </w:tcBorders>
            <w:noWrap/>
            <w:vAlign w:val="bottom"/>
          </w:tcPr>
          <w:p w14:paraId="6300A4C8" w14:textId="77777777" w:rsidR="00C238BA" w:rsidRPr="001F3737" w:rsidRDefault="00C238BA" w:rsidP="001F3737">
            <w:pPr>
              <w:tabs>
                <w:tab w:val="decimal" w:pos="1114"/>
              </w:tabs>
              <w:spacing w:line="360" w:lineRule="auto"/>
              <w:jc w:val="both"/>
              <w:rPr>
                <w:rFonts w:ascii="Book Antiqua" w:hAnsi="Book Antiqua"/>
              </w:rPr>
            </w:pPr>
            <w:r w:rsidRPr="001F3737">
              <w:rPr>
                <w:rFonts w:ascii="Book Antiqua" w:hAnsi="Book Antiqua"/>
              </w:rPr>
              <w:t>4</w:t>
            </w:r>
          </w:p>
        </w:tc>
        <w:tc>
          <w:tcPr>
            <w:tcW w:w="2746" w:type="dxa"/>
            <w:tcBorders>
              <w:top w:val="nil"/>
              <w:left w:val="nil"/>
              <w:bottom w:val="nil"/>
              <w:right w:val="nil"/>
            </w:tcBorders>
            <w:noWrap/>
            <w:vAlign w:val="bottom"/>
          </w:tcPr>
          <w:p w14:paraId="2ABE7F00" w14:textId="77777777" w:rsidR="00C238BA" w:rsidRPr="001F3737" w:rsidRDefault="00C238BA" w:rsidP="001F3737">
            <w:pPr>
              <w:tabs>
                <w:tab w:val="decimal" w:pos="1050"/>
              </w:tabs>
              <w:spacing w:line="360" w:lineRule="auto"/>
              <w:jc w:val="both"/>
              <w:rPr>
                <w:rFonts w:ascii="Book Antiqua" w:hAnsi="Book Antiqua"/>
              </w:rPr>
            </w:pPr>
            <w:r w:rsidRPr="001F3737">
              <w:rPr>
                <w:rFonts w:ascii="Book Antiqua" w:hAnsi="Book Antiqua"/>
              </w:rPr>
              <w:t>4</w:t>
            </w:r>
          </w:p>
        </w:tc>
        <w:tc>
          <w:tcPr>
            <w:tcW w:w="2026" w:type="dxa"/>
            <w:tcBorders>
              <w:top w:val="nil"/>
              <w:left w:val="nil"/>
              <w:bottom w:val="nil"/>
              <w:right w:val="nil"/>
            </w:tcBorders>
            <w:noWrap/>
            <w:vAlign w:val="bottom"/>
          </w:tcPr>
          <w:p w14:paraId="691ADD84" w14:textId="77777777" w:rsidR="00C238BA" w:rsidRPr="001F3737" w:rsidRDefault="00C238BA" w:rsidP="001F3737">
            <w:pPr>
              <w:tabs>
                <w:tab w:val="decimal" w:pos="221"/>
              </w:tabs>
              <w:spacing w:line="360" w:lineRule="auto"/>
              <w:jc w:val="both"/>
              <w:rPr>
                <w:rFonts w:ascii="Book Antiqua" w:hAnsi="Book Antiqua"/>
              </w:rPr>
            </w:pPr>
          </w:p>
        </w:tc>
      </w:tr>
      <w:tr w:rsidR="00C238BA" w:rsidRPr="001F3737" w14:paraId="14B5A8AE" w14:textId="77777777" w:rsidTr="00780CEC">
        <w:trPr>
          <w:trHeight w:val="360"/>
        </w:trPr>
        <w:tc>
          <w:tcPr>
            <w:tcW w:w="3583" w:type="dxa"/>
            <w:tcBorders>
              <w:top w:val="nil"/>
              <w:left w:val="nil"/>
              <w:bottom w:val="nil"/>
              <w:right w:val="nil"/>
            </w:tcBorders>
            <w:noWrap/>
            <w:vAlign w:val="bottom"/>
          </w:tcPr>
          <w:p w14:paraId="111FE663" w14:textId="77777777" w:rsidR="00C238BA" w:rsidRPr="001F3737" w:rsidRDefault="00C238BA" w:rsidP="001F3737">
            <w:pPr>
              <w:spacing w:line="360" w:lineRule="auto"/>
              <w:ind w:left="360"/>
              <w:jc w:val="both"/>
              <w:rPr>
                <w:rFonts w:ascii="Book Antiqua" w:hAnsi="Book Antiqua"/>
              </w:rPr>
            </w:pPr>
            <w:r w:rsidRPr="001F3737">
              <w:rPr>
                <w:rFonts w:ascii="Book Antiqua" w:hAnsi="Book Antiqua"/>
              </w:rPr>
              <w:t>Median</w:t>
            </w:r>
          </w:p>
        </w:tc>
        <w:tc>
          <w:tcPr>
            <w:tcW w:w="2810" w:type="dxa"/>
            <w:tcBorders>
              <w:top w:val="nil"/>
              <w:left w:val="nil"/>
              <w:bottom w:val="nil"/>
              <w:right w:val="nil"/>
            </w:tcBorders>
            <w:noWrap/>
            <w:vAlign w:val="bottom"/>
          </w:tcPr>
          <w:p w14:paraId="0FD62F0C" w14:textId="77777777" w:rsidR="00C238BA" w:rsidRPr="001F3737" w:rsidRDefault="00C238BA" w:rsidP="001F3737">
            <w:pPr>
              <w:tabs>
                <w:tab w:val="decimal" w:pos="1114"/>
              </w:tabs>
              <w:spacing w:line="360" w:lineRule="auto"/>
              <w:jc w:val="both"/>
              <w:rPr>
                <w:rFonts w:ascii="Book Antiqua" w:hAnsi="Book Antiqua"/>
              </w:rPr>
            </w:pPr>
            <w:r w:rsidRPr="001F3737">
              <w:rPr>
                <w:rFonts w:ascii="Book Antiqua" w:hAnsi="Book Antiqua"/>
              </w:rPr>
              <w:t>6</w:t>
            </w:r>
          </w:p>
        </w:tc>
        <w:tc>
          <w:tcPr>
            <w:tcW w:w="2746" w:type="dxa"/>
            <w:tcBorders>
              <w:top w:val="nil"/>
              <w:left w:val="nil"/>
              <w:bottom w:val="nil"/>
              <w:right w:val="nil"/>
            </w:tcBorders>
            <w:noWrap/>
            <w:vAlign w:val="bottom"/>
          </w:tcPr>
          <w:p w14:paraId="26D792FD" w14:textId="77777777" w:rsidR="00C238BA" w:rsidRPr="001F3737" w:rsidRDefault="00C238BA" w:rsidP="001F3737">
            <w:pPr>
              <w:tabs>
                <w:tab w:val="decimal" w:pos="1050"/>
              </w:tabs>
              <w:spacing w:line="360" w:lineRule="auto"/>
              <w:jc w:val="both"/>
              <w:rPr>
                <w:rFonts w:ascii="Book Antiqua" w:hAnsi="Book Antiqua"/>
              </w:rPr>
            </w:pPr>
            <w:r w:rsidRPr="001F3737">
              <w:rPr>
                <w:rFonts w:ascii="Book Antiqua" w:hAnsi="Book Antiqua"/>
              </w:rPr>
              <w:t>6</w:t>
            </w:r>
          </w:p>
        </w:tc>
        <w:tc>
          <w:tcPr>
            <w:tcW w:w="2026" w:type="dxa"/>
            <w:tcBorders>
              <w:top w:val="nil"/>
              <w:left w:val="nil"/>
              <w:bottom w:val="nil"/>
              <w:right w:val="nil"/>
            </w:tcBorders>
            <w:noWrap/>
            <w:vAlign w:val="bottom"/>
          </w:tcPr>
          <w:p w14:paraId="372EAD28" w14:textId="77777777" w:rsidR="00C238BA" w:rsidRPr="001F3737" w:rsidRDefault="00C238BA" w:rsidP="001F3737">
            <w:pPr>
              <w:tabs>
                <w:tab w:val="decimal" w:pos="221"/>
              </w:tabs>
              <w:spacing w:line="360" w:lineRule="auto"/>
              <w:jc w:val="both"/>
              <w:rPr>
                <w:rFonts w:ascii="Book Antiqua" w:hAnsi="Book Antiqua"/>
              </w:rPr>
            </w:pPr>
          </w:p>
        </w:tc>
      </w:tr>
      <w:tr w:rsidR="00C238BA" w:rsidRPr="001F3737" w14:paraId="570E9CCE" w14:textId="77777777" w:rsidTr="00780CEC">
        <w:trPr>
          <w:trHeight w:val="360"/>
        </w:trPr>
        <w:tc>
          <w:tcPr>
            <w:tcW w:w="3583" w:type="dxa"/>
            <w:tcBorders>
              <w:top w:val="nil"/>
              <w:left w:val="nil"/>
              <w:bottom w:val="nil"/>
              <w:right w:val="nil"/>
            </w:tcBorders>
            <w:noWrap/>
            <w:vAlign w:val="bottom"/>
          </w:tcPr>
          <w:p w14:paraId="1814EA30" w14:textId="3CDDF6C2" w:rsidR="00C238BA" w:rsidRPr="001F3737" w:rsidRDefault="00C238BA" w:rsidP="001F3737">
            <w:pPr>
              <w:spacing w:line="360" w:lineRule="auto"/>
              <w:ind w:left="360"/>
              <w:jc w:val="both"/>
              <w:rPr>
                <w:rFonts w:ascii="Book Antiqua" w:hAnsi="Book Antiqua"/>
              </w:rPr>
            </w:pPr>
            <w:r w:rsidRPr="001F3737">
              <w:rPr>
                <w:rFonts w:ascii="Book Antiqua" w:hAnsi="Book Antiqua"/>
              </w:rPr>
              <w:t>75</w:t>
            </w:r>
            <w:r w:rsidR="00780CEC" w:rsidRPr="001F3737">
              <w:rPr>
                <w:rFonts w:ascii="Book Antiqua" w:hAnsi="Book Antiqua"/>
                <w:vertAlign w:val="superscript"/>
              </w:rPr>
              <w:t>th</w:t>
            </w:r>
            <w:r w:rsidRPr="001F3737">
              <w:rPr>
                <w:rFonts w:ascii="Book Antiqua" w:hAnsi="Book Antiqua"/>
              </w:rPr>
              <w:t xml:space="preserve"> percentile</w:t>
            </w:r>
          </w:p>
        </w:tc>
        <w:tc>
          <w:tcPr>
            <w:tcW w:w="2810" w:type="dxa"/>
            <w:tcBorders>
              <w:top w:val="nil"/>
              <w:left w:val="nil"/>
              <w:bottom w:val="nil"/>
              <w:right w:val="nil"/>
            </w:tcBorders>
            <w:noWrap/>
            <w:vAlign w:val="bottom"/>
          </w:tcPr>
          <w:p w14:paraId="7568F825" w14:textId="77777777" w:rsidR="00C238BA" w:rsidRPr="001F3737" w:rsidRDefault="00C238BA" w:rsidP="001F3737">
            <w:pPr>
              <w:tabs>
                <w:tab w:val="decimal" w:pos="1114"/>
              </w:tabs>
              <w:spacing w:line="360" w:lineRule="auto"/>
              <w:jc w:val="both"/>
              <w:rPr>
                <w:rFonts w:ascii="Book Antiqua" w:hAnsi="Book Antiqua"/>
              </w:rPr>
            </w:pPr>
            <w:r w:rsidRPr="001F3737">
              <w:rPr>
                <w:rFonts w:ascii="Book Antiqua" w:hAnsi="Book Antiqua"/>
              </w:rPr>
              <w:t>8</w:t>
            </w:r>
          </w:p>
        </w:tc>
        <w:tc>
          <w:tcPr>
            <w:tcW w:w="2746" w:type="dxa"/>
            <w:tcBorders>
              <w:top w:val="nil"/>
              <w:left w:val="nil"/>
              <w:bottom w:val="nil"/>
              <w:right w:val="nil"/>
            </w:tcBorders>
            <w:noWrap/>
            <w:vAlign w:val="bottom"/>
          </w:tcPr>
          <w:p w14:paraId="570492EF" w14:textId="77777777" w:rsidR="00C238BA" w:rsidRPr="001F3737" w:rsidRDefault="00C238BA" w:rsidP="001F3737">
            <w:pPr>
              <w:tabs>
                <w:tab w:val="decimal" w:pos="1050"/>
              </w:tabs>
              <w:spacing w:line="360" w:lineRule="auto"/>
              <w:jc w:val="both"/>
              <w:rPr>
                <w:rFonts w:ascii="Book Antiqua" w:hAnsi="Book Antiqua"/>
              </w:rPr>
            </w:pPr>
            <w:r w:rsidRPr="001F3737">
              <w:rPr>
                <w:rFonts w:ascii="Book Antiqua" w:hAnsi="Book Antiqua"/>
              </w:rPr>
              <w:t>8</w:t>
            </w:r>
          </w:p>
        </w:tc>
        <w:tc>
          <w:tcPr>
            <w:tcW w:w="2026" w:type="dxa"/>
            <w:tcBorders>
              <w:top w:val="nil"/>
              <w:left w:val="nil"/>
              <w:bottom w:val="nil"/>
              <w:right w:val="nil"/>
            </w:tcBorders>
            <w:noWrap/>
            <w:vAlign w:val="bottom"/>
          </w:tcPr>
          <w:p w14:paraId="6585BF73" w14:textId="77777777" w:rsidR="00C238BA" w:rsidRPr="001F3737" w:rsidRDefault="00C238BA" w:rsidP="001F3737">
            <w:pPr>
              <w:tabs>
                <w:tab w:val="decimal" w:pos="221"/>
              </w:tabs>
              <w:spacing w:line="360" w:lineRule="auto"/>
              <w:jc w:val="both"/>
              <w:rPr>
                <w:rFonts w:ascii="Book Antiqua" w:hAnsi="Book Antiqua"/>
              </w:rPr>
            </w:pPr>
          </w:p>
        </w:tc>
      </w:tr>
      <w:tr w:rsidR="00C238BA" w:rsidRPr="001F3737" w14:paraId="48A9FA17" w14:textId="77777777" w:rsidTr="00780CEC">
        <w:trPr>
          <w:trHeight w:val="360"/>
        </w:trPr>
        <w:tc>
          <w:tcPr>
            <w:tcW w:w="3583" w:type="dxa"/>
            <w:tcBorders>
              <w:top w:val="nil"/>
              <w:left w:val="nil"/>
              <w:bottom w:val="nil"/>
              <w:right w:val="nil"/>
            </w:tcBorders>
            <w:noWrap/>
            <w:vAlign w:val="bottom"/>
            <w:hideMark/>
          </w:tcPr>
          <w:p w14:paraId="66A2789B" w14:textId="7E4209F7" w:rsidR="00C238BA" w:rsidRPr="001F3737" w:rsidRDefault="00C238BA" w:rsidP="001F3737">
            <w:pPr>
              <w:spacing w:line="360" w:lineRule="auto"/>
              <w:jc w:val="both"/>
              <w:rPr>
                <w:rFonts w:ascii="Book Antiqua" w:eastAsia="宋体" w:hAnsi="Book Antiqua"/>
                <w:lang w:eastAsia="zh-CN"/>
              </w:rPr>
            </w:pPr>
            <w:r w:rsidRPr="001F3737">
              <w:rPr>
                <w:rFonts w:ascii="Book Antiqua" w:hAnsi="Book Antiqua"/>
              </w:rPr>
              <w:t>Deviation Mix</w:t>
            </w:r>
            <w:r w:rsidR="0015098C" w:rsidRPr="001F3737">
              <w:rPr>
                <w:rFonts w:ascii="Book Antiqua" w:eastAsia="宋体" w:hAnsi="Book Antiqua"/>
                <w:lang w:eastAsia="zh-CN"/>
              </w:rPr>
              <w:t xml:space="preserve">, </w:t>
            </w:r>
            <w:r w:rsidR="0015098C" w:rsidRPr="001F3737">
              <w:rPr>
                <w:rFonts w:ascii="Book Antiqua" w:eastAsia="宋体" w:hAnsi="Book Antiqua"/>
                <w:i/>
                <w:lang w:eastAsia="zh-CN"/>
              </w:rPr>
              <w:t xml:space="preserve">n </w:t>
            </w:r>
            <w:r w:rsidR="0015098C" w:rsidRPr="001F3737">
              <w:rPr>
                <w:rFonts w:ascii="Book Antiqua" w:eastAsia="宋体" w:hAnsi="Book Antiqua"/>
                <w:lang w:eastAsia="zh-CN"/>
              </w:rPr>
              <w:t>(%)</w:t>
            </w:r>
          </w:p>
        </w:tc>
        <w:tc>
          <w:tcPr>
            <w:tcW w:w="2810" w:type="dxa"/>
            <w:tcBorders>
              <w:top w:val="nil"/>
              <w:left w:val="nil"/>
              <w:bottom w:val="nil"/>
              <w:right w:val="nil"/>
            </w:tcBorders>
            <w:noWrap/>
            <w:vAlign w:val="bottom"/>
            <w:hideMark/>
          </w:tcPr>
          <w:p w14:paraId="01F9B01F" w14:textId="77777777" w:rsidR="00C238BA" w:rsidRPr="001F3737" w:rsidRDefault="00C238BA" w:rsidP="001F3737">
            <w:pPr>
              <w:tabs>
                <w:tab w:val="decimal" w:pos="1114"/>
              </w:tabs>
              <w:spacing w:line="360" w:lineRule="auto"/>
              <w:jc w:val="both"/>
              <w:rPr>
                <w:rFonts w:ascii="Book Antiqua" w:hAnsi="Book Antiqua"/>
              </w:rPr>
            </w:pPr>
            <w:r w:rsidRPr="001F3737">
              <w:rPr>
                <w:rFonts w:ascii="Book Antiqua" w:hAnsi="Book Antiqua"/>
              </w:rPr>
              <w:t> </w:t>
            </w:r>
          </w:p>
        </w:tc>
        <w:tc>
          <w:tcPr>
            <w:tcW w:w="2746" w:type="dxa"/>
            <w:tcBorders>
              <w:top w:val="nil"/>
              <w:left w:val="nil"/>
              <w:bottom w:val="nil"/>
              <w:right w:val="nil"/>
            </w:tcBorders>
            <w:noWrap/>
            <w:vAlign w:val="bottom"/>
            <w:hideMark/>
          </w:tcPr>
          <w:p w14:paraId="62E6589F" w14:textId="77777777" w:rsidR="00C238BA" w:rsidRPr="001F3737" w:rsidRDefault="00C238BA" w:rsidP="001F3737">
            <w:pPr>
              <w:tabs>
                <w:tab w:val="decimal" w:pos="1050"/>
              </w:tabs>
              <w:spacing w:line="360" w:lineRule="auto"/>
              <w:jc w:val="both"/>
              <w:rPr>
                <w:rFonts w:ascii="Book Antiqua" w:hAnsi="Book Antiqua"/>
              </w:rPr>
            </w:pPr>
            <w:r w:rsidRPr="001F3737">
              <w:rPr>
                <w:rFonts w:ascii="Book Antiqua" w:hAnsi="Book Antiqua"/>
              </w:rPr>
              <w:t> </w:t>
            </w:r>
          </w:p>
        </w:tc>
        <w:tc>
          <w:tcPr>
            <w:tcW w:w="2026" w:type="dxa"/>
            <w:tcBorders>
              <w:top w:val="nil"/>
              <w:left w:val="nil"/>
              <w:bottom w:val="nil"/>
              <w:right w:val="nil"/>
            </w:tcBorders>
            <w:noWrap/>
            <w:vAlign w:val="bottom"/>
            <w:hideMark/>
          </w:tcPr>
          <w:p w14:paraId="39E2B0EB"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rPr>
              <w:t> </w:t>
            </w:r>
          </w:p>
        </w:tc>
      </w:tr>
      <w:tr w:rsidR="00C238BA" w:rsidRPr="001F3737" w14:paraId="2666C7C2" w14:textId="77777777" w:rsidTr="00780CEC">
        <w:trPr>
          <w:trHeight w:val="288"/>
        </w:trPr>
        <w:tc>
          <w:tcPr>
            <w:tcW w:w="3583" w:type="dxa"/>
            <w:tcBorders>
              <w:top w:val="nil"/>
              <w:left w:val="nil"/>
              <w:bottom w:val="nil"/>
              <w:right w:val="nil"/>
            </w:tcBorders>
            <w:noWrap/>
            <w:vAlign w:val="bottom"/>
            <w:hideMark/>
          </w:tcPr>
          <w:p w14:paraId="3BEC3293" w14:textId="77777777" w:rsidR="00C238BA" w:rsidRPr="001F3737" w:rsidRDefault="00C238BA" w:rsidP="001F3737">
            <w:pPr>
              <w:spacing w:line="360" w:lineRule="auto"/>
              <w:ind w:left="357"/>
              <w:jc w:val="both"/>
              <w:rPr>
                <w:rFonts w:ascii="Book Antiqua" w:hAnsi="Book Antiqua"/>
              </w:rPr>
            </w:pPr>
            <w:r w:rsidRPr="001F3737">
              <w:rPr>
                <w:rFonts w:ascii="Book Antiqua" w:hAnsi="Book Antiqua"/>
              </w:rPr>
              <w:t xml:space="preserve">On Course </w:t>
            </w:r>
          </w:p>
        </w:tc>
        <w:tc>
          <w:tcPr>
            <w:tcW w:w="2810" w:type="dxa"/>
            <w:tcBorders>
              <w:top w:val="nil"/>
              <w:left w:val="nil"/>
              <w:bottom w:val="nil"/>
              <w:right w:val="nil"/>
            </w:tcBorders>
            <w:noWrap/>
            <w:vAlign w:val="bottom"/>
            <w:hideMark/>
          </w:tcPr>
          <w:p w14:paraId="6F5D12A8" w14:textId="3635B053" w:rsidR="00C238BA" w:rsidRPr="001F3737" w:rsidRDefault="0015098C" w:rsidP="001F3737">
            <w:pPr>
              <w:tabs>
                <w:tab w:val="decimal" w:pos="1114"/>
              </w:tabs>
              <w:spacing w:line="360" w:lineRule="auto"/>
              <w:jc w:val="both"/>
              <w:rPr>
                <w:rFonts w:ascii="Book Antiqua" w:hAnsi="Book Antiqua"/>
              </w:rPr>
            </w:pPr>
            <w:r w:rsidRPr="001F3737">
              <w:rPr>
                <w:rFonts w:ascii="Book Antiqua" w:hAnsi="Book Antiqua" w:cs="Calibri"/>
                <w:color w:val="000000"/>
              </w:rPr>
              <w:t>77 (53.5</w:t>
            </w:r>
            <w:r w:rsidR="00C238BA" w:rsidRPr="001F3737">
              <w:rPr>
                <w:rFonts w:ascii="Book Antiqua" w:hAnsi="Book Antiqua" w:cs="Calibri"/>
                <w:color w:val="000000"/>
              </w:rPr>
              <w:t>)</w:t>
            </w:r>
          </w:p>
        </w:tc>
        <w:tc>
          <w:tcPr>
            <w:tcW w:w="2746" w:type="dxa"/>
            <w:tcBorders>
              <w:top w:val="nil"/>
              <w:left w:val="nil"/>
              <w:bottom w:val="nil"/>
              <w:right w:val="nil"/>
            </w:tcBorders>
            <w:noWrap/>
            <w:vAlign w:val="bottom"/>
            <w:hideMark/>
          </w:tcPr>
          <w:p w14:paraId="60A1AE64" w14:textId="306534EF" w:rsidR="00C238BA" w:rsidRPr="001F3737" w:rsidRDefault="0015098C" w:rsidP="001F3737">
            <w:pPr>
              <w:tabs>
                <w:tab w:val="decimal" w:pos="1050"/>
              </w:tabs>
              <w:spacing w:line="360" w:lineRule="auto"/>
              <w:jc w:val="both"/>
              <w:rPr>
                <w:rFonts w:ascii="Book Antiqua" w:hAnsi="Book Antiqua"/>
              </w:rPr>
            </w:pPr>
            <w:r w:rsidRPr="001F3737">
              <w:rPr>
                <w:rFonts w:ascii="Book Antiqua" w:hAnsi="Book Antiqua" w:cs="Calibri"/>
                <w:color w:val="000000"/>
              </w:rPr>
              <w:t>302 (41.9</w:t>
            </w:r>
            <w:r w:rsidR="00C238BA" w:rsidRPr="001F3737">
              <w:rPr>
                <w:rFonts w:ascii="Book Antiqua" w:hAnsi="Book Antiqua" w:cs="Calibri"/>
                <w:color w:val="000000"/>
              </w:rPr>
              <w:t>)</w:t>
            </w:r>
          </w:p>
        </w:tc>
        <w:tc>
          <w:tcPr>
            <w:tcW w:w="2026" w:type="dxa"/>
            <w:tcBorders>
              <w:top w:val="nil"/>
              <w:left w:val="nil"/>
              <w:bottom w:val="nil"/>
              <w:right w:val="nil"/>
            </w:tcBorders>
            <w:noWrap/>
            <w:vAlign w:val="bottom"/>
            <w:hideMark/>
          </w:tcPr>
          <w:p w14:paraId="35AC19CE"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cs="Calibri"/>
                <w:color w:val="000000"/>
              </w:rPr>
              <w:t>0.013</w:t>
            </w:r>
          </w:p>
        </w:tc>
      </w:tr>
      <w:tr w:rsidR="00C238BA" w:rsidRPr="001F3737" w14:paraId="4A9AC48E" w14:textId="77777777" w:rsidTr="00780CEC">
        <w:trPr>
          <w:trHeight w:val="288"/>
        </w:trPr>
        <w:tc>
          <w:tcPr>
            <w:tcW w:w="3583" w:type="dxa"/>
            <w:tcBorders>
              <w:top w:val="nil"/>
              <w:left w:val="nil"/>
              <w:bottom w:val="nil"/>
              <w:right w:val="nil"/>
            </w:tcBorders>
            <w:noWrap/>
            <w:vAlign w:val="bottom"/>
            <w:hideMark/>
          </w:tcPr>
          <w:p w14:paraId="500A21BC" w14:textId="77777777" w:rsidR="00C238BA" w:rsidRPr="001F3737" w:rsidRDefault="00C238BA" w:rsidP="001F3737">
            <w:pPr>
              <w:spacing w:line="360" w:lineRule="auto"/>
              <w:ind w:left="357"/>
              <w:jc w:val="both"/>
              <w:rPr>
                <w:rFonts w:ascii="Book Antiqua" w:hAnsi="Book Antiqua"/>
              </w:rPr>
            </w:pPr>
            <w:r w:rsidRPr="001F3737">
              <w:rPr>
                <w:rFonts w:ascii="Book Antiqua" w:hAnsi="Book Antiqua"/>
              </w:rPr>
              <w:t>Minor deviation</w:t>
            </w:r>
          </w:p>
        </w:tc>
        <w:tc>
          <w:tcPr>
            <w:tcW w:w="2810" w:type="dxa"/>
            <w:tcBorders>
              <w:top w:val="nil"/>
              <w:left w:val="nil"/>
              <w:bottom w:val="nil"/>
              <w:right w:val="nil"/>
            </w:tcBorders>
            <w:noWrap/>
            <w:vAlign w:val="bottom"/>
            <w:hideMark/>
          </w:tcPr>
          <w:p w14:paraId="2FBD1558" w14:textId="35E5673E" w:rsidR="00C238BA" w:rsidRPr="001F3737" w:rsidRDefault="0015098C" w:rsidP="001F3737">
            <w:pPr>
              <w:tabs>
                <w:tab w:val="decimal" w:pos="1114"/>
              </w:tabs>
              <w:spacing w:line="360" w:lineRule="auto"/>
              <w:jc w:val="both"/>
              <w:rPr>
                <w:rFonts w:ascii="Book Antiqua" w:hAnsi="Book Antiqua"/>
              </w:rPr>
            </w:pPr>
            <w:r w:rsidRPr="001F3737">
              <w:rPr>
                <w:rFonts w:ascii="Book Antiqua" w:hAnsi="Book Antiqua" w:cs="Calibri"/>
                <w:color w:val="000000"/>
              </w:rPr>
              <w:t>30 (20.8</w:t>
            </w:r>
            <w:r w:rsidR="00C238BA" w:rsidRPr="001F3737">
              <w:rPr>
                <w:rFonts w:ascii="Book Antiqua" w:hAnsi="Book Antiqua" w:cs="Calibri"/>
                <w:color w:val="000000"/>
              </w:rPr>
              <w:t>)</w:t>
            </w:r>
          </w:p>
        </w:tc>
        <w:tc>
          <w:tcPr>
            <w:tcW w:w="2746" w:type="dxa"/>
            <w:tcBorders>
              <w:top w:val="nil"/>
              <w:left w:val="nil"/>
              <w:bottom w:val="nil"/>
              <w:right w:val="nil"/>
            </w:tcBorders>
            <w:noWrap/>
            <w:vAlign w:val="bottom"/>
            <w:hideMark/>
          </w:tcPr>
          <w:p w14:paraId="03E8A7F7" w14:textId="33B6D1CC" w:rsidR="00C238BA" w:rsidRPr="001F3737" w:rsidRDefault="0015098C" w:rsidP="001F3737">
            <w:pPr>
              <w:tabs>
                <w:tab w:val="decimal" w:pos="1050"/>
              </w:tabs>
              <w:spacing w:line="360" w:lineRule="auto"/>
              <w:jc w:val="both"/>
              <w:rPr>
                <w:rFonts w:ascii="Book Antiqua" w:hAnsi="Book Antiqua"/>
              </w:rPr>
            </w:pPr>
            <w:r w:rsidRPr="001F3737">
              <w:rPr>
                <w:rFonts w:ascii="Book Antiqua" w:hAnsi="Book Antiqua" w:cs="Calibri"/>
                <w:color w:val="000000"/>
              </w:rPr>
              <w:t>187 (26.0</w:t>
            </w:r>
            <w:r w:rsidR="00C238BA" w:rsidRPr="001F3737">
              <w:rPr>
                <w:rFonts w:ascii="Book Antiqua" w:hAnsi="Book Antiqua" w:cs="Calibri"/>
                <w:color w:val="000000"/>
              </w:rPr>
              <w:t>)</w:t>
            </w:r>
          </w:p>
        </w:tc>
        <w:tc>
          <w:tcPr>
            <w:tcW w:w="2026" w:type="dxa"/>
            <w:tcBorders>
              <w:top w:val="nil"/>
              <w:left w:val="nil"/>
              <w:bottom w:val="nil"/>
              <w:right w:val="nil"/>
            </w:tcBorders>
            <w:noWrap/>
            <w:vAlign w:val="bottom"/>
            <w:hideMark/>
          </w:tcPr>
          <w:p w14:paraId="0F805DCA"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cs="Calibri"/>
                <w:color w:val="000000"/>
              </w:rPr>
              <w:t>0.208</w:t>
            </w:r>
          </w:p>
        </w:tc>
      </w:tr>
      <w:tr w:rsidR="00C238BA" w:rsidRPr="001F3737" w14:paraId="62E8664E" w14:textId="77777777" w:rsidTr="00780CEC">
        <w:trPr>
          <w:trHeight w:val="288"/>
        </w:trPr>
        <w:tc>
          <w:tcPr>
            <w:tcW w:w="3583" w:type="dxa"/>
            <w:tcBorders>
              <w:top w:val="nil"/>
              <w:left w:val="nil"/>
              <w:bottom w:val="nil"/>
              <w:right w:val="nil"/>
            </w:tcBorders>
            <w:noWrap/>
            <w:vAlign w:val="bottom"/>
            <w:hideMark/>
          </w:tcPr>
          <w:p w14:paraId="2E7361F0" w14:textId="77777777" w:rsidR="00C238BA" w:rsidRPr="001F3737" w:rsidRDefault="00C238BA" w:rsidP="001F3737">
            <w:pPr>
              <w:spacing w:line="360" w:lineRule="auto"/>
              <w:ind w:left="357"/>
              <w:jc w:val="both"/>
              <w:rPr>
                <w:rFonts w:ascii="Book Antiqua" w:hAnsi="Book Antiqua"/>
              </w:rPr>
            </w:pPr>
            <w:r w:rsidRPr="001F3737">
              <w:rPr>
                <w:rFonts w:ascii="Book Antiqua" w:hAnsi="Book Antiqua"/>
              </w:rPr>
              <w:t>Moderate deviation</w:t>
            </w:r>
          </w:p>
        </w:tc>
        <w:tc>
          <w:tcPr>
            <w:tcW w:w="2810" w:type="dxa"/>
            <w:tcBorders>
              <w:top w:val="nil"/>
              <w:left w:val="nil"/>
              <w:bottom w:val="nil"/>
              <w:right w:val="nil"/>
            </w:tcBorders>
            <w:noWrap/>
            <w:vAlign w:val="bottom"/>
            <w:hideMark/>
          </w:tcPr>
          <w:p w14:paraId="1B8112AD" w14:textId="3FE95403" w:rsidR="00C238BA" w:rsidRPr="001F3737" w:rsidRDefault="0015098C" w:rsidP="001F3737">
            <w:pPr>
              <w:tabs>
                <w:tab w:val="decimal" w:pos="1114"/>
              </w:tabs>
              <w:spacing w:line="360" w:lineRule="auto"/>
              <w:jc w:val="both"/>
              <w:rPr>
                <w:rFonts w:ascii="Book Antiqua" w:hAnsi="Book Antiqua"/>
              </w:rPr>
            </w:pPr>
            <w:r w:rsidRPr="001F3737">
              <w:rPr>
                <w:rFonts w:ascii="Book Antiqua" w:hAnsi="Book Antiqua" w:cs="Calibri"/>
                <w:color w:val="000000"/>
              </w:rPr>
              <w:t>28 (19.4</w:t>
            </w:r>
            <w:r w:rsidR="00C238BA" w:rsidRPr="001F3737">
              <w:rPr>
                <w:rFonts w:ascii="Book Antiqua" w:hAnsi="Book Antiqua" w:cs="Calibri"/>
                <w:color w:val="000000"/>
              </w:rPr>
              <w:t>)</w:t>
            </w:r>
          </w:p>
        </w:tc>
        <w:tc>
          <w:tcPr>
            <w:tcW w:w="2746" w:type="dxa"/>
            <w:tcBorders>
              <w:top w:val="nil"/>
              <w:left w:val="nil"/>
              <w:bottom w:val="nil"/>
              <w:right w:val="nil"/>
            </w:tcBorders>
            <w:noWrap/>
            <w:vAlign w:val="bottom"/>
            <w:hideMark/>
          </w:tcPr>
          <w:p w14:paraId="41B62C32" w14:textId="6EA1A915" w:rsidR="00C238BA" w:rsidRPr="001F3737" w:rsidRDefault="0015098C" w:rsidP="001F3737">
            <w:pPr>
              <w:tabs>
                <w:tab w:val="decimal" w:pos="1050"/>
              </w:tabs>
              <w:spacing w:line="360" w:lineRule="auto"/>
              <w:jc w:val="both"/>
              <w:rPr>
                <w:rFonts w:ascii="Book Antiqua" w:hAnsi="Book Antiqua"/>
              </w:rPr>
            </w:pPr>
            <w:r w:rsidRPr="001F3737">
              <w:rPr>
                <w:rFonts w:ascii="Book Antiqua" w:hAnsi="Book Antiqua" w:cs="Calibri"/>
                <w:color w:val="000000"/>
              </w:rPr>
              <w:t>150 (20.8</w:t>
            </w:r>
            <w:r w:rsidR="00C238BA" w:rsidRPr="001F3737">
              <w:rPr>
                <w:rFonts w:ascii="Book Antiqua" w:hAnsi="Book Antiqua" w:cs="Calibri"/>
                <w:color w:val="000000"/>
              </w:rPr>
              <w:t>)</w:t>
            </w:r>
          </w:p>
        </w:tc>
        <w:tc>
          <w:tcPr>
            <w:tcW w:w="2026" w:type="dxa"/>
            <w:tcBorders>
              <w:top w:val="nil"/>
              <w:left w:val="nil"/>
              <w:bottom w:val="nil"/>
              <w:right w:val="nil"/>
            </w:tcBorders>
            <w:noWrap/>
            <w:vAlign w:val="bottom"/>
            <w:hideMark/>
          </w:tcPr>
          <w:p w14:paraId="04CA6098"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cs="Calibri"/>
                <w:color w:val="000000"/>
              </w:rPr>
              <w:t>0.821</w:t>
            </w:r>
          </w:p>
        </w:tc>
      </w:tr>
      <w:tr w:rsidR="00C238BA" w:rsidRPr="001F3737" w14:paraId="3DFC062A" w14:textId="77777777" w:rsidTr="00780CEC">
        <w:trPr>
          <w:trHeight w:val="288"/>
        </w:trPr>
        <w:tc>
          <w:tcPr>
            <w:tcW w:w="3583" w:type="dxa"/>
            <w:tcBorders>
              <w:top w:val="nil"/>
              <w:left w:val="nil"/>
              <w:bottom w:val="nil"/>
              <w:right w:val="nil"/>
            </w:tcBorders>
            <w:noWrap/>
            <w:vAlign w:val="bottom"/>
            <w:hideMark/>
          </w:tcPr>
          <w:p w14:paraId="08A9BC4B" w14:textId="77777777" w:rsidR="00C238BA" w:rsidRPr="001F3737" w:rsidRDefault="00C238BA" w:rsidP="001F3737">
            <w:pPr>
              <w:spacing w:line="360" w:lineRule="auto"/>
              <w:ind w:left="357"/>
              <w:jc w:val="both"/>
              <w:rPr>
                <w:rFonts w:ascii="Book Antiqua" w:hAnsi="Book Antiqua"/>
              </w:rPr>
            </w:pPr>
            <w:r w:rsidRPr="001F3737">
              <w:rPr>
                <w:rFonts w:ascii="Book Antiqua" w:hAnsi="Book Antiqua"/>
              </w:rPr>
              <w:t>Major deviation</w:t>
            </w:r>
          </w:p>
        </w:tc>
        <w:tc>
          <w:tcPr>
            <w:tcW w:w="2810" w:type="dxa"/>
            <w:tcBorders>
              <w:top w:val="nil"/>
              <w:left w:val="nil"/>
              <w:bottom w:val="nil"/>
              <w:right w:val="nil"/>
            </w:tcBorders>
            <w:noWrap/>
            <w:vAlign w:val="bottom"/>
            <w:hideMark/>
          </w:tcPr>
          <w:p w14:paraId="72A949AF" w14:textId="06A93EF2" w:rsidR="00C238BA" w:rsidRPr="001F3737" w:rsidRDefault="0015098C" w:rsidP="001F3737">
            <w:pPr>
              <w:tabs>
                <w:tab w:val="decimal" w:pos="1114"/>
              </w:tabs>
              <w:spacing w:line="360" w:lineRule="auto"/>
              <w:jc w:val="both"/>
              <w:rPr>
                <w:rFonts w:ascii="Book Antiqua" w:hAnsi="Book Antiqua"/>
              </w:rPr>
            </w:pPr>
            <w:r w:rsidRPr="001F3737">
              <w:rPr>
                <w:rFonts w:ascii="Book Antiqua" w:hAnsi="Book Antiqua" w:cs="Calibri"/>
                <w:color w:val="000000"/>
              </w:rPr>
              <w:t>9 (6.3</w:t>
            </w:r>
            <w:r w:rsidR="00C238BA" w:rsidRPr="001F3737">
              <w:rPr>
                <w:rFonts w:ascii="Book Antiqua" w:hAnsi="Book Antiqua" w:cs="Calibri"/>
                <w:color w:val="000000"/>
              </w:rPr>
              <w:t>)</w:t>
            </w:r>
          </w:p>
        </w:tc>
        <w:tc>
          <w:tcPr>
            <w:tcW w:w="2746" w:type="dxa"/>
            <w:tcBorders>
              <w:top w:val="nil"/>
              <w:left w:val="nil"/>
              <w:bottom w:val="nil"/>
              <w:right w:val="nil"/>
            </w:tcBorders>
            <w:noWrap/>
            <w:vAlign w:val="bottom"/>
            <w:hideMark/>
          </w:tcPr>
          <w:p w14:paraId="637CA081" w14:textId="23072175" w:rsidR="00C238BA" w:rsidRPr="001F3737" w:rsidRDefault="0015098C" w:rsidP="001F3737">
            <w:pPr>
              <w:tabs>
                <w:tab w:val="decimal" w:pos="1050"/>
              </w:tabs>
              <w:spacing w:line="360" w:lineRule="auto"/>
              <w:jc w:val="both"/>
              <w:rPr>
                <w:rFonts w:ascii="Book Antiqua" w:hAnsi="Book Antiqua"/>
              </w:rPr>
            </w:pPr>
            <w:r w:rsidRPr="001F3737">
              <w:rPr>
                <w:rFonts w:ascii="Book Antiqua" w:hAnsi="Book Antiqua" w:cs="Calibri"/>
                <w:color w:val="000000"/>
              </w:rPr>
              <w:t>81 (11.3</w:t>
            </w:r>
            <w:r w:rsidR="00C238BA" w:rsidRPr="001F3737">
              <w:rPr>
                <w:rFonts w:ascii="Book Antiqua" w:hAnsi="Book Antiqua" w:cs="Calibri"/>
                <w:color w:val="000000"/>
              </w:rPr>
              <w:t>)</w:t>
            </w:r>
          </w:p>
        </w:tc>
        <w:tc>
          <w:tcPr>
            <w:tcW w:w="2026" w:type="dxa"/>
            <w:tcBorders>
              <w:top w:val="nil"/>
              <w:left w:val="nil"/>
              <w:bottom w:val="nil"/>
              <w:right w:val="nil"/>
            </w:tcBorders>
            <w:noWrap/>
            <w:vAlign w:val="bottom"/>
            <w:hideMark/>
          </w:tcPr>
          <w:p w14:paraId="3F265E4A"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cs="Calibri"/>
                <w:color w:val="000000"/>
              </w:rPr>
              <w:t>0.074</w:t>
            </w:r>
          </w:p>
        </w:tc>
      </w:tr>
      <w:tr w:rsidR="00C238BA" w:rsidRPr="001F3737" w14:paraId="4AE5F7D2" w14:textId="77777777" w:rsidTr="00780CEC">
        <w:trPr>
          <w:trHeight w:val="360"/>
        </w:trPr>
        <w:tc>
          <w:tcPr>
            <w:tcW w:w="3583" w:type="dxa"/>
            <w:tcBorders>
              <w:top w:val="nil"/>
              <w:left w:val="nil"/>
              <w:bottom w:val="nil"/>
              <w:right w:val="nil"/>
            </w:tcBorders>
            <w:noWrap/>
            <w:vAlign w:val="bottom"/>
            <w:hideMark/>
          </w:tcPr>
          <w:p w14:paraId="08854577" w14:textId="4F8FF81D" w:rsidR="00C238BA" w:rsidRPr="001F3737" w:rsidRDefault="00747195" w:rsidP="001F3737">
            <w:pPr>
              <w:spacing w:line="360" w:lineRule="auto"/>
              <w:jc w:val="both"/>
              <w:rPr>
                <w:rFonts w:ascii="Book Antiqua" w:hAnsi="Book Antiqua"/>
              </w:rPr>
            </w:pPr>
            <w:r w:rsidRPr="001F3737">
              <w:rPr>
                <w:rFonts w:ascii="Book Antiqua" w:hAnsi="Book Antiqua"/>
              </w:rPr>
              <w:t xml:space="preserve">mean </w:t>
            </w:r>
            <w:r w:rsidR="00C238BA" w:rsidRPr="001F3737">
              <w:rPr>
                <w:rFonts w:ascii="Book Antiqua" w:hAnsi="Book Antiqua"/>
              </w:rPr>
              <w:t>(SD) total hospital cost</w:t>
            </w:r>
          </w:p>
        </w:tc>
        <w:tc>
          <w:tcPr>
            <w:tcW w:w="2810" w:type="dxa"/>
            <w:tcBorders>
              <w:top w:val="nil"/>
              <w:left w:val="nil"/>
              <w:bottom w:val="nil"/>
              <w:right w:val="nil"/>
            </w:tcBorders>
            <w:noWrap/>
            <w:vAlign w:val="bottom"/>
            <w:hideMark/>
          </w:tcPr>
          <w:p w14:paraId="7BC68F4A" w14:textId="77777777" w:rsidR="00C238BA" w:rsidRPr="001F3737" w:rsidRDefault="00C238BA" w:rsidP="001F3737">
            <w:pPr>
              <w:tabs>
                <w:tab w:val="decimal" w:pos="1114"/>
              </w:tabs>
              <w:spacing w:line="360" w:lineRule="auto"/>
              <w:jc w:val="both"/>
              <w:rPr>
                <w:rFonts w:ascii="Book Antiqua" w:hAnsi="Book Antiqua"/>
              </w:rPr>
            </w:pPr>
          </w:p>
        </w:tc>
        <w:tc>
          <w:tcPr>
            <w:tcW w:w="2746" w:type="dxa"/>
            <w:tcBorders>
              <w:top w:val="nil"/>
              <w:left w:val="nil"/>
              <w:bottom w:val="nil"/>
              <w:right w:val="nil"/>
            </w:tcBorders>
            <w:noWrap/>
            <w:vAlign w:val="bottom"/>
            <w:hideMark/>
          </w:tcPr>
          <w:p w14:paraId="0B73F868" w14:textId="77777777" w:rsidR="00C238BA" w:rsidRPr="001F3737" w:rsidRDefault="00C238BA" w:rsidP="001F3737">
            <w:pPr>
              <w:tabs>
                <w:tab w:val="decimal" w:pos="1050"/>
              </w:tabs>
              <w:spacing w:line="360" w:lineRule="auto"/>
              <w:jc w:val="both"/>
              <w:rPr>
                <w:rFonts w:ascii="Book Antiqua" w:hAnsi="Book Antiqua"/>
              </w:rPr>
            </w:pPr>
          </w:p>
        </w:tc>
        <w:tc>
          <w:tcPr>
            <w:tcW w:w="2026" w:type="dxa"/>
            <w:tcBorders>
              <w:top w:val="nil"/>
              <w:left w:val="nil"/>
              <w:bottom w:val="nil"/>
              <w:right w:val="nil"/>
            </w:tcBorders>
            <w:noWrap/>
            <w:vAlign w:val="bottom"/>
            <w:hideMark/>
          </w:tcPr>
          <w:p w14:paraId="7B0D5E42" w14:textId="77777777" w:rsidR="00C238BA" w:rsidRPr="001F3737" w:rsidRDefault="00C238BA" w:rsidP="001F3737">
            <w:pPr>
              <w:tabs>
                <w:tab w:val="decimal" w:pos="221"/>
              </w:tabs>
              <w:spacing w:line="360" w:lineRule="auto"/>
              <w:jc w:val="both"/>
              <w:rPr>
                <w:rFonts w:ascii="Book Antiqua" w:hAnsi="Book Antiqua"/>
              </w:rPr>
            </w:pPr>
          </w:p>
        </w:tc>
      </w:tr>
      <w:tr w:rsidR="00C238BA" w:rsidRPr="001F3737" w14:paraId="5D0483E7" w14:textId="77777777" w:rsidTr="00780CEC">
        <w:trPr>
          <w:trHeight w:val="288"/>
        </w:trPr>
        <w:tc>
          <w:tcPr>
            <w:tcW w:w="3583" w:type="dxa"/>
            <w:tcBorders>
              <w:top w:val="nil"/>
              <w:left w:val="nil"/>
              <w:bottom w:val="nil"/>
              <w:right w:val="nil"/>
            </w:tcBorders>
            <w:noWrap/>
            <w:vAlign w:val="bottom"/>
            <w:hideMark/>
          </w:tcPr>
          <w:p w14:paraId="73611837" w14:textId="77777777" w:rsidR="00C238BA" w:rsidRPr="001F3737" w:rsidRDefault="00C238BA" w:rsidP="001F3737">
            <w:pPr>
              <w:spacing w:line="360" w:lineRule="auto"/>
              <w:ind w:left="357"/>
              <w:jc w:val="both"/>
              <w:rPr>
                <w:rFonts w:ascii="Book Antiqua" w:hAnsi="Book Antiqua"/>
              </w:rPr>
            </w:pPr>
            <w:r w:rsidRPr="001F3737">
              <w:rPr>
                <w:rFonts w:ascii="Book Antiqua" w:hAnsi="Book Antiqua"/>
              </w:rPr>
              <w:t xml:space="preserve">On Course </w:t>
            </w:r>
          </w:p>
        </w:tc>
        <w:tc>
          <w:tcPr>
            <w:tcW w:w="2810" w:type="dxa"/>
            <w:tcBorders>
              <w:top w:val="nil"/>
              <w:left w:val="nil"/>
              <w:bottom w:val="nil"/>
              <w:right w:val="nil"/>
            </w:tcBorders>
            <w:noWrap/>
            <w:vAlign w:val="bottom"/>
            <w:hideMark/>
          </w:tcPr>
          <w:p w14:paraId="6EEAE984" w14:textId="27CD4A7B" w:rsidR="00C238BA" w:rsidRPr="001F3737" w:rsidRDefault="0015098C" w:rsidP="001F3737">
            <w:pPr>
              <w:tabs>
                <w:tab w:val="decimal" w:pos="1114"/>
              </w:tabs>
              <w:spacing w:line="360" w:lineRule="auto"/>
              <w:jc w:val="both"/>
              <w:rPr>
                <w:rFonts w:ascii="Book Antiqua" w:hAnsi="Book Antiqua"/>
              </w:rPr>
            </w:pPr>
            <w:r w:rsidRPr="001F3737">
              <w:rPr>
                <w:rFonts w:ascii="Book Antiqua" w:hAnsi="Book Antiqua" w:cs="Calibri"/>
                <w:color w:val="000000"/>
              </w:rPr>
              <w:t>3219 (2</w:t>
            </w:r>
            <w:r w:rsidR="00C238BA" w:rsidRPr="001F3737">
              <w:rPr>
                <w:rFonts w:ascii="Book Antiqua" w:hAnsi="Book Antiqua" w:cs="Calibri"/>
                <w:color w:val="000000"/>
              </w:rPr>
              <w:t>781)</w:t>
            </w:r>
          </w:p>
        </w:tc>
        <w:tc>
          <w:tcPr>
            <w:tcW w:w="2746" w:type="dxa"/>
            <w:tcBorders>
              <w:top w:val="nil"/>
              <w:left w:val="nil"/>
              <w:bottom w:val="nil"/>
              <w:right w:val="nil"/>
            </w:tcBorders>
            <w:noWrap/>
            <w:vAlign w:val="bottom"/>
            <w:hideMark/>
          </w:tcPr>
          <w:p w14:paraId="450D70C1" w14:textId="4765EC61" w:rsidR="00C238BA" w:rsidRPr="001F3737" w:rsidRDefault="0015098C" w:rsidP="001F3737">
            <w:pPr>
              <w:tabs>
                <w:tab w:val="decimal" w:pos="1050"/>
              </w:tabs>
              <w:spacing w:line="360" w:lineRule="auto"/>
              <w:jc w:val="both"/>
              <w:rPr>
                <w:rFonts w:ascii="Book Antiqua" w:hAnsi="Book Antiqua"/>
              </w:rPr>
            </w:pPr>
            <w:r w:rsidRPr="001F3737">
              <w:rPr>
                <w:rFonts w:ascii="Book Antiqua" w:hAnsi="Book Antiqua" w:cs="Calibri"/>
                <w:color w:val="000000"/>
              </w:rPr>
              <w:t>3312 (3</w:t>
            </w:r>
            <w:r w:rsidR="00C238BA" w:rsidRPr="001F3737">
              <w:rPr>
                <w:rFonts w:ascii="Book Antiqua" w:hAnsi="Book Antiqua" w:cs="Calibri"/>
                <w:color w:val="000000"/>
              </w:rPr>
              <w:t>092)</w:t>
            </w:r>
          </w:p>
        </w:tc>
        <w:tc>
          <w:tcPr>
            <w:tcW w:w="2026" w:type="dxa"/>
            <w:tcBorders>
              <w:top w:val="nil"/>
              <w:left w:val="nil"/>
              <w:bottom w:val="nil"/>
              <w:right w:val="nil"/>
            </w:tcBorders>
            <w:noWrap/>
            <w:vAlign w:val="bottom"/>
            <w:hideMark/>
          </w:tcPr>
          <w:p w14:paraId="2FAB6312"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cs="Calibri"/>
                <w:color w:val="000000"/>
              </w:rPr>
              <w:t>0.405</w:t>
            </w:r>
          </w:p>
        </w:tc>
      </w:tr>
      <w:tr w:rsidR="00C238BA" w:rsidRPr="001F3737" w14:paraId="32BEA627" w14:textId="77777777" w:rsidTr="00780CEC">
        <w:trPr>
          <w:trHeight w:val="288"/>
        </w:trPr>
        <w:tc>
          <w:tcPr>
            <w:tcW w:w="3583" w:type="dxa"/>
            <w:tcBorders>
              <w:top w:val="nil"/>
              <w:left w:val="nil"/>
              <w:bottom w:val="nil"/>
              <w:right w:val="nil"/>
            </w:tcBorders>
            <w:noWrap/>
            <w:vAlign w:val="bottom"/>
            <w:hideMark/>
          </w:tcPr>
          <w:p w14:paraId="11451102" w14:textId="77777777" w:rsidR="00C238BA" w:rsidRPr="001F3737" w:rsidRDefault="00C238BA" w:rsidP="001F3737">
            <w:pPr>
              <w:spacing w:line="360" w:lineRule="auto"/>
              <w:ind w:left="357"/>
              <w:jc w:val="both"/>
              <w:rPr>
                <w:rFonts w:ascii="Book Antiqua" w:hAnsi="Book Antiqua"/>
              </w:rPr>
            </w:pPr>
            <w:r w:rsidRPr="001F3737">
              <w:rPr>
                <w:rFonts w:ascii="Book Antiqua" w:hAnsi="Book Antiqua"/>
              </w:rPr>
              <w:t>Minor deviation</w:t>
            </w:r>
          </w:p>
        </w:tc>
        <w:tc>
          <w:tcPr>
            <w:tcW w:w="2810" w:type="dxa"/>
            <w:tcBorders>
              <w:top w:val="nil"/>
              <w:left w:val="nil"/>
              <w:bottom w:val="nil"/>
              <w:right w:val="nil"/>
            </w:tcBorders>
            <w:noWrap/>
            <w:vAlign w:val="bottom"/>
            <w:hideMark/>
          </w:tcPr>
          <w:p w14:paraId="21AA3645" w14:textId="7411BDBB" w:rsidR="00C238BA" w:rsidRPr="001F3737" w:rsidRDefault="0015098C" w:rsidP="001F3737">
            <w:pPr>
              <w:tabs>
                <w:tab w:val="decimal" w:pos="1114"/>
              </w:tabs>
              <w:spacing w:line="360" w:lineRule="auto"/>
              <w:jc w:val="both"/>
              <w:rPr>
                <w:rFonts w:ascii="Book Antiqua" w:hAnsi="Book Antiqua"/>
              </w:rPr>
            </w:pPr>
            <w:r w:rsidRPr="001F3737">
              <w:rPr>
                <w:rFonts w:ascii="Book Antiqua" w:hAnsi="Book Antiqua" w:cs="Calibri"/>
                <w:color w:val="000000"/>
              </w:rPr>
              <w:t>5340 (4</w:t>
            </w:r>
            <w:r w:rsidR="00C238BA" w:rsidRPr="001F3737">
              <w:rPr>
                <w:rFonts w:ascii="Book Antiqua" w:hAnsi="Book Antiqua" w:cs="Calibri"/>
                <w:color w:val="000000"/>
              </w:rPr>
              <w:t>013)</w:t>
            </w:r>
          </w:p>
        </w:tc>
        <w:tc>
          <w:tcPr>
            <w:tcW w:w="2746" w:type="dxa"/>
            <w:tcBorders>
              <w:top w:val="nil"/>
              <w:left w:val="nil"/>
              <w:bottom w:val="nil"/>
              <w:right w:val="nil"/>
            </w:tcBorders>
            <w:noWrap/>
            <w:vAlign w:val="bottom"/>
            <w:hideMark/>
          </w:tcPr>
          <w:p w14:paraId="19F0C5EB" w14:textId="59683416" w:rsidR="00C238BA" w:rsidRPr="001F3737" w:rsidRDefault="0015098C" w:rsidP="001F3737">
            <w:pPr>
              <w:tabs>
                <w:tab w:val="decimal" w:pos="1050"/>
              </w:tabs>
              <w:spacing w:line="360" w:lineRule="auto"/>
              <w:jc w:val="both"/>
              <w:rPr>
                <w:rFonts w:ascii="Book Antiqua" w:hAnsi="Book Antiqua"/>
              </w:rPr>
            </w:pPr>
            <w:r w:rsidRPr="001F3737">
              <w:rPr>
                <w:rFonts w:ascii="Book Antiqua" w:hAnsi="Book Antiqua" w:cs="Calibri"/>
                <w:color w:val="000000"/>
              </w:rPr>
              <w:t>4303 (3</w:t>
            </w:r>
            <w:r w:rsidR="00C238BA" w:rsidRPr="001F3737">
              <w:rPr>
                <w:rFonts w:ascii="Book Antiqua" w:hAnsi="Book Antiqua" w:cs="Calibri"/>
                <w:color w:val="000000"/>
              </w:rPr>
              <w:t>828)</w:t>
            </w:r>
          </w:p>
        </w:tc>
        <w:tc>
          <w:tcPr>
            <w:tcW w:w="2026" w:type="dxa"/>
            <w:tcBorders>
              <w:top w:val="nil"/>
              <w:left w:val="nil"/>
              <w:bottom w:val="nil"/>
              <w:right w:val="nil"/>
            </w:tcBorders>
            <w:noWrap/>
            <w:vAlign w:val="bottom"/>
            <w:hideMark/>
          </w:tcPr>
          <w:p w14:paraId="44E57B79"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cs="Calibri"/>
                <w:color w:val="000000"/>
              </w:rPr>
              <w:t>0.156</w:t>
            </w:r>
          </w:p>
        </w:tc>
      </w:tr>
      <w:tr w:rsidR="00C238BA" w:rsidRPr="001F3737" w14:paraId="3731AFAA" w14:textId="77777777" w:rsidTr="00780CEC">
        <w:trPr>
          <w:trHeight w:val="288"/>
        </w:trPr>
        <w:tc>
          <w:tcPr>
            <w:tcW w:w="3583" w:type="dxa"/>
            <w:tcBorders>
              <w:top w:val="nil"/>
              <w:left w:val="nil"/>
              <w:bottom w:val="nil"/>
              <w:right w:val="nil"/>
            </w:tcBorders>
            <w:noWrap/>
            <w:vAlign w:val="bottom"/>
            <w:hideMark/>
          </w:tcPr>
          <w:p w14:paraId="56F8EDCC" w14:textId="77777777" w:rsidR="00C238BA" w:rsidRPr="001F3737" w:rsidRDefault="00C238BA" w:rsidP="001F3737">
            <w:pPr>
              <w:spacing w:line="360" w:lineRule="auto"/>
              <w:ind w:left="357"/>
              <w:jc w:val="both"/>
              <w:rPr>
                <w:rFonts w:ascii="Book Antiqua" w:hAnsi="Book Antiqua"/>
              </w:rPr>
            </w:pPr>
            <w:r w:rsidRPr="001F3737">
              <w:rPr>
                <w:rFonts w:ascii="Book Antiqua" w:hAnsi="Book Antiqua"/>
              </w:rPr>
              <w:t>Moderate deviation</w:t>
            </w:r>
          </w:p>
        </w:tc>
        <w:tc>
          <w:tcPr>
            <w:tcW w:w="2810" w:type="dxa"/>
            <w:tcBorders>
              <w:top w:val="nil"/>
              <w:left w:val="nil"/>
              <w:bottom w:val="nil"/>
              <w:right w:val="nil"/>
            </w:tcBorders>
            <w:noWrap/>
            <w:vAlign w:val="bottom"/>
            <w:hideMark/>
          </w:tcPr>
          <w:p w14:paraId="26C79DD4" w14:textId="4B6BDC8B" w:rsidR="00C238BA" w:rsidRPr="001F3737" w:rsidRDefault="0015098C" w:rsidP="001F3737">
            <w:pPr>
              <w:tabs>
                <w:tab w:val="decimal" w:pos="1114"/>
              </w:tabs>
              <w:spacing w:line="360" w:lineRule="auto"/>
              <w:jc w:val="both"/>
              <w:rPr>
                <w:rFonts w:ascii="Book Antiqua" w:hAnsi="Book Antiqua"/>
              </w:rPr>
            </w:pPr>
            <w:r w:rsidRPr="001F3737">
              <w:rPr>
                <w:rFonts w:ascii="Book Antiqua" w:hAnsi="Book Antiqua" w:cs="Calibri"/>
                <w:color w:val="000000"/>
              </w:rPr>
              <w:t>5968 (4</w:t>
            </w:r>
            <w:r w:rsidR="00C238BA" w:rsidRPr="001F3737">
              <w:rPr>
                <w:rFonts w:ascii="Book Antiqua" w:hAnsi="Book Antiqua" w:cs="Calibri"/>
                <w:color w:val="000000"/>
              </w:rPr>
              <w:t>526)</w:t>
            </w:r>
          </w:p>
        </w:tc>
        <w:tc>
          <w:tcPr>
            <w:tcW w:w="2746" w:type="dxa"/>
            <w:tcBorders>
              <w:top w:val="nil"/>
              <w:left w:val="nil"/>
              <w:bottom w:val="nil"/>
              <w:right w:val="nil"/>
            </w:tcBorders>
            <w:noWrap/>
            <w:vAlign w:val="bottom"/>
            <w:hideMark/>
          </w:tcPr>
          <w:p w14:paraId="52FE8503" w14:textId="18BC1E19" w:rsidR="00C238BA" w:rsidRPr="001F3737" w:rsidRDefault="0015098C" w:rsidP="001F3737">
            <w:pPr>
              <w:tabs>
                <w:tab w:val="decimal" w:pos="1050"/>
              </w:tabs>
              <w:spacing w:line="360" w:lineRule="auto"/>
              <w:jc w:val="both"/>
              <w:rPr>
                <w:rFonts w:ascii="Book Antiqua" w:hAnsi="Book Antiqua"/>
              </w:rPr>
            </w:pPr>
            <w:r w:rsidRPr="001F3737">
              <w:rPr>
                <w:rFonts w:ascii="Book Antiqua" w:hAnsi="Book Antiqua" w:cs="Calibri"/>
                <w:color w:val="000000"/>
              </w:rPr>
              <w:t>5</w:t>
            </w:r>
            <w:r w:rsidR="00C238BA" w:rsidRPr="001F3737">
              <w:rPr>
                <w:rFonts w:ascii="Book Antiqua" w:hAnsi="Book Antiqua" w:cs="Calibri"/>
                <w:color w:val="000000"/>
              </w:rPr>
              <w:t>7</w:t>
            </w:r>
            <w:r w:rsidRPr="001F3737">
              <w:rPr>
                <w:rFonts w:ascii="Book Antiqua" w:hAnsi="Book Antiqua" w:cs="Calibri"/>
                <w:color w:val="000000"/>
              </w:rPr>
              <w:t>28 (5</w:t>
            </w:r>
            <w:r w:rsidR="00C238BA" w:rsidRPr="001F3737">
              <w:rPr>
                <w:rFonts w:ascii="Book Antiqua" w:hAnsi="Book Antiqua" w:cs="Calibri"/>
                <w:color w:val="000000"/>
              </w:rPr>
              <w:t>297)</w:t>
            </w:r>
          </w:p>
        </w:tc>
        <w:tc>
          <w:tcPr>
            <w:tcW w:w="2026" w:type="dxa"/>
            <w:tcBorders>
              <w:top w:val="nil"/>
              <w:left w:val="nil"/>
              <w:bottom w:val="nil"/>
              <w:right w:val="nil"/>
            </w:tcBorders>
            <w:noWrap/>
            <w:vAlign w:val="bottom"/>
            <w:hideMark/>
          </w:tcPr>
          <w:p w14:paraId="0941AA5F"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cs="Calibri"/>
                <w:color w:val="000000"/>
              </w:rPr>
              <w:t>0.500</w:t>
            </w:r>
          </w:p>
        </w:tc>
      </w:tr>
      <w:tr w:rsidR="00C238BA" w:rsidRPr="001F3737" w14:paraId="67A76E20" w14:textId="77777777" w:rsidTr="0015098C">
        <w:trPr>
          <w:trHeight w:val="288"/>
        </w:trPr>
        <w:tc>
          <w:tcPr>
            <w:tcW w:w="3583" w:type="dxa"/>
            <w:tcBorders>
              <w:top w:val="nil"/>
              <w:left w:val="nil"/>
              <w:bottom w:val="single" w:sz="4" w:space="0" w:color="auto"/>
              <w:right w:val="nil"/>
            </w:tcBorders>
            <w:noWrap/>
            <w:vAlign w:val="bottom"/>
            <w:hideMark/>
          </w:tcPr>
          <w:p w14:paraId="082CEC98" w14:textId="77777777" w:rsidR="00C238BA" w:rsidRPr="001F3737" w:rsidRDefault="00C238BA" w:rsidP="001F3737">
            <w:pPr>
              <w:spacing w:line="360" w:lineRule="auto"/>
              <w:ind w:left="357"/>
              <w:jc w:val="both"/>
              <w:rPr>
                <w:rFonts w:ascii="Book Antiqua" w:hAnsi="Book Antiqua"/>
              </w:rPr>
            </w:pPr>
            <w:r w:rsidRPr="001F3737">
              <w:rPr>
                <w:rFonts w:ascii="Book Antiqua" w:hAnsi="Book Antiqua"/>
              </w:rPr>
              <w:t>Major deviation</w:t>
            </w:r>
          </w:p>
        </w:tc>
        <w:tc>
          <w:tcPr>
            <w:tcW w:w="2810" w:type="dxa"/>
            <w:tcBorders>
              <w:top w:val="nil"/>
              <w:left w:val="nil"/>
              <w:bottom w:val="single" w:sz="4" w:space="0" w:color="auto"/>
              <w:right w:val="nil"/>
            </w:tcBorders>
            <w:noWrap/>
            <w:vAlign w:val="bottom"/>
            <w:hideMark/>
          </w:tcPr>
          <w:p w14:paraId="3E7D42E9" w14:textId="102CB0D3" w:rsidR="00C238BA" w:rsidRPr="001F3737" w:rsidRDefault="0015098C" w:rsidP="001F3737">
            <w:pPr>
              <w:tabs>
                <w:tab w:val="decimal" w:pos="1114"/>
              </w:tabs>
              <w:spacing w:line="360" w:lineRule="auto"/>
              <w:jc w:val="both"/>
              <w:rPr>
                <w:rFonts w:ascii="Book Antiqua" w:hAnsi="Book Antiqua"/>
              </w:rPr>
            </w:pPr>
            <w:r w:rsidRPr="001F3737">
              <w:rPr>
                <w:rFonts w:ascii="Book Antiqua" w:hAnsi="Book Antiqua" w:cs="Calibri"/>
                <w:color w:val="000000"/>
              </w:rPr>
              <w:t>5140 (2</w:t>
            </w:r>
            <w:r w:rsidR="00C238BA" w:rsidRPr="001F3737">
              <w:rPr>
                <w:rFonts w:ascii="Book Antiqua" w:hAnsi="Book Antiqua" w:cs="Calibri"/>
                <w:color w:val="000000"/>
              </w:rPr>
              <w:t>928)</w:t>
            </w:r>
          </w:p>
        </w:tc>
        <w:tc>
          <w:tcPr>
            <w:tcW w:w="2746" w:type="dxa"/>
            <w:tcBorders>
              <w:top w:val="nil"/>
              <w:left w:val="nil"/>
              <w:bottom w:val="single" w:sz="4" w:space="0" w:color="auto"/>
              <w:right w:val="nil"/>
            </w:tcBorders>
            <w:noWrap/>
            <w:vAlign w:val="bottom"/>
            <w:hideMark/>
          </w:tcPr>
          <w:p w14:paraId="667CA741" w14:textId="1214C9C9" w:rsidR="00C238BA" w:rsidRPr="001F3737" w:rsidRDefault="0015098C" w:rsidP="001F3737">
            <w:pPr>
              <w:tabs>
                <w:tab w:val="decimal" w:pos="1050"/>
              </w:tabs>
              <w:spacing w:line="360" w:lineRule="auto"/>
              <w:jc w:val="both"/>
              <w:rPr>
                <w:rFonts w:ascii="Book Antiqua" w:hAnsi="Book Antiqua"/>
              </w:rPr>
            </w:pPr>
            <w:r w:rsidRPr="001F3737">
              <w:rPr>
                <w:rFonts w:ascii="Book Antiqua" w:hAnsi="Book Antiqua" w:cs="Calibri"/>
                <w:color w:val="000000"/>
              </w:rPr>
              <w:t>6006 (6</w:t>
            </w:r>
            <w:r w:rsidR="00C238BA" w:rsidRPr="001F3737">
              <w:rPr>
                <w:rFonts w:ascii="Book Antiqua" w:hAnsi="Book Antiqua" w:cs="Calibri"/>
                <w:color w:val="000000"/>
              </w:rPr>
              <w:t>251)</w:t>
            </w:r>
          </w:p>
        </w:tc>
        <w:tc>
          <w:tcPr>
            <w:tcW w:w="2026" w:type="dxa"/>
            <w:tcBorders>
              <w:top w:val="nil"/>
              <w:left w:val="nil"/>
              <w:bottom w:val="single" w:sz="4" w:space="0" w:color="auto"/>
              <w:right w:val="nil"/>
            </w:tcBorders>
            <w:noWrap/>
            <w:vAlign w:val="bottom"/>
            <w:hideMark/>
          </w:tcPr>
          <w:p w14:paraId="572954CF"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cs="Calibri"/>
                <w:color w:val="000000"/>
              </w:rPr>
              <w:t>0.824</w:t>
            </w:r>
          </w:p>
        </w:tc>
      </w:tr>
      <w:tr w:rsidR="00C238BA" w:rsidRPr="001F3737" w14:paraId="75F8AB6A" w14:textId="77777777" w:rsidTr="0015098C">
        <w:trPr>
          <w:trHeight w:val="288"/>
        </w:trPr>
        <w:tc>
          <w:tcPr>
            <w:tcW w:w="3583" w:type="dxa"/>
            <w:tcBorders>
              <w:top w:val="single" w:sz="4" w:space="0" w:color="auto"/>
              <w:left w:val="nil"/>
              <w:bottom w:val="nil"/>
              <w:right w:val="nil"/>
            </w:tcBorders>
            <w:noWrap/>
            <w:vAlign w:val="bottom"/>
            <w:hideMark/>
          </w:tcPr>
          <w:p w14:paraId="1D38B52B" w14:textId="77777777" w:rsidR="00C238BA" w:rsidRPr="001F3737" w:rsidRDefault="00C238BA" w:rsidP="001F3737">
            <w:pPr>
              <w:spacing w:line="360" w:lineRule="auto"/>
              <w:jc w:val="both"/>
              <w:rPr>
                <w:rFonts w:ascii="Book Antiqua" w:hAnsi="Book Antiqua"/>
              </w:rPr>
            </w:pPr>
            <w:r w:rsidRPr="001F3737">
              <w:rPr>
                <w:rFonts w:ascii="Book Antiqua" w:hAnsi="Book Antiqua"/>
              </w:rPr>
              <w:t>WAMC Total Hospitalization Cost</w:t>
            </w:r>
          </w:p>
        </w:tc>
        <w:tc>
          <w:tcPr>
            <w:tcW w:w="2810" w:type="dxa"/>
            <w:tcBorders>
              <w:top w:val="single" w:sz="4" w:space="0" w:color="auto"/>
              <w:left w:val="nil"/>
              <w:right w:val="nil"/>
            </w:tcBorders>
            <w:noWrap/>
            <w:vAlign w:val="bottom"/>
            <w:hideMark/>
          </w:tcPr>
          <w:p w14:paraId="238AE98C" w14:textId="2E9AB321" w:rsidR="00C238BA" w:rsidRPr="001F3737" w:rsidRDefault="00780CEC" w:rsidP="001F3737">
            <w:pPr>
              <w:tabs>
                <w:tab w:val="decimal" w:pos="1114"/>
              </w:tabs>
              <w:spacing w:line="360" w:lineRule="auto"/>
              <w:jc w:val="both"/>
              <w:rPr>
                <w:rFonts w:ascii="Book Antiqua" w:hAnsi="Book Antiqua"/>
              </w:rPr>
            </w:pPr>
            <w:r w:rsidRPr="001F3737">
              <w:rPr>
                <w:rFonts w:ascii="Book Antiqua" w:hAnsi="Book Antiqua"/>
              </w:rPr>
              <w:t>$ 25</w:t>
            </w:r>
            <w:r w:rsidR="00C238BA" w:rsidRPr="001F3737">
              <w:rPr>
                <w:rFonts w:ascii="Book Antiqua" w:hAnsi="Book Antiqua"/>
              </w:rPr>
              <w:t>503</w:t>
            </w:r>
          </w:p>
        </w:tc>
        <w:tc>
          <w:tcPr>
            <w:tcW w:w="2746" w:type="dxa"/>
            <w:tcBorders>
              <w:top w:val="single" w:sz="4" w:space="0" w:color="auto"/>
              <w:left w:val="nil"/>
              <w:right w:val="nil"/>
            </w:tcBorders>
            <w:noWrap/>
            <w:vAlign w:val="bottom"/>
            <w:hideMark/>
          </w:tcPr>
          <w:p w14:paraId="232E58CF" w14:textId="6C5503DD" w:rsidR="00C238BA" w:rsidRPr="001F3737" w:rsidRDefault="00780CEC" w:rsidP="001F3737">
            <w:pPr>
              <w:tabs>
                <w:tab w:val="decimal" w:pos="1050"/>
              </w:tabs>
              <w:spacing w:line="360" w:lineRule="auto"/>
              <w:jc w:val="both"/>
              <w:rPr>
                <w:rFonts w:ascii="Book Antiqua" w:hAnsi="Book Antiqua"/>
              </w:rPr>
            </w:pPr>
            <w:r w:rsidRPr="001F3737">
              <w:rPr>
                <w:rFonts w:ascii="Book Antiqua" w:hAnsi="Book Antiqua"/>
              </w:rPr>
              <w:t>$ 26</w:t>
            </w:r>
            <w:r w:rsidR="00C238BA" w:rsidRPr="001F3737">
              <w:rPr>
                <w:rFonts w:ascii="Book Antiqua" w:hAnsi="Book Antiqua"/>
              </w:rPr>
              <w:t>530</w:t>
            </w:r>
          </w:p>
        </w:tc>
        <w:tc>
          <w:tcPr>
            <w:tcW w:w="2026" w:type="dxa"/>
            <w:tcBorders>
              <w:top w:val="single" w:sz="4" w:space="0" w:color="auto"/>
              <w:left w:val="nil"/>
              <w:bottom w:val="nil"/>
              <w:right w:val="nil"/>
            </w:tcBorders>
            <w:noWrap/>
            <w:vAlign w:val="bottom"/>
            <w:hideMark/>
          </w:tcPr>
          <w:p w14:paraId="4411B279"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rPr>
              <w:t> </w:t>
            </w:r>
          </w:p>
        </w:tc>
      </w:tr>
      <w:tr w:rsidR="00C238BA" w:rsidRPr="001F3737" w14:paraId="64392D0C" w14:textId="77777777" w:rsidTr="0015098C">
        <w:trPr>
          <w:trHeight w:val="300"/>
        </w:trPr>
        <w:tc>
          <w:tcPr>
            <w:tcW w:w="3583" w:type="dxa"/>
            <w:tcBorders>
              <w:top w:val="nil"/>
              <w:left w:val="nil"/>
              <w:bottom w:val="single" w:sz="4" w:space="0" w:color="auto"/>
              <w:right w:val="nil"/>
            </w:tcBorders>
            <w:noWrap/>
            <w:vAlign w:val="bottom"/>
            <w:hideMark/>
          </w:tcPr>
          <w:p w14:paraId="5FD4EB15" w14:textId="77777777" w:rsidR="00C238BA" w:rsidRPr="001F3737" w:rsidRDefault="00C238BA" w:rsidP="001F3737">
            <w:pPr>
              <w:spacing w:line="360" w:lineRule="auto"/>
              <w:jc w:val="both"/>
              <w:rPr>
                <w:rFonts w:ascii="Book Antiqua" w:hAnsi="Book Antiqua"/>
              </w:rPr>
            </w:pPr>
            <w:r w:rsidRPr="001F3737">
              <w:rPr>
                <w:rFonts w:ascii="Book Antiqua" w:hAnsi="Book Antiqua"/>
              </w:rPr>
              <w:t xml:space="preserve">WAMC Difference </w:t>
            </w:r>
          </w:p>
        </w:tc>
        <w:tc>
          <w:tcPr>
            <w:tcW w:w="2810" w:type="dxa"/>
            <w:tcBorders>
              <w:top w:val="nil"/>
              <w:left w:val="nil"/>
              <w:bottom w:val="single" w:sz="4" w:space="0" w:color="auto"/>
              <w:right w:val="nil"/>
            </w:tcBorders>
            <w:shd w:val="clear" w:color="auto" w:fill="FFFFFF" w:themeFill="background1"/>
            <w:noWrap/>
            <w:vAlign w:val="bottom"/>
            <w:hideMark/>
          </w:tcPr>
          <w:p w14:paraId="064B5BED" w14:textId="650659AF" w:rsidR="00C238BA" w:rsidRPr="001F3737" w:rsidRDefault="00780CEC" w:rsidP="001F3737">
            <w:pPr>
              <w:tabs>
                <w:tab w:val="decimal" w:pos="1114"/>
              </w:tabs>
              <w:spacing w:line="360" w:lineRule="auto"/>
              <w:jc w:val="both"/>
              <w:rPr>
                <w:rFonts w:ascii="Book Antiqua" w:hAnsi="Book Antiqua"/>
              </w:rPr>
            </w:pPr>
            <w:r w:rsidRPr="001F3737">
              <w:rPr>
                <w:rFonts w:ascii="Book Antiqua" w:hAnsi="Book Antiqua"/>
              </w:rPr>
              <w:t>$ 1</w:t>
            </w:r>
            <w:r w:rsidR="00C238BA" w:rsidRPr="001F3737">
              <w:rPr>
                <w:rFonts w:ascii="Book Antiqua" w:hAnsi="Book Antiqua"/>
              </w:rPr>
              <w:t>027</w:t>
            </w:r>
          </w:p>
        </w:tc>
        <w:tc>
          <w:tcPr>
            <w:tcW w:w="2746" w:type="dxa"/>
            <w:tcBorders>
              <w:top w:val="nil"/>
              <w:left w:val="nil"/>
              <w:bottom w:val="single" w:sz="4" w:space="0" w:color="auto"/>
              <w:right w:val="nil"/>
            </w:tcBorders>
            <w:shd w:val="clear" w:color="auto" w:fill="FFFFFF" w:themeFill="background1"/>
            <w:noWrap/>
            <w:vAlign w:val="bottom"/>
            <w:hideMark/>
          </w:tcPr>
          <w:p w14:paraId="141237AA" w14:textId="77777777" w:rsidR="00C238BA" w:rsidRPr="001F3737" w:rsidRDefault="00C238BA" w:rsidP="001F3737">
            <w:pPr>
              <w:tabs>
                <w:tab w:val="decimal" w:pos="1050"/>
              </w:tabs>
              <w:spacing w:line="360" w:lineRule="auto"/>
              <w:jc w:val="both"/>
              <w:rPr>
                <w:rFonts w:ascii="Book Antiqua" w:hAnsi="Book Antiqua"/>
              </w:rPr>
            </w:pPr>
          </w:p>
        </w:tc>
        <w:tc>
          <w:tcPr>
            <w:tcW w:w="2026" w:type="dxa"/>
            <w:tcBorders>
              <w:top w:val="nil"/>
              <w:left w:val="nil"/>
              <w:bottom w:val="single" w:sz="4" w:space="0" w:color="auto"/>
              <w:right w:val="nil"/>
            </w:tcBorders>
            <w:noWrap/>
            <w:vAlign w:val="bottom"/>
            <w:hideMark/>
          </w:tcPr>
          <w:p w14:paraId="19EE40D0" w14:textId="77777777" w:rsidR="00C238BA" w:rsidRPr="001F3737" w:rsidRDefault="00C238BA" w:rsidP="001F3737">
            <w:pPr>
              <w:tabs>
                <w:tab w:val="decimal" w:pos="221"/>
              </w:tabs>
              <w:spacing w:line="360" w:lineRule="auto"/>
              <w:jc w:val="both"/>
              <w:rPr>
                <w:rFonts w:ascii="Book Antiqua" w:hAnsi="Book Antiqua"/>
              </w:rPr>
            </w:pPr>
            <w:r w:rsidRPr="001F3737">
              <w:rPr>
                <w:rFonts w:ascii="Book Antiqua" w:hAnsi="Book Antiqua"/>
              </w:rPr>
              <w:t> </w:t>
            </w:r>
          </w:p>
        </w:tc>
      </w:tr>
    </w:tbl>
    <w:p w14:paraId="61873CB6" w14:textId="736E55A6" w:rsidR="00C238BA" w:rsidRPr="001F3737" w:rsidRDefault="00C238BA" w:rsidP="001F3737">
      <w:pPr>
        <w:spacing w:before="120" w:line="360" w:lineRule="auto"/>
        <w:jc w:val="both"/>
        <w:rPr>
          <w:rFonts w:ascii="Book Antiqua" w:eastAsia="宋体" w:hAnsi="Book Antiqua"/>
          <w:lang w:eastAsia="zh-CN"/>
        </w:rPr>
      </w:pPr>
      <w:r w:rsidRPr="001F3737">
        <w:rPr>
          <w:rFonts w:ascii="Book Antiqua" w:hAnsi="Book Antiqua"/>
          <w:i/>
        </w:rPr>
        <w:lastRenderedPageBreak/>
        <w:t>P</w:t>
      </w:r>
      <w:r w:rsidRPr="001F3737">
        <w:rPr>
          <w:rFonts w:ascii="Book Antiqua" w:hAnsi="Book Antiqua"/>
        </w:rPr>
        <w:t xml:space="preserve"> values were calculated with the Wilcoxon Mann-Whitney test for LOS and total hospitalization cost; and the </w:t>
      </w:r>
      <w:r w:rsidR="00780CEC" w:rsidRPr="001F3737">
        <w:rPr>
          <w:rFonts w:ascii="Book Antiqua" w:hAnsi="Book Antiqua"/>
        </w:rPr>
        <w:sym w:font="Symbol" w:char="F063"/>
      </w:r>
      <w:r w:rsidRPr="001F3737">
        <w:rPr>
          <w:rFonts w:ascii="Book Antiqua" w:hAnsi="Book Antiqua"/>
          <w:b/>
          <w:vertAlign w:val="superscript"/>
        </w:rPr>
        <w:t xml:space="preserve">2 </w:t>
      </w:r>
      <w:r w:rsidRPr="001F3737">
        <w:rPr>
          <w:rFonts w:ascii="Book Antiqua" w:hAnsi="Book Antiqua"/>
        </w:rPr>
        <w:t>test for hospital deviation mix classes.</w:t>
      </w:r>
      <w:r w:rsidR="00780CEC" w:rsidRPr="001F3737">
        <w:rPr>
          <w:rFonts w:ascii="Book Antiqua" w:eastAsia="宋体" w:hAnsi="Book Antiqua"/>
          <w:lang w:eastAsia="zh-CN"/>
        </w:rPr>
        <w:t xml:space="preserve"> </w:t>
      </w:r>
      <w:r w:rsidRPr="001F3737">
        <w:rPr>
          <w:rFonts w:ascii="Book Antiqua" w:hAnsi="Book Antiqua"/>
        </w:rPr>
        <w:t>SCBS: Saline-coupled bipolar sealer</w:t>
      </w:r>
      <w:r w:rsidR="00780CEC" w:rsidRPr="001F3737">
        <w:rPr>
          <w:rFonts w:ascii="Book Antiqua" w:eastAsia="宋体" w:hAnsi="Book Antiqua"/>
          <w:lang w:eastAsia="zh-CN"/>
        </w:rPr>
        <w:t xml:space="preserve">; </w:t>
      </w:r>
      <w:r w:rsidRPr="001F3737">
        <w:rPr>
          <w:rFonts w:ascii="Book Antiqua" w:hAnsi="Book Antiqua"/>
        </w:rPr>
        <w:t>WAMC: Weighted average mean cost</w:t>
      </w:r>
      <w:r w:rsidR="00780CEC" w:rsidRPr="001F3737">
        <w:rPr>
          <w:rFonts w:ascii="Book Antiqua" w:eastAsia="宋体" w:hAnsi="Book Antiqua"/>
          <w:lang w:eastAsia="zh-CN"/>
        </w:rPr>
        <w:t>.</w:t>
      </w:r>
    </w:p>
    <w:p w14:paraId="1C31095E" w14:textId="74FB6D85" w:rsidR="00C238BA" w:rsidRPr="001F3737" w:rsidRDefault="00C238BA" w:rsidP="001F3737">
      <w:pPr>
        <w:pageBreakBefore/>
        <w:spacing w:line="360" w:lineRule="auto"/>
        <w:jc w:val="both"/>
        <w:rPr>
          <w:rFonts w:ascii="Book Antiqua" w:hAnsi="Book Antiqua"/>
          <w:b/>
          <w:vertAlign w:val="superscript"/>
        </w:rPr>
      </w:pPr>
      <w:r w:rsidRPr="001F3737">
        <w:rPr>
          <w:rFonts w:ascii="Book Antiqua" w:hAnsi="Book Antiqua"/>
          <w:b/>
        </w:rPr>
        <w:lastRenderedPageBreak/>
        <w:t xml:space="preserve">Table </w:t>
      </w:r>
      <w:r w:rsidR="003A0566" w:rsidRPr="001F3737">
        <w:rPr>
          <w:rFonts w:ascii="Book Antiqua" w:hAnsi="Book Antiqua"/>
          <w:b/>
        </w:rPr>
        <w:t>5</w:t>
      </w:r>
      <w:r w:rsidRPr="001F3737">
        <w:rPr>
          <w:rFonts w:ascii="Book Antiqua" w:hAnsi="Book Antiqua"/>
          <w:b/>
        </w:rPr>
        <w:t xml:space="preserve"> Logistic </w:t>
      </w:r>
      <w:r w:rsidR="00780CEC" w:rsidRPr="001F3737">
        <w:rPr>
          <w:rFonts w:ascii="Book Antiqua" w:hAnsi="Book Antiqua"/>
          <w:b/>
        </w:rPr>
        <w:t>regressions of predictors of topical hemostat use and transfusion</w:t>
      </w:r>
    </w:p>
    <w:tbl>
      <w:tblPr>
        <w:tblW w:w="5000" w:type="pct"/>
        <w:tblLook w:val="04A0" w:firstRow="1" w:lastRow="0" w:firstColumn="1" w:lastColumn="0" w:noHBand="0" w:noVBand="1"/>
      </w:tblPr>
      <w:tblGrid>
        <w:gridCol w:w="4307"/>
        <w:gridCol w:w="1668"/>
        <w:gridCol w:w="1593"/>
        <w:gridCol w:w="1174"/>
        <w:gridCol w:w="1601"/>
        <w:gridCol w:w="1712"/>
        <w:gridCol w:w="1121"/>
      </w:tblGrid>
      <w:tr w:rsidR="00C238BA" w:rsidRPr="001F3737" w14:paraId="2C489119" w14:textId="77777777" w:rsidTr="00780CEC">
        <w:trPr>
          <w:trHeight w:val="432"/>
          <w:tblHeader/>
        </w:trPr>
        <w:tc>
          <w:tcPr>
            <w:tcW w:w="1397" w:type="pct"/>
            <w:tcBorders>
              <w:top w:val="single" w:sz="4" w:space="0" w:color="auto"/>
              <w:left w:val="nil"/>
              <w:bottom w:val="nil"/>
              <w:right w:val="nil"/>
            </w:tcBorders>
            <w:noWrap/>
            <w:vAlign w:val="bottom"/>
            <w:hideMark/>
          </w:tcPr>
          <w:p w14:paraId="204124E1" w14:textId="77777777" w:rsidR="00C238BA" w:rsidRPr="001F3737" w:rsidRDefault="00C238BA" w:rsidP="001F3737">
            <w:pPr>
              <w:spacing w:line="360" w:lineRule="auto"/>
              <w:jc w:val="both"/>
              <w:rPr>
                <w:rFonts w:ascii="Book Antiqua" w:eastAsia="Times New Roman" w:hAnsi="Book Antiqua"/>
                <w:b/>
                <w:color w:val="000000"/>
              </w:rPr>
            </w:pPr>
            <w:r w:rsidRPr="001F3737">
              <w:rPr>
                <w:rFonts w:ascii="Book Antiqua" w:eastAsia="Times New Roman" w:hAnsi="Book Antiqua"/>
                <w:b/>
                <w:color w:val="000000"/>
              </w:rPr>
              <w:t> </w:t>
            </w:r>
          </w:p>
        </w:tc>
        <w:tc>
          <w:tcPr>
            <w:tcW w:w="1802" w:type="pct"/>
            <w:gridSpan w:val="3"/>
            <w:tcBorders>
              <w:top w:val="single" w:sz="4" w:space="0" w:color="auto"/>
              <w:left w:val="nil"/>
              <w:bottom w:val="nil"/>
            </w:tcBorders>
            <w:noWrap/>
            <w:vAlign w:val="bottom"/>
            <w:hideMark/>
          </w:tcPr>
          <w:p w14:paraId="7E309B62" w14:textId="77777777" w:rsidR="00C238BA" w:rsidRPr="001F3737" w:rsidRDefault="00C238BA" w:rsidP="001F3737">
            <w:pPr>
              <w:spacing w:line="360" w:lineRule="auto"/>
              <w:jc w:val="both"/>
              <w:rPr>
                <w:rFonts w:ascii="Book Antiqua" w:eastAsia="Times New Roman" w:hAnsi="Book Antiqua"/>
                <w:b/>
                <w:color w:val="000000"/>
              </w:rPr>
            </w:pPr>
            <w:r w:rsidRPr="001F3737">
              <w:rPr>
                <w:rFonts w:ascii="Book Antiqua" w:eastAsia="Times New Roman" w:hAnsi="Book Antiqua"/>
                <w:b/>
                <w:color w:val="000000"/>
              </w:rPr>
              <w:t>Predictors of Topical Hemostat Use</w:t>
            </w:r>
          </w:p>
        </w:tc>
        <w:tc>
          <w:tcPr>
            <w:tcW w:w="1801" w:type="pct"/>
            <w:gridSpan w:val="3"/>
            <w:tcBorders>
              <w:top w:val="single" w:sz="4" w:space="0" w:color="auto"/>
              <w:bottom w:val="nil"/>
              <w:right w:val="nil"/>
            </w:tcBorders>
            <w:noWrap/>
            <w:vAlign w:val="bottom"/>
            <w:hideMark/>
          </w:tcPr>
          <w:p w14:paraId="29C60207" w14:textId="77777777" w:rsidR="00C238BA" w:rsidRPr="001F3737" w:rsidRDefault="00C238BA" w:rsidP="001F3737">
            <w:pPr>
              <w:spacing w:line="360" w:lineRule="auto"/>
              <w:jc w:val="both"/>
              <w:rPr>
                <w:rFonts w:ascii="Book Antiqua" w:eastAsia="Times New Roman" w:hAnsi="Book Antiqua"/>
                <w:b/>
                <w:color w:val="000000"/>
              </w:rPr>
            </w:pPr>
            <w:r w:rsidRPr="001F3737">
              <w:rPr>
                <w:rFonts w:ascii="Book Antiqua" w:eastAsia="Times New Roman" w:hAnsi="Book Antiqua"/>
                <w:b/>
                <w:color w:val="000000"/>
              </w:rPr>
              <w:t>Predictors of Transfusion</w:t>
            </w:r>
          </w:p>
        </w:tc>
      </w:tr>
      <w:tr w:rsidR="00C238BA" w:rsidRPr="001F3737" w14:paraId="141C4D94" w14:textId="77777777" w:rsidTr="00780CEC">
        <w:trPr>
          <w:trHeight w:val="432"/>
          <w:tblHeader/>
        </w:trPr>
        <w:tc>
          <w:tcPr>
            <w:tcW w:w="1397" w:type="pct"/>
            <w:tcBorders>
              <w:top w:val="nil"/>
              <w:left w:val="nil"/>
              <w:bottom w:val="single" w:sz="4" w:space="0" w:color="auto"/>
              <w:right w:val="nil"/>
            </w:tcBorders>
            <w:noWrap/>
            <w:vAlign w:val="bottom"/>
            <w:hideMark/>
          </w:tcPr>
          <w:p w14:paraId="76F33BA7" w14:textId="77777777" w:rsidR="00C238BA" w:rsidRPr="001F3737" w:rsidRDefault="00C238BA" w:rsidP="001F3737">
            <w:pPr>
              <w:spacing w:line="360" w:lineRule="auto"/>
              <w:jc w:val="both"/>
              <w:rPr>
                <w:rFonts w:ascii="Book Antiqua" w:eastAsia="Times New Roman" w:hAnsi="Book Antiqua"/>
                <w:b/>
                <w:color w:val="000000"/>
              </w:rPr>
            </w:pPr>
            <w:r w:rsidRPr="001F3737">
              <w:rPr>
                <w:rFonts w:ascii="Book Antiqua" w:eastAsia="Times New Roman" w:hAnsi="Book Antiqua"/>
                <w:b/>
                <w:color w:val="000000"/>
              </w:rPr>
              <w:t>Parameter</w:t>
            </w:r>
          </w:p>
        </w:tc>
        <w:tc>
          <w:tcPr>
            <w:tcW w:w="673" w:type="pct"/>
            <w:tcBorders>
              <w:top w:val="nil"/>
              <w:left w:val="nil"/>
              <w:bottom w:val="single" w:sz="4" w:space="0" w:color="auto"/>
              <w:right w:val="nil"/>
            </w:tcBorders>
            <w:noWrap/>
            <w:vAlign w:val="bottom"/>
            <w:hideMark/>
          </w:tcPr>
          <w:p w14:paraId="6C44721F" w14:textId="77777777" w:rsidR="00C238BA" w:rsidRPr="001F3737" w:rsidRDefault="00C238BA" w:rsidP="001F3737">
            <w:pPr>
              <w:spacing w:line="360" w:lineRule="auto"/>
              <w:jc w:val="both"/>
              <w:rPr>
                <w:rFonts w:ascii="Book Antiqua" w:eastAsia="Times New Roman" w:hAnsi="Book Antiqua"/>
                <w:b/>
                <w:color w:val="000000"/>
              </w:rPr>
            </w:pPr>
            <w:r w:rsidRPr="001F3737">
              <w:rPr>
                <w:rFonts w:ascii="Book Antiqua" w:eastAsia="Times New Roman" w:hAnsi="Book Antiqua"/>
                <w:b/>
                <w:color w:val="000000"/>
              </w:rPr>
              <w:t>Odds Ratio</w:t>
            </w:r>
          </w:p>
        </w:tc>
        <w:tc>
          <w:tcPr>
            <w:tcW w:w="644" w:type="pct"/>
            <w:tcBorders>
              <w:top w:val="nil"/>
              <w:left w:val="nil"/>
              <w:bottom w:val="single" w:sz="4" w:space="0" w:color="auto"/>
              <w:right w:val="nil"/>
            </w:tcBorders>
            <w:noWrap/>
            <w:vAlign w:val="bottom"/>
            <w:hideMark/>
          </w:tcPr>
          <w:p w14:paraId="18DB043A" w14:textId="1D5915B9" w:rsidR="00C238BA" w:rsidRPr="001F3737" w:rsidRDefault="00780CEC" w:rsidP="001F3737">
            <w:pPr>
              <w:spacing w:line="360" w:lineRule="auto"/>
              <w:jc w:val="both"/>
              <w:rPr>
                <w:rFonts w:ascii="Book Antiqua" w:eastAsia="Times New Roman" w:hAnsi="Book Antiqua"/>
                <w:b/>
              </w:rPr>
            </w:pPr>
            <w:r w:rsidRPr="001F3737">
              <w:rPr>
                <w:rFonts w:ascii="Book Antiqua" w:eastAsia="Times New Roman" w:hAnsi="Book Antiqua"/>
                <w:b/>
              </w:rPr>
              <w:t>95%</w:t>
            </w:r>
            <w:r w:rsidR="00C238BA" w:rsidRPr="001F3737">
              <w:rPr>
                <w:rFonts w:ascii="Book Antiqua" w:eastAsia="Times New Roman" w:hAnsi="Book Antiqua"/>
                <w:b/>
              </w:rPr>
              <w:t>CI</w:t>
            </w:r>
          </w:p>
        </w:tc>
        <w:tc>
          <w:tcPr>
            <w:tcW w:w="485" w:type="pct"/>
            <w:tcBorders>
              <w:top w:val="nil"/>
              <w:left w:val="nil"/>
              <w:bottom w:val="single" w:sz="4" w:space="0" w:color="auto"/>
            </w:tcBorders>
            <w:noWrap/>
            <w:vAlign w:val="bottom"/>
            <w:hideMark/>
          </w:tcPr>
          <w:p w14:paraId="253DED61" w14:textId="3A8FF89B" w:rsidR="00C238BA" w:rsidRPr="001F3737" w:rsidRDefault="00C238BA" w:rsidP="001F3737">
            <w:pPr>
              <w:spacing w:line="360" w:lineRule="auto"/>
              <w:jc w:val="both"/>
              <w:rPr>
                <w:rFonts w:ascii="Book Antiqua" w:eastAsia="Times New Roman" w:hAnsi="Book Antiqua"/>
                <w:b/>
                <w:i/>
                <w:iCs/>
              </w:rPr>
            </w:pPr>
            <w:r w:rsidRPr="001F3737">
              <w:rPr>
                <w:rFonts w:ascii="Book Antiqua" w:eastAsia="Times New Roman" w:hAnsi="Book Antiqua"/>
                <w:b/>
                <w:i/>
                <w:iCs/>
              </w:rPr>
              <w:t>P</w:t>
            </w:r>
            <w:r w:rsidR="00780CEC" w:rsidRPr="001F3737">
              <w:rPr>
                <w:rFonts w:ascii="Book Antiqua" w:eastAsia="宋体" w:hAnsi="Book Antiqua"/>
                <w:b/>
                <w:color w:val="000000"/>
                <w:lang w:eastAsia="zh-CN"/>
              </w:rPr>
              <w:t xml:space="preserve"> </w:t>
            </w:r>
            <w:r w:rsidR="00780CEC" w:rsidRPr="001F3737">
              <w:rPr>
                <w:rFonts w:ascii="Book Antiqua" w:eastAsia="Times New Roman" w:hAnsi="Book Antiqua"/>
                <w:b/>
                <w:color w:val="000000"/>
              </w:rPr>
              <w:t>v</w:t>
            </w:r>
            <w:r w:rsidRPr="001F3737">
              <w:rPr>
                <w:rFonts w:ascii="Book Antiqua" w:eastAsia="Times New Roman" w:hAnsi="Book Antiqua"/>
                <w:b/>
                <w:color w:val="000000"/>
              </w:rPr>
              <w:t>alue</w:t>
            </w:r>
          </w:p>
        </w:tc>
        <w:tc>
          <w:tcPr>
            <w:tcW w:w="647" w:type="pct"/>
            <w:tcBorders>
              <w:top w:val="nil"/>
              <w:bottom w:val="single" w:sz="4" w:space="0" w:color="auto"/>
              <w:right w:val="nil"/>
            </w:tcBorders>
            <w:noWrap/>
            <w:vAlign w:val="bottom"/>
            <w:hideMark/>
          </w:tcPr>
          <w:p w14:paraId="53C86094" w14:textId="77777777" w:rsidR="00C238BA" w:rsidRPr="001F3737" w:rsidRDefault="00C238BA" w:rsidP="001F3737">
            <w:pPr>
              <w:spacing w:line="360" w:lineRule="auto"/>
              <w:jc w:val="both"/>
              <w:rPr>
                <w:rFonts w:ascii="Book Antiqua" w:eastAsia="Times New Roman" w:hAnsi="Book Antiqua"/>
                <w:b/>
                <w:color w:val="000000"/>
              </w:rPr>
            </w:pPr>
            <w:r w:rsidRPr="001F3737">
              <w:rPr>
                <w:rFonts w:ascii="Book Antiqua" w:eastAsia="Times New Roman" w:hAnsi="Book Antiqua"/>
                <w:b/>
                <w:color w:val="000000"/>
              </w:rPr>
              <w:t>Odds Ratio</w:t>
            </w:r>
          </w:p>
        </w:tc>
        <w:tc>
          <w:tcPr>
            <w:tcW w:w="689" w:type="pct"/>
            <w:tcBorders>
              <w:top w:val="nil"/>
              <w:left w:val="nil"/>
              <w:bottom w:val="single" w:sz="4" w:space="0" w:color="auto"/>
              <w:right w:val="nil"/>
            </w:tcBorders>
            <w:noWrap/>
            <w:vAlign w:val="bottom"/>
            <w:hideMark/>
          </w:tcPr>
          <w:p w14:paraId="492DEC66" w14:textId="75FCE577" w:rsidR="00C238BA" w:rsidRPr="001F3737" w:rsidRDefault="00780CEC" w:rsidP="001F3737">
            <w:pPr>
              <w:spacing w:line="360" w:lineRule="auto"/>
              <w:jc w:val="both"/>
              <w:rPr>
                <w:rFonts w:ascii="Book Antiqua" w:eastAsia="Times New Roman" w:hAnsi="Book Antiqua"/>
                <w:b/>
              </w:rPr>
            </w:pPr>
            <w:r w:rsidRPr="001F3737">
              <w:rPr>
                <w:rFonts w:ascii="Book Antiqua" w:eastAsia="Times New Roman" w:hAnsi="Book Antiqua"/>
                <w:b/>
              </w:rPr>
              <w:t>95%</w:t>
            </w:r>
            <w:r w:rsidR="00C238BA" w:rsidRPr="001F3737">
              <w:rPr>
                <w:rFonts w:ascii="Book Antiqua" w:eastAsia="Times New Roman" w:hAnsi="Book Antiqua"/>
                <w:b/>
              </w:rPr>
              <w:t>CI</w:t>
            </w:r>
          </w:p>
        </w:tc>
        <w:tc>
          <w:tcPr>
            <w:tcW w:w="465" w:type="pct"/>
            <w:tcBorders>
              <w:top w:val="nil"/>
              <w:left w:val="nil"/>
              <w:bottom w:val="single" w:sz="4" w:space="0" w:color="auto"/>
              <w:right w:val="nil"/>
            </w:tcBorders>
            <w:noWrap/>
            <w:vAlign w:val="bottom"/>
            <w:hideMark/>
          </w:tcPr>
          <w:p w14:paraId="01D2EEB5" w14:textId="4E6C82F7" w:rsidR="00C238BA" w:rsidRPr="001F3737" w:rsidRDefault="00C238BA" w:rsidP="001F3737">
            <w:pPr>
              <w:spacing w:line="360" w:lineRule="auto"/>
              <w:jc w:val="both"/>
              <w:rPr>
                <w:rFonts w:ascii="Book Antiqua" w:eastAsia="Times New Roman" w:hAnsi="Book Antiqua"/>
                <w:b/>
                <w:i/>
                <w:iCs/>
              </w:rPr>
            </w:pPr>
            <w:r w:rsidRPr="001F3737">
              <w:rPr>
                <w:rFonts w:ascii="Book Antiqua" w:eastAsia="Times New Roman" w:hAnsi="Book Antiqua"/>
                <w:b/>
                <w:i/>
                <w:iCs/>
              </w:rPr>
              <w:t>P</w:t>
            </w:r>
            <w:r w:rsidR="00780CEC" w:rsidRPr="001F3737">
              <w:rPr>
                <w:rFonts w:ascii="Book Antiqua" w:eastAsia="宋体" w:hAnsi="Book Antiqua"/>
                <w:b/>
                <w:color w:val="000000"/>
                <w:lang w:eastAsia="zh-CN"/>
              </w:rPr>
              <w:t xml:space="preserve"> </w:t>
            </w:r>
            <w:r w:rsidR="00780CEC" w:rsidRPr="001F3737">
              <w:rPr>
                <w:rFonts w:ascii="Book Antiqua" w:eastAsia="Times New Roman" w:hAnsi="Book Antiqua"/>
                <w:b/>
                <w:color w:val="000000"/>
              </w:rPr>
              <w:t>v</w:t>
            </w:r>
            <w:r w:rsidRPr="001F3737">
              <w:rPr>
                <w:rFonts w:ascii="Book Antiqua" w:eastAsia="Times New Roman" w:hAnsi="Book Antiqua"/>
                <w:b/>
                <w:color w:val="000000"/>
              </w:rPr>
              <w:t>alue</w:t>
            </w:r>
          </w:p>
        </w:tc>
      </w:tr>
      <w:tr w:rsidR="00C238BA" w:rsidRPr="001F3737" w14:paraId="1956841E" w14:textId="77777777" w:rsidTr="00780CEC">
        <w:trPr>
          <w:trHeight w:val="432"/>
        </w:trPr>
        <w:tc>
          <w:tcPr>
            <w:tcW w:w="1397" w:type="pct"/>
            <w:tcBorders>
              <w:top w:val="nil"/>
              <w:left w:val="nil"/>
              <w:bottom w:val="nil"/>
              <w:right w:val="nil"/>
            </w:tcBorders>
            <w:noWrap/>
            <w:vAlign w:val="bottom"/>
            <w:hideMark/>
          </w:tcPr>
          <w:p w14:paraId="1CD8E69C" w14:textId="12346D8F"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Age Group (</w:t>
            </w:r>
            <w:r w:rsidR="0015098C" w:rsidRPr="001F3737">
              <w:rPr>
                <w:rFonts w:ascii="Book Antiqua" w:eastAsia="Times New Roman" w:hAnsi="Book Antiqua"/>
                <w:i/>
              </w:rPr>
              <w:t>vs</w:t>
            </w:r>
            <w:r w:rsidRPr="001F3737">
              <w:rPr>
                <w:rFonts w:ascii="Book Antiqua" w:eastAsia="Times New Roman" w:hAnsi="Book Antiqua"/>
                <w:color w:val="000000"/>
              </w:rPr>
              <w:t xml:space="preserve"> 18 to 44)</w:t>
            </w:r>
          </w:p>
        </w:tc>
        <w:tc>
          <w:tcPr>
            <w:tcW w:w="673" w:type="pct"/>
            <w:tcBorders>
              <w:top w:val="nil"/>
              <w:left w:val="nil"/>
              <w:bottom w:val="nil"/>
              <w:right w:val="nil"/>
            </w:tcBorders>
            <w:noWrap/>
            <w:vAlign w:val="bottom"/>
            <w:hideMark/>
          </w:tcPr>
          <w:p w14:paraId="4813AFDC" w14:textId="77777777" w:rsidR="00C238BA" w:rsidRPr="001F3737" w:rsidRDefault="00C238BA" w:rsidP="001F3737">
            <w:pPr>
              <w:spacing w:line="360" w:lineRule="auto"/>
              <w:jc w:val="both"/>
              <w:rPr>
                <w:rFonts w:ascii="Book Antiqua" w:eastAsia="Times New Roman" w:hAnsi="Book Antiqua"/>
                <w:color w:val="000000"/>
              </w:rPr>
            </w:pPr>
          </w:p>
        </w:tc>
        <w:tc>
          <w:tcPr>
            <w:tcW w:w="644" w:type="pct"/>
            <w:tcBorders>
              <w:top w:val="nil"/>
              <w:left w:val="nil"/>
              <w:bottom w:val="nil"/>
              <w:right w:val="nil"/>
            </w:tcBorders>
            <w:noWrap/>
            <w:vAlign w:val="bottom"/>
            <w:hideMark/>
          </w:tcPr>
          <w:p w14:paraId="364E65D0" w14:textId="77777777" w:rsidR="00C238BA" w:rsidRPr="001F3737" w:rsidRDefault="00C238BA" w:rsidP="001F3737">
            <w:pPr>
              <w:spacing w:line="360" w:lineRule="auto"/>
              <w:jc w:val="both"/>
              <w:rPr>
                <w:rFonts w:ascii="Book Antiqua" w:eastAsia="Times New Roman" w:hAnsi="Book Antiqua"/>
              </w:rPr>
            </w:pPr>
          </w:p>
        </w:tc>
        <w:tc>
          <w:tcPr>
            <w:tcW w:w="485" w:type="pct"/>
            <w:tcBorders>
              <w:top w:val="nil"/>
              <w:left w:val="nil"/>
              <w:bottom w:val="nil"/>
            </w:tcBorders>
            <w:noWrap/>
            <w:vAlign w:val="bottom"/>
            <w:hideMark/>
          </w:tcPr>
          <w:p w14:paraId="78A49CB3" w14:textId="77777777" w:rsidR="00C238BA" w:rsidRPr="001F3737" w:rsidRDefault="00C238BA" w:rsidP="001F3737">
            <w:pPr>
              <w:spacing w:line="360" w:lineRule="auto"/>
              <w:jc w:val="both"/>
              <w:rPr>
                <w:rFonts w:ascii="Book Antiqua" w:eastAsia="Times New Roman" w:hAnsi="Book Antiqua"/>
                <w:i/>
                <w:iCs/>
              </w:rPr>
            </w:pPr>
            <w:r w:rsidRPr="001F3737">
              <w:rPr>
                <w:rFonts w:ascii="Book Antiqua" w:eastAsia="Times New Roman" w:hAnsi="Book Antiqua"/>
                <w:i/>
                <w:iCs/>
              </w:rPr>
              <w:t> </w:t>
            </w:r>
          </w:p>
        </w:tc>
        <w:tc>
          <w:tcPr>
            <w:tcW w:w="647" w:type="pct"/>
            <w:tcBorders>
              <w:top w:val="nil"/>
              <w:bottom w:val="nil"/>
              <w:right w:val="nil"/>
            </w:tcBorders>
            <w:noWrap/>
            <w:vAlign w:val="bottom"/>
            <w:hideMark/>
          </w:tcPr>
          <w:p w14:paraId="5E1C6B72" w14:textId="77777777" w:rsidR="00C238BA" w:rsidRPr="001F3737" w:rsidRDefault="00C238BA" w:rsidP="001F3737">
            <w:pPr>
              <w:spacing w:line="360" w:lineRule="auto"/>
              <w:jc w:val="both"/>
              <w:rPr>
                <w:rFonts w:ascii="Book Antiqua" w:eastAsia="Times New Roman" w:hAnsi="Book Antiqua"/>
                <w:color w:val="000000"/>
              </w:rPr>
            </w:pPr>
          </w:p>
        </w:tc>
        <w:tc>
          <w:tcPr>
            <w:tcW w:w="689" w:type="pct"/>
            <w:tcBorders>
              <w:top w:val="nil"/>
              <w:left w:val="nil"/>
              <w:bottom w:val="nil"/>
              <w:right w:val="nil"/>
            </w:tcBorders>
            <w:noWrap/>
            <w:vAlign w:val="bottom"/>
            <w:hideMark/>
          </w:tcPr>
          <w:p w14:paraId="0352EE54" w14:textId="77777777" w:rsidR="00C238BA" w:rsidRPr="001F3737" w:rsidRDefault="00C238BA" w:rsidP="001F3737">
            <w:pPr>
              <w:spacing w:line="360" w:lineRule="auto"/>
              <w:jc w:val="both"/>
              <w:rPr>
                <w:rFonts w:ascii="Book Antiqua" w:eastAsia="Times New Roman" w:hAnsi="Book Antiqua"/>
              </w:rPr>
            </w:pPr>
          </w:p>
        </w:tc>
        <w:tc>
          <w:tcPr>
            <w:tcW w:w="465" w:type="pct"/>
            <w:tcBorders>
              <w:top w:val="nil"/>
              <w:left w:val="nil"/>
              <w:bottom w:val="nil"/>
              <w:right w:val="nil"/>
            </w:tcBorders>
            <w:noWrap/>
            <w:vAlign w:val="bottom"/>
            <w:hideMark/>
          </w:tcPr>
          <w:p w14:paraId="1F8DADF0" w14:textId="77777777" w:rsidR="00C238BA" w:rsidRPr="001F3737" w:rsidRDefault="00C238BA" w:rsidP="001F3737">
            <w:pPr>
              <w:spacing w:line="360" w:lineRule="auto"/>
              <w:jc w:val="both"/>
              <w:rPr>
                <w:rFonts w:ascii="Book Antiqua" w:eastAsia="Times New Roman" w:hAnsi="Book Antiqua"/>
                <w:i/>
                <w:iCs/>
              </w:rPr>
            </w:pPr>
          </w:p>
        </w:tc>
      </w:tr>
      <w:tr w:rsidR="00C238BA" w:rsidRPr="001F3737" w14:paraId="3B4D5844" w14:textId="77777777" w:rsidTr="00780CEC">
        <w:trPr>
          <w:trHeight w:val="432"/>
        </w:trPr>
        <w:tc>
          <w:tcPr>
            <w:tcW w:w="1397" w:type="pct"/>
            <w:tcBorders>
              <w:top w:val="nil"/>
              <w:left w:val="nil"/>
              <w:bottom w:val="nil"/>
              <w:right w:val="nil"/>
            </w:tcBorders>
            <w:noWrap/>
            <w:vAlign w:val="bottom"/>
            <w:hideMark/>
          </w:tcPr>
          <w:p w14:paraId="78E67225" w14:textId="77777777" w:rsidR="00C238BA" w:rsidRPr="001F3737" w:rsidRDefault="00C238BA" w:rsidP="001F3737">
            <w:pPr>
              <w:spacing w:line="360" w:lineRule="auto"/>
              <w:ind w:firstLineChars="100" w:firstLine="240"/>
              <w:jc w:val="both"/>
              <w:rPr>
                <w:rFonts w:ascii="Book Antiqua" w:eastAsia="Times New Roman" w:hAnsi="Book Antiqua"/>
                <w:color w:val="000000"/>
              </w:rPr>
            </w:pPr>
            <w:r w:rsidRPr="001F3737">
              <w:rPr>
                <w:rFonts w:ascii="Book Antiqua" w:eastAsia="Times New Roman" w:hAnsi="Book Antiqua"/>
                <w:color w:val="000000"/>
              </w:rPr>
              <w:t>75 Plus</w:t>
            </w:r>
          </w:p>
        </w:tc>
        <w:tc>
          <w:tcPr>
            <w:tcW w:w="673" w:type="pct"/>
            <w:tcBorders>
              <w:top w:val="nil"/>
              <w:left w:val="nil"/>
              <w:bottom w:val="nil"/>
              <w:right w:val="nil"/>
            </w:tcBorders>
            <w:noWrap/>
            <w:vAlign w:val="bottom"/>
            <w:hideMark/>
          </w:tcPr>
          <w:p w14:paraId="3BB5F5A5"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1.03</w:t>
            </w:r>
          </w:p>
        </w:tc>
        <w:tc>
          <w:tcPr>
            <w:tcW w:w="644" w:type="pct"/>
            <w:tcBorders>
              <w:top w:val="nil"/>
              <w:left w:val="nil"/>
              <w:bottom w:val="nil"/>
              <w:right w:val="nil"/>
            </w:tcBorders>
            <w:noWrap/>
            <w:vAlign w:val="bottom"/>
            <w:hideMark/>
          </w:tcPr>
          <w:p w14:paraId="4E9D8CB0"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0.5 - 2.12</w:t>
            </w:r>
          </w:p>
        </w:tc>
        <w:tc>
          <w:tcPr>
            <w:tcW w:w="485" w:type="pct"/>
            <w:tcBorders>
              <w:top w:val="nil"/>
              <w:left w:val="nil"/>
              <w:bottom w:val="nil"/>
            </w:tcBorders>
            <w:noWrap/>
            <w:vAlign w:val="bottom"/>
            <w:hideMark/>
          </w:tcPr>
          <w:p w14:paraId="0D2B1C4C"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0.421</w:t>
            </w:r>
          </w:p>
        </w:tc>
        <w:tc>
          <w:tcPr>
            <w:tcW w:w="647" w:type="pct"/>
            <w:tcBorders>
              <w:top w:val="nil"/>
              <w:bottom w:val="nil"/>
              <w:right w:val="nil"/>
            </w:tcBorders>
            <w:noWrap/>
            <w:vAlign w:val="bottom"/>
            <w:hideMark/>
          </w:tcPr>
          <w:p w14:paraId="49E959B7" w14:textId="77777777" w:rsidR="00C238BA" w:rsidRPr="001F3737" w:rsidRDefault="00C238BA" w:rsidP="001F3737">
            <w:pPr>
              <w:spacing w:line="360" w:lineRule="auto"/>
              <w:jc w:val="both"/>
              <w:rPr>
                <w:rFonts w:ascii="Book Antiqua" w:eastAsia="Times New Roman" w:hAnsi="Book Antiqua"/>
                <w:b/>
                <w:bCs/>
                <w:color w:val="000000"/>
              </w:rPr>
            </w:pPr>
            <w:r w:rsidRPr="001F3737">
              <w:rPr>
                <w:rFonts w:ascii="Book Antiqua" w:eastAsia="Times New Roman" w:hAnsi="Book Antiqua"/>
                <w:b/>
                <w:bCs/>
                <w:color w:val="000000"/>
              </w:rPr>
              <w:t>4.55</w:t>
            </w:r>
          </w:p>
        </w:tc>
        <w:tc>
          <w:tcPr>
            <w:tcW w:w="689" w:type="pct"/>
            <w:tcBorders>
              <w:top w:val="nil"/>
              <w:left w:val="nil"/>
              <w:bottom w:val="nil"/>
              <w:right w:val="nil"/>
            </w:tcBorders>
            <w:noWrap/>
            <w:vAlign w:val="bottom"/>
            <w:hideMark/>
          </w:tcPr>
          <w:p w14:paraId="18238D9C"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1.95 - 10.59</w:t>
            </w:r>
          </w:p>
        </w:tc>
        <w:tc>
          <w:tcPr>
            <w:tcW w:w="465" w:type="pct"/>
            <w:tcBorders>
              <w:top w:val="nil"/>
              <w:left w:val="nil"/>
              <w:bottom w:val="nil"/>
              <w:right w:val="nil"/>
            </w:tcBorders>
            <w:noWrap/>
            <w:vAlign w:val="bottom"/>
            <w:hideMark/>
          </w:tcPr>
          <w:p w14:paraId="26FC6221" w14:textId="6FD1FB98"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&lt;</w:t>
            </w:r>
            <w:r w:rsidR="00780CEC" w:rsidRPr="001F3737">
              <w:rPr>
                <w:rFonts w:ascii="Book Antiqua" w:eastAsia="宋体" w:hAnsi="Book Antiqua"/>
                <w:bCs/>
                <w:color w:val="000000"/>
                <w:lang w:eastAsia="zh-CN"/>
              </w:rPr>
              <w:t xml:space="preserve"> 0</w:t>
            </w:r>
            <w:r w:rsidRPr="001F3737">
              <w:rPr>
                <w:rFonts w:ascii="Book Antiqua" w:eastAsia="Times New Roman" w:hAnsi="Book Antiqua"/>
                <w:bCs/>
                <w:color w:val="000000"/>
              </w:rPr>
              <w:t>.0001</w:t>
            </w:r>
          </w:p>
        </w:tc>
      </w:tr>
      <w:tr w:rsidR="00C238BA" w:rsidRPr="001F3737" w14:paraId="1E426F0E" w14:textId="77777777" w:rsidTr="00780CEC">
        <w:trPr>
          <w:trHeight w:val="432"/>
        </w:trPr>
        <w:tc>
          <w:tcPr>
            <w:tcW w:w="1397" w:type="pct"/>
            <w:tcBorders>
              <w:top w:val="nil"/>
              <w:left w:val="nil"/>
              <w:bottom w:val="nil"/>
              <w:right w:val="nil"/>
            </w:tcBorders>
            <w:noWrap/>
            <w:vAlign w:val="bottom"/>
            <w:hideMark/>
          </w:tcPr>
          <w:p w14:paraId="6A0C7034" w14:textId="2CAB1E2A"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Race (</w:t>
            </w:r>
            <w:r w:rsidR="0015098C" w:rsidRPr="001F3737">
              <w:rPr>
                <w:rFonts w:ascii="Book Antiqua" w:eastAsia="Times New Roman" w:hAnsi="Book Antiqua"/>
                <w:i/>
              </w:rPr>
              <w:t>vs</w:t>
            </w:r>
            <w:r w:rsidRPr="001F3737">
              <w:rPr>
                <w:rFonts w:ascii="Book Antiqua" w:eastAsia="Times New Roman" w:hAnsi="Book Antiqua"/>
                <w:color w:val="000000"/>
              </w:rPr>
              <w:t xml:space="preserve"> Caucasian)</w:t>
            </w:r>
          </w:p>
        </w:tc>
        <w:tc>
          <w:tcPr>
            <w:tcW w:w="673" w:type="pct"/>
            <w:tcBorders>
              <w:top w:val="nil"/>
              <w:left w:val="nil"/>
              <w:bottom w:val="nil"/>
              <w:right w:val="nil"/>
            </w:tcBorders>
            <w:noWrap/>
            <w:vAlign w:val="bottom"/>
            <w:hideMark/>
          </w:tcPr>
          <w:p w14:paraId="7A3960F1" w14:textId="77777777" w:rsidR="00C238BA" w:rsidRPr="001F3737" w:rsidRDefault="00C238BA" w:rsidP="001F3737">
            <w:pPr>
              <w:spacing w:line="360" w:lineRule="auto"/>
              <w:jc w:val="both"/>
              <w:rPr>
                <w:rFonts w:ascii="Book Antiqua" w:eastAsia="Times New Roman" w:hAnsi="Book Antiqua"/>
                <w:color w:val="000000"/>
              </w:rPr>
            </w:pPr>
          </w:p>
        </w:tc>
        <w:tc>
          <w:tcPr>
            <w:tcW w:w="644" w:type="pct"/>
            <w:tcBorders>
              <w:top w:val="nil"/>
              <w:left w:val="nil"/>
              <w:bottom w:val="nil"/>
              <w:right w:val="nil"/>
            </w:tcBorders>
            <w:noWrap/>
            <w:vAlign w:val="bottom"/>
            <w:hideMark/>
          </w:tcPr>
          <w:p w14:paraId="0648E687" w14:textId="77777777" w:rsidR="00C238BA" w:rsidRPr="001F3737" w:rsidRDefault="00C238BA" w:rsidP="001F3737">
            <w:pPr>
              <w:spacing w:line="360" w:lineRule="auto"/>
              <w:jc w:val="both"/>
              <w:rPr>
                <w:rFonts w:ascii="Book Antiqua" w:eastAsia="Times New Roman" w:hAnsi="Book Antiqua"/>
                <w:color w:val="000000"/>
              </w:rPr>
            </w:pPr>
          </w:p>
        </w:tc>
        <w:tc>
          <w:tcPr>
            <w:tcW w:w="485" w:type="pct"/>
            <w:tcBorders>
              <w:top w:val="nil"/>
              <w:left w:val="nil"/>
              <w:bottom w:val="nil"/>
            </w:tcBorders>
            <w:noWrap/>
            <w:vAlign w:val="bottom"/>
            <w:hideMark/>
          </w:tcPr>
          <w:p w14:paraId="35C08EF4"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 </w:t>
            </w:r>
          </w:p>
        </w:tc>
        <w:tc>
          <w:tcPr>
            <w:tcW w:w="647" w:type="pct"/>
            <w:tcBorders>
              <w:top w:val="nil"/>
              <w:bottom w:val="nil"/>
              <w:right w:val="nil"/>
            </w:tcBorders>
            <w:noWrap/>
            <w:vAlign w:val="bottom"/>
            <w:hideMark/>
          </w:tcPr>
          <w:p w14:paraId="3738EC2D" w14:textId="77777777" w:rsidR="00C238BA" w:rsidRPr="001F3737" w:rsidRDefault="00C238BA" w:rsidP="001F3737">
            <w:pPr>
              <w:spacing w:line="360" w:lineRule="auto"/>
              <w:jc w:val="both"/>
              <w:rPr>
                <w:rFonts w:ascii="Book Antiqua" w:eastAsia="Times New Roman" w:hAnsi="Book Antiqua"/>
                <w:color w:val="000000"/>
              </w:rPr>
            </w:pPr>
          </w:p>
        </w:tc>
        <w:tc>
          <w:tcPr>
            <w:tcW w:w="689" w:type="pct"/>
            <w:tcBorders>
              <w:top w:val="nil"/>
              <w:left w:val="nil"/>
              <w:bottom w:val="nil"/>
              <w:right w:val="nil"/>
            </w:tcBorders>
            <w:noWrap/>
            <w:vAlign w:val="bottom"/>
            <w:hideMark/>
          </w:tcPr>
          <w:p w14:paraId="1DC94368" w14:textId="77777777" w:rsidR="00C238BA" w:rsidRPr="001F3737" w:rsidRDefault="00C238BA" w:rsidP="001F3737">
            <w:pPr>
              <w:spacing w:line="360" w:lineRule="auto"/>
              <w:jc w:val="both"/>
              <w:rPr>
                <w:rFonts w:ascii="Book Antiqua" w:eastAsia="Times New Roman" w:hAnsi="Book Antiqua"/>
                <w:color w:val="000000"/>
              </w:rPr>
            </w:pPr>
          </w:p>
        </w:tc>
        <w:tc>
          <w:tcPr>
            <w:tcW w:w="465" w:type="pct"/>
            <w:tcBorders>
              <w:top w:val="nil"/>
              <w:left w:val="nil"/>
              <w:bottom w:val="nil"/>
              <w:right w:val="nil"/>
            </w:tcBorders>
            <w:noWrap/>
            <w:vAlign w:val="bottom"/>
            <w:hideMark/>
          </w:tcPr>
          <w:p w14:paraId="4D2BA414" w14:textId="77777777" w:rsidR="00C238BA" w:rsidRPr="001F3737" w:rsidRDefault="00C238BA" w:rsidP="001F3737">
            <w:pPr>
              <w:spacing w:line="360" w:lineRule="auto"/>
              <w:jc w:val="both"/>
              <w:rPr>
                <w:rFonts w:ascii="Book Antiqua" w:eastAsia="Times New Roman" w:hAnsi="Book Antiqua"/>
                <w:color w:val="000000"/>
              </w:rPr>
            </w:pPr>
          </w:p>
        </w:tc>
      </w:tr>
      <w:tr w:rsidR="00C238BA" w:rsidRPr="001F3737" w14:paraId="65620DD0" w14:textId="77777777" w:rsidTr="00780CEC">
        <w:trPr>
          <w:trHeight w:val="432"/>
        </w:trPr>
        <w:tc>
          <w:tcPr>
            <w:tcW w:w="1397" w:type="pct"/>
            <w:tcBorders>
              <w:top w:val="nil"/>
              <w:left w:val="nil"/>
              <w:bottom w:val="nil"/>
              <w:right w:val="nil"/>
            </w:tcBorders>
            <w:noWrap/>
            <w:vAlign w:val="bottom"/>
            <w:hideMark/>
          </w:tcPr>
          <w:p w14:paraId="75AB331D" w14:textId="77777777" w:rsidR="00C238BA" w:rsidRPr="001F3737" w:rsidRDefault="00C238BA" w:rsidP="001F3737">
            <w:pPr>
              <w:spacing w:line="360" w:lineRule="auto"/>
              <w:ind w:firstLineChars="100" w:firstLine="240"/>
              <w:jc w:val="both"/>
              <w:rPr>
                <w:rFonts w:ascii="Book Antiqua" w:eastAsia="Times New Roman" w:hAnsi="Book Antiqua"/>
                <w:color w:val="000000"/>
              </w:rPr>
            </w:pPr>
            <w:r w:rsidRPr="001F3737">
              <w:rPr>
                <w:rFonts w:ascii="Book Antiqua" w:eastAsia="Times New Roman" w:hAnsi="Book Antiqua"/>
                <w:color w:val="000000"/>
              </w:rPr>
              <w:t>Black</w:t>
            </w:r>
          </w:p>
        </w:tc>
        <w:tc>
          <w:tcPr>
            <w:tcW w:w="673" w:type="pct"/>
            <w:tcBorders>
              <w:top w:val="nil"/>
              <w:left w:val="nil"/>
              <w:bottom w:val="nil"/>
              <w:right w:val="nil"/>
            </w:tcBorders>
            <w:noWrap/>
            <w:vAlign w:val="bottom"/>
            <w:hideMark/>
          </w:tcPr>
          <w:p w14:paraId="43D4E73B"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1.21</w:t>
            </w:r>
          </w:p>
        </w:tc>
        <w:tc>
          <w:tcPr>
            <w:tcW w:w="644" w:type="pct"/>
            <w:tcBorders>
              <w:top w:val="nil"/>
              <w:left w:val="nil"/>
              <w:bottom w:val="nil"/>
              <w:right w:val="nil"/>
            </w:tcBorders>
            <w:noWrap/>
            <w:vAlign w:val="bottom"/>
            <w:hideMark/>
          </w:tcPr>
          <w:p w14:paraId="59B79A79"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0.75 - 1.97</w:t>
            </w:r>
          </w:p>
        </w:tc>
        <w:tc>
          <w:tcPr>
            <w:tcW w:w="485" w:type="pct"/>
            <w:tcBorders>
              <w:top w:val="nil"/>
              <w:left w:val="nil"/>
              <w:bottom w:val="nil"/>
            </w:tcBorders>
            <w:noWrap/>
            <w:vAlign w:val="bottom"/>
            <w:hideMark/>
          </w:tcPr>
          <w:p w14:paraId="73ADFE34"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0.275</w:t>
            </w:r>
          </w:p>
        </w:tc>
        <w:tc>
          <w:tcPr>
            <w:tcW w:w="647" w:type="pct"/>
            <w:tcBorders>
              <w:top w:val="nil"/>
              <w:bottom w:val="nil"/>
              <w:right w:val="nil"/>
            </w:tcBorders>
            <w:noWrap/>
            <w:vAlign w:val="bottom"/>
            <w:hideMark/>
          </w:tcPr>
          <w:p w14:paraId="74FE0075"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1.97</w:t>
            </w:r>
          </w:p>
        </w:tc>
        <w:tc>
          <w:tcPr>
            <w:tcW w:w="689" w:type="pct"/>
            <w:tcBorders>
              <w:top w:val="nil"/>
              <w:left w:val="nil"/>
              <w:bottom w:val="nil"/>
              <w:right w:val="nil"/>
            </w:tcBorders>
            <w:noWrap/>
            <w:vAlign w:val="bottom"/>
            <w:hideMark/>
          </w:tcPr>
          <w:p w14:paraId="4F64742D"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1.21 - 3.19</w:t>
            </w:r>
          </w:p>
        </w:tc>
        <w:tc>
          <w:tcPr>
            <w:tcW w:w="465" w:type="pct"/>
            <w:tcBorders>
              <w:top w:val="nil"/>
              <w:left w:val="nil"/>
              <w:bottom w:val="nil"/>
              <w:right w:val="nil"/>
            </w:tcBorders>
            <w:noWrap/>
            <w:vAlign w:val="bottom"/>
            <w:hideMark/>
          </w:tcPr>
          <w:p w14:paraId="5BC9BCEF"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0.017</w:t>
            </w:r>
          </w:p>
        </w:tc>
      </w:tr>
      <w:tr w:rsidR="00C238BA" w:rsidRPr="001F3737" w14:paraId="6631CC79" w14:textId="77777777" w:rsidTr="00780CEC">
        <w:trPr>
          <w:trHeight w:val="432"/>
        </w:trPr>
        <w:tc>
          <w:tcPr>
            <w:tcW w:w="1397" w:type="pct"/>
            <w:tcBorders>
              <w:top w:val="nil"/>
              <w:left w:val="nil"/>
              <w:bottom w:val="nil"/>
              <w:right w:val="nil"/>
            </w:tcBorders>
            <w:noWrap/>
            <w:vAlign w:val="bottom"/>
            <w:hideMark/>
          </w:tcPr>
          <w:p w14:paraId="0AAE04E6" w14:textId="501856B0" w:rsidR="00C238BA" w:rsidRPr="001F3737" w:rsidRDefault="0052420F" w:rsidP="001F3737">
            <w:pPr>
              <w:spacing w:line="360" w:lineRule="auto"/>
              <w:jc w:val="both"/>
              <w:rPr>
                <w:rFonts w:ascii="Book Antiqua" w:eastAsia="Times New Roman" w:hAnsi="Book Antiqua"/>
              </w:rPr>
            </w:pPr>
            <w:r w:rsidRPr="001F3737">
              <w:rPr>
                <w:rFonts w:ascii="Book Antiqua" w:eastAsia="Times New Roman" w:hAnsi="Book Antiqua"/>
              </w:rPr>
              <w:t xml:space="preserve">US Geographic </w:t>
            </w:r>
            <w:r w:rsidR="00C238BA" w:rsidRPr="001F3737">
              <w:rPr>
                <w:rFonts w:ascii="Book Antiqua" w:eastAsia="Times New Roman" w:hAnsi="Book Antiqua"/>
              </w:rPr>
              <w:t>Region (</w:t>
            </w:r>
            <w:r w:rsidR="0015098C" w:rsidRPr="001F3737">
              <w:rPr>
                <w:rFonts w:ascii="Book Antiqua" w:eastAsia="Times New Roman" w:hAnsi="Book Antiqua"/>
                <w:i/>
              </w:rPr>
              <w:t>vs</w:t>
            </w:r>
            <w:r w:rsidR="00C238BA" w:rsidRPr="001F3737">
              <w:rPr>
                <w:rFonts w:ascii="Book Antiqua" w:eastAsia="Times New Roman" w:hAnsi="Book Antiqua"/>
              </w:rPr>
              <w:t xml:space="preserve"> Northeast)</w:t>
            </w:r>
          </w:p>
        </w:tc>
        <w:tc>
          <w:tcPr>
            <w:tcW w:w="673" w:type="pct"/>
            <w:tcBorders>
              <w:top w:val="nil"/>
              <w:left w:val="nil"/>
              <w:bottom w:val="nil"/>
              <w:right w:val="nil"/>
            </w:tcBorders>
            <w:noWrap/>
            <w:vAlign w:val="bottom"/>
            <w:hideMark/>
          </w:tcPr>
          <w:p w14:paraId="50FE9D4E" w14:textId="77777777" w:rsidR="00C238BA" w:rsidRPr="001F3737" w:rsidRDefault="00C238BA" w:rsidP="001F3737">
            <w:pPr>
              <w:spacing w:line="360" w:lineRule="auto"/>
              <w:jc w:val="both"/>
              <w:rPr>
                <w:rFonts w:ascii="Book Antiqua" w:eastAsia="Times New Roman" w:hAnsi="Book Antiqua"/>
                <w:color w:val="000000"/>
              </w:rPr>
            </w:pPr>
          </w:p>
        </w:tc>
        <w:tc>
          <w:tcPr>
            <w:tcW w:w="644" w:type="pct"/>
            <w:tcBorders>
              <w:top w:val="nil"/>
              <w:left w:val="nil"/>
              <w:bottom w:val="nil"/>
              <w:right w:val="nil"/>
            </w:tcBorders>
            <w:noWrap/>
            <w:vAlign w:val="bottom"/>
            <w:hideMark/>
          </w:tcPr>
          <w:p w14:paraId="52E5AA8D" w14:textId="77777777" w:rsidR="00C238BA" w:rsidRPr="001F3737" w:rsidRDefault="00C238BA" w:rsidP="001F3737">
            <w:pPr>
              <w:spacing w:line="360" w:lineRule="auto"/>
              <w:jc w:val="both"/>
              <w:rPr>
                <w:rFonts w:ascii="Book Antiqua" w:eastAsia="Times New Roman" w:hAnsi="Book Antiqua"/>
                <w:color w:val="000000"/>
              </w:rPr>
            </w:pPr>
          </w:p>
        </w:tc>
        <w:tc>
          <w:tcPr>
            <w:tcW w:w="485" w:type="pct"/>
            <w:tcBorders>
              <w:top w:val="nil"/>
              <w:left w:val="nil"/>
              <w:bottom w:val="nil"/>
            </w:tcBorders>
            <w:noWrap/>
            <w:vAlign w:val="bottom"/>
            <w:hideMark/>
          </w:tcPr>
          <w:p w14:paraId="4FCCCEAB"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 </w:t>
            </w:r>
          </w:p>
        </w:tc>
        <w:tc>
          <w:tcPr>
            <w:tcW w:w="647" w:type="pct"/>
            <w:tcBorders>
              <w:top w:val="nil"/>
              <w:bottom w:val="nil"/>
              <w:right w:val="nil"/>
            </w:tcBorders>
            <w:noWrap/>
            <w:vAlign w:val="bottom"/>
            <w:hideMark/>
          </w:tcPr>
          <w:p w14:paraId="7F216217" w14:textId="77777777" w:rsidR="00C238BA" w:rsidRPr="001F3737" w:rsidRDefault="00C238BA" w:rsidP="001F3737">
            <w:pPr>
              <w:spacing w:line="360" w:lineRule="auto"/>
              <w:jc w:val="both"/>
              <w:rPr>
                <w:rFonts w:ascii="Book Antiqua" w:eastAsia="Times New Roman" w:hAnsi="Book Antiqua"/>
                <w:color w:val="000000"/>
              </w:rPr>
            </w:pPr>
          </w:p>
        </w:tc>
        <w:tc>
          <w:tcPr>
            <w:tcW w:w="689" w:type="pct"/>
            <w:tcBorders>
              <w:top w:val="nil"/>
              <w:left w:val="nil"/>
              <w:bottom w:val="nil"/>
              <w:right w:val="nil"/>
            </w:tcBorders>
            <w:noWrap/>
            <w:vAlign w:val="bottom"/>
            <w:hideMark/>
          </w:tcPr>
          <w:p w14:paraId="3EBD02BE" w14:textId="77777777" w:rsidR="00C238BA" w:rsidRPr="001F3737" w:rsidRDefault="00C238BA" w:rsidP="001F3737">
            <w:pPr>
              <w:spacing w:line="360" w:lineRule="auto"/>
              <w:jc w:val="both"/>
              <w:rPr>
                <w:rFonts w:ascii="Book Antiqua" w:eastAsia="Times New Roman" w:hAnsi="Book Antiqua"/>
                <w:color w:val="000000"/>
              </w:rPr>
            </w:pPr>
          </w:p>
        </w:tc>
        <w:tc>
          <w:tcPr>
            <w:tcW w:w="465" w:type="pct"/>
            <w:tcBorders>
              <w:top w:val="nil"/>
              <w:left w:val="nil"/>
              <w:bottom w:val="nil"/>
              <w:right w:val="nil"/>
            </w:tcBorders>
            <w:noWrap/>
            <w:vAlign w:val="bottom"/>
            <w:hideMark/>
          </w:tcPr>
          <w:p w14:paraId="741F0C8F" w14:textId="77777777" w:rsidR="00C238BA" w:rsidRPr="001F3737" w:rsidRDefault="00C238BA" w:rsidP="001F3737">
            <w:pPr>
              <w:spacing w:line="360" w:lineRule="auto"/>
              <w:jc w:val="both"/>
              <w:rPr>
                <w:rFonts w:ascii="Book Antiqua" w:eastAsia="Times New Roman" w:hAnsi="Book Antiqua"/>
                <w:color w:val="000000"/>
              </w:rPr>
            </w:pPr>
          </w:p>
        </w:tc>
      </w:tr>
      <w:tr w:rsidR="00C238BA" w:rsidRPr="001F3737" w14:paraId="0F2CFB42" w14:textId="77777777" w:rsidTr="00780CEC">
        <w:trPr>
          <w:trHeight w:val="432"/>
        </w:trPr>
        <w:tc>
          <w:tcPr>
            <w:tcW w:w="1397" w:type="pct"/>
            <w:tcBorders>
              <w:top w:val="nil"/>
              <w:left w:val="nil"/>
              <w:bottom w:val="nil"/>
              <w:right w:val="nil"/>
            </w:tcBorders>
            <w:noWrap/>
            <w:vAlign w:val="bottom"/>
            <w:hideMark/>
          </w:tcPr>
          <w:p w14:paraId="2C061055" w14:textId="77777777" w:rsidR="00C238BA" w:rsidRPr="001F3737" w:rsidRDefault="00C238BA" w:rsidP="001F3737">
            <w:pPr>
              <w:spacing w:line="360" w:lineRule="auto"/>
              <w:ind w:firstLineChars="100" w:firstLine="240"/>
              <w:jc w:val="both"/>
              <w:rPr>
                <w:rFonts w:ascii="Book Antiqua" w:eastAsia="Times New Roman" w:hAnsi="Book Antiqua"/>
              </w:rPr>
            </w:pPr>
            <w:r w:rsidRPr="001F3737">
              <w:rPr>
                <w:rFonts w:ascii="Book Antiqua" w:eastAsia="Times New Roman" w:hAnsi="Book Antiqua"/>
              </w:rPr>
              <w:t>South</w:t>
            </w:r>
          </w:p>
        </w:tc>
        <w:tc>
          <w:tcPr>
            <w:tcW w:w="673" w:type="pct"/>
            <w:tcBorders>
              <w:top w:val="nil"/>
              <w:left w:val="nil"/>
              <w:bottom w:val="nil"/>
              <w:right w:val="nil"/>
            </w:tcBorders>
            <w:noWrap/>
            <w:vAlign w:val="bottom"/>
            <w:hideMark/>
          </w:tcPr>
          <w:p w14:paraId="7FAD5136"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3.67</w:t>
            </w:r>
          </w:p>
        </w:tc>
        <w:tc>
          <w:tcPr>
            <w:tcW w:w="644" w:type="pct"/>
            <w:tcBorders>
              <w:top w:val="nil"/>
              <w:left w:val="nil"/>
              <w:bottom w:val="nil"/>
              <w:right w:val="nil"/>
            </w:tcBorders>
            <w:noWrap/>
            <w:vAlign w:val="bottom"/>
            <w:hideMark/>
          </w:tcPr>
          <w:p w14:paraId="371177A2"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2.38 - 5.65</w:t>
            </w:r>
          </w:p>
        </w:tc>
        <w:tc>
          <w:tcPr>
            <w:tcW w:w="485" w:type="pct"/>
            <w:tcBorders>
              <w:top w:val="nil"/>
              <w:left w:val="nil"/>
              <w:bottom w:val="nil"/>
            </w:tcBorders>
            <w:noWrap/>
            <w:vAlign w:val="bottom"/>
            <w:hideMark/>
          </w:tcPr>
          <w:p w14:paraId="342754CC"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0.0004</w:t>
            </w:r>
          </w:p>
        </w:tc>
        <w:tc>
          <w:tcPr>
            <w:tcW w:w="647" w:type="pct"/>
            <w:tcBorders>
              <w:top w:val="nil"/>
              <w:bottom w:val="nil"/>
              <w:right w:val="nil"/>
            </w:tcBorders>
            <w:noWrap/>
            <w:vAlign w:val="bottom"/>
            <w:hideMark/>
          </w:tcPr>
          <w:p w14:paraId="63ECF2DE"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1.87</w:t>
            </w:r>
          </w:p>
        </w:tc>
        <w:tc>
          <w:tcPr>
            <w:tcW w:w="689" w:type="pct"/>
            <w:tcBorders>
              <w:top w:val="nil"/>
              <w:left w:val="nil"/>
              <w:bottom w:val="nil"/>
              <w:right w:val="nil"/>
            </w:tcBorders>
            <w:noWrap/>
            <w:vAlign w:val="bottom"/>
            <w:hideMark/>
          </w:tcPr>
          <w:p w14:paraId="142E29E9"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1.19 - 2.96</w:t>
            </w:r>
          </w:p>
        </w:tc>
        <w:tc>
          <w:tcPr>
            <w:tcW w:w="465" w:type="pct"/>
            <w:tcBorders>
              <w:top w:val="nil"/>
              <w:left w:val="nil"/>
              <w:bottom w:val="nil"/>
              <w:right w:val="nil"/>
            </w:tcBorders>
            <w:noWrap/>
            <w:vAlign w:val="bottom"/>
            <w:hideMark/>
          </w:tcPr>
          <w:p w14:paraId="4A0A7B67"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0.001</w:t>
            </w:r>
          </w:p>
        </w:tc>
      </w:tr>
      <w:tr w:rsidR="00C238BA" w:rsidRPr="001F3737" w14:paraId="4B709B82" w14:textId="77777777" w:rsidTr="00780CEC">
        <w:trPr>
          <w:trHeight w:val="432"/>
        </w:trPr>
        <w:tc>
          <w:tcPr>
            <w:tcW w:w="1397" w:type="pct"/>
            <w:tcBorders>
              <w:top w:val="nil"/>
              <w:left w:val="nil"/>
              <w:bottom w:val="nil"/>
              <w:right w:val="nil"/>
            </w:tcBorders>
            <w:noWrap/>
            <w:vAlign w:val="bottom"/>
            <w:hideMark/>
          </w:tcPr>
          <w:p w14:paraId="7D1B973A" w14:textId="3F6903C3" w:rsidR="00C238BA" w:rsidRPr="001F3737" w:rsidRDefault="0015098C" w:rsidP="001F3737">
            <w:pPr>
              <w:spacing w:line="360" w:lineRule="auto"/>
              <w:jc w:val="both"/>
              <w:rPr>
                <w:rFonts w:ascii="Book Antiqua" w:eastAsia="Times New Roman" w:hAnsi="Book Antiqua"/>
              </w:rPr>
            </w:pPr>
            <w:r w:rsidRPr="001F3737">
              <w:rPr>
                <w:rFonts w:ascii="Book Antiqua" w:eastAsia="Times New Roman" w:hAnsi="Book Antiqua"/>
              </w:rPr>
              <w:t>Partial hepatectomy (</w:t>
            </w:r>
            <w:r w:rsidRPr="001F3737">
              <w:rPr>
                <w:rFonts w:ascii="Book Antiqua" w:eastAsia="Times New Roman" w:hAnsi="Book Antiqua"/>
                <w:i/>
              </w:rPr>
              <w:t>vs</w:t>
            </w:r>
            <w:r w:rsidR="00C238BA" w:rsidRPr="001F3737">
              <w:rPr>
                <w:rFonts w:ascii="Book Antiqua" w:eastAsia="Times New Roman" w:hAnsi="Book Antiqua"/>
              </w:rPr>
              <w:t xml:space="preserve"> lobectomy)</w:t>
            </w:r>
          </w:p>
        </w:tc>
        <w:tc>
          <w:tcPr>
            <w:tcW w:w="673" w:type="pct"/>
            <w:tcBorders>
              <w:top w:val="nil"/>
              <w:left w:val="nil"/>
              <w:bottom w:val="nil"/>
              <w:right w:val="nil"/>
            </w:tcBorders>
            <w:noWrap/>
            <w:vAlign w:val="bottom"/>
            <w:hideMark/>
          </w:tcPr>
          <w:p w14:paraId="26859A5C"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1.25</w:t>
            </w:r>
          </w:p>
        </w:tc>
        <w:tc>
          <w:tcPr>
            <w:tcW w:w="644" w:type="pct"/>
            <w:tcBorders>
              <w:top w:val="nil"/>
              <w:left w:val="nil"/>
              <w:bottom w:val="nil"/>
              <w:right w:val="nil"/>
            </w:tcBorders>
            <w:noWrap/>
            <w:vAlign w:val="bottom"/>
            <w:hideMark/>
          </w:tcPr>
          <w:p w14:paraId="6E7F92DC"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0.91 - 1.73</w:t>
            </w:r>
          </w:p>
        </w:tc>
        <w:tc>
          <w:tcPr>
            <w:tcW w:w="485" w:type="pct"/>
            <w:tcBorders>
              <w:top w:val="nil"/>
              <w:left w:val="nil"/>
              <w:bottom w:val="nil"/>
            </w:tcBorders>
            <w:noWrap/>
            <w:vAlign w:val="bottom"/>
            <w:hideMark/>
          </w:tcPr>
          <w:p w14:paraId="2F320127"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0.175</w:t>
            </w:r>
          </w:p>
        </w:tc>
        <w:tc>
          <w:tcPr>
            <w:tcW w:w="647" w:type="pct"/>
            <w:tcBorders>
              <w:top w:val="nil"/>
              <w:bottom w:val="nil"/>
              <w:right w:val="nil"/>
            </w:tcBorders>
            <w:noWrap/>
            <w:vAlign w:val="bottom"/>
            <w:hideMark/>
          </w:tcPr>
          <w:p w14:paraId="2C62F921"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1.62</w:t>
            </w:r>
          </w:p>
        </w:tc>
        <w:tc>
          <w:tcPr>
            <w:tcW w:w="689" w:type="pct"/>
            <w:tcBorders>
              <w:top w:val="nil"/>
              <w:left w:val="nil"/>
              <w:bottom w:val="nil"/>
              <w:right w:val="nil"/>
            </w:tcBorders>
            <w:noWrap/>
            <w:vAlign w:val="bottom"/>
            <w:hideMark/>
          </w:tcPr>
          <w:p w14:paraId="6BFC3729"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1.16 - 2.27</w:t>
            </w:r>
          </w:p>
        </w:tc>
        <w:tc>
          <w:tcPr>
            <w:tcW w:w="465" w:type="pct"/>
            <w:tcBorders>
              <w:top w:val="nil"/>
              <w:left w:val="nil"/>
              <w:bottom w:val="nil"/>
              <w:right w:val="nil"/>
            </w:tcBorders>
            <w:noWrap/>
            <w:vAlign w:val="bottom"/>
            <w:hideMark/>
          </w:tcPr>
          <w:p w14:paraId="45DD075F"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0.005</w:t>
            </w:r>
          </w:p>
        </w:tc>
      </w:tr>
      <w:tr w:rsidR="00C238BA" w:rsidRPr="001F3737" w14:paraId="62157311" w14:textId="77777777" w:rsidTr="00780CEC">
        <w:trPr>
          <w:trHeight w:val="432"/>
        </w:trPr>
        <w:tc>
          <w:tcPr>
            <w:tcW w:w="1397" w:type="pct"/>
            <w:tcBorders>
              <w:top w:val="nil"/>
              <w:left w:val="nil"/>
              <w:bottom w:val="nil"/>
              <w:right w:val="nil"/>
            </w:tcBorders>
            <w:noWrap/>
            <w:vAlign w:val="bottom"/>
            <w:hideMark/>
          </w:tcPr>
          <w:p w14:paraId="3A0A9575" w14:textId="527C3C4E" w:rsidR="00C238BA" w:rsidRPr="001F3737" w:rsidRDefault="00C238BA" w:rsidP="001F3737">
            <w:pPr>
              <w:spacing w:line="360" w:lineRule="auto"/>
              <w:jc w:val="both"/>
              <w:rPr>
                <w:rFonts w:ascii="Book Antiqua" w:eastAsia="Times New Roman" w:hAnsi="Book Antiqua"/>
              </w:rPr>
            </w:pPr>
            <w:r w:rsidRPr="001F3737">
              <w:rPr>
                <w:rFonts w:ascii="Book Antiqua" w:eastAsia="Times New Roman" w:hAnsi="Book Antiqua"/>
              </w:rPr>
              <w:t>Primary malignancy (</w:t>
            </w:r>
            <w:r w:rsidR="0015098C" w:rsidRPr="001F3737">
              <w:rPr>
                <w:rFonts w:ascii="Book Antiqua" w:eastAsia="Times New Roman" w:hAnsi="Book Antiqua"/>
                <w:i/>
              </w:rPr>
              <w:t>vs</w:t>
            </w:r>
            <w:r w:rsidRPr="001F3737">
              <w:rPr>
                <w:rFonts w:ascii="Book Antiqua" w:eastAsia="Times New Roman" w:hAnsi="Book Antiqua"/>
              </w:rPr>
              <w:t xml:space="preserve"> metastatic)</w:t>
            </w:r>
          </w:p>
        </w:tc>
        <w:tc>
          <w:tcPr>
            <w:tcW w:w="673" w:type="pct"/>
            <w:tcBorders>
              <w:top w:val="nil"/>
              <w:left w:val="nil"/>
              <w:bottom w:val="nil"/>
              <w:right w:val="nil"/>
            </w:tcBorders>
            <w:noWrap/>
            <w:vAlign w:val="bottom"/>
            <w:hideMark/>
          </w:tcPr>
          <w:p w14:paraId="43146B11"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0.80</w:t>
            </w:r>
          </w:p>
        </w:tc>
        <w:tc>
          <w:tcPr>
            <w:tcW w:w="644" w:type="pct"/>
            <w:tcBorders>
              <w:top w:val="nil"/>
              <w:left w:val="nil"/>
              <w:bottom w:val="nil"/>
              <w:right w:val="nil"/>
            </w:tcBorders>
            <w:noWrap/>
            <w:vAlign w:val="bottom"/>
            <w:hideMark/>
          </w:tcPr>
          <w:p w14:paraId="015C428C"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0.53 - 1.2</w:t>
            </w:r>
          </w:p>
        </w:tc>
        <w:tc>
          <w:tcPr>
            <w:tcW w:w="485" w:type="pct"/>
            <w:tcBorders>
              <w:top w:val="nil"/>
              <w:left w:val="nil"/>
              <w:bottom w:val="nil"/>
            </w:tcBorders>
            <w:noWrap/>
            <w:vAlign w:val="bottom"/>
            <w:hideMark/>
          </w:tcPr>
          <w:p w14:paraId="4B71A064"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0.281</w:t>
            </w:r>
          </w:p>
        </w:tc>
        <w:tc>
          <w:tcPr>
            <w:tcW w:w="647" w:type="pct"/>
            <w:tcBorders>
              <w:top w:val="nil"/>
              <w:bottom w:val="nil"/>
              <w:right w:val="nil"/>
            </w:tcBorders>
            <w:noWrap/>
            <w:vAlign w:val="bottom"/>
            <w:hideMark/>
          </w:tcPr>
          <w:p w14:paraId="61230A9F"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1.54</w:t>
            </w:r>
          </w:p>
        </w:tc>
        <w:tc>
          <w:tcPr>
            <w:tcW w:w="689" w:type="pct"/>
            <w:tcBorders>
              <w:top w:val="nil"/>
              <w:left w:val="nil"/>
              <w:bottom w:val="nil"/>
              <w:right w:val="nil"/>
            </w:tcBorders>
            <w:noWrap/>
            <w:vAlign w:val="bottom"/>
            <w:hideMark/>
          </w:tcPr>
          <w:p w14:paraId="185B6974"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1 - 2.38</w:t>
            </w:r>
          </w:p>
        </w:tc>
        <w:tc>
          <w:tcPr>
            <w:tcW w:w="465" w:type="pct"/>
            <w:tcBorders>
              <w:top w:val="nil"/>
              <w:left w:val="nil"/>
              <w:bottom w:val="nil"/>
              <w:right w:val="nil"/>
            </w:tcBorders>
            <w:noWrap/>
            <w:vAlign w:val="bottom"/>
            <w:hideMark/>
          </w:tcPr>
          <w:p w14:paraId="05E94C01"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0.050</w:t>
            </w:r>
          </w:p>
        </w:tc>
      </w:tr>
      <w:tr w:rsidR="00C238BA" w:rsidRPr="001F3737" w14:paraId="1DA7C0D0" w14:textId="77777777" w:rsidTr="00780CEC">
        <w:trPr>
          <w:trHeight w:val="432"/>
        </w:trPr>
        <w:tc>
          <w:tcPr>
            <w:tcW w:w="1397" w:type="pct"/>
            <w:tcBorders>
              <w:top w:val="nil"/>
              <w:left w:val="nil"/>
              <w:bottom w:val="nil"/>
              <w:right w:val="nil"/>
            </w:tcBorders>
            <w:noWrap/>
            <w:vAlign w:val="bottom"/>
            <w:hideMark/>
          </w:tcPr>
          <w:p w14:paraId="112CE0AD" w14:textId="587600D4" w:rsidR="00C238BA" w:rsidRPr="001F3737" w:rsidRDefault="00C238BA" w:rsidP="001F3737">
            <w:pPr>
              <w:spacing w:line="360" w:lineRule="auto"/>
              <w:jc w:val="both"/>
              <w:rPr>
                <w:rFonts w:ascii="Book Antiqua" w:eastAsia="Times New Roman" w:hAnsi="Book Antiqua"/>
              </w:rPr>
            </w:pPr>
            <w:r w:rsidRPr="001F3737">
              <w:rPr>
                <w:rFonts w:ascii="Book Antiqua" w:eastAsia="Times New Roman" w:hAnsi="Book Antiqua"/>
              </w:rPr>
              <w:t>Provider specialty (</w:t>
            </w:r>
            <w:r w:rsidR="0015098C" w:rsidRPr="001F3737">
              <w:rPr>
                <w:rFonts w:ascii="Book Antiqua" w:eastAsia="Times New Roman" w:hAnsi="Book Antiqua"/>
                <w:i/>
              </w:rPr>
              <w:t>vs</w:t>
            </w:r>
            <w:r w:rsidRPr="001F3737">
              <w:rPr>
                <w:rFonts w:ascii="Book Antiqua" w:eastAsia="Times New Roman" w:hAnsi="Book Antiqua"/>
              </w:rPr>
              <w:t xml:space="preserve"> general surgery)</w:t>
            </w:r>
          </w:p>
        </w:tc>
        <w:tc>
          <w:tcPr>
            <w:tcW w:w="673" w:type="pct"/>
            <w:tcBorders>
              <w:top w:val="nil"/>
              <w:left w:val="nil"/>
              <w:bottom w:val="nil"/>
              <w:right w:val="nil"/>
            </w:tcBorders>
            <w:noWrap/>
            <w:vAlign w:val="bottom"/>
            <w:hideMark/>
          </w:tcPr>
          <w:p w14:paraId="01B4014D" w14:textId="77777777" w:rsidR="00C238BA" w:rsidRPr="001F3737" w:rsidRDefault="00C238BA" w:rsidP="001F3737">
            <w:pPr>
              <w:spacing w:line="360" w:lineRule="auto"/>
              <w:jc w:val="both"/>
              <w:rPr>
                <w:rFonts w:ascii="Book Antiqua" w:eastAsia="Times New Roman" w:hAnsi="Book Antiqua"/>
                <w:color w:val="000000"/>
              </w:rPr>
            </w:pPr>
          </w:p>
        </w:tc>
        <w:tc>
          <w:tcPr>
            <w:tcW w:w="644" w:type="pct"/>
            <w:tcBorders>
              <w:top w:val="nil"/>
              <w:left w:val="nil"/>
              <w:bottom w:val="nil"/>
              <w:right w:val="nil"/>
            </w:tcBorders>
            <w:noWrap/>
            <w:vAlign w:val="bottom"/>
            <w:hideMark/>
          </w:tcPr>
          <w:p w14:paraId="71A2A024" w14:textId="77777777" w:rsidR="00C238BA" w:rsidRPr="001F3737" w:rsidRDefault="00C238BA" w:rsidP="001F3737">
            <w:pPr>
              <w:spacing w:line="360" w:lineRule="auto"/>
              <w:jc w:val="both"/>
              <w:rPr>
                <w:rFonts w:ascii="Book Antiqua" w:eastAsia="Times New Roman" w:hAnsi="Book Antiqua"/>
                <w:color w:val="000000"/>
              </w:rPr>
            </w:pPr>
          </w:p>
        </w:tc>
        <w:tc>
          <w:tcPr>
            <w:tcW w:w="485" w:type="pct"/>
            <w:tcBorders>
              <w:top w:val="nil"/>
              <w:left w:val="nil"/>
              <w:bottom w:val="nil"/>
            </w:tcBorders>
            <w:noWrap/>
            <w:vAlign w:val="bottom"/>
            <w:hideMark/>
          </w:tcPr>
          <w:p w14:paraId="06E675A0"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 </w:t>
            </w:r>
          </w:p>
        </w:tc>
        <w:tc>
          <w:tcPr>
            <w:tcW w:w="647" w:type="pct"/>
            <w:tcBorders>
              <w:top w:val="nil"/>
              <w:bottom w:val="nil"/>
              <w:right w:val="nil"/>
            </w:tcBorders>
            <w:noWrap/>
            <w:vAlign w:val="bottom"/>
            <w:hideMark/>
          </w:tcPr>
          <w:p w14:paraId="523B3EEF" w14:textId="77777777" w:rsidR="00C238BA" w:rsidRPr="001F3737" w:rsidRDefault="00C238BA" w:rsidP="001F3737">
            <w:pPr>
              <w:spacing w:line="360" w:lineRule="auto"/>
              <w:jc w:val="both"/>
              <w:rPr>
                <w:rFonts w:ascii="Book Antiqua" w:eastAsia="Times New Roman" w:hAnsi="Book Antiqua"/>
                <w:color w:val="000000"/>
              </w:rPr>
            </w:pPr>
          </w:p>
        </w:tc>
        <w:tc>
          <w:tcPr>
            <w:tcW w:w="689" w:type="pct"/>
            <w:tcBorders>
              <w:top w:val="nil"/>
              <w:left w:val="nil"/>
              <w:bottom w:val="nil"/>
              <w:right w:val="nil"/>
            </w:tcBorders>
            <w:noWrap/>
            <w:vAlign w:val="bottom"/>
            <w:hideMark/>
          </w:tcPr>
          <w:p w14:paraId="45EA3F6D" w14:textId="77777777" w:rsidR="00C238BA" w:rsidRPr="001F3737" w:rsidRDefault="00C238BA" w:rsidP="001F3737">
            <w:pPr>
              <w:spacing w:line="360" w:lineRule="auto"/>
              <w:jc w:val="both"/>
              <w:rPr>
                <w:rFonts w:ascii="Book Antiqua" w:eastAsia="Times New Roman" w:hAnsi="Book Antiqua"/>
                <w:color w:val="000000"/>
              </w:rPr>
            </w:pPr>
          </w:p>
        </w:tc>
        <w:tc>
          <w:tcPr>
            <w:tcW w:w="465" w:type="pct"/>
            <w:tcBorders>
              <w:top w:val="nil"/>
              <w:left w:val="nil"/>
              <w:bottom w:val="nil"/>
              <w:right w:val="nil"/>
            </w:tcBorders>
            <w:noWrap/>
            <w:vAlign w:val="bottom"/>
            <w:hideMark/>
          </w:tcPr>
          <w:p w14:paraId="469001F4" w14:textId="77777777" w:rsidR="00C238BA" w:rsidRPr="001F3737" w:rsidRDefault="00C238BA" w:rsidP="001F3737">
            <w:pPr>
              <w:spacing w:line="360" w:lineRule="auto"/>
              <w:jc w:val="both"/>
              <w:rPr>
                <w:rFonts w:ascii="Book Antiqua" w:eastAsia="Times New Roman" w:hAnsi="Book Antiqua"/>
                <w:color w:val="000000"/>
              </w:rPr>
            </w:pPr>
          </w:p>
        </w:tc>
      </w:tr>
      <w:tr w:rsidR="00C238BA" w:rsidRPr="001F3737" w14:paraId="6B561CC5" w14:textId="77777777" w:rsidTr="00780CEC">
        <w:trPr>
          <w:trHeight w:val="432"/>
        </w:trPr>
        <w:tc>
          <w:tcPr>
            <w:tcW w:w="1397" w:type="pct"/>
            <w:tcBorders>
              <w:top w:val="nil"/>
              <w:left w:val="nil"/>
              <w:bottom w:val="nil"/>
              <w:right w:val="nil"/>
            </w:tcBorders>
            <w:noWrap/>
            <w:vAlign w:val="bottom"/>
            <w:hideMark/>
          </w:tcPr>
          <w:p w14:paraId="479CB6DE" w14:textId="77777777" w:rsidR="00C238BA" w:rsidRPr="001F3737" w:rsidRDefault="00C238BA" w:rsidP="001F3737">
            <w:pPr>
              <w:spacing w:line="360" w:lineRule="auto"/>
              <w:ind w:firstLineChars="100" w:firstLine="240"/>
              <w:jc w:val="both"/>
              <w:rPr>
                <w:rFonts w:ascii="Book Antiqua" w:eastAsia="Times New Roman" w:hAnsi="Book Antiqua"/>
              </w:rPr>
            </w:pPr>
            <w:r w:rsidRPr="001F3737">
              <w:rPr>
                <w:rFonts w:ascii="Book Antiqua" w:eastAsia="Times New Roman" w:hAnsi="Book Antiqua"/>
              </w:rPr>
              <w:t>Surgical Oncology</w:t>
            </w:r>
          </w:p>
        </w:tc>
        <w:tc>
          <w:tcPr>
            <w:tcW w:w="673" w:type="pct"/>
            <w:tcBorders>
              <w:top w:val="nil"/>
              <w:left w:val="nil"/>
              <w:bottom w:val="nil"/>
              <w:right w:val="nil"/>
            </w:tcBorders>
            <w:noWrap/>
            <w:vAlign w:val="bottom"/>
            <w:hideMark/>
          </w:tcPr>
          <w:p w14:paraId="62202B2D"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0.30</w:t>
            </w:r>
          </w:p>
        </w:tc>
        <w:tc>
          <w:tcPr>
            <w:tcW w:w="644" w:type="pct"/>
            <w:tcBorders>
              <w:top w:val="nil"/>
              <w:left w:val="nil"/>
              <w:bottom w:val="nil"/>
              <w:right w:val="nil"/>
            </w:tcBorders>
            <w:noWrap/>
            <w:vAlign w:val="bottom"/>
            <w:hideMark/>
          </w:tcPr>
          <w:p w14:paraId="072556F6"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0.2 - 0.46</w:t>
            </w:r>
          </w:p>
        </w:tc>
        <w:tc>
          <w:tcPr>
            <w:tcW w:w="485" w:type="pct"/>
            <w:tcBorders>
              <w:top w:val="nil"/>
              <w:left w:val="nil"/>
              <w:bottom w:val="nil"/>
            </w:tcBorders>
            <w:noWrap/>
            <w:vAlign w:val="bottom"/>
            <w:hideMark/>
          </w:tcPr>
          <w:p w14:paraId="3E85C747" w14:textId="65ADE543"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&lt;</w:t>
            </w:r>
            <w:r w:rsidR="00780CEC" w:rsidRPr="001F3737">
              <w:rPr>
                <w:rFonts w:ascii="Book Antiqua" w:eastAsia="宋体" w:hAnsi="Book Antiqua"/>
                <w:bCs/>
                <w:color w:val="000000"/>
                <w:lang w:eastAsia="zh-CN"/>
              </w:rPr>
              <w:t xml:space="preserve"> 0</w:t>
            </w:r>
            <w:r w:rsidRPr="001F3737">
              <w:rPr>
                <w:rFonts w:ascii="Book Antiqua" w:eastAsia="Times New Roman" w:hAnsi="Book Antiqua"/>
                <w:bCs/>
                <w:color w:val="000000"/>
              </w:rPr>
              <w:t>.0001</w:t>
            </w:r>
          </w:p>
        </w:tc>
        <w:tc>
          <w:tcPr>
            <w:tcW w:w="647" w:type="pct"/>
            <w:tcBorders>
              <w:top w:val="nil"/>
              <w:bottom w:val="nil"/>
              <w:right w:val="nil"/>
            </w:tcBorders>
            <w:noWrap/>
            <w:vAlign w:val="bottom"/>
            <w:hideMark/>
          </w:tcPr>
          <w:p w14:paraId="2D3AB334"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0.65</w:t>
            </w:r>
          </w:p>
        </w:tc>
        <w:tc>
          <w:tcPr>
            <w:tcW w:w="689" w:type="pct"/>
            <w:tcBorders>
              <w:top w:val="nil"/>
              <w:left w:val="nil"/>
              <w:bottom w:val="nil"/>
              <w:right w:val="nil"/>
            </w:tcBorders>
            <w:noWrap/>
            <w:vAlign w:val="bottom"/>
            <w:hideMark/>
          </w:tcPr>
          <w:p w14:paraId="3FF9A583"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0.42 - 1.01</w:t>
            </w:r>
          </w:p>
        </w:tc>
        <w:tc>
          <w:tcPr>
            <w:tcW w:w="465" w:type="pct"/>
            <w:tcBorders>
              <w:top w:val="nil"/>
              <w:left w:val="nil"/>
              <w:bottom w:val="nil"/>
              <w:right w:val="nil"/>
            </w:tcBorders>
            <w:noWrap/>
            <w:vAlign w:val="bottom"/>
            <w:hideMark/>
          </w:tcPr>
          <w:p w14:paraId="674F6156"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0.005</w:t>
            </w:r>
          </w:p>
        </w:tc>
      </w:tr>
      <w:tr w:rsidR="00C238BA" w:rsidRPr="001F3737" w14:paraId="0184202F" w14:textId="77777777" w:rsidTr="00780CEC">
        <w:trPr>
          <w:trHeight w:val="432"/>
        </w:trPr>
        <w:tc>
          <w:tcPr>
            <w:tcW w:w="1397" w:type="pct"/>
            <w:tcBorders>
              <w:top w:val="nil"/>
              <w:left w:val="nil"/>
              <w:bottom w:val="nil"/>
              <w:right w:val="nil"/>
            </w:tcBorders>
            <w:noWrap/>
            <w:vAlign w:val="bottom"/>
            <w:hideMark/>
          </w:tcPr>
          <w:p w14:paraId="619AAD6C" w14:textId="77777777" w:rsidR="00C238BA" w:rsidRPr="001F3737" w:rsidRDefault="00C238BA" w:rsidP="001F3737">
            <w:pPr>
              <w:spacing w:line="360" w:lineRule="auto"/>
              <w:ind w:firstLineChars="100" w:firstLine="240"/>
              <w:jc w:val="both"/>
              <w:rPr>
                <w:rFonts w:ascii="Book Antiqua" w:eastAsia="Times New Roman" w:hAnsi="Book Antiqua"/>
              </w:rPr>
            </w:pPr>
            <w:r w:rsidRPr="001F3737">
              <w:rPr>
                <w:rFonts w:ascii="Book Antiqua" w:eastAsia="Times New Roman" w:hAnsi="Book Antiqua"/>
              </w:rPr>
              <w:t>Other Specialty</w:t>
            </w:r>
          </w:p>
        </w:tc>
        <w:tc>
          <w:tcPr>
            <w:tcW w:w="673" w:type="pct"/>
            <w:tcBorders>
              <w:top w:val="nil"/>
              <w:left w:val="nil"/>
              <w:bottom w:val="nil"/>
              <w:right w:val="nil"/>
            </w:tcBorders>
            <w:noWrap/>
            <w:vAlign w:val="bottom"/>
            <w:hideMark/>
          </w:tcPr>
          <w:p w14:paraId="05FBEBD1"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0.68</w:t>
            </w:r>
          </w:p>
        </w:tc>
        <w:tc>
          <w:tcPr>
            <w:tcW w:w="644" w:type="pct"/>
            <w:tcBorders>
              <w:top w:val="nil"/>
              <w:left w:val="nil"/>
              <w:bottom w:val="nil"/>
              <w:right w:val="nil"/>
            </w:tcBorders>
            <w:noWrap/>
            <w:vAlign w:val="bottom"/>
            <w:hideMark/>
          </w:tcPr>
          <w:p w14:paraId="2C9273C3"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0.4 - 1.16</w:t>
            </w:r>
          </w:p>
        </w:tc>
        <w:tc>
          <w:tcPr>
            <w:tcW w:w="485" w:type="pct"/>
            <w:tcBorders>
              <w:top w:val="nil"/>
              <w:left w:val="nil"/>
              <w:bottom w:val="nil"/>
            </w:tcBorders>
            <w:noWrap/>
            <w:vAlign w:val="bottom"/>
            <w:hideMark/>
          </w:tcPr>
          <w:p w14:paraId="096FDA95" w14:textId="77777777" w:rsidR="00C238BA" w:rsidRPr="001F3737" w:rsidRDefault="00C238BA"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0.402</w:t>
            </w:r>
          </w:p>
        </w:tc>
        <w:tc>
          <w:tcPr>
            <w:tcW w:w="647" w:type="pct"/>
            <w:tcBorders>
              <w:top w:val="nil"/>
              <w:bottom w:val="nil"/>
              <w:right w:val="nil"/>
            </w:tcBorders>
            <w:noWrap/>
            <w:vAlign w:val="bottom"/>
            <w:hideMark/>
          </w:tcPr>
          <w:p w14:paraId="23213855"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1.48</w:t>
            </w:r>
          </w:p>
        </w:tc>
        <w:tc>
          <w:tcPr>
            <w:tcW w:w="689" w:type="pct"/>
            <w:tcBorders>
              <w:top w:val="nil"/>
              <w:left w:val="nil"/>
              <w:bottom w:val="nil"/>
              <w:right w:val="nil"/>
            </w:tcBorders>
            <w:noWrap/>
            <w:vAlign w:val="bottom"/>
            <w:hideMark/>
          </w:tcPr>
          <w:p w14:paraId="4C7AE32E"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0.85 - 2.57</w:t>
            </w:r>
          </w:p>
        </w:tc>
        <w:tc>
          <w:tcPr>
            <w:tcW w:w="465" w:type="pct"/>
            <w:tcBorders>
              <w:top w:val="nil"/>
              <w:left w:val="nil"/>
              <w:bottom w:val="nil"/>
              <w:right w:val="nil"/>
            </w:tcBorders>
            <w:noWrap/>
            <w:vAlign w:val="bottom"/>
            <w:hideMark/>
          </w:tcPr>
          <w:p w14:paraId="216A2E6F"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0.023</w:t>
            </w:r>
          </w:p>
        </w:tc>
      </w:tr>
      <w:tr w:rsidR="00C238BA" w:rsidRPr="001F3737" w14:paraId="67C32569" w14:textId="77777777" w:rsidTr="00780CEC">
        <w:trPr>
          <w:trHeight w:val="432"/>
        </w:trPr>
        <w:tc>
          <w:tcPr>
            <w:tcW w:w="1397" w:type="pct"/>
            <w:tcBorders>
              <w:top w:val="nil"/>
              <w:left w:val="nil"/>
              <w:bottom w:val="nil"/>
              <w:right w:val="nil"/>
            </w:tcBorders>
            <w:noWrap/>
            <w:vAlign w:val="bottom"/>
            <w:hideMark/>
          </w:tcPr>
          <w:p w14:paraId="44D365F8" w14:textId="5AFA4E89" w:rsidR="00C238BA" w:rsidRPr="001F3737" w:rsidRDefault="00C238BA" w:rsidP="001F3737">
            <w:pPr>
              <w:spacing w:line="360" w:lineRule="auto"/>
              <w:jc w:val="both"/>
              <w:rPr>
                <w:rFonts w:ascii="Book Antiqua" w:eastAsia="Times New Roman" w:hAnsi="Book Antiqua"/>
              </w:rPr>
            </w:pPr>
            <w:r w:rsidRPr="001F3737">
              <w:rPr>
                <w:rFonts w:ascii="Book Antiqua" w:eastAsia="Times New Roman" w:hAnsi="Book Antiqua"/>
              </w:rPr>
              <w:t>Case cohort (</w:t>
            </w:r>
            <w:r w:rsidR="0015098C" w:rsidRPr="001F3737">
              <w:rPr>
                <w:rFonts w:ascii="Book Antiqua" w:eastAsia="Times New Roman" w:hAnsi="Book Antiqua"/>
                <w:i/>
              </w:rPr>
              <w:t>vs</w:t>
            </w:r>
            <w:r w:rsidRPr="001F3737">
              <w:rPr>
                <w:rFonts w:ascii="Book Antiqua" w:eastAsia="Times New Roman" w:hAnsi="Book Antiqua"/>
              </w:rPr>
              <w:t xml:space="preserve"> matched controls)</w:t>
            </w:r>
          </w:p>
        </w:tc>
        <w:tc>
          <w:tcPr>
            <w:tcW w:w="673" w:type="pct"/>
            <w:tcBorders>
              <w:top w:val="nil"/>
              <w:left w:val="nil"/>
              <w:bottom w:val="nil"/>
              <w:right w:val="nil"/>
            </w:tcBorders>
            <w:noWrap/>
            <w:vAlign w:val="bottom"/>
            <w:hideMark/>
          </w:tcPr>
          <w:p w14:paraId="7CFBAC17"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2.56</w:t>
            </w:r>
          </w:p>
        </w:tc>
        <w:tc>
          <w:tcPr>
            <w:tcW w:w="644" w:type="pct"/>
            <w:tcBorders>
              <w:top w:val="nil"/>
              <w:left w:val="nil"/>
              <w:bottom w:val="nil"/>
              <w:right w:val="nil"/>
            </w:tcBorders>
            <w:noWrap/>
            <w:vAlign w:val="bottom"/>
            <w:hideMark/>
          </w:tcPr>
          <w:p w14:paraId="5E05E138"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1.7 - 3.86</w:t>
            </w:r>
          </w:p>
        </w:tc>
        <w:tc>
          <w:tcPr>
            <w:tcW w:w="485" w:type="pct"/>
            <w:tcBorders>
              <w:top w:val="nil"/>
              <w:left w:val="nil"/>
              <w:bottom w:val="nil"/>
            </w:tcBorders>
            <w:noWrap/>
            <w:vAlign w:val="bottom"/>
            <w:hideMark/>
          </w:tcPr>
          <w:p w14:paraId="229E0CB8" w14:textId="5B411C85"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&lt;</w:t>
            </w:r>
            <w:r w:rsidR="00780CEC" w:rsidRPr="001F3737">
              <w:rPr>
                <w:rFonts w:ascii="Book Antiqua" w:eastAsia="宋体" w:hAnsi="Book Antiqua"/>
                <w:bCs/>
                <w:color w:val="000000"/>
                <w:lang w:eastAsia="zh-CN"/>
              </w:rPr>
              <w:t xml:space="preserve"> 0</w:t>
            </w:r>
            <w:r w:rsidRPr="001F3737">
              <w:rPr>
                <w:rFonts w:ascii="Book Antiqua" w:eastAsia="Times New Roman" w:hAnsi="Book Antiqua"/>
                <w:bCs/>
                <w:color w:val="000000"/>
              </w:rPr>
              <w:t>.0001</w:t>
            </w:r>
          </w:p>
        </w:tc>
        <w:tc>
          <w:tcPr>
            <w:tcW w:w="647" w:type="pct"/>
            <w:tcBorders>
              <w:top w:val="nil"/>
              <w:bottom w:val="nil"/>
              <w:right w:val="nil"/>
            </w:tcBorders>
            <w:noWrap/>
            <w:vAlign w:val="bottom"/>
            <w:hideMark/>
          </w:tcPr>
          <w:p w14:paraId="245AAD7C" w14:textId="77777777" w:rsidR="00C238BA" w:rsidRPr="001F3737" w:rsidRDefault="00C238BA" w:rsidP="001F3737">
            <w:pPr>
              <w:spacing w:line="360" w:lineRule="auto"/>
              <w:jc w:val="both"/>
              <w:rPr>
                <w:rFonts w:ascii="Book Antiqua" w:eastAsia="Times New Roman" w:hAnsi="Book Antiqua"/>
                <w:bCs/>
              </w:rPr>
            </w:pPr>
            <w:r w:rsidRPr="001F3737">
              <w:rPr>
                <w:rFonts w:ascii="Book Antiqua" w:eastAsia="Times New Roman" w:hAnsi="Book Antiqua"/>
                <w:bCs/>
              </w:rPr>
              <w:t>0.44</w:t>
            </w:r>
          </w:p>
        </w:tc>
        <w:tc>
          <w:tcPr>
            <w:tcW w:w="689" w:type="pct"/>
            <w:tcBorders>
              <w:top w:val="nil"/>
              <w:left w:val="nil"/>
              <w:bottom w:val="nil"/>
              <w:right w:val="nil"/>
            </w:tcBorders>
            <w:noWrap/>
            <w:vAlign w:val="bottom"/>
            <w:hideMark/>
          </w:tcPr>
          <w:p w14:paraId="45BE4231" w14:textId="77777777" w:rsidR="00C238BA" w:rsidRPr="001F3737" w:rsidRDefault="00C238BA" w:rsidP="001F3737">
            <w:pPr>
              <w:spacing w:line="360" w:lineRule="auto"/>
              <w:jc w:val="both"/>
              <w:rPr>
                <w:rFonts w:ascii="Book Antiqua" w:eastAsia="Times New Roman" w:hAnsi="Book Antiqua"/>
                <w:bCs/>
              </w:rPr>
            </w:pPr>
            <w:r w:rsidRPr="001F3737">
              <w:rPr>
                <w:rFonts w:ascii="Book Antiqua" w:eastAsia="Times New Roman" w:hAnsi="Book Antiqua"/>
                <w:bCs/>
              </w:rPr>
              <w:t>0.27 - 0.71</w:t>
            </w:r>
          </w:p>
        </w:tc>
        <w:tc>
          <w:tcPr>
            <w:tcW w:w="465" w:type="pct"/>
            <w:tcBorders>
              <w:top w:val="nil"/>
              <w:left w:val="nil"/>
              <w:bottom w:val="nil"/>
              <w:right w:val="nil"/>
            </w:tcBorders>
            <w:noWrap/>
            <w:vAlign w:val="bottom"/>
            <w:hideMark/>
          </w:tcPr>
          <w:p w14:paraId="2EFE2AF8" w14:textId="77777777" w:rsidR="00C238BA" w:rsidRPr="001F3737" w:rsidRDefault="00C238BA" w:rsidP="001F3737">
            <w:pPr>
              <w:spacing w:line="360" w:lineRule="auto"/>
              <w:jc w:val="both"/>
              <w:rPr>
                <w:rFonts w:ascii="Book Antiqua" w:eastAsia="Times New Roman" w:hAnsi="Book Antiqua"/>
                <w:bCs/>
              </w:rPr>
            </w:pPr>
            <w:r w:rsidRPr="001F3737">
              <w:rPr>
                <w:rFonts w:ascii="Book Antiqua" w:eastAsia="Times New Roman" w:hAnsi="Book Antiqua"/>
                <w:bCs/>
              </w:rPr>
              <w:t>0.0008</w:t>
            </w:r>
          </w:p>
        </w:tc>
      </w:tr>
      <w:tr w:rsidR="00C238BA" w:rsidRPr="001F3737" w14:paraId="6674D379" w14:textId="77777777" w:rsidTr="00780CEC">
        <w:trPr>
          <w:trHeight w:val="432"/>
        </w:trPr>
        <w:tc>
          <w:tcPr>
            <w:tcW w:w="1397" w:type="pct"/>
            <w:tcBorders>
              <w:top w:val="nil"/>
              <w:left w:val="nil"/>
              <w:bottom w:val="single" w:sz="4" w:space="0" w:color="auto"/>
              <w:right w:val="nil"/>
            </w:tcBorders>
            <w:noWrap/>
            <w:vAlign w:val="bottom"/>
            <w:hideMark/>
          </w:tcPr>
          <w:p w14:paraId="447F2BA0" w14:textId="77777777" w:rsidR="00C238BA" w:rsidRPr="001F3737" w:rsidRDefault="00C238BA" w:rsidP="001F3737">
            <w:pPr>
              <w:spacing w:line="360" w:lineRule="auto"/>
              <w:jc w:val="both"/>
              <w:rPr>
                <w:rFonts w:ascii="Book Antiqua" w:eastAsia="Times New Roman" w:hAnsi="Book Antiqua"/>
              </w:rPr>
            </w:pPr>
            <w:r w:rsidRPr="001F3737">
              <w:rPr>
                <w:rFonts w:ascii="Book Antiqua" w:eastAsia="Times New Roman" w:hAnsi="Book Antiqua"/>
              </w:rPr>
              <w:t>Topical Hemostat Use</w:t>
            </w:r>
          </w:p>
        </w:tc>
        <w:tc>
          <w:tcPr>
            <w:tcW w:w="673" w:type="pct"/>
            <w:tcBorders>
              <w:top w:val="nil"/>
              <w:left w:val="nil"/>
              <w:bottom w:val="single" w:sz="4" w:space="0" w:color="auto"/>
              <w:right w:val="nil"/>
            </w:tcBorders>
            <w:noWrap/>
            <w:vAlign w:val="bottom"/>
            <w:hideMark/>
          </w:tcPr>
          <w:p w14:paraId="5DB963FA" w14:textId="4D6CF8D1" w:rsidR="00C238BA" w:rsidRPr="001F3737" w:rsidRDefault="00780CEC"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N/A</w:t>
            </w:r>
          </w:p>
        </w:tc>
        <w:tc>
          <w:tcPr>
            <w:tcW w:w="644" w:type="pct"/>
            <w:tcBorders>
              <w:top w:val="nil"/>
              <w:left w:val="nil"/>
              <w:bottom w:val="single" w:sz="4" w:space="0" w:color="auto"/>
              <w:right w:val="nil"/>
            </w:tcBorders>
            <w:noWrap/>
            <w:vAlign w:val="bottom"/>
            <w:hideMark/>
          </w:tcPr>
          <w:p w14:paraId="2C3D5945" w14:textId="2ECDC2F8" w:rsidR="00C238BA" w:rsidRPr="001F3737" w:rsidRDefault="00780CEC"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N/A</w:t>
            </w:r>
          </w:p>
        </w:tc>
        <w:tc>
          <w:tcPr>
            <w:tcW w:w="485" w:type="pct"/>
            <w:tcBorders>
              <w:top w:val="nil"/>
              <w:left w:val="nil"/>
              <w:bottom w:val="single" w:sz="4" w:space="0" w:color="auto"/>
            </w:tcBorders>
            <w:noWrap/>
            <w:vAlign w:val="bottom"/>
            <w:hideMark/>
          </w:tcPr>
          <w:p w14:paraId="489671AD" w14:textId="72D7AD46" w:rsidR="00C238BA" w:rsidRPr="001F3737" w:rsidRDefault="00780CEC" w:rsidP="001F3737">
            <w:pPr>
              <w:spacing w:line="360" w:lineRule="auto"/>
              <w:jc w:val="both"/>
              <w:rPr>
                <w:rFonts w:ascii="Book Antiqua" w:eastAsia="Times New Roman" w:hAnsi="Book Antiqua"/>
                <w:color w:val="000000"/>
              </w:rPr>
            </w:pPr>
            <w:r w:rsidRPr="001F3737">
              <w:rPr>
                <w:rFonts w:ascii="Book Antiqua" w:eastAsia="Times New Roman" w:hAnsi="Book Antiqua"/>
                <w:color w:val="000000"/>
              </w:rPr>
              <w:t>N/A</w:t>
            </w:r>
          </w:p>
        </w:tc>
        <w:tc>
          <w:tcPr>
            <w:tcW w:w="647" w:type="pct"/>
            <w:tcBorders>
              <w:top w:val="nil"/>
              <w:bottom w:val="single" w:sz="4" w:space="0" w:color="auto"/>
              <w:right w:val="nil"/>
            </w:tcBorders>
            <w:noWrap/>
            <w:vAlign w:val="bottom"/>
            <w:hideMark/>
          </w:tcPr>
          <w:p w14:paraId="4E93C9DF"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1.87</w:t>
            </w:r>
          </w:p>
        </w:tc>
        <w:tc>
          <w:tcPr>
            <w:tcW w:w="689" w:type="pct"/>
            <w:tcBorders>
              <w:top w:val="nil"/>
              <w:left w:val="nil"/>
              <w:bottom w:val="single" w:sz="4" w:space="0" w:color="auto"/>
              <w:right w:val="nil"/>
            </w:tcBorders>
            <w:noWrap/>
            <w:vAlign w:val="bottom"/>
            <w:hideMark/>
          </w:tcPr>
          <w:p w14:paraId="16B4498E"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1.33 - 2.64</w:t>
            </w:r>
          </w:p>
        </w:tc>
        <w:tc>
          <w:tcPr>
            <w:tcW w:w="465" w:type="pct"/>
            <w:tcBorders>
              <w:top w:val="nil"/>
              <w:left w:val="nil"/>
              <w:bottom w:val="single" w:sz="4" w:space="0" w:color="auto"/>
              <w:right w:val="nil"/>
            </w:tcBorders>
            <w:noWrap/>
            <w:vAlign w:val="bottom"/>
            <w:hideMark/>
          </w:tcPr>
          <w:p w14:paraId="1D768263" w14:textId="77777777" w:rsidR="00C238BA" w:rsidRPr="001F3737" w:rsidRDefault="00C238BA" w:rsidP="001F3737">
            <w:pPr>
              <w:spacing w:line="360" w:lineRule="auto"/>
              <w:jc w:val="both"/>
              <w:rPr>
                <w:rFonts w:ascii="Book Antiqua" w:eastAsia="Times New Roman" w:hAnsi="Book Antiqua"/>
                <w:bCs/>
                <w:color w:val="000000"/>
              </w:rPr>
            </w:pPr>
            <w:r w:rsidRPr="001F3737">
              <w:rPr>
                <w:rFonts w:ascii="Book Antiqua" w:eastAsia="Times New Roman" w:hAnsi="Book Antiqua"/>
                <w:bCs/>
                <w:color w:val="000000"/>
              </w:rPr>
              <w:t>0.0004</w:t>
            </w:r>
          </w:p>
        </w:tc>
      </w:tr>
    </w:tbl>
    <w:p w14:paraId="33136033" w14:textId="573216F2" w:rsidR="00C238BA" w:rsidRPr="001F3737" w:rsidRDefault="0052420F" w:rsidP="001F3737">
      <w:pPr>
        <w:spacing w:line="360" w:lineRule="auto"/>
        <w:jc w:val="both"/>
        <w:rPr>
          <w:rFonts w:ascii="Book Antiqua" w:hAnsi="Book Antiqua"/>
        </w:rPr>
      </w:pPr>
      <w:r w:rsidRPr="001F3737">
        <w:rPr>
          <w:rFonts w:ascii="Book Antiqua" w:hAnsi="Book Antiqua"/>
        </w:rPr>
        <w:t>Only covariates that were significant in at least on model (</w:t>
      </w:r>
      <w:r w:rsidRPr="001F3737">
        <w:rPr>
          <w:rFonts w:ascii="Book Antiqua" w:hAnsi="Book Antiqua"/>
          <w:i/>
        </w:rPr>
        <w:t>P</w:t>
      </w:r>
      <w:r w:rsidRPr="001F3737">
        <w:rPr>
          <w:rFonts w:ascii="Book Antiqua" w:hAnsi="Book Antiqua"/>
        </w:rPr>
        <w:t xml:space="preserve"> &lt; </w:t>
      </w:r>
      <w:r w:rsidR="0015098C" w:rsidRPr="001F3737">
        <w:rPr>
          <w:rFonts w:ascii="Book Antiqua" w:eastAsia="宋体" w:hAnsi="Book Antiqua"/>
          <w:lang w:eastAsia="zh-CN"/>
        </w:rPr>
        <w:t>0</w:t>
      </w:r>
      <w:r w:rsidRPr="001F3737">
        <w:rPr>
          <w:rFonts w:ascii="Book Antiqua" w:hAnsi="Book Antiqua"/>
        </w:rPr>
        <w:t>.05) are listed here.  Full model covariates included: age group, sex, race, geographic region, resection type, malignancy type, diagnosis of non-alcoholic cirrhosis, Hepatitis B, or Hepatitis C, provider specialty, study cohort, and topical hemostat use.</w:t>
      </w:r>
    </w:p>
    <w:sectPr w:rsidR="00C238BA" w:rsidRPr="001F3737" w:rsidSect="000E6F7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0BCC3" w14:textId="77777777" w:rsidR="00A8694E" w:rsidRDefault="00A8694E" w:rsidP="00DA2770">
      <w:r>
        <w:separator/>
      </w:r>
    </w:p>
  </w:endnote>
  <w:endnote w:type="continuationSeparator" w:id="0">
    <w:p w14:paraId="4A9A885A" w14:textId="77777777" w:rsidR="00A8694E" w:rsidRDefault="00A8694E" w:rsidP="00DA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8FEE" w14:textId="77777777" w:rsidR="00CC1953" w:rsidRPr="00DA2770" w:rsidRDefault="00CC1953" w:rsidP="00DA2770">
    <w:pPr>
      <w:pStyle w:val="Footer"/>
    </w:pPr>
    <w:r w:rsidRPr="00DA2770">
      <w:rPr>
        <w:rStyle w:val="PageNumber"/>
      </w:rPr>
      <w:fldChar w:fldCharType="begin"/>
    </w:r>
    <w:r w:rsidRPr="00DA2770">
      <w:rPr>
        <w:rStyle w:val="PageNumber"/>
      </w:rPr>
      <w:instrText xml:space="preserve"> PAGE </w:instrText>
    </w:r>
    <w:r w:rsidRPr="00DA2770">
      <w:rPr>
        <w:rStyle w:val="PageNumber"/>
      </w:rPr>
      <w:fldChar w:fldCharType="separate"/>
    </w:r>
    <w:r w:rsidR="00C2609C">
      <w:rPr>
        <w:rStyle w:val="PageNumber"/>
        <w:noProof/>
      </w:rPr>
      <w:t>22</w:t>
    </w:r>
    <w:r w:rsidRPr="00DA2770">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AB0DF" w14:textId="77777777" w:rsidR="00CC1953" w:rsidRPr="00DA2770" w:rsidRDefault="00CC1953" w:rsidP="00DA2770">
    <w:pPr>
      <w:pStyle w:val="Footer"/>
    </w:pPr>
    <w:r w:rsidRPr="00DA2770">
      <w:rPr>
        <w:rStyle w:val="PageNumber"/>
      </w:rPr>
      <w:fldChar w:fldCharType="begin"/>
    </w:r>
    <w:r w:rsidRPr="00DA2770">
      <w:rPr>
        <w:rStyle w:val="PageNumber"/>
      </w:rPr>
      <w:instrText xml:space="preserve"> PAGE </w:instrText>
    </w:r>
    <w:r w:rsidRPr="00DA2770">
      <w:rPr>
        <w:rStyle w:val="PageNumber"/>
      </w:rPr>
      <w:fldChar w:fldCharType="separate"/>
    </w:r>
    <w:r w:rsidR="00C2609C">
      <w:rPr>
        <w:rStyle w:val="PageNumber"/>
        <w:noProof/>
      </w:rPr>
      <w:t>29</w:t>
    </w:r>
    <w:r w:rsidRPr="00DA2770">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AEDDB" w14:textId="77777777" w:rsidR="00A8694E" w:rsidRDefault="00A8694E" w:rsidP="00DA2770">
      <w:r>
        <w:separator/>
      </w:r>
    </w:p>
  </w:footnote>
  <w:footnote w:type="continuationSeparator" w:id="0">
    <w:p w14:paraId="74272643" w14:textId="77777777" w:rsidR="00A8694E" w:rsidRDefault="00A8694E" w:rsidP="00DA27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90A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005114"/>
    <w:lvl w:ilvl="0">
      <w:start w:val="1"/>
      <w:numFmt w:val="decimal"/>
      <w:lvlText w:val="%1."/>
      <w:lvlJc w:val="left"/>
      <w:pPr>
        <w:tabs>
          <w:tab w:val="num" w:pos="1800"/>
        </w:tabs>
        <w:ind w:left="1800" w:hanging="360"/>
      </w:pPr>
    </w:lvl>
  </w:abstractNum>
  <w:abstractNum w:abstractNumId="2">
    <w:nsid w:val="FFFFFF7D"/>
    <w:multiLevelType w:val="singleLevel"/>
    <w:tmpl w:val="BB3C9CCE"/>
    <w:lvl w:ilvl="0">
      <w:start w:val="1"/>
      <w:numFmt w:val="decimal"/>
      <w:lvlText w:val="%1."/>
      <w:lvlJc w:val="left"/>
      <w:pPr>
        <w:tabs>
          <w:tab w:val="num" w:pos="1440"/>
        </w:tabs>
        <w:ind w:left="1440" w:hanging="360"/>
      </w:pPr>
    </w:lvl>
  </w:abstractNum>
  <w:abstractNum w:abstractNumId="3">
    <w:nsid w:val="FFFFFF7E"/>
    <w:multiLevelType w:val="singleLevel"/>
    <w:tmpl w:val="3026886A"/>
    <w:lvl w:ilvl="0">
      <w:start w:val="1"/>
      <w:numFmt w:val="decimal"/>
      <w:lvlText w:val="%1."/>
      <w:lvlJc w:val="left"/>
      <w:pPr>
        <w:tabs>
          <w:tab w:val="num" w:pos="1080"/>
        </w:tabs>
        <w:ind w:left="1080" w:hanging="360"/>
      </w:pPr>
    </w:lvl>
  </w:abstractNum>
  <w:abstractNum w:abstractNumId="4">
    <w:nsid w:val="FFFFFF7F"/>
    <w:multiLevelType w:val="singleLevel"/>
    <w:tmpl w:val="BF5A5BFC"/>
    <w:lvl w:ilvl="0">
      <w:start w:val="1"/>
      <w:numFmt w:val="decimal"/>
      <w:lvlText w:val="%1."/>
      <w:lvlJc w:val="left"/>
      <w:pPr>
        <w:tabs>
          <w:tab w:val="num" w:pos="720"/>
        </w:tabs>
        <w:ind w:left="720" w:hanging="360"/>
      </w:pPr>
    </w:lvl>
  </w:abstractNum>
  <w:abstractNum w:abstractNumId="5">
    <w:nsid w:val="FFFFFF80"/>
    <w:multiLevelType w:val="singleLevel"/>
    <w:tmpl w:val="A54009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7A6541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BEB21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3469DF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B6A263C"/>
    <w:lvl w:ilvl="0">
      <w:start w:val="1"/>
      <w:numFmt w:val="decimal"/>
      <w:lvlText w:val="%1."/>
      <w:lvlJc w:val="left"/>
      <w:pPr>
        <w:tabs>
          <w:tab w:val="num" w:pos="360"/>
        </w:tabs>
        <w:ind w:left="360" w:hanging="360"/>
      </w:pPr>
    </w:lvl>
  </w:abstractNum>
  <w:abstractNum w:abstractNumId="10">
    <w:nsid w:val="FFFFFF89"/>
    <w:multiLevelType w:val="singleLevel"/>
    <w:tmpl w:val="DC60C91A"/>
    <w:lvl w:ilvl="0">
      <w:start w:val="1"/>
      <w:numFmt w:val="bullet"/>
      <w:lvlText w:val=""/>
      <w:lvlJc w:val="left"/>
      <w:pPr>
        <w:tabs>
          <w:tab w:val="num" w:pos="360"/>
        </w:tabs>
        <w:ind w:left="360" w:hanging="360"/>
      </w:pPr>
      <w:rPr>
        <w:rFonts w:ascii="Symbol" w:hAnsi="Symbol" w:hint="default"/>
      </w:rPr>
    </w:lvl>
  </w:abstractNum>
  <w:abstractNum w:abstractNumId="11">
    <w:nsid w:val="00CA6DE9"/>
    <w:multiLevelType w:val="multilevel"/>
    <w:tmpl w:val="08365AB4"/>
    <w:lvl w:ilvl="0">
      <w:start w:val="1"/>
      <w:numFmt w:val="decimal"/>
      <w:lvlText w:val="%1.0"/>
      <w:lvlJc w:val="left"/>
      <w:pPr>
        <w:ind w:left="792" w:hanging="792"/>
      </w:pPr>
      <w:rPr>
        <w:rFonts w:hint="default"/>
      </w:rPr>
    </w:lvl>
    <w:lvl w:ilvl="1">
      <w:start w:val="1"/>
      <w:numFmt w:val="decimal"/>
      <w:lvlText w:val="%1.%2"/>
      <w:lvlJc w:val="left"/>
      <w:pPr>
        <w:ind w:left="1512" w:hanging="792"/>
      </w:pPr>
      <w:rPr>
        <w:rFonts w:hint="default"/>
        <w:b w:val="0"/>
      </w:rPr>
    </w:lvl>
    <w:lvl w:ilvl="2">
      <w:start w:val="1"/>
      <w:numFmt w:val="decimal"/>
      <w:lvlText w:val="%1.%2.%3"/>
      <w:lvlJc w:val="left"/>
      <w:pPr>
        <w:ind w:left="2232" w:hanging="792"/>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01E1569B"/>
    <w:multiLevelType w:val="multilevel"/>
    <w:tmpl w:val="08365AB4"/>
    <w:lvl w:ilvl="0">
      <w:start w:val="1"/>
      <w:numFmt w:val="decimal"/>
      <w:lvlText w:val="%1.0"/>
      <w:lvlJc w:val="left"/>
      <w:pPr>
        <w:ind w:left="792" w:hanging="792"/>
      </w:pPr>
      <w:rPr>
        <w:rFonts w:hint="default"/>
      </w:rPr>
    </w:lvl>
    <w:lvl w:ilvl="1">
      <w:start w:val="1"/>
      <w:numFmt w:val="decimal"/>
      <w:lvlText w:val="%1.%2"/>
      <w:lvlJc w:val="left"/>
      <w:pPr>
        <w:ind w:left="1512" w:hanging="792"/>
      </w:pPr>
      <w:rPr>
        <w:rFonts w:hint="default"/>
        <w:b w:val="0"/>
      </w:rPr>
    </w:lvl>
    <w:lvl w:ilvl="2">
      <w:start w:val="1"/>
      <w:numFmt w:val="decimal"/>
      <w:lvlText w:val="%1.%2.%3"/>
      <w:lvlJc w:val="left"/>
      <w:pPr>
        <w:ind w:left="2232" w:hanging="792"/>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04816B28"/>
    <w:multiLevelType w:val="multilevel"/>
    <w:tmpl w:val="870A0E3E"/>
    <w:lvl w:ilvl="0">
      <w:start w:val="1"/>
      <w:numFmt w:val="decimal"/>
      <w:lvlText w:val="%1.0"/>
      <w:lvlJc w:val="left"/>
      <w:pPr>
        <w:ind w:left="792" w:hanging="792"/>
      </w:pPr>
      <w:rPr>
        <w:rFonts w:hint="default"/>
      </w:rPr>
    </w:lvl>
    <w:lvl w:ilvl="1">
      <w:start w:val="1"/>
      <w:numFmt w:val="decimal"/>
      <w:lvlText w:val="%1.%2"/>
      <w:lvlJc w:val="left"/>
      <w:pPr>
        <w:ind w:left="1512" w:hanging="792"/>
      </w:pPr>
      <w:rPr>
        <w:rFonts w:hint="default"/>
        <w:b w:val="0"/>
      </w:rPr>
    </w:lvl>
    <w:lvl w:ilvl="2">
      <w:start w:val="1"/>
      <w:numFmt w:val="bullet"/>
      <w:lvlText w:val=""/>
      <w:lvlJc w:val="left"/>
      <w:pPr>
        <w:ind w:left="2232" w:hanging="792"/>
      </w:pPr>
      <w:rPr>
        <w:rFonts w:ascii="Symbol" w:hAnsi="Symbol"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0AF17DB0"/>
    <w:multiLevelType w:val="multilevel"/>
    <w:tmpl w:val="08365AB4"/>
    <w:lvl w:ilvl="0">
      <w:start w:val="1"/>
      <w:numFmt w:val="decimal"/>
      <w:lvlText w:val="%1.0"/>
      <w:lvlJc w:val="left"/>
      <w:pPr>
        <w:ind w:left="792" w:hanging="792"/>
      </w:pPr>
      <w:rPr>
        <w:rFonts w:hint="default"/>
      </w:rPr>
    </w:lvl>
    <w:lvl w:ilvl="1">
      <w:start w:val="1"/>
      <w:numFmt w:val="decimal"/>
      <w:lvlText w:val="%1.%2"/>
      <w:lvlJc w:val="left"/>
      <w:pPr>
        <w:ind w:left="1512" w:hanging="792"/>
      </w:pPr>
      <w:rPr>
        <w:rFonts w:hint="default"/>
        <w:b w:val="0"/>
      </w:rPr>
    </w:lvl>
    <w:lvl w:ilvl="2">
      <w:start w:val="1"/>
      <w:numFmt w:val="decimal"/>
      <w:lvlText w:val="%1.%2.%3"/>
      <w:lvlJc w:val="left"/>
      <w:pPr>
        <w:ind w:left="2232" w:hanging="792"/>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12CD6E84"/>
    <w:multiLevelType w:val="hybridMultilevel"/>
    <w:tmpl w:val="36303A12"/>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nsid w:val="14BE7688"/>
    <w:multiLevelType w:val="hybridMultilevel"/>
    <w:tmpl w:val="0E0400A8"/>
    <w:lvl w:ilvl="0" w:tplc="AD3A05F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154C2FFF"/>
    <w:multiLevelType w:val="hybridMultilevel"/>
    <w:tmpl w:val="7302AC02"/>
    <w:lvl w:ilvl="0" w:tplc="C87CB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C86756B"/>
    <w:multiLevelType w:val="hybridMultilevel"/>
    <w:tmpl w:val="C83403CE"/>
    <w:lvl w:ilvl="0" w:tplc="4AEE24C6">
      <w:start w:val="1"/>
      <w:numFmt w:val="bullet"/>
      <w:lvlText w:val=""/>
      <w:lvlJc w:val="left"/>
      <w:pPr>
        <w:ind w:left="2232" w:hanging="360"/>
      </w:pPr>
      <w:rPr>
        <w:rFonts w:ascii="Symbol" w:hAnsi="Symbol" w:hint="default"/>
        <w:sz w:val="22"/>
      </w:rPr>
    </w:lvl>
    <w:lvl w:ilvl="1" w:tplc="04090003">
      <w:start w:val="1"/>
      <w:numFmt w:val="bullet"/>
      <w:lvlText w:val="o"/>
      <w:lvlJc w:val="left"/>
      <w:pPr>
        <w:ind w:left="2952" w:hanging="360"/>
      </w:pPr>
      <w:rPr>
        <w:rFonts w:ascii="Courier New" w:hAnsi="Courier New" w:cs="Courier New" w:hint="default"/>
      </w:rPr>
    </w:lvl>
    <w:lvl w:ilvl="2" w:tplc="04090005">
      <w:start w:val="1"/>
      <w:numFmt w:val="bullet"/>
      <w:lvlText w:val=""/>
      <w:lvlJc w:val="left"/>
      <w:pPr>
        <w:ind w:left="3672" w:hanging="360"/>
      </w:pPr>
      <w:rPr>
        <w:rFonts w:ascii="Wingdings" w:hAnsi="Wingdings" w:hint="default"/>
      </w:rPr>
    </w:lvl>
    <w:lvl w:ilvl="3" w:tplc="0409000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9">
    <w:nsid w:val="2ECC775A"/>
    <w:multiLevelType w:val="hybridMultilevel"/>
    <w:tmpl w:val="7302AC02"/>
    <w:lvl w:ilvl="0" w:tplc="C87CBC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674C00"/>
    <w:multiLevelType w:val="multilevel"/>
    <w:tmpl w:val="CEB0C304"/>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5BF1118"/>
    <w:multiLevelType w:val="hybridMultilevel"/>
    <w:tmpl w:val="A650E110"/>
    <w:lvl w:ilvl="0" w:tplc="D3226A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66EE3"/>
    <w:multiLevelType w:val="hybridMultilevel"/>
    <w:tmpl w:val="B6067A5E"/>
    <w:lvl w:ilvl="0" w:tplc="777AE9E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4D5C16A9"/>
    <w:multiLevelType w:val="hybridMultilevel"/>
    <w:tmpl w:val="7302AC02"/>
    <w:lvl w:ilvl="0" w:tplc="C87CB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04408E"/>
    <w:multiLevelType w:val="hybridMultilevel"/>
    <w:tmpl w:val="B534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95A56"/>
    <w:multiLevelType w:val="multilevel"/>
    <w:tmpl w:val="08365AB4"/>
    <w:lvl w:ilvl="0">
      <w:start w:val="1"/>
      <w:numFmt w:val="decimal"/>
      <w:lvlText w:val="%1.0"/>
      <w:lvlJc w:val="left"/>
      <w:pPr>
        <w:ind w:left="792" w:hanging="792"/>
      </w:pPr>
      <w:rPr>
        <w:rFonts w:hint="default"/>
      </w:rPr>
    </w:lvl>
    <w:lvl w:ilvl="1">
      <w:start w:val="1"/>
      <w:numFmt w:val="decimal"/>
      <w:lvlText w:val="%1.%2"/>
      <w:lvlJc w:val="left"/>
      <w:pPr>
        <w:ind w:left="1512" w:hanging="792"/>
      </w:pPr>
      <w:rPr>
        <w:rFonts w:hint="default"/>
        <w:b w:val="0"/>
      </w:rPr>
    </w:lvl>
    <w:lvl w:ilvl="2">
      <w:start w:val="1"/>
      <w:numFmt w:val="decimal"/>
      <w:lvlText w:val="%1.%2.%3"/>
      <w:lvlJc w:val="left"/>
      <w:pPr>
        <w:ind w:left="2232" w:hanging="792"/>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3162FAA"/>
    <w:multiLevelType w:val="hybridMultilevel"/>
    <w:tmpl w:val="5412C7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826BF4"/>
    <w:multiLevelType w:val="hybridMultilevel"/>
    <w:tmpl w:val="881619D4"/>
    <w:lvl w:ilvl="0" w:tplc="332ED548">
      <w:start w:val="1"/>
      <w:numFmt w:val="bullet"/>
      <w:pStyle w:val="bulletL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5"/>
  </w:num>
  <w:num w:numId="13">
    <w:abstractNumId w:val="18"/>
  </w:num>
  <w:num w:numId="14">
    <w:abstractNumId w:val="13"/>
  </w:num>
  <w:num w:numId="15">
    <w:abstractNumId w:val="27"/>
  </w:num>
  <w:num w:numId="16">
    <w:abstractNumId w:val="12"/>
  </w:num>
  <w:num w:numId="17">
    <w:abstractNumId w:val="24"/>
  </w:num>
  <w:num w:numId="18">
    <w:abstractNumId w:val="22"/>
  </w:num>
  <w:num w:numId="19">
    <w:abstractNumId w:val="17"/>
  </w:num>
  <w:num w:numId="20">
    <w:abstractNumId w:val="19"/>
  </w:num>
  <w:num w:numId="21">
    <w:abstractNumId w:val="15"/>
  </w:num>
  <w:num w:numId="22">
    <w:abstractNumId w:val="26"/>
  </w:num>
  <w:num w:numId="23">
    <w:abstractNumId w:val="23"/>
  </w:num>
  <w:num w:numId="24">
    <w:abstractNumId w:val="20"/>
  </w:num>
  <w:num w:numId="25">
    <w:abstractNumId w:val="21"/>
  </w:num>
  <w:num w:numId="26">
    <w:abstractNumId w:val="11"/>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Annals Surgical 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er5v9258dpvznefwpv59wakvxa0vdteszpr&quot;&gt;Liver Resections Database&lt;record-ids&gt;&lt;item&gt;2&lt;/item&gt;&lt;item&gt;3&lt;/item&gt;&lt;item&gt;4&lt;/item&gt;&lt;item&gt;5&lt;/item&gt;&lt;item&gt;6&lt;/item&gt;&lt;item&gt;7&lt;/item&gt;&lt;item&gt;8&lt;/item&gt;&lt;item&gt;9&lt;/item&gt;&lt;item&gt;11&lt;/item&gt;&lt;item&gt;12&lt;/item&gt;&lt;item&gt;13&lt;/item&gt;&lt;item&gt;14&lt;/item&gt;&lt;item&gt;15&lt;/item&gt;&lt;item&gt;19&lt;/item&gt;&lt;item&gt;21&lt;/item&gt;&lt;item&gt;22&lt;/item&gt;&lt;/record-ids&gt;&lt;/item&gt;&lt;/Libraries&gt;"/>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iver_15005_refs&lt;/item&gt;&lt;/Libraries&gt;&lt;/ENLibraries&gt;"/>
  </w:docVars>
  <w:rsids>
    <w:rsidRoot w:val="00E35F8E"/>
    <w:rsid w:val="000000A7"/>
    <w:rsid w:val="00001306"/>
    <w:rsid w:val="000022A0"/>
    <w:rsid w:val="00002A1C"/>
    <w:rsid w:val="000063A1"/>
    <w:rsid w:val="00007A2D"/>
    <w:rsid w:val="00007B2B"/>
    <w:rsid w:val="00007D44"/>
    <w:rsid w:val="00007E53"/>
    <w:rsid w:val="00013159"/>
    <w:rsid w:val="00013880"/>
    <w:rsid w:val="00016B88"/>
    <w:rsid w:val="000170CD"/>
    <w:rsid w:val="00020EA0"/>
    <w:rsid w:val="0002556A"/>
    <w:rsid w:val="0003188C"/>
    <w:rsid w:val="00034778"/>
    <w:rsid w:val="00035F31"/>
    <w:rsid w:val="000379E0"/>
    <w:rsid w:val="00041CD7"/>
    <w:rsid w:val="00044F4B"/>
    <w:rsid w:val="000473E4"/>
    <w:rsid w:val="00050AE0"/>
    <w:rsid w:val="00053F39"/>
    <w:rsid w:val="0005523E"/>
    <w:rsid w:val="0006365E"/>
    <w:rsid w:val="00063AF8"/>
    <w:rsid w:val="00066398"/>
    <w:rsid w:val="000774CF"/>
    <w:rsid w:val="00077B9D"/>
    <w:rsid w:val="00077C5B"/>
    <w:rsid w:val="000832D8"/>
    <w:rsid w:val="000861B8"/>
    <w:rsid w:val="000A3125"/>
    <w:rsid w:val="000B0AB5"/>
    <w:rsid w:val="000B3826"/>
    <w:rsid w:val="000B44C3"/>
    <w:rsid w:val="000B7511"/>
    <w:rsid w:val="000B7E29"/>
    <w:rsid w:val="000C6199"/>
    <w:rsid w:val="000D5CFB"/>
    <w:rsid w:val="000D78EF"/>
    <w:rsid w:val="000E2F70"/>
    <w:rsid w:val="000E63E9"/>
    <w:rsid w:val="000E6F71"/>
    <w:rsid w:val="000F1A33"/>
    <w:rsid w:val="000F1F16"/>
    <w:rsid w:val="000F607A"/>
    <w:rsid w:val="001033AF"/>
    <w:rsid w:val="0010576A"/>
    <w:rsid w:val="00110987"/>
    <w:rsid w:val="00122B63"/>
    <w:rsid w:val="00124705"/>
    <w:rsid w:val="00125626"/>
    <w:rsid w:val="00126412"/>
    <w:rsid w:val="00130386"/>
    <w:rsid w:val="001346B1"/>
    <w:rsid w:val="00134769"/>
    <w:rsid w:val="001411B5"/>
    <w:rsid w:val="001442D5"/>
    <w:rsid w:val="0015098C"/>
    <w:rsid w:val="0016088E"/>
    <w:rsid w:val="00160E01"/>
    <w:rsid w:val="00164C1B"/>
    <w:rsid w:val="001662F4"/>
    <w:rsid w:val="00167150"/>
    <w:rsid w:val="0017419E"/>
    <w:rsid w:val="0017573C"/>
    <w:rsid w:val="00175ABB"/>
    <w:rsid w:val="001813A6"/>
    <w:rsid w:val="001833AA"/>
    <w:rsid w:val="001951B6"/>
    <w:rsid w:val="001A62FA"/>
    <w:rsid w:val="001A6DFB"/>
    <w:rsid w:val="001A6FF1"/>
    <w:rsid w:val="001B0E01"/>
    <w:rsid w:val="001B4B74"/>
    <w:rsid w:val="001B788A"/>
    <w:rsid w:val="001D1877"/>
    <w:rsid w:val="001D23AA"/>
    <w:rsid w:val="001E1EC8"/>
    <w:rsid w:val="001E4044"/>
    <w:rsid w:val="001E7AC5"/>
    <w:rsid w:val="001F27C4"/>
    <w:rsid w:val="001F2C30"/>
    <w:rsid w:val="001F3737"/>
    <w:rsid w:val="001F6BC5"/>
    <w:rsid w:val="00202355"/>
    <w:rsid w:val="00204AE6"/>
    <w:rsid w:val="00206477"/>
    <w:rsid w:val="00206C54"/>
    <w:rsid w:val="0021123C"/>
    <w:rsid w:val="002121CF"/>
    <w:rsid w:val="002164F1"/>
    <w:rsid w:val="00224041"/>
    <w:rsid w:val="00225F4C"/>
    <w:rsid w:val="00235E30"/>
    <w:rsid w:val="00242626"/>
    <w:rsid w:val="0024314B"/>
    <w:rsid w:val="00245AD3"/>
    <w:rsid w:val="00246B5F"/>
    <w:rsid w:val="0025245D"/>
    <w:rsid w:val="00252A99"/>
    <w:rsid w:val="00254298"/>
    <w:rsid w:val="00257C6B"/>
    <w:rsid w:val="00271A2E"/>
    <w:rsid w:val="00273037"/>
    <w:rsid w:val="002800F0"/>
    <w:rsid w:val="00280FA3"/>
    <w:rsid w:val="00283C29"/>
    <w:rsid w:val="00286853"/>
    <w:rsid w:val="002943A0"/>
    <w:rsid w:val="002A0CA2"/>
    <w:rsid w:val="002B0CF1"/>
    <w:rsid w:val="002B64AA"/>
    <w:rsid w:val="002C7D83"/>
    <w:rsid w:val="002D0D34"/>
    <w:rsid w:val="002D61BA"/>
    <w:rsid w:val="002D6EB9"/>
    <w:rsid w:val="002D712D"/>
    <w:rsid w:val="002D751F"/>
    <w:rsid w:val="002E1E2A"/>
    <w:rsid w:val="002E2C0A"/>
    <w:rsid w:val="002E5B64"/>
    <w:rsid w:val="002F3352"/>
    <w:rsid w:val="002F4409"/>
    <w:rsid w:val="002F5D19"/>
    <w:rsid w:val="00300BCC"/>
    <w:rsid w:val="003015BE"/>
    <w:rsid w:val="00305E0F"/>
    <w:rsid w:val="0030627A"/>
    <w:rsid w:val="00322CC8"/>
    <w:rsid w:val="0033567F"/>
    <w:rsid w:val="00337EE8"/>
    <w:rsid w:val="003436D0"/>
    <w:rsid w:val="003463E7"/>
    <w:rsid w:val="003507ED"/>
    <w:rsid w:val="00351A1D"/>
    <w:rsid w:val="00355EC7"/>
    <w:rsid w:val="00357A11"/>
    <w:rsid w:val="003706D4"/>
    <w:rsid w:val="003730E0"/>
    <w:rsid w:val="00373679"/>
    <w:rsid w:val="00381938"/>
    <w:rsid w:val="003843FD"/>
    <w:rsid w:val="00395A4D"/>
    <w:rsid w:val="003969D9"/>
    <w:rsid w:val="003A0566"/>
    <w:rsid w:val="003A630C"/>
    <w:rsid w:val="003B3E24"/>
    <w:rsid w:val="003B53CD"/>
    <w:rsid w:val="003C42CA"/>
    <w:rsid w:val="003E1067"/>
    <w:rsid w:val="003E1B09"/>
    <w:rsid w:val="003E1BF5"/>
    <w:rsid w:val="003E22AC"/>
    <w:rsid w:val="003E3690"/>
    <w:rsid w:val="003E4181"/>
    <w:rsid w:val="003E6942"/>
    <w:rsid w:val="003E70A2"/>
    <w:rsid w:val="003F5CA6"/>
    <w:rsid w:val="00403C4A"/>
    <w:rsid w:val="00404E7E"/>
    <w:rsid w:val="004054B2"/>
    <w:rsid w:val="00407984"/>
    <w:rsid w:val="004122DC"/>
    <w:rsid w:val="004122E2"/>
    <w:rsid w:val="00421981"/>
    <w:rsid w:val="00422097"/>
    <w:rsid w:val="00422BBE"/>
    <w:rsid w:val="00426CBE"/>
    <w:rsid w:val="0042719A"/>
    <w:rsid w:val="00430C1A"/>
    <w:rsid w:val="004355A0"/>
    <w:rsid w:val="004365AE"/>
    <w:rsid w:val="00436775"/>
    <w:rsid w:val="00442A8E"/>
    <w:rsid w:val="00452C6B"/>
    <w:rsid w:val="0045506C"/>
    <w:rsid w:val="00461AD3"/>
    <w:rsid w:val="00461CFB"/>
    <w:rsid w:val="00462C23"/>
    <w:rsid w:val="00464DBC"/>
    <w:rsid w:val="004666A0"/>
    <w:rsid w:val="00471F07"/>
    <w:rsid w:val="00475B97"/>
    <w:rsid w:val="00485182"/>
    <w:rsid w:val="00485763"/>
    <w:rsid w:val="00494D98"/>
    <w:rsid w:val="00495530"/>
    <w:rsid w:val="004958C5"/>
    <w:rsid w:val="004A4AD9"/>
    <w:rsid w:val="004B0F9B"/>
    <w:rsid w:val="004C20AD"/>
    <w:rsid w:val="004C214D"/>
    <w:rsid w:val="004C3E1E"/>
    <w:rsid w:val="004C511D"/>
    <w:rsid w:val="004D496E"/>
    <w:rsid w:val="004E5BE9"/>
    <w:rsid w:val="004F6BA8"/>
    <w:rsid w:val="00503B5C"/>
    <w:rsid w:val="00514AA6"/>
    <w:rsid w:val="00520B83"/>
    <w:rsid w:val="0052420F"/>
    <w:rsid w:val="0053616F"/>
    <w:rsid w:val="00536674"/>
    <w:rsid w:val="00547C8F"/>
    <w:rsid w:val="00553E08"/>
    <w:rsid w:val="00561A18"/>
    <w:rsid w:val="00563AC8"/>
    <w:rsid w:val="00564DE6"/>
    <w:rsid w:val="00565107"/>
    <w:rsid w:val="0057340F"/>
    <w:rsid w:val="00580B5D"/>
    <w:rsid w:val="005827AC"/>
    <w:rsid w:val="005955A3"/>
    <w:rsid w:val="005964F0"/>
    <w:rsid w:val="005A0F6A"/>
    <w:rsid w:val="005A4391"/>
    <w:rsid w:val="005A49E3"/>
    <w:rsid w:val="005A5C41"/>
    <w:rsid w:val="005A637E"/>
    <w:rsid w:val="005B5FE6"/>
    <w:rsid w:val="005B6071"/>
    <w:rsid w:val="005C61B3"/>
    <w:rsid w:val="005D1CAE"/>
    <w:rsid w:val="005D4669"/>
    <w:rsid w:val="005E009F"/>
    <w:rsid w:val="005E025A"/>
    <w:rsid w:val="005E0DBD"/>
    <w:rsid w:val="005E0EA8"/>
    <w:rsid w:val="005E4B45"/>
    <w:rsid w:val="005F6289"/>
    <w:rsid w:val="005F699F"/>
    <w:rsid w:val="006015DF"/>
    <w:rsid w:val="006046D7"/>
    <w:rsid w:val="006050B7"/>
    <w:rsid w:val="00605C95"/>
    <w:rsid w:val="00611886"/>
    <w:rsid w:val="006126DE"/>
    <w:rsid w:val="006205EB"/>
    <w:rsid w:val="006250A4"/>
    <w:rsid w:val="00632991"/>
    <w:rsid w:val="00642A26"/>
    <w:rsid w:val="006439AA"/>
    <w:rsid w:val="00647467"/>
    <w:rsid w:val="00652B91"/>
    <w:rsid w:val="006536CF"/>
    <w:rsid w:val="00653D42"/>
    <w:rsid w:val="00657B79"/>
    <w:rsid w:val="00665D23"/>
    <w:rsid w:val="00670D59"/>
    <w:rsid w:val="00672717"/>
    <w:rsid w:val="00676B93"/>
    <w:rsid w:val="00677D0A"/>
    <w:rsid w:val="00694D97"/>
    <w:rsid w:val="00697D00"/>
    <w:rsid w:val="006B67B9"/>
    <w:rsid w:val="006B7D30"/>
    <w:rsid w:val="006C2392"/>
    <w:rsid w:val="006C3F98"/>
    <w:rsid w:val="006D375E"/>
    <w:rsid w:val="006E063B"/>
    <w:rsid w:val="006E7DCA"/>
    <w:rsid w:val="006F295B"/>
    <w:rsid w:val="00703C84"/>
    <w:rsid w:val="00710967"/>
    <w:rsid w:val="0072488A"/>
    <w:rsid w:val="00733755"/>
    <w:rsid w:val="00737FC2"/>
    <w:rsid w:val="00741684"/>
    <w:rsid w:val="00747195"/>
    <w:rsid w:val="007523A8"/>
    <w:rsid w:val="007659BD"/>
    <w:rsid w:val="00766C34"/>
    <w:rsid w:val="00767365"/>
    <w:rsid w:val="007769F4"/>
    <w:rsid w:val="007804AF"/>
    <w:rsid w:val="00780CEC"/>
    <w:rsid w:val="0079259D"/>
    <w:rsid w:val="0079322A"/>
    <w:rsid w:val="007958C4"/>
    <w:rsid w:val="007A3BC3"/>
    <w:rsid w:val="007A7F40"/>
    <w:rsid w:val="007C5213"/>
    <w:rsid w:val="007D0FCE"/>
    <w:rsid w:val="007D3689"/>
    <w:rsid w:val="007F0E34"/>
    <w:rsid w:val="007F34D2"/>
    <w:rsid w:val="007F4D8E"/>
    <w:rsid w:val="008017ED"/>
    <w:rsid w:val="00803F9C"/>
    <w:rsid w:val="00805264"/>
    <w:rsid w:val="008052C2"/>
    <w:rsid w:val="00806318"/>
    <w:rsid w:val="0081493A"/>
    <w:rsid w:val="00815EF7"/>
    <w:rsid w:val="00817BF7"/>
    <w:rsid w:val="008252B5"/>
    <w:rsid w:val="0082590E"/>
    <w:rsid w:val="00840572"/>
    <w:rsid w:val="00840778"/>
    <w:rsid w:val="00840E39"/>
    <w:rsid w:val="00842B22"/>
    <w:rsid w:val="00844ECA"/>
    <w:rsid w:val="00847C24"/>
    <w:rsid w:val="00855A62"/>
    <w:rsid w:val="0086011C"/>
    <w:rsid w:val="00860D1E"/>
    <w:rsid w:val="00862DF6"/>
    <w:rsid w:val="00872F80"/>
    <w:rsid w:val="00877496"/>
    <w:rsid w:val="0088014E"/>
    <w:rsid w:val="008862C9"/>
    <w:rsid w:val="00892B97"/>
    <w:rsid w:val="008975A1"/>
    <w:rsid w:val="00897957"/>
    <w:rsid w:val="008A0684"/>
    <w:rsid w:val="008A15F2"/>
    <w:rsid w:val="008A2219"/>
    <w:rsid w:val="008A6083"/>
    <w:rsid w:val="008C0B19"/>
    <w:rsid w:val="008C0FBA"/>
    <w:rsid w:val="008C3A52"/>
    <w:rsid w:val="008C3FE6"/>
    <w:rsid w:val="008C6B8C"/>
    <w:rsid w:val="008D101B"/>
    <w:rsid w:val="008D19A5"/>
    <w:rsid w:val="008D71CC"/>
    <w:rsid w:val="008D77B9"/>
    <w:rsid w:val="008D789F"/>
    <w:rsid w:val="008F4B96"/>
    <w:rsid w:val="008F5D26"/>
    <w:rsid w:val="009077F6"/>
    <w:rsid w:val="00913AAC"/>
    <w:rsid w:val="0092177A"/>
    <w:rsid w:val="009224FB"/>
    <w:rsid w:val="009247F6"/>
    <w:rsid w:val="00925CD6"/>
    <w:rsid w:val="009271BB"/>
    <w:rsid w:val="0094526C"/>
    <w:rsid w:val="009459AE"/>
    <w:rsid w:val="00946BF9"/>
    <w:rsid w:val="00952322"/>
    <w:rsid w:val="00960937"/>
    <w:rsid w:val="00960EA4"/>
    <w:rsid w:val="00972AA2"/>
    <w:rsid w:val="00977F5C"/>
    <w:rsid w:val="0098592A"/>
    <w:rsid w:val="00987C07"/>
    <w:rsid w:val="00991F8F"/>
    <w:rsid w:val="00993F31"/>
    <w:rsid w:val="00995C6D"/>
    <w:rsid w:val="009A30F2"/>
    <w:rsid w:val="009A7B64"/>
    <w:rsid w:val="009C16BA"/>
    <w:rsid w:val="009C2796"/>
    <w:rsid w:val="009C288C"/>
    <w:rsid w:val="009C3C8A"/>
    <w:rsid w:val="009C6C2E"/>
    <w:rsid w:val="009D291E"/>
    <w:rsid w:val="009D783F"/>
    <w:rsid w:val="009E0954"/>
    <w:rsid w:val="009E11F8"/>
    <w:rsid w:val="009E4EE9"/>
    <w:rsid w:val="009F0388"/>
    <w:rsid w:val="009F3194"/>
    <w:rsid w:val="009F3253"/>
    <w:rsid w:val="00A130AA"/>
    <w:rsid w:val="00A1712F"/>
    <w:rsid w:val="00A241C8"/>
    <w:rsid w:val="00A250FC"/>
    <w:rsid w:val="00A25D69"/>
    <w:rsid w:val="00A27A12"/>
    <w:rsid w:val="00A363F6"/>
    <w:rsid w:val="00A41A47"/>
    <w:rsid w:val="00A43E1A"/>
    <w:rsid w:val="00A4426A"/>
    <w:rsid w:val="00A47499"/>
    <w:rsid w:val="00A53F78"/>
    <w:rsid w:val="00A54ECD"/>
    <w:rsid w:val="00A579A1"/>
    <w:rsid w:val="00A62964"/>
    <w:rsid w:val="00A6473E"/>
    <w:rsid w:val="00A7032D"/>
    <w:rsid w:val="00A8694E"/>
    <w:rsid w:val="00A9088B"/>
    <w:rsid w:val="00A909F2"/>
    <w:rsid w:val="00AA1464"/>
    <w:rsid w:val="00AA44FD"/>
    <w:rsid w:val="00AA7570"/>
    <w:rsid w:val="00AB0284"/>
    <w:rsid w:val="00AB3FCF"/>
    <w:rsid w:val="00AB58C1"/>
    <w:rsid w:val="00AC134F"/>
    <w:rsid w:val="00AC1973"/>
    <w:rsid w:val="00AD225C"/>
    <w:rsid w:val="00AD6979"/>
    <w:rsid w:val="00AF5FCB"/>
    <w:rsid w:val="00AF6CD2"/>
    <w:rsid w:val="00B25C76"/>
    <w:rsid w:val="00B3014E"/>
    <w:rsid w:val="00B44C86"/>
    <w:rsid w:val="00B450EA"/>
    <w:rsid w:val="00B60FAE"/>
    <w:rsid w:val="00B64FA3"/>
    <w:rsid w:val="00B65BF3"/>
    <w:rsid w:val="00B66A9E"/>
    <w:rsid w:val="00B722C7"/>
    <w:rsid w:val="00B72768"/>
    <w:rsid w:val="00B731F1"/>
    <w:rsid w:val="00B75ACA"/>
    <w:rsid w:val="00B77B83"/>
    <w:rsid w:val="00B8213B"/>
    <w:rsid w:val="00B82686"/>
    <w:rsid w:val="00B82BE7"/>
    <w:rsid w:val="00B84BC0"/>
    <w:rsid w:val="00B9169F"/>
    <w:rsid w:val="00B96A6C"/>
    <w:rsid w:val="00B9735E"/>
    <w:rsid w:val="00BA09CC"/>
    <w:rsid w:val="00BA123C"/>
    <w:rsid w:val="00BA3EB3"/>
    <w:rsid w:val="00BA6FD8"/>
    <w:rsid w:val="00BA7946"/>
    <w:rsid w:val="00BB0CB5"/>
    <w:rsid w:val="00BB0DF2"/>
    <w:rsid w:val="00BB257A"/>
    <w:rsid w:val="00BB654A"/>
    <w:rsid w:val="00BC45C3"/>
    <w:rsid w:val="00BC79E5"/>
    <w:rsid w:val="00BD46E2"/>
    <w:rsid w:val="00BD7976"/>
    <w:rsid w:val="00BE62FB"/>
    <w:rsid w:val="00BF0330"/>
    <w:rsid w:val="00C00574"/>
    <w:rsid w:val="00C01F2C"/>
    <w:rsid w:val="00C034BB"/>
    <w:rsid w:val="00C121B5"/>
    <w:rsid w:val="00C15259"/>
    <w:rsid w:val="00C15D3F"/>
    <w:rsid w:val="00C2033E"/>
    <w:rsid w:val="00C238BA"/>
    <w:rsid w:val="00C25984"/>
    <w:rsid w:val="00C2609C"/>
    <w:rsid w:val="00C26454"/>
    <w:rsid w:val="00C3629F"/>
    <w:rsid w:val="00C369F4"/>
    <w:rsid w:val="00C4089E"/>
    <w:rsid w:val="00C41FF3"/>
    <w:rsid w:val="00C42F60"/>
    <w:rsid w:val="00C47DDE"/>
    <w:rsid w:val="00C54BDC"/>
    <w:rsid w:val="00C624C6"/>
    <w:rsid w:val="00C6437B"/>
    <w:rsid w:val="00C7199B"/>
    <w:rsid w:val="00C871D0"/>
    <w:rsid w:val="00C87537"/>
    <w:rsid w:val="00C9197B"/>
    <w:rsid w:val="00C934E4"/>
    <w:rsid w:val="00C94A85"/>
    <w:rsid w:val="00CA0E1A"/>
    <w:rsid w:val="00CA2BEA"/>
    <w:rsid w:val="00CA39D8"/>
    <w:rsid w:val="00CC0594"/>
    <w:rsid w:val="00CC1953"/>
    <w:rsid w:val="00CC729E"/>
    <w:rsid w:val="00CD060F"/>
    <w:rsid w:val="00CD2BBB"/>
    <w:rsid w:val="00CD2D99"/>
    <w:rsid w:val="00CE17BA"/>
    <w:rsid w:val="00CE3D4C"/>
    <w:rsid w:val="00CE449B"/>
    <w:rsid w:val="00CF1FF7"/>
    <w:rsid w:val="00CF7466"/>
    <w:rsid w:val="00D050ED"/>
    <w:rsid w:val="00D07A6B"/>
    <w:rsid w:val="00D13433"/>
    <w:rsid w:val="00D16A2B"/>
    <w:rsid w:val="00D2459B"/>
    <w:rsid w:val="00D255AF"/>
    <w:rsid w:val="00D31619"/>
    <w:rsid w:val="00D340D6"/>
    <w:rsid w:val="00D37C59"/>
    <w:rsid w:val="00D37F6D"/>
    <w:rsid w:val="00D4444E"/>
    <w:rsid w:val="00D471DE"/>
    <w:rsid w:val="00D524FA"/>
    <w:rsid w:val="00D6164D"/>
    <w:rsid w:val="00D62D37"/>
    <w:rsid w:val="00D70102"/>
    <w:rsid w:val="00D75FB1"/>
    <w:rsid w:val="00D83926"/>
    <w:rsid w:val="00D85CB0"/>
    <w:rsid w:val="00D92783"/>
    <w:rsid w:val="00DA2770"/>
    <w:rsid w:val="00DA36DF"/>
    <w:rsid w:val="00DA4D2E"/>
    <w:rsid w:val="00DB5761"/>
    <w:rsid w:val="00DC3524"/>
    <w:rsid w:val="00DC6636"/>
    <w:rsid w:val="00DD3575"/>
    <w:rsid w:val="00DD4F87"/>
    <w:rsid w:val="00DD7077"/>
    <w:rsid w:val="00DD7B52"/>
    <w:rsid w:val="00DE42A5"/>
    <w:rsid w:val="00DE5B35"/>
    <w:rsid w:val="00DF4F0A"/>
    <w:rsid w:val="00DF6ADC"/>
    <w:rsid w:val="00E03FAB"/>
    <w:rsid w:val="00E0450B"/>
    <w:rsid w:val="00E1633A"/>
    <w:rsid w:val="00E23436"/>
    <w:rsid w:val="00E236F8"/>
    <w:rsid w:val="00E23B31"/>
    <w:rsid w:val="00E271FD"/>
    <w:rsid w:val="00E340AE"/>
    <w:rsid w:val="00E35F8E"/>
    <w:rsid w:val="00E3767F"/>
    <w:rsid w:val="00E40BA0"/>
    <w:rsid w:val="00E40E60"/>
    <w:rsid w:val="00E4232F"/>
    <w:rsid w:val="00E44F30"/>
    <w:rsid w:val="00E47919"/>
    <w:rsid w:val="00E5374F"/>
    <w:rsid w:val="00E65D3D"/>
    <w:rsid w:val="00E761AF"/>
    <w:rsid w:val="00E81611"/>
    <w:rsid w:val="00E81860"/>
    <w:rsid w:val="00E82607"/>
    <w:rsid w:val="00E85641"/>
    <w:rsid w:val="00E94524"/>
    <w:rsid w:val="00E95BE1"/>
    <w:rsid w:val="00EA0499"/>
    <w:rsid w:val="00EA3E5F"/>
    <w:rsid w:val="00EB70AA"/>
    <w:rsid w:val="00EC66E2"/>
    <w:rsid w:val="00EC7C25"/>
    <w:rsid w:val="00ED28A9"/>
    <w:rsid w:val="00ED4722"/>
    <w:rsid w:val="00ED54D3"/>
    <w:rsid w:val="00EE3E06"/>
    <w:rsid w:val="00EF57A3"/>
    <w:rsid w:val="00F00007"/>
    <w:rsid w:val="00F0014F"/>
    <w:rsid w:val="00F010DC"/>
    <w:rsid w:val="00F02AF4"/>
    <w:rsid w:val="00F0353A"/>
    <w:rsid w:val="00F038CB"/>
    <w:rsid w:val="00F05FDF"/>
    <w:rsid w:val="00F111D4"/>
    <w:rsid w:val="00F12FA4"/>
    <w:rsid w:val="00F167FE"/>
    <w:rsid w:val="00F23F5B"/>
    <w:rsid w:val="00F25AB8"/>
    <w:rsid w:val="00F3318B"/>
    <w:rsid w:val="00F43478"/>
    <w:rsid w:val="00F46A66"/>
    <w:rsid w:val="00F47CB2"/>
    <w:rsid w:val="00F52E63"/>
    <w:rsid w:val="00F55557"/>
    <w:rsid w:val="00F64FC5"/>
    <w:rsid w:val="00F750AE"/>
    <w:rsid w:val="00F75E34"/>
    <w:rsid w:val="00F80B0F"/>
    <w:rsid w:val="00F96DEB"/>
    <w:rsid w:val="00FA43DC"/>
    <w:rsid w:val="00FA4583"/>
    <w:rsid w:val="00FA5457"/>
    <w:rsid w:val="00FA5AFC"/>
    <w:rsid w:val="00FB0155"/>
    <w:rsid w:val="00FB4997"/>
    <w:rsid w:val="00FB523D"/>
    <w:rsid w:val="00FB6E48"/>
    <w:rsid w:val="00FC2AC9"/>
    <w:rsid w:val="00FC6663"/>
    <w:rsid w:val="00FD3154"/>
    <w:rsid w:val="00FD32EC"/>
    <w:rsid w:val="00FD4754"/>
    <w:rsid w:val="00FE07C7"/>
    <w:rsid w:val="00FE699D"/>
    <w:rsid w:val="00FF0B44"/>
    <w:rsid w:val="00FF2939"/>
    <w:rsid w:val="00FF734C"/>
    <w:rsid w:val="00FF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4C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B3"/>
    <w:pPr>
      <w:spacing w:line="480" w:lineRule="auto"/>
    </w:pPr>
    <w:rPr>
      <w:rFonts w:ascii="Times New Roman" w:hAnsi="Times New Roman"/>
    </w:rPr>
  </w:style>
  <w:style w:type="paragraph" w:styleId="Heading1">
    <w:name w:val="heading 1"/>
    <w:basedOn w:val="Normal"/>
    <w:next w:val="Normal"/>
    <w:link w:val="Heading1Char"/>
    <w:qFormat/>
    <w:rsid w:val="00A43E1A"/>
    <w:pPr>
      <w:keepNext/>
      <w:outlineLvl w:val="0"/>
    </w:pPr>
    <w:rPr>
      <w:b/>
      <w:bCs/>
      <w:caps/>
    </w:rPr>
  </w:style>
  <w:style w:type="paragraph" w:styleId="Heading2">
    <w:name w:val="heading 2"/>
    <w:basedOn w:val="Normal"/>
    <w:next w:val="Normal"/>
    <w:link w:val="Heading2Char"/>
    <w:unhideWhenUsed/>
    <w:qFormat/>
    <w:rsid w:val="00A43E1A"/>
    <w:pPr>
      <w:keepNext/>
      <w:outlineLvl w:val="1"/>
    </w:pPr>
    <w:rPr>
      <w:b/>
    </w:rPr>
  </w:style>
  <w:style w:type="paragraph" w:styleId="Heading3">
    <w:name w:val="heading 3"/>
    <w:basedOn w:val="Normal"/>
    <w:next w:val="Normal"/>
    <w:link w:val="Heading3Char"/>
    <w:unhideWhenUsed/>
    <w:qFormat/>
    <w:rsid w:val="00A43E1A"/>
    <w:pPr>
      <w:keepNext/>
      <w:outlineLvl w:val="2"/>
    </w:pPr>
    <w:rPr>
      <w:i/>
    </w:rPr>
  </w:style>
  <w:style w:type="paragraph" w:styleId="Heading4">
    <w:name w:val="heading 4"/>
    <w:basedOn w:val="Normal"/>
    <w:next w:val="Normal"/>
    <w:link w:val="Heading4Char"/>
    <w:qFormat/>
    <w:rsid w:val="00657B79"/>
    <w:pPr>
      <w:keepNext/>
      <w:keepLines/>
      <w:autoSpaceDE w:val="0"/>
      <w:autoSpaceDN w:val="0"/>
      <w:adjustRightInd w:val="0"/>
      <w:spacing w:line="240" w:lineRule="auto"/>
      <w:ind w:left="15" w:right="1369"/>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C29"/>
    <w:rPr>
      <w:color w:val="F79646" w:themeColor="accent6"/>
      <w:u w:val="single"/>
    </w:rPr>
  </w:style>
  <w:style w:type="paragraph" w:styleId="Header">
    <w:name w:val="header"/>
    <w:basedOn w:val="Normal"/>
    <w:link w:val="HeaderChar"/>
    <w:unhideWhenUsed/>
    <w:rsid w:val="006439AA"/>
    <w:pPr>
      <w:tabs>
        <w:tab w:val="center" w:pos="4320"/>
        <w:tab w:val="right" w:pos="8640"/>
      </w:tabs>
      <w:spacing w:line="240" w:lineRule="auto"/>
    </w:pPr>
  </w:style>
  <w:style w:type="character" w:customStyle="1" w:styleId="HeaderChar">
    <w:name w:val="Header Char"/>
    <w:basedOn w:val="DefaultParagraphFont"/>
    <w:link w:val="Header"/>
    <w:rsid w:val="006439AA"/>
    <w:rPr>
      <w:rFonts w:ascii="Arial" w:hAnsi="Arial"/>
    </w:rPr>
  </w:style>
  <w:style w:type="paragraph" w:styleId="Footer">
    <w:name w:val="footer"/>
    <w:basedOn w:val="Normal"/>
    <w:link w:val="FooterChar"/>
    <w:unhideWhenUsed/>
    <w:rsid w:val="00DA2770"/>
    <w:pPr>
      <w:tabs>
        <w:tab w:val="center" w:pos="4320"/>
        <w:tab w:val="right" w:pos="8640"/>
      </w:tabs>
      <w:spacing w:line="240" w:lineRule="auto"/>
      <w:jc w:val="center"/>
    </w:pPr>
  </w:style>
  <w:style w:type="character" w:customStyle="1" w:styleId="FooterChar">
    <w:name w:val="Footer Char"/>
    <w:basedOn w:val="DefaultParagraphFont"/>
    <w:link w:val="Footer"/>
    <w:rsid w:val="00DA2770"/>
  </w:style>
  <w:style w:type="character" w:styleId="PageNumber">
    <w:name w:val="page number"/>
    <w:basedOn w:val="DefaultParagraphFont"/>
    <w:unhideWhenUsed/>
    <w:rsid w:val="006439AA"/>
  </w:style>
  <w:style w:type="table" w:styleId="TableGrid">
    <w:name w:val="Table Grid"/>
    <w:basedOn w:val="TableNormal"/>
    <w:rsid w:val="00396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A2770"/>
    <w:pPr>
      <w:jc w:val="center"/>
    </w:pPr>
    <w:rPr>
      <w:b/>
    </w:rPr>
  </w:style>
  <w:style w:type="character" w:customStyle="1" w:styleId="TitleChar">
    <w:name w:val="Title Char"/>
    <w:basedOn w:val="DefaultParagraphFont"/>
    <w:link w:val="Title"/>
    <w:uiPriority w:val="10"/>
    <w:rsid w:val="00DA2770"/>
    <w:rPr>
      <w:b/>
    </w:rPr>
  </w:style>
  <w:style w:type="paragraph" w:customStyle="1" w:styleId="MajorSectionHeading">
    <w:name w:val="Major Section Heading"/>
    <w:basedOn w:val="Normal"/>
    <w:qFormat/>
    <w:rsid w:val="00DA2770"/>
    <w:pPr>
      <w:pageBreakBefore/>
    </w:pPr>
    <w:rPr>
      <w:b/>
      <w:bCs/>
      <w:caps/>
    </w:rPr>
  </w:style>
  <w:style w:type="character" w:customStyle="1" w:styleId="Heading1Char">
    <w:name w:val="Heading 1 Char"/>
    <w:basedOn w:val="DefaultParagraphFont"/>
    <w:link w:val="Heading1"/>
    <w:rsid w:val="00A43E1A"/>
    <w:rPr>
      <w:b/>
      <w:bCs/>
      <w:caps/>
    </w:rPr>
  </w:style>
  <w:style w:type="character" w:customStyle="1" w:styleId="Heading2Char">
    <w:name w:val="Heading 2 Char"/>
    <w:basedOn w:val="DefaultParagraphFont"/>
    <w:link w:val="Heading2"/>
    <w:rsid w:val="00A43E1A"/>
    <w:rPr>
      <w:b/>
    </w:rPr>
  </w:style>
  <w:style w:type="paragraph" w:customStyle="1" w:styleId="References">
    <w:name w:val="References"/>
    <w:basedOn w:val="Normal"/>
    <w:qFormat/>
    <w:rsid w:val="00DA2770"/>
    <w:pPr>
      <w:ind w:left="540" w:hanging="540"/>
    </w:pPr>
  </w:style>
  <w:style w:type="paragraph" w:styleId="BalloonText">
    <w:name w:val="Balloon Text"/>
    <w:basedOn w:val="Normal"/>
    <w:link w:val="BalloonTextChar"/>
    <w:semiHidden/>
    <w:unhideWhenUsed/>
    <w:rsid w:val="00DA27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DA2770"/>
    <w:rPr>
      <w:rFonts w:ascii="Lucida Grande" w:hAnsi="Lucida Grande" w:cs="Lucida Grande"/>
      <w:sz w:val="18"/>
      <w:szCs w:val="18"/>
    </w:rPr>
  </w:style>
  <w:style w:type="character" w:customStyle="1" w:styleId="Heading3Char">
    <w:name w:val="Heading 3 Char"/>
    <w:basedOn w:val="DefaultParagraphFont"/>
    <w:link w:val="Heading3"/>
    <w:rsid w:val="00A43E1A"/>
    <w:rPr>
      <w:i/>
    </w:rPr>
  </w:style>
  <w:style w:type="character" w:styleId="CommentReference">
    <w:name w:val="annotation reference"/>
    <w:basedOn w:val="DefaultParagraphFont"/>
    <w:unhideWhenUsed/>
    <w:rsid w:val="005C61B3"/>
    <w:rPr>
      <w:sz w:val="18"/>
      <w:szCs w:val="18"/>
    </w:rPr>
  </w:style>
  <w:style w:type="paragraph" w:styleId="CommentText">
    <w:name w:val="annotation text"/>
    <w:basedOn w:val="Normal"/>
    <w:link w:val="CommentTextChar"/>
    <w:unhideWhenUsed/>
    <w:rsid w:val="005C61B3"/>
    <w:pPr>
      <w:spacing w:line="240" w:lineRule="auto"/>
    </w:pPr>
  </w:style>
  <w:style w:type="character" w:customStyle="1" w:styleId="CommentTextChar">
    <w:name w:val="Comment Text Char"/>
    <w:basedOn w:val="DefaultParagraphFont"/>
    <w:link w:val="CommentText"/>
    <w:rsid w:val="005C61B3"/>
    <w:rPr>
      <w:rFonts w:ascii="Times New Roman" w:hAnsi="Times New Roman"/>
    </w:rPr>
  </w:style>
  <w:style w:type="paragraph" w:styleId="CommentSubject">
    <w:name w:val="annotation subject"/>
    <w:basedOn w:val="CommentText"/>
    <w:next w:val="CommentText"/>
    <w:link w:val="CommentSubjectChar"/>
    <w:unhideWhenUsed/>
    <w:rsid w:val="005C61B3"/>
    <w:rPr>
      <w:b/>
      <w:bCs/>
      <w:sz w:val="20"/>
      <w:szCs w:val="20"/>
    </w:rPr>
  </w:style>
  <w:style w:type="character" w:customStyle="1" w:styleId="CommentSubjectChar">
    <w:name w:val="Comment Subject Char"/>
    <w:basedOn w:val="CommentTextChar"/>
    <w:link w:val="CommentSubject"/>
    <w:rsid w:val="005C61B3"/>
    <w:rPr>
      <w:rFonts w:ascii="Times New Roman" w:hAnsi="Times New Roman"/>
      <w:b/>
      <w:bCs/>
      <w:sz w:val="20"/>
      <w:szCs w:val="20"/>
    </w:rPr>
  </w:style>
  <w:style w:type="paragraph" w:styleId="ListParagraph">
    <w:name w:val="List Paragraph"/>
    <w:basedOn w:val="Normal"/>
    <w:link w:val="ListParagraphChar"/>
    <w:uiPriority w:val="34"/>
    <w:qFormat/>
    <w:rsid w:val="00657B79"/>
    <w:pPr>
      <w:spacing w:line="240" w:lineRule="auto"/>
      <w:ind w:left="720"/>
    </w:pPr>
    <w:rPr>
      <w:rFonts w:eastAsia="Times New Roman" w:cs="Times New Roman"/>
    </w:rPr>
  </w:style>
  <w:style w:type="character" w:customStyle="1" w:styleId="ListParagraphChar">
    <w:name w:val="List Paragraph Char"/>
    <w:basedOn w:val="DefaultParagraphFont"/>
    <w:link w:val="ListParagraph"/>
    <w:uiPriority w:val="34"/>
    <w:rsid w:val="00657B79"/>
    <w:rPr>
      <w:rFonts w:ascii="Times New Roman" w:eastAsia="Times New Roman" w:hAnsi="Times New Roman" w:cs="Times New Roman"/>
    </w:rPr>
  </w:style>
  <w:style w:type="character" w:customStyle="1" w:styleId="Heading4Char">
    <w:name w:val="Heading 4 Char"/>
    <w:basedOn w:val="DefaultParagraphFont"/>
    <w:link w:val="Heading4"/>
    <w:rsid w:val="00657B79"/>
    <w:rPr>
      <w:rFonts w:ascii="Times New Roman" w:eastAsia="Times New Roman" w:hAnsi="Times New Roman" w:cs="Times New Roman"/>
      <w:b/>
      <w:bCs/>
    </w:rPr>
  </w:style>
  <w:style w:type="paragraph" w:styleId="TOC1">
    <w:name w:val="toc 1"/>
    <w:basedOn w:val="Normal"/>
    <w:next w:val="Normal"/>
    <w:autoRedefine/>
    <w:semiHidden/>
    <w:rsid w:val="00657B79"/>
    <w:pPr>
      <w:framePr w:wrap="notBeside" w:vAnchor="page" w:hAnchor="text" w:y="1"/>
      <w:tabs>
        <w:tab w:val="right" w:leader="dot" w:pos="10066"/>
      </w:tabs>
      <w:spacing w:before="20" w:after="20" w:line="240" w:lineRule="auto"/>
      <w:jc w:val="both"/>
    </w:pPr>
    <w:rPr>
      <w:rFonts w:eastAsia="Times New Roman" w:cs="Times New Roman"/>
      <w:szCs w:val="20"/>
    </w:rPr>
  </w:style>
  <w:style w:type="paragraph" w:customStyle="1" w:styleId="DocType">
    <w:name w:val="Doc Type"/>
    <w:basedOn w:val="Normal"/>
    <w:rsid w:val="00657B79"/>
    <w:pPr>
      <w:tabs>
        <w:tab w:val="left" w:pos="576"/>
      </w:tabs>
      <w:overflowPunct w:val="0"/>
      <w:autoSpaceDE w:val="0"/>
      <w:autoSpaceDN w:val="0"/>
      <w:adjustRightInd w:val="0"/>
      <w:spacing w:line="240" w:lineRule="exact"/>
      <w:ind w:right="-14"/>
      <w:jc w:val="center"/>
      <w:textAlignment w:val="baseline"/>
    </w:pPr>
    <w:rPr>
      <w:rFonts w:ascii="Arial" w:eastAsia="Times New Roman" w:hAnsi="Arial" w:cs="Times New Roman"/>
      <w:b/>
      <w:bCs/>
      <w:szCs w:val="20"/>
    </w:rPr>
  </w:style>
  <w:style w:type="paragraph" w:customStyle="1" w:styleId="DocTitle">
    <w:name w:val="Doc Title"/>
    <w:basedOn w:val="Normal"/>
    <w:rsid w:val="00657B79"/>
    <w:pPr>
      <w:tabs>
        <w:tab w:val="left" w:pos="576"/>
      </w:tabs>
      <w:overflowPunct w:val="0"/>
      <w:autoSpaceDE w:val="0"/>
      <w:autoSpaceDN w:val="0"/>
      <w:adjustRightInd w:val="0"/>
      <w:spacing w:line="240" w:lineRule="exact"/>
      <w:ind w:right="-864"/>
      <w:jc w:val="center"/>
      <w:textAlignment w:val="baseline"/>
    </w:pPr>
    <w:rPr>
      <w:rFonts w:ascii="Arial" w:eastAsia="Times New Roman" w:hAnsi="Arial" w:cs="Times New Roman"/>
      <w:b/>
      <w:sz w:val="28"/>
      <w:szCs w:val="20"/>
    </w:rPr>
  </w:style>
  <w:style w:type="paragraph" w:customStyle="1" w:styleId="Default">
    <w:name w:val="Default"/>
    <w:rsid w:val="00657B79"/>
    <w:pPr>
      <w:autoSpaceDE w:val="0"/>
      <w:autoSpaceDN w:val="0"/>
      <w:adjustRightInd w:val="0"/>
    </w:pPr>
    <w:rPr>
      <w:rFonts w:ascii="Calibri" w:eastAsia="Times New Roman" w:hAnsi="Calibri" w:cs="Calibri"/>
      <w:color w:val="000000"/>
    </w:rPr>
  </w:style>
  <w:style w:type="paragraph" w:customStyle="1" w:styleId="ReportText">
    <w:name w:val="Report Text"/>
    <w:qFormat/>
    <w:rsid w:val="00657B79"/>
    <w:pPr>
      <w:spacing w:before="200" w:after="200"/>
      <w:jc w:val="both"/>
    </w:pPr>
    <w:rPr>
      <w:rFonts w:eastAsia="Times New Roman" w:cs="Times New Roman"/>
      <w:szCs w:val="20"/>
    </w:rPr>
  </w:style>
  <w:style w:type="paragraph" w:customStyle="1" w:styleId="EndNoteBibliographyTitle">
    <w:name w:val="EndNote Bibliography Title"/>
    <w:basedOn w:val="Normal"/>
    <w:link w:val="EndNoteBibliographyTitleChar"/>
    <w:rsid w:val="00657B79"/>
    <w:pPr>
      <w:spacing w:line="240" w:lineRule="auto"/>
      <w:jc w:val="center"/>
    </w:pPr>
    <w:rPr>
      <w:rFonts w:eastAsia="Times New Roman" w:cs="Times New Roman"/>
      <w:noProof/>
    </w:rPr>
  </w:style>
  <w:style w:type="character" w:customStyle="1" w:styleId="EndNoteBibliographyTitleChar">
    <w:name w:val="EndNote Bibliography Title Char"/>
    <w:basedOn w:val="ListParagraphChar"/>
    <w:link w:val="EndNoteBibliographyTitle"/>
    <w:rsid w:val="00657B79"/>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657B79"/>
    <w:pPr>
      <w:spacing w:line="240" w:lineRule="auto"/>
    </w:pPr>
    <w:rPr>
      <w:rFonts w:eastAsia="Times New Roman" w:cs="Times New Roman"/>
      <w:noProof/>
    </w:rPr>
  </w:style>
  <w:style w:type="character" w:customStyle="1" w:styleId="EndNoteBibliographyChar">
    <w:name w:val="EndNote Bibliography Char"/>
    <w:basedOn w:val="ListParagraphChar"/>
    <w:link w:val="EndNoteBibliography"/>
    <w:rsid w:val="00657B79"/>
    <w:rPr>
      <w:rFonts w:ascii="Times New Roman" w:eastAsia="Times New Roman" w:hAnsi="Times New Roman" w:cs="Times New Roman"/>
      <w:noProof/>
    </w:rPr>
  </w:style>
  <w:style w:type="paragraph" w:styleId="BodyText">
    <w:name w:val="Body Text"/>
    <w:basedOn w:val="Normal"/>
    <w:link w:val="BodyTextChar1"/>
    <w:rsid w:val="00657B79"/>
    <w:pPr>
      <w:spacing w:after="240" w:line="281" w:lineRule="auto"/>
      <w:ind w:left="720"/>
    </w:pPr>
    <w:rPr>
      <w:rFonts w:ascii="Calibri" w:eastAsia="Times New Roman" w:hAnsi="Calibri" w:cs="Times New Roman"/>
      <w:sz w:val="20"/>
      <w:szCs w:val="20"/>
    </w:rPr>
  </w:style>
  <w:style w:type="character" w:customStyle="1" w:styleId="BodyTextChar">
    <w:name w:val="Body Text Char"/>
    <w:basedOn w:val="DefaultParagraphFont"/>
    <w:rsid w:val="00657B79"/>
    <w:rPr>
      <w:rFonts w:ascii="Times New Roman" w:hAnsi="Times New Roman"/>
    </w:rPr>
  </w:style>
  <w:style w:type="character" w:customStyle="1" w:styleId="BodyTextChar1">
    <w:name w:val="Body Text Char1"/>
    <w:link w:val="BodyText"/>
    <w:rsid w:val="00657B79"/>
    <w:rPr>
      <w:rFonts w:ascii="Calibri" w:eastAsia="Times New Roman" w:hAnsi="Calibri" w:cs="Times New Roman"/>
      <w:sz w:val="20"/>
      <w:szCs w:val="20"/>
    </w:rPr>
  </w:style>
  <w:style w:type="paragraph" w:customStyle="1" w:styleId="bulletL1">
    <w:name w:val="bullet L1"/>
    <w:rsid w:val="00657B79"/>
    <w:pPr>
      <w:numPr>
        <w:numId w:val="15"/>
      </w:numPr>
      <w:spacing w:before="120" w:after="120"/>
    </w:pPr>
    <w:rPr>
      <w:rFonts w:ascii="Times New Roman" w:eastAsia="Times New Roman" w:hAnsi="Times New Roman" w:cs="Times New Roman"/>
    </w:rPr>
  </w:style>
  <w:style w:type="paragraph" w:styleId="Revision">
    <w:name w:val="Revision"/>
    <w:hidden/>
    <w:uiPriority w:val="99"/>
    <w:semiHidden/>
    <w:rsid w:val="00657B79"/>
    <w:rPr>
      <w:rFonts w:ascii="Times New Roman" w:eastAsia="Times New Roman" w:hAnsi="Times New Roman" w:cs="Times New Roman"/>
    </w:rPr>
  </w:style>
  <w:style w:type="character" w:styleId="Strong">
    <w:name w:val="Strong"/>
    <w:basedOn w:val="DefaultParagraphFont"/>
    <w:uiPriority w:val="22"/>
    <w:qFormat/>
    <w:rsid w:val="00657B79"/>
    <w:rPr>
      <w:b/>
      <w:bCs/>
    </w:rPr>
  </w:style>
  <w:style w:type="paragraph" w:styleId="NormalWeb">
    <w:name w:val="Normal (Web)"/>
    <w:basedOn w:val="Normal"/>
    <w:uiPriority w:val="99"/>
    <w:unhideWhenUsed/>
    <w:rsid w:val="00657B79"/>
    <w:pPr>
      <w:spacing w:before="100" w:beforeAutospacing="1" w:after="100" w:afterAutospacing="1" w:line="240" w:lineRule="auto"/>
    </w:pPr>
    <w:rPr>
      <w:rFonts w:cs="Times New Roman"/>
    </w:rPr>
  </w:style>
  <w:style w:type="character" w:styleId="FollowedHyperlink">
    <w:name w:val="FollowedHyperlink"/>
    <w:basedOn w:val="DefaultParagraphFont"/>
    <w:uiPriority w:val="99"/>
    <w:semiHidden/>
    <w:unhideWhenUsed/>
    <w:rsid w:val="004666A0"/>
    <w:rPr>
      <w:color w:val="800080" w:themeColor="followedHyperlink"/>
      <w:u w:val="single"/>
    </w:rPr>
  </w:style>
  <w:style w:type="character" w:customStyle="1" w:styleId="apple-converted-space">
    <w:name w:val="apple-converted-space"/>
    <w:basedOn w:val="DefaultParagraphFont"/>
    <w:rsid w:val="00FA5AFC"/>
  </w:style>
  <w:style w:type="character" w:styleId="Emphasis">
    <w:name w:val="Emphasis"/>
    <w:qFormat/>
    <w:rsid w:val="00C2609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B3"/>
    <w:pPr>
      <w:spacing w:line="480" w:lineRule="auto"/>
    </w:pPr>
    <w:rPr>
      <w:rFonts w:ascii="Times New Roman" w:hAnsi="Times New Roman"/>
    </w:rPr>
  </w:style>
  <w:style w:type="paragraph" w:styleId="Heading1">
    <w:name w:val="heading 1"/>
    <w:basedOn w:val="Normal"/>
    <w:next w:val="Normal"/>
    <w:link w:val="Heading1Char"/>
    <w:qFormat/>
    <w:rsid w:val="00A43E1A"/>
    <w:pPr>
      <w:keepNext/>
      <w:outlineLvl w:val="0"/>
    </w:pPr>
    <w:rPr>
      <w:b/>
      <w:bCs/>
      <w:caps/>
    </w:rPr>
  </w:style>
  <w:style w:type="paragraph" w:styleId="Heading2">
    <w:name w:val="heading 2"/>
    <w:basedOn w:val="Normal"/>
    <w:next w:val="Normal"/>
    <w:link w:val="Heading2Char"/>
    <w:unhideWhenUsed/>
    <w:qFormat/>
    <w:rsid w:val="00A43E1A"/>
    <w:pPr>
      <w:keepNext/>
      <w:outlineLvl w:val="1"/>
    </w:pPr>
    <w:rPr>
      <w:b/>
    </w:rPr>
  </w:style>
  <w:style w:type="paragraph" w:styleId="Heading3">
    <w:name w:val="heading 3"/>
    <w:basedOn w:val="Normal"/>
    <w:next w:val="Normal"/>
    <w:link w:val="Heading3Char"/>
    <w:unhideWhenUsed/>
    <w:qFormat/>
    <w:rsid w:val="00A43E1A"/>
    <w:pPr>
      <w:keepNext/>
      <w:outlineLvl w:val="2"/>
    </w:pPr>
    <w:rPr>
      <w:i/>
    </w:rPr>
  </w:style>
  <w:style w:type="paragraph" w:styleId="Heading4">
    <w:name w:val="heading 4"/>
    <w:basedOn w:val="Normal"/>
    <w:next w:val="Normal"/>
    <w:link w:val="Heading4Char"/>
    <w:qFormat/>
    <w:rsid w:val="00657B79"/>
    <w:pPr>
      <w:keepNext/>
      <w:keepLines/>
      <w:autoSpaceDE w:val="0"/>
      <w:autoSpaceDN w:val="0"/>
      <w:adjustRightInd w:val="0"/>
      <w:spacing w:line="240" w:lineRule="auto"/>
      <w:ind w:left="15" w:right="1369"/>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3C29"/>
    <w:rPr>
      <w:color w:val="F79646" w:themeColor="accent6"/>
      <w:u w:val="single"/>
    </w:rPr>
  </w:style>
  <w:style w:type="paragraph" w:styleId="Header">
    <w:name w:val="header"/>
    <w:basedOn w:val="Normal"/>
    <w:link w:val="HeaderChar"/>
    <w:unhideWhenUsed/>
    <w:rsid w:val="006439AA"/>
    <w:pPr>
      <w:tabs>
        <w:tab w:val="center" w:pos="4320"/>
        <w:tab w:val="right" w:pos="8640"/>
      </w:tabs>
      <w:spacing w:line="240" w:lineRule="auto"/>
    </w:pPr>
  </w:style>
  <w:style w:type="character" w:customStyle="1" w:styleId="HeaderChar">
    <w:name w:val="Header Char"/>
    <w:basedOn w:val="DefaultParagraphFont"/>
    <w:link w:val="Header"/>
    <w:rsid w:val="006439AA"/>
    <w:rPr>
      <w:rFonts w:ascii="Arial" w:hAnsi="Arial"/>
    </w:rPr>
  </w:style>
  <w:style w:type="paragraph" w:styleId="Footer">
    <w:name w:val="footer"/>
    <w:basedOn w:val="Normal"/>
    <w:link w:val="FooterChar"/>
    <w:unhideWhenUsed/>
    <w:rsid w:val="00DA2770"/>
    <w:pPr>
      <w:tabs>
        <w:tab w:val="center" w:pos="4320"/>
        <w:tab w:val="right" w:pos="8640"/>
      </w:tabs>
      <w:spacing w:line="240" w:lineRule="auto"/>
      <w:jc w:val="center"/>
    </w:pPr>
  </w:style>
  <w:style w:type="character" w:customStyle="1" w:styleId="FooterChar">
    <w:name w:val="Footer Char"/>
    <w:basedOn w:val="DefaultParagraphFont"/>
    <w:link w:val="Footer"/>
    <w:rsid w:val="00DA2770"/>
  </w:style>
  <w:style w:type="character" w:styleId="PageNumber">
    <w:name w:val="page number"/>
    <w:basedOn w:val="DefaultParagraphFont"/>
    <w:unhideWhenUsed/>
    <w:rsid w:val="006439AA"/>
  </w:style>
  <w:style w:type="table" w:styleId="TableGrid">
    <w:name w:val="Table Grid"/>
    <w:basedOn w:val="TableNormal"/>
    <w:rsid w:val="00396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DA2770"/>
    <w:pPr>
      <w:jc w:val="center"/>
    </w:pPr>
    <w:rPr>
      <w:b/>
    </w:rPr>
  </w:style>
  <w:style w:type="character" w:customStyle="1" w:styleId="TitleChar">
    <w:name w:val="Title Char"/>
    <w:basedOn w:val="DefaultParagraphFont"/>
    <w:link w:val="Title"/>
    <w:uiPriority w:val="10"/>
    <w:rsid w:val="00DA2770"/>
    <w:rPr>
      <w:b/>
    </w:rPr>
  </w:style>
  <w:style w:type="paragraph" w:customStyle="1" w:styleId="MajorSectionHeading">
    <w:name w:val="Major Section Heading"/>
    <w:basedOn w:val="Normal"/>
    <w:qFormat/>
    <w:rsid w:val="00DA2770"/>
    <w:pPr>
      <w:pageBreakBefore/>
    </w:pPr>
    <w:rPr>
      <w:b/>
      <w:bCs/>
      <w:caps/>
    </w:rPr>
  </w:style>
  <w:style w:type="character" w:customStyle="1" w:styleId="Heading1Char">
    <w:name w:val="Heading 1 Char"/>
    <w:basedOn w:val="DefaultParagraphFont"/>
    <w:link w:val="Heading1"/>
    <w:rsid w:val="00A43E1A"/>
    <w:rPr>
      <w:b/>
      <w:bCs/>
      <w:caps/>
    </w:rPr>
  </w:style>
  <w:style w:type="character" w:customStyle="1" w:styleId="Heading2Char">
    <w:name w:val="Heading 2 Char"/>
    <w:basedOn w:val="DefaultParagraphFont"/>
    <w:link w:val="Heading2"/>
    <w:rsid w:val="00A43E1A"/>
    <w:rPr>
      <w:b/>
    </w:rPr>
  </w:style>
  <w:style w:type="paragraph" w:customStyle="1" w:styleId="References">
    <w:name w:val="References"/>
    <w:basedOn w:val="Normal"/>
    <w:qFormat/>
    <w:rsid w:val="00DA2770"/>
    <w:pPr>
      <w:ind w:left="540" w:hanging="540"/>
    </w:pPr>
  </w:style>
  <w:style w:type="paragraph" w:styleId="BalloonText">
    <w:name w:val="Balloon Text"/>
    <w:basedOn w:val="Normal"/>
    <w:link w:val="BalloonTextChar"/>
    <w:semiHidden/>
    <w:unhideWhenUsed/>
    <w:rsid w:val="00DA277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DA2770"/>
    <w:rPr>
      <w:rFonts w:ascii="Lucida Grande" w:hAnsi="Lucida Grande" w:cs="Lucida Grande"/>
      <w:sz w:val="18"/>
      <w:szCs w:val="18"/>
    </w:rPr>
  </w:style>
  <w:style w:type="character" w:customStyle="1" w:styleId="Heading3Char">
    <w:name w:val="Heading 3 Char"/>
    <w:basedOn w:val="DefaultParagraphFont"/>
    <w:link w:val="Heading3"/>
    <w:rsid w:val="00A43E1A"/>
    <w:rPr>
      <w:i/>
    </w:rPr>
  </w:style>
  <w:style w:type="character" w:styleId="CommentReference">
    <w:name w:val="annotation reference"/>
    <w:basedOn w:val="DefaultParagraphFont"/>
    <w:unhideWhenUsed/>
    <w:rsid w:val="005C61B3"/>
    <w:rPr>
      <w:sz w:val="18"/>
      <w:szCs w:val="18"/>
    </w:rPr>
  </w:style>
  <w:style w:type="paragraph" w:styleId="CommentText">
    <w:name w:val="annotation text"/>
    <w:basedOn w:val="Normal"/>
    <w:link w:val="CommentTextChar"/>
    <w:unhideWhenUsed/>
    <w:rsid w:val="005C61B3"/>
    <w:pPr>
      <w:spacing w:line="240" w:lineRule="auto"/>
    </w:pPr>
  </w:style>
  <w:style w:type="character" w:customStyle="1" w:styleId="CommentTextChar">
    <w:name w:val="Comment Text Char"/>
    <w:basedOn w:val="DefaultParagraphFont"/>
    <w:link w:val="CommentText"/>
    <w:rsid w:val="005C61B3"/>
    <w:rPr>
      <w:rFonts w:ascii="Times New Roman" w:hAnsi="Times New Roman"/>
    </w:rPr>
  </w:style>
  <w:style w:type="paragraph" w:styleId="CommentSubject">
    <w:name w:val="annotation subject"/>
    <w:basedOn w:val="CommentText"/>
    <w:next w:val="CommentText"/>
    <w:link w:val="CommentSubjectChar"/>
    <w:unhideWhenUsed/>
    <w:rsid w:val="005C61B3"/>
    <w:rPr>
      <w:b/>
      <w:bCs/>
      <w:sz w:val="20"/>
      <w:szCs w:val="20"/>
    </w:rPr>
  </w:style>
  <w:style w:type="character" w:customStyle="1" w:styleId="CommentSubjectChar">
    <w:name w:val="Comment Subject Char"/>
    <w:basedOn w:val="CommentTextChar"/>
    <w:link w:val="CommentSubject"/>
    <w:rsid w:val="005C61B3"/>
    <w:rPr>
      <w:rFonts w:ascii="Times New Roman" w:hAnsi="Times New Roman"/>
      <w:b/>
      <w:bCs/>
      <w:sz w:val="20"/>
      <w:szCs w:val="20"/>
    </w:rPr>
  </w:style>
  <w:style w:type="paragraph" w:styleId="ListParagraph">
    <w:name w:val="List Paragraph"/>
    <w:basedOn w:val="Normal"/>
    <w:link w:val="ListParagraphChar"/>
    <w:uiPriority w:val="34"/>
    <w:qFormat/>
    <w:rsid w:val="00657B79"/>
    <w:pPr>
      <w:spacing w:line="240" w:lineRule="auto"/>
      <w:ind w:left="720"/>
    </w:pPr>
    <w:rPr>
      <w:rFonts w:eastAsia="Times New Roman" w:cs="Times New Roman"/>
    </w:rPr>
  </w:style>
  <w:style w:type="character" w:customStyle="1" w:styleId="ListParagraphChar">
    <w:name w:val="List Paragraph Char"/>
    <w:basedOn w:val="DefaultParagraphFont"/>
    <w:link w:val="ListParagraph"/>
    <w:uiPriority w:val="34"/>
    <w:rsid w:val="00657B79"/>
    <w:rPr>
      <w:rFonts w:ascii="Times New Roman" w:eastAsia="Times New Roman" w:hAnsi="Times New Roman" w:cs="Times New Roman"/>
    </w:rPr>
  </w:style>
  <w:style w:type="character" w:customStyle="1" w:styleId="Heading4Char">
    <w:name w:val="Heading 4 Char"/>
    <w:basedOn w:val="DefaultParagraphFont"/>
    <w:link w:val="Heading4"/>
    <w:rsid w:val="00657B79"/>
    <w:rPr>
      <w:rFonts w:ascii="Times New Roman" w:eastAsia="Times New Roman" w:hAnsi="Times New Roman" w:cs="Times New Roman"/>
      <w:b/>
      <w:bCs/>
    </w:rPr>
  </w:style>
  <w:style w:type="paragraph" w:styleId="TOC1">
    <w:name w:val="toc 1"/>
    <w:basedOn w:val="Normal"/>
    <w:next w:val="Normal"/>
    <w:autoRedefine/>
    <w:semiHidden/>
    <w:rsid w:val="00657B79"/>
    <w:pPr>
      <w:framePr w:wrap="notBeside" w:vAnchor="page" w:hAnchor="text" w:y="1"/>
      <w:tabs>
        <w:tab w:val="right" w:leader="dot" w:pos="10066"/>
      </w:tabs>
      <w:spacing w:before="20" w:after="20" w:line="240" w:lineRule="auto"/>
      <w:jc w:val="both"/>
    </w:pPr>
    <w:rPr>
      <w:rFonts w:eastAsia="Times New Roman" w:cs="Times New Roman"/>
      <w:szCs w:val="20"/>
    </w:rPr>
  </w:style>
  <w:style w:type="paragraph" w:customStyle="1" w:styleId="DocType">
    <w:name w:val="Doc Type"/>
    <w:basedOn w:val="Normal"/>
    <w:rsid w:val="00657B79"/>
    <w:pPr>
      <w:tabs>
        <w:tab w:val="left" w:pos="576"/>
      </w:tabs>
      <w:overflowPunct w:val="0"/>
      <w:autoSpaceDE w:val="0"/>
      <w:autoSpaceDN w:val="0"/>
      <w:adjustRightInd w:val="0"/>
      <w:spacing w:line="240" w:lineRule="exact"/>
      <w:ind w:right="-14"/>
      <w:jc w:val="center"/>
      <w:textAlignment w:val="baseline"/>
    </w:pPr>
    <w:rPr>
      <w:rFonts w:ascii="Arial" w:eastAsia="Times New Roman" w:hAnsi="Arial" w:cs="Times New Roman"/>
      <w:b/>
      <w:bCs/>
      <w:szCs w:val="20"/>
    </w:rPr>
  </w:style>
  <w:style w:type="paragraph" w:customStyle="1" w:styleId="DocTitle">
    <w:name w:val="Doc Title"/>
    <w:basedOn w:val="Normal"/>
    <w:rsid w:val="00657B79"/>
    <w:pPr>
      <w:tabs>
        <w:tab w:val="left" w:pos="576"/>
      </w:tabs>
      <w:overflowPunct w:val="0"/>
      <w:autoSpaceDE w:val="0"/>
      <w:autoSpaceDN w:val="0"/>
      <w:adjustRightInd w:val="0"/>
      <w:spacing w:line="240" w:lineRule="exact"/>
      <w:ind w:right="-864"/>
      <w:jc w:val="center"/>
      <w:textAlignment w:val="baseline"/>
    </w:pPr>
    <w:rPr>
      <w:rFonts w:ascii="Arial" w:eastAsia="Times New Roman" w:hAnsi="Arial" w:cs="Times New Roman"/>
      <w:b/>
      <w:sz w:val="28"/>
      <w:szCs w:val="20"/>
    </w:rPr>
  </w:style>
  <w:style w:type="paragraph" w:customStyle="1" w:styleId="Default">
    <w:name w:val="Default"/>
    <w:rsid w:val="00657B79"/>
    <w:pPr>
      <w:autoSpaceDE w:val="0"/>
      <w:autoSpaceDN w:val="0"/>
      <w:adjustRightInd w:val="0"/>
    </w:pPr>
    <w:rPr>
      <w:rFonts w:ascii="Calibri" w:eastAsia="Times New Roman" w:hAnsi="Calibri" w:cs="Calibri"/>
      <w:color w:val="000000"/>
    </w:rPr>
  </w:style>
  <w:style w:type="paragraph" w:customStyle="1" w:styleId="ReportText">
    <w:name w:val="Report Text"/>
    <w:qFormat/>
    <w:rsid w:val="00657B79"/>
    <w:pPr>
      <w:spacing w:before="200" w:after="200"/>
      <w:jc w:val="both"/>
    </w:pPr>
    <w:rPr>
      <w:rFonts w:eastAsia="Times New Roman" w:cs="Times New Roman"/>
      <w:szCs w:val="20"/>
    </w:rPr>
  </w:style>
  <w:style w:type="paragraph" w:customStyle="1" w:styleId="EndNoteBibliographyTitle">
    <w:name w:val="EndNote Bibliography Title"/>
    <w:basedOn w:val="Normal"/>
    <w:link w:val="EndNoteBibliographyTitleChar"/>
    <w:rsid w:val="00657B79"/>
    <w:pPr>
      <w:spacing w:line="240" w:lineRule="auto"/>
      <w:jc w:val="center"/>
    </w:pPr>
    <w:rPr>
      <w:rFonts w:eastAsia="Times New Roman" w:cs="Times New Roman"/>
      <w:noProof/>
    </w:rPr>
  </w:style>
  <w:style w:type="character" w:customStyle="1" w:styleId="EndNoteBibliographyTitleChar">
    <w:name w:val="EndNote Bibliography Title Char"/>
    <w:basedOn w:val="ListParagraphChar"/>
    <w:link w:val="EndNoteBibliographyTitle"/>
    <w:rsid w:val="00657B79"/>
    <w:rPr>
      <w:rFonts w:ascii="Times New Roman" w:eastAsia="Times New Roman" w:hAnsi="Times New Roman" w:cs="Times New Roman"/>
      <w:noProof/>
    </w:rPr>
  </w:style>
  <w:style w:type="paragraph" w:customStyle="1" w:styleId="EndNoteBibliography">
    <w:name w:val="EndNote Bibliography"/>
    <w:basedOn w:val="Normal"/>
    <w:link w:val="EndNoteBibliographyChar"/>
    <w:rsid w:val="00657B79"/>
    <w:pPr>
      <w:spacing w:line="240" w:lineRule="auto"/>
    </w:pPr>
    <w:rPr>
      <w:rFonts w:eastAsia="Times New Roman" w:cs="Times New Roman"/>
      <w:noProof/>
    </w:rPr>
  </w:style>
  <w:style w:type="character" w:customStyle="1" w:styleId="EndNoteBibliographyChar">
    <w:name w:val="EndNote Bibliography Char"/>
    <w:basedOn w:val="ListParagraphChar"/>
    <w:link w:val="EndNoteBibliography"/>
    <w:rsid w:val="00657B79"/>
    <w:rPr>
      <w:rFonts w:ascii="Times New Roman" w:eastAsia="Times New Roman" w:hAnsi="Times New Roman" w:cs="Times New Roman"/>
      <w:noProof/>
    </w:rPr>
  </w:style>
  <w:style w:type="paragraph" w:styleId="BodyText">
    <w:name w:val="Body Text"/>
    <w:basedOn w:val="Normal"/>
    <w:link w:val="BodyTextChar1"/>
    <w:rsid w:val="00657B79"/>
    <w:pPr>
      <w:spacing w:after="240" w:line="281" w:lineRule="auto"/>
      <w:ind w:left="720"/>
    </w:pPr>
    <w:rPr>
      <w:rFonts w:ascii="Calibri" w:eastAsia="Times New Roman" w:hAnsi="Calibri" w:cs="Times New Roman"/>
      <w:sz w:val="20"/>
      <w:szCs w:val="20"/>
    </w:rPr>
  </w:style>
  <w:style w:type="character" w:customStyle="1" w:styleId="BodyTextChar">
    <w:name w:val="Body Text Char"/>
    <w:basedOn w:val="DefaultParagraphFont"/>
    <w:rsid w:val="00657B79"/>
    <w:rPr>
      <w:rFonts w:ascii="Times New Roman" w:hAnsi="Times New Roman"/>
    </w:rPr>
  </w:style>
  <w:style w:type="character" w:customStyle="1" w:styleId="BodyTextChar1">
    <w:name w:val="Body Text Char1"/>
    <w:link w:val="BodyText"/>
    <w:rsid w:val="00657B79"/>
    <w:rPr>
      <w:rFonts w:ascii="Calibri" w:eastAsia="Times New Roman" w:hAnsi="Calibri" w:cs="Times New Roman"/>
      <w:sz w:val="20"/>
      <w:szCs w:val="20"/>
    </w:rPr>
  </w:style>
  <w:style w:type="paragraph" w:customStyle="1" w:styleId="bulletL1">
    <w:name w:val="bullet L1"/>
    <w:rsid w:val="00657B79"/>
    <w:pPr>
      <w:numPr>
        <w:numId w:val="15"/>
      </w:numPr>
      <w:spacing w:before="120" w:after="120"/>
    </w:pPr>
    <w:rPr>
      <w:rFonts w:ascii="Times New Roman" w:eastAsia="Times New Roman" w:hAnsi="Times New Roman" w:cs="Times New Roman"/>
    </w:rPr>
  </w:style>
  <w:style w:type="paragraph" w:styleId="Revision">
    <w:name w:val="Revision"/>
    <w:hidden/>
    <w:uiPriority w:val="99"/>
    <w:semiHidden/>
    <w:rsid w:val="00657B79"/>
    <w:rPr>
      <w:rFonts w:ascii="Times New Roman" w:eastAsia="Times New Roman" w:hAnsi="Times New Roman" w:cs="Times New Roman"/>
    </w:rPr>
  </w:style>
  <w:style w:type="character" w:styleId="Strong">
    <w:name w:val="Strong"/>
    <w:basedOn w:val="DefaultParagraphFont"/>
    <w:uiPriority w:val="22"/>
    <w:qFormat/>
    <w:rsid w:val="00657B79"/>
    <w:rPr>
      <w:b/>
      <w:bCs/>
    </w:rPr>
  </w:style>
  <w:style w:type="paragraph" w:styleId="NormalWeb">
    <w:name w:val="Normal (Web)"/>
    <w:basedOn w:val="Normal"/>
    <w:uiPriority w:val="99"/>
    <w:unhideWhenUsed/>
    <w:rsid w:val="00657B79"/>
    <w:pPr>
      <w:spacing w:before="100" w:beforeAutospacing="1" w:after="100" w:afterAutospacing="1" w:line="240" w:lineRule="auto"/>
    </w:pPr>
    <w:rPr>
      <w:rFonts w:cs="Times New Roman"/>
    </w:rPr>
  </w:style>
  <w:style w:type="character" w:styleId="FollowedHyperlink">
    <w:name w:val="FollowedHyperlink"/>
    <w:basedOn w:val="DefaultParagraphFont"/>
    <w:uiPriority w:val="99"/>
    <w:semiHidden/>
    <w:unhideWhenUsed/>
    <w:rsid w:val="004666A0"/>
    <w:rPr>
      <w:color w:val="800080" w:themeColor="followedHyperlink"/>
      <w:u w:val="single"/>
    </w:rPr>
  </w:style>
  <w:style w:type="character" w:customStyle="1" w:styleId="apple-converted-space">
    <w:name w:val="apple-converted-space"/>
    <w:basedOn w:val="DefaultParagraphFont"/>
    <w:rsid w:val="00FA5AFC"/>
  </w:style>
  <w:style w:type="character" w:styleId="Emphasis">
    <w:name w:val="Emphasis"/>
    <w:qFormat/>
    <w:rsid w:val="00C2609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5814">
      <w:bodyDiv w:val="1"/>
      <w:marLeft w:val="0"/>
      <w:marRight w:val="0"/>
      <w:marTop w:val="0"/>
      <w:marBottom w:val="0"/>
      <w:divBdr>
        <w:top w:val="none" w:sz="0" w:space="0" w:color="auto"/>
        <w:left w:val="none" w:sz="0" w:space="0" w:color="auto"/>
        <w:bottom w:val="none" w:sz="0" w:space="0" w:color="auto"/>
        <w:right w:val="none" w:sz="0" w:space="0" w:color="auto"/>
      </w:divBdr>
    </w:div>
    <w:div w:id="477301716">
      <w:bodyDiv w:val="1"/>
      <w:marLeft w:val="0"/>
      <w:marRight w:val="0"/>
      <w:marTop w:val="0"/>
      <w:marBottom w:val="0"/>
      <w:divBdr>
        <w:top w:val="none" w:sz="0" w:space="0" w:color="auto"/>
        <w:left w:val="none" w:sz="0" w:space="0" w:color="auto"/>
        <w:bottom w:val="none" w:sz="0" w:space="0" w:color="auto"/>
        <w:right w:val="none" w:sz="0" w:space="0" w:color="auto"/>
      </w:divBdr>
    </w:div>
    <w:div w:id="947591143">
      <w:bodyDiv w:val="1"/>
      <w:marLeft w:val="0"/>
      <w:marRight w:val="0"/>
      <w:marTop w:val="0"/>
      <w:marBottom w:val="0"/>
      <w:divBdr>
        <w:top w:val="none" w:sz="0" w:space="0" w:color="auto"/>
        <w:left w:val="none" w:sz="0" w:space="0" w:color="auto"/>
        <w:bottom w:val="none" w:sz="0" w:space="0" w:color="auto"/>
        <w:right w:val="none" w:sz="0" w:space="0" w:color="auto"/>
      </w:divBdr>
    </w:div>
    <w:div w:id="1556313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shua.vose@medtronic.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6063</Words>
  <Characters>34564</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Biolexica LLC</Company>
  <LinksUpToDate>false</LinksUpToDate>
  <CharactersWithSpaces>40546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McAdara-Berkowitz</dc:creator>
  <cp:lastModifiedBy>Na Ma</cp:lastModifiedBy>
  <cp:revision>2</cp:revision>
  <dcterms:created xsi:type="dcterms:W3CDTF">2016-11-15T23:36:00Z</dcterms:created>
  <dcterms:modified xsi:type="dcterms:W3CDTF">2016-11-15T23:36:00Z</dcterms:modified>
</cp:coreProperties>
</file>