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46" w:rsidRPr="00E127AB" w:rsidRDefault="00695F46"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bCs/>
          <w:color w:val="auto"/>
          <w:sz w:val="24"/>
          <w:szCs w:val="24"/>
          <w:lang w:val="en-US"/>
        </w:rPr>
      </w:pPr>
      <w:r w:rsidRPr="00E127AB">
        <w:rPr>
          <w:rFonts w:ascii="Book Antiqua" w:hAnsi="Book Antiqua"/>
          <w:b/>
          <w:bCs/>
          <w:color w:val="auto"/>
          <w:sz w:val="24"/>
          <w:szCs w:val="24"/>
          <w:lang w:val="en-US"/>
        </w:rPr>
        <w:t xml:space="preserve">Name of Journal: </w:t>
      </w:r>
      <w:r w:rsidRPr="00E127AB">
        <w:rPr>
          <w:rFonts w:ascii="Book Antiqua" w:hAnsi="Book Antiqua"/>
          <w:b/>
          <w:bCs/>
          <w:i/>
          <w:color w:val="auto"/>
          <w:sz w:val="24"/>
          <w:szCs w:val="24"/>
          <w:lang w:val="en-US"/>
        </w:rPr>
        <w:t>World Journal of Hematology</w:t>
      </w:r>
    </w:p>
    <w:p w:rsidR="00695F46" w:rsidRPr="00E127AB" w:rsidRDefault="00695F46"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bCs/>
          <w:color w:val="auto"/>
          <w:sz w:val="24"/>
          <w:szCs w:val="24"/>
          <w:lang w:val="en-US"/>
        </w:rPr>
      </w:pPr>
      <w:r w:rsidRPr="00E127AB">
        <w:rPr>
          <w:rFonts w:ascii="Book Antiqua" w:hAnsi="Book Antiqua"/>
          <w:b/>
          <w:bCs/>
          <w:color w:val="auto"/>
          <w:sz w:val="24"/>
          <w:szCs w:val="24"/>
          <w:lang w:val="en-US"/>
        </w:rPr>
        <w:t xml:space="preserve">ESPS Manuscript NO: </w:t>
      </w:r>
      <w:bookmarkStart w:id="0" w:name="OLE_LINK28"/>
      <w:bookmarkStart w:id="1" w:name="OLE_LINK29"/>
      <w:r w:rsidRPr="00E127AB">
        <w:rPr>
          <w:rFonts w:ascii="Book Antiqua" w:hAnsi="Book Antiqua"/>
          <w:b/>
          <w:bCs/>
          <w:color w:val="auto"/>
          <w:sz w:val="24"/>
          <w:szCs w:val="24"/>
          <w:lang w:val="en-US"/>
        </w:rPr>
        <w:t>29628</w:t>
      </w:r>
      <w:bookmarkEnd w:id="0"/>
      <w:bookmarkEnd w:id="1"/>
    </w:p>
    <w:p w:rsidR="00695F46" w:rsidRPr="00E127AB" w:rsidRDefault="00695F46"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bCs/>
          <w:color w:val="auto"/>
          <w:sz w:val="24"/>
          <w:szCs w:val="24"/>
          <w:lang w:val="en-US"/>
        </w:rPr>
      </w:pPr>
      <w:r w:rsidRPr="00E127AB">
        <w:rPr>
          <w:rFonts w:ascii="Book Antiqua" w:hAnsi="Book Antiqua"/>
          <w:b/>
          <w:bCs/>
          <w:color w:val="auto"/>
          <w:sz w:val="24"/>
          <w:szCs w:val="24"/>
          <w:lang w:val="en-US"/>
        </w:rPr>
        <w:t>Manuscript Type: Frontier</w:t>
      </w:r>
    </w:p>
    <w:p w:rsidR="00695F46" w:rsidRPr="00E127AB" w:rsidRDefault="00695F46"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bCs/>
          <w:color w:val="auto"/>
          <w:sz w:val="24"/>
          <w:szCs w:val="24"/>
          <w:lang w:val="en-US" w:eastAsia="zh-CN"/>
        </w:rPr>
      </w:pPr>
    </w:p>
    <w:p w:rsidR="0076734A" w:rsidRPr="00E127AB" w:rsidRDefault="0076734A"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bCs/>
          <w:color w:val="auto"/>
          <w:sz w:val="24"/>
          <w:szCs w:val="24"/>
          <w:lang w:val="en-US" w:eastAsia="zh-CN"/>
        </w:rPr>
      </w:pPr>
      <w:bookmarkStart w:id="2" w:name="OLE_LINK190"/>
      <w:bookmarkStart w:id="3" w:name="OLE_LINK191"/>
      <w:bookmarkStart w:id="4" w:name="OLE_LINK180"/>
      <w:bookmarkStart w:id="5" w:name="OLE_LINK181"/>
      <w:r w:rsidRPr="00E127AB">
        <w:rPr>
          <w:rFonts w:ascii="Book Antiqua" w:hAnsi="Book Antiqua"/>
          <w:b/>
          <w:bCs/>
          <w:color w:val="auto"/>
          <w:sz w:val="24"/>
          <w:szCs w:val="24"/>
          <w:lang w:val="en-US"/>
        </w:rPr>
        <w:t xml:space="preserve">Allogeneic stem cell transplantation in </w:t>
      </w:r>
      <w:r w:rsidR="00ED3101" w:rsidRPr="00E127AB">
        <w:rPr>
          <w:rFonts w:ascii="Book Antiqua" w:hAnsi="Book Antiqua"/>
          <w:b/>
          <w:bCs/>
          <w:color w:val="auto"/>
          <w:sz w:val="24"/>
          <w:szCs w:val="24"/>
          <w:lang w:val="en-US"/>
        </w:rPr>
        <w:t>chronic myeloid leukemia</w:t>
      </w:r>
      <w:r w:rsidRPr="00E127AB">
        <w:rPr>
          <w:rFonts w:ascii="Book Antiqua" w:hAnsi="Book Antiqua"/>
          <w:b/>
          <w:bCs/>
          <w:color w:val="auto"/>
          <w:sz w:val="24"/>
          <w:szCs w:val="24"/>
          <w:lang w:val="en-US"/>
        </w:rPr>
        <w:t xml:space="preserve"> patients: </w:t>
      </w:r>
      <w:r w:rsidR="00ED3101" w:rsidRPr="00E127AB">
        <w:rPr>
          <w:rFonts w:ascii="Book Antiqua" w:hAnsi="Book Antiqua"/>
          <w:b/>
          <w:bCs/>
          <w:color w:val="auto"/>
          <w:sz w:val="24"/>
          <w:szCs w:val="24"/>
          <w:lang w:val="en-US"/>
        </w:rPr>
        <w:t>S</w:t>
      </w:r>
      <w:r w:rsidRPr="00E127AB">
        <w:rPr>
          <w:rFonts w:ascii="Book Antiqua" w:hAnsi="Book Antiqua"/>
          <w:b/>
          <w:bCs/>
          <w:color w:val="auto"/>
          <w:sz w:val="24"/>
          <w:szCs w:val="24"/>
          <w:lang w:val="en-US"/>
        </w:rPr>
        <w:t>ingle center experience</w:t>
      </w:r>
      <w:bookmarkEnd w:id="2"/>
      <w:bookmarkEnd w:id="3"/>
      <w:r w:rsidRPr="00E127AB">
        <w:rPr>
          <w:rFonts w:ascii="Book Antiqua" w:hAnsi="Book Antiqua"/>
          <w:b/>
          <w:bCs/>
          <w:color w:val="auto"/>
          <w:sz w:val="24"/>
          <w:szCs w:val="24"/>
          <w:lang w:val="en-US"/>
        </w:rPr>
        <w:t xml:space="preserve"> </w:t>
      </w:r>
    </w:p>
    <w:bookmarkEnd w:id="4"/>
    <w:bookmarkEnd w:id="5"/>
    <w:p w:rsidR="00695F46" w:rsidRPr="00E127AB" w:rsidRDefault="00695F46"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bCs/>
          <w:color w:val="auto"/>
          <w:sz w:val="24"/>
          <w:szCs w:val="24"/>
          <w:lang w:val="en-US" w:eastAsia="zh-CN"/>
        </w:rPr>
      </w:pPr>
    </w:p>
    <w:p w:rsidR="00691BF2" w:rsidRPr="00E127AB" w:rsidRDefault="002612EC"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Cs/>
          <w:color w:val="auto"/>
          <w:sz w:val="24"/>
          <w:szCs w:val="24"/>
          <w:lang w:val="en-US" w:eastAsia="zh-CN"/>
        </w:rPr>
      </w:pPr>
      <w:proofErr w:type="spellStart"/>
      <w:r w:rsidRPr="00E127AB">
        <w:rPr>
          <w:rFonts w:ascii="Book Antiqua" w:hAnsi="Book Antiqua"/>
          <w:bCs/>
          <w:color w:val="auto"/>
          <w:sz w:val="24"/>
          <w:szCs w:val="24"/>
          <w:lang w:val="en-US"/>
        </w:rPr>
        <w:t>Saydam</w:t>
      </w:r>
      <w:proofErr w:type="spellEnd"/>
      <w:r w:rsidRPr="00E127AB">
        <w:rPr>
          <w:rFonts w:ascii="Book Antiqua" w:hAnsi="Book Antiqua"/>
          <w:bCs/>
          <w:color w:val="auto"/>
          <w:sz w:val="24"/>
          <w:szCs w:val="24"/>
          <w:lang w:val="en-US"/>
        </w:rPr>
        <w:t xml:space="preserve"> G </w:t>
      </w:r>
      <w:r w:rsidRPr="00E127AB">
        <w:rPr>
          <w:rFonts w:ascii="Book Antiqua" w:hAnsi="Book Antiqua"/>
          <w:bCs/>
          <w:i/>
          <w:color w:val="auto"/>
          <w:sz w:val="24"/>
          <w:szCs w:val="24"/>
          <w:lang w:val="en-US"/>
        </w:rPr>
        <w:t>et al</w:t>
      </w:r>
      <w:r w:rsidRPr="00E127AB">
        <w:rPr>
          <w:rFonts w:ascii="Book Antiqua" w:hAnsi="Book Antiqua"/>
          <w:bCs/>
          <w:color w:val="auto"/>
          <w:sz w:val="24"/>
          <w:szCs w:val="24"/>
          <w:lang w:val="en-US"/>
        </w:rPr>
        <w:t xml:space="preserve">. </w:t>
      </w:r>
      <w:r w:rsidR="001133AC" w:rsidRPr="00E127AB">
        <w:rPr>
          <w:rFonts w:ascii="Book Antiqua" w:hAnsi="Book Antiqua"/>
          <w:bCs/>
          <w:color w:val="auto"/>
          <w:sz w:val="24"/>
          <w:szCs w:val="24"/>
          <w:lang w:val="en-US"/>
        </w:rPr>
        <w:t>A</w:t>
      </w:r>
      <w:r w:rsidR="00691BF2" w:rsidRPr="00E127AB">
        <w:rPr>
          <w:rFonts w:ascii="Book Antiqua" w:hAnsi="Book Antiqua"/>
          <w:bCs/>
          <w:color w:val="auto"/>
          <w:sz w:val="24"/>
          <w:szCs w:val="24"/>
          <w:lang w:val="en-US"/>
        </w:rPr>
        <w:t>llogeneic stem cell transplantation</w:t>
      </w:r>
      <w:r w:rsidR="001133AC" w:rsidRPr="00E127AB">
        <w:rPr>
          <w:rFonts w:ascii="Book Antiqua" w:hAnsi="Book Antiqua"/>
          <w:bCs/>
          <w:color w:val="auto"/>
          <w:sz w:val="24"/>
          <w:szCs w:val="24"/>
          <w:lang w:val="en-US"/>
        </w:rPr>
        <w:t xml:space="preserve"> in CML</w:t>
      </w:r>
    </w:p>
    <w:p w:rsidR="00695F46" w:rsidRPr="00E127AB" w:rsidRDefault="00695F46"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Cs/>
          <w:color w:val="auto"/>
          <w:sz w:val="24"/>
          <w:szCs w:val="24"/>
          <w:lang w:val="en-US" w:eastAsia="zh-CN"/>
        </w:rPr>
      </w:pPr>
    </w:p>
    <w:p w:rsidR="00C52DBE" w:rsidRPr="00E127AB" w:rsidRDefault="00C52DBE"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bCs/>
          <w:color w:val="auto"/>
          <w:sz w:val="24"/>
          <w:szCs w:val="24"/>
          <w:lang w:val="en-US" w:eastAsia="zh-CN"/>
        </w:rPr>
      </w:pPr>
      <w:proofErr w:type="spellStart"/>
      <w:r w:rsidRPr="00E127AB">
        <w:rPr>
          <w:rFonts w:ascii="Book Antiqua" w:hAnsi="Book Antiqua"/>
          <w:b/>
          <w:bCs/>
          <w:color w:val="auto"/>
          <w:sz w:val="24"/>
          <w:szCs w:val="24"/>
          <w:lang w:val="en-US"/>
        </w:rPr>
        <w:t>Nur</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Soyer</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Ayse</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Uysal</w:t>
      </w:r>
      <w:proofErr w:type="spellEnd"/>
      <w:r w:rsidRPr="00E127AB">
        <w:rPr>
          <w:rFonts w:ascii="Book Antiqua" w:hAnsi="Book Antiqua"/>
          <w:b/>
          <w:bCs/>
          <w:color w:val="auto"/>
          <w:sz w:val="24"/>
          <w:szCs w:val="24"/>
          <w:lang w:val="en-US"/>
        </w:rPr>
        <w:t xml:space="preserve">, Murat </w:t>
      </w:r>
      <w:proofErr w:type="spellStart"/>
      <w:r w:rsidRPr="00E127AB">
        <w:rPr>
          <w:rFonts w:ascii="Book Antiqua" w:hAnsi="Book Antiqua"/>
          <w:b/>
          <w:bCs/>
          <w:color w:val="auto"/>
          <w:sz w:val="24"/>
          <w:szCs w:val="24"/>
          <w:lang w:val="en-US"/>
        </w:rPr>
        <w:t>Tombuloglu</w:t>
      </w:r>
      <w:proofErr w:type="spellEnd"/>
      <w:r w:rsidRPr="00E127AB">
        <w:rPr>
          <w:rFonts w:ascii="Book Antiqua" w:hAnsi="Book Antiqua"/>
          <w:b/>
          <w:bCs/>
          <w:color w:val="auto"/>
          <w:sz w:val="24"/>
          <w:szCs w:val="24"/>
          <w:lang w:val="en-US"/>
        </w:rPr>
        <w:t>,</w:t>
      </w:r>
      <w:r w:rsidRPr="00E127AB">
        <w:rPr>
          <w:rFonts w:ascii="Book Antiqua" w:hAnsi="Book Antiqua"/>
          <w:color w:val="auto"/>
          <w:sz w:val="24"/>
          <w:szCs w:val="24"/>
          <w:lang w:val="en-US"/>
        </w:rPr>
        <w:t xml:space="preserve"> </w:t>
      </w:r>
      <w:proofErr w:type="spellStart"/>
      <w:r w:rsidRPr="00E127AB">
        <w:rPr>
          <w:rFonts w:ascii="Book Antiqua" w:hAnsi="Book Antiqua"/>
          <w:b/>
          <w:bCs/>
          <w:color w:val="auto"/>
          <w:sz w:val="24"/>
          <w:szCs w:val="24"/>
          <w:lang w:val="en-US"/>
        </w:rPr>
        <w:t>Fahri</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Sahin</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Guray</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Saydam</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Filiz</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Vural</w:t>
      </w:r>
      <w:proofErr w:type="spellEnd"/>
    </w:p>
    <w:p w:rsidR="00695F46" w:rsidRPr="00E127AB" w:rsidRDefault="00695F46"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bCs/>
          <w:color w:val="auto"/>
          <w:sz w:val="24"/>
          <w:szCs w:val="24"/>
          <w:lang w:val="en-US" w:eastAsia="zh-CN"/>
        </w:rPr>
      </w:pPr>
    </w:p>
    <w:p w:rsidR="0071010C" w:rsidRPr="00E127AB" w:rsidRDefault="00471B4E"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Arial"/>
          <w:bCs/>
          <w:color w:val="auto"/>
          <w:sz w:val="24"/>
          <w:szCs w:val="24"/>
          <w:lang w:val="en-US" w:eastAsia="zh-CN"/>
        </w:rPr>
      </w:pPr>
      <w:proofErr w:type="spellStart"/>
      <w:r w:rsidRPr="00E127AB">
        <w:rPr>
          <w:rFonts w:ascii="Book Antiqua" w:hAnsi="Book Antiqua"/>
          <w:b/>
          <w:bCs/>
          <w:color w:val="auto"/>
          <w:sz w:val="24"/>
          <w:szCs w:val="24"/>
          <w:lang w:val="en-US"/>
        </w:rPr>
        <w:t>Nur</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Soyer</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Ayse</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Uysal</w:t>
      </w:r>
      <w:proofErr w:type="spellEnd"/>
      <w:r w:rsidRPr="00E127AB">
        <w:rPr>
          <w:rFonts w:ascii="Book Antiqua" w:hAnsi="Book Antiqua"/>
          <w:b/>
          <w:bCs/>
          <w:color w:val="auto"/>
          <w:sz w:val="24"/>
          <w:szCs w:val="24"/>
          <w:lang w:val="en-US"/>
        </w:rPr>
        <w:t xml:space="preserve">, Murat </w:t>
      </w:r>
      <w:proofErr w:type="spellStart"/>
      <w:r w:rsidRPr="00E127AB">
        <w:rPr>
          <w:rFonts w:ascii="Book Antiqua" w:hAnsi="Book Antiqua"/>
          <w:b/>
          <w:bCs/>
          <w:color w:val="auto"/>
          <w:sz w:val="24"/>
          <w:szCs w:val="24"/>
          <w:lang w:val="en-US"/>
        </w:rPr>
        <w:t>Tombuloglu</w:t>
      </w:r>
      <w:proofErr w:type="spellEnd"/>
      <w:r w:rsidRPr="00E127AB">
        <w:rPr>
          <w:rFonts w:ascii="Book Antiqua" w:hAnsi="Book Antiqua"/>
          <w:b/>
          <w:bCs/>
          <w:color w:val="auto"/>
          <w:sz w:val="24"/>
          <w:szCs w:val="24"/>
          <w:lang w:val="en-US"/>
        </w:rPr>
        <w:t>,</w:t>
      </w:r>
      <w:r w:rsidRPr="00E127AB">
        <w:rPr>
          <w:rFonts w:ascii="Book Antiqua" w:hAnsi="Book Antiqua"/>
          <w:b/>
          <w:color w:val="auto"/>
          <w:sz w:val="24"/>
          <w:szCs w:val="24"/>
          <w:lang w:val="en-US"/>
        </w:rPr>
        <w:t xml:space="preserve"> </w:t>
      </w:r>
      <w:proofErr w:type="spellStart"/>
      <w:r w:rsidRPr="00E127AB">
        <w:rPr>
          <w:rFonts w:ascii="Book Antiqua" w:hAnsi="Book Antiqua"/>
          <w:b/>
          <w:bCs/>
          <w:color w:val="auto"/>
          <w:sz w:val="24"/>
          <w:szCs w:val="24"/>
          <w:lang w:val="en-US"/>
        </w:rPr>
        <w:t>Fahri</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Sahin</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Guray</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Saydam</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Filiz</w:t>
      </w:r>
      <w:proofErr w:type="spellEnd"/>
      <w:r w:rsidRPr="00E127AB">
        <w:rPr>
          <w:rFonts w:ascii="Book Antiqua" w:hAnsi="Book Antiqua"/>
          <w:b/>
          <w:bCs/>
          <w:color w:val="auto"/>
          <w:sz w:val="24"/>
          <w:szCs w:val="24"/>
          <w:lang w:val="en-US"/>
        </w:rPr>
        <w:t xml:space="preserve"> </w:t>
      </w:r>
      <w:proofErr w:type="spellStart"/>
      <w:r w:rsidRPr="00E127AB">
        <w:rPr>
          <w:rFonts w:ascii="Book Antiqua" w:hAnsi="Book Antiqua"/>
          <w:b/>
          <w:bCs/>
          <w:color w:val="auto"/>
          <w:sz w:val="24"/>
          <w:szCs w:val="24"/>
          <w:lang w:val="en-US"/>
        </w:rPr>
        <w:t>Vural</w:t>
      </w:r>
      <w:proofErr w:type="spellEnd"/>
      <w:r w:rsidRPr="00E127AB">
        <w:rPr>
          <w:rFonts w:ascii="Book Antiqua" w:hAnsi="Book Antiqua"/>
          <w:b/>
          <w:bCs/>
          <w:color w:val="auto"/>
          <w:sz w:val="24"/>
          <w:szCs w:val="24"/>
          <w:lang w:val="en-US"/>
        </w:rPr>
        <w:t xml:space="preserve">, </w:t>
      </w:r>
      <w:r w:rsidRPr="00E127AB">
        <w:rPr>
          <w:rFonts w:ascii="Book Antiqua" w:hAnsi="Book Antiqua" w:cs="Arial"/>
          <w:bCs/>
          <w:color w:val="auto"/>
          <w:sz w:val="24"/>
          <w:szCs w:val="24"/>
          <w:lang w:val="en-US"/>
        </w:rPr>
        <w:t xml:space="preserve">Department of Hematology, </w:t>
      </w:r>
      <w:proofErr w:type="spellStart"/>
      <w:r w:rsidR="00D90626" w:rsidRPr="00E127AB">
        <w:rPr>
          <w:rFonts w:ascii="Book Antiqua" w:hAnsi="Book Antiqua" w:cs="Arial"/>
          <w:bCs/>
          <w:color w:val="auto"/>
          <w:sz w:val="24"/>
          <w:szCs w:val="24"/>
          <w:lang w:val="en-US"/>
        </w:rPr>
        <w:t>Ege</w:t>
      </w:r>
      <w:proofErr w:type="spellEnd"/>
      <w:r w:rsidR="00D90626" w:rsidRPr="00E127AB">
        <w:rPr>
          <w:rFonts w:ascii="Book Antiqua" w:hAnsi="Book Antiqua" w:cs="Arial"/>
          <w:bCs/>
          <w:color w:val="auto"/>
          <w:sz w:val="24"/>
          <w:szCs w:val="24"/>
          <w:lang w:val="en-US"/>
        </w:rPr>
        <w:t xml:space="preserve"> University Medical Faculty, </w:t>
      </w:r>
      <w:r w:rsidR="00ED3101" w:rsidRPr="00E127AB">
        <w:rPr>
          <w:rFonts w:ascii="Book Antiqua" w:hAnsi="Book Antiqua" w:cs="Times New Roman"/>
          <w:color w:val="auto"/>
          <w:sz w:val="24"/>
          <w:szCs w:val="24"/>
          <w:lang w:val="en-US"/>
        </w:rPr>
        <w:t>35100</w:t>
      </w:r>
      <w:r w:rsidR="00ED3101" w:rsidRPr="00E127AB">
        <w:rPr>
          <w:rFonts w:ascii="Book Antiqua" w:hAnsi="Book Antiqua" w:cs="Times New Roman"/>
          <w:color w:val="auto"/>
          <w:sz w:val="24"/>
          <w:szCs w:val="24"/>
          <w:lang w:val="en-US" w:eastAsia="zh-CN"/>
        </w:rPr>
        <w:t xml:space="preserve"> </w:t>
      </w:r>
      <w:r w:rsidR="00C52DBE" w:rsidRPr="00E127AB">
        <w:rPr>
          <w:rFonts w:ascii="Book Antiqua" w:hAnsi="Book Antiqua" w:cs="Arial"/>
          <w:bCs/>
          <w:color w:val="auto"/>
          <w:sz w:val="24"/>
          <w:szCs w:val="24"/>
          <w:lang w:val="en-US"/>
        </w:rPr>
        <w:t>Izmir, Turkey</w:t>
      </w:r>
    </w:p>
    <w:p w:rsidR="0071010C" w:rsidRPr="00E127AB" w:rsidRDefault="0071010C"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Arial"/>
          <w:bCs/>
          <w:color w:val="auto"/>
          <w:sz w:val="24"/>
          <w:szCs w:val="24"/>
          <w:lang w:val="en-US" w:eastAsia="zh-CN"/>
        </w:rPr>
      </w:pPr>
    </w:p>
    <w:p w:rsidR="00F84AC9" w:rsidRPr="00E127AB" w:rsidRDefault="00ED3101"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Arial"/>
          <w:bCs/>
          <w:color w:val="auto"/>
          <w:sz w:val="24"/>
          <w:szCs w:val="24"/>
          <w:lang w:val="en-US" w:eastAsia="zh-CN"/>
        </w:rPr>
      </w:pPr>
      <w:r w:rsidRPr="00E127AB">
        <w:rPr>
          <w:rFonts w:ascii="Book Antiqua" w:hAnsi="Book Antiqua"/>
          <w:b/>
          <w:sz w:val="24"/>
          <w:szCs w:val="24"/>
        </w:rPr>
        <w:t>Author contributions:</w:t>
      </w:r>
      <w:r w:rsidRPr="00E127AB">
        <w:rPr>
          <w:rFonts w:ascii="Book Antiqua" w:hAnsi="Book Antiqua"/>
          <w:b/>
          <w:sz w:val="24"/>
          <w:szCs w:val="24"/>
          <w:lang w:eastAsia="zh-CN"/>
        </w:rPr>
        <w:t xml:space="preserve"> </w:t>
      </w:r>
      <w:r w:rsidR="00997165" w:rsidRPr="00E127AB">
        <w:rPr>
          <w:rFonts w:ascii="Book Antiqua" w:hAnsi="Book Antiqua"/>
          <w:sz w:val="24"/>
          <w:szCs w:val="24"/>
        </w:rPr>
        <w:t>Soyer</w:t>
      </w:r>
      <w:r w:rsidRPr="00E127AB">
        <w:rPr>
          <w:rFonts w:ascii="Book Antiqua" w:hAnsi="Book Antiqua"/>
          <w:sz w:val="24"/>
          <w:szCs w:val="24"/>
          <w:lang w:eastAsia="zh-CN"/>
        </w:rPr>
        <w:t xml:space="preserve"> N</w:t>
      </w:r>
      <w:r w:rsidR="00997165" w:rsidRPr="00E127AB">
        <w:rPr>
          <w:rFonts w:ascii="Book Antiqua" w:hAnsi="Book Antiqua"/>
          <w:sz w:val="24"/>
          <w:szCs w:val="24"/>
        </w:rPr>
        <w:t>, Uysal</w:t>
      </w:r>
      <w:r w:rsidRPr="00E127AB">
        <w:rPr>
          <w:rFonts w:ascii="Book Antiqua" w:hAnsi="Book Antiqua"/>
          <w:sz w:val="24"/>
          <w:szCs w:val="24"/>
          <w:lang w:eastAsia="zh-CN"/>
        </w:rPr>
        <w:t xml:space="preserve"> A</w:t>
      </w:r>
      <w:r w:rsidR="00997165" w:rsidRPr="00E127AB">
        <w:rPr>
          <w:rFonts w:ascii="Book Antiqua" w:hAnsi="Book Antiqua"/>
          <w:sz w:val="24"/>
          <w:szCs w:val="24"/>
        </w:rPr>
        <w:t>, Tombuloglu</w:t>
      </w:r>
      <w:r w:rsidRPr="00E127AB">
        <w:rPr>
          <w:rFonts w:ascii="Book Antiqua" w:hAnsi="Book Antiqua"/>
          <w:sz w:val="24"/>
          <w:szCs w:val="24"/>
          <w:lang w:eastAsia="zh-CN"/>
        </w:rPr>
        <w:t xml:space="preserve"> M</w:t>
      </w:r>
      <w:r w:rsidR="00997165" w:rsidRPr="00E127AB">
        <w:rPr>
          <w:rFonts w:ascii="Book Antiqua" w:hAnsi="Book Antiqua"/>
          <w:sz w:val="24"/>
          <w:szCs w:val="24"/>
        </w:rPr>
        <w:t>, Sahin</w:t>
      </w:r>
      <w:r w:rsidRPr="00E127AB">
        <w:rPr>
          <w:rFonts w:ascii="Book Antiqua" w:hAnsi="Book Antiqua"/>
          <w:sz w:val="24"/>
          <w:szCs w:val="24"/>
          <w:lang w:eastAsia="zh-CN"/>
        </w:rPr>
        <w:t xml:space="preserve"> F</w:t>
      </w:r>
      <w:r w:rsidR="00997165" w:rsidRPr="00E127AB">
        <w:rPr>
          <w:rFonts w:ascii="Book Antiqua" w:hAnsi="Book Antiqua"/>
          <w:sz w:val="24"/>
          <w:szCs w:val="24"/>
        </w:rPr>
        <w:t>, Saydam</w:t>
      </w:r>
      <w:r w:rsidRPr="00E127AB">
        <w:rPr>
          <w:rFonts w:ascii="Book Antiqua" w:hAnsi="Book Antiqua"/>
          <w:sz w:val="24"/>
          <w:szCs w:val="24"/>
          <w:lang w:eastAsia="zh-CN"/>
        </w:rPr>
        <w:t xml:space="preserve"> G</w:t>
      </w:r>
      <w:r w:rsidR="00997165" w:rsidRPr="00E127AB">
        <w:rPr>
          <w:rFonts w:ascii="Book Antiqua" w:hAnsi="Book Antiqua"/>
          <w:sz w:val="24"/>
          <w:szCs w:val="24"/>
        </w:rPr>
        <w:t>, Vural</w:t>
      </w:r>
      <w:r w:rsidR="00F73E2D" w:rsidRPr="00E127AB">
        <w:rPr>
          <w:rFonts w:ascii="Book Antiqua" w:hAnsi="Book Antiqua"/>
          <w:sz w:val="24"/>
          <w:szCs w:val="24"/>
        </w:rPr>
        <w:t xml:space="preserve"> </w:t>
      </w:r>
      <w:r w:rsidRPr="00E127AB">
        <w:rPr>
          <w:rFonts w:ascii="Book Antiqua" w:hAnsi="Book Antiqua"/>
          <w:sz w:val="24"/>
          <w:szCs w:val="24"/>
          <w:lang w:eastAsia="zh-CN"/>
        </w:rPr>
        <w:t xml:space="preserve">F </w:t>
      </w:r>
      <w:r w:rsidR="00997165" w:rsidRPr="00E127AB">
        <w:rPr>
          <w:rFonts w:ascii="Book Antiqua" w:hAnsi="Book Antiqua"/>
          <w:sz w:val="24"/>
          <w:szCs w:val="24"/>
        </w:rPr>
        <w:t>have been involved equally and have read and approved the final manuscript; Soyer</w:t>
      </w:r>
      <w:r w:rsidRPr="00E127AB">
        <w:rPr>
          <w:rFonts w:ascii="Book Antiqua" w:hAnsi="Book Antiqua"/>
          <w:sz w:val="24"/>
          <w:szCs w:val="24"/>
          <w:lang w:eastAsia="zh-CN"/>
        </w:rPr>
        <w:t xml:space="preserve"> N</w:t>
      </w:r>
      <w:r w:rsidR="00997165" w:rsidRPr="00E127AB">
        <w:rPr>
          <w:rFonts w:ascii="Book Antiqua" w:hAnsi="Book Antiqua"/>
          <w:sz w:val="24"/>
          <w:szCs w:val="24"/>
        </w:rPr>
        <w:t>, Uysal</w:t>
      </w:r>
      <w:r w:rsidRPr="00E127AB">
        <w:rPr>
          <w:rFonts w:ascii="Book Antiqua" w:hAnsi="Book Antiqua"/>
          <w:sz w:val="24"/>
          <w:szCs w:val="24"/>
          <w:lang w:eastAsia="zh-CN"/>
        </w:rPr>
        <w:t xml:space="preserve"> A</w:t>
      </w:r>
      <w:r w:rsidR="00997165" w:rsidRPr="00E127AB">
        <w:rPr>
          <w:rFonts w:ascii="Book Antiqua" w:hAnsi="Book Antiqua"/>
          <w:sz w:val="24"/>
          <w:szCs w:val="24"/>
        </w:rPr>
        <w:t>, Tombuloglu</w:t>
      </w:r>
      <w:r w:rsidRPr="00E127AB">
        <w:rPr>
          <w:rFonts w:ascii="Book Antiqua" w:hAnsi="Book Antiqua"/>
          <w:sz w:val="24"/>
          <w:szCs w:val="24"/>
          <w:lang w:eastAsia="zh-CN"/>
        </w:rPr>
        <w:t xml:space="preserve"> M</w:t>
      </w:r>
      <w:r w:rsidR="00997165" w:rsidRPr="00E127AB">
        <w:rPr>
          <w:rFonts w:ascii="Book Antiqua" w:hAnsi="Book Antiqua"/>
          <w:sz w:val="24"/>
          <w:szCs w:val="24"/>
        </w:rPr>
        <w:t>, Sahin</w:t>
      </w:r>
      <w:r w:rsidRPr="00E127AB">
        <w:rPr>
          <w:rFonts w:ascii="Book Antiqua" w:hAnsi="Book Antiqua"/>
          <w:sz w:val="24"/>
          <w:szCs w:val="24"/>
          <w:lang w:eastAsia="zh-CN"/>
        </w:rPr>
        <w:t xml:space="preserve"> F</w:t>
      </w:r>
      <w:r w:rsidR="00997165" w:rsidRPr="00E127AB">
        <w:rPr>
          <w:rFonts w:ascii="Book Antiqua" w:hAnsi="Book Antiqua"/>
          <w:sz w:val="24"/>
          <w:szCs w:val="24"/>
        </w:rPr>
        <w:t>, Saydam</w:t>
      </w:r>
      <w:r w:rsidRPr="00E127AB">
        <w:rPr>
          <w:rFonts w:ascii="Book Antiqua" w:hAnsi="Book Antiqua"/>
          <w:sz w:val="24"/>
          <w:szCs w:val="24"/>
          <w:lang w:eastAsia="zh-CN"/>
        </w:rPr>
        <w:t xml:space="preserve"> G</w:t>
      </w:r>
      <w:r w:rsidR="00997165" w:rsidRPr="00E127AB">
        <w:rPr>
          <w:rFonts w:ascii="Book Antiqua" w:hAnsi="Book Antiqua"/>
          <w:sz w:val="24"/>
          <w:szCs w:val="24"/>
        </w:rPr>
        <w:t xml:space="preserve">, Vural </w:t>
      </w:r>
      <w:r w:rsidRPr="00E127AB">
        <w:rPr>
          <w:rFonts w:ascii="Book Antiqua" w:hAnsi="Book Antiqua"/>
          <w:sz w:val="24"/>
          <w:szCs w:val="24"/>
          <w:lang w:eastAsia="zh-CN"/>
        </w:rPr>
        <w:t xml:space="preserve">F </w:t>
      </w:r>
      <w:r w:rsidR="00997165" w:rsidRPr="00E127AB">
        <w:rPr>
          <w:rFonts w:ascii="Book Antiqua" w:hAnsi="Book Antiqua"/>
          <w:sz w:val="24"/>
          <w:szCs w:val="24"/>
        </w:rPr>
        <w:t>meet the criteria for authorship established by the International Committee of Medical</w:t>
      </w:r>
      <w:r w:rsidR="00F73E2D" w:rsidRPr="00E127AB">
        <w:rPr>
          <w:rFonts w:ascii="Book Antiqua" w:hAnsi="Book Antiqua"/>
          <w:sz w:val="24"/>
          <w:szCs w:val="24"/>
        </w:rPr>
        <w:t xml:space="preserve"> </w:t>
      </w:r>
      <w:r w:rsidR="00997165" w:rsidRPr="00E127AB">
        <w:rPr>
          <w:rFonts w:ascii="Book Antiqua" w:hAnsi="Book Antiqua"/>
          <w:sz w:val="24"/>
          <w:szCs w:val="24"/>
        </w:rPr>
        <w:t>Journal Editors and verify the validity of the results reported.</w:t>
      </w:r>
    </w:p>
    <w:p w:rsidR="00695F46" w:rsidRPr="00E127AB" w:rsidRDefault="00695F46"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Times New Roman"/>
          <w:color w:val="auto"/>
          <w:sz w:val="24"/>
          <w:szCs w:val="24"/>
          <w:lang w:val="en-US" w:eastAsia="zh-CN"/>
        </w:rPr>
      </w:pPr>
    </w:p>
    <w:p w:rsidR="0071010C" w:rsidRPr="00E127AB" w:rsidRDefault="00ED3101"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Times New Roman"/>
          <w:color w:val="auto"/>
          <w:sz w:val="24"/>
          <w:szCs w:val="24"/>
          <w:lang w:val="en-US" w:eastAsia="zh-CN"/>
        </w:rPr>
      </w:pPr>
      <w:bookmarkStart w:id="6" w:name="OLE_LINK57"/>
      <w:bookmarkStart w:id="7" w:name="OLE_LINK59"/>
      <w:bookmarkStart w:id="8" w:name="OLE_LINK95"/>
      <w:bookmarkStart w:id="9" w:name="OLE_LINK96"/>
      <w:r w:rsidRPr="00E127AB">
        <w:rPr>
          <w:rFonts w:ascii="Book Antiqua" w:hAnsi="Book Antiqua"/>
          <w:b/>
          <w:sz w:val="24"/>
          <w:szCs w:val="24"/>
        </w:rPr>
        <w:t xml:space="preserve">Conflict-of-interest </w:t>
      </w:r>
      <w:bookmarkStart w:id="10" w:name="OLE_LINK24"/>
      <w:bookmarkStart w:id="11" w:name="OLE_LINK25"/>
      <w:r w:rsidRPr="00E127AB">
        <w:rPr>
          <w:rFonts w:ascii="Book Antiqua" w:hAnsi="Book Antiqua"/>
          <w:b/>
          <w:sz w:val="24"/>
          <w:szCs w:val="24"/>
        </w:rPr>
        <w:t>statement</w:t>
      </w:r>
      <w:bookmarkEnd w:id="6"/>
      <w:bookmarkEnd w:id="7"/>
      <w:bookmarkEnd w:id="8"/>
      <w:bookmarkEnd w:id="9"/>
      <w:bookmarkEnd w:id="10"/>
      <w:bookmarkEnd w:id="11"/>
      <w:r w:rsidRPr="00E127AB">
        <w:rPr>
          <w:rFonts w:ascii="Book Antiqua" w:hAnsi="Book Antiqua"/>
          <w:b/>
          <w:sz w:val="24"/>
          <w:szCs w:val="24"/>
        </w:rPr>
        <w:t>:</w:t>
      </w:r>
      <w:r w:rsidRPr="00E127AB">
        <w:rPr>
          <w:rFonts w:ascii="Book Antiqua" w:hAnsi="Book Antiqua"/>
          <w:b/>
          <w:sz w:val="24"/>
          <w:szCs w:val="24"/>
          <w:lang w:eastAsia="zh-CN"/>
        </w:rPr>
        <w:t xml:space="preserve"> </w:t>
      </w:r>
      <w:r w:rsidRPr="00E127AB">
        <w:rPr>
          <w:rFonts w:ascii="Book Antiqua" w:hAnsi="Book Antiqua" w:cs="Times New Roman"/>
          <w:color w:val="auto"/>
          <w:sz w:val="24"/>
          <w:szCs w:val="24"/>
          <w:lang w:val="en-US"/>
        </w:rPr>
        <w:t>N</w:t>
      </w:r>
      <w:r w:rsidR="003808F3" w:rsidRPr="00E127AB">
        <w:rPr>
          <w:rFonts w:ascii="Book Antiqua" w:hAnsi="Book Antiqua" w:cs="Times New Roman"/>
          <w:color w:val="auto"/>
          <w:sz w:val="24"/>
          <w:szCs w:val="24"/>
          <w:lang w:val="en-US"/>
        </w:rPr>
        <w:t>o</w:t>
      </w:r>
      <w:r w:rsidRPr="00E127AB">
        <w:rPr>
          <w:rFonts w:ascii="Book Antiqua" w:hAnsi="Book Antiqua" w:cs="Times New Roman"/>
          <w:color w:val="auto"/>
          <w:sz w:val="24"/>
          <w:szCs w:val="24"/>
          <w:lang w:val="en-US" w:eastAsia="zh-CN"/>
        </w:rPr>
        <w:t>.</w:t>
      </w:r>
      <w:bookmarkStart w:id="12" w:name="OLE_LINK507"/>
      <w:bookmarkStart w:id="13" w:name="OLE_LINK506"/>
      <w:bookmarkStart w:id="14" w:name="OLE_LINK496"/>
      <w:bookmarkStart w:id="15" w:name="OLE_LINK479"/>
    </w:p>
    <w:p w:rsidR="0071010C" w:rsidRPr="00E127AB" w:rsidRDefault="0071010C"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Times New Roman"/>
          <w:color w:val="auto"/>
          <w:sz w:val="24"/>
          <w:szCs w:val="24"/>
          <w:lang w:val="en-US" w:eastAsia="zh-CN"/>
        </w:rPr>
      </w:pPr>
    </w:p>
    <w:p w:rsidR="005E6CDB" w:rsidRPr="00E127AB" w:rsidRDefault="00B0378A"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sz w:val="24"/>
          <w:szCs w:val="24"/>
          <w:lang w:eastAsia="zh-CN"/>
        </w:rPr>
      </w:pPr>
      <w:r w:rsidRPr="00E127AB">
        <w:rPr>
          <w:rFonts w:ascii="Book Antiqua" w:hAnsi="Book Antiqua"/>
          <w:b/>
          <w:sz w:val="24"/>
          <w:szCs w:val="24"/>
        </w:rPr>
        <w:t xml:space="preserve">Open-Access: </w:t>
      </w:r>
      <w:bookmarkStart w:id="16" w:name="OLE_LINK182"/>
      <w:bookmarkStart w:id="17" w:name="OLE_LINK183"/>
      <w:r w:rsidRPr="00E127A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5E6CDB" w:rsidRPr="00E127AB">
        <w:rPr>
          <w:rFonts w:ascii="Book Antiqua" w:hAnsi="Book Antiqua"/>
          <w:sz w:val="24"/>
          <w:szCs w:val="24"/>
        </w:rPr>
        <w:t>http://creativecommons.org/licenses/by-nc/4.0/</w:t>
      </w:r>
      <w:bookmarkStart w:id="18" w:name="OLE_LINK124"/>
      <w:bookmarkStart w:id="19" w:name="OLE_LINK137"/>
      <w:bookmarkStart w:id="20" w:name="OLE_LINK139"/>
      <w:bookmarkStart w:id="21" w:name="OLE_LINK144"/>
      <w:bookmarkStart w:id="22" w:name="OLE_LINK138"/>
      <w:bookmarkEnd w:id="12"/>
      <w:bookmarkEnd w:id="13"/>
      <w:bookmarkEnd w:id="14"/>
      <w:bookmarkEnd w:id="15"/>
      <w:bookmarkEnd w:id="16"/>
      <w:bookmarkEnd w:id="17"/>
    </w:p>
    <w:p w:rsidR="005E6CDB" w:rsidRPr="00E127AB" w:rsidRDefault="005E6CDB"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sz w:val="24"/>
          <w:szCs w:val="24"/>
          <w:lang w:eastAsia="zh-CN"/>
        </w:rPr>
      </w:pPr>
    </w:p>
    <w:p w:rsidR="005E6CDB" w:rsidRPr="00E127AB" w:rsidRDefault="005E6CDB"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sz w:val="24"/>
          <w:szCs w:val="24"/>
          <w:lang w:eastAsia="zh-CN"/>
        </w:rPr>
      </w:pPr>
      <w:r w:rsidRPr="00E127AB">
        <w:rPr>
          <w:rFonts w:ascii="Book Antiqua" w:hAnsi="Book Antiqua"/>
          <w:b/>
          <w:sz w:val="24"/>
          <w:szCs w:val="24"/>
        </w:rPr>
        <w:t xml:space="preserve">Manuscript source: </w:t>
      </w:r>
      <w:r w:rsidRPr="00E127AB">
        <w:rPr>
          <w:rFonts w:ascii="Book Antiqua" w:hAnsi="Book Antiqua"/>
          <w:sz w:val="24"/>
          <w:szCs w:val="24"/>
        </w:rPr>
        <w:t>Invited manuscript</w:t>
      </w:r>
      <w:bookmarkEnd w:id="18"/>
      <w:bookmarkEnd w:id="19"/>
      <w:bookmarkEnd w:id="20"/>
      <w:bookmarkEnd w:id="21"/>
      <w:bookmarkEnd w:id="22"/>
    </w:p>
    <w:p w:rsidR="00B0378A" w:rsidRPr="00E127AB" w:rsidRDefault="00B0378A"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Times New Roman"/>
          <w:color w:val="auto"/>
          <w:sz w:val="24"/>
          <w:szCs w:val="24"/>
          <w:lang w:val="en-US" w:eastAsia="zh-CN"/>
        </w:rPr>
      </w:pPr>
    </w:p>
    <w:p w:rsidR="001D10DB" w:rsidRPr="00E127AB" w:rsidRDefault="00ED3101"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Times New Roman"/>
          <w:color w:val="auto"/>
          <w:sz w:val="24"/>
          <w:szCs w:val="24"/>
          <w:lang w:val="en-US"/>
        </w:rPr>
      </w:pPr>
      <w:bookmarkStart w:id="23" w:name="OLE_LINK237"/>
      <w:bookmarkStart w:id="24" w:name="OLE_LINK238"/>
      <w:r w:rsidRPr="00E127AB">
        <w:rPr>
          <w:rFonts w:ascii="Book Antiqua" w:hAnsi="Book Antiqua"/>
          <w:b/>
          <w:sz w:val="24"/>
          <w:szCs w:val="24"/>
        </w:rPr>
        <w:t>Correspondence to:</w:t>
      </w:r>
      <w:r w:rsidRPr="00E127AB">
        <w:rPr>
          <w:rFonts w:ascii="Book Antiqua" w:hAnsi="Book Antiqua"/>
          <w:b/>
          <w:sz w:val="24"/>
          <w:szCs w:val="24"/>
          <w:lang w:eastAsia="zh-CN"/>
        </w:rPr>
        <w:t xml:space="preserve"> </w:t>
      </w:r>
      <w:bookmarkStart w:id="25" w:name="OLE_LINK184"/>
      <w:proofErr w:type="spellStart"/>
      <w:r w:rsidR="001D10DB" w:rsidRPr="00E127AB">
        <w:rPr>
          <w:rFonts w:ascii="Book Antiqua" w:hAnsi="Book Antiqua" w:cs="Times New Roman"/>
          <w:b/>
          <w:color w:val="auto"/>
          <w:sz w:val="24"/>
          <w:szCs w:val="24"/>
          <w:lang w:val="en-US"/>
        </w:rPr>
        <w:t>Nur</w:t>
      </w:r>
      <w:proofErr w:type="spellEnd"/>
      <w:r w:rsidR="001D10DB" w:rsidRPr="00E127AB">
        <w:rPr>
          <w:rFonts w:ascii="Book Antiqua" w:hAnsi="Book Antiqua" w:cs="Times New Roman"/>
          <w:b/>
          <w:color w:val="auto"/>
          <w:sz w:val="24"/>
          <w:szCs w:val="24"/>
          <w:lang w:val="en-US"/>
        </w:rPr>
        <w:t xml:space="preserve"> </w:t>
      </w:r>
      <w:proofErr w:type="spellStart"/>
      <w:r w:rsidR="001D10DB" w:rsidRPr="00E127AB">
        <w:rPr>
          <w:rFonts w:ascii="Book Antiqua" w:hAnsi="Book Antiqua" w:cs="Times New Roman"/>
          <w:b/>
          <w:color w:val="auto"/>
          <w:sz w:val="24"/>
          <w:szCs w:val="24"/>
          <w:lang w:val="en-US"/>
        </w:rPr>
        <w:t>Soyer</w:t>
      </w:r>
      <w:proofErr w:type="spellEnd"/>
      <w:r w:rsidR="001D10DB" w:rsidRPr="00E127AB">
        <w:rPr>
          <w:rFonts w:ascii="Book Antiqua" w:hAnsi="Book Antiqua" w:cs="Times New Roman"/>
          <w:b/>
          <w:color w:val="auto"/>
          <w:sz w:val="24"/>
          <w:szCs w:val="24"/>
          <w:lang w:val="en-US"/>
        </w:rPr>
        <w:t>,</w:t>
      </w:r>
      <w:bookmarkEnd w:id="23"/>
      <w:bookmarkEnd w:id="24"/>
      <w:r w:rsidR="001D10DB" w:rsidRPr="00E127AB">
        <w:rPr>
          <w:rFonts w:ascii="Book Antiqua" w:hAnsi="Book Antiqua" w:cs="Times New Roman"/>
          <w:b/>
          <w:color w:val="auto"/>
          <w:sz w:val="24"/>
          <w:szCs w:val="24"/>
          <w:lang w:val="en-US"/>
        </w:rPr>
        <w:t xml:space="preserve"> MD,</w:t>
      </w:r>
      <w:r w:rsidR="001D10DB" w:rsidRPr="00E127AB">
        <w:rPr>
          <w:rFonts w:ascii="Book Antiqua" w:hAnsi="Book Antiqua" w:cs="Times New Roman"/>
          <w:color w:val="auto"/>
          <w:sz w:val="24"/>
          <w:szCs w:val="24"/>
          <w:lang w:val="en-US"/>
        </w:rPr>
        <w:t xml:space="preserve"> Department of Hematology, </w:t>
      </w:r>
      <w:proofErr w:type="spellStart"/>
      <w:r w:rsidR="001D10DB" w:rsidRPr="00E127AB">
        <w:rPr>
          <w:rFonts w:ascii="Book Antiqua" w:hAnsi="Book Antiqua" w:cs="Times New Roman"/>
          <w:color w:val="auto"/>
          <w:sz w:val="24"/>
          <w:szCs w:val="24"/>
          <w:lang w:val="en-US"/>
        </w:rPr>
        <w:t>Ege</w:t>
      </w:r>
      <w:proofErr w:type="spellEnd"/>
      <w:r w:rsidR="001D10DB" w:rsidRPr="00E127AB">
        <w:rPr>
          <w:rFonts w:ascii="Book Antiqua" w:hAnsi="Book Antiqua" w:cs="Times New Roman"/>
          <w:color w:val="auto"/>
          <w:sz w:val="24"/>
          <w:szCs w:val="24"/>
          <w:lang w:val="en-US"/>
        </w:rPr>
        <w:t xml:space="preserve"> University Medical Faculty, Ankara Blvd, </w:t>
      </w:r>
      <w:proofErr w:type="spellStart"/>
      <w:r w:rsidR="001D10DB" w:rsidRPr="00E127AB">
        <w:rPr>
          <w:rFonts w:ascii="Book Antiqua" w:hAnsi="Book Antiqua" w:cs="Times New Roman"/>
          <w:color w:val="auto"/>
          <w:sz w:val="24"/>
          <w:szCs w:val="24"/>
          <w:lang w:val="en-US"/>
        </w:rPr>
        <w:t>Bornova</w:t>
      </w:r>
      <w:proofErr w:type="spellEnd"/>
      <w:r w:rsidR="001D10DB" w:rsidRPr="00E127AB">
        <w:rPr>
          <w:rFonts w:ascii="Book Antiqua" w:hAnsi="Book Antiqua" w:cs="Times New Roman"/>
          <w:color w:val="auto"/>
          <w:sz w:val="24"/>
          <w:szCs w:val="24"/>
          <w:lang w:val="en-US"/>
        </w:rPr>
        <w:t>,</w:t>
      </w:r>
      <w:r w:rsidRPr="00E127AB">
        <w:rPr>
          <w:rFonts w:ascii="Book Antiqua" w:hAnsi="Book Antiqua" w:cs="Times New Roman"/>
          <w:color w:val="auto"/>
          <w:sz w:val="24"/>
          <w:szCs w:val="24"/>
          <w:lang w:val="en-US"/>
        </w:rPr>
        <w:t xml:space="preserve"> 35100</w:t>
      </w:r>
      <w:r w:rsidR="001D10DB" w:rsidRPr="00E127AB">
        <w:rPr>
          <w:rFonts w:ascii="Book Antiqua" w:hAnsi="Book Antiqua" w:cs="Times New Roman"/>
          <w:color w:val="auto"/>
          <w:sz w:val="24"/>
          <w:szCs w:val="24"/>
          <w:lang w:val="en-US"/>
        </w:rPr>
        <w:t xml:space="preserve"> </w:t>
      </w:r>
      <w:bookmarkStart w:id="26" w:name="OLE_LINK235"/>
      <w:bookmarkStart w:id="27" w:name="OLE_LINK236"/>
      <w:r w:rsidR="001D10DB" w:rsidRPr="00E127AB">
        <w:rPr>
          <w:rFonts w:ascii="Book Antiqua" w:hAnsi="Book Antiqua" w:cs="Times New Roman"/>
          <w:color w:val="auto"/>
          <w:sz w:val="24"/>
          <w:szCs w:val="24"/>
          <w:lang w:val="en-US"/>
        </w:rPr>
        <w:t>Izmir</w:t>
      </w:r>
      <w:bookmarkEnd w:id="26"/>
      <w:bookmarkEnd w:id="27"/>
      <w:r w:rsidR="001D10DB" w:rsidRPr="00E127AB">
        <w:rPr>
          <w:rFonts w:ascii="Book Antiqua" w:hAnsi="Book Antiqua" w:cs="Times New Roman"/>
          <w:color w:val="auto"/>
          <w:sz w:val="24"/>
          <w:szCs w:val="24"/>
          <w:lang w:val="en-US"/>
        </w:rPr>
        <w:t>, Turkey</w:t>
      </w:r>
      <w:r w:rsidR="00B05DD6" w:rsidRPr="00E127AB">
        <w:rPr>
          <w:rFonts w:ascii="Book Antiqua" w:hAnsi="Book Antiqua" w:cs="Times New Roman"/>
          <w:color w:val="auto"/>
          <w:sz w:val="24"/>
          <w:szCs w:val="24"/>
          <w:lang w:val="en-US"/>
        </w:rPr>
        <w:t xml:space="preserve">. </w:t>
      </w:r>
      <w:r w:rsidR="001D10DB" w:rsidRPr="00E127AB">
        <w:rPr>
          <w:rFonts w:ascii="Book Antiqua" w:hAnsi="Book Antiqua" w:cs="Times New Roman"/>
          <w:color w:val="auto"/>
          <w:sz w:val="24"/>
          <w:szCs w:val="24"/>
          <w:lang w:val="en-US"/>
        </w:rPr>
        <w:t>drakadnur@yahoo.com</w:t>
      </w:r>
    </w:p>
    <w:bookmarkEnd w:id="25"/>
    <w:p w:rsidR="00B05DD6" w:rsidRPr="00E127AB" w:rsidRDefault="007E455E"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Times New Roman"/>
          <w:color w:val="auto"/>
          <w:sz w:val="24"/>
          <w:szCs w:val="24"/>
          <w:lang w:val="en-US"/>
        </w:rPr>
      </w:pPr>
      <w:r w:rsidRPr="00E127AB">
        <w:rPr>
          <w:rFonts w:ascii="Book Antiqua" w:hAnsi="Book Antiqua" w:cs="Times New Roman"/>
          <w:b/>
          <w:color w:val="auto"/>
          <w:sz w:val="24"/>
          <w:szCs w:val="24"/>
          <w:lang w:val="en-US"/>
        </w:rPr>
        <w:t xml:space="preserve">Telephone: </w:t>
      </w:r>
      <w:r w:rsidRPr="00E127AB">
        <w:rPr>
          <w:rFonts w:ascii="Book Antiqua" w:hAnsi="Book Antiqua" w:cs="Times New Roman"/>
          <w:color w:val="auto"/>
          <w:sz w:val="24"/>
          <w:szCs w:val="24"/>
          <w:lang w:val="en-US"/>
        </w:rPr>
        <w:t>+90</w:t>
      </w:r>
      <w:r w:rsidRPr="00E127AB">
        <w:rPr>
          <w:rFonts w:ascii="Book Antiqua" w:hAnsi="Book Antiqua" w:cs="Times New Roman"/>
          <w:color w:val="auto"/>
          <w:sz w:val="24"/>
          <w:szCs w:val="24"/>
          <w:lang w:val="en-US" w:eastAsia="zh-CN"/>
        </w:rPr>
        <w:t>-232-</w:t>
      </w:r>
      <w:r w:rsidR="00ED3101" w:rsidRPr="00E127AB">
        <w:rPr>
          <w:rFonts w:ascii="Book Antiqua" w:hAnsi="Book Antiqua" w:cs="Times New Roman"/>
          <w:color w:val="auto"/>
          <w:sz w:val="24"/>
          <w:szCs w:val="24"/>
          <w:lang w:val="en-US"/>
        </w:rPr>
        <w:t>390</w:t>
      </w:r>
      <w:r w:rsidR="00B05DD6" w:rsidRPr="00E127AB">
        <w:rPr>
          <w:rFonts w:ascii="Book Antiqua" w:hAnsi="Book Antiqua" w:cs="Times New Roman"/>
          <w:color w:val="auto"/>
          <w:sz w:val="24"/>
          <w:szCs w:val="24"/>
          <w:lang w:val="en-US"/>
        </w:rPr>
        <w:t>4541</w:t>
      </w:r>
    </w:p>
    <w:p w:rsidR="0071010C" w:rsidRPr="00E127AB" w:rsidRDefault="00ED3101"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Times New Roman"/>
          <w:color w:val="auto"/>
          <w:sz w:val="24"/>
          <w:szCs w:val="24"/>
          <w:lang w:val="en-US" w:eastAsia="zh-CN"/>
        </w:rPr>
      </w:pPr>
      <w:r w:rsidRPr="00E127AB">
        <w:rPr>
          <w:rFonts w:ascii="Book Antiqua" w:hAnsi="Book Antiqua" w:cs="Times New Roman"/>
          <w:b/>
          <w:color w:val="auto"/>
          <w:sz w:val="24"/>
          <w:szCs w:val="24"/>
          <w:lang w:val="en-US"/>
        </w:rPr>
        <w:t xml:space="preserve">Fax: </w:t>
      </w:r>
      <w:r w:rsidRPr="00E127AB">
        <w:rPr>
          <w:rFonts w:ascii="Book Antiqua" w:hAnsi="Book Antiqua" w:cs="Times New Roman"/>
          <w:color w:val="auto"/>
          <w:sz w:val="24"/>
          <w:szCs w:val="24"/>
          <w:lang w:val="en-US"/>
        </w:rPr>
        <w:t>+90</w:t>
      </w:r>
      <w:r w:rsidRPr="00E127AB">
        <w:rPr>
          <w:rFonts w:ascii="Book Antiqua" w:hAnsi="Book Antiqua" w:cs="Times New Roman"/>
          <w:color w:val="auto"/>
          <w:sz w:val="24"/>
          <w:szCs w:val="24"/>
          <w:lang w:val="en-US" w:eastAsia="zh-CN"/>
        </w:rPr>
        <w:t>-</w:t>
      </w:r>
      <w:r w:rsidRPr="00E127AB">
        <w:rPr>
          <w:rFonts w:ascii="Book Antiqua" w:hAnsi="Book Antiqua" w:cs="Times New Roman"/>
          <w:color w:val="auto"/>
          <w:sz w:val="24"/>
          <w:szCs w:val="24"/>
          <w:lang w:val="en-US"/>
        </w:rPr>
        <w:t>232</w:t>
      </w:r>
      <w:r w:rsidRPr="00E127AB">
        <w:rPr>
          <w:rFonts w:ascii="Book Antiqua" w:hAnsi="Book Antiqua" w:cs="Times New Roman"/>
          <w:color w:val="auto"/>
          <w:sz w:val="24"/>
          <w:szCs w:val="24"/>
          <w:lang w:val="en-US" w:eastAsia="zh-CN"/>
        </w:rPr>
        <w:t>-</w:t>
      </w:r>
      <w:r w:rsidRPr="00E127AB">
        <w:rPr>
          <w:rFonts w:ascii="Book Antiqua" w:hAnsi="Book Antiqua" w:cs="Times New Roman"/>
          <w:color w:val="auto"/>
          <w:sz w:val="24"/>
          <w:szCs w:val="24"/>
          <w:lang w:val="en-US"/>
        </w:rPr>
        <w:t>37387</w:t>
      </w:r>
      <w:r w:rsidR="00B05DD6" w:rsidRPr="00E127AB">
        <w:rPr>
          <w:rFonts w:ascii="Book Antiqua" w:hAnsi="Book Antiqua" w:cs="Times New Roman"/>
          <w:color w:val="auto"/>
          <w:sz w:val="24"/>
          <w:szCs w:val="24"/>
          <w:lang w:val="en-US"/>
        </w:rPr>
        <w:t>97</w:t>
      </w:r>
    </w:p>
    <w:p w:rsidR="0071010C" w:rsidRPr="00E127AB" w:rsidRDefault="0071010C"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Times New Roman"/>
          <w:color w:val="auto"/>
          <w:sz w:val="24"/>
          <w:szCs w:val="24"/>
          <w:lang w:val="en-US" w:eastAsia="zh-CN"/>
        </w:rPr>
      </w:pPr>
    </w:p>
    <w:p w:rsidR="0071010C" w:rsidRPr="00E127AB" w:rsidRDefault="00ED3101"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sz w:val="24"/>
          <w:szCs w:val="24"/>
          <w:lang w:eastAsia="zh-CN"/>
        </w:rPr>
      </w:pPr>
      <w:r w:rsidRPr="00E127AB">
        <w:rPr>
          <w:rFonts w:ascii="Book Antiqua" w:hAnsi="Book Antiqua"/>
          <w:b/>
          <w:sz w:val="24"/>
          <w:szCs w:val="24"/>
        </w:rPr>
        <w:t>Received:</w:t>
      </w:r>
      <w:r w:rsidR="00F73E2D" w:rsidRPr="00E127AB">
        <w:rPr>
          <w:rFonts w:ascii="Book Antiqua" w:hAnsi="Book Antiqua"/>
          <w:b/>
          <w:sz w:val="24"/>
          <w:szCs w:val="24"/>
        </w:rPr>
        <w:t xml:space="preserve"> </w:t>
      </w:r>
      <w:r w:rsidR="00381899" w:rsidRPr="00E127AB">
        <w:rPr>
          <w:rFonts w:ascii="Book Antiqua" w:hAnsi="Book Antiqua"/>
          <w:sz w:val="24"/>
          <w:szCs w:val="24"/>
        </w:rPr>
        <w:t>August</w:t>
      </w:r>
      <w:r w:rsidR="00381899" w:rsidRPr="00E127AB">
        <w:rPr>
          <w:rFonts w:ascii="Book Antiqua" w:hAnsi="Book Antiqua"/>
          <w:sz w:val="24"/>
          <w:szCs w:val="24"/>
          <w:lang w:eastAsia="zh-CN"/>
        </w:rPr>
        <w:t xml:space="preserve"> 23, 2016</w:t>
      </w:r>
    </w:p>
    <w:p w:rsidR="0071010C" w:rsidRPr="00E127AB" w:rsidRDefault="00ED3101"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sz w:val="24"/>
          <w:szCs w:val="24"/>
          <w:lang w:eastAsia="zh-CN"/>
        </w:rPr>
      </w:pPr>
      <w:r w:rsidRPr="00E127AB">
        <w:rPr>
          <w:rFonts w:ascii="Book Antiqua" w:hAnsi="Book Antiqua"/>
          <w:b/>
          <w:sz w:val="24"/>
          <w:szCs w:val="24"/>
        </w:rPr>
        <w:t>Peer-review started:</w:t>
      </w:r>
      <w:r w:rsidR="00381899" w:rsidRPr="00E127AB">
        <w:rPr>
          <w:rFonts w:ascii="Book Antiqua" w:hAnsi="Book Antiqua"/>
          <w:b/>
          <w:sz w:val="24"/>
          <w:szCs w:val="24"/>
          <w:lang w:eastAsia="zh-CN"/>
        </w:rPr>
        <w:t xml:space="preserve"> </w:t>
      </w:r>
      <w:r w:rsidR="00381899" w:rsidRPr="00E127AB">
        <w:rPr>
          <w:rFonts w:ascii="Book Antiqua" w:hAnsi="Book Antiqua"/>
          <w:sz w:val="24"/>
          <w:szCs w:val="24"/>
        </w:rPr>
        <w:t>August</w:t>
      </w:r>
      <w:r w:rsidR="00381899" w:rsidRPr="00E127AB">
        <w:rPr>
          <w:rFonts w:ascii="Book Antiqua" w:hAnsi="Book Antiqua"/>
          <w:sz w:val="24"/>
          <w:szCs w:val="24"/>
          <w:lang w:eastAsia="zh-CN"/>
        </w:rPr>
        <w:t xml:space="preserve"> 24, 2016</w:t>
      </w:r>
    </w:p>
    <w:p w:rsidR="0071010C" w:rsidRPr="00E127AB" w:rsidRDefault="00ED3101"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sz w:val="24"/>
          <w:szCs w:val="24"/>
          <w:lang w:eastAsia="zh-CN"/>
        </w:rPr>
      </w:pPr>
      <w:r w:rsidRPr="00E127AB">
        <w:rPr>
          <w:rFonts w:ascii="Book Antiqua" w:hAnsi="Book Antiqua"/>
          <w:b/>
          <w:sz w:val="24"/>
          <w:szCs w:val="24"/>
        </w:rPr>
        <w:t>First decision:</w:t>
      </w:r>
      <w:r w:rsidRPr="00E127AB">
        <w:rPr>
          <w:rFonts w:ascii="Book Antiqua" w:hAnsi="Book Antiqua"/>
          <w:sz w:val="24"/>
          <w:szCs w:val="24"/>
        </w:rPr>
        <w:t xml:space="preserve"> </w:t>
      </w:r>
      <w:r w:rsidR="00381899" w:rsidRPr="00E127AB">
        <w:rPr>
          <w:rFonts w:ascii="Book Antiqua" w:hAnsi="Book Antiqua"/>
          <w:sz w:val="24"/>
          <w:szCs w:val="24"/>
        </w:rPr>
        <w:t>October</w:t>
      </w:r>
      <w:r w:rsidR="00381899" w:rsidRPr="00E127AB">
        <w:rPr>
          <w:rFonts w:ascii="Book Antiqua" w:hAnsi="Book Antiqua"/>
          <w:sz w:val="24"/>
          <w:szCs w:val="24"/>
          <w:lang w:eastAsia="zh-CN"/>
        </w:rPr>
        <w:t xml:space="preserve"> 20, 2016</w:t>
      </w:r>
    </w:p>
    <w:p w:rsidR="0071010C" w:rsidRPr="00E127AB" w:rsidRDefault="00ED3101"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sz w:val="24"/>
          <w:szCs w:val="24"/>
          <w:lang w:eastAsia="zh-CN"/>
        </w:rPr>
      </w:pPr>
      <w:r w:rsidRPr="00E127AB">
        <w:rPr>
          <w:rFonts w:ascii="Book Antiqua" w:hAnsi="Book Antiqua"/>
          <w:b/>
          <w:sz w:val="24"/>
          <w:szCs w:val="24"/>
        </w:rPr>
        <w:t>Revised:</w:t>
      </w:r>
      <w:r w:rsidR="00F73E2D" w:rsidRPr="00E127AB">
        <w:rPr>
          <w:rFonts w:ascii="Book Antiqua" w:hAnsi="Book Antiqua"/>
          <w:b/>
          <w:sz w:val="24"/>
          <w:szCs w:val="24"/>
        </w:rPr>
        <w:t xml:space="preserve"> </w:t>
      </w:r>
      <w:r w:rsidR="00381899" w:rsidRPr="00E127AB">
        <w:rPr>
          <w:rFonts w:ascii="Book Antiqua" w:hAnsi="Book Antiqua"/>
          <w:sz w:val="24"/>
          <w:szCs w:val="24"/>
        </w:rPr>
        <w:t>October</w:t>
      </w:r>
      <w:r w:rsidR="00381899" w:rsidRPr="00E127AB">
        <w:rPr>
          <w:rFonts w:ascii="Book Antiqua" w:hAnsi="Book Antiqua"/>
          <w:sz w:val="24"/>
          <w:szCs w:val="24"/>
          <w:lang w:eastAsia="zh-CN"/>
        </w:rPr>
        <w:t xml:space="preserve"> 21, 2016</w:t>
      </w:r>
    </w:p>
    <w:p w:rsidR="0071010C" w:rsidRPr="00E127AB" w:rsidRDefault="00ED3101"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sz w:val="24"/>
          <w:szCs w:val="24"/>
          <w:lang w:eastAsia="zh-CN"/>
        </w:rPr>
      </w:pPr>
      <w:r w:rsidRPr="00E127AB">
        <w:rPr>
          <w:rFonts w:ascii="Book Antiqua" w:hAnsi="Book Antiqua"/>
          <w:b/>
          <w:sz w:val="24"/>
          <w:szCs w:val="24"/>
        </w:rPr>
        <w:t>Accepted:</w:t>
      </w:r>
      <w:r w:rsidR="00F73E2D" w:rsidRPr="00E127AB">
        <w:rPr>
          <w:rFonts w:ascii="Book Antiqua" w:hAnsi="Book Antiqua"/>
          <w:b/>
          <w:sz w:val="24"/>
          <w:szCs w:val="24"/>
        </w:rPr>
        <w:t xml:space="preserve"> </w:t>
      </w:r>
      <w:r w:rsidR="004B2F9F" w:rsidRPr="004B2F9F">
        <w:rPr>
          <w:rFonts w:ascii="Book Antiqua" w:hAnsi="Book Antiqua"/>
          <w:sz w:val="24"/>
          <w:szCs w:val="24"/>
        </w:rPr>
        <w:t>January 2, 2017</w:t>
      </w:r>
    </w:p>
    <w:p w:rsidR="0071010C" w:rsidRPr="00E127AB" w:rsidRDefault="00ED3101"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
          <w:sz w:val="24"/>
          <w:szCs w:val="24"/>
          <w:lang w:eastAsia="zh-CN"/>
        </w:rPr>
      </w:pPr>
      <w:r w:rsidRPr="00E127AB">
        <w:rPr>
          <w:rFonts w:ascii="Book Antiqua" w:hAnsi="Book Antiqua"/>
          <w:b/>
          <w:sz w:val="24"/>
          <w:szCs w:val="24"/>
        </w:rPr>
        <w:t>Article in press:</w:t>
      </w:r>
    </w:p>
    <w:p w:rsidR="00ED3101" w:rsidRPr="00E127AB" w:rsidRDefault="00ED3101"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Times New Roman"/>
          <w:color w:val="auto"/>
          <w:sz w:val="24"/>
          <w:szCs w:val="24"/>
          <w:lang w:val="en-US" w:eastAsia="zh-CN"/>
        </w:rPr>
      </w:pPr>
      <w:r w:rsidRPr="00E127AB">
        <w:rPr>
          <w:rFonts w:ascii="Book Antiqua" w:hAnsi="Book Antiqua"/>
          <w:b/>
          <w:sz w:val="24"/>
          <w:szCs w:val="24"/>
        </w:rPr>
        <w:t xml:space="preserve">Published online: </w:t>
      </w:r>
    </w:p>
    <w:p w:rsidR="00ED3101" w:rsidRPr="00E127AB" w:rsidRDefault="00ED3101" w:rsidP="005E6CDB">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hAnsi="Book Antiqua"/>
          <w:u w:color="000000"/>
          <w:lang w:eastAsia="tr-TR"/>
        </w:rPr>
      </w:pPr>
      <w:r w:rsidRPr="00E127AB">
        <w:rPr>
          <w:rFonts w:ascii="Book Antiqua" w:hAnsi="Book Antiqua"/>
        </w:rPr>
        <w:br w:type="page"/>
      </w:r>
    </w:p>
    <w:p w:rsidR="00DA5BD2" w:rsidRPr="00E127AB" w:rsidRDefault="00DA5BD2"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Times New Roman"/>
          <w:b/>
          <w:color w:val="auto"/>
          <w:sz w:val="24"/>
          <w:szCs w:val="24"/>
          <w:lang w:val="en-US"/>
        </w:rPr>
      </w:pPr>
      <w:r w:rsidRPr="00E127AB">
        <w:rPr>
          <w:rFonts w:ascii="Book Antiqua" w:hAnsi="Book Antiqua" w:cs="Times New Roman"/>
          <w:b/>
          <w:color w:val="auto"/>
          <w:sz w:val="24"/>
          <w:szCs w:val="24"/>
          <w:lang w:val="en-US"/>
        </w:rPr>
        <w:lastRenderedPageBreak/>
        <w:t>Abstract</w:t>
      </w:r>
    </w:p>
    <w:p w:rsidR="00C52DBE" w:rsidRPr="00E127AB" w:rsidRDefault="00C52DBE"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Times New Roman"/>
          <w:color w:val="auto"/>
          <w:sz w:val="24"/>
          <w:szCs w:val="24"/>
          <w:shd w:val="clear" w:color="auto" w:fill="FFFFFF"/>
          <w:lang w:val="en-US"/>
        </w:rPr>
      </w:pPr>
      <w:r w:rsidRPr="00E127AB">
        <w:rPr>
          <w:rFonts w:ascii="Book Antiqua" w:hAnsi="Book Antiqua" w:cs="Times New Roman"/>
          <w:color w:val="auto"/>
          <w:sz w:val="24"/>
          <w:szCs w:val="24"/>
          <w:lang w:val="en-US"/>
        </w:rPr>
        <w:t>Chronic myeloid leukemia (CML) is a myeloproliferative disease which leads</w:t>
      </w:r>
      <w:r w:rsidRPr="00E127AB">
        <w:rPr>
          <w:rFonts w:ascii="Book Antiqua" w:hAnsi="Book Antiqua" w:cs="Times New Roman"/>
          <w:color w:val="auto"/>
          <w:sz w:val="24"/>
          <w:szCs w:val="24"/>
          <w:shd w:val="clear" w:color="auto" w:fill="FFFFFF"/>
          <w:lang w:val="en-US"/>
        </w:rPr>
        <w:t xml:space="preserve"> the unregulated growth of myeloid cells in the bone marrow. </w:t>
      </w:r>
      <w:r w:rsidR="00A21215" w:rsidRPr="00E127AB">
        <w:rPr>
          <w:rFonts w:ascii="Book Antiqua" w:hAnsi="Book Antiqua" w:cs="Times New Roman"/>
          <w:color w:val="auto"/>
          <w:sz w:val="24"/>
          <w:szCs w:val="24"/>
          <w:shd w:val="clear" w:color="auto" w:fill="FFFFFF"/>
          <w:lang w:val="en-US"/>
        </w:rPr>
        <w:t xml:space="preserve">It </w:t>
      </w:r>
      <w:r w:rsidRPr="00E127AB">
        <w:rPr>
          <w:rFonts w:ascii="Book Antiqua" w:hAnsi="Book Antiqua" w:cs="Times New Roman"/>
          <w:color w:val="auto"/>
          <w:sz w:val="24"/>
          <w:szCs w:val="24"/>
          <w:shd w:val="clear" w:color="auto" w:fill="FFFFFF"/>
          <w:lang w:val="en-US"/>
        </w:rPr>
        <w:t xml:space="preserve">is characterized by </w:t>
      </w:r>
      <w:r w:rsidR="00A21215" w:rsidRPr="00E127AB">
        <w:rPr>
          <w:rFonts w:ascii="Book Antiqua" w:hAnsi="Book Antiqua" w:cs="Times New Roman"/>
          <w:color w:val="auto"/>
          <w:sz w:val="24"/>
          <w:szCs w:val="24"/>
          <w:shd w:val="clear" w:color="auto" w:fill="FFFFFF"/>
          <w:lang w:val="en-US"/>
        </w:rPr>
        <w:t xml:space="preserve">the presence of </w:t>
      </w:r>
      <w:bookmarkStart w:id="28" w:name="OLE_LINK169"/>
      <w:r w:rsidR="00A21215" w:rsidRPr="00E127AB">
        <w:rPr>
          <w:rFonts w:ascii="Book Antiqua" w:hAnsi="Book Antiqua" w:cs="Times New Roman"/>
          <w:color w:val="auto"/>
          <w:sz w:val="24"/>
          <w:szCs w:val="24"/>
          <w:shd w:val="clear" w:color="auto" w:fill="FFFFFF"/>
          <w:lang w:val="en-US"/>
        </w:rPr>
        <w:t>Philadelphia chromosome</w:t>
      </w:r>
      <w:bookmarkEnd w:id="28"/>
      <w:r w:rsidRPr="00E127AB">
        <w:rPr>
          <w:rFonts w:ascii="Book Antiqua" w:hAnsi="Book Antiqua" w:cs="Times New Roman"/>
          <w:color w:val="auto"/>
          <w:sz w:val="24"/>
          <w:szCs w:val="24"/>
          <w:shd w:val="clear" w:color="auto" w:fill="FFFFFF"/>
          <w:lang w:val="en-US"/>
        </w:rPr>
        <w:t xml:space="preserve">. </w:t>
      </w:r>
      <w:r w:rsidR="00DF104C" w:rsidRPr="00E127AB">
        <w:rPr>
          <w:rFonts w:ascii="Book Antiqua" w:hAnsi="Book Antiqua" w:cs="Times New Roman"/>
          <w:color w:val="auto"/>
          <w:sz w:val="24"/>
          <w:szCs w:val="24"/>
          <w:shd w:val="clear" w:color="auto" w:fill="FFFFFF"/>
          <w:lang w:val="en-US"/>
        </w:rPr>
        <w:t xml:space="preserve">Reciprocal translocation of the </w:t>
      </w:r>
      <w:r w:rsidR="00DF104C" w:rsidRPr="00E127AB">
        <w:rPr>
          <w:rFonts w:ascii="Book Antiqua" w:hAnsi="Book Antiqua" w:cs="Times New Roman"/>
          <w:i/>
          <w:color w:val="auto"/>
          <w:sz w:val="24"/>
          <w:szCs w:val="24"/>
          <w:shd w:val="clear" w:color="auto" w:fill="FFFFFF"/>
          <w:lang w:val="en-US"/>
        </w:rPr>
        <w:t>ABL</w:t>
      </w:r>
      <w:r w:rsidR="00DF104C" w:rsidRPr="00E127AB">
        <w:rPr>
          <w:rFonts w:ascii="Book Antiqua" w:hAnsi="Book Antiqua" w:cs="Times New Roman"/>
          <w:color w:val="auto"/>
          <w:sz w:val="24"/>
          <w:szCs w:val="24"/>
          <w:shd w:val="clear" w:color="auto" w:fill="FFFFFF"/>
          <w:lang w:val="en-US"/>
        </w:rPr>
        <w:t xml:space="preserve"> gene from chromosome 9 to 22 t (9; 22)</w:t>
      </w:r>
      <w:r w:rsidR="00F02EFB" w:rsidRPr="00E127AB">
        <w:rPr>
          <w:rFonts w:ascii="Book Antiqua" w:hAnsi="Book Antiqua" w:cs="Times New Roman"/>
          <w:color w:val="auto"/>
          <w:sz w:val="24"/>
          <w:szCs w:val="24"/>
          <w:shd w:val="clear" w:color="auto" w:fill="FFFFFF"/>
          <w:lang w:val="en-US"/>
        </w:rPr>
        <w:t xml:space="preserve"> </w:t>
      </w:r>
      <w:r w:rsidR="00DF104C" w:rsidRPr="00E127AB">
        <w:rPr>
          <w:rFonts w:ascii="Book Antiqua" w:hAnsi="Book Antiqua" w:cs="Times New Roman"/>
          <w:color w:val="auto"/>
          <w:sz w:val="24"/>
          <w:szCs w:val="24"/>
          <w:shd w:val="clear" w:color="auto" w:fill="FFFFFF"/>
          <w:lang w:val="en-US"/>
        </w:rPr>
        <w:t>(q34;</w:t>
      </w:r>
      <w:r w:rsidR="00B50320" w:rsidRPr="00E127AB">
        <w:rPr>
          <w:rFonts w:ascii="Book Antiqua" w:hAnsi="Book Antiqua" w:cs="Times New Roman"/>
          <w:color w:val="auto"/>
          <w:sz w:val="24"/>
          <w:szCs w:val="24"/>
          <w:shd w:val="clear" w:color="auto" w:fill="FFFFFF"/>
          <w:lang w:val="en-US"/>
        </w:rPr>
        <w:t xml:space="preserve"> </w:t>
      </w:r>
      <w:r w:rsidR="00DF104C" w:rsidRPr="00E127AB">
        <w:rPr>
          <w:rFonts w:ascii="Book Antiqua" w:hAnsi="Book Antiqua" w:cs="Times New Roman"/>
          <w:color w:val="auto"/>
          <w:sz w:val="24"/>
          <w:szCs w:val="24"/>
          <w:shd w:val="clear" w:color="auto" w:fill="FFFFFF"/>
          <w:lang w:val="en-US"/>
        </w:rPr>
        <w:t>q11.2) generate a fusion gene (</w:t>
      </w:r>
      <w:r w:rsidR="00DF104C" w:rsidRPr="00E127AB">
        <w:rPr>
          <w:rFonts w:ascii="Book Antiqua" w:hAnsi="Book Antiqua" w:cs="Times New Roman"/>
          <w:i/>
          <w:color w:val="auto"/>
          <w:sz w:val="24"/>
          <w:szCs w:val="24"/>
          <w:shd w:val="clear" w:color="auto" w:fill="FFFFFF"/>
          <w:lang w:val="en-US"/>
        </w:rPr>
        <w:t>BCR-ABL</w:t>
      </w:r>
      <w:r w:rsidR="00DF104C" w:rsidRPr="00E127AB">
        <w:rPr>
          <w:rFonts w:ascii="Book Antiqua" w:hAnsi="Book Antiqua" w:cs="Times New Roman"/>
          <w:color w:val="auto"/>
          <w:sz w:val="24"/>
          <w:szCs w:val="24"/>
          <w:shd w:val="clear" w:color="auto" w:fill="FFFFFF"/>
          <w:lang w:val="en-US"/>
        </w:rPr>
        <w:t xml:space="preserve">). </w:t>
      </w:r>
      <w:r w:rsidR="007F7F9E" w:rsidRPr="00E127AB">
        <w:rPr>
          <w:rFonts w:ascii="Book Antiqua" w:hAnsi="Book Antiqua" w:cs="Times New Roman"/>
          <w:color w:val="auto"/>
          <w:sz w:val="24"/>
          <w:szCs w:val="24"/>
          <w:shd w:val="clear" w:color="auto" w:fill="FFFFFF"/>
          <w:lang w:val="en-US"/>
        </w:rPr>
        <w:t>BCR-ABL protein had constitutive tyrosine kinase activity that is a primary cause of chronic phase of CML.</w:t>
      </w:r>
      <w:r w:rsidR="00F73E2D" w:rsidRPr="00E127AB">
        <w:rPr>
          <w:rFonts w:ascii="Book Antiqua" w:hAnsi="Book Antiqua" w:cs="Times New Roman"/>
          <w:color w:val="auto"/>
          <w:sz w:val="24"/>
          <w:szCs w:val="24"/>
          <w:shd w:val="clear" w:color="auto" w:fill="FFFFFF"/>
          <w:lang w:val="en-US"/>
        </w:rPr>
        <w:t xml:space="preserve"> </w:t>
      </w:r>
      <w:r w:rsidR="007F7F9E" w:rsidRPr="00E127AB">
        <w:rPr>
          <w:rFonts w:ascii="Book Antiqua" w:hAnsi="Book Antiqua" w:cs="Times New Roman"/>
          <w:color w:val="auto"/>
          <w:sz w:val="24"/>
          <w:szCs w:val="24"/>
          <w:shd w:val="clear" w:color="auto" w:fill="FFFFFF"/>
          <w:lang w:val="en-US"/>
        </w:rPr>
        <w:t xml:space="preserve">Tyrosine kinase inhibitors (TKIs) are now considered standard therapy for patients with CML. </w:t>
      </w:r>
      <w:r w:rsidRPr="00E127AB">
        <w:rPr>
          <w:rFonts w:ascii="Book Antiqua" w:hAnsi="Book Antiqua" w:cs="Times New Roman"/>
          <w:color w:val="auto"/>
          <w:sz w:val="24"/>
          <w:szCs w:val="24"/>
          <w:shd w:val="clear" w:color="auto" w:fill="FFFFFF"/>
          <w:lang w:val="en-US"/>
        </w:rPr>
        <w:t xml:space="preserve">Even though, successful treatment with the </w:t>
      </w:r>
      <w:r w:rsidR="007F7F9E" w:rsidRPr="00E127AB">
        <w:rPr>
          <w:rFonts w:ascii="Book Antiqua" w:hAnsi="Book Antiqua" w:cs="Times New Roman"/>
          <w:color w:val="auto"/>
          <w:sz w:val="24"/>
          <w:szCs w:val="24"/>
          <w:shd w:val="clear" w:color="auto" w:fill="FFFFFF"/>
          <w:lang w:val="en-US"/>
        </w:rPr>
        <w:t>TKIs</w:t>
      </w:r>
      <w:r w:rsidRPr="00E127AB">
        <w:rPr>
          <w:rFonts w:ascii="Book Antiqua" w:hAnsi="Book Antiqua" w:cs="Times New Roman"/>
          <w:color w:val="auto"/>
          <w:sz w:val="24"/>
          <w:szCs w:val="24"/>
          <w:shd w:val="clear" w:color="auto" w:fill="FFFFFF"/>
          <w:lang w:val="en-US"/>
        </w:rPr>
        <w:t>, allogeneic stem cell transplantation (</w:t>
      </w:r>
      <w:r w:rsidR="006F55D6" w:rsidRPr="00E127AB">
        <w:rPr>
          <w:rFonts w:ascii="Book Antiqua" w:hAnsi="Book Antiqua" w:cs="Times New Roman"/>
          <w:color w:val="auto"/>
          <w:sz w:val="24"/>
          <w:szCs w:val="24"/>
          <w:shd w:val="clear" w:color="auto" w:fill="FFFFFF"/>
          <w:lang w:val="en-US"/>
        </w:rPr>
        <w:t>A</w:t>
      </w:r>
      <w:r w:rsidRPr="00E127AB">
        <w:rPr>
          <w:rFonts w:ascii="Book Antiqua" w:hAnsi="Book Antiqua" w:cs="Times New Roman"/>
          <w:color w:val="auto"/>
          <w:sz w:val="24"/>
          <w:szCs w:val="24"/>
          <w:shd w:val="clear" w:color="auto" w:fill="FFFFFF"/>
          <w:lang w:val="en-US"/>
        </w:rPr>
        <w:t xml:space="preserve">SCT) is still </w:t>
      </w:r>
      <w:r w:rsidR="00552E31" w:rsidRPr="00E127AB">
        <w:rPr>
          <w:rFonts w:ascii="Book Antiqua" w:hAnsi="Book Antiqua" w:cs="Times New Roman"/>
          <w:color w:val="auto"/>
          <w:sz w:val="24"/>
          <w:szCs w:val="24"/>
          <w:shd w:val="clear" w:color="auto" w:fill="FFFFFF"/>
          <w:lang w:val="en-US"/>
        </w:rPr>
        <w:t>an important option for</w:t>
      </w:r>
      <w:r w:rsidRPr="00E127AB">
        <w:rPr>
          <w:rFonts w:ascii="Book Antiqua" w:hAnsi="Book Antiqua" w:cs="Times New Roman"/>
          <w:color w:val="auto"/>
          <w:sz w:val="24"/>
          <w:szCs w:val="24"/>
          <w:shd w:val="clear" w:color="auto" w:fill="FFFFFF"/>
          <w:lang w:val="en-US"/>
        </w:rPr>
        <w:t xml:space="preserve"> the treatment of CML</w:t>
      </w:r>
      <w:r w:rsidR="006654CF" w:rsidRPr="00E127AB">
        <w:rPr>
          <w:rFonts w:ascii="Book Antiqua" w:hAnsi="Book Antiqua" w:cs="Times New Roman"/>
          <w:color w:val="auto"/>
          <w:sz w:val="24"/>
          <w:szCs w:val="24"/>
          <w:shd w:val="clear" w:color="auto" w:fill="FFFFFF"/>
          <w:lang w:val="en-US"/>
        </w:rPr>
        <w:t xml:space="preserve">, </w:t>
      </w:r>
      <w:r w:rsidR="006654CF" w:rsidRPr="00E127AB">
        <w:rPr>
          <w:rFonts w:ascii="Book Antiqua" w:eastAsiaTheme="minorHAnsi" w:hAnsi="Book Antiqua" w:cs="AdvOT863180fb"/>
          <w:color w:val="auto"/>
          <w:sz w:val="24"/>
          <w:szCs w:val="24"/>
          <w:lang w:val="en-US"/>
        </w:rPr>
        <w:t>especially for patients who are resistant or intolerant to at least one second generation TKI or for patients with blastic phase</w:t>
      </w:r>
      <w:r w:rsidRPr="00E127AB">
        <w:rPr>
          <w:rFonts w:ascii="Book Antiqua" w:hAnsi="Book Antiqua" w:cs="Times New Roman"/>
          <w:color w:val="auto"/>
          <w:sz w:val="24"/>
          <w:szCs w:val="24"/>
          <w:shd w:val="clear" w:color="auto" w:fill="FFFFFF"/>
          <w:lang w:val="en-US"/>
        </w:rPr>
        <w:t>.</w:t>
      </w:r>
      <w:r w:rsidR="00552E31" w:rsidRPr="00E127AB">
        <w:rPr>
          <w:rFonts w:ascii="Book Antiqua" w:hAnsi="Book Antiqua" w:cs="Times New Roman"/>
          <w:color w:val="auto"/>
          <w:sz w:val="24"/>
          <w:szCs w:val="24"/>
          <w:shd w:val="clear" w:color="auto" w:fill="FFFFFF"/>
          <w:lang w:val="en-US"/>
        </w:rPr>
        <w:t xml:space="preserve"> </w:t>
      </w:r>
      <w:r w:rsidR="00720542" w:rsidRPr="00E127AB">
        <w:rPr>
          <w:rFonts w:ascii="Book Antiqua" w:hAnsi="Book Antiqua" w:cs="Times New Roman"/>
          <w:color w:val="auto"/>
          <w:sz w:val="24"/>
          <w:szCs w:val="24"/>
          <w:shd w:val="clear" w:color="auto" w:fill="FFFFFF"/>
          <w:lang w:val="en-US"/>
        </w:rPr>
        <w:t>Today, we know that there is no evidence for increased transplant-related toxicity and negative impact of survival with pre</w:t>
      </w:r>
      <w:r w:rsidR="00F95CD7" w:rsidRPr="00E127AB">
        <w:rPr>
          <w:rFonts w:ascii="Book Antiqua" w:hAnsi="Book Antiqua" w:cs="Times New Roman"/>
          <w:color w:val="auto"/>
          <w:sz w:val="24"/>
          <w:szCs w:val="24"/>
          <w:shd w:val="clear" w:color="auto" w:fill="FFFFFF"/>
          <w:lang w:val="en-US"/>
        </w:rPr>
        <w:t>-</w:t>
      </w:r>
      <w:r w:rsidR="00720542" w:rsidRPr="00E127AB">
        <w:rPr>
          <w:rFonts w:ascii="Book Antiqua" w:hAnsi="Book Antiqua" w:cs="Times New Roman"/>
          <w:color w:val="auto"/>
          <w:sz w:val="24"/>
          <w:szCs w:val="24"/>
          <w:shd w:val="clear" w:color="auto" w:fill="FFFFFF"/>
          <w:lang w:val="en-US"/>
        </w:rPr>
        <w:t>transplant TKI</w:t>
      </w:r>
      <w:r w:rsidR="00F95CD7" w:rsidRPr="00E127AB">
        <w:rPr>
          <w:rFonts w:ascii="Book Antiqua" w:hAnsi="Book Antiqua" w:cs="Times New Roman"/>
          <w:color w:val="auto"/>
          <w:sz w:val="24"/>
          <w:szCs w:val="24"/>
          <w:shd w:val="clear" w:color="auto" w:fill="FFFFFF"/>
          <w:lang w:val="en-US"/>
        </w:rPr>
        <w:t>s</w:t>
      </w:r>
      <w:r w:rsidR="00720542" w:rsidRPr="00E127AB">
        <w:rPr>
          <w:rFonts w:ascii="Book Antiqua" w:hAnsi="Book Antiqua" w:cs="Times New Roman"/>
          <w:color w:val="auto"/>
          <w:sz w:val="24"/>
          <w:szCs w:val="24"/>
          <w:shd w:val="clear" w:color="auto" w:fill="FFFFFF"/>
          <w:lang w:val="en-US"/>
        </w:rPr>
        <w:t xml:space="preserve">. </w:t>
      </w:r>
      <w:r w:rsidR="00F95CD7" w:rsidRPr="00E127AB">
        <w:rPr>
          <w:rFonts w:ascii="Book Antiqua" w:hAnsi="Book Antiqua" w:cs="Times New Roman"/>
          <w:color w:val="auto"/>
          <w:sz w:val="24"/>
          <w:szCs w:val="24"/>
          <w:shd w:val="clear" w:color="auto" w:fill="FFFFFF"/>
          <w:lang w:val="en-US"/>
        </w:rPr>
        <w:t>However, t</w:t>
      </w:r>
      <w:r w:rsidR="00B50320" w:rsidRPr="00E127AB">
        <w:rPr>
          <w:rFonts w:ascii="Book Antiqua" w:hAnsi="Book Antiqua" w:cs="Times New Roman"/>
          <w:color w:val="auto"/>
          <w:sz w:val="24"/>
          <w:szCs w:val="24"/>
          <w:shd w:val="clear" w:color="auto" w:fill="FFFFFF"/>
          <w:lang w:val="en-US"/>
        </w:rPr>
        <w:t>here are some controversies about timing of ASCT, the optimal conditioning regimens and donor source.</w:t>
      </w:r>
      <w:r w:rsidR="00BD3BC8" w:rsidRPr="00E127AB">
        <w:rPr>
          <w:rFonts w:ascii="Book Antiqua" w:hAnsi="Book Antiqua" w:cs="Times New Roman"/>
          <w:color w:val="auto"/>
          <w:sz w:val="24"/>
          <w:szCs w:val="24"/>
          <w:shd w:val="clear" w:color="auto" w:fill="FFFFFF"/>
          <w:lang w:val="en-US"/>
        </w:rPr>
        <w:t xml:space="preserve"> Another important issue is that </w:t>
      </w:r>
      <w:r w:rsidR="00BD3BC8" w:rsidRPr="00E127AB">
        <w:rPr>
          <w:rFonts w:ascii="Book Antiqua" w:eastAsiaTheme="minorHAnsi" w:hAnsi="Book Antiqua" w:cs="AdvOT863180fb"/>
          <w:color w:val="auto"/>
          <w:sz w:val="24"/>
          <w:szCs w:val="24"/>
          <w:lang w:val="en-US"/>
        </w:rPr>
        <w:t xml:space="preserve">BCR-ABL signaling is not necessary for survival of CML stem cell and TKIs were not effective on these cells. So, ASCT may play a role </w:t>
      </w:r>
      <w:r w:rsidR="00DF543E" w:rsidRPr="00E127AB">
        <w:rPr>
          <w:rFonts w:ascii="Book Antiqua" w:eastAsiaTheme="minorHAnsi" w:hAnsi="Book Antiqua" w:cs="AdvOT863180fb"/>
          <w:color w:val="auto"/>
          <w:sz w:val="24"/>
          <w:szCs w:val="24"/>
          <w:lang w:val="en-US"/>
        </w:rPr>
        <w:t>to eliminate CML stem cell</w:t>
      </w:r>
      <w:r w:rsidR="004508CD" w:rsidRPr="00E127AB">
        <w:rPr>
          <w:rFonts w:ascii="Book Antiqua" w:eastAsiaTheme="minorHAnsi" w:hAnsi="Book Antiqua" w:cs="AdvOT863180fb"/>
          <w:color w:val="auto"/>
          <w:sz w:val="24"/>
          <w:szCs w:val="24"/>
          <w:lang w:val="en-US"/>
        </w:rPr>
        <w:t>s</w:t>
      </w:r>
      <w:r w:rsidR="00DF543E" w:rsidRPr="00E127AB">
        <w:rPr>
          <w:rFonts w:ascii="Book Antiqua" w:eastAsiaTheme="minorHAnsi" w:hAnsi="Book Antiqua" w:cs="AdvOT863180fb"/>
          <w:color w:val="auto"/>
          <w:sz w:val="24"/>
          <w:szCs w:val="24"/>
          <w:lang w:val="en-US"/>
        </w:rPr>
        <w:t xml:space="preserve">. </w:t>
      </w:r>
      <w:r w:rsidR="00552E31" w:rsidRPr="00E127AB">
        <w:rPr>
          <w:rFonts w:ascii="Book Antiqua" w:hAnsi="Book Antiqua" w:cs="Times New Roman"/>
          <w:color w:val="auto"/>
          <w:sz w:val="24"/>
          <w:szCs w:val="24"/>
          <w:shd w:val="clear" w:color="auto" w:fill="FFFFFF"/>
          <w:lang w:val="en-US"/>
        </w:rPr>
        <w:t xml:space="preserve">In this article, we </w:t>
      </w:r>
      <w:r w:rsidR="00563EB4" w:rsidRPr="00E127AB">
        <w:rPr>
          <w:rFonts w:ascii="Book Antiqua" w:hAnsi="Book Antiqua" w:cs="Times New Roman"/>
          <w:color w:val="auto"/>
          <w:sz w:val="24"/>
          <w:szCs w:val="24"/>
          <w:shd w:val="clear" w:color="auto" w:fill="FFFFFF"/>
          <w:lang w:val="en-US"/>
        </w:rPr>
        <w:t xml:space="preserve">review the diagnosis, management and treatment of </w:t>
      </w:r>
      <w:r w:rsidR="00552E31" w:rsidRPr="00E127AB">
        <w:rPr>
          <w:rFonts w:ascii="Book Antiqua" w:hAnsi="Book Antiqua" w:cs="Times New Roman"/>
          <w:color w:val="auto"/>
          <w:sz w:val="24"/>
          <w:szCs w:val="24"/>
          <w:shd w:val="clear" w:color="auto" w:fill="FFFFFF"/>
          <w:lang w:val="en-US"/>
        </w:rPr>
        <w:t>CML</w:t>
      </w:r>
      <w:r w:rsidR="00563EB4" w:rsidRPr="00E127AB">
        <w:rPr>
          <w:rFonts w:ascii="Book Antiqua" w:hAnsi="Book Antiqua" w:cs="Times New Roman"/>
          <w:color w:val="auto"/>
          <w:sz w:val="24"/>
          <w:szCs w:val="24"/>
          <w:shd w:val="clear" w:color="auto" w:fill="FFFFFF"/>
          <w:lang w:val="en-US"/>
        </w:rPr>
        <w:t xml:space="preserve">. Later, we present our center’s outcomes of ASCT for patients with CML and then, we discuss the place of ASCT in CML treatment in the TKIs era. </w:t>
      </w:r>
    </w:p>
    <w:p w:rsidR="00BE16F4" w:rsidRPr="00E127AB" w:rsidRDefault="00BE16F4"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Times New Roman"/>
          <w:color w:val="auto"/>
          <w:sz w:val="24"/>
          <w:szCs w:val="24"/>
          <w:lang w:val="en-US"/>
        </w:rPr>
      </w:pPr>
    </w:p>
    <w:p w:rsidR="0071010C" w:rsidRPr="00E127AB" w:rsidRDefault="003E34BD"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Times New Roman"/>
          <w:color w:val="auto"/>
          <w:sz w:val="24"/>
          <w:szCs w:val="24"/>
          <w:lang w:val="en-US" w:eastAsia="zh-CN"/>
        </w:rPr>
      </w:pPr>
      <w:r w:rsidRPr="00E127AB">
        <w:rPr>
          <w:rFonts w:ascii="Book Antiqua" w:eastAsiaTheme="minorHAnsi" w:hAnsi="Book Antiqua" w:cs="Times New Roman"/>
          <w:b/>
          <w:color w:val="auto"/>
          <w:sz w:val="24"/>
          <w:szCs w:val="24"/>
          <w:lang w:val="en-US"/>
        </w:rPr>
        <w:t>Key words:</w:t>
      </w:r>
      <w:r w:rsidR="0030653E" w:rsidRPr="00E127AB">
        <w:rPr>
          <w:rFonts w:ascii="Book Antiqua" w:eastAsiaTheme="minorHAnsi" w:hAnsi="Book Antiqua" w:cs="Times New Roman"/>
          <w:color w:val="auto"/>
          <w:sz w:val="24"/>
          <w:szCs w:val="24"/>
          <w:lang w:val="en-US"/>
        </w:rPr>
        <w:t xml:space="preserve"> Chronic myeloid leukemia;</w:t>
      </w:r>
      <w:r w:rsidR="004779A4" w:rsidRPr="00E127AB">
        <w:rPr>
          <w:rFonts w:ascii="Book Antiqua" w:eastAsiaTheme="minorHAnsi" w:hAnsi="Book Antiqua" w:cs="Times New Roman"/>
          <w:color w:val="auto"/>
          <w:sz w:val="24"/>
          <w:szCs w:val="24"/>
          <w:lang w:val="en-US"/>
        </w:rPr>
        <w:t xml:space="preserve"> </w:t>
      </w:r>
      <w:proofErr w:type="gramStart"/>
      <w:r w:rsidR="00695F46" w:rsidRPr="00E127AB">
        <w:rPr>
          <w:rFonts w:ascii="Book Antiqua" w:eastAsiaTheme="minorHAnsi" w:hAnsi="Book Antiqua" w:cs="Times New Roman"/>
          <w:color w:val="auto"/>
          <w:sz w:val="24"/>
          <w:szCs w:val="24"/>
          <w:lang w:val="en-US"/>
        </w:rPr>
        <w:t>A</w:t>
      </w:r>
      <w:r w:rsidR="00B7434F" w:rsidRPr="00E127AB">
        <w:rPr>
          <w:rFonts w:ascii="Book Antiqua" w:eastAsiaTheme="minorHAnsi" w:hAnsi="Book Antiqua" w:cs="Times New Roman"/>
          <w:color w:val="auto"/>
          <w:sz w:val="24"/>
          <w:szCs w:val="24"/>
          <w:lang w:val="en-US"/>
        </w:rPr>
        <w:t>llogeneic</w:t>
      </w:r>
      <w:proofErr w:type="gramEnd"/>
      <w:r w:rsidR="004779A4" w:rsidRPr="00E127AB">
        <w:rPr>
          <w:rFonts w:ascii="Book Antiqua" w:eastAsiaTheme="minorHAnsi" w:hAnsi="Book Antiqua" w:cs="Times New Roman"/>
          <w:color w:val="auto"/>
          <w:sz w:val="24"/>
          <w:szCs w:val="24"/>
          <w:lang w:val="en-US"/>
        </w:rPr>
        <w:t xml:space="preserve"> stem cell transplantation</w:t>
      </w:r>
      <w:r w:rsidR="0030653E" w:rsidRPr="00E127AB">
        <w:rPr>
          <w:rFonts w:ascii="Book Antiqua" w:eastAsiaTheme="minorHAnsi" w:hAnsi="Book Antiqua" w:cs="Times New Roman"/>
          <w:color w:val="auto"/>
          <w:sz w:val="24"/>
          <w:szCs w:val="24"/>
          <w:lang w:val="en-US"/>
        </w:rPr>
        <w:t>;</w:t>
      </w:r>
      <w:r w:rsidR="004779A4" w:rsidRPr="00E127AB">
        <w:rPr>
          <w:rFonts w:ascii="Book Antiqua" w:eastAsiaTheme="minorHAnsi" w:hAnsi="Book Antiqua" w:cs="Times New Roman"/>
          <w:color w:val="auto"/>
          <w:sz w:val="24"/>
          <w:szCs w:val="24"/>
          <w:lang w:val="en-US"/>
        </w:rPr>
        <w:t xml:space="preserve"> </w:t>
      </w:r>
      <w:r w:rsidR="00695F46" w:rsidRPr="00E127AB">
        <w:rPr>
          <w:rFonts w:ascii="Book Antiqua" w:eastAsiaTheme="minorHAnsi" w:hAnsi="Book Antiqua" w:cs="Times New Roman"/>
          <w:color w:val="auto"/>
          <w:sz w:val="24"/>
          <w:szCs w:val="24"/>
          <w:lang w:val="en-US"/>
        </w:rPr>
        <w:t>T</w:t>
      </w:r>
      <w:r w:rsidR="004779A4" w:rsidRPr="00E127AB">
        <w:rPr>
          <w:rFonts w:ascii="Book Antiqua" w:eastAsiaTheme="minorHAnsi" w:hAnsi="Book Antiqua" w:cs="Times New Roman"/>
          <w:color w:val="auto"/>
          <w:sz w:val="24"/>
          <w:szCs w:val="24"/>
          <w:lang w:val="en-US"/>
        </w:rPr>
        <w:t>yrosine kinase inhibitors</w:t>
      </w:r>
      <w:r w:rsidR="0030653E" w:rsidRPr="00E127AB">
        <w:rPr>
          <w:rFonts w:ascii="Book Antiqua" w:eastAsiaTheme="minorHAnsi" w:hAnsi="Book Antiqua" w:cs="Times New Roman"/>
          <w:color w:val="auto"/>
          <w:sz w:val="24"/>
          <w:szCs w:val="24"/>
          <w:lang w:val="en-US"/>
        </w:rPr>
        <w:t>;</w:t>
      </w:r>
      <w:r w:rsidR="008225CF" w:rsidRPr="00E127AB">
        <w:rPr>
          <w:rFonts w:ascii="Book Antiqua" w:eastAsiaTheme="minorHAnsi" w:hAnsi="Book Antiqua" w:cs="Times New Roman"/>
          <w:color w:val="auto"/>
          <w:sz w:val="24"/>
          <w:szCs w:val="24"/>
          <w:lang w:val="en-US"/>
        </w:rPr>
        <w:t xml:space="preserve"> </w:t>
      </w:r>
      <w:r w:rsidR="00695F46" w:rsidRPr="00E127AB">
        <w:rPr>
          <w:rFonts w:ascii="Book Antiqua" w:eastAsiaTheme="minorHAnsi" w:hAnsi="Book Antiqua" w:cs="Times New Roman"/>
          <w:color w:val="auto"/>
          <w:sz w:val="24"/>
          <w:szCs w:val="24"/>
          <w:lang w:val="en-US"/>
        </w:rPr>
        <w:t>G</w:t>
      </w:r>
      <w:r w:rsidR="0030653E" w:rsidRPr="00E127AB">
        <w:rPr>
          <w:rFonts w:ascii="Book Antiqua" w:eastAsiaTheme="minorHAnsi" w:hAnsi="Book Antiqua" w:cs="Times New Roman"/>
          <w:color w:val="auto"/>
          <w:sz w:val="24"/>
          <w:szCs w:val="24"/>
          <w:lang w:val="en-US"/>
        </w:rPr>
        <w:t xml:space="preserve">raft </w:t>
      </w:r>
      <w:r w:rsidR="0030653E" w:rsidRPr="00E127AB">
        <w:rPr>
          <w:rFonts w:ascii="Book Antiqua" w:eastAsiaTheme="minorHAnsi" w:hAnsi="Book Antiqua" w:cs="Times New Roman"/>
          <w:i/>
          <w:color w:val="auto"/>
          <w:sz w:val="24"/>
          <w:szCs w:val="24"/>
          <w:lang w:val="en-US"/>
        </w:rPr>
        <w:t>vs</w:t>
      </w:r>
      <w:r w:rsidR="0030653E" w:rsidRPr="00E127AB">
        <w:rPr>
          <w:rFonts w:ascii="Book Antiqua" w:eastAsiaTheme="minorHAnsi" w:hAnsi="Book Antiqua" w:cs="Times New Roman"/>
          <w:color w:val="auto"/>
          <w:sz w:val="24"/>
          <w:szCs w:val="24"/>
          <w:lang w:val="en-US"/>
        </w:rPr>
        <w:t xml:space="preserve"> host disease;</w:t>
      </w:r>
      <w:r w:rsidR="008225CF" w:rsidRPr="00E127AB">
        <w:rPr>
          <w:rFonts w:ascii="Book Antiqua" w:eastAsiaTheme="minorHAnsi" w:hAnsi="Book Antiqua" w:cs="Times New Roman"/>
          <w:color w:val="auto"/>
          <w:sz w:val="24"/>
          <w:szCs w:val="24"/>
          <w:lang w:val="en-US"/>
        </w:rPr>
        <w:t xml:space="preserve"> </w:t>
      </w:r>
      <w:r w:rsidR="00695F46" w:rsidRPr="00E127AB">
        <w:rPr>
          <w:rFonts w:ascii="Book Antiqua" w:eastAsiaTheme="minorHAnsi" w:hAnsi="Book Antiqua" w:cs="Times New Roman"/>
          <w:color w:val="auto"/>
          <w:sz w:val="24"/>
          <w:szCs w:val="24"/>
          <w:lang w:val="en-US"/>
        </w:rPr>
        <w:t>S</w:t>
      </w:r>
      <w:r w:rsidR="008225CF" w:rsidRPr="00E127AB">
        <w:rPr>
          <w:rFonts w:ascii="Book Antiqua" w:eastAsiaTheme="minorHAnsi" w:hAnsi="Book Antiqua" w:cs="Times New Roman"/>
          <w:color w:val="auto"/>
          <w:sz w:val="24"/>
          <w:szCs w:val="24"/>
          <w:lang w:val="en-US"/>
        </w:rPr>
        <w:t>urvival</w:t>
      </w:r>
      <w:bookmarkStart w:id="29" w:name="OLE_LINK185"/>
      <w:bookmarkStart w:id="30" w:name="OLE_LINK186"/>
    </w:p>
    <w:p w:rsidR="0071010C" w:rsidRPr="00E127AB" w:rsidRDefault="0071010C"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Times New Roman"/>
          <w:color w:val="auto"/>
          <w:sz w:val="24"/>
          <w:szCs w:val="24"/>
          <w:lang w:val="en-US" w:eastAsia="zh-CN"/>
        </w:rPr>
      </w:pPr>
    </w:p>
    <w:p w:rsidR="00ED3101" w:rsidRPr="00E127AB" w:rsidRDefault="00ED3101"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Times New Roman"/>
          <w:color w:val="auto"/>
          <w:sz w:val="24"/>
          <w:szCs w:val="24"/>
          <w:lang w:val="en-US" w:eastAsia="zh-CN"/>
        </w:rPr>
      </w:pPr>
      <w:r w:rsidRPr="00E127AB">
        <w:rPr>
          <w:rFonts w:ascii="Book Antiqua" w:hAnsi="Book Antiqua"/>
          <w:sz w:val="24"/>
          <w:szCs w:val="24"/>
        </w:rPr>
        <w:t xml:space="preserve">© </w:t>
      </w:r>
      <w:r w:rsidRPr="00E127AB">
        <w:rPr>
          <w:rFonts w:ascii="Book Antiqua" w:hAnsi="Book Antiqua"/>
          <w:b/>
          <w:sz w:val="24"/>
          <w:szCs w:val="24"/>
        </w:rPr>
        <w:t>The Author(s) 201</w:t>
      </w:r>
      <w:r w:rsidR="005933E4">
        <w:rPr>
          <w:rFonts w:ascii="Book Antiqua" w:hAnsi="Book Antiqua" w:hint="eastAsia"/>
          <w:b/>
          <w:sz w:val="24"/>
          <w:szCs w:val="24"/>
          <w:lang w:eastAsia="zh-CN"/>
        </w:rPr>
        <w:t>7</w:t>
      </w:r>
      <w:r w:rsidRPr="00E127AB">
        <w:rPr>
          <w:rFonts w:ascii="Book Antiqua" w:hAnsi="Book Antiqua"/>
          <w:sz w:val="24"/>
          <w:szCs w:val="24"/>
        </w:rPr>
        <w:t>. Published by Baishideng Publishing Group Inc. All rights reserved.</w:t>
      </w:r>
    </w:p>
    <w:bookmarkEnd w:id="29"/>
    <w:bookmarkEnd w:id="30"/>
    <w:p w:rsidR="00ED3101" w:rsidRPr="00E127AB" w:rsidRDefault="00ED3101"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Times New Roman"/>
          <w:color w:val="auto"/>
          <w:sz w:val="24"/>
          <w:szCs w:val="24"/>
          <w:lang w:val="en-US" w:eastAsia="zh-CN"/>
        </w:rPr>
      </w:pPr>
    </w:p>
    <w:p w:rsidR="003E34BD" w:rsidRPr="00E127AB" w:rsidRDefault="003E34BD"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Times New Roman"/>
          <w:color w:val="auto"/>
          <w:sz w:val="24"/>
          <w:szCs w:val="24"/>
          <w:lang w:val="en-US" w:eastAsia="zh-CN"/>
        </w:rPr>
      </w:pPr>
      <w:r w:rsidRPr="00E127AB">
        <w:rPr>
          <w:rFonts w:ascii="Book Antiqua" w:eastAsiaTheme="minorHAnsi" w:hAnsi="Book Antiqua" w:cs="Times New Roman"/>
          <w:b/>
          <w:color w:val="auto"/>
          <w:sz w:val="24"/>
          <w:szCs w:val="24"/>
          <w:lang w:val="en-US"/>
        </w:rPr>
        <w:t>Core tip:</w:t>
      </w:r>
      <w:r w:rsidR="009655AE" w:rsidRPr="00E127AB">
        <w:rPr>
          <w:rFonts w:ascii="Book Antiqua" w:eastAsiaTheme="minorHAnsi" w:hAnsi="Book Antiqua" w:cs="Times New Roman"/>
          <w:b/>
          <w:color w:val="auto"/>
          <w:sz w:val="24"/>
          <w:szCs w:val="24"/>
          <w:lang w:val="en-US"/>
        </w:rPr>
        <w:t xml:space="preserve"> </w:t>
      </w:r>
      <w:r w:rsidR="008157FC" w:rsidRPr="00E127AB">
        <w:rPr>
          <w:rFonts w:ascii="Book Antiqua" w:eastAsiaTheme="minorHAnsi" w:hAnsi="Book Antiqua" w:cs="Times New Roman"/>
          <w:color w:val="auto"/>
          <w:sz w:val="24"/>
          <w:szCs w:val="24"/>
          <w:lang w:val="en-US"/>
        </w:rPr>
        <w:t xml:space="preserve">Tyrosine kinase inhibitors </w:t>
      </w:r>
      <w:r w:rsidR="00DB2A2D" w:rsidRPr="00E127AB">
        <w:rPr>
          <w:rFonts w:ascii="Book Antiqua" w:hAnsi="Book Antiqua" w:cs="Times New Roman"/>
          <w:color w:val="auto"/>
          <w:sz w:val="24"/>
          <w:szCs w:val="24"/>
          <w:shd w:val="clear" w:color="auto" w:fill="FFFFFF"/>
          <w:lang w:val="en-US"/>
        </w:rPr>
        <w:t>(TKIs)</w:t>
      </w:r>
      <w:r w:rsidR="00DB2A2D" w:rsidRPr="00E127AB">
        <w:rPr>
          <w:rFonts w:ascii="Book Antiqua" w:hAnsi="Book Antiqua" w:cs="Times New Roman"/>
          <w:color w:val="auto"/>
          <w:sz w:val="24"/>
          <w:szCs w:val="24"/>
          <w:shd w:val="clear" w:color="auto" w:fill="FFFFFF"/>
          <w:lang w:val="en-US" w:eastAsia="zh-CN"/>
        </w:rPr>
        <w:t xml:space="preserve"> </w:t>
      </w:r>
      <w:r w:rsidR="008157FC" w:rsidRPr="00E127AB">
        <w:rPr>
          <w:rFonts w:ascii="Book Antiqua" w:eastAsiaTheme="minorHAnsi" w:hAnsi="Book Antiqua" w:cs="Times New Roman"/>
          <w:color w:val="auto"/>
          <w:sz w:val="24"/>
          <w:szCs w:val="24"/>
          <w:lang w:val="en-US"/>
        </w:rPr>
        <w:t xml:space="preserve">have changed the fatal outcomes of </w:t>
      </w:r>
      <w:r w:rsidR="00DB2A2D" w:rsidRPr="00E127AB">
        <w:rPr>
          <w:rFonts w:ascii="Book Antiqua" w:hAnsi="Book Antiqua" w:cs="Times New Roman"/>
          <w:color w:val="auto"/>
          <w:sz w:val="24"/>
          <w:szCs w:val="24"/>
          <w:lang w:val="en-US"/>
        </w:rPr>
        <w:t>chronic myeloid leukemia</w:t>
      </w:r>
      <w:r w:rsidR="00DB2A2D" w:rsidRPr="00E127AB">
        <w:rPr>
          <w:rFonts w:ascii="Book Antiqua" w:eastAsiaTheme="minorHAnsi" w:hAnsi="Book Antiqua" w:cs="Times New Roman"/>
          <w:color w:val="auto"/>
          <w:sz w:val="24"/>
          <w:szCs w:val="24"/>
          <w:lang w:val="en-US"/>
        </w:rPr>
        <w:t xml:space="preserve"> </w:t>
      </w:r>
      <w:r w:rsidR="00DB2A2D" w:rsidRPr="00E127AB">
        <w:rPr>
          <w:rFonts w:ascii="Book Antiqua" w:eastAsiaTheme="minorEastAsia" w:hAnsi="Book Antiqua" w:cs="Times New Roman"/>
          <w:color w:val="auto"/>
          <w:sz w:val="24"/>
          <w:szCs w:val="24"/>
          <w:lang w:val="en-US" w:eastAsia="zh-CN"/>
        </w:rPr>
        <w:t>(</w:t>
      </w:r>
      <w:r w:rsidR="008157FC" w:rsidRPr="00E127AB">
        <w:rPr>
          <w:rFonts w:ascii="Book Antiqua" w:eastAsiaTheme="minorHAnsi" w:hAnsi="Book Antiqua" w:cs="Times New Roman"/>
          <w:color w:val="auto"/>
          <w:sz w:val="24"/>
          <w:szCs w:val="24"/>
          <w:lang w:val="en-US"/>
        </w:rPr>
        <w:t>CML</w:t>
      </w:r>
      <w:r w:rsidR="00DB2A2D" w:rsidRPr="00E127AB">
        <w:rPr>
          <w:rFonts w:ascii="Book Antiqua" w:eastAsiaTheme="minorEastAsia" w:hAnsi="Book Antiqua" w:cs="Times New Roman"/>
          <w:color w:val="auto"/>
          <w:sz w:val="24"/>
          <w:szCs w:val="24"/>
          <w:lang w:val="en-US" w:eastAsia="zh-CN"/>
        </w:rPr>
        <w:t>)</w:t>
      </w:r>
      <w:r w:rsidR="008157FC" w:rsidRPr="00E127AB">
        <w:rPr>
          <w:rFonts w:ascii="Book Antiqua" w:eastAsiaTheme="minorHAnsi" w:hAnsi="Book Antiqua" w:cs="Times New Roman"/>
          <w:color w:val="auto"/>
          <w:sz w:val="24"/>
          <w:szCs w:val="24"/>
          <w:lang w:val="en-US"/>
        </w:rPr>
        <w:t>. Many studies showed that TKIs provided rapid response, few serious adverse event and impressive survival outcomes.</w:t>
      </w:r>
      <w:r w:rsidR="00F73E2D" w:rsidRPr="00E127AB">
        <w:rPr>
          <w:rFonts w:ascii="Book Antiqua" w:eastAsiaTheme="minorHAnsi" w:hAnsi="Book Antiqua" w:cs="Times New Roman"/>
          <w:color w:val="auto"/>
          <w:sz w:val="24"/>
          <w:szCs w:val="24"/>
          <w:lang w:val="en-US"/>
        </w:rPr>
        <w:t xml:space="preserve"> </w:t>
      </w:r>
      <w:r w:rsidR="002A48CE" w:rsidRPr="00E127AB">
        <w:rPr>
          <w:rFonts w:ascii="Book Antiqua" w:eastAsiaTheme="minorHAnsi" w:hAnsi="Book Antiqua" w:cs="Times New Roman"/>
          <w:color w:val="auto"/>
          <w:sz w:val="24"/>
          <w:szCs w:val="24"/>
          <w:lang w:val="en-US"/>
        </w:rPr>
        <w:t>Although, allogeneic stem cell transplantation (ASCT) is only curative treatment option for CML, since 1999, the numbers of ASCT have dropped. Currently, ASCT is offering</w:t>
      </w:r>
      <w:r w:rsidR="009655AE" w:rsidRPr="00E127AB">
        <w:rPr>
          <w:rFonts w:ascii="Book Antiqua" w:eastAsiaTheme="minorHAnsi" w:hAnsi="Book Antiqua" w:cs="Times New Roman"/>
          <w:color w:val="auto"/>
          <w:sz w:val="24"/>
          <w:szCs w:val="24"/>
          <w:lang w:val="en-US"/>
        </w:rPr>
        <w:t xml:space="preserve"> </w:t>
      </w:r>
      <w:r w:rsidR="002A48CE" w:rsidRPr="00E127AB">
        <w:rPr>
          <w:rFonts w:ascii="Book Antiqua" w:eastAsiaTheme="minorHAnsi" w:hAnsi="Book Antiqua" w:cs="Times New Roman"/>
          <w:color w:val="auto"/>
          <w:sz w:val="24"/>
          <w:szCs w:val="24"/>
          <w:lang w:val="en-US"/>
        </w:rPr>
        <w:lastRenderedPageBreak/>
        <w:t xml:space="preserve">for patients who are resistant or intolerant to at least one second generation TKI or for patients with blastic phase. </w:t>
      </w:r>
      <w:r w:rsidR="00ED163E" w:rsidRPr="00E127AB">
        <w:rPr>
          <w:rFonts w:ascii="Book Antiqua" w:eastAsiaTheme="minorHAnsi" w:hAnsi="Book Antiqua" w:cs="Times New Roman"/>
          <w:color w:val="auto"/>
          <w:sz w:val="24"/>
          <w:szCs w:val="24"/>
          <w:lang w:val="en-US"/>
        </w:rPr>
        <w:t>Here</w:t>
      </w:r>
      <w:r w:rsidR="00A67686" w:rsidRPr="00E127AB">
        <w:rPr>
          <w:rFonts w:ascii="Book Antiqua" w:eastAsiaTheme="minorHAnsi" w:hAnsi="Book Antiqua" w:cs="Times New Roman"/>
          <w:color w:val="auto"/>
          <w:sz w:val="24"/>
          <w:szCs w:val="24"/>
          <w:lang w:val="en-US"/>
        </w:rPr>
        <w:t>, we present our center’s outcomes of ASCT for patients with CML and then, we discuss the place of ASCT in CML treatment in the TKIs era.</w:t>
      </w:r>
    </w:p>
    <w:p w:rsidR="00AE7999" w:rsidRPr="00E127AB" w:rsidRDefault="00AE7999"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Times New Roman"/>
          <w:b/>
          <w:color w:val="auto"/>
          <w:sz w:val="24"/>
          <w:szCs w:val="24"/>
          <w:lang w:val="en-US" w:eastAsia="zh-CN"/>
        </w:rPr>
      </w:pPr>
    </w:p>
    <w:p w:rsidR="00AE7999" w:rsidRPr="00E127AB" w:rsidRDefault="00AE7999"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bCs/>
          <w:color w:val="auto"/>
          <w:sz w:val="24"/>
          <w:szCs w:val="24"/>
          <w:lang w:val="en-US" w:eastAsia="zh-CN"/>
        </w:rPr>
      </w:pPr>
      <w:proofErr w:type="spellStart"/>
      <w:r w:rsidRPr="00E127AB">
        <w:rPr>
          <w:rFonts w:ascii="Book Antiqua" w:hAnsi="Book Antiqua"/>
          <w:bCs/>
          <w:color w:val="auto"/>
          <w:sz w:val="24"/>
          <w:szCs w:val="24"/>
          <w:lang w:val="en-US"/>
        </w:rPr>
        <w:t>Soyer</w:t>
      </w:r>
      <w:proofErr w:type="spellEnd"/>
      <w:r w:rsidRPr="00E127AB">
        <w:rPr>
          <w:rFonts w:ascii="Book Antiqua" w:hAnsi="Book Antiqua"/>
          <w:bCs/>
          <w:color w:val="auto"/>
          <w:sz w:val="24"/>
          <w:szCs w:val="24"/>
          <w:lang w:val="en-US" w:eastAsia="zh-CN"/>
        </w:rPr>
        <w:t xml:space="preserve"> N</w:t>
      </w:r>
      <w:r w:rsidRPr="00E127AB">
        <w:rPr>
          <w:rFonts w:ascii="Book Antiqua" w:hAnsi="Book Antiqua"/>
          <w:bCs/>
          <w:color w:val="auto"/>
          <w:sz w:val="24"/>
          <w:szCs w:val="24"/>
          <w:lang w:val="en-US"/>
        </w:rPr>
        <w:t xml:space="preserve">, </w:t>
      </w:r>
      <w:proofErr w:type="spellStart"/>
      <w:r w:rsidRPr="00E127AB">
        <w:rPr>
          <w:rFonts w:ascii="Book Antiqua" w:hAnsi="Book Antiqua"/>
          <w:bCs/>
          <w:color w:val="auto"/>
          <w:sz w:val="24"/>
          <w:szCs w:val="24"/>
          <w:lang w:val="en-US"/>
        </w:rPr>
        <w:t>Uysal</w:t>
      </w:r>
      <w:proofErr w:type="spellEnd"/>
      <w:r w:rsidRPr="00E127AB">
        <w:rPr>
          <w:rFonts w:ascii="Book Antiqua" w:hAnsi="Book Antiqua"/>
          <w:bCs/>
          <w:color w:val="auto"/>
          <w:sz w:val="24"/>
          <w:szCs w:val="24"/>
          <w:lang w:val="en-US" w:eastAsia="zh-CN"/>
        </w:rPr>
        <w:t xml:space="preserve"> A</w:t>
      </w:r>
      <w:r w:rsidRPr="00E127AB">
        <w:rPr>
          <w:rFonts w:ascii="Book Antiqua" w:hAnsi="Book Antiqua"/>
          <w:bCs/>
          <w:color w:val="auto"/>
          <w:sz w:val="24"/>
          <w:szCs w:val="24"/>
          <w:lang w:val="en-US"/>
        </w:rPr>
        <w:t xml:space="preserve">, </w:t>
      </w:r>
      <w:proofErr w:type="spellStart"/>
      <w:r w:rsidRPr="00E127AB">
        <w:rPr>
          <w:rFonts w:ascii="Book Antiqua" w:hAnsi="Book Antiqua"/>
          <w:bCs/>
          <w:color w:val="auto"/>
          <w:sz w:val="24"/>
          <w:szCs w:val="24"/>
          <w:lang w:val="en-US"/>
        </w:rPr>
        <w:t>Tombuloglu</w:t>
      </w:r>
      <w:proofErr w:type="spellEnd"/>
      <w:r w:rsidRPr="00E127AB">
        <w:rPr>
          <w:rFonts w:ascii="Book Antiqua" w:hAnsi="Book Antiqua"/>
          <w:bCs/>
          <w:color w:val="auto"/>
          <w:sz w:val="24"/>
          <w:szCs w:val="24"/>
          <w:lang w:val="en-US" w:eastAsia="zh-CN"/>
        </w:rPr>
        <w:t xml:space="preserve"> M</w:t>
      </w:r>
      <w:r w:rsidRPr="00E127AB">
        <w:rPr>
          <w:rFonts w:ascii="Book Antiqua" w:hAnsi="Book Antiqua"/>
          <w:bCs/>
          <w:color w:val="auto"/>
          <w:sz w:val="24"/>
          <w:szCs w:val="24"/>
          <w:lang w:val="en-US"/>
        </w:rPr>
        <w:t>,</w:t>
      </w:r>
      <w:r w:rsidRPr="00E127AB">
        <w:rPr>
          <w:rFonts w:ascii="Book Antiqua" w:hAnsi="Book Antiqua"/>
          <w:color w:val="auto"/>
          <w:sz w:val="24"/>
          <w:szCs w:val="24"/>
          <w:lang w:val="en-US"/>
        </w:rPr>
        <w:t xml:space="preserve"> </w:t>
      </w:r>
      <w:proofErr w:type="spellStart"/>
      <w:r w:rsidRPr="00E127AB">
        <w:rPr>
          <w:rFonts w:ascii="Book Antiqua" w:hAnsi="Book Antiqua"/>
          <w:bCs/>
          <w:color w:val="auto"/>
          <w:sz w:val="24"/>
          <w:szCs w:val="24"/>
          <w:lang w:val="en-US"/>
        </w:rPr>
        <w:t>Sahin</w:t>
      </w:r>
      <w:proofErr w:type="spellEnd"/>
      <w:r w:rsidRPr="00E127AB">
        <w:rPr>
          <w:rFonts w:ascii="Book Antiqua" w:hAnsi="Book Antiqua"/>
          <w:bCs/>
          <w:color w:val="auto"/>
          <w:sz w:val="24"/>
          <w:szCs w:val="24"/>
          <w:lang w:val="en-US" w:eastAsia="zh-CN"/>
        </w:rPr>
        <w:t xml:space="preserve"> F</w:t>
      </w:r>
      <w:r w:rsidRPr="00E127AB">
        <w:rPr>
          <w:rFonts w:ascii="Book Antiqua" w:hAnsi="Book Antiqua"/>
          <w:bCs/>
          <w:color w:val="auto"/>
          <w:sz w:val="24"/>
          <w:szCs w:val="24"/>
          <w:lang w:val="en-US"/>
        </w:rPr>
        <w:t xml:space="preserve">, </w:t>
      </w:r>
      <w:proofErr w:type="spellStart"/>
      <w:r w:rsidRPr="00E127AB">
        <w:rPr>
          <w:rFonts w:ascii="Book Antiqua" w:hAnsi="Book Antiqua"/>
          <w:bCs/>
          <w:color w:val="auto"/>
          <w:sz w:val="24"/>
          <w:szCs w:val="24"/>
          <w:lang w:val="en-US"/>
        </w:rPr>
        <w:t>Saydam</w:t>
      </w:r>
      <w:proofErr w:type="spellEnd"/>
      <w:r w:rsidRPr="00E127AB">
        <w:rPr>
          <w:rFonts w:ascii="Book Antiqua" w:hAnsi="Book Antiqua"/>
          <w:bCs/>
          <w:color w:val="auto"/>
          <w:sz w:val="24"/>
          <w:szCs w:val="24"/>
          <w:lang w:val="en-US" w:eastAsia="zh-CN"/>
        </w:rPr>
        <w:t xml:space="preserve"> G</w:t>
      </w:r>
      <w:r w:rsidRPr="00E127AB">
        <w:rPr>
          <w:rFonts w:ascii="Book Antiqua" w:hAnsi="Book Antiqua"/>
          <w:bCs/>
          <w:color w:val="auto"/>
          <w:sz w:val="24"/>
          <w:szCs w:val="24"/>
          <w:lang w:val="en-US"/>
        </w:rPr>
        <w:t xml:space="preserve">, </w:t>
      </w:r>
      <w:proofErr w:type="spellStart"/>
      <w:r w:rsidRPr="00E127AB">
        <w:rPr>
          <w:rFonts w:ascii="Book Antiqua" w:hAnsi="Book Antiqua"/>
          <w:bCs/>
          <w:color w:val="auto"/>
          <w:sz w:val="24"/>
          <w:szCs w:val="24"/>
          <w:lang w:val="en-US"/>
        </w:rPr>
        <w:t>Vural</w:t>
      </w:r>
      <w:proofErr w:type="spellEnd"/>
      <w:r w:rsidRPr="00E127AB">
        <w:rPr>
          <w:rFonts w:ascii="Book Antiqua" w:hAnsi="Book Antiqua"/>
          <w:bCs/>
          <w:color w:val="auto"/>
          <w:sz w:val="24"/>
          <w:szCs w:val="24"/>
          <w:lang w:val="en-US" w:eastAsia="zh-CN"/>
        </w:rPr>
        <w:t xml:space="preserve"> F. </w:t>
      </w:r>
      <w:r w:rsidRPr="00E127AB">
        <w:rPr>
          <w:rFonts w:ascii="Book Antiqua" w:hAnsi="Book Antiqua"/>
          <w:bCs/>
          <w:color w:val="auto"/>
          <w:sz w:val="24"/>
          <w:szCs w:val="24"/>
          <w:lang w:val="en-US"/>
        </w:rPr>
        <w:t>Allogeneic stem cell transplantation in chronic myeloid leukemia patients: Single center experience</w:t>
      </w:r>
      <w:r w:rsidRPr="00E127AB">
        <w:rPr>
          <w:rFonts w:ascii="Book Antiqua" w:hAnsi="Book Antiqua"/>
          <w:bCs/>
          <w:color w:val="auto"/>
          <w:sz w:val="24"/>
          <w:szCs w:val="24"/>
          <w:lang w:val="en-US" w:eastAsia="zh-CN"/>
        </w:rPr>
        <w:t>.</w:t>
      </w:r>
      <w:r w:rsidRPr="00E127AB">
        <w:rPr>
          <w:rFonts w:ascii="Book Antiqua" w:hAnsi="Book Antiqua"/>
          <w:bCs/>
          <w:color w:val="auto"/>
          <w:sz w:val="24"/>
          <w:szCs w:val="24"/>
          <w:lang w:val="en-US"/>
        </w:rPr>
        <w:t xml:space="preserve"> </w:t>
      </w:r>
      <w:r w:rsidRPr="00E127AB">
        <w:rPr>
          <w:rFonts w:ascii="Book Antiqua" w:hAnsi="Book Antiqua"/>
          <w:i/>
          <w:iCs/>
          <w:sz w:val="24"/>
          <w:szCs w:val="24"/>
        </w:rPr>
        <w:t>World J Hematol</w:t>
      </w:r>
      <w:r w:rsidRPr="00E127AB">
        <w:rPr>
          <w:rFonts w:ascii="Book Antiqua" w:hAnsi="Book Antiqua"/>
          <w:iCs/>
          <w:sz w:val="24"/>
          <w:szCs w:val="24"/>
          <w:lang w:eastAsia="zh-CN"/>
        </w:rPr>
        <w:t xml:space="preserve"> 201</w:t>
      </w:r>
      <w:r w:rsidR="005933E4">
        <w:rPr>
          <w:rFonts w:ascii="Book Antiqua" w:hAnsi="Book Antiqua" w:hint="eastAsia"/>
          <w:iCs/>
          <w:sz w:val="24"/>
          <w:szCs w:val="24"/>
          <w:lang w:eastAsia="zh-CN"/>
        </w:rPr>
        <w:t>7</w:t>
      </w:r>
      <w:bookmarkStart w:id="31" w:name="_GoBack"/>
      <w:bookmarkEnd w:id="31"/>
      <w:r w:rsidRPr="00E127AB">
        <w:rPr>
          <w:rFonts w:ascii="Book Antiqua" w:hAnsi="Book Antiqua"/>
          <w:iCs/>
          <w:sz w:val="24"/>
          <w:szCs w:val="24"/>
          <w:lang w:eastAsia="zh-CN"/>
        </w:rPr>
        <w:t>; In press</w:t>
      </w:r>
    </w:p>
    <w:p w:rsidR="001D10DB" w:rsidRPr="00E127AB" w:rsidRDefault="001D10DB"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Times New Roman"/>
          <w:color w:val="auto"/>
          <w:sz w:val="24"/>
          <w:szCs w:val="24"/>
          <w:lang w:val="en-US"/>
        </w:rPr>
      </w:pPr>
    </w:p>
    <w:p w:rsidR="00E05EC5" w:rsidRPr="00E127AB" w:rsidRDefault="00E05EC5"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Times New Roman"/>
          <w:color w:val="auto"/>
          <w:sz w:val="24"/>
          <w:szCs w:val="24"/>
          <w:lang w:val="en-US"/>
        </w:rPr>
      </w:pPr>
    </w:p>
    <w:p w:rsidR="00E05EC5" w:rsidRPr="00E127AB" w:rsidRDefault="00E05EC5"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Times New Roman"/>
          <w:color w:val="auto"/>
          <w:sz w:val="24"/>
          <w:szCs w:val="24"/>
          <w:lang w:val="en-US"/>
        </w:rPr>
      </w:pPr>
    </w:p>
    <w:p w:rsidR="00E05EC5" w:rsidRPr="00E127AB" w:rsidRDefault="00E05EC5"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Times New Roman"/>
          <w:color w:val="auto"/>
          <w:sz w:val="24"/>
          <w:szCs w:val="24"/>
          <w:lang w:val="en-US"/>
        </w:rPr>
      </w:pPr>
    </w:p>
    <w:p w:rsidR="00E05EC5" w:rsidRPr="00E127AB" w:rsidRDefault="00E05EC5"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Times New Roman"/>
          <w:color w:val="auto"/>
          <w:sz w:val="24"/>
          <w:szCs w:val="24"/>
          <w:lang w:val="en-US"/>
        </w:rPr>
      </w:pPr>
    </w:p>
    <w:p w:rsidR="00E05EC5" w:rsidRPr="00E127AB" w:rsidRDefault="00E05EC5"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Times New Roman"/>
          <w:color w:val="auto"/>
          <w:sz w:val="24"/>
          <w:szCs w:val="24"/>
          <w:lang w:val="en-US"/>
        </w:rPr>
      </w:pPr>
    </w:p>
    <w:p w:rsidR="00E05EC5" w:rsidRPr="00E127AB" w:rsidRDefault="00E05EC5"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Times New Roman"/>
          <w:color w:val="auto"/>
          <w:sz w:val="24"/>
          <w:szCs w:val="24"/>
          <w:lang w:val="en-US"/>
        </w:rPr>
      </w:pPr>
    </w:p>
    <w:p w:rsidR="00E05EC5" w:rsidRPr="00E127AB" w:rsidRDefault="00E05EC5"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Times New Roman"/>
          <w:color w:val="auto"/>
          <w:sz w:val="24"/>
          <w:szCs w:val="24"/>
          <w:lang w:val="en-US"/>
        </w:rPr>
      </w:pPr>
    </w:p>
    <w:p w:rsidR="00E05EC5" w:rsidRPr="00E127AB" w:rsidRDefault="00E05EC5"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Times New Roman"/>
          <w:color w:val="auto"/>
          <w:sz w:val="24"/>
          <w:szCs w:val="24"/>
          <w:lang w:val="en-US"/>
        </w:rPr>
      </w:pPr>
    </w:p>
    <w:p w:rsidR="00E05EC5" w:rsidRPr="00E127AB" w:rsidRDefault="00E05EC5"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Times New Roman"/>
          <w:color w:val="auto"/>
          <w:sz w:val="24"/>
          <w:szCs w:val="24"/>
          <w:lang w:val="en-US"/>
        </w:rPr>
      </w:pPr>
    </w:p>
    <w:p w:rsidR="00AE7999" w:rsidRPr="00E127AB" w:rsidRDefault="00AE7999" w:rsidP="005E6CDB">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u w:color="000000"/>
          <w:lang w:eastAsia="tr-TR"/>
        </w:rPr>
      </w:pPr>
      <w:r w:rsidRPr="00E127AB">
        <w:rPr>
          <w:rFonts w:ascii="Book Antiqua" w:eastAsiaTheme="minorHAnsi" w:hAnsi="Book Antiqua"/>
        </w:rPr>
        <w:br w:type="page"/>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Times New Roman"/>
          <w:b/>
          <w:color w:val="auto"/>
          <w:sz w:val="24"/>
          <w:szCs w:val="24"/>
          <w:lang w:val="en-US"/>
        </w:rPr>
      </w:pPr>
      <w:r w:rsidRPr="00E127AB">
        <w:rPr>
          <w:rFonts w:ascii="Book Antiqua" w:eastAsiaTheme="minorHAnsi" w:hAnsi="Book Antiqua" w:cs="Times New Roman"/>
          <w:b/>
          <w:color w:val="auto"/>
          <w:sz w:val="24"/>
          <w:szCs w:val="24"/>
          <w:lang w:val="en-US"/>
        </w:rPr>
        <w:lastRenderedPageBreak/>
        <w:t>INTRODUCTION</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Times New Roman"/>
          <w:color w:val="auto"/>
          <w:sz w:val="24"/>
          <w:szCs w:val="24"/>
          <w:lang w:val="en-US"/>
        </w:rPr>
      </w:pPr>
      <w:r w:rsidRPr="00E127AB">
        <w:rPr>
          <w:rFonts w:ascii="Book Antiqua" w:hAnsi="Book Antiqua" w:cs="Times New Roman"/>
          <w:color w:val="auto"/>
          <w:sz w:val="24"/>
          <w:szCs w:val="24"/>
          <w:lang w:val="en-US"/>
        </w:rPr>
        <w:t xml:space="preserve">Chronic myeloid leukemia (CML) is a clonal myeloproliferative neoplasm that characterized by the presence of Philadelphia </w:t>
      </w:r>
      <w:proofErr w:type="gramStart"/>
      <w:r w:rsidRPr="00E127AB">
        <w:rPr>
          <w:rFonts w:ascii="Book Antiqua" w:hAnsi="Book Antiqua" w:cs="Times New Roman"/>
          <w:color w:val="auto"/>
          <w:sz w:val="24"/>
          <w:szCs w:val="24"/>
          <w:lang w:val="en-US"/>
        </w:rPr>
        <w:t>chromosome</w:t>
      </w:r>
      <w:r w:rsidR="00533A28" w:rsidRPr="00E127AB">
        <w:rPr>
          <w:rFonts w:ascii="Book Antiqua" w:hAnsi="Book Antiqua" w:cs="Times New Roman"/>
          <w:color w:val="auto"/>
          <w:sz w:val="24"/>
          <w:szCs w:val="24"/>
          <w:vertAlign w:val="superscript"/>
          <w:lang w:val="en-US"/>
        </w:rPr>
        <w:t>[</w:t>
      </w:r>
      <w:proofErr w:type="gramEnd"/>
      <w:r w:rsidR="00533A28" w:rsidRPr="00E127AB">
        <w:rPr>
          <w:rFonts w:ascii="Book Antiqua" w:hAnsi="Book Antiqua" w:cs="Times New Roman"/>
          <w:color w:val="auto"/>
          <w:sz w:val="24"/>
          <w:szCs w:val="24"/>
          <w:vertAlign w:val="superscript"/>
          <w:lang w:val="en-US"/>
        </w:rPr>
        <w:t>1]</w:t>
      </w:r>
      <w:r w:rsidRPr="00E127AB">
        <w:rPr>
          <w:rFonts w:ascii="Book Antiqua" w:hAnsi="Book Antiqua" w:cs="Times New Roman"/>
          <w:color w:val="auto"/>
          <w:sz w:val="24"/>
          <w:szCs w:val="24"/>
          <w:lang w:val="en-US"/>
        </w:rPr>
        <w:t>. The incidence o</w:t>
      </w:r>
      <w:r w:rsidR="0002755E" w:rsidRPr="00E127AB">
        <w:rPr>
          <w:rFonts w:ascii="Book Antiqua" w:hAnsi="Book Antiqua" w:cs="Times New Roman"/>
          <w:color w:val="auto"/>
          <w:sz w:val="24"/>
          <w:szCs w:val="24"/>
          <w:lang w:val="en-US"/>
        </w:rPr>
        <w:t>f CML is 1-2 cases per 100</w:t>
      </w:r>
      <w:r w:rsidR="00451DCC" w:rsidRPr="00E127AB">
        <w:rPr>
          <w:rFonts w:ascii="Book Antiqua" w:hAnsi="Book Antiqua" w:cs="Times New Roman"/>
          <w:color w:val="auto"/>
          <w:sz w:val="24"/>
          <w:szCs w:val="24"/>
          <w:lang w:val="en-US"/>
        </w:rPr>
        <w:t>000</w:t>
      </w:r>
      <w:r w:rsidRPr="00E127AB">
        <w:rPr>
          <w:rFonts w:ascii="Book Antiqua" w:hAnsi="Book Antiqua" w:cs="Times New Roman"/>
          <w:color w:val="auto"/>
          <w:sz w:val="24"/>
          <w:szCs w:val="24"/>
          <w:lang w:val="en-US"/>
        </w:rPr>
        <w:t xml:space="preserve">. Reciprocal translocation of the </w:t>
      </w:r>
      <w:r w:rsidRPr="00E127AB">
        <w:rPr>
          <w:rFonts w:ascii="Book Antiqua" w:hAnsi="Book Antiqua" w:cs="Times New Roman"/>
          <w:i/>
          <w:color w:val="auto"/>
          <w:sz w:val="24"/>
          <w:szCs w:val="24"/>
          <w:lang w:val="en-US"/>
        </w:rPr>
        <w:t>ABL</w:t>
      </w:r>
      <w:r w:rsidRPr="00E127AB">
        <w:rPr>
          <w:rFonts w:ascii="Book Antiqua" w:hAnsi="Book Antiqua" w:cs="Times New Roman"/>
          <w:color w:val="auto"/>
          <w:sz w:val="24"/>
          <w:szCs w:val="24"/>
          <w:lang w:val="en-US"/>
        </w:rPr>
        <w:t xml:space="preserve"> gene from chromosome 9 to 22 t (9;</w:t>
      </w:r>
      <w:r w:rsidR="00CA5113" w:rsidRPr="00E127AB">
        <w:rPr>
          <w:rFonts w:ascii="Book Antiqua" w:hAnsi="Book Antiqua" w:cs="Times New Roman"/>
          <w:color w:val="auto"/>
          <w:sz w:val="24"/>
          <w:szCs w:val="24"/>
          <w:lang w:val="en-US"/>
        </w:rPr>
        <w:t xml:space="preserve"> </w:t>
      </w:r>
      <w:r w:rsidRPr="00E127AB">
        <w:rPr>
          <w:rFonts w:ascii="Book Antiqua" w:hAnsi="Book Antiqua" w:cs="Times New Roman"/>
          <w:color w:val="auto"/>
          <w:sz w:val="24"/>
          <w:szCs w:val="24"/>
          <w:lang w:val="en-US"/>
        </w:rPr>
        <w:t>22</w:t>
      </w:r>
      <w:proofErr w:type="gramStart"/>
      <w:r w:rsidRPr="00E127AB">
        <w:rPr>
          <w:rFonts w:ascii="Book Antiqua" w:hAnsi="Book Antiqua" w:cs="Times New Roman"/>
          <w:color w:val="auto"/>
          <w:sz w:val="24"/>
          <w:szCs w:val="24"/>
          <w:lang w:val="en-US"/>
        </w:rPr>
        <w:t>)(</w:t>
      </w:r>
      <w:proofErr w:type="gramEnd"/>
      <w:r w:rsidRPr="00E127AB">
        <w:rPr>
          <w:rFonts w:ascii="Book Antiqua" w:hAnsi="Book Antiqua" w:cs="Times New Roman"/>
          <w:color w:val="auto"/>
          <w:sz w:val="24"/>
          <w:szCs w:val="24"/>
          <w:lang w:val="en-US"/>
        </w:rPr>
        <w:t>q34;q11.2) generate a fusion gene (</w:t>
      </w:r>
      <w:r w:rsidRPr="00E127AB">
        <w:rPr>
          <w:rFonts w:ascii="Book Antiqua" w:hAnsi="Book Antiqua" w:cs="Times New Roman"/>
          <w:i/>
          <w:color w:val="auto"/>
          <w:sz w:val="24"/>
          <w:szCs w:val="24"/>
          <w:lang w:val="en-US"/>
        </w:rPr>
        <w:t>BCR-ABL</w:t>
      </w:r>
      <w:r w:rsidRPr="00E127AB">
        <w:rPr>
          <w:rFonts w:ascii="Book Antiqua" w:hAnsi="Book Antiqua" w:cs="Times New Roman"/>
          <w:color w:val="auto"/>
          <w:sz w:val="24"/>
          <w:szCs w:val="24"/>
          <w:lang w:val="en-US"/>
        </w:rPr>
        <w:t xml:space="preserve">). BCR-ABL </w:t>
      </w:r>
      <w:proofErr w:type="spellStart"/>
      <w:r w:rsidRPr="00E127AB">
        <w:rPr>
          <w:rFonts w:ascii="Book Antiqua" w:hAnsi="Book Antiqua" w:cs="Times New Roman"/>
          <w:color w:val="auto"/>
          <w:sz w:val="24"/>
          <w:szCs w:val="24"/>
          <w:lang w:val="en-US"/>
        </w:rPr>
        <w:t>oncoprotein</w:t>
      </w:r>
      <w:proofErr w:type="spellEnd"/>
      <w:r w:rsidRPr="00E127AB">
        <w:rPr>
          <w:rFonts w:ascii="Book Antiqua" w:hAnsi="Book Antiqua" w:cs="Times New Roman"/>
          <w:color w:val="auto"/>
          <w:sz w:val="24"/>
          <w:szCs w:val="24"/>
          <w:lang w:val="en-US"/>
        </w:rPr>
        <w:t xml:space="preserve"> had constitutive tyrosine kinase activity that is a primary cause of chronic phase of </w:t>
      </w:r>
      <w:proofErr w:type="gramStart"/>
      <w:r w:rsidR="00B2645B" w:rsidRPr="00E127AB">
        <w:rPr>
          <w:rFonts w:ascii="Book Antiqua" w:hAnsi="Book Antiqua" w:cs="Times New Roman"/>
          <w:color w:val="auto"/>
          <w:sz w:val="24"/>
          <w:szCs w:val="24"/>
          <w:lang w:val="en-US"/>
        </w:rPr>
        <w:t>CML</w:t>
      </w:r>
      <w:r w:rsidR="00B2645B" w:rsidRPr="00E127AB">
        <w:rPr>
          <w:rFonts w:ascii="Book Antiqua" w:hAnsi="Book Antiqua" w:cs="Times New Roman"/>
          <w:color w:val="auto"/>
          <w:sz w:val="24"/>
          <w:szCs w:val="24"/>
          <w:vertAlign w:val="superscript"/>
          <w:lang w:val="en-US"/>
        </w:rPr>
        <w:t>[</w:t>
      </w:r>
      <w:proofErr w:type="gramEnd"/>
      <w:r w:rsidR="0094264C" w:rsidRPr="00E127AB">
        <w:rPr>
          <w:rFonts w:ascii="Book Antiqua" w:hAnsi="Book Antiqua" w:cs="Times New Roman"/>
          <w:color w:val="auto"/>
          <w:sz w:val="24"/>
          <w:szCs w:val="24"/>
          <w:vertAlign w:val="superscript"/>
          <w:lang w:val="en-US"/>
        </w:rPr>
        <w:t>2]</w:t>
      </w:r>
      <w:r w:rsidRPr="00E127AB">
        <w:rPr>
          <w:rFonts w:ascii="Book Antiqua" w:hAnsi="Book Antiqua" w:cs="Times New Roman"/>
          <w:color w:val="auto"/>
          <w:sz w:val="24"/>
          <w:szCs w:val="24"/>
          <w:lang w:val="en-US"/>
        </w:rPr>
        <w:t xml:space="preserve">. </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hAnsi="Book Antiqua" w:cs="Times New Roman"/>
          <w:color w:val="auto"/>
          <w:sz w:val="24"/>
          <w:szCs w:val="24"/>
          <w:lang w:val="en-US"/>
        </w:rPr>
      </w:pPr>
      <w:r w:rsidRPr="00E127AB">
        <w:rPr>
          <w:rFonts w:ascii="Book Antiqua" w:hAnsi="Book Antiqua" w:cs="Times New Roman"/>
          <w:color w:val="auto"/>
          <w:sz w:val="24"/>
          <w:szCs w:val="24"/>
          <w:lang w:val="en-US"/>
        </w:rPr>
        <w:t>Approximately 50% of patients are asymptomatic that they diagnosed incidentally after their routine laboratory tests. If they are symptomatic, symptoms are left upper quadrant pain or early satiety, fatigue, night sweats, symptoms of anemia, and bleeding due to platelet dysfunction. Splenomegaly is the main physical finding, in slightly &gt;</w:t>
      </w:r>
      <w:r w:rsidR="0002755E" w:rsidRPr="00E127AB">
        <w:rPr>
          <w:rFonts w:ascii="Book Antiqua" w:hAnsi="Book Antiqua" w:cs="Times New Roman"/>
          <w:color w:val="auto"/>
          <w:sz w:val="24"/>
          <w:szCs w:val="24"/>
          <w:lang w:val="en-US" w:eastAsia="zh-CN"/>
        </w:rPr>
        <w:t xml:space="preserve"> </w:t>
      </w:r>
      <w:r w:rsidRPr="00E127AB">
        <w:rPr>
          <w:rFonts w:ascii="Book Antiqua" w:hAnsi="Book Antiqua" w:cs="Times New Roman"/>
          <w:color w:val="auto"/>
          <w:sz w:val="24"/>
          <w:szCs w:val="24"/>
          <w:lang w:val="en-US"/>
        </w:rPr>
        <w:t xml:space="preserve">50% of </w:t>
      </w:r>
      <w:proofErr w:type="gramStart"/>
      <w:r w:rsidR="00B2645B" w:rsidRPr="00E127AB">
        <w:rPr>
          <w:rFonts w:ascii="Book Antiqua" w:hAnsi="Book Antiqua" w:cs="Times New Roman"/>
          <w:color w:val="auto"/>
          <w:sz w:val="24"/>
          <w:szCs w:val="24"/>
          <w:lang w:val="en-US"/>
        </w:rPr>
        <w:t>patients</w:t>
      </w:r>
      <w:r w:rsidR="00B2645B" w:rsidRPr="00E127AB">
        <w:rPr>
          <w:rFonts w:ascii="Book Antiqua" w:hAnsi="Book Antiqua" w:cs="Times New Roman"/>
          <w:color w:val="auto"/>
          <w:sz w:val="24"/>
          <w:szCs w:val="24"/>
          <w:vertAlign w:val="superscript"/>
          <w:lang w:val="en-US"/>
        </w:rPr>
        <w:t>[</w:t>
      </w:r>
      <w:proofErr w:type="gramEnd"/>
      <w:r w:rsidR="00966B31" w:rsidRPr="00E127AB">
        <w:rPr>
          <w:rFonts w:ascii="Book Antiqua" w:hAnsi="Book Antiqua" w:cs="Times New Roman"/>
          <w:color w:val="auto"/>
          <w:sz w:val="24"/>
          <w:szCs w:val="24"/>
          <w:vertAlign w:val="superscript"/>
          <w:lang w:val="en-US"/>
        </w:rPr>
        <w:t>3]</w:t>
      </w:r>
      <w:r w:rsidRPr="00E127AB">
        <w:rPr>
          <w:rFonts w:ascii="Book Antiqua" w:hAnsi="Book Antiqua" w:cs="Times New Roman"/>
          <w:color w:val="auto"/>
          <w:sz w:val="24"/>
          <w:szCs w:val="24"/>
          <w:lang w:val="en-US"/>
        </w:rPr>
        <w:t xml:space="preserve">. </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hAnsi="Book Antiqua" w:cs="Times New Roman"/>
          <w:color w:val="auto"/>
          <w:sz w:val="24"/>
          <w:szCs w:val="24"/>
          <w:lang w:val="en-US"/>
        </w:rPr>
      </w:pPr>
      <w:r w:rsidRPr="00E127AB">
        <w:rPr>
          <w:rFonts w:ascii="Book Antiqua" w:hAnsi="Book Antiqua" w:cs="Times New Roman"/>
          <w:color w:val="auto"/>
          <w:sz w:val="24"/>
          <w:szCs w:val="24"/>
          <w:lang w:val="en-US"/>
        </w:rPr>
        <w:t xml:space="preserve">Characteristic feature of complete blood cell count is leukocytosis with </w:t>
      </w:r>
      <w:proofErr w:type="spellStart"/>
      <w:r w:rsidRPr="00E127AB">
        <w:rPr>
          <w:rFonts w:ascii="Book Antiqua" w:hAnsi="Book Antiqua" w:cs="Times New Roman"/>
          <w:color w:val="auto"/>
          <w:sz w:val="24"/>
          <w:szCs w:val="24"/>
          <w:lang w:val="en-US"/>
        </w:rPr>
        <w:t>basophilia</w:t>
      </w:r>
      <w:proofErr w:type="spellEnd"/>
      <w:r w:rsidRPr="00E127AB">
        <w:rPr>
          <w:rFonts w:ascii="Book Antiqua" w:hAnsi="Book Antiqua" w:cs="Times New Roman"/>
          <w:color w:val="auto"/>
          <w:sz w:val="24"/>
          <w:szCs w:val="24"/>
          <w:lang w:val="en-US"/>
        </w:rPr>
        <w:t xml:space="preserve"> and with immature granulocytes (</w:t>
      </w:r>
      <w:proofErr w:type="spellStart"/>
      <w:r w:rsidRPr="00E127AB">
        <w:rPr>
          <w:rFonts w:ascii="Book Antiqua" w:hAnsi="Book Antiqua" w:cs="Times New Roman"/>
          <w:color w:val="auto"/>
          <w:sz w:val="24"/>
          <w:szCs w:val="24"/>
          <w:lang w:val="en-US"/>
        </w:rPr>
        <w:t>metamyelocytes</w:t>
      </w:r>
      <w:proofErr w:type="spellEnd"/>
      <w:r w:rsidRPr="00E127AB">
        <w:rPr>
          <w:rFonts w:ascii="Book Antiqua" w:hAnsi="Book Antiqua" w:cs="Times New Roman"/>
          <w:color w:val="auto"/>
          <w:sz w:val="24"/>
          <w:szCs w:val="24"/>
          <w:lang w:val="en-US"/>
        </w:rPr>
        <w:t xml:space="preserve">, </w:t>
      </w:r>
      <w:proofErr w:type="spellStart"/>
      <w:r w:rsidRPr="00E127AB">
        <w:rPr>
          <w:rFonts w:ascii="Book Antiqua" w:hAnsi="Book Antiqua" w:cs="Times New Roman"/>
          <w:color w:val="auto"/>
          <w:sz w:val="24"/>
          <w:szCs w:val="24"/>
          <w:lang w:val="en-US"/>
        </w:rPr>
        <w:t>myelocytes</w:t>
      </w:r>
      <w:proofErr w:type="spellEnd"/>
      <w:r w:rsidRPr="00E127AB">
        <w:rPr>
          <w:rFonts w:ascii="Book Antiqua" w:hAnsi="Book Antiqua" w:cs="Times New Roman"/>
          <w:color w:val="auto"/>
          <w:sz w:val="24"/>
          <w:szCs w:val="24"/>
          <w:lang w:val="en-US"/>
        </w:rPr>
        <w:t xml:space="preserve"> and </w:t>
      </w:r>
      <w:proofErr w:type="spellStart"/>
      <w:r w:rsidRPr="00E127AB">
        <w:rPr>
          <w:rFonts w:ascii="Book Antiqua" w:hAnsi="Book Antiqua" w:cs="Times New Roman"/>
          <w:color w:val="auto"/>
          <w:sz w:val="24"/>
          <w:szCs w:val="24"/>
          <w:lang w:val="en-US"/>
        </w:rPr>
        <w:t>promyelocytes</w:t>
      </w:r>
      <w:proofErr w:type="spellEnd"/>
      <w:r w:rsidRPr="00E127AB">
        <w:rPr>
          <w:rFonts w:ascii="Book Antiqua" w:hAnsi="Book Antiqua" w:cs="Times New Roman"/>
          <w:color w:val="auto"/>
          <w:sz w:val="24"/>
          <w:szCs w:val="24"/>
          <w:lang w:val="en-US"/>
        </w:rPr>
        <w:t xml:space="preserve"> and few </w:t>
      </w:r>
      <w:proofErr w:type="spellStart"/>
      <w:r w:rsidRPr="00E127AB">
        <w:rPr>
          <w:rFonts w:ascii="Book Antiqua" w:hAnsi="Book Antiqua" w:cs="Times New Roman"/>
          <w:color w:val="auto"/>
          <w:sz w:val="24"/>
          <w:szCs w:val="24"/>
          <w:lang w:val="en-US"/>
        </w:rPr>
        <w:t>myeloblasts</w:t>
      </w:r>
      <w:proofErr w:type="spellEnd"/>
      <w:r w:rsidRPr="00E127AB">
        <w:rPr>
          <w:rFonts w:ascii="Book Antiqua" w:hAnsi="Book Antiqua" w:cs="Times New Roman"/>
          <w:color w:val="auto"/>
          <w:sz w:val="24"/>
          <w:szCs w:val="24"/>
          <w:lang w:val="en-US"/>
        </w:rPr>
        <w:t xml:space="preserve">). Thrombocytosis is frequent but severe anemia is </w:t>
      </w:r>
      <w:proofErr w:type="gramStart"/>
      <w:r w:rsidR="0031748F" w:rsidRPr="00E127AB">
        <w:rPr>
          <w:rFonts w:ascii="Book Antiqua" w:hAnsi="Book Antiqua" w:cs="Times New Roman"/>
          <w:color w:val="auto"/>
          <w:sz w:val="24"/>
          <w:szCs w:val="24"/>
          <w:lang w:val="en-US"/>
        </w:rPr>
        <w:t>rare</w:t>
      </w:r>
      <w:r w:rsidR="0031748F" w:rsidRPr="00E127AB">
        <w:rPr>
          <w:rFonts w:ascii="Book Antiqua" w:hAnsi="Book Antiqua" w:cs="Times New Roman"/>
          <w:color w:val="auto"/>
          <w:sz w:val="24"/>
          <w:szCs w:val="24"/>
          <w:vertAlign w:val="superscript"/>
          <w:lang w:val="en-US"/>
        </w:rPr>
        <w:t>[</w:t>
      </w:r>
      <w:proofErr w:type="gramEnd"/>
      <w:r w:rsidR="00825794" w:rsidRPr="00E127AB">
        <w:rPr>
          <w:rFonts w:ascii="Book Antiqua" w:hAnsi="Book Antiqua" w:cs="Times New Roman"/>
          <w:color w:val="auto"/>
          <w:sz w:val="24"/>
          <w:szCs w:val="24"/>
          <w:vertAlign w:val="superscript"/>
          <w:lang w:val="en-US"/>
        </w:rPr>
        <w:t>4]</w:t>
      </w:r>
      <w:r w:rsidRPr="00E127AB">
        <w:rPr>
          <w:rFonts w:ascii="Book Antiqua" w:hAnsi="Book Antiqua" w:cs="Times New Roman"/>
          <w:color w:val="auto"/>
          <w:sz w:val="24"/>
          <w:szCs w:val="24"/>
          <w:lang w:val="en-US"/>
        </w:rPr>
        <w:t>. Bone marrow aspirates and biopsy with conventional cytogenetics is taken from untreated patients at diagnosis. Cytogenetics must be performed by chromosome banding analysis (CBA). Fluorescence</w:t>
      </w:r>
      <w:r w:rsidRPr="00E127AB">
        <w:rPr>
          <w:rFonts w:ascii="Book Antiqua" w:hAnsi="Book Antiqua" w:cs="Times New Roman"/>
          <w:i/>
          <w:color w:val="auto"/>
          <w:sz w:val="24"/>
          <w:szCs w:val="24"/>
          <w:lang w:val="en-US"/>
        </w:rPr>
        <w:t xml:space="preserve"> in situ</w:t>
      </w:r>
      <w:r w:rsidRPr="00E127AB">
        <w:rPr>
          <w:rFonts w:ascii="Book Antiqua" w:hAnsi="Book Antiqua" w:cs="Times New Roman"/>
          <w:color w:val="auto"/>
          <w:sz w:val="24"/>
          <w:szCs w:val="24"/>
          <w:lang w:val="en-US"/>
        </w:rPr>
        <w:t xml:space="preserve"> hybridization (FISH) for t (9;</w:t>
      </w:r>
      <w:r w:rsidR="0031748F" w:rsidRPr="00E127AB">
        <w:rPr>
          <w:rFonts w:ascii="Book Antiqua" w:hAnsi="Book Antiqua" w:cs="Times New Roman"/>
          <w:color w:val="auto"/>
          <w:sz w:val="24"/>
          <w:szCs w:val="24"/>
          <w:lang w:val="en-US"/>
        </w:rPr>
        <w:t xml:space="preserve"> </w:t>
      </w:r>
      <w:r w:rsidRPr="00E127AB">
        <w:rPr>
          <w:rFonts w:ascii="Book Antiqua" w:hAnsi="Book Antiqua" w:cs="Times New Roman"/>
          <w:color w:val="auto"/>
          <w:sz w:val="24"/>
          <w:szCs w:val="24"/>
          <w:lang w:val="en-US"/>
        </w:rPr>
        <w:t>22</w:t>
      </w:r>
      <w:proofErr w:type="gramStart"/>
      <w:r w:rsidRPr="00E127AB">
        <w:rPr>
          <w:rFonts w:ascii="Book Antiqua" w:hAnsi="Book Antiqua" w:cs="Times New Roman"/>
          <w:color w:val="auto"/>
          <w:sz w:val="24"/>
          <w:szCs w:val="24"/>
          <w:lang w:val="en-US"/>
        </w:rPr>
        <w:t>)(</w:t>
      </w:r>
      <w:proofErr w:type="gramEnd"/>
      <w:r w:rsidRPr="00E127AB">
        <w:rPr>
          <w:rFonts w:ascii="Book Antiqua" w:hAnsi="Book Antiqua" w:cs="Times New Roman"/>
          <w:color w:val="auto"/>
          <w:sz w:val="24"/>
          <w:szCs w:val="24"/>
          <w:lang w:val="en-US"/>
        </w:rPr>
        <w:t>q34;q11.2) and quantitative reverse transcriptase PCR (qRT-PCR) for BCR-ABL can be performed on peripheral bloo</w:t>
      </w:r>
      <w:r w:rsidR="004F435F" w:rsidRPr="00E127AB">
        <w:rPr>
          <w:rFonts w:ascii="Book Antiqua" w:hAnsi="Book Antiqua" w:cs="Times New Roman"/>
          <w:color w:val="auto"/>
          <w:sz w:val="24"/>
          <w:szCs w:val="24"/>
          <w:lang w:val="en-US"/>
        </w:rPr>
        <w:t>d</w:t>
      </w:r>
      <w:r w:rsidR="006756AB" w:rsidRPr="00E127AB">
        <w:rPr>
          <w:rFonts w:ascii="Book Antiqua" w:hAnsi="Book Antiqua" w:cs="Times New Roman"/>
          <w:color w:val="auto"/>
          <w:sz w:val="24"/>
          <w:szCs w:val="24"/>
          <w:vertAlign w:val="superscript"/>
          <w:lang w:val="en-US"/>
        </w:rPr>
        <w:t>[3]</w:t>
      </w:r>
      <w:r w:rsidRPr="00E127AB">
        <w:rPr>
          <w:rFonts w:ascii="Book Antiqua" w:hAnsi="Book Antiqua" w:cs="Times New Roman"/>
          <w:color w:val="auto"/>
          <w:sz w:val="24"/>
          <w:szCs w:val="24"/>
          <w:lang w:val="en-US"/>
        </w:rPr>
        <w:t xml:space="preserve">. </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hAnsi="Book Antiqua" w:cs="Times New Roman"/>
          <w:color w:val="auto"/>
          <w:sz w:val="24"/>
          <w:szCs w:val="24"/>
          <w:lang w:val="en-US"/>
        </w:rPr>
      </w:pPr>
      <w:r w:rsidRPr="00E127AB">
        <w:rPr>
          <w:rFonts w:ascii="Book Antiqua" w:hAnsi="Book Antiqua" w:cs="Times New Roman"/>
          <w:color w:val="auto"/>
          <w:sz w:val="24"/>
          <w:szCs w:val="24"/>
          <w:lang w:val="en-US"/>
        </w:rPr>
        <w:t>The disease is classified into chronic phase (CP, most patients at presentation), accelerated phase (AP), and blast phase (BP)</w:t>
      </w:r>
      <w:r w:rsidR="006756AB" w:rsidRPr="00E127AB">
        <w:rPr>
          <w:rFonts w:ascii="Book Antiqua" w:hAnsi="Book Antiqua" w:cs="Times New Roman"/>
          <w:color w:val="auto"/>
          <w:sz w:val="24"/>
          <w:szCs w:val="24"/>
          <w:vertAlign w:val="superscript"/>
          <w:lang w:val="en-US"/>
        </w:rPr>
        <w:t>[4]</w:t>
      </w:r>
      <w:r w:rsidR="00A33569" w:rsidRPr="00E127AB">
        <w:rPr>
          <w:rFonts w:ascii="Book Antiqua" w:hAnsi="Book Antiqua" w:cs="Times New Roman"/>
          <w:color w:val="auto"/>
          <w:sz w:val="24"/>
          <w:szCs w:val="24"/>
          <w:lang w:val="en-US"/>
        </w:rPr>
        <w:t xml:space="preserve">. </w:t>
      </w:r>
      <w:r w:rsidRPr="00E127AB">
        <w:rPr>
          <w:rFonts w:ascii="Book Antiqua" w:hAnsi="Book Antiqua" w:cs="Times New Roman"/>
          <w:color w:val="auto"/>
          <w:sz w:val="24"/>
          <w:szCs w:val="24"/>
          <w:lang w:val="en-US"/>
        </w:rPr>
        <w:t xml:space="preserve">Clinical and hematologic criteria for the definition of AP according to </w:t>
      </w:r>
      <w:bookmarkStart w:id="32" w:name="OLE_LINK170"/>
      <w:r w:rsidR="0002755E" w:rsidRPr="00E127AB">
        <w:rPr>
          <w:rFonts w:ascii="Book Antiqua" w:hAnsi="Book Antiqua" w:cs="Times New Roman"/>
          <w:color w:val="auto"/>
          <w:sz w:val="24"/>
          <w:szCs w:val="24"/>
          <w:lang w:val="en-US"/>
        </w:rPr>
        <w:t>World Health Organization (</w:t>
      </w:r>
      <w:r w:rsidRPr="00E127AB">
        <w:rPr>
          <w:rFonts w:ascii="Book Antiqua" w:hAnsi="Book Antiqua" w:cs="Times New Roman"/>
          <w:color w:val="auto"/>
          <w:sz w:val="24"/>
          <w:szCs w:val="24"/>
          <w:lang w:val="en-US"/>
        </w:rPr>
        <w:t>WHO</w:t>
      </w:r>
      <w:bookmarkEnd w:id="32"/>
      <w:r w:rsidR="0002755E" w:rsidRPr="00E127AB">
        <w:rPr>
          <w:rFonts w:ascii="Book Antiqua" w:hAnsi="Book Antiqua" w:cs="Times New Roman"/>
          <w:color w:val="auto"/>
          <w:sz w:val="24"/>
          <w:szCs w:val="24"/>
          <w:lang w:val="en-US"/>
        </w:rPr>
        <w:t>)</w:t>
      </w:r>
      <w:r w:rsidRPr="00E127AB">
        <w:rPr>
          <w:rFonts w:ascii="Book Antiqua" w:hAnsi="Book Antiqua" w:cs="Times New Roman"/>
          <w:color w:val="auto"/>
          <w:sz w:val="24"/>
          <w:szCs w:val="24"/>
          <w:lang w:val="en-US"/>
        </w:rPr>
        <w:t xml:space="preserve"> is the presence of one or more of the following: </w:t>
      </w:r>
      <w:r w:rsidR="0002755E" w:rsidRPr="00E127AB">
        <w:rPr>
          <w:rFonts w:ascii="Book Antiqua" w:hAnsi="Book Antiqua" w:cs="Times New Roman"/>
          <w:color w:val="auto"/>
          <w:sz w:val="24"/>
          <w:szCs w:val="24"/>
          <w:lang w:val="en-US"/>
        </w:rPr>
        <w:t>P</w:t>
      </w:r>
      <w:r w:rsidRPr="00E127AB">
        <w:rPr>
          <w:rFonts w:ascii="Book Antiqua" w:hAnsi="Book Antiqua" w:cs="Times New Roman"/>
          <w:color w:val="auto"/>
          <w:sz w:val="24"/>
          <w:szCs w:val="24"/>
          <w:lang w:val="en-US"/>
        </w:rPr>
        <w:t>ersisting or increasing splenomegaly and/or white blood cells (&gt;</w:t>
      </w:r>
      <w:r w:rsidR="0002755E" w:rsidRPr="00E127AB">
        <w:rPr>
          <w:rFonts w:ascii="Book Antiqua" w:hAnsi="Book Antiqua" w:cs="Times New Roman"/>
          <w:color w:val="auto"/>
          <w:sz w:val="24"/>
          <w:szCs w:val="24"/>
          <w:lang w:val="en-US" w:eastAsia="zh-CN"/>
        </w:rPr>
        <w:t xml:space="preserve"> </w:t>
      </w:r>
      <w:r w:rsidRPr="00E127AB">
        <w:rPr>
          <w:rFonts w:ascii="Book Antiqua" w:hAnsi="Book Antiqua" w:cs="Times New Roman"/>
          <w:color w:val="auto"/>
          <w:sz w:val="24"/>
          <w:szCs w:val="24"/>
          <w:lang w:val="en-US"/>
        </w:rPr>
        <w:t>10 × 10</w:t>
      </w:r>
      <w:r w:rsidRPr="00E127AB">
        <w:rPr>
          <w:rFonts w:ascii="Book Antiqua" w:hAnsi="Book Antiqua" w:cs="Times New Roman"/>
          <w:color w:val="auto"/>
          <w:sz w:val="24"/>
          <w:szCs w:val="24"/>
          <w:vertAlign w:val="superscript"/>
          <w:lang w:val="en-US"/>
        </w:rPr>
        <w:t>9</w:t>
      </w:r>
      <w:r w:rsidRPr="00E127AB">
        <w:rPr>
          <w:rFonts w:ascii="Book Antiqua" w:hAnsi="Book Antiqua" w:cs="Times New Roman"/>
          <w:color w:val="auto"/>
          <w:sz w:val="24"/>
          <w:szCs w:val="24"/>
          <w:lang w:val="en-US"/>
        </w:rPr>
        <w:t>/</w:t>
      </w:r>
      <w:r w:rsidR="0002755E" w:rsidRPr="00E127AB">
        <w:rPr>
          <w:rFonts w:ascii="Book Antiqua" w:hAnsi="Book Antiqua" w:cs="Times New Roman"/>
          <w:color w:val="auto"/>
          <w:sz w:val="24"/>
          <w:szCs w:val="24"/>
          <w:lang w:val="en-US"/>
        </w:rPr>
        <w:t>L</w:t>
      </w:r>
      <w:r w:rsidRPr="00E127AB">
        <w:rPr>
          <w:rFonts w:ascii="Book Antiqua" w:hAnsi="Book Antiqua" w:cs="Times New Roman"/>
          <w:color w:val="auto"/>
          <w:sz w:val="24"/>
          <w:szCs w:val="24"/>
          <w:lang w:val="en-US"/>
        </w:rPr>
        <w:t>) unresponsive to therapy, 10%</w:t>
      </w:r>
      <w:r w:rsidR="0002755E" w:rsidRPr="00E127AB">
        <w:rPr>
          <w:rFonts w:ascii="Book Antiqua" w:hAnsi="Book Antiqua" w:cs="Times New Roman"/>
          <w:color w:val="auto"/>
          <w:sz w:val="24"/>
          <w:szCs w:val="24"/>
          <w:lang w:val="en-US" w:eastAsia="zh-CN"/>
        </w:rPr>
        <w:t>-</w:t>
      </w:r>
      <w:r w:rsidRPr="00E127AB">
        <w:rPr>
          <w:rFonts w:ascii="Book Antiqua" w:hAnsi="Book Antiqua" w:cs="Times New Roman"/>
          <w:color w:val="auto"/>
          <w:sz w:val="24"/>
          <w:szCs w:val="24"/>
          <w:lang w:val="en-US"/>
        </w:rPr>
        <w:t>19% blast cells and/or &gt;</w:t>
      </w:r>
      <w:r w:rsidR="0002755E" w:rsidRPr="00E127AB">
        <w:rPr>
          <w:rFonts w:ascii="Book Antiqua" w:hAnsi="Book Antiqua" w:cs="Times New Roman"/>
          <w:color w:val="auto"/>
          <w:sz w:val="24"/>
          <w:szCs w:val="24"/>
          <w:lang w:val="en-US" w:eastAsia="zh-CN"/>
        </w:rPr>
        <w:t xml:space="preserve"> </w:t>
      </w:r>
      <w:r w:rsidRPr="00E127AB">
        <w:rPr>
          <w:rFonts w:ascii="Book Antiqua" w:hAnsi="Book Antiqua" w:cs="Times New Roman"/>
          <w:color w:val="auto"/>
          <w:sz w:val="24"/>
          <w:szCs w:val="24"/>
          <w:lang w:val="en-US"/>
        </w:rPr>
        <w:t>20% basophils in peripheral blood or bone marrow, platelet counts &gt;</w:t>
      </w:r>
      <w:r w:rsidR="0002755E" w:rsidRPr="00E127AB">
        <w:rPr>
          <w:rFonts w:ascii="Book Antiqua" w:hAnsi="Book Antiqua" w:cs="Times New Roman"/>
          <w:color w:val="auto"/>
          <w:sz w:val="24"/>
          <w:szCs w:val="24"/>
          <w:lang w:val="en-US" w:eastAsia="zh-CN"/>
        </w:rPr>
        <w:t xml:space="preserve"> </w:t>
      </w:r>
      <w:r w:rsidRPr="00E127AB">
        <w:rPr>
          <w:rFonts w:ascii="Book Antiqua" w:hAnsi="Book Antiqua" w:cs="Times New Roman"/>
          <w:color w:val="auto"/>
          <w:sz w:val="24"/>
          <w:szCs w:val="24"/>
          <w:lang w:val="en-US"/>
        </w:rPr>
        <w:t>1000 × 10</w:t>
      </w:r>
      <w:r w:rsidRPr="00E127AB">
        <w:rPr>
          <w:rFonts w:ascii="Book Antiqua" w:hAnsi="Book Antiqua" w:cs="Times New Roman"/>
          <w:color w:val="auto"/>
          <w:sz w:val="24"/>
          <w:szCs w:val="24"/>
          <w:vertAlign w:val="superscript"/>
          <w:lang w:val="en-US"/>
        </w:rPr>
        <w:t>9</w:t>
      </w:r>
      <w:r w:rsidRPr="00E127AB">
        <w:rPr>
          <w:rFonts w:ascii="Book Antiqua" w:hAnsi="Book Antiqua" w:cs="Times New Roman"/>
          <w:color w:val="auto"/>
          <w:sz w:val="24"/>
          <w:szCs w:val="24"/>
          <w:lang w:val="en-US"/>
        </w:rPr>
        <w:t>/</w:t>
      </w:r>
      <w:r w:rsidR="0002755E" w:rsidRPr="00E127AB">
        <w:rPr>
          <w:rFonts w:ascii="Book Antiqua" w:hAnsi="Book Antiqua" w:cs="Times New Roman"/>
          <w:color w:val="auto"/>
          <w:sz w:val="24"/>
          <w:szCs w:val="24"/>
          <w:lang w:val="en-US"/>
        </w:rPr>
        <w:t>L</w:t>
      </w:r>
      <w:r w:rsidRPr="00E127AB">
        <w:rPr>
          <w:rFonts w:ascii="Book Antiqua" w:hAnsi="Book Antiqua" w:cs="Times New Roman"/>
          <w:color w:val="auto"/>
          <w:sz w:val="24"/>
          <w:szCs w:val="24"/>
          <w:lang w:val="en-US"/>
        </w:rPr>
        <w:t xml:space="preserve"> uncontrolled by therapy or &lt;</w:t>
      </w:r>
      <w:r w:rsidR="0002755E" w:rsidRPr="00E127AB">
        <w:rPr>
          <w:rFonts w:ascii="Book Antiqua" w:hAnsi="Book Antiqua" w:cs="Times New Roman"/>
          <w:color w:val="auto"/>
          <w:sz w:val="24"/>
          <w:szCs w:val="24"/>
          <w:lang w:val="en-US" w:eastAsia="zh-CN"/>
        </w:rPr>
        <w:t xml:space="preserve"> </w:t>
      </w:r>
      <w:r w:rsidRPr="00E127AB">
        <w:rPr>
          <w:rFonts w:ascii="Book Antiqua" w:hAnsi="Book Antiqua" w:cs="Times New Roman"/>
          <w:color w:val="auto"/>
          <w:sz w:val="24"/>
          <w:szCs w:val="24"/>
          <w:lang w:val="en-US"/>
        </w:rPr>
        <w:t>100 × 10</w:t>
      </w:r>
      <w:r w:rsidRPr="00E127AB">
        <w:rPr>
          <w:rFonts w:ascii="Book Antiqua" w:hAnsi="Book Antiqua" w:cs="Times New Roman"/>
          <w:color w:val="auto"/>
          <w:sz w:val="24"/>
          <w:szCs w:val="24"/>
          <w:vertAlign w:val="superscript"/>
          <w:lang w:val="en-US"/>
        </w:rPr>
        <w:t>9</w:t>
      </w:r>
      <w:r w:rsidRPr="00E127AB">
        <w:rPr>
          <w:rFonts w:ascii="Book Antiqua" w:hAnsi="Book Antiqua" w:cs="Times New Roman"/>
          <w:color w:val="auto"/>
          <w:sz w:val="24"/>
          <w:szCs w:val="24"/>
          <w:lang w:val="en-US"/>
        </w:rPr>
        <w:t>/</w:t>
      </w:r>
      <w:r w:rsidR="0002755E" w:rsidRPr="00E127AB">
        <w:rPr>
          <w:rFonts w:ascii="Book Antiqua" w:hAnsi="Book Antiqua" w:cs="Times New Roman"/>
          <w:color w:val="auto"/>
          <w:sz w:val="24"/>
          <w:szCs w:val="24"/>
          <w:lang w:val="en-US"/>
        </w:rPr>
        <w:t>L</w:t>
      </w:r>
      <w:r w:rsidRPr="00E127AB">
        <w:rPr>
          <w:rFonts w:ascii="Book Antiqua" w:hAnsi="Book Antiqua" w:cs="Times New Roman"/>
          <w:color w:val="auto"/>
          <w:sz w:val="24"/>
          <w:szCs w:val="24"/>
          <w:lang w:val="en-US"/>
        </w:rPr>
        <w:t xml:space="preserve"> unrelated to therapy or clonal chromosome abnormalities in </w:t>
      </w:r>
      <w:proofErr w:type="spellStart"/>
      <w:r w:rsidRPr="00E127AB">
        <w:rPr>
          <w:rFonts w:ascii="Book Antiqua" w:hAnsi="Book Antiqua" w:cs="Times New Roman"/>
          <w:color w:val="auto"/>
          <w:sz w:val="24"/>
          <w:szCs w:val="24"/>
          <w:lang w:val="en-US"/>
        </w:rPr>
        <w:t>Ph</w:t>
      </w:r>
      <w:proofErr w:type="spellEnd"/>
      <w:r w:rsidRPr="00E127AB">
        <w:rPr>
          <w:rFonts w:ascii="Book Antiqua" w:hAnsi="Book Antiqua" w:cs="Times New Roman"/>
          <w:color w:val="auto"/>
          <w:sz w:val="24"/>
          <w:szCs w:val="24"/>
          <w:lang w:val="en-US"/>
        </w:rPr>
        <w:t>+ cells.</w:t>
      </w:r>
      <w:r w:rsidRPr="00E127AB">
        <w:rPr>
          <w:rFonts w:ascii="Book Antiqua" w:hAnsi="Book Antiqua"/>
          <w:color w:val="auto"/>
          <w:sz w:val="24"/>
          <w:szCs w:val="24"/>
          <w:lang w:val="en-US"/>
        </w:rPr>
        <w:t xml:space="preserve"> </w:t>
      </w:r>
      <w:r w:rsidRPr="00E127AB">
        <w:rPr>
          <w:rFonts w:ascii="Book Antiqua" w:hAnsi="Book Antiqua" w:cs="Times New Roman"/>
          <w:color w:val="auto"/>
          <w:sz w:val="24"/>
          <w:szCs w:val="24"/>
          <w:lang w:val="en-US"/>
        </w:rPr>
        <w:t xml:space="preserve">Clinical and hematologic criteria for the definition of BP according to WHO is the presence of one or more of the following: </w:t>
      </w:r>
      <w:r w:rsidR="0002755E" w:rsidRPr="00E127AB">
        <w:rPr>
          <w:rFonts w:ascii="Book Antiqua" w:hAnsi="Book Antiqua" w:cs="Times New Roman"/>
          <w:color w:val="auto"/>
          <w:sz w:val="24"/>
          <w:szCs w:val="24"/>
          <w:lang w:val="en-US"/>
        </w:rPr>
        <w:t>B</w:t>
      </w:r>
      <w:r w:rsidRPr="00E127AB">
        <w:rPr>
          <w:rFonts w:ascii="Book Antiqua" w:hAnsi="Book Antiqua" w:cs="Times New Roman"/>
          <w:color w:val="auto"/>
          <w:sz w:val="24"/>
          <w:szCs w:val="24"/>
          <w:lang w:val="en-US"/>
        </w:rPr>
        <w:t>last cells</w:t>
      </w:r>
      <w:r w:rsidRPr="00E127AB">
        <w:rPr>
          <w:rFonts w:ascii="Book Antiqua" w:hAnsi="Book Antiqua"/>
          <w:color w:val="auto"/>
          <w:sz w:val="24"/>
          <w:szCs w:val="24"/>
          <w:lang w:val="en-US"/>
        </w:rPr>
        <w:t xml:space="preserve"> </w:t>
      </w:r>
      <w:r w:rsidRPr="00E127AB">
        <w:rPr>
          <w:rFonts w:ascii="Book Antiqua" w:hAnsi="Book Antiqua" w:cs="Times New Roman"/>
          <w:color w:val="auto"/>
          <w:sz w:val="24"/>
          <w:szCs w:val="24"/>
          <w:lang w:val="en-US"/>
        </w:rPr>
        <w:t>≥</w:t>
      </w:r>
      <w:r w:rsidR="0002755E" w:rsidRPr="00E127AB">
        <w:rPr>
          <w:rFonts w:ascii="Book Antiqua" w:hAnsi="Book Antiqua" w:cs="Times New Roman"/>
          <w:color w:val="auto"/>
          <w:sz w:val="24"/>
          <w:szCs w:val="24"/>
          <w:lang w:val="en-US" w:eastAsia="zh-CN"/>
        </w:rPr>
        <w:t xml:space="preserve"> </w:t>
      </w:r>
      <w:r w:rsidRPr="00E127AB">
        <w:rPr>
          <w:rFonts w:ascii="Book Antiqua" w:hAnsi="Book Antiqua" w:cs="Times New Roman"/>
          <w:color w:val="auto"/>
          <w:sz w:val="24"/>
          <w:szCs w:val="24"/>
          <w:lang w:val="en-US"/>
        </w:rPr>
        <w:t xml:space="preserve">20% and/or extramedullary involvement excluding liver and spleen, including lymph nodes, skin, CNS, bone, and </w:t>
      </w:r>
      <w:r w:rsidR="0031748F" w:rsidRPr="00E127AB">
        <w:rPr>
          <w:rFonts w:ascii="Book Antiqua" w:hAnsi="Book Antiqua" w:cs="Times New Roman"/>
          <w:color w:val="auto"/>
          <w:sz w:val="24"/>
          <w:szCs w:val="24"/>
          <w:lang w:val="en-US"/>
        </w:rPr>
        <w:t>lung</w:t>
      </w:r>
      <w:r w:rsidR="0031748F" w:rsidRPr="00E127AB">
        <w:rPr>
          <w:rFonts w:ascii="Book Antiqua" w:hAnsi="Book Antiqua" w:cs="Times New Roman"/>
          <w:color w:val="auto"/>
          <w:sz w:val="24"/>
          <w:szCs w:val="24"/>
          <w:vertAlign w:val="superscript"/>
          <w:lang w:val="en-US"/>
        </w:rPr>
        <w:t>[</w:t>
      </w:r>
      <w:r w:rsidR="006756AB" w:rsidRPr="00E127AB">
        <w:rPr>
          <w:rFonts w:ascii="Book Antiqua" w:hAnsi="Book Antiqua" w:cs="Times New Roman"/>
          <w:color w:val="auto"/>
          <w:sz w:val="24"/>
          <w:szCs w:val="24"/>
          <w:vertAlign w:val="superscript"/>
          <w:lang w:val="en-US"/>
        </w:rPr>
        <w:t>4]</w:t>
      </w:r>
      <w:r w:rsidRPr="00E127AB">
        <w:rPr>
          <w:rFonts w:ascii="Book Antiqua" w:hAnsi="Book Antiqua" w:cs="Times New Roman"/>
          <w:color w:val="auto"/>
          <w:sz w:val="24"/>
          <w:szCs w:val="24"/>
          <w:lang w:val="en-US"/>
        </w:rPr>
        <w:t xml:space="preserve">. </w:t>
      </w:r>
      <w:bookmarkStart w:id="33" w:name="OLE_LINK175"/>
      <w:r w:rsidR="00A318A6" w:rsidRPr="00E127AB">
        <w:rPr>
          <w:rFonts w:ascii="Book Antiqua" w:hAnsi="Book Antiqua" w:cs="Times New Roman"/>
          <w:color w:val="auto"/>
          <w:sz w:val="24"/>
          <w:szCs w:val="24"/>
          <w:lang w:val="en-US"/>
        </w:rPr>
        <w:t>European LeukemiaNet (</w:t>
      </w:r>
      <w:r w:rsidRPr="00E127AB">
        <w:rPr>
          <w:rFonts w:ascii="Book Antiqua" w:hAnsi="Book Antiqua" w:cs="Times New Roman"/>
          <w:color w:val="auto"/>
          <w:sz w:val="24"/>
          <w:szCs w:val="24"/>
          <w:lang w:val="en-US"/>
        </w:rPr>
        <w:t>ELN</w:t>
      </w:r>
      <w:r w:rsidR="00A318A6" w:rsidRPr="00E127AB">
        <w:rPr>
          <w:rFonts w:ascii="Book Antiqua" w:hAnsi="Book Antiqua" w:cs="Times New Roman"/>
          <w:color w:val="auto"/>
          <w:sz w:val="24"/>
          <w:szCs w:val="24"/>
          <w:lang w:val="en-US" w:eastAsia="zh-CN"/>
        </w:rPr>
        <w:t>)</w:t>
      </w:r>
      <w:r w:rsidRPr="00E127AB">
        <w:rPr>
          <w:rFonts w:ascii="Book Antiqua" w:hAnsi="Book Antiqua" w:cs="Times New Roman"/>
          <w:color w:val="auto"/>
          <w:sz w:val="24"/>
          <w:szCs w:val="24"/>
          <w:lang w:val="en-US"/>
        </w:rPr>
        <w:t xml:space="preserve"> criteria</w:t>
      </w:r>
      <w:bookmarkEnd w:id="33"/>
      <w:r w:rsidRPr="00E127AB">
        <w:rPr>
          <w:rFonts w:ascii="Book Antiqua" w:hAnsi="Book Antiqua" w:cs="Times New Roman"/>
          <w:color w:val="auto"/>
          <w:sz w:val="24"/>
          <w:szCs w:val="24"/>
          <w:lang w:val="en-US"/>
        </w:rPr>
        <w:t xml:space="preserve"> for the </w:t>
      </w:r>
      <w:r w:rsidRPr="00E127AB">
        <w:rPr>
          <w:rFonts w:ascii="Book Antiqua" w:hAnsi="Book Antiqua" w:cs="Times New Roman"/>
          <w:color w:val="auto"/>
          <w:sz w:val="24"/>
          <w:szCs w:val="24"/>
          <w:lang w:val="en-US"/>
        </w:rPr>
        <w:lastRenderedPageBreak/>
        <w:t>definition of AP and BP slightly differ from WHO criteria. According to ELN, the definition of AP is the presence of one or more of the following: 15%</w:t>
      </w:r>
      <w:r w:rsidR="0002755E" w:rsidRPr="00E127AB">
        <w:rPr>
          <w:rFonts w:ascii="Book Antiqua" w:hAnsi="Book Antiqua" w:cs="Times New Roman"/>
          <w:color w:val="auto"/>
          <w:sz w:val="24"/>
          <w:szCs w:val="24"/>
          <w:lang w:val="en-US" w:eastAsia="zh-CN"/>
        </w:rPr>
        <w:t>-</w:t>
      </w:r>
      <w:r w:rsidRPr="00E127AB">
        <w:rPr>
          <w:rFonts w:ascii="Book Antiqua" w:hAnsi="Book Antiqua" w:cs="Times New Roman"/>
          <w:color w:val="auto"/>
          <w:sz w:val="24"/>
          <w:szCs w:val="24"/>
          <w:lang w:val="en-US"/>
        </w:rPr>
        <w:t>29% blast cells and/or &gt;</w:t>
      </w:r>
      <w:r w:rsidR="0002755E" w:rsidRPr="00E127AB">
        <w:rPr>
          <w:rFonts w:ascii="Book Antiqua" w:hAnsi="Book Antiqua" w:cs="Times New Roman"/>
          <w:color w:val="auto"/>
          <w:sz w:val="24"/>
          <w:szCs w:val="24"/>
          <w:lang w:val="en-US" w:eastAsia="zh-CN"/>
        </w:rPr>
        <w:t xml:space="preserve"> </w:t>
      </w:r>
      <w:r w:rsidRPr="00E127AB">
        <w:rPr>
          <w:rFonts w:ascii="Book Antiqua" w:hAnsi="Book Antiqua" w:cs="Times New Roman"/>
          <w:color w:val="auto"/>
          <w:sz w:val="24"/>
          <w:szCs w:val="24"/>
          <w:lang w:val="en-US"/>
        </w:rPr>
        <w:t>20% basophils in peripheral blood or bone marrow, platelet counts &lt;</w:t>
      </w:r>
      <w:r w:rsidR="0002755E" w:rsidRPr="00E127AB">
        <w:rPr>
          <w:rFonts w:ascii="Book Antiqua" w:hAnsi="Book Antiqua" w:cs="Times New Roman"/>
          <w:color w:val="auto"/>
          <w:sz w:val="24"/>
          <w:szCs w:val="24"/>
          <w:lang w:val="en-US" w:eastAsia="zh-CN"/>
        </w:rPr>
        <w:t xml:space="preserve"> </w:t>
      </w:r>
      <w:r w:rsidRPr="00E127AB">
        <w:rPr>
          <w:rFonts w:ascii="Book Antiqua" w:hAnsi="Book Antiqua" w:cs="Times New Roman"/>
          <w:color w:val="auto"/>
          <w:sz w:val="24"/>
          <w:szCs w:val="24"/>
          <w:lang w:val="en-US"/>
        </w:rPr>
        <w:t>100 × 109/</w:t>
      </w:r>
      <w:r w:rsidR="0002755E" w:rsidRPr="00E127AB">
        <w:rPr>
          <w:rFonts w:ascii="Book Antiqua" w:hAnsi="Book Antiqua" w:cs="Times New Roman"/>
          <w:color w:val="auto"/>
          <w:sz w:val="24"/>
          <w:szCs w:val="24"/>
          <w:lang w:val="en-US"/>
        </w:rPr>
        <w:t>L</w:t>
      </w:r>
      <w:r w:rsidRPr="00E127AB">
        <w:rPr>
          <w:rFonts w:ascii="Book Antiqua" w:hAnsi="Book Antiqua" w:cs="Times New Roman"/>
          <w:color w:val="auto"/>
          <w:sz w:val="24"/>
          <w:szCs w:val="24"/>
          <w:lang w:val="en-US"/>
        </w:rPr>
        <w:t xml:space="preserve"> unrelated to therapy or clonal chromosome abnormalities in </w:t>
      </w:r>
      <w:proofErr w:type="spellStart"/>
      <w:r w:rsidRPr="00E127AB">
        <w:rPr>
          <w:rFonts w:ascii="Book Antiqua" w:hAnsi="Book Antiqua" w:cs="Times New Roman"/>
          <w:color w:val="auto"/>
          <w:sz w:val="24"/>
          <w:szCs w:val="24"/>
          <w:lang w:val="en-US"/>
        </w:rPr>
        <w:t>Ph</w:t>
      </w:r>
      <w:proofErr w:type="spellEnd"/>
      <w:r w:rsidRPr="00E127AB">
        <w:rPr>
          <w:rFonts w:ascii="Book Antiqua" w:hAnsi="Book Antiqua" w:cs="Times New Roman"/>
          <w:color w:val="auto"/>
          <w:sz w:val="24"/>
          <w:szCs w:val="24"/>
          <w:lang w:val="en-US"/>
        </w:rPr>
        <w:t>+ cells. The definition of BP is blast cells ≥</w:t>
      </w:r>
      <w:r w:rsidR="0002755E" w:rsidRPr="00E127AB">
        <w:rPr>
          <w:rFonts w:ascii="Book Antiqua" w:hAnsi="Book Antiqua" w:cs="Times New Roman"/>
          <w:color w:val="auto"/>
          <w:sz w:val="24"/>
          <w:szCs w:val="24"/>
          <w:lang w:val="en-US" w:eastAsia="zh-CN"/>
        </w:rPr>
        <w:t xml:space="preserve"> </w:t>
      </w:r>
      <w:r w:rsidRPr="00E127AB">
        <w:rPr>
          <w:rFonts w:ascii="Book Antiqua" w:hAnsi="Book Antiqua" w:cs="Times New Roman"/>
          <w:color w:val="auto"/>
          <w:sz w:val="24"/>
          <w:szCs w:val="24"/>
          <w:lang w:val="en-US"/>
        </w:rPr>
        <w:t xml:space="preserve">30% in peripheral blood or bone marrow and/or clonal chromosome abnormalities in </w:t>
      </w:r>
      <w:proofErr w:type="spellStart"/>
      <w:r w:rsidRPr="00E127AB">
        <w:rPr>
          <w:rFonts w:ascii="Book Antiqua" w:hAnsi="Book Antiqua" w:cs="Times New Roman"/>
          <w:color w:val="auto"/>
          <w:sz w:val="24"/>
          <w:szCs w:val="24"/>
          <w:lang w:val="en-US"/>
        </w:rPr>
        <w:t>Ph</w:t>
      </w:r>
      <w:proofErr w:type="spellEnd"/>
      <w:r w:rsidRPr="00E127AB">
        <w:rPr>
          <w:rFonts w:ascii="Book Antiqua" w:hAnsi="Book Antiqua" w:cs="Times New Roman"/>
          <w:color w:val="auto"/>
          <w:sz w:val="24"/>
          <w:szCs w:val="24"/>
          <w:lang w:val="en-US"/>
        </w:rPr>
        <w:t xml:space="preserve">+ </w:t>
      </w:r>
      <w:proofErr w:type="gramStart"/>
      <w:r w:rsidR="0031748F" w:rsidRPr="00E127AB">
        <w:rPr>
          <w:rFonts w:ascii="Book Antiqua" w:hAnsi="Book Antiqua" w:cs="Times New Roman"/>
          <w:color w:val="auto"/>
          <w:sz w:val="24"/>
          <w:szCs w:val="24"/>
          <w:lang w:val="en-US"/>
        </w:rPr>
        <w:t>cells</w:t>
      </w:r>
      <w:r w:rsidR="0031748F" w:rsidRPr="00E127AB">
        <w:rPr>
          <w:rFonts w:ascii="Book Antiqua" w:hAnsi="Book Antiqua" w:cs="Times New Roman"/>
          <w:color w:val="auto"/>
          <w:sz w:val="24"/>
          <w:szCs w:val="24"/>
          <w:vertAlign w:val="superscript"/>
          <w:lang w:val="en-US"/>
        </w:rPr>
        <w:t>[</w:t>
      </w:r>
      <w:proofErr w:type="gramEnd"/>
      <w:r w:rsidR="006756AB" w:rsidRPr="00E127AB">
        <w:rPr>
          <w:rFonts w:ascii="Book Antiqua" w:hAnsi="Book Antiqua" w:cs="Times New Roman"/>
          <w:color w:val="auto"/>
          <w:sz w:val="24"/>
          <w:szCs w:val="24"/>
          <w:vertAlign w:val="superscript"/>
          <w:lang w:val="en-US"/>
        </w:rPr>
        <w:t>5]</w:t>
      </w:r>
      <w:r w:rsidRPr="00E127AB">
        <w:rPr>
          <w:rFonts w:ascii="Book Antiqua" w:hAnsi="Book Antiqua" w:cs="Times New Roman"/>
          <w:color w:val="auto"/>
          <w:sz w:val="24"/>
          <w:szCs w:val="24"/>
          <w:lang w:val="en-US"/>
        </w:rPr>
        <w:t>.</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hAnsi="Book Antiqua" w:cs="Times New Roman"/>
          <w:color w:val="auto"/>
          <w:sz w:val="24"/>
          <w:szCs w:val="24"/>
          <w:lang w:val="en-US"/>
        </w:rPr>
      </w:pPr>
      <w:r w:rsidRPr="00E127AB">
        <w:rPr>
          <w:rFonts w:ascii="Book Antiqua" w:hAnsi="Book Antiqua" w:cs="Times New Roman"/>
          <w:color w:val="auto"/>
          <w:sz w:val="24"/>
          <w:szCs w:val="24"/>
          <w:lang w:val="en-US"/>
        </w:rPr>
        <w:t xml:space="preserve">The differential diagnosis of CML includes </w:t>
      </w:r>
      <w:proofErr w:type="spellStart"/>
      <w:r w:rsidRPr="00E127AB">
        <w:rPr>
          <w:rFonts w:ascii="Book Antiqua" w:hAnsi="Book Antiqua" w:cs="Times New Roman"/>
          <w:color w:val="auto"/>
          <w:sz w:val="24"/>
          <w:szCs w:val="24"/>
          <w:lang w:val="en-US"/>
        </w:rPr>
        <w:t>Ph</w:t>
      </w:r>
      <w:proofErr w:type="spellEnd"/>
      <w:r w:rsidRPr="00E127AB">
        <w:rPr>
          <w:rFonts w:ascii="Book Antiqua" w:hAnsi="Book Antiqua" w:cs="Times New Roman"/>
          <w:color w:val="auto"/>
          <w:sz w:val="24"/>
          <w:szCs w:val="24"/>
          <w:lang w:val="en-US"/>
        </w:rPr>
        <w:t xml:space="preserve">- negative chronic myeloproliferative neoplasms, </w:t>
      </w:r>
      <w:proofErr w:type="spellStart"/>
      <w:r w:rsidRPr="00E127AB">
        <w:rPr>
          <w:rFonts w:ascii="Book Antiqua" w:hAnsi="Book Antiqua" w:cs="Times New Roman"/>
          <w:color w:val="auto"/>
          <w:sz w:val="24"/>
          <w:szCs w:val="24"/>
          <w:lang w:val="en-US"/>
        </w:rPr>
        <w:t>leukemoid</w:t>
      </w:r>
      <w:proofErr w:type="spellEnd"/>
      <w:r w:rsidRPr="00E127AB">
        <w:rPr>
          <w:rFonts w:ascii="Book Antiqua" w:hAnsi="Book Antiqua" w:cs="Times New Roman"/>
          <w:color w:val="auto"/>
          <w:sz w:val="24"/>
          <w:szCs w:val="24"/>
          <w:lang w:val="en-US"/>
        </w:rPr>
        <w:t xml:space="preserve"> reactions, </w:t>
      </w:r>
      <w:proofErr w:type="spellStart"/>
      <w:r w:rsidRPr="00E127AB">
        <w:rPr>
          <w:rFonts w:ascii="Book Antiqua" w:hAnsi="Book Antiqua" w:cs="Times New Roman"/>
          <w:color w:val="auto"/>
          <w:sz w:val="24"/>
          <w:szCs w:val="24"/>
          <w:lang w:val="en-US"/>
        </w:rPr>
        <w:t>Ph</w:t>
      </w:r>
      <w:proofErr w:type="spellEnd"/>
      <w:r w:rsidRPr="00E127AB">
        <w:rPr>
          <w:rFonts w:ascii="Book Antiqua" w:hAnsi="Book Antiqua" w:cs="Times New Roman"/>
          <w:color w:val="auto"/>
          <w:sz w:val="24"/>
          <w:szCs w:val="24"/>
          <w:lang w:val="en-US"/>
        </w:rPr>
        <w:t xml:space="preserve">-negative CML or chronic </w:t>
      </w:r>
      <w:proofErr w:type="spellStart"/>
      <w:r w:rsidRPr="00E127AB">
        <w:rPr>
          <w:rFonts w:ascii="Book Antiqua" w:hAnsi="Book Antiqua" w:cs="Times New Roman"/>
          <w:color w:val="auto"/>
          <w:sz w:val="24"/>
          <w:szCs w:val="24"/>
          <w:lang w:val="en-US"/>
        </w:rPr>
        <w:t>myelomonocytic</w:t>
      </w:r>
      <w:proofErr w:type="spellEnd"/>
      <w:r w:rsidRPr="00E127AB">
        <w:rPr>
          <w:rFonts w:ascii="Book Antiqua" w:hAnsi="Book Antiqua" w:cs="Times New Roman"/>
          <w:color w:val="auto"/>
          <w:sz w:val="24"/>
          <w:szCs w:val="24"/>
          <w:lang w:val="en-US"/>
        </w:rPr>
        <w:t xml:space="preserve"> leukemia.</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hAnsi="Book Antiqua" w:cs="Times New Roman"/>
          <w:color w:val="auto"/>
          <w:sz w:val="24"/>
          <w:szCs w:val="24"/>
          <w:lang w:val="en-US"/>
        </w:rPr>
      </w:pPr>
      <w:r w:rsidRPr="00E127AB">
        <w:rPr>
          <w:rFonts w:ascii="Book Antiqua" w:hAnsi="Book Antiqua" w:cs="Times New Roman"/>
          <w:color w:val="auto"/>
          <w:sz w:val="24"/>
          <w:szCs w:val="24"/>
          <w:lang w:val="en-US"/>
        </w:rPr>
        <w:t xml:space="preserve">At the diagnosis, there are several prognostic scoring systems to assess the risk of poor outcome: </w:t>
      </w:r>
      <w:r w:rsidR="0002755E" w:rsidRPr="00E127AB">
        <w:rPr>
          <w:rFonts w:ascii="Book Antiqua" w:hAnsi="Book Antiqua" w:cs="Times New Roman"/>
          <w:color w:val="auto"/>
          <w:sz w:val="24"/>
          <w:szCs w:val="24"/>
          <w:lang w:val="en-US"/>
        </w:rPr>
        <w:t>T</w:t>
      </w:r>
      <w:r w:rsidRPr="00E127AB">
        <w:rPr>
          <w:rFonts w:ascii="Book Antiqua" w:hAnsi="Book Antiqua" w:cs="Times New Roman"/>
          <w:color w:val="auto"/>
          <w:sz w:val="24"/>
          <w:szCs w:val="24"/>
          <w:lang w:val="en-US"/>
        </w:rPr>
        <w:t xml:space="preserve">he </w:t>
      </w:r>
      <w:proofErr w:type="spellStart"/>
      <w:r w:rsidRPr="00E127AB">
        <w:rPr>
          <w:rFonts w:ascii="Book Antiqua" w:hAnsi="Book Antiqua" w:cs="Times New Roman"/>
          <w:color w:val="auto"/>
          <w:sz w:val="24"/>
          <w:szCs w:val="24"/>
          <w:lang w:val="en-US"/>
        </w:rPr>
        <w:t>Sokal</w:t>
      </w:r>
      <w:proofErr w:type="spellEnd"/>
      <w:r w:rsidRPr="00E127AB">
        <w:rPr>
          <w:rFonts w:ascii="Book Antiqua" w:hAnsi="Book Antiqua" w:cs="Times New Roman"/>
          <w:color w:val="auto"/>
          <w:sz w:val="24"/>
          <w:szCs w:val="24"/>
          <w:lang w:val="en-US"/>
        </w:rPr>
        <w:t xml:space="preserve"> score, </w:t>
      </w:r>
      <w:proofErr w:type="spellStart"/>
      <w:r w:rsidRPr="00E127AB">
        <w:rPr>
          <w:rFonts w:ascii="Book Antiqua" w:hAnsi="Book Antiqua" w:cs="Times New Roman"/>
          <w:color w:val="auto"/>
          <w:sz w:val="24"/>
          <w:szCs w:val="24"/>
          <w:lang w:val="en-US"/>
        </w:rPr>
        <w:t>Hasford</w:t>
      </w:r>
      <w:proofErr w:type="spellEnd"/>
      <w:r w:rsidRPr="00E127AB">
        <w:rPr>
          <w:rFonts w:ascii="Book Antiqua" w:hAnsi="Book Antiqua" w:cs="Times New Roman"/>
          <w:color w:val="auto"/>
          <w:sz w:val="24"/>
          <w:szCs w:val="24"/>
          <w:lang w:val="en-US"/>
        </w:rPr>
        <w:t xml:space="preserve"> score and the European Treatment and Outcome Study score</w:t>
      </w:r>
      <w:r w:rsidR="00BE0189" w:rsidRPr="00E127AB">
        <w:rPr>
          <w:rFonts w:ascii="Book Antiqua" w:hAnsi="Book Antiqua" w:cs="Times New Roman"/>
          <w:color w:val="auto"/>
          <w:sz w:val="24"/>
          <w:szCs w:val="24"/>
          <w:lang w:val="en-US"/>
        </w:rPr>
        <w:t xml:space="preserve"> (Table 1)</w:t>
      </w:r>
      <w:r w:rsidR="00672E14" w:rsidRPr="00E127AB">
        <w:rPr>
          <w:rFonts w:ascii="Book Antiqua" w:hAnsi="Book Antiqua" w:cs="Times New Roman"/>
          <w:color w:val="auto"/>
          <w:sz w:val="24"/>
          <w:szCs w:val="24"/>
          <w:vertAlign w:val="superscript"/>
          <w:lang w:val="en-US"/>
        </w:rPr>
        <w:t>[6- 8</w:t>
      </w:r>
      <w:r w:rsidR="000D1E37" w:rsidRPr="00E127AB">
        <w:rPr>
          <w:rFonts w:ascii="Book Antiqua" w:hAnsi="Book Antiqua" w:cs="Times New Roman"/>
          <w:color w:val="auto"/>
          <w:sz w:val="24"/>
          <w:szCs w:val="24"/>
          <w:vertAlign w:val="superscript"/>
          <w:lang w:val="en-US"/>
        </w:rPr>
        <w:t>]</w:t>
      </w:r>
      <w:r w:rsidRPr="00E127AB">
        <w:rPr>
          <w:rFonts w:ascii="Book Antiqua" w:hAnsi="Book Antiqua" w:cs="Times New Roman"/>
          <w:color w:val="auto"/>
          <w:sz w:val="24"/>
          <w:szCs w:val="24"/>
          <w:lang w:val="en-US"/>
        </w:rPr>
        <w:t xml:space="preserve">. Additionally, the stage of disease and response to tyrosine kinase inhibitor (TKI) are important factors for prognosis. </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hAnsi="Book Antiqua" w:cs="Times New Roman"/>
          <w:color w:val="auto"/>
          <w:sz w:val="24"/>
          <w:szCs w:val="24"/>
          <w:lang w:val="en-US"/>
        </w:rPr>
      </w:pPr>
      <w:r w:rsidRPr="00E127AB">
        <w:rPr>
          <w:rFonts w:ascii="Book Antiqua" w:hAnsi="Book Antiqua" w:cs="Times New Roman"/>
          <w:color w:val="auto"/>
          <w:sz w:val="24"/>
          <w:szCs w:val="24"/>
          <w:lang w:val="en-US"/>
        </w:rPr>
        <w:t>According to ELN response criteria, the complete hematologic response (CHR) is defined as</w:t>
      </w:r>
      <w:r w:rsidRPr="00E127AB">
        <w:rPr>
          <w:rFonts w:ascii="Book Antiqua" w:hAnsi="Book Antiqua"/>
          <w:color w:val="auto"/>
          <w:sz w:val="24"/>
          <w:szCs w:val="24"/>
          <w:lang w:val="en-US"/>
        </w:rPr>
        <w:t xml:space="preserve"> </w:t>
      </w:r>
      <w:r w:rsidR="0002755E" w:rsidRPr="00E127AB">
        <w:rPr>
          <w:rFonts w:ascii="Book Antiqua" w:hAnsi="Book Antiqua" w:cs="Times New Roman"/>
          <w:color w:val="auto"/>
          <w:sz w:val="24"/>
          <w:szCs w:val="24"/>
          <w:lang w:val="en-US"/>
        </w:rPr>
        <w:t>white blood cell</w:t>
      </w:r>
      <w:r w:rsidRPr="00E127AB">
        <w:rPr>
          <w:rFonts w:ascii="Book Antiqua" w:hAnsi="Book Antiqua" w:cs="Times New Roman"/>
          <w:color w:val="auto"/>
          <w:sz w:val="24"/>
          <w:szCs w:val="24"/>
          <w:lang w:val="en-US"/>
        </w:rPr>
        <w:t xml:space="preserve"> &lt;</w:t>
      </w:r>
      <w:r w:rsidR="0002755E" w:rsidRPr="00E127AB">
        <w:rPr>
          <w:rFonts w:ascii="Book Antiqua" w:hAnsi="Book Antiqua" w:cs="Times New Roman"/>
          <w:color w:val="auto"/>
          <w:sz w:val="24"/>
          <w:szCs w:val="24"/>
          <w:lang w:val="en-US" w:eastAsia="zh-CN"/>
        </w:rPr>
        <w:t xml:space="preserve"> </w:t>
      </w:r>
      <w:r w:rsidRPr="00E127AB">
        <w:rPr>
          <w:rFonts w:ascii="Book Antiqua" w:hAnsi="Book Antiqua" w:cs="Times New Roman"/>
          <w:color w:val="auto"/>
          <w:sz w:val="24"/>
          <w:szCs w:val="24"/>
          <w:lang w:val="en-US"/>
        </w:rPr>
        <w:t>10 × 10</w:t>
      </w:r>
      <w:r w:rsidRPr="00E127AB">
        <w:rPr>
          <w:rFonts w:ascii="Book Antiqua" w:hAnsi="Book Antiqua" w:cs="Times New Roman"/>
          <w:color w:val="auto"/>
          <w:sz w:val="24"/>
          <w:szCs w:val="24"/>
          <w:vertAlign w:val="superscript"/>
          <w:lang w:val="en-US"/>
        </w:rPr>
        <w:t>9</w:t>
      </w:r>
      <w:r w:rsidRPr="00E127AB">
        <w:rPr>
          <w:rFonts w:ascii="Book Antiqua" w:hAnsi="Book Antiqua" w:cs="Times New Roman"/>
          <w:color w:val="auto"/>
          <w:sz w:val="24"/>
          <w:szCs w:val="24"/>
          <w:lang w:val="en-US"/>
        </w:rPr>
        <w:t>/</w:t>
      </w:r>
      <w:r w:rsidR="0002755E" w:rsidRPr="00E127AB">
        <w:rPr>
          <w:rFonts w:ascii="Book Antiqua" w:hAnsi="Book Antiqua" w:cs="Times New Roman"/>
          <w:color w:val="auto"/>
          <w:sz w:val="24"/>
          <w:szCs w:val="24"/>
          <w:lang w:val="en-US"/>
        </w:rPr>
        <w:t>L</w:t>
      </w:r>
      <w:r w:rsidRPr="00E127AB">
        <w:rPr>
          <w:rFonts w:ascii="Book Antiqua" w:hAnsi="Book Antiqua" w:cs="Times New Roman"/>
          <w:color w:val="auto"/>
          <w:sz w:val="24"/>
          <w:szCs w:val="24"/>
          <w:lang w:val="en-US"/>
        </w:rPr>
        <w:t>, no immature granulocytes, basophils &lt;</w:t>
      </w:r>
      <w:r w:rsidR="0002755E" w:rsidRPr="00E127AB">
        <w:rPr>
          <w:rFonts w:ascii="Book Antiqua" w:hAnsi="Book Antiqua" w:cs="Times New Roman"/>
          <w:color w:val="auto"/>
          <w:sz w:val="24"/>
          <w:szCs w:val="24"/>
          <w:lang w:val="en-US" w:eastAsia="zh-CN"/>
        </w:rPr>
        <w:t xml:space="preserve"> </w:t>
      </w:r>
      <w:r w:rsidRPr="00E127AB">
        <w:rPr>
          <w:rFonts w:ascii="Book Antiqua" w:hAnsi="Book Antiqua" w:cs="Times New Roman"/>
          <w:color w:val="auto"/>
          <w:sz w:val="24"/>
          <w:szCs w:val="24"/>
          <w:lang w:val="en-US"/>
        </w:rPr>
        <w:t>5%, platelet count &lt;</w:t>
      </w:r>
      <w:r w:rsidR="0002755E" w:rsidRPr="00E127AB">
        <w:rPr>
          <w:rFonts w:ascii="Book Antiqua" w:hAnsi="Book Antiqua" w:cs="Times New Roman"/>
          <w:color w:val="auto"/>
          <w:sz w:val="24"/>
          <w:szCs w:val="24"/>
          <w:lang w:val="en-US" w:eastAsia="zh-CN"/>
        </w:rPr>
        <w:t xml:space="preserve"> </w:t>
      </w:r>
      <w:r w:rsidRPr="00E127AB">
        <w:rPr>
          <w:rFonts w:ascii="Book Antiqua" w:hAnsi="Book Antiqua" w:cs="Times New Roman"/>
          <w:color w:val="auto"/>
          <w:sz w:val="24"/>
          <w:szCs w:val="24"/>
          <w:lang w:val="en-US"/>
        </w:rPr>
        <w:t>450 × 10</w:t>
      </w:r>
      <w:r w:rsidRPr="00E127AB">
        <w:rPr>
          <w:rFonts w:ascii="Book Antiqua" w:hAnsi="Book Antiqua" w:cs="Times New Roman"/>
          <w:color w:val="auto"/>
          <w:sz w:val="24"/>
          <w:szCs w:val="24"/>
          <w:vertAlign w:val="superscript"/>
          <w:lang w:val="en-US"/>
        </w:rPr>
        <w:t>9</w:t>
      </w:r>
      <w:r w:rsidRPr="00E127AB">
        <w:rPr>
          <w:rFonts w:ascii="Book Antiqua" w:hAnsi="Book Antiqua" w:cs="Times New Roman"/>
          <w:color w:val="auto"/>
          <w:sz w:val="24"/>
          <w:szCs w:val="24"/>
          <w:lang w:val="en-US"/>
        </w:rPr>
        <w:t>/</w:t>
      </w:r>
      <w:r w:rsidR="0002755E" w:rsidRPr="00E127AB">
        <w:rPr>
          <w:rFonts w:ascii="Book Antiqua" w:hAnsi="Book Antiqua" w:cs="Times New Roman"/>
          <w:color w:val="auto"/>
          <w:sz w:val="24"/>
          <w:szCs w:val="24"/>
          <w:lang w:val="en-US"/>
        </w:rPr>
        <w:t>L</w:t>
      </w:r>
      <w:r w:rsidRPr="00E127AB">
        <w:rPr>
          <w:rFonts w:ascii="Book Antiqua" w:hAnsi="Book Antiqua" w:cs="Times New Roman"/>
          <w:color w:val="auto"/>
          <w:sz w:val="24"/>
          <w:szCs w:val="24"/>
          <w:lang w:val="en-US"/>
        </w:rPr>
        <w:t xml:space="preserve">, and non-palpable spleen. The complete cytogenetic response (CCyR) is defined as no </w:t>
      </w:r>
      <w:proofErr w:type="spellStart"/>
      <w:r w:rsidRPr="00E127AB">
        <w:rPr>
          <w:rFonts w:ascii="Book Antiqua" w:hAnsi="Book Antiqua" w:cs="Times New Roman"/>
          <w:color w:val="auto"/>
          <w:sz w:val="24"/>
          <w:szCs w:val="24"/>
          <w:lang w:val="en-US"/>
        </w:rPr>
        <w:t>Ph</w:t>
      </w:r>
      <w:proofErr w:type="spellEnd"/>
      <w:r w:rsidRPr="00E127AB">
        <w:rPr>
          <w:rFonts w:ascii="Book Antiqua" w:hAnsi="Book Antiqua" w:cs="Times New Roman"/>
          <w:color w:val="auto"/>
          <w:sz w:val="24"/>
          <w:szCs w:val="24"/>
          <w:lang w:val="en-US"/>
        </w:rPr>
        <w:t xml:space="preserve"> (+) metaphases by CBA or &lt; 1% BCR-ABL1–positive nuclei of at least 200 examined nuclei by FISH of periphera</w:t>
      </w:r>
      <w:r w:rsidR="00D63949" w:rsidRPr="00E127AB">
        <w:rPr>
          <w:rFonts w:ascii="Book Antiqua" w:hAnsi="Book Antiqua" w:cs="Times New Roman"/>
          <w:color w:val="auto"/>
          <w:sz w:val="24"/>
          <w:szCs w:val="24"/>
          <w:lang w:val="en-US"/>
        </w:rPr>
        <w:t>l blood. The partial, minor, min</w:t>
      </w:r>
      <w:r w:rsidRPr="00E127AB">
        <w:rPr>
          <w:rFonts w:ascii="Book Antiqua" w:hAnsi="Book Antiqua" w:cs="Times New Roman"/>
          <w:color w:val="auto"/>
          <w:sz w:val="24"/>
          <w:szCs w:val="24"/>
          <w:lang w:val="en-US"/>
        </w:rPr>
        <w:t>imal and no CyR is defined as 1%</w:t>
      </w:r>
      <w:r w:rsidR="0002755E" w:rsidRPr="00E127AB">
        <w:rPr>
          <w:rFonts w:ascii="Book Antiqua" w:hAnsi="Book Antiqua" w:cs="Times New Roman"/>
          <w:color w:val="auto"/>
          <w:sz w:val="24"/>
          <w:szCs w:val="24"/>
          <w:lang w:val="en-US" w:eastAsia="zh-CN"/>
        </w:rPr>
        <w:t>-</w:t>
      </w:r>
      <w:r w:rsidRPr="00E127AB">
        <w:rPr>
          <w:rFonts w:ascii="Book Antiqua" w:hAnsi="Book Antiqua" w:cs="Times New Roman"/>
          <w:color w:val="auto"/>
          <w:sz w:val="24"/>
          <w:szCs w:val="24"/>
          <w:lang w:val="en-US"/>
        </w:rPr>
        <w:t xml:space="preserve">35% </w:t>
      </w:r>
      <w:proofErr w:type="spellStart"/>
      <w:r w:rsidRPr="00E127AB">
        <w:rPr>
          <w:rFonts w:ascii="Book Antiqua" w:hAnsi="Book Antiqua" w:cs="Times New Roman"/>
          <w:color w:val="auto"/>
          <w:sz w:val="24"/>
          <w:szCs w:val="24"/>
          <w:lang w:val="en-US"/>
        </w:rPr>
        <w:t>Ph</w:t>
      </w:r>
      <w:proofErr w:type="spellEnd"/>
      <w:r w:rsidRPr="00E127AB">
        <w:rPr>
          <w:rFonts w:ascii="Book Antiqua" w:hAnsi="Book Antiqua" w:cs="Times New Roman"/>
          <w:color w:val="auto"/>
          <w:sz w:val="24"/>
          <w:szCs w:val="24"/>
          <w:lang w:val="en-US"/>
        </w:rPr>
        <w:t>+ metaphases, 36%</w:t>
      </w:r>
      <w:r w:rsidR="0002755E" w:rsidRPr="00E127AB">
        <w:rPr>
          <w:rFonts w:ascii="Book Antiqua" w:hAnsi="Book Antiqua" w:cs="Times New Roman"/>
          <w:color w:val="auto"/>
          <w:sz w:val="24"/>
          <w:szCs w:val="24"/>
          <w:lang w:val="en-US" w:eastAsia="zh-CN"/>
        </w:rPr>
        <w:t>-</w:t>
      </w:r>
      <w:r w:rsidRPr="00E127AB">
        <w:rPr>
          <w:rFonts w:ascii="Book Antiqua" w:hAnsi="Book Antiqua" w:cs="Times New Roman"/>
          <w:color w:val="auto"/>
          <w:sz w:val="24"/>
          <w:szCs w:val="24"/>
          <w:lang w:val="en-US"/>
        </w:rPr>
        <w:t xml:space="preserve">65% </w:t>
      </w:r>
      <w:proofErr w:type="spellStart"/>
      <w:r w:rsidRPr="00E127AB">
        <w:rPr>
          <w:rFonts w:ascii="Book Antiqua" w:hAnsi="Book Antiqua" w:cs="Times New Roman"/>
          <w:color w:val="auto"/>
          <w:sz w:val="24"/>
          <w:szCs w:val="24"/>
          <w:lang w:val="en-US"/>
        </w:rPr>
        <w:t>Ph</w:t>
      </w:r>
      <w:proofErr w:type="spellEnd"/>
      <w:r w:rsidRPr="00E127AB">
        <w:rPr>
          <w:rFonts w:ascii="Book Antiqua" w:hAnsi="Book Antiqua" w:cs="Times New Roman"/>
          <w:color w:val="auto"/>
          <w:sz w:val="24"/>
          <w:szCs w:val="24"/>
          <w:lang w:val="en-US"/>
        </w:rPr>
        <w:t>+ metaphases, 66%</w:t>
      </w:r>
      <w:r w:rsidR="0002755E" w:rsidRPr="00E127AB">
        <w:rPr>
          <w:rFonts w:ascii="Book Antiqua" w:hAnsi="Book Antiqua" w:cs="Times New Roman"/>
          <w:color w:val="auto"/>
          <w:sz w:val="24"/>
          <w:szCs w:val="24"/>
          <w:lang w:val="en-US" w:eastAsia="zh-CN"/>
        </w:rPr>
        <w:t>-</w:t>
      </w:r>
      <w:r w:rsidRPr="00E127AB">
        <w:rPr>
          <w:rFonts w:ascii="Book Antiqua" w:hAnsi="Book Antiqua" w:cs="Times New Roman"/>
          <w:color w:val="auto"/>
          <w:sz w:val="24"/>
          <w:szCs w:val="24"/>
          <w:lang w:val="en-US"/>
        </w:rPr>
        <w:t xml:space="preserve">95% </w:t>
      </w:r>
      <w:proofErr w:type="spellStart"/>
      <w:r w:rsidRPr="00E127AB">
        <w:rPr>
          <w:rFonts w:ascii="Book Antiqua" w:hAnsi="Book Antiqua" w:cs="Times New Roman"/>
          <w:color w:val="auto"/>
          <w:sz w:val="24"/>
          <w:szCs w:val="24"/>
          <w:lang w:val="en-US"/>
        </w:rPr>
        <w:t>Ph</w:t>
      </w:r>
      <w:proofErr w:type="spellEnd"/>
      <w:r w:rsidRPr="00E127AB">
        <w:rPr>
          <w:rFonts w:ascii="Book Antiqua" w:hAnsi="Book Antiqua" w:cs="Times New Roman"/>
          <w:color w:val="auto"/>
          <w:sz w:val="24"/>
          <w:szCs w:val="24"/>
          <w:lang w:val="en-US"/>
        </w:rPr>
        <w:t>+ metaphases and &gt;</w:t>
      </w:r>
      <w:r w:rsidR="0002755E" w:rsidRPr="00E127AB">
        <w:rPr>
          <w:rFonts w:ascii="Book Antiqua" w:hAnsi="Book Antiqua" w:cs="Times New Roman"/>
          <w:color w:val="auto"/>
          <w:sz w:val="24"/>
          <w:szCs w:val="24"/>
          <w:lang w:val="en-US" w:eastAsia="zh-CN"/>
        </w:rPr>
        <w:t xml:space="preserve"> </w:t>
      </w:r>
      <w:r w:rsidRPr="00E127AB">
        <w:rPr>
          <w:rFonts w:ascii="Book Antiqua" w:hAnsi="Book Antiqua" w:cs="Times New Roman"/>
          <w:color w:val="auto"/>
          <w:sz w:val="24"/>
          <w:szCs w:val="24"/>
          <w:lang w:val="en-US"/>
        </w:rPr>
        <w:t xml:space="preserve">95% </w:t>
      </w:r>
      <w:proofErr w:type="spellStart"/>
      <w:r w:rsidRPr="00E127AB">
        <w:rPr>
          <w:rFonts w:ascii="Book Antiqua" w:hAnsi="Book Antiqua" w:cs="Times New Roman"/>
          <w:color w:val="auto"/>
          <w:sz w:val="24"/>
          <w:szCs w:val="24"/>
          <w:lang w:val="en-US"/>
        </w:rPr>
        <w:t>Ph</w:t>
      </w:r>
      <w:proofErr w:type="spellEnd"/>
      <w:r w:rsidRPr="00E127AB">
        <w:rPr>
          <w:rFonts w:ascii="Book Antiqua" w:hAnsi="Book Antiqua" w:cs="Times New Roman"/>
          <w:color w:val="auto"/>
          <w:sz w:val="24"/>
          <w:szCs w:val="24"/>
          <w:lang w:val="en-US"/>
        </w:rPr>
        <w:t>+ metaphases by CBA, respectively.</w:t>
      </w:r>
      <w:r w:rsidRPr="00E127AB">
        <w:rPr>
          <w:rFonts w:ascii="Book Antiqua" w:hAnsi="Book Antiqua"/>
          <w:color w:val="auto"/>
          <w:sz w:val="24"/>
          <w:szCs w:val="24"/>
          <w:lang w:val="en-US"/>
        </w:rPr>
        <w:t xml:space="preserve"> </w:t>
      </w:r>
      <w:r w:rsidRPr="00E127AB">
        <w:rPr>
          <w:rFonts w:ascii="Book Antiqua" w:hAnsi="Book Antiqua" w:cs="Times New Roman"/>
          <w:color w:val="auto"/>
          <w:sz w:val="24"/>
          <w:szCs w:val="24"/>
          <w:lang w:val="en-US"/>
        </w:rPr>
        <w:t xml:space="preserve">Molecular response is assessed with the </w:t>
      </w:r>
      <w:bookmarkStart w:id="34" w:name="OLE_LINK173"/>
      <w:bookmarkStart w:id="35" w:name="OLE_LINK174"/>
      <w:r w:rsidR="0002755E" w:rsidRPr="00E127AB">
        <w:rPr>
          <w:rFonts w:ascii="Book Antiqua" w:hAnsi="Book Antiqua" w:cs="Times New Roman"/>
          <w:color w:val="auto"/>
          <w:sz w:val="24"/>
          <w:szCs w:val="24"/>
          <w:lang w:val="en-US"/>
        </w:rPr>
        <w:t>international s</w:t>
      </w:r>
      <w:r w:rsidRPr="00E127AB">
        <w:rPr>
          <w:rFonts w:ascii="Book Antiqua" w:hAnsi="Book Antiqua" w:cs="Times New Roman"/>
          <w:color w:val="auto"/>
          <w:sz w:val="24"/>
          <w:szCs w:val="24"/>
          <w:lang w:val="en-US"/>
        </w:rPr>
        <w:t>cale (</w:t>
      </w:r>
      <w:bookmarkEnd w:id="34"/>
      <w:bookmarkEnd w:id="35"/>
      <w:r w:rsidRPr="00E127AB">
        <w:rPr>
          <w:rFonts w:ascii="Book Antiqua" w:hAnsi="Book Antiqua" w:cs="Times New Roman"/>
          <w:color w:val="auto"/>
          <w:sz w:val="24"/>
          <w:szCs w:val="24"/>
          <w:lang w:val="en-US"/>
        </w:rPr>
        <w:t>IS) as the ratio of BCR-ABL1 transcripts to ABL1 transcripts. Major molecular response (MMR) is defined as &lt;</w:t>
      </w:r>
      <w:r w:rsidR="0002755E" w:rsidRPr="00E127AB">
        <w:rPr>
          <w:rFonts w:ascii="Book Antiqua" w:hAnsi="Book Antiqua" w:cs="Times New Roman"/>
          <w:color w:val="auto"/>
          <w:sz w:val="24"/>
          <w:szCs w:val="24"/>
          <w:lang w:val="en-US" w:eastAsia="zh-CN"/>
        </w:rPr>
        <w:t xml:space="preserve"> </w:t>
      </w:r>
      <w:r w:rsidRPr="00E127AB">
        <w:rPr>
          <w:rFonts w:ascii="Book Antiqua" w:hAnsi="Book Antiqua" w:cs="Times New Roman"/>
          <w:color w:val="auto"/>
          <w:sz w:val="24"/>
          <w:szCs w:val="24"/>
          <w:lang w:val="en-US"/>
        </w:rPr>
        <w:t>0.1% BCR-ABL1 expression.</w:t>
      </w:r>
      <w:r w:rsidRPr="00E127AB">
        <w:rPr>
          <w:rFonts w:ascii="Book Antiqua" w:hAnsi="Book Antiqua"/>
          <w:color w:val="auto"/>
          <w:sz w:val="24"/>
          <w:szCs w:val="24"/>
          <w:lang w:val="en-US"/>
        </w:rPr>
        <w:t xml:space="preserve"> Deep molecular responses are defined as MR</w:t>
      </w:r>
      <w:r w:rsidRPr="00E127AB">
        <w:rPr>
          <w:rFonts w:ascii="Book Antiqua" w:hAnsi="Book Antiqua"/>
          <w:color w:val="auto"/>
          <w:sz w:val="24"/>
          <w:szCs w:val="24"/>
          <w:vertAlign w:val="superscript"/>
          <w:lang w:val="en-US"/>
        </w:rPr>
        <w:t>4.0</w:t>
      </w:r>
      <w:r w:rsidRPr="00E127AB">
        <w:rPr>
          <w:rFonts w:ascii="Book Antiqua" w:hAnsi="Book Antiqua"/>
          <w:color w:val="auto"/>
          <w:sz w:val="24"/>
          <w:szCs w:val="24"/>
          <w:lang w:val="en-US"/>
        </w:rPr>
        <w:t xml:space="preserve"> (detectable disease with, 0.01% BCR-ABL1 IS or undetectable disease in cDNA with &gt;</w:t>
      </w:r>
      <w:r w:rsidR="0002755E" w:rsidRPr="00E127AB">
        <w:rPr>
          <w:rFonts w:ascii="Book Antiqua" w:hAnsi="Book Antiqua"/>
          <w:color w:val="auto"/>
          <w:sz w:val="24"/>
          <w:szCs w:val="24"/>
          <w:lang w:val="en-US" w:eastAsia="zh-CN"/>
        </w:rPr>
        <w:t xml:space="preserve"> </w:t>
      </w:r>
      <w:r w:rsidRPr="00E127AB">
        <w:rPr>
          <w:rFonts w:ascii="Book Antiqua" w:hAnsi="Book Antiqua"/>
          <w:color w:val="auto"/>
          <w:sz w:val="24"/>
          <w:szCs w:val="24"/>
          <w:lang w:val="en-US"/>
        </w:rPr>
        <w:t>10.000 ABL1 transcripts) and MR</w:t>
      </w:r>
      <w:r w:rsidRPr="00E127AB">
        <w:rPr>
          <w:rFonts w:ascii="Book Antiqua" w:hAnsi="Book Antiqua"/>
          <w:color w:val="auto"/>
          <w:sz w:val="24"/>
          <w:szCs w:val="24"/>
          <w:vertAlign w:val="superscript"/>
          <w:lang w:val="en-US"/>
        </w:rPr>
        <w:t xml:space="preserve">4.5 </w:t>
      </w:r>
      <w:r w:rsidRPr="00E127AB">
        <w:rPr>
          <w:rFonts w:ascii="Book Antiqua" w:hAnsi="Book Antiqua"/>
          <w:color w:val="auto"/>
          <w:sz w:val="24"/>
          <w:szCs w:val="24"/>
          <w:lang w:val="en-US"/>
        </w:rPr>
        <w:t>(detectable disease with, 0.0032% BCR-ABL1 IS or undetectable disease in cDNA with &gt;</w:t>
      </w:r>
      <w:r w:rsidR="0002755E" w:rsidRPr="00E127AB">
        <w:rPr>
          <w:rFonts w:ascii="Book Antiqua" w:hAnsi="Book Antiqua"/>
          <w:color w:val="auto"/>
          <w:sz w:val="24"/>
          <w:szCs w:val="24"/>
          <w:lang w:val="en-US" w:eastAsia="zh-CN"/>
        </w:rPr>
        <w:t xml:space="preserve"> </w:t>
      </w:r>
      <w:r w:rsidRPr="00E127AB">
        <w:rPr>
          <w:rFonts w:ascii="Book Antiqua" w:hAnsi="Book Antiqua"/>
          <w:color w:val="auto"/>
          <w:sz w:val="24"/>
          <w:szCs w:val="24"/>
          <w:lang w:val="en-US"/>
        </w:rPr>
        <w:t xml:space="preserve">32.000 ABL1 transcripts in the same volume of cDNA used to test for BCR-ABL1). </w:t>
      </w:r>
      <w:r w:rsidRPr="00E127AB">
        <w:rPr>
          <w:rFonts w:ascii="Book Antiqua" w:hAnsi="Book Antiqua" w:cs="Times New Roman"/>
          <w:color w:val="auto"/>
          <w:sz w:val="24"/>
          <w:szCs w:val="24"/>
          <w:lang w:val="en-US"/>
        </w:rPr>
        <w:t>Molecularly undetectable leukemia is defined as undetectable BCR-ABL with assay sensitivity ≥</w:t>
      </w:r>
      <w:r w:rsidR="0002755E" w:rsidRPr="00E127AB">
        <w:rPr>
          <w:rFonts w:ascii="Book Antiqua" w:hAnsi="Book Antiqua" w:cs="Times New Roman"/>
          <w:color w:val="auto"/>
          <w:sz w:val="24"/>
          <w:szCs w:val="24"/>
          <w:lang w:val="en-US" w:eastAsia="zh-CN"/>
        </w:rPr>
        <w:t xml:space="preserve"> </w:t>
      </w:r>
      <w:r w:rsidRPr="00E127AB">
        <w:rPr>
          <w:rFonts w:ascii="Book Antiqua" w:hAnsi="Book Antiqua" w:cs="Times New Roman"/>
          <w:color w:val="auto"/>
          <w:sz w:val="24"/>
          <w:szCs w:val="24"/>
          <w:lang w:val="en-US"/>
        </w:rPr>
        <w:t xml:space="preserve">4.5 or 5.0 </w:t>
      </w:r>
      <w:proofErr w:type="gramStart"/>
      <w:r w:rsidR="00EF43FF" w:rsidRPr="00E127AB">
        <w:rPr>
          <w:rFonts w:ascii="Book Antiqua" w:hAnsi="Book Antiqua" w:cs="Times New Roman"/>
          <w:color w:val="auto"/>
          <w:sz w:val="24"/>
          <w:szCs w:val="24"/>
          <w:lang w:val="en-US"/>
        </w:rPr>
        <w:t>logs</w:t>
      </w:r>
      <w:r w:rsidR="00EF43FF" w:rsidRPr="00E127AB">
        <w:rPr>
          <w:rFonts w:ascii="Book Antiqua" w:hAnsi="Book Antiqua" w:cs="Times New Roman"/>
          <w:color w:val="auto"/>
          <w:sz w:val="24"/>
          <w:szCs w:val="24"/>
          <w:vertAlign w:val="superscript"/>
          <w:lang w:val="en-US"/>
        </w:rPr>
        <w:t>[</w:t>
      </w:r>
      <w:proofErr w:type="gramEnd"/>
      <w:r w:rsidR="00F325EB" w:rsidRPr="00E127AB">
        <w:rPr>
          <w:rFonts w:ascii="Book Antiqua" w:hAnsi="Book Antiqua" w:cs="Times New Roman"/>
          <w:color w:val="auto"/>
          <w:sz w:val="24"/>
          <w:szCs w:val="24"/>
          <w:vertAlign w:val="superscript"/>
          <w:lang w:val="en-US"/>
        </w:rPr>
        <w:t>9]</w:t>
      </w:r>
      <w:r w:rsidRPr="00E127AB">
        <w:rPr>
          <w:rFonts w:ascii="Book Antiqua" w:hAnsi="Book Antiqua" w:cs="Times New Roman"/>
          <w:color w:val="auto"/>
          <w:sz w:val="24"/>
          <w:szCs w:val="24"/>
          <w:lang w:val="en-US"/>
        </w:rPr>
        <w:t xml:space="preserve">. </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hAnsi="Book Antiqua" w:cs="Times New Roman"/>
          <w:color w:val="auto"/>
          <w:sz w:val="24"/>
          <w:szCs w:val="24"/>
          <w:lang w:val="en-US" w:eastAsia="zh-CN"/>
        </w:rPr>
      </w:pPr>
      <w:r w:rsidRPr="00E127AB">
        <w:rPr>
          <w:rFonts w:ascii="Book Antiqua" w:hAnsi="Book Antiqua" w:cs="Times New Roman"/>
          <w:color w:val="auto"/>
          <w:sz w:val="24"/>
          <w:szCs w:val="24"/>
          <w:lang w:val="en-US"/>
        </w:rPr>
        <w:t>It is recommended that</w:t>
      </w:r>
      <w:r w:rsidRPr="00E127AB">
        <w:rPr>
          <w:rFonts w:ascii="Book Antiqua" w:hAnsi="Book Antiqua"/>
          <w:color w:val="auto"/>
          <w:sz w:val="24"/>
          <w:szCs w:val="24"/>
          <w:lang w:val="en-US"/>
        </w:rPr>
        <w:t xml:space="preserve"> </w:t>
      </w:r>
      <w:r w:rsidRPr="00E127AB">
        <w:rPr>
          <w:rFonts w:ascii="Book Antiqua" w:hAnsi="Book Antiqua" w:cs="Times New Roman"/>
          <w:color w:val="auto"/>
          <w:sz w:val="24"/>
          <w:szCs w:val="24"/>
          <w:lang w:val="en-US"/>
        </w:rPr>
        <w:t>either a molecular or cytogenetic test or both can be used for monitoring of CML. It’s depends on local conditions of center.</w:t>
      </w:r>
      <w:r w:rsidR="00F73E2D" w:rsidRPr="00E127AB">
        <w:rPr>
          <w:rFonts w:ascii="Book Antiqua" w:hAnsi="Book Antiqua" w:cs="Times New Roman"/>
          <w:color w:val="auto"/>
          <w:sz w:val="24"/>
          <w:szCs w:val="24"/>
          <w:lang w:val="en-US"/>
        </w:rPr>
        <w:t xml:space="preserve"> </w:t>
      </w:r>
      <w:r w:rsidRPr="00E127AB">
        <w:rPr>
          <w:rFonts w:ascii="Book Antiqua" w:hAnsi="Book Antiqua" w:cs="Times New Roman"/>
          <w:color w:val="auto"/>
          <w:sz w:val="24"/>
          <w:szCs w:val="24"/>
          <w:lang w:val="en-US"/>
        </w:rPr>
        <w:t>Routine blood counts with differentials are recommended every 1-2</w:t>
      </w:r>
      <w:r w:rsidR="0002755E" w:rsidRPr="00E127AB">
        <w:rPr>
          <w:rFonts w:ascii="Book Antiqua" w:hAnsi="Book Antiqua" w:cs="Times New Roman"/>
          <w:color w:val="auto"/>
          <w:sz w:val="24"/>
          <w:szCs w:val="24"/>
          <w:lang w:val="en-US"/>
        </w:rPr>
        <w:t xml:space="preserve"> </w:t>
      </w:r>
      <w:proofErr w:type="spellStart"/>
      <w:r w:rsidR="0002755E" w:rsidRPr="00E127AB">
        <w:rPr>
          <w:rFonts w:ascii="Book Antiqua" w:hAnsi="Book Antiqua" w:cs="Times New Roman"/>
          <w:color w:val="auto"/>
          <w:sz w:val="24"/>
          <w:szCs w:val="24"/>
          <w:lang w:val="en-US"/>
        </w:rPr>
        <w:t>wk</w:t>
      </w:r>
      <w:proofErr w:type="spellEnd"/>
      <w:r w:rsidRPr="00E127AB">
        <w:rPr>
          <w:rFonts w:ascii="Book Antiqua" w:hAnsi="Book Antiqua" w:cs="Times New Roman"/>
          <w:color w:val="auto"/>
          <w:sz w:val="24"/>
          <w:szCs w:val="24"/>
          <w:lang w:val="en-US"/>
        </w:rPr>
        <w:t xml:space="preserve"> until complete </w:t>
      </w:r>
      <w:r w:rsidRPr="00E127AB">
        <w:rPr>
          <w:rFonts w:ascii="Book Antiqua" w:hAnsi="Book Antiqua" w:cs="Times New Roman"/>
          <w:color w:val="auto"/>
          <w:sz w:val="24"/>
          <w:szCs w:val="24"/>
          <w:lang w:val="en-US"/>
        </w:rPr>
        <w:lastRenderedPageBreak/>
        <w:t xml:space="preserve">hematological response. Then, every </w:t>
      </w:r>
      <w:r w:rsidR="0002755E" w:rsidRPr="00E127AB">
        <w:rPr>
          <w:rFonts w:ascii="Book Antiqua" w:hAnsi="Book Antiqua" w:cs="Times New Roman"/>
          <w:color w:val="auto"/>
          <w:sz w:val="24"/>
          <w:szCs w:val="24"/>
          <w:lang w:val="en-US" w:eastAsia="zh-CN"/>
        </w:rPr>
        <w:t>three</w:t>
      </w:r>
      <w:r w:rsidRPr="00E127AB">
        <w:rPr>
          <w:rFonts w:ascii="Book Antiqua" w:hAnsi="Book Antiqua" w:cs="Times New Roman"/>
          <w:color w:val="auto"/>
          <w:sz w:val="24"/>
          <w:szCs w:val="24"/>
          <w:lang w:val="en-US"/>
        </w:rPr>
        <w:t xml:space="preserve"> months, it should be evaluated to assess any side effects of TKIs. Every </w:t>
      </w:r>
      <w:r w:rsidR="0002755E" w:rsidRPr="00E127AB">
        <w:rPr>
          <w:rFonts w:ascii="Book Antiqua" w:hAnsi="Book Antiqua" w:cs="Times New Roman"/>
          <w:color w:val="auto"/>
          <w:sz w:val="24"/>
          <w:szCs w:val="24"/>
          <w:lang w:val="en-US" w:eastAsia="zh-CN"/>
        </w:rPr>
        <w:t>three</w:t>
      </w:r>
      <w:r w:rsidRPr="00E127AB">
        <w:rPr>
          <w:rFonts w:ascii="Book Antiqua" w:hAnsi="Book Antiqua" w:cs="Times New Roman"/>
          <w:color w:val="auto"/>
          <w:sz w:val="24"/>
          <w:szCs w:val="24"/>
          <w:lang w:val="en-US"/>
        </w:rPr>
        <w:t xml:space="preserve"> months, molecular monitoring with qRT-PCR is recommended until major molecular response. Then, it can be performed every </w:t>
      </w:r>
      <w:r w:rsidR="0002755E" w:rsidRPr="00E127AB">
        <w:rPr>
          <w:rFonts w:ascii="Book Antiqua" w:hAnsi="Book Antiqua" w:cs="Times New Roman"/>
          <w:color w:val="auto"/>
          <w:sz w:val="24"/>
          <w:szCs w:val="24"/>
          <w:lang w:val="en-US"/>
        </w:rPr>
        <w:t>3-</w:t>
      </w:r>
      <w:r w:rsidRPr="00E127AB">
        <w:rPr>
          <w:rFonts w:ascii="Book Antiqua" w:hAnsi="Book Antiqua" w:cs="Times New Roman"/>
          <w:color w:val="auto"/>
          <w:sz w:val="24"/>
          <w:szCs w:val="24"/>
          <w:lang w:val="en-US"/>
        </w:rPr>
        <w:t xml:space="preserve">6 mo. CBA of marrow cell metaphases was used for cytogenetic analysis at 3, 6 and 12 </w:t>
      </w:r>
      <w:proofErr w:type="spellStart"/>
      <w:r w:rsidRPr="00E127AB">
        <w:rPr>
          <w:rFonts w:ascii="Book Antiqua" w:hAnsi="Book Antiqua" w:cs="Times New Roman"/>
          <w:color w:val="auto"/>
          <w:sz w:val="24"/>
          <w:szCs w:val="24"/>
          <w:lang w:val="en-US"/>
        </w:rPr>
        <w:t>mo</w:t>
      </w:r>
      <w:proofErr w:type="spellEnd"/>
      <w:r w:rsidRPr="00E127AB">
        <w:rPr>
          <w:rFonts w:ascii="Book Antiqua" w:hAnsi="Book Antiqua" w:cs="Times New Roman"/>
          <w:color w:val="auto"/>
          <w:sz w:val="24"/>
          <w:szCs w:val="24"/>
          <w:lang w:val="en-US"/>
        </w:rPr>
        <w:t xml:space="preserve"> until </w:t>
      </w:r>
      <w:proofErr w:type="spellStart"/>
      <w:r w:rsidRPr="00E127AB">
        <w:rPr>
          <w:rFonts w:ascii="Book Antiqua" w:hAnsi="Book Antiqua" w:cs="Times New Roman"/>
          <w:color w:val="auto"/>
          <w:sz w:val="24"/>
          <w:szCs w:val="24"/>
          <w:lang w:val="en-US"/>
        </w:rPr>
        <w:t>CCyR</w:t>
      </w:r>
      <w:proofErr w:type="spellEnd"/>
      <w:r w:rsidRPr="00E127AB">
        <w:rPr>
          <w:rFonts w:ascii="Book Antiqua" w:hAnsi="Book Antiqua" w:cs="Times New Roman"/>
          <w:color w:val="auto"/>
          <w:sz w:val="24"/>
          <w:szCs w:val="24"/>
          <w:lang w:val="en-US"/>
        </w:rPr>
        <w:t xml:space="preserve">. Then, it can be performed every </w:t>
      </w:r>
      <w:r w:rsidR="0002755E" w:rsidRPr="00E127AB">
        <w:rPr>
          <w:rFonts w:ascii="Book Antiqua" w:hAnsi="Book Antiqua" w:cs="Times New Roman"/>
          <w:color w:val="auto"/>
          <w:sz w:val="24"/>
          <w:szCs w:val="24"/>
          <w:lang w:val="en-US" w:eastAsia="zh-CN"/>
        </w:rPr>
        <w:t>twelve</w:t>
      </w:r>
      <w:r w:rsidRPr="00E127AB">
        <w:rPr>
          <w:rFonts w:ascii="Book Antiqua" w:hAnsi="Book Antiqua" w:cs="Times New Roman"/>
          <w:color w:val="auto"/>
          <w:sz w:val="24"/>
          <w:szCs w:val="24"/>
          <w:lang w:val="en-US"/>
        </w:rPr>
        <w:t xml:space="preserve"> months.</w:t>
      </w:r>
      <w:r w:rsidR="00F73E2D" w:rsidRPr="00E127AB">
        <w:rPr>
          <w:rFonts w:ascii="Book Antiqua" w:hAnsi="Book Antiqua" w:cs="Times New Roman"/>
          <w:color w:val="auto"/>
          <w:sz w:val="24"/>
          <w:szCs w:val="24"/>
          <w:lang w:val="en-US"/>
        </w:rPr>
        <w:t xml:space="preserve"> </w:t>
      </w:r>
      <w:r w:rsidRPr="00E127AB">
        <w:rPr>
          <w:rFonts w:ascii="Book Antiqua" w:hAnsi="Book Antiqua" w:cs="Times New Roman"/>
          <w:color w:val="auto"/>
          <w:sz w:val="24"/>
          <w:szCs w:val="24"/>
          <w:lang w:val="en-US"/>
        </w:rPr>
        <w:t>FISH on blood cells can be used for monitoring when the CCyR has been achieved. If patients fail to achieve therapeutic targets, progress to accelerate or blastic phase or show dysplastic changes, bone marrow biopsy and cytogenetic tests are recommended.</w:t>
      </w:r>
      <w:r w:rsidR="00F73E2D" w:rsidRPr="00E127AB">
        <w:rPr>
          <w:rFonts w:ascii="Book Antiqua" w:hAnsi="Book Antiqua" w:cs="Times New Roman"/>
          <w:color w:val="auto"/>
          <w:sz w:val="24"/>
          <w:szCs w:val="24"/>
          <w:lang w:val="en-US"/>
        </w:rPr>
        <w:t xml:space="preserve"> </w:t>
      </w:r>
      <w:r w:rsidRPr="00E127AB">
        <w:rPr>
          <w:rFonts w:ascii="Book Antiqua" w:hAnsi="Book Antiqua" w:cs="Times New Roman"/>
          <w:color w:val="auto"/>
          <w:sz w:val="24"/>
          <w:szCs w:val="24"/>
          <w:lang w:val="en-US"/>
        </w:rPr>
        <w:t>Mutational analysis should be performed in case of p</w:t>
      </w:r>
      <w:r w:rsidR="0002755E" w:rsidRPr="00E127AB">
        <w:rPr>
          <w:rFonts w:ascii="Book Antiqua" w:hAnsi="Book Antiqua" w:cs="Times New Roman"/>
          <w:color w:val="auto"/>
          <w:sz w:val="24"/>
          <w:szCs w:val="24"/>
          <w:lang w:val="en-US"/>
        </w:rPr>
        <w:t xml:space="preserve">rogression or treatment </w:t>
      </w:r>
      <w:proofErr w:type="gramStart"/>
      <w:r w:rsidR="0002755E" w:rsidRPr="00E127AB">
        <w:rPr>
          <w:rFonts w:ascii="Book Antiqua" w:hAnsi="Book Antiqua" w:cs="Times New Roman"/>
          <w:color w:val="auto"/>
          <w:sz w:val="24"/>
          <w:szCs w:val="24"/>
          <w:lang w:val="en-US"/>
        </w:rPr>
        <w:t>failure</w:t>
      </w:r>
      <w:r w:rsidR="00174708" w:rsidRPr="00E127AB">
        <w:rPr>
          <w:rFonts w:ascii="Book Antiqua" w:hAnsi="Book Antiqua" w:cs="Times New Roman"/>
          <w:color w:val="auto"/>
          <w:sz w:val="24"/>
          <w:szCs w:val="24"/>
          <w:vertAlign w:val="superscript"/>
          <w:lang w:val="en-US"/>
        </w:rPr>
        <w:t>[</w:t>
      </w:r>
      <w:proofErr w:type="gramEnd"/>
      <w:r w:rsidR="00174708" w:rsidRPr="00E127AB">
        <w:rPr>
          <w:rFonts w:ascii="Book Antiqua" w:hAnsi="Book Antiqua" w:cs="Times New Roman"/>
          <w:color w:val="auto"/>
          <w:sz w:val="24"/>
          <w:szCs w:val="24"/>
          <w:vertAlign w:val="superscript"/>
          <w:lang w:val="en-US"/>
        </w:rPr>
        <w:t>9]</w:t>
      </w:r>
      <w:r w:rsidRPr="00E127AB">
        <w:rPr>
          <w:rFonts w:ascii="Book Antiqua" w:hAnsi="Book Antiqua" w:cs="Times New Roman"/>
          <w:color w:val="auto"/>
          <w:sz w:val="24"/>
          <w:szCs w:val="24"/>
          <w:lang w:val="en-US"/>
        </w:rPr>
        <w:t xml:space="preserve">. </w:t>
      </w:r>
    </w:p>
    <w:p w:rsidR="0039324F" w:rsidRPr="00E127AB" w:rsidRDefault="0039324F"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Times New Roman"/>
          <w:color w:val="auto"/>
          <w:sz w:val="24"/>
          <w:szCs w:val="24"/>
          <w:lang w:val="en-US" w:eastAsia="zh-CN"/>
        </w:rPr>
      </w:pP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s="Times New Roman"/>
          <w:b/>
          <w:color w:val="auto"/>
          <w:sz w:val="24"/>
          <w:szCs w:val="24"/>
          <w:lang w:val="en-US"/>
        </w:rPr>
      </w:pPr>
      <w:r w:rsidRPr="00E127AB">
        <w:rPr>
          <w:rFonts w:ascii="Book Antiqua" w:hAnsi="Book Antiqua" w:cs="Times New Roman"/>
          <w:b/>
          <w:color w:val="auto"/>
          <w:sz w:val="24"/>
          <w:szCs w:val="24"/>
          <w:lang w:val="en-US"/>
        </w:rPr>
        <w:t>TREATMENT OF CML</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AdvOT863180fb"/>
          <w:color w:val="auto"/>
          <w:sz w:val="24"/>
          <w:szCs w:val="24"/>
          <w:lang w:val="en-US" w:eastAsia="zh-CN"/>
        </w:rPr>
      </w:pPr>
      <w:r w:rsidRPr="00E127AB">
        <w:rPr>
          <w:rFonts w:ascii="Book Antiqua" w:hAnsi="Book Antiqua" w:cs="Times New Roman"/>
          <w:color w:val="auto"/>
          <w:sz w:val="24"/>
          <w:szCs w:val="24"/>
          <w:lang w:val="en-US"/>
        </w:rPr>
        <w:t xml:space="preserve">Imatinib, the first </w:t>
      </w:r>
      <w:r w:rsidR="0002755E" w:rsidRPr="00E127AB">
        <w:rPr>
          <w:rFonts w:ascii="Book Antiqua" w:hAnsi="Book Antiqua" w:cs="Times New Roman"/>
          <w:color w:val="auto"/>
          <w:sz w:val="24"/>
          <w:szCs w:val="24"/>
          <w:lang w:val="en-US"/>
        </w:rPr>
        <w:t>TKI</w:t>
      </w:r>
      <w:r w:rsidRPr="00E127AB">
        <w:rPr>
          <w:rFonts w:ascii="Book Antiqua" w:hAnsi="Book Antiqua" w:cs="Times New Roman"/>
          <w:color w:val="auto"/>
          <w:sz w:val="24"/>
          <w:szCs w:val="24"/>
          <w:lang w:val="en-US"/>
        </w:rPr>
        <w:t>, improved the 10-year survival rate from 10</w:t>
      </w:r>
      <w:r w:rsidR="0002755E" w:rsidRPr="00E127AB">
        <w:rPr>
          <w:rFonts w:ascii="Book Antiqua" w:hAnsi="Book Antiqua" w:cs="Times New Roman"/>
          <w:color w:val="auto"/>
          <w:sz w:val="24"/>
          <w:szCs w:val="24"/>
          <w:lang w:val="en-US" w:eastAsia="zh-CN"/>
        </w:rPr>
        <w:t>%</w:t>
      </w:r>
      <w:r w:rsidRPr="00E127AB">
        <w:rPr>
          <w:rFonts w:ascii="Book Antiqua" w:hAnsi="Book Antiqua" w:cs="Times New Roman"/>
          <w:color w:val="auto"/>
          <w:sz w:val="24"/>
          <w:szCs w:val="24"/>
          <w:lang w:val="en-US"/>
        </w:rPr>
        <w:t>-20% to 80</w:t>
      </w:r>
      <w:r w:rsidR="0002755E" w:rsidRPr="00E127AB">
        <w:rPr>
          <w:rFonts w:ascii="Book Antiqua" w:hAnsi="Book Antiqua" w:cs="Times New Roman"/>
          <w:color w:val="auto"/>
          <w:sz w:val="24"/>
          <w:szCs w:val="24"/>
          <w:lang w:val="en-US" w:eastAsia="zh-CN"/>
        </w:rPr>
        <w:t>5</w:t>
      </w:r>
      <w:r w:rsidRPr="00E127AB">
        <w:rPr>
          <w:rFonts w:ascii="Book Antiqua" w:hAnsi="Book Antiqua" w:cs="Times New Roman"/>
          <w:color w:val="auto"/>
          <w:sz w:val="24"/>
          <w:szCs w:val="24"/>
          <w:lang w:val="en-US"/>
        </w:rPr>
        <w:t>-90%</w:t>
      </w:r>
      <w:r w:rsidR="00C010A4" w:rsidRPr="00E127AB">
        <w:rPr>
          <w:rFonts w:ascii="Book Antiqua" w:hAnsi="Book Antiqua" w:cs="Times New Roman"/>
          <w:color w:val="auto"/>
          <w:sz w:val="24"/>
          <w:szCs w:val="24"/>
          <w:vertAlign w:val="superscript"/>
          <w:lang w:val="en-US"/>
        </w:rPr>
        <w:t>[10]</w:t>
      </w:r>
      <w:r w:rsidRPr="00E127AB">
        <w:rPr>
          <w:rFonts w:ascii="Book Antiqua" w:hAnsi="Book Antiqua" w:cs="Times New Roman"/>
          <w:color w:val="auto"/>
          <w:sz w:val="24"/>
          <w:szCs w:val="24"/>
          <w:lang w:val="en-US"/>
        </w:rPr>
        <w:t xml:space="preserve">. Since its approval, two other </w:t>
      </w:r>
      <w:r w:rsidR="0002755E" w:rsidRPr="00E127AB">
        <w:rPr>
          <w:rFonts w:ascii="Book Antiqua" w:hAnsi="Book Antiqua" w:cs="Times New Roman"/>
          <w:color w:val="auto"/>
          <w:sz w:val="24"/>
          <w:szCs w:val="24"/>
          <w:lang w:val="en-US"/>
        </w:rPr>
        <w:t>TKIs</w:t>
      </w:r>
      <w:r w:rsidRPr="00E127AB">
        <w:rPr>
          <w:rFonts w:ascii="Book Antiqua" w:hAnsi="Book Antiqua" w:cs="Times New Roman"/>
          <w:color w:val="auto"/>
          <w:sz w:val="24"/>
          <w:szCs w:val="24"/>
          <w:lang w:val="en-US"/>
        </w:rPr>
        <w:t xml:space="preserve">, nilotinib and dasatinib, were approved first for second line then also for first line treatment for </w:t>
      </w:r>
      <w:proofErr w:type="gramStart"/>
      <w:r w:rsidR="00EF43FF" w:rsidRPr="00E127AB">
        <w:rPr>
          <w:rFonts w:ascii="Book Antiqua" w:hAnsi="Book Antiqua" w:cs="Times New Roman"/>
          <w:color w:val="auto"/>
          <w:sz w:val="24"/>
          <w:szCs w:val="24"/>
          <w:lang w:val="en-US"/>
        </w:rPr>
        <w:t>CML</w:t>
      </w:r>
      <w:r w:rsidR="00EF43FF" w:rsidRPr="00E127AB">
        <w:rPr>
          <w:rFonts w:ascii="Book Antiqua" w:hAnsi="Book Antiqua" w:cs="Times New Roman"/>
          <w:color w:val="auto"/>
          <w:sz w:val="24"/>
          <w:szCs w:val="24"/>
          <w:vertAlign w:val="superscript"/>
          <w:lang w:val="en-US"/>
        </w:rPr>
        <w:t>[</w:t>
      </w:r>
      <w:proofErr w:type="gramEnd"/>
      <w:r w:rsidR="00C010A4" w:rsidRPr="00E127AB">
        <w:rPr>
          <w:rFonts w:ascii="Book Antiqua" w:hAnsi="Book Antiqua" w:cs="Times New Roman"/>
          <w:color w:val="auto"/>
          <w:sz w:val="24"/>
          <w:szCs w:val="24"/>
          <w:vertAlign w:val="superscript"/>
          <w:lang w:val="en-US"/>
        </w:rPr>
        <w:t>11</w:t>
      </w:r>
      <w:r w:rsidR="0002755E" w:rsidRPr="00E127AB">
        <w:rPr>
          <w:rFonts w:ascii="Book Antiqua" w:hAnsi="Book Antiqua" w:cs="Times New Roman"/>
          <w:color w:val="auto"/>
          <w:sz w:val="24"/>
          <w:szCs w:val="24"/>
          <w:vertAlign w:val="superscript"/>
          <w:lang w:val="en-US"/>
        </w:rPr>
        <w:t>,</w:t>
      </w:r>
      <w:r w:rsidR="00A02D6C" w:rsidRPr="00E127AB">
        <w:rPr>
          <w:rFonts w:ascii="Book Antiqua" w:hAnsi="Book Antiqua" w:cs="Times New Roman"/>
          <w:color w:val="auto"/>
          <w:sz w:val="24"/>
          <w:szCs w:val="24"/>
          <w:vertAlign w:val="superscript"/>
          <w:lang w:val="en-US"/>
        </w:rPr>
        <w:t>12</w:t>
      </w:r>
      <w:r w:rsidR="00C010A4" w:rsidRPr="00E127AB">
        <w:rPr>
          <w:rFonts w:ascii="Book Antiqua" w:hAnsi="Book Antiqua" w:cs="Times New Roman"/>
          <w:color w:val="auto"/>
          <w:sz w:val="24"/>
          <w:szCs w:val="24"/>
          <w:vertAlign w:val="superscript"/>
          <w:lang w:val="en-US"/>
        </w:rPr>
        <w:t>]</w:t>
      </w:r>
      <w:r w:rsidRPr="00E127AB">
        <w:rPr>
          <w:rFonts w:ascii="Book Antiqua" w:hAnsi="Book Antiqua" w:cs="Times New Roman"/>
          <w:color w:val="auto"/>
          <w:sz w:val="24"/>
          <w:szCs w:val="24"/>
          <w:lang w:val="en-US"/>
        </w:rPr>
        <w:t xml:space="preserve">. </w:t>
      </w:r>
      <w:r w:rsidRPr="00E127AB">
        <w:rPr>
          <w:rFonts w:ascii="Book Antiqua" w:eastAsiaTheme="minorHAnsi" w:hAnsi="Book Antiqua" w:cs="AdvOT863180fb"/>
          <w:color w:val="auto"/>
          <w:sz w:val="24"/>
          <w:szCs w:val="24"/>
          <w:lang w:val="en-US"/>
        </w:rPr>
        <w:t>TKIs are now considered standard therapy for patients with chronic myelogenous leukemia.</w:t>
      </w:r>
    </w:p>
    <w:p w:rsidR="0039324F" w:rsidRPr="00E127AB" w:rsidRDefault="0039324F"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AdvOT863180fb"/>
          <w:color w:val="auto"/>
          <w:sz w:val="24"/>
          <w:szCs w:val="24"/>
          <w:lang w:val="en-US" w:eastAsia="zh-CN"/>
        </w:rPr>
      </w:pP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b/>
          <w:i/>
          <w:color w:val="auto"/>
          <w:sz w:val="24"/>
          <w:szCs w:val="24"/>
          <w:lang w:val="en-US"/>
        </w:rPr>
      </w:pPr>
      <w:r w:rsidRPr="00E127AB">
        <w:rPr>
          <w:rFonts w:ascii="Book Antiqua" w:eastAsiaTheme="minorHAnsi" w:hAnsi="Book Antiqua" w:cs="AdvOT863180fb"/>
          <w:b/>
          <w:i/>
          <w:color w:val="auto"/>
          <w:sz w:val="24"/>
          <w:szCs w:val="24"/>
          <w:lang w:val="en-US"/>
        </w:rPr>
        <w:t xml:space="preserve">First </w:t>
      </w:r>
      <w:r w:rsidR="0039324F" w:rsidRPr="00E127AB">
        <w:rPr>
          <w:rFonts w:ascii="Book Antiqua" w:eastAsiaTheme="minorHAnsi" w:hAnsi="Book Antiqua" w:cs="AdvOT863180fb"/>
          <w:b/>
          <w:i/>
          <w:color w:val="auto"/>
          <w:sz w:val="24"/>
          <w:szCs w:val="24"/>
          <w:lang w:val="en-US"/>
        </w:rPr>
        <w:t>line t</w:t>
      </w:r>
      <w:r w:rsidRPr="00E127AB">
        <w:rPr>
          <w:rFonts w:ascii="Book Antiqua" w:eastAsiaTheme="minorHAnsi" w:hAnsi="Book Antiqua" w:cs="AdvOT863180fb"/>
          <w:b/>
          <w:i/>
          <w:color w:val="auto"/>
          <w:sz w:val="24"/>
          <w:szCs w:val="24"/>
          <w:lang w:val="en-US"/>
        </w:rPr>
        <w:t xml:space="preserve">reatment of CP-CML </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Currently, imatinib (400 mg once daily), nilotinib (300 mg twice daily), and dasatinib (100 mg once daily) are recommended in first line </w:t>
      </w:r>
      <w:r w:rsidR="00EF43FF" w:rsidRPr="00E127AB">
        <w:rPr>
          <w:rFonts w:ascii="Book Antiqua" w:eastAsiaTheme="minorHAnsi" w:hAnsi="Book Antiqua" w:cs="AdvOT863180fb"/>
          <w:color w:val="auto"/>
          <w:sz w:val="24"/>
          <w:szCs w:val="24"/>
          <w:lang w:val="en-US"/>
        </w:rPr>
        <w:t>therapy</w:t>
      </w:r>
      <w:r w:rsidRPr="00E127AB">
        <w:rPr>
          <w:rFonts w:ascii="Book Antiqua" w:eastAsiaTheme="minorHAnsi" w:hAnsi="Book Antiqua" w:cs="AdvOT863180fb"/>
          <w:color w:val="auto"/>
          <w:sz w:val="24"/>
          <w:szCs w:val="24"/>
          <w:lang w:val="en-US"/>
        </w:rPr>
        <w:t xml:space="preserve"> of CP-</w:t>
      </w:r>
      <w:proofErr w:type="gramStart"/>
      <w:r w:rsidR="00EF43FF" w:rsidRPr="00E127AB">
        <w:rPr>
          <w:rFonts w:ascii="Book Antiqua" w:eastAsiaTheme="minorHAnsi" w:hAnsi="Book Antiqua" w:cs="AdvOT863180fb"/>
          <w:color w:val="auto"/>
          <w:sz w:val="24"/>
          <w:szCs w:val="24"/>
          <w:lang w:val="en-US"/>
        </w:rPr>
        <w:t>CML</w:t>
      </w:r>
      <w:r w:rsidR="00EF43FF" w:rsidRPr="00E127AB">
        <w:rPr>
          <w:rFonts w:ascii="Book Antiqua" w:hAnsi="Book Antiqua" w:cs="Times New Roman"/>
          <w:color w:val="auto"/>
          <w:sz w:val="24"/>
          <w:szCs w:val="24"/>
          <w:vertAlign w:val="superscript"/>
          <w:lang w:val="en-US"/>
        </w:rPr>
        <w:t>[</w:t>
      </w:r>
      <w:proofErr w:type="gramEnd"/>
      <w:r w:rsidR="00F23E1E" w:rsidRPr="00E127AB">
        <w:rPr>
          <w:rFonts w:ascii="Book Antiqua" w:hAnsi="Book Antiqua" w:cs="Times New Roman"/>
          <w:color w:val="auto"/>
          <w:sz w:val="24"/>
          <w:szCs w:val="24"/>
          <w:vertAlign w:val="superscript"/>
          <w:lang w:val="en-US"/>
        </w:rPr>
        <w:t>9]</w:t>
      </w:r>
      <w:r w:rsidRPr="00E127AB">
        <w:rPr>
          <w:rFonts w:ascii="Book Antiqua" w:eastAsiaTheme="minorHAnsi" w:hAnsi="Book Antiqua" w:cs="AdvOT863180fb"/>
          <w:color w:val="auto"/>
          <w:sz w:val="24"/>
          <w:szCs w:val="24"/>
          <w:lang w:val="en-US"/>
        </w:rPr>
        <w:t xml:space="preserve">. </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The main study of imatinib is International Randomized Study of Interferon and STI571 (IRIS). Patients with CML were randomized to receive </w:t>
      </w:r>
      <w:proofErr w:type="spellStart"/>
      <w:r w:rsidRPr="00E127AB">
        <w:rPr>
          <w:rFonts w:ascii="Book Antiqua" w:eastAsiaTheme="minorHAnsi" w:hAnsi="Book Antiqua" w:cs="AdvOT863180fb"/>
          <w:color w:val="auto"/>
          <w:sz w:val="24"/>
          <w:szCs w:val="24"/>
          <w:lang w:val="en-US"/>
        </w:rPr>
        <w:t>imatinib</w:t>
      </w:r>
      <w:proofErr w:type="spellEnd"/>
      <w:r w:rsidRPr="00E127AB">
        <w:rPr>
          <w:rFonts w:ascii="Book Antiqua" w:eastAsiaTheme="minorHAnsi" w:hAnsi="Book Antiqua" w:cs="AdvOT863180fb"/>
          <w:color w:val="auto"/>
          <w:sz w:val="24"/>
          <w:szCs w:val="24"/>
          <w:lang w:val="en-US"/>
        </w:rPr>
        <w:t xml:space="preserve"> 400 mg/d or INF-α plus low-dose subcutaneous </w:t>
      </w:r>
      <w:proofErr w:type="spellStart"/>
      <w:r w:rsidRPr="00E127AB">
        <w:rPr>
          <w:rFonts w:ascii="Book Antiqua" w:eastAsiaTheme="minorHAnsi" w:hAnsi="Book Antiqua" w:cs="AdvOT863180fb"/>
          <w:color w:val="auto"/>
          <w:sz w:val="24"/>
          <w:szCs w:val="24"/>
          <w:lang w:val="en-US"/>
        </w:rPr>
        <w:t>cytarabine</w:t>
      </w:r>
      <w:proofErr w:type="spellEnd"/>
      <w:r w:rsidRPr="00E127AB">
        <w:rPr>
          <w:rFonts w:ascii="Book Antiqua" w:eastAsiaTheme="minorHAnsi" w:hAnsi="Book Antiqua" w:cs="AdvOT863180fb"/>
          <w:color w:val="auto"/>
          <w:sz w:val="24"/>
          <w:szCs w:val="24"/>
          <w:lang w:val="en-US"/>
        </w:rPr>
        <w:t xml:space="preserve"> in this study.</w:t>
      </w:r>
      <w:r w:rsidR="00F73E2D" w:rsidRPr="00E127AB">
        <w:rPr>
          <w:rFonts w:ascii="Book Antiqua" w:eastAsiaTheme="minorHAnsi" w:hAnsi="Book Antiqua" w:cs="AdvOT863180fb"/>
          <w:color w:val="auto"/>
          <w:sz w:val="24"/>
          <w:szCs w:val="24"/>
          <w:lang w:val="en-US"/>
        </w:rPr>
        <w:t xml:space="preserve"> </w:t>
      </w:r>
      <w:r w:rsidRPr="00E127AB">
        <w:rPr>
          <w:rFonts w:ascii="Book Antiqua" w:eastAsiaTheme="minorHAnsi" w:hAnsi="Book Antiqua" w:cs="AdvOT863180fb"/>
          <w:color w:val="auto"/>
          <w:sz w:val="24"/>
          <w:szCs w:val="24"/>
          <w:lang w:val="en-US"/>
        </w:rPr>
        <w:t xml:space="preserve">After a median follow-up of 19 </w:t>
      </w:r>
      <w:proofErr w:type="spellStart"/>
      <w:r w:rsidRPr="00E127AB">
        <w:rPr>
          <w:rFonts w:ascii="Book Antiqua" w:eastAsiaTheme="minorHAnsi" w:hAnsi="Book Antiqua" w:cs="AdvOT863180fb"/>
          <w:color w:val="auto"/>
          <w:sz w:val="24"/>
          <w:szCs w:val="24"/>
          <w:lang w:val="en-US"/>
        </w:rPr>
        <w:t>mo</w:t>
      </w:r>
      <w:proofErr w:type="spellEnd"/>
      <w:r w:rsidRPr="00E127AB">
        <w:rPr>
          <w:rFonts w:ascii="Book Antiqua" w:eastAsiaTheme="minorHAnsi" w:hAnsi="Book Antiqua" w:cs="AdvOT863180fb"/>
          <w:color w:val="auto"/>
          <w:sz w:val="24"/>
          <w:szCs w:val="24"/>
          <w:lang w:val="en-US"/>
        </w:rPr>
        <w:t xml:space="preserve">, </w:t>
      </w:r>
      <w:proofErr w:type="spellStart"/>
      <w:r w:rsidRPr="00E127AB">
        <w:rPr>
          <w:rFonts w:ascii="Book Antiqua" w:eastAsiaTheme="minorHAnsi" w:hAnsi="Book Antiqua" w:cs="AdvOT863180fb"/>
          <w:color w:val="auto"/>
          <w:sz w:val="24"/>
          <w:szCs w:val="24"/>
          <w:lang w:val="en-US"/>
        </w:rPr>
        <w:t>CCyR</w:t>
      </w:r>
      <w:proofErr w:type="spellEnd"/>
      <w:r w:rsidRPr="00E127AB">
        <w:rPr>
          <w:rFonts w:ascii="Book Antiqua" w:eastAsiaTheme="minorHAnsi" w:hAnsi="Book Antiqua" w:cs="AdvOT863180fb"/>
          <w:color w:val="auto"/>
          <w:sz w:val="24"/>
          <w:szCs w:val="24"/>
          <w:lang w:val="en-US"/>
        </w:rPr>
        <w:t xml:space="preserve"> rate was 74% in imatinib arm and 9% in INF-α plus low-dose subcutaneous </w:t>
      </w:r>
      <w:proofErr w:type="spellStart"/>
      <w:r w:rsidRPr="00E127AB">
        <w:rPr>
          <w:rFonts w:ascii="Book Antiqua" w:eastAsiaTheme="minorHAnsi" w:hAnsi="Book Antiqua" w:cs="AdvOT863180fb"/>
          <w:color w:val="auto"/>
          <w:sz w:val="24"/>
          <w:szCs w:val="24"/>
          <w:lang w:val="en-US"/>
        </w:rPr>
        <w:t>cytarabine</w:t>
      </w:r>
      <w:proofErr w:type="spellEnd"/>
      <w:r w:rsidRPr="00E127AB">
        <w:rPr>
          <w:rFonts w:ascii="Book Antiqua" w:eastAsiaTheme="minorHAnsi" w:hAnsi="Book Antiqua" w:cs="AdvOT863180fb"/>
          <w:color w:val="auto"/>
          <w:sz w:val="24"/>
          <w:szCs w:val="24"/>
          <w:lang w:val="en-US"/>
        </w:rPr>
        <w:t xml:space="preserve"> (</w:t>
      </w:r>
      <w:r w:rsidRPr="00E127AB">
        <w:rPr>
          <w:rFonts w:ascii="Book Antiqua" w:eastAsiaTheme="minorHAnsi" w:hAnsi="Book Antiqua" w:cs="AdvOT863180fb"/>
          <w:i/>
          <w:color w:val="auto"/>
          <w:sz w:val="24"/>
          <w:szCs w:val="24"/>
          <w:lang w:val="en-US"/>
        </w:rPr>
        <w:t>P</w:t>
      </w:r>
      <w:r w:rsidR="001574CD"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&lt;</w:t>
      </w:r>
      <w:r w:rsidR="001574CD"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0.001)</w:t>
      </w:r>
      <w:r w:rsidR="00F23E1E" w:rsidRPr="00E127AB">
        <w:rPr>
          <w:rFonts w:ascii="Book Antiqua" w:hAnsi="Book Antiqua" w:cs="Times New Roman"/>
          <w:color w:val="auto"/>
          <w:sz w:val="24"/>
          <w:szCs w:val="24"/>
          <w:vertAlign w:val="superscript"/>
          <w:lang w:val="en-US"/>
        </w:rPr>
        <w:t>[13</w:t>
      </w:r>
      <w:r w:rsidR="00257AB0" w:rsidRPr="00E127AB">
        <w:rPr>
          <w:rFonts w:ascii="Book Antiqua" w:hAnsi="Book Antiqua" w:cs="Times New Roman"/>
          <w:color w:val="auto"/>
          <w:sz w:val="24"/>
          <w:szCs w:val="24"/>
          <w:vertAlign w:val="superscript"/>
          <w:lang w:val="en-US"/>
        </w:rPr>
        <w:t>]</w:t>
      </w:r>
      <w:r w:rsidR="00257AB0" w:rsidRPr="00E127AB">
        <w:rPr>
          <w:rFonts w:ascii="Book Antiqua" w:eastAsiaTheme="minorHAnsi" w:hAnsi="Book Antiqua" w:cs="AdvOT863180fb"/>
          <w:color w:val="auto"/>
          <w:sz w:val="24"/>
          <w:szCs w:val="24"/>
          <w:lang w:val="en-US"/>
        </w:rPr>
        <w:t>.</w:t>
      </w:r>
      <w:r w:rsidR="001574CD" w:rsidRPr="00E127AB">
        <w:rPr>
          <w:rFonts w:ascii="Book Antiqua" w:eastAsiaTheme="minorEastAsia" w:hAnsi="Book Antiqua" w:cs="AdvOT863180fb"/>
          <w:color w:val="auto"/>
          <w:sz w:val="24"/>
          <w:szCs w:val="24"/>
          <w:lang w:val="en-US" w:eastAsia="zh-CN"/>
        </w:rPr>
        <w:t xml:space="preserve"> </w:t>
      </w:r>
      <w:r w:rsidRPr="00E127AB">
        <w:rPr>
          <w:rFonts w:ascii="Book Antiqua" w:hAnsi="Book Antiqua"/>
          <w:color w:val="auto"/>
          <w:sz w:val="24"/>
          <w:szCs w:val="24"/>
          <w:lang w:val="en-US"/>
        </w:rPr>
        <w:t xml:space="preserve">In </w:t>
      </w:r>
      <w:r w:rsidR="001574CD" w:rsidRPr="00E127AB">
        <w:rPr>
          <w:rFonts w:ascii="Book Antiqua" w:eastAsiaTheme="minorHAnsi" w:hAnsi="Book Antiqua" w:cs="AdvOT863180fb"/>
          <w:color w:val="auto"/>
          <w:sz w:val="24"/>
          <w:szCs w:val="24"/>
          <w:lang w:val="en-US"/>
        </w:rPr>
        <w:t>8-year follow</w:t>
      </w:r>
      <w:r w:rsidR="001574CD" w:rsidRPr="00E127AB">
        <w:rPr>
          <w:rFonts w:ascii="Book Antiqua" w:eastAsiaTheme="minorEastAsia" w:hAnsi="Book Antiqua" w:cs="AdvOT863180fb"/>
          <w:color w:val="auto"/>
          <w:sz w:val="24"/>
          <w:szCs w:val="24"/>
          <w:lang w:val="en-US" w:eastAsia="zh-CN"/>
        </w:rPr>
        <w:t>-</w:t>
      </w:r>
      <w:r w:rsidRPr="00E127AB">
        <w:rPr>
          <w:rFonts w:ascii="Book Antiqua" w:eastAsiaTheme="minorHAnsi" w:hAnsi="Book Antiqua" w:cs="AdvOT863180fb"/>
          <w:color w:val="auto"/>
          <w:sz w:val="24"/>
          <w:szCs w:val="24"/>
          <w:lang w:val="en-US"/>
        </w:rPr>
        <w:t xml:space="preserve">up of the IRIS study, 53% of patients who treated with imatinib still had CCyR, although estimated event free survival (EFS) and overall survival (OS) rate were 81% and 93%, </w:t>
      </w:r>
      <w:proofErr w:type="gramStart"/>
      <w:r w:rsidR="00103EE0" w:rsidRPr="00E127AB">
        <w:rPr>
          <w:rFonts w:ascii="Book Antiqua" w:eastAsiaTheme="minorHAnsi" w:hAnsi="Book Antiqua" w:cs="AdvOT863180fb"/>
          <w:color w:val="auto"/>
          <w:sz w:val="24"/>
          <w:szCs w:val="24"/>
          <w:lang w:val="en-US"/>
        </w:rPr>
        <w:t>respectively</w:t>
      </w:r>
      <w:r w:rsidR="00103EE0" w:rsidRPr="00E127AB">
        <w:rPr>
          <w:rFonts w:ascii="Book Antiqua" w:hAnsi="Book Antiqua" w:cs="Times New Roman"/>
          <w:color w:val="auto"/>
          <w:sz w:val="24"/>
          <w:szCs w:val="24"/>
          <w:vertAlign w:val="superscript"/>
          <w:lang w:val="en-US"/>
        </w:rPr>
        <w:t>[</w:t>
      </w:r>
      <w:proofErr w:type="gramEnd"/>
      <w:r w:rsidR="00642973" w:rsidRPr="00E127AB">
        <w:rPr>
          <w:rFonts w:ascii="Book Antiqua" w:hAnsi="Book Antiqua" w:cs="Times New Roman"/>
          <w:color w:val="auto"/>
          <w:sz w:val="24"/>
          <w:szCs w:val="24"/>
          <w:vertAlign w:val="superscript"/>
          <w:lang w:val="en-US"/>
        </w:rPr>
        <w:t>10]</w:t>
      </w:r>
      <w:r w:rsidRPr="00E127AB">
        <w:rPr>
          <w:rFonts w:ascii="Book Antiqua" w:eastAsiaTheme="minorHAnsi" w:hAnsi="Book Antiqua" w:cs="AdvOT863180fb"/>
          <w:color w:val="auto"/>
          <w:sz w:val="24"/>
          <w:szCs w:val="24"/>
          <w:lang w:val="en-US"/>
        </w:rPr>
        <w:t>.</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The </w:t>
      </w:r>
      <w:proofErr w:type="spellStart"/>
      <w:r w:rsidRPr="00E127AB">
        <w:rPr>
          <w:rFonts w:ascii="Book Antiqua" w:eastAsiaTheme="minorHAnsi" w:hAnsi="Book Antiqua" w:cs="AdvOT863180fb"/>
          <w:color w:val="auto"/>
          <w:sz w:val="24"/>
          <w:szCs w:val="24"/>
          <w:lang w:val="en-US"/>
        </w:rPr>
        <w:t>Dasatinib</w:t>
      </w:r>
      <w:proofErr w:type="spellEnd"/>
      <w:r w:rsidRPr="00E127AB">
        <w:rPr>
          <w:rFonts w:ascii="Book Antiqua" w:eastAsiaTheme="minorHAnsi" w:hAnsi="Book Antiqua" w:cs="AdvOT863180fb"/>
          <w:color w:val="auto"/>
          <w:sz w:val="24"/>
          <w:szCs w:val="24"/>
          <w:lang w:val="en-US"/>
        </w:rPr>
        <w:t xml:space="preserve"> </w:t>
      </w:r>
      <w:r w:rsidRPr="00E127AB">
        <w:rPr>
          <w:rFonts w:ascii="Book Antiqua" w:eastAsiaTheme="minorHAnsi" w:hAnsi="Book Antiqua" w:cs="AdvOT863180fb"/>
          <w:i/>
          <w:color w:val="auto"/>
          <w:sz w:val="24"/>
          <w:szCs w:val="24"/>
          <w:lang w:val="en-US"/>
        </w:rPr>
        <w:t>vs</w:t>
      </w:r>
      <w:r w:rsidRPr="00E127AB">
        <w:rPr>
          <w:rFonts w:ascii="Book Antiqua" w:eastAsiaTheme="minorHAnsi" w:hAnsi="Book Antiqua" w:cs="AdvOT863180fb"/>
          <w:color w:val="auto"/>
          <w:sz w:val="24"/>
          <w:szCs w:val="24"/>
          <w:lang w:val="en-US"/>
        </w:rPr>
        <w:t xml:space="preserve"> </w:t>
      </w:r>
      <w:proofErr w:type="spellStart"/>
      <w:r w:rsidRPr="00E127AB">
        <w:rPr>
          <w:rFonts w:ascii="Book Antiqua" w:eastAsiaTheme="minorHAnsi" w:hAnsi="Book Antiqua" w:cs="AdvOT863180fb"/>
          <w:color w:val="auto"/>
          <w:sz w:val="24"/>
          <w:szCs w:val="24"/>
          <w:lang w:val="en-US"/>
        </w:rPr>
        <w:t>Imatinib</w:t>
      </w:r>
      <w:proofErr w:type="spellEnd"/>
      <w:r w:rsidRPr="00E127AB">
        <w:rPr>
          <w:rFonts w:ascii="Book Antiqua" w:eastAsiaTheme="minorHAnsi" w:hAnsi="Book Antiqua" w:cs="AdvOT863180fb"/>
          <w:color w:val="auto"/>
          <w:sz w:val="24"/>
          <w:szCs w:val="24"/>
          <w:lang w:val="en-US"/>
        </w:rPr>
        <w:t xml:space="preserve"> Study in Treatment-Naive CML Patients (DASISION) and the Evaluating Nilotinib Efficacy and Safety in Clinical Trials-Newly Diagnosed Patients study (ENEST-</w:t>
      </w:r>
      <w:proofErr w:type="spellStart"/>
      <w:r w:rsidRPr="00E127AB">
        <w:rPr>
          <w:rFonts w:ascii="Book Antiqua" w:eastAsiaTheme="minorHAnsi" w:hAnsi="Book Antiqua" w:cs="AdvOT863180fb"/>
          <w:color w:val="auto"/>
          <w:sz w:val="24"/>
          <w:szCs w:val="24"/>
          <w:lang w:val="en-US"/>
        </w:rPr>
        <w:t>nd</w:t>
      </w:r>
      <w:proofErr w:type="spellEnd"/>
      <w:r w:rsidRPr="00E127AB">
        <w:rPr>
          <w:rFonts w:ascii="Book Antiqua" w:eastAsiaTheme="minorHAnsi" w:hAnsi="Book Antiqua" w:cs="AdvOT863180fb"/>
          <w:color w:val="auto"/>
          <w:sz w:val="24"/>
          <w:szCs w:val="24"/>
          <w:lang w:val="en-US"/>
        </w:rPr>
        <w:t>) are randomized, prospective studies that showed superiority of dasatinib and nilotinib versus imati</w:t>
      </w:r>
      <w:r w:rsidR="00051995" w:rsidRPr="00E127AB">
        <w:rPr>
          <w:rFonts w:ascii="Book Antiqua" w:eastAsiaTheme="minorHAnsi" w:hAnsi="Book Antiqua" w:cs="AdvOT863180fb"/>
          <w:color w:val="auto"/>
          <w:sz w:val="24"/>
          <w:szCs w:val="24"/>
          <w:lang w:val="en-US"/>
        </w:rPr>
        <w:t>ni</w:t>
      </w:r>
      <w:r w:rsidRPr="00E127AB">
        <w:rPr>
          <w:rFonts w:ascii="Book Antiqua" w:eastAsiaTheme="minorHAnsi" w:hAnsi="Book Antiqua" w:cs="AdvOT863180fb"/>
          <w:color w:val="auto"/>
          <w:sz w:val="24"/>
          <w:szCs w:val="24"/>
          <w:lang w:val="en-US"/>
        </w:rPr>
        <w:t xml:space="preserve">b in newly diagnosed CML patients. In DASISION study, CCyR rate at 12 </w:t>
      </w:r>
      <w:proofErr w:type="spellStart"/>
      <w:r w:rsidRPr="00E127AB">
        <w:rPr>
          <w:rFonts w:ascii="Book Antiqua" w:eastAsiaTheme="minorHAnsi" w:hAnsi="Book Antiqua" w:cs="AdvOT863180fb"/>
          <w:color w:val="auto"/>
          <w:sz w:val="24"/>
          <w:szCs w:val="24"/>
          <w:lang w:val="en-US"/>
        </w:rPr>
        <w:t>mo</w:t>
      </w:r>
      <w:proofErr w:type="spellEnd"/>
      <w:r w:rsidRPr="00E127AB">
        <w:rPr>
          <w:rFonts w:ascii="Book Antiqua" w:eastAsiaTheme="minorHAnsi" w:hAnsi="Book Antiqua" w:cs="AdvOT863180fb"/>
          <w:color w:val="auto"/>
          <w:sz w:val="24"/>
          <w:szCs w:val="24"/>
          <w:lang w:val="en-US"/>
        </w:rPr>
        <w:t xml:space="preserve"> was 77% in dasatinib arm and 66% </w:t>
      </w:r>
      <w:r w:rsidRPr="00E127AB">
        <w:rPr>
          <w:rFonts w:ascii="Book Antiqua" w:eastAsiaTheme="minorHAnsi" w:hAnsi="Book Antiqua" w:cs="AdvOT863180fb"/>
          <w:color w:val="auto"/>
          <w:sz w:val="24"/>
          <w:szCs w:val="24"/>
          <w:lang w:val="en-US"/>
        </w:rPr>
        <w:lastRenderedPageBreak/>
        <w:t xml:space="preserve">in </w:t>
      </w:r>
      <w:proofErr w:type="spellStart"/>
      <w:r w:rsidRPr="00E127AB">
        <w:rPr>
          <w:rFonts w:ascii="Book Antiqua" w:eastAsiaTheme="minorHAnsi" w:hAnsi="Book Antiqua" w:cs="AdvOT863180fb"/>
          <w:color w:val="auto"/>
          <w:sz w:val="24"/>
          <w:szCs w:val="24"/>
          <w:lang w:val="en-US"/>
        </w:rPr>
        <w:t>imatinib</w:t>
      </w:r>
      <w:proofErr w:type="spellEnd"/>
      <w:r w:rsidRPr="00E127AB">
        <w:rPr>
          <w:rFonts w:ascii="Book Antiqua" w:eastAsiaTheme="minorHAnsi" w:hAnsi="Book Antiqua" w:cs="AdvOT863180fb"/>
          <w:color w:val="auto"/>
          <w:sz w:val="24"/>
          <w:szCs w:val="24"/>
          <w:lang w:val="en-US"/>
        </w:rPr>
        <w:t xml:space="preserve"> arm (</w:t>
      </w:r>
      <w:r w:rsidRPr="00E127AB">
        <w:rPr>
          <w:rFonts w:ascii="Book Antiqua" w:eastAsiaTheme="minorHAnsi" w:hAnsi="Book Antiqua" w:cs="AdvOT863180fb"/>
          <w:i/>
          <w:color w:val="auto"/>
          <w:sz w:val="24"/>
          <w:szCs w:val="24"/>
          <w:lang w:val="en-US"/>
        </w:rPr>
        <w:t>P</w:t>
      </w:r>
      <w:r w:rsidR="001574CD"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w:t>
      </w:r>
      <w:r w:rsidR="001574CD"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0.007</w:t>
      </w:r>
      <w:proofErr w:type="gramStart"/>
      <w:r w:rsidRPr="00E127AB">
        <w:rPr>
          <w:rFonts w:ascii="Book Antiqua" w:eastAsiaTheme="minorHAnsi" w:hAnsi="Book Antiqua" w:cs="AdvOT863180fb"/>
          <w:color w:val="auto"/>
          <w:sz w:val="24"/>
          <w:szCs w:val="24"/>
          <w:lang w:val="en-US"/>
        </w:rPr>
        <w:t>)</w:t>
      </w:r>
      <w:r w:rsidR="006B5006" w:rsidRPr="00E127AB">
        <w:rPr>
          <w:rFonts w:ascii="Book Antiqua" w:hAnsi="Book Antiqua" w:cs="Times New Roman"/>
          <w:color w:val="auto"/>
          <w:sz w:val="24"/>
          <w:szCs w:val="24"/>
          <w:vertAlign w:val="superscript"/>
          <w:lang w:val="en-US"/>
        </w:rPr>
        <w:t>[</w:t>
      </w:r>
      <w:proofErr w:type="gramEnd"/>
      <w:r w:rsidR="001574CD" w:rsidRPr="00E127AB">
        <w:rPr>
          <w:rFonts w:ascii="Book Antiqua" w:hAnsi="Book Antiqua" w:cs="Times New Roman"/>
          <w:color w:val="auto"/>
          <w:sz w:val="24"/>
          <w:szCs w:val="24"/>
          <w:vertAlign w:val="superscript"/>
          <w:lang w:val="en-US"/>
        </w:rPr>
        <w:t>11,</w:t>
      </w:r>
      <w:r w:rsidR="006B5006" w:rsidRPr="00E127AB">
        <w:rPr>
          <w:rFonts w:ascii="Book Antiqua" w:hAnsi="Book Antiqua" w:cs="Times New Roman"/>
          <w:color w:val="auto"/>
          <w:sz w:val="24"/>
          <w:szCs w:val="24"/>
          <w:vertAlign w:val="superscript"/>
          <w:lang w:val="en-US"/>
        </w:rPr>
        <w:t>1</w:t>
      </w:r>
      <w:r w:rsidR="00EE487E" w:rsidRPr="00E127AB">
        <w:rPr>
          <w:rFonts w:ascii="Book Antiqua" w:hAnsi="Book Antiqua" w:cs="Times New Roman"/>
          <w:color w:val="auto"/>
          <w:sz w:val="24"/>
          <w:szCs w:val="24"/>
          <w:vertAlign w:val="superscript"/>
          <w:lang w:val="en-US"/>
        </w:rPr>
        <w:t>4</w:t>
      </w:r>
      <w:r w:rsidR="006B5006" w:rsidRPr="00E127AB">
        <w:rPr>
          <w:rFonts w:ascii="Book Antiqua" w:hAnsi="Book Antiqua" w:cs="Times New Roman"/>
          <w:color w:val="auto"/>
          <w:sz w:val="24"/>
          <w:szCs w:val="24"/>
          <w:vertAlign w:val="superscript"/>
          <w:lang w:val="en-US"/>
        </w:rPr>
        <w:t>]</w:t>
      </w:r>
      <w:r w:rsidRPr="00E127AB">
        <w:rPr>
          <w:rFonts w:ascii="Book Antiqua" w:eastAsiaTheme="minorHAnsi" w:hAnsi="Book Antiqua" w:cs="AdvOT863180fb"/>
          <w:color w:val="auto"/>
          <w:sz w:val="24"/>
          <w:szCs w:val="24"/>
          <w:lang w:val="en-US"/>
        </w:rPr>
        <w:t>. In 3-year fol</w:t>
      </w:r>
      <w:r w:rsidR="001574CD" w:rsidRPr="00E127AB">
        <w:rPr>
          <w:rFonts w:ascii="Book Antiqua" w:eastAsiaTheme="minorHAnsi" w:hAnsi="Book Antiqua" w:cs="AdvOT863180fb"/>
          <w:color w:val="auto"/>
          <w:sz w:val="24"/>
          <w:szCs w:val="24"/>
          <w:lang w:val="en-US"/>
        </w:rPr>
        <w:t>low</w:t>
      </w:r>
      <w:r w:rsidR="001574CD" w:rsidRPr="00E127AB">
        <w:rPr>
          <w:rFonts w:ascii="Book Antiqua" w:eastAsiaTheme="minorEastAsia" w:hAnsi="Book Antiqua" w:cs="AdvOT863180fb"/>
          <w:color w:val="auto"/>
          <w:sz w:val="24"/>
          <w:szCs w:val="24"/>
          <w:lang w:val="en-US" w:eastAsia="zh-CN"/>
        </w:rPr>
        <w:t>-</w:t>
      </w:r>
      <w:r w:rsidRPr="00E127AB">
        <w:rPr>
          <w:rFonts w:ascii="Book Antiqua" w:eastAsiaTheme="minorHAnsi" w:hAnsi="Book Antiqua" w:cs="AdvOT863180fb"/>
          <w:color w:val="auto"/>
          <w:sz w:val="24"/>
          <w:szCs w:val="24"/>
          <w:lang w:val="en-US"/>
        </w:rPr>
        <w:t xml:space="preserve">up, responses were deeper and faster than imatinib arm. The 3-year OS and progression free survival (PFS) rates were similar both arms, but transformation to AP-CML and BP-CML was lesser than </w:t>
      </w:r>
      <w:proofErr w:type="spellStart"/>
      <w:r w:rsidRPr="00E127AB">
        <w:rPr>
          <w:rFonts w:ascii="Book Antiqua" w:eastAsiaTheme="minorHAnsi" w:hAnsi="Book Antiqua" w:cs="AdvOT863180fb"/>
          <w:color w:val="auto"/>
          <w:sz w:val="24"/>
          <w:szCs w:val="24"/>
          <w:lang w:val="en-US"/>
        </w:rPr>
        <w:t>imatinib</w:t>
      </w:r>
      <w:proofErr w:type="spellEnd"/>
      <w:r w:rsidRPr="00E127AB">
        <w:rPr>
          <w:rFonts w:ascii="Book Antiqua" w:eastAsiaTheme="minorHAnsi" w:hAnsi="Book Antiqua" w:cs="AdvOT863180fb"/>
          <w:color w:val="auto"/>
          <w:sz w:val="24"/>
          <w:szCs w:val="24"/>
          <w:lang w:val="en-US"/>
        </w:rPr>
        <w:t xml:space="preserve"> </w:t>
      </w:r>
      <w:proofErr w:type="gramStart"/>
      <w:r w:rsidRPr="00E127AB">
        <w:rPr>
          <w:rFonts w:ascii="Book Antiqua" w:eastAsiaTheme="minorHAnsi" w:hAnsi="Book Antiqua" w:cs="AdvOT863180fb"/>
          <w:color w:val="auto"/>
          <w:sz w:val="24"/>
          <w:szCs w:val="24"/>
          <w:lang w:val="en-US"/>
        </w:rPr>
        <w:t>arm</w:t>
      </w:r>
      <w:r w:rsidR="00DF655A" w:rsidRPr="00E127AB">
        <w:rPr>
          <w:rFonts w:ascii="Book Antiqua" w:hAnsi="Book Antiqua" w:cs="Times New Roman"/>
          <w:color w:val="auto"/>
          <w:sz w:val="24"/>
          <w:szCs w:val="24"/>
          <w:vertAlign w:val="superscript"/>
          <w:lang w:val="en-US"/>
        </w:rPr>
        <w:t>[</w:t>
      </w:r>
      <w:proofErr w:type="gramEnd"/>
      <w:r w:rsidR="00DF655A" w:rsidRPr="00E127AB">
        <w:rPr>
          <w:rFonts w:ascii="Book Antiqua" w:hAnsi="Book Antiqua" w:cs="Times New Roman"/>
          <w:color w:val="auto"/>
          <w:sz w:val="24"/>
          <w:szCs w:val="24"/>
          <w:vertAlign w:val="superscript"/>
          <w:lang w:val="en-US"/>
        </w:rPr>
        <w:t>15]</w:t>
      </w:r>
      <w:r w:rsidR="00BE217D" w:rsidRPr="00E127AB">
        <w:rPr>
          <w:rFonts w:ascii="Book Antiqua" w:eastAsiaTheme="minorHAnsi" w:hAnsi="Book Antiqua" w:cs="AdvOT863180fb"/>
          <w:color w:val="auto"/>
          <w:sz w:val="24"/>
          <w:szCs w:val="24"/>
          <w:lang w:val="en-US"/>
        </w:rPr>
        <w:t xml:space="preserve">. </w:t>
      </w:r>
      <w:r w:rsidRPr="00E127AB">
        <w:rPr>
          <w:rFonts w:ascii="Book Antiqua" w:eastAsiaTheme="minorHAnsi" w:hAnsi="Book Antiqua" w:cs="AdvOT863180fb"/>
          <w:color w:val="auto"/>
          <w:sz w:val="24"/>
          <w:szCs w:val="24"/>
          <w:lang w:val="en-US"/>
        </w:rPr>
        <w:t>In ENEST-</w:t>
      </w:r>
      <w:proofErr w:type="spellStart"/>
      <w:r w:rsidRPr="00E127AB">
        <w:rPr>
          <w:rFonts w:ascii="Book Antiqua" w:eastAsiaTheme="minorHAnsi" w:hAnsi="Book Antiqua" w:cs="AdvOT863180fb"/>
          <w:color w:val="auto"/>
          <w:sz w:val="24"/>
          <w:szCs w:val="24"/>
          <w:lang w:val="en-US"/>
        </w:rPr>
        <w:t>nd</w:t>
      </w:r>
      <w:proofErr w:type="spellEnd"/>
      <w:r w:rsidRPr="00E127AB">
        <w:rPr>
          <w:rFonts w:ascii="Book Antiqua" w:eastAsiaTheme="minorHAnsi" w:hAnsi="Book Antiqua" w:cs="AdvOT863180fb"/>
          <w:color w:val="auto"/>
          <w:sz w:val="24"/>
          <w:szCs w:val="24"/>
          <w:lang w:val="en-US"/>
        </w:rPr>
        <w:t xml:space="preserve"> study, MMR rates at 12 </w:t>
      </w:r>
      <w:proofErr w:type="spellStart"/>
      <w:r w:rsidRPr="00E127AB">
        <w:rPr>
          <w:rFonts w:ascii="Book Antiqua" w:eastAsiaTheme="minorHAnsi" w:hAnsi="Book Antiqua" w:cs="AdvOT863180fb"/>
          <w:color w:val="auto"/>
          <w:sz w:val="24"/>
          <w:szCs w:val="24"/>
          <w:lang w:val="en-US"/>
        </w:rPr>
        <w:t>mo</w:t>
      </w:r>
      <w:proofErr w:type="spellEnd"/>
      <w:r w:rsidRPr="00E127AB">
        <w:rPr>
          <w:rFonts w:ascii="Book Antiqua" w:eastAsiaTheme="minorHAnsi" w:hAnsi="Book Antiqua" w:cs="AdvOT863180fb"/>
          <w:color w:val="auto"/>
          <w:sz w:val="24"/>
          <w:szCs w:val="24"/>
          <w:lang w:val="en-US"/>
        </w:rPr>
        <w:t xml:space="preserve"> were 44% in the arm of nilotinib 300 mg orally twice daily, 43% in the arm of nilotinib 400 mg orally twice daily, and 22% in the arm of imatinib (</w:t>
      </w:r>
      <w:r w:rsidRPr="00E127AB">
        <w:rPr>
          <w:rFonts w:ascii="Book Antiqua" w:eastAsiaTheme="minorHAnsi" w:hAnsi="Book Antiqua" w:cs="AdvOT863180fb"/>
          <w:i/>
          <w:color w:val="auto"/>
          <w:sz w:val="24"/>
          <w:szCs w:val="24"/>
          <w:lang w:val="en-US"/>
        </w:rPr>
        <w:t>P</w:t>
      </w:r>
      <w:r w:rsidRPr="00E127AB">
        <w:rPr>
          <w:rFonts w:ascii="Book Antiqua" w:eastAsiaTheme="minorHAnsi" w:hAnsi="Book Antiqua" w:cs="AdvOT863180fb"/>
          <w:color w:val="auto"/>
          <w:sz w:val="24"/>
          <w:szCs w:val="24"/>
          <w:lang w:val="en-US"/>
        </w:rPr>
        <w:t xml:space="preserve"> &lt; 0.001). The CCyR rates at 12 </w:t>
      </w:r>
      <w:proofErr w:type="spellStart"/>
      <w:proofErr w:type="gramStart"/>
      <w:r w:rsidRPr="00E127AB">
        <w:rPr>
          <w:rFonts w:ascii="Book Antiqua" w:eastAsiaTheme="minorHAnsi" w:hAnsi="Book Antiqua" w:cs="AdvOT863180fb"/>
          <w:color w:val="auto"/>
          <w:sz w:val="24"/>
          <w:szCs w:val="24"/>
          <w:lang w:val="en-US"/>
        </w:rPr>
        <w:t>mo</w:t>
      </w:r>
      <w:proofErr w:type="spellEnd"/>
      <w:proofErr w:type="gramEnd"/>
      <w:r w:rsidRPr="00E127AB">
        <w:rPr>
          <w:rFonts w:ascii="Book Antiqua" w:eastAsiaTheme="minorHAnsi" w:hAnsi="Book Antiqua" w:cs="AdvOT863180fb"/>
          <w:color w:val="auto"/>
          <w:sz w:val="24"/>
          <w:szCs w:val="24"/>
          <w:lang w:val="en-US"/>
        </w:rPr>
        <w:t xml:space="preserve"> were significantly higher for nilotinib (80% for the 300-mg dose and 78% for the 400-mg dose) than for </w:t>
      </w:r>
      <w:proofErr w:type="spellStart"/>
      <w:r w:rsidRPr="00E127AB">
        <w:rPr>
          <w:rFonts w:ascii="Book Antiqua" w:eastAsiaTheme="minorHAnsi" w:hAnsi="Book Antiqua" w:cs="AdvOT863180fb"/>
          <w:color w:val="auto"/>
          <w:sz w:val="24"/>
          <w:szCs w:val="24"/>
          <w:lang w:val="en-US"/>
        </w:rPr>
        <w:t>imatinib</w:t>
      </w:r>
      <w:proofErr w:type="spellEnd"/>
      <w:r w:rsidRPr="00E127AB">
        <w:rPr>
          <w:rFonts w:ascii="Book Antiqua" w:eastAsiaTheme="minorHAnsi" w:hAnsi="Book Antiqua" w:cs="AdvOT863180fb"/>
          <w:color w:val="auto"/>
          <w:sz w:val="24"/>
          <w:szCs w:val="24"/>
          <w:lang w:val="en-US"/>
        </w:rPr>
        <w:t xml:space="preserve"> (65%) (</w:t>
      </w:r>
      <w:r w:rsidRPr="00E127AB">
        <w:rPr>
          <w:rFonts w:ascii="Book Antiqua" w:eastAsiaTheme="minorHAnsi" w:hAnsi="Book Antiqua" w:cs="AdvOT863180fb"/>
          <w:i/>
          <w:color w:val="auto"/>
          <w:sz w:val="24"/>
          <w:szCs w:val="24"/>
          <w:lang w:val="en-US"/>
        </w:rPr>
        <w:t>P</w:t>
      </w:r>
      <w:r w:rsidR="001574CD"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&lt;</w:t>
      </w:r>
      <w:r w:rsidR="001574CD"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0.001)</w:t>
      </w:r>
      <w:r w:rsidR="00500AF1" w:rsidRPr="00E127AB">
        <w:rPr>
          <w:rFonts w:ascii="Book Antiqua" w:hAnsi="Book Antiqua" w:cs="Times New Roman"/>
          <w:color w:val="auto"/>
          <w:sz w:val="24"/>
          <w:szCs w:val="24"/>
          <w:vertAlign w:val="superscript"/>
          <w:lang w:val="en-US"/>
        </w:rPr>
        <w:t>[1</w:t>
      </w:r>
      <w:r w:rsidR="00ED58CD" w:rsidRPr="00E127AB">
        <w:rPr>
          <w:rFonts w:ascii="Book Antiqua" w:hAnsi="Book Antiqua" w:cs="Times New Roman"/>
          <w:color w:val="auto"/>
          <w:sz w:val="24"/>
          <w:szCs w:val="24"/>
          <w:vertAlign w:val="superscript"/>
          <w:lang w:val="en-US"/>
        </w:rPr>
        <w:t>2</w:t>
      </w:r>
      <w:r w:rsidR="00500AF1" w:rsidRPr="00E127AB">
        <w:rPr>
          <w:rFonts w:ascii="Book Antiqua" w:hAnsi="Book Antiqua" w:cs="Times New Roman"/>
          <w:color w:val="auto"/>
          <w:sz w:val="24"/>
          <w:szCs w:val="24"/>
          <w:vertAlign w:val="superscript"/>
          <w:lang w:val="en-US"/>
        </w:rPr>
        <w:t>]</w:t>
      </w:r>
      <w:r w:rsidRPr="00E127AB">
        <w:rPr>
          <w:rFonts w:ascii="Book Antiqua" w:eastAsiaTheme="minorHAnsi" w:hAnsi="Book Antiqua" w:cs="AdvOT863180fb"/>
          <w:color w:val="auto"/>
          <w:sz w:val="24"/>
          <w:szCs w:val="24"/>
          <w:lang w:val="en-US"/>
        </w:rPr>
        <w:t>.</w:t>
      </w:r>
      <w:r w:rsidR="006A0BFB" w:rsidRPr="00E127AB">
        <w:rPr>
          <w:rFonts w:ascii="Book Antiqua" w:eastAsiaTheme="minorHAnsi" w:hAnsi="Book Antiqua" w:cs="AdvOT863180fb"/>
          <w:color w:val="auto"/>
          <w:sz w:val="24"/>
          <w:szCs w:val="24"/>
          <w:lang w:val="en-US"/>
        </w:rPr>
        <w:t xml:space="preserve"> </w:t>
      </w:r>
      <w:r w:rsidR="001574CD" w:rsidRPr="00E127AB">
        <w:rPr>
          <w:rFonts w:ascii="Book Antiqua" w:eastAsiaTheme="minorHAnsi" w:hAnsi="Book Antiqua" w:cs="AdvOT863180fb"/>
          <w:color w:val="auto"/>
          <w:sz w:val="24"/>
          <w:szCs w:val="24"/>
          <w:lang w:val="en-US"/>
        </w:rPr>
        <w:t>In 3-year follow</w:t>
      </w:r>
      <w:r w:rsidR="001574CD" w:rsidRPr="00E127AB">
        <w:rPr>
          <w:rFonts w:ascii="Book Antiqua" w:eastAsiaTheme="minorEastAsia" w:hAnsi="Book Antiqua" w:cs="AdvOT863180fb"/>
          <w:color w:val="auto"/>
          <w:sz w:val="24"/>
          <w:szCs w:val="24"/>
          <w:lang w:val="en-US" w:eastAsia="zh-CN"/>
        </w:rPr>
        <w:t>-</w:t>
      </w:r>
      <w:r w:rsidRPr="00E127AB">
        <w:rPr>
          <w:rFonts w:ascii="Book Antiqua" w:eastAsiaTheme="minorHAnsi" w:hAnsi="Book Antiqua" w:cs="AdvOT863180fb"/>
          <w:color w:val="auto"/>
          <w:sz w:val="24"/>
          <w:szCs w:val="24"/>
          <w:lang w:val="en-US"/>
        </w:rPr>
        <w:t xml:space="preserve">up, responses were deeper and faster than imatinib arm and transformation to AP-CML and BP-CML was lesser than </w:t>
      </w:r>
      <w:proofErr w:type="spellStart"/>
      <w:r w:rsidRPr="00E127AB">
        <w:rPr>
          <w:rFonts w:ascii="Book Antiqua" w:eastAsiaTheme="minorHAnsi" w:hAnsi="Book Antiqua" w:cs="AdvOT863180fb"/>
          <w:color w:val="auto"/>
          <w:sz w:val="24"/>
          <w:szCs w:val="24"/>
          <w:lang w:val="en-US"/>
        </w:rPr>
        <w:t>imatinib</w:t>
      </w:r>
      <w:proofErr w:type="spellEnd"/>
      <w:r w:rsidRPr="00E127AB">
        <w:rPr>
          <w:rFonts w:ascii="Book Antiqua" w:eastAsiaTheme="minorHAnsi" w:hAnsi="Book Antiqua" w:cs="AdvOT863180fb"/>
          <w:color w:val="auto"/>
          <w:sz w:val="24"/>
          <w:szCs w:val="24"/>
          <w:lang w:val="en-US"/>
        </w:rPr>
        <w:t xml:space="preserve"> </w:t>
      </w:r>
      <w:proofErr w:type="gramStart"/>
      <w:r w:rsidR="00103EE0" w:rsidRPr="00E127AB">
        <w:rPr>
          <w:rFonts w:ascii="Book Antiqua" w:eastAsiaTheme="minorHAnsi" w:hAnsi="Book Antiqua" w:cs="AdvOT863180fb"/>
          <w:color w:val="auto"/>
          <w:sz w:val="24"/>
          <w:szCs w:val="24"/>
          <w:lang w:val="en-US"/>
        </w:rPr>
        <w:t>arm</w:t>
      </w:r>
      <w:r w:rsidR="00103EE0" w:rsidRPr="00E127AB">
        <w:rPr>
          <w:rFonts w:ascii="Book Antiqua" w:hAnsi="Book Antiqua" w:cs="Times New Roman"/>
          <w:color w:val="auto"/>
          <w:sz w:val="24"/>
          <w:szCs w:val="24"/>
          <w:vertAlign w:val="superscript"/>
          <w:lang w:val="en-US"/>
        </w:rPr>
        <w:t>[</w:t>
      </w:r>
      <w:proofErr w:type="gramEnd"/>
      <w:r w:rsidR="00ED58CD" w:rsidRPr="00E127AB">
        <w:rPr>
          <w:rFonts w:ascii="Book Antiqua" w:hAnsi="Book Antiqua" w:cs="Times New Roman"/>
          <w:color w:val="auto"/>
          <w:sz w:val="24"/>
          <w:szCs w:val="24"/>
          <w:vertAlign w:val="superscript"/>
          <w:lang w:val="en-US"/>
        </w:rPr>
        <w:t>16]</w:t>
      </w:r>
      <w:r w:rsidRPr="00E127AB">
        <w:rPr>
          <w:rFonts w:ascii="Book Antiqua" w:eastAsiaTheme="minorHAnsi" w:hAnsi="Book Antiqua" w:cs="AdvOT863180fb"/>
          <w:color w:val="auto"/>
          <w:sz w:val="24"/>
          <w:szCs w:val="24"/>
          <w:lang w:val="en-US"/>
        </w:rPr>
        <w:t>.</w:t>
      </w:r>
    </w:p>
    <w:p w:rsidR="00764CA3" w:rsidRPr="00E127AB" w:rsidRDefault="00BD28CC"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Widespread using of TKIs is associated with drug resistance. One of the most common mechanisms of resistance involves point mutations in the kinase domain of BCR-ABL. </w:t>
      </w:r>
      <w:r w:rsidR="00DE5568" w:rsidRPr="00E127AB">
        <w:rPr>
          <w:rFonts w:ascii="Book Antiqua" w:eastAsiaTheme="minorHAnsi" w:hAnsi="Book Antiqua" w:cs="AdvOT863180fb"/>
          <w:color w:val="auto"/>
          <w:sz w:val="24"/>
          <w:szCs w:val="24"/>
          <w:lang w:val="en-US"/>
        </w:rPr>
        <w:t xml:space="preserve">The optimal treatment for patients failing imatinib treatment is imatinib dose escalation, a second-generation TKI or allogeneic stem cell </w:t>
      </w:r>
      <w:r w:rsidR="000070A8" w:rsidRPr="00E127AB">
        <w:rPr>
          <w:rFonts w:ascii="Book Antiqua" w:eastAsiaTheme="minorHAnsi" w:hAnsi="Book Antiqua" w:cs="AdvOT863180fb"/>
          <w:color w:val="auto"/>
          <w:sz w:val="24"/>
          <w:szCs w:val="24"/>
          <w:lang w:val="en-US"/>
        </w:rPr>
        <w:t>transplantation</w:t>
      </w:r>
      <w:r w:rsidR="00C8414E" w:rsidRPr="00E127AB">
        <w:rPr>
          <w:rFonts w:ascii="Book Antiqua" w:eastAsiaTheme="minorEastAsia" w:hAnsi="Book Antiqua" w:cs="AdvOT863180fb"/>
          <w:color w:val="auto"/>
          <w:sz w:val="24"/>
          <w:szCs w:val="24"/>
          <w:lang w:val="en-US" w:eastAsia="zh-CN"/>
        </w:rPr>
        <w:t xml:space="preserve"> (ASCT)</w:t>
      </w:r>
      <w:r w:rsidR="000070A8" w:rsidRPr="00E127AB">
        <w:rPr>
          <w:rFonts w:ascii="Book Antiqua" w:eastAsiaTheme="minorHAnsi" w:hAnsi="Book Antiqua" w:cs="AdvOT863180fb"/>
          <w:color w:val="auto"/>
          <w:sz w:val="24"/>
          <w:szCs w:val="24"/>
          <w:vertAlign w:val="superscript"/>
          <w:lang w:val="en-US"/>
        </w:rPr>
        <w:t>[</w:t>
      </w:r>
      <w:r w:rsidR="0090047B" w:rsidRPr="00E127AB">
        <w:rPr>
          <w:rFonts w:ascii="Book Antiqua" w:eastAsiaTheme="minorHAnsi" w:hAnsi="Book Antiqua" w:cs="AdvOT863180fb"/>
          <w:color w:val="auto"/>
          <w:sz w:val="24"/>
          <w:szCs w:val="24"/>
          <w:vertAlign w:val="superscript"/>
          <w:lang w:val="en-US"/>
        </w:rPr>
        <w:t>1]</w:t>
      </w:r>
      <w:r w:rsidR="00DE5568" w:rsidRPr="00E127AB">
        <w:rPr>
          <w:rFonts w:ascii="Book Antiqua" w:eastAsiaTheme="minorHAnsi" w:hAnsi="Book Antiqua" w:cs="AdvOT863180fb"/>
          <w:color w:val="auto"/>
          <w:sz w:val="24"/>
          <w:szCs w:val="24"/>
          <w:lang w:val="en-US"/>
        </w:rPr>
        <w:t>. Recently, t</w:t>
      </w:r>
      <w:r w:rsidR="00764CA3" w:rsidRPr="00E127AB">
        <w:rPr>
          <w:rFonts w:ascii="Book Antiqua" w:eastAsiaTheme="minorHAnsi" w:hAnsi="Book Antiqua" w:cs="AdvOT863180fb"/>
          <w:color w:val="auto"/>
          <w:sz w:val="24"/>
          <w:szCs w:val="24"/>
          <w:lang w:val="en-US"/>
        </w:rPr>
        <w:t xml:space="preserve">here are </w:t>
      </w:r>
      <w:r w:rsidR="001417DC" w:rsidRPr="00E127AB">
        <w:rPr>
          <w:rFonts w:ascii="Book Antiqua" w:eastAsiaTheme="minorHAnsi" w:hAnsi="Book Antiqua" w:cs="AdvOT863180fb"/>
          <w:color w:val="auto"/>
          <w:sz w:val="24"/>
          <w:szCs w:val="24"/>
          <w:lang w:val="en-US"/>
        </w:rPr>
        <w:t xml:space="preserve">some experimental </w:t>
      </w:r>
      <w:r w:rsidR="00764CA3" w:rsidRPr="00E127AB">
        <w:rPr>
          <w:rFonts w:ascii="Book Antiqua" w:eastAsiaTheme="minorHAnsi" w:hAnsi="Book Antiqua" w:cs="AdvOT863180fb"/>
          <w:color w:val="auto"/>
          <w:sz w:val="24"/>
          <w:szCs w:val="24"/>
          <w:lang w:val="en-US"/>
        </w:rPr>
        <w:t xml:space="preserve">studies using combination of TKIs to overcome the drug </w:t>
      </w:r>
      <w:proofErr w:type="gramStart"/>
      <w:r w:rsidR="000070A8" w:rsidRPr="00E127AB">
        <w:rPr>
          <w:rFonts w:ascii="Book Antiqua" w:eastAsiaTheme="minorHAnsi" w:hAnsi="Book Antiqua" w:cs="AdvOT863180fb"/>
          <w:color w:val="auto"/>
          <w:sz w:val="24"/>
          <w:szCs w:val="24"/>
          <w:lang w:val="en-US"/>
        </w:rPr>
        <w:t>resistance</w:t>
      </w:r>
      <w:r w:rsidR="000070A8" w:rsidRPr="00E127AB">
        <w:rPr>
          <w:rFonts w:ascii="Book Antiqua" w:eastAsiaTheme="minorHAnsi" w:hAnsi="Book Antiqua" w:cs="AdvOT863180fb"/>
          <w:color w:val="auto"/>
          <w:sz w:val="24"/>
          <w:szCs w:val="24"/>
          <w:vertAlign w:val="superscript"/>
          <w:lang w:val="en-US"/>
        </w:rPr>
        <w:t>[</w:t>
      </w:r>
      <w:proofErr w:type="gramEnd"/>
      <w:r w:rsidR="00104758" w:rsidRPr="00E127AB">
        <w:rPr>
          <w:rFonts w:ascii="Book Antiqua" w:eastAsiaTheme="minorHAnsi" w:hAnsi="Book Antiqua" w:cs="AdvOT863180fb"/>
          <w:color w:val="auto"/>
          <w:sz w:val="24"/>
          <w:szCs w:val="24"/>
          <w:vertAlign w:val="superscript"/>
          <w:lang w:val="en-US"/>
        </w:rPr>
        <w:t>17-19</w:t>
      </w:r>
      <w:r w:rsidR="00764CA3" w:rsidRPr="00E127AB">
        <w:rPr>
          <w:rFonts w:ascii="Book Antiqua" w:eastAsiaTheme="minorHAnsi" w:hAnsi="Book Antiqua" w:cs="AdvOT863180fb"/>
          <w:color w:val="auto"/>
          <w:sz w:val="24"/>
          <w:szCs w:val="24"/>
          <w:vertAlign w:val="superscript"/>
          <w:lang w:val="en-US"/>
        </w:rPr>
        <w:t>]</w:t>
      </w:r>
      <w:r w:rsidR="00764CA3" w:rsidRPr="00E127AB">
        <w:rPr>
          <w:rFonts w:ascii="Book Antiqua" w:eastAsiaTheme="minorHAnsi" w:hAnsi="Book Antiqua" w:cs="AdvOT863180fb"/>
          <w:color w:val="auto"/>
          <w:sz w:val="24"/>
          <w:szCs w:val="24"/>
          <w:lang w:val="en-US"/>
        </w:rPr>
        <w:t>.</w:t>
      </w:r>
      <w:r w:rsidR="00F73E2D" w:rsidRPr="00E127AB">
        <w:rPr>
          <w:rFonts w:ascii="Book Antiqua" w:eastAsiaTheme="minorHAnsi" w:hAnsi="Book Antiqua" w:cs="AdvOT863180fb"/>
          <w:color w:val="auto"/>
          <w:sz w:val="24"/>
          <w:szCs w:val="24"/>
          <w:lang w:val="en-US"/>
        </w:rPr>
        <w:t xml:space="preserve"> </w:t>
      </w:r>
      <w:r w:rsidR="00151E42" w:rsidRPr="00E127AB">
        <w:rPr>
          <w:rFonts w:ascii="Book Antiqua" w:eastAsiaTheme="minorHAnsi" w:hAnsi="Book Antiqua" w:cs="AdvOT863180fb"/>
          <w:color w:val="auto"/>
          <w:sz w:val="24"/>
          <w:szCs w:val="24"/>
          <w:lang w:val="en-US"/>
        </w:rPr>
        <w:t>They reported that combination of TKIs could overcome and prevent resistance.</w:t>
      </w:r>
      <w:r w:rsidR="00A059EF" w:rsidRPr="00E127AB">
        <w:rPr>
          <w:rFonts w:ascii="Book Antiqua" w:eastAsiaTheme="minorHAnsi" w:hAnsi="Book Antiqua" w:cs="AdvOT863180fb"/>
          <w:color w:val="auto"/>
          <w:sz w:val="24"/>
          <w:szCs w:val="24"/>
          <w:lang w:val="en-US"/>
        </w:rPr>
        <w:t xml:space="preserve"> </w:t>
      </w:r>
      <w:r w:rsidR="003E0CE0" w:rsidRPr="00E127AB">
        <w:rPr>
          <w:rFonts w:ascii="Book Antiqua" w:eastAsiaTheme="minorHAnsi" w:hAnsi="Book Antiqua" w:cs="AdvOT863180fb"/>
          <w:color w:val="auto"/>
          <w:sz w:val="24"/>
          <w:szCs w:val="24"/>
          <w:lang w:val="en-US"/>
        </w:rPr>
        <w:t>Combined TKIs approach should be investigated in further clinical trials in the subset of patients with TKI resistance.</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EastAsia" w:hAnsi="Book Antiqua" w:cs="AdvOT863180fb"/>
          <w:color w:val="auto"/>
          <w:sz w:val="24"/>
          <w:szCs w:val="24"/>
          <w:lang w:val="en-US" w:eastAsia="zh-CN"/>
        </w:rPr>
      </w:pPr>
      <w:r w:rsidRPr="00E127AB">
        <w:rPr>
          <w:rFonts w:ascii="Book Antiqua" w:eastAsiaTheme="minorHAnsi" w:hAnsi="Book Antiqua" w:cs="AdvOT863180fb"/>
          <w:color w:val="auto"/>
          <w:sz w:val="24"/>
          <w:szCs w:val="24"/>
          <w:lang w:val="en-US"/>
        </w:rPr>
        <w:t>Patients should be followed up according to definition of ELN response criteria</w:t>
      </w:r>
      <w:r w:rsidR="005E5D5C" w:rsidRPr="00E127AB">
        <w:rPr>
          <w:rFonts w:ascii="Book Antiqua" w:eastAsiaTheme="minorHAnsi" w:hAnsi="Book Antiqua" w:cs="AdvOT863180fb"/>
          <w:color w:val="auto"/>
          <w:sz w:val="24"/>
          <w:szCs w:val="24"/>
          <w:lang w:val="en-US"/>
        </w:rPr>
        <w:t xml:space="preserve"> (Table </w:t>
      </w:r>
      <w:r w:rsidR="00BE0189" w:rsidRPr="00E127AB">
        <w:rPr>
          <w:rFonts w:ascii="Book Antiqua" w:eastAsiaTheme="minorHAnsi" w:hAnsi="Book Antiqua" w:cs="AdvOT863180fb"/>
          <w:color w:val="auto"/>
          <w:sz w:val="24"/>
          <w:szCs w:val="24"/>
          <w:lang w:val="en-US"/>
        </w:rPr>
        <w:t>2</w:t>
      </w:r>
      <w:r w:rsidR="005E5D5C" w:rsidRPr="00E127AB">
        <w:rPr>
          <w:rFonts w:ascii="Book Antiqua" w:eastAsiaTheme="minorHAnsi" w:hAnsi="Book Antiqua" w:cs="AdvOT863180fb"/>
          <w:color w:val="auto"/>
          <w:sz w:val="24"/>
          <w:szCs w:val="24"/>
          <w:lang w:val="en-US"/>
        </w:rPr>
        <w:t>)</w:t>
      </w:r>
      <w:r w:rsidRPr="00E127AB">
        <w:rPr>
          <w:rFonts w:ascii="Book Antiqua" w:eastAsiaTheme="minorHAnsi" w:hAnsi="Book Antiqua" w:cs="AdvOT863180fb"/>
          <w:color w:val="auto"/>
          <w:sz w:val="24"/>
          <w:szCs w:val="24"/>
          <w:lang w:val="en-US"/>
        </w:rPr>
        <w:t xml:space="preserve">. If patients do not achieve a CHR by 3 </w:t>
      </w:r>
      <w:proofErr w:type="spellStart"/>
      <w:proofErr w:type="gramStart"/>
      <w:r w:rsidRPr="00E127AB">
        <w:rPr>
          <w:rFonts w:ascii="Book Antiqua" w:eastAsiaTheme="minorHAnsi" w:hAnsi="Book Antiqua" w:cs="AdvOT863180fb"/>
          <w:color w:val="auto"/>
          <w:sz w:val="24"/>
          <w:szCs w:val="24"/>
          <w:lang w:val="en-US"/>
        </w:rPr>
        <w:t>mo</w:t>
      </w:r>
      <w:proofErr w:type="spellEnd"/>
      <w:proofErr w:type="gramEnd"/>
      <w:r w:rsidRPr="00E127AB">
        <w:rPr>
          <w:rFonts w:ascii="Book Antiqua" w:eastAsiaTheme="minorHAnsi" w:hAnsi="Book Antiqua" w:cs="AdvOT863180fb"/>
          <w:color w:val="auto"/>
          <w:sz w:val="24"/>
          <w:szCs w:val="24"/>
          <w:lang w:val="en-US"/>
        </w:rPr>
        <w:t>, switching to a second TKI should be considered. If patients had &gt;</w:t>
      </w:r>
      <w:r w:rsidR="001574CD"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10% BCR</w:t>
      </w:r>
      <w:r w:rsidR="001574CD" w:rsidRPr="00E127AB">
        <w:rPr>
          <w:rFonts w:ascii="Book Antiqua" w:eastAsiaTheme="minorEastAsia" w:hAnsi="Book Antiqua" w:cs="AdvOT863180fb"/>
          <w:color w:val="auto"/>
          <w:sz w:val="24"/>
          <w:szCs w:val="24"/>
          <w:lang w:val="en-US" w:eastAsia="zh-CN"/>
        </w:rPr>
        <w:t>-</w:t>
      </w:r>
      <w:r w:rsidRPr="00E127AB">
        <w:rPr>
          <w:rFonts w:ascii="Book Antiqua" w:eastAsiaTheme="minorHAnsi" w:hAnsi="Book Antiqua" w:cs="AdvOT863180fb"/>
          <w:color w:val="auto"/>
          <w:sz w:val="24"/>
          <w:szCs w:val="24"/>
          <w:lang w:val="en-US"/>
        </w:rPr>
        <w:t xml:space="preserve">ABL1 transcript level at 3 </w:t>
      </w:r>
      <w:proofErr w:type="spellStart"/>
      <w:proofErr w:type="gramStart"/>
      <w:r w:rsidRPr="00E127AB">
        <w:rPr>
          <w:rFonts w:ascii="Book Antiqua" w:eastAsiaTheme="minorHAnsi" w:hAnsi="Book Antiqua" w:cs="AdvOT863180fb"/>
          <w:color w:val="auto"/>
          <w:sz w:val="24"/>
          <w:szCs w:val="24"/>
          <w:lang w:val="en-US"/>
        </w:rPr>
        <w:t>mo</w:t>
      </w:r>
      <w:proofErr w:type="spellEnd"/>
      <w:proofErr w:type="gramEnd"/>
      <w:r w:rsidRPr="00E127AB">
        <w:rPr>
          <w:rFonts w:ascii="Book Antiqua" w:eastAsiaTheme="minorHAnsi" w:hAnsi="Book Antiqua" w:cs="AdvOT863180fb"/>
          <w:color w:val="auto"/>
          <w:sz w:val="24"/>
          <w:szCs w:val="24"/>
          <w:lang w:val="en-US"/>
        </w:rPr>
        <w:t>, it is recommended that serial molecular monitoring should be performed for 3 mo. If patients had &gt;</w:t>
      </w:r>
      <w:r w:rsidR="001574CD"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 xml:space="preserve">10% BCR–ABL1 transcript level at 6 </w:t>
      </w:r>
      <w:proofErr w:type="spellStart"/>
      <w:r w:rsidRPr="00E127AB">
        <w:rPr>
          <w:rFonts w:ascii="Book Antiqua" w:eastAsiaTheme="minorHAnsi" w:hAnsi="Book Antiqua" w:cs="AdvOT863180fb"/>
          <w:color w:val="auto"/>
          <w:sz w:val="24"/>
          <w:szCs w:val="24"/>
          <w:lang w:val="en-US"/>
        </w:rPr>
        <w:t>mo</w:t>
      </w:r>
      <w:proofErr w:type="spellEnd"/>
      <w:r w:rsidRPr="00E127AB">
        <w:rPr>
          <w:rFonts w:ascii="Book Antiqua" w:eastAsiaTheme="minorHAnsi" w:hAnsi="Book Antiqua" w:cs="AdvOT863180fb"/>
          <w:color w:val="auto"/>
          <w:sz w:val="24"/>
          <w:szCs w:val="24"/>
          <w:lang w:val="en-US"/>
        </w:rPr>
        <w:t xml:space="preserve">, therapy should be changed. If patients do not achieve </w:t>
      </w:r>
      <w:proofErr w:type="spellStart"/>
      <w:r w:rsidRPr="00E127AB">
        <w:rPr>
          <w:rFonts w:ascii="Book Antiqua" w:eastAsiaTheme="minorHAnsi" w:hAnsi="Book Antiqua" w:cs="AdvOT863180fb"/>
          <w:color w:val="auto"/>
          <w:sz w:val="24"/>
          <w:szCs w:val="24"/>
          <w:lang w:val="en-US"/>
        </w:rPr>
        <w:t>CCyR</w:t>
      </w:r>
      <w:proofErr w:type="spellEnd"/>
      <w:r w:rsidRPr="00E127AB">
        <w:rPr>
          <w:rFonts w:ascii="Book Antiqua" w:eastAsiaTheme="minorHAnsi" w:hAnsi="Book Antiqua" w:cs="AdvOT863180fb"/>
          <w:color w:val="auto"/>
          <w:sz w:val="24"/>
          <w:szCs w:val="24"/>
          <w:lang w:val="en-US"/>
        </w:rPr>
        <w:t xml:space="preserve"> by 12 </w:t>
      </w:r>
      <w:proofErr w:type="spellStart"/>
      <w:proofErr w:type="gramStart"/>
      <w:r w:rsidRPr="00E127AB">
        <w:rPr>
          <w:rFonts w:ascii="Book Antiqua" w:eastAsiaTheme="minorHAnsi" w:hAnsi="Book Antiqua" w:cs="AdvOT863180fb"/>
          <w:color w:val="auto"/>
          <w:sz w:val="24"/>
          <w:szCs w:val="24"/>
          <w:lang w:val="en-US"/>
        </w:rPr>
        <w:t>mo</w:t>
      </w:r>
      <w:proofErr w:type="spellEnd"/>
      <w:proofErr w:type="gramEnd"/>
      <w:r w:rsidRPr="00E127AB">
        <w:rPr>
          <w:rFonts w:ascii="Book Antiqua" w:eastAsiaTheme="minorHAnsi" w:hAnsi="Book Antiqua" w:cs="AdvOT863180fb"/>
          <w:color w:val="auto"/>
          <w:sz w:val="24"/>
          <w:szCs w:val="24"/>
          <w:lang w:val="en-US"/>
        </w:rPr>
        <w:t xml:space="preserve">, it requires a change in therapy. At any time, therapy should be changed, if patients loss of CHR or </w:t>
      </w:r>
      <w:proofErr w:type="spellStart"/>
      <w:r w:rsidRPr="00E127AB">
        <w:rPr>
          <w:rFonts w:ascii="Book Antiqua" w:eastAsiaTheme="minorHAnsi" w:hAnsi="Book Antiqua" w:cs="AdvOT863180fb"/>
          <w:color w:val="auto"/>
          <w:sz w:val="24"/>
          <w:szCs w:val="24"/>
          <w:lang w:val="en-US"/>
        </w:rPr>
        <w:t>CCyR</w:t>
      </w:r>
      <w:proofErr w:type="spellEnd"/>
      <w:r w:rsidRPr="00E127AB">
        <w:rPr>
          <w:rFonts w:ascii="Book Antiqua" w:eastAsiaTheme="minorHAnsi" w:hAnsi="Book Antiqua" w:cs="AdvOT863180fb"/>
          <w:color w:val="auto"/>
          <w:sz w:val="24"/>
          <w:szCs w:val="24"/>
          <w:lang w:val="en-US"/>
        </w:rPr>
        <w:t xml:space="preserve"> or </w:t>
      </w:r>
      <w:proofErr w:type="spellStart"/>
      <w:r w:rsidRPr="00E127AB">
        <w:rPr>
          <w:rFonts w:ascii="Book Antiqua" w:eastAsiaTheme="minorHAnsi" w:hAnsi="Book Antiqua" w:cs="AdvOT863180fb"/>
          <w:color w:val="auto"/>
          <w:sz w:val="24"/>
          <w:szCs w:val="24"/>
          <w:lang w:val="en-US"/>
        </w:rPr>
        <w:t>PCyR</w:t>
      </w:r>
      <w:proofErr w:type="spellEnd"/>
      <w:r w:rsidRPr="00E127AB">
        <w:rPr>
          <w:rFonts w:ascii="Book Antiqua" w:eastAsiaTheme="minorHAnsi" w:hAnsi="Book Antiqua" w:cs="AdvOT863180fb"/>
          <w:color w:val="auto"/>
          <w:sz w:val="24"/>
          <w:szCs w:val="24"/>
          <w:lang w:val="en-US"/>
        </w:rPr>
        <w:t xml:space="preserve"> or confirmed loss of MMR or determined new mutations and/or CCA/</w:t>
      </w:r>
      <w:proofErr w:type="spellStart"/>
      <w:r w:rsidRPr="00E127AB">
        <w:rPr>
          <w:rFonts w:ascii="Book Antiqua" w:eastAsiaTheme="minorHAnsi" w:hAnsi="Book Antiqua" w:cs="AdvOT863180fb"/>
          <w:color w:val="auto"/>
          <w:sz w:val="24"/>
          <w:szCs w:val="24"/>
          <w:lang w:val="en-US"/>
        </w:rPr>
        <w:t>Ph</w:t>
      </w:r>
      <w:proofErr w:type="spellEnd"/>
      <w:r w:rsidRPr="00E127AB">
        <w:rPr>
          <w:rFonts w:ascii="Book Antiqua" w:eastAsiaTheme="minorHAnsi" w:hAnsi="Book Antiqua" w:cs="AdvOT863180fb"/>
          <w:color w:val="auto"/>
          <w:sz w:val="24"/>
          <w:szCs w:val="24"/>
          <w:lang w:val="en-US"/>
        </w:rPr>
        <w:t>+</w:t>
      </w:r>
      <w:r w:rsidR="008E53E4" w:rsidRPr="00E127AB">
        <w:rPr>
          <w:rFonts w:ascii="Book Antiqua" w:hAnsi="Book Antiqua" w:cs="Times New Roman"/>
          <w:color w:val="auto"/>
          <w:sz w:val="24"/>
          <w:szCs w:val="24"/>
          <w:vertAlign w:val="superscript"/>
          <w:lang w:val="en-US"/>
        </w:rPr>
        <w:t>[9]</w:t>
      </w:r>
      <w:r w:rsidRPr="00E127AB">
        <w:rPr>
          <w:rFonts w:ascii="Book Antiqua" w:eastAsiaTheme="minorHAnsi" w:hAnsi="Book Antiqua" w:cs="AdvOT863180fb"/>
          <w:color w:val="auto"/>
          <w:sz w:val="24"/>
          <w:szCs w:val="24"/>
          <w:lang w:val="en-US"/>
        </w:rPr>
        <w:t>.</w:t>
      </w:r>
    </w:p>
    <w:p w:rsidR="0039324F" w:rsidRPr="00E127AB" w:rsidRDefault="0039324F"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AdvOT863180fb"/>
          <w:color w:val="auto"/>
          <w:sz w:val="24"/>
          <w:szCs w:val="24"/>
          <w:lang w:val="en-US" w:eastAsia="zh-CN"/>
        </w:rPr>
      </w:pP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b/>
          <w:i/>
          <w:color w:val="auto"/>
          <w:sz w:val="24"/>
          <w:szCs w:val="24"/>
          <w:lang w:val="en-US"/>
        </w:rPr>
      </w:pPr>
      <w:r w:rsidRPr="00E127AB">
        <w:rPr>
          <w:rFonts w:ascii="Book Antiqua" w:eastAsiaTheme="minorHAnsi" w:hAnsi="Book Antiqua" w:cs="AdvOT863180fb"/>
          <w:b/>
          <w:i/>
          <w:color w:val="auto"/>
          <w:sz w:val="24"/>
          <w:szCs w:val="24"/>
          <w:lang w:val="en-US"/>
        </w:rPr>
        <w:t xml:space="preserve">Second </w:t>
      </w:r>
      <w:r w:rsidR="0039324F" w:rsidRPr="00E127AB">
        <w:rPr>
          <w:rFonts w:ascii="Book Antiqua" w:eastAsiaTheme="minorHAnsi" w:hAnsi="Book Antiqua" w:cs="AdvOT863180fb"/>
          <w:b/>
          <w:i/>
          <w:color w:val="auto"/>
          <w:sz w:val="24"/>
          <w:szCs w:val="24"/>
          <w:lang w:val="en-US"/>
        </w:rPr>
        <w:t>line t</w:t>
      </w:r>
      <w:r w:rsidRPr="00E127AB">
        <w:rPr>
          <w:rFonts w:ascii="Book Antiqua" w:eastAsiaTheme="minorHAnsi" w:hAnsi="Book Antiqua" w:cs="AdvOT863180fb"/>
          <w:b/>
          <w:i/>
          <w:color w:val="auto"/>
          <w:sz w:val="24"/>
          <w:szCs w:val="24"/>
          <w:lang w:val="en-US"/>
        </w:rPr>
        <w:t xml:space="preserve">reatment of CP-CML </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For patients who had intolerance to first line TKI, anyone of the other TKIs approved first line therapy can be used. Patient’s comorbidities and toxicity profile of TKIs are considered in the choice of </w:t>
      </w:r>
      <w:proofErr w:type="gramStart"/>
      <w:r w:rsidR="00103EE0" w:rsidRPr="00E127AB">
        <w:rPr>
          <w:rFonts w:ascii="Book Antiqua" w:eastAsiaTheme="minorHAnsi" w:hAnsi="Book Antiqua" w:cs="AdvOT863180fb"/>
          <w:color w:val="auto"/>
          <w:sz w:val="24"/>
          <w:szCs w:val="24"/>
          <w:lang w:val="en-US"/>
        </w:rPr>
        <w:t>therapy</w:t>
      </w:r>
      <w:r w:rsidR="00103EE0" w:rsidRPr="00E127AB">
        <w:rPr>
          <w:rFonts w:ascii="Book Antiqua" w:hAnsi="Book Antiqua" w:cs="Times New Roman"/>
          <w:color w:val="auto"/>
          <w:sz w:val="24"/>
          <w:szCs w:val="24"/>
          <w:vertAlign w:val="superscript"/>
          <w:lang w:val="en-US"/>
        </w:rPr>
        <w:t>[</w:t>
      </w:r>
      <w:proofErr w:type="gramEnd"/>
      <w:r w:rsidR="008E53E4" w:rsidRPr="00E127AB">
        <w:rPr>
          <w:rFonts w:ascii="Book Antiqua" w:hAnsi="Book Antiqua" w:cs="Times New Roman"/>
          <w:color w:val="auto"/>
          <w:sz w:val="24"/>
          <w:szCs w:val="24"/>
          <w:vertAlign w:val="superscript"/>
          <w:lang w:val="en-US"/>
        </w:rPr>
        <w:t>9]</w:t>
      </w:r>
      <w:r w:rsidRPr="00E127AB">
        <w:rPr>
          <w:rFonts w:ascii="Book Antiqua" w:eastAsiaTheme="minorHAnsi" w:hAnsi="Book Antiqua" w:cs="AdvOT863180fb"/>
          <w:color w:val="auto"/>
          <w:sz w:val="24"/>
          <w:szCs w:val="24"/>
          <w:lang w:val="en-US"/>
        </w:rPr>
        <w:t>.</w:t>
      </w:r>
      <w:r w:rsidR="00F73E2D" w:rsidRPr="00E127AB">
        <w:rPr>
          <w:rFonts w:ascii="Book Antiqua" w:eastAsiaTheme="minorHAnsi" w:hAnsi="Book Antiqua" w:cs="AdvOT863180fb"/>
          <w:color w:val="auto"/>
          <w:sz w:val="24"/>
          <w:szCs w:val="24"/>
          <w:lang w:val="en-US"/>
        </w:rPr>
        <w:t xml:space="preserve"> </w:t>
      </w:r>
      <w:r w:rsidRPr="00E127AB">
        <w:rPr>
          <w:rFonts w:ascii="Book Antiqua" w:eastAsiaTheme="minorHAnsi" w:hAnsi="Book Antiqua" w:cs="AdvOT863180fb"/>
          <w:color w:val="auto"/>
          <w:sz w:val="24"/>
          <w:szCs w:val="24"/>
          <w:lang w:val="en-US"/>
        </w:rPr>
        <w:t xml:space="preserve"> </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EastAsia" w:hAnsi="Book Antiqua" w:cs="AdvOT863180fb"/>
          <w:color w:val="auto"/>
          <w:sz w:val="24"/>
          <w:szCs w:val="24"/>
          <w:lang w:val="en-US" w:eastAsia="zh-CN"/>
        </w:rPr>
      </w:pPr>
      <w:r w:rsidRPr="00E127AB">
        <w:rPr>
          <w:rFonts w:ascii="Book Antiqua" w:eastAsiaTheme="minorHAnsi" w:hAnsi="Book Antiqua" w:cs="AdvOT863180fb"/>
          <w:color w:val="auto"/>
          <w:sz w:val="24"/>
          <w:szCs w:val="24"/>
          <w:lang w:val="en-US"/>
        </w:rPr>
        <w:lastRenderedPageBreak/>
        <w:t>For patients who had failure of TKI in first line, other TKIs approved first line therapy that patient did not use, bosutinib or ponatinib were recommended. Bosutinib was studied in patients that were resistant to or intolerant of imatinib. The CHR and CCyR rates were 86% and 41%, respectively</w:t>
      </w:r>
      <w:r w:rsidR="00115A5E" w:rsidRPr="00E127AB">
        <w:rPr>
          <w:rFonts w:ascii="Book Antiqua" w:eastAsiaTheme="minorHAnsi" w:hAnsi="Book Antiqua" w:cs="AdvOT863180fb"/>
          <w:color w:val="auto"/>
          <w:sz w:val="24"/>
          <w:szCs w:val="24"/>
          <w:lang w:val="en-US"/>
        </w:rPr>
        <w:t>. The 2-</w:t>
      </w:r>
      <w:r w:rsidRPr="00E127AB">
        <w:rPr>
          <w:rFonts w:ascii="Book Antiqua" w:eastAsiaTheme="minorHAnsi" w:hAnsi="Book Antiqua" w:cs="AdvOT863180fb"/>
          <w:color w:val="auto"/>
          <w:sz w:val="24"/>
          <w:szCs w:val="24"/>
          <w:lang w:val="en-US"/>
        </w:rPr>
        <w:t xml:space="preserve">year PFS and OS rates were 79% and 92%, </w:t>
      </w:r>
      <w:proofErr w:type="gramStart"/>
      <w:r w:rsidR="00103EE0" w:rsidRPr="00E127AB">
        <w:rPr>
          <w:rFonts w:ascii="Book Antiqua" w:eastAsiaTheme="minorHAnsi" w:hAnsi="Book Antiqua" w:cs="AdvOT863180fb"/>
          <w:color w:val="auto"/>
          <w:sz w:val="24"/>
          <w:szCs w:val="24"/>
          <w:lang w:val="en-US"/>
        </w:rPr>
        <w:t>respectively</w:t>
      </w:r>
      <w:r w:rsidR="00103EE0" w:rsidRPr="00E127AB">
        <w:rPr>
          <w:rFonts w:ascii="Book Antiqua" w:hAnsi="Book Antiqua" w:cs="Times New Roman"/>
          <w:color w:val="auto"/>
          <w:sz w:val="24"/>
          <w:szCs w:val="24"/>
          <w:vertAlign w:val="superscript"/>
          <w:lang w:val="en-US"/>
        </w:rPr>
        <w:t>[</w:t>
      </w:r>
      <w:proofErr w:type="gramEnd"/>
      <w:r w:rsidR="00104758" w:rsidRPr="00E127AB">
        <w:rPr>
          <w:rFonts w:ascii="Book Antiqua" w:hAnsi="Book Antiqua" w:cs="Times New Roman"/>
          <w:color w:val="auto"/>
          <w:sz w:val="24"/>
          <w:szCs w:val="24"/>
          <w:vertAlign w:val="superscript"/>
          <w:lang w:val="en-US"/>
        </w:rPr>
        <w:t>20</w:t>
      </w:r>
      <w:r w:rsidR="008E53E4" w:rsidRPr="00E127AB">
        <w:rPr>
          <w:rFonts w:ascii="Book Antiqua" w:hAnsi="Book Antiqua" w:cs="Times New Roman"/>
          <w:color w:val="auto"/>
          <w:sz w:val="24"/>
          <w:szCs w:val="24"/>
          <w:vertAlign w:val="superscript"/>
          <w:lang w:val="en-US"/>
        </w:rPr>
        <w:t>]</w:t>
      </w:r>
      <w:r w:rsidRPr="00E127AB">
        <w:rPr>
          <w:rFonts w:ascii="Book Antiqua" w:eastAsiaTheme="minorHAnsi" w:hAnsi="Book Antiqua" w:cs="AdvOT863180fb"/>
          <w:color w:val="auto"/>
          <w:sz w:val="24"/>
          <w:szCs w:val="24"/>
          <w:lang w:val="en-US"/>
        </w:rPr>
        <w:t xml:space="preserve">. Ponatinib is the only TKI with activity in patients with the T315I mutation. In phase II </w:t>
      </w:r>
      <w:proofErr w:type="spellStart"/>
      <w:r w:rsidRPr="00E127AB">
        <w:rPr>
          <w:rFonts w:ascii="Book Antiqua" w:eastAsiaTheme="minorHAnsi" w:hAnsi="Book Antiqua" w:cs="AdvOT863180fb"/>
          <w:color w:val="auto"/>
          <w:sz w:val="24"/>
          <w:szCs w:val="24"/>
          <w:lang w:val="en-US"/>
        </w:rPr>
        <w:t>Ponatinib</w:t>
      </w:r>
      <w:proofErr w:type="spellEnd"/>
      <w:r w:rsidRPr="00E127AB">
        <w:rPr>
          <w:rFonts w:ascii="Book Antiqua" w:eastAsiaTheme="minorHAnsi" w:hAnsi="Book Antiqua" w:cs="AdvOT863180fb"/>
          <w:color w:val="auto"/>
          <w:sz w:val="24"/>
          <w:szCs w:val="24"/>
          <w:lang w:val="en-US"/>
        </w:rPr>
        <w:t xml:space="preserve"> </w:t>
      </w:r>
      <w:proofErr w:type="spellStart"/>
      <w:r w:rsidRPr="00E127AB">
        <w:rPr>
          <w:rFonts w:ascii="Book Antiqua" w:eastAsiaTheme="minorHAnsi" w:hAnsi="Book Antiqua" w:cs="AdvOT863180fb"/>
          <w:color w:val="auto"/>
          <w:sz w:val="24"/>
          <w:szCs w:val="24"/>
          <w:lang w:val="en-US"/>
        </w:rPr>
        <w:t>Ph</w:t>
      </w:r>
      <w:proofErr w:type="spellEnd"/>
      <w:r w:rsidRPr="00E127AB">
        <w:rPr>
          <w:rFonts w:ascii="Book Antiqua" w:eastAsiaTheme="minorHAnsi" w:hAnsi="Book Antiqua" w:cs="AdvOT863180fb"/>
          <w:color w:val="auto"/>
          <w:sz w:val="24"/>
          <w:szCs w:val="24"/>
          <w:lang w:val="en-US"/>
        </w:rPr>
        <w:t xml:space="preserve"> ALL and CML Evaluation study,</w:t>
      </w:r>
      <w:r w:rsidRPr="00E127AB">
        <w:rPr>
          <w:rFonts w:ascii="Book Antiqua" w:hAnsi="Book Antiqua"/>
          <w:color w:val="auto"/>
          <w:sz w:val="24"/>
          <w:szCs w:val="24"/>
          <w:lang w:val="en-US"/>
        </w:rPr>
        <w:t xml:space="preserve"> a</w:t>
      </w:r>
      <w:r w:rsidRPr="00E127AB">
        <w:rPr>
          <w:rFonts w:ascii="Book Antiqua" w:eastAsiaTheme="minorHAnsi" w:hAnsi="Book Antiqua" w:cs="AdvOT863180fb"/>
          <w:color w:val="auto"/>
          <w:sz w:val="24"/>
          <w:szCs w:val="24"/>
          <w:lang w:val="en-US"/>
        </w:rPr>
        <w:t xml:space="preserve">mong 267 patients with chronic-phase CML, 56% had a major cytogenetic response, 46% had a complete cytogenetic response, and 34% had a major molecular </w:t>
      </w:r>
      <w:proofErr w:type="gramStart"/>
      <w:r w:rsidR="000070A8" w:rsidRPr="00E127AB">
        <w:rPr>
          <w:rFonts w:ascii="Book Antiqua" w:eastAsiaTheme="minorHAnsi" w:hAnsi="Book Antiqua" w:cs="AdvOT863180fb"/>
          <w:color w:val="auto"/>
          <w:sz w:val="24"/>
          <w:szCs w:val="24"/>
          <w:lang w:val="en-US"/>
        </w:rPr>
        <w:t>response</w:t>
      </w:r>
      <w:r w:rsidR="000070A8" w:rsidRPr="00E127AB">
        <w:rPr>
          <w:rFonts w:ascii="Book Antiqua" w:hAnsi="Book Antiqua" w:cs="Times New Roman"/>
          <w:color w:val="auto"/>
          <w:sz w:val="24"/>
          <w:szCs w:val="24"/>
          <w:vertAlign w:val="superscript"/>
          <w:lang w:val="en-US"/>
        </w:rPr>
        <w:t>[</w:t>
      </w:r>
      <w:proofErr w:type="gramEnd"/>
      <w:r w:rsidR="00104758" w:rsidRPr="00E127AB">
        <w:rPr>
          <w:rFonts w:ascii="Book Antiqua" w:hAnsi="Book Antiqua" w:cs="Times New Roman"/>
          <w:color w:val="auto"/>
          <w:sz w:val="24"/>
          <w:szCs w:val="24"/>
          <w:vertAlign w:val="superscript"/>
          <w:lang w:val="en-US"/>
        </w:rPr>
        <w:t>21</w:t>
      </w:r>
      <w:r w:rsidR="002E60C4" w:rsidRPr="00E127AB">
        <w:rPr>
          <w:rFonts w:ascii="Book Antiqua" w:hAnsi="Book Antiqua" w:cs="Times New Roman"/>
          <w:color w:val="auto"/>
          <w:sz w:val="24"/>
          <w:szCs w:val="24"/>
          <w:vertAlign w:val="superscript"/>
          <w:lang w:val="en-US"/>
        </w:rPr>
        <w:t>]</w:t>
      </w:r>
      <w:r w:rsidRPr="00E127AB">
        <w:rPr>
          <w:rFonts w:ascii="Book Antiqua" w:eastAsiaTheme="minorHAnsi" w:hAnsi="Book Antiqua" w:cs="AdvOT863180fb"/>
          <w:color w:val="auto"/>
          <w:sz w:val="24"/>
          <w:szCs w:val="24"/>
          <w:lang w:val="en-US"/>
        </w:rPr>
        <w:t>.</w:t>
      </w:r>
      <w:r w:rsidR="00F73E2D" w:rsidRPr="00E127AB">
        <w:rPr>
          <w:rFonts w:ascii="Book Antiqua" w:eastAsiaTheme="minorHAnsi" w:hAnsi="Book Antiqua" w:cs="AdvOT863180fb"/>
          <w:color w:val="auto"/>
          <w:sz w:val="24"/>
          <w:szCs w:val="24"/>
          <w:lang w:val="en-US"/>
        </w:rPr>
        <w:t xml:space="preserve"> </w:t>
      </w:r>
      <w:r w:rsidRPr="00E127AB">
        <w:rPr>
          <w:rFonts w:ascii="Book Antiqua" w:eastAsiaTheme="minorHAnsi" w:hAnsi="Book Antiqua" w:cs="AdvOT863180fb"/>
          <w:color w:val="auto"/>
          <w:sz w:val="24"/>
          <w:szCs w:val="24"/>
          <w:lang w:val="en-US"/>
        </w:rPr>
        <w:t xml:space="preserve">So, </w:t>
      </w:r>
      <w:proofErr w:type="spellStart"/>
      <w:r w:rsidR="004B5239" w:rsidRPr="00E127AB">
        <w:rPr>
          <w:rFonts w:ascii="Book Antiqua" w:eastAsiaTheme="minorHAnsi" w:hAnsi="Book Antiqua" w:cs="AdvOT863180fb"/>
          <w:color w:val="auto"/>
          <w:sz w:val="24"/>
          <w:szCs w:val="24"/>
          <w:lang w:val="en-US"/>
        </w:rPr>
        <w:t>b</w:t>
      </w:r>
      <w:r w:rsidRPr="00E127AB">
        <w:rPr>
          <w:rFonts w:ascii="Book Antiqua" w:eastAsiaTheme="minorHAnsi" w:hAnsi="Book Antiqua" w:cs="AdvOT863180fb"/>
          <w:color w:val="auto"/>
          <w:sz w:val="24"/>
          <w:szCs w:val="24"/>
          <w:lang w:val="en-US"/>
        </w:rPr>
        <w:t>osutinib</w:t>
      </w:r>
      <w:proofErr w:type="spellEnd"/>
      <w:r w:rsidRPr="00E127AB">
        <w:rPr>
          <w:rFonts w:ascii="Book Antiqua" w:eastAsiaTheme="minorHAnsi" w:hAnsi="Book Antiqua" w:cs="AdvOT863180fb"/>
          <w:color w:val="auto"/>
          <w:sz w:val="24"/>
          <w:szCs w:val="24"/>
          <w:lang w:val="en-US"/>
        </w:rPr>
        <w:t xml:space="preserve"> (500 mg once daily) and ponatinib (45 mg once daily) have been approved for patients resistant to prior therapy. </w:t>
      </w:r>
    </w:p>
    <w:p w:rsidR="0039324F" w:rsidRPr="00E127AB" w:rsidRDefault="0039324F"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AdvOT863180fb"/>
          <w:color w:val="auto"/>
          <w:sz w:val="24"/>
          <w:szCs w:val="24"/>
          <w:lang w:val="en-US" w:eastAsia="zh-CN"/>
        </w:rPr>
      </w:pP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b/>
          <w:i/>
          <w:color w:val="auto"/>
          <w:sz w:val="24"/>
          <w:szCs w:val="24"/>
          <w:lang w:val="en-US"/>
        </w:rPr>
      </w:pPr>
      <w:r w:rsidRPr="00E127AB">
        <w:rPr>
          <w:rFonts w:ascii="Book Antiqua" w:eastAsiaTheme="minorHAnsi" w:hAnsi="Book Antiqua" w:cs="AdvOT863180fb"/>
          <w:b/>
          <w:i/>
          <w:color w:val="auto"/>
          <w:sz w:val="24"/>
          <w:szCs w:val="24"/>
          <w:lang w:val="en-US"/>
        </w:rPr>
        <w:t xml:space="preserve">Treatment of AP-CML </w:t>
      </w:r>
    </w:p>
    <w:p w:rsidR="00800A6F"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The therapeutic approach in AP-CML differs according to whether the patient is TKI naive or has progressed from CP while taking a TKI.</w:t>
      </w:r>
      <w:r w:rsidR="00F73E2D" w:rsidRPr="00E127AB">
        <w:rPr>
          <w:rFonts w:ascii="Book Antiqua" w:eastAsiaTheme="minorHAnsi" w:hAnsi="Book Antiqua" w:cs="AdvOT863180fb"/>
          <w:color w:val="auto"/>
          <w:sz w:val="24"/>
          <w:szCs w:val="24"/>
          <w:lang w:val="en-US"/>
        </w:rPr>
        <w:t xml:space="preserve"> </w:t>
      </w:r>
      <w:r w:rsidRPr="00E127AB">
        <w:rPr>
          <w:rFonts w:ascii="Book Antiqua" w:eastAsiaTheme="minorHAnsi" w:hAnsi="Book Antiqua" w:cs="AdvOT863180fb"/>
          <w:color w:val="auto"/>
          <w:sz w:val="24"/>
          <w:szCs w:val="24"/>
          <w:lang w:val="en-US"/>
        </w:rPr>
        <w:t>All recommendations are based on results of single-arm, retrospective and prospective studies. For TKI naive patients; it is recommended a TKI (imatinib 400 mg twice daily or dasatinib 70 mg twice daily or 140 mg once daily).</w:t>
      </w:r>
      <w:r w:rsidR="00F73E2D" w:rsidRPr="00E127AB">
        <w:rPr>
          <w:rFonts w:ascii="Book Antiqua" w:eastAsiaTheme="minorHAnsi" w:hAnsi="Book Antiqua" w:cs="AdvOT863180fb"/>
          <w:color w:val="auto"/>
          <w:sz w:val="24"/>
          <w:szCs w:val="24"/>
          <w:lang w:val="en-US"/>
        </w:rPr>
        <w:t xml:space="preserve"> </w:t>
      </w:r>
      <w:r w:rsidRPr="00E127AB">
        <w:rPr>
          <w:rFonts w:ascii="Book Antiqua" w:eastAsiaTheme="minorHAnsi" w:hAnsi="Book Antiqua" w:cs="AdvOT863180fb"/>
          <w:color w:val="auto"/>
          <w:sz w:val="24"/>
          <w:szCs w:val="24"/>
          <w:lang w:val="en-US"/>
        </w:rPr>
        <w:t xml:space="preserve">Allogeneic donor search should be done. ASCT is recommended for the AP patients who do not achieve an optimal response with </w:t>
      </w:r>
      <w:proofErr w:type="gramStart"/>
      <w:r w:rsidR="000070A8" w:rsidRPr="00E127AB">
        <w:rPr>
          <w:rFonts w:ascii="Book Antiqua" w:eastAsiaTheme="minorHAnsi" w:hAnsi="Book Antiqua" w:cs="AdvOT863180fb"/>
          <w:color w:val="auto"/>
          <w:sz w:val="24"/>
          <w:szCs w:val="24"/>
          <w:lang w:val="en-US"/>
        </w:rPr>
        <w:t>TKI</w:t>
      </w:r>
      <w:r w:rsidR="000070A8" w:rsidRPr="00E127AB">
        <w:rPr>
          <w:rFonts w:ascii="Book Antiqua" w:hAnsi="Book Antiqua" w:cs="Times New Roman"/>
          <w:color w:val="auto"/>
          <w:sz w:val="24"/>
          <w:szCs w:val="24"/>
          <w:vertAlign w:val="superscript"/>
          <w:lang w:val="en-US"/>
        </w:rPr>
        <w:t>[</w:t>
      </w:r>
      <w:proofErr w:type="gramEnd"/>
      <w:r w:rsidR="006E4C27" w:rsidRPr="00E127AB">
        <w:rPr>
          <w:rFonts w:ascii="Book Antiqua" w:hAnsi="Book Antiqua" w:cs="Times New Roman"/>
          <w:color w:val="auto"/>
          <w:sz w:val="24"/>
          <w:szCs w:val="24"/>
          <w:vertAlign w:val="superscript"/>
          <w:lang w:val="en-US"/>
        </w:rPr>
        <w:t>9]</w:t>
      </w:r>
      <w:r w:rsidRPr="00E127AB">
        <w:rPr>
          <w:rFonts w:ascii="Book Antiqua" w:eastAsiaTheme="minorHAnsi" w:hAnsi="Book Antiqua" w:cs="AdvOT863180fb"/>
          <w:color w:val="auto"/>
          <w:sz w:val="24"/>
          <w:szCs w:val="24"/>
          <w:lang w:val="en-US"/>
        </w:rPr>
        <w:t>.</w:t>
      </w:r>
      <w:r w:rsidR="00F73E2D" w:rsidRPr="00E127AB">
        <w:rPr>
          <w:rFonts w:ascii="Book Antiqua" w:eastAsiaTheme="minorHAnsi" w:hAnsi="Book Antiqua" w:cs="AdvOT863180fb"/>
          <w:color w:val="auto"/>
          <w:sz w:val="24"/>
          <w:szCs w:val="24"/>
          <w:lang w:val="en-US"/>
        </w:rPr>
        <w:t xml:space="preserve"> </w:t>
      </w:r>
      <w:r w:rsidRPr="00E127AB">
        <w:rPr>
          <w:rFonts w:ascii="Book Antiqua" w:eastAsiaTheme="minorHAnsi" w:hAnsi="Book Antiqua" w:cs="AdvOT863180fb"/>
          <w:color w:val="auto"/>
          <w:sz w:val="24"/>
          <w:szCs w:val="24"/>
          <w:lang w:val="en-US"/>
        </w:rPr>
        <w:t xml:space="preserve">Response rate was reported higher with second generation TKIs than </w:t>
      </w:r>
      <w:proofErr w:type="spellStart"/>
      <w:proofErr w:type="gramStart"/>
      <w:r w:rsidR="000070A8" w:rsidRPr="00E127AB">
        <w:rPr>
          <w:rFonts w:ascii="Book Antiqua" w:eastAsiaTheme="minorHAnsi" w:hAnsi="Book Antiqua" w:cs="AdvOT863180fb"/>
          <w:color w:val="auto"/>
          <w:sz w:val="24"/>
          <w:szCs w:val="24"/>
          <w:lang w:val="en-US"/>
        </w:rPr>
        <w:t>imatinib</w:t>
      </w:r>
      <w:proofErr w:type="spellEnd"/>
      <w:r w:rsidR="000070A8" w:rsidRPr="00E127AB">
        <w:rPr>
          <w:rFonts w:ascii="Book Antiqua" w:hAnsi="Book Antiqua" w:cs="Times New Roman"/>
          <w:color w:val="auto"/>
          <w:sz w:val="24"/>
          <w:szCs w:val="24"/>
          <w:vertAlign w:val="superscript"/>
          <w:lang w:val="en-US"/>
        </w:rPr>
        <w:t>[</w:t>
      </w:r>
      <w:proofErr w:type="gramEnd"/>
      <w:r w:rsidR="00104758" w:rsidRPr="00E127AB">
        <w:rPr>
          <w:rFonts w:ascii="Book Antiqua" w:hAnsi="Book Antiqua" w:cs="Times New Roman"/>
          <w:color w:val="auto"/>
          <w:sz w:val="24"/>
          <w:szCs w:val="24"/>
          <w:vertAlign w:val="superscript"/>
          <w:lang w:val="en-US"/>
        </w:rPr>
        <w:t>22</w:t>
      </w:r>
      <w:r w:rsidR="006E4C27" w:rsidRPr="00E127AB">
        <w:rPr>
          <w:rFonts w:ascii="Book Antiqua" w:hAnsi="Book Antiqua" w:cs="Times New Roman"/>
          <w:color w:val="auto"/>
          <w:sz w:val="24"/>
          <w:szCs w:val="24"/>
          <w:vertAlign w:val="superscript"/>
          <w:lang w:val="en-US"/>
        </w:rPr>
        <w:t>]</w:t>
      </w:r>
      <w:r w:rsidR="00800A6F" w:rsidRPr="00E127AB">
        <w:rPr>
          <w:rFonts w:ascii="Book Antiqua" w:eastAsiaTheme="minorHAnsi" w:hAnsi="Book Antiqua" w:cs="AdvOT863180fb"/>
          <w:color w:val="auto"/>
          <w:sz w:val="24"/>
          <w:szCs w:val="24"/>
          <w:lang w:val="en-US"/>
        </w:rPr>
        <w:t xml:space="preserve">. </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EastAsia" w:hAnsi="Book Antiqua" w:cs="AdvOT863180fb"/>
          <w:color w:val="auto"/>
          <w:sz w:val="24"/>
          <w:szCs w:val="24"/>
          <w:lang w:val="en-US" w:eastAsia="zh-CN"/>
        </w:rPr>
      </w:pPr>
      <w:r w:rsidRPr="00E127AB">
        <w:rPr>
          <w:rFonts w:ascii="Book Antiqua" w:eastAsiaTheme="minorHAnsi" w:hAnsi="Book Antiqua" w:cs="AdvOT863180fb"/>
          <w:color w:val="auto"/>
          <w:sz w:val="24"/>
          <w:szCs w:val="24"/>
          <w:lang w:val="en-US"/>
        </w:rPr>
        <w:t xml:space="preserve">For patients who progressed from CP to AP-CML while taking a TKI; it is recommended anyone of the TKIs that were not used before progression. Allogeneic donor search and ASCT should be performed all </w:t>
      </w:r>
      <w:proofErr w:type="gramStart"/>
      <w:r w:rsidR="000070A8" w:rsidRPr="00E127AB">
        <w:rPr>
          <w:rFonts w:ascii="Book Antiqua" w:eastAsiaTheme="minorHAnsi" w:hAnsi="Book Antiqua" w:cs="AdvOT863180fb"/>
          <w:color w:val="auto"/>
          <w:sz w:val="24"/>
          <w:szCs w:val="24"/>
          <w:lang w:val="en-US"/>
        </w:rPr>
        <w:t>patients</w:t>
      </w:r>
      <w:r w:rsidR="000070A8" w:rsidRPr="00E127AB">
        <w:rPr>
          <w:rFonts w:ascii="Book Antiqua" w:hAnsi="Book Antiqua" w:cs="Times New Roman"/>
          <w:color w:val="auto"/>
          <w:sz w:val="24"/>
          <w:szCs w:val="24"/>
          <w:vertAlign w:val="superscript"/>
          <w:lang w:val="en-US"/>
        </w:rPr>
        <w:t>[</w:t>
      </w:r>
      <w:proofErr w:type="gramEnd"/>
      <w:r w:rsidR="00C5570C" w:rsidRPr="00E127AB">
        <w:rPr>
          <w:rFonts w:ascii="Book Antiqua" w:hAnsi="Book Antiqua" w:cs="Times New Roman"/>
          <w:color w:val="auto"/>
          <w:sz w:val="24"/>
          <w:szCs w:val="24"/>
          <w:vertAlign w:val="superscript"/>
          <w:lang w:val="en-US"/>
        </w:rPr>
        <w:t>9]</w:t>
      </w:r>
      <w:r w:rsidRPr="00E127AB">
        <w:rPr>
          <w:rFonts w:ascii="Book Antiqua" w:eastAsiaTheme="minorHAnsi" w:hAnsi="Book Antiqua" w:cs="AdvOT863180fb"/>
          <w:color w:val="auto"/>
          <w:sz w:val="24"/>
          <w:szCs w:val="24"/>
          <w:lang w:val="en-US"/>
        </w:rPr>
        <w:t xml:space="preserve">. </w:t>
      </w:r>
    </w:p>
    <w:p w:rsidR="0039324F" w:rsidRPr="00E127AB" w:rsidRDefault="0039324F"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AdvOT863180fb"/>
          <w:color w:val="auto"/>
          <w:sz w:val="24"/>
          <w:szCs w:val="24"/>
          <w:lang w:val="en-US" w:eastAsia="zh-CN"/>
        </w:rPr>
      </w:pP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b/>
          <w:i/>
          <w:color w:val="auto"/>
          <w:sz w:val="24"/>
          <w:szCs w:val="24"/>
          <w:lang w:val="en-US"/>
        </w:rPr>
      </w:pPr>
      <w:r w:rsidRPr="00E127AB">
        <w:rPr>
          <w:rFonts w:ascii="Book Antiqua" w:eastAsiaTheme="minorHAnsi" w:hAnsi="Book Antiqua" w:cs="AdvOT863180fb"/>
          <w:b/>
          <w:i/>
          <w:color w:val="auto"/>
          <w:sz w:val="24"/>
          <w:szCs w:val="24"/>
          <w:lang w:val="en-US"/>
        </w:rPr>
        <w:t>Treatment of BP-CML</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AdvOT863180fb"/>
          <w:color w:val="auto"/>
          <w:sz w:val="24"/>
          <w:szCs w:val="24"/>
          <w:lang w:val="en-US" w:eastAsia="zh-CN"/>
        </w:rPr>
      </w:pPr>
      <w:r w:rsidRPr="00E127AB">
        <w:rPr>
          <w:rFonts w:ascii="Book Antiqua" w:eastAsiaTheme="minorHAnsi" w:hAnsi="Book Antiqua" w:cs="AdvOT863180fb"/>
          <w:color w:val="auto"/>
          <w:sz w:val="24"/>
          <w:szCs w:val="24"/>
          <w:lang w:val="en-US"/>
        </w:rPr>
        <w:t>It is recommended combinations of induction chemotherapy and TKIs for patients with BP-CML.</w:t>
      </w:r>
      <w:r w:rsidR="00F73E2D" w:rsidRPr="00E127AB">
        <w:rPr>
          <w:rFonts w:ascii="Book Antiqua" w:eastAsiaTheme="minorHAnsi" w:hAnsi="Book Antiqua" w:cs="AdvOT863180fb"/>
          <w:color w:val="auto"/>
          <w:sz w:val="24"/>
          <w:szCs w:val="24"/>
          <w:lang w:val="en-US"/>
        </w:rPr>
        <w:t xml:space="preserve"> </w:t>
      </w:r>
      <w:r w:rsidRPr="00E127AB">
        <w:rPr>
          <w:rFonts w:ascii="Book Antiqua" w:eastAsiaTheme="minorHAnsi" w:hAnsi="Book Antiqua" w:cs="AdvOT863180fb"/>
          <w:color w:val="auto"/>
          <w:sz w:val="24"/>
          <w:szCs w:val="24"/>
          <w:lang w:val="en-US"/>
        </w:rPr>
        <w:t xml:space="preserve">ASCT is recommended for all BP-CML patients who are </w:t>
      </w:r>
      <w:r w:rsidR="000070A8" w:rsidRPr="00E127AB">
        <w:rPr>
          <w:rFonts w:ascii="Book Antiqua" w:eastAsiaTheme="minorHAnsi" w:hAnsi="Book Antiqua" w:cs="AdvOT863180fb"/>
          <w:color w:val="auto"/>
          <w:sz w:val="24"/>
          <w:szCs w:val="24"/>
          <w:lang w:val="en-US"/>
        </w:rPr>
        <w:t>eligible</w:t>
      </w:r>
      <w:r w:rsidR="000070A8" w:rsidRPr="00E127AB">
        <w:rPr>
          <w:rFonts w:ascii="Book Antiqua" w:hAnsi="Book Antiqua" w:cs="Times New Roman"/>
          <w:color w:val="auto"/>
          <w:sz w:val="24"/>
          <w:szCs w:val="24"/>
          <w:vertAlign w:val="superscript"/>
          <w:lang w:val="en-US"/>
        </w:rPr>
        <w:t xml:space="preserve"> [</w:t>
      </w:r>
      <w:r w:rsidR="008820DD" w:rsidRPr="00E127AB">
        <w:rPr>
          <w:rFonts w:ascii="Book Antiqua" w:hAnsi="Book Antiqua" w:cs="Times New Roman"/>
          <w:color w:val="auto"/>
          <w:sz w:val="24"/>
          <w:szCs w:val="24"/>
          <w:vertAlign w:val="superscript"/>
          <w:lang w:val="en-US"/>
        </w:rPr>
        <w:t>9]</w:t>
      </w:r>
      <w:r w:rsidRPr="00E127AB">
        <w:rPr>
          <w:rFonts w:ascii="Book Antiqua" w:eastAsiaTheme="minorHAnsi" w:hAnsi="Book Antiqua" w:cs="AdvOT863180fb"/>
          <w:color w:val="auto"/>
          <w:sz w:val="24"/>
          <w:szCs w:val="24"/>
          <w:lang w:val="en-US"/>
        </w:rPr>
        <w:t xml:space="preserve">. </w:t>
      </w:r>
    </w:p>
    <w:p w:rsidR="0039324F" w:rsidRPr="00E127AB" w:rsidRDefault="0039324F"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AdvOT863180fb"/>
          <w:color w:val="auto"/>
          <w:sz w:val="24"/>
          <w:szCs w:val="24"/>
          <w:lang w:val="en-US" w:eastAsia="zh-CN"/>
        </w:rPr>
      </w:pPr>
    </w:p>
    <w:p w:rsidR="00AF78A0" w:rsidRPr="00E127AB" w:rsidRDefault="00360C23"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AdvOT863180fb"/>
          <w:b/>
          <w:i/>
          <w:color w:val="auto"/>
          <w:sz w:val="24"/>
          <w:szCs w:val="24"/>
          <w:lang w:val="en-US" w:eastAsia="zh-CN"/>
        </w:rPr>
      </w:pPr>
      <w:r w:rsidRPr="00E127AB">
        <w:rPr>
          <w:rFonts w:ascii="Book Antiqua" w:eastAsiaTheme="minorEastAsia" w:hAnsi="Book Antiqua" w:cs="AdvOT863180fb"/>
          <w:b/>
          <w:i/>
          <w:color w:val="auto"/>
          <w:sz w:val="24"/>
          <w:szCs w:val="24"/>
          <w:lang w:val="en-US" w:eastAsia="zh-CN"/>
        </w:rPr>
        <w:t>ASCT</w:t>
      </w:r>
    </w:p>
    <w:p w:rsidR="00AF78A0" w:rsidRPr="00E127AB" w:rsidRDefault="00C8414E"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ASCT</w:t>
      </w:r>
      <w:r w:rsidR="00AF78A0" w:rsidRPr="00E127AB">
        <w:rPr>
          <w:rFonts w:ascii="Book Antiqua" w:eastAsiaTheme="minorHAnsi" w:hAnsi="Book Antiqua" w:cs="AdvOT863180fb"/>
          <w:color w:val="auto"/>
          <w:sz w:val="24"/>
          <w:szCs w:val="24"/>
          <w:lang w:val="en-US"/>
        </w:rPr>
        <w:t xml:space="preserve"> is a highly effective treatment for CML. Since</w:t>
      </w:r>
      <w:r w:rsidR="00AF78A0" w:rsidRPr="00E127AB">
        <w:rPr>
          <w:rFonts w:ascii="Book Antiqua" w:hAnsi="Book Antiqua"/>
          <w:color w:val="auto"/>
          <w:sz w:val="24"/>
          <w:szCs w:val="24"/>
          <w:lang w:val="en-US"/>
        </w:rPr>
        <w:t xml:space="preserve"> </w:t>
      </w:r>
      <w:r w:rsidR="00AF78A0" w:rsidRPr="00E127AB">
        <w:rPr>
          <w:rFonts w:ascii="Book Antiqua" w:eastAsiaTheme="minorHAnsi" w:hAnsi="Book Antiqua" w:cs="AdvOT863180fb"/>
          <w:color w:val="auto"/>
          <w:sz w:val="24"/>
          <w:szCs w:val="24"/>
          <w:lang w:val="en-US"/>
        </w:rPr>
        <w:t xml:space="preserve">TKIs were used routinely in first line treatment and were safe and highly effective at controlling CP-CML, the </w:t>
      </w:r>
      <w:r w:rsidR="00AF78A0" w:rsidRPr="00E127AB">
        <w:rPr>
          <w:rFonts w:ascii="Book Antiqua" w:eastAsiaTheme="minorHAnsi" w:hAnsi="Book Antiqua" w:cs="AdvOT863180fb"/>
          <w:color w:val="auto"/>
          <w:sz w:val="24"/>
          <w:szCs w:val="24"/>
          <w:lang w:val="en-US"/>
        </w:rPr>
        <w:lastRenderedPageBreak/>
        <w:t xml:space="preserve">numbers of allografts performed for CML have dramatically </w:t>
      </w:r>
      <w:proofErr w:type="gramStart"/>
      <w:r w:rsidR="00103EE0" w:rsidRPr="00E127AB">
        <w:rPr>
          <w:rFonts w:ascii="Book Antiqua" w:eastAsiaTheme="minorHAnsi" w:hAnsi="Book Antiqua" w:cs="AdvOT863180fb"/>
          <w:color w:val="auto"/>
          <w:sz w:val="24"/>
          <w:szCs w:val="24"/>
          <w:lang w:val="en-US"/>
        </w:rPr>
        <w:t>decreased</w:t>
      </w:r>
      <w:r w:rsidR="00103EE0" w:rsidRPr="00E127AB">
        <w:rPr>
          <w:rFonts w:ascii="Book Antiqua" w:hAnsi="Book Antiqua" w:cs="Times New Roman"/>
          <w:color w:val="auto"/>
          <w:sz w:val="24"/>
          <w:szCs w:val="24"/>
          <w:vertAlign w:val="superscript"/>
          <w:lang w:val="en-US"/>
        </w:rPr>
        <w:t>[</w:t>
      </w:r>
      <w:proofErr w:type="gramEnd"/>
      <w:r w:rsidR="008820DD" w:rsidRPr="00E127AB">
        <w:rPr>
          <w:rFonts w:ascii="Book Antiqua" w:hAnsi="Book Antiqua" w:cs="Times New Roman"/>
          <w:color w:val="auto"/>
          <w:sz w:val="24"/>
          <w:szCs w:val="24"/>
          <w:vertAlign w:val="superscript"/>
          <w:lang w:val="en-US"/>
        </w:rPr>
        <w:t>2</w:t>
      </w:r>
      <w:r w:rsidR="00104758" w:rsidRPr="00E127AB">
        <w:rPr>
          <w:rFonts w:ascii="Book Antiqua" w:hAnsi="Book Antiqua" w:cs="Times New Roman"/>
          <w:color w:val="auto"/>
          <w:sz w:val="24"/>
          <w:szCs w:val="24"/>
          <w:vertAlign w:val="superscript"/>
          <w:lang w:val="en-US"/>
        </w:rPr>
        <w:t>3</w:t>
      </w:r>
      <w:r w:rsidR="008820DD" w:rsidRPr="00E127AB">
        <w:rPr>
          <w:rFonts w:ascii="Book Antiqua" w:hAnsi="Book Antiqua" w:cs="Times New Roman"/>
          <w:color w:val="auto"/>
          <w:sz w:val="24"/>
          <w:szCs w:val="24"/>
          <w:vertAlign w:val="superscript"/>
          <w:lang w:val="en-US"/>
        </w:rPr>
        <w:t>]</w:t>
      </w:r>
      <w:r w:rsidR="00AF78A0" w:rsidRPr="00E127AB">
        <w:rPr>
          <w:rFonts w:ascii="Book Antiqua" w:eastAsiaTheme="minorHAnsi" w:hAnsi="Book Antiqua" w:cs="AdvOT863180fb"/>
          <w:color w:val="auto"/>
          <w:sz w:val="24"/>
          <w:szCs w:val="24"/>
          <w:lang w:val="en-US"/>
        </w:rPr>
        <w:t xml:space="preserve">. Although outcomes of ASCT improved over years, HSCT is still limited to patients with an available donor and remains associated with significant morbidity and </w:t>
      </w:r>
      <w:proofErr w:type="gramStart"/>
      <w:r w:rsidR="000070A8" w:rsidRPr="00E127AB">
        <w:rPr>
          <w:rFonts w:ascii="Book Antiqua" w:eastAsiaTheme="minorHAnsi" w:hAnsi="Book Antiqua" w:cs="AdvOT863180fb"/>
          <w:color w:val="auto"/>
          <w:sz w:val="24"/>
          <w:szCs w:val="24"/>
          <w:lang w:val="en-US"/>
        </w:rPr>
        <w:t>mortality</w:t>
      </w:r>
      <w:r w:rsidR="000070A8" w:rsidRPr="00E127AB">
        <w:rPr>
          <w:rFonts w:ascii="Book Antiqua" w:hAnsi="Book Antiqua" w:cs="Times New Roman"/>
          <w:color w:val="auto"/>
          <w:sz w:val="24"/>
          <w:szCs w:val="24"/>
          <w:vertAlign w:val="superscript"/>
          <w:lang w:val="en-US"/>
        </w:rPr>
        <w:t>[</w:t>
      </w:r>
      <w:proofErr w:type="gramEnd"/>
      <w:r w:rsidR="00104758" w:rsidRPr="00E127AB">
        <w:rPr>
          <w:rFonts w:ascii="Book Antiqua" w:hAnsi="Book Antiqua" w:cs="Times New Roman"/>
          <w:color w:val="auto"/>
          <w:sz w:val="24"/>
          <w:szCs w:val="24"/>
          <w:vertAlign w:val="superscript"/>
          <w:lang w:val="en-US"/>
        </w:rPr>
        <w:t>24</w:t>
      </w:r>
      <w:r w:rsidR="000D1DBA" w:rsidRPr="00E127AB">
        <w:rPr>
          <w:rFonts w:ascii="Book Antiqua" w:hAnsi="Book Antiqua" w:cs="Times New Roman"/>
          <w:color w:val="auto"/>
          <w:sz w:val="24"/>
          <w:szCs w:val="24"/>
          <w:vertAlign w:val="superscript"/>
          <w:lang w:val="en-US"/>
        </w:rPr>
        <w:t>]</w:t>
      </w:r>
      <w:r w:rsidR="00AF78A0" w:rsidRPr="00E127AB">
        <w:rPr>
          <w:rFonts w:ascii="Book Antiqua" w:eastAsiaTheme="minorHAnsi" w:hAnsi="Book Antiqua" w:cs="AdvOT863180fb"/>
          <w:color w:val="auto"/>
          <w:sz w:val="24"/>
          <w:szCs w:val="24"/>
          <w:lang w:val="en-US"/>
        </w:rPr>
        <w:t xml:space="preserve">. However, ASCT remains an important therapeutic option for CML, especially for patients who are resistant or intolerant to at least one second generation TKI or </w:t>
      </w:r>
      <w:r w:rsidR="00360C23" w:rsidRPr="00E127AB">
        <w:rPr>
          <w:rFonts w:ascii="Book Antiqua" w:eastAsiaTheme="minorHAnsi" w:hAnsi="Book Antiqua" w:cs="AdvOT863180fb"/>
          <w:color w:val="auto"/>
          <w:sz w:val="24"/>
          <w:szCs w:val="24"/>
          <w:lang w:val="en-US"/>
        </w:rPr>
        <w:t xml:space="preserve">for patients with </w:t>
      </w:r>
      <w:proofErr w:type="spellStart"/>
      <w:r w:rsidR="00360C23" w:rsidRPr="00E127AB">
        <w:rPr>
          <w:rFonts w:ascii="Book Antiqua" w:eastAsiaTheme="minorHAnsi" w:hAnsi="Book Antiqua" w:cs="AdvOT863180fb"/>
          <w:color w:val="auto"/>
          <w:sz w:val="24"/>
          <w:szCs w:val="24"/>
          <w:lang w:val="en-US"/>
        </w:rPr>
        <w:t>blastic</w:t>
      </w:r>
      <w:proofErr w:type="spellEnd"/>
      <w:r w:rsidR="00360C23" w:rsidRPr="00E127AB">
        <w:rPr>
          <w:rFonts w:ascii="Book Antiqua" w:eastAsiaTheme="minorHAnsi" w:hAnsi="Book Antiqua" w:cs="AdvOT863180fb"/>
          <w:color w:val="auto"/>
          <w:sz w:val="24"/>
          <w:szCs w:val="24"/>
          <w:lang w:val="en-US"/>
        </w:rPr>
        <w:t xml:space="preserve"> </w:t>
      </w:r>
      <w:proofErr w:type="gramStart"/>
      <w:r w:rsidR="00360C23" w:rsidRPr="00E127AB">
        <w:rPr>
          <w:rFonts w:ascii="Book Antiqua" w:eastAsiaTheme="minorHAnsi" w:hAnsi="Book Antiqua" w:cs="AdvOT863180fb"/>
          <w:color w:val="auto"/>
          <w:sz w:val="24"/>
          <w:szCs w:val="24"/>
          <w:lang w:val="en-US"/>
        </w:rPr>
        <w:t>phase</w:t>
      </w:r>
      <w:r w:rsidR="00C34878" w:rsidRPr="00E127AB">
        <w:rPr>
          <w:rFonts w:ascii="Book Antiqua" w:hAnsi="Book Antiqua" w:cs="Times New Roman"/>
          <w:color w:val="auto"/>
          <w:sz w:val="24"/>
          <w:szCs w:val="24"/>
          <w:vertAlign w:val="superscript"/>
          <w:lang w:val="en-US"/>
        </w:rPr>
        <w:t>[</w:t>
      </w:r>
      <w:proofErr w:type="gramEnd"/>
      <w:r w:rsidR="00C34878" w:rsidRPr="00E127AB">
        <w:rPr>
          <w:rFonts w:ascii="Book Antiqua" w:hAnsi="Book Antiqua" w:cs="Times New Roman"/>
          <w:color w:val="auto"/>
          <w:sz w:val="24"/>
          <w:szCs w:val="24"/>
          <w:vertAlign w:val="superscript"/>
          <w:lang w:val="en-US"/>
        </w:rPr>
        <w:t>9]</w:t>
      </w:r>
      <w:r w:rsidR="00AF78A0" w:rsidRPr="00E127AB">
        <w:rPr>
          <w:rFonts w:ascii="Book Antiqua" w:eastAsiaTheme="minorHAnsi" w:hAnsi="Book Antiqua" w:cs="AdvOT863180fb"/>
          <w:color w:val="auto"/>
          <w:sz w:val="24"/>
          <w:szCs w:val="24"/>
          <w:lang w:val="en-US"/>
        </w:rPr>
        <w:t>.</w:t>
      </w:r>
      <w:r w:rsidR="00F73E2D" w:rsidRPr="00E127AB">
        <w:rPr>
          <w:rFonts w:ascii="Book Antiqua" w:eastAsiaTheme="minorHAnsi" w:hAnsi="Book Antiqua" w:cs="AdvOT863180fb"/>
          <w:color w:val="auto"/>
          <w:sz w:val="24"/>
          <w:szCs w:val="24"/>
          <w:lang w:val="en-US"/>
        </w:rPr>
        <w:t xml:space="preserve"> </w:t>
      </w:r>
      <w:r w:rsidR="00AF78A0" w:rsidRPr="00E127AB">
        <w:rPr>
          <w:rFonts w:ascii="Book Antiqua" w:eastAsiaTheme="minorHAnsi" w:hAnsi="Book Antiqua" w:cs="AdvOT863180fb"/>
          <w:color w:val="auto"/>
          <w:sz w:val="24"/>
          <w:szCs w:val="24"/>
          <w:lang w:val="en-US"/>
        </w:rPr>
        <w:t>Another issue is keep in mind that BCR-ABL signaling is not necessary for survival of CML stem cell and TKIs were not effective on these cells</w:t>
      </w:r>
      <w:r w:rsidR="00C34878" w:rsidRPr="00E127AB">
        <w:rPr>
          <w:rFonts w:ascii="Book Antiqua" w:hAnsi="Book Antiqua" w:cs="Times New Roman"/>
          <w:color w:val="auto"/>
          <w:sz w:val="24"/>
          <w:szCs w:val="24"/>
          <w:vertAlign w:val="superscript"/>
          <w:lang w:val="en-US"/>
        </w:rPr>
        <w:t>[</w:t>
      </w:r>
      <w:r w:rsidR="00104758" w:rsidRPr="00E127AB">
        <w:rPr>
          <w:rFonts w:ascii="Book Antiqua" w:hAnsi="Book Antiqua" w:cs="Times New Roman"/>
          <w:color w:val="auto"/>
          <w:sz w:val="24"/>
          <w:szCs w:val="24"/>
          <w:vertAlign w:val="superscript"/>
          <w:lang w:val="en-US"/>
        </w:rPr>
        <w:t>25, 26</w:t>
      </w:r>
      <w:r w:rsidR="00C34878" w:rsidRPr="00E127AB">
        <w:rPr>
          <w:rFonts w:ascii="Book Antiqua" w:hAnsi="Book Antiqua" w:cs="Times New Roman"/>
          <w:color w:val="auto"/>
          <w:sz w:val="24"/>
          <w:szCs w:val="24"/>
          <w:vertAlign w:val="superscript"/>
          <w:lang w:val="en-US"/>
        </w:rPr>
        <w:t>]</w:t>
      </w:r>
      <w:r w:rsidR="00AF78A0" w:rsidRPr="00E127AB">
        <w:rPr>
          <w:rFonts w:ascii="Book Antiqua" w:eastAsiaTheme="minorHAnsi" w:hAnsi="Book Antiqua" w:cs="AdvOT863180fb"/>
          <w:color w:val="auto"/>
          <w:sz w:val="24"/>
          <w:szCs w:val="24"/>
          <w:lang w:val="en-US"/>
        </w:rPr>
        <w:t>.</w:t>
      </w:r>
      <w:r w:rsidR="00F73E2D" w:rsidRPr="00E127AB">
        <w:rPr>
          <w:rFonts w:ascii="Book Antiqua" w:eastAsiaTheme="minorHAnsi" w:hAnsi="Book Antiqua" w:cs="AdvOT863180fb"/>
          <w:color w:val="auto"/>
          <w:sz w:val="24"/>
          <w:szCs w:val="24"/>
          <w:lang w:val="en-US"/>
        </w:rPr>
        <w:t xml:space="preserve"> </w:t>
      </w:r>
      <w:r w:rsidR="00AF78A0" w:rsidRPr="00E127AB">
        <w:rPr>
          <w:rFonts w:ascii="Book Antiqua" w:eastAsiaTheme="minorHAnsi" w:hAnsi="Book Antiqua" w:cs="AdvOT863180fb"/>
          <w:color w:val="auto"/>
          <w:sz w:val="24"/>
          <w:szCs w:val="24"/>
          <w:lang w:val="en-US"/>
        </w:rPr>
        <w:t>ASCT is still had the potential for cure.</w:t>
      </w:r>
    </w:p>
    <w:p w:rsidR="00AF78A0"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EastAsia" w:hAnsi="Book Antiqua" w:cs="AdvOT863180fb"/>
          <w:color w:val="auto"/>
          <w:sz w:val="24"/>
          <w:szCs w:val="24"/>
          <w:lang w:val="en-US" w:eastAsia="zh-CN"/>
        </w:rPr>
      </w:pPr>
      <w:r w:rsidRPr="00E127AB">
        <w:rPr>
          <w:rFonts w:ascii="Book Antiqua" w:eastAsiaTheme="minorHAnsi" w:hAnsi="Book Antiqua" w:cs="AdvOT863180fb"/>
          <w:color w:val="auto"/>
          <w:sz w:val="24"/>
          <w:szCs w:val="24"/>
          <w:lang w:val="en-US"/>
        </w:rPr>
        <w:t>In this report, we present our single center experience of the outcomes of ASCT for patients with CML. Then, we will review our data with the literature of ASCT for CML.</w:t>
      </w:r>
    </w:p>
    <w:p w:rsidR="0039324F" w:rsidRPr="00E127AB" w:rsidRDefault="0039324F"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AdvOT863180fb"/>
          <w:color w:val="auto"/>
          <w:sz w:val="24"/>
          <w:szCs w:val="24"/>
          <w:lang w:val="en-US" w:eastAsia="zh-CN"/>
        </w:rPr>
      </w:pPr>
    </w:p>
    <w:p w:rsidR="00AF78A0" w:rsidRPr="00E127AB" w:rsidRDefault="00BB2D54"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CASE SERIES</w:t>
      </w:r>
    </w:p>
    <w:p w:rsidR="00292D72" w:rsidRPr="00E127AB" w:rsidRDefault="00AF78A0"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Ten patients (3 female and 7 male) with CML were treated with ASCT in our center between October 2000 and </w:t>
      </w:r>
      <w:r w:rsidR="00BF7BB9" w:rsidRPr="00E127AB">
        <w:rPr>
          <w:rFonts w:ascii="Book Antiqua" w:eastAsiaTheme="minorHAnsi" w:hAnsi="Book Antiqua" w:cs="AdvOT863180fb"/>
          <w:color w:val="auto"/>
          <w:sz w:val="24"/>
          <w:szCs w:val="24"/>
          <w:lang w:val="en-US"/>
        </w:rPr>
        <w:t xml:space="preserve">December 2015. The median age at the transplantation was </w:t>
      </w:r>
      <w:r w:rsidR="00302AA4" w:rsidRPr="00E127AB">
        <w:rPr>
          <w:rFonts w:ascii="Book Antiqua" w:eastAsiaTheme="minorHAnsi" w:hAnsi="Book Antiqua" w:cs="AdvOT863180fb"/>
          <w:color w:val="auto"/>
          <w:sz w:val="24"/>
          <w:szCs w:val="24"/>
          <w:lang w:val="en-US"/>
        </w:rPr>
        <w:t xml:space="preserve">50 </w:t>
      </w:r>
      <w:r w:rsidR="00837180" w:rsidRPr="00E127AB">
        <w:rPr>
          <w:rFonts w:ascii="Book Antiqua" w:eastAsiaTheme="minorHAnsi" w:hAnsi="Book Antiqua" w:cs="AdvOT863180fb"/>
          <w:color w:val="auto"/>
          <w:sz w:val="24"/>
          <w:szCs w:val="24"/>
          <w:lang w:val="en-US"/>
        </w:rPr>
        <w:t>(</w:t>
      </w:r>
      <w:r w:rsidR="00302AA4" w:rsidRPr="00E127AB">
        <w:rPr>
          <w:rFonts w:ascii="Book Antiqua" w:eastAsiaTheme="minorHAnsi" w:hAnsi="Book Antiqua" w:cs="AdvOT863180fb"/>
          <w:color w:val="auto"/>
          <w:sz w:val="24"/>
          <w:szCs w:val="24"/>
          <w:lang w:val="en-US"/>
        </w:rPr>
        <w:t>range 22</w:t>
      </w:r>
      <w:r w:rsidR="00360C23" w:rsidRPr="00E127AB">
        <w:rPr>
          <w:rFonts w:ascii="Book Antiqua" w:eastAsiaTheme="minorEastAsia" w:hAnsi="Book Antiqua" w:cs="AdvOT863180fb"/>
          <w:color w:val="auto"/>
          <w:sz w:val="24"/>
          <w:szCs w:val="24"/>
          <w:lang w:val="en-US" w:eastAsia="zh-CN"/>
        </w:rPr>
        <w:t>-</w:t>
      </w:r>
      <w:r w:rsidR="00302AA4" w:rsidRPr="00E127AB">
        <w:rPr>
          <w:rFonts w:ascii="Book Antiqua" w:eastAsiaTheme="minorHAnsi" w:hAnsi="Book Antiqua" w:cs="AdvOT863180fb"/>
          <w:color w:val="auto"/>
          <w:sz w:val="24"/>
          <w:szCs w:val="24"/>
          <w:lang w:val="en-US"/>
        </w:rPr>
        <w:t xml:space="preserve">65) years. </w:t>
      </w:r>
      <w:r w:rsidR="006312D8" w:rsidRPr="00E127AB">
        <w:rPr>
          <w:rFonts w:ascii="Book Antiqua" w:eastAsiaTheme="minorHAnsi" w:hAnsi="Book Antiqua" w:cs="AdvOT863180fb"/>
          <w:color w:val="auto"/>
          <w:sz w:val="24"/>
          <w:szCs w:val="24"/>
          <w:lang w:val="en-US"/>
        </w:rPr>
        <w:t xml:space="preserve">All patients were in chronic phase at diagnosis. </w:t>
      </w:r>
      <w:r w:rsidR="002571F2" w:rsidRPr="00E127AB">
        <w:rPr>
          <w:rFonts w:ascii="Book Antiqua" w:eastAsiaTheme="minorHAnsi" w:hAnsi="Book Antiqua" w:cs="AdvOT863180fb"/>
          <w:color w:val="auto"/>
          <w:sz w:val="24"/>
          <w:szCs w:val="24"/>
          <w:lang w:val="en-US"/>
        </w:rPr>
        <w:t xml:space="preserve">Only one patient did not receive imatinib, this patient treated with interferon and hydroxyurea. Others received at least imatinib. One </w:t>
      </w:r>
      <w:r w:rsidR="00BF7BB9" w:rsidRPr="00E127AB">
        <w:rPr>
          <w:rFonts w:ascii="Book Antiqua" w:eastAsiaTheme="minorHAnsi" w:hAnsi="Book Antiqua" w:cs="AdvOT863180fb"/>
          <w:color w:val="auto"/>
          <w:sz w:val="24"/>
          <w:szCs w:val="24"/>
          <w:lang w:val="en-US"/>
        </w:rPr>
        <w:t xml:space="preserve">patient had primary imatinib resistance and </w:t>
      </w:r>
      <w:r w:rsidR="008B598E" w:rsidRPr="00E127AB">
        <w:rPr>
          <w:rFonts w:ascii="Book Antiqua" w:eastAsiaTheme="minorHAnsi" w:hAnsi="Book Antiqua" w:cs="AdvOT863180fb"/>
          <w:color w:val="auto"/>
          <w:sz w:val="24"/>
          <w:szCs w:val="24"/>
          <w:lang w:val="en-US"/>
        </w:rPr>
        <w:t>8</w:t>
      </w:r>
      <w:r w:rsidR="00BF7BB9" w:rsidRPr="00E127AB">
        <w:rPr>
          <w:rFonts w:ascii="Book Antiqua" w:eastAsiaTheme="minorHAnsi" w:hAnsi="Book Antiqua" w:cs="AdvOT863180fb"/>
          <w:color w:val="auto"/>
          <w:sz w:val="24"/>
          <w:szCs w:val="24"/>
          <w:lang w:val="en-US"/>
        </w:rPr>
        <w:t xml:space="preserve"> had lost their response.</w:t>
      </w:r>
      <w:r w:rsidR="00E016B7" w:rsidRPr="00E127AB">
        <w:rPr>
          <w:rFonts w:ascii="Book Antiqua" w:eastAsiaTheme="minorHAnsi" w:hAnsi="Book Antiqua" w:cs="AdvOT863180fb"/>
          <w:color w:val="auto"/>
          <w:sz w:val="24"/>
          <w:szCs w:val="24"/>
          <w:lang w:val="en-US"/>
        </w:rPr>
        <w:t xml:space="preserve"> Four patient who had lost their response to imatinib received second-line TKIs.</w:t>
      </w:r>
      <w:r w:rsidR="00941ACB" w:rsidRPr="00E127AB">
        <w:rPr>
          <w:rFonts w:ascii="Book Antiqua" w:eastAsiaTheme="minorHAnsi" w:hAnsi="Book Antiqua" w:cs="AdvOT863180fb"/>
          <w:color w:val="auto"/>
          <w:sz w:val="24"/>
          <w:szCs w:val="24"/>
          <w:lang w:val="en-US"/>
        </w:rPr>
        <w:t xml:space="preserve"> At the time of transplantation, </w:t>
      </w:r>
      <w:r w:rsidR="00520A27" w:rsidRPr="00E127AB">
        <w:rPr>
          <w:rFonts w:ascii="Book Antiqua" w:eastAsiaTheme="minorHAnsi" w:hAnsi="Book Antiqua" w:cs="AdvOT863180fb"/>
          <w:color w:val="auto"/>
          <w:sz w:val="24"/>
          <w:szCs w:val="24"/>
          <w:lang w:val="en-US"/>
        </w:rPr>
        <w:t>5</w:t>
      </w:r>
      <w:r w:rsidR="00941ACB" w:rsidRPr="00E127AB">
        <w:rPr>
          <w:rFonts w:ascii="Book Antiqua" w:eastAsiaTheme="minorHAnsi" w:hAnsi="Book Antiqua" w:cs="AdvOT863180fb"/>
          <w:color w:val="auto"/>
          <w:sz w:val="24"/>
          <w:szCs w:val="24"/>
          <w:lang w:val="en-US"/>
        </w:rPr>
        <w:t xml:space="preserve"> of all were in first CP, 3 were in 2</w:t>
      </w:r>
      <w:r w:rsidR="00266D7F" w:rsidRPr="00E127AB">
        <w:rPr>
          <w:rFonts w:ascii="Book Antiqua" w:eastAsiaTheme="minorHAnsi" w:hAnsi="Book Antiqua" w:cs="AdvOT863180fb"/>
          <w:color w:val="auto"/>
          <w:sz w:val="24"/>
          <w:szCs w:val="24"/>
          <w:vertAlign w:val="superscript"/>
          <w:lang w:val="en-US"/>
        </w:rPr>
        <w:t>nd</w:t>
      </w:r>
      <w:r w:rsidR="00266D7F" w:rsidRPr="00E127AB">
        <w:rPr>
          <w:rFonts w:ascii="Book Antiqua" w:eastAsiaTheme="minorHAnsi" w:hAnsi="Book Antiqua" w:cs="AdvOT863180fb"/>
          <w:color w:val="auto"/>
          <w:sz w:val="24"/>
          <w:szCs w:val="24"/>
          <w:lang w:val="en-US"/>
        </w:rPr>
        <w:t xml:space="preserve"> </w:t>
      </w:r>
      <w:r w:rsidR="00941ACB" w:rsidRPr="00E127AB">
        <w:rPr>
          <w:rFonts w:ascii="Book Antiqua" w:eastAsiaTheme="minorHAnsi" w:hAnsi="Book Antiqua" w:cs="AdvOT863180fb"/>
          <w:color w:val="auto"/>
          <w:sz w:val="24"/>
          <w:szCs w:val="24"/>
          <w:lang w:val="en-US"/>
        </w:rPr>
        <w:t xml:space="preserve">CP and </w:t>
      </w:r>
      <w:r w:rsidR="00520A27" w:rsidRPr="00E127AB">
        <w:rPr>
          <w:rFonts w:ascii="Book Antiqua" w:eastAsiaTheme="minorHAnsi" w:hAnsi="Book Antiqua" w:cs="AdvOT863180fb"/>
          <w:color w:val="auto"/>
          <w:sz w:val="24"/>
          <w:szCs w:val="24"/>
          <w:lang w:val="en-US"/>
        </w:rPr>
        <w:t>2</w:t>
      </w:r>
      <w:r w:rsidR="00941ACB" w:rsidRPr="00E127AB">
        <w:rPr>
          <w:rFonts w:ascii="Book Antiqua" w:eastAsiaTheme="minorHAnsi" w:hAnsi="Book Antiqua" w:cs="AdvOT863180fb"/>
          <w:color w:val="auto"/>
          <w:sz w:val="24"/>
          <w:szCs w:val="24"/>
          <w:lang w:val="en-US"/>
        </w:rPr>
        <w:t xml:space="preserve"> was in AP. </w:t>
      </w:r>
      <w:r w:rsidR="008600A9" w:rsidRPr="00E127AB">
        <w:rPr>
          <w:rFonts w:ascii="Book Antiqua" w:eastAsiaTheme="minorHAnsi" w:hAnsi="Book Antiqua" w:cs="AdvOT863180fb"/>
          <w:color w:val="auto"/>
          <w:sz w:val="24"/>
          <w:szCs w:val="24"/>
          <w:lang w:val="en-US"/>
        </w:rPr>
        <w:t xml:space="preserve">Time from diagnosis to ASCT was </w:t>
      </w:r>
      <w:r w:rsidR="00812F75" w:rsidRPr="00E127AB">
        <w:rPr>
          <w:rFonts w:ascii="Book Antiqua" w:eastAsiaTheme="minorHAnsi" w:hAnsi="Book Antiqua" w:cs="AdvOT863180fb"/>
          <w:color w:val="auto"/>
          <w:sz w:val="24"/>
          <w:szCs w:val="24"/>
          <w:lang w:val="en-US"/>
        </w:rPr>
        <w:t>61.5 (range 14-133) mo.</w:t>
      </w:r>
      <w:r w:rsidR="00666C79" w:rsidRPr="00E127AB">
        <w:rPr>
          <w:rFonts w:ascii="Book Antiqua" w:eastAsiaTheme="minorHAnsi" w:hAnsi="Book Antiqua" w:cs="AdvOT863180fb"/>
          <w:color w:val="auto"/>
          <w:sz w:val="24"/>
          <w:szCs w:val="24"/>
          <w:lang w:val="en-US"/>
        </w:rPr>
        <w:t xml:space="preserve"> </w:t>
      </w:r>
      <w:r w:rsidR="00B22A15" w:rsidRPr="00E127AB">
        <w:rPr>
          <w:rFonts w:ascii="Book Antiqua" w:eastAsiaTheme="minorHAnsi" w:hAnsi="Book Antiqua" w:cs="AdvOT863180fb"/>
          <w:color w:val="auto"/>
          <w:sz w:val="24"/>
          <w:szCs w:val="24"/>
          <w:lang w:val="en-US"/>
        </w:rPr>
        <w:t>Nine of all</w:t>
      </w:r>
      <w:r w:rsidR="00E43A1E" w:rsidRPr="00E127AB">
        <w:rPr>
          <w:rFonts w:ascii="Book Antiqua" w:eastAsiaTheme="minorHAnsi" w:hAnsi="Book Antiqua" w:cs="AdvOT863180fb"/>
          <w:color w:val="auto"/>
          <w:sz w:val="24"/>
          <w:szCs w:val="24"/>
          <w:lang w:val="en-US"/>
        </w:rPr>
        <w:t xml:space="preserve"> transplantation</w:t>
      </w:r>
      <w:r w:rsidR="00B22A15" w:rsidRPr="00E127AB">
        <w:rPr>
          <w:rFonts w:ascii="Book Antiqua" w:eastAsiaTheme="minorHAnsi" w:hAnsi="Book Antiqua" w:cs="AdvOT863180fb"/>
          <w:color w:val="auto"/>
          <w:sz w:val="24"/>
          <w:szCs w:val="24"/>
          <w:lang w:val="en-US"/>
        </w:rPr>
        <w:t xml:space="preserve"> were matched sibling donor and </w:t>
      </w:r>
      <w:r w:rsidR="00E43A1E" w:rsidRPr="00E127AB">
        <w:rPr>
          <w:rFonts w:ascii="Book Antiqua" w:eastAsiaTheme="minorHAnsi" w:hAnsi="Book Antiqua" w:cs="AdvOT863180fb"/>
          <w:color w:val="auto"/>
          <w:sz w:val="24"/>
          <w:szCs w:val="24"/>
          <w:lang w:val="en-US"/>
        </w:rPr>
        <w:t>one</w:t>
      </w:r>
      <w:r w:rsidR="00B22A15" w:rsidRPr="00E127AB">
        <w:rPr>
          <w:rFonts w:ascii="Book Antiqua" w:eastAsiaTheme="minorHAnsi" w:hAnsi="Book Antiqua" w:cs="AdvOT863180fb"/>
          <w:color w:val="auto"/>
          <w:sz w:val="24"/>
          <w:szCs w:val="24"/>
          <w:lang w:val="en-US"/>
        </w:rPr>
        <w:t xml:space="preserve"> was </w:t>
      </w:r>
      <w:r w:rsidR="00E43A1E" w:rsidRPr="00E127AB">
        <w:rPr>
          <w:rFonts w:ascii="Book Antiqua" w:eastAsiaTheme="minorHAnsi" w:hAnsi="Book Antiqua" w:cs="AdvOT863180fb"/>
          <w:color w:val="auto"/>
          <w:sz w:val="24"/>
          <w:szCs w:val="24"/>
          <w:lang w:val="en-US"/>
        </w:rPr>
        <w:t>an antigen</w:t>
      </w:r>
      <w:r w:rsidR="00B22A15" w:rsidRPr="00E127AB">
        <w:rPr>
          <w:rFonts w:ascii="Book Antiqua" w:eastAsiaTheme="minorHAnsi" w:hAnsi="Book Antiqua" w:cs="AdvOT863180fb"/>
          <w:color w:val="auto"/>
          <w:sz w:val="24"/>
          <w:szCs w:val="24"/>
          <w:lang w:val="en-US"/>
        </w:rPr>
        <w:t xml:space="preserve"> mismatched </w:t>
      </w:r>
      <w:r w:rsidR="00E43A1E" w:rsidRPr="00E127AB">
        <w:rPr>
          <w:rFonts w:ascii="Book Antiqua" w:eastAsiaTheme="minorHAnsi" w:hAnsi="Book Antiqua" w:cs="AdvOT863180fb"/>
          <w:color w:val="auto"/>
          <w:sz w:val="24"/>
          <w:szCs w:val="24"/>
          <w:lang w:val="en-US"/>
        </w:rPr>
        <w:t>(</w:t>
      </w:r>
      <w:r w:rsidR="00FE33BD" w:rsidRPr="00E127AB">
        <w:rPr>
          <w:rFonts w:ascii="Book Antiqua" w:eastAsiaTheme="minorHAnsi" w:hAnsi="Book Antiqua" w:cs="AdvOT863180fb"/>
          <w:color w:val="auto"/>
          <w:sz w:val="24"/>
          <w:szCs w:val="24"/>
          <w:lang w:val="en-US"/>
        </w:rPr>
        <w:t xml:space="preserve">HLA </w:t>
      </w:r>
      <w:r w:rsidR="00E43A1E" w:rsidRPr="00E127AB">
        <w:rPr>
          <w:rFonts w:ascii="Book Antiqua" w:eastAsiaTheme="minorHAnsi" w:hAnsi="Book Antiqua" w:cs="AdvOT863180fb"/>
          <w:color w:val="auto"/>
          <w:sz w:val="24"/>
          <w:szCs w:val="24"/>
          <w:lang w:val="en-US"/>
        </w:rPr>
        <w:t xml:space="preserve">A antigen) </w:t>
      </w:r>
      <w:r w:rsidR="00B22A15" w:rsidRPr="00E127AB">
        <w:rPr>
          <w:rFonts w:ascii="Book Antiqua" w:eastAsiaTheme="minorHAnsi" w:hAnsi="Book Antiqua" w:cs="AdvOT863180fb"/>
          <w:color w:val="auto"/>
          <w:sz w:val="24"/>
          <w:szCs w:val="24"/>
          <w:lang w:val="en-US"/>
        </w:rPr>
        <w:t>unrelated donor transplantation.</w:t>
      </w:r>
      <w:r w:rsidR="00935DFF" w:rsidRPr="00E127AB">
        <w:rPr>
          <w:rFonts w:ascii="Book Antiqua" w:eastAsiaTheme="minorHAnsi" w:hAnsi="Book Antiqua" w:cs="AdvOT863180fb"/>
          <w:color w:val="auto"/>
          <w:sz w:val="24"/>
          <w:szCs w:val="24"/>
          <w:lang w:val="en-US"/>
        </w:rPr>
        <w:t xml:space="preserve"> </w:t>
      </w:r>
      <w:r w:rsidR="00292D72" w:rsidRPr="00E127AB">
        <w:rPr>
          <w:rFonts w:ascii="Book Antiqua" w:eastAsiaTheme="minorHAnsi" w:hAnsi="Book Antiqua" w:cs="AdvOT863180fb"/>
          <w:color w:val="auto"/>
          <w:sz w:val="24"/>
          <w:szCs w:val="24"/>
          <w:lang w:val="en-US"/>
        </w:rPr>
        <w:t>Patient’s</w:t>
      </w:r>
      <w:r w:rsidR="00935DFF" w:rsidRPr="00E127AB">
        <w:rPr>
          <w:rFonts w:ascii="Book Antiqua" w:eastAsiaTheme="minorHAnsi" w:hAnsi="Book Antiqua" w:cs="AdvOT863180fb"/>
          <w:color w:val="auto"/>
          <w:sz w:val="24"/>
          <w:szCs w:val="24"/>
          <w:lang w:val="en-US"/>
        </w:rPr>
        <w:t xml:space="preserve"> characteristics are shown in </w:t>
      </w:r>
      <w:r w:rsidR="00360C23" w:rsidRPr="00E127AB">
        <w:rPr>
          <w:rFonts w:ascii="Book Antiqua" w:eastAsiaTheme="minorHAnsi" w:hAnsi="Book Antiqua" w:cs="AdvOT863180fb"/>
          <w:color w:val="auto"/>
          <w:sz w:val="24"/>
          <w:szCs w:val="24"/>
          <w:lang w:val="en-US"/>
        </w:rPr>
        <w:t>T</w:t>
      </w:r>
      <w:r w:rsidR="00935DFF" w:rsidRPr="00E127AB">
        <w:rPr>
          <w:rFonts w:ascii="Book Antiqua" w:eastAsiaTheme="minorHAnsi" w:hAnsi="Book Antiqua" w:cs="AdvOT863180fb"/>
          <w:color w:val="auto"/>
          <w:sz w:val="24"/>
          <w:szCs w:val="24"/>
          <w:lang w:val="en-US"/>
        </w:rPr>
        <w:t xml:space="preserve">able </w:t>
      </w:r>
      <w:r w:rsidR="00595938" w:rsidRPr="00E127AB">
        <w:rPr>
          <w:rFonts w:ascii="Book Antiqua" w:eastAsiaTheme="minorHAnsi" w:hAnsi="Book Antiqua" w:cs="AdvOT863180fb"/>
          <w:color w:val="auto"/>
          <w:sz w:val="24"/>
          <w:szCs w:val="24"/>
          <w:lang w:val="en-US"/>
        </w:rPr>
        <w:t>3</w:t>
      </w:r>
      <w:r w:rsidR="00935DFF" w:rsidRPr="00E127AB">
        <w:rPr>
          <w:rFonts w:ascii="Book Antiqua" w:eastAsiaTheme="minorHAnsi" w:hAnsi="Book Antiqua" w:cs="AdvOT863180fb"/>
          <w:color w:val="auto"/>
          <w:sz w:val="24"/>
          <w:szCs w:val="24"/>
          <w:lang w:val="en-US"/>
        </w:rPr>
        <w:t>.</w:t>
      </w:r>
    </w:p>
    <w:p w:rsidR="00C16594" w:rsidRPr="00E127AB" w:rsidRDefault="00960F32"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Seven patients received </w:t>
      </w:r>
      <w:proofErr w:type="spellStart"/>
      <w:r w:rsidRPr="00E127AB">
        <w:rPr>
          <w:rFonts w:ascii="Book Antiqua" w:eastAsiaTheme="minorHAnsi" w:hAnsi="Book Antiqua" w:cs="AdvOT863180fb"/>
          <w:color w:val="auto"/>
          <w:sz w:val="24"/>
          <w:szCs w:val="24"/>
          <w:lang w:val="en-US"/>
        </w:rPr>
        <w:t>myeloablative</w:t>
      </w:r>
      <w:proofErr w:type="spellEnd"/>
      <w:r w:rsidRPr="00E127AB">
        <w:rPr>
          <w:rFonts w:ascii="Book Antiqua" w:eastAsiaTheme="minorHAnsi" w:hAnsi="Book Antiqua" w:cs="AdvOT863180fb"/>
          <w:color w:val="auto"/>
          <w:sz w:val="24"/>
          <w:szCs w:val="24"/>
          <w:lang w:val="en-US"/>
        </w:rPr>
        <w:t xml:space="preserve"> conditioning regimens (</w:t>
      </w:r>
      <w:proofErr w:type="spellStart"/>
      <w:r w:rsidRPr="00E127AB">
        <w:rPr>
          <w:rFonts w:ascii="Book Antiqua" w:eastAsiaTheme="minorHAnsi" w:hAnsi="Book Antiqua" w:cs="AdvOT863180fb"/>
          <w:color w:val="auto"/>
          <w:sz w:val="24"/>
          <w:szCs w:val="24"/>
          <w:lang w:val="en-US"/>
        </w:rPr>
        <w:t>busulfan</w:t>
      </w:r>
      <w:proofErr w:type="spellEnd"/>
      <w:r w:rsidRPr="00E127AB">
        <w:rPr>
          <w:rFonts w:ascii="Book Antiqua" w:eastAsiaTheme="minorHAnsi" w:hAnsi="Book Antiqua" w:cs="AdvOT863180fb"/>
          <w:color w:val="auto"/>
          <w:sz w:val="24"/>
          <w:szCs w:val="24"/>
          <w:lang w:val="en-US"/>
        </w:rPr>
        <w:t xml:space="preserve"> 3.2 mg/kg</w:t>
      </w:r>
      <w:r w:rsidR="00360C23" w:rsidRPr="00E127AB">
        <w:rPr>
          <w:rFonts w:ascii="Book Antiqua" w:eastAsiaTheme="minorEastAsia" w:hAnsi="Book Antiqua" w:cs="AdvOT863180fb"/>
          <w:color w:val="auto"/>
          <w:sz w:val="24"/>
          <w:szCs w:val="24"/>
          <w:lang w:val="en-US" w:eastAsia="zh-CN"/>
        </w:rPr>
        <w:t xml:space="preserve"> per day</w:t>
      </w:r>
      <w:r w:rsidR="00C16594" w:rsidRPr="00E127AB">
        <w:rPr>
          <w:rFonts w:ascii="Book Antiqua" w:eastAsiaTheme="minorHAnsi" w:hAnsi="Book Antiqua" w:cs="AdvOT863180fb"/>
          <w:color w:val="auto"/>
          <w:sz w:val="24"/>
          <w:szCs w:val="24"/>
          <w:lang w:val="en-US"/>
        </w:rPr>
        <w:t xml:space="preserve"> 4 d and cyclophosphamide 60 mg/kg</w:t>
      </w:r>
      <w:r w:rsidR="00360C23" w:rsidRPr="00E127AB">
        <w:rPr>
          <w:rFonts w:ascii="Book Antiqua" w:eastAsiaTheme="minorEastAsia" w:hAnsi="Book Antiqua" w:cs="AdvOT863180fb"/>
          <w:color w:val="auto"/>
          <w:sz w:val="24"/>
          <w:szCs w:val="24"/>
          <w:lang w:val="en-US" w:eastAsia="zh-CN"/>
        </w:rPr>
        <w:t xml:space="preserve"> per </w:t>
      </w:r>
      <w:r w:rsidR="00C16594" w:rsidRPr="00E127AB">
        <w:rPr>
          <w:rFonts w:ascii="Book Antiqua" w:eastAsiaTheme="minorHAnsi" w:hAnsi="Book Antiqua" w:cs="AdvOT863180fb"/>
          <w:color w:val="auto"/>
          <w:sz w:val="24"/>
          <w:szCs w:val="24"/>
          <w:lang w:val="en-US"/>
        </w:rPr>
        <w:t>d</w:t>
      </w:r>
      <w:r w:rsidR="00360C23" w:rsidRPr="00E127AB">
        <w:rPr>
          <w:rFonts w:ascii="Book Antiqua" w:eastAsiaTheme="minorEastAsia" w:hAnsi="Book Antiqua" w:cs="AdvOT863180fb"/>
          <w:color w:val="auto"/>
          <w:sz w:val="24"/>
          <w:szCs w:val="24"/>
          <w:lang w:val="en-US" w:eastAsia="zh-CN"/>
        </w:rPr>
        <w:t>ay</w:t>
      </w:r>
      <w:r w:rsidR="00C16594" w:rsidRPr="00E127AB">
        <w:rPr>
          <w:rFonts w:ascii="Book Antiqua" w:eastAsiaTheme="minorHAnsi" w:hAnsi="Book Antiqua" w:cs="AdvOT863180fb"/>
          <w:color w:val="auto"/>
          <w:sz w:val="24"/>
          <w:szCs w:val="24"/>
          <w:lang w:val="en-US"/>
        </w:rPr>
        <w:t xml:space="preserve"> 2 d) and 3 patients were received non-</w:t>
      </w:r>
      <w:proofErr w:type="spellStart"/>
      <w:r w:rsidR="00C16594" w:rsidRPr="00E127AB">
        <w:rPr>
          <w:rFonts w:ascii="Book Antiqua" w:eastAsiaTheme="minorHAnsi" w:hAnsi="Book Antiqua" w:cs="AdvOT863180fb"/>
          <w:color w:val="auto"/>
          <w:sz w:val="24"/>
          <w:szCs w:val="24"/>
          <w:lang w:val="en-US"/>
        </w:rPr>
        <w:t>myeloablative</w:t>
      </w:r>
      <w:proofErr w:type="spellEnd"/>
      <w:r w:rsidR="00C16594" w:rsidRPr="00E127AB">
        <w:rPr>
          <w:rFonts w:ascii="Book Antiqua" w:eastAsiaTheme="minorHAnsi" w:hAnsi="Book Antiqua" w:cs="AdvOT863180fb"/>
          <w:color w:val="auto"/>
          <w:sz w:val="24"/>
          <w:szCs w:val="24"/>
          <w:lang w:val="en-US"/>
        </w:rPr>
        <w:t xml:space="preserve"> regimens (</w:t>
      </w:r>
      <w:proofErr w:type="spellStart"/>
      <w:r w:rsidR="00C16594" w:rsidRPr="00E127AB">
        <w:rPr>
          <w:rFonts w:ascii="Book Antiqua" w:eastAsiaTheme="minorHAnsi" w:hAnsi="Book Antiqua" w:cs="AdvOT863180fb"/>
          <w:color w:val="auto"/>
          <w:sz w:val="24"/>
          <w:szCs w:val="24"/>
          <w:lang w:val="en-US"/>
        </w:rPr>
        <w:t>fludarabine</w:t>
      </w:r>
      <w:proofErr w:type="spellEnd"/>
      <w:r w:rsidR="00C16594" w:rsidRPr="00E127AB">
        <w:rPr>
          <w:rFonts w:ascii="Book Antiqua" w:eastAsiaTheme="minorHAnsi" w:hAnsi="Book Antiqua" w:cs="AdvOT863180fb"/>
          <w:color w:val="auto"/>
          <w:sz w:val="24"/>
          <w:szCs w:val="24"/>
          <w:lang w:val="en-US"/>
        </w:rPr>
        <w:t xml:space="preserve"> 30 mg/m</w:t>
      </w:r>
      <w:r w:rsidR="00C16594" w:rsidRPr="00E127AB">
        <w:rPr>
          <w:rFonts w:ascii="Book Antiqua" w:eastAsiaTheme="minorHAnsi" w:hAnsi="Book Antiqua" w:cs="AdvOT863180fb"/>
          <w:color w:val="auto"/>
          <w:sz w:val="24"/>
          <w:szCs w:val="24"/>
          <w:vertAlign w:val="superscript"/>
          <w:lang w:val="en-US"/>
        </w:rPr>
        <w:t>2</w:t>
      </w:r>
      <w:r w:rsidR="00C16594" w:rsidRPr="00E127AB">
        <w:rPr>
          <w:rFonts w:ascii="Book Antiqua" w:eastAsiaTheme="minorHAnsi" w:hAnsi="Book Antiqua" w:cs="AdvOT863180fb"/>
          <w:color w:val="auto"/>
          <w:sz w:val="24"/>
          <w:szCs w:val="24"/>
          <w:lang w:val="en-US"/>
        </w:rPr>
        <w:t>/d 5 d</w:t>
      </w:r>
      <w:r w:rsidR="00360C23" w:rsidRPr="00E127AB">
        <w:rPr>
          <w:rFonts w:ascii="Book Antiqua" w:eastAsiaTheme="minorHAnsi" w:hAnsi="Book Antiqua" w:cs="AdvOT863180fb"/>
          <w:color w:val="auto"/>
          <w:sz w:val="24"/>
          <w:szCs w:val="24"/>
          <w:lang w:val="en-US"/>
        </w:rPr>
        <w:t xml:space="preserve"> and </w:t>
      </w:r>
      <w:proofErr w:type="spellStart"/>
      <w:r w:rsidR="00360C23" w:rsidRPr="00E127AB">
        <w:rPr>
          <w:rFonts w:ascii="Book Antiqua" w:eastAsiaTheme="minorHAnsi" w:hAnsi="Book Antiqua" w:cs="AdvOT863180fb"/>
          <w:color w:val="auto"/>
          <w:sz w:val="24"/>
          <w:szCs w:val="24"/>
          <w:lang w:val="en-US"/>
        </w:rPr>
        <w:t>busulfan</w:t>
      </w:r>
      <w:proofErr w:type="spellEnd"/>
      <w:r w:rsidR="00360C23" w:rsidRPr="00E127AB">
        <w:rPr>
          <w:rFonts w:ascii="Book Antiqua" w:eastAsiaTheme="minorHAnsi" w:hAnsi="Book Antiqua" w:cs="AdvOT863180fb"/>
          <w:color w:val="auto"/>
          <w:sz w:val="24"/>
          <w:szCs w:val="24"/>
          <w:lang w:val="en-US"/>
        </w:rPr>
        <w:t xml:space="preserve"> 3.2 mg/kg</w:t>
      </w:r>
      <w:r w:rsidR="00360C23" w:rsidRPr="00E127AB">
        <w:rPr>
          <w:rFonts w:ascii="Book Antiqua" w:eastAsiaTheme="minorEastAsia" w:hAnsi="Book Antiqua" w:cs="AdvOT863180fb"/>
          <w:color w:val="auto"/>
          <w:sz w:val="24"/>
          <w:szCs w:val="24"/>
          <w:lang w:val="en-US" w:eastAsia="zh-CN"/>
        </w:rPr>
        <w:t xml:space="preserve"> per </w:t>
      </w:r>
      <w:r w:rsidR="00C16594" w:rsidRPr="00E127AB">
        <w:rPr>
          <w:rFonts w:ascii="Book Antiqua" w:eastAsiaTheme="minorHAnsi" w:hAnsi="Book Antiqua" w:cs="AdvOT863180fb"/>
          <w:color w:val="auto"/>
          <w:sz w:val="24"/>
          <w:szCs w:val="24"/>
          <w:lang w:val="en-US"/>
        </w:rPr>
        <w:t>d</w:t>
      </w:r>
      <w:r w:rsidR="00360C23" w:rsidRPr="00E127AB">
        <w:rPr>
          <w:rFonts w:ascii="Book Antiqua" w:eastAsiaTheme="minorEastAsia" w:hAnsi="Book Antiqua" w:cs="AdvOT863180fb"/>
          <w:color w:val="auto"/>
          <w:sz w:val="24"/>
          <w:szCs w:val="24"/>
          <w:lang w:val="en-US" w:eastAsia="zh-CN"/>
        </w:rPr>
        <w:t>ay</w:t>
      </w:r>
      <w:r w:rsidR="00C16594" w:rsidRPr="00E127AB">
        <w:rPr>
          <w:rFonts w:ascii="Book Antiqua" w:eastAsiaTheme="minorHAnsi" w:hAnsi="Book Antiqua" w:cs="AdvOT863180fb"/>
          <w:color w:val="auto"/>
          <w:sz w:val="24"/>
          <w:szCs w:val="24"/>
          <w:lang w:val="en-US"/>
        </w:rPr>
        <w:t xml:space="preserve"> 2 d; </w:t>
      </w:r>
      <w:proofErr w:type="spellStart"/>
      <w:r w:rsidR="00C16594" w:rsidRPr="00E127AB">
        <w:rPr>
          <w:rFonts w:ascii="Book Antiqua" w:eastAsiaTheme="minorHAnsi" w:hAnsi="Book Antiqua" w:cs="AdvOT863180fb"/>
          <w:color w:val="auto"/>
          <w:sz w:val="24"/>
          <w:szCs w:val="24"/>
          <w:lang w:val="en-US"/>
        </w:rPr>
        <w:t>fludarabine</w:t>
      </w:r>
      <w:proofErr w:type="spellEnd"/>
      <w:r w:rsidR="00C16594" w:rsidRPr="00E127AB">
        <w:rPr>
          <w:rFonts w:ascii="Book Antiqua" w:eastAsiaTheme="minorHAnsi" w:hAnsi="Book Antiqua" w:cs="AdvOT863180fb"/>
          <w:color w:val="auto"/>
          <w:sz w:val="24"/>
          <w:szCs w:val="24"/>
          <w:lang w:val="en-US"/>
        </w:rPr>
        <w:t xml:space="preserve"> 30 mg/m</w:t>
      </w:r>
      <w:r w:rsidR="00C16594" w:rsidRPr="00E127AB">
        <w:rPr>
          <w:rFonts w:ascii="Book Antiqua" w:eastAsiaTheme="minorHAnsi" w:hAnsi="Book Antiqua" w:cs="AdvOT863180fb"/>
          <w:color w:val="auto"/>
          <w:sz w:val="24"/>
          <w:szCs w:val="24"/>
          <w:vertAlign w:val="superscript"/>
          <w:lang w:val="en-US"/>
        </w:rPr>
        <w:t>2</w:t>
      </w:r>
      <w:r w:rsidR="00360C23" w:rsidRPr="00E127AB">
        <w:rPr>
          <w:rFonts w:ascii="Book Antiqua" w:eastAsiaTheme="minorEastAsia" w:hAnsi="Book Antiqua" w:cs="AdvOT863180fb"/>
          <w:color w:val="auto"/>
          <w:sz w:val="24"/>
          <w:szCs w:val="24"/>
          <w:lang w:val="en-US" w:eastAsia="zh-CN"/>
        </w:rPr>
        <w:t xml:space="preserve"> per </w:t>
      </w:r>
      <w:r w:rsidR="00C16594" w:rsidRPr="00E127AB">
        <w:rPr>
          <w:rFonts w:ascii="Book Antiqua" w:eastAsiaTheme="minorHAnsi" w:hAnsi="Book Antiqua" w:cs="AdvOT863180fb"/>
          <w:color w:val="auto"/>
          <w:sz w:val="24"/>
          <w:szCs w:val="24"/>
          <w:lang w:val="en-US"/>
        </w:rPr>
        <w:t>d</w:t>
      </w:r>
      <w:r w:rsidR="00360C23" w:rsidRPr="00E127AB">
        <w:rPr>
          <w:rFonts w:ascii="Book Antiqua" w:eastAsiaTheme="minorEastAsia" w:hAnsi="Book Antiqua" w:cs="AdvOT863180fb"/>
          <w:color w:val="auto"/>
          <w:sz w:val="24"/>
          <w:szCs w:val="24"/>
          <w:lang w:val="en-US" w:eastAsia="zh-CN"/>
        </w:rPr>
        <w:t xml:space="preserve">ay </w:t>
      </w:r>
      <w:r w:rsidR="00360C23" w:rsidRPr="00E127AB">
        <w:rPr>
          <w:rFonts w:ascii="Book Antiqua" w:eastAsiaTheme="minorHAnsi" w:hAnsi="Book Antiqua" w:cs="AdvOT863180fb"/>
          <w:color w:val="auto"/>
          <w:sz w:val="24"/>
          <w:szCs w:val="24"/>
          <w:lang w:val="en-US"/>
        </w:rPr>
        <w:t xml:space="preserve">5 d, </w:t>
      </w:r>
      <w:proofErr w:type="spellStart"/>
      <w:r w:rsidR="00360C23" w:rsidRPr="00E127AB">
        <w:rPr>
          <w:rFonts w:ascii="Book Antiqua" w:eastAsiaTheme="minorHAnsi" w:hAnsi="Book Antiqua" w:cs="AdvOT863180fb"/>
          <w:color w:val="auto"/>
          <w:sz w:val="24"/>
          <w:szCs w:val="24"/>
          <w:lang w:val="en-US"/>
        </w:rPr>
        <w:t>busulfan</w:t>
      </w:r>
      <w:proofErr w:type="spellEnd"/>
      <w:r w:rsidR="00360C23" w:rsidRPr="00E127AB">
        <w:rPr>
          <w:rFonts w:ascii="Book Antiqua" w:eastAsiaTheme="minorHAnsi" w:hAnsi="Book Antiqua" w:cs="AdvOT863180fb"/>
          <w:color w:val="auto"/>
          <w:sz w:val="24"/>
          <w:szCs w:val="24"/>
          <w:lang w:val="en-US"/>
        </w:rPr>
        <w:t xml:space="preserve"> 3.2 mg/kg</w:t>
      </w:r>
      <w:r w:rsidR="00360C23" w:rsidRPr="00E127AB">
        <w:rPr>
          <w:rFonts w:ascii="Book Antiqua" w:eastAsiaTheme="minorEastAsia" w:hAnsi="Book Antiqua" w:cs="AdvOT863180fb"/>
          <w:color w:val="auto"/>
          <w:sz w:val="24"/>
          <w:szCs w:val="24"/>
          <w:lang w:val="en-US" w:eastAsia="zh-CN"/>
        </w:rPr>
        <w:t xml:space="preserve"> per </w:t>
      </w:r>
      <w:r w:rsidR="00C16594" w:rsidRPr="00E127AB">
        <w:rPr>
          <w:rFonts w:ascii="Book Antiqua" w:eastAsiaTheme="minorHAnsi" w:hAnsi="Book Antiqua" w:cs="AdvOT863180fb"/>
          <w:color w:val="auto"/>
          <w:sz w:val="24"/>
          <w:szCs w:val="24"/>
          <w:lang w:val="en-US"/>
        </w:rPr>
        <w:t>d</w:t>
      </w:r>
      <w:r w:rsidR="00360C23" w:rsidRPr="00E127AB">
        <w:rPr>
          <w:rFonts w:ascii="Book Antiqua" w:eastAsiaTheme="minorEastAsia" w:hAnsi="Book Antiqua" w:cs="AdvOT863180fb"/>
          <w:color w:val="auto"/>
          <w:sz w:val="24"/>
          <w:szCs w:val="24"/>
          <w:lang w:val="en-US" w:eastAsia="zh-CN"/>
        </w:rPr>
        <w:t>ay</w:t>
      </w:r>
      <w:r w:rsidR="00360C23" w:rsidRPr="00E127AB">
        <w:rPr>
          <w:rFonts w:ascii="Book Antiqua" w:eastAsiaTheme="minorHAnsi" w:hAnsi="Book Antiqua" w:cs="AdvOT863180fb"/>
          <w:color w:val="auto"/>
          <w:sz w:val="24"/>
          <w:szCs w:val="24"/>
          <w:lang w:val="en-US"/>
        </w:rPr>
        <w:t xml:space="preserve"> 2 d</w:t>
      </w:r>
      <w:r w:rsidR="00C16594" w:rsidRPr="00E127AB">
        <w:rPr>
          <w:rFonts w:ascii="Book Antiqua" w:eastAsiaTheme="minorHAnsi" w:hAnsi="Book Antiqua" w:cs="AdvOT863180fb"/>
          <w:color w:val="auto"/>
          <w:sz w:val="24"/>
          <w:szCs w:val="24"/>
          <w:lang w:val="en-US"/>
        </w:rPr>
        <w:t xml:space="preserve"> and, cyclophosphamide </w:t>
      </w:r>
      <w:r w:rsidR="00132F05" w:rsidRPr="00E127AB">
        <w:rPr>
          <w:rFonts w:ascii="Book Antiqua" w:eastAsiaTheme="minorHAnsi" w:hAnsi="Book Antiqua" w:cs="AdvOT863180fb"/>
          <w:color w:val="auto"/>
          <w:sz w:val="24"/>
          <w:szCs w:val="24"/>
          <w:lang w:val="en-US"/>
        </w:rPr>
        <w:t>350</w:t>
      </w:r>
      <w:r w:rsidR="00360C23" w:rsidRPr="00E127AB">
        <w:rPr>
          <w:rFonts w:ascii="Book Antiqua" w:eastAsiaTheme="minorEastAsia" w:hAnsi="Book Antiqua" w:cs="AdvOT863180fb"/>
          <w:color w:val="auto"/>
          <w:sz w:val="24"/>
          <w:szCs w:val="24"/>
          <w:lang w:val="en-US" w:eastAsia="zh-CN"/>
        </w:rPr>
        <w:t xml:space="preserve"> </w:t>
      </w:r>
      <w:r w:rsidR="00132F05" w:rsidRPr="00E127AB">
        <w:rPr>
          <w:rFonts w:ascii="Book Antiqua" w:eastAsiaTheme="minorHAnsi" w:hAnsi="Book Antiqua" w:cs="AdvOT863180fb"/>
          <w:color w:val="auto"/>
          <w:sz w:val="24"/>
          <w:szCs w:val="24"/>
          <w:lang w:val="en-US"/>
        </w:rPr>
        <w:t>mg/m</w:t>
      </w:r>
      <w:r w:rsidR="00132F05" w:rsidRPr="00E127AB">
        <w:rPr>
          <w:rFonts w:ascii="Book Antiqua" w:eastAsiaTheme="minorHAnsi" w:hAnsi="Book Antiqua" w:cs="AdvOT863180fb"/>
          <w:color w:val="auto"/>
          <w:sz w:val="24"/>
          <w:szCs w:val="24"/>
          <w:vertAlign w:val="superscript"/>
          <w:lang w:val="en-US"/>
        </w:rPr>
        <w:t>2</w:t>
      </w:r>
      <w:r w:rsidR="00360C23" w:rsidRPr="00E127AB">
        <w:rPr>
          <w:rFonts w:ascii="Book Antiqua" w:eastAsiaTheme="minorEastAsia" w:hAnsi="Book Antiqua" w:cs="AdvOT863180fb"/>
          <w:color w:val="auto"/>
          <w:sz w:val="24"/>
          <w:szCs w:val="24"/>
          <w:lang w:val="en-US" w:eastAsia="zh-CN"/>
        </w:rPr>
        <w:t xml:space="preserve"> per </w:t>
      </w:r>
      <w:r w:rsidR="00132F05" w:rsidRPr="00E127AB">
        <w:rPr>
          <w:rFonts w:ascii="Book Antiqua" w:eastAsiaTheme="minorHAnsi" w:hAnsi="Book Antiqua" w:cs="AdvOT863180fb"/>
          <w:color w:val="auto"/>
          <w:sz w:val="24"/>
          <w:szCs w:val="24"/>
          <w:lang w:val="en-US"/>
        </w:rPr>
        <w:t>d</w:t>
      </w:r>
      <w:r w:rsidR="00360C23" w:rsidRPr="00E127AB">
        <w:rPr>
          <w:rFonts w:ascii="Book Antiqua" w:eastAsiaTheme="minorEastAsia" w:hAnsi="Book Antiqua" w:cs="AdvOT863180fb"/>
          <w:color w:val="auto"/>
          <w:sz w:val="24"/>
          <w:szCs w:val="24"/>
          <w:lang w:val="en-US" w:eastAsia="zh-CN"/>
        </w:rPr>
        <w:t>ay</w:t>
      </w:r>
      <w:r w:rsidR="00132F05" w:rsidRPr="00E127AB">
        <w:rPr>
          <w:rFonts w:ascii="Book Antiqua" w:eastAsiaTheme="minorHAnsi" w:hAnsi="Book Antiqua" w:cs="AdvOT863180fb"/>
          <w:color w:val="auto"/>
          <w:sz w:val="24"/>
          <w:szCs w:val="24"/>
          <w:lang w:val="en-US"/>
        </w:rPr>
        <w:t xml:space="preserve"> 3 d). </w:t>
      </w:r>
      <w:r w:rsidR="00360C23" w:rsidRPr="00E127AB">
        <w:rPr>
          <w:rFonts w:ascii="Book Antiqua" w:eastAsiaTheme="minorHAnsi" w:hAnsi="Book Antiqua" w:cs="AdvOT863180fb"/>
          <w:color w:val="auto"/>
          <w:sz w:val="24"/>
          <w:szCs w:val="24"/>
          <w:lang w:val="en-US"/>
        </w:rPr>
        <w:t>Cyclosporine (2 mg/kg</w:t>
      </w:r>
      <w:r w:rsidR="00360C23" w:rsidRPr="00E127AB">
        <w:rPr>
          <w:rFonts w:ascii="Book Antiqua" w:eastAsiaTheme="minorEastAsia" w:hAnsi="Book Antiqua" w:cs="AdvOT863180fb"/>
          <w:color w:val="auto"/>
          <w:sz w:val="24"/>
          <w:szCs w:val="24"/>
          <w:lang w:val="en-US" w:eastAsia="zh-CN"/>
        </w:rPr>
        <w:t xml:space="preserve"> per </w:t>
      </w:r>
      <w:r w:rsidR="008F490C" w:rsidRPr="00E127AB">
        <w:rPr>
          <w:rFonts w:ascii="Book Antiqua" w:eastAsiaTheme="minorHAnsi" w:hAnsi="Book Antiqua" w:cs="AdvOT863180fb"/>
          <w:color w:val="auto"/>
          <w:sz w:val="24"/>
          <w:szCs w:val="24"/>
          <w:lang w:val="en-US"/>
        </w:rPr>
        <w:t>d</w:t>
      </w:r>
      <w:r w:rsidR="00360C23" w:rsidRPr="00E127AB">
        <w:rPr>
          <w:rFonts w:ascii="Book Antiqua" w:eastAsiaTheme="minorEastAsia" w:hAnsi="Book Antiqua" w:cs="AdvOT863180fb"/>
          <w:color w:val="auto"/>
          <w:sz w:val="24"/>
          <w:szCs w:val="24"/>
          <w:lang w:val="en-US" w:eastAsia="zh-CN"/>
        </w:rPr>
        <w:t>ay</w:t>
      </w:r>
      <w:r w:rsidR="008F490C" w:rsidRPr="00E127AB">
        <w:rPr>
          <w:rFonts w:ascii="Book Antiqua" w:eastAsiaTheme="minorHAnsi" w:hAnsi="Book Antiqua" w:cs="AdvOT863180fb"/>
          <w:color w:val="auto"/>
          <w:sz w:val="24"/>
          <w:szCs w:val="24"/>
          <w:lang w:val="en-US"/>
        </w:rPr>
        <w:t xml:space="preserve"> day -1, levels maintained at 200</w:t>
      </w:r>
      <w:r w:rsidR="005A13AE" w:rsidRPr="00E127AB">
        <w:rPr>
          <w:rFonts w:ascii="Book Antiqua" w:eastAsiaTheme="minorEastAsia" w:hAnsi="Book Antiqua" w:cs="AdvOT863180fb"/>
          <w:color w:val="auto"/>
          <w:sz w:val="24"/>
          <w:szCs w:val="24"/>
          <w:lang w:val="en-US" w:eastAsia="zh-CN"/>
        </w:rPr>
        <w:t>-</w:t>
      </w:r>
      <w:r w:rsidR="008F490C" w:rsidRPr="00E127AB">
        <w:rPr>
          <w:rFonts w:ascii="Book Antiqua" w:eastAsiaTheme="minorHAnsi" w:hAnsi="Book Antiqua" w:cs="AdvOT863180fb"/>
          <w:color w:val="auto"/>
          <w:sz w:val="24"/>
          <w:szCs w:val="24"/>
          <w:lang w:val="en-US"/>
        </w:rPr>
        <w:t>300 mcg/</w:t>
      </w:r>
      <w:r w:rsidR="005A13AE" w:rsidRPr="00E127AB">
        <w:rPr>
          <w:rFonts w:ascii="Book Antiqua" w:eastAsiaTheme="minorHAnsi" w:hAnsi="Book Antiqua" w:cs="AdvOT863180fb"/>
          <w:color w:val="auto"/>
          <w:sz w:val="24"/>
          <w:szCs w:val="24"/>
          <w:lang w:val="en-US"/>
        </w:rPr>
        <w:t>L</w:t>
      </w:r>
      <w:r w:rsidR="008F490C" w:rsidRPr="00E127AB">
        <w:rPr>
          <w:rFonts w:ascii="Book Antiqua" w:eastAsiaTheme="minorHAnsi" w:hAnsi="Book Antiqua" w:cs="AdvOT863180fb"/>
          <w:color w:val="auto"/>
          <w:sz w:val="24"/>
          <w:szCs w:val="24"/>
          <w:lang w:val="en-US"/>
        </w:rPr>
        <w:t xml:space="preserve"> until dose reduction) and methotrexate (15 mg/m</w:t>
      </w:r>
      <w:r w:rsidR="008F490C" w:rsidRPr="00E127AB">
        <w:rPr>
          <w:rFonts w:ascii="Book Antiqua" w:eastAsiaTheme="minorHAnsi" w:hAnsi="Book Antiqua" w:cs="AdvOT863180fb"/>
          <w:color w:val="auto"/>
          <w:sz w:val="24"/>
          <w:szCs w:val="24"/>
          <w:vertAlign w:val="superscript"/>
          <w:lang w:val="en-US"/>
        </w:rPr>
        <w:t>2</w:t>
      </w:r>
      <w:r w:rsidR="008F490C" w:rsidRPr="00E127AB">
        <w:rPr>
          <w:rFonts w:ascii="Book Antiqua" w:eastAsiaTheme="minorHAnsi" w:hAnsi="Book Antiqua" w:cs="AdvOT863180fb"/>
          <w:color w:val="auto"/>
          <w:sz w:val="24"/>
          <w:szCs w:val="24"/>
          <w:lang w:val="en-US"/>
        </w:rPr>
        <w:t xml:space="preserve"> on day +1, 10 mg/m</w:t>
      </w:r>
      <w:r w:rsidR="008F490C" w:rsidRPr="00E127AB">
        <w:rPr>
          <w:rFonts w:ascii="Book Antiqua" w:eastAsiaTheme="minorHAnsi" w:hAnsi="Book Antiqua" w:cs="AdvOT863180fb"/>
          <w:color w:val="auto"/>
          <w:sz w:val="24"/>
          <w:szCs w:val="24"/>
          <w:vertAlign w:val="superscript"/>
          <w:lang w:val="en-US"/>
        </w:rPr>
        <w:t>2</w:t>
      </w:r>
      <w:r w:rsidR="008F490C" w:rsidRPr="00E127AB">
        <w:rPr>
          <w:rFonts w:ascii="Book Antiqua" w:eastAsiaTheme="minorHAnsi" w:hAnsi="Book Antiqua" w:cs="AdvOT863180fb"/>
          <w:color w:val="auto"/>
          <w:sz w:val="24"/>
          <w:szCs w:val="24"/>
          <w:lang w:val="en-US"/>
        </w:rPr>
        <w:t xml:space="preserve"> on day +3, +6, +11 for </w:t>
      </w:r>
      <w:proofErr w:type="spellStart"/>
      <w:r w:rsidR="008F490C" w:rsidRPr="00E127AB">
        <w:rPr>
          <w:rFonts w:ascii="Book Antiqua" w:eastAsiaTheme="minorHAnsi" w:hAnsi="Book Antiqua" w:cs="AdvOT863180fb"/>
          <w:color w:val="auto"/>
          <w:sz w:val="24"/>
          <w:szCs w:val="24"/>
          <w:lang w:val="en-US"/>
        </w:rPr>
        <w:t>myeloablative</w:t>
      </w:r>
      <w:proofErr w:type="spellEnd"/>
      <w:r w:rsidR="008F490C" w:rsidRPr="00E127AB">
        <w:rPr>
          <w:rFonts w:ascii="Book Antiqua" w:eastAsiaTheme="minorHAnsi" w:hAnsi="Book Antiqua" w:cs="AdvOT863180fb"/>
          <w:color w:val="auto"/>
          <w:sz w:val="24"/>
          <w:szCs w:val="24"/>
          <w:lang w:val="en-US"/>
        </w:rPr>
        <w:t xml:space="preserve"> </w:t>
      </w:r>
      <w:r w:rsidR="008F490C" w:rsidRPr="00E127AB">
        <w:rPr>
          <w:rFonts w:ascii="Book Antiqua" w:eastAsiaTheme="minorHAnsi" w:hAnsi="Book Antiqua" w:cs="AdvOT863180fb"/>
          <w:color w:val="auto"/>
          <w:sz w:val="24"/>
          <w:szCs w:val="24"/>
          <w:lang w:val="en-US"/>
        </w:rPr>
        <w:lastRenderedPageBreak/>
        <w:t>regimens and 10</w:t>
      </w:r>
      <w:r w:rsidR="005A13AE" w:rsidRPr="00E127AB">
        <w:rPr>
          <w:rFonts w:ascii="Book Antiqua" w:eastAsiaTheme="minorEastAsia" w:hAnsi="Book Antiqua" w:cs="AdvOT863180fb"/>
          <w:color w:val="auto"/>
          <w:sz w:val="24"/>
          <w:szCs w:val="24"/>
          <w:lang w:val="en-US" w:eastAsia="zh-CN"/>
        </w:rPr>
        <w:t xml:space="preserve"> </w:t>
      </w:r>
      <w:r w:rsidR="008F490C" w:rsidRPr="00E127AB">
        <w:rPr>
          <w:rFonts w:ascii="Book Antiqua" w:eastAsiaTheme="minorHAnsi" w:hAnsi="Book Antiqua" w:cs="AdvOT863180fb"/>
          <w:color w:val="auto"/>
          <w:sz w:val="24"/>
          <w:szCs w:val="24"/>
          <w:lang w:val="en-US"/>
        </w:rPr>
        <w:t>mg/m</w:t>
      </w:r>
      <w:r w:rsidR="008F490C" w:rsidRPr="00E127AB">
        <w:rPr>
          <w:rFonts w:ascii="Book Antiqua" w:eastAsiaTheme="minorHAnsi" w:hAnsi="Book Antiqua" w:cs="AdvOT863180fb"/>
          <w:color w:val="auto"/>
          <w:sz w:val="24"/>
          <w:szCs w:val="24"/>
          <w:vertAlign w:val="superscript"/>
          <w:lang w:val="en-US"/>
        </w:rPr>
        <w:t>2</w:t>
      </w:r>
      <w:r w:rsidR="008F490C" w:rsidRPr="00E127AB">
        <w:rPr>
          <w:rFonts w:ascii="Book Antiqua" w:eastAsiaTheme="minorHAnsi" w:hAnsi="Book Antiqua" w:cs="AdvOT863180fb"/>
          <w:color w:val="auto"/>
          <w:sz w:val="24"/>
          <w:szCs w:val="24"/>
          <w:lang w:val="en-US"/>
        </w:rPr>
        <w:t xml:space="preserve"> on day +1, +3 and +6 for non-</w:t>
      </w:r>
      <w:proofErr w:type="spellStart"/>
      <w:r w:rsidR="008F490C" w:rsidRPr="00E127AB">
        <w:rPr>
          <w:rFonts w:ascii="Book Antiqua" w:eastAsiaTheme="minorHAnsi" w:hAnsi="Book Antiqua" w:cs="AdvOT863180fb"/>
          <w:color w:val="auto"/>
          <w:sz w:val="24"/>
          <w:szCs w:val="24"/>
          <w:lang w:val="en-US"/>
        </w:rPr>
        <w:t>myeloablative</w:t>
      </w:r>
      <w:proofErr w:type="spellEnd"/>
      <w:r w:rsidR="008F490C" w:rsidRPr="00E127AB">
        <w:rPr>
          <w:rFonts w:ascii="Book Antiqua" w:eastAsiaTheme="minorHAnsi" w:hAnsi="Book Antiqua" w:cs="AdvOT863180fb"/>
          <w:color w:val="auto"/>
          <w:sz w:val="24"/>
          <w:szCs w:val="24"/>
          <w:lang w:val="en-US"/>
        </w:rPr>
        <w:t xml:space="preserve"> regimens) were used for </w:t>
      </w:r>
      <w:r w:rsidR="005A13AE" w:rsidRPr="00E127AB">
        <w:rPr>
          <w:rFonts w:ascii="Book Antiqua" w:eastAsiaTheme="minorHAnsi" w:hAnsi="Book Antiqua" w:cs="AdvOT863180fb"/>
          <w:color w:val="auto"/>
          <w:sz w:val="24"/>
          <w:szCs w:val="24"/>
          <w:lang w:val="en-US"/>
        </w:rPr>
        <w:t xml:space="preserve">graft </w:t>
      </w:r>
      <w:r w:rsidR="005A13AE" w:rsidRPr="00E127AB">
        <w:rPr>
          <w:rFonts w:ascii="Book Antiqua" w:eastAsiaTheme="minorHAnsi" w:hAnsi="Book Antiqua" w:cs="AdvOT863180fb"/>
          <w:i/>
          <w:color w:val="auto"/>
          <w:sz w:val="24"/>
          <w:szCs w:val="24"/>
          <w:lang w:val="en-US"/>
        </w:rPr>
        <w:t>vs</w:t>
      </w:r>
      <w:r w:rsidR="005A13AE" w:rsidRPr="00E127AB">
        <w:rPr>
          <w:rFonts w:ascii="Book Antiqua" w:eastAsiaTheme="minorHAnsi" w:hAnsi="Book Antiqua" w:cs="AdvOT863180fb"/>
          <w:color w:val="auto"/>
          <w:sz w:val="24"/>
          <w:szCs w:val="24"/>
          <w:lang w:val="en-US"/>
        </w:rPr>
        <w:t xml:space="preserve"> host disease </w:t>
      </w:r>
      <w:r w:rsidR="005A13AE" w:rsidRPr="00E127AB">
        <w:rPr>
          <w:rFonts w:ascii="Book Antiqua" w:eastAsiaTheme="minorEastAsia" w:hAnsi="Book Antiqua" w:cs="AdvOT863180fb"/>
          <w:color w:val="auto"/>
          <w:sz w:val="24"/>
          <w:szCs w:val="24"/>
          <w:lang w:val="en-US" w:eastAsia="zh-CN"/>
        </w:rPr>
        <w:t>(</w:t>
      </w:r>
      <w:r w:rsidR="008F490C" w:rsidRPr="00E127AB">
        <w:rPr>
          <w:rFonts w:ascii="Book Antiqua" w:eastAsiaTheme="minorHAnsi" w:hAnsi="Book Antiqua" w:cs="AdvOT863180fb"/>
          <w:color w:val="auto"/>
          <w:sz w:val="24"/>
          <w:szCs w:val="24"/>
          <w:lang w:val="en-US"/>
        </w:rPr>
        <w:t>GVHD</w:t>
      </w:r>
      <w:r w:rsidR="005A13AE" w:rsidRPr="00E127AB">
        <w:rPr>
          <w:rFonts w:ascii="Book Antiqua" w:eastAsiaTheme="minorEastAsia" w:hAnsi="Book Antiqua" w:cs="AdvOT863180fb"/>
          <w:color w:val="auto"/>
          <w:sz w:val="24"/>
          <w:szCs w:val="24"/>
          <w:lang w:val="en-US" w:eastAsia="zh-CN"/>
        </w:rPr>
        <w:t>)</w:t>
      </w:r>
      <w:r w:rsidR="008F490C" w:rsidRPr="00E127AB">
        <w:rPr>
          <w:rFonts w:ascii="Book Antiqua" w:eastAsiaTheme="minorHAnsi" w:hAnsi="Book Antiqua" w:cs="AdvOT863180fb"/>
          <w:color w:val="auto"/>
          <w:sz w:val="24"/>
          <w:szCs w:val="24"/>
          <w:lang w:val="en-US"/>
        </w:rPr>
        <w:t xml:space="preserve"> prophylaxis. In all patients, peripheral blood stem cell grafts were used.</w:t>
      </w:r>
    </w:p>
    <w:p w:rsidR="000A02A7" w:rsidRPr="00E127AB" w:rsidRDefault="00A6156E"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All patients were engrafted. The median neutrophil and platelet engraftment time</w:t>
      </w:r>
      <w:r w:rsidR="00494B02" w:rsidRPr="00E127AB">
        <w:rPr>
          <w:rFonts w:ascii="Book Antiqua" w:eastAsiaTheme="minorHAnsi" w:hAnsi="Book Antiqua" w:cs="AdvOT863180fb"/>
          <w:color w:val="auto"/>
          <w:sz w:val="24"/>
          <w:szCs w:val="24"/>
          <w:lang w:val="en-US"/>
        </w:rPr>
        <w:t>s</w:t>
      </w:r>
      <w:r w:rsidRPr="00E127AB">
        <w:rPr>
          <w:rFonts w:ascii="Book Antiqua" w:eastAsiaTheme="minorHAnsi" w:hAnsi="Book Antiqua" w:cs="AdvOT863180fb"/>
          <w:color w:val="auto"/>
          <w:sz w:val="24"/>
          <w:szCs w:val="24"/>
          <w:lang w:val="en-US"/>
        </w:rPr>
        <w:t xml:space="preserve"> were </w:t>
      </w:r>
      <w:r w:rsidR="00955E25" w:rsidRPr="00E127AB">
        <w:rPr>
          <w:rFonts w:ascii="Book Antiqua" w:eastAsiaTheme="minorHAnsi" w:hAnsi="Book Antiqua" w:cs="AdvOT863180fb"/>
          <w:color w:val="auto"/>
          <w:sz w:val="24"/>
          <w:szCs w:val="24"/>
          <w:lang w:val="en-US"/>
        </w:rPr>
        <w:t>13 (</w:t>
      </w:r>
      <w:r w:rsidR="005A13AE" w:rsidRPr="00E127AB">
        <w:rPr>
          <w:rFonts w:ascii="Book Antiqua" w:eastAsiaTheme="minorHAnsi" w:hAnsi="Book Antiqua" w:cs="AdvOT863180fb"/>
          <w:color w:val="auto"/>
          <w:sz w:val="24"/>
          <w:szCs w:val="24"/>
          <w:lang w:val="en-US"/>
        </w:rPr>
        <w:t>10-</w:t>
      </w:r>
      <w:r w:rsidR="00550A77" w:rsidRPr="00E127AB">
        <w:rPr>
          <w:rFonts w:ascii="Book Antiqua" w:eastAsiaTheme="minorHAnsi" w:hAnsi="Book Antiqua" w:cs="AdvOT863180fb"/>
          <w:color w:val="auto"/>
          <w:sz w:val="24"/>
          <w:szCs w:val="24"/>
          <w:lang w:val="en-US"/>
        </w:rPr>
        <w:t>25</w:t>
      </w:r>
      <w:r w:rsidR="00955E25" w:rsidRPr="00E127AB">
        <w:rPr>
          <w:rFonts w:ascii="Book Antiqua" w:eastAsiaTheme="minorHAnsi" w:hAnsi="Book Antiqua" w:cs="AdvOT863180fb"/>
          <w:color w:val="auto"/>
          <w:sz w:val="24"/>
          <w:szCs w:val="24"/>
          <w:lang w:val="en-US"/>
        </w:rPr>
        <w:t>) d and</w:t>
      </w:r>
      <w:r w:rsidR="0089748B" w:rsidRPr="00E127AB">
        <w:rPr>
          <w:rFonts w:ascii="Book Antiqua" w:eastAsiaTheme="minorHAnsi" w:hAnsi="Book Antiqua" w:cs="AdvOT863180fb"/>
          <w:color w:val="auto"/>
          <w:sz w:val="24"/>
          <w:szCs w:val="24"/>
          <w:lang w:val="en-US"/>
        </w:rPr>
        <w:t xml:space="preserve"> 14.5</w:t>
      </w:r>
      <w:r w:rsidR="00955E25" w:rsidRPr="00E127AB">
        <w:rPr>
          <w:rFonts w:ascii="Book Antiqua" w:eastAsiaTheme="minorHAnsi" w:hAnsi="Book Antiqua" w:cs="AdvOT863180fb"/>
          <w:color w:val="auto"/>
          <w:sz w:val="24"/>
          <w:szCs w:val="24"/>
          <w:lang w:val="en-US"/>
        </w:rPr>
        <w:t xml:space="preserve"> (</w:t>
      </w:r>
      <w:r w:rsidR="005A13AE" w:rsidRPr="00E127AB">
        <w:rPr>
          <w:rFonts w:ascii="Book Antiqua" w:eastAsiaTheme="minorHAnsi" w:hAnsi="Book Antiqua" w:cs="AdvOT863180fb"/>
          <w:color w:val="auto"/>
          <w:sz w:val="24"/>
          <w:szCs w:val="24"/>
          <w:lang w:val="en-US"/>
        </w:rPr>
        <w:t>10-</w:t>
      </w:r>
      <w:r w:rsidR="0089748B" w:rsidRPr="00E127AB">
        <w:rPr>
          <w:rFonts w:ascii="Book Antiqua" w:eastAsiaTheme="minorHAnsi" w:hAnsi="Book Antiqua" w:cs="AdvOT863180fb"/>
          <w:color w:val="auto"/>
          <w:sz w:val="24"/>
          <w:szCs w:val="24"/>
          <w:lang w:val="en-US"/>
        </w:rPr>
        <w:t>30</w:t>
      </w:r>
      <w:r w:rsidR="00955E25" w:rsidRPr="00E127AB">
        <w:rPr>
          <w:rFonts w:ascii="Book Antiqua" w:eastAsiaTheme="minorHAnsi" w:hAnsi="Book Antiqua" w:cs="AdvOT863180fb"/>
          <w:color w:val="auto"/>
          <w:sz w:val="24"/>
          <w:szCs w:val="24"/>
          <w:lang w:val="en-US"/>
        </w:rPr>
        <w:t>) d, respectively</w:t>
      </w:r>
      <w:r w:rsidR="00C0336A" w:rsidRPr="00E127AB">
        <w:rPr>
          <w:rFonts w:ascii="Book Antiqua" w:eastAsiaTheme="minorHAnsi" w:hAnsi="Book Antiqua" w:cs="AdvOT863180fb"/>
          <w:color w:val="auto"/>
          <w:sz w:val="24"/>
          <w:szCs w:val="24"/>
          <w:lang w:val="en-US"/>
        </w:rPr>
        <w:t xml:space="preserve"> (</w:t>
      </w:r>
      <w:r w:rsidR="005A13AE" w:rsidRPr="00E127AB">
        <w:rPr>
          <w:rFonts w:ascii="Book Antiqua" w:eastAsiaTheme="minorHAnsi" w:hAnsi="Book Antiqua" w:cs="AdvOT863180fb"/>
          <w:color w:val="auto"/>
          <w:sz w:val="24"/>
          <w:szCs w:val="24"/>
          <w:lang w:val="en-US"/>
        </w:rPr>
        <w:t>T</w:t>
      </w:r>
      <w:r w:rsidR="00C0336A" w:rsidRPr="00E127AB">
        <w:rPr>
          <w:rFonts w:ascii="Book Antiqua" w:eastAsiaTheme="minorHAnsi" w:hAnsi="Book Antiqua" w:cs="AdvOT863180fb"/>
          <w:color w:val="auto"/>
          <w:sz w:val="24"/>
          <w:szCs w:val="24"/>
          <w:lang w:val="en-US"/>
        </w:rPr>
        <w:t xml:space="preserve">able </w:t>
      </w:r>
      <w:r w:rsidR="00595938" w:rsidRPr="00E127AB">
        <w:rPr>
          <w:rFonts w:ascii="Book Antiqua" w:eastAsiaTheme="minorHAnsi" w:hAnsi="Book Antiqua" w:cs="AdvOT863180fb"/>
          <w:color w:val="auto"/>
          <w:sz w:val="24"/>
          <w:szCs w:val="24"/>
          <w:lang w:val="en-US"/>
        </w:rPr>
        <w:t>4</w:t>
      </w:r>
      <w:r w:rsidR="00C0336A" w:rsidRPr="00E127AB">
        <w:rPr>
          <w:rFonts w:ascii="Book Antiqua" w:eastAsiaTheme="minorHAnsi" w:hAnsi="Book Antiqua" w:cs="AdvOT863180fb"/>
          <w:color w:val="auto"/>
          <w:sz w:val="24"/>
          <w:szCs w:val="24"/>
          <w:lang w:val="en-US"/>
        </w:rPr>
        <w:t>)</w:t>
      </w:r>
      <w:r w:rsidR="00955E25" w:rsidRPr="00E127AB">
        <w:rPr>
          <w:rFonts w:ascii="Book Antiqua" w:eastAsiaTheme="minorHAnsi" w:hAnsi="Book Antiqua" w:cs="AdvOT863180fb"/>
          <w:color w:val="auto"/>
          <w:sz w:val="24"/>
          <w:szCs w:val="24"/>
          <w:lang w:val="en-US"/>
        </w:rPr>
        <w:t xml:space="preserve">. </w:t>
      </w:r>
      <w:r w:rsidR="005A13AE" w:rsidRPr="00E127AB">
        <w:rPr>
          <w:rFonts w:ascii="Book Antiqua" w:eastAsiaTheme="minorHAnsi" w:hAnsi="Book Antiqua" w:cs="AdvOT863180fb"/>
          <w:color w:val="auto"/>
          <w:sz w:val="24"/>
          <w:szCs w:val="24"/>
          <w:lang w:val="en-US"/>
        </w:rPr>
        <w:t>The median follow</w:t>
      </w:r>
      <w:r w:rsidR="005A13AE" w:rsidRPr="00E127AB">
        <w:rPr>
          <w:rFonts w:ascii="Book Antiqua" w:eastAsiaTheme="minorEastAsia" w:hAnsi="Book Antiqua" w:cs="AdvOT863180fb"/>
          <w:color w:val="auto"/>
          <w:sz w:val="24"/>
          <w:szCs w:val="24"/>
          <w:lang w:val="en-US" w:eastAsia="zh-CN"/>
        </w:rPr>
        <w:t>-</w:t>
      </w:r>
      <w:r w:rsidR="005A13AE" w:rsidRPr="00E127AB">
        <w:rPr>
          <w:rFonts w:ascii="Book Antiqua" w:eastAsiaTheme="minorHAnsi" w:hAnsi="Book Antiqua" w:cs="AdvOT863180fb"/>
          <w:color w:val="auto"/>
          <w:sz w:val="24"/>
          <w:szCs w:val="24"/>
          <w:lang w:val="en-US"/>
        </w:rPr>
        <w:t>up was 16.5 (3-</w:t>
      </w:r>
      <w:r w:rsidR="0044259F" w:rsidRPr="00E127AB">
        <w:rPr>
          <w:rFonts w:ascii="Book Antiqua" w:eastAsiaTheme="minorHAnsi" w:hAnsi="Book Antiqua" w:cs="AdvOT863180fb"/>
          <w:color w:val="auto"/>
          <w:sz w:val="24"/>
          <w:szCs w:val="24"/>
          <w:lang w:val="en-US"/>
        </w:rPr>
        <w:t xml:space="preserve">117) mo. </w:t>
      </w:r>
      <w:r w:rsidR="005B628A" w:rsidRPr="00E127AB">
        <w:rPr>
          <w:rFonts w:ascii="Book Antiqua" w:eastAsiaTheme="minorHAnsi" w:hAnsi="Book Antiqua" w:cs="AdvOT863180fb"/>
          <w:color w:val="auto"/>
          <w:sz w:val="24"/>
          <w:szCs w:val="24"/>
          <w:lang w:val="en-US"/>
        </w:rPr>
        <w:t>Only 3 patients are still alive without disease.</w:t>
      </w:r>
      <w:r w:rsidR="007A163C" w:rsidRPr="00E127AB">
        <w:rPr>
          <w:rFonts w:ascii="Book Antiqua" w:eastAsiaTheme="minorHAnsi" w:hAnsi="Book Antiqua" w:cs="AdvOT863180fb"/>
          <w:color w:val="auto"/>
          <w:sz w:val="24"/>
          <w:szCs w:val="24"/>
          <w:lang w:val="en-US"/>
        </w:rPr>
        <w:t xml:space="preserve"> The median follow-up</w:t>
      </w:r>
      <w:r w:rsidR="005A13AE" w:rsidRPr="00E127AB">
        <w:rPr>
          <w:rFonts w:ascii="Book Antiqua" w:eastAsiaTheme="minorHAnsi" w:hAnsi="Book Antiqua" w:cs="AdvOT863180fb"/>
          <w:color w:val="auto"/>
          <w:sz w:val="24"/>
          <w:szCs w:val="24"/>
          <w:lang w:val="en-US"/>
        </w:rPr>
        <w:t xml:space="preserve"> of these patients were 87 (50-</w:t>
      </w:r>
      <w:r w:rsidR="007A163C" w:rsidRPr="00E127AB">
        <w:rPr>
          <w:rFonts w:ascii="Book Antiqua" w:eastAsiaTheme="minorHAnsi" w:hAnsi="Book Antiqua" w:cs="AdvOT863180fb"/>
          <w:color w:val="auto"/>
          <w:sz w:val="24"/>
          <w:szCs w:val="24"/>
          <w:lang w:val="en-US"/>
        </w:rPr>
        <w:t>117) mo.</w:t>
      </w:r>
      <w:r w:rsidR="005B628A" w:rsidRPr="00E127AB">
        <w:rPr>
          <w:rFonts w:ascii="Book Antiqua" w:eastAsiaTheme="minorHAnsi" w:hAnsi="Book Antiqua" w:cs="AdvOT863180fb"/>
          <w:color w:val="auto"/>
          <w:sz w:val="24"/>
          <w:szCs w:val="24"/>
          <w:lang w:val="en-US"/>
        </w:rPr>
        <w:t xml:space="preserve"> </w:t>
      </w:r>
      <w:r w:rsidR="007D2613" w:rsidRPr="00E127AB">
        <w:rPr>
          <w:rFonts w:ascii="Book Antiqua" w:eastAsiaTheme="minorHAnsi" w:hAnsi="Book Antiqua" w:cs="AdvOT863180fb"/>
          <w:color w:val="auto"/>
          <w:sz w:val="24"/>
          <w:szCs w:val="24"/>
          <w:lang w:val="en-US"/>
        </w:rPr>
        <w:t xml:space="preserve">Five </w:t>
      </w:r>
      <w:r w:rsidR="00E70925" w:rsidRPr="00E127AB">
        <w:rPr>
          <w:rFonts w:ascii="Book Antiqua" w:eastAsiaTheme="minorHAnsi" w:hAnsi="Book Antiqua" w:cs="AdvOT863180fb"/>
          <w:color w:val="auto"/>
          <w:sz w:val="24"/>
          <w:szCs w:val="24"/>
          <w:lang w:val="en-US"/>
        </w:rPr>
        <w:t>patients died of complications after ASCT including acute GVHD (</w:t>
      </w:r>
      <w:r w:rsidR="00E70925" w:rsidRPr="00E127AB">
        <w:rPr>
          <w:rFonts w:ascii="Book Antiqua" w:eastAsiaTheme="minorHAnsi" w:hAnsi="Book Antiqua" w:cs="AdvOT863180fb"/>
          <w:i/>
          <w:color w:val="auto"/>
          <w:sz w:val="24"/>
          <w:szCs w:val="24"/>
          <w:lang w:val="en-US"/>
        </w:rPr>
        <w:t>n</w:t>
      </w:r>
      <w:r w:rsidR="005A13AE" w:rsidRPr="00E127AB">
        <w:rPr>
          <w:rFonts w:ascii="Book Antiqua" w:eastAsiaTheme="minorEastAsia" w:hAnsi="Book Antiqua" w:cs="AdvOT863180fb"/>
          <w:color w:val="auto"/>
          <w:sz w:val="24"/>
          <w:szCs w:val="24"/>
          <w:lang w:val="en-US" w:eastAsia="zh-CN"/>
        </w:rPr>
        <w:t xml:space="preserve"> </w:t>
      </w:r>
      <w:r w:rsidR="00E70925" w:rsidRPr="00E127AB">
        <w:rPr>
          <w:rFonts w:ascii="Book Antiqua" w:eastAsiaTheme="minorHAnsi" w:hAnsi="Book Antiqua" w:cs="AdvOT863180fb"/>
          <w:color w:val="auto"/>
          <w:sz w:val="24"/>
          <w:szCs w:val="24"/>
          <w:lang w:val="en-US"/>
        </w:rPr>
        <w:t>=</w:t>
      </w:r>
      <w:r w:rsidR="005A13AE" w:rsidRPr="00E127AB">
        <w:rPr>
          <w:rFonts w:ascii="Book Antiqua" w:eastAsiaTheme="minorEastAsia" w:hAnsi="Book Antiqua" w:cs="AdvOT863180fb"/>
          <w:color w:val="auto"/>
          <w:sz w:val="24"/>
          <w:szCs w:val="24"/>
          <w:lang w:val="en-US" w:eastAsia="zh-CN"/>
        </w:rPr>
        <w:t xml:space="preserve"> </w:t>
      </w:r>
      <w:r w:rsidR="00E70925" w:rsidRPr="00E127AB">
        <w:rPr>
          <w:rFonts w:ascii="Book Antiqua" w:eastAsiaTheme="minorHAnsi" w:hAnsi="Book Antiqua" w:cs="AdvOT863180fb"/>
          <w:color w:val="auto"/>
          <w:sz w:val="24"/>
          <w:szCs w:val="24"/>
          <w:lang w:val="en-US"/>
        </w:rPr>
        <w:t>3)</w:t>
      </w:r>
      <w:r w:rsidR="007D2613" w:rsidRPr="00E127AB">
        <w:rPr>
          <w:rFonts w:ascii="Book Antiqua" w:eastAsiaTheme="minorHAnsi" w:hAnsi="Book Antiqua" w:cs="AdvOT863180fb"/>
          <w:color w:val="auto"/>
          <w:sz w:val="24"/>
          <w:szCs w:val="24"/>
          <w:lang w:val="en-US"/>
        </w:rPr>
        <w:t>,</w:t>
      </w:r>
      <w:r w:rsidR="00E70925" w:rsidRPr="00E127AB">
        <w:rPr>
          <w:rFonts w:ascii="Book Antiqua" w:eastAsiaTheme="minorHAnsi" w:hAnsi="Book Antiqua" w:cs="AdvOT863180fb"/>
          <w:color w:val="auto"/>
          <w:sz w:val="24"/>
          <w:szCs w:val="24"/>
          <w:lang w:val="en-US"/>
        </w:rPr>
        <w:t xml:space="preserve"> and infection (</w:t>
      </w:r>
      <w:r w:rsidR="00E70925" w:rsidRPr="00E127AB">
        <w:rPr>
          <w:rFonts w:ascii="Book Antiqua" w:eastAsiaTheme="minorHAnsi" w:hAnsi="Book Antiqua" w:cs="AdvOT863180fb"/>
          <w:i/>
          <w:color w:val="auto"/>
          <w:sz w:val="24"/>
          <w:szCs w:val="24"/>
          <w:lang w:val="en-US"/>
        </w:rPr>
        <w:t>n</w:t>
      </w:r>
      <w:r w:rsidR="005A13AE" w:rsidRPr="00E127AB">
        <w:rPr>
          <w:rFonts w:ascii="Book Antiqua" w:eastAsiaTheme="minorEastAsia" w:hAnsi="Book Antiqua" w:cs="AdvOT863180fb"/>
          <w:color w:val="auto"/>
          <w:sz w:val="24"/>
          <w:szCs w:val="24"/>
          <w:lang w:val="en-US" w:eastAsia="zh-CN"/>
        </w:rPr>
        <w:t xml:space="preserve"> </w:t>
      </w:r>
      <w:r w:rsidR="00E70925" w:rsidRPr="00E127AB">
        <w:rPr>
          <w:rFonts w:ascii="Book Antiqua" w:eastAsiaTheme="minorHAnsi" w:hAnsi="Book Antiqua" w:cs="AdvOT863180fb"/>
          <w:color w:val="auto"/>
          <w:sz w:val="24"/>
          <w:szCs w:val="24"/>
          <w:lang w:val="en-US"/>
        </w:rPr>
        <w:t>=</w:t>
      </w:r>
      <w:r w:rsidR="005A13AE" w:rsidRPr="00E127AB">
        <w:rPr>
          <w:rFonts w:ascii="Book Antiqua" w:eastAsiaTheme="minorEastAsia" w:hAnsi="Book Antiqua" w:cs="AdvOT863180fb"/>
          <w:color w:val="auto"/>
          <w:sz w:val="24"/>
          <w:szCs w:val="24"/>
          <w:lang w:val="en-US" w:eastAsia="zh-CN"/>
        </w:rPr>
        <w:t xml:space="preserve"> </w:t>
      </w:r>
      <w:r w:rsidR="00E70925" w:rsidRPr="00E127AB">
        <w:rPr>
          <w:rFonts w:ascii="Book Antiqua" w:eastAsiaTheme="minorHAnsi" w:hAnsi="Book Antiqua" w:cs="AdvOT863180fb"/>
          <w:color w:val="auto"/>
          <w:sz w:val="24"/>
          <w:szCs w:val="24"/>
          <w:lang w:val="en-US"/>
        </w:rPr>
        <w:t>2). Two of all patients relapsed at 19</w:t>
      </w:r>
      <w:r w:rsidR="00B0440A" w:rsidRPr="00E127AB">
        <w:rPr>
          <w:rFonts w:ascii="Book Antiqua" w:eastAsiaTheme="minorHAnsi" w:hAnsi="Book Antiqua" w:cs="AdvOT863180fb"/>
          <w:color w:val="auto"/>
          <w:sz w:val="24"/>
          <w:szCs w:val="24"/>
          <w:lang w:val="en-US"/>
        </w:rPr>
        <w:t xml:space="preserve"> (molecular relapse)</w:t>
      </w:r>
      <w:r w:rsidR="00E70925" w:rsidRPr="00E127AB">
        <w:rPr>
          <w:rFonts w:ascii="Book Antiqua" w:eastAsiaTheme="minorHAnsi" w:hAnsi="Book Antiqua" w:cs="AdvOT863180fb"/>
          <w:color w:val="auto"/>
          <w:sz w:val="24"/>
          <w:szCs w:val="24"/>
          <w:lang w:val="en-US"/>
        </w:rPr>
        <w:t xml:space="preserve"> and 6</w:t>
      </w:r>
      <w:r w:rsidR="00B0440A" w:rsidRPr="00E127AB">
        <w:rPr>
          <w:rFonts w:ascii="Book Antiqua" w:eastAsiaTheme="minorHAnsi" w:hAnsi="Book Antiqua" w:cs="AdvOT863180fb"/>
          <w:color w:val="auto"/>
          <w:sz w:val="24"/>
          <w:szCs w:val="24"/>
          <w:lang w:val="en-US"/>
        </w:rPr>
        <w:t xml:space="preserve"> (hematological relapse)</w:t>
      </w:r>
      <w:r w:rsidR="00E70925" w:rsidRPr="00E127AB">
        <w:rPr>
          <w:rFonts w:ascii="Book Antiqua" w:eastAsiaTheme="minorHAnsi" w:hAnsi="Book Antiqua" w:cs="AdvOT863180fb"/>
          <w:color w:val="auto"/>
          <w:sz w:val="24"/>
          <w:szCs w:val="24"/>
          <w:lang w:val="en-US"/>
        </w:rPr>
        <w:t xml:space="preserve"> months</w:t>
      </w:r>
      <w:r w:rsidR="0044259F" w:rsidRPr="00E127AB">
        <w:rPr>
          <w:rFonts w:ascii="Book Antiqua" w:eastAsiaTheme="minorHAnsi" w:hAnsi="Book Antiqua" w:cs="AdvOT863180fb"/>
          <w:color w:val="auto"/>
          <w:sz w:val="24"/>
          <w:szCs w:val="24"/>
          <w:lang w:val="en-US"/>
        </w:rPr>
        <w:t xml:space="preserve"> </w:t>
      </w:r>
      <w:r w:rsidR="00E70925" w:rsidRPr="00E127AB">
        <w:rPr>
          <w:rFonts w:ascii="Book Antiqua" w:eastAsiaTheme="minorHAnsi" w:hAnsi="Book Antiqua" w:cs="AdvOT863180fb"/>
          <w:color w:val="auto"/>
          <w:sz w:val="24"/>
          <w:szCs w:val="24"/>
          <w:lang w:val="en-US"/>
        </w:rPr>
        <w:t>from the date of ASCT.</w:t>
      </w:r>
      <w:r w:rsidR="00F73E2D" w:rsidRPr="00E127AB">
        <w:rPr>
          <w:rFonts w:ascii="Book Antiqua" w:eastAsiaTheme="minorHAnsi" w:hAnsi="Book Antiqua" w:cs="AdvOT863180fb"/>
          <w:color w:val="auto"/>
          <w:sz w:val="24"/>
          <w:szCs w:val="24"/>
          <w:lang w:val="en-US"/>
        </w:rPr>
        <w:t xml:space="preserve"> </w:t>
      </w:r>
    </w:p>
    <w:p w:rsidR="000A02A7" w:rsidRPr="00E127AB" w:rsidRDefault="00A37BD8"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EastAsia" w:hAnsi="Book Antiqua" w:cs="AdvOT863180fb"/>
          <w:color w:val="auto"/>
          <w:sz w:val="24"/>
          <w:szCs w:val="24"/>
          <w:lang w:val="en-US" w:eastAsia="zh-CN"/>
        </w:rPr>
      </w:pPr>
      <w:r w:rsidRPr="00E127AB">
        <w:rPr>
          <w:rFonts w:ascii="Book Antiqua" w:eastAsiaTheme="minorHAnsi" w:hAnsi="Book Antiqua" w:cs="AdvOT863180fb"/>
          <w:color w:val="auto"/>
          <w:sz w:val="24"/>
          <w:szCs w:val="24"/>
          <w:lang w:val="en-US"/>
        </w:rPr>
        <w:t xml:space="preserve">Although our cohort is small, most of patients achieved molecular remission after transplantation. Only 2 patients died because of </w:t>
      </w:r>
      <w:r w:rsidR="007D2613" w:rsidRPr="00E127AB">
        <w:rPr>
          <w:rFonts w:ascii="Book Antiqua" w:eastAsiaTheme="minorHAnsi" w:hAnsi="Book Antiqua" w:cs="AdvOT863180fb"/>
          <w:color w:val="auto"/>
          <w:sz w:val="24"/>
          <w:szCs w:val="24"/>
          <w:lang w:val="en-US"/>
        </w:rPr>
        <w:t>blastic crises and granulocytic sarcoma. Others died because of acute GVHD and infection.</w:t>
      </w:r>
      <w:r w:rsidR="00F73E2D" w:rsidRPr="00E127AB">
        <w:rPr>
          <w:rFonts w:ascii="Book Antiqua" w:eastAsiaTheme="minorHAnsi" w:hAnsi="Book Antiqua" w:cs="AdvOT863180fb"/>
          <w:color w:val="auto"/>
          <w:sz w:val="24"/>
          <w:szCs w:val="24"/>
          <w:lang w:val="en-US"/>
        </w:rPr>
        <w:t xml:space="preserve"> </w:t>
      </w:r>
      <w:r w:rsidR="00816A3A" w:rsidRPr="00E127AB">
        <w:rPr>
          <w:rFonts w:ascii="Book Antiqua" w:eastAsiaTheme="minorHAnsi" w:hAnsi="Book Antiqua" w:cs="AdvOT863180fb"/>
          <w:color w:val="auto"/>
          <w:sz w:val="24"/>
          <w:szCs w:val="24"/>
          <w:lang w:val="en-US"/>
        </w:rPr>
        <w:t>However, only 3 patients achieved long term survival, ASCT has a place for treatment of CML.</w:t>
      </w:r>
    </w:p>
    <w:p w:rsidR="0039324F" w:rsidRPr="00E127AB" w:rsidRDefault="0039324F"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AdvOT863180fb"/>
          <w:color w:val="auto"/>
          <w:sz w:val="24"/>
          <w:szCs w:val="24"/>
          <w:lang w:val="en-US" w:eastAsia="zh-CN"/>
        </w:rPr>
      </w:pPr>
    </w:p>
    <w:p w:rsidR="00B12958" w:rsidRPr="00E127AB" w:rsidRDefault="0011401B"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DISCUSSION</w:t>
      </w:r>
    </w:p>
    <w:p w:rsidR="00A84CBE" w:rsidRPr="00E127AB" w:rsidRDefault="007B0845"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As we mentioned above, ASCT is still important therapy for CML patients. </w:t>
      </w:r>
      <w:r w:rsidR="00BB501E" w:rsidRPr="00E127AB">
        <w:rPr>
          <w:rFonts w:ascii="Book Antiqua" w:eastAsiaTheme="minorHAnsi" w:hAnsi="Book Antiqua" w:cs="AdvOT863180fb"/>
          <w:color w:val="auto"/>
          <w:sz w:val="24"/>
          <w:szCs w:val="24"/>
          <w:lang w:val="en-US"/>
        </w:rPr>
        <w:t>In 1982, different groups were reported ASCTs with bone marrow graft fro</w:t>
      </w:r>
      <w:r w:rsidR="00FB554C" w:rsidRPr="00E127AB">
        <w:rPr>
          <w:rFonts w:ascii="Book Antiqua" w:eastAsiaTheme="minorHAnsi" w:hAnsi="Book Antiqua" w:cs="AdvOT863180fb"/>
          <w:color w:val="auto"/>
          <w:sz w:val="24"/>
          <w:szCs w:val="24"/>
          <w:lang w:val="en-US"/>
        </w:rPr>
        <w:t>m HLA-match</w:t>
      </w:r>
      <w:r w:rsidR="001461C8" w:rsidRPr="00E127AB">
        <w:rPr>
          <w:rFonts w:ascii="Book Antiqua" w:eastAsiaTheme="minorHAnsi" w:hAnsi="Book Antiqua" w:cs="AdvOT863180fb"/>
          <w:color w:val="auto"/>
          <w:sz w:val="24"/>
          <w:szCs w:val="24"/>
          <w:lang w:val="en-US"/>
        </w:rPr>
        <w:t>ed</w:t>
      </w:r>
      <w:r w:rsidR="00FB554C" w:rsidRPr="00E127AB">
        <w:rPr>
          <w:rFonts w:ascii="Book Antiqua" w:eastAsiaTheme="minorHAnsi" w:hAnsi="Book Antiqua" w:cs="AdvOT863180fb"/>
          <w:color w:val="auto"/>
          <w:sz w:val="24"/>
          <w:szCs w:val="24"/>
          <w:lang w:val="en-US"/>
        </w:rPr>
        <w:t xml:space="preserve"> </w:t>
      </w:r>
      <w:proofErr w:type="gramStart"/>
      <w:r w:rsidR="00252E6B" w:rsidRPr="00E127AB">
        <w:rPr>
          <w:rFonts w:ascii="Book Antiqua" w:eastAsiaTheme="minorHAnsi" w:hAnsi="Book Antiqua" w:cs="AdvOT863180fb"/>
          <w:color w:val="auto"/>
          <w:sz w:val="24"/>
          <w:szCs w:val="24"/>
          <w:lang w:val="en-US"/>
        </w:rPr>
        <w:t>siblings</w:t>
      </w:r>
      <w:r w:rsidR="00252E6B" w:rsidRPr="00E127AB">
        <w:rPr>
          <w:rFonts w:ascii="Book Antiqua" w:hAnsi="Book Antiqua" w:cs="Times New Roman"/>
          <w:color w:val="auto"/>
          <w:sz w:val="24"/>
          <w:szCs w:val="24"/>
          <w:vertAlign w:val="superscript"/>
          <w:lang w:val="en-US"/>
        </w:rPr>
        <w:t>[</w:t>
      </w:r>
      <w:proofErr w:type="gramEnd"/>
      <w:r w:rsidR="00104758" w:rsidRPr="00E127AB">
        <w:rPr>
          <w:rFonts w:ascii="Book Antiqua" w:hAnsi="Book Antiqua" w:cs="Times New Roman"/>
          <w:color w:val="auto"/>
          <w:sz w:val="24"/>
          <w:szCs w:val="24"/>
          <w:vertAlign w:val="superscript"/>
          <w:lang w:val="en-US"/>
        </w:rPr>
        <w:t>27-29</w:t>
      </w:r>
      <w:r w:rsidR="003D7B61" w:rsidRPr="00E127AB">
        <w:rPr>
          <w:rFonts w:ascii="Book Antiqua" w:hAnsi="Book Antiqua" w:cs="Times New Roman"/>
          <w:color w:val="auto"/>
          <w:sz w:val="24"/>
          <w:szCs w:val="24"/>
          <w:vertAlign w:val="superscript"/>
          <w:lang w:val="en-US"/>
        </w:rPr>
        <w:t>]</w:t>
      </w:r>
      <w:r w:rsidR="00CB0635" w:rsidRPr="00E127AB">
        <w:rPr>
          <w:rFonts w:ascii="Book Antiqua" w:eastAsiaTheme="minorHAnsi" w:hAnsi="Book Antiqua" w:cs="AdvOT863180fb"/>
          <w:color w:val="auto"/>
          <w:sz w:val="24"/>
          <w:szCs w:val="24"/>
          <w:lang w:val="en-US"/>
        </w:rPr>
        <w:t xml:space="preserve">. </w:t>
      </w:r>
      <w:r w:rsidR="000A16B7" w:rsidRPr="00E127AB">
        <w:rPr>
          <w:rFonts w:ascii="Book Antiqua" w:eastAsiaTheme="minorHAnsi" w:hAnsi="Book Antiqua" w:cs="AdvOT863180fb"/>
          <w:color w:val="auto"/>
          <w:sz w:val="24"/>
          <w:szCs w:val="24"/>
          <w:lang w:val="en-US"/>
        </w:rPr>
        <w:t>Then, it was show</w:t>
      </w:r>
      <w:r w:rsidR="00884267" w:rsidRPr="00E127AB">
        <w:rPr>
          <w:rFonts w:ascii="Book Antiqua" w:eastAsiaTheme="minorHAnsi" w:hAnsi="Book Antiqua" w:cs="AdvOT863180fb"/>
          <w:color w:val="auto"/>
          <w:sz w:val="24"/>
          <w:szCs w:val="24"/>
          <w:lang w:val="en-US"/>
        </w:rPr>
        <w:t>n</w:t>
      </w:r>
      <w:r w:rsidR="000A16B7" w:rsidRPr="00E127AB">
        <w:rPr>
          <w:rFonts w:ascii="Book Antiqua" w:eastAsiaTheme="minorHAnsi" w:hAnsi="Book Antiqua" w:cs="AdvOT863180fb"/>
          <w:color w:val="auto"/>
          <w:sz w:val="24"/>
          <w:szCs w:val="24"/>
          <w:lang w:val="en-US"/>
        </w:rPr>
        <w:t xml:space="preserve"> that CML patients who received T-cell depleted transplants with or without </w:t>
      </w:r>
      <w:r w:rsidR="005A13AE" w:rsidRPr="00E127AB">
        <w:rPr>
          <w:rFonts w:ascii="Book Antiqua" w:eastAsiaTheme="minorHAnsi" w:hAnsi="Book Antiqua" w:cs="AdvOT863180fb"/>
          <w:color w:val="auto"/>
          <w:sz w:val="24"/>
          <w:szCs w:val="24"/>
          <w:lang w:val="en-US"/>
        </w:rPr>
        <w:t>GVHD</w:t>
      </w:r>
      <w:r w:rsidR="000A16B7" w:rsidRPr="00E127AB">
        <w:rPr>
          <w:rFonts w:ascii="Book Antiqua" w:eastAsiaTheme="minorHAnsi" w:hAnsi="Book Antiqua" w:cs="AdvOT863180fb"/>
          <w:color w:val="auto"/>
          <w:sz w:val="24"/>
          <w:szCs w:val="24"/>
          <w:lang w:val="en-US"/>
        </w:rPr>
        <w:t xml:space="preserve"> had higher probabilities of </w:t>
      </w:r>
      <w:r w:rsidR="005A13AE" w:rsidRPr="00E127AB">
        <w:rPr>
          <w:rFonts w:ascii="Book Antiqua" w:eastAsiaTheme="minorHAnsi" w:hAnsi="Book Antiqua" w:cs="AdvOT863180fb"/>
          <w:color w:val="auto"/>
          <w:sz w:val="24"/>
          <w:szCs w:val="24"/>
          <w:lang w:val="en-US"/>
        </w:rPr>
        <w:t>relapse than recipients of non-</w:t>
      </w:r>
      <w:r w:rsidR="000A16B7" w:rsidRPr="00E127AB">
        <w:rPr>
          <w:rFonts w:ascii="Book Antiqua" w:eastAsiaTheme="minorHAnsi" w:hAnsi="Book Antiqua" w:cs="AdvOT863180fb"/>
          <w:color w:val="auto"/>
          <w:sz w:val="24"/>
          <w:szCs w:val="24"/>
          <w:lang w:val="en-US"/>
        </w:rPr>
        <w:t>T-cell depleted allografts without GVHD. These data support graft-</w:t>
      </w:r>
      <w:r w:rsidR="000A16B7" w:rsidRPr="00E127AB">
        <w:rPr>
          <w:rFonts w:ascii="Book Antiqua" w:eastAsiaTheme="minorHAnsi" w:hAnsi="Book Antiqua" w:cs="AdvOT863180fb"/>
          <w:i/>
          <w:color w:val="auto"/>
          <w:sz w:val="24"/>
          <w:szCs w:val="24"/>
          <w:lang w:val="en-US"/>
        </w:rPr>
        <w:t>vs</w:t>
      </w:r>
      <w:r w:rsidR="000A16B7" w:rsidRPr="00E127AB">
        <w:rPr>
          <w:rFonts w:ascii="Book Antiqua" w:eastAsiaTheme="minorHAnsi" w:hAnsi="Book Antiqua" w:cs="AdvOT863180fb"/>
          <w:color w:val="auto"/>
          <w:sz w:val="24"/>
          <w:szCs w:val="24"/>
          <w:lang w:val="en-US"/>
        </w:rPr>
        <w:t xml:space="preserve">-leukemia (GVL) effect independent of </w:t>
      </w:r>
      <w:proofErr w:type="gramStart"/>
      <w:r w:rsidR="000A16B7" w:rsidRPr="00E127AB">
        <w:rPr>
          <w:rFonts w:ascii="Book Antiqua" w:eastAsiaTheme="minorHAnsi" w:hAnsi="Book Antiqua" w:cs="AdvOT863180fb"/>
          <w:color w:val="auto"/>
          <w:sz w:val="24"/>
          <w:szCs w:val="24"/>
          <w:lang w:val="en-US"/>
        </w:rPr>
        <w:t>GVHD</w:t>
      </w:r>
      <w:r w:rsidR="00F05716" w:rsidRPr="00E127AB">
        <w:rPr>
          <w:rFonts w:ascii="Book Antiqua" w:hAnsi="Book Antiqua" w:cs="Times New Roman"/>
          <w:color w:val="auto"/>
          <w:sz w:val="24"/>
          <w:szCs w:val="24"/>
          <w:vertAlign w:val="superscript"/>
          <w:lang w:val="en-US"/>
        </w:rPr>
        <w:t>[</w:t>
      </w:r>
      <w:proofErr w:type="gramEnd"/>
      <w:r w:rsidR="00104758" w:rsidRPr="00E127AB">
        <w:rPr>
          <w:rFonts w:ascii="Book Antiqua" w:hAnsi="Book Antiqua" w:cs="Times New Roman"/>
          <w:color w:val="auto"/>
          <w:sz w:val="24"/>
          <w:szCs w:val="24"/>
          <w:vertAlign w:val="superscript"/>
          <w:lang w:val="en-US"/>
        </w:rPr>
        <w:t>30</w:t>
      </w:r>
      <w:r w:rsidR="003F6C39" w:rsidRPr="00E127AB">
        <w:rPr>
          <w:rFonts w:ascii="Book Antiqua" w:hAnsi="Book Antiqua" w:cs="Times New Roman"/>
          <w:color w:val="auto"/>
          <w:sz w:val="24"/>
          <w:szCs w:val="24"/>
          <w:vertAlign w:val="superscript"/>
          <w:lang w:val="en-US"/>
        </w:rPr>
        <w:t>]</w:t>
      </w:r>
      <w:r w:rsidR="00CB0635" w:rsidRPr="00E127AB">
        <w:rPr>
          <w:rFonts w:ascii="Book Antiqua" w:eastAsiaTheme="minorHAnsi" w:hAnsi="Book Antiqua" w:cs="AdvOT863180fb"/>
          <w:color w:val="auto"/>
          <w:sz w:val="24"/>
          <w:szCs w:val="24"/>
          <w:lang w:val="en-US"/>
        </w:rPr>
        <w:t xml:space="preserve">. </w:t>
      </w:r>
      <w:r w:rsidR="00E5119D" w:rsidRPr="00E127AB">
        <w:rPr>
          <w:rFonts w:ascii="Book Antiqua" w:eastAsiaTheme="minorHAnsi" w:hAnsi="Book Antiqua" w:cs="AdvOT863180fb"/>
          <w:color w:val="auto"/>
          <w:sz w:val="24"/>
          <w:szCs w:val="24"/>
          <w:lang w:val="en-US"/>
        </w:rPr>
        <w:t xml:space="preserve">Other </w:t>
      </w:r>
      <w:r w:rsidR="00A10EBB" w:rsidRPr="00E127AB">
        <w:rPr>
          <w:rFonts w:ascii="Book Antiqua" w:eastAsiaTheme="minorHAnsi" w:hAnsi="Book Antiqua" w:cs="AdvOT863180fb"/>
          <w:color w:val="auto"/>
          <w:sz w:val="24"/>
          <w:szCs w:val="24"/>
          <w:lang w:val="en-US"/>
        </w:rPr>
        <w:t>report</w:t>
      </w:r>
      <w:r w:rsidR="00E5119D" w:rsidRPr="00E127AB">
        <w:rPr>
          <w:rFonts w:ascii="Book Antiqua" w:eastAsiaTheme="minorHAnsi" w:hAnsi="Book Antiqua" w:cs="AdvOT863180fb"/>
          <w:color w:val="auto"/>
          <w:sz w:val="24"/>
          <w:szCs w:val="24"/>
          <w:lang w:val="en-US"/>
        </w:rPr>
        <w:t>s</w:t>
      </w:r>
      <w:r w:rsidR="00A10EBB" w:rsidRPr="00E127AB">
        <w:rPr>
          <w:rFonts w:ascii="Book Antiqua" w:eastAsiaTheme="minorHAnsi" w:hAnsi="Book Antiqua" w:cs="AdvOT863180fb"/>
          <w:color w:val="auto"/>
          <w:sz w:val="24"/>
          <w:szCs w:val="24"/>
          <w:lang w:val="en-US"/>
        </w:rPr>
        <w:t xml:space="preserve"> showed that donor leukocyte </w:t>
      </w:r>
      <w:r w:rsidR="007120C4" w:rsidRPr="00E127AB">
        <w:rPr>
          <w:rFonts w:ascii="Book Antiqua" w:eastAsiaTheme="minorHAnsi" w:hAnsi="Book Antiqua" w:cs="AdvOT863180fb"/>
          <w:color w:val="auto"/>
          <w:sz w:val="24"/>
          <w:szCs w:val="24"/>
          <w:lang w:val="en-US"/>
        </w:rPr>
        <w:t>infusions (DLI)</w:t>
      </w:r>
      <w:r w:rsidR="00A10EBB" w:rsidRPr="00E127AB">
        <w:rPr>
          <w:rFonts w:ascii="Book Antiqua" w:eastAsiaTheme="minorHAnsi" w:hAnsi="Book Antiqua" w:cs="AdvOT863180fb"/>
          <w:color w:val="auto"/>
          <w:sz w:val="24"/>
          <w:szCs w:val="24"/>
          <w:lang w:val="en-US"/>
        </w:rPr>
        <w:t xml:space="preserve"> for treatment of recurrent CML </w:t>
      </w:r>
      <w:r w:rsidR="00C173DE" w:rsidRPr="00E127AB">
        <w:rPr>
          <w:rFonts w:ascii="Book Antiqua" w:eastAsiaTheme="minorHAnsi" w:hAnsi="Book Antiqua" w:cs="AdvOT863180fb"/>
          <w:color w:val="auto"/>
          <w:sz w:val="24"/>
          <w:szCs w:val="24"/>
          <w:lang w:val="en-US"/>
        </w:rPr>
        <w:t>after ASCT</w:t>
      </w:r>
      <w:r w:rsidR="00A10EBB" w:rsidRPr="00E127AB">
        <w:rPr>
          <w:rFonts w:ascii="Book Antiqua" w:eastAsiaTheme="minorHAnsi" w:hAnsi="Book Antiqua" w:cs="AdvOT863180fb"/>
          <w:color w:val="auto"/>
          <w:sz w:val="24"/>
          <w:szCs w:val="24"/>
          <w:lang w:val="en-US"/>
        </w:rPr>
        <w:t xml:space="preserve"> </w:t>
      </w:r>
      <w:r w:rsidR="005144FE" w:rsidRPr="00E127AB">
        <w:rPr>
          <w:rFonts w:ascii="Book Antiqua" w:eastAsiaTheme="minorHAnsi" w:hAnsi="Book Antiqua" w:cs="AdvOT863180fb"/>
          <w:color w:val="auto"/>
          <w:sz w:val="24"/>
          <w:szCs w:val="24"/>
          <w:lang w:val="en-US"/>
        </w:rPr>
        <w:t>could</w:t>
      </w:r>
      <w:r w:rsidR="00A10EBB" w:rsidRPr="00E127AB">
        <w:rPr>
          <w:rFonts w:ascii="Book Antiqua" w:eastAsiaTheme="minorHAnsi" w:hAnsi="Book Antiqua" w:cs="AdvOT863180fb"/>
          <w:color w:val="auto"/>
          <w:sz w:val="24"/>
          <w:szCs w:val="24"/>
          <w:lang w:val="en-US"/>
        </w:rPr>
        <w:t xml:space="preserve"> </w:t>
      </w:r>
      <w:r w:rsidR="00AB02A4" w:rsidRPr="00E127AB">
        <w:rPr>
          <w:rFonts w:ascii="Book Antiqua" w:eastAsiaTheme="minorHAnsi" w:hAnsi="Book Antiqua" w:cs="AdvOT863180fb"/>
          <w:color w:val="auto"/>
          <w:sz w:val="24"/>
          <w:szCs w:val="24"/>
          <w:lang w:val="en-US"/>
        </w:rPr>
        <w:t>achieve</w:t>
      </w:r>
      <w:r w:rsidR="005144FE" w:rsidRPr="00E127AB">
        <w:rPr>
          <w:rFonts w:ascii="Book Antiqua" w:eastAsiaTheme="minorHAnsi" w:hAnsi="Book Antiqua" w:cs="AdvOT863180fb"/>
          <w:color w:val="auto"/>
          <w:sz w:val="24"/>
          <w:szCs w:val="24"/>
          <w:lang w:val="en-US"/>
        </w:rPr>
        <w:t xml:space="preserve"> stable </w:t>
      </w:r>
      <w:proofErr w:type="gramStart"/>
      <w:r w:rsidR="00103EE0" w:rsidRPr="00E127AB">
        <w:rPr>
          <w:rFonts w:ascii="Book Antiqua" w:eastAsiaTheme="minorHAnsi" w:hAnsi="Book Antiqua" w:cs="AdvOT863180fb"/>
          <w:color w:val="auto"/>
          <w:sz w:val="24"/>
          <w:szCs w:val="24"/>
          <w:lang w:val="en-US"/>
        </w:rPr>
        <w:t>remissions</w:t>
      </w:r>
      <w:r w:rsidR="00103EE0" w:rsidRPr="00E127AB">
        <w:rPr>
          <w:rFonts w:ascii="Book Antiqua" w:hAnsi="Book Antiqua" w:cs="Times New Roman"/>
          <w:color w:val="auto"/>
          <w:sz w:val="24"/>
          <w:szCs w:val="24"/>
          <w:vertAlign w:val="superscript"/>
          <w:lang w:val="en-US"/>
        </w:rPr>
        <w:t>[</w:t>
      </w:r>
      <w:proofErr w:type="gramEnd"/>
      <w:r w:rsidR="00104758" w:rsidRPr="00E127AB">
        <w:rPr>
          <w:rFonts w:ascii="Book Antiqua" w:hAnsi="Book Antiqua" w:cs="Times New Roman"/>
          <w:color w:val="auto"/>
          <w:sz w:val="24"/>
          <w:szCs w:val="24"/>
          <w:vertAlign w:val="superscript"/>
          <w:lang w:val="en-US"/>
        </w:rPr>
        <w:t>31- 33</w:t>
      </w:r>
      <w:r w:rsidR="00F868CF" w:rsidRPr="00E127AB">
        <w:rPr>
          <w:rFonts w:ascii="Book Antiqua" w:hAnsi="Book Antiqua" w:cs="Times New Roman"/>
          <w:color w:val="auto"/>
          <w:sz w:val="24"/>
          <w:szCs w:val="24"/>
          <w:vertAlign w:val="superscript"/>
          <w:lang w:val="en-US"/>
        </w:rPr>
        <w:t>]</w:t>
      </w:r>
      <w:r w:rsidR="00AA4D7E" w:rsidRPr="00E127AB">
        <w:rPr>
          <w:rFonts w:ascii="Book Antiqua" w:eastAsiaTheme="minorHAnsi" w:hAnsi="Book Antiqua" w:cs="AdvOT863180fb"/>
          <w:color w:val="auto"/>
          <w:sz w:val="24"/>
          <w:szCs w:val="24"/>
          <w:lang w:val="en-US"/>
        </w:rPr>
        <w:t xml:space="preserve">. </w:t>
      </w:r>
    </w:p>
    <w:p w:rsidR="006F19D2" w:rsidRPr="00E127AB" w:rsidRDefault="00AB02A4"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Outcomes</w:t>
      </w:r>
      <w:r w:rsidR="00684DAE" w:rsidRPr="00E127AB">
        <w:rPr>
          <w:rFonts w:ascii="Book Antiqua" w:eastAsiaTheme="minorHAnsi" w:hAnsi="Book Antiqua" w:cs="AdvOT863180fb"/>
          <w:color w:val="auto"/>
          <w:sz w:val="24"/>
          <w:szCs w:val="24"/>
          <w:lang w:val="en-US"/>
        </w:rPr>
        <w:t xml:space="preserve"> of ASCT</w:t>
      </w:r>
      <w:r w:rsidRPr="00E127AB">
        <w:rPr>
          <w:rFonts w:ascii="Book Antiqua" w:eastAsiaTheme="minorHAnsi" w:hAnsi="Book Antiqua" w:cs="AdvOT863180fb"/>
          <w:color w:val="auto"/>
          <w:sz w:val="24"/>
          <w:szCs w:val="24"/>
          <w:lang w:val="en-US"/>
        </w:rPr>
        <w:t xml:space="preserve"> for CP-CML patients continued to improve with general improvements in transplant management</w:t>
      </w:r>
      <w:r w:rsidR="007120C4" w:rsidRPr="00E127AB">
        <w:rPr>
          <w:rFonts w:ascii="Book Antiqua" w:eastAsiaTheme="minorHAnsi" w:hAnsi="Book Antiqua" w:cs="AdvOT863180fb"/>
          <w:color w:val="auto"/>
          <w:sz w:val="24"/>
          <w:szCs w:val="24"/>
          <w:lang w:val="en-US"/>
        </w:rPr>
        <w:t xml:space="preserve"> and powerful GVL effect of DLI</w:t>
      </w:r>
      <w:r w:rsidRPr="00E127AB">
        <w:rPr>
          <w:rFonts w:ascii="Book Antiqua" w:eastAsiaTheme="minorHAnsi" w:hAnsi="Book Antiqua" w:cs="AdvOT863180fb"/>
          <w:color w:val="auto"/>
          <w:sz w:val="24"/>
          <w:szCs w:val="24"/>
          <w:lang w:val="en-US"/>
        </w:rPr>
        <w:t>.</w:t>
      </w:r>
      <w:r w:rsidR="00A84CBE" w:rsidRPr="00E127AB">
        <w:rPr>
          <w:rFonts w:ascii="Book Antiqua" w:eastAsiaTheme="minorHAnsi" w:hAnsi="Book Antiqua" w:cs="AdvOT863180fb"/>
          <w:color w:val="auto"/>
          <w:sz w:val="24"/>
          <w:szCs w:val="24"/>
          <w:lang w:val="en-US"/>
        </w:rPr>
        <w:t xml:space="preserve"> </w:t>
      </w:r>
      <w:r w:rsidR="00684DAE" w:rsidRPr="00E127AB">
        <w:rPr>
          <w:rFonts w:ascii="Book Antiqua" w:eastAsiaTheme="minorHAnsi" w:hAnsi="Book Antiqua" w:cs="AdvOT863180fb"/>
          <w:color w:val="auto"/>
          <w:sz w:val="24"/>
          <w:szCs w:val="24"/>
          <w:lang w:val="en-US"/>
        </w:rPr>
        <w:t xml:space="preserve">In the post-TKIs era, there are some reports evaluating </w:t>
      </w:r>
      <w:r w:rsidR="00FB4D18" w:rsidRPr="00E127AB">
        <w:rPr>
          <w:rFonts w:ascii="Book Antiqua" w:eastAsiaTheme="minorHAnsi" w:hAnsi="Book Antiqua" w:cs="AdvOT863180fb"/>
          <w:color w:val="auto"/>
          <w:sz w:val="24"/>
          <w:szCs w:val="24"/>
          <w:lang w:val="en-US"/>
        </w:rPr>
        <w:t>outcomes of ASCT</w:t>
      </w:r>
      <w:r w:rsidR="004C17F8" w:rsidRPr="00E127AB">
        <w:rPr>
          <w:rFonts w:ascii="Book Antiqua" w:eastAsiaTheme="minorHAnsi" w:hAnsi="Book Antiqua" w:cs="AdvOT863180fb"/>
          <w:color w:val="auto"/>
          <w:sz w:val="24"/>
          <w:szCs w:val="24"/>
          <w:lang w:val="en-US"/>
        </w:rPr>
        <w:t xml:space="preserve"> and potential negative effect of </w:t>
      </w:r>
      <w:proofErr w:type="gramStart"/>
      <w:r w:rsidR="00252E6B" w:rsidRPr="00E127AB">
        <w:rPr>
          <w:rFonts w:ascii="Book Antiqua" w:eastAsiaTheme="minorHAnsi" w:hAnsi="Book Antiqua" w:cs="AdvOT863180fb"/>
          <w:color w:val="auto"/>
          <w:sz w:val="24"/>
          <w:szCs w:val="24"/>
          <w:lang w:val="en-US"/>
        </w:rPr>
        <w:t>TKIs</w:t>
      </w:r>
      <w:r w:rsidR="00252E6B" w:rsidRPr="00E127AB">
        <w:rPr>
          <w:rFonts w:ascii="Book Antiqua" w:hAnsi="Book Antiqua" w:cs="Times New Roman"/>
          <w:color w:val="auto"/>
          <w:sz w:val="24"/>
          <w:szCs w:val="24"/>
          <w:vertAlign w:val="superscript"/>
          <w:lang w:val="en-US"/>
        </w:rPr>
        <w:t>[</w:t>
      </w:r>
      <w:proofErr w:type="gramEnd"/>
      <w:r w:rsidR="00104758" w:rsidRPr="00E127AB">
        <w:rPr>
          <w:rFonts w:ascii="Book Antiqua" w:hAnsi="Book Antiqua" w:cs="Times New Roman"/>
          <w:color w:val="auto"/>
          <w:sz w:val="24"/>
          <w:szCs w:val="24"/>
          <w:vertAlign w:val="superscript"/>
          <w:lang w:val="en-US"/>
        </w:rPr>
        <w:t>34-</w:t>
      </w:r>
      <w:r w:rsidR="00F05716" w:rsidRPr="00E127AB">
        <w:rPr>
          <w:rFonts w:ascii="Book Antiqua" w:hAnsi="Book Antiqua" w:cs="Times New Roman"/>
          <w:color w:val="auto"/>
          <w:sz w:val="24"/>
          <w:szCs w:val="24"/>
          <w:vertAlign w:val="superscript"/>
          <w:lang w:val="en-US"/>
        </w:rPr>
        <w:t xml:space="preserve"> </w:t>
      </w:r>
      <w:r w:rsidR="00104758" w:rsidRPr="00E127AB">
        <w:rPr>
          <w:rFonts w:ascii="Book Antiqua" w:hAnsi="Book Antiqua" w:cs="Times New Roman"/>
          <w:color w:val="auto"/>
          <w:sz w:val="24"/>
          <w:szCs w:val="24"/>
          <w:vertAlign w:val="superscript"/>
          <w:lang w:val="en-US"/>
        </w:rPr>
        <w:t>38</w:t>
      </w:r>
      <w:r w:rsidR="004C17F8" w:rsidRPr="00E127AB">
        <w:rPr>
          <w:rFonts w:ascii="Book Antiqua" w:hAnsi="Book Antiqua" w:cs="Times New Roman"/>
          <w:color w:val="auto"/>
          <w:sz w:val="24"/>
          <w:szCs w:val="24"/>
          <w:vertAlign w:val="superscript"/>
          <w:lang w:val="en-US"/>
        </w:rPr>
        <w:t>]</w:t>
      </w:r>
      <w:r w:rsidR="004C17F8" w:rsidRPr="00E127AB">
        <w:rPr>
          <w:rFonts w:ascii="Book Antiqua" w:eastAsiaTheme="minorHAnsi" w:hAnsi="Book Antiqua" w:cs="AdvOT863180fb"/>
          <w:color w:val="auto"/>
          <w:sz w:val="24"/>
          <w:szCs w:val="24"/>
          <w:lang w:val="en-US"/>
        </w:rPr>
        <w:t xml:space="preserve">. </w:t>
      </w:r>
    </w:p>
    <w:p w:rsidR="00DB67C0" w:rsidRPr="00E127AB" w:rsidRDefault="00AB3F98"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According to European Society for Blood and Marrow Transplantation (EBMT) data, the 2-year OS, </w:t>
      </w:r>
      <w:r w:rsidR="005A13AE" w:rsidRPr="00E127AB">
        <w:rPr>
          <w:rFonts w:ascii="Book Antiqua" w:eastAsiaTheme="minorHAnsi" w:hAnsi="Book Antiqua" w:cs="AdvOT863180fb"/>
          <w:color w:val="auto"/>
          <w:sz w:val="24"/>
          <w:szCs w:val="24"/>
          <w:lang w:val="en-US"/>
        </w:rPr>
        <w:t xml:space="preserve">transplantation-related mortality </w:t>
      </w:r>
      <w:r w:rsidR="005A13AE" w:rsidRPr="00E127AB">
        <w:rPr>
          <w:rFonts w:ascii="Book Antiqua" w:eastAsiaTheme="minorEastAsia" w:hAnsi="Book Antiqua" w:cs="AdvOT863180fb"/>
          <w:color w:val="auto"/>
          <w:sz w:val="24"/>
          <w:szCs w:val="24"/>
          <w:lang w:val="en-US" w:eastAsia="zh-CN"/>
        </w:rPr>
        <w:t>(</w:t>
      </w:r>
      <w:r w:rsidRPr="00E127AB">
        <w:rPr>
          <w:rFonts w:ascii="Book Antiqua" w:eastAsiaTheme="minorHAnsi" w:hAnsi="Book Antiqua" w:cs="AdvOT863180fb"/>
          <w:color w:val="auto"/>
          <w:sz w:val="24"/>
          <w:szCs w:val="24"/>
          <w:lang w:val="en-US"/>
        </w:rPr>
        <w:t>TRM</w:t>
      </w:r>
      <w:r w:rsidR="005A13AE" w:rsidRPr="00E127AB">
        <w:rPr>
          <w:rFonts w:ascii="Book Antiqua" w:eastAsiaTheme="minorEastAsia" w:hAnsi="Book Antiqua" w:cs="AdvOT863180fb"/>
          <w:color w:val="auto"/>
          <w:sz w:val="24"/>
          <w:szCs w:val="24"/>
          <w:lang w:val="en-US" w:eastAsia="zh-CN"/>
        </w:rPr>
        <w:t>)</w:t>
      </w:r>
      <w:r w:rsidRPr="00E127AB">
        <w:rPr>
          <w:rFonts w:ascii="Book Antiqua" w:eastAsiaTheme="minorHAnsi" w:hAnsi="Book Antiqua" w:cs="AdvOT863180fb"/>
          <w:color w:val="auto"/>
          <w:sz w:val="24"/>
          <w:szCs w:val="24"/>
          <w:lang w:val="en-US"/>
        </w:rPr>
        <w:t xml:space="preserve"> and relapse rate in patients transplanted between 2000 and 2003 were 61%, 30% and 22%, </w:t>
      </w:r>
      <w:proofErr w:type="gramStart"/>
      <w:r w:rsidR="00252E6B" w:rsidRPr="00E127AB">
        <w:rPr>
          <w:rFonts w:ascii="Book Antiqua" w:eastAsiaTheme="minorHAnsi" w:hAnsi="Book Antiqua" w:cs="AdvOT863180fb"/>
          <w:color w:val="auto"/>
          <w:sz w:val="24"/>
          <w:szCs w:val="24"/>
          <w:lang w:val="en-US"/>
        </w:rPr>
        <w:t>respectively</w:t>
      </w:r>
      <w:r w:rsidR="00252E6B" w:rsidRPr="00E127AB">
        <w:rPr>
          <w:rFonts w:ascii="Book Antiqua" w:hAnsi="Book Antiqua" w:cs="Times New Roman"/>
          <w:color w:val="auto"/>
          <w:sz w:val="24"/>
          <w:szCs w:val="24"/>
          <w:vertAlign w:val="superscript"/>
          <w:lang w:val="en-US"/>
        </w:rPr>
        <w:t>[</w:t>
      </w:r>
      <w:proofErr w:type="gramEnd"/>
      <w:r w:rsidR="00903B17" w:rsidRPr="00E127AB">
        <w:rPr>
          <w:rFonts w:ascii="Book Antiqua" w:hAnsi="Book Antiqua" w:cs="Times New Roman"/>
          <w:color w:val="auto"/>
          <w:sz w:val="24"/>
          <w:szCs w:val="24"/>
          <w:vertAlign w:val="superscript"/>
          <w:lang w:val="en-US"/>
        </w:rPr>
        <w:t>34</w:t>
      </w:r>
      <w:r w:rsidRPr="00E127AB">
        <w:rPr>
          <w:rFonts w:ascii="Book Antiqua" w:hAnsi="Book Antiqua" w:cs="Times New Roman"/>
          <w:color w:val="auto"/>
          <w:sz w:val="24"/>
          <w:szCs w:val="24"/>
          <w:vertAlign w:val="superscript"/>
          <w:lang w:val="en-US"/>
        </w:rPr>
        <w:t>]</w:t>
      </w:r>
      <w:r w:rsidRPr="00E127AB">
        <w:rPr>
          <w:rFonts w:ascii="Book Antiqua" w:eastAsiaTheme="minorHAnsi" w:hAnsi="Book Antiqua" w:cs="AdvOT863180fb"/>
          <w:color w:val="auto"/>
          <w:sz w:val="24"/>
          <w:szCs w:val="24"/>
          <w:lang w:val="en-US"/>
        </w:rPr>
        <w:t xml:space="preserve">. </w:t>
      </w:r>
      <w:r w:rsidR="00AF4010" w:rsidRPr="00E127AB">
        <w:rPr>
          <w:rFonts w:ascii="Book Antiqua" w:eastAsiaTheme="minorHAnsi" w:hAnsi="Book Antiqua" w:cs="AdvOT863180fb"/>
          <w:color w:val="auto"/>
          <w:sz w:val="24"/>
          <w:szCs w:val="24"/>
          <w:lang w:val="en-US"/>
        </w:rPr>
        <w:lastRenderedPageBreak/>
        <w:t xml:space="preserve">Eighty-four patients with CML who underwent ASCT were evaluated in 3 groups according to the reason of ASCT: </w:t>
      </w:r>
      <w:r w:rsidR="005A13AE" w:rsidRPr="00E127AB">
        <w:rPr>
          <w:rFonts w:ascii="Book Antiqua" w:eastAsiaTheme="minorHAnsi" w:hAnsi="Book Antiqua" w:cs="AdvOT863180fb"/>
          <w:color w:val="auto"/>
          <w:sz w:val="24"/>
          <w:szCs w:val="24"/>
          <w:lang w:val="en-US"/>
        </w:rPr>
        <w:t>G</w:t>
      </w:r>
      <w:r w:rsidR="00AF4010" w:rsidRPr="00E127AB">
        <w:rPr>
          <w:rFonts w:ascii="Book Antiqua" w:eastAsiaTheme="minorHAnsi" w:hAnsi="Book Antiqua" w:cs="AdvOT863180fb"/>
          <w:color w:val="auto"/>
          <w:sz w:val="24"/>
          <w:szCs w:val="24"/>
          <w:lang w:val="en-US"/>
        </w:rPr>
        <w:t xml:space="preserve">roup I (early transplantation in low-risk patients, EBMT </w:t>
      </w:r>
      <w:r w:rsidR="00252E6B" w:rsidRPr="00E127AB">
        <w:rPr>
          <w:rFonts w:ascii="Book Antiqua" w:eastAsiaTheme="minorHAnsi" w:hAnsi="Book Antiqua" w:cs="AdvOT863180fb"/>
          <w:color w:val="auto"/>
          <w:sz w:val="24"/>
          <w:szCs w:val="24"/>
          <w:lang w:val="en-US"/>
        </w:rPr>
        <w:t>scores</w:t>
      </w:r>
      <w:r w:rsidR="00AF4010" w:rsidRPr="00E127AB">
        <w:rPr>
          <w:rFonts w:ascii="Book Antiqua" w:eastAsiaTheme="minorHAnsi" w:hAnsi="Book Antiqua" w:cs="AdvOT863180fb"/>
          <w:color w:val="auto"/>
          <w:sz w:val="24"/>
          <w:szCs w:val="24"/>
          <w:lang w:val="en-US"/>
        </w:rPr>
        <w:t xml:space="preserve"> 0-1), group II (imatinib failure in first CP), and group III (advanced disease). At a median follow- up of 30 </w:t>
      </w:r>
      <w:proofErr w:type="spellStart"/>
      <w:proofErr w:type="gramStart"/>
      <w:r w:rsidR="00AF4010" w:rsidRPr="00E127AB">
        <w:rPr>
          <w:rFonts w:ascii="Book Antiqua" w:eastAsiaTheme="minorHAnsi" w:hAnsi="Book Antiqua" w:cs="AdvOT863180fb"/>
          <w:color w:val="auto"/>
          <w:sz w:val="24"/>
          <w:szCs w:val="24"/>
          <w:lang w:val="en-US"/>
        </w:rPr>
        <w:t>mo</w:t>
      </w:r>
      <w:proofErr w:type="spellEnd"/>
      <w:proofErr w:type="gramEnd"/>
      <w:r w:rsidR="00AF4010" w:rsidRPr="00E127AB">
        <w:rPr>
          <w:rFonts w:ascii="Book Antiqua" w:eastAsiaTheme="minorHAnsi" w:hAnsi="Book Antiqua" w:cs="AdvOT863180fb"/>
          <w:color w:val="auto"/>
          <w:sz w:val="24"/>
          <w:szCs w:val="24"/>
          <w:lang w:val="en-US"/>
        </w:rPr>
        <w:t xml:space="preserve">, the 3-year OS was 88% in group I, 94% in group II and 59% in group III. </w:t>
      </w:r>
      <w:r w:rsidR="005A13AE" w:rsidRPr="00E127AB">
        <w:rPr>
          <w:rFonts w:ascii="Book Antiqua" w:eastAsiaTheme="minorHAnsi" w:hAnsi="Book Antiqua" w:cs="AdvOT863180fb"/>
          <w:color w:val="auto"/>
          <w:sz w:val="24"/>
          <w:szCs w:val="24"/>
          <w:lang w:val="en-US"/>
        </w:rPr>
        <w:t>TRM</w:t>
      </w:r>
      <w:r w:rsidR="00AF4010" w:rsidRPr="00E127AB">
        <w:rPr>
          <w:rFonts w:ascii="Book Antiqua" w:eastAsiaTheme="minorHAnsi" w:hAnsi="Book Antiqua" w:cs="AdvOT863180fb"/>
          <w:color w:val="auto"/>
          <w:sz w:val="24"/>
          <w:szCs w:val="24"/>
          <w:lang w:val="en-US"/>
        </w:rPr>
        <w:t xml:space="preserve"> was 8</w:t>
      </w:r>
      <w:r w:rsidR="00252E6B" w:rsidRPr="00E127AB">
        <w:rPr>
          <w:rFonts w:ascii="Book Antiqua" w:eastAsiaTheme="minorHAnsi" w:hAnsi="Book Antiqua" w:cs="AdvOT863180fb"/>
          <w:color w:val="auto"/>
          <w:sz w:val="24"/>
          <w:szCs w:val="24"/>
          <w:lang w:val="en-US"/>
        </w:rPr>
        <w:t>%</w:t>
      </w:r>
      <w:r w:rsidR="00252E6B" w:rsidRPr="00E127AB">
        <w:rPr>
          <w:rFonts w:ascii="Book Antiqua" w:hAnsi="Book Antiqua" w:cs="Times New Roman"/>
          <w:color w:val="auto"/>
          <w:sz w:val="24"/>
          <w:szCs w:val="24"/>
          <w:vertAlign w:val="superscript"/>
          <w:lang w:val="en-US"/>
        </w:rPr>
        <w:t>[</w:t>
      </w:r>
      <w:r w:rsidR="00903B17" w:rsidRPr="00E127AB">
        <w:rPr>
          <w:rFonts w:ascii="Book Antiqua" w:hAnsi="Book Antiqua" w:cs="Times New Roman"/>
          <w:color w:val="auto"/>
          <w:sz w:val="24"/>
          <w:szCs w:val="24"/>
          <w:vertAlign w:val="superscript"/>
          <w:lang w:val="en-US"/>
        </w:rPr>
        <w:t>35</w:t>
      </w:r>
      <w:r w:rsidR="00AF4010" w:rsidRPr="00E127AB">
        <w:rPr>
          <w:rFonts w:ascii="Book Antiqua" w:hAnsi="Book Antiqua" w:cs="Times New Roman"/>
          <w:color w:val="auto"/>
          <w:sz w:val="24"/>
          <w:szCs w:val="24"/>
          <w:vertAlign w:val="superscript"/>
          <w:lang w:val="en-US"/>
        </w:rPr>
        <w:t>]</w:t>
      </w:r>
      <w:r w:rsidR="00AF4010" w:rsidRPr="00E127AB">
        <w:rPr>
          <w:rFonts w:ascii="Book Antiqua" w:eastAsiaTheme="minorHAnsi" w:hAnsi="Book Antiqua" w:cs="AdvOT863180fb"/>
          <w:color w:val="auto"/>
          <w:sz w:val="24"/>
          <w:szCs w:val="24"/>
          <w:lang w:val="en-US"/>
        </w:rPr>
        <w:t xml:space="preserve">. In a cohort study, it was compared the outcomes of </w:t>
      </w:r>
      <w:proofErr w:type="spellStart"/>
      <w:r w:rsidR="00AF4010" w:rsidRPr="00E127AB">
        <w:rPr>
          <w:rFonts w:ascii="Book Antiqua" w:eastAsiaTheme="minorHAnsi" w:hAnsi="Book Antiqua" w:cs="AdvOT863180fb"/>
          <w:color w:val="auto"/>
          <w:sz w:val="24"/>
          <w:szCs w:val="24"/>
          <w:lang w:val="en-US"/>
        </w:rPr>
        <w:t>imatinib</w:t>
      </w:r>
      <w:proofErr w:type="spellEnd"/>
      <w:r w:rsidR="00AF4010" w:rsidRPr="00E127AB">
        <w:rPr>
          <w:rFonts w:ascii="Book Antiqua" w:eastAsiaTheme="minorHAnsi" w:hAnsi="Book Antiqua" w:cs="AdvOT863180fb"/>
          <w:color w:val="auto"/>
          <w:sz w:val="24"/>
          <w:szCs w:val="24"/>
          <w:lang w:val="en-US"/>
        </w:rPr>
        <w:t xml:space="preserve"> </w:t>
      </w:r>
      <w:r w:rsidR="00AF4010" w:rsidRPr="00E127AB">
        <w:rPr>
          <w:rFonts w:ascii="Book Antiqua" w:eastAsiaTheme="minorHAnsi" w:hAnsi="Book Antiqua" w:cs="AdvOT863180fb"/>
          <w:i/>
          <w:color w:val="auto"/>
          <w:sz w:val="24"/>
          <w:szCs w:val="24"/>
          <w:lang w:val="en-US"/>
        </w:rPr>
        <w:t>vs</w:t>
      </w:r>
      <w:r w:rsidR="00AF4010" w:rsidRPr="00E127AB">
        <w:rPr>
          <w:rFonts w:ascii="Book Antiqua" w:eastAsiaTheme="minorHAnsi" w:hAnsi="Book Antiqua" w:cs="AdvOT863180fb"/>
          <w:color w:val="auto"/>
          <w:sz w:val="24"/>
          <w:szCs w:val="24"/>
          <w:lang w:val="en-US"/>
        </w:rPr>
        <w:t xml:space="preserve"> ASCT for AP-CML. In ASCT arm, median follow-up was 51 </w:t>
      </w:r>
      <w:proofErr w:type="spellStart"/>
      <w:proofErr w:type="gramStart"/>
      <w:r w:rsidR="00AF4010" w:rsidRPr="00E127AB">
        <w:rPr>
          <w:rFonts w:ascii="Book Antiqua" w:eastAsiaTheme="minorHAnsi" w:hAnsi="Book Antiqua" w:cs="AdvOT863180fb"/>
          <w:color w:val="auto"/>
          <w:sz w:val="24"/>
          <w:szCs w:val="24"/>
          <w:lang w:val="en-US"/>
        </w:rPr>
        <w:t>mo</w:t>
      </w:r>
      <w:proofErr w:type="spellEnd"/>
      <w:proofErr w:type="gramEnd"/>
      <w:r w:rsidR="00AF4010" w:rsidRPr="00E127AB">
        <w:rPr>
          <w:rFonts w:ascii="Book Antiqua" w:eastAsiaTheme="minorHAnsi" w:hAnsi="Book Antiqua" w:cs="AdvOT863180fb"/>
          <w:color w:val="auto"/>
          <w:sz w:val="24"/>
          <w:szCs w:val="24"/>
          <w:lang w:val="en-US"/>
        </w:rPr>
        <w:t xml:space="preserve">, and the 6-year OS, EFS, and PFS were 83.3%, 71.8% and 95.2%, respectively. In imatinib arm, median follow-up was 32 </w:t>
      </w:r>
      <w:proofErr w:type="spellStart"/>
      <w:proofErr w:type="gramStart"/>
      <w:r w:rsidR="00AF4010" w:rsidRPr="00E127AB">
        <w:rPr>
          <w:rFonts w:ascii="Book Antiqua" w:eastAsiaTheme="minorHAnsi" w:hAnsi="Book Antiqua" w:cs="AdvOT863180fb"/>
          <w:color w:val="auto"/>
          <w:sz w:val="24"/>
          <w:szCs w:val="24"/>
          <w:lang w:val="en-US"/>
        </w:rPr>
        <w:t>mo</w:t>
      </w:r>
      <w:proofErr w:type="spellEnd"/>
      <w:proofErr w:type="gramEnd"/>
      <w:r w:rsidR="00AF4010" w:rsidRPr="00E127AB">
        <w:rPr>
          <w:rFonts w:ascii="Book Antiqua" w:eastAsiaTheme="minorHAnsi" w:hAnsi="Book Antiqua" w:cs="AdvOT863180fb"/>
          <w:color w:val="auto"/>
          <w:sz w:val="24"/>
          <w:szCs w:val="24"/>
          <w:lang w:val="en-US"/>
        </w:rPr>
        <w:t>, and the 6 year OS,</w:t>
      </w:r>
      <w:r w:rsidR="005A13AE" w:rsidRPr="00E127AB">
        <w:rPr>
          <w:rFonts w:ascii="Book Antiqua" w:eastAsiaTheme="minorHAnsi" w:hAnsi="Book Antiqua" w:cs="AdvOT863180fb"/>
          <w:color w:val="auto"/>
          <w:sz w:val="24"/>
          <w:szCs w:val="24"/>
          <w:lang w:val="en-US"/>
        </w:rPr>
        <w:t xml:space="preserve"> EFS, and PFS were 51.4%, 39.2%</w:t>
      </w:r>
      <w:r w:rsidR="00AF4010" w:rsidRPr="00E127AB">
        <w:rPr>
          <w:rFonts w:ascii="Book Antiqua" w:eastAsiaTheme="minorHAnsi" w:hAnsi="Book Antiqua" w:cs="AdvOT863180fb"/>
          <w:color w:val="auto"/>
          <w:sz w:val="24"/>
          <w:szCs w:val="24"/>
          <w:lang w:val="en-US"/>
        </w:rPr>
        <w:t xml:space="preserve"> and 48.3%, respectively. Patients treated with ASCT were significantly higher OS (</w:t>
      </w:r>
      <w:r w:rsidR="00AF4010" w:rsidRPr="00E127AB">
        <w:rPr>
          <w:rFonts w:ascii="Book Antiqua" w:eastAsiaTheme="minorHAnsi" w:hAnsi="Book Antiqua" w:cs="AdvOT863180fb"/>
          <w:i/>
          <w:color w:val="auto"/>
          <w:sz w:val="24"/>
          <w:szCs w:val="24"/>
          <w:lang w:val="en-US"/>
        </w:rPr>
        <w:t>P</w:t>
      </w:r>
      <w:r w:rsidR="005A13AE" w:rsidRPr="00E127AB">
        <w:rPr>
          <w:rFonts w:ascii="Book Antiqua" w:eastAsiaTheme="minorEastAsia" w:hAnsi="Book Antiqua" w:cs="AdvOT863180fb"/>
          <w:color w:val="auto"/>
          <w:sz w:val="24"/>
          <w:szCs w:val="24"/>
          <w:lang w:val="en-US" w:eastAsia="zh-CN"/>
        </w:rPr>
        <w:t xml:space="preserve"> </w:t>
      </w:r>
      <w:r w:rsidR="00AF4010" w:rsidRPr="00E127AB">
        <w:rPr>
          <w:rFonts w:ascii="Book Antiqua" w:eastAsiaTheme="minorHAnsi" w:hAnsi="Book Antiqua" w:cs="AdvOT863180fb"/>
          <w:color w:val="auto"/>
          <w:sz w:val="24"/>
          <w:szCs w:val="24"/>
          <w:lang w:val="en-US"/>
        </w:rPr>
        <w:t>=</w:t>
      </w:r>
      <w:r w:rsidR="005A13AE" w:rsidRPr="00E127AB">
        <w:rPr>
          <w:rFonts w:ascii="Book Antiqua" w:eastAsiaTheme="minorEastAsia" w:hAnsi="Book Antiqua" w:cs="AdvOT863180fb"/>
          <w:color w:val="auto"/>
          <w:sz w:val="24"/>
          <w:szCs w:val="24"/>
          <w:lang w:val="en-US" w:eastAsia="zh-CN"/>
        </w:rPr>
        <w:t xml:space="preserve"> </w:t>
      </w:r>
      <w:r w:rsidR="00AF4010" w:rsidRPr="00E127AB">
        <w:rPr>
          <w:rFonts w:ascii="Book Antiqua" w:eastAsiaTheme="minorHAnsi" w:hAnsi="Book Antiqua" w:cs="AdvOT863180fb"/>
          <w:color w:val="auto"/>
          <w:sz w:val="24"/>
          <w:szCs w:val="24"/>
          <w:lang w:val="en-US"/>
        </w:rPr>
        <w:t>0.023), EFS (</w:t>
      </w:r>
      <w:r w:rsidR="00AF4010" w:rsidRPr="00E127AB">
        <w:rPr>
          <w:rFonts w:ascii="Book Antiqua" w:eastAsiaTheme="minorHAnsi" w:hAnsi="Book Antiqua" w:cs="AdvOT863180fb"/>
          <w:i/>
          <w:color w:val="auto"/>
          <w:sz w:val="24"/>
          <w:szCs w:val="24"/>
          <w:lang w:val="en-US"/>
        </w:rPr>
        <w:t>P</w:t>
      </w:r>
      <w:r w:rsidR="005A13AE" w:rsidRPr="00E127AB">
        <w:rPr>
          <w:rFonts w:ascii="Book Antiqua" w:eastAsiaTheme="minorEastAsia" w:hAnsi="Book Antiqua" w:cs="AdvOT863180fb"/>
          <w:color w:val="auto"/>
          <w:sz w:val="24"/>
          <w:szCs w:val="24"/>
          <w:lang w:val="en-US" w:eastAsia="zh-CN"/>
        </w:rPr>
        <w:t xml:space="preserve"> </w:t>
      </w:r>
      <w:r w:rsidR="00AF4010" w:rsidRPr="00E127AB">
        <w:rPr>
          <w:rFonts w:ascii="Book Antiqua" w:eastAsiaTheme="minorHAnsi" w:hAnsi="Book Antiqua" w:cs="AdvOT863180fb"/>
          <w:color w:val="auto"/>
          <w:sz w:val="24"/>
          <w:szCs w:val="24"/>
          <w:lang w:val="en-US"/>
        </w:rPr>
        <w:t>=</w:t>
      </w:r>
      <w:r w:rsidR="005A13AE" w:rsidRPr="00E127AB">
        <w:rPr>
          <w:rFonts w:ascii="Book Antiqua" w:eastAsiaTheme="minorEastAsia" w:hAnsi="Book Antiqua" w:cs="AdvOT863180fb"/>
          <w:color w:val="auto"/>
          <w:sz w:val="24"/>
          <w:szCs w:val="24"/>
          <w:lang w:val="en-US" w:eastAsia="zh-CN"/>
        </w:rPr>
        <w:t xml:space="preserve"> </w:t>
      </w:r>
      <w:r w:rsidR="00AF4010" w:rsidRPr="00E127AB">
        <w:rPr>
          <w:rFonts w:ascii="Book Antiqua" w:eastAsiaTheme="minorHAnsi" w:hAnsi="Book Antiqua" w:cs="AdvOT863180fb"/>
          <w:color w:val="auto"/>
          <w:sz w:val="24"/>
          <w:szCs w:val="24"/>
          <w:lang w:val="en-US"/>
        </w:rPr>
        <w:t>0.008) and PFS (</w:t>
      </w:r>
      <w:r w:rsidR="00AF4010" w:rsidRPr="00E127AB">
        <w:rPr>
          <w:rFonts w:ascii="Book Antiqua" w:eastAsiaTheme="minorHAnsi" w:hAnsi="Book Antiqua" w:cs="AdvOT863180fb"/>
          <w:i/>
          <w:color w:val="auto"/>
          <w:sz w:val="24"/>
          <w:szCs w:val="24"/>
          <w:lang w:val="en-US"/>
        </w:rPr>
        <w:t>P</w:t>
      </w:r>
      <w:r w:rsidR="005A13AE" w:rsidRPr="00E127AB">
        <w:rPr>
          <w:rFonts w:ascii="Book Antiqua" w:eastAsiaTheme="minorEastAsia" w:hAnsi="Book Antiqua" w:cs="AdvOT863180fb"/>
          <w:color w:val="auto"/>
          <w:sz w:val="24"/>
          <w:szCs w:val="24"/>
          <w:lang w:val="en-US" w:eastAsia="zh-CN"/>
        </w:rPr>
        <w:t xml:space="preserve"> </w:t>
      </w:r>
      <w:r w:rsidR="00AF4010" w:rsidRPr="00E127AB">
        <w:rPr>
          <w:rFonts w:ascii="Book Antiqua" w:eastAsiaTheme="minorHAnsi" w:hAnsi="Book Antiqua" w:cs="AdvOT863180fb"/>
          <w:color w:val="auto"/>
          <w:sz w:val="24"/>
          <w:szCs w:val="24"/>
          <w:lang w:val="en-US"/>
        </w:rPr>
        <w:t>=</w:t>
      </w:r>
      <w:r w:rsidR="005A13AE" w:rsidRPr="00E127AB">
        <w:rPr>
          <w:rFonts w:ascii="Book Antiqua" w:eastAsiaTheme="minorEastAsia" w:hAnsi="Book Antiqua" w:cs="AdvOT863180fb"/>
          <w:color w:val="auto"/>
          <w:sz w:val="24"/>
          <w:szCs w:val="24"/>
          <w:lang w:val="en-US" w:eastAsia="zh-CN"/>
        </w:rPr>
        <w:t xml:space="preserve"> </w:t>
      </w:r>
      <w:r w:rsidR="00AF4010" w:rsidRPr="00E127AB">
        <w:rPr>
          <w:rFonts w:ascii="Book Antiqua" w:eastAsiaTheme="minorHAnsi" w:hAnsi="Book Antiqua" w:cs="AdvOT863180fb"/>
          <w:color w:val="auto"/>
          <w:sz w:val="24"/>
          <w:szCs w:val="24"/>
          <w:lang w:val="en-US"/>
        </w:rPr>
        <w:t xml:space="preserve">0.000) than patients treated with </w:t>
      </w:r>
      <w:proofErr w:type="spellStart"/>
      <w:proofErr w:type="gramStart"/>
      <w:r w:rsidR="00252E6B" w:rsidRPr="00E127AB">
        <w:rPr>
          <w:rFonts w:ascii="Book Antiqua" w:eastAsiaTheme="minorHAnsi" w:hAnsi="Book Antiqua" w:cs="AdvOT863180fb"/>
          <w:color w:val="auto"/>
          <w:sz w:val="24"/>
          <w:szCs w:val="24"/>
          <w:lang w:val="en-US"/>
        </w:rPr>
        <w:t>imatinib</w:t>
      </w:r>
      <w:proofErr w:type="spellEnd"/>
      <w:r w:rsidR="00252E6B" w:rsidRPr="00E127AB">
        <w:rPr>
          <w:rFonts w:ascii="Book Antiqua" w:hAnsi="Book Antiqua" w:cs="Times New Roman"/>
          <w:color w:val="auto"/>
          <w:sz w:val="24"/>
          <w:szCs w:val="24"/>
          <w:vertAlign w:val="superscript"/>
          <w:lang w:val="en-US"/>
        </w:rPr>
        <w:t>[</w:t>
      </w:r>
      <w:proofErr w:type="gramEnd"/>
      <w:r w:rsidR="00903B17" w:rsidRPr="00E127AB">
        <w:rPr>
          <w:rFonts w:ascii="Book Antiqua" w:hAnsi="Book Antiqua" w:cs="Times New Roman"/>
          <w:color w:val="auto"/>
          <w:sz w:val="24"/>
          <w:szCs w:val="24"/>
          <w:vertAlign w:val="superscript"/>
          <w:lang w:val="en-US"/>
        </w:rPr>
        <w:t>36</w:t>
      </w:r>
      <w:r w:rsidR="00AF4010" w:rsidRPr="00E127AB">
        <w:rPr>
          <w:rFonts w:ascii="Book Antiqua" w:hAnsi="Book Antiqua" w:cs="Times New Roman"/>
          <w:color w:val="auto"/>
          <w:sz w:val="24"/>
          <w:szCs w:val="24"/>
          <w:vertAlign w:val="superscript"/>
          <w:lang w:val="en-US"/>
        </w:rPr>
        <w:t>]</w:t>
      </w:r>
      <w:r w:rsidR="00AF4010" w:rsidRPr="00E127AB">
        <w:rPr>
          <w:rFonts w:ascii="Book Antiqua" w:eastAsiaTheme="minorHAnsi" w:hAnsi="Book Antiqua" w:cs="AdvOT863180fb"/>
          <w:color w:val="auto"/>
          <w:sz w:val="24"/>
          <w:szCs w:val="24"/>
          <w:lang w:val="en-US"/>
        </w:rPr>
        <w:t xml:space="preserve">. </w:t>
      </w:r>
      <w:proofErr w:type="spellStart"/>
      <w:r w:rsidR="00DB67C0" w:rsidRPr="00E127AB">
        <w:rPr>
          <w:rFonts w:ascii="Book Antiqua" w:eastAsiaTheme="minorHAnsi" w:hAnsi="Book Antiqua" w:cs="AdvOT863180fb"/>
          <w:color w:val="auto"/>
          <w:sz w:val="24"/>
          <w:szCs w:val="24"/>
          <w:lang w:val="en-US"/>
        </w:rPr>
        <w:t>Pfirrmann</w:t>
      </w:r>
      <w:proofErr w:type="spellEnd"/>
      <w:r w:rsidR="00DB67C0" w:rsidRPr="00E127AB">
        <w:rPr>
          <w:rFonts w:ascii="Book Antiqua" w:eastAsiaTheme="minorHAnsi" w:hAnsi="Book Antiqua" w:cs="AdvOT863180fb"/>
          <w:color w:val="auto"/>
          <w:sz w:val="24"/>
          <w:szCs w:val="24"/>
          <w:lang w:val="en-US"/>
        </w:rPr>
        <w:t xml:space="preserve"> </w:t>
      </w:r>
      <w:r w:rsidR="00DB67C0" w:rsidRPr="00E127AB">
        <w:rPr>
          <w:rFonts w:ascii="Book Antiqua" w:eastAsiaTheme="minorHAnsi" w:hAnsi="Book Antiqua" w:cs="AdvOT863180fb"/>
          <w:i/>
          <w:color w:val="auto"/>
          <w:sz w:val="24"/>
          <w:szCs w:val="24"/>
          <w:lang w:val="en-US"/>
        </w:rPr>
        <w:t xml:space="preserve">et </w:t>
      </w:r>
      <w:proofErr w:type="gramStart"/>
      <w:r w:rsidR="00DB67C0" w:rsidRPr="00E127AB">
        <w:rPr>
          <w:rFonts w:ascii="Book Antiqua" w:eastAsiaTheme="minorHAnsi" w:hAnsi="Book Antiqua" w:cs="AdvOT863180fb"/>
          <w:i/>
          <w:color w:val="auto"/>
          <w:sz w:val="24"/>
          <w:szCs w:val="24"/>
          <w:lang w:val="en-US"/>
        </w:rPr>
        <w:t>al</w:t>
      </w:r>
      <w:r w:rsidR="005A13AE" w:rsidRPr="00E127AB">
        <w:rPr>
          <w:rFonts w:ascii="Book Antiqua" w:eastAsiaTheme="minorHAnsi" w:hAnsi="Book Antiqua" w:cs="AdvOT863180fb"/>
          <w:color w:val="auto"/>
          <w:sz w:val="24"/>
          <w:szCs w:val="24"/>
          <w:vertAlign w:val="superscript"/>
          <w:lang w:val="en-US"/>
        </w:rPr>
        <w:t>[</w:t>
      </w:r>
      <w:proofErr w:type="gramEnd"/>
      <w:r w:rsidR="005A13AE" w:rsidRPr="00E127AB">
        <w:rPr>
          <w:rFonts w:ascii="Book Antiqua" w:eastAsiaTheme="minorHAnsi" w:hAnsi="Book Antiqua" w:cs="AdvOT863180fb"/>
          <w:color w:val="auto"/>
          <w:sz w:val="24"/>
          <w:szCs w:val="24"/>
          <w:vertAlign w:val="superscript"/>
          <w:lang w:val="en-US"/>
        </w:rPr>
        <w:t>37]</w:t>
      </w:r>
      <w:r w:rsidR="00DB67C0" w:rsidRPr="00E127AB">
        <w:rPr>
          <w:rFonts w:ascii="Book Antiqua" w:eastAsiaTheme="minorHAnsi" w:hAnsi="Book Antiqua" w:cs="AdvOT863180fb"/>
          <w:color w:val="auto"/>
          <w:sz w:val="24"/>
          <w:szCs w:val="24"/>
          <w:lang w:val="en-US"/>
        </w:rPr>
        <w:t xml:space="preserve"> compared two consecutive German studies III (recruitment from 1995 to 2001) and IIIA (recruitment from 1997 to 2004) on chronic myeloid leukemia. They reported that HLA matching, age of transplantation ≤</w:t>
      </w:r>
      <w:r w:rsidR="005A13AE" w:rsidRPr="00E127AB">
        <w:rPr>
          <w:rFonts w:ascii="Book Antiqua" w:eastAsiaTheme="minorEastAsia" w:hAnsi="Book Antiqua" w:cs="AdvOT863180fb"/>
          <w:color w:val="auto"/>
          <w:sz w:val="24"/>
          <w:szCs w:val="24"/>
          <w:lang w:val="en-US" w:eastAsia="zh-CN"/>
        </w:rPr>
        <w:t xml:space="preserve"> </w:t>
      </w:r>
      <w:r w:rsidR="00DB67C0" w:rsidRPr="00E127AB">
        <w:rPr>
          <w:rFonts w:ascii="Book Antiqua" w:eastAsiaTheme="minorHAnsi" w:hAnsi="Book Antiqua" w:cs="AdvOT863180fb"/>
          <w:color w:val="auto"/>
          <w:sz w:val="24"/>
          <w:szCs w:val="24"/>
          <w:lang w:val="en-US"/>
        </w:rPr>
        <w:t>44 and time from diagnosis to ASCT ≤</w:t>
      </w:r>
      <w:r w:rsidR="005A13AE" w:rsidRPr="00E127AB">
        <w:rPr>
          <w:rFonts w:ascii="Book Antiqua" w:eastAsiaTheme="minorEastAsia" w:hAnsi="Book Antiqua" w:cs="AdvOT863180fb"/>
          <w:color w:val="auto"/>
          <w:sz w:val="24"/>
          <w:szCs w:val="24"/>
          <w:lang w:val="en-US" w:eastAsia="zh-CN"/>
        </w:rPr>
        <w:t xml:space="preserve"> </w:t>
      </w:r>
      <w:r w:rsidR="00DB67C0" w:rsidRPr="00E127AB">
        <w:rPr>
          <w:rFonts w:ascii="Book Antiqua" w:eastAsiaTheme="minorHAnsi" w:hAnsi="Book Antiqua" w:cs="AdvOT863180fb"/>
          <w:color w:val="auto"/>
          <w:sz w:val="24"/>
          <w:szCs w:val="24"/>
          <w:lang w:val="en-US"/>
        </w:rPr>
        <w:t xml:space="preserve">1 year had a significant association with improved survival. They also reported that improvement of transplantation practice over years was associated with better survival. These findings suggested that </w:t>
      </w:r>
      <w:r w:rsidR="00427366" w:rsidRPr="00E127AB">
        <w:rPr>
          <w:rFonts w:ascii="Book Antiqua" w:eastAsiaTheme="minorHAnsi" w:hAnsi="Book Antiqua" w:cs="AdvOT863180fb"/>
          <w:color w:val="auto"/>
          <w:sz w:val="24"/>
          <w:szCs w:val="24"/>
          <w:lang w:val="en-US"/>
        </w:rPr>
        <w:t xml:space="preserve">the </w:t>
      </w:r>
      <w:r w:rsidR="00DB67C0" w:rsidRPr="00E127AB">
        <w:rPr>
          <w:rFonts w:ascii="Book Antiqua" w:eastAsiaTheme="minorHAnsi" w:hAnsi="Book Antiqua" w:cs="AdvOT863180fb"/>
          <w:color w:val="auto"/>
          <w:sz w:val="24"/>
          <w:szCs w:val="24"/>
          <w:lang w:val="en-US"/>
        </w:rPr>
        <w:t>timing of ASCT</w:t>
      </w:r>
      <w:r w:rsidR="00427366" w:rsidRPr="00E127AB">
        <w:rPr>
          <w:rFonts w:ascii="Book Antiqua" w:eastAsiaTheme="minorHAnsi" w:hAnsi="Book Antiqua" w:cs="AdvOT863180fb"/>
          <w:color w:val="auto"/>
          <w:sz w:val="24"/>
          <w:szCs w:val="24"/>
          <w:lang w:val="en-US"/>
        </w:rPr>
        <w:t xml:space="preserve"> is </w:t>
      </w:r>
      <w:r w:rsidR="00183532" w:rsidRPr="00E127AB">
        <w:rPr>
          <w:rFonts w:ascii="Book Antiqua" w:eastAsiaTheme="minorHAnsi" w:hAnsi="Book Antiqua" w:cs="AdvOT863180fb"/>
          <w:color w:val="auto"/>
          <w:sz w:val="24"/>
          <w:szCs w:val="24"/>
          <w:lang w:val="en-US"/>
        </w:rPr>
        <w:t xml:space="preserve">an </w:t>
      </w:r>
      <w:r w:rsidR="00427366" w:rsidRPr="00E127AB">
        <w:rPr>
          <w:rFonts w:ascii="Book Antiqua" w:eastAsiaTheme="minorHAnsi" w:hAnsi="Book Antiqua" w:cs="AdvOT863180fb"/>
          <w:color w:val="auto"/>
          <w:sz w:val="24"/>
          <w:szCs w:val="24"/>
          <w:lang w:val="en-US"/>
        </w:rPr>
        <w:t>important factor on survival outcome</w:t>
      </w:r>
      <w:r w:rsidR="00742BDF" w:rsidRPr="00E127AB">
        <w:rPr>
          <w:rFonts w:ascii="Book Antiqua" w:eastAsiaTheme="minorHAnsi" w:hAnsi="Book Antiqua" w:cs="AdvOT863180fb"/>
          <w:color w:val="auto"/>
          <w:sz w:val="24"/>
          <w:szCs w:val="24"/>
          <w:lang w:val="en-US"/>
        </w:rPr>
        <w:t>s.</w:t>
      </w:r>
    </w:p>
    <w:p w:rsidR="004C17F8" w:rsidRPr="00E127AB" w:rsidRDefault="006F19D2"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According to </w:t>
      </w:r>
      <w:r w:rsidR="00735B1C" w:rsidRPr="00E127AB">
        <w:rPr>
          <w:rFonts w:ascii="Book Antiqua" w:eastAsiaTheme="minorHAnsi" w:hAnsi="Book Antiqua" w:cs="AdvOT863180fb"/>
          <w:color w:val="auto"/>
          <w:sz w:val="24"/>
          <w:szCs w:val="24"/>
          <w:lang w:val="en-US"/>
        </w:rPr>
        <w:t>Center for International Bone Marrow Transplantation Research (</w:t>
      </w:r>
      <w:r w:rsidRPr="00E127AB">
        <w:rPr>
          <w:rFonts w:ascii="Book Antiqua" w:eastAsiaTheme="minorHAnsi" w:hAnsi="Book Antiqua" w:cs="AdvOT863180fb"/>
          <w:color w:val="auto"/>
          <w:sz w:val="24"/>
          <w:szCs w:val="24"/>
          <w:lang w:val="en-US"/>
        </w:rPr>
        <w:t>CIBMTR</w:t>
      </w:r>
      <w:r w:rsidR="00735B1C" w:rsidRPr="00E127AB">
        <w:rPr>
          <w:rFonts w:ascii="Book Antiqua" w:eastAsiaTheme="minorHAnsi" w:hAnsi="Book Antiqua" w:cs="AdvOT863180fb"/>
          <w:color w:val="auto"/>
          <w:sz w:val="24"/>
          <w:szCs w:val="24"/>
          <w:lang w:val="en-US"/>
        </w:rPr>
        <w:t>)</w:t>
      </w:r>
      <w:r w:rsidRPr="00E127AB">
        <w:rPr>
          <w:rFonts w:ascii="Book Antiqua" w:eastAsiaTheme="minorHAnsi" w:hAnsi="Book Antiqua" w:cs="AdvOT863180fb"/>
          <w:color w:val="auto"/>
          <w:sz w:val="24"/>
          <w:szCs w:val="24"/>
          <w:lang w:val="en-US"/>
        </w:rPr>
        <w:t xml:space="preserve"> data in TKI era, 3-year OS and disease free survival (DFS) rates were 36% and 27% in second CP, 43% and 37% in AP, and 14% and 10% in BP. Pre-transplant imatinib had no association with transplant outcomes, including acute and chronic GVHD</w:t>
      </w:r>
      <w:r w:rsidR="00F05716" w:rsidRPr="00E127AB">
        <w:rPr>
          <w:rFonts w:ascii="Book Antiqua" w:hAnsi="Book Antiqua" w:cs="Times New Roman"/>
          <w:color w:val="auto"/>
          <w:sz w:val="24"/>
          <w:szCs w:val="24"/>
          <w:vertAlign w:val="superscript"/>
          <w:lang w:val="en-US"/>
        </w:rPr>
        <w:t>[</w:t>
      </w:r>
      <w:r w:rsidR="00010FE2" w:rsidRPr="00E127AB">
        <w:rPr>
          <w:rFonts w:ascii="Book Antiqua" w:hAnsi="Book Antiqua" w:cs="Times New Roman"/>
          <w:color w:val="auto"/>
          <w:sz w:val="24"/>
          <w:szCs w:val="24"/>
          <w:vertAlign w:val="superscript"/>
          <w:lang w:val="en-US"/>
        </w:rPr>
        <w:t>38</w:t>
      </w:r>
      <w:r w:rsidR="0017028E" w:rsidRPr="00E127AB">
        <w:rPr>
          <w:rFonts w:ascii="Book Antiqua" w:hAnsi="Book Antiqua" w:cs="Times New Roman"/>
          <w:color w:val="auto"/>
          <w:sz w:val="24"/>
          <w:szCs w:val="24"/>
          <w:vertAlign w:val="superscript"/>
          <w:lang w:val="en-US"/>
        </w:rPr>
        <w:t>]</w:t>
      </w:r>
      <w:r w:rsidRPr="00E127AB">
        <w:rPr>
          <w:rFonts w:ascii="Book Antiqua" w:eastAsiaTheme="minorHAnsi" w:hAnsi="Book Antiqua" w:cs="AdvOT863180fb"/>
          <w:color w:val="auto"/>
          <w:sz w:val="24"/>
          <w:szCs w:val="24"/>
          <w:lang w:val="en-US"/>
        </w:rPr>
        <w:t xml:space="preserve">. </w:t>
      </w:r>
      <w:r w:rsidR="004C17F8" w:rsidRPr="00E127AB">
        <w:rPr>
          <w:rFonts w:ascii="Book Antiqua" w:eastAsiaTheme="minorHAnsi" w:hAnsi="Book Antiqua" w:cs="AdvOT863180fb"/>
          <w:color w:val="auto"/>
          <w:sz w:val="24"/>
          <w:szCs w:val="24"/>
          <w:lang w:val="en-US"/>
        </w:rPr>
        <w:t xml:space="preserve">In a study with CIBMTR data, they reported that pre-transplant imatinib therapy was associated with improved survival after transplantation and, they showed similar acute GVHD rates both using and not using </w:t>
      </w:r>
      <w:proofErr w:type="spellStart"/>
      <w:r w:rsidR="004C17F8" w:rsidRPr="00E127AB">
        <w:rPr>
          <w:rFonts w:ascii="Book Antiqua" w:eastAsiaTheme="minorHAnsi" w:hAnsi="Book Antiqua" w:cs="AdvOT863180fb"/>
          <w:color w:val="auto"/>
          <w:sz w:val="24"/>
          <w:szCs w:val="24"/>
          <w:lang w:val="en-US"/>
        </w:rPr>
        <w:t>imatinib</w:t>
      </w:r>
      <w:proofErr w:type="spellEnd"/>
      <w:r w:rsidR="004C17F8" w:rsidRPr="00E127AB">
        <w:rPr>
          <w:rFonts w:ascii="Book Antiqua" w:eastAsiaTheme="minorHAnsi" w:hAnsi="Book Antiqua" w:cs="AdvOT863180fb"/>
          <w:color w:val="auto"/>
          <w:sz w:val="24"/>
          <w:szCs w:val="24"/>
          <w:lang w:val="en-US"/>
        </w:rPr>
        <w:t xml:space="preserve"> before </w:t>
      </w:r>
      <w:proofErr w:type="gramStart"/>
      <w:r w:rsidR="00252E6B" w:rsidRPr="00E127AB">
        <w:rPr>
          <w:rFonts w:ascii="Book Antiqua" w:eastAsiaTheme="minorHAnsi" w:hAnsi="Book Antiqua" w:cs="AdvOT863180fb"/>
          <w:color w:val="auto"/>
          <w:sz w:val="24"/>
          <w:szCs w:val="24"/>
          <w:lang w:val="en-US"/>
        </w:rPr>
        <w:t>transplantation</w:t>
      </w:r>
      <w:r w:rsidR="00252E6B" w:rsidRPr="00E127AB">
        <w:rPr>
          <w:rFonts w:ascii="Book Antiqua" w:hAnsi="Book Antiqua" w:cs="Times New Roman"/>
          <w:color w:val="auto"/>
          <w:sz w:val="24"/>
          <w:szCs w:val="24"/>
          <w:vertAlign w:val="superscript"/>
          <w:lang w:val="en-US"/>
        </w:rPr>
        <w:t>[</w:t>
      </w:r>
      <w:proofErr w:type="gramEnd"/>
      <w:r w:rsidR="00010FE2" w:rsidRPr="00E127AB">
        <w:rPr>
          <w:rFonts w:ascii="Book Antiqua" w:hAnsi="Book Antiqua" w:cs="Times New Roman"/>
          <w:color w:val="auto"/>
          <w:sz w:val="24"/>
          <w:szCs w:val="24"/>
          <w:vertAlign w:val="superscript"/>
          <w:lang w:val="en-US"/>
        </w:rPr>
        <w:t>39</w:t>
      </w:r>
      <w:r w:rsidR="004C17F8" w:rsidRPr="00E127AB">
        <w:rPr>
          <w:rFonts w:ascii="Book Antiqua" w:hAnsi="Book Antiqua" w:cs="Times New Roman"/>
          <w:color w:val="auto"/>
          <w:sz w:val="24"/>
          <w:szCs w:val="24"/>
          <w:vertAlign w:val="superscript"/>
          <w:lang w:val="en-US"/>
        </w:rPr>
        <w:t>]</w:t>
      </w:r>
      <w:r w:rsidR="004C17F8" w:rsidRPr="00E127AB">
        <w:rPr>
          <w:rFonts w:ascii="Book Antiqua" w:eastAsiaTheme="minorHAnsi" w:hAnsi="Book Antiqua" w:cs="AdvOT863180fb"/>
          <w:color w:val="auto"/>
          <w:sz w:val="24"/>
          <w:szCs w:val="24"/>
          <w:lang w:val="en-US"/>
        </w:rPr>
        <w:t xml:space="preserve">. Fifty-one patients with CML underwent ASCT for advanced disease at diagnosis or for treatment failure with TKIs. At a median follow-up of 71.9 </w:t>
      </w:r>
      <w:proofErr w:type="spellStart"/>
      <w:r w:rsidR="004C17F8" w:rsidRPr="00E127AB">
        <w:rPr>
          <w:rFonts w:ascii="Book Antiqua" w:eastAsiaTheme="minorHAnsi" w:hAnsi="Book Antiqua" w:cs="AdvOT863180fb"/>
          <w:color w:val="auto"/>
          <w:sz w:val="24"/>
          <w:szCs w:val="24"/>
          <w:lang w:val="en-US"/>
        </w:rPr>
        <w:t>mo</w:t>
      </w:r>
      <w:proofErr w:type="spellEnd"/>
      <w:r w:rsidR="004C17F8" w:rsidRPr="00E127AB">
        <w:rPr>
          <w:rFonts w:ascii="Book Antiqua" w:eastAsiaTheme="minorHAnsi" w:hAnsi="Book Antiqua" w:cs="AdvOT863180fb"/>
          <w:color w:val="auto"/>
          <w:sz w:val="24"/>
          <w:szCs w:val="24"/>
          <w:lang w:val="en-US"/>
        </w:rPr>
        <w:t xml:space="preserve">, the 8-year OS, EFS, relapse, and non-relapse mortality (NRM) were 68%, 46%, 41%, and 23%, </w:t>
      </w:r>
      <w:proofErr w:type="gramStart"/>
      <w:r w:rsidR="00252E6B" w:rsidRPr="00E127AB">
        <w:rPr>
          <w:rFonts w:ascii="Book Antiqua" w:eastAsiaTheme="minorHAnsi" w:hAnsi="Book Antiqua" w:cs="AdvOT863180fb"/>
          <w:color w:val="auto"/>
          <w:sz w:val="24"/>
          <w:szCs w:val="24"/>
          <w:lang w:val="en-US"/>
        </w:rPr>
        <w:t>respectively</w:t>
      </w:r>
      <w:r w:rsidR="00252E6B" w:rsidRPr="00E127AB">
        <w:rPr>
          <w:rFonts w:ascii="Book Antiqua" w:hAnsi="Book Antiqua" w:cs="Times New Roman"/>
          <w:color w:val="auto"/>
          <w:sz w:val="24"/>
          <w:szCs w:val="24"/>
          <w:vertAlign w:val="superscript"/>
          <w:lang w:val="en-US"/>
        </w:rPr>
        <w:t>[</w:t>
      </w:r>
      <w:proofErr w:type="gramEnd"/>
      <w:r w:rsidR="00010FE2" w:rsidRPr="00E127AB">
        <w:rPr>
          <w:rFonts w:ascii="Book Antiqua" w:hAnsi="Book Antiqua" w:cs="Times New Roman"/>
          <w:color w:val="auto"/>
          <w:sz w:val="24"/>
          <w:szCs w:val="24"/>
          <w:vertAlign w:val="superscript"/>
          <w:lang w:val="en-US"/>
        </w:rPr>
        <w:t>40</w:t>
      </w:r>
      <w:r w:rsidR="004C17F8" w:rsidRPr="00E127AB">
        <w:rPr>
          <w:rFonts w:ascii="Book Antiqua" w:hAnsi="Book Antiqua" w:cs="Times New Roman"/>
          <w:color w:val="auto"/>
          <w:sz w:val="24"/>
          <w:szCs w:val="24"/>
          <w:vertAlign w:val="superscript"/>
          <w:lang w:val="en-US"/>
        </w:rPr>
        <w:t>]</w:t>
      </w:r>
      <w:r w:rsidR="004C17F8" w:rsidRPr="00E127AB">
        <w:rPr>
          <w:rFonts w:ascii="Book Antiqua" w:eastAsiaTheme="minorHAnsi" w:hAnsi="Book Antiqua" w:cs="AdvOT863180fb"/>
          <w:color w:val="auto"/>
          <w:sz w:val="24"/>
          <w:szCs w:val="24"/>
          <w:lang w:val="en-US"/>
        </w:rPr>
        <w:t xml:space="preserve">. Another study demonstrated that OS, DFS, relapse and NRM rates were similar between pre-transplant imatinib arm and no imatinib arm. On the other hand, mortality was higher in CP patients with suboptimal response than in CP patients with </w:t>
      </w:r>
      <w:proofErr w:type="spellStart"/>
      <w:r w:rsidR="004C17F8" w:rsidRPr="00E127AB">
        <w:rPr>
          <w:rFonts w:ascii="Book Antiqua" w:eastAsiaTheme="minorHAnsi" w:hAnsi="Book Antiqua" w:cs="AdvOT863180fb"/>
          <w:color w:val="auto"/>
          <w:sz w:val="24"/>
          <w:szCs w:val="24"/>
          <w:lang w:val="en-US"/>
        </w:rPr>
        <w:t>CCyR</w:t>
      </w:r>
      <w:proofErr w:type="spellEnd"/>
      <w:r w:rsidR="004C17F8" w:rsidRPr="00E127AB">
        <w:rPr>
          <w:rFonts w:ascii="Book Antiqua" w:eastAsiaTheme="minorHAnsi" w:hAnsi="Book Antiqua" w:cs="AdvOT863180fb"/>
          <w:color w:val="auto"/>
          <w:sz w:val="24"/>
          <w:szCs w:val="24"/>
          <w:lang w:val="en-US"/>
        </w:rPr>
        <w:t xml:space="preserve"> or major </w:t>
      </w:r>
      <w:proofErr w:type="spellStart"/>
      <w:r w:rsidR="004C17F8" w:rsidRPr="00E127AB">
        <w:rPr>
          <w:rFonts w:ascii="Book Antiqua" w:eastAsiaTheme="minorHAnsi" w:hAnsi="Book Antiqua" w:cs="AdvOT863180fb"/>
          <w:color w:val="auto"/>
          <w:sz w:val="24"/>
          <w:szCs w:val="24"/>
          <w:lang w:val="en-US"/>
        </w:rPr>
        <w:t>CyR</w:t>
      </w:r>
      <w:proofErr w:type="spellEnd"/>
      <w:r w:rsidR="004C17F8" w:rsidRPr="00E127AB">
        <w:rPr>
          <w:rFonts w:ascii="Book Antiqua" w:eastAsiaTheme="minorHAnsi" w:hAnsi="Book Antiqua" w:cs="AdvOT863180fb"/>
          <w:color w:val="auto"/>
          <w:sz w:val="24"/>
          <w:szCs w:val="24"/>
          <w:lang w:val="en-US"/>
        </w:rPr>
        <w:t xml:space="preserve"> on </w:t>
      </w:r>
      <w:proofErr w:type="spellStart"/>
      <w:proofErr w:type="gramStart"/>
      <w:r w:rsidR="00252E6B" w:rsidRPr="00E127AB">
        <w:rPr>
          <w:rFonts w:ascii="Book Antiqua" w:eastAsiaTheme="minorHAnsi" w:hAnsi="Book Antiqua" w:cs="AdvOT863180fb"/>
          <w:color w:val="auto"/>
          <w:sz w:val="24"/>
          <w:szCs w:val="24"/>
          <w:lang w:val="en-US"/>
        </w:rPr>
        <w:t>imatinib</w:t>
      </w:r>
      <w:proofErr w:type="spellEnd"/>
      <w:r w:rsidR="00252E6B" w:rsidRPr="00E127AB">
        <w:rPr>
          <w:rFonts w:ascii="Book Antiqua" w:hAnsi="Book Antiqua" w:cs="Times New Roman"/>
          <w:color w:val="auto"/>
          <w:sz w:val="24"/>
          <w:szCs w:val="24"/>
          <w:vertAlign w:val="superscript"/>
          <w:lang w:val="en-US"/>
        </w:rPr>
        <w:t>[</w:t>
      </w:r>
      <w:proofErr w:type="gramEnd"/>
      <w:r w:rsidR="00010FE2" w:rsidRPr="00E127AB">
        <w:rPr>
          <w:rFonts w:ascii="Book Antiqua" w:hAnsi="Book Antiqua" w:cs="Times New Roman"/>
          <w:color w:val="auto"/>
          <w:sz w:val="24"/>
          <w:szCs w:val="24"/>
          <w:vertAlign w:val="superscript"/>
          <w:lang w:val="en-US"/>
        </w:rPr>
        <w:t>41</w:t>
      </w:r>
      <w:r w:rsidR="004C17F8" w:rsidRPr="00E127AB">
        <w:rPr>
          <w:rFonts w:ascii="Book Antiqua" w:hAnsi="Book Antiqua" w:cs="Times New Roman"/>
          <w:color w:val="auto"/>
          <w:sz w:val="24"/>
          <w:szCs w:val="24"/>
          <w:vertAlign w:val="superscript"/>
          <w:lang w:val="en-US"/>
        </w:rPr>
        <w:t>]</w:t>
      </w:r>
      <w:r w:rsidR="004C17F8" w:rsidRPr="00E127AB">
        <w:rPr>
          <w:rFonts w:ascii="Book Antiqua" w:eastAsiaTheme="minorHAnsi" w:hAnsi="Book Antiqua" w:cs="AdvOT863180fb"/>
          <w:color w:val="auto"/>
          <w:sz w:val="24"/>
          <w:szCs w:val="24"/>
          <w:lang w:val="en-US"/>
        </w:rPr>
        <w:t xml:space="preserve">. In a </w:t>
      </w:r>
      <w:r w:rsidR="004C17F8" w:rsidRPr="00E127AB">
        <w:rPr>
          <w:rFonts w:ascii="Book Antiqua" w:eastAsiaTheme="minorHAnsi" w:hAnsi="Book Antiqua" w:cs="AdvOT863180fb"/>
          <w:color w:val="auto"/>
          <w:sz w:val="24"/>
          <w:szCs w:val="24"/>
          <w:lang w:val="en-US"/>
        </w:rPr>
        <w:lastRenderedPageBreak/>
        <w:t xml:space="preserve">retrospective study, it was demonstrated that there was no evidence for increased transplant-related toxicity with pre-transplant </w:t>
      </w:r>
      <w:proofErr w:type="spellStart"/>
      <w:r w:rsidR="004C17F8" w:rsidRPr="00E127AB">
        <w:rPr>
          <w:rFonts w:ascii="Book Antiqua" w:eastAsiaTheme="minorHAnsi" w:hAnsi="Book Antiqua" w:cs="AdvOT863180fb"/>
          <w:color w:val="auto"/>
          <w:sz w:val="24"/>
          <w:szCs w:val="24"/>
          <w:lang w:val="en-US"/>
        </w:rPr>
        <w:t>dasatinib</w:t>
      </w:r>
      <w:proofErr w:type="spellEnd"/>
      <w:r w:rsidR="004C17F8" w:rsidRPr="00E127AB">
        <w:rPr>
          <w:rFonts w:ascii="Book Antiqua" w:eastAsiaTheme="minorHAnsi" w:hAnsi="Book Antiqua" w:cs="AdvOT863180fb"/>
          <w:color w:val="auto"/>
          <w:sz w:val="24"/>
          <w:szCs w:val="24"/>
          <w:lang w:val="en-US"/>
        </w:rPr>
        <w:t xml:space="preserve"> and </w:t>
      </w:r>
      <w:proofErr w:type="spellStart"/>
      <w:r w:rsidR="004C17F8" w:rsidRPr="00E127AB">
        <w:rPr>
          <w:rFonts w:ascii="Book Antiqua" w:eastAsiaTheme="minorHAnsi" w:hAnsi="Book Antiqua" w:cs="AdvOT863180fb"/>
          <w:color w:val="auto"/>
          <w:sz w:val="24"/>
          <w:szCs w:val="24"/>
          <w:lang w:val="en-US"/>
        </w:rPr>
        <w:t>nilotinib</w:t>
      </w:r>
      <w:proofErr w:type="spellEnd"/>
      <w:r w:rsidR="004C17F8" w:rsidRPr="00E127AB">
        <w:rPr>
          <w:rFonts w:ascii="Book Antiqua" w:eastAsiaTheme="minorHAnsi" w:hAnsi="Book Antiqua" w:cs="AdvOT863180fb"/>
          <w:color w:val="auto"/>
          <w:sz w:val="24"/>
          <w:szCs w:val="24"/>
          <w:lang w:val="en-US"/>
        </w:rPr>
        <w:t xml:space="preserve"> </w:t>
      </w:r>
      <w:proofErr w:type="gramStart"/>
      <w:r w:rsidR="00252E6B" w:rsidRPr="00E127AB">
        <w:rPr>
          <w:rFonts w:ascii="Book Antiqua" w:eastAsiaTheme="minorHAnsi" w:hAnsi="Book Antiqua" w:cs="AdvOT863180fb"/>
          <w:color w:val="auto"/>
          <w:sz w:val="24"/>
          <w:szCs w:val="24"/>
          <w:lang w:val="en-US"/>
        </w:rPr>
        <w:t>therapy</w:t>
      </w:r>
      <w:r w:rsidR="00252E6B" w:rsidRPr="00E127AB">
        <w:rPr>
          <w:rFonts w:ascii="Book Antiqua" w:hAnsi="Book Antiqua" w:cs="Times New Roman"/>
          <w:color w:val="auto"/>
          <w:sz w:val="24"/>
          <w:szCs w:val="24"/>
          <w:vertAlign w:val="superscript"/>
          <w:lang w:val="en-US"/>
        </w:rPr>
        <w:t>[</w:t>
      </w:r>
      <w:proofErr w:type="gramEnd"/>
      <w:r w:rsidR="00010FE2" w:rsidRPr="00E127AB">
        <w:rPr>
          <w:rFonts w:ascii="Book Antiqua" w:hAnsi="Book Antiqua" w:cs="Times New Roman"/>
          <w:color w:val="auto"/>
          <w:sz w:val="24"/>
          <w:szCs w:val="24"/>
          <w:vertAlign w:val="superscript"/>
          <w:lang w:val="en-US"/>
        </w:rPr>
        <w:t>42</w:t>
      </w:r>
      <w:r w:rsidR="004C17F8" w:rsidRPr="00E127AB">
        <w:rPr>
          <w:rFonts w:ascii="Book Antiqua" w:hAnsi="Book Antiqua" w:cs="Times New Roman"/>
          <w:color w:val="auto"/>
          <w:sz w:val="24"/>
          <w:szCs w:val="24"/>
          <w:vertAlign w:val="superscript"/>
          <w:lang w:val="en-US"/>
        </w:rPr>
        <w:t>]</w:t>
      </w:r>
      <w:r w:rsidR="004C17F8" w:rsidRPr="00E127AB">
        <w:rPr>
          <w:rFonts w:ascii="Book Antiqua" w:eastAsiaTheme="minorHAnsi" w:hAnsi="Book Antiqua" w:cs="AdvOT863180fb"/>
          <w:color w:val="auto"/>
          <w:sz w:val="24"/>
          <w:szCs w:val="24"/>
          <w:lang w:val="en-US"/>
        </w:rPr>
        <w:t xml:space="preserve">. In a small study, they showed that using dasatinib and nilotinib before ASCT did not increase transplant-related toxicity or </w:t>
      </w:r>
      <w:proofErr w:type="gramStart"/>
      <w:r w:rsidR="00252E6B" w:rsidRPr="00E127AB">
        <w:rPr>
          <w:rFonts w:ascii="Book Antiqua" w:eastAsiaTheme="minorHAnsi" w:hAnsi="Book Antiqua" w:cs="AdvOT863180fb"/>
          <w:color w:val="auto"/>
          <w:sz w:val="24"/>
          <w:szCs w:val="24"/>
          <w:lang w:val="en-US"/>
        </w:rPr>
        <w:t>GVHD</w:t>
      </w:r>
      <w:r w:rsidR="00252E6B" w:rsidRPr="00E127AB">
        <w:rPr>
          <w:rFonts w:ascii="Book Antiqua" w:hAnsi="Book Antiqua" w:cs="Times New Roman"/>
          <w:color w:val="auto"/>
          <w:sz w:val="24"/>
          <w:szCs w:val="24"/>
          <w:vertAlign w:val="superscript"/>
          <w:lang w:val="en-US"/>
        </w:rPr>
        <w:t>[</w:t>
      </w:r>
      <w:proofErr w:type="gramEnd"/>
      <w:r w:rsidR="00010FE2" w:rsidRPr="00E127AB">
        <w:rPr>
          <w:rFonts w:ascii="Book Antiqua" w:hAnsi="Book Antiqua" w:cs="Times New Roman"/>
          <w:color w:val="auto"/>
          <w:sz w:val="24"/>
          <w:szCs w:val="24"/>
          <w:vertAlign w:val="superscript"/>
          <w:lang w:val="en-US"/>
        </w:rPr>
        <w:t>43</w:t>
      </w:r>
      <w:r w:rsidR="004C17F8" w:rsidRPr="00E127AB">
        <w:rPr>
          <w:rFonts w:ascii="Book Antiqua" w:hAnsi="Book Antiqua" w:cs="Times New Roman"/>
          <w:color w:val="auto"/>
          <w:sz w:val="24"/>
          <w:szCs w:val="24"/>
          <w:vertAlign w:val="superscript"/>
          <w:lang w:val="en-US"/>
        </w:rPr>
        <w:t>]</w:t>
      </w:r>
      <w:r w:rsidR="004C17F8" w:rsidRPr="00E127AB">
        <w:rPr>
          <w:rFonts w:ascii="Book Antiqua" w:eastAsiaTheme="minorHAnsi" w:hAnsi="Book Antiqua" w:cs="AdvOT863180fb"/>
          <w:color w:val="auto"/>
          <w:sz w:val="24"/>
          <w:szCs w:val="24"/>
          <w:lang w:val="en-US"/>
        </w:rPr>
        <w:t>. According to these data, there is no evidence for increased transplant-related toxicity and negative impact of survival with pre-transplant TKI.</w:t>
      </w:r>
      <w:r w:rsidR="00F73E2D" w:rsidRPr="00E127AB">
        <w:rPr>
          <w:rFonts w:ascii="Book Antiqua" w:eastAsiaTheme="minorHAnsi" w:hAnsi="Book Antiqua" w:cs="AdvOT863180fb"/>
          <w:color w:val="auto"/>
          <w:sz w:val="24"/>
          <w:szCs w:val="24"/>
          <w:lang w:val="en-US"/>
        </w:rPr>
        <w:t xml:space="preserve"> </w:t>
      </w:r>
    </w:p>
    <w:p w:rsidR="000B3A8A" w:rsidRPr="00E127AB" w:rsidRDefault="00116E17"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EastAsia" w:hAnsi="Book Antiqua" w:cs="AdvOT863180fb"/>
          <w:color w:val="auto"/>
          <w:sz w:val="24"/>
          <w:szCs w:val="24"/>
          <w:lang w:val="en-US" w:eastAsia="zh-CN"/>
        </w:rPr>
      </w:pPr>
      <w:r w:rsidRPr="00E127AB">
        <w:rPr>
          <w:rFonts w:ascii="Book Antiqua" w:eastAsiaTheme="minorHAnsi" w:hAnsi="Book Antiqua" w:cs="AdvOT863180fb"/>
          <w:color w:val="auto"/>
          <w:sz w:val="24"/>
          <w:szCs w:val="24"/>
          <w:lang w:val="en-US"/>
        </w:rPr>
        <w:t xml:space="preserve">Goldman </w:t>
      </w:r>
      <w:r w:rsidRPr="00E127AB">
        <w:rPr>
          <w:rFonts w:ascii="Book Antiqua" w:eastAsiaTheme="minorHAnsi" w:hAnsi="Book Antiqua" w:cs="AdvOT863180fb"/>
          <w:i/>
          <w:color w:val="auto"/>
          <w:sz w:val="24"/>
          <w:szCs w:val="24"/>
          <w:lang w:val="en-US"/>
        </w:rPr>
        <w:t xml:space="preserve">et </w:t>
      </w:r>
      <w:proofErr w:type="gramStart"/>
      <w:r w:rsidRPr="00E127AB">
        <w:rPr>
          <w:rFonts w:ascii="Book Antiqua" w:eastAsiaTheme="minorHAnsi" w:hAnsi="Book Antiqua" w:cs="AdvOT863180fb"/>
          <w:i/>
          <w:color w:val="auto"/>
          <w:sz w:val="24"/>
          <w:szCs w:val="24"/>
          <w:lang w:val="en-US"/>
        </w:rPr>
        <w:t>al</w:t>
      </w:r>
      <w:r w:rsidR="00F05716" w:rsidRPr="00E127AB">
        <w:rPr>
          <w:rFonts w:ascii="Book Antiqua" w:hAnsi="Book Antiqua" w:cs="Times New Roman"/>
          <w:color w:val="auto"/>
          <w:sz w:val="24"/>
          <w:szCs w:val="24"/>
          <w:vertAlign w:val="superscript"/>
          <w:lang w:val="en-US"/>
        </w:rPr>
        <w:t>[</w:t>
      </w:r>
      <w:proofErr w:type="gramEnd"/>
      <w:r w:rsidR="00010FE2" w:rsidRPr="00E127AB">
        <w:rPr>
          <w:rFonts w:ascii="Book Antiqua" w:hAnsi="Book Antiqua" w:cs="Times New Roman"/>
          <w:color w:val="auto"/>
          <w:sz w:val="24"/>
          <w:szCs w:val="24"/>
          <w:vertAlign w:val="superscript"/>
          <w:lang w:val="en-US"/>
        </w:rPr>
        <w:t>44</w:t>
      </w:r>
      <w:r w:rsidR="00BE1379" w:rsidRPr="00E127AB">
        <w:rPr>
          <w:rFonts w:ascii="Book Antiqua" w:hAnsi="Book Antiqua" w:cs="Times New Roman"/>
          <w:color w:val="auto"/>
          <w:sz w:val="24"/>
          <w:szCs w:val="24"/>
          <w:vertAlign w:val="superscript"/>
          <w:lang w:val="en-US"/>
        </w:rPr>
        <w:t>]</w:t>
      </w:r>
      <w:r w:rsidRPr="00E127AB">
        <w:rPr>
          <w:rFonts w:ascii="Book Antiqua" w:eastAsiaTheme="minorHAnsi" w:hAnsi="Book Antiqua" w:cs="AdvOT863180fb"/>
          <w:color w:val="auto"/>
          <w:sz w:val="24"/>
          <w:szCs w:val="24"/>
          <w:lang w:val="en-US"/>
        </w:rPr>
        <w:t xml:space="preserve"> </w:t>
      </w:r>
      <w:r w:rsidR="002F25CE" w:rsidRPr="00E127AB">
        <w:rPr>
          <w:rFonts w:ascii="Book Antiqua" w:eastAsiaTheme="minorHAnsi" w:hAnsi="Book Antiqua" w:cs="AdvOT863180fb"/>
          <w:color w:val="auto"/>
          <w:sz w:val="24"/>
          <w:szCs w:val="24"/>
          <w:lang w:val="en-US"/>
        </w:rPr>
        <w:t>reported that 15-year OS and relapse rates were 88% and 8% for sibling donor ASCT and 87% and 2% for unrelated donor ASCT, respectively</w:t>
      </w:r>
      <w:r w:rsidRPr="00E127AB">
        <w:rPr>
          <w:rFonts w:ascii="Book Antiqua" w:eastAsiaTheme="minorHAnsi" w:hAnsi="Book Antiqua" w:cs="AdvOT863180fb"/>
          <w:color w:val="auto"/>
          <w:sz w:val="24"/>
          <w:szCs w:val="24"/>
          <w:lang w:val="en-US"/>
        </w:rPr>
        <w:t xml:space="preserve">. </w:t>
      </w:r>
      <w:r w:rsidR="006A5A10" w:rsidRPr="00E127AB">
        <w:rPr>
          <w:rFonts w:ascii="Book Antiqua" w:eastAsiaTheme="minorHAnsi" w:hAnsi="Book Antiqua" w:cs="AdvOT863180fb"/>
          <w:color w:val="auto"/>
          <w:sz w:val="24"/>
          <w:szCs w:val="24"/>
          <w:lang w:val="en-US"/>
        </w:rPr>
        <w:t>Recent randomized, prospective study evaluated differences between early allogeneic HSCT</w:t>
      </w:r>
      <w:r w:rsidR="00D654ED" w:rsidRPr="00E127AB">
        <w:rPr>
          <w:rFonts w:ascii="Book Antiqua" w:eastAsiaTheme="minorHAnsi" w:hAnsi="Book Antiqua" w:cs="AdvOT863180fb"/>
          <w:color w:val="auto"/>
          <w:sz w:val="24"/>
          <w:szCs w:val="24"/>
          <w:lang w:val="en-US"/>
        </w:rPr>
        <w:t xml:space="preserve"> (group A)</w:t>
      </w:r>
      <w:r w:rsidR="006A5A10" w:rsidRPr="00E127AB">
        <w:rPr>
          <w:rFonts w:ascii="Book Antiqua" w:eastAsiaTheme="minorHAnsi" w:hAnsi="Book Antiqua" w:cs="AdvOT863180fb"/>
          <w:color w:val="auto"/>
          <w:sz w:val="24"/>
          <w:szCs w:val="24"/>
          <w:lang w:val="en-US"/>
        </w:rPr>
        <w:t xml:space="preserve"> and best drug treatment</w:t>
      </w:r>
      <w:r w:rsidR="00D654ED" w:rsidRPr="00E127AB">
        <w:rPr>
          <w:rFonts w:ascii="Book Antiqua" w:eastAsiaTheme="minorHAnsi" w:hAnsi="Book Antiqua" w:cs="AdvOT863180fb"/>
          <w:color w:val="auto"/>
          <w:sz w:val="24"/>
          <w:szCs w:val="24"/>
          <w:lang w:val="en-US"/>
        </w:rPr>
        <w:t xml:space="preserve"> (group B)</w:t>
      </w:r>
      <w:r w:rsidR="006A5A10" w:rsidRPr="00E127AB">
        <w:rPr>
          <w:rFonts w:ascii="Book Antiqua" w:eastAsiaTheme="minorHAnsi" w:hAnsi="Book Antiqua" w:cs="AdvOT863180fb"/>
          <w:color w:val="auto"/>
          <w:sz w:val="24"/>
          <w:szCs w:val="24"/>
          <w:lang w:val="en-US"/>
        </w:rPr>
        <w:t xml:space="preserve"> in patients eligible for both strategies</w:t>
      </w:r>
      <w:r w:rsidR="00D654ED" w:rsidRPr="00E127AB">
        <w:rPr>
          <w:rFonts w:ascii="Book Antiqua" w:eastAsiaTheme="minorHAnsi" w:hAnsi="Book Antiqua" w:cs="AdvOT863180fb"/>
          <w:color w:val="auto"/>
          <w:sz w:val="24"/>
          <w:szCs w:val="24"/>
          <w:lang w:val="en-US"/>
        </w:rPr>
        <w:t>. The 10-year OS was not different between group A (76%) and group B (69%)</w:t>
      </w:r>
      <w:r w:rsidR="00B9373D" w:rsidRPr="00E127AB">
        <w:rPr>
          <w:rFonts w:ascii="Book Antiqua" w:eastAsiaTheme="minorHAnsi" w:hAnsi="Book Antiqua" w:cs="AdvOT863180fb"/>
          <w:color w:val="auto"/>
          <w:sz w:val="24"/>
          <w:szCs w:val="24"/>
          <w:lang w:val="en-US"/>
        </w:rPr>
        <w:t xml:space="preserve">. Patients of group A with low risk EBMT score (10-year OS 85%) had significantly higher survival (median </w:t>
      </w:r>
      <w:r w:rsidR="00B9373D" w:rsidRPr="00E127AB">
        <w:rPr>
          <w:rFonts w:ascii="Book Antiqua" w:eastAsiaTheme="minorHAnsi" w:hAnsi="Book Antiqua" w:cs="AdvOT863180fb"/>
          <w:i/>
          <w:color w:val="auto"/>
          <w:sz w:val="24"/>
          <w:szCs w:val="24"/>
          <w:lang w:val="en-US"/>
        </w:rPr>
        <w:t>P</w:t>
      </w:r>
      <w:r w:rsidR="0029601C" w:rsidRPr="00E127AB">
        <w:rPr>
          <w:rFonts w:ascii="Book Antiqua" w:eastAsiaTheme="minorEastAsia" w:hAnsi="Book Antiqua" w:cs="AdvOT863180fb"/>
          <w:color w:val="auto"/>
          <w:sz w:val="24"/>
          <w:szCs w:val="24"/>
          <w:lang w:val="en-US" w:eastAsia="zh-CN"/>
        </w:rPr>
        <w:t xml:space="preserve"> </w:t>
      </w:r>
      <w:r w:rsidR="00B9373D" w:rsidRPr="00E127AB">
        <w:rPr>
          <w:rFonts w:ascii="Book Antiqua" w:eastAsiaTheme="minorHAnsi" w:hAnsi="Book Antiqua" w:cs="AdvOT863180fb"/>
          <w:color w:val="auto"/>
          <w:sz w:val="24"/>
          <w:szCs w:val="24"/>
          <w:lang w:val="en-US"/>
        </w:rPr>
        <w:t>&lt;</w:t>
      </w:r>
      <w:r w:rsidR="0029601C" w:rsidRPr="00E127AB">
        <w:rPr>
          <w:rFonts w:ascii="Book Antiqua" w:eastAsiaTheme="minorEastAsia" w:hAnsi="Book Antiqua" w:cs="AdvOT863180fb"/>
          <w:color w:val="auto"/>
          <w:sz w:val="24"/>
          <w:szCs w:val="24"/>
          <w:lang w:val="en-US" w:eastAsia="zh-CN"/>
        </w:rPr>
        <w:t xml:space="preserve"> </w:t>
      </w:r>
      <w:r w:rsidR="00B9373D" w:rsidRPr="00E127AB">
        <w:rPr>
          <w:rFonts w:ascii="Book Antiqua" w:eastAsiaTheme="minorHAnsi" w:hAnsi="Book Antiqua" w:cs="AdvOT863180fb"/>
          <w:color w:val="auto"/>
          <w:sz w:val="24"/>
          <w:szCs w:val="24"/>
          <w:lang w:val="en-US"/>
        </w:rPr>
        <w:t xml:space="preserve">0.001) compared with patients with high-risk (10-year OS 41%) and non-high-risk </w:t>
      </w:r>
      <w:r w:rsidR="00F652EF" w:rsidRPr="00E127AB">
        <w:rPr>
          <w:rFonts w:ascii="Book Antiqua" w:eastAsiaTheme="minorHAnsi" w:hAnsi="Book Antiqua" w:cs="AdvOT863180fb"/>
          <w:color w:val="auto"/>
          <w:sz w:val="24"/>
          <w:szCs w:val="24"/>
          <w:lang w:val="en-US"/>
        </w:rPr>
        <w:t xml:space="preserve">Euro score in group B </w:t>
      </w:r>
      <w:r w:rsidR="00B9373D" w:rsidRPr="00E127AB">
        <w:rPr>
          <w:rFonts w:ascii="Book Antiqua" w:eastAsiaTheme="minorHAnsi" w:hAnsi="Book Antiqua" w:cs="AdvOT863180fb"/>
          <w:color w:val="auto"/>
          <w:sz w:val="24"/>
          <w:szCs w:val="24"/>
          <w:lang w:val="en-US"/>
        </w:rPr>
        <w:t xml:space="preserve">(median </w:t>
      </w:r>
      <w:r w:rsidR="00B9373D" w:rsidRPr="00E127AB">
        <w:rPr>
          <w:rFonts w:ascii="Book Antiqua" w:eastAsiaTheme="minorHAnsi" w:hAnsi="Book Antiqua" w:cs="AdvOT863180fb"/>
          <w:i/>
          <w:color w:val="auto"/>
          <w:sz w:val="24"/>
          <w:szCs w:val="24"/>
          <w:lang w:val="en-US"/>
        </w:rPr>
        <w:t>P</w:t>
      </w:r>
      <w:r w:rsidR="00B9373D" w:rsidRPr="00E127AB">
        <w:rPr>
          <w:rFonts w:ascii="Book Antiqua" w:eastAsiaTheme="minorHAnsi" w:hAnsi="Book Antiqua" w:cs="AdvOT863180fb"/>
          <w:color w:val="auto"/>
          <w:sz w:val="24"/>
          <w:szCs w:val="24"/>
          <w:lang w:val="en-US"/>
        </w:rPr>
        <w:t xml:space="preserve"> = 0.047; 10-year OS 73%</w:t>
      </w:r>
      <w:proofErr w:type="gramStart"/>
      <w:r w:rsidR="00F652EF" w:rsidRPr="00E127AB">
        <w:rPr>
          <w:rFonts w:ascii="Book Antiqua" w:eastAsiaTheme="minorHAnsi" w:hAnsi="Book Antiqua" w:cs="AdvOT863180fb"/>
          <w:color w:val="auto"/>
          <w:sz w:val="24"/>
          <w:szCs w:val="24"/>
          <w:lang w:val="en-US"/>
        </w:rPr>
        <w:t>)</w:t>
      </w:r>
      <w:r w:rsidR="007931A1" w:rsidRPr="00E127AB">
        <w:rPr>
          <w:rFonts w:ascii="Book Antiqua" w:hAnsi="Book Antiqua" w:cs="Times New Roman"/>
          <w:color w:val="auto"/>
          <w:sz w:val="24"/>
          <w:szCs w:val="24"/>
          <w:vertAlign w:val="superscript"/>
          <w:lang w:val="en-US"/>
        </w:rPr>
        <w:t>[</w:t>
      </w:r>
      <w:proofErr w:type="gramEnd"/>
      <w:r w:rsidR="00010FE2" w:rsidRPr="00E127AB">
        <w:rPr>
          <w:rFonts w:ascii="Book Antiqua" w:hAnsi="Book Antiqua" w:cs="Times New Roman"/>
          <w:color w:val="auto"/>
          <w:sz w:val="24"/>
          <w:szCs w:val="24"/>
          <w:vertAlign w:val="superscript"/>
          <w:lang w:val="en-US"/>
        </w:rPr>
        <w:t>45</w:t>
      </w:r>
      <w:r w:rsidR="0017028E" w:rsidRPr="00E127AB">
        <w:rPr>
          <w:rFonts w:ascii="Book Antiqua" w:hAnsi="Book Antiqua" w:cs="Times New Roman"/>
          <w:color w:val="auto"/>
          <w:sz w:val="24"/>
          <w:szCs w:val="24"/>
          <w:vertAlign w:val="superscript"/>
          <w:lang w:val="en-US"/>
        </w:rPr>
        <w:t>]</w:t>
      </w:r>
      <w:r w:rsidR="003A41C5" w:rsidRPr="00E127AB">
        <w:rPr>
          <w:rFonts w:ascii="Book Antiqua" w:eastAsiaTheme="minorHAnsi" w:hAnsi="Book Antiqua" w:cs="AdvOT863180fb"/>
          <w:color w:val="auto"/>
          <w:sz w:val="24"/>
          <w:szCs w:val="24"/>
          <w:lang w:val="en-US"/>
        </w:rPr>
        <w:t>.</w:t>
      </w:r>
      <w:r w:rsidR="00034220" w:rsidRPr="00E127AB">
        <w:rPr>
          <w:rFonts w:ascii="Book Antiqua" w:eastAsiaTheme="minorHAnsi" w:hAnsi="Book Antiqua" w:cs="AdvOT863180fb"/>
          <w:color w:val="auto"/>
          <w:sz w:val="24"/>
          <w:szCs w:val="24"/>
          <w:lang w:val="en-US"/>
        </w:rPr>
        <w:t xml:space="preserve"> The s</w:t>
      </w:r>
      <w:r w:rsidR="003A41C5" w:rsidRPr="00E127AB">
        <w:rPr>
          <w:rFonts w:ascii="Book Antiqua" w:eastAsiaTheme="minorHAnsi" w:hAnsi="Book Antiqua" w:cs="AdvOT863180fb"/>
          <w:color w:val="auto"/>
          <w:sz w:val="24"/>
          <w:szCs w:val="24"/>
          <w:lang w:val="en-US"/>
        </w:rPr>
        <w:t>tudies</w:t>
      </w:r>
      <w:r w:rsidR="00A84CBE" w:rsidRPr="00E127AB">
        <w:rPr>
          <w:rFonts w:ascii="Book Antiqua" w:eastAsiaTheme="minorHAnsi" w:hAnsi="Book Antiqua" w:cs="AdvOT863180fb"/>
          <w:color w:val="auto"/>
          <w:sz w:val="24"/>
          <w:szCs w:val="24"/>
          <w:lang w:val="en-US"/>
        </w:rPr>
        <w:t xml:space="preserve"> demonstrated that ASCT is still an option for selected CML patients.</w:t>
      </w:r>
    </w:p>
    <w:p w:rsidR="0029601C" w:rsidRPr="00E127AB" w:rsidRDefault="0029601C"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EastAsia" w:hAnsi="Book Antiqua" w:cs="AdvOT863180fb"/>
          <w:color w:val="auto"/>
          <w:sz w:val="24"/>
          <w:szCs w:val="24"/>
          <w:lang w:val="en-US" w:eastAsia="zh-CN"/>
        </w:rPr>
      </w:pPr>
    </w:p>
    <w:p w:rsidR="000B3A8A" w:rsidRPr="00E127AB" w:rsidRDefault="000B3A8A"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b/>
          <w:i/>
          <w:color w:val="auto"/>
          <w:sz w:val="24"/>
          <w:szCs w:val="24"/>
          <w:lang w:val="en-US"/>
        </w:rPr>
      </w:pPr>
      <w:proofErr w:type="spellStart"/>
      <w:r w:rsidRPr="00E127AB">
        <w:rPr>
          <w:rFonts w:ascii="Book Antiqua" w:eastAsiaTheme="minorHAnsi" w:hAnsi="Book Antiqua" w:cs="AdvOT863180fb"/>
          <w:b/>
          <w:i/>
          <w:color w:val="auto"/>
          <w:sz w:val="24"/>
          <w:szCs w:val="24"/>
          <w:lang w:val="en-US"/>
        </w:rPr>
        <w:t>Myeloablative</w:t>
      </w:r>
      <w:proofErr w:type="spellEnd"/>
      <w:r w:rsidRPr="00E127AB">
        <w:rPr>
          <w:rFonts w:ascii="Book Antiqua" w:eastAsiaTheme="minorHAnsi" w:hAnsi="Book Antiqua" w:cs="AdvOT863180fb"/>
          <w:b/>
          <w:i/>
          <w:color w:val="auto"/>
          <w:sz w:val="24"/>
          <w:szCs w:val="24"/>
          <w:lang w:val="en-US"/>
        </w:rPr>
        <w:t xml:space="preserve"> vs non-</w:t>
      </w:r>
      <w:proofErr w:type="spellStart"/>
      <w:r w:rsidRPr="00E127AB">
        <w:rPr>
          <w:rFonts w:ascii="Book Antiqua" w:eastAsiaTheme="minorHAnsi" w:hAnsi="Book Antiqua" w:cs="AdvOT863180fb"/>
          <w:b/>
          <w:i/>
          <w:color w:val="auto"/>
          <w:sz w:val="24"/>
          <w:szCs w:val="24"/>
          <w:lang w:val="en-US"/>
        </w:rPr>
        <w:t>myeloablative</w:t>
      </w:r>
      <w:proofErr w:type="spellEnd"/>
      <w:r w:rsidRPr="00E127AB">
        <w:rPr>
          <w:rFonts w:ascii="Book Antiqua" w:eastAsiaTheme="minorHAnsi" w:hAnsi="Book Antiqua" w:cs="AdvOT863180fb"/>
          <w:b/>
          <w:i/>
          <w:color w:val="auto"/>
          <w:sz w:val="24"/>
          <w:szCs w:val="24"/>
          <w:lang w:val="en-US"/>
        </w:rPr>
        <w:t xml:space="preserve"> regimens</w:t>
      </w:r>
    </w:p>
    <w:p w:rsidR="007B50A8" w:rsidRPr="00E127AB" w:rsidRDefault="0015671B" w:rsidP="005E6CDB">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eastAsiaTheme="minorHAnsi" w:hAnsi="Book Antiqua" w:cs="AdvOT863180fb"/>
        </w:rPr>
      </w:pPr>
      <w:r w:rsidRPr="00E127AB">
        <w:rPr>
          <w:rFonts w:ascii="Book Antiqua" w:eastAsiaTheme="minorHAnsi" w:hAnsi="Book Antiqua" w:cs="AdvOT863180fb"/>
        </w:rPr>
        <w:t xml:space="preserve">The curative effect of ASCT in CML is largely </w:t>
      </w:r>
      <w:r w:rsidR="00E639B2" w:rsidRPr="00E127AB">
        <w:rPr>
          <w:rFonts w:ascii="Book Antiqua" w:eastAsiaTheme="minorHAnsi" w:hAnsi="Book Antiqua" w:cs="AdvOT863180fb"/>
        </w:rPr>
        <w:t>associated with</w:t>
      </w:r>
      <w:r w:rsidRPr="00E127AB">
        <w:rPr>
          <w:rFonts w:ascii="Book Antiqua" w:eastAsiaTheme="minorHAnsi" w:hAnsi="Book Antiqua" w:cs="AdvOT863180fb"/>
        </w:rPr>
        <w:t xml:space="preserve"> the immune effect (GVL) mediated by </w:t>
      </w:r>
      <w:proofErr w:type="spellStart"/>
      <w:r w:rsidRPr="00E127AB">
        <w:rPr>
          <w:rFonts w:ascii="Book Antiqua" w:eastAsiaTheme="minorHAnsi" w:hAnsi="Book Antiqua" w:cs="AdvOT863180fb"/>
        </w:rPr>
        <w:t>alloreactive</w:t>
      </w:r>
      <w:proofErr w:type="spellEnd"/>
      <w:r w:rsidRPr="00E127AB">
        <w:rPr>
          <w:rFonts w:ascii="Book Antiqua" w:eastAsiaTheme="minorHAnsi" w:hAnsi="Book Antiqua" w:cs="AdvOT863180fb"/>
        </w:rPr>
        <w:t xml:space="preserve"> donor T cells.</w:t>
      </w:r>
      <w:r w:rsidR="001B5350" w:rsidRPr="00E127AB">
        <w:rPr>
          <w:rFonts w:ascii="Book Antiqua" w:eastAsiaTheme="minorHAnsi" w:hAnsi="Book Antiqua" w:cs="AdvOT863180fb"/>
        </w:rPr>
        <w:t xml:space="preserve"> </w:t>
      </w:r>
      <w:r w:rsidR="00D64AED" w:rsidRPr="00E127AB">
        <w:rPr>
          <w:rFonts w:ascii="Book Antiqua" w:eastAsiaTheme="minorHAnsi" w:hAnsi="Book Antiqua" w:cs="AdvOT863180fb"/>
        </w:rPr>
        <w:t>Reduced intensity conditioning</w:t>
      </w:r>
      <w:r w:rsidR="00540B6D" w:rsidRPr="00E127AB">
        <w:rPr>
          <w:rFonts w:ascii="Book Antiqua" w:eastAsiaTheme="minorHAnsi" w:hAnsi="Book Antiqua" w:cs="AdvOT863180fb"/>
        </w:rPr>
        <w:t xml:space="preserve"> (RIC)</w:t>
      </w:r>
      <w:r w:rsidR="00D64AED" w:rsidRPr="00E127AB">
        <w:rPr>
          <w:rFonts w:ascii="Book Antiqua" w:eastAsiaTheme="minorHAnsi" w:hAnsi="Book Antiqua" w:cs="AdvOT863180fb"/>
        </w:rPr>
        <w:t xml:space="preserve"> regimens provided reduced toxicity and rapid engraftment for elderly patients or those with comorbidities</w:t>
      </w:r>
      <w:r w:rsidR="00BA30AA" w:rsidRPr="00E127AB">
        <w:rPr>
          <w:rFonts w:ascii="Book Antiqua" w:eastAsiaTheme="minorHAnsi" w:hAnsi="Book Antiqua" w:cs="AdvOT863180fb"/>
        </w:rPr>
        <w:t>. In a small study was demonstrated that</w:t>
      </w:r>
      <w:r w:rsidR="006D5F2C" w:rsidRPr="00E127AB">
        <w:rPr>
          <w:rFonts w:ascii="Book Antiqua" w:eastAsiaTheme="minorHAnsi" w:hAnsi="Book Antiqua" w:cs="AdvOT863180fb"/>
        </w:rPr>
        <w:t xml:space="preserve"> GVL effect may be insufficient and </w:t>
      </w:r>
      <w:proofErr w:type="spellStart"/>
      <w:r w:rsidR="006D5F2C" w:rsidRPr="00E127AB">
        <w:rPr>
          <w:rFonts w:ascii="Book Antiqua" w:eastAsiaTheme="minorHAnsi" w:hAnsi="Book Antiqua" w:cs="AdvOT863180fb"/>
        </w:rPr>
        <w:t>cytoreduction</w:t>
      </w:r>
      <w:proofErr w:type="spellEnd"/>
      <w:r w:rsidR="006D5F2C" w:rsidRPr="00E127AB">
        <w:rPr>
          <w:rFonts w:ascii="Book Antiqua" w:eastAsiaTheme="minorHAnsi" w:hAnsi="Book Antiqua" w:cs="AdvOT863180fb"/>
        </w:rPr>
        <w:t xml:space="preserve"> is required to provide cure with ASCT for </w:t>
      </w:r>
      <w:proofErr w:type="gramStart"/>
      <w:r w:rsidR="005807E7" w:rsidRPr="00E127AB">
        <w:rPr>
          <w:rFonts w:ascii="Book Antiqua" w:eastAsiaTheme="minorHAnsi" w:hAnsi="Book Antiqua" w:cs="AdvOT863180fb"/>
        </w:rPr>
        <w:t>CML</w:t>
      </w:r>
      <w:r w:rsidR="005807E7" w:rsidRPr="00E127AB">
        <w:rPr>
          <w:rFonts w:ascii="Book Antiqua" w:hAnsi="Book Antiqua"/>
          <w:vertAlign w:val="superscript"/>
        </w:rPr>
        <w:t>[</w:t>
      </w:r>
      <w:proofErr w:type="gramEnd"/>
      <w:r w:rsidR="00010FE2" w:rsidRPr="00E127AB">
        <w:rPr>
          <w:rFonts w:ascii="Book Antiqua" w:hAnsi="Book Antiqua"/>
          <w:vertAlign w:val="superscript"/>
        </w:rPr>
        <w:t>46</w:t>
      </w:r>
      <w:r w:rsidR="00273058" w:rsidRPr="00E127AB">
        <w:rPr>
          <w:rFonts w:ascii="Book Antiqua" w:hAnsi="Book Antiqua"/>
          <w:vertAlign w:val="superscript"/>
        </w:rPr>
        <w:t>]</w:t>
      </w:r>
      <w:r w:rsidR="00751C9F" w:rsidRPr="00E127AB">
        <w:rPr>
          <w:rFonts w:ascii="Book Antiqua" w:eastAsiaTheme="minorHAnsi" w:hAnsi="Book Antiqua" w:cs="AdvOT863180fb"/>
        </w:rPr>
        <w:t xml:space="preserve">. </w:t>
      </w:r>
      <w:r w:rsidR="0094357F" w:rsidRPr="00E127AB">
        <w:rPr>
          <w:rFonts w:ascii="Book Antiqua" w:eastAsiaTheme="minorHAnsi" w:hAnsi="Book Antiqua" w:cs="AdvPS6EC0"/>
        </w:rPr>
        <w:t xml:space="preserve">The 5-year OS and DFS was 85% +/- 8% with </w:t>
      </w:r>
      <w:proofErr w:type="spellStart"/>
      <w:r w:rsidR="0094357F" w:rsidRPr="00E127AB">
        <w:rPr>
          <w:rFonts w:ascii="Book Antiqua" w:eastAsiaTheme="minorHAnsi" w:hAnsi="Book Antiqua" w:cs="AdvPS6EC0"/>
        </w:rPr>
        <w:t>f</w:t>
      </w:r>
      <w:r w:rsidR="006D5F2C" w:rsidRPr="00E127AB">
        <w:rPr>
          <w:rFonts w:ascii="Book Antiqua" w:eastAsiaTheme="minorHAnsi" w:hAnsi="Book Antiqua" w:cs="AdvPS6EC0"/>
        </w:rPr>
        <w:t>ludarabine</w:t>
      </w:r>
      <w:proofErr w:type="spellEnd"/>
      <w:r w:rsidR="006D5F2C" w:rsidRPr="00E127AB">
        <w:rPr>
          <w:rFonts w:ascii="Book Antiqua" w:eastAsiaTheme="minorHAnsi" w:hAnsi="Book Antiqua" w:cs="AdvPS6EC0"/>
        </w:rPr>
        <w:t xml:space="preserve">, low-dose </w:t>
      </w:r>
      <w:proofErr w:type="spellStart"/>
      <w:r w:rsidR="006D5F2C" w:rsidRPr="00E127AB">
        <w:rPr>
          <w:rFonts w:ascii="Book Antiqua" w:eastAsiaTheme="minorHAnsi" w:hAnsi="Book Antiqua" w:cs="AdvPS6EC0"/>
        </w:rPr>
        <w:t>busulfan</w:t>
      </w:r>
      <w:proofErr w:type="spellEnd"/>
      <w:r w:rsidR="006D5F2C" w:rsidRPr="00E127AB">
        <w:rPr>
          <w:rFonts w:ascii="Book Antiqua" w:eastAsiaTheme="minorHAnsi" w:hAnsi="Book Antiqua" w:cs="AdvPS6EC0"/>
        </w:rPr>
        <w:t xml:space="preserve">, and anti-T-lymphocyte globulin containing </w:t>
      </w:r>
      <w:r w:rsidR="0029601C" w:rsidRPr="00E127AB">
        <w:rPr>
          <w:rFonts w:ascii="Book Antiqua" w:eastAsiaTheme="minorHAnsi" w:hAnsi="Book Antiqua" w:cs="AdvPS6EC0"/>
        </w:rPr>
        <w:t>non-</w:t>
      </w:r>
      <w:proofErr w:type="spellStart"/>
      <w:r w:rsidR="0029601C" w:rsidRPr="00E127AB">
        <w:rPr>
          <w:rFonts w:ascii="Book Antiqua" w:eastAsiaTheme="minorHAnsi" w:hAnsi="Book Antiqua" w:cs="AdvPS6EC0"/>
        </w:rPr>
        <w:t>myeloablative</w:t>
      </w:r>
      <w:proofErr w:type="spellEnd"/>
      <w:r w:rsidR="0029601C" w:rsidRPr="00E127AB">
        <w:rPr>
          <w:rFonts w:ascii="Book Antiqua" w:eastAsiaTheme="minorHAnsi" w:hAnsi="Book Antiqua" w:cs="AdvPS6EC0"/>
        </w:rPr>
        <w:t xml:space="preserve"> </w:t>
      </w:r>
      <w:r w:rsidR="0029601C" w:rsidRPr="00E127AB">
        <w:rPr>
          <w:rFonts w:ascii="Book Antiqua" w:eastAsiaTheme="minorEastAsia" w:hAnsi="Book Antiqua" w:cs="AdvPS6EC0"/>
          <w:lang w:eastAsia="zh-CN"/>
        </w:rPr>
        <w:t>(</w:t>
      </w:r>
      <w:r w:rsidR="008006BD" w:rsidRPr="00E127AB">
        <w:rPr>
          <w:rFonts w:ascii="Book Antiqua" w:eastAsiaTheme="minorHAnsi" w:hAnsi="Book Antiqua" w:cs="AdvPS6EC0"/>
        </w:rPr>
        <w:t>NMA</w:t>
      </w:r>
      <w:r w:rsidR="0029601C" w:rsidRPr="00E127AB">
        <w:rPr>
          <w:rFonts w:ascii="Book Antiqua" w:eastAsiaTheme="minorEastAsia" w:hAnsi="Book Antiqua" w:cs="AdvPS6EC0"/>
          <w:lang w:eastAsia="zh-CN"/>
        </w:rPr>
        <w:t>)</w:t>
      </w:r>
      <w:r w:rsidR="006D5F2C" w:rsidRPr="00E127AB">
        <w:rPr>
          <w:rFonts w:ascii="Book Antiqua" w:eastAsiaTheme="minorHAnsi" w:hAnsi="Book Antiqua" w:cs="AdvPS6EC0"/>
        </w:rPr>
        <w:t xml:space="preserve"> </w:t>
      </w:r>
      <w:proofErr w:type="gramStart"/>
      <w:r w:rsidR="00252E6B" w:rsidRPr="00E127AB">
        <w:rPr>
          <w:rFonts w:ascii="Book Antiqua" w:eastAsiaTheme="minorHAnsi" w:hAnsi="Book Antiqua" w:cs="AdvPS6EC0"/>
        </w:rPr>
        <w:t>regimen</w:t>
      </w:r>
      <w:r w:rsidR="00252E6B" w:rsidRPr="00E127AB">
        <w:rPr>
          <w:rFonts w:ascii="Book Antiqua" w:hAnsi="Book Antiqua"/>
          <w:vertAlign w:val="superscript"/>
        </w:rPr>
        <w:t>[</w:t>
      </w:r>
      <w:proofErr w:type="gramEnd"/>
      <w:r w:rsidR="00010FE2" w:rsidRPr="00E127AB">
        <w:rPr>
          <w:rFonts w:ascii="Book Antiqua" w:hAnsi="Book Antiqua"/>
          <w:vertAlign w:val="superscript"/>
        </w:rPr>
        <w:t>47</w:t>
      </w:r>
      <w:r w:rsidR="000A3BCB" w:rsidRPr="00E127AB">
        <w:rPr>
          <w:rFonts w:ascii="Book Antiqua" w:hAnsi="Book Antiqua"/>
          <w:vertAlign w:val="superscript"/>
        </w:rPr>
        <w:t>]</w:t>
      </w:r>
      <w:r w:rsidR="00751C9F" w:rsidRPr="00E127AB">
        <w:rPr>
          <w:rFonts w:ascii="Book Antiqua" w:eastAsiaTheme="minorHAnsi" w:hAnsi="Book Antiqua" w:cs="AdvPS6EC0"/>
        </w:rPr>
        <w:t xml:space="preserve">. </w:t>
      </w:r>
      <w:r w:rsidR="008006BD" w:rsidRPr="00E127AB">
        <w:rPr>
          <w:rFonts w:ascii="Book Antiqua" w:eastAsiaTheme="minorHAnsi" w:hAnsi="Book Antiqua" w:cs="AdvPS6EC0"/>
        </w:rPr>
        <w:t xml:space="preserve">In a study which was evaluated ASCT with RIC regimen for CML, after a median follow-up of 30 </w:t>
      </w:r>
      <w:proofErr w:type="spellStart"/>
      <w:r w:rsidR="008006BD" w:rsidRPr="00E127AB">
        <w:rPr>
          <w:rFonts w:ascii="Book Antiqua" w:eastAsiaTheme="minorHAnsi" w:hAnsi="Book Antiqua" w:cs="AdvPS6EC0"/>
        </w:rPr>
        <w:t>mo</w:t>
      </w:r>
      <w:proofErr w:type="spellEnd"/>
      <w:r w:rsidR="008006BD" w:rsidRPr="00E127AB">
        <w:rPr>
          <w:rFonts w:ascii="Book Antiqua" w:eastAsiaTheme="minorHAnsi" w:hAnsi="Book Antiqua" w:cs="AdvPS6EC0"/>
        </w:rPr>
        <w:t>, 35.3% of patients were</w:t>
      </w:r>
      <w:r w:rsidR="00A9302B" w:rsidRPr="00E127AB">
        <w:rPr>
          <w:rFonts w:ascii="Book Antiqua" w:eastAsiaTheme="minorHAnsi" w:hAnsi="Book Antiqua" w:cs="AdvPS6EC0"/>
        </w:rPr>
        <w:t xml:space="preserve"> still</w:t>
      </w:r>
      <w:r w:rsidR="008006BD" w:rsidRPr="00E127AB">
        <w:rPr>
          <w:rFonts w:ascii="Book Antiqua" w:eastAsiaTheme="minorHAnsi" w:hAnsi="Book Antiqua" w:cs="AdvPS6EC0"/>
        </w:rPr>
        <w:t xml:space="preserve"> </w:t>
      </w:r>
      <w:proofErr w:type="gramStart"/>
      <w:r w:rsidR="00C55CA6" w:rsidRPr="00E127AB">
        <w:rPr>
          <w:rFonts w:ascii="Book Antiqua" w:eastAsiaTheme="minorHAnsi" w:hAnsi="Book Antiqua" w:cs="AdvPS6EC0"/>
        </w:rPr>
        <w:t>alive</w:t>
      </w:r>
      <w:r w:rsidR="00C55CA6" w:rsidRPr="00E127AB">
        <w:rPr>
          <w:rFonts w:ascii="Book Antiqua" w:hAnsi="Book Antiqua"/>
          <w:vertAlign w:val="superscript"/>
        </w:rPr>
        <w:t>[</w:t>
      </w:r>
      <w:proofErr w:type="gramEnd"/>
      <w:r w:rsidR="00696DAB" w:rsidRPr="00E127AB">
        <w:rPr>
          <w:rFonts w:ascii="Book Antiqua" w:hAnsi="Book Antiqua"/>
          <w:vertAlign w:val="superscript"/>
        </w:rPr>
        <w:t>48</w:t>
      </w:r>
      <w:r w:rsidR="00B75237" w:rsidRPr="00E127AB">
        <w:rPr>
          <w:rFonts w:ascii="Book Antiqua" w:hAnsi="Book Antiqua"/>
          <w:vertAlign w:val="superscript"/>
        </w:rPr>
        <w:t>]</w:t>
      </w:r>
      <w:r w:rsidR="00751C9F" w:rsidRPr="00E127AB">
        <w:rPr>
          <w:rFonts w:ascii="Book Antiqua" w:hAnsi="Book Antiqua"/>
        </w:rPr>
        <w:t xml:space="preserve">. </w:t>
      </w:r>
      <w:proofErr w:type="spellStart"/>
      <w:r w:rsidR="00787147" w:rsidRPr="00E127AB">
        <w:rPr>
          <w:rFonts w:ascii="Book Antiqua" w:eastAsiaTheme="minorHAnsi" w:hAnsi="Book Antiqua" w:cs="AdvPS6EC0"/>
        </w:rPr>
        <w:t>Kebriaei</w:t>
      </w:r>
      <w:proofErr w:type="spellEnd"/>
      <w:r w:rsidR="00787147" w:rsidRPr="00E127AB">
        <w:rPr>
          <w:rFonts w:ascii="Book Antiqua" w:eastAsiaTheme="minorHAnsi" w:hAnsi="Book Antiqua" w:cs="AdvPS6EC0"/>
        </w:rPr>
        <w:t xml:space="preserve"> </w:t>
      </w:r>
      <w:r w:rsidR="00787147" w:rsidRPr="00E127AB">
        <w:rPr>
          <w:rFonts w:ascii="Book Antiqua" w:eastAsiaTheme="minorHAnsi" w:hAnsi="Book Antiqua" w:cs="AdvPS6EC0"/>
          <w:i/>
        </w:rPr>
        <w:t xml:space="preserve">et </w:t>
      </w:r>
      <w:proofErr w:type="gramStart"/>
      <w:r w:rsidR="00787147" w:rsidRPr="00E127AB">
        <w:rPr>
          <w:rFonts w:ascii="Book Antiqua" w:eastAsiaTheme="minorHAnsi" w:hAnsi="Book Antiqua" w:cs="AdvPS6EC0"/>
          <w:i/>
        </w:rPr>
        <w:t>al</w:t>
      </w:r>
      <w:r w:rsidR="007931A1" w:rsidRPr="00E127AB">
        <w:rPr>
          <w:rFonts w:ascii="Book Antiqua" w:hAnsi="Book Antiqua"/>
          <w:vertAlign w:val="superscript"/>
        </w:rPr>
        <w:t>[</w:t>
      </w:r>
      <w:proofErr w:type="gramEnd"/>
      <w:r w:rsidR="00696DAB" w:rsidRPr="00E127AB">
        <w:rPr>
          <w:rFonts w:ascii="Book Antiqua" w:hAnsi="Book Antiqua"/>
          <w:vertAlign w:val="superscript"/>
        </w:rPr>
        <w:t>49</w:t>
      </w:r>
      <w:r w:rsidR="00995800" w:rsidRPr="00E127AB">
        <w:rPr>
          <w:rFonts w:ascii="Book Antiqua" w:hAnsi="Book Antiqua"/>
          <w:vertAlign w:val="superscript"/>
        </w:rPr>
        <w:t>]</w:t>
      </w:r>
      <w:r w:rsidR="00403E47" w:rsidRPr="00E127AB">
        <w:rPr>
          <w:rFonts w:ascii="Book Antiqua" w:eastAsiaTheme="minorHAnsi" w:hAnsi="Book Antiqua" w:cs="AdvPS6EC0"/>
        </w:rPr>
        <w:t xml:space="preserve"> evaluated outcomes of 64 CML patients with advanced-phase disease who were treated with </w:t>
      </w:r>
      <w:proofErr w:type="spellStart"/>
      <w:r w:rsidR="00403E47" w:rsidRPr="00E127AB">
        <w:rPr>
          <w:rFonts w:ascii="Book Antiqua" w:eastAsiaTheme="minorHAnsi" w:hAnsi="Book Antiqua" w:cs="AdvPS6EC0"/>
        </w:rPr>
        <w:t>fludarabine</w:t>
      </w:r>
      <w:proofErr w:type="spellEnd"/>
      <w:r w:rsidR="00403E47" w:rsidRPr="00E127AB">
        <w:rPr>
          <w:rFonts w:ascii="Book Antiqua" w:eastAsiaTheme="minorHAnsi" w:hAnsi="Book Antiqua" w:cs="AdvPS6EC0"/>
        </w:rPr>
        <w:t>-based RIC regimens</w:t>
      </w:r>
      <w:r w:rsidR="00787147" w:rsidRPr="00E127AB">
        <w:rPr>
          <w:rFonts w:ascii="Book Antiqua" w:eastAsiaTheme="minorHAnsi" w:hAnsi="Book Antiqua" w:cs="AdvPS6EC0"/>
        </w:rPr>
        <w:t xml:space="preserve">. The 5-year </w:t>
      </w:r>
      <w:r w:rsidR="00A14993" w:rsidRPr="00E127AB">
        <w:rPr>
          <w:rFonts w:ascii="Book Antiqua" w:eastAsiaTheme="minorHAnsi" w:hAnsi="Book Antiqua" w:cs="AdvPS6EC0"/>
        </w:rPr>
        <w:t>OS and PFS were 33% and 20%, respectively</w:t>
      </w:r>
      <w:r w:rsidR="00787147" w:rsidRPr="00E127AB">
        <w:rPr>
          <w:rFonts w:ascii="Book Antiqua" w:eastAsiaTheme="minorHAnsi" w:hAnsi="Book Antiqua" w:cs="AdvPS6EC0"/>
        </w:rPr>
        <w:t xml:space="preserve">. </w:t>
      </w:r>
      <w:r w:rsidR="00A14993" w:rsidRPr="00E127AB">
        <w:rPr>
          <w:rFonts w:ascii="Book Antiqua" w:eastAsiaTheme="minorHAnsi" w:hAnsi="Book Antiqua" w:cs="AdvPS6EC0"/>
        </w:rPr>
        <w:t>TRM</w:t>
      </w:r>
      <w:r w:rsidR="00787147" w:rsidRPr="00E127AB">
        <w:rPr>
          <w:rFonts w:ascii="Book Antiqua" w:eastAsiaTheme="minorHAnsi" w:hAnsi="Book Antiqua" w:cs="AdvPS6EC0"/>
        </w:rPr>
        <w:t xml:space="preserve"> was 33%</w:t>
      </w:r>
      <w:r w:rsidR="00A14993" w:rsidRPr="00E127AB">
        <w:rPr>
          <w:rFonts w:ascii="Book Antiqua" w:eastAsiaTheme="minorHAnsi" w:hAnsi="Book Antiqua" w:cs="AdvPS6EC0"/>
        </w:rPr>
        <w:t xml:space="preserve"> at 100 d</w:t>
      </w:r>
      <w:r w:rsidR="00787147" w:rsidRPr="00E127AB">
        <w:rPr>
          <w:rFonts w:ascii="Book Antiqua" w:eastAsiaTheme="minorHAnsi" w:hAnsi="Book Antiqua" w:cs="AdvPS6EC0"/>
        </w:rPr>
        <w:t xml:space="preserve"> </w:t>
      </w:r>
      <w:r w:rsidR="00DF0671" w:rsidRPr="00E127AB">
        <w:rPr>
          <w:rFonts w:ascii="Book Antiqua" w:eastAsiaTheme="minorHAnsi" w:hAnsi="Book Antiqua" w:cs="AdvPS6EC0"/>
        </w:rPr>
        <w:t xml:space="preserve">and 48% at 5 years </w:t>
      </w:r>
      <w:r w:rsidR="00787147" w:rsidRPr="00E127AB">
        <w:rPr>
          <w:rFonts w:ascii="Book Antiqua" w:eastAsiaTheme="minorHAnsi" w:hAnsi="Book Antiqua" w:cs="AdvPS6EC0"/>
        </w:rPr>
        <w:t>after ASCT</w:t>
      </w:r>
      <w:r w:rsidR="00A9302B" w:rsidRPr="00E127AB">
        <w:rPr>
          <w:rFonts w:ascii="Book Antiqua" w:eastAsiaTheme="minorHAnsi" w:hAnsi="Book Antiqua" w:cs="AdvPS6EC0"/>
        </w:rPr>
        <w:t xml:space="preserve">. </w:t>
      </w:r>
      <w:r w:rsidR="000C3F39" w:rsidRPr="00E127AB">
        <w:rPr>
          <w:rFonts w:ascii="Book Antiqua" w:eastAsiaTheme="minorHAnsi" w:hAnsi="Book Antiqua" w:cs="AdvPS6EC0"/>
        </w:rPr>
        <w:t xml:space="preserve">In a study </w:t>
      </w:r>
      <w:r w:rsidR="00830EDF" w:rsidRPr="00E127AB">
        <w:rPr>
          <w:rFonts w:ascii="Book Antiqua" w:eastAsiaTheme="minorHAnsi" w:hAnsi="Book Antiqua" w:cs="AdvPS6EC0"/>
        </w:rPr>
        <w:t xml:space="preserve">that were compared outcomes of MA conditioning regimen (56 patients) </w:t>
      </w:r>
      <w:r w:rsidR="00830EDF" w:rsidRPr="00E127AB">
        <w:rPr>
          <w:rFonts w:ascii="Book Antiqua" w:eastAsiaTheme="minorHAnsi" w:hAnsi="Book Antiqua" w:cs="AdvPS6EC0"/>
          <w:i/>
        </w:rPr>
        <w:t>vs</w:t>
      </w:r>
      <w:r w:rsidR="00830EDF" w:rsidRPr="00E127AB">
        <w:rPr>
          <w:rFonts w:ascii="Book Antiqua" w:eastAsiaTheme="minorHAnsi" w:hAnsi="Book Antiqua" w:cs="AdvPS6EC0"/>
        </w:rPr>
        <w:t xml:space="preserve"> RIC regimen (28 patients), </w:t>
      </w:r>
      <w:r w:rsidR="000C3F39" w:rsidRPr="00E127AB">
        <w:rPr>
          <w:rFonts w:ascii="Book Antiqua" w:eastAsiaTheme="minorHAnsi" w:hAnsi="Book Antiqua" w:cs="AdvPS6EC0"/>
        </w:rPr>
        <w:t xml:space="preserve">the </w:t>
      </w:r>
      <w:r w:rsidR="000C3F39" w:rsidRPr="00E127AB">
        <w:rPr>
          <w:rFonts w:ascii="Book Antiqua" w:eastAsiaTheme="minorHAnsi" w:hAnsi="Book Antiqua" w:cs="AdvPS6EC0"/>
        </w:rPr>
        <w:lastRenderedPageBreak/>
        <w:t>5- and 10-year</w:t>
      </w:r>
      <w:r w:rsidR="00830EDF" w:rsidRPr="00E127AB">
        <w:rPr>
          <w:rFonts w:ascii="Book Antiqua" w:eastAsiaTheme="minorHAnsi" w:hAnsi="Book Antiqua" w:cs="AdvPS6EC0"/>
        </w:rPr>
        <w:t xml:space="preserve"> </w:t>
      </w:r>
      <w:r w:rsidR="000C3F39" w:rsidRPr="00E127AB">
        <w:rPr>
          <w:rFonts w:ascii="Book Antiqua" w:eastAsiaTheme="minorHAnsi" w:hAnsi="Book Antiqua" w:cs="AdvPS6EC0"/>
        </w:rPr>
        <w:t xml:space="preserve">leukemia-free survival and OS were similar. </w:t>
      </w:r>
      <w:r w:rsidR="00830EDF" w:rsidRPr="00E127AB">
        <w:rPr>
          <w:rFonts w:ascii="Book Antiqua" w:eastAsiaTheme="minorHAnsi" w:hAnsi="Book Antiqua" w:cs="AdvPS6EC0"/>
        </w:rPr>
        <w:t xml:space="preserve">On the other hand, relapse rate was higher in patients receiving </w:t>
      </w:r>
      <w:r w:rsidR="000C3F39" w:rsidRPr="00E127AB">
        <w:rPr>
          <w:rFonts w:ascii="Book Antiqua" w:eastAsiaTheme="minorHAnsi" w:hAnsi="Book Antiqua" w:cs="AdvPS6EC0"/>
        </w:rPr>
        <w:t>RIC</w:t>
      </w:r>
      <w:r w:rsidR="00830EDF" w:rsidRPr="00E127AB">
        <w:rPr>
          <w:rFonts w:ascii="Book Antiqua" w:eastAsiaTheme="minorHAnsi" w:hAnsi="Book Antiqua" w:cs="AdvPS6EC0"/>
        </w:rPr>
        <w:t xml:space="preserve"> regimen, </w:t>
      </w:r>
      <w:r w:rsidR="000C3F39" w:rsidRPr="00E127AB">
        <w:rPr>
          <w:rFonts w:ascii="Book Antiqua" w:eastAsiaTheme="minorHAnsi" w:hAnsi="Book Antiqua" w:cs="AdvPS6EC0"/>
        </w:rPr>
        <w:t xml:space="preserve">whereas </w:t>
      </w:r>
      <w:r w:rsidR="00830EDF" w:rsidRPr="00E127AB">
        <w:rPr>
          <w:rFonts w:ascii="Book Antiqua" w:eastAsiaTheme="minorHAnsi" w:hAnsi="Book Antiqua" w:cs="AdvPS6EC0"/>
        </w:rPr>
        <w:t>mortality rate was higher in patients receiving MA</w:t>
      </w:r>
      <w:r w:rsidR="001B5350" w:rsidRPr="00E127AB">
        <w:rPr>
          <w:rFonts w:ascii="Book Antiqua" w:eastAsiaTheme="minorHAnsi" w:hAnsi="Book Antiqua" w:cs="AdvPS6EC0"/>
        </w:rPr>
        <w:t xml:space="preserve"> </w:t>
      </w:r>
      <w:r w:rsidR="00830EDF" w:rsidRPr="00E127AB">
        <w:rPr>
          <w:rFonts w:ascii="Book Antiqua" w:eastAsiaTheme="minorHAnsi" w:hAnsi="Book Antiqua" w:cs="AdvPS6EC0"/>
        </w:rPr>
        <w:t>regimen</w:t>
      </w:r>
      <w:r w:rsidR="00696DAB" w:rsidRPr="00E127AB">
        <w:rPr>
          <w:rFonts w:ascii="Book Antiqua" w:eastAsiaTheme="minorHAnsi" w:hAnsi="Book Antiqua" w:cs="AdvPS6EC0"/>
          <w:vertAlign w:val="superscript"/>
        </w:rPr>
        <w:sym w:font="Symbol" w:char="F05B"/>
      </w:r>
      <w:r w:rsidR="00696DAB" w:rsidRPr="00E127AB">
        <w:rPr>
          <w:rFonts w:ascii="Book Antiqua" w:hAnsi="Book Antiqua"/>
          <w:vertAlign w:val="superscript"/>
        </w:rPr>
        <w:t>50</w:t>
      </w:r>
      <w:r w:rsidR="00D6373A" w:rsidRPr="00E127AB">
        <w:rPr>
          <w:rFonts w:ascii="Book Antiqua" w:hAnsi="Book Antiqua"/>
          <w:vertAlign w:val="superscript"/>
        </w:rPr>
        <w:t>]</w:t>
      </w:r>
      <w:r w:rsidR="00A9302B" w:rsidRPr="00E127AB">
        <w:rPr>
          <w:rFonts w:ascii="Book Antiqua" w:eastAsiaTheme="minorHAnsi" w:hAnsi="Book Antiqua" w:cs="AdvPS6EC0"/>
        </w:rPr>
        <w:t xml:space="preserve">. </w:t>
      </w:r>
      <w:r w:rsidR="00681DBB" w:rsidRPr="00E127AB">
        <w:rPr>
          <w:rFonts w:ascii="Book Antiqua" w:eastAsiaTheme="minorHAnsi" w:hAnsi="Book Antiqua" w:cs="AdvPS6EC0"/>
        </w:rPr>
        <w:t>In a large m</w:t>
      </w:r>
      <w:r w:rsidR="00035613" w:rsidRPr="00E127AB">
        <w:rPr>
          <w:rFonts w:ascii="Book Antiqua" w:eastAsiaTheme="minorHAnsi" w:hAnsi="Book Antiqua" w:cs="AdvPS6EC0"/>
        </w:rPr>
        <w:t xml:space="preserve">ulticenter CIBMTR analysis compared RIC regimens with </w:t>
      </w:r>
      <w:r w:rsidR="00681DBB" w:rsidRPr="00E127AB">
        <w:rPr>
          <w:rFonts w:ascii="Book Antiqua" w:eastAsiaTheme="minorHAnsi" w:hAnsi="Book Antiqua" w:cs="AdvPS6EC0"/>
        </w:rPr>
        <w:t>NMA</w:t>
      </w:r>
      <w:r w:rsidR="00035613" w:rsidRPr="00E127AB">
        <w:rPr>
          <w:rFonts w:ascii="Book Antiqua" w:eastAsiaTheme="minorHAnsi" w:hAnsi="Book Antiqua" w:cs="AdvPS6EC0"/>
        </w:rPr>
        <w:t xml:space="preserve"> regimens</w:t>
      </w:r>
      <w:r w:rsidR="00681DBB" w:rsidRPr="00E127AB">
        <w:rPr>
          <w:rFonts w:ascii="Book Antiqua" w:eastAsiaTheme="minorHAnsi" w:hAnsi="Book Antiqua" w:cs="AdvPS6EC0"/>
        </w:rPr>
        <w:t>,</w:t>
      </w:r>
      <w:r w:rsidR="00035613" w:rsidRPr="00E127AB">
        <w:rPr>
          <w:rFonts w:ascii="Book Antiqua" w:eastAsiaTheme="minorHAnsi" w:hAnsi="Book Antiqua" w:cs="AdvPS6EC0"/>
        </w:rPr>
        <w:t xml:space="preserve"> </w:t>
      </w:r>
      <w:r w:rsidR="00681DBB" w:rsidRPr="00E127AB">
        <w:rPr>
          <w:rFonts w:ascii="Book Antiqua" w:eastAsiaTheme="minorHAnsi" w:hAnsi="Book Antiqua" w:cs="AdvPS6EC0"/>
        </w:rPr>
        <w:t xml:space="preserve">relapse risk was lower and DFS was higher with </w:t>
      </w:r>
      <w:r w:rsidR="00035613" w:rsidRPr="00E127AB">
        <w:rPr>
          <w:rFonts w:ascii="Book Antiqua" w:eastAsiaTheme="minorHAnsi" w:hAnsi="Book Antiqua" w:cs="AdvPS6EC0"/>
        </w:rPr>
        <w:t xml:space="preserve">RIC regimens </w:t>
      </w:r>
      <w:r w:rsidR="00681DBB" w:rsidRPr="00E127AB">
        <w:rPr>
          <w:rFonts w:ascii="Book Antiqua" w:eastAsiaTheme="minorHAnsi" w:hAnsi="Book Antiqua" w:cs="AdvPS6EC0"/>
        </w:rPr>
        <w:t xml:space="preserve">than NMA </w:t>
      </w:r>
      <w:proofErr w:type="gramStart"/>
      <w:r w:rsidR="00252E6B" w:rsidRPr="00E127AB">
        <w:rPr>
          <w:rFonts w:ascii="Book Antiqua" w:eastAsiaTheme="minorHAnsi" w:hAnsi="Book Antiqua" w:cs="AdvPS6EC0"/>
        </w:rPr>
        <w:t>regimens</w:t>
      </w:r>
      <w:r w:rsidR="00252E6B" w:rsidRPr="00E127AB">
        <w:rPr>
          <w:rFonts w:ascii="Book Antiqua" w:hAnsi="Book Antiqua"/>
          <w:vertAlign w:val="superscript"/>
        </w:rPr>
        <w:t>[</w:t>
      </w:r>
      <w:proofErr w:type="gramEnd"/>
      <w:r w:rsidR="00696DAB" w:rsidRPr="00E127AB">
        <w:rPr>
          <w:rFonts w:ascii="Book Antiqua" w:hAnsi="Book Antiqua"/>
          <w:vertAlign w:val="superscript"/>
        </w:rPr>
        <w:t>51</w:t>
      </w:r>
      <w:r w:rsidR="003C7847" w:rsidRPr="00E127AB">
        <w:rPr>
          <w:rFonts w:ascii="Book Antiqua" w:hAnsi="Book Antiqua"/>
          <w:vertAlign w:val="superscript"/>
        </w:rPr>
        <w:t>]</w:t>
      </w:r>
      <w:r w:rsidR="00035613" w:rsidRPr="00E127AB">
        <w:rPr>
          <w:rFonts w:ascii="Book Antiqua" w:eastAsiaTheme="minorHAnsi" w:hAnsi="Book Antiqua" w:cs="AdvOT863180fb"/>
        </w:rPr>
        <w:t>.</w:t>
      </w:r>
      <w:r w:rsidR="00D64224" w:rsidRPr="00E127AB">
        <w:rPr>
          <w:rFonts w:ascii="Book Antiqua" w:eastAsiaTheme="minorHAnsi" w:hAnsi="Book Antiqua" w:cs="AdvOT863180fb"/>
        </w:rPr>
        <w:t xml:space="preserve"> </w:t>
      </w:r>
      <w:r w:rsidR="00B574E9" w:rsidRPr="00E127AB">
        <w:rPr>
          <w:rFonts w:ascii="Book Antiqua" w:eastAsiaTheme="minorHAnsi" w:hAnsi="Book Antiqua" w:cs="AdvOT863180fb"/>
        </w:rPr>
        <w:t>According to all these data, RIC regimens have had a place for elderly patients and patients who had comorbidities, but NMA regimens were inferior to RIC regimens.</w:t>
      </w:r>
    </w:p>
    <w:p w:rsidR="00222B08" w:rsidRPr="00E127AB" w:rsidRDefault="00735B1C" w:rsidP="005E6CDB">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ind w:firstLineChars="200" w:firstLine="480"/>
        <w:jc w:val="both"/>
        <w:rPr>
          <w:rFonts w:ascii="Book Antiqua" w:eastAsiaTheme="minorHAnsi" w:hAnsi="Book Antiqua" w:cs="AdvOT863180fb"/>
        </w:rPr>
      </w:pPr>
      <w:r w:rsidRPr="00E127AB">
        <w:rPr>
          <w:rFonts w:ascii="Book Antiqua" w:eastAsiaTheme="minorHAnsi" w:hAnsi="Book Antiqua" w:cs="AdvOT863180fb"/>
        </w:rPr>
        <w:t xml:space="preserve">In a study that was used data from the CIBMTR, they compared outcomes in patients who treated with ASCT following </w:t>
      </w:r>
      <w:r w:rsidR="005736B2" w:rsidRPr="00E127AB">
        <w:rPr>
          <w:rFonts w:ascii="Book Antiqua" w:eastAsiaTheme="minorHAnsi" w:hAnsi="Book Antiqua" w:cs="AdvOT863180fb"/>
        </w:rPr>
        <w:t>MA</w:t>
      </w:r>
      <w:r w:rsidRPr="00E127AB">
        <w:rPr>
          <w:rFonts w:ascii="Book Antiqua" w:eastAsiaTheme="minorHAnsi" w:hAnsi="Book Antiqua" w:cs="AdvOT863180fb"/>
        </w:rPr>
        <w:t xml:space="preserve"> conditioning with cyclophosphamide (Cy) in combination with TBI, oral </w:t>
      </w:r>
      <w:proofErr w:type="spellStart"/>
      <w:r w:rsidR="00252E6B" w:rsidRPr="00E127AB">
        <w:rPr>
          <w:rFonts w:ascii="Book Antiqua" w:eastAsiaTheme="minorHAnsi" w:hAnsi="Book Antiqua" w:cs="AdvOT863180fb"/>
        </w:rPr>
        <w:t>b</w:t>
      </w:r>
      <w:r w:rsidRPr="00E127AB">
        <w:rPr>
          <w:rFonts w:ascii="Book Antiqua" w:eastAsiaTheme="minorHAnsi" w:hAnsi="Book Antiqua" w:cs="AdvOT863180fb"/>
        </w:rPr>
        <w:t>usulfan</w:t>
      </w:r>
      <w:proofErr w:type="spellEnd"/>
      <w:r w:rsidR="00252E6B" w:rsidRPr="00E127AB">
        <w:rPr>
          <w:rFonts w:ascii="Book Antiqua" w:eastAsiaTheme="minorHAnsi" w:hAnsi="Book Antiqua" w:cs="AdvOT863180fb"/>
        </w:rPr>
        <w:t xml:space="preserve"> (Bu)</w:t>
      </w:r>
      <w:r w:rsidRPr="00E127AB">
        <w:rPr>
          <w:rFonts w:ascii="Book Antiqua" w:eastAsiaTheme="minorHAnsi" w:hAnsi="Book Antiqua" w:cs="AdvOT863180fb"/>
        </w:rPr>
        <w:t xml:space="preserve"> or intravenous (IV) </w:t>
      </w:r>
      <w:proofErr w:type="spellStart"/>
      <w:proofErr w:type="gramStart"/>
      <w:r w:rsidR="00252E6B" w:rsidRPr="00E127AB">
        <w:rPr>
          <w:rFonts w:ascii="Book Antiqua" w:eastAsiaTheme="minorHAnsi" w:hAnsi="Book Antiqua" w:cs="AdvOT863180fb"/>
        </w:rPr>
        <w:t>b</w:t>
      </w:r>
      <w:r w:rsidRPr="00E127AB">
        <w:rPr>
          <w:rFonts w:ascii="Book Antiqua" w:eastAsiaTheme="minorHAnsi" w:hAnsi="Book Antiqua" w:cs="AdvOT863180fb"/>
        </w:rPr>
        <w:t>usulfan</w:t>
      </w:r>
      <w:proofErr w:type="spellEnd"/>
      <w:r w:rsidR="00D93926" w:rsidRPr="00E127AB">
        <w:rPr>
          <w:rFonts w:ascii="Book Antiqua" w:hAnsi="Book Antiqua"/>
          <w:vertAlign w:val="superscript"/>
        </w:rPr>
        <w:t>[</w:t>
      </w:r>
      <w:proofErr w:type="gramEnd"/>
      <w:r w:rsidR="00696DAB" w:rsidRPr="00E127AB">
        <w:rPr>
          <w:rFonts w:ascii="Book Antiqua" w:hAnsi="Book Antiqua"/>
          <w:vertAlign w:val="superscript"/>
        </w:rPr>
        <w:t>52</w:t>
      </w:r>
      <w:r w:rsidR="00707A23" w:rsidRPr="00E127AB">
        <w:rPr>
          <w:rFonts w:ascii="Book Antiqua" w:hAnsi="Book Antiqua"/>
          <w:vertAlign w:val="superscript"/>
        </w:rPr>
        <w:t>]</w:t>
      </w:r>
      <w:r w:rsidRPr="00E127AB">
        <w:rPr>
          <w:rFonts w:ascii="Book Antiqua" w:eastAsiaTheme="minorHAnsi" w:hAnsi="Book Antiqua" w:cs="AdvOT863180fb"/>
        </w:rPr>
        <w:t>. They concluded that Cy in combination with IV Bu was associated with less relapse than TBI or oral Bu.</w:t>
      </w:r>
      <w:r w:rsidR="007D74CE" w:rsidRPr="00E127AB">
        <w:rPr>
          <w:rFonts w:ascii="Book Antiqua" w:eastAsiaTheme="minorHAnsi" w:hAnsi="Book Antiqua" w:cs="AdvOT863180fb"/>
        </w:rPr>
        <w:t xml:space="preserve"> NRM and OS were similar.</w:t>
      </w:r>
      <w:r w:rsidR="00222B08" w:rsidRPr="00E127AB">
        <w:rPr>
          <w:rFonts w:ascii="Book Antiqua" w:eastAsiaTheme="minorHAnsi" w:hAnsi="Book Antiqua" w:cs="AdvOT863180fb"/>
        </w:rPr>
        <w:t xml:space="preserve"> </w:t>
      </w:r>
    </w:p>
    <w:p w:rsidR="00222B08" w:rsidRPr="00E127AB" w:rsidRDefault="00222B08" w:rsidP="005E6CDB">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eastAsiaTheme="minorHAnsi" w:hAnsi="Book Antiqua" w:cs="AdvOT863180fb"/>
        </w:rPr>
      </w:pPr>
    </w:p>
    <w:p w:rsidR="00F82465" w:rsidRPr="00E127AB" w:rsidRDefault="00F82465" w:rsidP="005E6CDB">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eastAsiaTheme="minorHAnsi" w:hAnsi="Book Antiqua" w:cs="AdvOT863180fb"/>
          <w:b/>
          <w:i/>
        </w:rPr>
      </w:pPr>
      <w:r w:rsidRPr="00E127AB">
        <w:rPr>
          <w:rFonts w:ascii="Book Antiqua" w:eastAsiaTheme="minorHAnsi" w:hAnsi="Book Antiqua" w:cs="AdvOT863180fb"/>
          <w:b/>
          <w:i/>
        </w:rPr>
        <w:t xml:space="preserve">GVHD prophylaxis </w:t>
      </w:r>
    </w:p>
    <w:p w:rsidR="00E33A00" w:rsidRPr="00E127AB" w:rsidRDefault="00222B08" w:rsidP="005E6CDB">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eastAsiaTheme="minorHAnsi" w:hAnsi="Book Antiqua" w:cs="AdvOT863180fb"/>
        </w:rPr>
      </w:pPr>
      <w:r w:rsidRPr="00E127AB">
        <w:rPr>
          <w:rFonts w:ascii="Book Antiqua" w:eastAsiaTheme="minorHAnsi" w:hAnsi="Book Antiqua" w:cs="AdvOT863180fb"/>
        </w:rPr>
        <w:t>Another important issue is GVHD prophylaxis for ASCT. In CML, GVHD prophylaxis can influence the outcomes.</w:t>
      </w:r>
      <w:r w:rsidR="00F73E2D" w:rsidRPr="00E127AB">
        <w:rPr>
          <w:rFonts w:ascii="Book Antiqua" w:eastAsiaTheme="minorHAnsi" w:hAnsi="Book Antiqua" w:cs="AdvOT863180fb"/>
        </w:rPr>
        <w:t xml:space="preserve"> </w:t>
      </w:r>
      <w:r w:rsidRPr="00E127AB">
        <w:rPr>
          <w:rFonts w:ascii="Book Antiqua" w:eastAsiaTheme="minorHAnsi" w:hAnsi="Book Antiqua" w:cs="AdvOT863180fb"/>
        </w:rPr>
        <w:t>T–cell depletion was associated with higher relapse rate</w:t>
      </w:r>
      <w:r w:rsidR="00FE0851" w:rsidRPr="00E127AB">
        <w:rPr>
          <w:rFonts w:ascii="Book Antiqua" w:eastAsiaTheme="minorHAnsi" w:hAnsi="Book Antiqua" w:cs="AdvOT863180fb"/>
        </w:rPr>
        <w:t>, but DLI</w:t>
      </w:r>
      <w:r w:rsidR="00A25B80" w:rsidRPr="00E127AB">
        <w:rPr>
          <w:rFonts w:ascii="Book Antiqua" w:eastAsiaTheme="minorHAnsi" w:hAnsi="Book Antiqua" w:cs="AdvOT863180fb"/>
        </w:rPr>
        <w:t>s were</w:t>
      </w:r>
      <w:r w:rsidR="00FE0851" w:rsidRPr="00E127AB">
        <w:rPr>
          <w:rFonts w:ascii="Book Antiqua" w:eastAsiaTheme="minorHAnsi" w:hAnsi="Book Antiqua" w:cs="AdvOT863180fb"/>
        </w:rPr>
        <w:t xml:space="preserve"> controlled the disease relapse in </w:t>
      </w:r>
      <w:proofErr w:type="gramStart"/>
      <w:r w:rsidR="00AF483B" w:rsidRPr="00E127AB">
        <w:rPr>
          <w:rFonts w:ascii="Book Antiqua" w:eastAsiaTheme="minorHAnsi" w:hAnsi="Book Antiqua" w:cs="AdvOT863180fb"/>
        </w:rPr>
        <w:t>CML</w:t>
      </w:r>
      <w:r w:rsidR="00AF483B" w:rsidRPr="00E127AB">
        <w:rPr>
          <w:rFonts w:ascii="Book Antiqua" w:hAnsi="Book Antiqua"/>
          <w:vertAlign w:val="superscript"/>
        </w:rPr>
        <w:t>[</w:t>
      </w:r>
      <w:proofErr w:type="gramEnd"/>
      <w:r w:rsidR="00696DAB" w:rsidRPr="00E127AB">
        <w:rPr>
          <w:rFonts w:ascii="Book Antiqua" w:hAnsi="Book Antiqua"/>
          <w:vertAlign w:val="superscript"/>
        </w:rPr>
        <w:t>30-33</w:t>
      </w:r>
      <w:r w:rsidR="004658DE" w:rsidRPr="00E127AB">
        <w:rPr>
          <w:rFonts w:ascii="Book Antiqua" w:hAnsi="Book Antiqua"/>
          <w:vertAlign w:val="superscript"/>
        </w:rPr>
        <w:t>]</w:t>
      </w:r>
      <w:r w:rsidR="00FE0851" w:rsidRPr="00E127AB">
        <w:rPr>
          <w:rFonts w:ascii="Book Antiqua" w:eastAsiaTheme="minorHAnsi" w:hAnsi="Book Antiqua" w:cs="AdvOT863180fb"/>
        </w:rPr>
        <w:t>.</w:t>
      </w:r>
      <w:r w:rsidR="00DA3E3F" w:rsidRPr="00E127AB">
        <w:rPr>
          <w:rFonts w:ascii="Book Antiqua" w:eastAsiaTheme="minorHAnsi" w:hAnsi="Book Antiqua" w:cs="AdvOT863180fb"/>
        </w:rPr>
        <w:t xml:space="preserve"> </w:t>
      </w:r>
      <w:r w:rsidR="003E4CAF" w:rsidRPr="00E127AB">
        <w:rPr>
          <w:rFonts w:ascii="Book Antiqua" w:eastAsiaTheme="minorHAnsi" w:hAnsi="Book Antiqua" w:cs="AdvOT863180fb"/>
        </w:rPr>
        <w:t xml:space="preserve">Zuckerman </w:t>
      </w:r>
      <w:r w:rsidR="003E4CAF" w:rsidRPr="00E127AB">
        <w:rPr>
          <w:rFonts w:ascii="Book Antiqua" w:eastAsiaTheme="minorHAnsi" w:hAnsi="Book Antiqua" w:cs="AdvOT863180fb"/>
          <w:i/>
        </w:rPr>
        <w:t xml:space="preserve">et </w:t>
      </w:r>
      <w:proofErr w:type="gramStart"/>
      <w:r w:rsidR="003E4CAF" w:rsidRPr="00E127AB">
        <w:rPr>
          <w:rFonts w:ascii="Book Antiqua" w:eastAsiaTheme="minorHAnsi" w:hAnsi="Book Antiqua" w:cs="AdvOT863180fb"/>
          <w:i/>
        </w:rPr>
        <w:t>al</w:t>
      </w:r>
      <w:r w:rsidR="00D93926" w:rsidRPr="00E127AB">
        <w:rPr>
          <w:rFonts w:ascii="Book Antiqua" w:hAnsi="Book Antiqua"/>
          <w:vertAlign w:val="superscript"/>
        </w:rPr>
        <w:t>[</w:t>
      </w:r>
      <w:proofErr w:type="gramEnd"/>
      <w:r w:rsidR="00696DAB" w:rsidRPr="00E127AB">
        <w:rPr>
          <w:rFonts w:ascii="Book Antiqua" w:hAnsi="Book Antiqua"/>
          <w:vertAlign w:val="superscript"/>
        </w:rPr>
        <w:t>53</w:t>
      </w:r>
      <w:r w:rsidR="00532DA3" w:rsidRPr="00E127AB">
        <w:rPr>
          <w:rFonts w:ascii="Book Antiqua" w:hAnsi="Book Antiqua"/>
          <w:vertAlign w:val="superscript"/>
        </w:rPr>
        <w:t>]</w:t>
      </w:r>
      <w:r w:rsidR="003E4CAF" w:rsidRPr="00E127AB">
        <w:rPr>
          <w:rFonts w:ascii="Book Antiqua" w:eastAsiaTheme="minorHAnsi" w:hAnsi="Book Antiqua" w:cs="AdvOT863180fb"/>
        </w:rPr>
        <w:t xml:space="preserve"> evaluated 38 patients who treated with ASCT using partial T cell depletion (TCD) and preemptive DLI, without post-transplant G</w:t>
      </w:r>
      <w:r w:rsidR="003545C9" w:rsidRPr="00E127AB">
        <w:rPr>
          <w:rFonts w:ascii="Book Antiqua" w:eastAsiaTheme="minorHAnsi" w:hAnsi="Book Antiqua" w:cs="AdvOT863180fb"/>
        </w:rPr>
        <w:t>VHD</w:t>
      </w:r>
      <w:r w:rsidR="003E4CAF" w:rsidRPr="00E127AB">
        <w:rPr>
          <w:rFonts w:ascii="Book Antiqua" w:eastAsiaTheme="minorHAnsi" w:hAnsi="Book Antiqua" w:cs="AdvOT863180fb"/>
        </w:rPr>
        <w:t xml:space="preserve"> prophylaxis. The 5-year LFS and OS were 78.95% and 84.2%, respectively.</w:t>
      </w:r>
      <w:r w:rsidR="00DA4CF9" w:rsidRPr="00E127AB">
        <w:rPr>
          <w:rFonts w:ascii="Book Antiqua" w:eastAsiaTheme="minorHAnsi" w:hAnsi="Book Antiqua" w:cs="AdvOT863180fb"/>
        </w:rPr>
        <w:t xml:space="preserve"> Acute GVHD rate was 18% in post-transplant patients and 24% in patients receiving DLI.</w:t>
      </w:r>
      <w:r w:rsidR="00F73E2D" w:rsidRPr="00E127AB">
        <w:rPr>
          <w:rFonts w:ascii="Book Antiqua" w:eastAsiaTheme="minorHAnsi" w:hAnsi="Book Antiqua" w:cs="AdvOT863180fb"/>
        </w:rPr>
        <w:t xml:space="preserve"> </w:t>
      </w:r>
      <w:r w:rsidR="003E4CAF" w:rsidRPr="00E127AB">
        <w:rPr>
          <w:rFonts w:ascii="Book Antiqua" w:eastAsiaTheme="minorHAnsi" w:hAnsi="Book Antiqua" w:cs="AdvOT863180fb"/>
        </w:rPr>
        <w:t>They concluded that</w:t>
      </w:r>
      <w:r w:rsidR="00DA4CF9" w:rsidRPr="00E127AB">
        <w:rPr>
          <w:rFonts w:ascii="Book Antiqua" w:eastAsiaTheme="minorHAnsi" w:hAnsi="Book Antiqua" w:cs="AdvOT863180fb"/>
        </w:rPr>
        <w:t xml:space="preserve"> partial TCD</w:t>
      </w:r>
      <w:r w:rsidR="00DA4CF9" w:rsidRPr="00E127AB">
        <w:rPr>
          <w:rFonts w:ascii="Book Antiqua" w:hAnsi="Book Antiqua"/>
        </w:rPr>
        <w:t xml:space="preserve"> </w:t>
      </w:r>
      <w:r w:rsidR="00DA4CF9" w:rsidRPr="00E127AB">
        <w:rPr>
          <w:rFonts w:ascii="Book Antiqua" w:eastAsiaTheme="minorHAnsi" w:hAnsi="Book Antiqua" w:cs="AdvOT863180fb"/>
        </w:rPr>
        <w:t>and preemptive DLI was reduced the GVHD risk.</w:t>
      </w:r>
      <w:r w:rsidR="00C501ED" w:rsidRPr="00E127AB">
        <w:rPr>
          <w:rFonts w:ascii="Book Antiqua" w:eastAsiaTheme="minorHAnsi" w:hAnsi="Book Antiqua" w:cs="AdvOT863180fb"/>
        </w:rPr>
        <w:t xml:space="preserve"> In a small study, the CCyR was induced in 8 of 9 CML patients who treated with ASCT using an </w:t>
      </w:r>
      <w:proofErr w:type="spellStart"/>
      <w:r w:rsidR="00C501ED" w:rsidRPr="00E127AB">
        <w:rPr>
          <w:rFonts w:ascii="Book Antiqua" w:eastAsiaTheme="minorHAnsi" w:hAnsi="Book Antiqua" w:cs="AdvOT863180fb"/>
        </w:rPr>
        <w:t>alemtuzumab</w:t>
      </w:r>
      <w:proofErr w:type="spellEnd"/>
      <w:r w:rsidR="00C501ED" w:rsidRPr="00E127AB">
        <w:rPr>
          <w:rFonts w:ascii="Book Antiqua" w:eastAsiaTheme="minorHAnsi" w:hAnsi="Book Antiqua" w:cs="AdvOT863180fb"/>
        </w:rPr>
        <w:t xml:space="preserve">-based RIC regimen. GVHD incidence was low but disease relapse </w:t>
      </w:r>
      <w:r w:rsidR="00190B80" w:rsidRPr="00E127AB">
        <w:rPr>
          <w:rFonts w:ascii="Book Antiqua" w:eastAsiaTheme="minorHAnsi" w:hAnsi="Book Antiqua" w:cs="AdvOT863180fb"/>
        </w:rPr>
        <w:t xml:space="preserve">was </w:t>
      </w:r>
      <w:proofErr w:type="gramStart"/>
      <w:r w:rsidR="00AF483B" w:rsidRPr="00E127AB">
        <w:rPr>
          <w:rFonts w:ascii="Book Antiqua" w:eastAsiaTheme="minorHAnsi" w:hAnsi="Book Antiqua" w:cs="AdvOT863180fb"/>
        </w:rPr>
        <w:t>frequent</w:t>
      </w:r>
      <w:r w:rsidR="00AF483B" w:rsidRPr="00E127AB">
        <w:rPr>
          <w:rFonts w:ascii="Book Antiqua" w:hAnsi="Book Antiqua"/>
          <w:vertAlign w:val="superscript"/>
        </w:rPr>
        <w:t>[</w:t>
      </w:r>
      <w:proofErr w:type="gramEnd"/>
      <w:r w:rsidR="00696DAB" w:rsidRPr="00E127AB">
        <w:rPr>
          <w:rFonts w:ascii="Book Antiqua" w:hAnsi="Book Antiqua"/>
          <w:vertAlign w:val="superscript"/>
        </w:rPr>
        <w:t>54</w:t>
      </w:r>
      <w:r w:rsidR="00D6387C" w:rsidRPr="00E127AB">
        <w:rPr>
          <w:rFonts w:ascii="Book Antiqua" w:hAnsi="Book Antiqua"/>
          <w:vertAlign w:val="superscript"/>
        </w:rPr>
        <w:t>]</w:t>
      </w:r>
      <w:r w:rsidR="00190B80" w:rsidRPr="00E127AB">
        <w:rPr>
          <w:rFonts w:ascii="Book Antiqua" w:eastAsiaTheme="minorHAnsi" w:hAnsi="Book Antiqua" w:cs="AdvOT863180fb"/>
        </w:rPr>
        <w:t xml:space="preserve">. </w:t>
      </w:r>
    </w:p>
    <w:p w:rsidR="00FC7DDB" w:rsidRPr="00E127AB" w:rsidRDefault="00FC7DDB" w:rsidP="005E6CDB">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eastAsiaTheme="minorHAnsi" w:hAnsi="Book Antiqua" w:cs="AdvOT863180fb"/>
        </w:rPr>
      </w:pPr>
    </w:p>
    <w:p w:rsidR="00F82465" w:rsidRPr="00E127AB" w:rsidRDefault="00FC7DDB" w:rsidP="005E6CDB">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eastAsiaTheme="minorHAnsi" w:hAnsi="Book Antiqua" w:cs="AdvOT863180fb"/>
          <w:b/>
          <w:i/>
        </w:rPr>
      </w:pPr>
      <w:r w:rsidRPr="00E127AB">
        <w:rPr>
          <w:rFonts w:ascii="Book Antiqua" w:eastAsiaTheme="minorHAnsi" w:hAnsi="Book Antiqua" w:cs="AdvOT863180fb"/>
          <w:b/>
          <w:i/>
        </w:rPr>
        <w:t>Post-transplantation relapse</w:t>
      </w:r>
    </w:p>
    <w:p w:rsidR="005E1827" w:rsidRPr="00E127AB" w:rsidRDefault="0020043C" w:rsidP="005E6CDB">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eastAsiaTheme="minorHAnsi" w:hAnsi="Book Antiqua" w:cs="AdvOT863180fb"/>
        </w:rPr>
      </w:pPr>
      <w:r w:rsidRPr="00E127AB">
        <w:rPr>
          <w:rFonts w:ascii="Book Antiqua" w:eastAsiaTheme="minorHAnsi" w:hAnsi="Book Antiqua" w:cs="AdvOT863180fb"/>
        </w:rPr>
        <w:t xml:space="preserve">DLIs, TKIs, chemotherapy and second ASCT can be used for treatment of relapse CML after </w:t>
      </w:r>
      <w:proofErr w:type="gramStart"/>
      <w:r w:rsidR="00AF483B" w:rsidRPr="00E127AB">
        <w:rPr>
          <w:rFonts w:ascii="Book Antiqua" w:eastAsiaTheme="minorHAnsi" w:hAnsi="Book Antiqua" w:cs="AdvOT863180fb"/>
        </w:rPr>
        <w:t>ASCT</w:t>
      </w:r>
      <w:r w:rsidR="00AF483B" w:rsidRPr="00E127AB">
        <w:rPr>
          <w:rFonts w:ascii="Book Antiqua" w:hAnsi="Book Antiqua"/>
          <w:vertAlign w:val="superscript"/>
        </w:rPr>
        <w:t>[</w:t>
      </w:r>
      <w:proofErr w:type="gramEnd"/>
      <w:r w:rsidR="00696DAB" w:rsidRPr="00E127AB">
        <w:rPr>
          <w:rFonts w:ascii="Book Antiqua" w:hAnsi="Book Antiqua"/>
          <w:vertAlign w:val="superscript"/>
        </w:rPr>
        <w:t>55-</w:t>
      </w:r>
      <w:r w:rsidR="00C049F5" w:rsidRPr="00E127AB">
        <w:rPr>
          <w:rFonts w:ascii="Book Antiqua" w:hAnsi="Book Antiqua"/>
          <w:vertAlign w:val="superscript"/>
        </w:rPr>
        <w:t xml:space="preserve"> </w:t>
      </w:r>
      <w:r w:rsidR="00696DAB" w:rsidRPr="00E127AB">
        <w:rPr>
          <w:rFonts w:ascii="Book Antiqua" w:hAnsi="Book Antiqua"/>
          <w:vertAlign w:val="superscript"/>
        </w:rPr>
        <w:t>59</w:t>
      </w:r>
      <w:r w:rsidR="00422138" w:rsidRPr="00E127AB">
        <w:rPr>
          <w:rFonts w:ascii="Book Antiqua" w:hAnsi="Book Antiqua"/>
          <w:vertAlign w:val="superscript"/>
        </w:rPr>
        <w:t>]</w:t>
      </w:r>
      <w:r w:rsidR="00A827DC" w:rsidRPr="00E127AB">
        <w:rPr>
          <w:rFonts w:ascii="Book Antiqua" w:eastAsiaTheme="minorHAnsi" w:hAnsi="Book Antiqua" w:cs="AdvOT863180fb"/>
        </w:rPr>
        <w:t xml:space="preserve">. </w:t>
      </w:r>
      <w:proofErr w:type="spellStart"/>
      <w:r w:rsidR="00452D19" w:rsidRPr="00E127AB">
        <w:rPr>
          <w:rFonts w:ascii="Book Antiqua" w:eastAsiaTheme="minorHAnsi" w:hAnsi="Book Antiqua" w:cs="AdvOT863180fb"/>
        </w:rPr>
        <w:t>Olavarria</w:t>
      </w:r>
      <w:proofErr w:type="spellEnd"/>
      <w:r w:rsidR="00452D19" w:rsidRPr="00E127AB">
        <w:rPr>
          <w:rFonts w:ascii="Book Antiqua" w:eastAsiaTheme="minorHAnsi" w:hAnsi="Book Antiqua" w:cs="AdvOT863180fb"/>
        </w:rPr>
        <w:t xml:space="preserve"> </w:t>
      </w:r>
      <w:r w:rsidR="00452D19" w:rsidRPr="00E127AB">
        <w:rPr>
          <w:rFonts w:ascii="Book Antiqua" w:eastAsiaTheme="minorHAnsi" w:hAnsi="Book Antiqua" w:cs="AdvOT863180fb"/>
          <w:i/>
        </w:rPr>
        <w:t xml:space="preserve">et </w:t>
      </w:r>
      <w:proofErr w:type="gramStart"/>
      <w:r w:rsidR="00452D19" w:rsidRPr="00E127AB">
        <w:rPr>
          <w:rFonts w:ascii="Book Antiqua" w:eastAsiaTheme="minorHAnsi" w:hAnsi="Book Antiqua" w:cs="AdvOT863180fb"/>
          <w:i/>
        </w:rPr>
        <w:t>al</w:t>
      </w:r>
      <w:r w:rsidR="00C049F5" w:rsidRPr="00E127AB">
        <w:rPr>
          <w:rFonts w:ascii="Book Antiqua" w:hAnsi="Book Antiqua"/>
          <w:vertAlign w:val="superscript"/>
        </w:rPr>
        <w:t>[</w:t>
      </w:r>
      <w:proofErr w:type="gramEnd"/>
      <w:r w:rsidR="00696DAB" w:rsidRPr="00E127AB">
        <w:rPr>
          <w:rFonts w:ascii="Book Antiqua" w:hAnsi="Book Antiqua"/>
          <w:vertAlign w:val="superscript"/>
        </w:rPr>
        <w:t>55</w:t>
      </w:r>
      <w:r w:rsidR="0067420C" w:rsidRPr="00E127AB">
        <w:rPr>
          <w:rFonts w:ascii="Book Antiqua" w:hAnsi="Book Antiqua"/>
          <w:vertAlign w:val="superscript"/>
        </w:rPr>
        <w:t>]</w:t>
      </w:r>
      <w:r w:rsidR="00452D19" w:rsidRPr="00E127AB">
        <w:rPr>
          <w:rFonts w:ascii="Book Antiqua" w:eastAsiaTheme="minorHAnsi" w:hAnsi="Book Antiqua" w:cs="AdvOT863180fb"/>
        </w:rPr>
        <w:t xml:space="preserve"> reported response to imatinib in 128 patients with CML relapsing after ASCT. The CCyR rate was 58% for patients in CP, 48% fo</w:t>
      </w:r>
      <w:r w:rsidR="000E6E5F" w:rsidRPr="00E127AB">
        <w:rPr>
          <w:rFonts w:ascii="Book Antiqua" w:eastAsiaTheme="minorHAnsi" w:hAnsi="Book Antiqua" w:cs="AdvOT863180fb"/>
        </w:rPr>
        <w:t>r AP and 22% for patients in BC</w:t>
      </w:r>
      <w:r w:rsidR="00452D19" w:rsidRPr="00E127AB">
        <w:rPr>
          <w:rFonts w:ascii="Book Antiqua" w:eastAsiaTheme="minorHAnsi" w:hAnsi="Book Antiqua" w:cs="AdvOT863180fb"/>
        </w:rPr>
        <w:t>.</w:t>
      </w:r>
      <w:r w:rsidR="00734A22" w:rsidRPr="00E127AB">
        <w:rPr>
          <w:rFonts w:ascii="Book Antiqua" w:eastAsiaTheme="minorHAnsi" w:hAnsi="Book Antiqua" w:cs="AdvOT863180fb"/>
        </w:rPr>
        <w:t xml:space="preserve"> The CyR rates were 63% for CP or AP and 43% for BP in a small study that evaluated response to imatinib in 28 relapse CML patients after </w:t>
      </w:r>
      <w:proofErr w:type="gramStart"/>
      <w:r w:rsidR="00AF483B" w:rsidRPr="00E127AB">
        <w:rPr>
          <w:rFonts w:ascii="Book Antiqua" w:eastAsiaTheme="minorHAnsi" w:hAnsi="Book Antiqua" w:cs="AdvOT863180fb"/>
        </w:rPr>
        <w:lastRenderedPageBreak/>
        <w:t>ASCT</w:t>
      </w:r>
      <w:r w:rsidR="00AF483B" w:rsidRPr="00E127AB">
        <w:rPr>
          <w:rFonts w:ascii="Book Antiqua" w:hAnsi="Book Antiqua"/>
          <w:vertAlign w:val="superscript"/>
        </w:rPr>
        <w:t>[</w:t>
      </w:r>
      <w:proofErr w:type="gramEnd"/>
      <w:r w:rsidR="00696DAB" w:rsidRPr="00E127AB">
        <w:rPr>
          <w:rFonts w:ascii="Book Antiqua" w:hAnsi="Book Antiqua"/>
          <w:vertAlign w:val="superscript"/>
        </w:rPr>
        <w:t>58</w:t>
      </w:r>
      <w:r w:rsidR="00D14044" w:rsidRPr="00E127AB">
        <w:rPr>
          <w:rFonts w:ascii="Book Antiqua" w:hAnsi="Book Antiqua"/>
          <w:vertAlign w:val="superscript"/>
        </w:rPr>
        <w:t>]</w:t>
      </w:r>
      <w:r w:rsidR="000E6E5F" w:rsidRPr="00E127AB">
        <w:rPr>
          <w:rFonts w:ascii="Book Antiqua" w:eastAsiaTheme="minorHAnsi" w:hAnsi="Book Antiqua" w:cs="AdvOT863180fb"/>
        </w:rPr>
        <w:t>. They concluded that imatinib is highly effective treatment for relapse CML after ASCT</w:t>
      </w:r>
      <w:r w:rsidR="003A3EAD" w:rsidRPr="00E127AB">
        <w:rPr>
          <w:rFonts w:ascii="Book Antiqua" w:eastAsiaTheme="minorHAnsi" w:hAnsi="Book Antiqua" w:cs="AdvOT863180fb"/>
        </w:rPr>
        <w:t>.</w:t>
      </w:r>
      <w:r w:rsidR="00ED3B45" w:rsidRPr="00E127AB">
        <w:rPr>
          <w:rFonts w:ascii="Book Antiqua" w:eastAsiaTheme="minorHAnsi" w:hAnsi="Book Antiqua" w:cs="AdvOT863180fb"/>
        </w:rPr>
        <w:t xml:space="preserve"> </w:t>
      </w:r>
      <w:r w:rsidR="003A3EAD" w:rsidRPr="00E127AB">
        <w:rPr>
          <w:rFonts w:ascii="Book Antiqua" w:eastAsiaTheme="minorHAnsi" w:hAnsi="Book Antiqua" w:cs="AdvOT863180fb"/>
        </w:rPr>
        <w:t xml:space="preserve">A retrospective study was </w:t>
      </w:r>
      <w:r w:rsidR="005E1827" w:rsidRPr="00E127AB">
        <w:rPr>
          <w:rFonts w:ascii="Book Antiqua" w:eastAsiaTheme="minorHAnsi" w:hAnsi="Book Antiqua" w:cs="AdvOT863180fb"/>
        </w:rPr>
        <w:t xml:space="preserve">evaluated pre-DLI factors associated with prolonged survival in remission without secondary GVHD. They reported that approximately 50% of </w:t>
      </w:r>
      <w:r w:rsidR="00C51664" w:rsidRPr="00E127AB">
        <w:rPr>
          <w:rFonts w:ascii="Book Antiqua" w:eastAsiaTheme="minorHAnsi" w:hAnsi="Book Antiqua" w:cs="AdvOT863180fb"/>
        </w:rPr>
        <w:t xml:space="preserve">responding </w:t>
      </w:r>
      <w:r w:rsidR="005E1827" w:rsidRPr="00E127AB">
        <w:rPr>
          <w:rFonts w:ascii="Book Antiqua" w:eastAsiaTheme="minorHAnsi" w:hAnsi="Book Antiqua" w:cs="AdvOT863180fb"/>
        </w:rPr>
        <w:t>patients treated with DLI had GVL effect</w:t>
      </w:r>
      <w:r w:rsidR="00C51664" w:rsidRPr="00E127AB">
        <w:rPr>
          <w:rFonts w:ascii="Book Antiqua" w:eastAsiaTheme="minorHAnsi" w:hAnsi="Book Antiqua" w:cs="AdvOT863180fb"/>
        </w:rPr>
        <w:t xml:space="preserve"> without secondary GVHD. </w:t>
      </w:r>
      <w:r w:rsidR="005C389E" w:rsidRPr="00E127AB">
        <w:rPr>
          <w:rFonts w:ascii="Book Antiqua" w:eastAsiaTheme="minorHAnsi" w:hAnsi="Book Antiqua" w:cs="AdvOT863180fb"/>
        </w:rPr>
        <w:t xml:space="preserve">Prolonged survival in remission without secondary GVHD was observed in patients who </w:t>
      </w:r>
      <w:r w:rsidR="00121BEC" w:rsidRPr="00E127AB">
        <w:rPr>
          <w:rFonts w:ascii="Book Antiqua" w:eastAsiaTheme="minorHAnsi" w:hAnsi="Book Antiqua" w:cs="AdvOT863180fb"/>
        </w:rPr>
        <w:t>were given</w:t>
      </w:r>
      <w:r w:rsidR="005C389E" w:rsidRPr="00E127AB">
        <w:rPr>
          <w:rFonts w:ascii="Book Antiqua" w:eastAsiaTheme="minorHAnsi" w:hAnsi="Book Antiqua" w:cs="AdvOT863180fb"/>
        </w:rPr>
        <w:t xml:space="preserve"> DLI beyond 1</w:t>
      </w:r>
      <w:r w:rsidR="000F0E29" w:rsidRPr="00E127AB">
        <w:rPr>
          <w:rFonts w:ascii="Book Antiqua" w:eastAsiaTheme="minorHAnsi" w:hAnsi="Book Antiqua" w:cs="AdvOT863180fb"/>
        </w:rPr>
        <w:t xml:space="preserve"> </w:t>
      </w:r>
      <w:r w:rsidR="005C389E" w:rsidRPr="00E127AB">
        <w:rPr>
          <w:rFonts w:ascii="Book Antiqua" w:eastAsiaTheme="minorHAnsi" w:hAnsi="Book Antiqua" w:cs="AdvOT863180fb"/>
        </w:rPr>
        <w:t xml:space="preserve">year from ASCT for molecular and/or cytogenetic </w:t>
      </w:r>
      <w:proofErr w:type="gramStart"/>
      <w:r w:rsidR="005C389E" w:rsidRPr="00E127AB">
        <w:rPr>
          <w:rFonts w:ascii="Book Antiqua" w:eastAsiaTheme="minorHAnsi" w:hAnsi="Book Antiqua" w:cs="AdvOT863180fb"/>
        </w:rPr>
        <w:t>relapse</w:t>
      </w:r>
      <w:r w:rsidR="00DE59D8" w:rsidRPr="00E127AB">
        <w:rPr>
          <w:rFonts w:ascii="Book Antiqua" w:hAnsi="Book Antiqua"/>
          <w:vertAlign w:val="superscript"/>
        </w:rPr>
        <w:t>[</w:t>
      </w:r>
      <w:proofErr w:type="gramEnd"/>
      <w:r w:rsidR="00696DAB" w:rsidRPr="00E127AB">
        <w:rPr>
          <w:rFonts w:ascii="Book Antiqua" w:hAnsi="Book Antiqua"/>
          <w:vertAlign w:val="superscript"/>
        </w:rPr>
        <w:t>60</w:t>
      </w:r>
      <w:r w:rsidR="00D14044" w:rsidRPr="00E127AB">
        <w:rPr>
          <w:rFonts w:ascii="Book Antiqua" w:hAnsi="Book Antiqua"/>
          <w:vertAlign w:val="superscript"/>
        </w:rPr>
        <w:t>]</w:t>
      </w:r>
      <w:r w:rsidR="005C389E" w:rsidRPr="00E127AB">
        <w:rPr>
          <w:rFonts w:ascii="Book Antiqua" w:eastAsiaTheme="minorHAnsi" w:hAnsi="Book Antiqua" w:cs="AdvOT863180fb"/>
        </w:rPr>
        <w:t xml:space="preserve">. </w:t>
      </w:r>
    </w:p>
    <w:p w:rsidR="004620C5" w:rsidRPr="00E127AB" w:rsidRDefault="004620C5" w:rsidP="005E6CDB">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eastAsiaTheme="minorHAnsi" w:hAnsi="Book Antiqua" w:cs="AdvOT863180fb"/>
        </w:rPr>
      </w:pPr>
    </w:p>
    <w:p w:rsidR="001D5BBE" w:rsidRPr="00E127AB" w:rsidRDefault="001D5BBE" w:rsidP="005E6CDB">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eastAsiaTheme="minorHAnsi" w:hAnsi="Book Antiqua" w:cs="AdvOT863180fb"/>
          <w:b/>
          <w:i/>
        </w:rPr>
      </w:pPr>
      <w:r w:rsidRPr="00E127AB">
        <w:rPr>
          <w:rFonts w:ascii="Book Antiqua" w:eastAsiaTheme="minorHAnsi" w:hAnsi="Book Antiqua" w:cs="AdvOT863180fb"/>
          <w:b/>
          <w:i/>
        </w:rPr>
        <w:t>Donor source</w:t>
      </w:r>
    </w:p>
    <w:p w:rsidR="001D5BBE" w:rsidRPr="00E127AB" w:rsidRDefault="00D76EF9" w:rsidP="005E6CDB">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eastAsiaTheme="minorHAnsi" w:hAnsi="Book Antiqua" w:cs="AdvOT863180fb"/>
        </w:rPr>
      </w:pPr>
      <w:r w:rsidRPr="00E127AB">
        <w:rPr>
          <w:rFonts w:ascii="Book Antiqua" w:eastAsiaTheme="minorHAnsi" w:hAnsi="Book Antiqua" w:cs="AdvOT863180fb"/>
        </w:rPr>
        <w:t xml:space="preserve">Transplantation from HLA-matched sibling donor (MSD) has been associated with the most favorable </w:t>
      </w:r>
      <w:proofErr w:type="gramStart"/>
      <w:r w:rsidR="00AF483B" w:rsidRPr="00E127AB">
        <w:rPr>
          <w:rFonts w:ascii="Book Antiqua" w:eastAsiaTheme="minorHAnsi" w:hAnsi="Book Antiqua" w:cs="AdvOT863180fb"/>
        </w:rPr>
        <w:t>outcomes</w:t>
      </w:r>
      <w:r w:rsidR="00AF483B" w:rsidRPr="00E127AB">
        <w:rPr>
          <w:rFonts w:ascii="Book Antiqua" w:hAnsi="Book Antiqua"/>
          <w:vertAlign w:val="superscript"/>
        </w:rPr>
        <w:t>[</w:t>
      </w:r>
      <w:proofErr w:type="gramEnd"/>
      <w:r w:rsidR="00696DAB" w:rsidRPr="00E127AB">
        <w:rPr>
          <w:rFonts w:ascii="Book Antiqua" w:hAnsi="Book Antiqua"/>
          <w:vertAlign w:val="superscript"/>
        </w:rPr>
        <w:t>61-64</w:t>
      </w:r>
      <w:r w:rsidR="009A64EF" w:rsidRPr="00E127AB">
        <w:rPr>
          <w:rFonts w:ascii="Book Antiqua" w:hAnsi="Book Antiqua"/>
          <w:vertAlign w:val="superscript"/>
        </w:rPr>
        <w:t>]</w:t>
      </w:r>
      <w:r w:rsidR="000B5604" w:rsidRPr="00E127AB">
        <w:rPr>
          <w:rFonts w:ascii="Book Antiqua" w:eastAsiaTheme="minorHAnsi" w:hAnsi="Book Antiqua" w:cs="AdvOT863180fb"/>
        </w:rPr>
        <w:t>.</w:t>
      </w:r>
      <w:r w:rsidR="003545C9" w:rsidRPr="00E127AB">
        <w:rPr>
          <w:rFonts w:ascii="Book Antiqua" w:eastAsiaTheme="minorHAnsi" w:hAnsi="Book Antiqua" w:cs="AdvOT863180fb"/>
        </w:rPr>
        <w:t xml:space="preserve"> In a study from Chin</w:t>
      </w:r>
      <w:r w:rsidR="003545C9" w:rsidRPr="00E127AB">
        <w:rPr>
          <w:rFonts w:ascii="Book Antiqua" w:eastAsiaTheme="minorEastAsia" w:hAnsi="Book Antiqua" w:cs="AdvOT863180fb"/>
          <w:lang w:eastAsia="zh-CN"/>
        </w:rPr>
        <w:t>a</w:t>
      </w:r>
      <w:r w:rsidR="005E440C" w:rsidRPr="00E127AB">
        <w:rPr>
          <w:rFonts w:ascii="Book Antiqua" w:eastAsiaTheme="minorHAnsi" w:hAnsi="Book Antiqua" w:cs="AdvOT863180fb"/>
        </w:rPr>
        <w:t>, they compared t</w:t>
      </w:r>
      <w:r w:rsidR="000B5604" w:rsidRPr="00E127AB">
        <w:rPr>
          <w:rFonts w:ascii="Book Antiqua" w:eastAsiaTheme="minorHAnsi" w:hAnsi="Book Antiqua" w:cs="AdvOT863180fb"/>
        </w:rPr>
        <w:t xml:space="preserve">he long-term outcomes of HLA-MSD with mismatched related donor (MRD) and unrelated donor (URD) </w:t>
      </w:r>
      <w:r w:rsidR="005E440C" w:rsidRPr="00E127AB">
        <w:rPr>
          <w:rFonts w:ascii="Book Antiqua" w:eastAsiaTheme="minorHAnsi" w:hAnsi="Book Antiqua" w:cs="AdvOT863180fb"/>
        </w:rPr>
        <w:t>ASCT</w:t>
      </w:r>
      <w:r w:rsidR="000B5604" w:rsidRPr="00E127AB">
        <w:rPr>
          <w:rFonts w:ascii="Book Antiqua" w:eastAsiaTheme="minorHAnsi" w:hAnsi="Book Antiqua" w:cs="AdvOT863180fb"/>
        </w:rPr>
        <w:t xml:space="preserve"> for CML.</w:t>
      </w:r>
      <w:r w:rsidR="005E440C" w:rsidRPr="00E127AB">
        <w:rPr>
          <w:rFonts w:ascii="Book Antiqua" w:eastAsiaTheme="minorHAnsi" w:hAnsi="Book Antiqua" w:cs="AdvOT863180fb"/>
        </w:rPr>
        <w:t xml:space="preserve"> </w:t>
      </w:r>
      <w:r w:rsidR="00A70477" w:rsidRPr="00E127AB">
        <w:rPr>
          <w:rFonts w:ascii="Book Antiqua" w:eastAsiaTheme="minorHAnsi" w:hAnsi="Book Antiqua" w:cs="AdvOT863180fb"/>
        </w:rPr>
        <w:t xml:space="preserve">They concluded that OS is similar between HLA allele-matched URD and </w:t>
      </w:r>
      <w:r w:rsidR="007D57EA" w:rsidRPr="00E127AB">
        <w:rPr>
          <w:rFonts w:ascii="Book Antiqua" w:eastAsiaTheme="minorHAnsi" w:hAnsi="Book Antiqua" w:cs="AdvOT863180fb"/>
        </w:rPr>
        <w:t>MSD transplantation</w:t>
      </w:r>
      <w:r w:rsidR="00A70477" w:rsidRPr="00E127AB">
        <w:rPr>
          <w:rFonts w:ascii="Book Antiqua" w:eastAsiaTheme="minorHAnsi" w:hAnsi="Book Antiqua" w:cs="AdvOT863180fb"/>
        </w:rPr>
        <w:t xml:space="preserve">, but </w:t>
      </w:r>
      <w:r w:rsidR="007D57EA" w:rsidRPr="00E127AB">
        <w:rPr>
          <w:rFonts w:ascii="Book Antiqua" w:eastAsiaTheme="minorHAnsi" w:hAnsi="Book Antiqua" w:cs="AdvOT863180fb"/>
        </w:rPr>
        <w:t xml:space="preserve">OS is lower </w:t>
      </w:r>
      <w:r w:rsidR="00A70477" w:rsidRPr="00E127AB">
        <w:rPr>
          <w:rFonts w:ascii="Book Antiqua" w:eastAsiaTheme="minorHAnsi" w:hAnsi="Book Antiqua" w:cs="AdvOT863180fb"/>
        </w:rPr>
        <w:t xml:space="preserve">in MRD and mismatched URD transplantation </w:t>
      </w:r>
      <w:r w:rsidR="007D57EA" w:rsidRPr="00E127AB">
        <w:rPr>
          <w:rFonts w:ascii="Book Antiqua" w:eastAsiaTheme="minorHAnsi" w:hAnsi="Book Antiqua" w:cs="AdvOT863180fb"/>
        </w:rPr>
        <w:t>than</w:t>
      </w:r>
      <w:r w:rsidR="00A70477" w:rsidRPr="00E127AB">
        <w:rPr>
          <w:rFonts w:ascii="Book Antiqua" w:eastAsiaTheme="minorHAnsi" w:hAnsi="Book Antiqua" w:cs="AdvOT863180fb"/>
        </w:rPr>
        <w:t xml:space="preserve"> MSD</w:t>
      </w:r>
      <w:r w:rsidR="007D57EA" w:rsidRPr="00E127AB">
        <w:rPr>
          <w:rFonts w:ascii="Book Antiqua" w:eastAsiaTheme="minorHAnsi" w:hAnsi="Book Antiqua" w:cs="AdvOT863180fb"/>
        </w:rPr>
        <w:t xml:space="preserve"> </w:t>
      </w:r>
      <w:proofErr w:type="gramStart"/>
      <w:r w:rsidR="00AF483B" w:rsidRPr="00E127AB">
        <w:rPr>
          <w:rFonts w:ascii="Book Antiqua" w:eastAsiaTheme="minorHAnsi" w:hAnsi="Book Antiqua" w:cs="AdvOT863180fb"/>
        </w:rPr>
        <w:t>transplantation</w:t>
      </w:r>
      <w:r w:rsidR="00AF483B" w:rsidRPr="00E127AB">
        <w:rPr>
          <w:rFonts w:ascii="Book Antiqua" w:hAnsi="Book Antiqua"/>
          <w:vertAlign w:val="superscript"/>
        </w:rPr>
        <w:t>[</w:t>
      </w:r>
      <w:proofErr w:type="gramEnd"/>
      <w:r w:rsidR="00696DAB" w:rsidRPr="00E127AB">
        <w:rPr>
          <w:rFonts w:ascii="Book Antiqua" w:hAnsi="Book Antiqua"/>
          <w:vertAlign w:val="superscript"/>
        </w:rPr>
        <w:t>64</w:t>
      </w:r>
      <w:r w:rsidR="00E30783" w:rsidRPr="00E127AB">
        <w:rPr>
          <w:rFonts w:ascii="Book Antiqua" w:hAnsi="Book Antiqua"/>
          <w:vertAlign w:val="superscript"/>
        </w:rPr>
        <w:t>]</w:t>
      </w:r>
      <w:r w:rsidR="00A70477" w:rsidRPr="00E127AB">
        <w:rPr>
          <w:rFonts w:ascii="Book Antiqua" w:eastAsiaTheme="minorHAnsi" w:hAnsi="Book Antiqua" w:cs="AdvOT863180fb"/>
        </w:rPr>
        <w:t>.</w:t>
      </w:r>
      <w:r w:rsidR="00F73E2D" w:rsidRPr="00E127AB">
        <w:rPr>
          <w:rFonts w:ascii="Book Antiqua" w:eastAsiaTheme="minorHAnsi" w:hAnsi="Book Antiqua" w:cs="AdvOT863180fb"/>
        </w:rPr>
        <w:t xml:space="preserve"> </w:t>
      </w:r>
    </w:p>
    <w:p w:rsidR="0023693D" w:rsidRPr="00E127AB" w:rsidRDefault="00DF22B1" w:rsidP="005E6CDB">
      <w:pPr>
        <w:pStyle w:val="Gvde"/>
        <w:pBdr>
          <w:top w:val="none" w:sz="0" w:space="0" w:color="auto"/>
          <w:left w:val="none" w:sz="0" w:space="0" w:color="auto"/>
          <w:bottom w:val="none" w:sz="0" w:space="0" w:color="auto"/>
          <w:right w:val="none" w:sz="0" w:space="0" w:color="auto"/>
          <w:bar w:val="none" w:sz="0" w:color="auto"/>
        </w:pBdr>
        <w:spacing w:after="0" w:line="360" w:lineRule="auto"/>
        <w:ind w:firstLineChars="200" w:firstLine="480"/>
        <w:jc w:val="both"/>
        <w:rPr>
          <w:rFonts w:ascii="Book Antiqua" w:eastAsiaTheme="minorEastAsia" w:hAnsi="Book Antiqua" w:cs="AdvOT863180fb"/>
          <w:color w:val="auto"/>
          <w:sz w:val="24"/>
          <w:szCs w:val="24"/>
          <w:lang w:val="en-US" w:eastAsia="zh-CN"/>
        </w:rPr>
      </w:pPr>
      <w:r w:rsidRPr="00E127AB">
        <w:rPr>
          <w:rFonts w:ascii="Book Antiqua" w:eastAsiaTheme="minorHAnsi" w:hAnsi="Book Antiqua" w:cs="AdvOT863180fb"/>
          <w:color w:val="auto"/>
          <w:sz w:val="24"/>
          <w:szCs w:val="24"/>
          <w:lang w:val="en-US"/>
        </w:rPr>
        <w:t xml:space="preserve">Although MSD transplantation has favorable outcomes, MSD is available for only one third of the patients. So, </w:t>
      </w:r>
      <w:r w:rsidR="00F349CA" w:rsidRPr="00E127AB">
        <w:rPr>
          <w:rFonts w:ascii="Book Antiqua" w:eastAsiaTheme="minorHAnsi" w:hAnsi="Book Antiqua" w:cs="AdvOT863180fb"/>
          <w:color w:val="auto"/>
          <w:sz w:val="24"/>
          <w:szCs w:val="24"/>
          <w:lang w:val="en-US"/>
        </w:rPr>
        <w:t xml:space="preserve">we can choice </w:t>
      </w:r>
      <w:r w:rsidRPr="00E127AB">
        <w:rPr>
          <w:rFonts w:ascii="Book Antiqua" w:eastAsiaTheme="minorHAnsi" w:hAnsi="Book Antiqua" w:cs="AdvOT863180fb"/>
          <w:color w:val="auto"/>
          <w:sz w:val="24"/>
          <w:szCs w:val="24"/>
          <w:lang w:val="en-US"/>
        </w:rPr>
        <w:t>MRD, URD or haploidentical donor</w:t>
      </w:r>
      <w:r w:rsidR="00F349CA" w:rsidRPr="00E127AB">
        <w:rPr>
          <w:rFonts w:ascii="Book Antiqua" w:eastAsiaTheme="minorHAnsi" w:hAnsi="Book Antiqua" w:cs="AdvOT863180fb"/>
          <w:color w:val="auto"/>
          <w:sz w:val="24"/>
          <w:szCs w:val="24"/>
          <w:lang w:val="en-US"/>
        </w:rPr>
        <w:t xml:space="preserve"> for ASCT</w:t>
      </w:r>
      <w:r w:rsidRPr="00E127AB">
        <w:rPr>
          <w:rFonts w:ascii="Book Antiqua" w:eastAsiaTheme="minorHAnsi" w:hAnsi="Book Antiqua" w:cs="AdvOT863180fb"/>
          <w:color w:val="auto"/>
          <w:sz w:val="24"/>
          <w:szCs w:val="24"/>
          <w:lang w:val="en-US"/>
        </w:rPr>
        <w:t xml:space="preserve">. </w:t>
      </w:r>
      <w:r w:rsidR="00D65E10" w:rsidRPr="00E127AB">
        <w:rPr>
          <w:rFonts w:ascii="Book Antiqua" w:eastAsiaTheme="minorHAnsi" w:hAnsi="Book Antiqua" w:cs="AdvOT863180fb"/>
          <w:color w:val="auto"/>
          <w:sz w:val="24"/>
          <w:szCs w:val="24"/>
          <w:lang w:val="en-US"/>
        </w:rPr>
        <w:t xml:space="preserve">Previously, haploidentical donor transplantation </w:t>
      </w:r>
      <w:r w:rsidR="00C551EE" w:rsidRPr="00E127AB">
        <w:rPr>
          <w:rFonts w:ascii="Book Antiqua" w:eastAsiaTheme="minorHAnsi" w:hAnsi="Book Antiqua" w:cs="AdvOT863180fb"/>
          <w:color w:val="auto"/>
          <w:sz w:val="24"/>
          <w:szCs w:val="24"/>
          <w:lang w:val="en-US"/>
        </w:rPr>
        <w:t xml:space="preserve">has </w:t>
      </w:r>
      <w:r w:rsidR="00D65E10" w:rsidRPr="00E127AB">
        <w:rPr>
          <w:rFonts w:ascii="Book Antiqua" w:eastAsiaTheme="minorHAnsi" w:hAnsi="Book Antiqua" w:cs="AdvOT863180fb"/>
          <w:color w:val="auto"/>
          <w:sz w:val="24"/>
          <w:szCs w:val="24"/>
          <w:lang w:val="en-US"/>
        </w:rPr>
        <w:t>ha</w:t>
      </w:r>
      <w:r w:rsidR="00C551EE" w:rsidRPr="00E127AB">
        <w:rPr>
          <w:rFonts w:ascii="Book Antiqua" w:eastAsiaTheme="minorHAnsi" w:hAnsi="Book Antiqua" w:cs="AdvOT863180fb"/>
          <w:color w:val="auto"/>
          <w:sz w:val="24"/>
          <w:szCs w:val="24"/>
          <w:lang w:val="en-US"/>
        </w:rPr>
        <w:t>d</w:t>
      </w:r>
      <w:r w:rsidR="00D65E10" w:rsidRPr="00E127AB">
        <w:rPr>
          <w:rFonts w:ascii="Book Antiqua" w:eastAsiaTheme="minorHAnsi" w:hAnsi="Book Antiqua" w:cs="AdvOT863180fb"/>
          <w:color w:val="auto"/>
          <w:sz w:val="24"/>
          <w:szCs w:val="24"/>
          <w:lang w:val="en-US"/>
        </w:rPr>
        <w:t xml:space="preserve"> inferior outcomes than MSD.</w:t>
      </w:r>
      <w:r w:rsidR="00C551EE" w:rsidRPr="00E127AB">
        <w:rPr>
          <w:rFonts w:ascii="Book Antiqua" w:eastAsiaTheme="minorHAnsi" w:hAnsi="Book Antiqua" w:cs="AdvOT863180fb"/>
          <w:color w:val="auto"/>
          <w:sz w:val="24"/>
          <w:szCs w:val="24"/>
          <w:lang w:val="en-US"/>
        </w:rPr>
        <w:t xml:space="preserve"> These results are related to higher GVHD and TRM rates. P</w:t>
      </w:r>
      <w:r w:rsidR="00020350" w:rsidRPr="00E127AB">
        <w:rPr>
          <w:rFonts w:ascii="Book Antiqua" w:eastAsiaTheme="minorHAnsi" w:hAnsi="Book Antiqua" w:cs="AdvOT863180fb"/>
          <w:color w:val="auto"/>
          <w:sz w:val="24"/>
          <w:szCs w:val="24"/>
          <w:lang w:val="en-US"/>
        </w:rPr>
        <w:t>ost-t</w:t>
      </w:r>
      <w:r w:rsidR="009A1DE7" w:rsidRPr="00E127AB">
        <w:rPr>
          <w:rFonts w:ascii="Book Antiqua" w:eastAsiaTheme="minorHAnsi" w:hAnsi="Book Antiqua" w:cs="AdvOT863180fb"/>
          <w:color w:val="auto"/>
          <w:sz w:val="24"/>
          <w:szCs w:val="24"/>
          <w:lang w:val="en-US"/>
        </w:rPr>
        <w:t xml:space="preserve">ransplantation cyclophosphamide </w:t>
      </w:r>
      <w:r w:rsidR="00C551EE" w:rsidRPr="00E127AB">
        <w:rPr>
          <w:rFonts w:ascii="Book Antiqua" w:eastAsiaTheme="minorHAnsi" w:hAnsi="Book Antiqua" w:cs="AdvOT863180fb"/>
          <w:color w:val="auto"/>
          <w:sz w:val="24"/>
          <w:szCs w:val="24"/>
          <w:lang w:val="en-US"/>
        </w:rPr>
        <w:t xml:space="preserve">improved the outcomes of haploidentical transplantation. </w:t>
      </w:r>
      <w:r w:rsidR="002E469A" w:rsidRPr="00E127AB">
        <w:rPr>
          <w:rFonts w:ascii="Book Antiqua" w:eastAsiaTheme="minorHAnsi" w:hAnsi="Book Antiqua" w:cs="AdvOT863180fb"/>
          <w:color w:val="auto"/>
          <w:sz w:val="24"/>
          <w:szCs w:val="24"/>
          <w:lang w:val="en-US"/>
        </w:rPr>
        <w:t xml:space="preserve">Ma </w:t>
      </w:r>
      <w:r w:rsidR="002E469A" w:rsidRPr="00E127AB">
        <w:rPr>
          <w:rFonts w:ascii="Book Antiqua" w:eastAsiaTheme="minorHAnsi" w:hAnsi="Book Antiqua" w:cs="AdvOT863180fb"/>
          <w:i/>
          <w:color w:val="auto"/>
          <w:sz w:val="24"/>
          <w:szCs w:val="24"/>
          <w:lang w:val="en-US"/>
        </w:rPr>
        <w:t xml:space="preserve">et </w:t>
      </w:r>
      <w:proofErr w:type="gramStart"/>
      <w:r w:rsidR="002E469A" w:rsidRPr="00E127AB">
        <w:rPr>
          <w:rFonts w:ascii="Book Antiqua" w:eastAsiaTheme="minorHAnsi" w:hAnsi="Book Antiqua" w:cs="AdvOT863180fb"/>
          <w:i/>
          <w:color w:val="auto"/>
          <w:sz w:val="24"/>
          <w:szCs w:val="24"/>
          <w:lang w:val="en-US"/>
        </w:rPr>
        <w:t>al</w:t>
      </w:r>
      <w:r w:rsidR="00F619D9" w:rsidRPr="00E127AB">
        <w:rPr>
          <w:rFonts w:ascii="Book Antiqua" w:hAnsi="Book Antiqua" w:cs="Times New Roman"/>
          <w:color w:val="auto"/>
          <w:sz w:val="24"/>
          <w:szCs w:val="24"/>
          <w:vertAlign w:val="superscript"/>
          <w:lang w:val="en-US"/>
        </w:rPr>
        <w:t>[</w:t>
      </w:r>
      <w:proofErr w:type="gramEnd"/>
      <w:r w:rsidR="00696DAB" w:rsidRPr="00E127AB">
        <w:rPr>
          <w:rFonts w:ascii="Book Antiqua" w:hAnsi="Book Antiqua" w:cs="Times New Roman"/>
          <w:color w:val="auto"/>
          <w:sz w:val="24"/>
          <w:szCs w:val="24"/>
          <w:vertAlign w:val="superscript"/>
          <w:lang w:val="en-US"/>
        </w:rPr>
        <w:t>65</w:t>
      </w:r>
      <w:r w:rsidR="0067420C" w:rsidRPr="00E127AB">
        <w:rPr>
          <w:rFonts w:ascii="Book Antiqua" w:hAnsi="Book Antiqua" w:cs="Times New Roman"/>
          <w:color w:val="auto"/>
          <w:sz w:val="24"/>
          <w:szCs w:val="24"/>
          <w:vertAlign w:val="superscript"/>
          <w:lang w:val="en-US"/>
        </w:rPr>
        <w:t>]</w:t>
      </w:r>
      <w:r w:rsidR="002E469A" w:rsidRPr="00E127AB">
        <w:rPr>
          <w:rFonts w:ascii="Book Antiqua" w:eastAsiaTheme="minorHAnsi" w:hAnsi="Book Antiqua" w:cs="AdvOT863180fb"/>
          <w:color w:val="auto"/>
          <w:sz w:val="24"/>
          <w:szCs w:val="24"/>
          <w:lang w:val="en-US"/>
        </w:rPr>
        <w:t xml:space="preserve"> compared outcomes of 67 haploidentical ASCT and 23 MRD ASCT for patients with BP-CML or CP-CML from blast crisis. The 3-year OS and RFS rates were 60.0% and 51.1 for haploidentical transplantation and 55.3% and 47.8% for MRD transplantation, respectively</w:t>
      </w:r>
      <w:r w:rsidR="007C1671" w:rsidRPr="00E127AB">
        <w:rPr>
          <w:rFonts w:ascii="Book Antiqua" w:eastAsiaTheme="minorHAnsi" w:hAnsi="Book Antiqua" w:cs="AdvOT863180fb"/>
          <w:color w:val="auto"/>
          <w:sz w:val="24"/>
          <w:szCs w:val="24"/>
          <w:lang w:val="en-US"/>
        </w:rPr>
        <w:t xml:space="preserve">. </w:t>
      </w:r>
      <w:r w:rsidR="002E469A" w:rsidRPr="00E127AB">
        <w:rPr>
          <w:rFonts w:ascii="Book Antiqua" w:eastAsiaTheme="minorHAnsi" w:hAnsi="Book Antiqua" w:cs="AdvOT863180fb"/>
          <w:color w:val="auto"/>
          <w:sz w:val="24"/>
          <w:szCs w:val="24"/>
          <w:lang w:val="en-US"/>
        </w:rPr>
        <w:t xml:space="preserve">They concluded that haploidentical transplantation </w:t>
      </w:r>
      <w:r w:rsidR="007C1671" w:rsidRPr="00E127AB">
        <w:rPr>
          <w:rFonts w:ascii="Book Antiqua" w:eastAsiaTheme="minorHAnsi" w:hAnsi="Book Antiqua" w:cs="AdvOT863180fb"/>
          <w:color w:val="auto"/>
          <w:sz w:val="24"/>
          <w:szCs w:val="24"/>
          <w:lang w:val="en-US"/>
        </w:rPr>
        <w:t xml:space="preserve">is an option for BP-CML with </w:t>
      </w:r>
      <w:r w:rsidR="002E469A" w:rsidRPr="00E127AB">
        <w:rPr>
          <w:rFonts w:ascii="Book Antiqua" w:eastAsiaTheme="minorHAnsi" w:hAnsi="Book Antiqua" w:cs="AdvOT863180fb"/>
          <w:color w:val="auto"/>
          <w:sz w:val="24"/>
          <w:szCs w:val="24"/>
          <w:lang w:val="en-US"/>
        </w:rPr>
        <w:t>comparable survival to MRD transplantation</w:t>
      </w:r>
      <w:r w:rsidR="001E3E92" w:rsidRPr="00E127AB">
        <w:rPr>
          <w:rFonts w:ascii="Book Antiqua" w:eastAsiaTheme="minorHAnsi" w:hAnsi="Book Antiqua" w:cs="AdvOT863180fb"/>
          <w:color w:val="auto"/>
          <w:sz w:val="24"/>
          <w:szCs w:val="24"/>
          <w:lang w:val="en-US"/>
        </w:rPr>
        <w:t xml:space="preserve">. </w:t>
      </w:r>
    </w:p>
    <w:p w:rsidR="0039324F" w:rsidRPr="00E127AB" w:rsidRDefault="0039324F"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AdvOT863180fb"/>
          <w:color w:val="auto"/>
          <w:sz w:val="24"/>
          <w:szCs w:val="24"/>
          <w:lang w:val="en-US" w:eastAsia="zh-CN"/>
        </w:rPr>
      </w:pPr>
    </w:p>
    <w:p w:rsidR="006E74B9" w:rsidRPr="00E127AB" w:rsidRDefault="00655E2F"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b/>
          <w:i/>
          <w:color w:val="auto"/>
          <w:sz w:val="24"/>
          <w:szCs w:val="24"/>
          <w:lang w:val="en-US"/>
        </w:rPr>
      </w:pPr>
      <w:r w:rsidRPr="00E127AB">
        <w:rPr>
          <w:rFonts w:ascii="Book Antiqua" w:eastAsiaTheme="minorHAnsi" w:hAnsi="Book Antiqua" w:cs="AdvOT863180fb"/>
          <w:b/>
          <w:i/>
          <w:color w:val="auto"/>
          <w:sz w:val="24"/>
          <w:szCs w:val="24"/>
          <w:lang w:val="en-US"/>
        </w:rPr>
        <w:t>Transplantation time</w:t>
      </w:r>
    </w:p>
    <w:p w:rsidR="009461ED" w:rsidRPr="00E127AB" w:rsidRDefault="001B7065"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olor w:val="auto"/>
          <w:sz w:val="24"/>
          <w:szCs w:val="24"/>
          <w:lang w:val="en-US" w:eastAsia="zh-CN"/>
        </w:rPr>
      </w:pPr>
      <w:r w:rsidRPr="00E127AB">
        <w:rPr>
          <w:rFonts w:ascii="Book Antiqua" w:eastAsiaTheme="minorHAnsi" w:hAnsi="Book Antiqua" w:cs="AdvOT863180fb"/>
          <w:color w:val="auto"/>
          <w:sz w:val="24"/>
          <w:szCs w:val="24"/>
          <w:lang w:val="en-US"/>
        </w:rPr>
        <w:t>There are some reports that t</w:t>
      </w:r>
      <w:r w:rsidR="00A7292E" w:rsidRPr="00E127AB">
        <w:rPr>
          <w:rFonts w:ascii="Book Antiqua" w:eastAsiaTheme="minorHAnsi" w:hAnsi="Book Antiqua" w:cs="AdvOT863180fb"/>
          <w:color w:val="auto"/>
          <w:sz w:val="24"/>
          <w:szCs w:val="24"/>
          <w:lang w:val="en-US"/>
        </w:rPr>
        <w:t xml:space="preserve">ime from diagnosis to ASCT less than 12 </w:t>
      </w:r>
      <w:proofErr w:type="spellStart"/>
      <w:r w:rsidR="00A7292E" w:rsidRPr="00E127AB">
        <w:rPr>
          <w:rFonts w:ascii="Book Antiqua" w:eastAsiaTheme="minorHAnsi" w:hAnsi="Book Antiqua" w:cs="AdvOT863180fb"/>
          <w:color w:val="auto"/>
          <w:sz w:val="24"/>
          <w:szCs w:val="24"/>
          <w:lang w:val="en-US"/>
        </w:rPr>
        <w:t>mo</w:t>
      </w:r>
      <w:proofErr w:type="spellEnd"/>
      <w:r w:rsidR="00A7292E" w:rsidRPr="00E127AB">
        <w:rPr>
          <w:rFonts w:ascii="Book Antiqua" w:eastAsiaTheme="minorHAnsi" w:hAnsi="Book Antiqua" w:cs="AdvOT863180fb"/>
          <w:color w:val="auto"/>
          <w:sz w:val="24"/>
          <w:szCs w:val="24"/>
          <w:lang w:val="en-US"/>
        </w:rPr>
        <w:t xml:space="preserve"> is associated with better outcomes for patients advanced phase </w:t>
      </w:r>
      <w:proofErr w:type="gramStart"/>
      <w:r w:rsidR="00AF483B" w:rsidRPr="00E127AB">
        <w:rPr>
          <w:rFonts w:ascii="Book Antiqua" w:eastAsiaTheme="minorHAnsi" w:hAnsi="Book Antiqua" w:cs="AdvOT863180fb"/>
          <w:color w:val="auto"/>
          <w:sz w:val="24"/>
          <w:szCs w:val="24"/>
          <w:lang w:val="en-US"/>
        </w:rPr>
        <w:t>CML</w:t>
      </w:r>
      <w:r w:rsidR="00AF483B" w:rsidRPr="00E127AB">
        <w:rPr>
          <w:rFonts w:ascii="Book Antiqua" w:hAnsi="Book Antiqua" w:cs="Times New Roman"/>
          <w:color w:val="auto"/>
          <w:sz w:val="24"/>
          <w:szCs w:val="24"/>
          <w:vertAlign w:val="superscript"/>
          <w:lang w:val="en-US"/>
        </w:rPr>
        <w:t>[</w:t>
      </w:r>
      <w:proofErr w:type="gramEnd"/>
      <w:r w:rsidR="00696DAB" w:rsidRPr="00E127AB">
        <w:rPr>
          <w:rFonts w:ascii="Book Antiqua" w:hAnsi="Book Antiqua" w:cs="Times New Roman"/>
          <w:color w:val="auto"/>
          <w:sz w:val="24"/>
          <w:szCs w:val="24"/>
          <w:vertAlign w:val="superscript"/>
          <w:lang w:val="en-US"/>
        </w:rPr>
        <w:t>36,37</w:t>
      </w:r>
      <w:r w:rsidR="00EF68D2" w:rsidRPr="00E127AB">
        <w:rPr>
          <w:rFonts w:ascii="Book Antiqua" w:hAnsi="Book Antiqua" w:cs="Times New Roman"/>
          <w:color w:val="auto"/>
          <w:sz w:val="24"/>
          <w:szCs w:val="24"/>
          <w:vertAlign w:val="superscript"/>
          <w:lang w:val="en-US"/>
        </w:rPr>
        <w:t>]</w:t>
      </w:r>
      <w:r w:rsidR="00B874C8" w:rsidRPr="00E127AB">
        <w:rPr>
          <w:rFonts w:ascii="Book Antiqua" w:eastAsiaTheme="minorHAnsi" w:hAnsi="Book Antiqua" w:cs="AdvOT863180fb"/>
          <w:color w:val="auto"/>
          <w:sz w:val="24"/>
          <w:szCs w:val="24"/>
          <w:lang w:val="en-US"/>
        </w:rPr>
        <w:t xml:space="preserve">. </w:t>
      </w:r>
      <w:r w:rsidR="006425AA" w:rsidRPr="00E127AB">
        <w:rPr>
          <w:rFonts w:ascii="Book Antiqua" w:eastAsiaTheme="minorHAnsi" w:hAnsi="Book Antiqua" w:cs="AdvOT863180fb"/>
          <w:color w:val="auto"/>
          <w:sz w:val="24"/>
          <w:szCs w:val="24"/>
          <w:lang w:val="en-US"/>
        </w:rPr>
        <w:t xml:space="preserve">Xu </w:t>
      </w:r>
      <w:r w:rsidR="006425AA" w:rsidRPr="00E127AB">
        <w:rPr>
          <w:rFonts w:ascii="Book Antiqua" w:eastAsiaTheme="minorHAnsi" w:hAnsi="Book Antiqua" w:cs="AdvOT863180fb"/>
          <w:i/>
          <w:color w:val="auto"/>
          <w:sz w:val="24"/>
          <w:szCs w:val="24"/>
          <w:lang w:val="en-US"/>
        </w:rPr>
        <w:t xml:space="preserve">et </w:t>
      </w:r>
      <w:proofErr w:type="gramStart"/>
      <w:r w:rsidR="006425AA" w:rsidRPr="00E127AB">
        <w:rPr>
          <w:rFonts w:ascii="Book Antiqua" w:eastAsiaTheme="minorHAnsi" w:hAnsi="Book Antiqua" w:cs="AdvOT863180fb"/>
          <w:i/>
          <w:color w:val="auto"/>
          <w:sz w:val="24"/>
          <w:szCs w:val="24"/>
          <w:lang w:val="en-US"/>
        </w:rPr>
        <w:t>al</w:t>
      </w:r>
      <w:r w:rsidR="00F619D9" w:rsidRPr="00E127AB">
        <w:rPr>
          <w:rFonts w:ascii="Book Antiqua" w:hAnsi="Book Antiqua" w:cs="Times New Roman"/>
          <w:color w:val="auto"/>
          <w:sz w:val="24"/>
          <w:szCs w:val="24"/>
          <w:vertAlign w:val="superscript"/>
          <w:lang w:val="en-US"/>
        </w:rPr>
        <w:t>[</w:t>
      </w:r>
      <w:proofErr w:type="gramEnd"/>
      <w:r w:rsidR="00696DAB" w:rsidRPr="00E127AB">
        <w:rPr>
          <w:rFonts w:ascii="Book Antiqua" w:hAnsi="Book Antiqua" w:cs="Times New Roman"/>
          <w:color w:val="auto"/>
          <w:sz w:val="24"/>
          <w:szCs w:val="24"/>
          <w:vertAlign w:val="superscript"/>
          <w:lang w:val="en-US"/>
        </w:rPr>
        <w:t>66</w:t>
      </w:r>
      <w:r w:rsidR="0067420C" w:rsidRPr="00E127AB">
        <w:rPr>
          <w:rFonts w:ascii="Book Antiqua" w:hAnsi="Book Antiqua" w:cs="Times New Roman"/>
          <w:color w:val="auto"/>
          <w:sz w:val="24"/>
          <w:szCs w:val="24"/>
          <w:vertAlign w:val="superscript"/>
          <w:lang w:val="en-US"/>
        </w:rPr>
        <w:t>]</w:t>
      </w:r>
      <w:r w:rsidR="006425AA" w:rsidRPr="00E127AB">
        <w:rPr>
          <w:rFonts w:ascii="Book Antiqua" w:eastAsiaTheme="minorHAnsi" w:hAnsi="Book Antiqua" w:cs="AdvOT863180fb"/>
          <w:color w:val="auto"/>
          <w:sz w:val="24"/>
          <w:szCs w:val="24"/>
          <w:lang w:val="en-US"/>
        </w:rPr>
        <w:t xml:space="preserve"> reported that f</w:t>
      </w:r>
      <w:r w:rsidR="00F47297" w:rsidRPr="00E127AB">
        <w:rPr>
          <w:rFonts w:ascii="Book Antiqua" w:eastAsiaTheme="minorHAnsi" w:hAnsi="Book Antiqua" w:cs="AdvOT863180fb"/>
          <w:color w:val="auto"/>
          <w:sz w:val="24"/>
          <w:szCs w:val="24"/>
          <w:lang w:val="en-US"/>
        </w:rPr>
        <w:t xml:space="preserve">or T315I mutation positive CML patients, haploidentical ASCT is </w:t>
      </w:r>
      <w:r w:rsidR="00F47297" w:rsidRPr="00E127AB">
        <w:rPr>
          <w:rFonts w:ascii="Book Antiqua" w:eastAsiaTheme="minorHAnsi" w:hAnsi="Book Antiqua" w:cs="AdvOT863180fb"/>
          <w:color w:val="auto"/>
          <w:sz w:val="24"/>
          <w:szCs w:val="24"/>
          <w:lang w:val="en-US"/>
        </w:rPr>
        <w:lastRenderedPageBreak/>
        <w:t>highly curative treatment</w:t>
      </w:r>
      <w:r w:rsidR="006425AA" w:rsidRPr="00E127AB">
        <w:rPr>
          <w:rFonts w:ascii="Book Antiqua" w:eastAsiaTheme="minorHAnsi" w:hAnsi="Book Antiqua" w:cs="AdvOT863180fb"/>
          <w:color w:val="auto"/>
          <w:sz w:val="24"/>
          <w:szCs w:val="24"/>
          <w:lang w:val="en-US"/>
        </w:rPr>
        <w:t xml:space="preserve"> and </w:t>
      </w:r>
      <w:r w:rsidR="00F47297" w:rsidRPr="00E127AB">
        <w:rPr>
          <w:rFonts w:ascii="Book Antiqua" w:eastAsiaTheme="minorHAnsi" w:hAnsi="Book Antiqua" w:cs="AdvOT863180fb"/>
          <w:color w:val="auto"/>
          <w:sz w:val="24"/>
          <w:szCs w:val="24"/>
          <w:lang w:val="en-US"/>
        </w:rPr>
        <w:t xml:space="preserve">immediate ASCT </w:t>
      </w:r>
      <w:r w:rsidR="006425AA" w:rsidRPr="00E127AB">
        <w:rPr>
          <w:rFonts w:ascii="Book Antiqua" w:eastAsiaTheme="minorHAnsi" w:hAnsi="Book Antiqua" w:cs="AdvOT863180fb"/>
          <w:color w:val="auto"/>
          <w:sz w:val="24"/>
          <w:szCs w:val="24"/>
          <w:lang w:val="en-US"/>
        </w:rPr>
        <w:t>could</w:t>
      </w:r>
      <w:r w:rsidR="00F47297" w:rsidRPr="00E127AB">
        <w:rPr>
          <w:rFonts w:ascii="Book Antiqua" w:eastAsiaTheme="minorHAnsi" w:hAnsi="Book Antiqua" w:cs="AdvOT863180fb"/>
          <w:color w:val="auto"/>
          <w:sz w:val="24"/>
          <w:szCs w:val="24"/>
          <w:lang w:val="en-US"/>
        </w:rPr>
        <w:t xml:space="preserve"> result in promising survival for patients in CP/AP</w:t>
      </w:r>
      <w:r w:rsidR="006425AA" w:rsidRPr="00E127AB">
        <w:rPr>
          <w:rFonts w:ascii="Book Antiqua" w:eastAsiaTheme="minorHAnsi" w:hAnsi="Book Antiqua" w:cs="AdvOT863180fb"/>
          <w:color w:val="auto"/>
          <w:sz w:val="24"/>
          <w:szCs w:val="24"/>
          <w:lang w:val="en-US"/>
        </w:rPr>
        <w:t>.</w:t>
      </w:r>
      <w:r w:rsidR="007B2E04" w:rsidRPr="00E127AB">
        <w:rPr>
          <w:rFonts w:ascii="Book Antiqua" w:eastAsiaTheme="minorHAnsi" w:hAnsi="Book Antiqua" w:cs="AdvOT863180fb"/>
          <w:color w:val="auto"/>
          <w:sz w:val="24"/>
          <w:szCs w:val="24"/>
          <w:lang w:val="en-US"/>
        </w:rPr>
        <w:t xml:space="preserve"> </w:t>
      </w:r>
      <w:r w:rsidR="00DA193C" w:rsidRPr="00E127AB">
        <w:rPr>
          <w:rFonts w:ascii="Book Antiqua" w:eastAsiaTheme="minorHAnsi" w:hAnsi="Book Antiqua" w:cs="AdvOT863180fb"/>
          <w:color w:val="auto"/>
          <w:sz w:val="24"/>
          <w:szCs w:val="24"/>
          <w:lang w:val="en-US"/>
        </w:rPr>
        <w:t xml:space="preserve">There are different suggestions about patients </w:t>
      </w:r>
      <w:r w:rsidR="009461ED" w:rsidRPr="00E127AB">
        <w:rPr>
          <w:rFonts w:ascii="Book Antiqua" w:eastAsiaTheme="minorHAnsi" w:hAnsi="Book Antiqua" w:cs="AdvOT863180fb"/>
          <w:color w:val="auto"/>
          <w:sz w:val="24"/>
          <w:szCs w:val="24"/>
          <w:lang w:val="en-US"/>
        </w:rPr>
        <w:t xml:space="preserve">in CP CML </w:t>
      </w:r>
      <w:r w:rsidR="00DA193C" w:rsidRPr="00E127AB">
        <w:rPr>
          <w:rFonts w:ascii="Book Antiqua" w:eastAsiaTheme="minorHAnsi" w:hAnsi="Book Antiqua" w:cs="AdvOT863180fb"/>
          <w:color w:val="auto"/>
          <w:sz w:val="24"/>
          <w:szCs w:val="24"/>
          <w:lang w:val="en-US"/>
        </w:rPr>
        <w:t>who failed second-line TKI. These patients could receive a third-line agent or be considered for SCT.</w:t>
      </w:r>
      <w:r w:rsidR="00DA193C" w:rsidRPr="00E127AB">
        <w:rPr>
          <w:rFonts w:ascii="Book Antiqua" w:hAnsi="Book Antiqua"/>
          <w:color w:val="auto"/>
          <w:sz w:val="24"/>
          <w:szCs w:val="24"/>
          <w:lang w:val="en-US"/>
        </w:rPr>
        <w:t xml:space="preserve"> Patients in BP should receive</w:t>
      </w:r>
      <w:r w:rsidR="009461ED" w:rsidRPr="00E127AB">
        <w:rPr>
          <w:rFonts w:ascii="Book Antiqua" w:hAnsi="Book Antiqua"/>
          <w:color w:val="auto"/>
          <w:sz w:val="24"/>
          <w:szCs w:val="24"/>
          <w:lang w:val="en-US"/>
        </w:rPr>
        <w:t xml:space="preserve"> </w:t>
      </w:r>
      <w:r w:rsidR="00DA193C" w:rsidRPr="00E127AB">
        <w:rPr>
          <w:rFonts w:ascii="Book Antiqua" w:hAnsi="Book Antiqua"/>
          <w:color w:val="auto"/>
          <w:sz w:val="24"/>
          <w:szCs w:val="24"/>
          <w:lang w:val="en-US"/>
        </w:rPr>
        <w:t>intensive chemotherapy with or without a TKI</w:t>
      </w:r>
      <w:r w:rsidR="009461ED" w:rsidRPr="00E127AB">
        <w:rPr>
          <w:rFonts w:ascii="Book Antiqua" w:hAnsi="Book Antiqua"/>
          <w:color w:val="auto"/>
          <w:sz w:val="24"/>
          <w:szCs w:val="24"/>
          <w:lang w:val="en-US"/>
        </w:rPr>
        <w:t xml:space="preserve">. If patients achieved second chronic phase, ASCT should be </w:t>
      </w:r>
      <w:proofErr w:type="gramStart"/>
      <w:r w:rsidR="00AF483B" w:rsidRPr="00E127AB">
        <w:rPr>
          <w:rFonts w:ascii="Book Antiqua" w:hAnsi="Book Antiqua"/>
          <w:color w:val="auto"/>
          <w:sz w:val="24"/>
          <w:szCs w:val="24"/>
          <w:lang w:val="en-US"/>
        </w:rPr>
        <w:t>considered</w:t>
      </w:r>
      <w:r w:rsidR="00AF483B" w:rsidRPr="00E127AB">
        <w:rPr>
          <w:rFonts w:ascii="Book Antiqua" w:hAnsi="Book Antiqua" w:cs="Times New Roman"/>
          <w:color w:val="auto"/>
          <w:sz w:val="24"/>
          <w:szCs w:val="24"/>
          <w:vertAlign w:val="superscript"/>
          <w:lang w:val="en-US"/>
        </w:rPr>
        <w:t>[</w:t>
      </w:r>
      <w:proofErr w:type="gramEnd"/>
      <w:r w:rsidR="009A0F52" w:rsidRPr="00E127AB">
        <w:rPr>
          <w:rFonts w:ascii="Book Antiqua" w:hAnsi="Book Antiqua" w:cs="Times New Roman"/>
          <w:color w:val="auto"/>
          <w:sz w:val="24"/>
          <w:szCs w:val="24"/>
          <w:vertAlign w:val="superscript"/>
          <w:lang w:val="en-US"/>
        </w:rPr>
        <w:t>9]</w:t>
      </w:r>
      <w:r w:rsidR="009461ED" w:rsidRPr="00E127AB">
        <w:rPr>
          <w:rFonts w:ascii="Book Antiqua" w:hAnsi="Book Antiqua"/>
          <w:color w:val="auto"/>
          <w:sz w:val="24"/>
          <w:szCs w:val="24"/>
          <w:lang w:val="en-US"/>
        </w:rPr>
        <w:t xml:space="preserve">. </w:t>
      </w:r>
    </w:p>
    <w:p w:rsidR="0039324F" w:rsidRPr="00E127AB" w:rsidRDefault="0039324F"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hAnsi="Book Antiqua"/>
          <w:color w:val="auto"/>
          <w:sz w:val="24"/>
          <w:szCs w:val="24"/>
          <w:lang w:val="en-US" w:eastAsia="zh-CN"/>
        </w:rPr>
      </w:pPr>
    </w:p>
    <w:p w:rsidR="0023693D" w:rsidRPr="00E127AB" w:rsidRDefault="00BB2D54"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CONCLUSION</w:t>
      </w:r>
    </w:p>
    <w:p w:rsidR="00080F72" w:rsidRPr="00E127AB" w:rsidRDefault="001C7642"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AdvOT863180fb"/>
          <w:color w:val="auto"/>
          <w:sz w:val="24"/>
          <w:szCs w:val="24"/>
          <w:lang w:val="en-US" w:eastAsia="zh-CN"/>
        </w:rPr>
      </w:pPr>
      <w:r w:rsidRPr="00E127AB">
        <w:rPr>
          <w:rFonts w:ascii="Book Antiqua" w:eastAsiaTheme="minorHAnsi" w:hAnsi="Book Antiqua" w:cs="AdvOT863180fb"/>
          <w:color w:val="auto"/>
          <w:sz w:val="24"/>
          <w:szCs w:val="24"/>
          <w:lang w:val="en-US"/>
        </w:rPr>
        <w:t xml:space="preserve">ASCT is still an important option for treatment of CML. There are some questions about timing of transplantation, optimal conditioning regimen and optimal GVHD prophylaxis. </w:t>
      </w:r>
      <w:r w:rsidR="00780021" w:rsidRPr="00E127AB">
        <w:rPr>
          <w:rFonts w:ascii="Book Antiqua" w:eastAsiaTheme="minorHAnsi" w:hAnsi="Book Antiqua" w:cs="AdvOT863180fb"/>
          <w:color w:val="auto"/>
          <w:sz w:val="24"/>
          <w:szCs w:val="24"/>
          <w:lang w:val="en-US"/>
        </w:rPr>
        <w:t xml:space="preserve">Some reports indicate that using TKI before ASCT is not associated with inferior </w:t>
      </w:r>
      <w:r w:rsidR="00593EC2" w:rsidRPr="00E127AB">
        <w:rPr>
          <w:rFonts w:ascii="Book Antiqua" w:eastAsiaTheme="minorHAnsi" w:hAnsi="Book Antiqua" w:cs="AdvOT863180fb"/>
          <w:color w:val="auto"/>
          <w:sz w:val="24"/>
          <w:szCs w:val="24"/>
          <w:lang w:val="en-US"/>
        </w:rPr>
        <w:t xml:space="preserve">ASCT </w:t>
      </w:r>
      <w:r w:rsidR="00780021" w:rsidRPr="00E127AB">
        <w:rPr>
          <w:rFonts w:ascii="Book Antiqua" w:eastAsiaTheme="minorHAnsi" w:hAnsi="Book Antiqua" w:cs="AdvOT863180fb"/>
          <w:color w:val="auto"/>
          <w:sz w:val="24"/>
          <w:szCs w:val="24"/>
          <w:lang w:val="en-US"/>
        </w:rPr>
        <w:t>outcomes.</w:t>
      </w:r>
      <w:r w:rsidRPr="00E127AB">
        <w:rPr>
          <w:rFonts w:ascii="Book Antiqua" w:eastAsiaTheme="minorHAnsi" w:hAnsi="Book Antiqua" w:cs="AdvOT863180fb"/>
          <w:color w:val="auto"/>
          <w:sz w:val="24"/>
          <w:szCs w:val="24"/>
          <w:lang w:val="en-US"/>
        </w:rPr>
        <w:t xml:space="preserve"> </w:t>
      </w:r>
      <w:r w:rsidR="00AB6E0B" w:rsidRPr="00E127AB">
        <w:rPr>
          <w:rFonts w:ascii="Book Antiqua" w:eastAsiaTheme="minorHAnsi" w:hAnsi="Book Antiqua" w:cs="AdvOT863180fb"/>
          <w:color w:val="auto"/>
          <w:sz w:val="24"/>
          <w:szCs w:val="24"/>
          <w:lang w:val="en-US"/>
        </w:rPr>
        <w:t>Non-</w:t>
      </w:r>
      <w:proofErr w:type="spellStart"/>
      <w:r w:rsidR="00AB6E0B" w:rsidRPr="00E127AB">
        <w:rPr>
          <w:rFonts w:ascii="Book Antiqua" w:eastAsiaTheme="minorHAnsi" w:hAnsi="Book Antiqua" w:cs="AdvOT863180fb"/>
          <w:color w:val="auto"/>
          <w:sz w:val="24"/>
          <w:szCs w:val="24"/>
          <w:lang w:val="en-US"/>
        </w:rPr>
        <w:t>myeloablative</w:t>
      </w:r>
      <w:proofErr w:type="spellEnd"/>
      <w:r w:rsidR="00AB6E0B" w:rsidRPr="00E127AB">
        <w:rPr>
          <w:rFonts w:ascii="Book Antiqua" w:eastAsiaTheme="minorHAnsi" w:hAnsi="Book Antiqua" w:cs="AdvOT863180fb"/>
          <w:color w:val="auto"/>
          <w:sz w:val="24"/>
          <w:szCs w:val="24"/>
          <w:lang w:val="en-US"/>
        </w:rPr>
        <w:t xml:space="preserve"> ASCT seems to be feasible for older and medically infirm patients. </w:t>
      </w:r>
      <w:r w:rsidR="00AA3069" w:rsidRPr="00E127AB">
        <w:rPr>
          <w:rFonts w:ascii="Book Antiqua" w:eastAsiaTheme="minorHAnsi" w:hAnsi="Book Antiqua" w:cs="AdvOT863180fb"/>
          <w:color w:val="auto"/>
          <w:sz w:val="24"/>
          <w:szCs w:val="24"/>
          <w:lang w:val="en-US"/>
        </w:rPr>
        <w:t>Relapse after ASCT can be manage with DLI</w:t>
      </w:r>
      <w:r w:rsidR="00E83DD8" w:rsidRPr="00E127AB">
        <w:rPr>
          <w:rFonts w:ascii="Book Antiqua" w:eastAsiaTheme="minorHAnsi" w:hAnsi="Book Antiqua" w:cs="AdvOT863180fb"/>
          <w:color w:val="auto"/>
          <w:sz w:val="24"/>
          <w:szCs w:val="24"/>
          <w:lang w:val="en-US"/>
        </w:rPr>
        <w:t>s</w:t>
      </w:r>
      <w:r w:rsidR="00AA3069" w:rsidRPr="00E127AB">
        <w:rPr>
          <w:rFonts w:ascii="Book Antiqua" w:eastAsiaTheme="minorHAnsi" w:hAnsi="Book Antiqua" w:cs="AdvOT863180fb"/>
          <w:color w:val="auto"/>
          <w:sz w:val="24"/>
          <w:szCs w:val="24"/>
          <w:lang w:val="en-US"/>
        </w:rPr>
        <w:t xml:space="preserve"> and TKIs.</w:t>
      </w:r>
      <w:r w:rsidR="005E6CDB" w:rsidRPr="00E127AB">
        <w:rPr>
          <w:rFonts w:ascii="Book Antiqua" w:eastAsiaTheme="minorEastAsia" w:hAnsi="Book Antiqua" w:cs="AdvOT863180fb" w:hint="eastAsia"/>
          <w:color w:val="auto"/>
          <w:sz w:val="24"/>
          <w:szCs w:val="24"/>
          <w:lang w:val="en-US" w:eastAsia="zh-CN"/>
        </w:rPr>
        <w:t xml:space="preserve"> </w:t>
      </w:r>
    </w:p>
    <w:p w:rsidR="0039324F" w:rsidRPr="00E127AB" w:rsidRDefault="0039324F" w:rsidP="005E6CDB">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u w:color="000000"/>
          <w:lang w:eastAsia="tr-TR"/>
        </w:rPr>
      </w:pPr>
      <w:r w:rsidRPr="00E127AB">
        <w:rPr>
          <w:rFonts w:ascii="Book Antiqua" w:eastAsiaTheme="minorHAnsi" w:hAnsi="Book Antiqua" w:cs="AdvOT863180fb"/>
        </w:rPr>
        <w:br w:type="page"/>
      </w:r>
    </w:p>
    <w:p w:rsidR="00465E05" w:rsidRPr="00E127AB" w:rsidRDefault="00465E05" w:rsidP="005E6CDB">
      <w:pPr>
        <w:spacing w:line="360" w:lineRule="auto"/>
        <w:jc w:val="both"/>
        <w:rPr>
          <w:rFonts w:ascii="Book Antiqua" w:eastAsia="宋体" w:hAnsi="Book Antiqua" w:cs="宋体"/>
          <w:b/>
          <w:color w:val="000000"/>
          <w:lang w:eastAsia="zh-CN"/>
        </w:rPr>
      </w:pPr>
      <w:r w:rsidRPr="00E127AB">
        <w:rPr>
          <w:rFonts w:ascii="Book Antiqua" w:eastAsia="宋体" w:hAnsi="Book Antiqua" w:cs="宋体" w:hint="eastAsia"/>
          <w:b/>
          <w:color w:val="000000"/>
          <w:lang w:eastAsia="zh-CN"/>
        </w:rPr>
        <w:lastRenderedPageBreak/>
        <w:t>REFERENCES</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1 </w:t>
      </w:r>
      <w:proofErr w:type="spellStart"/>
      <w:r w:rsidRPr="00E127AB">
        <w:rPr>
          <w:rFonts w:ascii="Book Antiqua" w:eastAsia="宋体" w:hAnsi="Book Antiqua" w:cs="宋体"/>
          <w:b/>
          <w:bCs/>
          <w:color w:val="000000"/>
        </w:rPr>
        <w:t>Jabbour</w:t>
      </w:r>
      <w:proofErr w:type="spellEnd"/>
      <w:r w:rsidRPr="00E127AB">
        <w:rPr>
          <w:rFonts w:ascii="Book Antiqua" w:eastAsia="宋体" w:hAnsi="Book Antiqua" w:cs="宋体"/>
          <w:b/>
          <w:bCs/>
          <w:color w:val="000000"/>
        </w:rPr>
        <w:t xml:space="preserve"> E</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Kantarjian</w:t>
      </w:r>
      <w:proofErr w:type="spellEnd"/>
      <w:r w:rsidRPr="00E127AB">
        <w:rPr>
          <w:rFonts w:ascii="Book Antiqua" w:eastAsia="宋体" w:hAnsi="Book Antiqua" w:cs="宋体"/>
          <w:color w:val="000000"/>
        </w:rPr>
        <w:t xml:space="preserve"> H. Chronic myeloid leukemia: 2014 update on diagnosis, monitoring, and management. </w:t>
      </w:r>
      <w:r w:rsidRPr="00E127AB">
        <w:rPr>
          <w:rFonts w:ascii="Book Antiqua" w:eastAsia="宋体" w:hAnsi="Book Antiqua" w:cs="宋体"/>
          <w:i/>
          <w:iCs/>
          <w:color w:val="000000"/>
        </w:rPr>
        <w:t xml:space="preserve">Am J </w:t>
      </w:r>
      <w:proofErr w:type="spellStart"/>
      <w:r w:rsidRPr="00E127AB">
        <w:rPr>
          <w:rFonts w:ascii="Book Antiqua" w:eastAsia="宋体" w:hAnsi="Book Antiqua" w:cs="宋体"/>
          <w:i/>
          <w:iCs/>
          <w:color w:val="000000"/>
        </w:rPr>
        <w:t>Hematol</w:t>
      </w:r>
      <w:proofErr w:type="spellEnd"/>
      <w:r w:rsidRPr="00E127AB">
        <w:rPr>
          <w:rFonts w:ascii="Book Antiqua" w:eastAsia="宋体" w:hAnsi="Book Antiqua" w:cs="宋体"/>
          <w:color w:val="000000"/>
        </w:rPr>
        <w:t> 2014; </w:t>
      </w:r>
      <w:r w:rsidRPr="00E127AB">
        <w:rPr>
          <w:rFonts w:ascii="Book Antiqua" w:eastAsia="宋体" w:hAnsi="Book Antiqua" w:cs="宋体"/>
          <w:b/>
          <w:bCs/>
          <w:color w:val="000000"/>
        </w:rPr>
        <w:t>89</w:t>
      </w:r>
      <w:r w:rsidRPr="00E127AB">
        <w:rPr>
          <w:rFonts w:ascii="Book Antiqua" w:eastAsia="宋体" w:hAnsi="Book Antiqua" w:cs="宋体"/>
          <w:color w:val="000000"/>
        </w:rPr>
        <w:t>: 547-556 [PMID: 24729196 DOI: 10.1002/ajh.23691]</w:t>
      </w:r>
    </w:p>
    <w:p w:rsidR="002B2701" w:rsidRPr="00E127AB" w:rsidRDefault="002B2701" w:rsidP="005E6CDB">
      <w:pPr>
        <w:spacing w:line="360" w:lineRule="auto"/>
        <w:jc w:val="both"/>
        <w:rPr>
          <w:rFonts w:ascii="Book Antiqua" w:eastAsia="宋体" w:hAnsi="Book Antiqua" w:cs="宋体"/>
          <w:color w:val="000000"/>
        </w:rPr>
      </w:pPr>
      <w:proofErr w:type="gramStart"/>
      <w:r w:rsidRPr="00E127AB">
        <w:rPr>
          <w:rFonts w:ascii="Book Antiqua" w:eastAsia="宋体" w:hAnsi="Book Antiqua" w:cs="宋体"/>
          <w:color w:val="000000"/>
        </w:rPr>
        <w:t>2 </w:t>
      </w:r>
      <w:proofErr w:type="spellStart"/>
      <w:r w:rsidRPr="00E127AB">
        <w:rPr>
          <w:rFonts w:ascii="Book Antiqua" w:eastAsia="宋体" w:hAnsi="Book Antiqua" w:cs="宋体"/>
          <w:b/>
          <w:bCs/>
          <w:color w:val="000000"/>
        </w:rPr>
        <w:t>Quintás-Cardama</w:t>
      </w:r>
      <w:proofErr w:type="spellEnd"/>
      <w:r w:rsidRPr="00E127AB">
        <w:rPr>
          <w:rFonts w:ascii="Book Antiqua" w:eastAsia="宋体" w:hAnsi="Book Antiqua" w:cs="宋体"/>
          <w:b/>
          <w:bCs/>
          <w:color w:val="000000"/>
        </w:rPr>
        <w:t xml:space="preserve"> A</w:t>
      </w:r>
      <w:r w:rsidRPr="00E127AB">
        <w:rPr>
          <w:rFonts w:ascii="Book Antiqua" w:eastAsia="宋体" w:hAnsi="Book Antiqua" w:cs="宋体"/>
          <w:color w:val="000000"/>
        </w:rPr>
        <w:t>, Cortes J. Molecular biology of bcr-abl1-positive chronic myeloid leukemia.</w:t>
      </w:r>
      <w:proofErr w:type="gramEnd"/>
      <w:r w:rsidRPr="00E127AB">
        <w:rPr>
          <w:rFonts w:ascii="Book Antiqua" w:eastAsia="宋体" w:hAnsi="Book Antiqua" w:cs="宋体"/>
          <w:color w:val="000000"/>
        </w:rPr>
        <w:t> </w:t>
      </w:r>
      <w:r w:rsidRPr="00E127AB">
        <w:rPr>
          <w:rFonts w:ascii="Book Antiqua" w:eastAsia="宋体" w:hAnsi="Book Antiqua" w:cs="宋体"/>
          <w:i/>
          <w:iCs/>
          <w:color w:val="000000"/>
        </w:rPr>
        <w:t>Blood</w:t>
      </w:r>
      <w:r w:rsidRPr="00E127AB">
        <w:rPr>
          <w:rFonts w:ascii="Book Antiqua" w:eastAsia="宋体" w:hAnsi="Book Antiqua" w:cs="宋体"/>
          <w:color w:val="000000"/>
        </w:rPr>
        <w:t> 2009; </w:t>
      </w:r>
      <w:r w:rsidRPr="00E127AB">
        <w:rPr>
          <w:rFonts w:ascii="Book Antiqua" w:eastAsia="宋体" w:hAnsi="Book Antiqua" w:cs="宋体"/>
          <w:b/>
          <w:bCs/>
          <w:color w:val="000000"/>
        </w:rPr>
        <w:t>113</w:t>
      </w:r>
      <w:r w:rsidRPr="00E127AB">
        <w:rPr>
          <w:rFonts w:ascii="Book Antiqua" w:eastAsia="宋体" w:hAnsi="Book Antiqua" w:cs="宋体"/>
          <w:color w:val="000000"/>
        </w:rPr>
        <w:t>: 1619-1630 [PMID: 18827185 DOI: 10.1182/blood-2008-03-144790]</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3 </w:t>
      </w:r>
      <w:proofErr w:type="spellStart"/>
      <w:r w:rsidRPr="00E127AB">
        <w:rPr>
          <w:rFonts w:ascii="Book Antiqua" w:eastAsia="宋体" w:hAnsi="Book Antiqua" w:cs="宋体"/>
          <w:b/>
          <w:bCs/>
          <w:color w:val="000000"/>
        </w:rPr>
        <w:t>Baccarani</w:t>
      </w:r>
      <w:proofErr w:type="spellEnd"/>
      <w:r w:rsidRPr="00E127AB">
        <w:rPr>
          <w:rFonts w:ascii="Book Antiqua" w:eastAsia="宋体" w:hAnsi="Book Antiqua" w:cs="宋体"/>
          <w:b/>
          <w:bCs/>
          <w:color w:val="000000"/>
        </w:rPr>
        <w:t xml:space="preserve"> M</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Pileri</w:t>
      </w:r>
      <w:proofErr w:type="spellEnd"/>
      <w:r w:rsidRPr="00E127AB">
        <w:rPr>
          <w:rFonts w:ascii="Book Antiqua" w:eastAsia="宋体" w:hAnsi="Book Antiqua" w:cs="宋体"/>
          <w:color w:val="000000"/>
        </w:rPr>
        <w:t xml:space="preserve"> S, </w:t>
      </w:r>
      <w:proofErr w:type="spellStart"/>
      <w:r w:rsidRPr="00E127AB">
        <w:rPr>
          <w:rFonts w:ascii="Book Antiqua" w:eastAsia="宋体" w:hAnsi="Book Antiqua" w:cs="宋体"/>
          <w:color w:val="000000"/>
        </w:rPr>
        <w:t>Steegmann</w:t>
      </w:r>
      <w:proofErr w:type="spellEnd"/>
      <w:r w:rsidRPr="00E127AB">
        <w:rPr>
          <w:rFonts w:ascii="Book Antiqua" w:eastAsia="宋体" w:hAnsi="Book Antiqua" w:cs="宋体"/>
          <w:color w:val="000000"/>
        </w:rPr>
        <w:t xml:space="preserve"> JL, Muller M, </w:t>
      </w:r>
      <w:proofErr w:type="spellStart"/>
      <w:r w:rsidRPr="00E127AB">
        <w:rPr>
          <w:rFonts w:ascii="Book Antiqua" w:eastAsia="宋体" w:hAnsi="Book Antiqua" w:cs="宋体"/>
          <w:color w:val="000000"/>
        </w:rPr>
        <w:t>Soverini</w:t>
      </w:r>
      <w:proofErr w:type="spellEnd"/>
      <w:r w:rsidRPr="00E127AB">
        <w:rPr>
          <w:rFonts w:ascii="Book Antiqua" w:eastAsia="宋体" w:hAnsi="Book Antiqua" w:cs="宋体"/>
          <w:color w:val="000000"/>
        </w:rPr>
        <w:t xml:space="preserve"> S, </w:t>
      </w:r>
      <w:proofErr w:type="spellStart"/>
      <w:r w:rsidRPr="00E127AB">
        <w:rPr>
          <w:rFonts w:ascii="Book Antiqua" w:eastAsia="宋体" w:hAnsi="Book Antiqua" w:cs="宋体"/>
          <w:color w:val="000000"/>
        </w:rPr>
        <w:t>Dreyling</w:t>
      </w:r>
      <w:proofErr w:type="spellEnd"/>
      <w:r w:rsidRPr="00E127AB">
        <w:rPr>
          <w:rFonts w:ascii="Book Antiqua" w:eastAsia="宋体" w:hAnsi="Book Antiqua" w:cs="宋体"/>
          <w:color w:val="000000"/>
        </w:rPr>
        <w:t xml:space="preserve"> M. Chronic myeloid leukemia: ESMO Clinical Practice Guidelines for diagnosis, treatment and follow-up. </w:t>
      </w:r>
      <w:r w:rsidRPr="00E127AB">
        <w:rPr>
          <w:rFonts w:ascii="Book Antiqua" w:eastAsia="宋体" w:hAnsi="Book Antiqua" w:cs="宋体"/>
          <w:i/>
          <w:iCs/>
          <w:color w:val="000000"/>
        </w:rPr>
        <w:t xml:space="preserve">Ann </w:t>
      </w:r>
      <w:proofErr w:type="spellStart"/>
      <w:r w:rsidRPr="00E127AB">
        <w:rPr>
          <w:rFonts w:ascii="Book Antiqua" w:eastAsia="宋体" w:hAnsi="Book Antiqua" w:cs="宋体"/>
          <w:i/>
          <w:iCs/>
          <w:color w:val="000000"/>
        </w:rPr>
        <w:t>Oncol</w:t>
      </w:r>
      <w:proofErr w:type="spellEnd"/>
      <w:r w:rsidRPr="00E127AB">
        <w:rPr>
          <w:rFonts w:ascii="Book Antiqua" w:eastAsia="宋体" w:hAnsi="Book Antiqua" w:cs="宋体"/>
          <w:color w:val="000000"/>
        </w:rPr>
        <w:t> 2012; </w:t>
      </w:r>
      <w:r w:rsidRPr="00E127AB">
        <w:rPr>
          <w:rFonts w:ascii="Book Antiqua" w:eastAsia="宋体" w:hAnsi="Book Antiqua" w:cs="宋体"/>
          <w:b/>
          <w:bCs/>
          <w:color w:val="000000"/>
        </w:rPr>
        <w:t xml:space="preserve">23 </w:t>
      </w:r>
      <w:proofErr w:type="spellStart"/>
      <w:r w:rsidRPr="00E127AB">
        <w:rPr>
          <w:rFonts w:ascii="Book Antiqua" w:eastAsia="宋体" w:hAnsi="Book Antiqua" w:cs="宋体"/>
          <w:bCs/>
          <w:color w:val="000000"/>
        </w:rPr>
        <w:t>Suppl</w:t>
      </w:r>
      <w:proofErr w:type="spellEnd"/>
      <w:r w:rsidRPr="00E127AB">
        <w:rPr>
          <w:rFonts w:ascii="Book Antiqua" w:eastAsia="宋体" w:hAnsi="Book Antiqua" w:cs="宋体"/>
          <w:bCs/>
          <w:color w:val="000000"/>
        </w:rPr>
        <w:t xml:space="preserve"> 7</w:t>
      </w:r>
      <w:r w:rsidRPr="00E127AB">
        <w:rPr>
          <w:rFonts w:ascii="Book Antiqua" w:eastAsia="宋体" w:hAnsi="Book Antiqua" w:cs="宋体"/>
          <w:color w:val="000000"/>
        </w:rPr>
        <w:t>: vii72-vii77 [PMID: 22997458 DOI: 10.1093/</w:t>
      </w:r>
      <w:proofErr w:type="spellStart"/>
      <w:r w:rsidRPr="00E127AB">
        <w:rPr>
          <w:rFonts w:ascii="Book Antiqua" w:eastAsia="宋体" w:hAnsi="Book Antiqua" w:cs="宋体"/>
          <w:color w:val="000000"/>
        </w:rPr>
        <w:t>annonc</w:t>
      </w:r>
      <w:proofErr w:type="spellEnd"/>
      <w:r w:rsidRPr="00E127AB">
        <w:rPr>
          <w:rFonts w:ascii="Book Antiqua" w:eastAsia="宋体" w:hAnsi="Book Antiqua" w:cs="宋体"/>
          <w:color w:val="000000"/>
        </w:rPr>
        <w:t>/mds228]</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 xml:space="preserve">4 </w:t>
      </w:r>
      <w:proofErr w:type="spellStart"/>
      <w:r w:rsidRPr="00E127AB">
        <w:rPr>
          <w:rFonts w:ascii="Book Antiqua" w:eastAsia="宋体" w:hAnsi="Book Antiqua" w:cs="宋体"/>
          <w:b/>
          <w:color w:val="000000"/>
        </w:rPr>
        <w:t>Swerdlow</w:t>
      </w:r>
      <w:proofErr w:type="spellEnd"/>
      <w:r w:rsidRPr="00E127AB">
        <w:rPr>
          <w:rFonts w:ascii="Book Antiqua" w:eastAsia="宋体" w:hAnsi="Book Antiqua" w:cs="宋体"/>
          <w:b/>
          <w:color w:val="000000"/>
        </w:rPr>
        <w:t xml:space="preserve"> SH</w:t>
      </w:r>
      <w:r w:rsidRPr="00E127AB">
        <w:rPr>
          <w:rFonts w:ascii="Book Antiqua" w:eastAsia="宋体" w:hAnsi="Book Antiqua" w:cs="宋体"/>
          <w:color w:val="000000"/>
        </w:rPr>
        <w:t xml:space="preserve">, Campo E, Harris NL, Jaffe ES, </w:t>
      </w:r>
      <w:proofErr w:type="spellStart"/>
      <w:r w:rsidRPr="00E127AB">
        <w:rPr>
          <w:rFonts w:ascii="Book Antiqua" w:eastAsia="宋体" w:hAnsi="Book Antiqua" w:cs="宋体"/>
          <w:color w:val="000000"/>
        </w:rPr>
        <w:t>Pileri</w:t>
      </w:r>
      <w:proofErr w:type="spellEnd"/>
      <w:r w:rsidRPr="00E127AB">
        <w:rPr>
          <w:rFonts w:ascii="Book Antiqua" w:eastAsia="宋体" w:hAnsi="Book Antiqua" w:cs="宋体"/>
          <w:color w:val="000000"/>
        </w:rPr>
        <w:t xml:space="preserve"> SA, Stein H, editors. </w:t>
      </w:r>
      <w:bookmarkStart w:id="36" w:name="OLE_LINK159"/>
      <w:bookmarkStart w:id="37" w:name="OLE_LINK160"/>
      <w:proofErr w:type="gramStart"/>
      <w:r w:rsidRPr="00E127AB">
        <w:rPr>
          <w:rFonts w:ascii="Book Antiqua" w:eastAsia="宋体" w:hAnsi="Book Antiqua" w:cs="宋体"/>
          <w:color w:val="000000"/>
        </w:rPr>
        <w:t xml:space="preserve">World </w:t>
      </w:r>
      <w:r w:rsidR="0007444C" w:rsidRPr="00E127AB">
        <w:rPr>
          <w:rFonts w:ascii="Book Antiqua" w:eastAsia="宋体" w:hAnsi="Book Antiqua" w:cs="宋体"/>
          <w:color w:val="000000"/>
        </w:rPr>
        <w:t>H</w:t>
      </w:r>
      <w:r w:rsidRPr="00E127AB">
        <w:rPr>
          <w:rFonts w:ascii="Book Antiqua" w:eastAsia="宋体" w:hAnsi="Book Antiqua" w:cs="宋体"/>
          <w:color w:val="000000"/>
        </w:rPr>
        <w:t xml:space="preserve">ealth </w:t>
      </w:r>
      <w:r w:rsidR="0007444C" w:rsidRPr="00E127AB">
        <w:rPr>
          <w:rFonts w:ascii="Book Antiqua" w:eastAsia="宋体" w:hAnsi="Book Antiqua" w:cs="宋体"/>
          <w:color w:val="000000"/>
        </w:rPr>
        <w:t>O</w:t>
      </w:r>
      <w:r w:rsidRPr="00E127AB">
        <w:rPr>
          <w:rFonts w:ascii="Book Antiqua" w:eastAsia="宋体" w:hAnsi="Book Antiqua" w:cs="宋体"/>
          <w:color w:val="000000"/>
        </w:rPr>
        <w:t xml:space="preserve">rganization classification of tumors of </w:t>
      </w:r>
      <w:proofErr w:type="spellStart"/>
      <w:r w:rsidRPr="00E127AB">
        <w:rPr>
          <w:rFonts w:ascii="Book Antiqua" w:eastAsia="宋体" w:hAnsi="Book Antiqua" w:cs="宋体"/>
          <w:color w:val="000000"/>
        </w:rPr>
        <w:t>haematopoietics</w:t>
      </w:r>
      <w:proofErr w:type="spellEnd"/>
      <w:r w:rsidRPr="00E127AB">
        <w:rPr>
          <w:rFonts w:ascii="Book Antiqua" w:eastAsia="宋体" w:hAnsi="Book Antiqua" w:cs="宋体"/>
          <w:color w:val="000000"/>
        </w:rPr>
        <w:t xml:space="preserve"> and lymphoid tissues</w:t>
      </w:r>
      <w:bookmarkEnd w:id="36"/>
      <w:bookmarkEnd w:id="37"/>
      <w:r w:rsidRPr="00E127AB">
        <w:rPr>
          <w:rFonts w:ascii="Book Antiqua" w:eastAsia="宋体" w:hAnsi="Book Antiqua" w:cs="宋体"/>
          <w:color w:val="000000"/>
        </w:rPr>
        <w:t>.</w:t>
      </w:r>
      <w:proofErr w:type="gramEnd"/>
      <w:r w:rsidRPr="00E127AB">
        <w:rPr>
          <w:rFonts w:ascii="Book Antiqua" w:eastAsia="宋体" w:hAnsi="Book Antiqua" w:cs="宋体"/>
          <w:color w:val="000000"/>
        </w:rPr>
        <w:t xml:space="preserve"> Lyon, France: IARC Press, 2008</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5 </w:t>
      </w:r>
      <w:proofErr w:type="spellStart"/>
      <w:r w:rsidRPr="00E127AB">
        <w:rPr>
          <w:rFonts w:ascii="Book Antiqua" w:eastAsia="宋体" w:hAnsi="Book Antiqua" w:cs="宋体"/>
          <w:b/>
          <w:bCs/>
          <w:color w:val="000000"/>
        </w:rPr>
        <w:t>Baccarani</w:t>
      </w:r>
      <w:proofErr w:type="spellEnd"/>
      <w:r w:rsidRPr="00E127AB">
        <w:rPr>
          <w:rFonts w:ascii="Book Antiqua" w:eastAsia="宋体" w:hAnsi="Book Antiqua" w:cs="宋体"/>
          <w:b/>
          <w:bCs/>
          <w:color w:val="000000"/>
        </w:rPr>
        <w:t xml:space="preserve"> M</w:t>
      </w:r>
      <w:r w:rsidRPr="00E127AB">
        <w:rPr>
          <w:rFonts w:ascii="Book Antiqua" w:eastAsia="宋体" w:hAnsi="Book Antiqua" w:cs="宋体"/>
          <w:color w:val="000000"/>
        </w:rPr>
        <w:t xml:space="preserve">, Cortes J, Pane F, </w:t>
      </w:r>
      <w:proofErr w:type="spellStart"/>
      <w:r w:rsidRPr="00E127AB">
        <w:rPr>
          <w:rFonts w:ascii="Book Antiqua" w:eastAsia="宋体" w:hAnsi="Book Antiqua" w:cs="宋体"/>
          <w:color w:val="000000"/>
        </w:rPr>
        <w:t>Niederwieser</w:t>
      </w:r>
      <w:proofErr w:type="spellEnd"/>
      <w:r w:rsidRPr="00E127AB">
        <w:rPr>
          <w:rFonts w:ascii="Book Antiqua" w:eastAsia="宋体" w:hAnsi="Book Antiqua" w:cs="宋体"/>
          <w:color w:val="000000"/>
        </w:rPr>
        <w:t xml:space="preserve"> D, </w:t>
      </w:r>
      <w:proofErr w:type="spellStart"/>
      <w:r w:rsidRPr="00E127AB">
        <w:rPr>
          <w:rFonts w:ascii="Book Antiqua" w:eastAsia="宋体" w:hAnsi="Book Antiqua" w:cs="宋体"/>
          <w:color w:val="000000"/>
        </w:rPr>
        <w:t>Saglio</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Apperley</w:t>
      </w:r>
      <w:proofErr w:type="spellEnd"/>
      <w:r w:rsidRPr="00E127AB">
        <w:rPr>
          <w:rFonts w:ascii="Book Antiqua" w:eastAsia="宋体" w:hAnsi="Book Antiqua" w:cs="宋体"/>
          <w:color w:val="000000"/>
        </w:rPr>
        <w:t xml:space="preserve"> J, Cervantes F, </w:t>
      </w:r>
      <w:proofErr w:type="spellStart"/>
      <w:r w:rsidRPr="00E127AB">
        <w:rPr>
          <w:rFonts w:ascii="Book Antiqua" w:eastAsia="宋体" w:hAnsi="Book Antiqua" w:cs="宋体"/>
          <w:color w:val="000000"/>
        </w:rPr>
        <w:t>Deininger</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Gratwohl</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Guilhot</w:t>
      </w:r>
      <w:proofErr w:type="spellEnd"/>
      <w:r w:rsidRPr="00E127AB">
        <w:rPr>
          <w:rFonts w:ascii="Book Antiqua" w:eastAsia="宋体" w:hAnsi="Book Antiqua" w:cs="宋体"/>
          <w:color w:val="000000"/>
        </w:rPr>
        <w:t xml:space="preserve"> F, </w:t>
      </w:r>
      <w:proofErr w:type="spellStart"/>
      <w:r w:rsidRPr="00E127AB">
        <w:rPr>
          <w:rFonts w:ascii="Book Antiqua" w:eastAsia="宋体" w:hAnsi="Book Antiqua" w:cs="宋体"/>
          <w:color w:val="000000"/>
        </w:rPr>
        <w:t>Hochhaus</w:t>
      </w:r>
      <w:proofErr w:type="spellEnd"/>
      <w:r w:rsidRPr="00E127AB">
        <w:rPr>
          <w:rFonts w:ascii="Book Antiqua" w:eastAsia="宋体" w:hAnsi="Book Antiqua" w:cs="宋体"/>
          <w:color w:val="000000"/>
        </w:rPr>
        <w:t xml:space="preserve"> A, Horowitz M, Hughes T, </w:t>
      </w:r>
      <w:proofErr w:type="spellStart"/>
      <w:r w:rsidRPr="00E127AB">
        <w:rPr>
          <w:rFonts w:ascii="Book Antiqua" w:eastAsia="宋体" w:hAnsi="Book Antiqua" w:cs="宋体"/>
          <w:color w:val="000000"/>
        </w:rPr>
        <w:t>Kantarjian</w:t>
      </w:r>
      <w:proofErr w:type="spellEnd"/>
      <w:r w:rsidRPr="00E127AB">
        <w:rPr>
          <w:rFonts w:ascii="Book Antiqua" w:eastAsia="宋体" w:hAnsi="Book Antiqua" w:cs="宋体"/>
          <w:color w:val="000000"/>
        </w:rPr>
        <w:t xml:space="preserve"> H, Larson R, </w:t>
      </w:r>
      <w:proofErr w:type="spellStart"/>
      <w:r w:rsidRPr="00E127AB">
        <w:rPr>
          <w:rFonts w:ascii="Book Antiqua" w:eastAsia="宋体" w:hAnsi="Book Antiqua" w:cs="宋体"/>
          <w:color w:val="000000"/>
        </w:rPr>
        <w:t>Radich</w:t>
      </w:r>
      <w:proofErr w:type="spellEnd"/>
      <w:r w:rsidRPr="00E127AB">
        <w:rPr>
          <w:rFonts w:ascii="Book Antiqua" w:eastAsia="宋体" w:hAnsi="Book Antiqua" w:cs="宋体"/>
          <w:color w:val="000000"/>
        </w:rPr>
        <w:t xml:space="preserve"> J, </w:t>
      </w:r>
      <w:proofErr w:type="spellStart"/>
      <w:r w:rsidRPr="00E127AB">
        <w:rPr>
          <w:rFonts w:ascii="Book Antiqua" w:eastAsia="宋体" w:hAnsi="Book Antiqua" w:cs="宋体"/>
          <w:color w:val="000000"/>
        </w:rPr>
        <w:t>Simonsson</w:t>
      </w:r>
      <w:proofErr w:type="spellEnd"/>
      <w:r w:rsidRPr="00E127AB">
        <w:rPr>
          <w:rFonts w:ascii="Book Antiqua" w:eastAsia="宋体" w:hAnsi="Book Antiqua" w:cs="宋体"/>
          <w:color w:val="000000"/>
        </w:rPr>
        <w:t xml:space="preserve"> B, Silver RT, Goldman J, </w:t>
      </w:r>
      <w:proofErr w:type="spellStart"/>
      <w:r w:rsidRPr="00E127AB">
        <w:rPr>
          <w:rFonts w:ascii="Book Antiqua" w:eastAsia="宋体" w:hAnsi="Book Antiqua" w:cs="宋体"/>
          <w:color w:val="000000"/>
        </w:rPr>
        <w:t>Hehlmann</w:t>
      </w:r>
      <w:proofErr w:type="spellEnd"/>
      <w:r w:rsidRPr="00E127AB">
        <w:rPr>
          <w:rFonts w:ascii="Book Antiqua" w:eastAsia="宋体" w:hAnsi="Book Antiqua" w:cs="宋体"/>
          <w:color w:val="000000"/>
        </w:rPr>
        <w:t xml:space="preserve"> R. Chronic myeloid leukemia: an update of concepts and management recommendations of European </w:t>
      </w:r>
      <w:proofErr w:type="spellStart"/>
      <w:r w:rsidRPr="00E127AB">
        <w:rPr>
          <w:rFonts w:ascii="Book Antiqua" w:eastAsia="宋体" w:hAnsi="Book Antiqua" w:cs="宋体"/>
          <w:color w:val="000000"/>
        </w:rPr>
        <w:t>LeukemiaNet</w:t>
      </w:r>
      <w:proofErr w:type="spellEnd"/>
      <w:r w:rsidRPr="00E127AB">
        <w:rPr>
          <w:rFonts w:ascii="Book Antiqua" w:eastAsia="宋体" w:hAnsi="Book Antiqua" w:cs="宋体"/>
          <w:color w:val="000000"/>
        </w:rPr>
        <w:t>. </w:t>
      </w:r>
      <w:r w:rsidRPr="00E127AB">
        <w:rPr>
          <w:rFonts w:ascii="Book Antiqua" w:eastAsia="宋体" w:hAnsi="Book Antiqua" w:cs="宋体"/>
          <w:i/>
          <w:iCs/>
          <w:color w:val="000000"/>
        </w:rPr>
        <w:t xml:space="preserve">J </w:t>
      </w:r>
      <w:proofErr w:type="spellStart"/>
      <w:r w:rsidRPr="00E127AB">
        <w:rPr>
          <w:rFonts w:ascii="Book Antiqua" w:eastAsia="宋体" w:hAnsi="Book Antiqua" w:cs="宋体"/>
          <w:i/>
          <w:iCs/>
          <w:color w:val="000000"/>
        </w:rPr>
        <w:t>Clin</w:t>
      </w:r>
      <w:proofErr w:type="spellEnd"/>
      <w:r w:rsidRPr="00E127AB">
        <w:rPr>
          <w:rFonts w:ascii="Book Antiqua" w:eastAsia="宋体" w:hAnsi="Book Antiqua" w:cs="宋体"/>
          <w:i/>
          <w:iCs/>
          <w:color w:val="000000"/>
        </w:rPr>
        <w:t xml:space="preserve"> </w:t>
      </w:r>
      <w:proofErr w:type="spellStart"/>
      <w:r w:rsidRPr="00E127AB">
        <w:rPr>
          <w:rFonts w:ascii="Book Antiqua" w:eastAsia="宋体" w:hAnsi="Book Antiqua" w:cs="宋体"/>
          <w:i/>
          <w:iCs/>
          <w:color w:val="000000"/>
        </w:rPr>
        <w:t>Oncol</w:t>
      </w:r>
      <w:proofErr w:type="spellEnd"/>
      <w:r w:rsidRPr="00E127AB">
        <w:rPr>
          <w:rFonts w:ascii="Book Antiqua" w:eastAsia="宋体" w:hAnsi="Book Antiqua" w:cs="宋体"/>
          <w:color w:val="000000"/>
        </w:rPr>
        <w:t> 2009; </w:t>
      </w:r>
      <w:r w:rsidRPr="00E127AB">
        <w:rPr>
          <w:rFonts w:ascii="Book Antiqua" w:eastAsia="宋体" w:hAnsi="Book Antiqua" w:cs="宋体"/>
          <w:b/>
          <w:bCs/>
          <w:color w:val="000000"/>
        </w:rPr>
        <w:t>27</w:t>
      </w:r>
      <w:r w:rsidRPr="00E127AB">
        <w:rPr>
          <w:rFonts w:ascii="Book Antiqua" w:eastAsia="宋体" w:hAnsi="Book Antiqua" w:cs="宋体"/>
          <w:color w:val="000000"/>
        </w:rPr>
        <w:t>: 6041-6051 [PMID: 19884523 DOI: 10.1200/JCO.2009.25.0779]</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6 </w:t>
      </w:r>
      <w:proofErr w:type="spellStart"/>
      <w:r w:rsidRPr="00E127AB">
        <w:rPr>
          <w:rFonts w:ascii="Book Antiqua" w:eastAsia="宋体" w:hAnsi="Book Antiqua" w:cs="宋体"/>
          <w:b/>
          <w:bCs/>
          <w:color w:val="000000"/>
        </w:rPr>
        <w:t>Sokal</w:t>
      </w:r>
      <w:proofErr w:type="spellEnd"/>
      <w:r w:rsidRPr="00E127AB">
        <w:rPr>
          <w:rFonts w:ascii="Book Antiqua" w:eastAsia="宋体" w:hAnsi="Book Antiqua" w:cs="宋体"/>
          <w:b/>
          <w:bCs/>
          <w:color w:val="000000"/>
        </w:rPr>
        <w:t xml:space="preserve"> JE</w:t>
      </w:r>
      <w:r w:rsidRPr="00E127AB">
        <w:rPr>
          <w:rFonts w:ascii="Book Antiqua" w:eastAsia="宋体" w:hAnsi="Book Antiqua" w:cs="宋体"/>
          <w:color w:val="000000"/>
        </w:rPr>
        <w:t xml:space="preserve">, Cox EB, </w:t>
      </w:r>
      <w:proofErr w:type="spellStart"/>
      <w:r w:rsidRPr="00E127AB">
        <w:rPr>
          <w:rFonts w:ascii="Book Antiqua" w:eastAsia="宋体" w:hAnsi="Book Antiqua" w:cs="宋体"/>
          <w:color w:val="000000"/>
        </w:rPr>
        <w:t>Baccarani</w:t>
      </w:r>
      <w:proofErr w:type="spellEnd"/>
      <w:r w:rsidRPr="00E127AB">
        <w:rPr>
          <w:rFonts w:ascii="Book Antiqua" w:eastAsia="宋体" w:hAnsi="Book Antiqua" w:cs="宋体"/>
          <w:color w:val="000000"/>
        </w:rPr>
        <w:t xml:space="preserve"> M, Tura S, Gomez GA, Robertson JE, Tso CY, Braun TJ, Clarkson BD, Cervantes F. Prognostic discrimination in "good-risk" chronic granulocytic leukemia. </w:t>
      </w:r>
      <w:r w:rsidRPr="00E127AB">
        <w:rPr>
          <w:rFonts w:ascii="Book Antiqua" w:eastAsia="宋体" w:hAnsi="Book Antiqua" w:cs="宋体"/>
          <w:i/>
          <w:iCs/>
          <w:color w:val="000000"/>
        </w:rPr>
        <w:t>Blood</w:t>
      </w:r>
      <w:r w:rsidRPr="00E127AB">
        <w:rPr>
          <w:rFonts w:ascii="Book Antiqua" w:eastAsia="宋体" w:hAnsi="Book Antiqua" w:cs="宋体"/>
          <w:color w:val="000000"/>
        </w:rPr>
        <w:t> 1984; </w:t>
      </w:r>
      <w:r w:rsidRPr="00E127AB">
        <w:rPr>
          <w:rFonts w:ascii="Book Antiqua" w:eastAsia="宋体" w:hAnsi="Book Antiqua" w:cs="宋体"/>
          <w:b/>
          <w:bCs/>
          <w:color w:val="000000"/>
        </w:rPr>
        <w:t>63</w:t>
      </w:r>
      <w:r w:rsidRPr="00E127AB">
        <w:rPr>
          <w:rFonts w:ascii="Book Antiqua" w:eastAsia="宋体" w:hAnsi="Book Antiqua" w:cs="宋体"/>
          <w:color w:val="000000"/>
        </w:rPr>
        <w:t>: 789-799 [PMID: 6584184]</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7 </w:t>
      </w:r>
      <w:proofErr w:type="spellStart"/>
      <w:r w:rsidRPr="00E127AB">
        <w:rPr>
          <w:rFonts w:ascii="Book Antiqua" w:eastAsia="宋体" w:hAnsi="Book Antiqua" w:cs="宋体"/>
          <w:b/>
          <w:bCs/>
          <w:color w:val="000000"/>
        </w:rPr>
        <w:t>Hasford</w:t>
      </w:r>
      <w:proofErr w:type="spellEnd"/>
      <w:r w:rsidRPr="00E127AB">
        <w:rPr>
          <w:rFonts w:ascii="Book Antiqua" w:eastAsia="宋体" w:hAnsi="Book Antiqua" w:cs="宋体"/>
          <w:b/>
          <w:bCs/>
          <w:color w:val="000000"/>
        </w:rPr>
        <w:t xml:space="preserve"> J</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Pfirrmann</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Hehlmann</w:t>
      </w:r>
      <w:proofErr w:type="spellEnd"/>
      <w:r w:rsidRPr="00E127AB">
        <w:rPr>
          <w:rFonts w:ascii="Book Antiqua" w:eastAsia="宋体" w:hAnsi="Book Antiqua" w:cs="宋体"/>
          <w:color w:val="000000"/>
        </w:rPr>
        <w:t xml:space="preserve"> R, Allan NC, </w:t>
      </w:r>
      <w:proofErr w:type="spellStart"/>
      <w:r w:rsidRPr="00E127AB">
        <w:rPr>
          <w:rFonts w:ascii="Book Antiqua" w:eastAsia="宋体" w:hAnsi="Book Antiqua" w:cs="宋体"/>
          <w:color w:val="000000"/>
        </w:rPr>
        <w:t>Baccarani</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Kluin-Nelemans</w:t>
      </w:r>
      <w:proofErr w:type="spellEnd"/>
      <w:r w:rsidRPr="00E127AB">
        <w:rPr>
          <w:rFonts w:ascii="Book Antiqua" w:eastAsia="宋体" w:hAnsi="Book Antiqua" w:cs="宋体"/>
          <w:color w:val="000000"/>
        </w:rPr>
        <w:t xml:space="preserve"> JC, </w:t>
      </w:r>
      <w:proofErr w:type="spellStart"/>
      <w:r w:rsidRPr="00E127AB">
        <w:rPr>
          <w:rFonts w:ascii="Book Antiqua" w:eastAsia="宋体" w:hAnsi="Book Antiqua" w:cs="宋体"/>
          <w:color w:val="000000"/>
        </w:rPr>
        <w:t>Alimena</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Steegmann</w:t>
      </w:r>
      <w:proofErr w:type="spellEnd"/>
      <w:r w:rsidRPr="00E127AB">
        <w:rPr>
          <w:rFonts w:ascii="Book Antiqua" w:eastAsia="宋体" w:hAnsi="Book Antiqua" w:cs="宋体"/>
          <w:color w:val="000000"/>
        </w:rPr>
        <w:t xml:space="preserve"> JL, Ansari H. A new prognostic score for survival of patients with chronic myeloid leukemia treated with interferon alfa. Writing Committee for the Collaborative CML Prognostic Factors Project Group. </w:t>
      </w:r>
      <w:r w:rsidRPr="00E127AB">
        <w:rPr>
          <w:rFonts w:ascii="Book Antiqua" w:eastAsia="宋体" w:hAnsi="Book Antiqua" w:cs="宋体"/>
          <w:i/>
          <w:iCs/>
          <w:color w:val="000000"/>
        </w:rPr>
        <w:t>J Natl Cancer Inst</w:t>
      </w:r>
      <w:r w:rsidRPr="00E127AB">
        <w:rPr>
          <w:rFonts w:ascii="Book Antiqua" w:eastAsia="宋体" w:hAnsi="Book Antiqua" w:cs="宋体"/>
          <w:color w:val="000000"/>
        </w:rPr>
        <w:t> 1998; </w:t>
      </w:r>
      <w:r w:rsidRPr="00E127AB">
        <w:rPr>
          <w:rFonts w:ascii="Book Antiqua" w:eastAsia="宋体" w:hAnsi="Book Antiqua" w:cs="宋体"/>
          <w:b/>
          <w:bCs/>
          <w:color w:val="000000"/>
        </w:rPr>
        <w:t>90</w:t>
      </w:r>
      <w:r w:rsidRPr="00E127AB">
        <w:rPr>
          <w:rFonts w:ascii="Book Antiqua" w:eastAsia="宋体" w:hAnsi="Book Antiqua" w:cs="宋体"/>
          <w:color w:val="000000"/>
        </w:rPr>
        <w:t>: 850-858 [PMID: 9625174]</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8 </w:t>
      </w:r>
      <w:proofErr w:type="spellStart"/>
      <w:r w:rsidRPr="00E127AB">
        <w:rPr>
          <w:rFonts w:ascii="Book Antiqua" w:eastAsia="宋体" w:hAnsi="Book Antiqua" w:cs="宋体"/>
          <w:b/>
          <w:bCs/>
          <w:color w:val="000000"/>
        </w:rPr>
        <w:t>Hasford</w:t>
      </w:r>
      <w:proofErr w:type="spellEnd"/>
      <w:r w:rsidRPr="00E127AB">
        <w:rPr>
          <w:rFonts w:ascii="Book Antiqua" w:eastAsia="宋体" w:hAnsi="Book Antiqua" w:cs="宋体"/>
          <w:b/>
          <w:bCs/>
          <w:color w:val="000000"/>
        </w:rPr>
        <w:t xml:space="preserve"> J</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Baccarani</w:t>
      </w:r>
      <w:proofErr w:type="spellEnd"/>
      <w:r w:rsidRPr="00E127AB">
        <w:rPr>
          <w:rFonts w:ascii="Book Antiqua" w:eastAsia="宋体" w:hAnsi="Book Antiqua" w:cs="宋体"/>
          <w:color w:val="000000"/>
        </w:rPr>
        <w:t xml:space="preserve"> M, Hoffmann V, </w:t>
      </w:r>
      <w:proofErr w:type="spellStart"/>
      <w:r w:rsidRPr="00E127AB">
        <w:rPr>
          <w:rFonts w:ascii="Book Antiqua" w:eastAsia="宋体" w:hAnsi="Book Antiqua" w:cs="宋体"/>
          <w:color w:val="000000"/>
        </w:rPr>
        <w:t>Guilhot</w:t>
      </w:r>
      <w:proofErr w:type="spellEnd"/>
      <w:r w:rsidRPr="00E127AB">
        <w:rPr>
          <w:rFonts w:ascii="Book Antiqua" w:eastAsia="宋体" w:hAnsi="Book Antiqua" w:cs="宋体"/>
          <w:color w:val="000000"/>
        </w:rPr>
        <w:t xml:space="preserve"> J, </w:t>
      </w:r>
      <w:proofErr w:type="spellStart"/>
      <w:r w:rsidRPr="00E127AB">
        <w:rPr>
          <w:rFonts w:ascii="Book Antiqua" w:eastAsia="宋体" w:hAnsi="Book Antiqua" w:cs="宋体"/>
          <w:color w:val="000000"/>
        </w:rPr>
        <w:t>Saussele</w:t>
      </w:r>
      <w:proofErr w:type="spellEnd"/>
      <w:r w:rsidRPr="00E127AB">
        <w:rPr>
          <w:rFonts w:ascii="Book Antiqua" w:eastAsia="宋体" w:hAnsi="Book Antiqua" w:cs="宋体"/>
          <w:color w:val="000000"/>
        </w:rPr>
        <w:t xml:space="preserve"> S, </w:t>
      </w:r>
      <w:proofErr w:type="spellStart"/>
      <w:r w:rsidRPr="00E127AB">
        <w:rPr>
          <w:rFonts w:ascii="Book Antiqua" w:eastAsia="宋体" w:hAnsi="Book Antiqua" w:cs="宋体"/>
          <w:color w:val="000000"/>
        </w:rPr>
        <w:t>Rosti</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Guilhot</w:t>
      </w:r>
      <w:proofErr w:type="spellEnd"/>
      <w:r w:rsidRPr="00E127AB">
        <w:rPr>
          <w:rFonts w:ascii="Book Antiqua" w:eastAsia="宋体" w:hAnsi="Book Antiqua" w:cs="宋体"/>
          <w:color w:val="000000"/>
        </w:rPr>
        <w:t xml:space="preserve"> F, </w:t>
      </w:r>
      <w:proofErr w:type="spellStart"/>
      <w:r w:rsidRPr="00E127AB">
        <w:rPr>
          <w:rFonts w:ascii="Book Antiqua" w:eastAsia="宋体" w:hAnsi="Book Antiqua" w:cs="宋体"/>
          <w:color w:val="000000"/>
        </w:rPr>
        <w:t>Porkka</w:t>
      </w:r>
      <w:proofErr w:type="spellEnd"/>
      <w:r w:rsidRPr="00E127AB">
        <w:rPr>
          <w:rFonts w:ascii="Book Antiqua" w:eastAsia="宋体" w:hAnsi="Book Antiqua" w:cs="宋体"/>
          <w:color w:val="000000"/>
        </w:rPr>
        <w:t xml:space="preserve"> K, </w:t>
      </w:r>
      <w:proofErr w:type="spellStart"/>
      <w:r w:rsidRPr="00E127AB">
        <w:rPr>
          <w:rFonts w:ascii="Book Antiqua" w:eastAsia="宋体" w:hAnsi="Book Antiqua" w:cs="宋体"/>
          <w:color w:val="000000"/>
        </w:rPr>
        <w:t>Ossenkoppele</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Lindoerfer</w:t>
      </w:r>
      <w:proofErr w:type="spellEnd"/>
      <w:r w:rsidRPr="00E127AB">
        <w:rPr>
          <w:rFonts w:ascii="Book Antiqua" w:eastAsia="宋体" w:hAnsi="Book Antiqua" w:cs="宋体"/>
          <w:color w:val="000000"/>
        </w:rPr>
        <w:t xml:space="preserve"> D, </w:t>
      </w:r>
      <w:proofErr w:type="spellStart"/>
      <w:r w:rsidRPr="00E127AB">
        <w:rPr>
          <w:rFonts w:ascii="Book Antiqua" w:eastAsia="宋体" w:hAnsi="Book Antiqua" w:cs="宋体"/>
          <w:color w:val="000000"/>
        </w:rPr>
        <w:t>Simonsson</w:t>
      </w:r>
      <w:proofErr w:type="spellEnd"/>
      <w:r w:rsidRPr="00E127AB">
        <w:rPr>
          <w:rFonts w:ascii="Book Antiqua" w:eastAsia="宋体" w:hAnsi="Book Antiqua" w:cs="宋体"/>
          <w:color w:val="000000"/>
        </w:rPr>
        <w:t xml:space="preserve"> B, </w:t>
      </w:r>
      <w:proofErr w:type="spellStart"/>
      <w:r w:rsidRPr="00E127AB">
        <w:rPr>
          <w:rFonts w:ascii="Book Antiqua" w:eastAsia="宋体" w:hAnsi="Book Antiqua" w:cs="宋体"/>
          <w:color w:val="000000"/>
        </w:rPr>
        <w:t>Pfirrmann</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Hehlmann</w:t>
      </w:r>
      <w:proofErr w:type="spellEnd"/>
      <w:r w:rsidRPr="00E127AB">
        <w:rPr>
          <w:rFonts w:ascii="Book Antiqua" w:eastAsia="宋体" w:hAnsi="Book Antiqua" w:cs="宋体"/>
          <w:color w:val="000000"/>
        </w:rPr>
        <w:t xml:space="preserve"> R. </w:t>
      </w:r>
      <w:r w:rsidRPr="00E127AB">
        <w:rPr>
          <w:rFonts w:ascii="Book Antiqua" w:eastAsia="宋体" w:hAnsi="Book Antiqua" w:cs="宋体"/>
          <w:color w:val="000000"/>
        </w:rPr>
        <w:lastRenderedPageBreak/>
        <w:t xml:space="preserve">Predicting complete cytogenetic response and subsequent progression-free survival in 2060 patients with CML on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treatment: the EUTOS score. </w:t>
      </w:r>
      <w:r w:rsidRPr="00E127AB">
        <w:rPr>
          <w:rFonts w:ascii="Book Antiqua" w:eastAsia="宋体" w:hAnsi="Book Antiqua" w:cs="宋体"/>
          <w:i/>
          <w:iCs/>
          <w:color w:val="000000"/>
        </w:rPr>
        <w:t>Blood</w:t>
      </w:r>
      <w:r w:rsidRPr="00E127AB">
        <w:rPr>
          <w:rFonts w:ascii="Book Antiqua" w:eastAsia="宋体" w:hAnsi="Book Antiqua" w:cs="宋体"/>
          <w:color w:val="000000"/>
        </w:rPr>
        <w:t> 2011; </w:t>
      </w:r>
      <w:r w:rsidRPr="00E127AB">
        <w:rPr>
          <w:rFonts w:ascii="Book Antiqua" w:eastAsia="宋体" w:hAnsi="Book Antiqua" w:cs="宋体"/>
          <w:b/>
          <w:bCs/>
          <w:color w:val="000000"/>
        </w:rPr>
        <w:t>118</w:t>
      </w:r>
      <w:r w:rsidRPr="00E127AB">
        <w:rPr>
          <w:rFonts w:ascii="Book Antiqua" w:eastAsia="宋体" w:hAnsi="Book Antiqua" w:cs="宋体"/>
          <w:color w:val="000000"/>
        </w:rPr>
        <w:t>: 686-692 [PMID: 21536864 DOI: 10.1182/blood-2010-12-319038]</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9 </w:t>
      </w:r>
      <w:proofErr w:type="spellStart"/>
      <w:r w:rsidRPr="00E127AB">
        <w:rPr>
          <w:rFonts w:ascii="Book Antiqua" w:eastAsia="宋体" w:hAnsi="Book Antiqua" w:cs="宋体"/>
          <w:b/>
          <w:bCs/>
          <w:color w:val="000000"/>
        </w:rPr>
        <w:t>Baccarani</w:t>
      </w:r>
      <w:proofErr w:type="spellEnd"/>
      <w:r w:rsidRPr="00E127AB">
        <w:rPr>
          <w:rFonts w:ascii="Book Antiqua" w:eastAsia="宋体" w:hAnsi="Book Antiqua" w:cs="宋体"/>
          <w:b/>
          <w:bCs/>
          <w:color w:val="000000"/>
        </w:rPr>
        <w:t xml:space="preserve"> M</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Deininger</w:t>
      </w:r>
      <w:proofErr w:type="spellEnd"/>
      <w:r w:rsidRPr="00E127AB">
        <w:rPr>
          <w:rFonts w:ascii="Book Antiqua" w:eastAsia="宋体" w:hAnsi="Book Antiqua" w:cs="宋体"/>
          <w:color w:val="000000"/>
        </w:rPr>
        <w:t xml:space="preserve"> MW, </w:t>
      </w:r>
      <w:proofErr w:type="spellStart"/>
      <w:r w:rsidRPr="00E127AB">
        <w:rPr>
          <w:rFonts w:ascii="Book Antiqua" w:eastAsia="宋体" w:hAnsi="Book Antiqua" w:cs="宋体"/>
          <w:color w:val="000000"/>
        </w:rPr>
        <w:t>Rosti</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Hochhaus</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Soverini</w:t>
      </w:r>
      <w:proofErr w:type="spellEnd"/>
      <w:r w:rsidRPr="00E127AB">
        <w:rPr>
          <w:rFonts w:ascii="Book Antiqua" w:eastAsia="宋体" w:hAnsi="Book Antiqua" w:cs="宋体"/>
          <w:color w:val="000000"/>
        </w:rPr>
        <w:t xml:space="preserve"> S, </w:t>
      </w:r>
      <w:proofErr w:type="spellStart"/>
      <w:r w:rsidRPr="00E127AB">
        <w:rPr>
          <w:rFonts w:ascii="Book Antiqua" w:eastAsia="宋体" w:hAnsi="Book Antiqua" w:cs="宋体"/>
          <w:color w:val="000000"/>
        </w:rPr>
        <w:t>Apperley</w:t>
      </w:r>
      <w:proofErr w:type="spellEnd"/>
      <w:r w:rsidRPr="00E127AB">
        <w:rPr>
          <w:rFonts w:ascii="Book Antiqua" w:eastAsia="宋体" w:hAnsi="Book Antiqua" w:cs="宋体"/>
          <w:color w:val="000000"/>
        </w:rPr>
        <w:t xml:space="preserve"> JF, Cervantes F, Clark RE, Cortes JE, </w:t>
      </w:r>
      <w:proofErr w:type="spellStart"/>
      <w:r w:rsidRPr="00E127AB">
        <w:rPr>
          <w:rFonts w:ascii="Book Antiqua" w:eastAsia="宋体" w:hAnsi="Book Antiqua" w:cs="宋体"/>
          <w:color w:val="000000"/>
        </w:rPr>
        <w:t>Guilhot</w:t>
      </w:r>
      <w:proofErr w:type="spellEnd"/>
      <w:r w:rsidRPr="00E127AB">
        <w:rPr>
          <w:rFonts w:ascii="Book Antiqua" w:eastAsia="宋体" w:hAnsi="Book Antiqua" w:cs="宋体"/>
          <w:color w:val="000000"/>
        </w:rPr>
        <w:t xml:space="preserve"> F, </w:t>
      </w:r>
      <w:proofErr w:type="spellStart"/>
      <w:r w:rsidRPr="00E127AB">
        <w:rPr>
          <w:rFonts w:ascii="Book Antiqua" w:eastAsia="宋体" w:hAnsi="Book Antiqua" w:cs="宋体"/>
          <w:color w:val="000000"/>
        </w:rPr>
        <w:t>Hjorth</w:t>
      </w:r>
      <w:proofErr w:type="spellEnd"/>
      <w:r w:rsidRPr="00E127AB">
        <w:rPr>
          <w:rFonts w:ascii="Book Antiqua" w:eastAsia="宋体" w:hAnsi="Book Antiqua" w:cs="宋体"/>
          <w:color w:val="000000"/>
        </w:rPr>
        <w:t xml:space="preserve">-Hansen H, Hughes TP, </w:t>
      </w:r>
      <w:proofErr w:type="spellStart"/>
      <w:r w:rsidRPr="00E127AB">
        <w:rPr>
          <w:rFonts w:ascii="Book Antiqua" w:eastAsia="宋体" w:hAnsi="Book Antiqua" w:cs="宋体"/>
          <w:color w:val="000000"/>
        </w:rPr>
        <w:t>Kantarjian</w:t>
      </w:r>
      <w:proofErr w:type="spellEnd"/>
      <w:r w:rsidRPr="00E127AB">
        <w:rPr>
          <w:rFonts w:ascii="Book Antiqua" w:eastAsia="宋体" w:hAnsi="Book Antiqua" w:cs="宋体"/>
          <w:color w:val="000000"/>
        </w:rPr>
        <w:t xml:space="preserve"> HM, Kim DW, Larson RA, Lipton JH, Mahon FX, </w:t>
      </w:r>
      <w:proofErr w:type="spellStart"/>
      <w:r w:rsidRPr="00E127AB">
        <w:rPr>
          <w:rFonts w:ascii="Book Antiqua" w:eastAsia="宋体" w:hAnsi="Book Antiqua" w:cs="宋体"/>
          <w:color w:val="000000"/>
        </w:rPr>
        <w:t>Martinelli</w:t>
      </w:r>
      <w:proofErr w:type="spellEnd"/>
      <w:r w:rsidRPr="00E127AB">
        <w:rPr>
          <w:rFonts w:ascii="Book Antiqua" w:eastAsia="宋体" w:hAnsi="Book Antiqua" w:cs="宋体"/>
          <w:color w:val="000000"/>
        </w:rPr>
        <w:t xml:space="preserve"> G, Mayer J, Müller MC, </w:t>
      </w:r>
      <w:proofErr w:type="spellStart"/>
      <w:r w:rsidRPr="00E127AB">
        <w:rPr>
          <w:rFonts w:ascii="Book Antiqua" w:eastAsia="宋体" w:hAnsi="Book Antiqua" w:cs="宋体"/>
          <w:color w:val="000000"/>
        </w:rPr>
        <w:t>Niederwieser</w:t>
      </w:r>
      <w:proofErr w:type="spellEnd"/>
      <w:r w:rsidRPr="00E127AB">
        <w:rPr>
          <w:rFonts w:ascii="Book Antiqua" w:eastAsia="宋体" w:hAnsi="Book Antiqua" w:cs="宋体"/>
          <w:color w:val="000000"/>
        </w:rPr>
        <w:t xml:space="preserve"> D, Pane F, </w:t>
      </w:r>
      <w:proofErr w:type="spellStart"/>
      <w:r w:rsidRPr="00E127AB">
        <w:rPr>
          <w:rFonts w:ascii="Book Antiqua" w:eastAsia="宋体" w:hAnsi="Book Antiqua" w:cs="宋体"/>
          <w:color w:val="000000"/>
        </w:rPr>
        <w:t>Radich</w:t>
      </w:r>
      <w:proofErr w:type="spellEnd"/>
      <w:r w:rsidRPr="00E127AB">
        <w:rPr>
          <w:rFonts w:ascii="Book Antiqua" w:eastAsia="宋体" w:hAnsi="Book Antiqua" w:cs="宋体"/>
          <w:color w:val="000000"/>
        </w:rPr>
        <w:t xml:space="preserve"> JP, </w:t>
      </w:r>
      <w:proofErr w:type="spellStart"/>
      <w:r w:rsidRPr="00E127AB">
        <w:rPr>
          <w:rFonts w:ascii="Book Antiqua" w:eastAsia="宋体" w:hAnsi="Book Antiqua" w:cs="宋体"/>
          <w:color w:val="000000"/>
        </w:rPr>
        <w:t>Rousselot</w:t>
      </w:r>
      <w:proofErr w:type="spellEnd"/>
      <w:r w:rsidRPr="00E127AB">
        <w:rPr>
          <w:rFonts w:ascii="Book Antiqua" w:eastAsia="宋体" w:hAnsi="Book Antiqua" w:cs="宋体"/>
          <w:color w:val="000000"/>
        </w:rPr>
        <w:t xml:space="preserve"> P, </w:t>
      </w:r>
      <w:proofErr w:type="spellStart"/>
      <w:r w:rsidRPr="00E127AB">
        <w:rPr>
          <w:rFonts w:ascii="Book Antiqua" w:eastAsia="宋体" w:hAnsi="Book Antiqua" w:cs="宋体"/>
          <w:color w:val="000000"/>
        </w:rPr>
        <w:t>Saglio</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Saußele</w:t>
      </w:r>
      <w:proofErr w:type="spellEnd"/>
      <w:r w:rsidRPr="00E127AB">
        <w:rPr>
          <w:rFonts w:ascii="Book Antiqua" w:eastAsia="宋体" w:hAnsi="Book Antiqua" w:cs="宋体"/>
          <w:color w:val="000000"/>
        </w:rPr>
        <w:t xml:space="preserve"> S, Schiffer C, Silver R, </w:t>
      </w:r>
      <w:proofErr w:type="spellStart"/>
      <w:r w:rsidRPr="00E127AB">
        <w:rPr>
          <w:rFonts w:ascii="Book Antiqua" w:eastAsia="宋体" w:hAnsi="Book Antiqua" w:cs="宋体"/>
          <w:color w:val="000000"/>
        </w:rPr>
        <w:t>Simonsson</w:t>
      </w:r>
      <w:proofErr w:type="spellEnd"/>
      <w:r w:rsidRPr="00E127AB">
        <w:rPr>
          <w:rFonts w:ascii="Book Antiqua" w:eastAsia="宋体" w:hAnsi="Book Antiqua" w:cs="宋体"/>
          <w:color w:val="000000"/>
        </w:rPr>
        <w:t xml:space="preserve"> B, </w:t>
      </w:r>
      <w:proofErr w:type="spellStart"/>
      <w:r w:rsidRPr="00E127AB">
        <w:rPr>
          <w:rFonts w:ascii="Book Antiqua" w:eastAsia="宋体" w:hAnsi="Book Antiqua" w:cs="宋体"/>
          <w:color w:val="000000"/>
        </w:rPr>
        <w:t>Steegmann</w:t>
      </w:r>
      <w:proofErr w:type="spellEnd"/>
      <w:r w:rsidRPr="00E127AB">
        <w:rPr>
          <w:rFonts w:ascii="Book Antiqua" w:eastAsia="宋体" w:hAnsi="Book Antiqua" w:cs="宋体"/>
          <w:color w:val="000000"/>
        </w:rPr>
        <w:t xml:space="preserve"> JL, Goldman JM, </w:t>
      </w:r>
      <w:proofErr w:type="spellStart"/>
      <w:r w:rsidRPr="00E127AB">
        <w:rPr>
          <w:rFonts w:ascii="Book Antiqua" w:eastAsia="宋体" w:hAnsi="Book Antiqua" w:cs="宋体"/>
          <w:color w:val="000000"/>
        </w:rPr>
        <w:t>Hehlmann</w:t>
      </w:r>
      <w:proofErr w:type="spellEnd"/>
      <w:r w:rsidRPr="00E127AB">
        <w:rPr>
          <w:rFonts w:ascii="Book Antiqua" w:eastAsia="宋体" w:hAnsi="Book Antiqua" w:cs="宋体"/>
          <w:color w:val="000000"/>
        </w:rPr>
        <w:t xml:space="preserve"> R. European </w:t>
      </w:r>
      <w:proofErr w:type="spellStart"/>
      <w:r w:rsidRPr="00E127AB">
        <w:rPr>
          <w:rFonts w:ascii="Book Antiqua" w:eastAsia="宋体" w:hAnsi="Book Antiqua" w:cs="宋体"/>
          <w:color w:val="000000"/>
        </w:rPr>
        <w:t>LeukemiaNet</w:t>
      </w:r>
      <w:proofErr w:type="spellEnd"/>
      <w:r w:rsidRPr="00E127AB">
        <w:rPr>
          <w:rFonts w:ascii="Book Antiqua" w:eastAsia="宋体" w:hAnsi="Book Antiqua" w:cs="宋体"/>
          <w:color w:val="000000"/>
        </w:rPr>
        <w:t xml:space="preserve"> recommendations for the management of chronic myeloid leukemia: 2013. </w:t>
      </w:r>
      <w:r w:rsidRPr="00E127AB">
        <w:rPr>
          <w:rFonts w:ascii="Book Antiqua" w:eastAsia="宋体" w:hAnsi="Book Antiqua" w:cs="宋体"/>
          <w:i/>
          <w:iCs/>
          <w:color w:val="000000"/>
        </w:rPr>
        <w:t>Blood</w:t>
      </w:r>
      <w:r w:rsidRPr="00E127AB">
        <w:rPr>
          <w:rFonts w:ascii="Book Antiqua" w:eastAsia="宋体" w:hAnsi="Book Antiqua" w:cs="宋体"/>
          <w:color w:val="000000"/>
        </w:rPr>
        <w:t> 2013; </w:t>
      </w:r>
      <w:r w:rsidRPr="00E127AB">
        <w:rPr>
          <w:rFonts w:ascii="Book Antiqua" w:eastAsia="宋体" w:hAnsi="Book Antiqua" w:cs="宋体"/>
          <w:b/>
          <w:bCs/>
          <w:color w:val="000000"/>
        </w:rPr>
        <w:t>122</w:t>
      </w:r>
      <w:r w:rsidRPr="00E127AB">
        <w:rPr>
          <w:rFonts w:ascii="Book Antiqua" w:eastAsia="宋体" w:hAnsi="Book Antiqua" w:cs="宋体"/>
          <w:color w:val="000000"/>
        </w:rPr>
        <w:t>: 872-884 [PMID: 23803709 DOI: 10.1182/blood-2013-05-501569]</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 xml:space="preserve">10 </w:t>
      </w:r>
      <w:proofErr w:type="spellStart"/>
      <w:r w:rsidRPr="00E127AB">
        <w:rPr>
          <w:rFonts w:ascii="Book Antiqua" w:eastAsia="宋体" w:hAnsi="Book Antiqua" w:cs="宋体"/>
          <w:b/>
          <w:color w:val="000000"/>
        </w:rPr>
        <w:t>Deininger</w:t>
      </w:r>
      <w:proofErr w:type="spellEnd"/>
      <w:r w:rsidRPr="00E127AB">
        <w:rPr>
          <w:rFonts w:ascii="Book Antiqua" w:eastAsia="宋体" w:hAnsi="Book Antiqua" w:cs="宋体"/>
          <w:b/>
          <w:color w:val="000000"/>
        </w:rPr>
        <w:t xml:space="preserve"> M</w:t>
      </w:r>
      <w:r w:rsidRPr="00E127AB">
        <w:rPr>
          <w:rFonts w:ascii="Book Antiqua" w:eastAsia="宋体" w:hAnsi="Book Antiqua" w:cs="宋体"/>
          <w:color w:val="000000"/>
        </w:rPr>
        <w:t xml:space="preserve">, O’Brien SG, </w:t>
      </w:r>
      <w:proofErr w:type="spellStart"/>
      <w:r w:rsidRPr="00E127AB">
        <w:rPr>
          <w:rFonts w:ascii="Book Antiqua" w:eastAsia="宋体" w:hAnsi="Book Antiqua" w:cs="宋体"/>
          <w:color w:val="000000"/>
        </w:rPr>
        <w:t>Guilhot</w:t>
      </w:r>
      <w:proofErr w:type="spellEnd"/>
      <w:r w:rsidRPr="00E127AB">
        <w:rPr>
          <w:rFonts w:ascii="Book Antiqua" w:eastAsia="宋体" w:hAnsi="Book Antiqua" w:cs="宋体"/>
          <w:color w:val="000000"/>
        </w:rPr>
        <w:t xml:space="preserve"> F, Goldman JM, </w:t>
      </w:r>
      <w:proofErr w:type="spellStart"/>
      <w:r w:rsidRPr="00E127AB">
        <w:rPr>
          <w:rFonts w:ascii="Book Antiqua" w:eastAsia="宋体" w:hAnsi="Book Antiqua" w:cs="宋体"/>
          <w:color w:val="000000"/>
        </w:rPr>
        <w:t>Hochhaus</w:t>
      </w:r>
      <w:proofErr w:type="spellEnd"/>
      <w:r w:rsidRPr="00E127AB">
        <w:rPr>
          <w:rFonts w:ascii="Book Antiqua" w:eastAsia="宋体" w:hAnsi="Book Antiqua" w:cs="宋体"/>
          <w:color w:val="000000"/>
        </w:rPr>
        <w:t xml:space="preserve"> A, Hughes TP, </w:t>
      </w:r>
      <w:proofErr w:type="spellStart"/>
      <w:r w:rsidRPr="00E127AB">
        <w:rPr>
          <w:rFonts w:ascii="Book Antiqua" w:eastAsia="宋体" w:hAnsi="Book Antiqua" w:cs="宋体"/>
          <w:color w:val="000000"/>
        </w:rPr>
        <w:t>Radich</w:t>
      </w:r>
      <w:proofErr w:type="spellEnd"/>
      <w:r w:rsidRPr="00E127AB">
        <w:rPr>
          <w:rFonts w:ascii="Book Antiqua" w:eastAsia="宋体" w:hAnsi="Book Antiqua" w:cs="宋体"/>
          <w:color w:val="000000"/>
        </w:rPr>
        <w:t xml:space="preserve"> JP, Hatfield AK, </w:t>
      </w:r>
      <w:proofErr w:type="spellStart"/>
      <w:r w:rsidRPr="00E127AB">
        <w:rPr>
          <w:rFonts w:ascii="Book Antiqua" w:eastAsia="宋体" w:hAnsi="Book Antiqua" w:cs="宋体"/>
          <w:color w:val="000000"/>
        </w:rPr>
        <w:t>Mone</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Filian</w:t>
      </w:r>
      <w:proofErr w:type="spellEnd"/>
      <w:r w:rsidRPr="00E127AB">
        <w:rPr>
          <w:rFonts w:ascii="Book Antiqua" w:eastAsia="宋体" w:hAnsi="Book Antiqua" w:cs="宋体"/>
          <w:color w:val="000000"/>
        </w:rPr>
        <w:t xml:space="preserve"> J, Reynolds J, </w:t>
      </w:r>
      <w:proofErr w:type="spellStart"/>
      <w:r w:rsidRPr="00E127AB">
        <w:rPr>
          <w:rFonts w:ascii="Book Antiqua" w:eastAsia="宋体" w:hAnsi="Book Antiqua" w:cs="宋体"/>
          <w:color w:val="000000"/>
        </w:rPr>
        <w:t>Gathmann</w:t>
      </w:r>
      <w:proofErr w:type="spellEnd"/>
      <w:r w:rsidRPr="00E127AB">
        <w:rPr>
          <w:rFonts w:ascii="Book Antiqua" w:eastAsia="宋体" w:hAnsi="Book Antiqua" w:cs="宋体"/>
          <w:color w:val="000000"/>
        </w:rPr>
        <w:t xml:space="preserve"> I, Larson RA, </w:t>
      </w:r>
      <w:proofErr w:type="spellStart"/>
      <w:r w:rsidRPr="00E127AB">
        <w:rPr>
          <w:rFonts w:ascii="Book Antiqua" w:eastAsia="宋体" w:hAnsi="Book Antiqua" w:cs="宋体"/>
          <w:color w:val="000000"/>
        </w:rPr>
        <w:t>Druker</w:t>
      </w:r>
      <w:proofErr w:type="spellEnd"/>
      <w:r w:rsidRPr="00E127AB">
        <w:rPr>
          <w:rFonts w:ascii="Book Antiqua" w:eastAsia="宋体" w:hAnsi="Book Antiqua" w:cs="宋体"/>
          <w:color w:val="000000"/>
        </w:rPr>
        <w:t xml:space="preserve"> BJ. </w:t>
      </w:r>
      <w:bookmarkStart w:id="38" w:name="OLE_LINK161"/>
      <w:r w:rsidRPr="00E127AB">
        <w:rPr>
          <w:rFonts w:ascii="Book Antiqua" w:eastAsia="宋体" w:hAnsi="Book Antiqua" w:cs="宋体"/>
          <w:color w:val="000000"/>
        </w:rPr>
        <w:t xml:space="preserve">International randomized study of interferon vs STI571 (IRIS) 8-year follow up: sustained survival and low risk for progression or events in patients with newly diagnosed chronic myeloid leukemia in chronic phase treated with </w:t>
      </w:r>
      <w:proofErr w:type="spellStart"/>
      <w:r w:rsidRPr="00E127AB">
        <w:rPr>
          <w:rFonts w:ascii="Book Antiqua" w:eastAsia="宋体" w:hAnsi="Book Antiqua" w:cs="宋体"/>
          <w:color w:val="000000"/>
        </w:rPr>
        <w:t>imatinib</w:t>
      </w:r>
      <w:bookmarkEnd w:id="38"/>
      <w:proofErr w:type="spellEnd"/>
      <w:r w:rsidRPr="00E127AB">
        <w:rPr>
          <w:rFonts w:ascii="Book Antiqua" w:eastAsia="宋体" w:hAnsi="Book Antiqua" w:cs="宋体"/>
          <w:color w:val="000000"/>
        </w:rPr>
        <w:t xml:space="preserve">. </w:t>
      </w:r>
      <w:bookmarkStart w:id="39" w:name="OLE_LINK162"/>
      <w:r w:rsidRPr="00E127AB">
        <w:rPr>
          <w:rFonts w:ascii="Book Antiqua" w:eastAsia="宋体" w:hAnsi="Book Antiqua" w:cs="宋体"/>
          <w:i/>
          <w:color w:val="000000"/>
        </w:rPr>
        <w:t>ASH Annual Meeting Abstracts</w:t>
      </w:r>
      <w:r w:rsidRPr="00E127AB">
        <w:rPr>
          <w:rFonts w:ascii="Book Antiqua" w:eastAsia="宋体" w:hAnsi="Book Antiqua" w:cs="宋体"/>
          <w:color w:val="000000"/>
        </w:rPr>
        <w:t xml:space="preserve"> 2009; </w:t>
      </w:r>
      <w:r w:rsidRPr="00E127AB">
        <w:rPr>
          <w:rFonts w:ascii="Book Antiqua" w:eastAsia="宋体" w:hAnsi="Book Antiqua" w:cs="宋体"/>
          <w:b/>
          <w:color w:val="000000"/>
        </w:rPr>
        <w:t>114</w:t>
      </w:r>
      <w:r w:rsidRPr="00E127AB">
        <w:rPr>
          <w:rFonts w:ascii="Book Antiqua" w:eastAsia="宋体" w:hAnsi="Book Antiqua" w:cs="宋体"/>
          <w:color w:val="000000"/>
        </w:rPr>
        <w:t>: 1126</w:t>
      </w:r>
      <w:bookmarkEnd w:id="39"/>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11 </w:t>
      </w:r>
      <w:proofErr w:type="spellStart"/>
      <w:r w:rsidRPr="00E127AB">
        <w:rPr>
          <w:rFonts w:ascii="Book Antiqua" w:eastAsia="宋体" w:hAnsi="Book Antiqua" w:cs="宋体"/>
          <w:b/>
          <w:bCs/>
          <w:color w:val="000000"/>
        </w:rPr>
        <w:t>Kantarjian</w:t>
      </w:r>
      <w:proofErr w:type="spellEnd"/>
      <w:r w:rsidRPr="00E127AB">
        <w:rPr>
          <w:rFonts w:ascii="Book Antiqua" w:eastAsia="宋体" w:hAnsi="Book Antiqua" w:cs="宋体"/>
          <w:b/>
          <w:bCs/>
          <w:color w:val="000000"/>
        </w:rPr>
        <w:t xml:space="preserve"> HM</w:t>
      </w:r>
      <w:r w:rsidRPr="00E127AB">
        <w:rPr>
          <w:rFonts w:ascii="Book Antiqua" w:eastAsia="宋体" w:hAnsi="Book Antiqua" w:cs="宋体"/>
          <w:color w:val="000000"/>
        </w:rPr>
        <w:t xml:space="preserve">, Shah NP, Cortes JE, </w:t>
      </w:r>
      <w:proofErr w:type="spellStart"/>
      <w:r w:rsidRPr="00E127AB">
        <w:rPr>
          <w:rFonts w:ascii="Book Antiqua" w:eastAsia="宋体" w:hAnsi="Book Antiqua" w:cs="宋体"/>
          <w:color w:val="000000"/>
        </w:rPr>
        <w:t>Baccarani</w:t>
      </w:r>
      <w:proofErr w:type="spellEnd"/>
      <w:r w:rsidRPr="00E127AB">
        <w:rPr>
          <w:rFonts w:ascii="Book Antiqua" w:eastAsia="宋体" w:hAnsi="Book Antiqua" w:cs="宋体"/>
          <w:color w:val="000000"/>
        </w:rPr>
        <w:t xml:space="preserve"> M, Agarwal MB, </w:t>
      </w:r>
      <w:proofErr w:type="spellStart"/>
      <w:r w:rsidRPr="00E127AB">
        <w:rPr>
          <w:rFonts w:ascii="Book Antiqua" w:eastAsia="宋体" w:hAnsi="Book Antiqua" w:cs="宋体"/>
          <w:color w:val="000000"/>
        </w:rPr>
        <w:t>Undurraga</w:t>
      </w:r>
      <w:proofErr w:type="spellEnd"/>
      <w:r w:rsidRPr="00E127AB">
        <w:rPr>
          <w:rFonts w:ascii="Book Antiqua" w:eastAsia="宋体" w:hAnsi="Book Antiqua" w:cs="宋体"/>
          <w:color w:val="000000"/>
        </w:rPr>
        <w:t xml:space="preserve"> MS, Wang J, </w:t>
      </w:r>
      <w:proofErr w:type="spellStart"/>
      <w:r w:rsidRPr="00E127AB">
        <w:rPr>
          <w:rFonts w:ascii="Book Antiqua" w:eastAsia="宋体" w:hAnsi="Book Antiqua" w:cs="宋体"/>
          <w:color w:val="000000"/>
        </w:rPr>
        <w:t>Ipiña</w:t>
      </w:r>
      <w:proofErr w:type="spellEnd"/>
      <w:r w:rsidRPr="00E127AB">
        <w:rPr>
          <w:rFonts w:ascii="Book Antiqua" w:eastAsia="宋体" w:hAnsi="Book Antiqua" w:cs="宋体"/>
          <w:color w:val="000000"/>
        </w:rPr>
        <w:t xml:space="preserve"> JJ, Kim DW, Ogura M, </w:t>
      </w:r>
      <w:proofErr w:type="spellStart"/>
      <w:r w:rsidRPr="00E127AB">
        <w:rPr>
          <w:rFonts w:ascii="Book Antiqua" w:eastAsia="宋体" w:hAnsi="Book Antiqua" w:cs="宋体"/>
          <w:color w:val="000000"/>
        </w:rPr>
        <w:t>Pavlovsky</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Junghanss</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Milone</w:t>
      </w:r>
      <w:proofErr w:type="spellEnd"/>
      <w:r w:rsidRPr="00E127AB">
        <w:rPr>
          <w:rFonts w:ascii="Book Antiqua" w:eastAsia="宋体" w:hAnsi="Book Antiqua" w:cs="宋体"/>
          <w:color w:val="000000"/>
        </w:rPr>
        <w:t xml:space="preserve"> JH, </w:t>
      </w:r>
      <w:proofErr w:type="spellStart"/>
      <w:r w:rsidRPr="00E127AB">
        <w:rPr>
          <w:rFonts w:ascii="Book Antiqua" w:eastAsia="宋体" w:hAnsi="Book Antiqua" w:cs="宋体"/>
          <w:color w:val="000000"/>
        </w:rPr>
        <w:t>Nicolini</w:t>
      </w:r>
      <w:proofErr w:type="spellEnd"/>
      <w:r w:rsidRPr="00E127AB">
        <w:rPr>
          <w:rFonts w:ascii="Book Antiqua" w:eastAsia="宋体" w:hAnsi="Book Antiqua" w:cs="宋体"/>
          <w:color w:val="000000"/>
        </w:rPr>
        <w:t xml:space="preserve"> FE, </w:t>
      </w:r>
      <w:proofErr w:type="spellStart"/>
      <w:r w:rsidRPr="00E127AB">
        <w:rPr>
          <w:rFonts w:ascii="Book Antiqua" w:eastAsia="宋体" w:hAnsi="Book Antiqua" w:cs="宋体"/>
          <w:color w:val="000000"/>
        </w:rPr>
        <w:t>Robak</w:t>
      </w:r>
      <w:proofErr w:type="spellEnd"/>
      <w:r w:rsidRPr="00E127AB">
        <w:rPr>
          <w:rFonts w:ascii="Book Antiqua" w:eastAsia="宋体" w:hAnsi="Book Antiqua" w:cs="宋体"/>
          <w:color w:val="000000"/>
        </w:rPr>
        <w:t xml:space="preserve"> T, Van </w:t>
      </w:r>
      <w:proofErr w:type="spellStart"/>
      <w:r w:rsidRPr="00E127AB">
        <w:rPr>
          <w:rFonts w:ascii="Book Antiqua" w:eastAsia="宋体" w:hAnsi="Book Antiqua" w:cs="宋体"/>
          <w:color w:val="000000"/>
        </w:rPr>
        <w:t>Droogenbroeck</w:t>
      </w:r>
      <w:proofErr w:type="spellEnd"/>
      <w:r w:rsidRPr="00E127AB">
        <w:rPr>
          <w:rFonts w:ascii="Book Antiqua" w:eastAsia="宋体" w:hAnsi="Book Antiqua" w:cs="宋体"/>
          <w:color w:val="000000"/>
        </w:rPr>
        <w:t xml:space="preserve"> J, </w:t>
      </w:r>
      <w:proofErr w:type="spellStart"/>
      <w:r w:rsidRPr="00E127AB">
        <w:rPr>
          <w:rFonts w:ascii="Book Antiqua" w:eastAsia="宋体" w:hAnsi="Book Antiqua" w:cs="宋体"/>
          <w:color w:val="000000"/>
        </w:rPr>
        <w:t>Vellenga</w:t>
      </w:r>
      <w:proofErr w:type="spellEnd"/>
      <w:r w:rsidRPr="00E127AB">
        <w:rPr>
          <w:rFonts w:ascii="Book Antiqua" w:eastAsia="宋体" w:hAnsi="Book Antiqua" w:cs="宋体"/>
          <w:color w:val="000000"/>
        </w:rPr>
        <w:t xml:space="preserve"> E, Bradley-</w:t>
      </w:r>
      <w:proofErr w:type="spellStart"/>
      <w:r w:rsidRPr="00E127AB">
        <w:rPr>
          <w:rFonts w:ascii="Book Antiqua" w:eastAsia="宋体" w:hAnsi="Book Antiqua" w:cs="宋体"/>
          <w:color w:val="000000"/>
        </w:rPr>
        <w:t>Garelik</w:t>
      </w:r>
      <w:proofErr w:type="spellEnd"/>
      <w:r w:rsidRPr="00E127AB">
        <w:rPr>
          <w:rFonts w:ascii="Book Antiqua" w:eastAsia="宋体" w:hAnsi="Book Antiqua" w:cs="宋体"/>
          <w:color w:val="000000"/>
        </w:rPr>
        <w:t xml:space="preserve"> MB, Zhu C, </w:t>
      </w:r>
      <w:proofErr w:type="spellStart"/>
      <w:r w:rsidRPr="00E127AB">
        <w:rPr>
          <w:rFonts w:ascii="Book Antiqua" w:eastAsia="宋体" w:hAnsi="Book Antiqua" w:cs="宋体"/>
          <w:color w:val="000000"/>
        </w:rPr>
        <w:t>Hochhaus</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Dasatinib</w:t>
      </w:r>
      <w:proofErr w:type="spellEnd"/>
      <w:r w:rsidRPr="00E127AB">
        <w:rPr>
          <w:rFonts w:ascii="Book Antiqua" w:eastAsia="宋体" w:hAnsi="Book Antiqua" w:cs="宋体"/>
          <w:color w:val="000000"/>
        </w:rPr>
        <w:t xml:space="preserve"> or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in newly diagnosed chronic-phase chronic myeloid leukemia: 2-year follow-up from a randomized phase 3 trial (DASISION). </w:t>
      </w:r>
      <w:r w:rsidRPr="00E127AB">
        <w:rPr>
          <w:rFonts w:ascii="Book Antiqua" w:eastAsia="宋体" w:hAnsi="Book Antiqua" w:cs="宋体"/>
          <w:i/>
          <w:iCs/>
          <w:color w:val="000000"/>
        </w:rPr>
        <w:t>Blood</w:t>
      </w:r>
      <w:r w:rsidRPr="00E127AB">
        <w:rPr>
          <w:rFonts w:ascii="Book Antiqua" w:eastAsia="宋体" w:hAnsi="Book Antiqua" w:cs="宋体"/>
          <w:color w:val="000000"/>
        </w:rPr>
        <w:t> 2012; </w:t>
      </w:r>
      <w:r w:rsidRPr="00E127AB">
        <w:rPr>
          <w:rFonts w:ascii="Book Antiqua" w:eastAsia="宋体" w:hAnsi="Book Antiqua" w:cs="宋体"/>
          <w:b/>
          <w:bCs/>
          <w:color w:val="000000"/>
        </w:rPr>
        <w:t>119</w:t>
      </w:r>
      <w:r w:rsidRPr="00E127AB">
        <w:rPr>
          <w:rFonts w:ascii="Book Antiqua" w:eastAsia="宋体" w:hAnsi="Book Antiqua" w:cs="宋体"/>
          <w:color w:val="000000"/>
        </w:rPr>
        <w:t>: 1123-1129 [PMID: 22160483 DOI: 10.1182/blood-2011-08-376087]</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12 </w:t>
      </w:r>
      <w:proofErr w:type="spellStart"/>
      <w:r w:rsidRPr="00E127AB">
        <w:rPr>
          <w:rFonts w:ascii="Book Antiqua" w:eastAsia="宋体" w:hAnsi="Book Antiqua" w:cs="宋体"/>
          <w:b/>
          <w:bCs/>
          <w:color w:val="000000"/>
        </w:rPr>
        <w:t>Saglio</w:t>
      </w:r>
      <w:proofErr w:type="spellEnd"/>
      <w:r w:rsidRPr="00E127AB">
        <w:rPr>
          <w:rFonts w:ascii="Book Antiqua" w:eastAsia="宋体" w:hAnsi="Book Antiqua" w:cs="宋体"/>
          <w:b/>
          <w:bCs/>
          <w:color w:val="000000"/>
        </w:rPr>
        <w:t xml:space="preserve"> G</w:t>
      </w:r>
      <w:r w:rsidRPr="00E127AB">
        <w:rPr>
          <w:rFonts w:ascii="Book Antiqua" w:eastAsia="宋体" w:hAnsi="Book Antiqua" w:cs="宋体"/>
          <w:color w:val="000000"/>
        </w:rPr>
        <w:t xml:space="preserve">, Kim DW, </w:t>
      </w:r>
      <w:proofErr w:type="spellStart"/>
      <w:r w:rsidRPr="00E127AB">
        <w:rPr>
          <w:rFonts w:ascii="Book Antiqua" w:eastAsia="宋体" w:hAnsi="Book Antiqua" w:cs="宋体"/>
          <w:color w:val="000000"/>
        </w:rPr>
        <w:t>Issaragrisil</w:t>
      </w:r>
      <w:proofErr w:type="spellEnd"/>
      <w:r w:rsidRPr="00E127AB">
        <w:rPr>
          <w:rFonts w:ascii="Book Antiqua" w:eastAsia="宋体" w:hAnsi="Book Antiqua" w:cs="宋体"/>
          <w:color w:val="000000"/>
        </w:rPr>
        <w:t xml:space="preserve"> S, le </w:t>
      </w:r>
      <w:proofErr w:type="spellStart"/>
      <w:r w:rsidRPr="00E127AB">
        <w:rPr>
          <w:rFonts w:ascii="Book Antiqua" w:eastAsia="宋体" w:hAnsi="Book Antiqua" w:cs="宋体"/>
          <w:color w:val="000000"/>
        </w:rPr>
        <w:t>Coutre</w:t>
      </w:r>
      <w:proofErr w:type="spellEnd"/>
      <w:r w:rsidRPr="00E127AB">
        <w:rPr>
          <w:rFonts w:ascii="Book Antiqua" w:eastAsia="宋体" w:hAnsi="Book Antiqua" w:cs="宋体"/>
          <w:color w:val="000000"/>
        </w:rPr>
        <w:t xml:space="preserve"> P, Etienne G, Lobo C, </w:t>
      </w:r>
      <w:proofErr w:type="spellStart"/>
      <w:r w:rsidRPr="00E127AB">
        <w:rPr>
          <w:rFonts w:ascii="Book Antiqua" w:eastAsia="宋体" w:hAnsi="Book Antiqua" w:cs="宋体"/>
          <w:color w:val="000000"/>
        </w:rPr>
        <w:t>Pasquini</w:t>
      </w:r>
      <w:proofErr w:type="spellEnd"/>
      <w:r w:rsidRPr="00E127AB">
        <w:rPr>
          <w:rFonts w:ascii="Book Antiqua" w:eastAsia="宋体" w:hAnsi="Book Antiqua" w:cs="宋体"/>
          <w:color w:val="000000"/>
        </w:rPr>
        <w:t xml:space="preserve"> R, Clark RE, </w:t>
      </w:r>
      <w:proofErr w:type="spellStart"/>
      <w:r w:rsidRPr="00E127AB">
        <w:rPr>
          <w:rFonts w:ascii="Book Antiqua" w:eastAsia="宋体" w:hAnsi="Book Antiqua" w:cs="宋体"/>
          <w:color w:val="000000"/>
        </w:rPr>
        <w:t>Hochhaus</w:t>
      </w:r>
      <w:proofErr w:type="spellEnd"/>
      <w:r w:rsidRPr="00E127AB">
        <w:rPr>
          <w:rFonts w:ascii="Book Antiqua" w:eastAsia="宋体" w:hAnsi="Book Antiqua" w:cs="宋体"/>
          <w:color w:val="000000"/>
        </w:rPr>
        <w:t xml:space="preserve"> A, Hughes TP, Gallagher N, </w:t>
      </w:r>
      <w:proofErr w:type="spellStart"/>
      <w:r w:rsidRPr="00E127AB">
        <w:rPr>
          <w:rFonts w:ascii="Book Antiqua" w:eastAsia="宋体" w:hAnsi="Book Antiqua" w:cs="宋体"/>
          <w:color w:val="000000"/>
        </w:rPr>
        <w:t>Hoenekopp</w:t>
      </w:r>
      <w:proofErr w:type="spellEnd"/>
      <w:r w:rsidRPr="00E127AB">
        <w:rPr>
          <w:rFonts w:ascii="Book Antiqua" w:eastAsia="宋体" w:hAnsi="Book Antiqua" w:cs="宋体"/>
          <w:color w:val="000000"/>
        </w:rPr>
        <w:t xml:space="preserve"> A, Dong M, </w:t>
      </w:r>
      <w:proofErr w:type="spellStart"/>
      <w:r w:rsidRPr="00E127AB">
        <w:rPr>
          <w:rFonts w:ascii="Book Antiqua" w:eastAsia="宋体" w:hAnsi="Book Antiqua" w:cs="宋体"/>
          <w:color w:val="000000"/>
        </w:rPr>
        <w:t>Haque</w:t>
      </w:r>
      <w:proofErr w:type="spellEnd"/>
      <w:r w:rsidRPr="00E127AB">
        <w:rPr>
          <w:rFonts w:ascii="Book Antiqua" w:eastAsia="宋体" w:hAnsi="Book Antiqua" w:cs="宋体"/>
          <w:color w:val="000000"/>
        </w:rPr>
        <w:t xml:space="preserve"> A, Larson RA, </w:t>
      </w:r>
      <w:proofErr w:type="spellStart"/>
      <w:r w:rsidRPr="00E127AB">
        <w:rPr>
          <w:rFonts w:ascii="Book Antiqua" w:eastAsia="宋体" w:hAnsi="Book Antiqua" w:cs="宋体"/>
          <w:color w:val="000000"/>
        </w:rPr>
        <w:t>Kantarjian</w:t>
      </w:r>
      <w:proofErr w:type="spellEnd"/>
      <w:r w:rsidRPr="00E127AB">
        <w:rPr>
          <w:rFonts w:ascii="Book Antiqua" w:eastAsia="宋体" w:hAnsi="Book Antiqua" w:cs="宋体"/>
          <w:color w:val="000000"/>
        </w:rPr>
        <w:t xml:space="preserve"> HM. </w:t>
      </w:r>
      <w:proofErr w:type="spellStart"/>
      <w:r w:rsidRPr="00E127AB">
        <w:rPr>
          <w:rFonts w:ascii="Book Antiqua" w:eastAsia="宋体" w:hAnsi="Book Antiqua" w:cs="宋体"/>
          <w:color w:val="000000"/>
        </w:rPr>
        <w:t>Nilotinib</w:t>
      </w:r>
      <w:proofErr w:type="spellEnd"/>
      <w:r w:rsidRPr="00E127AB">
        <w:rPr>
          <w:rFonts w:ascii="Book Antiqua" w:eastAsia="宋体" w:hAnsi="Book Antiqua" w:cs="宋体"/>
          <w:color w:val="000000"/>
        </w:rPr>
        <w:t xml:space="preserve"> versus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for newly diagnosed chronic myeloid leukemia. </w:t>
      </w:r>
      <w:r w:rsidRPr="00E127AB">
        <w:rPr>
          <w:rFonts w:ascii="Book Antiqua" w:eastAsia="宋体" w:hAnsi="Book Antiqua" w:cs="宋体"/>
          <w:i/>
          <w:iCs/>
          <w:color w:val="000000"/>
        </w:rPr>
        <w:t xml:space="preserve">N </w:t>
      </w:r>
      <w:proofErr w:type="spellStart"/>
      <w:r w:rsidRPr="00E127AB">
        <w:rPr>
          <w:rFonts w:ascii="Book Antiqua" w:eastAsia="宋体" w:hAnsi="Book Antiqua" w:cs="宋体"/>
          <w:i/>
          <w:iCs/>
          <w:color w:val="000000"/>
        </w:rPr>
        <w:t>Engl</w:t>
      </w:r>
      <w:proofErr w:type="spellEnd"/>
      <w:r w:rsidRPr="00E127AB">
        <w:rPr>
          <w:rFonts w:ascii="Book Antiqua" w:eastAsia="宋体" w:hAnsi="Book Antiqua" w:cs="宋体"/>
          <w:i/>
          <w:iCs/>
          <w:color w:val="000000"/>
        </w:rPr>
        <w:t xml:space="preserve"> J Med</w:t>
      </w:r>
      <w:r w:rsidRPr="00E127AB">
        <w:rPr>
          <w:rFonts w:ascii="Book Antiqua" w:eastAsia="宋体" w:hAnsi="Book Antiqua" w:cs="宋体"/>
          <w:color w:val="000000"/>
        </w:rPr>
        <w:t> 2010; </w:t>
      </w:r>
      <w:r w:rsidRPr="00E127AB">
        <w:rPr>
          <w:rFonts w:ascii="Book Antiqua" w:eastAsia="宋体" w:hAnsi="Book Antiqua" w:cs="宋体"/>
          <w:b/>
          <w:bCs/>
          <w:color w:val="000000"/>
        </w:rPr>
        <w:t>362</w:t>
      </w:r>
      <w:r w:rsidRPr="00E127AB">
        <w:rPr>
          <w:rFonts w:ascii="Book Antiqua" w:eastAsia="宋体" w:hAnsi="Book Antiqua" w:cs="宋体"/>
          <w:color w:val="000000"/>
        </w:rPr>
        <w:t>: 2251-2259 [PMID: 20525993 DOI: 10.1056/NEJMoa0912614]</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13 </w:t>
      </w:r>
      <w:r w:rsidRPr="00E127AB">
        <w:rPr>
          <w:rFonts w:ascii="Book Antiqua" w:eastAsia="宋体" w:hAnsi="Book Antiqua" w:cs="宋体"/>
          <w:b/>
          <w:bCs/>
          <w:color w:val="000000"/>
        </w:rPr>
        <w:t>O'Brien SG</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Guilhot</w:t>
      </w:r>
      <w:proofErr w:type="spellEnd"/>
      <w:r w:rsidRPr="00E127AB">
        <w:rPr>
          <w:rFonts w:ascii="Book Antiqua" w:eastAsia="宋体" w:hAnsi="Book Antiqua" w:cs="宋体"/>
          <w:color w:val="000000"/>
        </w:rPr>
        <w:t xml:space="preserve"> F, Larson RA, </w:t>
      </w:r>
      <w:proofErr w:type="spellStart"/>
      <w:r w:rsidRPr="00E127AB">
        <w:rPr>
          <w:rFonts w:ascii="Book Antiqua" w:eastAsia="宋体" w:hAnsi="Book Antiqua" w:cs="宋体"/>
          <w:color w:val="000000"/>
        </w:rPr>
        <w:t>Gathmann</w:t>
      </w:r>
      <w:proofErr w:type="spellEnd"/>
      <w:r w:rsidRPr="00E127AB">
        <w:rPr>
          <w:rFonts w:ascii="Book Antiqua" w:eastAsia="宋体" w:hAnsi="Book Antiqua" w:cs="宋体"/>
          <w:color w:val="000000"/>
        </w:rPr>
        <w:t xml:space="preserve"> I, </w:t>
      </w:r>
      <w:proofErr w:type="spellStart"/>
      <w:r w:rsidRPr="00E127AB">
        <w:rPr>
          <w:rFonts w:ascii="Book Antiqua" w:eastAsia="宋体" w:hAnsi="Book Antiqua" w:cs="宋体"/>
          <w:color w:val="000000"/>
        </w:rPr>
        <w:t>Baccarani</w:t>
      </w:r>
      <w:proofErr w:type="spellEnd"/>
      <w:r w:rsidRPr="00E127AB">
        <w:rPr>
          <w:rFonts w:ascii="Book Antiqua" w:eastAsia="宋体" w:hAnsi="Book Antiqua" w:cs="宋体"/>
          <w:color w:val="000000"/>
        </w:rPr>
        <w:t xml:space="preserve"> M, Cervantes F, Cornelissen JJ, Fischer T, </w:t>
      </w:r>
      <w:proofErr w:type="spellStart"/>
      <w:r w:rsidRPr="00E127AB">
        <w:rPr>
          <w:rFonts w:ascii="Book Antiqua" w:eastAsia="宋体" w:hAnsi="Book Antiqua" w:cs="宋体"/>
          <w:color w:val="000000"/>
        </w:rPr>
        <w:t>Hochhaus</w:t>
      </w:r>
      <w:proofErr w:type="spellEnd"/>
      <w:r w:rsidRPr="00E127AB">
        <w:rPr>
          <w:rFonts w:ascii="Book Antiqua" w:eastAsia="宋体" w:hAnsi="Book Antiqua" w:cs="宋体"/>
          <w:color w:val="000000"/>
        </w:rPr>
        <w:t xml:space="preserve"> A, Hughes T, </w:t>
      </w:r>
      <w:proofErr w:type="spellStart"/>
      <w:r w:rsidRPr="00E127AB">
        <w:rPr>
          <w:rFonts w:ascii="Book Antiqua" w:eastAsia="宋体" w:hAnsi="Book Antiqua" w:cs="宋体"/>
          <w:color w:val="000000"/>
        </w:rPr>
        <w:t>Lechner</w:t>
      </w:r>
      <w:proofErr w:type="spellEnd"/>
      <w:r w:rsidRPr="00E127AB">
        <w:rPr>
          <w:rFonts w:ascii="Book Antiqua" w:eastAsia="宋体" w:hAnsi="Book Antiqua" w:cs="宋体"/>
          <w:color w:val="000000"/>
        </w:rPr>
        <w:t xml:space="preserve"> K, Nielsen JL, </w:t>
      </w:r>
      <w:proofErr w:type="spellStart"/>
      <w:r w:rsidRPr="00E127AB">
        <w:rPr>
          <w:rFonts w:ascii="Book Antiqua" w:eastAsia="宋体" w:hAnsi="Book Antiqua" w:cs="宋体"/>
          <w:color w:val="000000"/>
        </w:rPr>
        <w:t>Rousselot</w:t>
      </w:r>
      <w:proofErr w:type="spellEnd"/>
      <w:r w:rsidRPr="00E127AB">
        <w:rPr>
          <w:rFonts w:ascii="Book Antiqua" w:eastAsia="宋体" w:hAnsi="Book Antiqua" w:cs="宋体"/>
          <w:color w:val="000000"/>
        </w:rPr>
        <w:t xml:space="preserve"> P, </w:t>
      </w:r>
      <w:proofErr w:type="spellStart"/>
      <w:r w:rsidRPr="00E127AB">
        <w:rPr>
          <w:rFonts w:ascii="Book Antiqua" w:eastAsia="宋体" w:hAnsi="Book Antiqua" w:cs="宋体"/>
          <w:color w:val="000000"/>
        </w:rPr>
        <w:lastRenderedPageBreak/>
        <w:t>Reiffers</w:t>
      </w:r>
      <w:proofErr w:type="spellEnd"/>
      <w:r w:rsidRPr="00E127AB">
        <w:rPr>
          <w:rFonts w:ascii="Book Antiqua" w:eastAsia="宋体" w:hAnsi="Book Antiqua" w:cs="宋体"/>
          <w:color w:val="000000"/>
        </w:rPr>
        <w:t xml:space="preserve"> J, </w:t>
      </w:r>
      <w:proofErr w:type="spellStart"/>
      <w:r w:rsidRPr="00E127AB">
        <w:rPr>
          <w:rFonts w:ascii="Book Antiqua" w:eastAsia="宋体" w:hAnsi="Book Antiqua" w:cs="宋体"/>
          <w:color w:val="000000"/>
        </w:rPr>
        <w:t>Saglio</w:t>
      </w:r>
      <w:proofErr w:type="spellEnd"/>
      <w:r w:rsidRPr="00E127AB">
        <w:rPr>
          <w:rFonts w:ascii="Book Antiqua" w:eastAsia="宋体" w:hAnsi="Book Antiqua" w:cs="宋体"/>
          <w:color w:val="000000"/>
        </w:rPr>
        <w:t xml:space="preserve"> G, Shepherd J, </w:t>
      </w:r>
      <w:proofErr w:type="spellStart"/>
      <w:r w:rsidRPr="00E127AB">
        <w:rPr>
          <w:rFonts w:ascii="Book Antiqua" w:eastAsia="宋体" w:hAnsi="Book Antiqua" w:cs="宋体"/>
          <w:color w:val="000000"/>
        </w:rPr>
        <w:t>Simonsson</w:t>
      </w:r>
      <w:proofErr w:type="spellEnd"/>
      <w:r w:rsidRPr="00E127AB">
        <w:rPr>
          <w:rFonts w:ascii="Book Antiqua" w:eastAsia="宋体" w:hAnsi="Book Antiqua" w:cs="宋体"/>
          <w:color w:val="000000"/>
        </w:rPr>
        <w:t xml:space="preserve"> B, </w:t>
      </w:r>
      <w:proofErr w:type="spellStart"/>
      <w:r w:rsidRPr="00E127AB">
        <w:rPr>
          <w:rFonts w:ascii="Book Antiqua" w:eastAsia="宋体" w:hAnsi="Book Antiqua" w:cs="宋体"/>
          <w:color w:val="000000"/>
        </w:rPr>
        <w:t>Gratwohl</w:t>
      </w:r>
      <w:proofErr w:type="spellEnd"/>
      <w:r w:rsidRPr="00E127AB">
        <w:rPr>
          <w:rFonts w:ascii="Book Antiqua" w:eastAsia="宋体" w:hAnsi="Book Antiqua" w:cs="宋体"/>
          <w:color w:val="000000"/>
        </w:rPr>
        <w:t xml:space="preserve"> A, Goldman JM, </w:t>
      </w:r>
      <w:proofErr w:type="spellStart"/>
      <w:r w:rsidRPr="00E127AB">
        <w:rPr>
          <w:rFonts w:ascii="Book Antiqua" w:eastAsia="宋体" w:hAnsi="Book Antiqua" w:cs="宋体"/>
          <w:color w:val="000000"/>
        </w:rPr>
        <w:t>Kantarjian</w:t>
      </w:r>
      <w:proofErr w:type="spellEnd"/>
      <w:r w:rsidRPr="00E127AB">
        <w:rPr>
          <w:rFonts w:ascii="Book Antiqua" w:eastAsia="宋体" w:hAnsi="Book Antiqua" w:cs="宋体"/>
          <w:color w:val="000000"/>
        </w:rPr>
        <w:t xml:space="preserve"> H, Taylor K, </w:t>
      </w:r>
      <w:proofErr w:type="spellStart"/>
      <w:r w:rsidRPr="00E127AB">
        <w:rPr>
          <w:rFonts w:ascii="Book Antiqua" w:eastAsia="宋体" w:hAnsi="Book Antiqua" w:cs="宋体"/>
          <w:color w:val="000000"/>
        </w:rPr>
        <w:t>Verhoef</w:t>
      </w:r>
      <w:proofErr w:type="spellEnd"/>
      <w:r w:rsidRPr="00E127AB">
        <w:rPr>
          <w:rFonts w:ascii="Book Antiqua" w:eastAsia="宋体" w:hAnsi="Book Antiqua" w:cs="宋体"/>
          <w:color w:val="000000"/>
        </w:rPr>
        <w:t xml:space="preserve"> G, Bolton AE, </w:t>
      </w:r>
      <w:proofErr w:type="spellStart"/>
      <w:r w:rsidRPr="00E127AB">
        <w:rPr>
          <w:rFonts w:ascii="Book Antiqua" w:eastAsia="宋体" w:hAnsi="Book Antiqua" w:cs="宋体"/>
          <w:color w:val="000000"/>
        </w:rPr>
        <w:t>Capdeville</w:t>
      </w:r>
      <w:proofErr w:type="spellEnd"/>
      <w:r w:rsidRPr="00E127AB">
        <w:rPr>
          <w:rFonts w:ascii="Book Antiqua" w:eastAsia="宋体" w:hAnsi="Book Antiqua" w:cs="宋体"/>
          <w:color w:val="000000"/>
        </w:rPr>
        <w:t xml:space="preserve"> R, </w:t>
      </w:r>
      <w:proofErr w:type="spellStart"/>
      <w:r w:rsidRPr="00E127AB">
        <w:rPr>
          <w:rFonts w:ascii="Book Antiqua" w:eastAsia="宋体" w:hAnsi="Book Antiqua" w:cs="宋体"/>
          <w:color w:val="000000"/>
        </w:rPr>
        <w:t>Druker</w:t>
      </w:r>
      <w:proofErr w:type="spellEnd"/>
      <w:r w:rsidRPr="00E127AB">
        <w:rPr>
          <w:rFonts w:ascii="Book Antiqua" w:eastAsia="宋体" w:hAnsi="Book Antiqua" w:cs="宋体"/>
          <w:color w:val="000000"/>
        </w:rPr>
        <w:t xml:space="preserve"> BJ.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compared with interferon and low-dose </w:t>
      </w:r>
      <w:proofErr w:type="spellStart"/>
      <w:r w:rsidRPr="00E127AB">
        <w:rPr>
          <w:rFonts w:ascii="Book Antiqua" w:eastAsia="宋体" w:hAnsi="Book Antiqua" w:cs="宋体"/>
          <w:color w:val="000000"/>
        </w:rPr>
        <w:t>cytarabine</w:t>
      </w:r>
      <w:proofErr w:type="spellEnd"/>
      <w:r w:rsidRPr="00E127AB">
        <w:rPr>
          <w:rFonts w:ascii="Book Antiqua" w:eastAsia="宋体" w:hAnsi="Book Antiqua" w:cs="宋体"/>
          <w:color w:val="000000"/>
        </w:rPr>
        <w:t xml:space="preserve"> for newly diagnosed chronic-phase chronic myeloid leukemia. </w:t>
      </w:r>
      <w:r w:rsidRPr="00E127AB">
        <w:rPr>
          <w:rFonts w:ascii="Book Antiqua" w:eastAsia="宋体" w:hAnsi="Book Antiqua" w:cs="宋体"/>
          <w:i/>
          <w:iCs/>
          <w:color w:val="000000"/>
        </w:rPr>
        <w:t xml:space="preserve">N </w:t>
      </w:r>
      <w:proofErr w:type="spellStart"/>
      <w:r w:rsidRPr="00E127AB">
        <w:rPr>
          <w:rFonts w:ascii="Book Antiqua" w:eastAsia="宋体" w:hAnsi="Book Antiqua" w:cs="宋体"/>
          <w:i/>
          <w:iCs/>
          <w:color w:val="000000"/>
        </w:rPr>
        <w:t>Engl</w:t>
      </w:r>
      <w:proofErr w:type="spellEnd"/>
      <w:r w:rsidRPr="00E127AB">
        <w:rPr>
          <w:rFonts w:ascii="Book Antiqua" w:eastAsia="宋体" w:hAnsi="Book Antiqua" w:cs="宋体"/>
          <w:i/>
          <w:iCs/>
          <w:color w:val="000000"/>
        </w:rPr>
        <w:t xml:space="preserve"> J Med</w:t>
      </w:r>
      <w:r w:rsidRPr="00E127AB">
        <w:rPr>
          <w:rFonts w:ascii="Book Antiqua" w:eastAsia="宋体" w:hAnsi="Book Antiqua" w:cs="宋体"/>
          <w:color w:val="000000"/>
        </w:rPr>
        <w:t> 2003; </w:t>
      </w:r>
      <w:r w:rsidRPr="00E127AB">
        <w:rPr>
          <w:rFonts w:ascii="Book Antiqua" w:eastAsia="宋体" w:hAnsi="Book Antiqua" w:cs="宋体"/>
          <w:b/>
          <w:bCs/>
          <w:color w:val="000000"/>
        </w:rPr>
        <w:t>348</w:t>
      </w:r>
      <w:r w:rsidRPr="00E127AB">
        <w:rPr>
          <w:rFonts w:ascii="Book Antiqua" w:eastAsia="宋体" w:hAnsi="Book Antiqua" w:cs="宋体"/>
          <w:color w:val="000000"/>
        </w:rPr>
        <w:t>: 994-1004 [PMID: 12637609 DOI: 10.1056/NEJMoa022457]</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14 </w:t>
      </w:r>
      <w:proofErr w:type="spellStart"/>
      <w:r w:rsidRPr="00E127AB">
        <w:rPr>
          <w:rFonts w:ascii="Book Antiqua" w:eastAsia="宋体" w:hAnsi="Book Antiqua" w:cs="宋体"/>
          <w:b/>
          <w:bCs/>
          <w:color w:val="000000"/>
        </w:rPr>
        <w:t>Kantarjian</w:t>
      </w:r>
      <w:proofErr w:type="spellEnd"/>
      <w:r w:rsidRPr="00E127AB">
        <w:rPr>
          <w:rFonts w:ascii="Book Antiqua" w:eastAsia="宋体" w:hAnsi="Book Antiqua" w:cs="宋体"/>
          <w:b/>
          <w:bCs/>
          <w:color w:val="000000"/>
        </w:rPr>
        <w:t xml:space="preserve"> H</w:t>
      </w:r>
      <w:r w:rsidRPr="00E127AB">
        <w:rPr>
          <w:rFonts w:ascii="Book Antiqua" w:eastAsia="宋体" w:hAnsi="Book Antiqua" w:cs="宋体"/>
          <w:color w:val="000000"/>
        </w:rPr>
        <w:t xml:space="preserve">, Shah NP, </w:t>
      </w:r>
      <w:proofErr w:type="spellStart"/>
      <w:r w:rsidRPr="00E127AB">
        <w:rPr>
          <w:rFonts w:ascii="Book Antiqua" w:eastAsia="宋体" w:hAnsi="Book Antiqua" w:cs="宋体"/>
          <w:color w:val="000000"/>
        </w:rPr>
        <w:t>Hochhaus</w:t>
      </w:r>
      <w:proofErr w:type="spellEnd"/>
      <w:r w:rsidRPr="00E127AB">
        <w:rPr>
          <w:rFonts w:ascii="Book Antiqua" w:eastAsia="宋体" w:hAnsi="Book Antiqua" w:cs="宋体"/>
          <w:color w:val="000000"/>
        </w:rPr>
        <w:t xml:space="preserve"> A, Cortes J, Shah S, Ayala M, </w:t>
      </w:r>
      <w:proofErr w:type="spellStart"/>
      <w:r w:rsidRPr="00E127AB">
        <w:rPr>
          <w:rFonts w:ascii="Book Antiqua" w:eastAsia="宋体" w:hAnsi="Book Antiqua" w:cs="宋体"/>
          <w:color w:val="000000"/>
        </w:rPr>
        <w:t>Moiraghi</w:t>
      </w:r>
      <w:proofErr w:type="spellEnd"/>
      <w:r w:rsidRPr="00E127AB">
        <w:rPr>
          <w:rFonts w:ascii="Book Antiqua" w:eastAsia="宋体" w:hAnsi="Book Antiqua" w:cs="宋体"/>
          <w:color w:val="000000"/>
        </w:rPr>
        <w:t xml:space="preserve"> B, Shen Z, Mayer J, </w:t>
      </w:r>
      <w:proofErr w:type="spellStart"/>
      <w:r w:rsidRPr="00E127AB">
        <w:rPr>
          <w:rFonts w:ascii="Book Antiqua" w:eastAsia="宋体" w:hAnsi="Book Antiqua" w:cs="宋体"/>
          <w:color w:val="000000"/>
        </w:rPr>
        <w:t>Pasquini</w:t>
      </w:r>
      <w:proofErr w:type="spellEnd"/>
      <w:r w:rsidRPr="00E127AB">
        <w:rPr>
          <w:rFonts w:ascii="Book Antiqua" w:eastAsia="宋体" w:hAnsi="Book Antiqua" w:cs="宋体"/>
          <w:color w:val="000000"/>
        </w:rPr>
        <w:t xml:space="preserve"> R, </w:t>
      </w:r>
      <w:proofErr w:type="spellStart"/>
      <w:r w:rsidRPr="00E127AB">
        <w:rPr>
          <w:rFonts w:ascii="Book Antiqua" w:eastAsia="宋体" w:hAnsi="Book Antiqua" w:cs="宋体"/>
          <w:color w:val="000000"/>
        </w:rPr>
        <w:t>Nakamae</w:t>
      </w:r>
      <w:proofErr w:type="spellEnd"/>
      <w:r w:rsidRPr="00E127AB">
        <w:rPr>
          <w:rFonts w:ascii="Book Antiqua" w:eastAsia="宋体" w:hAnsi="Book Antiqua" w:cs="宋体"/>
          <w:color w:val="000000"/>
        </w:rPr>
        <w:t xml:space="preserve"> H, </w:t>
      </w:r>
      <w:proofErr w:type="spellStart"/>
      <w:r w:rsidRPr="00E127AB">
        <w:rPr>
          <w:rFonts w:ascii="Book Antiqua" w:eastAsia="宋体" w:hAnsi="Book Antiqua" w:cs="宋体"/>
          <w:color w:val="000000"/>
        </w:rPr>
        <w:t>Huguet</w:t>
      </w:r>
      <w:proofErr w:type="spellEnd"/>
      <w:r w:rsidRPr="00E127AB">
        <w:rPr>
          <w:rFonts w:ascii="Book Antiqua" w:eastAsia="宋体" w:hAnsi="Book Antiqua" w:cs="宋体"/>
          <w:color w:val="000000"/>
        </w:rPr>
        <w:t xml:space="preserve"> F, </w:t>
      </w:r>
      <w:proofErr w:type="spellStart"/>
      <w:r w:rsidRPr="00E127AB">
        <w:rPr>
          <w:rFonts w:ascii="Book Antiqua" w:eastAsia="宋体" w:hAnsi="Book Antiqua" w:cs="宋体"/>
          <w:color w:val="000000"/>
        </w:rPr>
        <w:t>Boqué</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Chuah</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Bleickardt</w:t>
      </w:r>
      <w:proofErr w:type="spellEnd"/>
      <w:r w:rsidRPr="00E127AB">
        <w:rPr>
          <w:rFonts w:ascii="Book Antiqua" w:eastAsia="宋体" w:hAnsi="Book Antiqua" w:cs="宋体"/>
          <w:color w:val="000000"/>
        </w:rPr>
        <w:t xml:space="preserve"> E, Bradley-</w:t>
      </w:r>
      <w:proofErr w:type="spellStart"/>
      <w:r w:rsidRPr="00E127AB">
        <w:rPr>
          <w:rFonts w:ascii="Book Antiqua" w:eastAsia="宋体" w:hAnsi="Book Antiqua" w:cs="宋体"/>
          <w:color w:val="000000"/>
        </w:rPr>
        <w:t>Garelik</w:t>
      </w:r>
      <w:proofErr w:type="spellEnd"/>
      <w:r w:rsidRPr="00E127AB">
        <w:rPr>
          <w:rFonts w:ascii="Book Antiqua" w:eastAsia="宋体" w:hAnsi="Book Antiqua" w:cs="宋体"/>
          <w:color w:val="000000"/>
        </w:rPr>
        <w:t xml:space="preserve"> MB, Zhu C, </w:t>
      </w:r>
      <w:proofErr w:type="spellStart"/>
      <w:r w:rsidRPr="00E127AB">
        <w:rPr>
          <w:rFonts w:ascii="Book Antiqua" w:eastAsia="宋体" w:hAnsi="Book Antiqua" w:cs="宋体"/>
          <w:color w:val="000000"/>
        </w:rPr>
        <w:t>Szatrowski</w:t>
      </w:r>
      <w:proofErr w:type="spellEnd"/>
      <w:r w:rsidRPr="00E127AB">
        <w:rPr>
          <w:rFonts w:ascii="Book Antiqua" w:eastAsia="宋体" w:hAnsi="Book Antiqua" w:cs="宋体"/>
          <w:color w:val="000000"/>
        </w:rPr>
        <w:t xml:space="preserve"> T, Shapiro D, </w:t>
      </w:r>
      <w:proofErr w:type="spellStart"/>
      <w:r w:rsidRPr="00E127AB">
        <w:rPr>
          <w:rFonts w:ascii="Book Antiqua" w:eastAsia="宋体" w:hAnsi="Book Antiqua" w:cs="宋体"/>
          <w:color w:val="000000"/>
        </w:rPr>
        <w:t>Baccarani</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Dasatinib</w:t>
      </w:r>
      <w:proofErr w:type="spellEnd"/>
      <w:r w:rsidRPr="00E127AB">
        <w:rPr>
          <w:rFonts w:ascii="Book Antiqua" w:eastAsia="宋体" w:hAnsi="Book Antiqua" w:cs="宋体"/>
          <w:color w:val="000000"/>
        </w:rPr>
        <w:t xml:space="preserve"> versus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in newly diagnosed chronic-phase chronic myeloid leukemia. </w:t>
      </w:r>
      <w:r w:rsidRPr="00E127AB">
        <w:rPr>
          <w:rFonts w:ascii="Book Antiqua" w:eastAsia="宋体" w:hAnsi="Book Antiqua" w:cs="宋体"/>
          <w:i/>
          <w:iCs/>
          <w:color w:val="000000"/>
        </w:rPr>
        <w:t xml:space="preserve">N </w:t>
      </w:r>
      <w:proofErr w:type="spellStart"/>
      <w:r w:rsidRPr="00E127AB">
        <w:rPr>
          <w:rFonts w:ascii="Book Antiqua" w:eastAsia="宋体" w:hAnsi="Book Antiqua" w:cs="宋体"/>
          <w:i/>
          <w:iCs/>
          <w:color w:val="000000"/>
        </w:rPr>
        <w:t>Engl</w:t>
      </w:r>
      <w:proofErr w:type="spellEnd"/>
      <w:r w:rsidRPr="00E127AB">
        <w:rPr>
          <w:rFonts w:ascii="Book Antiqua" w:eastAsia="宋体" w:hAnsi="Book Antiqua" w:cs="宋体"/>
          <w:i/>
          <w:iCs/>
          <w:color w:val="000000"/>
        </w:rPr>
        <w:t xml:space="preserve"> J Med</w:t>
      </w:r>
      <w:r w:rsidRPr="00E127AB">
        <w:rPr>
          <w:rFonts w:ascii="Book Antiqua" w:eastAsia="宋体" w:hAnsi="Book Antiqua" w:cs="宋体"/>
          <w:color w:val="000000"/>
        </w:rPr>
        <w:t> 2010; </w:t>
      </w:r>
      <w:r w:rsidRPr="00E127AB">
        <w:rPr>
          <w:rFonts w:ascii="Book Antiqua" w:eastAsia="宋体" w:hAnsi="Book Antiqua" w:cs="宋体"/>
          <w:b/>
          <w:bCs/>
          <w:color w:val="000000"/>
        </w:rPr>
        <w:t>362</w:t>
      </w:r>
      <w:r w:rsidRPr="00E127AB">
        <w:rPr>
          <w:rFonts w:ascii="Book Antiqua" w:eastAsia="宋体" w:hAnsi="Book Antiqua" w:cs="宋体"/>
          <w:color w:val="000000"/>
        </w:rPr>
        <w:t>: 2260-2270 [PMID: 20525995 DOI: 10.1056/NEJMoa1002315]</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15 </w:t>
      </w:r>
      <w:proofErr w:type="spellStart"/>
      <w:r w:rsidRPr="00E127AB">
        <w:rPr>
          <w:rFonts w:ascii="Book Antiqua" w:eastAsia="宋体" w:hAnsi="Book Antiqua" w:cs="宋体"/>
          <w:b/>
          <w:bCs/>
          <w:color w:val="000000"/>
        </w:rPr>
        <w:t>Jabbour</w:t>
      </w:r>
      <w:proofErr w:type="spellEnd"/>
      <w:r w:rsidRPr="00E127AB">
        <w:rPr>
          <w:rFonts w:ascii="Book Antiqua" w:eastAsia="宋体" w:hAnsi="Book Antiqua" w:cs="宋体"/>
          <w:b/>
          <w:bCs/>
          <w:color w:val="000000"/>
        </w:rPr>
        <w:t xml:space="preserve"> E</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Kantarjian</w:t>
      </w:r>
      <w:proofErr w:type="spellEnd"/>
      <w:r w:rsidRPr="00E127AB">
        <w:rPr>
          <w:rFonts w:ascii="Book Antiqua" w:eastAsia="宋体" w:hAnsi="Book Antiqua" w:cs="宋体"/>
          <w:color w:val="000000"/>
        </w:rPr>
        <w:t xml:space="preserve"> HM, </w:t>
      </w:r>
      <w:proofErr w:type="spellStart"/>
      <w:r w:rsidRPr="00E127AB">
        <w:rPr>
          <w:rFonts w:ascii="Book Antiqua" w:eastAsia="宋体" w:hAnsi="Book Antiqua" w:cs="宋体"/>
          <w:color w:val="000000"/>
        </w:rPr>
        <w:t>Saglio</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Steegmann</w:t>
      </w:r>
      <w:proofErr w:type="spellEnd"/>
      <w:r w:rsidRPr="00E127AB">
        <w:rPr>
          <w:rFonts w:ascii="Book Antiqua" w:eastAsia="宋体" w:hAnsi="Book Antiqua" w:cs="宋体"/>
          <w:color w:val="000000"/>
        </w:rPr>
        <w:t xml:space="preserve"> JL, Shah NP, </w:t>
      </w:r>
      <w:proofErr w:type="spellStart"/>
      <w:r w:rsidRPr="00E127AB">
        <w:rPr>
          <w:rFonts w:ascii="Book Antiqua" w:eastAsia="宋体" w:hAnsi="Book Antiqua" w:cs="宋体"/>
          <w:color w:val="000000"/>
        </w:rPr>
        <w:t>Boqué</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Chuah</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Pavlovsky</w:t>
      </w:r>
      <w:proofErr w:type="spellEnd"/>
      <w:r w:rsidRPr="00E127AB">
        <w:rPr>
          <w:rFonts w:ascii="Book Antiqua" w:eastAsia="宋体" w:hAnsi="Book Antiqua" w:cs="宋体"/>
          <w:color w:val="000000"/>
        </w:rPr>
        <w:t xml:space="preserve"> C, Mayer J, Cortes J, </w:t>
      </w:r>
      <w:proofErr w:type="spellStart"/>
      <w:r w:rsidRPr="00E127AB">
        <w:rPr>
          <w:rFonts w:ascii="Book Antiqua" w:eastAsia="宋体" w:hAnsi="Book Antiqua" w:cs="宋体"/>
          <w:color w:val="000000"/>
        </w:rPr>
        <w:t>Baccarani</w:t>
      </w:r>
      <w:proofErr w:type="spellEnd"/>
      <w:r w:rsidRPr="00E127AB">
        <w:rPr>
          <w:rFonts w:ascii="Book Antiqua" w:eastAsia="宋体" w:hAnsi="Book Antiqua" w:cs="宋体"/>
          <w:color w:val="000000"/>
        </w:rPr>
        <w:t xml:space="preserve"> M, Kim DW, Bradley-</w:t>
      </w:r>
      <w:proofErr w:type="spellStart"/>
      <w:r w:rsidRPr="00E127AB">
        <w:rPr>
          <w:rFonts w:ascii="Book Antiqua" w:eastAsia="宋体" w:hAnsi="Book Antiqua" w:cs="宋体"/>
          <w:color w:val="000000"/>
        </w:rPr>
        <w:t>Garelik</w:t>
      </w:r>
      <w:proofErr w:type="spellEnd"/>
      <w:r w:rsidRPr="00E127AB">
        <w:rPr>
          <w:rFonts w:ascii="Book Antiqua" w:eastAsia="宋体" w:hAnsi="Book Antiqua" w:cs="宋体"/>
          <w:color w:val="000000"/>
        </w:rPr>
        <w:t xml:space="preserve"> MB, Mohamed H, </w:t>
      </w:r>
      <w:proofErr w:type="spellStart"/>
      <w:r w:rsidRPr="00E127AB">
        <w:rPr>
          <w:rFonts w:ascii="Book Antiqua" w:eastAsia="宋体" w:hAnsi="Book Antiqua" w:cs="宋体"/>
          <w:color w:val="000000"/>
        </w:rPr>
        <w:t>Wildgust</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Hochhaus</w:t>
      </w:r>
      <w:proofErr w:type="spellEnd"/>
      <w:r w:rsidRPr="00E127AB">
        <w:rPr>
          <w:rFonts w:ascii="Book Antiqua" w:eastAsia="宋体" w:hAnsi="Book Antiqua" w:cs="宋体"/>
          <w:color w:val="000000"/>
        </w:rPr>
        <w:t xml:space="preserve"> A. Early response with </w:t>
      </w:r>
      <w:proofErr w:type="spellStart"/>
      <w:r w:rsidRPr="00E127AB">
        <w:rPr>
          <w:rFonts w:ascii="Book Antiqua" w:eastAsia="宋体" w:hAnsi="Book Antiqua" w:cs="宋体"/>
          <w:color w:val="000000"/>
        </w:rPr>
        <w:t>dasatinib</w:t>
      </w:r>
      <w:proofErr w:type="spellEnd"/>
      <w:r w:rsidRPr="00E127AB">
        <w:rPr>
          <w:rFonts w:ascii="Book Antiqua" w:eastAsia="宋体" w:hAnsi="Book Antiqua" w:cs="宋体"/>
          <w:color w:val="000000"/>
        </w:rPr>
        <w:t xml:space="preserve"> or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in chronic myeloid leukemia: 3-year follow-up from a randomized phase 3 trial (DASISION). </w:t>
      </w:r>
      <w:r w:rsidRPr="00E127AB">
        <w:rPr>
          <w:rFonts w:ascii="Book Antiqua" w:eastAsia="宋体" w:hAnsi="Book Antiqua" w:cs="宋体"/>
          <w:i/>
          <w:iCs/>
          <w:color w:val="000000"/>
        </w:rPr>
        <w:t>Blood</w:t>
      </w:r>
      <w:r w:rsidRPr="00E127AB">
        <w:rPr>
          <w:rFonts w:ascii="Book Antiqua" w:eastAsia="宋体" w:hAnsi="Book Antiqua" w:cs="宋体"/>
          <w:color w:val="000000"/>
        </w:rPr>
        <w:t> 2014; </w:t>
      </w:r>
      <w:r w:rsidRPr="00E127AB">
        <w:rPr>
          <w:rFonts w:ascii="Book Antiqua" w:eastAsia="宋体" w:hAnsi="Book Antiqua" w:cs="宋体"/>
          <w:b/>
          <w:bCs/>
          <w:color w:val="000000"/>
        </w:rPr>
        <w:t>123</w:t>
      </w:r>
      <w:r w:rsidRPr="00E127AB">
        <w:rPr>
          <w:rFonts w:ascii="Book Antiqua" w:eastAsia="宋体" w:hAnsi="Book Antiqua" w:cs="宋体"/>
          <w:color w:val="000000"/>
        </w:rPr>
        <w:t>: 494-500 [PMID: 24311723 DOI: 10.1182/blood-2013-06-511592]</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16 </w:t>
      </w:r>
      <w:r w:rsidRPr="00E127AB">
        <w:rPr>
          <w:rFonts w:ascii="Book Antiqua" w:eastAsia="宋体" w:hAnsi="Book Antiqua" w:cs="宋体"/>
          <w:b/>
          <w:bCs/>
          <w:color w:val="000000"/>
        </w:rPr>
        <w:t>Larson RA</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Hochhaus</w:t>
      </w:r>
      <w:proofErr w:type="spellEnd"/>
      <w:r w:rsidRPr="00E127AB">
        <w:rPr>
          <w:rFonts w:ascii="Book Antiqua" w:eastAsia="宋体" w:hAnsi="Book Antiqua" w:cs="宋体"/>
          <w:color w:val="000000"/>
        </w:rPr>
        <w:t xml:space="preserve"> A, Hughes TP, Clark RE, Etienne G, Kim DW, </w:t>
      </w:r>
      <w:proofErr w:type="spellStart"/>
      <w:r w:rsidRPr="00E127AB">
        <w:rPr>
          <w:rFonts w:ascii="Book Antiqua" w:eastAsia="宋体" w:hAnsi="Book Antiqua" w:cs="宋体"/>
          <w:color w:val="000000"/>
        </w:rPr>
        <w:t>Flinn</w:t>
      </w:r>
      <w:proofErr w:type="spellEnd"/>
      <w:r w:rsidRPr="00E127AB">
        <w:rPr>
          <w:rFonts w:ascii="Book Antiqua" w:eastAsia="宋体" w:hAnsi="Book Antiqua" w:cs="宋体"/>
          <w:color w:val="000000"/>
        </w:rPr>
        <w:t xml:space="preserve"> IW, </w:t>
      </w:r>
      <w:proofErr w:type="spellStart"/>
      <w:r w:rsidRPr="00E127AB">
        <w:rPr>
          <w:rFonts w:ascii="Book Antiqua" w:eastAsia="宋体" w:hAnsi="Book Antiqua" w:cs="宋体"/>
          <w:color w:val="000000"/>
        </w:rPr>
        <w:t>Kurokawa</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Moiraghi</w:t>
      </w:r>
      <w:proofErr w:type="spellEnd"/>
      <w:r w:rsidRPr="00E127AB">
        <w:rPr>
          <w:rFonts w:ascii="Book Antiqua" w:eastAsia="宋体" w:hAnsi="Book Antiqua" w:cs="宋体"/>
          <w:color w:val="000000"/>
        </w:rPr>
        <w:t xml:space="preserve"> B, Yu R, </w:t>
      </w:r>
      <w:proofErr w:type="spellStart"/>
      <w:r w:rsidRPr="00E127AB">
        <w:rPr>
          <w:rFonts w:ascii="Book Antiqua" w:eastAsia="宋体" w:hAnsi="Book Antiqua" w:cs="宋体"/>
          <w:color w:val="000000"/>
        </w:rPr>
        <w:t>Blakesley</w:t>
      </w:r>
      <w:proofErr w:type="spellEnd"/>
      <w:r w:rsidRPr="00E127AB">
        <w:rPr>
          <w:rFonts w:ascii="Book Antiqua" w:eastAsia="宋体" w:hAnsi="Book Antiqua" w:cs="宋体"/>
          <w:color w:val="000000"/>
        </w:rPr>
        <w:t xml:space="preserve"> RE, Gallagher NJ, </w:t>
      </w:r>
      <w:proofErr w:type="spellStart"/>
      <w:r w:rsidRPr="00E127AB">
        <w:rPr>
          <w:rFonts w:ascii="Book Antiqua" w:eastAsia="宋体" w:hAnsi="Book Antiqua" w:cs="宋体"/>
          <w:color w:val="000000"/>
        </w:rPr>
        <w:t>Saglio</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Kantarjian</w:t>
      </w:r>
      <w:proofErr w:type="spellEnd"/>
      <w:r w:rsidRPr="00E127AB">
        <w:rPr>
          <w:rFonts w:ascii="Book Antiqua" w:eastAsia="宋体" w:hAnsi="Book Antiqua" w:cs="宋体"/>
          <w:color w:val="000000"/>
        </w:rPr>
        <w:t xml:space="preserve"> HM. </w:t>
      </w:r>
      <w:proofErr w:type="spellStart"/>
      <w:r w:rsidRPr="00E127AB">
        <w:rPr>
          <w:rFonts w:ascii="Book Antiqua" w:eastAsia="宋体" w:hAnsi="Book Antiqua" w:cs="宋体"/>
          <w:color w:val="000000"/>
        </w:rPr>
        <w:t>Nilotinib</w:t>
      </w:r>
      <w:proofErr w:type="spellEnd"/>
      <w:r w:rsidRPr="00E127AB">
        <w:rPr>
          <w:rFonts w:ascii="Book Antiqua" w:eastAsia="宋体" w:hAnsi="Book Antiqua" w:cs="宋体"/>
          <w:color w:val="000000"/>
        </w:rPr>
        <w:t xml:space="preserve"> vs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in patients with newly diagnosed Philadelphia chromosome-positive chronic myeloid leukemia in chronic phase: </w:t>
      </w:r>
      <w:proofErr w:type="spellStart"/>
      <w:r w:rsidRPr="00E127AB">
        <w:rPr>
          <w:rFonts w:ascii="Book Antiqua" w:eastAsia="宋体" w:hAnsi="Book Antiqua" w:cs="宋体"/>
          <w:color w:val="000000"/>
        </w:rPr>
        <w:t>ENESTnd</w:t>
      </w:r>
      <w:proofErr w:type="spellEnd"/>
      <w:r w:rsidRPr="00E127AB">
        <w:rPr>
          <w:rFonts w:ascii="Book Antiqua" w:eastAsia="宋体" w:hAnsi="Book Antiqua" w:cs="宋体"/>
          <w:color w:val="000000"/>
        </w:rPr>
        <w:t xml:space="preserve"> 3-year follow-up. </w:t>
      </w:r>
      <w:r w:rsidRPr="00E127AB">
        <w:rPr>
          <w:rFonts w:ascii="Book Antiqua" w:eastAsia="宋体" w:hAnsi="Book Antiqua" w:cs="宋体"/>
          <w:i/>
          <w:iCs/>
          <w:color w:val="000000"/>
        </w:rPr>
        <w:t>Leukemia</w:t>
      </w:r>
      <w:r w:rsidRPr="00E127AB">
        <w:rPr>
          <w:rFonts w:ascii="Book Antiqua" w:eastAsia="宋体" w:hAnsi="Book Antiqua" w:cs="宋体"/>
          <w:color w:val="000000"/>
        </w:rPr>
        <w:t> 2012; </w:t>
      </w:r>
      <w:r w:rsidRPr="00E127AB">
        <w:rPr>
          <w:rFonts w:ascii="Book Antiqua" w:eastAsia="宋体" w:hAnsi="Book Antiqua" w:cs="宋体"/>
          <w:b/>
          <w:bCs/>
          <w:color w:val="000000"/>
        </w:rPr>
        <w:t>26</w:t>
      </w:r>
      <w:r w:rsidRPr="00E127AB">
        <w:rPr>
          <w:rFonts w:ascii="Book Antiqua" w:eastAsia="宋体" w:hAnsi="Book Antiqua" w:cs="宋体"/>
          <w:color w:val="000000"/>
        </w:rPr>
        <w:t>: 2197-2203 [PMID: 22699418 DOI: 10.1038/leu.2012.134]</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17 </w:t>
      </w:r>
      <w:proofErr w:type="spellStart"/>
      <w:r w:rsidRPr="00E127AB">
        <w:rPr>
          <w:rFonts w:ascii="Book Antiqua" w:eastAsia="宋体" w:hAnsi="Book Antiqua" w:cs="宋体"/>
          <w:b/>
          <w:bCs/>
          <w:color w:val="000000"/>
        </w:rPr>
        <w:t>Komarova</w:t>
      </w:r>
      <w:proofErr w:type="spellEnd"/>
      <w:r w:rsidRPr="00E127AB">
        <w:rPr>
          <w:rFonts w:ascii="Book Antiqua" w:eastAsia="宋体" w:hAnsi="Book Antiqua" w:cs="宋体"/>
          <w:b/>
          <w:bCs/>
          <w:color w:val="000000"/>
        </w:rPr>
        <w:t xml:space="preserve"> NL</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Katouli</w:t>
      </w:r>
      <w:proofErr w:type="spellEnd"/>
      <w:r w:rsidRPr="00E127AB">
        <w:rPr>
          <w:rFonts w:ascii="Book Antiqua" w:eastAsia="宋体" w:hAnsi="Book Antiqua" w:cs="宋体"/>
          <w:color w:val="000000"/>
        </w:rPr>
        <w:t xml:space="preserve"> AA, </w:t>
      </w:r>
      <w:proofErr w:type="spellStart"/>
      <w:r w:rsidRPr="00E127AB">
        <w:rPr>
          <w:rFonts w:ascii="Book Antiqua" w:eastAsia="宋体" w:hAnsi="Book Antiqua" w:cs="宋体"/>
          <w:color w:val="000000"/>
        </w:rPr>
        <w:t>Wodarz</w:t>
      </w:r>
      <w:proofErr w:type="spellEnd"/>
      <w:r w:rsidRPr="00E127AB">
        <w:rPr>
          <w:rFonts w:ascii="Book Antiqua" w:eastAsia="宋体" w:hAnsi="Book Antiqua" w:cs="宋体"/>
          <w:color w:val="000000"/>
        </w:rPr>
        <w:t xml:space="preserve"> D. Combination of two but not three current targeted drugs can improve therapy of chronic myeloid leukemia. </w:t>
      </w:r>
      <w:proofErr w:type="spellStart"/>
      <w:r w:rsidRPr="00E127AB">
        <w:rPr>
          <w:rFonts w:ascii="Book Antiqua" w:eastAsia="宋体" w:hAnsi="Book Antiqua" w:cs="宋体"/>
          <w:i/>
          <w:iCs/>
          <w:color w:val="000000"/>
        </w:rPr>
        <w:t>PLoS</w:t>
      </w:r>
      <w:proofErr w:type="spellEnd"/>
      <w:r w:rsidRPr="00E127AB">
        <w:rPr>
          <w:rFonts w:ascii="Book Antiqua" w:eastAsia="宋体" w:hAnsi="Book Antiqua" w:cs="宋体"/>
          <w:i/>
          <w:iCs/>
          <w:color w:val="000000"/>
        </w:rPr>
        <w:t xml:space="preserve"> One</w:t>
      </w:r>
      <w:r w:rsidRPr="00E127AB">
        <w:rPr>
          <w:rFonts w:ascii="Book Antiqua" w:eastAsia="宋体" w:hAnsi="Book Antiqua" w:cs="宋体"/>
          <w:color w:val="000000"/>
        </w:rPr>
        <w:t> 2009; </w:t>
      </w:r>
      <w:r w:rsidRPr="00E127AB">
        <w:rPr>
          <w:rFonts w:ascii="Book Antiqua" w:eastAsia="宋体" w:hAnsi="Book Antiqua" w:cs="宋体"/>
          <w:b/>
          <w:bCs/>
          <w:color w:val="000000"/>
        </w:rPr>
        <w:t>4</w:t>
      </w:r>
      <w:r w:rsidRPr="00E127AB">
        <w:rPr>
          <w:rFonts w:ascii="Book Antiqua" w:eastAsia="宋体" w:hAnsi="Book Antiqua" w:cs="宋体"/>
          <w:color w:val="000000"/>
        </w:rPr>
        <w:t>: e4423 [PMID: 19204794 DOI: 10.1371/journal.pone.0004423]</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18 </w:t>
      </w:r>
      <w:proofErr w:type="spellStart"/>
      <w:r w:rsidRPr="00E127AB">
        <w:rPr>
          <w:rFonts w:ascii="Book Antiqua" w:eastAsia="宋体" w:hAnsi="Book Antiqua" w:cs="宋体"/>
          <w:b/>
          <w:bCs/>
          <w:color w:val="000000"/>
        </w:rPr>
        <w:t>Hiwase</w:t>
      </w:r>
      <w:proofErr w:type="spellEnd"/>
      <w:r w:rsidRPr="00E127AB">
        <w:rPr>
          <w:rFonts w:ascii="Book Antiqua" w:eastAsia="宋体" w:hAnsi="Book Antiqua" w:cs="宋体"/>
          <w:b/>
          <w:bCs/>
          <w:color w:val="000000"/>
        </w:rPr>
        <w:t xml:space="preserve"> DK</w:t>
      </w:r>
      <w:r w:rsidRPr="00E127AB">
        <w:rPr>
          <w:rFonts w:ascii="Book Antiqua" w:eastAsia="宋体" w:hAnsi="Book Antiqua" w:cs="宋体"/>
          <w:color w:val="000000"/>
        </w:rPr>
        <w:t xml:space="preserve">, White D, </w:t>
      </w:r>
      <w:proofErr w:type="spellStart"/>
      <w:r w:rsidRPr="00E127AB">
        <w:rPr>
          <w:rFonts w:ascii="Book Antiqua" w:eastAsia="宋体" w:hAnsi="Book Antiqua" w:cs="宋体"/>
          <w:color w:val="000000"/>
        </w:rPr>
        <w:t>Zrim</w:t>
      </w:r>
      <w:proofErr w:type="spellEnd"/>
      <w:r w:rsidRPr="00E127AB">
        <w:rPr>
          <w:rFonts w:ascii="Book Antiqua" w:eastAsia="宋体" w:hAnsi="Book Antiqua" w:cs="宋体"/>
          <w:color w:val="000000"/>
        </w:rPr>
        <w:t xml:space="preserve"> S, Saunders V, </w:t>
      </w:r>
      <w:proofErr w:type="spellStart"/>
      <w:r w:rsidRPr="00E127AB">
        <w:rPr>
          <w:rFonts w:ascii="Book Antiqua" w:eastAsia="宋体" w:hAnsi="Book Antiqua" w:cs="宋体"/>
          <w:color w:val="000000"/>
        </w:rPr>
        <w:t>Melo</w:t>
      </w:r>
      <w:proofErr w:type="spellEnd"/>
      <w:r w:rsidRPr="00E127AB">
        <w:rPr>
          <w:rFonts w:ascii="Book Antiqua" w:eastAsia="宋体" w:hAnsi="Book Antiqua" w:cs="宋体"/>
          <w:color w:val="000000"/>
        </w:rPr>
        <w:t xml:space="preserve"> JV, Hughes TP. </w:t>
      </w:r>
      <w:proofErr w:type="spellStart"/>
      <w:r w:rsidRPr="00E127AB">
        <w:rPr>
          <w:rFonts w:ascii="Book Antiqua" w:eastAsia="宋体" w:hAnsi="Book Antiqua" w:cs="宋体"/>
          <w:color w:val="000000"/>
        </w:rPr>
        <w:t>Nilotinib</w:t>
      </w:r>
      <w:proofErr w:type="spellEnd"/>
      <w:r w:rsidRPr="00E127AB">
        <w:rPr>
          <w:rFonts w:ascii="Book Antiqua" w:eastAsia="宋体" w:hAnsi="Book Antiqua" w:cs="宋体"/>
          <w:color w:val="000000"/>
        </w:rPr>
        <w:t xml:space="preserve">-mediated inhibition of ABCB1 increases intracellular concentration of </w:t>
      </w:r>
      <w:proofErr w:type="spellStart"/>
      <w:r w:rsidRPr="00E127AB">
        <w:rPr>
          <w:rFonts w:ascii="Book Antiqua" w:eastAsia="宋体" w:hAnsi="Book Antiqua" w:cs="宋体"/>
          <w:color w:val="000000"/>
        </w:rPr>
        <w:t>dasatinib</w:t>
      </w:r>
      <w:proofErr w:type="spellEnd"/>
      <w:r w:rsidRPr="00E127AB">
        <w:rPr>
          <w:rFonts w:ascii="Book Antiqua" w:eastAsia="宋体" w:hAnsi="Book Antiqua" w:cs="宋体"/>
          <w:color w:val="000000"/>
        </w:rPr>
        <w:t xml:space="preserve"> in CML cells: implications for combination TKI therapy. </w:t>
      </w:r>
      <w:r w:rsidRPr="00E127AB">
        <w:rPr>
          <w:rFonts w:ascii="Book Antiqua" w:eastAsia="宋体" w:hAnsi="Book Antiqua" w:cs="宋体"/>
          <w:i/>
          <w:iCs/>
          <w:color w:val="000000"/>
        </w:rPr>
        <w:t>Leukemia</w:t>
      </w:r>
      <w:r w:rsidRPr="00E127AB">
        <w:rPr>
          <w:rFonts w:ascii="Book Antiqua" w:eastAsia="宋体" w:hAnsi="Book Antiqua" w:cs="宋体"/>
          <w:color w:val="000000"/>
        </w:rPr>
        <w:t> 2010; </w:t>
      </w:r>
      <w:r w:rsidRPr="00E127AB">
        <w:rPr>
          <w:rFonts w:ascii="Book Antiqua" w:eastAsia="宋体" w:hAnsi="Book Antiqua" w:cs="宋体"/>
          <w:b/>
          <w:bCs/>
          <w:color w:val="000000"/>
        </w:rPr>
        <w:t>24</w:t>
      </w:r>
      <w:r w:rsidRPr="00E127AB">
        <w:rPr>
          <w:rFonts w:ascii="Book Antiqua" w:eastAsia="宋体" w:hAnsi="Book Antiqua" w:cs="宋体"/>
          <w:color w:val="000000"/>
        </w:rPr>
        <w:t>: 658-660 [PMID: 20010623 DOI: 10.1038/leu.2009.242]</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19 </w:t>
      </w:r>
      <w:r w:rsidRPr="00E127AB">
        <w:rPr>
          <w:rFonts w:ascii="Book Antiqua" w:eastAsia="宋体" w:hAnsi="Book Antiqua" w:cs="宋体"/>
          <w:b/>
          <w:bCs/>
          <w:color w:val="000000"/>
        </w:rPr>
        <w:t>Zhu Y</w:t>
      </w:r>
      <w:r w:rsidRPr="00E127AB">
        <w:rPr>
          <w:rFonts w:ascii="Book Antiqua" w:eastAsia="宋体" w:hAnsi="Book Antiqua" w:cs="宋体"/>
          <w:color w:val="000000"/>
        </w:rPr>
        <w:t xml:space="preserve">, Pan L, Hong M, Liu W, </w:t>
      </w:r>
      <w:proofErr w:type="spellStart"/>
      <w:r w:rsidRPr="00E127AB">
        <w:rPr>
          <w:rFonts w:ascii="Book Antiqua" w:eastAsia="宋体" w:hAnsi="Book Antiqua" w:cs="宋体"/>
          <w:color w:val="000000"/>
        </w:rPr>
        <w:t>Qiao</w:t>
      </w:r>
      <w:proofErr w:type="spellEnd"/>
      <w:r w:rsidRPr="00E127AB">
        <w:rPr>
          <w:rFonts w:ascii="Book Antiqua" w:eastAsia="宋体" w:hAnsi="Book Antiqua" w:cs="宋体"/>
          <w:color w:val="000000"/>
        </w:rPr>
        <w:t xml:space="preserve"> C, Li J, Qian S. The combination therapy of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and </w:t>
      </w:r>
      <w:proofErr w:type="spellStart"/>
      <w:r w:rsidRPr="00E127AB">
        <w:rPr>
          <w:rFonts w:ascii="Book Antiqua" w:eastAsia="宋体" w:hAnsi="Book Antiqua" w:cs="宋体"/>
          <w:color w:val="000000"/>
        </w:rPr>
        <w:t>dasatinib</w:t>
      </w:r>
      <w:proofErr w:type="spellEnd"/>
      <w:r w:rsidRPr="00E127AB">
        <w:rPr>
          <w:rFonts w:ascii="Book Antiqua" w:eastAsia="宋体" w:hAnsi="Book Antiqua" w:cs="宋体"/>
          <w:color w:val="000000"/>
        </w:rPr>
        <w:t xml:space="preserve"> achieves </w:t>
      </w:r>
      <w:proofErr w:type="spellStart"/>
      <w:r w:rsidRPr="00E127AB">
        <w:rPr>
          <w:rFonts w:ascii="Book Antiqua" w:eastAsia="宋体" w:hAnsi="Book Antiqua" w:cs="宋体"/>
          <w:color w:val="000000"/>
        </w:rPr>
        <w:t>longterm</w:t>
      </w:r>
      <w:proofErr w:type="spellEnd"/>
      <w:r w:rsidRPr="00E127AB">
        <w:rPr>
          <w:rFonts w:ascii="Book Antiqua" w:eastAsia="宋体" w:hAnsi="Book Antiqua" w:cs="宋体"/>
          <w:color w:val="000000"/>
        </w:rPr>
        <w:t xml:space="preserve"> molecular response in two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-resistant and </w:t>
      </w:r>
      <w:proofErr w:type="spellStart"/>
      <w:r w:rsidRPr="00E127AB">
        <w:rPr>
          <w:rFonts w:ascii="Book Antiqua" w:eastAsia="宋体" w:hAnsi="Book Antiqua" w:cs="宋体"/>
          <w:color w:val="000000"/>
        </w:rPr>
        <w:t>dasatinibintolerant</w:t>
      </w:r>
      <w:proofErr w:type="spellEnd"/>
      <w:r w:rsidRPr="00E127AB">
        <w:rPr>
          <w:rFonts w:ascii="Book Antiqua" w:eastAsia="宋体" w:hAnsi="Book Antiqua" w:cs="宋体"/>
          <w:color w:val="000000"/>
        </w:rPr>
        <w:t xml:space="preserve"> patients with advanced chronic myeloid leukemia. </w:t>
      </w:r>
      <w:r w:rsidRPr="00E127AB">
        <w:rPr>
          <w:rFonts w:ascii="Book Antiqua" w:eastAsia="宋体" w:hAnsi="Book Antiqua" w:cs="宋体"/>
          <w:i/>
          <w:iCs/>
          <w:color w:val="000000"/>
        </w:rPr>
        <w:t xml:space="preserve">J </w:t>
      </w:r>
      <w:r w:rsidRPr="00E127AB">
        <w:rPr>
          <w:rFonts w:ascii="Book Antiqua" w:eastAsia="宋体" w:hAnsi="Book Antiqua" w:cs="宋体"/>
          <w:i/>
          <w:iCs/>
          <w:color w:val="000000"/>
        </w:rPr>
        <w:lastRenderedPageBreak/>
        <w:t>Biomed Res</w:t>
      </w:r>
      <w:r w:rsidRPr="00E127AB">
        <w:rPr>
          <w:rFonts w:ascii="Book Antiqua" w:eastAsia="宋体" w:hAnsi="Book Antiqua" w:cs="宋体"/>
          <w:color w:val="000000"/>
        </w:rPr>
        <w:t> 2014 Sep 7; </w:t>
      </w:r>
      <w:r w:rsidRPr="00E127AB">
        <w:rPr>
          <w:rFonts w:ascii="Book Antiqua" w:eastAsia="宋体" w:hAnsi="Book Antiqua" w:cs="宋体"/>
          <w:b/>
          <w:bCs/>
          <w:color w:val="000000"/>
        </w:rPr>
        <w:t>30</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Epub</w:t>
      </w:r>
      <w:proofErr w:type="spellEnd"/>
      <w:r w:rsidRPr="00E127AB">
        <w:rPr>
          <w:rFonts w:ascii="Book Antiqua" w:eastAsia="宋体" w:hAnsi="Book Antiqua" w:cs="宋体"/>
          <w:color w:val="000000"/>
        </w:rPr>
        <w:t xml:space="preserve"> ahead of print [PMID: </w:t>
      </w:r>
      <w:bookmarkStart w:id="40" w:name="OLE_LINK163"/>
      <w:bookmarkStart w:id="41" w:name="OLE_LINK164"/>
      <w:r w:rsidRPr="00E127AB">
        <w:rPr>
          <w:rFonts w:ascii="Book Antiqua" w:eastAsia="宋体" w:hAnsi="Book Antiqua" w:cs="宋体"/>
          <w:color w:val="000000"/>
        </w:rPr>
        <w:t>27346465</w:t>
      </w:r>
      <w:bookmarkEnd w:id="40"/>
      <w:bookmarkEnd w:id="41"/>
      <w:r w:rsidRPr="00E127AB">
        <w:rPr>
          <w:rFonts w:ascii="Book Antiqua" w:eastAsia="宋体" w:hAnsi="Book Antiqua" w:cs="宋体"/>
          <w:color w:val="000000"/>
        </w:rPr>
        <w:t xml:space="preserve"> DOI: 10.7555/JBR.28.20130172]</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20 </w:t>
      </w:r>
      <w:r w:rsidRPr="00E127AB">
        <w:rPr>
          <w:rFonts w:ascii="Book Antiqua" w:eastAsia="宋体" w:hAnsi="Book Antiqua" w:cs="宋体"/>
          <w:b/>
          <w:bCs/>
          <w:color w:val="000000"/>
        </w:rPr>
        <w:t>Cortes JE</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Kantarjian</w:t>
      </w:r>
      <w:proofErr w:type="spellEnd"/>
      <w:r w:rsidRPr="00E127AB">
        <w:rPr>
          <w:rFonts w:ascii="Book Antiqua" w:eastAsia="宋体" w:hAnsi="Book Antiqua" w:cs="宋体"/>
          <w:color w:val="000000"/>
        </w:rPr>
        <w:t xml:space="preserve"> HM, </w:t>
      </w:r>
      <w:proofErr w:type="spellStart"/>
      <w:r w:rsidRPr="00E127AB">
        <w:rPr>
          <w:rFonts w:ascii="Book Antiqua" w:eastAsia="宋体" w:hAnsi="Book Antiqua" w:cs="宋体"/>
          <w:color w:val="000000"/>
        </w:rPr>
        <w:t>Brümmendorf</w:t>
      </w:r>
      <w:proofErr w:type="spellEnd"/>
      <w:r w:rsidRPr="00E127AB">
        <w:rPr>
          <w:rFonts w:ascii="Book Antiqua" w:eastAsia="宋体" w:hAnsi="Book Antiqua" w:cs="宋体"/>
          <w:color w:val="000000"/>
        </w:rPr>
        <w:t xml:space="preserve"> TH, Kim DW, </w:t>
      </w:r>
      <w:proofErr w:type="spellStart"/>
      <w:r w:rsidRPr="00E127AB">
        <w:rPr>
          <w:rFonts w:ascii="Book Antiqua" w:eastAsia="宋体" w:hAnsi="Book Antiqua" w:cs="宋体"/>
          <w:color w:val="000000"/>
        </w:rPr>
        <w:t>Turkina</w:t>
      </w:r>
      <w:proofErr w:type="spellEnd"/>
      <w:r w:rsidRPr="00E127AB">
        <w:rPr>
          <w:rFonts w:ascii="Book Antiqua" w:eastAsia="宋体" w:hAnsi="Book Antiqua" w:cs="宋体"/>
          <w:color w:val="000000"/>
        </w:rPr>
        <w:t xml:space="preserve"> AG, Shen ZX, </w:t>
      </w:r>
      <w:proofErr w:type="spellStart"/>
      <w:r w:rsidRPr="00E127AB">
        <w:rPr>
          <w:rFonts w:ascii="Book Antiqua" w:eastAsia="宋体" w:hAnsi="Book Antiqua" w:cs="宋体"/>
          <w:color w:val="000000"/>
        </w:rPr>
        <w:t>Pasquini</w:t>
      </w:r>
      <w:proofErr w:type="spellEnd"/>
      <w:r w:rsidRPr="00E127AB">
        <w:rPr>
          <w:rFonts w:ascii="Book Antiqua" w:eastAsia="宋体" w:hAnsi="Book Antiqua" w:cs="宋体"/>
          <w:color w:val="000000"/>
        </w:rPr>
        <w:t xml:space="preserve"> R, </w:t>
      </w:r>
      <w:proofErr w:type="spellStart"/>
      <w:r w:rsidRPr="00E127AB">
        <w:rPr>
          <w:rFonts w:ascii="Book Antiqua" w:eastAsia="宋体" w:hAnsi="Book Antiqua" w:cs="宋体"/>
          <w:color w:val="000000"/>
        </w:rPr>
        <w:t>Khoury</w:t>
      </w:r>
      <w:proofErr w:type="spellEnd"/>
      <w:r w:rsidRPr="00E127AB">
        <w:rPr>
          <w:rFonts w:ascii="Book Antiqua" w:eastAsia="宋体" w:hAnsi="Book Antiqua" w:cs="宋体"/>
          <w:color w:val="000000"/>
        </w:rPr>
        <w:t xml:space="preserve"> HJ, Arkin S, </w:t>
      </w:r>
      <w:proofErr w:type="spellStart"/>
      <w:r w:rsidRPr="00E127AB">
        <w:rPr>
          <w:rFonts w:ascii="Book Antiqua" w:eastAsia="宋体" w:hAnsi="Book Antiqua" w:cs="宋体"/>
          <w:color w:val="000000"/>
        </w:rPr>
        <w:t>Volkert</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Besson</w:t>
      </w:r>
      <w:proofErr w:type="spellEnd"/>
      <w:r w:rsidRPr="00E127AB">
        <w:rPr>
          <w:rFonts w:ascii="Book Antiqua" w:eastAsia="宋体" w:hAnsi="Book Antiqua" w:cs="宋体"/>
          <w:color w:val="000000"/>
        </w:rPr>
        <w:t xml:space="preserve"> N, Abbas R, Wang J, </w:t>
      </w:r>
      <w:proofErr w:type="spellStart"/>
      <w:r w:rsidRPr="00E127AB">
        <w:rPr>
          <w:rFonts w:ascii="Book Antiqua" w:eastAsia="宋体" w:hAnsi="Book Antiqua" w:cs="宋体"/>
          <w:color w:val="000000"/>
        </w:rPr>
        <w:t>Leip</w:t>
      </w:r>
      <w:proofErr w:type="spellEnd"/>
      <w:r w:rsidRPr="00E127AB">
        <w:rPr>
          <w:rFonts w:ascii="Book Antiqua" w:eastAsia="宋体" w:hAnsi="Book Antiqua" w:cs="宋体"/>
          <w:color w:val="000000"/>
        </w:rPr>
        <w:t xml:space="preserve"> E, </w:t>
      </w:r>
      <w:proofErr w:type="spellStart"/>
      <w:r w:rsidRPr="00E127AB">
        <w:rPr>
          <w:rFonts w:ascii="Book Antiqua" w:eastAsia="宋体" w:hAnsi="Book Antiqua" w:cs="宋体"/>
          <w:color w:val="000000"/>
        </w:rPr>
        <w:t>Gambacorti-Passerini</w:t>
      </w:r>
      <w:proofErr w:type="spellEnd"/>
      <w:r w:rsidRPr="00E127AB">
        <w:rPr>
          <w:rFonts w:ascii="Book Antiqua" w:eastAsia="宋体" w:hAnsi="Book Antiqua" w:cs="宋体"/>
          <w:color w:val="000000"/>
        </w:rPr>
        <w:t xml:space="preserve"> C. Safety and efficacy of </w:t>
      </w:r>
      <w:proofErr w:type="spellStart"/>
      <w:r w:rsidRPr="00E127AB">
        <w:rPr>
          <w:rFonts w:ascii="Book Antiqua" w:eastAsia="宋体" w:hAnsi="Book Antiqua" w:cs="宋体"/>
          <w:color w:val="000000"/>
        </w:rPr>
        <w:t>bosutinib</w:t>
      </w:r>
      <w:proofErr w:type="spellEnd"/>
      <w:r w:rsidRPr="00E127AB">
        <w:rPr>
          <w:rFonts w:ascii="Book Antiqua" w:eastAsia="宋体" w:hAnsi="Book Antiqua" w:cs="宋体"/>
          <w:color w:val="000000"/>
        </w:rPr>
        <w:t xml:space="preserve"> (SKI-606) in chronic phase Philadelphia chromosome-positive chronic myeloid leukemia patients with resistance or intolerance to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w:t>
      </w:r>
      <w:r w:rsidRPr="00E127AB">
        <w:rPr>
          <w:rFonts w:ascii="Book Antiqua" w:eastAsia="宋体" w:hAnsi="Book Antiqua" w:cs="宋体"/>
          <w:i/>
          <w:iCs/>
          <w:color w:val="000000"/>
        </w:rPr>
        <w:t>Blood</w:t>
      </w:r>
      <w:r w:rsidRPr="00E127AB">
        <w:rPr>
          <w:rFonts w:ascii="Book Antiqua" w:eastAsia="宋体" w:hAnsi="Book Antiqua" w:cs="宋体"/>
          <w:color w:val="000000"/>
        </w:rPr>
        <w:t> 2011; </w:t>
      </w:r>
      <w:r w:rsidRPr="00E127AB">
        <w:rPr>
          <w:rFonts w:ascii="Book Antiqua" w:eastAsia="宋体" w:hAnsi="Book Antiqua" w:cs="宋体"/>
          <w:b/>
          <w:bCs/>
          <w:color w:val="000000"/>
        </w:rPr>
        <w:t>118</w:t>
      </w:r>
      <w:r w:rsidRPr="00E127AB">
        <w:rPr>
          <w:rFonts w:ascii="Book Antiqua" w:eastAsia="宋体" w:hAnsi="Book Antiqua" w:cs="宋体"/>
          <w:color w:val="000000"/>
        </w:rPr>
        <w:t>: 4567-4576 [PMID: 21865346 DOI: 10.1182/blood-2011-05-355594]</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21 </w:t>
      </w:r>
      <w:r w:rsidRPr="00E127AB">
        <w:rPr>
          <w:rFonts w:ascii="Book Antiqua" w:eastAsia="宋体" w:hAnsi="Book Antiqua" w:cs="宋体"/>
          <w:b/>
          <w:bCs/>
          <w:color w:val="000000"/>
        </w:rPr>
        <w:t>Cortes JE</w:t>
      </w:r>
      <w:r w:rsidRPr="00E127AB">
        <w:rPr>
          <w:rFonts w:ascii="Book Antiqua" w:eastAsia="宋体" w:hAnsi="Book Antiqua" w:cs="宋体"/>
          <w:color w:val="000000"/>
        </w:rPr>
        <w:t>, Kim DW, Pinilla-</w:t>
      </w:r>
      <w:proofErr w:type="spellStart"/>
      <w:r w:rsidRPr="00E127AB">
        <w:rPr>
          <w:rFonts w:ascii="Book Antiqua" w:eastAsia="宋体" w:hAnsi="Book Antiqua" w:cs="宋体"/>
          <w:color w:val="000000"/>
        </w:rPr>
        <w:t>Ibarz</w:t>
      </w:r>
      <w:proofErr w:type="spellEnd"/>
      <w:r w:rsidRPr="00E127AB">
        <w:rPr>
          <w:rFonts w:ascii="Book Antiqua" w:eastAsia="宋体" w:hAnsi="Book Antiqua" w:cs="宋体"/>
          <w:color w:val="000000"/>
        </w:rPr>
        <w:t xml:space="preserve"> J, le </w:t>
      </w:r>
      <w:proofErr w:type="spellStart"/>
      <w:r w:rsidRPr="00E127AB">
        <w:rPr>
          <w:rFonts w:ascii="Book Antiqua" w:eastAsia="宋体" w:hAnsi="Book Antiqua" w:cs="宋体"/>
          <w:color w:val="000000"/>
        </w:rPr>
        <w:t>Coutre</w:t>
      </w:r>
      <w:proofErr w:type="spellEnd"/>
      <w:r w:rsidRPr="00E127AB">
        <w:rPr>
          <w:rFonts w:ascii="Book Antiqua" w:eastAsia="宋体" w:hAnsi="Book Antiqua" w:cs="宋体"/>
          <w:color w:val="000000"/>
        </w:rPr>
        <w:t xml:space="preserve"> P, Paquette R, </w:t>
      </w:r>
      <w:proofErr w:type="spellStart"/>
      <w:r w:rsidRPr="00E127AB">
        <w:rPr>
          <w:rFonts w:ascii="Book Antiqua" w:eastAsia="宋体" w:hAnsi="Book Antiqua" w:cs="宋体"/>
          <w:color w:val="000000"/>
        </w:rPr>
        <w:t>Chuah</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Nicolini</w:t>
      </w:r>
      <w:proofErr w:type="spellEnd"/>
      <w:r w:rsidRPr="00E127AB">
        <w:rPr>
          <w:rFonts w:ascii="Book Antiqua" w:eastAsia="宋体" w:hAnsi="Book Antiqua" w:cs="宋体"/>
          <w:color w:val="000000"/>
        </w:rPr>
        <w:t xml:space="preserve"> FE, </w:t>
      </w:r>
      <w:proofErr w:type="spellStart"/>
      <w:r w:rsidRPr="00E127AB">
        <w:rPr>
          <w:rFonts w:ascii="Book Antiqua" w:eastAsia="宋体" w:hAnsi="Book Antiqua" w:cs="宋体"/>
          <w:color w:val="000000"/>
        </w:rPr>
        <w:t>Apperley</w:t>
      </w:r>
      <w:proofErr w:type="spellEnd"/>
      <w:r w:rsidRPr="00E127AB">
        <w:rPr>
          <w:rFonts w:ascii="Book Antiqua" w:eastAsia="宋体" w:hAnsi="Book Antiqua" w:cs="宋体"/>
          <w:color w:val="000000"/>
        </w:rPr>
        <w:t xml:space="preserve"> JF, </w:t>
      </w:r>
      <w:proofErr w:type="spellStart"/>
      <w:r w:rsidRPr="00E127AB">
        <w:rPr>
          <w:rFonts w:ascii="Book Antiqua" w:eastAsia="宋体" w:hAnsi="Book Antiqua" w:cs="宋体"/>
          <w:color w:val="000000"/>
        </w:rPr>
        <w:t>Khoury</w:t>
      </w:r>
      <w:proofErr w:type="spellEnd"/>
      <w:r w:rsidRPr="00E127AB">
        <w:rPr>
          <w:rFonts w:ascii="Book Antiqua" w:eastAsia="宋体" w:hAnsi="Book Antiqua" w:cs="宋体"/>
          <w:color w:val="000000"/>
        </w:rPr>
        <w:t xml:space="preserve"> HJ, </w:t>
      </w:r>
      <w:proofErr w:type="spellStart"/>
      <w:r w:rsidRPr="00E127AB">
        <w:rPr>
          <w:rFonts w:ascii="Book Antiqua" w:eastAsia="宋体" w:hAnsi="Book Antiqua" w:cs="宋体"/>
          <w:color w:val="000000"/>
        </w:rPr>
        <w:t>Talpaz</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DiPersio</w:t>
      </w:r>
      <w:proofErr w:type="spellEnd"/>
      <w:r w:rsidRPr="00E127AB">
        <w:rPr>
          <w:rFonts w:ascii="Book Antiqua" w:eastAsia="宋体" w:hAnsi="Book Antiqua" w:cs="宋体"/>
          <w:color w:val="000000"/>
        </w:rPr>
        <w:t xml:space="preserve"> J, </w:t>
      </w:r>
      <w:proofErr w:type="spellStart"/>
      <w:r w:rsidRPr="00E127AB">
        <w:rPr>
          <w:rFonts w:ascii="Book Antiqua" w:eastAsia="宋体" w:hAnsi="Book Antiqua" w:cs="宋体"/>
          <w:color w:val="000000"/>
        </w:rPr>
        <w:t>DeAngelo</w:t>
      </w:r>
      <w:proofErr w:type="spellEnd"/>
      <w:r w:rsidRPr="00E127AB">
        <w:rPr>
          <w:rFonts w:ascii="Book Antiqua" w:eastAsia="宋体" w:hAnsi="Book Antiqua" w:cs="宋体"/>
          <w:color w:val="000000"/>
        </w:rPr>
        <w:t xml:space="preserve"> DJ, </w:t>
      </w:r>
      <w:proofErr w:type="spellStart"/>
      <w:r w:rsidRPr="00E127AB">
        <w:rPr>
          <w:rFonts w:ascii="Book Antiqua" w:eastAsia="宋体" w:hAnsi="Book Antiqua" w:cs="宋体"/>
          <w:color w:val="000000"/>
        </w:rPr>
        <w:t>Abruzzese</w:t>
      </w:r>
      <w:proofErr w:type="spellEnd"/>
      <w:r w:rsidRPr="00E127AB">
        <w:rPr>
          <w:rFonts w:ascii="Book Antiqua" w:eastAsia="宋体" w:hAnsi="Book Antiqua" w:cs="宋体"/>
          <w:color w:val="000000"/>
        </w:rPr>
        <w:t xml:space="preserve"> E, Rea D, </w:t>
      </w:r>
      <w:proofErr w:type="spellStart"/>
      <w:r w:rsidRPr="00E127AB">
        <w:rPr>
          <w:rFonts w:ascii="Book Antiqua" w:eastAsia="宋体" w:hAnsi="Book Antiqua" w:cs="宋体"/>
          <w:color w:val="000000"/>
        </w:rPr>
        <w:t>Baccarani</w:t>
      </w:r>
      <w:proofErr w:type="spellEnd"/>
      <w:r w:rsidRPr="00E127AB">
        <w:rPr>
          <w:rFonts w:ascii="Book Antiqua" w:eastAsia="宋体" w:hAnsi="Book Antiqua" w:cs="宋体"/>
          <w:color w:val="000000"/>
        </w:rPr>
        <w:t xml:space="preserve"> M, Müller MC, </w:t>
      </w:r>
      <w:proofErr w:type="spellStart"/>
      <w:r w:rsidRPr="00E127AB">
        <w:rPr>
          <w:rFonts w:ascii="Book Antiqua" w:eastAsia="宋体" w:hAnsi="Book Antiqua" w:cs="宋体"/>
          <w:color w:val="000000"/>
        </w:rPr>
        <w:t>Gambacorti-Passerini</w:t>
      </w:r>
      <w:proofErr w:type="spellEnd"/>
      <w:r w:rsidRPr="00E127AB">
        <w:rPr>
          <w:rFonts w:ascii="Book Antiqua" w:eastAsia="宋体" w:hAnsi="Book Antiqua" w:cs="宋体"/>
          <w:color w:val="000000"/>
        </w:rPr>
        <w:t xml:space="preserve"> C, Wong S, </w:t>
      </w:r>
      <w:proofErr w:type="spellStart"/>
      <w:r w:rsidRPr="00E127AB">
        <w:rPr>
          <w:rFonts w:ascii="Book Antiqua" w:eastAsia="宋体" w:hAnsi="Book Antiqua" w:cs="宋体"/>
          <w:color w:val="000000"/>
        </w:rPr>
        <w:t>Lustgarten</w:t>
      </w:r>
      <w:proofErr w:type="spellEnd"/>
      <w:r w:rsidRPr="00E127AB">
        <w:rPr>
          <w:rFonts w:ascii="Book Antiqua" w:eastAsia="宋体" w:hAnsi="Book Antiqua" w:cs="宋体"/>
          <w:color w:val="000000"/>
        </w:rPr>
        <w:t xml:space="preserve"> S, Rivera VM, Clackson T, Turner CD, </w:t>
      </w:r>
      <w:proofErr w:type="spellStart"/>
      <w:r w:rsidRPr="00E127AB">
        <w:rPr>
          <w:rFonts w:ascii="Book Antiqua" w:eastAsia="宋体" w:hAnsi="Book Antiqua" w:cs="宋体"/>
          <w:color w:val="000000"/>
        </w:rPr>
        <w:t>Haluska</w:t>
      </w:r>
      <w:proofErr w:type="spellEnd"/>
      <w:r w:rsidRPr="00E127AB">
        <w:rPr>
          <w:rFonts w:ascii="Book Antiqua" w:eastAsia="宋体" w:hAnsi="Book Antiqua" w:cs="宋体"/>
          <w:color w:val="000000"/>
        </w:rPr>
        <w:t xml:space="preserve"> FG, </w:t>
      </w:r>
      <w:proofErr w:type="spellStart"/>
      <w:r w:rsidRPr="00E127AB">
        <w:rPr>
          <w:rFonts w:ascii="Book Antiqua" w:eastAsia="宋体" w:hAnsi="Book Antiqua" w:cs="宋体"/>
          <w:color w:val="000000"/>
        </w:rPr>
        <w:t>Guilhot</w:t>
      </w:r>
      <w:proofErr w:type="spellEnd"/>
      <w:r w:rsidRPr="00E127AB">
        <w:rPr>
          <w:rFonts w:ascii="Book Antiqua" w:eastAsia="宋体" w:hAnsi="Book Antiqua" w:cs="宋体"/>
          <w:color w:val="000000"/>
        </w:rPr>
        <w:t xml:space="preserve"> F, </w:t>
      </w:r>
      <w:proofErr w:type="spellStart"/>
      <w:r w:rsidRPr="00E127AB">
        <w:rPr>
          <w:rFonts w:ascii="Book Antiqua" w:eastAsia="宋体" w:hAnsi="Book Antiqua" w:cs="宋体"/>
          <w:color w:val="000000"/>
        </w:rPr>
        <w:t>Deininger</w:t>
      </w:r>
      <w:proofErr w:type="spellEnd"/>
      <w:r w:rsidRPr="00E127AB">
        <w:rPr>
          <w:rFonts w:ascii="Book Antiqua" w:eastAsia="宋体" w:hAnsi="Book Antiqua" w:cs="宋体"/>
          <w:color w:val="000000"/>
        </w:rPr>
        <w:t xml:space="preserve"> MW, </w:t>
      </w:r>
      <w:proofErr w:type="spellStart"/>
      <w:r w:rsidRPr="00E127AB">
        <w:rPr>
          <w:rFonts w:ascii="Book Antiqua" w:eastAsia="宋体" w:hAnsi="Book Antiqua" w:cs="宋体"/>
          <w:color w:val="000000"/>
        </w:rPr>
        <w:t>Hochhaus</w:t>
      </w:r>
      <w:proofErr w:type="spellEnd"/>
      <w:r w:rsidRPr="00E127AB">
        <w:rPr>
          <w:rFonts w:ascii="Book Antiqua" w:eastAsia="宋体" w:hAnsi="Book Antiqua" w:cs="宋体"/>
          <w:color w:val="000000"/>
        </w:rPr>
        <w:t xml:space="preserve"> A, Hughes T, Goldman JM, Shah NP, </w:t>
      </w:r>
      <w:proofErr w:type="spellStart"/>
      <w:r w:rsidRPr="00E127AB">
        <w:rPr>
          <w:rFonts w:ascii="Book Antiqua" w:eastAsia="宋体" w:hAnsi="Book Antiqua" w:cs="宋体"/>
          <w:color w:val="000000"/>
        </w:rPr>
        <w:t>Kantarjian</w:t>
      </w:r>
      <w:proofErr w:type="spellEnd"/>
      <w:r w:rsidRPr="00E127AB">
        <w:rPr>
          <w:rFonts w:ascii="Book Antiqua" w:eastAsia="宋体" w:hAnsi="Book Antiqua" w:cs="宋体"/>
          <w:color w:val="000000"/>
        </w:rPr>
        <w:t xml:space="preserve"> H. </w:t>
      </w:r>
      <w:proofErr w:type="gramStart"/>
      <w:r w:rsidRPr="00E127AB">
        <w:rPr>
          <w:rFonts w:ascii="Book Antiqua" w:eastAsia="宋体" w:hAnsi="Book Antiqua" w:cs="宋体"/>
          <w:color w:val="000000"/>
        </w:rPr>
        <w:t xml:space="preserve">A phase 2 trial of </w:t>
      </w:r>
      <w:proofErr w:type="spellStart"/>
      <w:r w:rsidRPr="00E127AB">
        <w:rPr>
          <w:rFonts w:ascii="Book Antiqua" w:eastAsia="宋体" w:hAnsi="Book Antiqua" w:cs="宋体"/>
          <w:color w:val="000000"/>
        </w:rPr>
        <w:t>ponatinib</w:t>
      </w:r>
      <w:proofErr w:type="spellEnd"/>
      <w:r w:rsidRPr="00E127AB">
        <w:rPr>
          <w:rFonts w:ascii="Book Antiqua" w:eastAsia="宋体" w:hAnsi="Book Antiqua" w:cs="宋体"/>
          <w:color w:val="000000"/>
        </w:rPr>
        <w:t xml:space="preserve"> in Philadelphia chromosome-positive </w:t>
      </w:r>
      <w:proofErr w:type="spellStart"/>
      <w:r w:rsidRPr="00E127AB">
        <w:rPr>
          <w:rFonts w:ascii="Book Antiqua" w:eastAsia="宋体" w:hAnsi="Book Antiqua" w:cs="宋体"/>
          <w:color w:val="000000"/>
        </w:rPr>
        <w:t>leukemias</w:t>
      </w:r>
      <w:proofErr w:type="spellEnd"/>
      <w:r w:rsidRPr="00E127AB">
        <w:rPr>
          <w:rFonts w:ascii="Book Antiqua" w:eastAsia="宋体" w:hAnsi="Book Antiqua" w:cs="宋体"/>
          <w:color w:val="000000"/>
        </w:rPr>
        <w:t>.</w:t>
      </w:r>
      <w:proofErr w:type="gramEnd"/>
      <w:r w:rsidRPr="00E127AB">
        <w:rPr>
          <w:rFonts w:ascii="Book Antiqua" w:eastAsia="宋体" w:hAnsi="Book Antiqua" w:cs="宋体"/>
          <w:color w:val="000000"/>
        </w:rPr>
        <w:t> </w:t>
      </w:r>
      <w:r w:rsidRPr="00E127AB">
        <w:rPr>
          <w:rFonts w:ascii="Book Antiqua" w:eastAsia="宋体" w:hAnsi="Book Antiqua" w:cs="宋体"/>
          <w:i/>
          <w:iCs/>
          <w:color w:val="000000"/>
        </w:rPr>
        <w:t xml:space="preserve">N </w:t>
      </w:r>
      <w:proofErr w:type="spellStart"/>
      <w:r w:rsidRPr="00E127AB">
        <w:rPr>
          <w:rFonts w:ascii="Book Antiqua" w:eastAsia="宋体" w:hAnsi="Book Antiqua" w:cs="宋体"/>
          <w:i/>
          <w:iCs/>
          <w:color w:val="000000"/>
        </w:rPr>
        <w:t>Engl</w:t>
      </w:r>
      <w:proofErr w:type="spellEnd"/>
      <w:r w:rsidRPr="00E127AB">
        <w:rPr>
          <w:rFonts w:ascii="Book Antiqua" w:eastAsia="宋体" w:hAnsi="Book Antiqua" w:cs="宋体"/>
          <w:i/>
          <w:iCs/>
          <w:color w:val="000000"/>
        </w:rPr>
        <w:t xml:space="preserve"> J Med</w:t>
      </w:r>
      <w:r w:rsidRPr="00E127AB">
        <w:rPr>
          <w:rFonts w:ascii="Book Antiqua" w:eastAsia="宋体" w:hAnsi="Book Antiqua" w:cs="宋体"/>
          <w:color w:val="000000"/>
        </w:rPr>
        <w:t> 2013; </w:t>
      </w:r>
      <w:r w:rsidRPr="00E127AB">
        <w:rPr>
          <w:rFonts w:ascii="Book Antiqua" w:eastAsia="宋体" w:hAnsi="Book Antiqua" w:cs="宋体"/>
          <w:b/>
          <w:bCs/>
          <w:color w:val="000000"/>
        </w:rPr>
        <w:t>369</w:t>
      </w:r>
      <w:r w:rsidRPr="00E127AB">
        <w:rPr>
          <w:rFonts w:ascii="Book Antiqua" w:eastAsia="宋体" w:hAnsi="Book Antiqua" w:cs="宋体"/>
          <w:color w:val="000000"/>
        </w:rPr>
        <w:t>: 1783-1796 [PMID: 24180494 DOI: 10.1056/NEJMoa1306494]</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22 </w:t>
      </w:r>
      <w:r w:rsidRPr="00E127AB">
        <w:rPr>
          <w:rFonts w:ascii="Book Antiqua" w:eastAsia="宋体" w:hAnsi="Book Antiqua" w:cs="宋体"/>
          <w:b/>
          <w:bCs/>
          <w:color w:val="000000"/>
        </w:rPr>
        <w:t>Ohanian M</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Kantarjian</w:t>
      </w:r>
      <w:proofErr w:type="spellEnd"/>
      <w:r w:rsidRPr="00E127AB">
        <w:rPr>
          <w:rFonts w:ascii="Book Antiqua" w:eastAsia="宋体" w:hAnsi="Book Antiqua" w:cs="宋体"/>
          <w:color w:val="000000"/>
        </w:rPr>
        <w:t xml:space="preserve"> HM, </w:t>
      </w:r>
      <w:proofErr w:type="spellStart"/>
      <w:r w:rsidRPr="00E127AB">
        <w:rPr>
          <w:rFonts w:ascii="Book Antiqua" w:eastAsia="宋体" w:hAnsi="Book Antiqua" w:cs="宋体"/>
          <w:color w:val="000000"/>
        </w:rPr>
        <w:t>Quintas-Cardama</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Jabbour</w:t>
      </w:r>
      <w:proofErr w:type="spellEnd"/>
      <w:r w:rsidRPr="00E127AB">
        <w:rPr>
          <w:rFonts w:ascii="Book Antiqua" w:eastAsia="宋体" w:hAnsi="Book Antiqua" w:cs="宋体"/>
          <w:color w:val="000000"/>
        </w:rPr>
        <w:t xml:space="preserve"> E, Abruzzo L, </w:t>
      </w:r>
      <w:proofErr w:type="spellStart"/>
      <w:r w:rsidRPr="00E127AB">
        <w:rPr>
          <w:rFonts w:ascii="Book Antiqua" w:eastAsia="宋体" w:hAnsi="Book Antiqua" w:cs="宋体"/>
          <w:color w:val="000000"/>
        </w:rPr>
        <w:t>Verstovsek</w:t>
      </w:r>
      <w:proofErr w:type="spellEnd"/>
      <w:r w:rsidRPr="00E127AB">
        <w:rPr>
          <w:rFonts w:ascii="Book Antiqua" w:eastAsia="宋体" w:hAnsi="Book Antiqua" w:cs="宋体"/>
          <w:color w:val="000000"/>
        </w:rPr>
        <w:t xml:space="preserve"> S, </w:t>
      </w:r>
      <w:proofErr w:type="spellStart"/>
      <w:r w:rsidRPr="00E127AB">
        <w:rPr>
          <w:rFonts w:ascii="Book Antiqua" w:eastAsia="宋体" w:hAnsi="Book Antiqua" w:cs="宋体"/>
          <w:color w:val="000000"/>
        </w:rPr>
        <w:t>Borthakur</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Ravandi</w:t>
      </w:r>
      <w:proofErr w:type="spellEnd"/>
      <w:r w:rsidRPr="00E127AB">
        <w:rPr>
          <w:rFonts w:ascii="Book Antiqua" w:eastAsia="宋体" w:hAnsi="Book Antiqua" w:cs="宋体"/>
          <w:color w:val="000000"/>
        </w:rPr>
        <w:t xml:space="preserve"> F, Garcia-</w:t>
      </w:r>
      <w:proofErr w:type="spellStart"/>
      <w:r w:rsidRPr="00E127AB">
        <w:rPr>
          <w:rFonts w:ascii="Book Antiqua" w:eastAsia="宋体" w:hAnsi="Book Antiqua" w:cs="宋体"/>
          <w:color w:val="000000"/>
        </w:rPr>
        <w:t>Manero</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Champlin</w:t>
      </w:r>
      <w:proofErr w:type="spellEnd"/>
      <w:r w:rsidRPr="00E127AB">
        <w:rPr>
          <w:rFonts w:ascii="Book Antiqua" w:eastAsia="宋体" w:hAnsi="Book Antiqua" w:cs="宋体"/>
          <w:color w:val="000000"/>
        </w:rPr>
        <w:t xml:space="preserve"> R, Pierce S, </w:t>
      </w:r>
      <w:proofErr w:type="spellStart"/>
      <w:r w:rsidRPr="00E127AB">
        <w:rPr>
          <w:rFonts w:ascii="Book Antiqua" w:eastAsia="宋体" w:hAnsi="Book Antiqua" w:cs="宋体"/>
          <w:color w:val="000000"/>
        </w:rPr>
        <w:t>Alattar</w:t>
      </w:r>
      <w:proofErr w:type="spellEnd"/>
      <w:r w:rsidRPr="00E127AB">
        <w:rPr>
          <w:rFonts w:ascii="Book Antiqua" w:eastAsia="宋体" w:hAnsi="Book Antiqua" w:cs="宋体"/>
          <w:color w:val="000000"/>
        </w:rPr>
        <w:t xml:space="preserve"> ML, Trinh LX, </w:t>
      </w:r>
      <w:proofErr w:type="spellStart"/>
      <w:r w:rsidRPr="00E127AB">
        <w:rPr>
          <w:rFonts w:ascii="Book Antiqua" w:eastAsia="宋体" w:hAnsi="Book Antiqua" w:cs="宋体"/>
          <w:color w:val="000000"/>
        </w:rPr>
        <w:t>Luthra</w:t>
      </w:r>
      <w:proofErr w:type="spellEnd"/>
      <w:r w:rsidRPr="00E127AB">
        <w:rPr>
          <w:rFonts w:ascii="Book Antiqua" w:eastAsia="宋体" w:hAnsi="Book Antiqua" w:cs="宋体"/>
          <w:color w:val="000000"/>
        </w:rPr>
        <w:t xml:space="preserve"> R, </w:t>
      </w:r>
      <w:proofErr w:type="spellStart"/>
      <w:r w:rsidRPr="00E127AB">
        <w:rPr>
          <w:rFonts w:ascii="Book Antiqua" w:eastAsia="宋体" w:hAnsi="Book Antiqua" w:cs="宋体"/>
          <w:color w:val="000000"/>
        </w:rPr>
        <w:t>Ferrajoli</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Kadia</w:t>
      </w:r>
      <w:proofErr w:type="spellEnd"/>
      <w:r w:rsidRPr="00E127AB">
        <w:rPr>
          <w:rFonts w:ascii="Book Antiqua" w:eastAsia="宋体" w:hAnsi="Book Antiqua" w:cs="宋体"/>
          <w:color w:val="000000"/>
        </w:rPr>
        <w:t xml:space="preserve"> T, O'Brien S, Cortes JE. </w:t>
      </w:r>
      <w:proofErr w:type="gramStart"/>
      <w:r w:rsidRPr="00E127AB">
        <w:rPr>
          <w:rFonts w:ascii="Book Antiqua" w:eastAsia="宋体" w:hAnsi="Book Antiqua" w:cs="宋体"/>
          <w:color w:val="000000"/>
        </w:rPr>
        <w:t>Tyrosine kinase inhibitors as initial therapy for patients with chronic myeloid leukemia in accelerated phase.</w:t>
      </w:r>
      <w:proofErr w:type="gramEnd"/>
      <w:r w:rsidRPr="00E127AB">
        <w:rPr>
          <w:rFonts w:ascii="Book Antiqua" w:eastAsia="宋体" w:hAnsi="Book Antiqua" w:cs="宋体"/>
          <w:color w:val="000000"/>
        </w:rPr>
        <w:t> </w:t>
      </w:r>
      <w:proofErr w:type="spellStart"/>
      <w:r w:rsidRPr="00E127AB">
        <w:rPr>
          <w:rFonts w:ascii="Book Antiqua" w:eastAsia="宋体" w:hAnsi="Book Antiqua" w:cs="宋体"/>
          <w:i/>
          <w:iCs/>
          <w:color w:val="000000"/>
        </w:rPr>
        <w:t>Clin</w:t>
      </w:r>
      <w:proofErr w:type="spellEnd"/>
      <w:r w:rsidRPr="00E127AB">
        <w:rPr>
          <w:rFonts w:ascii="Book Antiqua" w:eastAsia="宋体" w:hAnsi="Book Antiqua" w:cs="宋体"/>
          <w:i/>
          <w:iCs/>
          <w:color w:val="000000"/>
        </w:rPr>
        <w:t xml:space="preserve"> Lymphoma Myeloma </w:t>
      </w:r>
      <w:proofErr w:type="spellStart"/>
      <w:r w:rsidRPr="00E127AB">
        <w:rPr>
          <w:rFonts w:ascii="Book Antiqua" w:eastAsia="宋体" w:hAnsi="Book Antiqua" w:cs="宋体"/>
          <w:i/>
          <w:iCs/>
          <w:color w:val="000000"/>
        </w:rPr>
        <w:t>Leuk</w:t>
      </w:r>
      <w:proofErr w:type="spellEnd"/>
      <w:r w:rsidRPr="00E127AB">
        <w:rPr>
          <w:rFonts w:ascii="Book Antiqua" w:eastAsia="宋体" w:hAnsi="Book Antiqua" w:cs="宋体"/>
          <w:color w:val="000000"/>
        </w:rPr>
        <w:t> 2014; </w:t>
      </w:r>
      <w:r w:rsidRPr="00E127AB">
        <w:rPr>
          <w:rFonts w:ascii="Book Antiqua" w:eastAsia="宋体" w:hAnsi="Book Antiqua" w:cs="宋体"/>
          <w:b/>
          <w:bCs/>
          <w:color w:val="000000"/>
        </w:rPr>
        <w:t>14</w:t>
      </w:r>
      <w:r w:rsidRPr="00E127AB">
        <w:rPr>
          <w:rFonts w:ascii="Book Antiqua" w:eastAsia="宋体" w:hAnsi="Book Antiqua" w:cs="宋体"/>
          <w:color w:val="000000"/>
        </w:rPr>
        <w:t>: 155-162.e1 [PMID: 24332214 DOI: 10.1016/j.clml.2013.08.008]</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23 </w:t>
      </w:r>
      <w:r w:rsidRPr="00E127AB">
        <w:rPr>
          <w:rFonts w:ascii="Book Antiqua" w:eastAsia="宋体" w:hAnsi="Book Antiqua" w:cs="宋体"/>
          <w:b/>
          <w:bCs/>
          <w:color w:val="000000"/>
        </w:rPr>
        <w:t>Giralt SA</w:t>
      </w:r>
      <w:r w:rsidRPr="00E127AB">
        <w:rPr>
          <w:rFonts w:ascii="Book Antiqua" w:eastAsia="宋体" w:hAnsi="Book Antiqua" w:cs="宋体"/>
          <w:color w:val="000000"/>
        </w:rPr>
        <w:t xml:space="preserve">, Arora M, Goldman JM, Lee SJ, </w:t>
      </w:r>
      <w:proofErr w:type="spellStart"/>
      <w:r w:rsidRPr="00E127AB">
        <w:rPr>
          <w:rFonts w:ascii="Book Antiqua" w:eastAsia="宋体" w:hAnsi="Book Antiqua" w:cs="宋体"/>
          <w:color w:val="000000"/>
        </w:rPr>
        <w:t>Maziarz</w:t>
      </w:r>
      <w:proofErr w:type="spellEnd"/>
      <w:r w:rsidRPr="00E127AB">
        <w:rPr>
          <w:rFonts w:ascii="Book Antiqua" w:eastAsia="宋体" w:hAnsi="Book Antiqua" w:cs="宋体"/>
          <w:color w:val="000000"/>
        </w:rPr>
        <w:t xml:space="preserve"> RT, McCarthy PL, </w:t>
      </w:r>
      <w:proofErr w:type="spellStart"/>
      <w:r w:rsidRPr="00E127AB">
        <w:rPr>
          <w:rFonts w:ascii="Book Antiqua" w:eastAsia="宋体" w:hAnsi="Book Antiqua" w:cs="宋体"/>
          <w:color w:val="000000"/>
        </w:rPr>
        <w:t>Sobocinski</w:t>
      </w:r>
      <w:proofErr w:type="spellEnd"/>
      <w:r w:rsidRPr="00E127AB">
        <w:rPr>
          <w:rFonts w:ascii="Book Antiqua" w:eastAsia="宋体" w:hAnsi="Book Antiqua" w:cs="宋体"/>
          <w:color w:val="000000"/>
        </w:rPr>
        <w:t xml:space="preserve"> KA, Horowitz MM; </w:t>
      </w:r>
      <w:hyperlink r:id="rId9" w:history="1">
        <w:r w:rsidRPr="00E127AB">
          <w:rPr>
            <w:rFonts w:ascii="Book Antiqua" w:eastAsia="宋体" w:hAnsi="Book Antiqua" w:cs="宋体"/>
            <w:color w:val="000000"/>
          </w:rPr>
          <w:t>Chronic Leukemia Working Committee, Center for International Blood and Marrow Transplant Research</w:t>
        </w:r>
      </w:hyperlink>
      <w:r w:rsidRPr="00E127AB">
        <w:rPr>
          <w:rFonts w:ascii="Book Antiqua" w:eastAsia="宋体" w:hAnsi="Book Antiqua" w:cs="宋体"/>
          <w:color w:val="000000"/>
        </w:rPr>
        <w:t xml:space="preserve">. </w:t>
      </w:r>
      <w:proofErr w:type="gramStart"/>
      <w:r w:rsidRPr="00E127AB">
        <w:rPr>
          <w:rFonts w:ascii="Book Antiqua" w:eastAsia="宋体" w:hAnsi="Book Antiqua" w:cs="宋体"/>
          <w:color w:val="000000"/>
        </w:rPr>
        <w:t xml:space="preserve">Impact of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therapy on the use of allogeneic </w:t>
      </w:r>
      <w:proofErr w:type="spellStart"/>
      <w:r w:rsidRPr="00E127AB">
        <w:rPr>
          <w:rFonts w:ascii="Book Antiqua" w:eastAsia="宋体" w:hAnsi="Book Antiqua" w:cs="宋体"/>
          <w:color w:val="000000"/>
        </w:rPr>
        <w:t>haematopoietic</w:t>
      </w:r>
      <w:proofErr w:type="spellEnd"/>
      <w:r w:rsidRPr="00E127AB">
        <w:rPr>
          <w:rFonts w:ascii="Book Antiqua" w:eastAsia="宋体" w:hAnsi="Book Antiqua" w:cs="宋体"/>
          <w:color w:val="000000"/>
        </w:rPr>
        <w:t xml:space="preserve"> progenitor cell transplantation for the treatment of chronic myeloid </w:t>
      </w:r>
      <w:proofErr w:type="spellStart"/>
      <w:r w:rsidRPr="00E127AB">
        <w:rPr>
          <w:rFonts w:ascii="Book Antiqua" w:eastAsia="宋体" w:hAnsi="Book Antiqua" w:cs="宋体"/>
          <w:color w:val="000000"/>
        </w:rPr>
        <w:t>leukaemia</w:t>
      </w:r>
      <w:proofErr w:type="spellEnd"/>
      <w:r w:rsidRPr="00E127AB">
        <w:rPr>
          <w:rFonts w:ascii="Book Antiqua" w:eastAsia="宋体" w:hAnsi="Book Antiqua" w:cs="宋体"/>
          <w:color w:val="000000"/>
        </w:rPr>
        <w:t>.</w:t>
      </w:r>
      <w:proofErr w:type="gramEnd"/>
      <w:r w:rsidRPr="00E127AB">
        <w:rPr>
          <w:rFonts w:ascii="Book Antiqua" w:eastAsia="宋体" w:hAnsi="Book Antiqua" w:cs="宋体"/>
          <w:color w:val="000000"/>
        </w:rPr>
        <w:t> </w:t>
      </w:r>
      <w:r w:rsidRPr="00E127AB">
        <w:rPr>
          <w:rFonts w:ascii="Book Antiqua" w:eastAsia="宋体" w:hAnsi="Book Antiqua" w:cs="宋体"/>
          <w:i/>
          <w:iCs/>
          <w:color w:val="000000"/>
        </w:rPr>
        <w:t xml:space="preserve">Br J </w:t>
      </w:r>
      <w:proofErr w:type="spellStart"/>
      <w:r w:rsidRPr="00E127AB">
        <w:rPr>
          <w:rFonts w:ascii="Book Antiqua" w:eastAsia="宋体" w:hAnsi="Book Antiqua" w:cs="宋体"/>
          <w:i/>
          <w:iCs/>
          <w:color w:val="000000"/>
        </w:rPr>
        <w:t>Haematol</w:t>
      </w:r>
      <w:proofErr w:type="spellEnd"/>
      <w:r w:rsidRPr="00E127AB">
        <w:rPr>
          <w:rFonts w:ascii="Book Antiqua" w:eastAsia="宋体" w:hAnsi="Book Antiqua" w:cs="宋体"/>
          <w:color w:val="000000"/>
        </w:rPr>
        <w:t> 2007; </w:t>
      </w:r>
      <w:r w:rsidRPr="00E127AB">
        <w:rPr>
          <w:rFonts w:ascii="Book Antiqua" w:eastAsia="宋体" w:hAnsi="Book Antiqua" w:cs="宋体"/>
          <w:b/>
          <w:bCs/>
          <w:color w:val="000000"/>
        </w:rPr>
        <w:t>137</w:t>
      </w:r>
      <w:r w:rsidRPr="00E127AB">
        <w:rPr>
          <w:rFonts w:ascii="Book Antiqua" w:eastAsia="宋体" w:hAnsi="Book Antiqua" w:cs="宋体"/>
          <w:color w:val="000000"/>
        </w:rPr>
        <w:t xml:space="preserve">: 461-467 [PMID: </w:t>
      </w:r>
      <w:bookmarkStart w:id="42" w:name="OLE_LINK165"/>
      <w:bookmarkStart w:id="43" w:name="OLE_LINK166"/>
      <w:r w:rsidRPr="00E127AB">
        <w:rPr>
          <w:rFonts w:ascii="Book Antiqua" w:eastAsia="宋体" w:hAnsi="Book Antiqua" w:cs="宋体"/>
          <w:color w:val="000000"/>
        </w:rPr>
        <w:t xml:space="preserve">17459051 </w:t>
      </w:r>
      <w:bookmarkEnd w:id="42"/>
      <w:bookmarkEnd w:id="43"/>
      <w:r w:rsidRPr="00E127AB">
        <w:rPr>
          <w:rFonts w:ascii="Book Antiqua" w:eastAsia="宋体" w:hAnsi="Book Antiqua" w:cs="宋体"/>
          <w:color w:val="000000"/>
        </w:rPr>
        <w:t>DOI: 10.1111/j.1365-2141.2007.06582.x]</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24 </w:t>
      </w:r>
      <w:proofErr w:type="spellStart"/>
      <w:r w:rsidRPr="00E127AB">
        <w:rPr>
          <w:rFonts w:ascii="Book Antiqua" w:eastAsia="宋体" w:hAnsi="Book Antiqua" w:cs="宋体"/>
          <w:b/>
          <w:bCs/>
          <w:color w:val="000000"/>
        </w:rPr>
        <w:t>Gratwohl</w:t>
      </w:r>
      <w:proofErr w:type="spellEnd"/>
      <w:r w:rsidRPr="00E127AB">
        <w:rPr>
          <w:rFonts w:ascii="Book Antiqua" w:eastAsia="宋体" w:hAnsi="Book Antiqua" w:cs="宋体"/>
          <w:b/>
          <w:bCs/>
          <w:color w:val="000000"/>
        </w:rPr>
        <w:t xml:space="preserve"> A</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Baldomero</w:t>
      </w:r>
      <w:proofErr w:type="spellEnd"/>
      <w:r w:rsidRPr="00E127AB">
        <w:rPr>
          <w:rFonts w:ascii="Book Antiqua" w:eastAsia="宋体" w:hAnsi="Book Antiqua" w:cs="宋体"/>
          <w:color w:val="000000"/>
        </w:rPr>
        <w:t xml:space="preserve"> H, </w:t>
      </w:r>
      <w:proofErr w:type="spellStart"/>
      <w:r w:rsidRPr="00E127AB">
        <w:rPr>
          <w:rFonts w:ascii="Book Antiqua" w:eastAsia="宋体" w:hAnsi="Book Antiqua" w:cs="宋体"/>
          <w:color w:val="000000"/>
        </w:rPr>
        <w:t>Passweg</w:t>
      </w:r>
      <w:proofErr w:type="spellEnd"/>
      <w:r w:rsidRPr="00E127AB">
        <w:rPr>
          <w:rFonts w:ascii="Book Antiqua" w:eastAsia="宋体" w:hAnsi="Book Antiqua" w:cs="宋体"/>
          <w:color w:val="000000"/>
        </w:rPr>
        <w:t xml:space="preserve"> J. </w:t>
      </w:r>
      <w:proofErr w:type="gramStart"/>
      <w:r w:rsidRPr="00E127AB">
        <w:rPr>
          <w:rFonts w:ascii="Book Antiqua" w:eastAsia="宋体" w:hAnsi="Book Antiqua" w:cs="宋体"/>
          <w:color w:val="000000"/>
        </w:rPr>
        <w:t>The role of hematopoietic stem cell transplantation in chronic myeloid leukemia.</w:t>
      </w:r>
      <w:proofErr w:type="gramEnd"/>
      <w:r w:rsidRPr="00E127AB">
        <w:rPr>
          <w:rFonts w:ascii="Book Antiqua" w:eastAsia="宋体" w:hAnsi="Book Antiqua" w:cs="宋体"/>
          <w:color w:val="000000"/>
        </w:rPr>
        <w:t> </w:t>
      </w:r>
      <w:r w:rsidRPr="00E127AB">
        <w:rPr>
          <w:rFonts w:ascii="Book Antiqua" w:eastAsia="宋体" w:hAnsi="Book Antiqua" w:cs="宋体"/>
          <w:i/>
          <w:iCs/>
          <w:color w:val="000000"/>
        </w:rPr>
        <w:t xml:space="preserve">Ann </w:t>
      </w:r>
      <w:proofErr w:type="spellStart"/>
      <w:r w:rsidRPr="00E127AB">
        <w:rPr>
          <w:rFonts w:ascii="Book Antiqua" w:eastAsia="宋体" w:hAnsi="Book Antiqua" w:cs="宋体"/>
          <w:i/>
          <w:iCs/>
          <w:color w:val="000000"/>
        </w:rPr>
        <w:t>Hematol</w:t>
      </w:r>
      <w:proofErr w:type="spellEnd"/>
      <w:r w:rsidRPr="00E127AB">
        <w:rPr>
          <w:rFonts w:ascii="Book Antiqua" w:eastAsia="宋体" w:hAnsi="Book Antiqua" w:cs="宋体"/>
          <w:color w:val="000000"/>
        </w:rPr>
        <w:t> 2015; </w:t>
      </w:r>
      <w:r w:rsidRPr="00E127AB">
        <w:rPr>
          <w:rFonts w:ascii="Book Antiqua" w:eastAsia="宋体" w:hAnsi="Book Antiqua" w:cs="宋体"/>
          <w:b/>
          <w:bCs/>
          <w:color w:val="000000"/>
        </w:rPr>
        <w:t xml:space="preserve">94 </w:t>
      </w:r>
      <w:proofErr w:type="spellStart"/>
      <w:r w:rsidRPr="00E127AB">
        <w:rPr>
          <w:rFonts w:ascii="Book Antiqua" w:eastAsia="宋体" w:hAnsi="Book Antiqua" w:cs="宋体"/>
          <w:bCs/>
          <w:color w:val="000000"/>
        </w:rPr>
        <w:t>Suppl</w:t>
      </w:r>
      <w:proofErr w:type="spellEnd"/>
      <w:r w:rsidRPr="00E127AB">
        <w:rPr>
          <w:rFonts w:ascii="Book Antiqua" w:eastAsia="宋体" w:hAnsi="Book Antiqua" w:cs="宋体"/>
          <w:bCs/>
          <w:color w:val="000000"/>
        </w:rPr>
        <w:t xml:space="preserve"> 2</w:t>
      </w:r>
      <w:r w:rsidRPr="00E127AB">
        <w:rPr>
          <w:rFonts w:ascii="Book Antiqua" w:eastAsia="宋体" w:hAnsi="Book Antiqua" w:cs="宋体"/>
          <w:color w:val="000000"/>
        </w:rPr>
        <w:t>: S177-S186 [PMID: 25814084 DOI: 10.1007/s00277-015-2313-3]</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lastRenderedPageBreak/>
        <w:t>25 </w:t>
      </w:r>
      <w:r w:rsidRPr="00E127AB">
        <w:rPr>
          <w:rFonts w:ascii="Book Antiqua" w:eastAsia="宋体" w:hAnsi="Book Antiqua" w:cs="宋体"/>
          <w:b/>
          <w:bCs/>
          <w:color w:val="000000"/>
        </w:rPr>
        <w:t>Hamilton A</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Helgason</w:t>
      </w:r>
      <w:proofErr w:type="spellEnd"/>
      <w:r w:rsidRPr="00E127AB">
        <w:rPr>
          <w:rFonts w:ascii="Book Antiqua" w:eastAsia="宋体" w:hAnsi="Book Antiqua" w:cs="宋体"/>
          <w:color w:val="000000"/>
        </w:rPr>
        <w:t xml:space="preserve"> GV, </w:t>
      </w:r>
      <w:proofErr w:type="spellStart"/>
      <w:r w:rsidRPr="00E127AB">
        <w:rPr>
          <w:rFonts w:ascii="Book Antiqua" w:eastAsia="宋体" w:hAnsi="Book Antiqua" w:cs="宋体"/>
          <w:color w:val="000000"/>
        </w:rPr>
        <w:t>Schemionek</w:t>
      </w:r>
      <w:proofErr w:type="spellEnd"/>
      <w:r w:rsidRPr="00E127AB">
        <w:rPr>
          <w:rFonts w:ascii="Book Antiqua" w:eastAsia="宋体" w:hAnsi="Book Antiqua" w:cs="宋体"/>
          <w:color w:val="000000"/>
        </w:rPr>
        <w:t xml:space="preserve"> M, Zhang B, </w:t>
      </w:r>
      <w:proofErr w:type="spellStart"/>
      <w:r w:rsidRPr="00E127AB">
        <w:rPr>
          <w:rFonts w:ascii="Book Antiqua" w:eastAsia="宋体" w:hAnsi="Book Antiqua" w:cs="宋体"/>
          <w:color w:val="000000"/>
        </w:rPr>
        <w:t>Myssina</w:t>
      </w:r>
      <w:proofErr w:type="spellEnd"/>
      <w:r w:rsidRPr="00E127AB">
        <w:rPr>
          <w:rFonts w:ascii="Book Antiqua" w:eastAsia="宋体" w:hAnsi="Book Antiqua" w:cs="宋体"/>
          <w:color w:val="000000"/>
        </w:rPr>
        <w:t xml:space="preserve"> S, Allan EK, </w:t>
      </w:r>
      <w:proofErr w:type="spellStart"/>
      <w:r w:rsidRPr="00E127AB">
        <w:rPr>
          <w:rFonts w:ascii="Book Antiqua" w:eastAsia="宋体" w:hAnsi="Book Antiqua" w:cs="宋体"/>
          <w:color w:val="000000"/>
        </w:rPr>
        <w:t>Nicolini</w:t>
      </w:r>
      <w:proofErr w:type="spellEnd"/>
      <w:r w:rsidRPr="00E127AB">
        <w:rPr>
          <w:rFonts w:ascii="Book Antiqua" w:eastAsia="宋体" w:hAnsi="Book Antiqua" w:cs="宋体"/>
          <w:color w:val="000000"/>
        </w:rPr>
        <w:t xml:space="preserve"> FE, Müller-</w:t>
      </w:r>
      <w:proofErr w:type="spellStart"/>
      <w:r w:rsidRPr="00E127AB">
        <w:rPr>
          <w:rFonts w:ascii="Book Antiqua" w:eastAsia="宋体" w:hAnsi="Book Antiqua" w:cs="宋体"/>
          <w:color w:val="000000"/>
        </w:rPr>
        <w:t>Tidow</w:t>
      </w:r>
      <w:proofErr w:type="spellEnd"/>
      <w:r w:rsidRPr="00E127AB">
        <w:rPr>
          <w:rFonts w:ascii="Book Antiqua" w:eastAsia="宋体" w:hAnsi="Book Antiqua" w:cs="宋体"/>
          <w:color w:val="000000"/>
        </w:rPr>
        <w:t xml:space="preserve"> C, Bhatia R, </w:t>
      </w:r>
      <w:proofErr w:type="spellStart"/>
      <w:r w:rsidRPr="00E127AB">
        <w:rPr>
          <w:rFonts w:ascii="Book Antiqua" w:eastAsia="宋体" w:hAnsi="Book Antiqua" w:cs="宋体"/>
          <w:color w:val="000000"/>
        </w:rPr>
        <w:t>Brunton</w:t>
      </w:r>
      <w:proofErr w:type="spellEnd"/>
      <w:r w:rsidRPr="00E127AB">
        <w:rPr>
          <w:rFonts w:ascii="Book Antiqua" w:eastAsia="宋体" w:hAnsi="Book Antiqua" w:cs="宋体"/>
          <w:color w:val="000000"/>
        </w:rPr>
        <w:t xml:space="preserve"> VG, </w:t>
      </w:r>
      <w:proofErr w:type="spellStart"/>
      <w:r w:rsidRPr="00E127AB">
        <w:rPr>
          <w:rFonts w:ascii="Book Antiqua" w:eastAsia="宋体" w:hAnsi="Book Antiqua" w:cs="宋体"/>
          <w:color w:val="000000"/>
        </w:rPr>
        <w:t>Koschmieder</w:t>
      </w:r>
      <w:proofErr w:type="spellEnd"/>
      <w:r w:rsidRPr="00E127AB">
        <w:rPr>
          <w:rFonts w:ascii="Book Antiqua" w:eastAsia="宋体" w:hAnsi="Book Antiqua" w:cs="宋体"/>
          <w:color w:val="000000"/>
        </w:rPr>
        <w:t xml:space="preserve"> S, Holyoake TL. Chronic myeloid leukemia stem cells are not dependent on </w:t>
      </w:r>
      <w:proofErr w:type="spellStart"/>
      <w:r w:rsidRPr="00E127AB">
        <w:rPr>
          <w:rFonts w:ascii="Book Antiqua" w:eastAsia="宋体" w:hAnsi="Book Antiqua" w:cs="宋体"/>
          <w:color w:val="000000"/>
        </w:rPr>
        <w:t>Bcr-Abl</w:t>
      </w:r>
      <w:proofErr w:type="spellEnd"/>
      <w:r w:rsidRPr="00E127AB">
        <w:rPr>
          <w:rFonts w:ascii="Book Antiqua" w:eastAsia="宋体" w:hAnsi="Book Antiqua" w:cs="宋体"/>
          <w:color w:val="000000"/>
        </w:rPr>
        <w:t xml:space="preserve"> kinase activity for their survival. </w:t>
      </w:r>
      <w:r w:rsidRPr="00E127AB">
        <w:rPr>
          <w:rFonts w:ascii="Book Antiqua" w:eastAsia="宋体" w:hAnsi="Book Antiqua" w:cs="宋体"/>
          <w:i/>
          <w:iCs/>
          <w:color w:val="000000"/>
        </w:rPr>
        <w:t>Blood</w:t>
      </w:r>
      <w:r w:rsidRPr="00E127AB">
        <w:rPr>
          <w:rFonts w:ascii="Book Antiqua" w:eastAsia="宋体" w:hAnsi="Book Antiqua" w:cs="宋体"/>
          <w:color w:val="000000"/>
        </w:rPr>
        <w:t> 2012; </w:t>
      </w:r>
      <w:r w:rsidRPr="00E127AB">
        <w:rPr>
          <w:rFonts w:ascii="Book Antiqua" w:eastAsia="宋体" w:hAnsi="Book Antiqua" w:cs="宋体"/>
          <w:b/>
          <w:bCs/>
          <w:color w:val="000000"/>
        </w:rPr>
        <w:t>119</w:t>
      </w:r>
      <w:r w:rsidRPr="00E127AB">
        <w:rPr>
          <w:rFonts w:ascii="Book Antiqua" w:eastAsia="宋体" w:hAnsi="Book Antiqua" w:cs="宋体"/>
          <w:color w:val="000000"/>
        </w:rPr>
        <w:t>: 1501-1510 [PMID: 22184410 DOI: 10.1182/blood-2010-12-326843]</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26 </w:t>
      </w:r>
      <w:r w:rsidRPr="00E127AB">
        <w:rPr>
          <w:rFonts w:ascii="Book Antiqua" w:eastAsia="宋体" w:hAnsi="Book Antiqua" w:cs="宋体"/>
          <w:b/>
          <w:bCs/>
          <w:color w:val="000000"/>
        </w:rPr>
        <w:t>Copland M</w:t>
      </w:r>
      <w:r w:rsidRPr="00E127AB">
        <w:rPr>
          <w:rFonts w:ascii="Book Antiqua" w:eastAsia="宋体" w:hAnsi="Book Antiqua" w:cs="宋体"/>
          <w:color w:val="000000"/>
        </w:rPr>
        <w:t xml:space="preserve">, Hamilton A, </w:t>
      </w:r>
      <w:proofErr w:type="spellStart"/>
      <w:r w:rsidRPr="00E127AB">
        <w:rPr>
          <w:rFonts w:ascii="Book Antiqua" w:eastAsia="宋体" w:hAnsi="Book Antiqua" w:cs="宋体"/>
          <w:color w:val="000000"/>
        </w:rPr>
        <w:t>Elrick</w:t>
      </w:r>
      <w:proofErr w:type="spellEnd"/>
      <w:r w:rsidRPr="00E127AB">
        <w:rPr>
          <w:rFonts w:ascii="Book Antiqua" w:eastAsia="宋体" w:hAnsi="Book Antiqua" w:cs="宋体"/>
          <w:color w:val="000000"/>
        </w:rPr>
        <w:t xml:space="preserve"> LJ, Baird JW, Allan EK, </w:t>
      </w:r>
      <w:proofErr w:type="spellStart"/>
      <w:r w:rsidRPr="00E127AB">
        <w:rPr>
          <w:rFonts w:ascii="Book Antiqua" w:eastAsia="宋体" w:hAnsi="Book Antiqua" w:cs="宋体"/>
          <w:color w:val="000000"/>
        </w:rPr>
        <w:t>Jordanides</w:t>
      </w:r>
      <w:proofErr w:type="spellEnd"/>
      <w:r w:rsidRPr="00E127AB">
        <w:rPr>
          <w:rFonts w:ascii="Book Antiqua" w:eastAsia="宋体" w:hAnsi="Book Antiqua" w:cs="宋体"/>
          <w:color w:val="000000"/>
        </w:rPr>
        <w:t xml:space="preserve"> N, </w:t>
      </w:r>
      <w:proofErr w:type="spellStart"/>
      <w:r w:rsidRPr="00E127AB">
        <w:rPr>
          <w:rFonts w:ascii="Book Antiqua" w:eastAsia="宋体" w:hAnsi="Book Antiqua" w:cs="宋体"/>
          <w:color w:val="000000"/>
        </w:rPr>
        <w:t>Barow</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Mountford</w:t>
      </w:r>
      <w:proofErr w:type="spellEnd"/>
      <w:r w:rsidRPr="00E127AB">
        <w:rPr>
          <w:rFonts w:ascii="Book Antiqua" w:eastAsia="宋体" w:hAnsi="Book Antiqua" w:cs="宋体"/>
          <w:color w:val="000000"/>
        </w:rPr>
        <w:t xml:space="preserve"> JC, Holyoake TL. </w:t>
      </w:r>
      <w:proofErr w:type="spellStart"/>
      <w:r w:rsidRPr="00E127AB">
        <w:rPr>
          <w:rFonts w:ascii="Book Antiqua" w:eastAsia="宋体" w:hAnsi="Book Antiqua" w:cs="宋体"/>
          <w:color w:val="000000"/>
        </w:rPr>
        <w:t>Dasatinib</w:t>
      </w:r>
      <w:proofErr w:type="spellEnd"/>
      <w:r w:rsidRPr="00E127AB">
        <w:rPr>
          <w:rFonts w:ascii="Book Antiqua" w:eastAsia="宋体" w:hAnsi="Book Antiqua" w:cs="宋体"/>
          <w:color w:val="000000"/>
        </w:rPr>
        <w:t xml:space="preserve"> (BMS-354825) targets an earlier progenitor population than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in primary CML but does not eliminate the quiescent fraction. </w:t>
      </w:r>
      <w:r w:rsidRPr="00E127AB">
        <w:rPr>
          <w:rFonts w:ascii="Book Antiqua" w:eastAsia="宋体" w:hAnsi="Book Antiqua" w:cs="宋体"/>
          <w:i/>
          <w:iCs/>
          <w:color w:val="000000"/>
        </w:rPr>
        <w:t>Blood</w:t>
      </w:r>
      <w:r w:rsidRPr="00E127AB">
        <w:rPr>
          <w:rFonts w:ascii="Book Antiqua" w:eastAsia="宋体" w:hAnsi="Book Antiqua" w:cs="宋体"/>
          <w:color w:val="000000"/>
        </w:rPr>
        <w:t> 2006; </w:t>
      </w:r>
      <w:r w:rsidRPr="00E127AB">
        <w:rPr>
          <w:rFonts w:ascii="Book Antiqua" w:eastAsia="宋体" w:hAnsi="Book Antiqua" w:cs="宋体"/>
          <w:b/>
          <w:bCs/>
          <w:color w:val="000000"/>
        </w:rPr>
        <w:t>107</w:t>
      </w:r>
      <w:r w:rsidRPr="00E127AB">
        <w:rPr>
          <w:rFonts w:ascii="Book Antiqua" w:eastAsia="宋体" w:hAnsi="Book Antiqua" w:cs="宋体"/>
          <w:color w:val="000000"/>
        </w:rPr>
        <w:t>: 4532-4539 [PMID: 16469872 DOI: 10.1182/blood-2005-07-2947]</w:t>
      </w:r>
    </w:p>
    <w:p w:rsidR="002B2701" w:rsidRPr="00E127AB" w:rsidRDefault="002B2701" w:rsidP="005E6CDB">
      <w:pPr>
        <w:spacing w:line="360" w:lineRule="auto"/>
        <w:jc w:val="both"/>
        <w:rPr>
          <w:rFonts w:ascii="Book Antiqua" w:eastAsia="宋体" w:hAnsi="Book Antiqua" w:cs="宋体"/>
          <w:color w:val="000000"/>
        </w:rPr>
      </w:pPr>
      <w:bookmarkStart w:id="44" w:name="OLE_LINK167"/>
      <w:bookmarkStart w:id="45" w:name="OLE_LINK168"/>
      <w:r w:rsidRPr="00E127AB">
        <w:rPr>
          <w:rFonts w:ascii="Book Antiqua" w:eastAsia="宋体" w:hAnsi="Book Antiqua" w:cs="宋体"/>
          <w:color w:val="000000"/>
        </w:rPr>
        <w:t>27 </w:t>
      </w:r>
      <w:r w:rsidRPr="00E127AB">
        <w:rPr>
          <w:rFonts w:ascii="Book Antiqua" w:eastAsia="宋体" w:hAnsi="Book Antiqua" w:cs="宋体"/>
          <w:b/>
          <w:bCs/>
          <w:color w:val="000000"/>
        </w:rPr>
        <w:t>Clift RA</w:t>
      </w:r>
      <w:r w:rsidRPr="00E127AB">
        <w:rPr>
          <w:rFonts w:ascii="Book Antiqua" w:eastAsia="宋体" w:hAnsi="Book Antiqua" w:cs="宋体"/>
          <w:color w:val="000000"/>
        </w:rPr>
        <w:t xml:space="preserve">, Buckner CD, Thomas ED, </w:t>
      </w:r>
      <w:proofErr w:type="spellStart"/>
      <w:r w:rsidRPr="00E127AB">
        <w:rPr>
          <w:rFonts w:ascii="Book Antiqua" w:eastAsia="宋体" w:hAnsi="Book Antiqua" w:cs="宋体"/>
          <w:color w:val="000000"/>
        </w:rPr>
        <w:t>Doney</w:t>
      </w:r>
      <w:proofErr w:type="spellEnd"/>
      <w:r w:rsidRPr="00E127AB">
        <w:rPr>
          <w:rFonts w:ascii="Book Antiqua" w:eastAsia="宋体" w:hAnsi="Book Antiqua" w:cs="宋体"/>
          <w:color w:val="000000"/>
        </w:rPr>
        <w:t xml:space="preserve"> K, </w:t>
      </w:r>
      <w:proofErr w:type="spellStart"/>
      <w:r w:rsidRPr="00E127AB">
        <w:rPr>
          <w:rFonts w:ascii="Book Antiqua" w:eastAsia="宋体" w:hAnsi="Book Antiqua" w:cs="宋体"/>
          <w:color w:val="000000"/>
        </w:rPr>
        <w:t>Fefer</w:t>
      </w:r>
      <w:proofErr w:type="spellEnd"/>
      <w:r w:rsidRPr="00E127AB">
        <w:rPr>
          <w:rFonts w:ascii="Book Antiqua" w:eastAsia="宋体" w:hAnsi="Book Antiqua" w:cs="宋体"/>
          <w:color w:val="000000"/>
        </w:rPr>
        <w:t xml:space="preserve"> A, Neiman PE, Singer J, Sanders J, Stewart P, Sullivan KM, </w:t>
      </w:r>
      <w:proofErr w:type="spellStart"/>
      <w:r w:rsidRPr="00E127AB">
        <w:rPr>
          <w:rFonts w:ascii="Book Antiqua" w:eastAsia="宋体" w:hAnsi="Book Antiqua" w:cs="宋体"/>
          <w:color w:val="000000"/>
        </w:rPr>
        <w:t>Deeg</w:t>
      </w:r>
      <w:proofErr w:type="spellEnd"/>
      <w:r w:rsidRPr="00E127AB">
        <w:rPr>
          <w:rFonts w:ascii="Book Antiqua" w:eastAsia="宋体" w:hAnsi="Book Antiqua" w:cs="宋体"/>
          <w:color w:val="000000"/>
        </w:rPr>
        <w:t xml:space="preserve"> J, </w:t>
      </w:r>
      <w:proofErr w:type="spellStart"/>
      <w:r w:rsidRPr="00E127AB">
        <w:rPr>
          <w:rFonts w:ascii="Book Antiqua" w:eastAsia="宋体" w:hAnsi="Book Antiqua" w:cs="宋体"/>
          <w:color w:val="000000"/>
        </w:rPr>
        <w:t>Storb</w:t>
      </w:r>
      <w:proofErr w:type="spellEnd"/>
      <w:r w:rsidRPr="00E127AB">
        <w:rPr>
          <w:rFonts w:ascii="Book Antiqua" w:eastAsia="宋体" w:hAnsi="Book Antiqua" w:cs="宋体"/>
          <w:color w:val="000000"/>
        </w:rPr>
        <w:t xml:space="preserve"> R. Treatment of chronic granulocytic </w:t>
      </w:r>
      <w:proofErr w:type="spellStart"/>
      <w:r w:rsidRPr="00E127AB">
        <w:rPr>
          <w:rFonts w:ascii="Book Antiqua" w:eastAsia="宋体" w:hAnsi="Book Antiqua" w:cs="宋体"/>
          <w:color w:val="000000"/>
        </w:rPr>
        <w:t>leukaemia</w:t>
      </w:r>
      <w:proofErr w:type="spellEnd"/>
      <w:r w:rsidRPr="00E127AB">
        <w:rPr>
          <w:rFonts w:ascii="Book Antiqua" w:eastAsia="宋体" w:hAnsi="Book Antiqua" w:cs="宋体"/>
          <w:color w:val="000000"/>
        </w:rPr>
        <w:t xml:space="preserve"> in chronic phase by allogeneic marrow transplantation. </w:t>
      </w:r>
      <w:r w:rsidRPr="00E127AB">
        <w:rPr>
          <w:rFonts w:ascii="Book Antiqua" w:eastAsia="宋体" w:hAnsi="Book Antiqua" w:cs="宋体"/>
          <w:i/>
          <w:iCs/>
          <w:color w:val="000000"/>
        </w:rPr>
        <w:t>Lancet</w:t>
      </w:r>
      <w:r w:rsidRPr="00E127AB">
        <w:rPr>
          <w:rFonts w:ascii="Book Antiqua" w:eastAsia="宋体" w:hAnsi="Book Antiqua" w:cs="宋体"/>
          <w:color w:val="000000"/>
        </w:rPr>
        <w:t> 1982; </w:t>
      </w:r>
      <w:r w:rsidRPr="00E127AB">
        <w:rPr>
          <w:rFonts w:ascii="Book Antiqua" w:eastAsia="宋体" w:hAnsi="Book Antiqua" w:cs="宋体"/>
          <w:b/>
          <w:bCs/>
          <w:color w:val="000000"/>
        </w:rPr>
        <w:t>2</w:t>
      </w:r>
      <w:r w:rsidRPr="00E127AB">
        <w:rPr>
          <w:rFonts w:ascii="Book Antiqua" w:eastAsia="宋体" w:hAnsi="Book Antiqua" w:cs="宋体"/>
          <w:color w:val="000000"/>
        </w:rPr>
        <w:t xml:space="preserve">: 621-623 [PMID: 6125772 DOI: </w:t>
      </w:r>
      <w:hyperlink r:id="rId10" w:tgtFrame="_blank" w:history="1">
        <w:r w:rsidRPr="00E127AB">
          <w:rPr>
            <w:rFonts w:ascii="Book Antiqua" w:eastAsia="宋体" w:hAnsi="Book Antiqua" w:cs="宋体"/>
            <w:color w:val="000000"/>
          </w:rPr>
          <w:t>10.1016/S0140-6736(82)92735-0</w:t>
        </w:r>
      </w:hyperlink>
      <w:r w:rsidRPr="00E127AB">
        <w:rPr>
          <w:rFonts w:ascii="Book Antiqua" w:eastAsia="宋体" w:hAnsi="Book Antiqua" w:cs="宋体"/>
          <w:color w:val="000000"/>
        </w:rPr>
        <w:t>]</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28 </w:t>
      </w:r>
      <w:r w:rsidRPr="00E127AB">
        <w:rPr>
          <w:rFonts w:ascii="Book Antiqua" w:eastAsia="宋体" w:hAnsi="Book Antiqua" w:cs="宋体"/>
          <w:b/>
          <w:bCs/>
          <w:color w:val="000000"/>
        </w:rPr>
        <w:t>Goldman JM</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Baughan</w:t>
      </w:r>
      <w:proofErr w:type="spellEnd"/>
      <w:r w:rsidRPr="00E127AB">
        <w:rPr>
          <w:rFonts w:ascii="Book Antiqua" w:eastAsia="宋体" w:hAnsi="Book Antiqua" w:cs="宋体"/>
          <w:color w:val="000000"/>
        </w:rPr>
        <w:t xml:space="preserve"> AS, McCarthy DM, </w:t>
      </w:r>
      <w:proofErr w:type="spellStart"/>
      <w:r w:rsidRPr="00E127AB">
        <w:rPr>
          <w:rFonts w:ascii="Book Antiqua" w:eastAsia="宋体" w:hAnsi="Book Antiqua" w:cs="宋体"/>
          <w:color w:val="000000"/>
        </w:rPr>
        <w:t>Worsley</w:t>
      </w:r>
      <w:proofErr w:type="spellEnd"/>
      <w:r w:rsidRPr="00E127AB">
        <w:rPr>
          <w:rFonts w:ascii="Book Antiqua" w:eastAsia="宋体" w:hAnsi="Book Antiqua" w:cs="宋体"/>
          <w:color w:val="000000"/>
        </w:rPr>
        <w:t xml:space="preserve"> AM, </w:t>
      </w:r>
      <w:proofErr w:type="spellStart"/>
      <w:r w:rsidRPr="00E127AB">
        <w:rPr>
          <w:rFonts w:ascii="Book Antiqua" w:eastAsia="宋体" w:hAnsi="Book Antiqua" w:cs="宋体"/>
          <w:color w:val="000000"/>
        </w:rPr>
        <w:t>Hows</w:t>
      </w:r>
      <w:proofErr w:type="spellEnd"/>
      <w:r w:rsidRPr="00E127AB">
        <w:rPr>
          <w:rFonts w:ascii="Book Antiqua" w:eastAsia="宋体" w:hAnsi="Book Antiqua" w:cs="宋体"/>
          <w:color w:val="000000"/>
        </w:rPr>
        <w:t xml:space="preserve"> JM, Gordon-Smith EC, </w:t>
      </w:r>
      <w:proofErr w:type="spellStart"/>
      <w:r w:rsidRPr="00E127AB">
        <w:rPr>
          <w:rFonts w:ascii="Book Antiqua" w:eastAsia="宋体" w:hAnsi="Book Antiqua" w:cs="宋体"/>
          <w:color w:val="000000"/>
        </w:rPr>
        <w:t>Catovsky</w:t>
      </w:r>
      <w:proofErr w:type="spellEnd"/>
      <w:r w:rsidRPr="00E127AB">
        <w:rPr>
          <w:rFonts w:ascii="Book Antiqua" w:eastAsia="宋体" w:hAnsi="Book Antiqua" w:cs="宋体"/>
          <w:color w:val="000000"/>
        </w:rPr>
        <w:t xml:space="preserve"> D, </w:t>
      </w:r>
      <w:proofErr w:type="spellStart"/>
      <w:r w:rsidRPr="00E127AB">
        <w:rPr>
          <w:rFonts w:ascii="Book Antiqua" w:eastAsia="宋体" w:hAnsi="Book Antiqua" w:cs="宋体"/>
          <w:color w:val="000000"/>
        </w:rPr>
        <w:t>Batchelor</w:t>
      </w:r>
      <w:proofErr w:type="spellEnd"/>
      <w:r w:rsidRPr="00E127AB">
        <w:rPr>
          <w:rFonts w:ascii="Book Antiqua" w:eastAsia="宋体" w:hAnsi="Book Antiqua" w:cs="宋体"/>
          <w:color w:val="000000"/>
        </w:rPr>
        <w:t xml:space="preserve"> JR, </w:t>
      </w:r>
      <w:proofErr w:type="spellStart"/>
      <w:r w:rsidRPr="00E127AB">
        <w:rPr>
          <w:rFonts w:ascii="Book Antiqua" w:eastAsia="宋体" w:hAnsi="Book Antiqua" w:cs="宋体"/>
          <w:color w:val="000000"/>
        </w:rPr>
        <w:t>Goolden</w:t>
      </w:r>
      <w:proofErr w:type="spellEnd"/>
      <w:r w:rsidRPr="00E127AB">
        <w:rPr>
          <w:rFonts w:ascii="Book Antiqua" w:eastAsia="宋体" w:hAnsi="Book Antiqua" w:cs="宋体"/>
          <w:color w:val="000000"/>
        </w:rPr>
        <w:t xml:space="preserve"> AW, Galton DA. </w:t>
      </w:r>
      <w:proofErr w:type="gramStart"/>
      <w:r w:rsidRPr="00E127AB">
        <w:rPr>
          <w:rFonts w:ascii="Book Antiqua" w:eastAsia="宋体" w:hAnsi="Book Antiqua" w:cs="宋体"/>
          <w:color w:val="000000"/>
        </w:rPr>
        <w:t xml:space="preserve">Marrow transplantation for patients in the chronic phase of chronic granulocytic </w:t>
      </w:r>
      <w:proofErr w:type="spellStart"/>
      <w:r w:rsidRPr="00E127AB">
        <w:rPr>
          <w:rFonts w:ascii="Book Antiqua" w:eastAsia="宋体" w:hAnsi="Book Antiqua" w:cs="宋体"/>
          <w:color w:val="000000"/>
        </w:rPr>
        <w:t>leukaemia</w:t>
      </w:r>
      <w:proofErr w:type="spellEnd"/>
      <w:r w:rsidRPr="00E127AB">
        <w:rPr>
          <w:rFonts w:ascii="Book Antiqua" w:eastAsia="宋体" w:hAnsi="Book Antiqua" w:cs="宋体"/>
          <w:color w:val="000000"/>
        </w:rPr>
        <w:t>.</w:t>
      </w:r>
      <w:proofErr w:type="gramEnd"/>
      <w:r w:rsidRPr="00E127AB">
        <w:rPr>
          <w:rFonts w:ascii="Book Antiqua" w:eastAsia="宋体" w:hAnsi="Book Antiqua" w:cs="宋体"/>
          <w:color w:val="000000"/>
        </w:rPr>
        <w:t> </w:t>
      </w:r>
      <w:r w:rsidRPr="00E127AB">
        <w:rPr>
          <w:rFonts w:ascii="Book Antiqua" w:eastAsia="宋体" w:hAnsi="Book Antiqua" w:cs="宋体"/>
          <w:i/>
          <w:iCs/>
          <w:color w:val="000000"/>
        </w:rPr>
        <w:t>Lancet</w:t>
      </w:r>
      <w:r w:rsidRPr="00E127AB">
        <w:rPr>
          <w:rFonts w:ascii="Book Antiqua" w:eastAsia="宋体" w:hAnsi="Book Antiqua" w:cs="宋体"/>
          <w:color w:val="000000"/>
        </w:rPr>
        <w:t> 1982; </w:t>
      </w:r>
      <w:r w:rsidRPr="00E127AB">
        <w:rPr>
          <w:rFonts w:ascii="Book Antiqua" w:eastAsia="宋体" w:hAnsi="Book Antiqua" w:cs="宋体"/>
          <w:b/>
          <w:bCs/>
          <w:color w:val="000000"/>
        </w:rPr>
        <w:t>2</w:t>
      </w:r>
      <w:r w:rsidRPr="00E127AB">
        <w:rPr>
          <w:rFonts w:ascii="Book Antiqua" w:eastAsia="宋体" w:hAnsi="Book Antiqua" w:cs="宋体"/>
          <w:color w:val="000000"/>
        </w:rPr>
        <w:t xml:space="preserve">: 623-625 [PMID: 6125773 DOI: </w:t>
      </w:r>
      <w:hyperlink r:id="rId11" w:tgtFrame="_blank" w:history="1">
        <w:r w:rsidRPr="00E127AB">
          <w:rPr>
            <w:rFonts w:ascii="Book Antiqua" w:eastAsia="宋体" w:hAnsi="Book Antiqua" w:cs="宋体"/>
            <w:color w:val="000000"/>
          </w:rPr>
          <w:t>10.1016/S0140-6736(82)92736-2</w:t>
        </w:r>
      </w:hyperlink>
      <w:r w:rsidRPr="00E127AB">
        <w:rPr>
          <w:rFonts w:ascii="Book Antiqua" w:eastAsia="宋体" w:hAnsi="Book Antiqua" w:cs="宋体"/>
          <w:color w:val="000000"/>
        </w:rPr>
        <w:t>]</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29 </w:t>
      </w:r>
      <w:proofErr w:type="spellStart"/>
      <w:r w:rsidRPr="00E127AB">
        <w:rPr>
          <w:rFonts w:ascii="Book Antiqua" w:eastAsia="宋体" w:hAnsi="Book Antiqua" w:cs="宋体"/>
          <w:b/>
          <w:bCs/>
          <w:color w:val="000000"/>
        </w:rPr>
        <w:t>McGlave</w:t>
      </w:r>
      <w:proofErr w:type="spellEnd"/>
      <w:r w:rsidRPr="00E127AB">
        <w:rPr>
          <w:rFonts w:ascii="Book Antiqua" w:eastAsia="宋体" w:hAnsi="Book Antiqua" w:cs="宋体"/>
          <w:b/>
          <w:bCs/>
          <w:color w:val="000000"/>
        </w:rPr>
        <w:t xml:space="preserve"> PB</w:t>
      </w:r>
      <w:r w:rsidRPr="00E127AB">
        <w:rPr>
          <w:rFonts w:ascii="Book Antiqua" w:eastAsia="宋体" w:hAnsi="Book Antiqua" w:cs="宋体"/>
          <w:color w:val="000000"/>
        </w:rPr>
        <w:t xml:space="preserve">, Arthur DC, Kim TH, Ramsay NK, Hurd DD, </w:t>
      </w:r>
      <w:proofErr w:type="spellStart"/>
      <w:r w:rsidRPr="00E127AB">
        <w:rPr>
          <w:rFonts w:ascii="Book Antiqua" w:eastAsia="宋体" w:hAnsi="Book Antiqua" w:cs="宋体"/>
          <w:color w:val="000000"/>
        </w:rPr>
        <w:t>Kersey</w:t>
      </w:r>
      <w:proofErr w:type="spellEnd"/>
      <w:r w:rsidRPr="00E127AB">
        <w:rPr>
          <w:rFonts w:ascii="Book Antiqua" w:eastAsia="宋体" w:hAnsi="Book Antiqua" w:cs="宋体"/>
          <w:color w:val="000000"/>
        </w:rPr>
        <w:t xml:space="preserve"> J. Successful allogeneic bone-marrow transplantation for patients in the accelerated phase of chronic granulocytic </w:t>
      </w:r>
      <w:proofErr w:type="spellStart"/>
      <w:r w:rsidRPr="00E127AB">
        <w:rPr>
          <w:rFonts w:ascii="Book Antiqua" w:eastAsia="宋体" w:hAnsi="Book Antiqua" w:cs="宋体"/>
          <w:color w:val="000000"/>
        </w:rPr>
        <w:t>leukaemia</w:t>
      </w:r>
      <w:proofErr w:type="spellEnd"/>
      <w:r w:rsidRPr="00E127AB">
        <w:rPr>
          <w:rFonts w:ascii="Book Antiqua" w:eastAsia="宋体" w:hAnsi="Book Antiqua" w:cs="宋体"/>
          <w:color w:val="000000"/>
        </w:rPr>
        <w:t>. </w:t>
      </w:r>
      <w:r w:rsidRPr="00E127AB">
        <w:rPr>
          <w:rFonts w:ascii="Book Antiqua" w:eastAsia="宋体" w:hAnsi="Book Antiqua" w:cs="宋体"/>
          <w:i/>
          <w:iCs/>
          <w:color w:val="000000"/>
        </w:rPr>
        <w:t>Lancet</w:t>
      </w:r>
      <w:r w:rsidRPr="00E127AB">
        <w:rPr>
          <w:rFonts w:ascii="Book Antiqua" w:eastAsia="宋体" w:hAnsi="Book Antiqua" w:cs="宋体"/>
          <w:color w:val="000000"/>
        </w:rPr>
        <w:t> 1982; </w:t>
      </w:r>
      <w:r w:rsidRPr="00E127AB">
        <w:rPr>
          <w:rFonts w:ascii="Book Antiqua" w:eastAsia="宋体" w:hAnsi="Book Antiqua" w:cs="宋体"/>
          <w:b/>
          <w:bCs/>
          <w:color w:val="000000"/>
        </w:rPr>
        <w:t>2</w:t>
      </w:r>
      <w:r w:rsidRPr="00E127AB">
        <w:rPr>
          <w:rFonts w:ascii="Book Antiqua" w:eastAsia="宋体" w:hAnsi="Book Antiqua" w:cs="宋体"/>
          <w:color w:val="000000"/>
        </w:rPr>
        <w:t xml:space="preserve">: 625-627 [PMID: 6125774 DOI: </w:t>
      </w:r>
      <w:hyperlink r:id="rId12" w:tgtFrame="_blank" w:history="1">
        <w:r w:rsidRPr="00E127AB">
          <w:rPr>
            <w:rFonts w:ascii="Book Antiqua" w:eastAsia="宋体" w:hAnsi="Book Antiqua" w:cs="宋体"/>
            <w:color w:val="000000"/>
          </w:rPr>
          <w:t>10.1016/S0140-6736(82)92737-4</w:t>
        </w:r>
      </w:hyperlink>
      <w:r w:rsidRPr="00E127AB">
        <w:rPr>
          <w:rFonts w:ascii="Book Antiqua" w:eastAsia="宋体" w:hAnsi="Book Antiqua" w:cs="宋体"/>
          <w:color w:val="000000"/>
        </w:rPr>
        <w:t>]</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30 </w:t>
      </w:r>
      <w:r w:rsidRPr="00E127AB">
        <w:rPr>
          <w:rFonts w:ascii="Book Antiqua" w:eastAsia="宋体" w:hAnsi="Book Antiqua" w:cs="宋体"/>
          <w:b/>
          <w:bCs/>
          <w:color w:val="000000"/>
        </w:rPr>
        <w:t>Horowitz MM</w:t>
      </w:r>
      <w:r w:rsidRPr="00E127AB">
        <w:rPr>
          <w:rFonts w:ascii="Book Antiqua" w:eastAsia="宋体" w:hAnsi="Book Antiqua" w:cs="宋体"/>
          <w:color w:val="000000"/>
        </w:rPr>
        <w:t xml:space="preserve">, Gale RP, </w:t>
      </w:r>
      <w:proofErr w:type="spellStart"/>
      <w:r w:rsidRPr="00E127AB">
        <w:rPr>
          <w:rFonts w:ascii="Book Antiqua" w:eastAsia="宋体" w:hAnsi="Book Antiqua" w:cs="宋体"/>
          <w:color w:val="000000"/>
        </w:rPr>
        <w:t>Sondel</w:t>
      </w:r>
      <w:proofErr w:type="spellEnd"/>
      <w:r w:rsidRPr="00E127AB">
        <w:rPr>
          <w:rFonts w:ascii="Book Antiqua" w:eastAsia="宋体" w:hAnsi="Book Antiqua" w:cs="宋体"/>
          <w:color w:val="000000"/>
        </w:rPr>
        <w:t xml:space="preserve"> PM, Goldman JM, Kersey J, Kolb HJ, </w:t>
      </w:r>
      <w:proofErr w:type="spellStart"/>
      <w:r w:rsidRPr="00E127AB">
        <w:rPr>
          <w:rFonts w:ascii="Book Antiqua" w:eastAsia="宋体" w:hAnsi="Book Antiqua" w:cs="宋体"/>
          <w:color w:val="000000"/>
        </w:rPr>
        <w:t>Rimm</w:t>
      </w:r>
      <w:proofErr w:type="spellEnd"/>
      <w:r w:rsidRPr="00E127AB">
        <w:rPr>
          <w:rFonts w:ascii="Book Antiqua" w:eastAsia="宋体" w:hAnsi="Book Antiqua" w:cs="宋体"/>
          <w:color w:val="000000"/>
        </w:rPr>
        <w:t xml:space="preserve"> AA, </w:t>
      </w:r>
      <w:proofErr w:type="spellStart"/>
      <w:r w:rsidRPr="00E127AB">
        <w:rPr>
          <w:rFonts w:ascii="Book Antiqua" w:eastAsia="宋体" w:hAnsi="Book Antiqua" w:cs="宋体"/>
          <w:color w:val="000000"/>
        </w:rPr>
        <w:t>Ringdén</w:t>
      </w:r>
      <w:proofErr w:type="spellEnd"/>
      <w:r w:rsidRPr="00E127AB">
        <w:rPr>
          <w:rFonts w:ascii="Book Antiqua" w:eastAsia="宋体" w:hAnsi="Book Antiqua" w:cs="宋体"/>
          <w:color w:val="000000"/>
        </w:rPr>
        <w:t xml:space="preserve"> O, </w:t>
      </w:r>
      <w:proofErr w:type="spellStart"/>
      <w:r w:rsidRPr="00E127AB">
        <w:rPr>
          <w:rFonts w:ascii="Book Antiqua" w:eastAsia="宋体" w:hAnsi="Book Antiqua" w:cs="宋体"/>
          <w:color w:val="000000"/>
        </w:rPr>
        <w:t>Rozman</w:t>
      </w:r>
      <w:proofErr w:type="spellEnd"/>
      <w:r w:rsidRPr="00E127AB">
        <w:rPr>
          <w:rFonts w:ascii="Book Antiqua" w:eastAsia="宋体" w:hAnsi="Book Antiqua" w:cs="宋体"/>
          <w:color w:val="000000"/>
        </w:rPr>
        <w:t xml:space="preserve"> C, Speck B. Graft-versus-leukemia reactions after bone marrow transplantation. </w:t>
      </w:r>
      <w:r w:rsidRPr="00E127AB">
        <w:rPr>
          <w:rFonts w:ascii="Book Antiqua" w:eastAsia="宋体" w:hAnsi="Book Antiqua" w:cs="宋体"/>
          <w:i/>
          <w:iCs/>
          <w:color w:val="000000"/>
        </w:rPr>
        <w:t>Blood</w:t>
      </w:r>
      <w:r w:rsidRPr="00E127AB">
        <w:rPr>
          <w:rFonts w:ascii="Book Antiqua" w:eastAsia="宋体" w:hAnsi="Book Antiqua" w:cs="宋体"/>
          <w:color w:val="000000"/>
        </w:rPr>
        <w:t> 1990; </w:t>
      </w:r>
      <w:r w:rsidRPr="00E127AB">
        <w:rPr>
          <w:rFonts w:ascii="Book Antiqua" w:eastAsia="宋体" w:hAnsi="Book Antiqua" w:cs="宋体"/>
          <w:b/>
          <w:bCs/>
          <w:color w:val="000000"/>
        </w:rPr>
        <w:t>75</w:t>
      </w:r>
      <w:r w:rsidRPr="00E127AB">
        <w:rPr>
          <w:rFonts w:ascii="Book Antiqua" w:eastAsia="宋体" w:hAnsi="Book Antiqua" w:cs="宋体"/>
          <w:color w:val="000000"/>
        </w:rPr>
        <w:t>: 555-562 [PMID: 2297567]</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31 </w:t>
      </w:r>
      <w:r w:rsidRPr="00E127AB">
        <w:rPr>
          <w:rFonts w:ascii="Book Antiqua" w:eastAsia="宋体" w:hAnsi="Book Antiqua" w:cs="宋体"/>
          <w:b/>
          <w:bCs/>
          <w:color w:val="000000"/>
        </w:rPr>
        <w:t>Kolb HJ</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Mittermüller</w:t>
      </w:r>
      <w:proofErr w:type="spellEnd"/>
      <w:r w:rsidRPr="00E127AB">
        <w:rPr>
          <w:rFonts w:ascii="Book Antiqua" w:eastAsia="宋体" w:hAnsi="Book Antiqua" w:cs="宋体"/>
          <w:color w:val="000000"/>
        </w:rPr>
        <w:t xml:space="preserve"> J, </w:t>
      </w:r>
      <w:proofErr w:type="spellStart"/>
      <w:r w:rsidRPr="00E127AB">
        <w:rPr>
          <w:rFonts w:ascii="Book Antiqua" w:eastAsia="宋体" w:hAnsi="Book Antiqua" w:cs="宋体"/>
          <w:color w:val="000000"/>
        </w:rPr>
        <w:t>Clemm</w:t>
      </w:r>
      <w:proofErr w:type="spellEnd"/>
      <w:r w:rsidRPr="00E127AB">
        <w:rPr>
          <w:rFonts w:ascii="Book Antiqua" w:eastAsia="宋体" w:hAnsi="Book Antiqua" w:cs="宋体"/>
          <w:color w:val="000000"/>
        </w:rPr>
        <w:t xml:space="preserve"> C, Holler E, </w:t>
      </w:r>
      <w:proofErr w:type="spellStart"/>
      <w:r w:rsidRPr="00E127AB">
        <w:rPr>
          <w:rFonts w:ascii="Book Antiqua" w:eastAsia="宋体" w:hAnsi="Book Antiqua" w:cs="宋体"/>
          <w:color w:val="000000"/>
        </w:rPr>
        <w:t>Ledderose</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Brehm</w:t>
      </w:r>
      <w:proofErr w:type="spellEnd"/>
      <w:r w:rsidRPr="00E127AB">
        <w:rPr>
          <w:rFonts w:ascii="Book Antiqua" w:eastAsia="宋体" w:hAnsi="Book Antiqua" w:cs="宋体"/>
          <w:color w:val="000000"/>
        </w:rPr>
        <w:t xml:space="preserve"> G, Heim M, </w:t>
      </w:r>
      <w:proofErr w:type="spellStart"/>
      <w:r w:rsidRPr="00E127AB">
        <w:rPr>
          <w:rFonts w:ascii="Book Antiqua" w:eastAsia="宋体" w:hAnsi="Book Antiqua" w:cs="宋体"/>
          <w:color w:val="000000"/>
        </w:rPr>
        <w:t>Wilmanns</w:t>
      </w:r>
      <w:proofErr w:type="spellEnd"/>
      <w:r w:rsidRPr="00E127AB">
        <w:rPr>
          <w:rFonts w:ascii="Book Antiqua" w:eastAsia="宋体" w:hAnsi="Book Antiqua" w:cs="宋体"/>
          <w:color w:val="000000"/>
        </w:rPr>
        <w:t xml:space="preserve"> W. Donor leukocyte transfusions for treatment of recurrent chronic myelogenous leukemia in marrow transplant patients. </w:t>
      </w:r>
      <w:r w:rsidRPr="00E127AB">
        <w:rPr>
          <w:rFonts w:ascii="Book Antiqua" w:eastAsia="宋体" w:hAnsi="Book Antiqua" w:cs="宋体"/>
          <w:i/>
          <w:iCs/>
          <w:color w:val="000000"/>
        </w:rPr>
        <w:t>Blood</w:t>
      </w:r>
      <w:r w:rsidRPr="00E127AB">
        <w:rPr>
          <w:rFonts w:ascii="Book Antiqua" w:eastAsia="宋体" w:hAnsi="Book Antiqua" w:cs="宋体"/>
          <w:color w:val="000000"/>
        </w:rPr>
        <w:t> 1990; </w:t>
      </w:r>
      <w:r w:rsidRPr="00E127AB">
        <w:rPr>
          <w:rFonts w:ascii="Book Antiqua" w:eastAsia="宋体" w:hAnsi="Book Antiqua" w:cs="宋体"/>
          <w:b/>
          <w:bCs/>
          <w:color w:val="000000"/>
        </w:rPr>
        <w:t>76</w:t>
      </w:r>
      <w:r w:rsidRPr="00E127AB">
        <w:rPr>
          <w:rFonts w:ascii="Book Antiqua" w:eastAsia="宋体" w:hAnsi="Book Antiqua" w:cs="宋体"/>
          <w:color w:val="000000"/>
        </w:rPr>
        <w:t>: 2462-2465 [PMID: 2265242]</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lastRenderedPageBreak/>
        <w:t>32 </w:t>
      </w:r>
      <w:r w:rsidRPr="00E127AB">
        <w:rPr>
          <w:rFonts w:ascii="Book Antiqua" w:eastAsia="宋体" w:hAnsi="Book Antiqua" w:cs="宋体"/>
          <w:b/>
          <w:bCs/>
          <w:color w:val="000000"/>
        </w:rPr>
        <w:t>van Rhee F</w:t>
      </w:r>
      <w:r w:rsidRPr="00E127AB">
        <w:rPr>
          <w:rFonts w:ascii="Book Antiqua" w:eastAsia="宋体" w:hAnsi="Book Antiqua" w:cs="宋体"/>
          <w:color w:val="000000"/>
        </w:rPr>
        <w:t xml:space="preserve">, Lin F, </w:t>
      </w:r>
      <w:proofErr w:type="spellStart"/>
      <w:r w:rsidRPr="00E127AB">
        <w:rPr>
          <w:rFonts w:ascii="Book Antiqua" w:eastAsia="宋体" w:hAnsi="Book Antiqua" w:cs="宋体"/>
          <w:color w:val="000000"/>
        </w:rPr>
        <w:t>Cullis</w:t>
      </w:r>
      <w:proofErr w:type="spellEnd"/>
      <w:r w:rsidRPr="00E127AB">
        <w:rPr>
          <w:rFonts w:ascii="Book Antiqua" w:eastAsia="宋体" w:hAnsi="Book Antiqua" w:cs="宋体"/>
          <w:color w:val="000000"/>
        </w:rPr>
        <w:t xml:space="preserve"> JO, Spencer A, Cross NC, Chase A, </w:t>
      </w:r>
      <w:proofErr w:type="spellStart"/>
      <w:r w:rsidRPr="00E127AB">
        <w:rPr>
          <w:rFonts w:ascii="Book Antiqua" w:eastAsia="宋体" w:hAnsi="Book Antiqua" w:cs="宋体"/>
          <w:color w:val="000000"/>
        </w:rPr>
        <w:t>Garicochea</w:t>
      </w:r>
      <w:proofErr w:type="spellEnd"/>
      <w:r w:rsidRPr="00E127AB">
        <w:rPr>
          <w:rFonts w:ascii="Book Antiqua" w:eastAsia="宋体" w:hAnsi="Book Antiqua" w:cs="宋体"/>
          <w:color w:val="000000"/>
        </w:rPr>
        <w:t xml:space="preserve"> B, </w:t>
      </w:r>
      <w:proofErr w:type="spellStart"/>
      <w:r w:rsidRPr="00E127AB">
        <w:rPr>
          <w:rFonts w:ascii="Book Antiqua" w:eastAsia="宋体" w:hAnsi="Book Antiqua" w:cs="宋体"/>
          <w:color w:val="000000"/>
        </w:rPr>
        <w:t>Bungey</w:t>
      </w:r>
      <w:proofErr w:type="spellEnd"/>
      <w:r w:rsidRPr="00E127AB">
        <w:rPr>
          <w:rFonts w:ascii="Book Antiqua" w:eastAsia="宋体" w:hAnsi="Book Antiqua" w:cs="宋体"/>
          <w:color w:val="000000"/>
        </w:rPr>
        <w:t xml:space="preserve"> J, Barrett J, </w:t>
      </w:r>
      <w:proofErr w:type="gramStart"/>
      <w:r w:rsidRPr="00E127AB">
        <w:rPr>
          <w:rFonts w:ascii="Book Antiqua" w:eastAsia="宋体" w:hAnsi="Book Antiqua" w:cs="宋体"/>
          <w:color w:val="000000"/>
        </w:rPr>
        <w:t>Goldman</w:t>
      </w:r>
      <w:proofErr w:type="gramEnd"/>
      <w:r w:rsidRPr="00E127AB">
        <w:rPr>
          <w:rFonts w:ascii="Book Antiqua" w:eastAsia="宋体" w:hAnsi="Book Antiqua" w:cs="宋体"/>
          <w:color w:val="000000"/>
        </w:rPr>
        <w:t xml:space="preserve"> JM. Relapse of chronic myeloid leukemia after allogeneic bone marrow transplant: the case for giving donor leukocyte transfusions before the onset of hematologic relapse. </w:t>
      </w:r>
      <w:r w:rsidRPr="00E127AB">
        <w:rPr>
          <w:rFonts w:ascii="Book Antiqua" w:eastAsia="宋体" w:hAnsi="Book Antiqua" w:cs="宋体"/>
          <w:i/>
          <w:iCs/>
          <w:color w:val="000000"/>
        </w:rPr>
        <w:t>Blood</w:t>
      </w:r>
      <w:r w:rsidRPr="00E127AB">
        <w:rPr>
          <w:rFonts w:ascii="Book Antiqua" w:eastAsia="宋体" w:hAnsi="Book Antiqua" w:cs="宋体"/>
          <w:color w:val="000000"/>
        </w:rPr>
        <w:t> 1994; </w:t>
      </w:r>
      <w:r w:rsidRPr="00E127AB">
        <w:rPr>
          <w:rFonts w:ascii="Book Antiqua" w:eastAsia="宋体" w:hAnsi="Book Antiqua" w:cs="宋体"/>
          <w:b/>
          <w:bCs/>
          <w:color w:val="000000"/>
        </w:rPr>
        <w:t>83</w:t>
      </w:r>
      <w:r w:rsidRPr="00E127AB">
        <w:rPr>
          <w:rFonts w:ascii="Book Antiqua" w:eastAsia="宋体" w:hAnsi="Book Antiqua" w:cs="宋体"/>
          <w:color w:val="000000"/>
        </w:rPr>
        <w:t>: 3377-3383 [PMID: 8193375]</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33 </w:t>
      </w:r>
      <w:r w:rsidRPr="00E127AB">
        <w:rPr>
          <w:rFonts w:ascii="Book Antiqua" w:eastAsia="宋体" w:hAnsi="Book Antiqua" w:cs="宋体"/>
          <w:b/>
          <w:bCs/>
          <w:color w:val="000000"/>
        </w:rPr>
        <w:t>Mackinnon S</w:t>
      </w:r>
      <w:r w:rsidRPr="00E127AB">
        <w:rPr>
          <w:rFonts w:ascii="Book Antiqua" w:eastAsia="宋体" w:hAnsi="Book Antiqua" w:cs="宋体"/>
          <w:color w:val="000000"/>
        </w:rPr>
        <w:t xml:space="preserve">, Papadopoulos EB, </w:t>
      </w:r>
      <w:proofErr w:type="spellStart"/>
      <w:r w:rsidRPr="00E127AB">
        <w:rPr>
          <w:rFonts w:ascii="Book Antiqua" w:eastAsia="宋体" w:hAnsi="Book Antiqua" w:cs="宋体"/>
          <w:color w:val="000000"/>
        </w:rPr>
        <w:t>Carabasi</w:t>
      </w:r>
      <w:proofErr w:type="spellEnd"/>
      <w:r w:rsidRPr="00E127AB">
        <w:rPr>
          <w:rFonts w:ascii="Book Antiqua" w:eastAsia="宋体" w:hAnsi="Book Antiqua" w:cs="宋体"/>
          <w:color w:val="000000"/>
        </w:rPr>
        <w:t xml:space="preserve"> MH, Reich L, Collins NH, </w:t>
      </w:r>
      <w:proofErr w:type="spellStart"/>
      <w:r w:rsidRPr="00E127AB">
        <w:rPr>
          <w:rFonts w:ascii="Book Antiqua" w:eastAsia="宋体" w:hAnsi="Book Antiqua" w:cs="宋体"/>
          <w:color w:val="000000"/>
        </w:rPr>
        <w:t>Boulad</w:t>
      </w:r>
      <w:proofErr w:type="spellEnd"/>
      <w:r w:rsidRPr="00E127AB">
        <w:rPr>
          <w:rFonts w:ascii="Book Antiqua" w:eastAsia="宋体" w:hAnsi="Book Antiqua" w:cs="宋体"/>
          <w:color w:val="000000"/>
        </w:rPr>
        <w:t xml:space="preserve"> F, Castro-</w:t>
      </w:r>
      <w:proofErr w:type="spellStart"/>
      <w:r w:rsidRPr="00E127AB">
        <w:rPr>
          <w:rFonts w:ascii="Book Antiqua" w:eastAsia="宋体" w:hAnsi="Book Antiqua" w:cs="宋体"/>
          <w:color w:val="000000"/>
        </w:rPr>
        <w:t>Malaspina</w:t>
      </w:r>
      <w:proofErr w:type="spellEnd"/>
      <w:r w:rsidRPr="00E127AB">
        <w:rPr>
          <w:rFonts w:ascii="Book Antiqua" w:eastAsia="宋体" w:hAnsi="Book Antiqua" w:cs="宋体"/>
          <w:color w:val="000000"/>
        </w:rPr>
        <w:t xml:space="preserve"> H, Childs BH, </w:t>
      </w:r>
      <w:proofErr w:type="spellStart"/>
      <w:r w:rsidRPr="00E127AB">
        <w:rPr>
          <w:rFonts w:ascii="Book Antiqua" w:eastAsia="宋体" w:hAnsi="Book Antiqua" w:cs="宋体"/>
          <w:color w:val="000000"/>
        </w:rPr>
        <w:t>Gillio</w:t>
      </w:r>
      <w:proofErr w:type="spellEnd"/>
      <w:r w:rsidRPr="00E127AB">
        <w:rPr>
          <w:rFonts w:ascii="Book Antiqua" w:eastAsia="宋体" w:hAnsi="Book Antiqua" w:cs="宋体"/>
          <w:color w:val="000000"/>
        </w:rPr>
        <w:t xml:space="preserve"> AP, </w:t>
      </w:r>
      <w:proofErr w:type="spellStart"/>
      <w:r w:rsidRPr="00E127AB">
        <w:rPr>
          <w:rFonts w:ascii="Book Antiqua" w:eastAsia="宋体" w:hAnsi="Book Antiqua" w:cs="宋体"/>
          <w:color w:val="000000"/>
        </w:rPr>
        <w:t>Kernan</w:t>
      </w:r>
      <w:proofErr w:type="spellEnd"/>
      <w:r w:rsidRPr="00E127AB">
        <w:rPr>
          <w:rFonts w:ascii="Book Antiqua" w:eastAsia="宋体" w:hAnsi="Book Antiqua" w:cs="宋体"/>
          <w:color w:val="000000"/>
        </w:rPr>
        <w:t xml:space="preserve"> NA. Adoptive immunotherapy evaluating escalating doses of donor leukocytes for relapse of chronic myeloid leukemia after bone marrow transplantation: separation of graft-versus-leukemia responses from graft-versus-host disease. </w:t>
      </w:r>
      <w:r w:rsidRPr="00E127AB">
        <w:rPr>
          <w:rFonts w:ascii="Book Antiqua" w:eastAsia="宋体" w:hAnsi="Book Antiqua" w:cs="宋体"/>
          <w:i/>
          <w:iCs/>
          <w:color w:val="000000"/>
        </w:rPr>
        <w:t>Blood</w:t>
      </w:r>
      <w:r w:rsidRPr="00E127AB">
        <w:rPr>
          <w:rFonts w:ascii="Book Antiqua" w:eastAsia="宋体" w:hAnsi="Book Antiqua" w:cs="宋体"/>
          <w:color w:val="000000"/>
        </w:rPr>
        <w:t> 1995; </w:t>
      </w:r>
      <w:r w:rsidRPr="00E127AB">
        <w:rPr>
          <w:rFonts w:ascii="Book Antiqua" w:eastAsia="宋体" w:hAnsi="Book Antiqua" w:cs="宋体"/>
          <w:b/>
          <w:bCs/>
          <w:color w:val="000000"/>
        </w:rPr>
        <w:t>86</w:t>
      </w:r>
      <w:r w:rsidRPr="00E127AB">
        <w:rPr>
          <w:rFonts w:ascii="Book Antiqua" w:eastAsia="宋体" w:hAnsi="Book Antiqua" w:cs="宋体"/>
          <w:color w:val="000000"/>
        </w:rPr>
        <w:t>: 1261-1268 [PMID: 7632930]</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34 </w:t>
      </w:r>
      <w:proofErr w:type="spellStart"/>
      <w:r w:rsidRPr="00E127AB">
        <w:rPr>
          <w:rFonts w:ascii="Book Antiqua" w:eastAsia="宋体" w:hAnsi="Book Antiqua" w:cs="宋体"/>
          <w:b/>
          <w:bCs/>
          <w:color w:val="000000"/>
        </w:rPr>
        <w:t>Gratwohl</w:t>
      </w:r>
      <w:proofErr w:type="spellEnd"/>
      <w:r w:rsidRPr="00E127AB">
        <w:rPr>
          <w:rFonts w:ascii="Book Antiqua" w:eastAsia="宋体" w:hAnsi="Book Antiqua" w:cs="宋体"/>
          <w:b/>
          <w:bCs/>
          <w:color w:val="000000"/>
        </w:rPr>
        <w:t xml:space="preserve"> A</w:t>
      </w:r>
      <w:r w:rsidRPr="00E127AB">
        <w:rPr>
          <w:rFonts w:ascii="Book Antiqua" w:eastAsia="宋体" w:hAnsi="Book Antiqua" w:cs="宋体"/>
          <w:color w:val="000000"/>
        </w:rPr>
        <w:t xml:space="preserve">, Brand R, </w:t>
      </w:r>
      <w:proofErr w:type="spellStart"/>
      <w:r w:rsidRPr="00E127AB">
        <w:rPr>
          <w:rFonts w:ascii="Book Antiqua" w:eastAsia="宋体" w:hAnsi="Book Antiqua" w:cs="宋体"/>
          <w:color w:val="000000"/>
        </w:rPr>
        <w:t>Apperley</w:t>
      </w:r>
      <w:proofErr w:type="spellEnd"/>
      <w:r w:rsidRPr="00E127AB">
        <w:rPr>
          <w:rFonts w:ascii="Book Antiqua" w:eastAsia="宋体" w:hAnsi="Book Antiqua" w:cs="宋体"/>
          <w:color w:val="000000"/>
        </w:rPr>
        <w:t xml:space="preserve"> J, Crawley C, </w:t>
      </w:r>
      <w:proofErr w:type="spellStart"/>
      <w:r w:rsidRPr="00E127AB">
        <w:rPr>
          <w:rFonts w:ascii="Book Antiqua" w:eastAsia="宋体" w:hAnsi="Book Antiqua" w:cs="宋体"/>
          <w:color w:val="000000"/>
        </w:rPr>
        <w:t>Ruutu</w:t>
      </w:r>
      <w:proofErr w:type="spellEnd"/>
      <w:r w:rsidRPr="00E127AB">
        <w:rPr>
          <w:rFonts w:ascii="Book Antiqua" w:eastAsia="宋体" w:hAnsi="Book Antiqua" w:cs="宋体"/>
          <w:color w:val="000000"/>
        </w:rPr>
        <w:t xml:space="preserve"> T, </w:t>
      </w:r>
      <w:proofErr w:type="spellStart"/>
      <w:r w:rsidRPr="00E127AB">
        <w:rPr>
          <w:rFonts w:ascii="Book Antiqua" w:eastAsia="宋体" w:hAnsi="Book Antiqua" w:cs="宋体"/>
          <w:color w:val="000000"/>
        </w:rPr>
        <w:t>Corradini</w:t>
      </w:r>
      <w:proofErr w:type="spellEnd"/>
      <w:r w:rsidRPr="00E127AB">
        <w:rPr>
          <w:rFonts w:ascii="Book Antiqua" w:eastAsia="宋体" w:hAnsi="Book Antiqua" w:cs="宋体"/>
          <w:color w:val="000000"/>
        </w:rPr>
        <w:t xml:space="preserve"> P, Carreras E, </w:t>
      </w:r>
      <w:proofErr w:type="spellStart"/>
      <w:r w:rsidRPr="00E127AB">
        <w:rPr>
          <w:rFonts w:ascii="Book Antiqua" w:eastAsia="宋体" w:hAnsi="Book Antiqua" w:cs="宋体"/>
          <w:color w:val="000000"/>
        </w:rPr>
        <w:t>Devergie</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Guglielmi</w:t>
      </w:r>
      <w:proofErr w:type="spellEnd"/>
      <w:r w:rsidRPr="00E127AB">
        <w:rPr>
          <w:rFonts w:ascii="Book Antiqua" w:eastAsia="宋体" w:hAnsi="Book Antiqua" w:cs="宋体"/>
          <w:color w:val="000000"/>
        </w:rPr>
        <w:t xml:space="preserve"> C, Kolb HJ, </w:t>
      </w:r>
      <w:proofErr w:type="spellStart"/>
      <w:r w:rsidRPr="00E127AB">
        <w:rPr>
          <w:rFonts w:ascii="Book Antiqua" w:eastAsia="宋体" w:hAnsi="Book Antiqua" w:cs="宋体"/>
          <w:color w:val="000000"/>
        </w:rPr>
        <w:t>Niederwieser</w:t>
      </w:r>
      <w:proofErr w:type="spellEnd"/>
      <w:r w:rsidRPr="00E127AB">
        <w:rPr>
          <w:rFonts w:ascii="Book Antiqua" w:eastAsia="宋体" w:hAnsi="Book Antiqua" w:cs="宋体"/>
          <w:color w:val="000000"/>
        </w:rPr>
        <w:t xml:space="preserve"> D. Allogeneic hematopoietic stem cell transplantation for chronic myeloid leukemia in Europe 2006: transplant activity, long-term data and current results. </w:t>
      </w:r>
      <w:proofErr w:type="gramStart"/>
      <w:r w:rsidRPr="00E127AB">
        <w:rPr>
          <w:rFonts w:ascii="Book Antiqua" w:eastAsia="宋体" w:hAnsi="Book Antiqua" w:cs="宋体"/>
          <w:color w:val="000000"/>
        </w:rPr>
        <w:t>An analysis by the Chronic Leukemia Working Party of the European Group for Blood and Marrow Transplantation (EBMT).</w:t>
      </w:r>
      <w:proofErr w:type="gramEnd"/>
      <w:r w:rsidRPr="00E127AB">
        <w:rPr>
          <w:rFonts w:ascii="Book Antiqua" w:eastAsia="宋体" w:hAnsi="Book Antiqua" w:cs="宋体"/>
          <w:color w:val="000000"/>
        </w:rPr>
        <w:t> </w:t>
      </w:r>
      <w:proofErr w:type="spellStart"/>
      <w:r w:rsidRPr="00E127AB">
        <w:rPr>
          <w:rFonts w:ascii="Book Antiqua" w:eastAsia="宋体" w:hAnsi="Book Antiqua" w:cs="宋体"/>
          <w:i/>
          <w:iCs/>
          <w:color w:val="000000"/>
        </w:rPr>
        <w:t>Haematologica</w:t>
      </w:r>
      <w:proofErr w:type="spellEnd"/>
      <w:r w:rsidRPr="00E127AB">
        <w:rPr>
          <w:rFonts w:ascii="Book Antiqua" w:eastAsia="宋体" w:hAnsi="Book Antiqua" w:cs="宋体"/>
          <w:color w:val="000000"/>
        </w:rPr>
        <w:t> 2006; </w:t>
      </w:r>
      <w:r w:rsidRPr="00E127AB">
        <w:rPr>
          <w:rFonts w:ascii="Book Antiqua" w:eastAsia="宋体" w:hAnsi="Book Antiqua" w:cs="宋体"/>
          <w:b/>
          <w:bCs/>
          <w:color w:val="000000"/>
        </w:rPr>
        <w:t>91</w:t>
      </w:r>
      <w:r w:rsidRPr="00E127AB">
        <w:rPr>
          <w:rFonts w:ascii="Book Antiqua" w:eastAsia="宋体" w:hAnsi="Book Antiqua" w:cs="宋体"/>
          <w:color w:val="000000"/>
        </w:rPr>
        <w:t>: 513-521 [PMID: 16533723]</w:t>
      </w:r>
    </w:p>
    <w:bookmarkEnd w:id="44"/>
    <w:bookmarkEnd w:id="45"/>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35 </w:t>
      </w:r>
      <w:proofErr w:type="spellStart"/>
      <w:r w:rsidRPr="00E127AB">
        <w:rPr>
          <w:rFonts w:ascii="Book Antiqua" w:eastAsia="宋体" w:hAnsi="Book Antiqua" w:cs="宋体"/>
          <w:b/>
          <w:bCs/>
          <w:color w:val="000000"/>
        </w:rPr>
        <w:t>Saussele</w:t>
      </w:r>
      <w:proofErr w:type="spellEnd"/>
      <w:r w:rsidRPr="00E127AB">
        <w:rPr>
          <w:rFonts w:ascii="Book Antiqua" w:eastAsia="宋体" w:hAnsi="Book Antiqua" w:cs="宋体"/>
          <w:b/>
          <w:bCs/>
          <w:color w:val="000000"/>
        </w:rPr>
        <w:t xml:space="preserve"> S</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Lauseker</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Gratwohl</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Beelen</w:t>
      </w:r>
      <w:proofErr w:type="spellEnd"/>
      <w:r w:rsidRPr="00E127AB">
        <w:rPr>
          <w:rFonts w:ascii="Book Antiqua" w:eastAsia="宋体" w:hAnsi="Book Antiqua" w:cs="宋体"/>
          <w:color w:val="000000"/>
        </w:rPr>
        <w:t xml:space="preserve"> DW, </w:t>
      </w:r>
      <w:proofErr w:type="spellStart"/>
      <w:r w:rsidRPr="00E127AB">
        <w:rPr>
          <w:rFonts w:ascii="Book Antiqua" w:eastAsia="宋体" w:hAnsi="Book Antiqua" w:cs="宋体"/>
          <w:color w:val="000000"/>
        </w:rPr>
        <w:t>Bunjes</w:t>
      </w:r>
      <w:proofErr w:type="spellEnd"/>
      <w:r w:rsidRPr="00E127AB">
        <w:rPr>
          <w:rFonts w:ascii="Book Antiqua" w:eastAsia="宋体" w:hAnsi="Book Antiqua" w:cs="宋体"/>
          <w:color w:val="000000"/>
        </w:rPr>
        <w:t xml:space="preserve"> D, </w:t>
      </w:r>
      <w:proofErr w:type="spellStart"/>
      <w:r w:rsidRPr="00E127AB">
        <w:rPr>
          <w:rFonts w:ascii="Book Antiqua" w:eastAsia="宋体" w:hAnsi="Book Antiqua" w:cs="宋体"/>
          <w:color w:val="000000"/>
        </w:rPr>
        <w:t>Schwerdtfeger</w:t>
      </w:r>
      <w:proofErr w:type="spellEnd"/>
      <w:r w:rsidRPr="00E127AB">
        <w:rPr>
          <w:rFonts w:ascii="Book Antiqua" w:eastAsia="宋体" w:hAnsi="Book Antiqua" w:cs="宋体"/>
          <w:color w:val="000000"/>
        </w:rPr>
        <w:t xml:space="preserve"> R, Kolb HJ, Ho AD, </w:t>
      </w:r>
      <w:proofErr w:type="spellStart"/>
      <w:r w:rsidRPr="00E127AB">
        <w:rPr>
          <w:rFonts w:ascii="Book Antiqua" w:eastAsia="宋体" w:hAnsi="Book Antiqua" w:cs="宋体"/>
          <w:color w:val="000000"/>
        </w:rPr>
        <w:t>Falge</w:t>
      </w:r>
      <w:proofErr w:type="spellEnd"/>
      <w:r w:rsidRPr="00E127AB">
        <w:rPr>
          <w:rFonts w:ascii="Book Antiqua" w:eastAsia="宋体" w:hAnsi="Book Antiqua" w:cs="宋体"/>
          <w:color w:val="000000"/>
        </w:rPr>
        <w:t xml:space="preserve"> C, Holler E, </w:t>
      </w:r>
      <w:proofErr w:type="spellStart"/>
      <w:r w:rsidRPr="00E127AB">
        <w:rPr>
          <w:rFonts w:ascii="Book Antiqua" w:eastAsia="宋体" w:hAnsi="Book Antiqua" w:cs="宋体"/>
          <w:color w:val="000000"/>
        </w:rPr>
        <w:t>Schlimok</w:t>
      </w:r>
      <w:proofErr w:type="spellEnd"/>
      <w:r w:rsidRPr="00E127AB">
        <w:rPr>
          <w:rFonts w:ascii="Book Antiqua" w:eastAsia="宋体" w:hAnsi="Book Antiqua" w:cs="宋体"/>
          <w:color w:val="000000"/>
        </w:rPr>
        <w:t xml:space="preserve"> G, Zander AR, Arnold R, </w:t>
      </w:r>
      <w:proofErr w:type="spellStart"/>
      <w:r w:rsidRPr="00E127AB">
        <w:rPr>
          <w:rFonts w:ascii="Book Antiqua" w:eastAsia="宋体" w:hAnsi="Book Antiqua" w:cs="宋体"/>
          <w:color w:val="000000"/>
        </w:rPr>
        <w:t>Kanz</w:t>
      </w:r>
      <w:proofErr w:type="spellEnd"/>
      <w:r w:rsidRPr="00E127AB">
        <w:rPr>
          <w:rFonts w:ascii="Book Antiqua" w:eastAsia="宋体" w:hAnsi="Book Antiqua" w:cs="宋体"/>
          <w:color w:val="000000"/>
        </w:rPr>
        <w:t xml:space="preserve"> L, </w:t>
      </w:r>
      <w:proofErr w:type="spellStart"/>
      <w:r w:rsidRPr="00E127AB">
        <w:rPr>
          <w:rFonts w:ascii="Book Antiqua" w:eastAsia="宋体" w:hAnsi="Book Antiqua" w:cs="宋体"/>
          <w:color w:val="000000"/>
        </w:rPr>
        <w:t>Dengler</w:t>
      </w:r>
      <w:proofErr w:type="spellEnd"/>
      <w:r w:rsidRPr="00E127AB">
        <w:rPr>
          <w:rFonts w:ascii="Book Antiqua" w:eastAsia="宋体" w:hAnsi="Book Antiqua" w:cs="宋体"/>
          <w:color w:val="000000"/>
        </w:rPr>
        <w:t xml:space="preserve"> R, </w:t>
      </w:r>
      <w:proofErr w:type="spellStart"/>
      <w:r w:rsidRPr="00E127AB">
        <w:rPr>
          <w:rFonts w:ascii="Book Antiqua" w:eastAsia="宋体" w:hAnsi="Book Antiqua" w:cs="宋体"/>
          <w:color w:val="000000"/>
        </w:rPr>
        <w:t>Haferlach</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Schlegelberger</w:t>
      </w:r>
      <w:proofErr w:type="spellEnd"/>
      <w:r w:rsidRPr="00E127AB">
        <w:rPr>
          <w:rFonts w:ascii="Book Antiqua" w:eastAsia="宋体" w:hAnsi="Book Antiqua" w:cs="宋体"/>
          <w:color w:val="000000"/>
        </w:rPr>
        <w:t xml:space="preserve"> B, </w:t>
      </w:r>
      <w:proofErr w:type="spellStart"/>
      <w:r w:rsidRPr="00E127AB">
        <w:rPr>
          <w:rFonts w:ascii="Book Antiqua" w:eastAsia="宋体" w:hAnsi="Book Antiqua" w:cs="宋体"/>
          <w:color w:val="000000"/>
        </w:rPr>
        <w:t>Pfirrmann</w:t>
      </w:r>
      <w:proofErr w:type="spellEnd"/>
      <w:r w:rsidRPr="00E127AB">
        <w:rPr>
          <w:rFonts w:ascii="Book Antiqua" w:eastAsia="宋体" w:hAnsi="Book Antiqua" w:cs="宋体"/>
          <w:color w:val="000000"/>
        </w:rPr>
        <w:t xml:space="preserve"> M, Müller MC, </w:t>
      </w:r>
      <w:proofErr w:type="spellStart"/>
      <w:r w:rsidRPr="00E127AB">
        <w:rPr>
          <w:rFonts w:ascii="Book Antiqua" w:eastAsia="宋体" w:hAnsi="Book Antiqua" w:cs="宋体"/>
          <w:color w:val="000000"/>
        </w:rPr>
        <w:t>Schnittger</w:t>
      </w:r>
      <w:proofErr w:type="spellEnd"/>
      <w:r w:rsidRPr="00E127AB">
        <w:rPr>
          <w:rFonts w:ascii="Book Antiqua" w:eastAsia="宋体" w:hAnsi="Book Antiqua" w:cs="宋体"/>
          <w:color w:val="000000"/>
        </w:rPr>
        <w:t xml:space="preserve"> S, </w:t>
      </w:r>
      <w:proofErr w:type="spellStart"/>
      <w:r w:rsidRPr="00E127AB">
        <w:rPr>
          <w:rFonts w:ascii="Book Antiqua" w:eastAsia="宋体" w:hAnsi="Book Antiqua" w:cs="宋体"/>
          <w:color w:val="000000"/>
        </w:rPr>
        <w:t>Leitner</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Pletsch</w:t>
      </w:r>
      <w:proofErr w:type="spellEnd"/>
      <w:r w:rsidRPr="00E127AB">
        <w:rPr>
          <w:rFonts w:ascii="Book Antiqua" w:eastAsia="宋体" w:hAnsi="Book Antiqua" w:cs="宋体"/>
          <w:color w:val="000000"/>
        </w:rPr>
        <w:t xml:space="preserve"> N, </w:t>
      </w:r>
      <w:proofErr w:type="spellStart"/>
      <w:r w:rsidRPr="00E127AB">
        <w:rPr>
          <w:rFonts w:ascii="Book Antiqua" w:eastAsia="宋体" w:hAnsi="Book Antiqua" w:cs="宋体"/>
          <w:color w:val="000000"/>
        </w:rPr>
        <w:t>Hochhaus</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Hasford</w:t>
      </w:r>
      <w:proofErr w:type="spellEnd"/>
      <w:r w:rsidRPr="00E127AB">
        <w:rPr>
          <w:rFonts w:ascii="Book Antiqua" w:eastAsia="宋体" w:hAnsi="Book Antiqua" w:cs="宋体"/>
          <w:color w:val="000000"/>
        </w:rPr>
        <w:t xml:space="preserve"> J, </w:t>
      </w:r>
      <w:proofErr w:type="spellStart"/>
      <w:r w:rsidRPr="00E127AB">
        <w:rPr>
          <w:rFonts w:ascii="Book Antiqua" w:eastAsia="宋体" w:hAnsi="Book Antiqua" w:cs="宋体"/>
          <w:color w:val="000000"/>
        </w:rPr>
        <w:t>Hehlmann</w:t>
      </w:r>
      <w:proofErr w:type="spellEnd"/>
      <w:r w:rsidRPr="00E127AB">
        <w:rPr>
          <w:rFonts w:ascii="Book Antiqua" w:eastAsia="宋体" w:hAnsi="Book Antiqua" w:cs="宋体"/>
          <w:color w:val="000000"/>
        </w:rPr>
        <w:t xml:space="preserve"> R. Allogeneic hematopoietic stem cell transplantation (</w:t>
      </w:r>
      <w:proofErr w:type="spellStart"/>
      <w:r w:rsidRPr="00E127AB">
        <w:rPr>
          <w:rFonts w:ascii="Book Antiqua" w:eastAsia="宋体" w:hAnsi="Book Antiqua" w:cs="宋体"/>
          <w:color w:val="000000"/>
        </w:rPr>
        <w:t>allo</w:t>
      </w:r>
      <w:proofErr w:type="spellEnd"/>
      <w:r w:rsidRPr="00E127AB">
        <w:rPr>
          <w:rFonts w:ascii="Book Antiqua" w:eastAsia="宋体" w:hAnsi="Book Antiqua" w:cs="宋体"/>
          <w:color w:val="000000"/>
        </w:rPr>
        <w:t xml:space="preserve"> SCT) for chronic myeloid leukemia in the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era: evaluation of its impact within a subgroup of the randomized German CML Study IV. </w:t>
      </w:r>
      <w:r w:rsidRPr="00E127AB">
        <w:rPr>
          <w:rFonts w:ascii="Book Antiqua" w:eastAsia="宋体" w:hAnsi="Book Antiqua" w:cs="宋体"/>
          <w:i/>
          <w:iCs/>
          <w:color w:val="000000"/>
        </w:rPr>
        <w:t>Blood</w:t>
      </w:r>
      <w:r w:rsidRPr="00E127AB">
        <w:rPr>
          <w:rFonts w:ascii="Book Antiqua" w:eastAsia="宋体" w:hAnsi="Book Antiqua" w:cs="宋体"/>
          <w:color w:val="000000"/>
        </w:rPr>
        <w:t> 2010; </w:t>
      </w:r>
      <w:r w:rsidRPr="00E127AB">
        <w:rPr>
          <w:rFonts w:ascii="Book Antiqua" w:eastAsia="宋体" w:hAnsi="Book Antiqua" w:cs="宋体"/>
          <w:b/>
          <w:bCs/>
          <w:color w:val="000000"/>
        </w:rPr>
        <w:t>115</w:t>
      </w:r>
      <w:r w:rsidRPr="00E127AB">
        <w:rPr>
          <w:rFonts w:ascii="Book Antiqua" w:eastAsia="宋体" w:hAnsi="Book Antiqua" w:cs="宋体"/>
          <w:color w:val="000000"/>
        </w:rPr>
        <w:t>: 1880-1885 [PMID: 19965667 DOI: 10.1182/blood-2009-08-237115]</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36 </w:t>
      </w:r>
      <w:r w:rsidRPr="00E127AB">
        <w:rPr>
          <w:rFonts w:ascii="Book Antiqua" w:eastAsia="宋体" w:hAnsi="Book Antiqua" w:cs="宋体"/>
          <w:b/>
          <w:bCs/>
          <w:color w:val="000000"/>
        </w:rPr>
        <w:t>Jiang Q</w:t>
      </w:r>
      <w:r w:rsidRPr="00E127AB">
        <w:rPr>
          <w:rFonts w:ascii="Book Antiqua" w:eastAsia="宋体" w:hAnsi="Book Antiqua" w:cs="宋体"/>
          <w:color w:val="000000"/>
        </w:rPr>
        <w:t xml:space="preserve">, Xu LP, Liu DH, Liu KY, Chen SS, Jiang B, Jiang H, Chen H, Chen YH, Han W, Zhang XH, Wang Y, Qin YZ, Liu YR, Lai YY, Huang XJ. </w:t>
      </w:r>
      <w:proofErr w:type="spellStart"/>
      <w:proofErr w:type="gram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mesylate</w:t>
      </w:r>
      <w:proofErr w:type="spellEnd"/>
      <w:r w:rsidRPr="00E127AB">
        <w:rPr>
          <w:rFonts w:ascii="Book Antiqua" w:eastAsia="宋体" w:hAnsi="Book Antiqua" w:cs="宋体"/>
          <w:color w:val="000000"/>
        </w:rPr>
        <w:t xml:space="preserve"> versus allogeneic hematopoietic stem cell transplantation for patients with chronic myelogenous leukemia in the accelerated phase.</w:t>
      </w:r>
      <w:proofErr w:type="gramEnd"/>
      <w:r w:rsidRPr="00E127AB">
        <w:rPr>
          <w:rFonts w:ascii="Book Antiqua" w:eastAsia="宋体" w:hAnsi="Book Antiqua" w:cs="宋体"/>
          <w:color w:val="000000"/>
        </w:rPr>
        <w:t> </w:t>
      </w:r>
      <w:r w:rsidRPr="00E127AB">
        <w:rPr>
          <w:rFonts w:ascii="Book Antiqua" w:eastAsia="宋体" w:hAnsi="Book Antiqua" w:cs="宋体"/>
          <w:i/>
          <w:iCs/>
          <w:color w:val="000000"/>
        </w:rPr>
        <w:t>Blood</w:t>
      </w:r>
      <w:r w:rsidRPr="00E127AB">
        <w:rPr>
          <w:rFonts w:ascii="Book Antiqua" w:eastAsia="宋体" w:hAnsi="Book Antiqua" w:cs="宋体"/>
          <w:color w:val="000000"/>
        </w:rPr>
        <w:t> 2011; </w:t>
      </w:r>
      <w:r w:rsidRPr="00E127AB">
        <w:rPr>
          <w:rFonts w:ascii="Book Antiqua" w:eastAsia="宋体" w:hAnsi="Book Antiqua" w:cs="宋体"/>
          <w:b/>
          <w:bCs/>
          <w:color w:val="000000"/>
        </w:rPr>
        <w:t>117</w:t>
      </w:r>
      <w:r w:rsidRPr="00E127AB">
        <w:rPr>
          <w:rFonts w:ascii="Book Antiqua" w:eastAsia="宋体" w:hAnsi="Book Antiqua" w:cs="宋体"/>
          <w:color w:val="000000"/>
        </w:rPr>
        <w:t>: 3032-3040 [PMID: 21252092 DOI: 10.1182/blood-2010-09-308510]</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37 </w:t>
      </w:r>
      <w:proofErr w:type="spellStart"/>
      <w:r w:rsidRPr="00E127AB">
        <w:rPr>
          <w:rFonts w:ascii="Book Antiqua" w:eastAsia="宋体" w:hAnsi="Book Antiqua" w:cs="宋体"/>
          <w:b/>
          <w:bCs/>
          <w:color w:val="000000"/>
        </w:rPr>
        <w:t>Pfirrmann</w:t>
      </w:r>
      <w:proofErr w:type="spellEnd"/>
      <w:r w:rsidRPr="00E127AB">
        <w:rPr>
          <w:rFonts w:ascii="Book Antiqua" w:eastAsia="宋体" w:hAnsi="Book Antiqua" w:cs="宋体"/>
          <w:b/>
          <w:bCs/>
          <w:color w:val="000000"/>
        </w:rPr>
        <w:t xml:space="preserve"> M</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Saussele</w:t>
      </w:r>
      <w:proofErr w:type="spellEnd"/>
      <w:r w:rsidRPr="00E127AB">
        <w:rPr>
          <w:rFonts w:ascii="Book Antiqua" w:eastAsia="宋体" w:hAnsi="Book Antiqua" w:cs="宋体"/>
          <w:color w:val="000000"/>
        </w:rPr>
        <w:t xml:space="preserve"> S, </w:t>
      </w:r>
      <w:proofErr w:type="spellStart"/>
      <w:r w:rsidRPr="00E127AB">
        <w:rPr>
          <w:rFonts w:ascii="Book Antiqua" w:eastAsia="宋体" w:hAnsi="Book Antiqua" w:cs="宋体"/>
          <w:color w:val="000000"/>
        </w:rPr>
        <w:t>Hochhaus</w:t>
      </w:r>
      <w:proofErr w:type="spellEnd"/>
      <w:r w:rsidRPr="00E127AB">
        <w:rPr>
          <w:rFonts w:ascii="Book Antiqua" w:eastAsia="宋体" w:hAnsi="Book Antiqua" w:cs="宋体"/>
          <w:color w:val="000000"/>
        </w:rPr>
        <w:t xml:space="preserve"> A, Reiter A, Berger U, </w:t>
      </w:r>
      <w:proofErr w:type="spellStart"/>
      <w:r w:rsidRPr="00E127AB">
        <w:rPr>
          <w:rFonts w:ascii="Book Antiqua" w:eastAsia="宋体" w:hAnsi="Book Antiqua" w:cs="宋体"/>
          <w:color w:val="000000"/>
        </w:rPr>
        <w:t>Hossfeld</w:t>
      </w:r>
      <w:proofErr w:type="spellEnd"/>
      <w:r w:rsidRPr="00E127AB">
        <w:rPr>
          <w:rFonts w:ascii="Book Antiqua" w:eastAsia="宋体" w:hAnsi="Book Antiqua" w:cs="宋体"/>
          <w:color w:val="000000"/>
        </w:rPr>
        <w:t xml:space="preserve"> DK, </w:t>
      </w:r>
      <w:proofErr w:type="spellStart"/>
      <w:r w:rsidRPr="00E127AB">
        <w:rPr>
          <w:rFonts w:ascii="Book Antiqua" w:eastAsia="宋体" w:hAnsi="Book Antiqua" w:cs="宋体"/>
          <w:color w:val="000000"/>
        </w:rPr>
        <w:t>Nerl</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Scheid</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Spiekermann</w:t>
      </w:r>
      <w:proofErr w:type="spellEnd"/>
      <w:r w:rsidRPr="00E127AB">
        <w:rPr>
          <w:rFonts w:ascii="Book Antiqua" w:eastAsia="宋体" w:hAnsi="Book Antiqua" w:cs="宋体"/>
          <w:color w:val="000000"/>
        </w:rPr>
        <w:t xml:space="preserve"> K, Mayer J, Hellmann A, </w:t>
      </w:r>
      <w:proofErr w:type="spellStart"/>
      <w:r w:rsidRPr="00E127AB">
        <w:rPr>
          <w:rFonts w:ascii="Book Antiqua" w:eastAsia="宋体" w:hAnsi="Book Antiqua" w:cs="宋体"/>
          <w:color w:val="000000"/>
        </w:rPr>
        <w:t>Lechner</w:t>
      </w:r>
      <w:proofErr w:type="spellEnd"/>
      <w:r w:rsidRPr="00E127AB">
        <w:rPr>
          <w:rFonts w:ascii="Book Antiqua" w:eastAsia="宋体" w:hAnsi="Book Antiqua" w:cs="宋体"/>
          <w:color w:val="000000"/>
        </w:rPr>
        <w:t xml:space="preserve"> K, </w:t>
      </w:r>
      <w:proofErr w:type="spellStart"/>
      <w:r w:rsidRPr="00E127AB">
        <w:rPr>
          <w:rFonts w:ascii="Book Antiqua" w:eastAsia="宋体" w:hAnsi="Book Antiqua" w:cs="宋体"/>
          <w:color w:val="000000"/>
        </w:rPr>
        <w:t>Falge</w:t>
      </w:r>
      <w:proofErr w:type="spellEnd"/>
      <w:r w:rsidRPr="00E127AB">
        <w:rPr>
          <w:rFonts w:ascii="Book Antiqua" w:eastAsia="宋体" w:hAnsi="Book Antiqua" w:cs="宋体"/>
          <w:color w:val="000000"/>
        </w:rPr>
        <w:t xml:space="preserve"> C, Sayer HG, </w:t>
      </w:r>
      <w:proofErr w:type="spellStart"/>
      <w:r w:rsidRPr="00E127AB">
        <w:rPr>
          <w:rFonts w:ascii="Book Antiqua" w:eastAsia="宋体" w:hAnsi="Book Antiqua" w:cs="宋体"/>
          <w:color w:val="000000"/>
        </w:rPr>
        <w:t>Bunjes</w:t>
      </w:r>
      <w:proofErr w:type="spellEnd"/>
      <w:r w:rsidRPr="00E127AB">
        <w:rPr>
          <w:rFonts w:ascii="Book Antiqua" w:eastAsia="宋体" w:hAnsi="Book Antiqua" w:cs="宋体"/>
          <w:color w:val="000000"/>
        </w:rPr>
        <w:t xml:space="preserve"> D, </w:t>
      </w:r>
      <w:proofErr w:type="spellStart"/>
      <w:r w:rsidRPr="00E127AB">
        <w:rPr>
          <w:rFonts w:ascii="Book Antiqua" w:eastAsia="宋体" w:hAnsi="Book Antiqua" w:cs="宋体"/>
          <w:color w:val="000000"/>
        </w:rPr>
        <w:t>Ganser</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Beelen</w:t>
      </w:r>
      <w:proofErr w:type="spellEnd"/>
      <w:r w:rsidRPr="00E127AB">
        <w:rPr>
          <w:rFonts w:ascii="Book Antiqua" w:eastAsia="宋体" w:hAnsi="Book Antiqua" w:cs="宋体"/>
          <w:color w:val="000000"/>
        </w:rPr>
        <w:t xml:space="preserve"> DW, </w:t>
      </w:r>
      <w:proofErr w:type="spellStart"/>
      <w:r w:rsidRPr="00E127AB">
        <w:rPr>
          <w:rFonts w:ascii="Book Antiqua" w:eastAsia="宋体" w:hAnsi="Book Antiqua" w:cs="宋体"/>
          <w:color w:val="000000"/>
        </w:rPr>
        <w:t>Baldomero</w:t>
      </w:r>
      <w:proofErr w:type="spellEnd"/>
      <w:r w:rsidRPr="00E127AB">
        <w:rPr>
          <w:rFonts w:ascii="Book Antiqua" w:eastAsia="宋体" w:hAnsi="Book Antiqua" w:cs="宋体"/>
          <w:color w:val="000000"/>
        </w:rPr>
        <w:t xml:space="preserve"> H, </w:t>
      </w:r>
      <w:proofErr w:type="spellStart"/>
      <w:r w:rsidRPr="00E127AB">
        <w:rPr>
          <w:rFonts w:ascii="Book Antiqua" w:eastAsia="宋体" w:hAnsi="Book Antiqua" w:cs="宋体"/>
          <w:color w:val="000000"/>
        </w:rPr>
        <w:t>Schanz</w:t>
      </w:r>
      <w:proofErr w:type="spellEnd"/>
      <w:r w:rsidRPr="00E127AB">
        <w:rPr>
          <w:rFonts w:ascii="Book Antiqua" w:eastAsia="宋体" w:hAnsi="Book Antiqua" w:cs="宋体"/>
          <w:color w:val="000000"/>
        </w:rPr>
        <w:t xml:space="preserve"> U, </w:t>
      </w:r>
      <w:proofErr w:type="spellStart"/>
      <w:r w:rsidRPr="00E127AB">
        <w:rPr>
          <w:rFonts w:ascii="Book Antiqua" w:eastAsia="宋体" w:hAnsi="Book Antiqua" w:cs="宋体"/>
          <w:color w:val="000000"/>
        </w:rPr>
        <w:t>Heimpel</w:t>
      </w:r>
      <w:proofErr w:type="spellEnd"/>
      <w:r w:rsidRPr="00E127AB">
        <w:rPr>
          <w:rFonts w:ascii="Book Antiqua" w:eastAsia="宋体" w:hAnsi="Book Antiqua" w:cs="宋体"/>
          <w:color w:val="000000"/>
        </w:rPr>
        <w:t xml:space="preserve"> H, Kolb HJ, </w:t>
      </w:r>
      <w:proofErr w:type="spellStart"/>
      <w:r w:rsidRPr="00E127AB">
        <w:rPr>
          <w:rFonts w:ascii="Book Antiqua" w:eastAsia="宋体" w:hAnsi="Book Antiqua" w:cs="宋体"/>
          <w:color w:val="000000"/>
        </w:rPr>
        <w:lastRenderedPageBreak/>
        <w:t>Hasford</w:t>
      </w:r>
      <w:proofErr w:type="spellEnd"/>
      <w:r w:rsidRPr="00E127AB">
        <w:rPr>
          <w:rFonts w:ascii="Book Antiqua" w:eastAsia="宋体" w:hAnsi="Book Antiqua" w:cs="宋体"/>
          <w:color w:val="000000"/>
        </w:rPr>
        <w:t xml:space="preserve"> J, </w:t>
      </w:r>
      <w:proofErr w:type="spellStart"/>
      <w:r w:rsidRPr="00E127AB">
        <w:rPr>
          <w:rFonts w:ascii="Book Antiqua" w:eastAsia="宋体" w:hAnsi="Book Antiqua" w:cs="宋体"/>
          <w:color w:val="000000"/>
        </w:rPr>
        <w:t>Gratwohl</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Hehlmann</w:t>
      </w:r>
      <w:proofErr w:type="spellEnd"/>
      <w:r w:rsidRPr="00E127AB">
        <w:rPr>
          <w:rFonts w:ascii="Book Antiqua" w:eastAsia="宋体" w:hAnsi="Book Antiqua" w:cs="宋体"/>
          <w:color w:val="000000"/>
        </w:rPr>
        <w:t xml:space="preserve"> R. Explaining survival differences between two consecutive studies with allogeneic stem cell transplantation in patients with chronic myeloid leukemia. </w:t>
      </w:r>
      <w:r w:rsidRPr="00E127AB">
        <w:rPr>
          <w:rFonts w:ascii="Book Antiqua" w:eastAsia="宋体" w:hAnsi="Book Antiqua" w:cs="宋体"/>
          <w:i/>
          <w:iCs/>
          <w:color w:val="000000"/>
        </w:rPr>
        <w:t xml:space="preserve">J Cancer Res </w:t>
      </w:r>
      <w:proofErr w:type="spellStart"/>
      <w:r w:rsidRPr="00E127AB">
        <w:rPr>
          <w:rFonts w:ascii="Book Antiqua" w:eastAsia="宋体" w:hAnsi="Book Antiqua" w:cs="宋体"/>
          <w:i/>
          <w:iCs/>
          <w:color w:val="000000"/>
        </w:rPr>
        <w:t>Clin</w:t>
      </w:r>
      <w:proofErr w:type="spellEnd"/>
      <w:r w:rsidRPr="00E127AB">
        <w:rPr>
          <w:rFonts w:ascii="Book Antiqua" w:eastAsia="宋体" w:hAnsi="Book Antiqua" w:cs="宋体"/>
          <w:i/>
          <w:iCs/>
          <w:color w:val="000000"/>
        </w:rPr>
        <w:t xml:space="preserve"> </w:t>
      </w:r>
      <w:proofErr w:type="spellStart"/>
      <w:r w:rsidRPr="00E127AB">
        <w:rPr>
          <w:rFonts w:ascii="Book Antiqua" w:eastAsia="宋体" w:hAnsi="Book Antiqua" w:cs="宋体"/>
          <w:i/>
          <w:iCs/>
          <w:color w:val="000000"/>
        </w:rPr>
        <w:t>Oncol</w:t>
      </w:r>
      <w:proofErr w:type="spellEnd"/>
      <w:r w:rsidRPr="00E127AB">
        <w:rPr>
          <w:rFonts w:ascii="Book Antiqua" w:eastAsia="宋体" w:hAnsi="Book Antiqua" w:cs="宋体"/>
          <w:color w:val="000000"/>
        </w:rPr>
        <w:t> 2014; </w:t>
      </w:r>
      <w:r w:rsidRPr="00E127AB">
        <w:rPr>
          <w:rFonts w:ascii="Book Antiqua" w:eastAsia="宋体" w:hAnsi="Book Antiqua" w:cs="宋体"/>
          <w:b/>
          <w:bCs/>
          <w:color w:val="000000"/>
        </w:rPr>
        <w:t>140</w:t>
      </w:r>
      <w:r w:rsidRPr="00E127AB">
        <w:rPr>
          <w:rFonts w:ascii="Book Antiqua" w:eastAsia="宋体" w:hAnsi="Book Antiqua" w:cs="宋体"/>
          <w:color w:val="000000"/>
        </w:rPr>
        <w:t>: 1367-1381 [PMID: 24718719 DOI: 10.1007/s00432-014-1662-y]</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38 </w:t>
      </w:r>
      <w:proofErr w:type="spellStart"/>
      <w:r w:rsidRPr="00E127AB">
        <w:rPr>
          <w:rFonts w:ascii="Book Antiqua" w:eastAsia="宋体" w:hAnsi="Book Antiqua" w:cs="宋体"/>
          <w:b/>
          <w:bCs/>
          <w:color w:val="000000"/>
        </w:rPr>
        <w:t>Khoury</w:t>
      </w:r>
      <w:proofErr w:type="spellEnd"/>
      <w:r w:rsidRPr="00E127AB">
        <w:rPr>
          <w:rFonts w:ascii="Book Antiqua" w:eastAsia="宋体" w:hAnsi="Book Antiqua" w:cs="宋体"/>
          <w:b/>
          <w:bCs/>
          <w:color w:val="000000"/>
        </w:rPr>
        <w:t xml:space="preserve"> HJ</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Kukreja</w:t>
      </w:r>
      <w:proofErr w:type="spellEnd"/>
      <w:r w:rsidRPr="00E127AB">
        <w:rPr>
          <w:rFonts w:ascii="Book Antiqua" w:eastAsia="宋体" w:hAnsi="Book Antiqua" w:cs="宋体"/>
          <w:color w:val="000000"/>
        </w:rPr>
        <w:t xml:space="preserve"> M, Goldman JM, Wang T, Halter J, Arora M, Gupta V, </w:t>
      </w:r>
      <w:proofErr w:type="spellStart"/>
      <w:r w:rsidRPr="00E127AB">
        <w:rPr>
          <w:rFonts w:ascii="Book Antiqua" w:eastAsia="宋体" w:hAnsi="Book Antiqua" w:cs="宋体"/>
          <w:color w:val="000000"/>
        </w:rPr>
        <w:t>Rizzieri</w:t>
      </w:r>
      <w:proofErr w:type="spellEnd"/>
      <w:r w:rsidRPr="00E127AB">
        <w:rPr>
          <w:rFonts w:ascii="Book Antiqua" w:eastAsia="宋体" w:hAnsi="Book Antiqua" w:cs="宋体"/>
          <w:color w:val="000000"/>
        </w:rPr>
        <w:t xml:space="preserve"> DA, George B, Keating A, Gale RP, Marks DI, McCarthy PL, </w:t>
      </w:r>
      <w:proofErr w:type="spellStart"/>
      <w:r w:rsidRPr="00E127AB">
        <w:rPr>
          <w:rFonts w:ascii="Book Antiqua" w:eastAsia="宋体" w:hAnsi="Book Antiqua" w:cs="宋体"/>
          <w:color w:val="000000"/>
        </w:rPr>
        <w:t>Woolfrey</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Szer</w:t>
      </w:r>
      <w:proofErr w:type="spellEnd"/>
      <w:r w:rsidRPr="00E127AB">
        <w:rPr>
          <w:rFonts w:ascii="Book Antiqua" w:eastAsia="宋体" w:hAnsi="Book Antiqua" w:cs="宋体"/>
          <w:color w:val="000000"/>
        </w:rPr>
        <w:t xml:space="preserve"> J, Giralt SA, </w:t>
      </w:r>
      <w:proofErr w:type="spellStart"/>
      <w:r w:rsidRPr="00E127AB">
        <w:rPr>
          <w:rFonts w:ascii="Book Antiqua" w:eastAsia="宋体" w:hAnsi="Book Antiqua" w:cs="宋体"/>
          <w:color w:val="000000"/>
        </w:rPr>
        <w:t>Maziarz</w:t>
      </w:r>
      <w:proofErr w:type="spellEnd"/>
      <w:r w:rsidRPr="00E127AB">
        <w:rPr>
          <w:rFonts w:ascii="Book Antiqua" w:eastAsia="宋体" w:hAnsi="Book Antiqua" w:cs="宋体"/>
          <w:color w:val="000000"/>
        </w:rPr>
        <w:t xml:space="preserve"> RT, Cortes J, Horowitz MM, Lee SJ. Prognostic factors for outcomes in allogeneic transplantation for CML in the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era: a CIBMTR analysis. </w:t>
      </w:r>
      <w:r w:rsidRPr="00E127AB">
        <w:rPr>
          <w:rFonts w:ascii="Book Antiqua" w:eastAsia="宋体" w:hAnsi="Book Antiqua" w:cs="宋体"/>
          <w:i/>
          <w:iCs/>
          <w:color w:val="000000"/>
        </w:rPr>
        <w:t>Bone Marrow Transplant</w:t>
      </w:r>
      <w:r w:rsidRPr="00E127AB">
        <w:rPr>
          <w:rFonts w:ascii="Book Antiqua" w:eastAsia="宋体" w:hAnsi="Book Antiqua" w:cs="宋体"/>
          <w:color w:val="000000"/>
        </w:rPr>
        <w:t> 2012; </w:t>
      </w:r>
      <w:r w:rsidRPr="00E127AB">
        <w:rPr>
          <w:rFonts w:ascii="Book Antiqua" w:eastAsia="宋体" w:hAnsi="Book Antiqua" w:cs="宋体"/>
          <w:b/>
          <w:bCs/>
          <w:color w:val="000000"/>
        </w:rPr>
        <w:t>47</w:t>
      </w:r>
      <w:r w:rsidRPr="00E127AB">
        <w:rPr>
          <w:rFonts w:ascii="Book Antiqua" w:eastAsia="宋体" w:hAnsi="Book Antiqua" w:cs="宋体"/>
          <w:color w:val="000000"/>
        </w:rPr>
        <w:t>: 810-816 [PMID: 21986636 DOI: 10.1038/bmt.2011.194]</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39 </w:t>
      </w:r>
      <w:r w:rsidRPr="00E127AB">
        <w:rPr>
          <w:rFonts w:ascii="Book Antiqua" w:eastAsia="宋体" w:hAnsi="Book Antiqua" w:cs="宋体"/>
          <w:b/>
          <w:bCs/>
          <w:color w:val="000000"/>
        </w:rPr>
        <w:t>Lee SJ</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Kukreja</w:t>
      </w:r>
      <w:proofErr w:type="spellEnd"/>
      <w:r w:rsidRPr="00E127AB">
        <w:rPr>
          <w:rFonts w:ascii="Book Antiqua" w:eastAsia="宋体" w:hAnsi="Book Antiqua" w:cs="宋体"/>
          <w:color w:val="000000"/>
        </w:rPr>
        <w:t xml:space="preserve"> M, Wang T, Giralt SA, </w:t>
      </w:r>
      <w:proofErr w:type="spellStart"/>
      <w:r w:rsidRPr="00E127AB">
        <w:rPr>
          <w:rFonts w:ascii="Book Antiqua" w:eastAsia="宋体" w:hAnsi="Book Antiqua" w:cs="宋体"/>
          <w:color w:val="000000"/>
        </w:rPr>
        <w:t>Szer</w:t>
      </w:r>
      <w:proofErr w:type="spellEnd"/>
      <w:r w:rsidRPr="00E127AB">
        <w:rPr>
          <w:rFonts w:ascii="Book Antiqua" w:eastAsia="宋体" w:hAnsi="Book Antiqua" w:cs="宋体"/>
          <w:color w:val="000000"/>
        </w:rPr>
        <w:t xml:space="preserve"> J, Arora M, </w:t>
      </w:r>
      <w:proofErr w:type="spellStart"/>
      <w:r w:rsidRPr="00E127AB">
        <w:rPr>
          <w:rFonts w:ascii="Book Antiqua" w:eastAsia="宋体" w:hAnsi="Book Antiqua" w:cs="宋体"/>
          <w:color w:val="000000"/>
        </w:rPr>
        <w:t>Woolfrey</w:t>
      </w:r>
      <w:proofErr w:type="spellEnd"/>
      <w:r w:rsidRPr="00E127AB">
        <w:rPr>
          <w:rFonts w:ascii="Book Antiqua" w:eastAsia="宋体" w:hAnsi="Book Antiqua" w:cs="宋体"/>
          <w:color w:val="000000"/>
        </w:rPr>
        <w:t xml:space="preserve"> AE, Cervantes F, </w:t>
      </w:r>
      <w:proofErr w:type="spellStart"/>
      <w:r w:rsidRPr="00E127AB">
        <w:rPr>
          <w:rFonts w:ascii="Book Antiqua" w:eastAsia="宋体" w:hAnsi="Book Antiqua" w:cs="宋体"/>
          <w:color w:val="000000"/>
        </w:rPr>
        <w:t>Champlin</w:t>
      </w:r>
      <w:proofErr w:type="spellEnd"/>
      <w:r w:rsidRPr="00E127AB">
        <w:rPr>
          <w:rFonts w:ascii="Book Antiqua" w:eastAsia="宋体" w:hAnsi="Book Antiqua" w:cs="宋体"/>
          <w:color w:val="000000"/>
        </w:rPr>
        <w:t xml:space="preserve"> RE, Gale RP, Halter J, Keating A, Marks DI, McCarthy PL, </w:t>
      </w:r>
      <w:proofErr w:type="spellStart"/>
      <w:r w:rsidRPr="00E127AB">
        <w:rPr>
          <w:rFonts w:ascii="Book Antiqua" w:eastAsia="宋体" w:hAnsi="Book Antiqua" w:cs="宋体"/>
          <w:color w:val="000000"/>
        </w:rPr>
        <w:t>Olavarria</w:t>
      </w:r>
      <w:proofErr w:type="spellEnd"/>
      <w:r w:rsidRPr="00E127AB">
        <w:rPr>
          <w:rFonts w:ascii="Book Antiqua" w:eastAsia="宋体" w:hAnsi="Book Antiqua" w:cs="宋体"/>
          <w:color w:val="000000"/>
        </w:rPr>
        <w:t xml:space="preserve"> E, </w:t>
      </w:r>
      <w:proofErr w:type="spellStart"/>
      <w:r w:rsidRPr="00E127AB">
        <w:rPr>
          <w:rFonts w:ascii="Book Antiqua" w:eastAsia="宋体" w:hAnsi="Book Antiqua" w:cs="宋体"/>
          <w:color w:val="000000"/>
        </w:rPr>
        <w:t>Stadtmauer</w:t>
      </w:r>
      <w:proofErr w:type="spellEnd"/>
      <w:r w:rsidRPr="00E127AB">
        <w:rPr>
          <w:rFonts w:ascii="Book Antiqua" w:eastAsia="宋体" w:hAnsi="Book Antiqua" w:cs="宋体"/>
          <w:color w:val="000000"/>
        </w:rPr>
        <w:t xml:space="preserve"> EA, </w:t>
      </w:r>
      <w:proofErr w:type="spellStart"/>
      <w:r w:rsidRPr="00E127AB">
        <w:rPr>
          <w:rFonts w:ascii="Book Antiqua" w:eastAsia="宋体" w:hAnsi="Book Antiqua" w:cs="宋体"/>
          <w:color w:val="000000"/>
        </w:rPr>
        <w:t>Abecasis</w:t>
      </w:r>
      <w:proofErr w:type="spellEnd"/>
      <w:r w:rsidRPr="00E127AB">
        <w:rPr>
          <w:rFonts w:ascii="Book Antiqua" w:eastAsia="宋体" w:hAnsi="Book Antiqua" w:cs="宋体"/>
          <w:color w:val="000000"/>
        </w:rPr>
        <w:t xml:space="preserve"> M, Gupta V, </w:t>
      </w:r>
      <w:proofErr w:type="spellStart"/>
      <w:r w:rsidRPr="00E127AB">
        <w:rPr>
          <w:rFonts w:ascii="Book Antiqua" w:eastAsia="宋体" w:hAnsi="Book Antiqua" w:cs="宋体"/>
          <w:color w:val="000000"/>
        </w:rPr>
        <w:t>Khoury</w:t>
      </w:r>
      <w:proofErr w:type="spellEnd"/>
      <w:r w:rsidRPr="00E127AB">
        <w:rPr>
          <w:rFonts w:ascii="Book Antiqua" w:eastAsia="宋体" w:hAnsi="Book Antiqua" w:cs="宋体"/>
          <w:color w:val="000000"/>
        </w:rPr>
        <w:t xml:space="preserve"> HJ, George B, Hale GA, </w:t>
      </w:r>
      <w:proofErr w:type="spellStart"/>
      <w:r w:rsidRPr="00E127AB">
        <w:rPr>
          <w:rFonts w:ascii="Book Antiqua" w:eastAsia="宋体" w:hAnsi="Book Antiqua" w:cs="宋体"/>
          <w:color w:val="000000"/>
        </w:rPr>
        <w:t>Liesveld</w:t>
      </w:r>
      <w:proofErr w:type="spellEnd"/>
      <w:r w:rsidRPr="00E127AB">
        <w:rPr>
          <w:rFonts w:ascii="Book Antiqua" w:eastAsia="宋体" w:hAnsi="Book Antiqua" w:cs="宋体"/>
          <w:color w:val="000000"/>
        </w:rPr>
        <w:t xml:space="preserve"> JL, </w:t>
      </w:r>
      <w:proofErr w:type="spellStart"/>
      <w:r w:rsidRPr="00E127AB">
        <w:rPr>
          <w:rFonts w:ascii="Book Antiqua" w:eastAsia="宋体" w:hAnsi="Book Antiqua" w:cs="宋体"/>
          <w:color w:val="000000"/>
        </w:rPr>
        <w:t>Rizzieri</w:t>
      </w:r>
      <w:proofErr w:type="spellEnd"/>
      <w:r w:rsidRPr="00E127AB">
        <w:rPr>
          <w:rFonts w:ascii="Book Antiqua" w:eastAsia="宋体" w:hAnsi="Book Antiqua" w:cs="宋体"/>
          <w:color w:val="000000"/>
        </w:rPr>
        <w:t xml:space="preserve"> DA, </w:t>
      </w:r>
      <w:proofErr w:type="spellStart"/>
      <w:r w:rsidRPr="00E127AB">
        <w:rPr>
          <w:rFonts w:ascii="Book Antiqua" w:eastAsia="宋体" w:hAnsi="Book Antiqua" w:cs="宋体"/>
          <w:color w:val="000000"/>
        </w:rPr>
        <w:t>Antin</w:t>
      </w:r>
      <w:proofErr w:type="spellEnd"/>
      <w:r w:rsidRPr="00E127AB">
        <w:rPr>
          <w:rFonts w:ascii="Book Antiqua" w:eastAsia="宋体" w:hAnsi="Book Antiqua" w:cs="宋体"/>
          <w:color w:val="000000"/>
        </w:rPr>
        <w:t xml:space="preserve"> JH, </w:t>
      </w:r>
      <w:proofErr w:type="spellStart"/>
      <w:r w:rsidRPr="00E127AB">
        <w:rPr>
          <w:rFonts w:ascii="Book Antiqua" w:eastAsia="宋体" w:hAnsi="Book Antiqua" w:cs="宋体"/>
          <w:color w:val="000000"/>
        </w:rPr>
        <w:t>Bolwell</w:t>
      </w:r>
      <w:proofErr w:type="spellEnd"/>
      <w:r w:rsidRPr="00E127AB">
        <w:rPr>
          <w:rFonts w:ascii="Book Antiqua" w:eastAsia="宋体" w:hAnsi="Book Antiqua" w:cs="宋体"/>
          <w:color w:val="000000"/>
        </w:rPr>
        <w:t xml:space="preserve"> BJ, </w:t>
      </w:r>
      <w:proofErr w:type="spellStart"/>
      <w:r w:rsidRPr="00E127AB">
        <w:rPr>
          <w:rFonts w:ascii="Book Antiqua" w:eastAsia="宋体" w:hAnsi="Book Antiqua" w:cs="宋体"/>
          <w:color w:val="000000"/>
        </w:rPr>
        <w:t>Carabasi</w:t>
      </w:r>
      <w:proofErr w:type="spellEnd"/>
      <w:r w:rsidRPr="00E127AB">
        <w:rPr>
          <w:rFonts w:ascii="Book Antiqua" w:eastAsia="宋体" w:hAnsi="Book Antiqua" w:cs="宋体"/>
          <w:color w:val="000000"/>
        </w:rPr>
        <w:t xml:space="preserve"> MH, </w:t>
      </w:r>
      <w:proofErr w:type="spellStart"/>
      <w:r w:rsidRPr="00E127AB">
        <w:rPr>
          <w:rFonts w:ascii="Book Antiqua" w:eastAsia="宋体" w:hAnsi="Book Antiqua" w:cs="宋体"/>
          <w:color w:val="000000"/>
        </w:rPr>
        <w:t>Copelan</w:t>
      </w:r>
      <w:proofErr w:type="spellEnd"/>
      <w:r w:rsidRPr="00E127AB">
        <w:rPr>
          <w:rFonts w:ascii="Book Antiqua" w:eastAsia="宋体" w:hAnsi="Book Antiqua" w:cs="宋体"/>
          <w:color w:val="000000"/>
        </w:rPr>
        <w:t xml:space="preserve"> E, </w:t>
      </w:r>
      <w:proofErr w:type="spellStart"/>
      <w:r w:rsidRPr="00E127AB">
        <w:rPr>
          <w:rFonts w:ascii="Book Antiqua" w:eastAsia="宋体" w:hAnsi="Book Antiqua" w:cs="宋体"/>
          <w:color w:val="000000"/>
        </w:rPr>
        <w:t>Ilhan</w:t>
      </w:r>
      <w:proofErr w:type="spellEnd"/>
      <w:r w:rsidRPr="00E127AB">
        <w:rPr>
          <w:rFonts w:ascii="Book Antiqua" w:eastAsia="宋体" w:hAnsi="Book Antiqua" w:cs="宋体"/>
          <w:color w:val="000000"/>
        </w:rPr>
        <w:t xml:space="preserve"> O, </w:t>
      </w:r>
      <w:proofErr w:type="spellStart"/>
      <w:r w:rsidRPr="00E127AB">
        <w:rPr>
          <w:rFonts w:ascii="Book Antiqua" w:eastAsia="宋体" w:hAnsi="Book Antiqua" w:cs="宋体"/>
          <w:color w:val="000000"/>
        </w:rPr>
        <w:t>Litzow</w:t>
      </w:r>
      <w:proofErr w:type="spellEnd"/>
      <w:r w:rsidRPr="00E127AB">
        <w:rPr>
          <w:rFonts w:ascii="Book Antiqua" w:eastAsia="宋体" w:hAnsi="Book Antiqua" w:cs="宋体"/>
          <w:color w:val="000000"/>
        </w:rPr>
        <w:t xml:space="preserve"> MR, Schouten HC, Zander AR, Horowitz MM, </w:t>
      </w:r>
      <w:proofErr w:type="spellStart"/>
      <w:r w:rsidRPr="00E127AB">
        <w:rPr>
          <w:rFonts w:ascii="Book Antiqua" w:eastAsia="宋体" w:hAnsi="Book Antiqua" w:cs="宋体"/>
          <w:color w:val="000000"/>
        </w:rPr>
        <w:t>Maziarz</w:t>
      </w:r>
      <w:proofErr w:type="spellEnd"/>
      <w:r w:rsidRPr="00E127AB">
        <w:rPr>
          <w:rFonts w:ascii="Book Antiqua" w:eastAsia="宋体" w:hAnsi="Book Antiqua" w:cs="宋体"/>
          <w:color w:val="000000"/>
        </w:rPr>
        <w:t xml:space="preserve"> RT. Impact of prior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mesylate</w:t>
      </w:r>
      <w:proofErr w:type="spellEnd"/>
      <w:r w:rsidRPr="00E127AB">
        <w:rPr>
          <w:rFonts w:ascii="Book Antiqua" w:eastAsia="宋体" w:hAnsi="Book Antiqua" w:cs="宋体"/>
          <w:color w:val="000000"/>
        </w:rPr>
        <w:t xml:space="preserve"> on the outcome of hematopoietic cell transplantation for chronic myeloid leukemia. </w:t>
      </w:r>
      <w:r w:rsidRPr="00E127AB">
        <w:rPr>
          <w:rFonts w:ascii="Book Antiqua" w:eastAsia="宋体" w:hAnsi="Book Antiqua" w:cs="宋体"/>
          <w:i/>
          <w:iCs/>
          <w:color w:val="000000"/>
        </w:rPr>
        <w:t>Blood</w:t>
      </w:r>
      <w:r w:rsidRPr="00E127AB">
        <w:rPr>
          <w:rFonts w:ascii="Book Antiqua" w:eastAsia="宋体" w:hAnsi="Book Antiqua" w:cs="宋体"/>
          <w:color w:val="000000"/>
        </w:rPr>
        <w:t> 2008; </w:t>
      </w:r>
      <w:r w:rsidRPr="00E127AB">
        <w:rPr>
          <w:rFonts w:ascii="Book Antiqua" w:eastAsia="宋体" w:hAnsi="Book Antiqua" w:cs="宋体"/>
          <w:b/>
          <w:bCs/>
          <w:color w:val="000000"/>
        </w:rPr>
        <w:t>112</w:t>
      </w:r>
      <w:r w:rsidRPr="00E127AB">
        <w:rPr>
          <w:rFonts w:ascii="Book Antiqua" w:eastAsia="宋体" w:hAnsi="Book Antiqua" w:cs="宋体"/>
          <w:color w:val="000000"/>
        </w:rPr>
        <w:t>: 3500-3507 [PMID: 18664621 DOI: 10.1182/blood-2008-02-141689]</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40 </w:t>
      </w:r>
      <w:r w:rsidRPr="00E127AB">
        <w:rPr>
          <w:rFonts w:ascii="Book Antiqua" w:eastAsia="宋体" w:hAnsi="Book Antiqua" w:cs="宋体"/>
          <w:b/>
          <w:bCs/>
          <w:color w:val="000000"/>
        </w:rPr>
        <w:t>Nair AP</w:t>
      </w:r>
      <w:r w:rsidRPr="00E127AB">
        <w:rPr>
          <w:rFonts w:ascii="Book Antiqua" w:eastAsia="宋体" w:hAnsi="Book Antiqua" w:cs="宋体"/>
          <w:color w:val="000000"/>
        </w:rPr>
        <w:t xml:space="preserve">, Barnett MJ, </w:t>
      </w:r>
      <w:proofErr w:type="spellStart"/>
      <w:r w:rsidRPr="00E127AB">
        <w:rPr>
          <w:rFonts w:ascii="Book Antiqua" w:eastAsia="宋体" w:hAnsi="Book Antiqua" w:cs="宋体"/>
          <w:color w:val="000000"/>
        </w:rPr>
        <w:t>Broady</w:t>
      </w:r>
      <w:proofErr w:type="spellEnd"/>
      <w:r w:rsidRPr="00E127AB">
        <w:rPr>
          <w:rFonts w:ascii="Book Antiqua" w:eastAsia="宋体" w:hAnsi="Book Antiqua" w:cs="宋体"/>
          <w:color w:val="000000"/>
        </w:rPr>
        <w:t xml:space="preserve"> RC, </w:t>
      </w:r>
      <w:proofErr w:type="spellStart"/>
      <w:r w:rsidRPr="00E127AB">
        <w:rPr>
          <w:rFonts w:ascii="Book Antiqua" w:eastAsia="宋体" w:hAnsi="Book Antiqua" w:cs="宋体"/>
          <w:color w:val="000000"/>
        </w:rPr>
        <w:t>Hogge</w:t>
      </w:r>
      <w:proofErr w:type="spellEnd"/>
      <w:r w:rsidRPr="00E127AB">
        <w:rPr>
          <w:rFonts w:ascii="Book Antiqua" w:eastAsia="宋体" w:hAnsi="Book Antiqua" w:cs="宋体"/>
          <w:color w:val="000000"/>
        </w:rPr>
        <w:t xml:space="preserve"> DE, Song KW, </w:t>
      </w:r>
      <w:proofErr w:type="spellStart"/>
      <w:r w:rsidRPr="00E127AB">
        <w:rPr>
          <w:rFonts w:ascii="Book Antiqua" w:eastAsia="宋体" w:hAnsi="Book Antiqua" w:cs="宋体"/>
          <w:color w:val="000000"/>
        </w:rPr>
        <w:t>Toze</w:t>
      </w:r>
      <w:proofErr w:type="spellEnd"/>
      <w:r w:rsidRPr="00E127AB">
        <w:rPr>
          <w:rFonts w:ascii="Book Antiqua" w:eastAsia="宋体" w:hAnsi="Book Antiqua" w:cs="宋体"/>
          <w:color w:val="000000"/>
        </w:rPr>
        <w:t xml:space="preserve"> CL, </w:t>
      </w:r>
      <w:proofErr w:type="spellStart"/>
      <w:r w:rsidRPr="00E127AB">
        <w:rPr>
          <w:rFonts w:ascii="Book Antiqua" w:eastAsia="宋体" w:hAnsi="Book Antiqua" w:cs="宋体"/>
          <w:color w:val="000000"/>
        </w:rPr>
        <w:t>Nantel</w:t>
      </w:r>
      <w:proofErr w:type="spellEnd"/>
      <w:r w:rsidRPr="00E127AB">
        <w:rPr>
          <w:rFonts w:ascii="Book Antiqua" w:eastAsia="宋体" w:hAnsi="Book Antiqua" w:cs="宋体"/>
          <w:color w:val="000000"/>
        </w:rPr>
        <w:t xml:space="preserve"> SH, Power MM, Sutherland HJ, </w:t>
      </w:r>
      <w:proofErr w:type="spellStart"/>
      <w:r w:rsidRPr="00E127AB">
        <w:rPr>
          <w:rFonts w:ascii="Book Antiqua" w:eastAsia="宋体" w:hAnsi="Book Antiqua" w:cs="宋体"/>
          <w:color w:val="000000"/>
        </w:rPr>
        <w:t>Nevill</w:t>
      </w:r>
      <w:proofErr w:type="spellEnd"/>
      <w:r w:rsidRPr="00E127AB">
        <w:rPr>
          <w:rFonts w:ascii="Book Antiqua" w:eastAsia="宋体" w:hAnsi="Book Antiqua" w:cs="宋体"/>
          <w:color w:val="000000"/>
        </w:rPr>
        <w:t xml:space="preserve"> TJ, </w:t>
      </w:r>
      <w:proofErr w:type="spellStart"/>
      <w:r w:rsidRPr="00E127AB">
        <w:rPr>
          <w:rFonts w:ascii="Book Antiqua" w:eastAsia="宋体" w:hAnsi="Book Antiqua" w:cs="宋体"/>
          <w:color w:val="000000"/>
        </w:rPr>
        <w:t>Abou</w:t>
      </w:r>
      <w:proofErr w:type="spellEnd"/>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Mourad</w:t>
      </w:r>
      <w:proofErr w:type="spellEnd"/>
      <w:r w:rsidRPr="00E127AB">
        <w:rPr>
          <w:rFonts w:ascii="Book Antiqua" w:eastAsia="宋体" w:hAnsi="Book Antiqua" w:cs="宋体"/>
          <w:color w:val="000000"/>
        </w:rPr>
        <w:t xml:space="preserve"> Y, Narayanan S, </w:t>
      </w:r>
      <w:proofErr w:type="spellStart"/>
      <w:r w:rsidRPr="00E127AB">
        <w:rPr>
          <w:rFonts w:ascii="Book Antiqua" w:eastAsia="宋体" w:hAnsi="Book Antiqua" w:cs="宋体"/>
          <w:color w:val="000000"/>
        </w:rPr>
        <w:t>Gerrie</w:t>
      </w:r>
      <w:proofErr w:type="spellEnd"/>
      <w:r w:rsidRPr="00E127AB">
        <w:rPr>
          <w:rFonts w:ascii="Book Antiqua" w:eastAsia="宋体" w:hAnsi="Book Antiqua" w:cs="宋体"/>
          <w:color w:val="000000"/>
        </w:rPr>
        <w:t xml:space="preserve"> AS, Forrest DL. Allogeneic Hematopoietic Stem Cell Transplantation Is an Effective Salvage Therapy for Patients with Chronic Myeloid Leukemia Presenting with Advanced Disease or Failing Treatment with Tyrosine Kinase Inhibitors. </w:t>
      </w:r>
      <w:proofErr w:type="spellStart"/>
      <w:r w:rsidRPr="00E127AB">
        <w:rPr>
          <w:rFonts w:ascii="Book Antiqua" w:eastAsia="宋体" w:hAnsi="Book Antiqua" w:cs="宋体"/>
          <w:i/>
          <w:iCs/>
          <w:color w:val="000000"/>
        </w:rPr>
        <w:t>Biol</w:t>
      </w:r>
      <w:proofErr w:type="spellEnd"/>
      <w:r w:rsidRPr="00E127AB">
        <w:rPr>
          <w:rFonts w:ascii="Book Antiqua" w:eastAsia="宋体" w:hAnsi="Book Antiqua" w:cs="宋体"/>
          <w:i/>
          <w:iCs/>
          <w:color w:val="000000"/>
        </w:rPr>
        <w:t xml:space="preserve"> Blood Marrow Transplant</w:t>
      </w:r>
      <w:r w:rsidRPr="00E127AB">
        <w:rPr>
          <w:rFonts w:ascii="Book Antiqua" w:eastAsia="宋体" w:hAnsi="Book Antiqua" w:cs="宋体"/>
          <w:color w:val="000000"/>
        </w:rPr>
        <w:t> 2015; </w:t>
      </w:r>
      <w:r w:rsidRPr="00E127AB">
        <w:rPr>
          <w:rFonts w:ascii="Book Antiqua" w:eastAsia="宋体" w:hAnsi="Book Antiqua" w:cs="宋体"/>
          <w:b/>
          <w:bCs/>
          <w:color w:val="000000"/>
        </w:rPr>
        <w:t>21</w:t>
      </w:r>
      <w:r w:rsidRPr="00E127AB">
        <w:rPr>
          <w:rFonts w:ascii="Book Antiqua" w:eastAsia="宋体" w:hAnsi="Book Antiqua" w:cs="宋体"/>
          <w:color w:val="000000"/>
        </w:rPr>
        <w:t>: 1437-1444 [PMID: 25865648 DOI: 10.1016/j.bbmt.2015.04.005]</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41 </w:t>
      </w:r>
      <w:proofErr w:type="spellStart"/>
      <w:r w:rsidRPr="00E127AB">
        <w:rPr>
          <w:rFonts w:ascii="Book Antiqua" w:eastAsia="宋体" w:hAnsi="Book Antiqua" w:cs="宋体"/>
          <w:b/>
          <w:bCs/>
          <w:color w:val="000000"/>
        </w:rPr>
        <w:t>Oehler</w:t>
      </w:r>
      <w:proofErr w:type="spellEnd"/>
      <w:r w:rsidRPr="00E127AB">
        <w:rPr>
          <w:rFonts w:ascii="Book Antiqua" w:eastAsia="宋体" w:hAnsi="Book Antiqua" w:cs="宋体"/>
          <w:b/>
          <w:bCs/>
          <w:color w:val="000000"/>
        </w:rPr>
        <w:t xml:space="preserve"> VG</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Gooley</w:t>
      </w:r>
      <w:proofErr w:type="spellEnd"/>
      <w:r w:rsidRPr="00E127AB">
        <w:rPr>
          <w:rFonts w:ascii="Book Antiqua" w:eastAsia="宋体" w:hAnsi="Book Antiqua" w:cs="宋体"/>
          <w:color w:val="000000"/>
        </w:rPr>
        <w:t xml:space="preserve"> T, Snyder DS, Johnston L, Lin A, Cummings CC, Chu S, Bhatia R, Forman SJ, </w:t>
      </w:r>
      <w:proofErr w:type="spellStart"/>
      <w:r w:rsidRPr="00E127AB">
        <w:rPr>
          <w:rFonts w:ascii="Book Antiqua" w:eastAsia="宋体" w:hAnsi="Book Antiqua" w:cs="宋体"/>
          <w:color w:val="000000"/>
        </w:rPr>
        <w:t>Negrin</w:t>
      </w:r>
      <w:proofErr w:type="spellEnd"/>
      <w:r w:rsidRPr="00E127AB">
        <w:rPr>
          <w:rFonts w:ascii="Book Antiqua" w:eastAsia="宋体" w:hAnsi="Book Antiqua" w:cs="宋体"/>
          <w:color w:val="000000"/>
        </w:rPr>
        <w:t xml:space="preserve"> RS, </w:t>
      </w:r>
      <w:proofErr w:type="spellStart"/>
      <w:r w:rsidRPr="00E127AB">
        <w:rPr>
          <w:rFonts w:ascii="Book Antiqua" w:eastAsia="宋体" w:hAnsi="Book Antiqua" w:cs="宋体"/>
          <w:color w:val="000000"/>
        </w:rPr>
        <w:t>Appelbaum</w:t>
      </w:r>
      <w:proofErr w:type="spellEnd"/>
      <w:r w:rsidRPr="00E127AB">
        <w:rPr>
          <w:rFonts w:ascii="Book Antiqua" w:eastAsia="宋体" w:hAnsi="Book Antiqua" w:cs="宋体"/>
          <w:color w:val="000000"/>
        </w:rPr>
        <w:t xml:space="preserve"> FR, </w:t>
      </w:r>
      <w:proofErr w:type="spellStart"/>
      <w:r w:rsidRPr="00E127AB">
        <w:rPr>
          <w:rFonts w:ascii="Book Antiqua" w:eastAsia="宋体" w:hAnsi="Book Antiqua" w:cs="宋体"/>
          <w:color w:val="000000"/>
        </w:rPr>
        <w:t>Radich</w:t>
      </w:r>
      <w:proofErr w:type="spellEnd"/>
      <w:r w:rsidRPr="00E127AB">
        <w:rPr>
          <w:rFonts w:ascii="Book Antiqua" w:eastAsia="宋体" w:hAnsi="Book Antiqua" w:cs="宋体"/>
          <w:color w:val="000000"/>
        </w:rPr>
        <w:t xml:space="preserve"> JP. </w:t>
      </w:r>
      <w:proofErr w:type="gramStart"/>
      <w:r w:rsidRPr="00E127AB">
        <w:rPr>
          <w:rFonts w:ascii="Book Antiqua" w:eastAsia="宋体" w:hAnsi="Book Antiqua" w:cs="宋体"/>
          <w:color w:val="000000"/>
        </w:rPr>
        <w:t xml:space="preserve">The effects of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mesylate</w:t>
      </w:r>
      <w:proofErr w:type="spellEnd"/>
      <w:r w:rsidRPr="00E127AB">
        <w:rPr>
          <w:rFonts w:ascii="Book Antiqua" w:eastAsia="宋体" w:hAnsi="Book Antiqua" w:cs="宋体"/>
          <w:color w:val="000000"/>
        </w:rPr>
        <w:t xml:space="preserve"> treatment before allogeneic transplantation for chronic myeloid leukemia.</w:t>
      </w:r>
      <w:proofErr w:type="gramEnd"/>
      <w:r w:rsidRPr="00E127AB">
        <w:rPr>
          <w:rFonts w:ascii="Book Antiqua" w:eastAsia="宋体" w:hAnsi="Book Antiqua" w:cs="宋体"/>
          <w:color w:val="000000"/>
        </w:rPr>
        <w:t> </w:t>
      </w:r>
      <w:r w:rsidRPr="00E127AB">
        <w:rPr>
          <w:rFonts w:ascii="Book Antiqua" w:eastAsia="宋体" w:hAnsi="Book Antiqua" w:cs="宋体"/>
          <w:i/>
          <w:iCs/>
          <w:color w:val="000000"/>
        </w:rPr>
        <w:t>Blood</w:t>
      </w:r>
      <w:r w:rsidRPr="00E127AB">
        <w:rPr>
          <w:rFonts w:ascii="Book Antiqua" w:eastAsia="宋体" w:hAnsi="Book Antiqua" w:cs="宋体"/>
          <w:color w:val="000000"/>
        </w:rPr>
        <w:t> 2007; </w:t>
      </w:r>
      <w:r w:rsidRPr="00E127AB">
        <w:rPr>
          <w:rFonts w:ascii="Book Antiqua" w:eastAsia="宋体" w:hAnsi="Book Antiqua" w:cs="宋体"/>
          <w:b/>
          <w:bCs/>
          <w:color w:val="000000"/>
        </w:rPr>
        <w:t>109</w:t>
      </w:r>
      <w:r w:rsidRPr="00E127AB">
        <w:rPr>
          <w:rFonts w:ascii="Book Antiqua" w:eastAsia="宋体" w:hAnsi="Book Antiqua" w:cs="宋体"/>
          <w:color w:val="000000"/>
        </w:rPr>
        <w:t>: 1782-1789 [PMID: 17062727 DOI: 10.1182/blood-2006-06-031682]</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lastRenderedPageBreak/>
        <w:t>42 </w:t>
      </w:r>
      <w:proofErr w:type="spellStart"/>
      <w:r w:rsidRPr="00E127AB">
        <w:rPr>
          <w:rFonts w:ascii="Book Antiqua" w:eastAsia="宋体" w:hAnsi="Book Antiqua" w:cs="宋体"/>
          <w:b/>
          <w:bCs/>
          <w:color w:val="000000"/>
        </w:rPr>
        <w:t>Jabbour</w:t>
      </w:r>
      <w:proofErr w:type="spellEnd"/>
      <w:r w:rsidRPr="00E127AB">
        <w:rPr>
          <w:rFonts w:ascii="Book Antiqua" w:eastAsia="宋体" w:hAnsi="Book Antiqua" w:cs="宋体"/>
          <w:b/>
          <w:bCs/>
          <w:color w:val="000000"/>
        </w:rPr>
        <w:t xml:space="preserve"> E</w:t>
      </w:r>
      <w:r w:rsidRPr="00E127AB">
        <w:rPr>
          <w:rFonts w:ascii="Book Antiqua" w:eastAsia="宋体" w:hAnsi="Book Antiqua" w:cs="宋体"/>
          <w:color w:val="000000"/>
        </w:rPr>
        <w:t xml:space="preserve">, Cortes J, </w:t>
      </w:r>
      <w:proofErr w:type="spellStart"/>
      <w:r w:rsidRPr="00E127AB">
        <w:rPr>
          <w:rFonts w:ascii="Book Antiqua" w:eastAsia="宋体" w:hAnsi="Book Antiqua" w:cs="宋体"/>
          <w:color w:val="000000"/>
        </w:rPr>
        <w:t>Kantarjian</w:t>
      </w:r>
      <w:proofErr w:type="spellEnd"/>
      <w:r w:rsidRPr="00E127AB">
        <w:rPr>
          <w:rFonts w:ascii="Book Antiqua" w:eastAsia="宋体" w:hAnsi="Book Antiqua" w:cs="宋体"/>
          <w:color w:val="000000"/>
        </w:rPr>
        <w:t xml:space="preserve"> H, Giralt S, </w:t>
      </w:r>
      <w:proofErr w:type="spellStart"/>
      <w:r w:rsidRPr="00E127AB">
        <w:rPr>
          <w:rFonts w:ascii="Book Antiqua" w:eastAsia="宋体" w:hAnsi="Book Antiqua" w:cs="宋体"/>
          <w:color w:val="000000"/>
        </w:rPr>
        <w:t>Andersson</w:t>
      </w:r>
      <w:proofErr w:type="spellEnd"/>
      <w:r w:rsidRPr="00E127AB">
        <w:rPr>
          <w:rFonts w:ascii="Book Antiqua" w:eastAsia="宋体" w:hAnsi="Book Antiqua" w:cs="宋体"/>
          <w:color w:val="000000"/>
        </w:rPr>
        <w:t xml:space="preserve"> BS, Giles F, </w:t>
      </w:r>
      <w:proofErr w:type="spellStart"/>
      <w:r w:rsidRPr="00E127AB">
        <w:rPr>
          <w:rFonts w:ascii="Book Antiqua" w:eastAsia="宋体" w:hAnsi="Book Antiqua" w:cs="宋体"/>
          <w:color w:val="000000"/>
        </w:rPr>
        <w:t>Shpall</w:t>
      </w:r>
      <w:proofErr w:type="spellEnd"/>
      <w:r w:rsidRPr="00E127AB">
        <w:rPr>
          <w:rFonts w:ascii="Book Antiqua" w:eastAsia="宋体" w:hAnsi="Book Antiqua" w:cs="宋体"/>
          <w:color w:val="000000"/>
        </w:rPr>
        <w:t xml:space="preserve"> E, </w:t>
      </w:r>
      <w:proofErr w:type="spellStart"/>
      <w:r w:rsidRPr="00E127AB">
        <w:rPr>
          <w:rFonts w:ascii="Book Antiqua" w:eastAsia="宋体" w:hAnsi="Book Antiqua" w:cs="宋体"/>
          <w:color w:val="000000"/>
        </w:rPr>
        <w:t>Kebriaei</w:t>
      </w:r>
      <w:proofErr w:type="spellEnd"/>
      <w:r w:rsidRPr="00E127AB">
        <w:rPr>
          <w:rFonts w:ascii="Book Antiqua" w:eastAsia="宋体" w:hAnsi="Book Antiqua" w:cs="宋体"/>
          <w:color w:val="000000"/>
        </w:rPr>
        <w:t xml:space="preserve"> P, </w:t>
      </w:r>
      <w:proofErr w:type="spellStart"/>
      <w:r w:rsidRPr="00E127AB">
        <w:rPr>
          <w:rFonts w:ascii="Book Antiqua" w:eastAsia="宋体" w:hAnsi="Book Antiqua" w:cs="宋体"/>
          <w:color w:val="000000"/>
        </w:rPr>
        <w:t>Champlin</w:t>
      </w:r>
      <w:proofErr w:type="spellEnd"/>
      <w:r w:rsidRPr="00E127AB">
        <w:rPr>
          <w:rFonts w:ascii="Book Antiqua" w:eastAsia="宋体" w:hAnsi="Book Antiqua" w:cs="宋体"/>
          <w:color w:val="000000"/>
        </w:rPr>
        <w:t xml:space="preserve"> R, de Lima M. Novel tyrosine kinase inhibitor therapy before allogeneic stem cell transplantation in patients with chronic myeloid leukemia: no evidence for increased transplant-related toxicity. </w:t>
      </w:r>
      <w:r w:rsidRPr="00E127AB">
        <w:rPr>
          <w:rFonts w:ascii="Book Antiqua" w:eastAsia="宋体" w:hAnsi="Book Antiqua" w:cs="宋体"/>
          <w:i/>
          <w:iCs/>
          <w:color w:val="000000"/>
        </w:rPr>
        <w:t>Cancer</w:t>
      </w:r>
      <w:r w:rsidRPr="00E127AB">
        <w:rPr>
          <w:rFonts w:ascii="Book Antiqua" w:eastAsia="宋体" w:hAnsi="Book Antiqua" w:cs="宋体"/>
          <w:color w:val="000000"/>
        </w:rPr>
        <w:t> 2007; </w:t>
      </w:r>
      <w:r w:rsidRPr="00E127AB">
        <w:rPr>
          <w:rFonts w:ascii="Book Antiqua" w:eastAsia="宋体" w:hAnsi="Book Antiqua" w:cs="宋体"/>
          <w:b/>
          <w:bCs/>
          <w:color w:val="000000"/>
        </w:rPr>
        <w:t>110</w:t>
      </w:r>
      <w:r w:rsidRPr="00E127AB">
        <w:rPr>
          <w:rFonts w:ascii="Book Antiqua" w:eastAsia="宋体" w:hAnsi="Book Antiqua" w:cs="宋体"/>
          <w:color w:val="000000"/>
        </w:rPr>
        <w:t>: 340-344 [PMID: 17559140 DOI: 10.1002/cncr.22778]</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43 </w:t>
      </w:r>
      <w:proofErr w:type="spellStart"/>
      <w:r w:rsidRPr="00E127AB">
        <w:rPr>
          <w:rFonts w:ascii="Book Antiqua" w:eastAsia="宋体" w:hAnsi="Book Antiqua" w:cs="宋体"/>
          <w:b/>
          <w:bCs/>
          <w:color w:val="000000"/>
        </w:rPr>
        <w:t>Shimoni</w:t>
      </w:r>
      <w:proofErr w:type="spellEnd"/>
      <w:r w:rsidRPr="00E127AB">
        <w:rPr>
          <w:rFonts w:ascii="Book Antiqua" w:eastAsia="宋体" w:hAnsi="Book Antiqua" w:cs="宋体"/>
          <w:b/>
          <w:bCs/>
          <w:color w:val="000000"/>
        </w:rPr>
        <w:t xml:space="preserve"> A</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Leiba</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Schleuning</w:t>
      </w:r>
      <w:proofErr w:type="spellEnd"/>
      <w:r w:rsidRPr="00E127AB">
        <w:rPr>
          <w:rFonts w:ascii="Book Antiqua" w:eastAsia="宋体" w:hAnsi="Book Antiqua" w:cs="宋体"/>
          <w:color w:val="000000"/>
        </w:rPr>
        <w:t xml:space="preserve"> M, Martineau G, Renaud M, </w:t>
      </w:r>
      <w:proofErr w:type="spellStart"/>
      <w:r w:rsidRPr="00E127AB">
        <w:rPr>
          <w:rFonts w:ascii="Book Antiqua" w:eastAsia="宋体" w:hAnsi="Book Antiqua" w:cs="宋体"/>
          <w:color w:val="000000"/>
        </w:rPr>
        <w:t>Koren-Michowitz</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Ribakovski</w:t>
      </w:r>
      <w:proofErr w:type="spellEnd"/>
      <w:r w:rsidRPr="00E127AB">
        <w:rPr>
          <w:rFonts w:ascii="Book Antiqua" w:eastAsia="宋体" w:hAnsi="Book Antiqua" w:cs="宋体"/>
          <w:color w:val="000000"/>
        </w:rPr>
        <w:t xml:space="preserve"> E, le </w:t>
      </w:r>
      <w:proofErr w:type="spellStart"/>
      <w:r w:rsidRPr="00E127AB">
        <w:rPr>
          <w:rFonts w:ascii="Book Antiqua" w:eastAsia="宋体" w:hAnsi="Book Antiqua" w:cs="宋体"/>
          <w:color w:val="000000"/>
        </w:rPr>
        <w:t>Coutre</w:t>
      </w:r>
      <w:proofErr w:type="spellEnd"/>
      <w:r w:rsidRPr="00E127AB">
        <w:rPr>
          <w:rFonts w:ascii="Book Antiqua" w:eastAsia="宋体" w:hAnsi="Book Antiqua" w:cs="宋体"/>
          <w:color w:val="000000"/>
        </w:rPr>
        <w:t xml:space="preserve"> P, Arnold R, </w:t>
      </w:r>
      <w:proofErr w:type="spellStart"/>
      <w:r w:rsidRPr="00E127AB">
        <w:rPr>
          <w:rFonts w:ascii="Book Antiqua" w:eastAsia="宋体" w:hAnsi="Book Antiqua" w:cs="宋体"/>
          <w:color w:val="000000"/>
        </w:rPr>
        <w:t>Guilhot</w:t>
      </w:r>
      <w:proofErr w:type="spellEnd"/>
      <w:r w:rsidRPr="00E127AB">
        <w:rPr>
          <w:rFonts w:ascii="Book Antiqua" w:eastAsia="宋体" w:hAnsi="Book Antiqua" w:cs="宋体"/>
          <w:color w:val="000000"/>
        </w:rPr>
        <w:t xml:space="preserve"> F, </w:t>
      </w:r>
      <w:proofErr w:type="spellStart"/>
      <w:r w:rsidRPr="00E127AB">
        <w:rPr>
          <w:rFonts w:ascii="Book Antiqua" w:eastAsia="宋体" w:hAnsi="Book Antiqua" w:cs="宋体"/>
          <w:color w:val="000000"/>
        </w:rPr>
        <w:t>Nagler</w:t>
      </w:r>
      <w:proofErr w:type="spellEnd"/>
      <w:r w:rsidRPr="00E127AB">
        <w:rPr>
          <w:rFonts w:ascii="Book Antiqua" w:eastAsia="宋体" w:hAnsi="Book Antiqua" w:cs="宋体"/>
          <w:color w:val="000000"/>
        </w:rPr>
        <w:t xml:space="preserve"> A. Prior treatment with the tyrosine kinase inhibitors </w:t>
      </w:r>
      <w:proofErr w:type="spellStart"/>
      <w:r w:rsidRPr="00E127AB">
        <w:rPr>
          <w:rFonts w:ascii="Book Antiqua" w:eastAsia="宋体" w:hAnsi="Book Antiqua" w:cs="宋体"/>
          <w:color w:val="000000"/>
        </w:rPr>
        <w:t>dasatinib</w:t>
      </w:r>
      <w:proofErr w:type="spellEnd"/>
      <w:r w:rsidRPr="00E127AB">
        <w:rPr>
          <w:rFonts w:ascii="Book Antiqua" w:eastAsia="宋体" w:hAnsi="Book Antiqua" w:cs="宋体"/>
          <w:color w:val="000000"/>
        </w:rPr>
        <w:t xml:space="preserve"> and </w:t>
      </w:r>
      <w:proofErr w:type="spellStart"/>
      <w:r w:rsidRPr="00E127AB">
        <w:rPr>
          <w:rFonts w:ascii="Book Antiqua" w:eastAsia="宋体" w:hAnsi="Book Antiqua" w:cs="宋体"/>
          <w:color w:val="000000"/>
        </w:rPr>
        <w:t>nilotinib</w:t>
      </w:r>
      <w:proofErr w:type="spellEnd"/>
      <w:r w:rsidRPr="00E127AB">
        <w:rPr>
          <w:rFonts w:ascii="Book Antiqua" w:eastAsia="宋体" w:hAnsi="Book Antiqua" w:cs="宋体"/>
          <w:color w:val="000000"/>
        </w:rPr>
        <w:t xml:space="preserve"> allows stem cell transplantation (SCT) in a less advanced disease phase and does not increase SCT Toxicity in patients with chronic myelogenous leukemia and </w:t>
      </w:r>
      <w:proofErr w:type="spellStart"/>
      <w:r w:rsidRPr="00E127AB">
        <w:rPr>
          <w:rFonts w:ascii="Book Antiqua" w:eastAsia="宋体" w:hAnsi="Book Antiqua" w:cs="宋体"/>
          <w:color w:val="000000"/>
        </w:rPr>
        <w:t>philadelphia</w:t>
      </w:r>
      <w:proofErr w:type="spellEnd"/>
      <w:r w:rsidRPr="00E127AB">
        <w:rPr>
          <w:rFonts w:ascii="Book Antiqua" w:eastAsia="宋体" w:hAnsi="Book Antiqua" w:cs="宋体"/>
          <w:color w:val="000000"/>
        </w:rPr>
        <w:t xml:space="preserve"> positive acute lymphoblastic leukemia. </w:t>
      </w:r>
      <w:r w:rsidRPr="00E127AB">
        <w:rPr>
          <w:rFonts w:ascii="Book Antiqua" w:eastAsia="宋体" w:hAnsi="Book Antiqua" w:cs="宋体"/>
          <w:i/>
          <w:iCs/>
          <w:color w:val="000000"/>
        </w:rPr>
        <w:t>Leukemia</w:t>
      </w:r>
      <w:r w:rsidRPr="00E127AB">
        <w:rPr>
          <w:rFonts w:ascii="Book Antiqua" w:eastAsia="宋体" w:hAnsi="Book Antiqua" w:cs="宋体"/>
          <w:color w:val="000000"/>
        </w:rPr>
        <w:t> 2009; </w:t>
      </w:r>
      <w:r w:rsidRPr="00E127AB">
        <w:rPr>
          <w:rFonts w:ascii="Book Antiqua" w:eastAsia="宋体" w:hAnsi="Book Antiqua" w:cs="宋体"/>
          <w:b/>
          <w:bCs/>
          <w:color w:val="000000"/>
        </w:rPr>
        <w:t>23</w:t>
      </w:r>
      <w:r w:rsidRPr="00E127AB">
        <w:rPr>
          <w:rFonts w:ascii="Book Antiqua" w:eastAsia="宋体" w:hAnsi="Book Antiqua" w:cs="宋体"/>
          <w:color w:val="000000"/>
        </w:rPr>
        <w:t>: 190-194 [PMID: 18596746 DOI: 10.1038/leu.2008.160]</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44 </w:t>
      </w:r>
      <w:r w:rsidRPr="00E127AB">
        <w:rPr>
          <w:rFonts w:ascii="Book Antiqua" w:eastAsia="宋体" w:hAnsi="Book Antiqua" w:cs="宋体"/>
          <w:b/>
          <w:bCs/>
          <w:color w:val="000000"/>
        </w:rPr>
        <w:t>Goldman JM</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Majhail</w:t>
      </w:r>
      <w:proofErr w:type="spellEnd"/>
      <w:r w:rsidRPr="00E127AB">
        <w:rPr>
          <w:rFonts w:ascii="Book Antiqua" w:eastAsia="宋体" w:hAnsi="Book Antiqua" w:cs="宋体"/>
          <w:color w:val="000000"/>
        </w:rPr>
        <w:t xml:space="preserve"> NS, Klein JP, Wang Z, </w:t>
      </w:r>
      <w:proofErr w:type="spellStart"/>
      <w:r w:rsidRPr="00E127AB">
        <w:rPr>
          <w:rFonts w:ascii="Book Antiqua" w:eastAsia="宋体" w:hAnsi="Book Antiqua" w:cs="宋体"/>
          <w:color w:val="000000"/>
        </w:rPr>
        <w:t>Sobocinski</w:t>
      </w:r>
      <w:proofErr w:type="spellEnd"/>
      <w:r w:rsidRPr="00E127AB">
        <w:rPr>
          <w:rFonts w:ascii="Book Antiqua" w:eastAsia="宋体" w:hAnsi="Book Antiqua" w:cs="宋体"/>
          <w:color w:val="000000"/>
        </w:rPr>
        <w:t xml:space="preserve"> KA, Arora M, Horowitz MM, Rizzo JD. </w:t>
      </w:r>
      <w:proofErr w:type="gramStart"/>
      <w:r w:rsidRPr="00E127AB">
        <w:rPr>
          <w:rFonts w:ascii="Book Antiqua" w:eastAsia="宋体" w:hAnsi="Book Antiqua" w:cs="宋体"/>
          <w:color w:val="000000"/>
        </w:rPr>
        <w:t xml:space="preserve">Relapse and late mortality in 5-year survivors of </w:t>
      </w:r>
      <w:proofErr w:type="spellStart"/>
      <w:r w:rsidRPr="00E127AB">
        <w:rPr>
          <w:rFonts w:ascii="Book Antiqua" w:eastAsia="宋体" w:hAnsi="Book Antiqua" w:cs="宋体"/>
          <w:color w:val="000000"/>
        </w:rPr>
        <w:t>myeloablative</w:t>
      </w:r>
      <w:proofErr w:type="spellEnd"/>
      <w:r w:rsidRPr="00E127AB">
        <w:rPr>
          <w:rFonts w:ascii="Book Antiqua" w:eastAsia="宋体" w:hAnsi="Book Antiqua" w:cs="宋体"/>
          <w:color w:val="000000"/>
        </w:rPr>
        <w:t xml:space="preserve"> allogeneic hematopoietic cell transplantation for chronic myeloid leukemia in first chronic phase.</w:t>
      </w:r>
      <w:proofErr w:type="gramEnd"/>
      <w:r w:rsidRPr="00E127AB">
        <w:rPr>
          <w:rFonts w:ascii="Book Antiqua" w:eastAsia="宋体" w:hAnsi="Book Antiqua" w:cs="宋体"/>
          <w:color w:val="000000"/>
        </w:rPr>
        <w:t> </w:t>
      </w:r>
      <w:r w:rsidRPr="00E127AB">
        <w:rPr>
          <w:rFonts w:ascii="Book Antiqua" w:eastAsia="宋体" w:hAnsi="Book Antiqua" w:cs="宋体"/>
          <w:i/>
          <w:iCs/>
          <w:color w:val="000000"/>
        </w:rPr>
        <w:t xml:space="preserve">J </w:t>
      </w:r>
      <w:proofErr w:type="spellStart"/>
      <w:r w:rsidRPr="00E127AB">
        <w:rPr>
          <w:rFonts w:ascii="Book Antiqua" w:eastAsia="宋体" w:hAnsi="Book Antiqua" w:cs="宋体"/>
          <w:i/>
          <w:iCs/>
          <w:color w:val="000000"/>
        </w:rPr>
        <w:t>Clin</w:t>
      </w:r>
      <w:proofErr w:type="spellEnd"/>
      <w:r w:rsidRPr="00E127AB">
        <w:rPr>
          <w:rFonts w:ascii="Book Antiqua" w:eastAsia="宋体" w:hAnsi="Book Antiqua" w:cs="宋体"/>
          <w:i/>
          <w:iCs/>
          <w:color w:val="000000"/>
        </w:rPr>
        <w:t xml:space="preserve"> </w:t>
      </w:r>
      <w:proofErr w:type="spellStart"/>
      <w:r w:rsidRPr="00E127AB">
        <w:rPr>
          <w:rFonts w:ascii="Book Antiqua" w:eastAsia="宋体" w:hAnsi="Book Antiqua" w:cs="宋体"/>
          <w:i/>
          <w:iCs/>
          <w:color w:val="000000"/>
        </w:rPr>
        <w:t>Oncol</w:t>
      </w:r>
      <w:proofErr w:type="spellEnd"/>
      <w:r w:rsidRPr="00E127AB">
        <w:rPr>
          <w:rFonts w:ascii="Book Antiqua" w:eastAsia="宋体" w:hAnsi="Book Antiqua" w:cs="宋体"/>
          <w:color w:val="000000"/>
        </w:rPr>
        <w:t> 2010; </w:t>
      </w:r>
      <w:r w:rsidRPr="00E127AB">
        <w:rPr>
          <w:rFonts w:ascii="Book Antiqua" w:eastAsia="宋体" w:hAnsi="Book Antiqua" w:cs="宋体"/>
          <w:b/>
          <w:bCs/>
          <w:color w:val="000000"/>
        </w:rPr>
        <w:t>28</w:t>
      </w:r>
      <w:r w:rsidRPr="00E127AB">
        <w:rPr>
          <w:rFonts w:ascii="Book Antiqua" w:eastAsia="宋体" w:hAnsi="Book Antiqua" w:cs="宋体"/>
          <w:color w:val="000000"/>
        </w:rPr>
        <w:t>: 1888-1895 [PMID: 20212247 DOI: 10.1200/JCO.2009.26.7757]</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45 </w:t>
      </w:r>
      <w:proofErr w:type="spellStart"/>
      <w:r w:rsidRPr="00E127AB">
        <w:rPr>
          <w:rFonts w:ascii="Book Antiqua" w:eastAsia="宋体" w:hAnsi="Book Antiqua" w:cs="宋体"/>
          <w:b/>
          <w:bCs/>
          <w:color w:val="000000"/>
        </w:rPr>
        <w:t>Gratwohl</w:t>
      </w:r>
      <w:proofErr w:type="spellEnd"/>
      <w:r w:rsidRPr="00E127AB">
        <w:rPr>
          <w:rFonts w:ascii="Book Antiqua" w:eastAsia="宋体" w:hAnsi="Book Antiqua" w:cs="宋体"/>
          <w:b/>
          <w:bCs/>
          <w:color w:val="000000"/>
        </w:rPr>
        <w:t xml:space="preserve"> A</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Pfirrmann</w:t>
      </w:r>
      <w:proofErr w:type="spellEnd"/>
      <w:r w:rsidRPr="00E127AB">
        <w:rPr>
          <w:rFonts w:ascii="Book Antiqua" w:eastAsia="宋体" w:hAnsi="Book Antiqua" w:cs="宋体"/>
          <w:color w:val="000000"/>
        </w:rPr>
        <w:t xml:space="preserve"> M, Zander A, </w:t>
      </w:r>
      <w:proofErr w:type="spellStart"/>
      <w:r w:rsidRPr="00E127AB">
        <w:rPr>
          <w:rFonts w:ascii="Book Antiqua" w:eastAsia="宋体" w:hAnsi="Book Antiqua" w:cs="宋体"/>
          <w:color w:val="000000"/>
        </w:rPr>
        <w:t>Kröger</w:t>
      </w:r>
      <w:proofErr w:type="spellEnd"/>
      <w:r w:rsidRPr="00E127AB">
        <w:rPr>
          <w:rFonts w:ascii="Book Antiqua" w:eastAsia="宋体" w:hAnsi="Book Antiqua" w:cs="宋体"/>
          <w:color w:val="000000"/>
        </w:rPr>
        <w:t xml:space="preserve"> N, </w:t>
      </w:r>
      <w:proofErr w:type="spellStart"/>
      <w:r w:rsidRPr="00E127AB">
        <w:rPr>
          <w:rFonts w:ascii="Book Antiqua" w:eastAsia="宋体" w:hAnsi="Book Antiqua" w:cs="宋体"/>
          <w:color w:val="000000"/>
        </w:rPr>
        <w:t>Beelen</w:t>
      </w:r>
      <w:proofErr w:type="spellEnd"/>
      <w:r w:rsidRPr="00E127AB">
        <w:rPr>
          <w:rFonts w:ascii="Book Antiqua" w:eastAsia="宋体" w:hAnsi="Book Antiqua" w:cs="宋体"/>
          <w:color w:val="000000"/>
        </w:rPr>
        <w:t xml:space="preserve"> D, Novotny J, </w:t>
      </w:r>
      <w:proofErr w:type="spellStart"/>
      <w:r w:rsidRPr="00E127AB">
        <w:rPr>
          <w:rFonts w:ascii="Book Antiqua" w:eastAsia="宋体" w:hAnsi="Book Antiqua" w:cs="宋体"/>
          <w:color w:val="000000"/>
        </w:rPr>
        <w:t>Nerl</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Scheid</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Spiekermann</w:t>
      </w:r>
      <w:proofErr w:type="spellEnd"/>
      <w:r w:rsidRPr="00E127AB">
        <w:rPr>
          <w:rFonts w:ascii="Book Antiqua" w:eastAsia="宋体" w:hAnsi="Book Antiqua" w:cs="宋体"/>
          <w:color w:val="000000"/>
        </w:rPr>
        <w:t xml:space="preserve"> K, Mayer J, Sayer HG, </w:t>
      </w:r>
      <w:proofErr w:type="spellStart"/>
      <w:r w:rsidRPr="00E127AB">
        <w:rPr>
          <w:rFonts w:ascii="Book Antiqua" w:eastAsia="宋体" w:hAnsi="Book Antiqua" w:cs="宋体"/>
          <w:color w:val="000000"/>
        </w:rPr>
        <w:t>Falge</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Bunjes</w:t>
      </w:r>
      <w:proofErr w:type="spellEnd"/>
      <w:r w:rsidRPr="00E127AB">
        <w:rPr>
          <w:rFonts w:ascii="Book Antiqua" w:eastAsia="宋体" w:hAnsi="Book Antiqua" w:cs="宋体"/>
          <w:color w:val="000000"/>
        </w:rPr>
        <w:t xml:space="preserve"> D, </w:t>
      </w:r>
      <w:proofErr w:type="spellStart"/>
      <w:r w:rsidRPr="00E127AB">
        <w:rPr>
          <w:rFonts w:ascii="Book Antiqua" w:eastAsia="宋体" w:hAnsi="Book Antiqua" w:cs="宋体"/>
          <w:color w:val="000000"/>
        </w:rPr>
        <w:t>Döhner</w:t>
      </w:r>
      <w:proofErr w:type="spellEnd"/>
      <w:r w:rsidRPr="00E127AB">
        <w:rPr>
          <w:rFonts w:ascii="Book Antiqua" w:eastAsia="宋体" w:hAnsi="Book Antiqua" w:cs="宋体"/>
          <w:color w:val="000000"/>
        </w:rPr>
        <w:t xml:space="preserve"> H, </w:t>
      </w:r>
      <w:proofErr w:type="spellStart"/>
      <w:r w:rsidRPr="00E127AB">
        <w:rPr>
          <w:rFonts w:ascii="Book Antiqua" w:eastAsia="宋体" w:hAnsi="Book Antiqua" w:cs="宋体"/>
          <w:color w:val="000000"/>
        </w:rPr>
        <w:t>Ganser</w:t>
      </w:r>
      <w:proofErr w:type="spellEnd"/>
      <w:r w:rsidRPr="00E127AB">
        <w:rPr>
          <w:rFonts w:ascii="Book Antiqua" w:eastAsia="宋体" w:hAnsi="Book Antiqua" w:cs="宋体"/>
          <w:color w:val="000000"/>
        </w:rPr>
        <w:t xml:space="preserve"> A, Schmidt-Wolf I, </w:t>
      </w:r>
      <w:proofErr w:type="spellStart"/>
      <w:r w:rsidRPr="00E127AB">
        <w:rPr>
          <w:rFonts w:ascii="Book Antiqua" w:eastAsia="宋体" w:hAnsi="Book Antiqua" w:cs="宋体"/>
          <w:color w:val="000000"/>
        </w:rPr>
        <w:t>Schwerdtfeger</w:t>
      </w:r>
      <w:proofErr w:type="spellEnd"/>
      <w:r w:rsidRPr="00E127AB">
        <w:rPr>
          <w:rFonts w:ascii="Book Antiqua" w:eastAsia="宋体" w:hAnsi="Book Antiqua" w:cs="宋体"/>
          <w:color w:val="000000"/>
        </w:rPr>
        <w:t xml:space="preserve"> R, </w:t>
      </w:r>
      <w:proofErr w:type="spellStart"/>
      <w:r w:rsidRPr="00E127AB">
        <w:rPr>
          <w:rFonts w:ascii="Book Antiqua" w:eastAsia="宋体" w:hAnsi="Book Antiqua" w:cs="宋体"/>
          <w:color w:val="000000"/>
        </w:rPr>
        <w:t>Baurmann</w:t>
      </w:r>
      <w:proofErr w:type="spellEnd"/>
      <w:r w:rsidRPr="00E127AB">
        <w:rPr>
          <w:rFonts w:ascii="Book Antiqua" w:eastAsia="宋体" w:hAnsi="Book Antiqua" w:cs="宋体"/>
          <w:color w:val="000000"/>
        </w:rPr>
        <w:t xml:space="preserve"> H, </w:t>
      </w:r>
      <w:proofErr w:type="spellStart"/>
      <w:r w:rsidRPr="00E127AB">
        <w:rPr>
          <w:rFonts w:ascii="Book Antiqua" w:eastAsia="宋体" w:hAnsi="Book Antiqua" w:cs="宋体"/>
          <w:color w:val="000000"/>
        </w:rPr>
        <w:t>Kuse</w:t>
      </w:r>
      <w:proofErr w:type="spellEnd"/>
      <w:r w:rsidRPr="00E127AB">
        <w:rPr>
          <w:rFonts w:ascii="Book Antiqua" w:eastAsia="宋体" w:hAnsi="Book Antiqua" w:cs="宋体"/>
          <w:color w:val="000000"/>
        </w:rPr>
        <w:t xml:space="preserve"> R, Schmitz N, </w:t>
      </w:r>
      <w:proofErr w:type="spellStart"/>
      <w:r w:rsidRPr="00E127AB">
        <w:rPr>
          <w:rFonts w:ascii="Book Antiqua" w:eastAsia="宋体" w:hAnsi="Book Antiqua" w:cs="宋体"/>
          <w:color w:val="000000"/>
        </w:rPr>
        <w:t>Wehmeier</w:t>
      </w:r>
      <w:proofErr w:type="spellEnd"/>
      <w:r w:rsidRPr="00E127AB">
        <w:rPr>
          <w:rFonts w:ascii="Book Antiqua" w:eastAsia="宋体" w:hAnsi="Book Antiqua" w:cs="宋体"/>
          <w:color w:val="000000"/>
        </w:rPr>
        <w:t xml:space="preserve"> A, Fischer JT, Ho AD, Wilhelm M, </w:t>
      </w:r>
      <w:proofErr w:type="spellStart"/>
      <w:r w:rsidRPr="00E127AB">
        <w:rPr>
          <w:rFonts w:ascii="Book Antiqua" w:eastAsia="宋体" w:hAnsi="Book Antiqua" w:cs="宋体"/>
          <w:color w:val="000000"/>
        </w:rPr>
        <w:t>Goebeler</w:t>
      </w:r>
      <w:proofErr w:type="spellEnd"/>
      <w:r w:rsidRPr="00E127AB">
        <w:rPr>
          <w:rFonts w:ascii="Book Antiqua" w:eastAsia="宋体" w:hAnsi="Book Antiqua" w:cs="宋体"/>
          <w:color w:val="000000"/>
        </w:rPr>
        <w:t xml:space="preserve"> ME, </w:t>
      </w:r>
      <w:proofErr w:type="spellStart"/>
      <w:r w:rsidRPr="00E127AB">
        <w:rPr>
          <w:rFonts w:ascii="Book Antiqua" w:eastAsia="宋体" w:hAnsi="Book Antiqua" w:cs="宋体"/>
          <w:color w:val="000000"/>
        </w:rPr>
        <w:t>Lindemann</w:t>
      </w:r>
      <w:proofErr w:type="spellEnd"/>
      <w:r w:rsidRPr="00E127AB">
        <w:rPr>
          <w:rFonts w:ascii="Book Antiqua" w:eastAsia="宋体" w:hAnsi="Book Antiqua" w:cs="宋体"/>
          <w:color w:val="000000"/>
        </w:rPr>
        <w:t xml:space="preserve"> HW, Bormann M, </w:t>
      </w:r>
      <w:proofErr w:type="spellStart"/>
      <w:r w:rsidRPr="00E127AB">
        <w:rPr>
          <w:rFonts w:ascii="Book Antiqua" w:eastAsia="宋体" w:hAnsi="Book Antiqua" w:cs="宋体"/>
          <w:color w:val="000000"/>
        </w:rPr>
        <w:t>Hertenstein</w:t>
      </w:r>
      <w:proofErr w:type="spellEnd"/>
      <w:r w:rsidRPr="00E127AB">
        <w:rPr>
          <w:rFonts w:ascii="Book Antiqua" w:eastAsia="宋体" w:hAnsi="Book Antiqua" w:cs="宋体"/>
          <w:color w:val="000000"/>
        </w:rPr>
        <w:t xml:space="preserve"> B, </w:t>
      </w:r>
      <w:proofErr w:type="spellStart"/>
      <w:r w:rsidRPr="00E127AB">
        <w:rPr>
          <w:rFonts w:ascii="Book Antiqua" w:eastAsia="宋体" w:hAnsi="Book Antiqua" w:cs="宋体"/>
          <w:color w:val="000000"/>
        </w:rPr>
        <w:t>Schlimok</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Baerlocher</w:t>
      </w:r>
      <w:proofErr w:type="spellEnd"/>
      <w:r w:rsidRPr="00E127AB">
        <w:rPr>
          <w:rFonts w:ascii="Book Antiqua" w:eastAsia="宋体" w:hAnsi="Book Antiqua" w:cs="宋体"/>
          <w:color w:val="000000"/>
        </w:rPr>
        <w:t xml:space="preserve"> GM, </w:t>
      </w:r>
      <w:proofErr w:type="spellStart"/>
      <w:r w:rsidRPr="00E127AB">
        <w:rPr>
          <w:rFonts w:ascii="Book Antiqua" w:eastAsia="宋体" w:hAnsi="Book Antiqua" w:cs="宋体"/>
          <w:color w:val="000000"/>
        </w:rPr>
        <w:t>Aul</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Pfreundschuh</w:t>
      </w:r>
      <w:proofErr w:type="spellEnd"/>
      <w:r w:rsidRPr="00E127AB">
        <w:rPr>
          <w:rFonts w:ascii="Book Antiqua" w:eastAsia="宋体" w:hAnsi="Book Antiqua" w:cs="宋体"/>
          <w:color w:val="000000"/>
        </w:rPr>
        <w:t xml:space="preserve"> M, Fabian M, </w:t>
      </w:r>
      <w:proofErr w:type="spellStart"/>
      <w:r w:rsidRPr="00E127AB">
        <w:rPr>
          <w:rFonts w:ascii="Book Antiqua" w:eastAsia="宋体" w:hAnsi="Book Antiqua" w:cs="宋体"/>
          <w:color w:val="000000"/>
        </w:rPr>
        <w:t>Staib</w:t>
      </w:r>
      <w:proofErr w:type="spellEnd"/>
      <w:r w:rsidRPr="00E127AB">
        <w:rPr>
          <w:rFonts w:ascii="Book Antiqua" w:eastAsia="宋体" w:hAnsi="Book Antiqua" w:cs="宋体"/>
          <w:color w:val="000000"/>
        </w:rPr>
        <w:t xml:space="preserve"> P, </w:t>
      </w:r>
      <w:proofErr w:type="spellStart"/>
      <w:r w:rsidRPr="00E127AB">
        <w:rPr>
          <w:rFonts w:ascii="Book Antiqua" w:eastAsia="宋体" w:hAnsi="Book Antiqua" w:cs="宋体"/>
          <w:color w:val="000000"/>
        </w:rPr>
        <w:t>Edinger</w:t>
      </w:r>
      <w:proofErr w:type="spellEnd"/>
      <w:r w:rsidRPr="00E127AB">
        <w:rPr>
          <w:rFonts w:ascii="Book Antiqua" w:eastAsia="宋体" w:hAnsi="Book Antiqua" w:cs="宋体"/>
          <w:color w:val="000000"/>
        </w:rPr>
        <w:t xml:space="preserve"> M, Schatz M, </w:t>
      </w:r>
      <w:proofErr w:type="spellStart"/>
      <w:r w:rsidRPr="00E127AB">
        <w:rPr>
          <w:rFonts w:ascii="Book Antiqua" w:eastAsia="宋体" w:hAnsi="Book Antiqua" w:cs="宋体"/>
          <w:color w:val="000000"/>
        </w:rPr>
        <w:t>Fauser</w:t>
      </w:r>
      <w:proofErr w:type="spellEnd"/>
      <w:r w:rsidRPr="00E127AB">
        <w:rPr>
          <w:rFonts w:ascii="Book Antiqua" w:eastAsia="宋体" w:hAnsi="Book Antiqua" w:cs="宋体"/>
          <w:color w:val="000000"/>
        </w:rPr>
        <w:t xml:space="preserve"> A, Arnold R, Kindler T, </w:t>
      </w:r>
      <w:proofErr w:type="spellStart"/>
      <w:r w:rsidRPr="00E127AB">
        <w:rPr>
          <w:rFonts w:ascii="Book Antiqua" w:eastAsia="宋体" w:hAnsi="Book Antiqua" w:cs="宋体"/>
          <w:color w:val="000000"/>
        </w:rPr>
        <w:t>Wulf</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Rosselet</w:t>
      </w:r>
      <w:proofErr w:type="spellEnd"/>
      <w:r w:rsidRPr="00E127AB">
        <w:rPr>
          <w:rFonts w:ascii="Book Antiqua" w:eastAsia="宋体" w:hAnsi="Book Antiqua" w:cs="宋体"/>
          <w:color w:val="000000"/>
        </w:rPr>
        <w:t xml:space="preserve"> A, Hellmann A, </w:t>
      </w:r>
      <w:proofErr w:type="spellStart"/>
      <w:r w:rsidRPr="00E127AB">
        <w:rPr>
          <w:rFonts w:ascii="Book Antiqua" w:eastAsia="宋体" w:hAnsi="Book Antiqua" w:cs="宋体"/>
          <w:color w:val="000000"/>
        </w:rPr>
        <w:t>Schäfer</w:t>
      </w:r>
      <w:proofErr w:type="spellEnd"/>
      <w:r w:rsidRPr="00E127AB">
        <w:rPr>
          <w:rFonts w:ascii="Book Antiqua" w:eastAsia="宋体" w:hAnsi="Book Antiqua" w:cs="宋体"/>
          <w:color w:val="000000"/>
        </w:rPr>
        <w:t xml:space="preserve"> E, </w:t>
      </w:r>
      <w:proofErr w:type="spellStart"/>
      <w:r w:rsidRPr="00E127AB">
        <w:rPr>
          <w:rFonts w:ascii="Book Antiqua" w:eastAsia="宋体" w:hAnsi="Book Antiqua" w:cs="宋体"/>
          <w:color w:val="000000"/>
        </w:rPr>
        <w:t>Prümmer</w:t>
      </w:r>
      <w:proofErr w:type="spellEnd"/>
      <w:r w:rsidRPr="00E127AB">
        <w:rPr>
          <w:rFonts w:ascii="Book Antiqua" w:eastAsia="宋体" w:hAnsi="Book Antiqua" w:cs="宋体"/>
          <w:color w:val="000000"/>
        </w:rPr>
        <w:t xml:space="preserve"> O, Schenk M, </w:t>
      </w:r>
      <w:proofErr w:type="spellStart"/>
      <w:r w:rsidRPr="00E127AB">
        <w:rPr>
          <w:rFonts w:ascii="Book Antiqua" w:eastAsia="宋体" w:hAnsi="Book Antiqua" w:cs="宋体"/>
          <w:color w:val="000000"/>
        </w:rPr>
        <w:t>Hasford</w:t>
      </w:r>
      <w:proofErr w:type="spellEnd"/>
      <w:r w:rsidRPr="00E127AB">
        <w:rPr>
          <w:rFonts w:ascii="Book Antiqua" w:eastAsia="宋体" w:hAnsi="Book Antiqua" w:cs="宋体"/>
          <w:color w:val="000000"/>
        </w:rPr>
        <w:t xml:space="preserve"> J, </w:t>
      </w:r>
      <w:proofErr w:type="spellStart"/>
      <w:r w:rsidRPr="00E127AB">
        <w:rPr>
          <w:rFonts w:ascii="Book Antiqua" w:eastAsia="宋体" w:hAnsi="Book Antiqua" w:cs="宋体"/>
          <w:color w:val="000000"/>
        </w:rPr>
        <w:t>Heimpel</w:t>
      </w:r>
      <w:proofErr w:type="spellEnd"/>
      <w:r w:rsidRPr="00E127AB">
        <w:rPr>
          <w:rFonts w:ascii="Book Antiqua" w:eastAsia="宋体" w:hAnsi="Book Antiqua" w:cs="宋体"/>
          <w:color w:val="000000"/>
        </w:rPr>
        <w:t xml:space="preserve"> H, </w:t>
      </w:r>
      <w:proofErr w:type="spellStart"/>
      <w:r w:rsidRPr="00E127AB">
        <w:rPr>
          <w:rFonts w:ascii="Book Antiqua" w:eastAsia="宋体" w:hAnsi="Book Antiqua" w:cs="宋体"/>
          <w:color w:val="000000"/>
        </w:rPr>
        <w:t>Hossfeld</w:t>
      </w:r>
      <w:proofErr w:type="spellEnd"/>
      <w:r w:rsidRPr="00E127AB">
        <w:rPr>
          <w:rFonts w:ascii="Book Antiqua" w:eastAsia="宋体" w:hAnsi="Book Antiqua" w:cs="宋体"/>
          <w:color w:val="000000"/>
        </w:rPr>
        <w:t xml:space="preserve"> DK, Kolb HJ, </w:t>
      </w:r>
      <w:proofErr w:type="spellStart"/>
      <w:r w:rsidRPr="00E127AB">
        <w:rPr>
          <w:rFonts w:ascii="Book Antiqua" w:eastAsia="宋体" w:hAnsi="Book Antiqua" w:cs="宋体"/>
          <w:color w:val="000000"/>
        </w:rPr>
        <w:t>Büsche</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Haferlach</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Schnittger</w:t>
      </w:r>
      <w:proofErr w:type="spellEnd"/>
      <w:r w:rsidRPr="00E127AB">
        <w:rPr>
          <w:rFonts w:ascii="Book Antiqua" w:eastAsia="宋体" w:hAnsi="Book Antiqua" w:cs="宋体"/>
          <w:color w:val="000000"/>
        </w:rPr>
        <w:t xml:space="preserve"> S, Müller MC, Reiter A, Berger U, </w:t>
      </w:r>
      <w:proofErr w:type="spellStart"/>
      <w:r w:rsidRPr="00E127AB">
        <w:rPr>
          <w:rFonts w:ascii="Book Antiqua" w:eastAsia="宋体" w:hAnsi="Book Antiqua" w:cs="宋体"/>
          <w:color w:val="000000"/>
        </w:rPr>
        <w:t>Saußele</w:t>
      </w:r>
      <w:proofErr w:type="spellEnd"/>
      <w:r w:rsidRPr="00E127AB">
        <w:rPr>
          <w:rFonts w:ascii="Book Antiqua" w:eastAsia="宋体" w:hAnsi="Book Antiqua" w:cs="宋体"/>
          <w:color w:val="000000"/>
        </w:rPr>
        <w:t xml:space="preserve"> S, </w:t>
      </w:r>
      <w:proofErr w:type="spellStart"/>
      <w:r w:rsidRPr="00E127AB">
        <w:rPr>
          <w:rFonts w:ascii="Book Antiqua" w:eastAsia="宋体" w:hAnsi="Book Antiqua" w:cs="宋体"/>
          <w:color w:val="000000"/>
        </w:rPr>
        <w:t>Hochhaus</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Hehlmann</w:t>
      </w:r>
      <w:proofErr w:type="spellEnd"/>
      <w:r w:rsidRPr="00E127AB">
        <w:rPr>
          <w:rFonts w:ascii="Book Antiqua" w:eastAsia="宋体" w:hAnsi="Book Antiqua" w:cs="宋体"/>
          <w:color w:val="000000"/>
        </w:rPr>
        <w:t xml:space="preserve"> R. Long-term outcome of patients with newly diagnosed chronic myeloid leukemia: a randomized comparison of stem cell transplantation with drug treatment. </w:t>
      </w:r>
      <w:r w:rsidRPr="00E127AB">
        <w:rPr>
          <w:rFonts w:ascii="Book Antiqua" w:eastAsia="宋体" w:hAnsi="Book Antiqua" w:cs="宋体"/>
          <w:i/>
          <w:iCs/>
          <w:color w:val="000000"/>
        </w:rPr>
        <w:t>Leukemia</w:t>
      </w:r>
      <w:r w:rsidRPr="00E127AB">
        <w:rPr>
          <w:rFonts w:ascii="Book Antiqua" w:eastAsia="宋体" w:hAnsi="Book Antiqua" w:cs="宋体"/>
          <w:color w:val="000000"/>
        </w:rPr>
        <w:t> 2016; </w:t>
      </w:r>
      <w:r w:rsidRPr="00E127AB">
        <w:rPr>
          <w:rFonts w:ascii="Book Antiqua" w:eastAsia="宋体" w:hAnsi="Book Antiqua" w:cs="宋体"/>
          <w:b/>
          <w:bCs/>
          <w:color w:val="000000"/>
        </w:rPr>
        <w:t>30</w:t>
      </w:r>
      <w:r w:rsidRPr="00E127AB">
        <w:rPr>
          <w:rFonts w:ascii="Book Antiqua" w:eastAsia="宋体" w:hAnsi="Book Antiqua" w:cs="宋体"/>
          <w:color w:val="000000"/>
        </w:rPr>
        <w:t>: 562-569 [PMID: 26464170 DOI: 10.1038/leu.2015.281]</w:t>
      </w:r>
    </w:p>
    <w:p w:rsidR="002B2701" w:rsidRPr="00E127AB" w:rsidRDefault="002B2701" w:rsidP="005E6CDB">
      <w:pPr>
        <w:spacing w:line="360" w:lineRule="auto"/>
        <w:jc w:val="both"/>
        <w:rPr>
          <w:rFonts w:ascii="Book Antiqua" w:eastAsia="宋体" w:hAnsi="Book Antiqua" w:cs="宋体"/>
          <w:color w:val="000000"/>
        </w:rPr>
      </w:pPr>
      <w:proofErr w:type="gramStart"/>
      <w:r w:rsidRPr="00E127AB">
        <w:rPr>
          <w:rFonts w:ascii="Book Antiqua" w:eastAsia="宋体" w:hAnsi="Book Antiqua" w:cs="宋体"/>
          <w:color w:val="000000"/>
        </w:rPr>
        <w:t>46 </w:t>
      </w:r>
      <w:proofErr w:type="spellStart"/>
      <w:r w:rsidRPr="00E127AB">
        <w:rPr>
          <w:rFonts w:ascii="Book Antiqua" w:eastAsia="宋体" w:hAnsi="Book Antiqua" w:cs="宋体"/>
          <w:b/>
          <w:bCs/>
          <w:color w:val="000000"/>
        </w:rPr>
        <w:t>Sloand</w:t>
      </w:r>
      <w:proofErr w:type="spellEnd"/>
      <w:r w:rsidRPr="00E127AB">
        <w:rPr>
          <w:rFonts w:ascii="Book Antiqua" w:eastAsia="宋体" w:hAnsi="Book Antiqua" w:cs="宋体"/>
          <w:b/>
          <w:bCs/>
          <w:color w:val="000000"/>
        </w:rPr>
        <w:t xml:space="preserve"> E</w:t>
      </w:r>
      <w:r w:rsidRPr="00E127AB">
        <w:rPr>
          <w:rFonts w:ascii="Book Antiqua" w:eastAsia="宋体" w:hAnsi="Book Antiqua" w:cs="宋体"/>
          <w:color w:val="000000"/>
        </w:rPr>
        <w:t>, Childs RW, Solomon S, Greene A, Young NS, Barrett AJ.</w:t>
      </w:r>
      <w:proofErr w:type="gramEnd"/>
      <w:r w:rsidRPr="00E127AB">
        <w:rPr>
          <w:rFonts w:ascii="Book Antiqua" w:eastAsia="宋体" w:hAnsi="Book Antiqua" w:cs="宋体"/>
          <w:color w:val="000000"/>
        </w:rPr>
        <w:t xml:space="preserve"> The graft-versus-leukemia effect of </w:t>
      </w:r>
      <w:proofErr w:type="spellStart"/>
      <w:r w:rsidRPr="00E127AB">
        <w:rPr>
          <w:rFonts w:ascii="Book Antiqua" w:eastAsia="宋体" w:hAnsi="Book Antiqua" w:cs="宋体"/>
          <w:color w:val="000000"/>
        </w:rPr>
        <w:t>nonmyeloablative</w:t>
      </w:r>
      <w:proofErr w:type="spellEnd"/>
      <w:r w:rsidRPr="00E127AB">
        <w:rPr>
          <w:rFonts w:ascii="Book Antiqua" w:eastAsia="宋体" w:hAnsi="Book Antiqua" w:cs="宋体"/>
          <w:color w:val="000000"/>
        </w:rPr>
        <w:t xml:space="preserve"> stem cell allografts may not be sufficient </w:t>
      </w:r>
      <w:r w:rsidRPr="00E127AB">
        <w:rPr>
          <w:rFonts w:ascii="Book Antiqua" w:eastAsia="宋体" w:hAnsi="Book Antiqua" w:cs="宋体"/>
          <w:color w:val="000000"/>
        </w:rPr>
        <w:lastRenderedPageBreak/>
        <w:t>to cure chronic myelogenous leukemia. </w:t>
      </w:r>
      <w:r w:rsidRPr="00E127AB">
        <w:rPr>
          <w:rFonts w:ascii="Book Antiqua" w:eastAsia="宋体" w:hAnsi="Book Antiqua" w:cs="宋体"/>
          <w:i/>
          <w:iCs/>
          <w:color w:val="000000"/>
        </w:rPr>
        <w:t>Bone Marrow Transplant</w:t>
      </w:r>
      <w:r w:rsidRPr="00E127AB">
        <w:rPr>
          <w:rFonts w:ascii="Book Antiqua" w:eastAsia="宋体" w:hAnsi="Book Antiqua" w:cs="宋体"/>
          <w:color w:val="000000"/>
        </w:rPr>
        <w:t> 2003; </w:t>
      </w:r>
      <w:r w:rsidRPr="00E127AB">
        <w:rPr>
          <w:rFonts w:ascii="Book Antiqua" w:eastAsia="宋体" w:hAnsi="Book Antiqua" w:cs="宋体"/>
          <w:b/>
          <w:bCs/>
          <w:color w:val="000000"/>
        </w:rPr>
        <w:t>32</w:t>
      </w:r>
      <w:r w:rsidRPr="00E127AB">
        <w:rPr>
          <w:rFonts w:ascii="Book Antiqua" w:eastAsia="宋体" w:hAnsi="Book Antiqua" w:cs="宋体"/>
          <w:color w:val="000000"/>
        </w:rPr>
        <w:t>: 897-901 [PMID: 14561990 DOI: 10.1038/sj.bmt.1704231]</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47 </w:t>
      </w:r>
      <w:r w:rsidRPr="00E127AB">
        <w:rPr>
          <w:rFonts w:ascii="Book Antiqua" w:eastAsia="宋体" w:hAnsi="Book Antiqua" w:cs="宋体"/>
          <w:b/>
          <w:bCs/>
          <w:color w:val="000000"/>
        </w:rPr>
        <w:t>Or R</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Shapira</w:t>
      </w:r>
      <w:proofErr w:type="spellEnd"/>
      <w:r w:rsidRPr="00E127AB">
        <w:rPr>
          <w:rFonts w:ascii="Book Antiqua" w:eastAsia="宋体" w:hAnsi="Book Antiqua" w:cs="宋体"/>
          <w:color w:val="000000"/>
        </w:rPr>
        <w:t xml:space="preserve"> MY, Resnick I, Amar A, </w:t>
      </w:r>
      <w:proofErr w:type="spellStart"/>
      <w:r w:rsidRPr="00E127AB">
        <w:rPr>
          <w:rFonts w:ascii="Book Antiqua" w:eastAsia="宋体" w:hAnsi="Book Antiqua" w:cs="宋体"/>
          <w:color w:val="000000"/>
        </w:rPr>
        <w:t>Ackerstein</w:t>
      </w:r>
      <w:proofErr w:type="spellEnd"/>
      <w:r w:rsidRPr="00E127AB">
        <w:rPr>
          <w:rFonts w:ascii="Book Antiqua" w:eastAsia="宋体" w:hAnsi="Book Antiqua" w:cs="宋体"/>
          <w:color w:val="000000"/>
        </w:rPr>
        <w:t xml:space="preserve"> A, Samuel S, Aker M, </w:t>
      </w:r>
      <w:proofErr w:type="spellStart"/>
      <w:r w:rsidRPr="00E127AB">
        <w:rPr>
          <w:rFonts w:ascii="Book Antiqua" w:eastAsia="宋体" w:hAnsi="Book Antiqua" w:cs="宋体"/>
          <w:color w:val="000000"/>
        </w:rPr>
        <w:t>Naparstek</w:t>
      </w:r>
      <w:proofErr w:type="spellEnd"/>
      <w:r w:rsidRPr="00E127AB">
        <w:rPr>
          <w:rFonts w:ascii="Book Antiqua" w:eastAsia="宋体" w:hAnsi="Book Antiqua" w:cs="宋体"/>
          <w:color w:val="000000"/>
        </w:rPr>
        <w:t xml:space="preserve"> E, </w:t>
      </w:r>
      <w:proofErr w:type="spellStart"/>
      <w:r w:rsidRPr="00E127AB">
        <w:rPr>
          <w:rFonts w:ascii="Book Antiqua" w:eastAsia="宋体" w:hAnsi="Book Antiqua" w:cs="宋体"/>
          <w:color w:val="000000"/>
        </w:rPr>
        <w:t>Nagler</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Slavin</w:t>
      </w:r>
      <w:proofErr w:type="spellEnd"/>
      <w:r w:rsidRPr="00E127AB">
        <w:rPr>
          <w:rFonts w:ascii="Book Antiqua" w:eastAsia="宋体" w:hAnsi="Book Antiqua" w:cs="宋体"/>
          <w:color w:val="000000"/>
        </w:rPr>
        <w:t xml:space="preserve"> S. </w:t>
      </w:r>
      <w:proofErr w:type="spellStart"/>
      <w:r w:rsidRPr="00E127AB">
        <w:rPr>
          <w:rFonts w:ascii="Book Antiqua" w:eastAsia="宋体" w:hAnsi="Book Antiqua" w:cs="宋体"/>
          <w:color w:val="000000"/>
        </w:rPr>
        <w:t>Nonmyeloablative</w:t>
      </w:r>
      <w:proofErr w:type="spellEnd"/>
      <w:r w:rsidRPr="00E127AB">
        <w:rPr>
          <w:rFonts w:ascii="Book Antiqua" w:eastAsia="宋体" w:hAnsi="Book Antiqua" w:cs="宋体"/>
          <w:color w:val="000000"/>
        </w:rPr>
        <w:t xml:space="preserve"> allogeneic stem cell transplantation for the treatment of chronic myeloid leukemia in first chronic phase. </w:t>
      </w:r>
      <w:r w:rsidRPr="00E127AB">
        <w:rPr>
          <w:rFonts w:ascii="Book Antiqua" w:eastAsia="宋体" w:hAnsi="Book Antiqua" w:cs="宋体"/>
          <w:i/>
          <w:iCs/>
          <w:color w:val="000000"/>
        </w:rPr>
        <w:t>Blood</w:t>
      </w:r>
      <w:r w:rsidRPr="00E127AB">
        <w:rPr>
          <w:rFonts w:ascii="Book Antiqua" w:eastAsia="宋体" w:hAnsi="Book Antiqua" w:cs="宋体"/>
          <w:color w:val="000000"/>
        </w:rPr>
        <w:t> 2003; </w:t>
      </w:r>
      <w:r w:rsidRPr="00E127AB">
        <w:rPr>
          <w:rFonts w:ascii="Book Antiqua" w:eastAsia="宋体" w:hAnsi="Book Antiqua" w:cs="宋体"/>
          <w:b/>
          <w:bCs/>
          <w:color w:val="000000"/>
        </w:rPr>
        <w:t>101</w:t>
      </w:r>
      <w:r w:rsidRPr="00E127AB">
        <w:rPr>
          <w:rFonts w:ascii="Book Antiqua" w:eastAsia="宋体" w:hAnsi="Book Antiqua" w:cs="宋体"/>
          <w:color w:val="000000"/>
        </w:rPr>
        <w:t>: 441-445 [PMID: 12393604 DOI: 10.1182/blood-2002-02-0535]</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48 </w:t>
      </w:r>
      <w:r w:rsidRPr="00E127AB">
        <w:rPr>
          <w:rFonts w:ascii="Book Antiqua" w:eastAsia="宋体" w:hAnsi="Book Antiqua" w:cs="宋体"/>
          <w:b/>
          <w:bCs/>
          <w:color w:val="000000"/>
        </w:rPr>
        <w:t>Das M</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Saikia</w:t>
      </w:r>
      <w:proofErr w:type="spellEnd"/>
      <w:r w:rsidRPr="00E127AB">
        <w:rPr>
          <w:rFonts w:ascii="Book Antiqua" w:eastAsia="宋体" w:hAnsi="Book Antiqua" w:cs="宋体"/>
          <w:color w:val="000000"/>
        </w:rPr>
        <w:t xml:space="preserve"> TK, </w:t>
      </w:r>
      <w:proofErr w:type="spellStart"/>
      <w:r w:rsidRPr="00E127AB">
        <w:rPr>
          <w:rFonts w:ascii="Book Antiqua" w:eastAsia="宋体" w:hAnsi="Book Antiqua" w:cs="宋体"/>
          <w:color w:val="000000"/>
        </w:rPr>
        <w:t>Advani</w:t>
      </w:r>
      <w:proofErr w:type="spellEnd"/>
      <w:r w:rsidRPr="00E127AB">
        <w:rPr>
          <w:rFonts w:ascii="Book Antiqua" w:eastAsia="宋体" w:hAnsi="Book Antiqua" w:cs="宋体"/>
          <w:color w:val="000000"/>
        </w:rPr>
        <w:t xml:space="preserve"> SH, Parikh PM, </w:t>
      </w:r>
      <w:proofErr w:type="spellStart"/>
      <w:r w:rsidRPr="00E127AB">
        <w:rPr>
          <w:rFonts w:ascii="Book Antiqua" w:eastAsia="宋体" w:hAnsi="Book Antiqua" w:cs="宋体"/>
          <w:color w:val="000000"/>
        </w:rPr>
        <w:t>Tawde</w:t>
      </w:r>
      <w:proofErr w:type="spellEnd"/>
      <w:r w:rsidRPr="00E127AB">
        <w:rPr>
          <w:rFonts w:ascii="Book Antiqua" w:eastAsia="宋体" w:hAnsi="Book Antiqua" w:cs="宋体"/>
          <w:color w:val="000000"/>
        </w:rPr>
        <w:t xml:space="preserve"> S. Use of a reduced-intensity conditioning regimen for allogeneic transplantation in patients with chronic myeloid leukemia. </w:t>
      </w:r>
      <w:r w:rsidRPr="00E127AB">
        <w:rPr>
          <w:rFonts w:ascii="Book Antiqua" w:eastAsia="宋体" w:hAnsi="Book Antiqua" w:cs="宋体"/>
          <w:i/>
          <w:iCs/>
          <w:color w:val="000000"/>
        </w:rPr>
        <w:t>Bone Marrow Transplant</w:t>
      </w:r>
      <w:r w:rsidRPr="00E127AB">
        <w:rPr>
          <w:rFonts w:ascii="Book Antiqua" w:eastAsia="宋体" w:hAnsi="Book Antiqua" w:cs="宋体"/>
          <w:color w:val="000000"/>
        </w:rPr>
        <w:t> 2003; </w:t>
      </w:r>
      <w:r w:rsidRPr="00E127AB">
        <w:rPr>
          <w:rFonts w:ascii="Book Antiqua" w:eastAsia="宋体" w:hAnsi="Book Antiqua" w:cs="宋体"/>
          <w:b/>
          <w:bCs/>
          <w:color w:val="000000"/>
        </w:rPr>
        <w:t>32</w:t>
      </w:r>
      <w:r w:rsidRPr="00E127AB">
        <w:rPr>
          <w:rFonts w:ascii="Book Antiqua" w:eastAsia="宋体" w:hAnsi="Book Antiqua" w:cs="宋体"/>
          <w:color w:val="000000"/>
        </w:rPr>
        <w:t>: 125-129 [PMID: 12838275 DOI: 10.1038/sj.bmt.1704107]</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49 </w:t>
      </w:r>
      <w:proofErr w:type="spellStart"/>
      <w:r w:rsidRPr="00E127AB">
        <w:rPr>
          <w:rFonts w:ascii="Book Antiqua" w:eastAsia="宋体" w:hAnsi="Book Antiqua" w:cs="宋体"/>
          <w:b/>
          <w:bCs/>
          <w:color w:val="000000"/>
        </w:rPr>
        <w:t>Kebriaei</w:t>
      </w:r>
      <w:proofErr w:type="spellEnd"/>
      <w:r w:rsidRPr="00E127AB">
        <w:rPr>
          <w:rFonts w:ascii="Book Antiqua" w:eastAsia="宋体" w:hAnsi="Book Antiqua" w:cs="宋体"/>
          <w:b/>
          <w:bCs/>
          <w:color w:val="000000"/>
        </w:rPr>
        <w:t xml:space="preserve"> P</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Detry</w:t>
      </w:r>
      <w:proofErr w:type="spellEnd"/>
      <w:r w:rsidRPr="00E127AB">
        <w:rPr>
          <w:rFonts w:ascii="Book Antiqua" w:eastAsia="宋体" w:hAnsi="Book Antiqua" w:cs="宋体"/>
          <w:color w:val="000000"/>
        </w:rPr>
        <w:t xml:space="preserve"> MA, Giralt S, Carrasco-</w:t>
      </w:r>
      <w:proofErr w:type="spellStart"/>
      <w:r w:rsidRPr="00E127AB">
        <w:rPr>
          <w:rFonts w:ascii="Book Antiqua" w:eastAsia="宋体" w:hAnsi="Book Antiqua" w:cs="宋体"/>
          <w:color w:val="000000"/>
        </w:rPr>
        <w:t>Yalan</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Anagnostopoulos</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Couriel</w:t>
      </w:r>
      <w:proofErr w:type="spellEnd"/>
      <w:r w:rsidRPr="00E127AB">
        <w:rPr>
          <w:rFonts w:ascii="Book Antiqua" w:eastAsia="宋体" w:hAnsi="Book Antiqua" w:cs="宋体"/>
          <w:color w:val="000000"/>
        </w:rPr>
        <w:t xml:space="preserve"> D, </w:t>
      </w:r>
      <w:proofErr w:type="spellStart"/>
      <w:r w:rsidRPr="00E127AB">
        <w:rPr>
          <w:rFonts w:ascii="Book Antiqua" w:eastAsia="宋体" w:hAnsi="Book Antiqua" w:cs="宋体"/>
          <w:color w:val="000000"/>
        </w:rPr>
        <w:t>Khouri</w:t>
      </w:r>
      <w:proofErr w:type="spellEnd"/>
      <w:r w:rsidRPr="00E127AB">
        <w:rPr>
          <w:rFonts w:ascii="Book Antiqua" w:eastAsia="宋体" w:hAnsi="Book Antiqua" w:cs="宋体"/>
          <w:color w:val="000000"/>
        </w:rPr>
        <w:t xml:space="preserve"> IF, </w:t>
      </w:r>
      <w:proofErr w:type="spellStart"/>
      <w:r w:rsidRPr="00E127AB">
        <w:rPr>
          <w:rFonts w:ascii="Book Antiqua" w:eastAsia="宋体" w:hAnsi="Book Antiqua" w:cs="宋体"/>
          <w:color w:val="000000"/>
        </w:rPr>
        <w:t>Anderlini</w:t>
      </w:r>
      <w:proofErr w:type="spellEnd"/>
      <w:r w:rsidRPr="00E127AB">
        <w:rPr>
          <w:rFonts w:ascii="Book Antiqua" w:eastAsia="宋体" w:hAnsi="Book Antiqua" w:cs="宋体"/>
          <w:color w:val="000000"/>
        </w:rPr>
        <w:t xml:space="preserve"> P, Hosing C, </w:t>
      </w:r>
      <w:proofErr w:type="spellStart"/>
      <w:r w:rsidRPr="00E127AB">
        <w:rPr>
          <w:rFonts w:ascii="Book Antiqua" w:eastAsia="宋体" w:hAnsi="Book Antiqua" w:cs="宋体"/>
          <w:color w:val="000000"/>
        </w:rPr>
        <w:t>Alousi</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Champlin</w:t>
      </w:r>
      <w:proofErr w:type="spellEnd"/>
      <w:r w:rsidRPr="00E127AB">
        <w:rPr>
          <w:rFonts w:ascii="Book Antiqua" w:eastAsia="宋体" w:hAnsi="Book Antiqua" w:cs="宋体"/>
          <w:color w:val="000000"/>
        </w:rPr>
        <w:t xml:space="preserve"> RE, de Lima M. Long-term follow-up of allogeneic hematopoietic stem-cell transplantation with reduced-intensity conditioning for patients with chronic myeloid leukemia. </w:t>
      </w:r>
      <w:r w:rsidRPr="00E127AB">
        <w:rPr>
          <w:rFonts w:ascii="Book Antiqua" w:eastAsia="宋体" w:hAnsi="Book Antiqua" w:cs="宋体"/>
          <w:i/>
          <w:iCs/>
          <w:color w:val="000000"/>
        </w:rPr>
        <w:t>Blood</w:t>
      </w:r>
      <w:r w:rsidRPr="00E127AB">
        <w:rPr>
          <w:rFonts w:ascii="Book Antiqua" w:eastAsia="宋体" w:hAnsi="Book Antiqua" w:cs="宋体"/>
          <w:color w:val="000000"/>
        </w:rPr>
        <w:t> 2007; </w:t>
      </w:r>
      <w:r w:rsidRPr="00E127AB">
        <w:rPr>
          <w:rFonts w:ascii="Book Antiqua" w:eastAsia="宋体" w:hAnsi="Book Antiqua" w:cs="宋体"/>
          <w:b/>
          <w:bCs/>
          <w:color w:val="000000"/>
        </w:rPr>
        <w:t>110</w:t>
      </w:r>
      <w:r w:rsidRPr="00E127AB">
        <w:rPr>
          <w:rFonts w:ascii="Book Antiqua" w:eastAsia="宋体" w:hAnsi="Book Antiqua" w:cs="宋体"/>
          <w:color w:val="000000"/>
        </w:rPr>
        <w:t>: 3456-3462 [PMID: 17652620 DOI: 10.1182/blood-2007-04-085969]</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50 </w:t>
      </w:r>
      <w:proofErr w:type="spellStart"/>
      <w:r w:rsidRPr="00E127AB">
        <w:rPr>
          <w:rFonts w:ascii="Book Antiqua" w:eastAsia="宋体" w:hAnsi="Book Antiqua" w:cs="宋体"/>
          <w:b/>
          <w:bCs/>
          <w:color w:val="000000"/>
        </w:rPr>
        <w:t>Topcuoglu</w:t>
      </w:r>
      <w:proofErr w:type="spellEnd"/>
      <w:r w:rsidRPr="00E127AB">
        <w:rPr>
          <w:rFonts w:ascii="Book Antiqua" w:eastAsia="宋体" w:hAnsi="Book Antiqua" w:cs="宋体"/>
          <w:b/>
          <w:bCs/>
          <w:color w:val="000000"/>
        </w:rPr>
        <w:t xml:space="preserve"> P</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Arat</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Ozcan</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Arslan</w:t>
      </w:r>
      <w:proofErr w:type="spellEnd"/>
      <w:r w:rsidRPr="00E127AB">
        <w:rPr>
          <w:rFonts w:ascii="Book Antiqua" w:eastAsia="宋体" w:hAnsi="Book Antiqua" w:cs="宋体"/>
          <w:color w:val="000000"/>
        </w:rPr>
        <w:t xml:space="preserve"> O, </w:t>
      </w:r>
      <w:proofErr w:type="spellStart"/>
      <w:r w:rsidRPr="00E127AB">
        <w:rPr>
          <w:rFonts w:ascii="Book Antiqua" w:eastAsia="宋体" w:hAnsi="Book Antiqua" w:cs="宋体"/>
          <w:color w:val="000000"/>
        </w:rPr>
        <w:t>Ilhan</w:t>
      </w:r>
      <w:proofErr w:type="spellEnd"/>
      <w:r w:rsidRPr="00E127AB">
        <w:rPr>
          <w:rFonts w:ascii="Book Antiqua" w:eastAsia="宋体" w:hAnsi="Book Antiqua" w:cs="宋体"/>
          <w:color w:val="000000"/>
        </w:rPr>
        <w:t xml:space="preserve"> O, </w:t>
      </w:r>
      <w:proofErr w:type="spellStart"/>
      <w:r w:rsidRPr="00E127AB">
        <w:rPr>
          <w:rFonts w:ascii="Book Antiqua" w:eastAsia="宋体" w:hAnsi="Book Antiqua" w:cs="宋体"/>
          <w:color w:val="000000"/>
        </w:rPr>
        <w:t>Beksac</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Gurman</w:t>
      </w:r>
      <w:proofErr w:type="spellEnd"/>
      <w:r w:rsidRPr="00E127AB">
        <w:rPr>
          <w:rFonts w:ascii="Book Antiqua" w:eastAsia="宋体" w:hAnsi="Book Antiqua" w:cs="宋体"/>
          <w:color w:val="000000"/>
        </w:rPr>
        <w:t xml:space="preserve"> G. Case-matched comparison with standard versus reduced intensity conditioning regimen in chronic myeloid leukemia patients. </w:t>
      </w:r>
      <w:r w:rsidRPr="00E127AB">
        <w:rPr>
          <w:rFonts w:ascii="Book Antiqua" w:eastAsia="宋体" w:hAnsi="Book Antiqua" w:cs="宋体"/>
          <w:i/>
          <w:iCs/>
          <w:color w:val="000000"/>
        </w:rPr>
        <w:t xml:space="preserve">Ann </w:t>
      </w:r>
      <w:proofErr w:type="spellStart"/>
      <w:r w:rsidRPr="00E127AB">
        <w:rPr>
          <w:rFonts w:ascii="Book Antiqua" w:eastAsia="宋体" w:hAnsi="Book Antiqua" w:cs="宋体"/>
          <w:i/>
          <w:iCs/>
          <w:color w:val="000000"/>
        </w:rPr>
        <w:t>Hematol</w:t>
      </w:r>
      <w:proofErr w:type="spellEnd"/>
      <w:r w:rsidRPr="00E127AB">
        <w:rPr>
          <w:rFonts w:ascii="Book Antiqua" w:eastAsia="宋体" w:hAnsi="Book Antiqua" w:cs="宋体"/>
          <w:color w:val="000000"/>
        </w:rPr>
        <w:t> 2012; </w:t>
      </w:r>
      <w:r w:rsidRPr="00E127AB">
        <w:rPr>
          <w:rFonts w:ascii="Book Antiqua" w:eastAsia="宋体" w:hAnsi="Book Antiqua" w:cs="宋体"/>
          <w:b/>
          <w:bCs/>
          <w:color w:val="000000"/>
        </w:rPr>
        <w:t>91</w:t>
      </w:r>
      <w:r w:rsidRPr="00E127AB">
        <w:rPr>
          <w:rFonts w:ascii="Book Antiqua" w:eastAsia="宋体" w:hAnsi="Book Antiqua" w:cs="宋体"/>
          <w:color w:val="000000"/>
        </w:rPr>
        <w:t>: 577-586 [PMID: 21971669 DOI: 10.1007/s00277-011-1349-2]</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51 </w:t>
      </w:r>
      <w:proofErr w:type="spellStart"/>
      <w:r w:rsidRPr="00E127AB">
        <w:rPr>
          <w:rFonts w:ascii="Book Antiqua" w:eastAsia="宋体" w:hAnsi="Book Antiqua" w:cs="宋体"/>
          <w:b/>
          <w:bCs/>
          <w:color w:val="000000"/>
        </w:rPr>
        <w:t>Warlick</w:t>
      </w:r>
      <w:proofErr w:type="spellEnd"/>
      <w:r w:rsidRPr="00E127AB">
        <w:rPr>
          <w:rFonts w:ascii="Book Antiqua" w:eastAsia="宋体" w:hAnsi="Book Antiqua" w:cs="宋体"/>
          <w:b/>
          <w:bCs/>
          <w:color w:val="000000"/>
        </w:rPr>
        <w:t xml:space="preserve"> E</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Ahn</w:t>
      </w:r>
      <w:proofErr w:type="spellEnd"/>
      <w:r w:rsidRPr="00E127AB">
        <w:rPr>
          <w:rFonts w:ascii="Book Antiqua" w:eastAsia="宋体" w:hAnsi="Book Antiqua" w:cs="宋体"/>
          <w:color w:val="000000"/>
        </w:rPr>
        <w:t xml:space="preserve"> KW, Pedersen TL, </w:t>
      </w:r>
      <w:proofErr w:type="spellStart"/>
      <w:r w:rsidRPr="00E127AB">
        <w:rPr>
          <w:rFonts w:ascii="Book Antiqua" w:eastAsia="宋体" w:hAnsi="Book Antiqua" w:cs="宋体"/>
          <w:color w:val="000000"/>
        </w:rPr>
        <w:t>Artz</w:t>
      </w:r>
      <w:proofErr w:type="spellEnd"/>
      <w:r w:rsidRPr="00E127AB">
        <w:rPr>
          <w:rFonts w:ascii="Book Antiqua" w:eastAsia="宋体" w:hAnsi="Book Antiqua" w:cs="宋体"/>
          <w:color w:val="000000"/>
        </w:rPr>
        <w:t xml:space="preserve"> A, de Lima M, </w:t>
      </w:r>
      <w:proofErr w:type="spellStart"/>
      <w:r w:rsidRPr="00E127AB">
        <w:rPr>
          <w:rFonts w:ascii="Book Antiqua" w:eastAsia="宋体" w:hAnsi="Book Antiqua" w:cs="宋体"/>
          <w:color w:val="000000"/>
        </w:rPr>
        <w:t>Pulsipher</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Akpek</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Aljurf</w:t>
      </w:r>
      <w:proofErr w:type="spellEnd"/>
      <w:r w:rsidRPr="00E127AB">
        <w:rPr>
          <w:rFonts w:ascii="Book Antiqua" w:eastAsia="宋体" w:hAnsi="Book Antiqua" w:cs="宋体"/>
          <w:color w:val="000000"/>
        </w:rPr>
        <w:t xml:space="preserve"> M, Cahn JY, Cairo M, Chen YB, Cooper B, </w:t>
      </w:r>
      <w:proofErr w:type="spellStart"/>
      <w:r w:rsidRPr="00E127AB">
        <w:rPr>
          <w:rFonts w:ascii="Book Antiqua" w:eastAsia="宋体" w:hAnsi="Book Antiqua" w:cs="宋体"/>
          <w:color w:val="000000"/>
        </w:rPr>
        <w:t>Deol</w:t>
      </w:r>
      <w:proofErr w:type="spellEnd"/>
      <w:r w:rsidRPr="00E127AB">
        <w:rPr>
          <w:rFonts w:ascii="Book Antiqua" w:eastAsia="宋体" w:hAnsi="Book Antiqua" w:cs="宋体"/>
          <w:color w:val="000000"/>
        </w:rPr>
        <w:t xml:space="preserve"> A, Giralt S, Gupta V, </w:t>
      </w:r>
      <w:proofErr w:type="spellStart"/>
      <w:r w:rsidRPr="00E127AB">
        <w:rPr>
          <w:rFonts w:ascii="Book Antiqua" w:eastAsia="宋体" w:hAnsi="Book Antiqua" w:cs="宋体"/>
          <w:color w:val="000000"/>
        </w:rPr>
        <w:t>Khoury</w:t>
      </w:r>
      <w:proofErr w:type="spellEnd"/>
      <w:r w:rsidRPr="00E127AB">
        <w:rPr>
          <w:rFonts w:ascii="Book Antiqua" w:eastAsia="宋体" w:hAnsi="Book Antiqua" w:cs="宋体"/>
          <w:color w:val="000000"/>
        </w:rPr>
        <w:t xml:space="preserve"> HJ, </w:t>
      </w:r>
      <w:proofErr w:type="spellStart"/>
      <w:r w:rsidRPr="00E127AB">
        <w:rPr>
          <w:rFonts w:ascii="Book Antiqua" w:eastAsia="宋体" w:hAnsi="Book Antiqua" w:cs="宋体"/>
          <w:color w:val="000000"/>
        </w:rPr>
        <w:t>Kohrt</w:t>
      </w:r>
      <w:proofErr w:type="spellEnd"/>
      <w:r w:rsidRPr="00E127AB">
        <w:rPr>
          <w:rFonts w:ascii="Book Antiqua" w:eastAsia="宋体" w:hAnsi="Book Antiqua" w:cs="宋体"/>
          <w:color w:val="000000"/>
        </w:rPr>
        <w:t xml:space="preserve"> H, Lazarus HM, Lewis I, Olsson R, </w:t>
      </w:r>
      <w:proofErr w:type="spellStart"/>
      <w:r w:rsidRPr="00E127AB">
        <w:rPr>
          <w:rFonts w:ascii="Book Antiqua" w:eastAsia="宋体" w:hAnsi="Book Antiqua" w:cs="宋体"/>
          <w:color w:val="000000"/>
        </w:rPr>
        <w:t>Pidala</w:t>
      </w:r>
      <w:proofErr w:type="spellEnd"/>
      <w:r w:rsidRPr="00E127AB">
        <w:rPr>
          <w:rFonts w:ascii="Book Antiqua" w:eastAsia="宋体" w:hAnsi="Book Antiqua" w:cs="宋体"/>
          <w:color w:val="000000"/>
        </w:rPr>
        <w:t xml:space="preserve"> J, </w:t>
      </w:r>
      <w:proofErr w:type="spellStart"/>
      <w:r w:rsidRPr="00E127AB">
        <w:rPr>
          <w:rFonts w:ascii="Book Antiqua" w:eastAsia="宋体" w:hAnsi="Book Antiqua" w:cs="宋体"/>
          <w:color w:val="000000"/>
        </w:rPr>
        <w:t>Savani</w:t>
      </w:r>
      <w:proofErr w:type="spellEnd"/>
      <w:r w:rsidRPr="00E127AB">
        <w:rPr>
          <w:rFonts w:ascii="Book Antiqua" w:eastAsia="宋体" w:hAnsi="Book Antiqua" w:cs="宋体"/>
          <w:color w:val="000000"/>
        </w:rPr>
        <w:t xml:space="preserve"> BN, </w:t>
      </w:r>
      <w:proofErr w:type="spellStart"/>
      <w:r w:rsidRPr="00E127AB">
        <w:rPr>
          <w:rFonts w:ascii="Book Antiqua" w:eastAsia="宋体" w:hAnsi="Book Antiqua" w:cs="宋体"/>
          <w:color w:val="000000"/>
        </w:rPr>
        <w:t>Seftel</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Socié</w:t>
      </w:r>
      <w:proofErr w:type="spellEnd"/>
      <w:r w:rsidRPr="00E127AB">
        <w:rPr>
          <w:rFonts w:ascii="Book Antiqua" w:eastAsia="宋体" w:hAnsi="Book Antiqua" w:cs="宋体"/>
          <w:color w:val="000000"/>
        </w:rPr>
        <w:t xml:space="preserve"> G, Tallman M, </w:t>
      </w:r>
      <w:proofErr w:type="spellStart"/>
      <w:r w:rsidRPr="00E127AB">
        <w:rPr>
          <w:rFonts w:ascii="Book Antiqua" w:eastAsia="宋体" w:hAnsi="Book Antiqua" w:cs="宋体"/>
          <w:color w:val="000000"/>
        </w:rPr>
        <w:t>Ustun</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Vij</w:t>
      </w:r>
      <w:proofErr w:type="spellEnd"/>
      <w:r w:rsidRPr="00E127AB">
        <w:rPr>
          <w:rFonts w:ascii="Book Antiqua" w:eastAsia="宋体" w:hAnsi="Book Antiqua" w:cs="宋体"/>
          <w:color w:val="000000"/>
        </w:rPr>
        <w:t xml:space="preserve"> R, </w:t>
      </w:r>
      <w:proofErr w:type="spellStart"/>
      <w:r w:rsidRPr="00E127AB">
        <w:rPr>
          <w:rFonts w:ascii="Book Antiqua" w:eastAsia="宋体" w:hAnsi="Book Antiqua" w:cs="宋体"/>
          <w:color w:val="000000"/>
        </w:rPr>
        <w:t>Vindeløv</w:t>
      </w:r>
      <w:proofErr w:type="spellEnd"/>
      <w:r w:rsidRPr="00E127AB">
        <w:rPr>
          <w:rFonts w:ascii="Book Antiqua" w:eastAsia="宋体" w:hAnsi="Book Antiqua" w:cs="宋体"/>
          <w:color w:val="000000"/>
        </w:rPr>
        <w:t xml:space="preserve"> L, </w:t>
      </w:r>
      <w:proofErr w:type="spellStart"/>
      <w:r w:rsidRPr="00E127AB">
        <w:rPr>
          <w:rFonts w:ascii="Book Antiqua" w:eastAsia="宋体" w:hAnsi="Book Antiqua" w:cs="宋体"/>
          <w:color w:val="000000"/>
        </w:rPr>
        <w:t>Weisdorf</w:t>
      </w:r>
      <w:proofErr w:type="spellEnd"/>
      <w:r w:rsidRPr="00E127AB">
        <w:rPr>
          <w:rFonts w:ascii="Book Antiqua" w:eastAsia="宋体" w:hAnsi="Book Antiqua" w:cs="宋体"/>
          <w:color w:val="000000"/>
        </w:rPr>
        <w:t xml:space="preserve"> D. Reduced intensity conditioning is superior to </w:t>
      </w:r>
      <w:proofErr w:type="spellStart"/>
      <w:r w:rsidRPr="00E127AB">
        <w:rPr>
          <w:rFonts w:ascii="Book Antiqua" w:eastAsia="宋体" w:hAnsi="Book Antiqua" w:cs="宋体"/>
          <w:color w:val="000000"/>
        </w:rPr>
        <w:t>nonmyeloablative</w:t>
      </w:r>
      <w:proofErr w:type="spellEnd"/>
      <w:r w:rsidRPr="00E127AB">
        <w:rPr>
          <w:rFonts w:ascii="Book Antiqua" w:eastAsia="宋体" w:hAnsi="Book Antiqua" w:cs="宋体"/>
          <w:color w:val="000000"/>
        </w:rPr>
        <w:t xml:space="preserve"> conditioning for older chronic myelogenous leukemia patients undergoing hematopoietic cell transplant during the tyrosine kinase inhibitor era. </w:t>
      </w:r>
      <w:r w:rsidRPr="00E127AB">
        <w:rPr>
          <w:rFonts w:ascii="Book Antiqua" w:eastAsia="宋体" w:hAnsi="Book Antiqua" w:cs="宋体"/>
          <w:i/>
          <w:iCs/>
          <w:color w:val="000000"/>
        </w:rPr>
        <w:t>Blood</w:t>
      </w:r>
      <w:r w:rsidRPr="00E127AB">
        <w:rPr>
          <w:rFonts w:ascii="Book Antiqua" w:eastAsia="宋体" w:hAnsi="Book Antiqua" w:cs="宋体"/>
          <w:color w:val="000000"/>
        </w:rPr>
        <w:t> 2012; </w:t>
      </w:r>
      <w:r w:rsidRPr="00E127AB">
        <w:rPr>
          <w:rFonts w:ascii="Book Antiqua" w:eastAsia="宋体" w:hAnsi="Book Antiqua" w:cs="宋体"/>
          <w:b/>
          <w:bCs/>
          <w:color w:val="000000"/>
        </w:rPr>
        <w:t>119</w:t>
      </w:r>
      <w:r w:rsidRPr="00E127AB">
        <w:rPr>
          <w:rFonts w:ascii="Book Antiqua" w:eastAsia="宋体" w:hAnsi="Book Antiqua" w:cs="宋体"/>
          <w:color w:val="000000"/>
        </w:rPr>
        <w:t>: 4083-4090 [PMID: 22408257 DOI: 10.1182/blood-2012-02-409763]</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52 </w:t>
      </w:r>
      <w:proofErr w:type="spellStart"/>
      <w:r w:rsidRPr="00E127AB">
        <w:rPr>
          <w:rFonts w:ascii="Book Antiqua" w:eastAsia="宋体" w:hAnsi="Book Antiqua" w:cs="宋体"/>
          <w:b/>
          <w:bCs/>
          <w:color w:val="000000"/>
        </w:rPr>
        <w:t>Copelan</w:t>
      </w:r>
      <w:proofErr w:type="spellEnd"/>
      <w:r w:rsidRPr="00E127AB">
        <w:rPr>
          <w:rFonts w:ascii="Book Antiqua" w:eastAsia="宋体" w:hAnsi="Book Antiqua" w:cs="宋体"/>
          <w:b/>
          <w:bCs/>
          <w:color w:val="000000"/>
        </w:rPr>
        <w:t xml:space="preserve"> EA</w:t>
      </w:r>
      <w:r w:rsidRPr="00E127AB">
        <w:rPr>
          <w:rFonts w:ascii="Book Antiqua" w:eastAsia="宋体" w:hAnsi="Book Antiqua" w:cs="宋体"/>
          <w:color w:val="000000"/>
        </w:rPr>
        <w:t xml:space="preserve">, Avalos BR, </w:t>
      </w:r>
      <w:proofErr w:type="spellStart"/>
      <w:r w:rsidRPr="00E127AB">
        <w:rPr>
          <w:rFonts w:ascii="Book Antiqua" w:eastAsia="宋体" w:hAnsi="Book Antiqua" w:cs="宋体"/>
          <w:color w:val="000000"/>
        </w:rPr>
        <w:t>Ahn</w:t>
      </w:r>
      <w:proofErr w:type="spellEnd"/>
      <w:r w:rsidRPr="00E127AB">
        <w:rPr>
          <w:rFonts w:ascii="Book Antiqua" w:eastAsia="宋体" w:hAnsi="Book Antiqua" w:cs="宋体"/>
          <w:color w:val="000000"/>
        </w:rPr>
        <w:t xml:space="preserve"> KW, Zhu X, Gale RP, </w:t>
      </w:r>
      <w:proofErr w:type="spellStart"/>
      <w:r w:rsidRPr="00E127AB">
        <w:rPr>
          <w:rFonts w:ascii="Book Antiqua" w:eastAsia="宋体" w:hAnsi="Book Antiqua" w:cs="宋体"/>
          <w:color w:val="000000"/>
        </w:rPr>
        <w:t>Grunwald</w:t>
      </w:r>
      <w:proofErr w:type="spellEnd"/>
      <w:r w:rsidRPr="00E127AB">
        <w:rPr>
          <w:rFonts w:ascii="Book Antiqua" w:eastAsia="宋体" w:hAnsi="Book Antiqua" w:cs="宋体"/>
          <w:color w:val="000000"/>
        </w:rPr>
        <w:t xml:space="preserve"> MR, </w:t>
      </w:r>
      <w:proofErr w:type="spellStart"/>
      <w:r w:rsidRPr="00E127AB">
        <w:rPr>
          <w:rFonts w:ascii="Book Antiqua" w:eastAsia="宋体" w:hAnsi="Book Antiqua" w:cs="宋体"/>
          <w:color w:val="000000"/>
        </w:rPr>
        <w:t>Hamadani</w:t>
      </w:r>
      <w:proofErr w:type="spellEnd"/>
      <w:r w:rsidRPr="00E127AB">
        <w:rPr>
          <w:rFonts w:ascii="Book Antiqua" w:eastAsia="宋体" w:hAnsi="Book Antiqua" w:cs="宋体"/>
          <w:color w:val="000000"/>
        </w:rPr>
        <w:t xml:space="preserve"> M, Hamilton BK, Hale GA, Marks DI, Waller EK, </w:t>
      </w:r>
      <w:proofErr w:type="spellStart"/>
      <w:r w:rsidRPr="00E127AB">
        <w:rPr>
          <w:rFonts w:ascii="Book Antiqua" w:eastAsia="宋体" w:hAnsi="Book Antiqua" w:cs="宋体"/>
          <w:color w:val="000000"/>
        </w:rPr>
        <w:t>Savani</w:t>
      </w:r>
      <w:proofErr w:type="spellEnd"/>
      <w:r w:rsidRPr="00E127AB">
        <w:rPr>
          <w:rFonts w:ascii="Book Antiqua" w:eastAsia="宋体" w:hAnsi="Book Antiqua" w:cs="宋体"/>
          <w:color w:val="000000"/>
        </w:rPr>
        <w:t xml:space="preserve"> BN, Costa LJ, </w:t>
      </w:r>
      <w:proofErr w:type="spellStart"/>
      <w:r w:rsidRPr="00E127AB">
        <w:rPr>
          <w:rFonts w:ascii="Book Antiqua" w:eastAsia="宋体" w:hAnsi="Book Antiqua" w:cs="宋体"/>
          <w:color w:val="000000"/>
        </w:rPr>
        <w:t>Ramanathan</w:t>
      </w:r>
      <w:proofErr w:type="spellEnd"/>
      <w:r w:rsidRPr="00E127AB">
        <w:rPr>
          <w:rFonts w:ascii="Book Antiqua" w:eastAsia="宋体" w:hAnsi="Book Antiqua" w:cs="宋体"/>
          <w:color w:val="000000"/>
        </w:rPr>
        <w:t xml:space="preserve"> M, Cahn JY, </w:t>
      </w:r>
      <w:proofErr w:type="spellStart"/>
      <w:r w:rsidRPr="00E127AB">
        <w:rPr>
          <w:rFonts w:ascii="Book Antiqua" w:eastAsia="宋体" w:hAnsi="Book Antiqua" w:cs="宋体"/>
          <w:color w:val="000000"/>
        </w:rPr>
        <w:t>Khoury</w:t>
      </w:r>
      <w:proofErr w:type="spellEnd"/>
      <w:r w:rsidRPr="00E127AB">
        <w:rPr>
          <w:rFonts w:ascii="Book Antiqua" w:eastAsia="宋体" w:hAnsi="Book Antiqua" w:cs="宋体"/>
          <w:color w:val="000000"/>
        </w:rPr>
        <w:t xml:space="preserve"> HJ, </w:t>
      </w:r>
      <w:proofErr w:type="spellStart"/>
      <w:r w:rsidRPr="00E127AB">
        <w:rPr>
          <w:rFonts w:ascii="Book Antiqua" w:eastAsia="宋体" w:hAnsi="Book Antiqua" w:cs="宋体"/>
          <w:color w:val="000000"/>
        </w:rPr>
        <w:t>Weisdorf</w:t>
      </w:r>
      <w:proofErr w:type="spellEnd"/>
      <w:r w:rsidRPr="00E127AB">
        <w:rPr>
          <w:rFonts w:ascii="Book Antiqua" w:eastAsia="宋体" w:hAnsi="Book Antiqua" w:cs="宋体"/>
          <w:color w:val="000000"/>
        </w:rPr>
        <w:t xml:space="preserve"> DJ, </w:t>
      </w:r>
      <w:proofErr w:type="spellStart"/>
      <w:r w:rsidRPr="00E127AB">
        <w:rPr>
          <w:rFonts w:ascii="Book Antiqua" w:eastAsia="宋体" w:hAnsi="Book Antiqua" w:cs="宋体"/>
          <w:color w:val="000000"/>
        </w:rPr>
        <w:t>Inamoto</w:t>
      </w:r>
      <w:proofErr w:type="spellEnd"/>
      <w:r w:rsidRPr="00E127AB">
        <w:rPr>
          <w:rFonts w:ascii="Book Antiqua" w:eastAsia="宋体" w:hAnsi="Book Antiqua" w:cs="宋体"/>
          <w:color w:val="000000"/>
        </w:rPr>
        <w:t xml:space="preserve"> Y, </w:t>
      </w:r>
      <w:proofErr w:type="spellStart"/>
      <w:r w:rsidRPr="00E127AB">
        <w:rPr>
          <w:rFonts w:ascii="Book Antiqua" w:eastAsia="宋体" w:hAnsi="Book Antiqua" w:cs="宋体"/>
          <w:color w:val="000000"/>
        </w:rPr>
        <w:t>Kamble</w:t>
      </w:r>
      <w:proofErr w:type="spellEnd"/>
      <w:r w:rsidRPr="00E127AB">
        <w:rPr>
          <w:rFonts w:ascii="Book Antiqua" w:eastAsia="宋体" w:hAnsi="Book Antiqua" w:cs="宋体"/>
          <w:color w:val="000000"/>
        </w:rPr>
        <w:t xml:space="preserve"> RT, Schouten HC, </w:t>
      </w:r>
      <w:proofErr w:type="spellStart"/>
      <w:r w:rsidRPr="00E127AB">
        <w:rPr>
          <w:rFonts w:ascii="Book Antiqua" w:eastAsia="宋体" w:hAnsi="Book Antiqua" w:cs="宋体"/>
          <w:color w:val="000000"/>
        </w:rPr>
        <w:t>Wirk</w:t>
      </w:r>
      <w:proofErr w:type="spellEnd"/>
      <w:r w:rsidRPr="00E127AB">
        <w:rPr>
          <w:rFonts w:ascii="Book Antiqua" w:eastAsia="宋体" w:hAnsi="Book Antiqua" w:cs="宋体"/>
          <w:color w:val="000000"/>
        </w:rPr>
        <w:t xml:space="preserve"> B, </w:t>
      </w:r>
      <w:proofErr w:type="spellStart"/>
      <w:r w:rsidRPr="00E127AB">
        <w:rPr>
          <w:rFonts w:ascii="Book Antiqua" w:eastAsia="宋体" w:hAnsi="Book Antiqua" w:cs="宋体"/>
          <w:color w:val="000000"/>
        </w:rPr>
        <w:t>Litzow</w:t>
      </w:r>
      <w:proofErr w:type="spellEnd"/>
      <w:r w:rsidRPr="00E127AB">
        <w:rPr>
          <w:rFonts w:ascii="Book Antiqua" w:eastAsia="宋体" w:hAnsi="Book Antiqua" w:cs="宋体"/>
          <w:color w:val="000000"/>
        </w:rPr>
        <w:t xml:space="preserve"> MR, </w:t>
      </w:r>
      <w:proofErr w:type="spellStart"/>
      <w:r w:rsidRPr="00E127AB">
        <w:rPr>
          <w:rFonts w:ascii="Book Antiqua" w:eastAsia="宋体" w:hAnsi="Book Antiqua" w:cs="宋体"/>
          <w:color w:val="000000"/>
        </w:rPr>
        <w:t>Aljurf</w:t>
      </w:r>
      <w:proofErr w:type="spellEnd"/>
      <w:r w:rsidRPr="00E127AB">
        <w:rPr>
          <w:rFonts w:ascii="Book Antiqua" w:eastAsia="宋体" w:hAnsi="Book Antiqua" w:cs="宋体"/>
          <w:color w:val="000000"/>
        </w:rPr>
        <w:t xml:space="preserve"> MD, van </w:t>
      </w:r>
      <w:proofErr w:type="spellStart"/>
      <w:r w:rsidRPr="00E127AB">
        <w:rPr>
          <w:rFonts w:ascii="Book Antiqua" w:eastAsia="宋体" w:hAnsi="Book Antiqua" w:cs="宋体"/>
          <w:color w:val="000000"/>
        </w:rPr>
        <w:t>Besien</w:t>
      </w:r>
      <w:proofErr w:type="spellEnd"/>
      <w:r w:rsidRPr="00E127AB">
        <w:rPr>
          <w:rFonts w:ascii="Book Antiqua" w:eastAsia="宋体" w:hAnsi="Book Antiqua" w:cs="宋体"/>
          <w:color w:val="000000"/>
        </w:rPr>
        <w:t xml:space="preserve"> KW, </w:t>
      </w:r>
      <w:proofErr w:type="spellStart"/>
      <w:r w:rsidRPr="00E127AB">
        <w:rPr>
          <w:rFonts w:ascii="Book Antiqua" w:eastAsia="宋体" w:hAnsi="Book Antiqua" w:cs="宋体"/>
          <w:color w:val="000000"/>
        </w:rPr>
        <w:t>Ustun</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Bolwell</w:t>
      </w:r>
      <w:proofErr w:type="spellEnd"/>
      <w:r w:rsidRPr="00E127AB">
        <w:rPr>
          <w:rFonts w:ascii="Book Antiqua" w:eastAsia="宋体" w:hAnsi="Book Antiqua" w:cs="宋体"/>
          <w:color w:val="000000"/>
        </w:rPr>
        <w:t xml:space="preserve"> BJ, </w:t>
      </w:r>
      <w:proofErr w:type="spellStart"/>
      <w:r w:rsidRPr="00E127AB">
        <w:rPr>
          <w:rFonts w:ascii="Book Antiqua" w:eastAsia="宋体" w:hAnsi="Book Antiqua" w:cs="宋体"/>
          <w:color w:val="000000"/>
        </w:rPr>
        <w:t>Bredeson</w:t>
      </w:r>
      <w:proofErr w:type="spellEnd"/>
      <w:r w:rsidRPr="00E127AB">
        <w:rPr>
          <w:rFonts w:ascii="Book Antiqua" w:eastAsia="宋体" w:hAnsi="Book Antiqua" w:cs="宋体"/>
          <w:color w:val="000000"/>
        </w:rPr>
        <w:t xml:space="preserve"> CN, </w:t>
      </w:r>
      <w:proofErr w:type="spellStart"/>
      <w:r w:rsidRPr="00E127AB">
        <w:rPr>
          <w:rFonts w:ascii="Book Antiqua" w:eastAsia="宋体" w:hAnsi="Book Antiqua" w:cs="宋体"/>
          <w:color w:val="000000"/>
        </w:rPr>
        <w:t>Fasan</w:t>
      </w:r>
      <w:proofErr w:type="spellEnd"/>
      <w:r w:rsidRPr="00E127AB">
        <w:rPr>
          <w:rFonts w:ascii="Book Antiqua" w:eastAsia="宋体" w:hAnsi="Book Antiqua" w:cs="宋体"/>
          <w:color w:val="000000"/>
        </w:rPr>
        <w:t xml:space="preserve"> O, </w:t>
      </w:r>
      <w:r w:rsidRPr="00E127AB">
        <w:rPr>
          <w:rFonts w:ascii="Book Antiqua" w:eastAsia="宋体" w:hAnsi="Book Antiqua" w:cs="宋体"/>
          <w:color w:val="000000"/>
        </w:rPr>
        <w:lastRenderedPageBreak/>
        <w:t xml:space="preserve">Ghosh N, Horowitz MM, Arora M, </w:t>
      </w:r>
      <w:proofErr w:type="spellStart"/>
      <w:r w:rsidRPr="00E127AB">
        <w:rPr>
          <w:rFonts w:ascii="Book Antiqua" w:eastAsia="宋体" w:hAnsi="Book Antiqua" w:cs="宋体"/>
          <w:color w:val="000000"/>
        </w:rPr>
        <w:t>Szer</w:t>
      </w:r>
      <w:proofErr w:type="spellEnd"/>
      <w:r w:rsidRPr="00E127AB">
        <w:rPr>
          <w:rFonts w:ascii="Book Antiqua" w:eastAsia="宋体" w:hAnsi="Book Antiqua" w:cs="宋体"/>
          <w:color w:val="000000"/>
        </w:rPr>
        <w:t xml:space="preserve"> J, Loren AW, </w:t>
      </w:r>
      <w:proofErr w:type="spellStart"/>
      <w:r w:rsidRPr="00E127AB">
        <w:rPr>
          <w:rFonts w:ascii="Book Antiqua" w:eastAsia="宋体" w:hAnsi="Book Antiqua" w:cs="宋体"/>
          <w:color w:val="000000"/>
        </w:rPr>
        <w:t>Alyea</w:t>
      </w:r>
      <w:proofErr w:type="spellEnd"/>
      <w:r w:rsidRPr="00E127AB">
        <w:rPr>
          <w:rFonts w:ascii="Book Antiqua" w:eastAsia="宋体" w:hAnsi="Book Antiqua" w:cs="宋体"/>
          <w:color w:val="000000"/>
        </w:rPr>
        <w:t xml:space="preserve"> EP, Cortes J, </w:t>
      </w:r>
      <w:proofErr w:type="spellStart"/>
      <w:r w:rsidRPr="00E127AB">
        <w:rPr>
          <w:rFonts w:ascii="Book Antiqua" w:eastAsia="宋体" w:hAnsi="Book Antiqua" w:cs="宋体"/>
          <w:color w:val="000000"/>
        </w:rPr>
        <w:t>Maziarz</w:t>
      </w:r>
      <w:proofErr w:type="spellEnd"/>
      <w:r w:rsidRPr="00E127AB">
        <w:rPr>
          <w:rFonts w:ascii="Book Antiqua" w:eastAsia="宋体" w:hAnsi="Book Antiqua" w:cs="宋体"/>
          <w:color w:val="000000"/>
        </w:rPr>
        <w:t xml:space="preserve"> RT, </w:t>
      </w:r>
      <w:proofErr w:type="spellStart"/>
      <w:r w:rsidRPr="00E127AB">
        <w:rPr>
          <w:rFonts w:ascii="Book Antiqua" w:eastAsia="宋体" w:hAnsi="Book Antiqua" w:cs="宋体"/>
          <w:color w:val="000000"/>
        </w:rPr>
        <w:t>Kalaycio</w:t>
      </w:r>
      <w:proofErr w:type="spellEnd"/>
      <w:r w:rsidRPr="00E127AB">
        <w:rPr>
          <w:rFonts w:ascii="Book Antiqua" w:eastAsia="宋体" w:hAnsi="Book Antiqua" w:cs="宋体"/>
          <w:color w:val="000000"/>
        </w:rPr>
        <w:t xml:space="preserve"> ME, Saber W. Comparison of outcomes of allogeneic transplantation for chronic myeloid leukemia with cyclophosphamide in combination with intravenous </w:t>
      </w:r>
      <w:proofErr w:type="spellStart"/>
      <w:r w:rsidRPr="00E127AB">
        <w:rPr>
          <w:rFonts w:ascii="Book Antiqua" w:eastAsia="宋体" w:hAnsi="Book Antiqua" w:cs="宋体"/>
          <w:color w:val="000000"/>
        </w:rPr>
        <w:t>busulfan</w:t>
      </w:r>
      <w:proofErr w:type="spellEnd"/>
      <w:r w:rsidRPr="00E127AB">
        <w:rPr>
          <w:rFonts w:ascii="Book Antiqua" w:eastAsia="宋体" w:hAnsi="Book Antiqua" w:cs="宋体"/>
          <w:color w:val="000000"/>
        </w:rPr>
        <w:t xml:space="preserve">, oral </w:t>
      </w:r>
      <w:proofErr w:type="spellStart"/>
      <w:r w:rsidRPr="00E127AB">
        <w:rPr>
          <w:rFonts w:ascii="Book Antiqua" w:eastAsia="宋体" w:hAnsi="Book Antiqua" w:cs="宋体"/>
          <w:color w:val="000000"/>
        </w:rPr>
        <w:t>busulfan</w:t>
      </w:r>
      <w:proofErr w:type="spellEnd"/>
      <w:r w:rsidRPr="00E127AB">
        <w:rPr>
          <w:rFonts w:ascii="Book Antiqua" w:eastAsia="宋体" w:hAnsi="Book Antiqua" w:cs="宋体"/>
          <w:color w:val="000000"/>
        </w:rPr>
        <w:t>, or total body irradiation. </w:t>
      </w:r>
      <w:proofErr w:type="spellStart"/>
      <w:r w:rsidRPr="00E127AB">
        <w:rPr>
          <w:rFonts w:ascii="Book Antiqua" w:eastAsia="宋体" w:hAnsi="Book Antiqua" w:cs="宋体"/>
          <w:i/>
          <w:iCs/>
          <w:color w:val="000000"/>
        </w:rPr>
        <w:t>Biol</w:t>
      </w:r>
      <w:proofErr w:type="spellEnd"/>
      <w:r w:rsidRPr="00E127AB">
        <w:rPr>
          <w:rFonts w:ascii="Book Antiqua" w:eastAsia="宋体" w:hAnsi="Book Antiqua" w:cs="宋体"/>
          <w:i/>
          <w:iCs/>
          <w:color w:val="000000"/>
        </w:rPr>
        <w:t xml:space="preserve"> Blood Marrow Transplant</w:t>
      </w:r>
      <w:r w:rsidRPr="00E127AB">
        <w:rPr>
          <w:rFonts w:ascii="Book Antiqua" w:eastAsia="宋体" w:hAnsi="Book Antiqua" w:cs="宋体"/>
          <w:color w:val="000000"/>
        </w:rPr>
        <w:t> 2015; </w:t>
      </w:r>
      <w:r w:rsidRPr="00E127AB">
        <w:rPr>
          <w:rFonts w:ascii="Book Antiqua" w:eastAsia="宋体" w:hAnsi="Book Antiqua" w:cs="宋体"/>
          <w:b/>
          <w:bCs/>
          <w:color w:val="000000"/>
        </w:rPr>
        <w:t>21</w:t>
      </w:r>
      <w:r w:rsidRPr="00E127AB">
        <w:rPr>
          <w:rFonts w:ascii="Book Antiqua" w:eastAsia="宋体" w:hAnsi="Book Antiqua" w:cs="宋体"/>
          <w:color w:val="000000"/>
        </w:rPr>
        <w:t>: 552-558 [PMID: 25528388 DOI: 10.1016/j.bbmt.2014.12.010]</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53 </w:t>
      </w:r>
      <w:r w:rsidRPr="00E127AB">
        <w:rPr>
          <w:rFonts w:ascii="Book Antiqua" w:eastAsia="宋体" w:hAnsi="Book Antiqua" w:cs="宋体"/>
          <w:b/>
          <w:bCs/>
          <w:color w:val="000000"/>
        </w:rPr>
        <w:t>Zuckerman T</w:t>
      </w:r>
      <w:r w:rsidRPr="00E127AB">
        <w:rPr>
          <w:rFonts w:ascii="Book Antiqua" w:eastAsia="宋体" w:hAnsi="Book Antiqua" w:cs="宋体"/>
          <w:color w:val="000000"/>
        </w:rPr>
        <w:t xml:space="preserve">, Katz T, Haddad N, </w:t>
      </w:r>
      <w:proofErr w:type="spellStart"/>
      <w:r w:rsidRPr="00E127AB">
        <w:rPr>
          <w:rFonts w:ascii="Book Antiqua" w:eastAsia="宋体" w:hAnsi="Book Antiqua" w:cs="宋体"/>
          <w:color w:val="000000"/>
        </w:rPr>
        <w:t>Fineman</w:t>
      </w:r>
      <w:proofErr w:type="spellEnd"/>
      <w:r w:rsidRPr="00E127AB">
        <w:rPr>
          <w:rFonts w:ascii="Book Antiqua" w:eastAsia="宋体" w:hAnsi="Book Antiqua" w:cs="宋体"/>
          <w:color w:val="000000"/>
        </w:rPr>
        <w:t xml:space="preserve"> R, Dann EJ, </w:t>
      </w:r>
      <w:proofErr w:type="spellStart"/>
      <w:r w:rsidRPr="00E127AB">
        <w:rPr>
          <w:rFonts w:ascii="Book Antiqua" w:eastAsia="宋体" w:hAnsi="Book Antiqua" w:cs="宋体"/>
          <w:color w:val="000000"/>
        </w:rPr>
        <w:t>Avivi</w:t>
      </w:r>
      <w:proofErr w:type="spellEnd"/>
      <w:r w:rsidRPr="00E127AB">
        <w:rPr>
          <w:rFonts w:ascii="Book Antiqua" w:eastAsia="宋体" w:hAnsi="Book Antiqua" w:cs="宋体"/>
          <w:color w:val="000000"/>
        </w:rPr>
        <w:t xml:space="preserve"> I, </w:t>
      </w:r>
      <w:proofErr w:type="spellStart"/>
      <w:r w:rsidRPr="00E127AB">
        <w:rPr>
          <w:rFonts w:ascii="Book Antiqua" w:eastAsia="宋体" w:hAnsi="Book Antiqua" w:cs="宋体"/>
          <w:color w:val="000000"/>
        </w:rPr>
        <w:t>Ofran</w:t>
      </w:r>
      <w:proofErr w:type="spellEnd"/>
      <w:r w:rsidRPr="00E127AB">
        <w:rPr>
          <w:rFonts w:ascii="Book Antiqua" w:eastAsia="宋体" w:hAnsi="Book Antiqua" w:cs="宋体"/>
          <w:color w:val="000000"/>
        </w:rPr>
        <w:t xml:space="preserve"> Y, </w:t>
      </w:r>
      <w:proofErr w:type="spellStart"/>
      <w:r w:rsidRPr="00E127AB">
        <w:rPr>
          <w:rFonts w:ascii="Book Antiqua" w:eastAsia="宋体" w:hAnsi="Book Antiqua" w:cs="宋体"/>
          <w:color w:val="000000"/>
        </w:rPr>
        <w:t>Gavish</w:t>
      </w:r>
      <w:proofErr w:type="spellEnd"/>
      <w:r w:rsidRPr="00E127AB">
        <w:rPr>
          <w:rFonts w:ascii="Book Antiqua" w:eastAsia="宋体" w:hAnsi="Book Antiqua" w:cs="宋体"/>
          <w:color w:val="000000"/>
        </w:rPr>
        <w:t xml:space="preserve"> I, </w:t>
      </w:r>
      <w:proofErr w:type="spellStart"/>
      <w:r w:rsidRPr="00E127AB">
        <w:rPr>
          <w:rFonts w:ascii="Book Antiqua" w:eastAsia="宋体" w:hAnsi="Book Antiqua" w:cs="宋体"/>
          <w:color w:val="000000"/>
        </w:rPr>
        <w:t>Faibish</w:t>
      </w:r>
      <w:proofErr w:type="spellEnd"/>
      <w:r w:rsidRPr="00E127AB">
        <w:rPr>
          <w:rFonts w:ascii="Book Antiqua" w:eastAsia="宋体" w:hAnsi="Book Antiqua" w:cs="宋体"/>
          <w:color w:val="000000"/>
        </w:rPr>
        <w:t xml:space="preserve"> T, Sahar D, Hertz E, Sabo E, </w:t>
      </w:r>
      <w:proofErr w:type="spellStart"/>
      <w:r w:rsidRPr="00E127AB">
        <w:rPr>
          <w:rFonts w:ascii="Book Antiqua" w:eastAsia="宋体" w:hAnsi="Book Antiqua" w:cs="宋体"/>
          <w:color w:val="000000"/>
        </w:rPr>
        <w:t>Reisner</w:t>
      </w:r>
      <w:proofErr w:type="spellEnd"/>
      <w:r w:rsidRPr="00E127AB">
        <w:rPr>
          <w:rFonts w:ascii="Book Antiqua" w:eastAsia="宋体" w:hAnsi="Book Antiqua" w:cs="宋体"/>
          <w:color w:val="000000"/>
        </w:rPr>
        <w:t xml:space="preserve"> Y, Rowe JM. Allogeneic stem cell transplantation for patients with chronic myeloid leukemia: risk stratified approach with a long-term follow-up. </w:t>
      </w:r>
      <w:r w:rsidRPr="00E127AB">
        <w:rPr>
          <w:rFonts w:ascii="Book Antiqua" w:eastAsia="宋体" w:hAnsi="Book Antiqua" w:cs="宋体"/>
          <w:i/>
          <w:iCs/>
          <w:color w:val="000000"/>
        </w:rPr>
        <w:t xml:space="preserve">Am J </w:t>
      </w:r>
      <w:proofErr w:type="spellStart"/>
      <w:r w:rsidRPr="00E127AB">
        <w:rPr>
          <w:rFonts w:ascii="Book Antiqua" w:eastAsia="宋体" w:hAnsi="Book Antiqua" w:cs="宋体"/>
          <w:i/>
          <w:iCs/>
          <w:color w:val="000000"/>
        </w:rPr>
        <w:t>Hematol</w:t>
      </w:r>
      <w:proofErr w:type="spellEnd"/>
      <w:r w:rsidRPr="00E127AB">
        <w:rPr>
          <w:rFonts w:ascii="Book Antiqua" w:eastAsia="宋体" w:hAnsi="Book Antiqua" w:cs="宋体"/>
          <w:color w:val="000000"/>
        </w:rPr>
        <w:t> 2012; </w:t>
      </w:r>
      <w:r w:rsidRPr="00E127AB">
        <w:rPr>
          <w:rFonts w:ascii="Book Antiqua" w:eastAsia="宋体" w:hAnsi="Book Antiqua" w:cs="宋体"/>
          <w:b/>
          <w:bCs/>
          <w:color w:val="000000"/>
        </w:rPr>
        <w:t>87</w:t>
      </w:r>
      <w:r w:rsidRPr="00E127AB">
        <w:rPr>
          <w:rFonts w:ascii="Book Antiqua" w:eastAsia="宋体" w:hAnsi="Book Antiqua" w:cs="宋体"/>
          <w:color w:val="000000"/>
        </w:rPr>
        <w:t>: 875-879 [PMID: 22847303 DOI: 10.1002/ajh.23263]</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54 </w:t>
      </w:r>
      <w:proofErr w:type="spellStart"/>
      <w:r w:rsidRPr="00E127AB">
        <w:rPr>
          <w:rFonts w:ascii="Book Antiqua" w:eastAsia="宋体" w:hAnsi="Book Antiqua" w:cs="宋体"/>
          <w:b/>
          <w:bCs/>
          <w:color w:val="000000"/>
        </w:rPr>
        <w:t>Poiré</w:t>
      </w:r>
      <w:proofErr w:type="spellEnd"/>
      <w:r w:rsidRPr="00E127AB">
        <w:rPr>
          <w:rFonts w:ascii="Book Antiqua" w:eastAsia="宋体" w:hAnsi="Book Antiqua" w:cs="宋体"/>
          <w:b/>
          <w:bCs/>
          <w:color w:val="000000"/>
        </w:rPr>
        <w:t xml:space="preserve"> X</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Artz</w:t>
      </w:r>
      <w:proofErr w:type="spellEnd"/>
      <w:r w:rsidRPr="00E127AB">
        <w:rPr>
          <w:rFonts w:ascii="Book Antiqua" w:eastAsia="宋体" w:hAnsi="Book Antiqua" w:cs="宋体"/>
          <w:color w:val="000000"/>
        </w:rPr>
        <w:t xml:space="preserve"> A, Larson RA, Kline J, </w:t>
      </w:r>
      <w:proofErr w:type="spellStart"/>
      <w:r w:rsidRPr="00E127AB">
        <w:rPr>
          <w:rFonts w:ascii="Book Antiqua" w:eastAsia="宋体" w:hAnsi="Book Antiqua" w:cs="宋体"/>
          <w:color w:val="000000"/>
        </w:rPr>
        <w:t>Odenike</w:t>
      </w:r>
      <w:proofErr w:type="spellEnd"/>
      <w:r w:rsidRPr="00E127AB">
        <w:rPr>
          <w:rFonts w:ascii="Book Antiqua" w:eastAsia="宋体" w:hAnsi="Book Antiqua" w:cs="宋体"/>
          <w:color w:val="000000"/>
        </w:rPr>
        <w:t xml:space="preserve"> O, Rich E, Godley L, Stock W, van </w:t>
      </w:r>
      <w:proofErr w:type="spellStart"/>
      <w:r w:rsidRPr="00E127AB">
        <w:rPr>
          <w:rFonts w:ascii="Book Antiqua" w:eastAsia="宋体" w:hAnsi="Book Antiqua" w:cs="宋体"/>
          <w:color w:val="000000"/>
        </w:rPr>
        <w:t>Besien</w:t>
      </w:r>
      <w:proofErr w:type="spellEnd"/>
      <w:r w:rsidRPr="00E127AB">
        <w:rPr>
          <w:rFonts w:ascii="Book Antiqua" w:eastAsia="宋体" w:hAnsi="Book Antiqua" w:cs="宋体"/>
          <w:color w:val="000000"/>
        </w:rPr>
        <w:t xml:space="preserve"> K. Allogeneic stem cell transplantation with </w:t>
      </w:r>
      <w:proofErr w:type="spellStart"/>
      <w:r w:rsidRPr="00E127AB">
        <w:rPr>
          <w:rFonts w:ascii="Book Antiqua" w:eastAsia="宋体" w:hAnsi="Book Antiqua" w:cs="宋体"/>
          <w:color w:val="000000"/>
        </w:rPr>
        <w:t>alemtuzumab</w:t>
      </w:r>
      <w:proofErr w:type="spellEnd"/>
      <w:r w:rsidRPr="00E127AB">
        <w:rPr>
          <w:rFonts w:ascii="Book Antiqua" w:eastAsia="宋体" w:hAnsi="Book Antiqua" w:cs="宋体"/>
          <w:color w:val="000000"/>
        </w:rPr>
        <w:t>-based conditioning for patients with advanced chronic myelogenous leukemia. </w:t>
      </w:r>
      <w:proofErr w:type="spellStart"/>
      <w:r w:rsidRPr="00E127AB">
        <w:rPr>
          <w:rFonts w:ascii="Book Antiqua" w:eastAsia="宋体" w:hAnsi="Book Antiqua" w:cs="宋体"/>
          <w:i/>
          <w:iCs/>
          <w:color w:val="000000"/>
        </w:rPr>
        <w:t>Leuk</w:t>
      </w:r>
      <w:proofErr w:type="spellEnd"/>
      <w:r w:rsidRPr="00E127AB">
        <w:rPr>
          <w:rFonts w:ascii="Book Antiqua" w:eastAsia="宋体" w:hAnsi="Book Antiqua" w:cs="宋体"/>
          <w:i/>
          <w:iCs/>
          <w:color w:val="000000"/>
        </w:rPr>
        <w:t xml:space="preserve"> Lymphoma</w:t>
      </w:r>
      <w:r w:rsidRPr="00E127AB">
        <w:rPr>
          <w:rFonts w:ascii="Book Antiqua" w:eastAsia="宋体" w:hAnsi="Book Antiqua" w:cs="宋体"/>
          <w:color w:val="000000"/>
        </w:rPr>
        <w:t> 2009; </w:t>
      </w:r>
      <w:r w:rsidRPr="00E127AB">
        <w:rPr>
          <w:rFonts w:ascii="Book Antiqua" w:eastAsia="宋体" w:hAnsi="Book Antiqua" w:cs="宋体"/>
          <w:b/>
          <w:bCs/>
          <w:color w:val="000000"/>
        </w:rPr>
        <w:t>50</w:t>
      </w:r>
      <w:r w:rsidRPr="00E127AB">
        <w:rPr>
          <w:rFonts w:ascii="Book Antiqua" w:eastAsia="宋体" w:hAnsi="Book Antiqua" w:cs="宋体"/>
          <w:color w:val="000000"/>
        </w:rPr>
        <w:t>: 85-91 [PMID: 19142796 DOI: 10.1080/10428190802626624]</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55 </w:t>
      </w:r>
      <w:proofErr w:type="spellStart"/>
      <w:r w:rsidRPr="00E127AB">
        <w:rPr>
          <w:rFonts w:ascii="Book Antiqua" w:eastAsia="宋体" w:hAnsi="Book Antiqua" w:cs="宋体"/>
          <w:b/>
          <w:bCs/>
          <w:color w:val="000000"/>
        </w:rPr>
        <w:t>Olavarria</w:t>
      </w:r>
      <w:proofErr w:type="spellEnd"/>
      <w:r w:rsidRPr="00E127AB">
        <w:rPr>
          <w:rFonts w:ascii="Book Antiqua" w:eastAsia="宋体" w:hAnsi="Book Antiqua" w:cs="宋体"/>
          <w:b/>
          <w:bCs/>
          <w:color w:val="000000"/>
        </w:rPr>
        <w:t xml:space="preserve"> E</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Ottmann</w:t>
      </w:r>
      <w:proofErr w:type="spellEnd"/>
      <w:r w:rsidRPr="00E127AB">
        <w:rPr>
          <w:rFonts w:ascii="Book Antiqua" w:eastAsia="宋体" w:hAnsi="Book Antiqua" w:cs="宋体"/>
          <w:color w:val="000000"/>
        </w:rPr>
        <w:t xml:space="preserve"> OG, </w:t>
      </w:r>
      <w:proofErr w:type="spellStart"/>
      <w:r w:rsidRPr="00E127AB">
        <w:rPr>
          <w:rFonts w:ascii="Book Antiqua" w:eastAsia="宋体" w:hAnsi="Book Antiqua" w:cs="宋体"/>
          <w:color w:val="000000"/>
        </w:rPr>
        <w:t>Deininger</w:t>
      </w:r>
      <w:proofErr w:type="spellEnd"/>
      <w:r w:rsidRPr="00E127AB">
        <w:rPr>
          <w:rFonts w:ascii="Book Antiqua" w:eastAsia="宋体" w:hAnsi="Book Antiqua" w:cs="宋体"/>
          <w:color w:val="000000"/>
        </w:rPr>
        <w:t xml:space="preserve"> M, Clark RE, Bandini G, Byrne J, Lipton J, </w:t>
      </w:r>
      <w:proofErr w:type="spellStart"/>
      <w:r w:rsidRPr="00E127AB">
        <w:rPr>
          <w:rFonts w:ascii="Book Antiqua" w:eastAsia="宋体" w:hAnsi="Book Antiqua" w:cs="宋体"/>
          <w:color w:val="000000"/>
        </w:rPr>
        <w:t>Vitek</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Michallet</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Siegert</w:t>
      </w:r>
      <w:proofErr w:type="spellEnd"/>
      <w:r w:rsidRPr="00E127AB">
        <w:rPr>
          <w:rFonts w:ascii="Book Antiqua" w:eastAsia="宋体" w:hAnsi="Book Antiqua" w:cs="宋体"/>
          <w:color w:val="000000"/>
        </w:rPr>
        <w:t xml:space="preserve"> W, Ullmann A, </w:t>
      </w:r>
      <w:proofErr w:type="spellStart"/>
      <w:r w:rsidRPr="00E127AB">
        <w:rPr>
          <w:rFonts w:ascii="Book Antiqua" w:eastAsia="宋体" w:hAnsi="Book Antiqua" w:cs="宋体"/>
          <w:color w:val="000000"/>
        </w:rPr>
        <w:t>Wassmann</w:t>
      </w:r>
      <w:proofErr w:type="spellEnd"/>
      <w:r w:rsidRPr="00E127AB">
        <w:rPr>
          <w:rFonts w:ascii="Book Antiqua" w:eastAsia="宋体" w:hAnsi="Book Antiqua" w:cs="宋体"/>
          <w:color w:val="000000"/>
        </w:rPr>
        <w:t xml:space="preserve"> B, </w:t>
      </w:r>
      <w:proofErr w:type="spellStart"/>
      <w:r w:rsidRPr="00E127AB">
        <w:rPr>
          <w:rFonts w:ascii="Book Antiqua" w:eastAsia="宋体" w:hAnsi="Book Antiqua" w:cs="宋体"/>
          <w:color w:val="000000"/>
        </w:rPr>
        <w:t>Niederwieser</w:t>
      </w:r>
      <w:proofErr w:type="spellEnd"/>
      <w:r w:rsidRPr="00E127AB">
        <w:rPr>
          <w:rFonts w:ascii="Book Antiqua" w:eastAsia="宋体" w:hAnsi="Book Antiqua" w:cs="宋体"/>
          <w:color w:val="000000"/>
        </w:rPr>
        <w:t xml:space="preserve"> D, Fischer T. Response to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in patients who relapse after allogeneic stem cell transplantation for chronic myeloid leukemia. </w:t>
      </w:r>
      <w:r w:rsidRPr="00E127AB">
        <w:rPr>
          <w:rFonts w:ascii="Book Antiqua" w:eastAsia="宋体" w:hAnsi="Book Antiqua" w:cs="宋体"/>
          <w:i/>
          <w:iCs/>
          <w:color w:val="000000"/>
        </w:rPr>
        <w:t>Leukemia</w:t>
      </w:r>
      <w:r w:rsidRPr="00E127AB">
        <w:rPr>
          <w:rFonts w:ascii="Book Antiqua" w:eastAsia="宋体" w:hAnsi="Book Antiqua" w:cs="宋体"/>
          <w:color w:val="000000"/>
        </w:rPr>
        <w:t> 2003; </w:t>
      </w:r>
      <w:r w:rsidRPr="00E127AB">
        <w:rPr>
          <w:rFonts w:ascii="Book Antiqua" w:eastAsia="宋体" w:hAnsi="Book Antiqua" w:cs="宋体"/>
          <w:b/>
          <w:bCs/>
          <w:color w:val="000000"/>
        </w:rPr>
        <w:t>17</w:t>
      </w:r>
      <w:r w:rsidRPr="00E127AB">
        <w:rPr>
          <w:rFonts w:ascii="Book Antiqua" w:eastAsia="宋体" w:hAnsi="Book Antiqua" w:cs="宋体"/>
          <w:color w:val="000000"/>
        </w:rPr>
        <w:t>: 1707-1712 [PMID: 12970768 DOI: 10.1038/sj.leu.2403068]</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56 </w:t>
      </w:r>
      <w:r w:rsidRPr="00E127AB">
        <w:rPr>
          <w:rFonts w:ascii="Book Antiqua" w:eastAsia="宋体" w:hAnsi="Book Antiqua" w:cs="宋体"/>
          <w:b/>
          <w:bCs/>
          <w:color w:val="000000"/>
        </w:rPr>
        <w:t>Kim YJ</w:t>
      </w:r>
      <w:r w:rsidRPr="00E127AB">
        <w:rPr>
          <w:rFonts w:ascii="Book Antiqua" w:eastAsia="宋体" w:hAnsi="Book Antiqua" w:cs="宋体"/>
          <w:color w:val="000000"/>
        </w:rPr>
        <w:t xml:space="preserve">, Kim DW, Lee S, Kim YL, Hwang JY, Park YH, Kim HJ, Lee JW, Min WS, Kim CC. Cytogenetic clonal evolution alone in CML relapse post-transplantation does not adversely affect response to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mesylate</w:t>
      </w:r>
      <w:proofErr w:type="spellEnd"/>
      <w:r w:rsidRPr="00E127AB">
        <w:rPr>
          <w:rFonts w:ascii="Book Antiqua" w:eastAsia="宋体" w:hAnsi="Book Antiqua" w:cs="宋体"/>
          <w:color w:val="000000"/>
        </w:rPr>
        <w:t xml:space="preserve"> treatment. </w:t>
      </w:r>
      <w:r w:rsidRPr="00E127AB">
        <w:rPr>
          <w:rFonts w:ascii="Book Antiqua" w:eastAsia="宋体" w:hAnsi="Book Antiqua" w:cs="宋体"/>
          <w:i/>
          <w:iCs/>
          <w:color w:val="000000"/>
        </w:rPr>
        <w:t>Bone Marrow Transplant</w:t>
      </w:r>
      <w:r w:rsidRPr="00E127AB">
        <w:rPr>
          <w:rFonts w:ascii="Book Antiqua" w:eastAsia="宋体" w:hAnsi="Book Antiqua" w:cs="宋体"/>
          <w:color w:val="000000"/>
        </w:rPr>
        <w:t> 2004; </w:t>
      </w:r>
      <w:r w:rsidRPr="00E127AB">
        <w:rPr>
          <w:rFonts w:ascii="Book Antiqua" w:eastAsia="宋体" w:hAnsi="Book Antiqua" w:cs="宋体"/>
          <w:b/>
          <w:bCs/>
          <w:color w:val="000000"/>
        </w:rPr>
        <w:t>33</w:t>
      </w:r>
      <w:r w:rsidRPr="00E127AB">
        <w:rPr>
          <w:rFonts w:ascii="Book Antiqua" w:eastAsia="宋体" w:hAnsi="Book Antiqua" w:cs="宋体"/>
          <w:color w:val="000000"/>
        </w:rPr>
        <w:t>: 237-242 [PMID: 14628081 DOI: 10.1038/sj.bmt.1704332]</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57 </w:t>
      </w:r>
      <w:proofErr w:type="spellStart"/>
      <w:r w:rsidRPr="00E127AB">
        <w:rPr>
          <w:rFonts w:ascii="Book Antiqua" w:eastAsia="宋体" w:hAnsi="Book Antiqua" w:cs="宋体"/>
          <w:b/>
          <w:bCs/>
          <w:color w:val="000000"/>
        </w:rPr>
        <w:t>DeAngelo</w:t>
      </w:r>
      <w:proofErr w:type="spellEnd"/>
      <w:r w:rsidRPr="00E127AB">
        <w:rPr>
          <w:rFonts w:ascii="Book Antiqua" w:eastAsia="宋体" w:hAnsi="Book Antiqua" w:cs="宋体"/>
          <w:b/>
          <w:bCs/>
          <w:color w:val="000000"/>
        </w:rPr>
        <w:t xml:space="preserve"> DJ</w:t>
      </w:r>
      <w:r w:rsidRPr="00E127AB">
        <w:rPr>
          <w:rFonts w:ascii="Book Antiqua" w:eastAsia="宋体" w:hAnsi="Book Antiqua" w:cs="宋体"/>
          <w:color w:val="000000"/>
        </w:rPr>
        <w:t xml:space="preserve">, Hochberg EP, </w:t>
      </w:r>
      <w:proofErr w:type="spellStart"/>
      <w:r w:rsidRPr="00E127AB">
        <w:rPr>
          <w:rFonts w:ascii="Book Antiqua" w:eastAsia="宋体" w:hAnsi="Book Antiqua" w:cs="宋体"/>
          <w:color w:val="000000"/>
        </w:rPr>
        <w:t>Alyea</w:t>
      </w:r>
      <w:proofErr w:type="spellEnd"/>
      <w:r w:rsidRPr="00E127AB">
        <w:rPr>
          <w:rFonts w:ascii="Book Antiqua" w:eastAsia="宋体" w:hAnsi="Book Antiqua" w:cs="宋体"/>
          <w:color w:val="000000"/>
        </w:rPr>
        <w:t xml:space="preserve"> EP, </w:t>
      </w:r>
      <w:proofErr w:type="spellStart"/>
      <w:r w:rsidRPr="00E127AB">
        <w:rPr>
          <w:rFonts w:ascii="Book Antiqua" w:eastAsia="宋体" w:hAnsi="Book Antiqua" w:cs="宋体"/>
          <w:color w:val="000000"/>
        </w:rPr>
        <w:t>Longtine</w:t>
      </w:r>
      <w:proofErr w:type="spellEnd"/>
      <w:r w:rsidRPr="00E127AB">
        <w:rPr>
          <w:rFonts w:ascii="Book Antiqua" w:eastAsia="宋体" w:hAnsi="Book Antiqua" w:cs="宋体"/>
          <w:color w:val="000000"/>
        </w:rPr>
        <w:t xml:space="preserve"> J, Lee S, </w:t>
      </w:r>
      <w:proofErr w:type="spellStart"/>
      <w:r w:rsidRPr="00E127AB">
        <w:rPr>
          <w:rFonts w:ascii="Book Antiqua" w:eastAsia="宋体" w:hAnsi="Book Antiqua" w:cs="宋体"/>
          <w:color w:val="000000"/>
        </w:rPr>
        <w:t>Galinsky</w:t>
      </w:r>
      <w:proofErr w:type="spellEnd"/>
      <w:r w:rsidRPr="00E127AB">
        <w:rPr>
          <w:rFonts w:ascii="Book Antiqua" w:eastAsia="宋体" w:hAnsi="Book Antiqua" w:cs="宋体"/>
          <w:color w:val="000000"/>
        </w:rPr>
        <w:t xml:space="preserve"> I, </w:t>
      </w:r>
      <w:proofErr w:type="spellStart"/>
      <w:r w:rsidRPr="00E127AB">
        <w:rPr>
          <w:rFonts w:ascii="Book Antiqua" w:eastAsia="宋体" w:hAnsi="Book Antiqua" w:cs="宋体"/>
          <w:color w:val="000000"/>
        </w:rPr>
        <w:t>Parekkedon</w:t>
      </w:r>
      <w:proofErr w:type="spellEnd"/>
      <w:r w:rsidRPr="00E127AB">
        <w:rPr>
          <w:rFonts w:ascii="Book Antiqua" w:eastAsia="宋体" w:hAnsi="Book Antiqua" w:cs="宋体"/>
          <w:color w:val="000000"/>
        </w:rPr>
        <w:t xml:space="preserve"> B, Ritz J, </w:t>
      </w:r>
      <w:proofErr w:type="spellStart"/>
      <w:r w:rsidRPr="00E127AB">
        <w:rPr>
          <w:rFonts w:ascii="Book Antiqua" w:eastAsia="宋体" w:hAnsi="Book Antiqua" w:cs="宋体"/>
          <w:color w:val="000000"/>
        </w:rPr>
        <w:t>Antin</w:t>
      </w:r>
      <w:proofErr w:type="spellEnd"/>
      <w:r w:rsidRPr="00E127AB">
        <w:rPr>
          <w:rFonts w:ascii="Book Antiqua" w:eastAsia="宋体" w:hAnsi="Book Antiqua" w:cs="宋体"/>
          <w:color w:val="000000"/>
        </w:rPr>
        <w:t xml:space="preserve"> JH, Stone RM, </w:t>
      </w:r>
      <w:proofErr w:type="spellStart"/>
      <w:r w:rsidRPr="00E127AB">
        <w:rPr>
          <w:rFonts w:ascii="Book Antiqua" w:eastAsia="宋体" w:hAnsi="Book Antiqua" w:cs="宋体"/>
          <w:color w:val="000000"/>
        </w:rPr>
        <w:t>Soiffer</w:t>
      </w:r>
      <w:proofErr w:type="spellEnd"/>
      <w:r w:rsidRPr="00E127AB">
        <w:rPr>
          <w:rFonts w:ascii="Book Antiqua" w:eastAsia="宋体" w:hAnsi="Book Antiqua" w:cs="宋体"/>
          <w:color w:val="000000"/>
        </w:rPr>
        <w:t xml:space="preserve"> RJ. Extended follow-up of patients treated with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mesylate</w:t>
      </w:r>
      <w:proofErr w:type="spellEnd"/>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gleevec</w:t>
      </w:r>
      <w:proofErr w:type="spellEnd"/>
      <w:r w:rsidRPr="00E127AB">
        <w:rPr>
          <w:rFonts w:ascii="Book Antiqua" w:eastAsia="宋体" w:hAnsi="Book Antiqua" w:cs="宋体"/>
          <w:color w:val="000000"/>
        </w:rPr>
        <w:t xml:space="preserve">) for chronic myelogenous leukemia relapse after allogeneic transplantation: durable cytogenetic remission and conversion to complete donor </w:t>
      </w:r>
      <w:proofErr w:type="spellStart"/>
      <w:r w:rsidRPr="00E127AB">
        <w:rPr>
          <w:rFonts w:ascii="Book Antiqua" w:eastAsia="宋体" w:hAnsi="Book Antiqua" w:cs="宋体"/>
          <w:color w:val="000000"/>
        </w:rPr>
        <w:t>chimerism</w:t>
      </w:r>
      <w:proofErr w:type="spellEnd"/>
      <w:r w:rsidRPr="00E127AB">
        <w:rPr>
          <w:rFonts w:ascii="Book Antiqua" w:eastAsia="宋体" w:hAnsi="Book Antiqua" w:cs="宋体"/>
          <w:color w:val="000000"/>
        </w:rPr>
        <w:t xml:space="preserve"> without graft-versus-host disease. </w:t>
      </w:r>
      <w:proofErr w:type="spellStart"/>
      <w:r w:rsidRPr="00E127AB">
        <w:rPr>
          <w:rFonts w:ascii="Book Antiqua" w:eastAsia="宋体" w:hAnsi="Book Antiqua" w:cs="宋体"/>
          <w:i/>
          <w:iCs/>
          <w:color w:val="000000"/>
        </w:rPr>
        <w:t>Clin</w:t>
      </w:r>
      <w:proofErr w:type="spellEnd"/>
      <w:r w:rsidRPr="00E127AB">
        <w:rPr>
          <w:rFonts w:ascii="Book Antiqua" w:eastAsia="宋体" w:hAnsi="Book Antiqua" w:cs="宋体"/>
          <w:i/>
          <w:iCs/>
          <w:color w:val="000000"/>
        </w:rPr>
        <w:t xml:space="preserve"> Cancer Res</w:t>
      </w:r>
      <w:r w:rsidRPr="00E127AB">
        <w:rPr>
          <w:rFonts w:ascii="Book Antiqua" w:eastAsia="宋体" w:hAnsi="Book Antiqua" w:cs="宋体"/>
          <w:color w:val="000000"/>
        </w:rPr>
        <w:t> 2004; </w:t>
      </w:r>
      <w:r w:rsidRPr="00E127AB">
        <w:rPr>
          <w:rFonts w:ascii="Book Antiqua" w:eastAsia="宋体" w:hAnsi="Book Antiqua" w:cs="宋体"/>
          <w:b/>
          <w:bCs/>
          <w:color w:val="000000"/>
        </w:rPr>
        <w:t>10</w:t>
      </w:r>
      <w:r w:rsidRPr="00E127AB">
        <w:rPr>
          <w:rFonts w:ascii="Book Antiqua" w:eastAsia="宋体" w:hAnsi="Book Antiqua" w:cs="宋体"/>
          <w:color w:val="000000"/>
        </w:rPr>
        <w:t>: 5065-5071 [PMID: 15297408 DOI: 10.1158/1078-0432.CCR-03-0580]</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58 </w:t>
      </w:r>
      <w:proofErr w:type="spellStart"/>
      <w:r w:rsidRPr="00E127AB">
        <w:rPr>
          <w:rFonts w:ascii="Book Antiqua" w:eastAsia="宋体" w:hAnsi="Book Antiqua" w:cs="宋体"/>
          <w:b/>
          <w:bCs/>
          <w:color w:val="000000"/>
        </w:rPr>
        <w:t>Kantarjian</w:t>
      </w:r>
      <w:proofErr w:type="spellEnd"/>
      <w:r w:rsidRPr="00E127AB">
        <w:rPr>
          <w:rFonts w:ascii="Book Antiqua" w:eastAsia="宋体" w:hAnsi="Book Antiqua" w:cs="宋体"/>
          <w:b/>
          <w:bCs/>
          <w:color w:val="000000"/>
        </w:rPr>
        <w:t xml:space="preserve"> HM</w:t>
      </w:r>
      <w:r w:rsidRPr="00E127AB">
        <w:rPr>
          <w:rFonts w:ascii="Book Antiqua" w:eastAsia="宋体" w:hAnsi="Book Antiqua" w:cs="宋体"/>
          <w:color w:val="000000"/>
        </w:rPr>
        <w:t xml:space="preserve">, O'Brien S, Cortes JE, Giralt SA, Rios MB, Shan J, Giles FJ, Thomas DA, </w:t>
      </w:r>
      <w:proofErr w:type="spellStart"/>
      <w:r w:rsidRPr="00E127AB">
        <w:rPr>
          <w:rFonts w:ascii="Book Antiqua" w:eastAsia="宋体" w:hAnsi="Book Antiqua" w:cs="宋体"/>
          <w:color w:val="000000"/>
        </w:rPr>
        <w:t>Faderl</w:t>
      </w:r>
      <w:proofErr w:type="spellEnd"/>
      <w:r w:rsidRPr="00E127AB">
        <w:rPr>
          <w:rFonts w:ascii="Book Antiqua" w:eastAsia="宋体" w:hAnsi="Book Antiqua" w:cs="宋体"/>
          <w:color w:val="000000"/>
        </w:rPr>
        <w:t xml:space="preserve"> S, De Lima M, Garcia-</w:t>
      </w:r>
      <w:proofErr w:type="spellStart"/>
      <w:r w:rsidRPr="00E127AB">
        <w:rPr>
          <w:rFonts w:ascii="Book Antiqua" w:eastAsia="宋体" w:hAnsi="Book Antiqua" w:cs="宋体"/>
          <w:color w:val="000000"/>
        </w:rPr>
        <w:t>Manero</w:t>
      </w:r>
      <w:proofErr w:type="spellEnd"/>
      <w:r w:rsidRPr="00E127AB">
        <w:rPr>
          <w:rFonts w:ascii="Book Antiqua" w:eastAsia="宋体" w:hAnsi="Book Antiqua" w:cs="宋体"/>
          <w:color w:val="000000"/>
        </w:rPr>
        <w:t xml:space="preserve"> G, </w:t>
      </w:r>
      <w:proofErr w:type="spellStart"/>
      <w:r w:rsidRPr="00E127AB">
        <w:rPr>
          <w:rFonts w:ascii="Book Antiqua" w:eastAsia="宋体" w:hAnsi="Book Antiqua" w:cs="宋体"/>
          <w:color w:val="000000"/>
        </w:rPr>
        <w:t>Champlin</w:t>
      </w:r>
      <w:proofErr w:type="spellEnd"/>
      <w:r w:rsidRPr="00E127AB">
        <w:rPr>
          <w:rFonts w:ascii="Book Antiqua" w:eastAsia="宋体" w:hAnsi="Book Antiqua" w:cs="宋体"/>
          <w:color w:val="000000"/>
        </w:rPr>
        <w:t xml:space="preserve"> R, </w:t>
      </w:r>
      <w:proofErr w:type="spellStart"/>
      <w:r w:rsidRPr="00E127AB">
        <w:rPr>
          <w:rFonts w:ascii="Book Antiqua" w:eastAsia="宋体" w:hAnsi="Book Antiqua" w:cs="宋体"/>
          <w:color w:val="000000"/>
        </w:rPr>
        <w:t>Arlinghaus</w:t>
      </w:r>
      <w:proofErr w:type="spellEnd"/>
      <w:r w:rsidRPr="00E127AB">
        <w:rPr>
          <w:rFonts w:ascii="Book Antiqua" w:eastAsia="宋体" w:hAnsi="Book Antiqua" w:cs="宋体"/>
          <w:color w:val="000000"/>
        </w:rPr>
        <w:t xml:space="preserve"> R, </w:t>
      </w:r>
      <w:proofErr w:type="spellStart"/>
      <w:r w:rsidRPr="00E127AB">
        <w:rPr>
          <w:rFonts w:ascii="Book Antiqua" w:eastAsia="宋体" w:hAnsi="Book Antiqua" w:cs="宋体"/>
          <w:color w:val="000000"/>
        </w:rPr>
        <w:t>Talpaz</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lastRenderedPageBreak/>
        <w:t>Imatinib</w:t>
      </w:r>
      <w:proofErr w:type="spellEnd"/>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mesylate</w:t>
      </w:r>
      <w:proofErr w:type="spellEnd"/>
      <w:r w:rsidRPr="00E127AB">
        <w:rPr>
          <w:rFonts w:ascii="Book Antiqua" w:eastAsia="宋体" w:hAnsi="Book Antiqua" w:cs="宋体"/>
          <w:color w:val="000000"/>
        </w:rPr>
        <w:t xml:space="preserve"> therapy for relapse after allogeneic stem cell transplantation for chronic myelogenous leukemia. </w:t>
      </w:r>
      <w:r w:rsidRPr="00E127AB">
        <w:rPr>
          <w:rFonts w:ascii="Book Antiqua" w:eastAsia="宋体" w:hAnsi="Book Antiqua" w:cs="宋体"/>
          <w:i/>
          <w:iCs/>
          <w:color w:val="000000"/>
        </w:rPr>
        <w:t>Blood</w:t>
      </w:r>
      <w:r w:rsidRPr="00E127AB">
        <w:rPr>
          <w:rFonts w:ascii="Book Antiqua" w:eastAsia="宋体" w:hAnsi="Book Antiqua" w:cs="宋体"/>
          <w:color w:val="000000"/>
        </w:rPr>
        <w:t> 2002; </w:t>
      </w:r>
      <w:r w:rsidRPr="00E127AB">
        <w:rPr>
          <w:rFonts w:ascii="Book Antiqua" w:eastAsia="宋体" w:hAnsi="Book Antiqua" w:cs="宋体"/>
          <w:b/>
          <w:bCs/>
          <w:color w:val="000000"/>
        </w:rPr>
        <w:t>100</w:t>
      </w:r>
      <w:r w:rsidRPr="00E127AB">
        <w:rPr>
          <w:rFonts w:ascii="Book Antiqua" w:eastAsia="宋体" w:hAnsi="Book Antiqua" w:cs="宋体"/>
          <w:color w:val="000000"/>
        </w:rPr>
        <w:t>: 1590-1595 [PMID: 12176876]</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59 </w:t>
      </w:r>
      <w:proofErr w:type="spellStart"/>
      <w:r w:rsidRPr="00E127AB">
        <w:rPr>
          <w:rFonts w:ascii="Book Antiqua" w:eastAsia="宋体" w:hAnsi="Book Antiqua" w:cs="宋体"/>
          <w:b/>
          <w:bCs/>
          <w:color w:val="000000"/>
        </w:rPr>
        <w:t>Savani</w:t>
      </w:r>
      <w:proofErr w:type="spellEnd"/>
      <w:r w:rsidRPr="00E127AB">
        <w:rPr>
          <w:rFonts w:ascii="Book Antiqua" w:eastAsia="宋体" w:hAnsi="Book Antiqua" w:cs="宋体"/>
          <w:b/>
          <w:bCs/>
          <w:color w:val="000000"/>
        </w:rPr>
        <w:t xml:space="preserve"> BN</w:t>
      </w:r>
      <w:r w:rsidRPr="00E127AB">
        <w:rPr>
          <w:rFonts w:ascii="Book Antiqua" w:eastAsia="宋体" w:hAnsi="Book Antiqua" w:cs="宋体"/>
          <w:color w:val="000000"/>
        </w:rPr>
        <w:t xml:space="preserve">, Montero A, </w:t>
      </w:r>
      <w:proofErr w:type="spellStart"/>
      <w:r w:rsidRPr="00E127AB">
        <w:rPr>
          <w:rFonts w:ascii="Book Antiqua" w:eastAsia="宋体" w:hAnsi="Book Antiqua" w:cs="宋体"/>
          <w:color w:val="000000"/>
        </w:rPr>
        <w:t>Kurlander</w:t>
      </w:r>
      <w:proofErr w:type="spellEnd"/>
      <w:r w:rsidRPr="00E127AB">
        <w:rPr>
          <w:rFonts w:ascii="Book Antiqua" w:eastAsia="宋体" w:hAnsi="Book Antiqua" w:cs="宋体"/>
          <w:color w:val="000000"/>
        </w:rPr>
        <w:t xml:space="preserve"> R, Childs R, Hensel N, Barrett AJ. </w:t>
      </w:r>
      <w:proofErr w:type="spellStart"/>
      <w:r w:rsidRPr="00E127AB">
        <w:rPr>
          <w:rFonts w:ascii="Book Antiqua" w:eastAsia="宋体" w:hAnsi="Book Antiqua" w:cs="宋体"/>
          <w:color w:val="000000"/>
        </w:rPr>
        <w:t>Imatinib</w:t>
      </w:r>
      <w:proofErr w:type="spellEnd"/>
      <w:r w:rsidRPr="00E127AB">
        <w:rPr>
          <w:rFonts w:ascii="Book Antiqua" w:eastAsia="宋体" w:hAnsi="Book Antiqua" w:cs="宋体"/>
          <w:color w:val="000000"/>
        </w:rPr>
        <w:t xml:space="preserve"> synergizes with donor lymphocyte infusions to achieve rapid molecular remission of CML relapsing after allogeneic stem cell transplantation. </w:t>
      </w:r>
      <w:r w:rsidRPr="00E127AB">
        <w:rPr>
          <w:rFonts w:ascii="Book Antiqua" w:eastAsia="宋体" w:hAnsi="Book Antiqua" w:cs="宋体"/>
          <w:i/>
          <w:iCs/>
          <w:color w:val="000000"/>
        </w:rPr>
        <w:t>Bone Marrow Transplant</w:t>
      </w:r>
      <w:r w:rsidRPr="00E127AB">
        <w:rPr>
          <w:rFonts w:ascii="Book Antiqua" w:eastAsia="宋体" w:hAnsi="Book Antiqua" w:cs="宋体"/>
          <w:color w:val="000000"/>
        </w:rPr>
        <w:t> 2005; </w:t>
      </w:r>
      <w:r w:rsidRPr="00E127AB">
        <w:rPr>
          <w:rFonts w:ascii="Book Antiqua" w:eastAsia="宋体" w:hAnsi="Book Antiqua" w:cs="宋体"/>
          <w:b/>
          <w:bCs/>
          <w:color w:val="000000"/>
        </w:rPr>
        <w:t>36</w:t>
      </w:r>
      <w:r w:rsidRPr="00E127AB">
        <w:rPr>
          <w:rFonts w:ascii="Book Antiqua" w:eastAsia="宋体" w:hAnsi="Book Antiqua" w:cs="宋体"/>
          <w:color w:val="000000"/>
        </w:rPr>
        <w:t>: 1009-1015 [PMID: 16205732 DOI: 10.1038/sj.bmt.1705167]</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60 </w:t>
      </w:r>
      <w:proofErr w:type="spellStart"/>
      <w:r w:rsidRPr="00E127AB">
        <w:rPr>
          <w:rFonts w:ascii="Book Antiqua" w:eastAsia="宋体" w:hAnsi="Book Antiqua" w:cs="宋体"/>
          <w:b/>
          <w:bCs/>
          <w:color w:val="000000"/>
        </w:rPr>
        <w:t>Radujkovic</w:t>
      </w:r>
      <w:proofErr w:type="spellEnd"/>
      <w:r w:rsidRPr="00E127AB">
        <w:rPr>
          <w:rFonts w:ascii="Book Antiqua" w:eastAsia="宋体" w:hAnsi="Book Antiqua" w:cs="宋体"/>
          <w:b/>
          <w:bCs/>
          <w:color w:val="000000"/>
        </w:rPr>
        <w:t xml:space="preserve"> A</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Guglielmi</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Bergantini</w:t>
      </w:r>
      <w:proofErr w:type="spellEnd"/>
      <w:r w:rsidRPr="00E127AB">
        <w:rPr>
          <w:rFonts w:ascii="Book Antiqua" w:eastAsia="宋体" w:hAnsi="Book Antiqua" w:cs="宋体"/>
          <w:color w:val="000000"/>
        </w:rPr>
        <w:t xml:space="preserve"> S, </w:t>
      </w:r>
      <w:proofErr w:type="spellStart"/>
      <w:r w:rsidRPr="00E127AB">
        <w:rPr>
          <w:rFonts w:ascii="Book Antiqua" w:eastAsia="宋体" w:hAnsi="Book Antiqua" w:cs="宋体"/>
          <w:color w:val="000000"/>
        </w:rPr>
        <w:t>Iacobelli</w:t>
      </w:r>
      <w:proofErr w:type="spellEnd"/>
      <w:r w:rsidRPr="00E127AB">
        <w:rPr>
          <w:rFonts w:ascii="Book Antiqua" w:eastAsia="宋体" w:hAnsi="Book Antiqua" w:cs="宋体"/>
          <w:color w:val="000000"/>
        </w:rPr>
        <w:t xml:space="preserve"> S, van </w:t>
      </w:r>
      <w:proofErr w:type="spellStart"/>
      <w:r w:rsidRPr="00E127AB">
        <w:rPr>
          <w:rFonts w:ascii="Book Antiqua" w:eastAsia="宋体" w:hAnsi="Book Antiqua" w:cs="宋体"/>
          <w:color w:val="000000"/>
        </w:rPr>
        <w:t>Biezen</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Milojkovic</w:t>
      </w:r>
      <w:proofErr w:type="spellEnd"/>
      <w:r w:rsidRPr="00E127AB">
        <w:rPr>
          <w:rFonts w:ascii="Book Antiqua" w:eastAsia="宋体" w:hAnsi="Book Antiqua" w:cs="宋体"/>
          <w:color w:val="000000"/>
        </w:rPr>
        <w:t xml:space="preserve"> D, </w:t>
      </w:r>
      <w:proofErr w:type="spellStart"/>
      <w:r w:rsidRPr="00E127AB">
        <w:rPr>
          <w:rFonts w:ascii="Book Antiqua" w:eastAsia="宋体" w:hAnsi="Book Antiqua" w:cs="宋体"/>
          <w:color w:val="000000"/>
        </w:rPr>
        <w:t>Gratwohl</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Schattenberg</w:t>
      </w:r>
      <w:proofErr w:type="spellEnd"/>
      <w:r w:rsidRPr="00E127AB">
        <w:rPr>
          <w:rFonts w:ascii="Book Antiqua" w:eastAsia="宋体" w:hAnsi="Book Antiqua" w:cs="宋体"/>
          <w:color w:val="000000"/>
        </w:rPr>
        <w:t xml:space="preserve"> AV, </w:t>
      </w:r>
      <w:proofErr w:type="spellStart"/>
      <w:r w:rsidRPr="00E127AB">
        <w:rPr>
          <w:rFonts w:ascii="Book Antiqua" w:eastAsia="宋体" w:hAnsi="Book Antiqua" w:cs="宋体"/>
          <w:color w:val="000000"/>
        </w:rPr>
        <w:t>Verdonck</w:t>
      </w:r>
      <w:proofErr w:type="spellEnd"/>
      <w:r w:rsidRPr="00E127AB">
        <w:rPr>
          <w:rFonts w:ascii="Book Antiqua" w:eastAsia="宋体" w:hAnsi="Book Antiqua" w:cs="宋体"/>
          <w:color w:val="000000"/>
        </w:rPr>
        <w:t xml:space="preserve"> LF, </w:t>
      </w:r>
      <w:proofErr w:type="spellStart"/>
      <w:r w:rsidRPr="00E127AB">
        <w:rPr>
          <w:rFonts w:ascii="Book Antiqua" w:eastAsia="宋体" w:hAnsi="Book Antiqua" w:cs="宋体"/>
          <w:color w:val="000000"/>
        </w:rPr>
        <w:t>Niederwieser</w:t>
      </w:r>
      <w:proofErr w:type="spellEnd"/>
      <w:r w:rsidRPr="00E127AB">
        <w:rPr>
          <w:rFonts w:ascii="Book Antiqua" w:eastAsia="宋体" w:hAnsi="Book Antiqua" w:cs="宋体"/>
          <w:color w:val="000000"/>
        </w:rPr>
        <w:t xml:space="preserve"> DW, de Witte T, </w:t>
      </w:r>
      <w:proofErr w:type="spellStart"/>
      <w:r w:rsidRPr="00E127AB">
        <w:rPr>
          <w:rFonts w:ascii="Book Antiqua" w:eastAsia="宋体" w:hAnsi="Book Antiqua" w:cs="宋体"/>
          <w:color w:val="000000"/>
        </w:rPr>
        <w:t>Kröger</w:t>
      </w:r>
      <w:proofErr w:type="spellEnd"/>
      <w:r w:rsidRPr="00E127AB">
        <w:rPr>
          <w:rFonts w:ascii="Book Antiqua" w:eastAsia="宋体" w:hAnsi="Book Antiqua" w:cs="宋体"/>
          <w:color w:val="000000"/>
        </w:rPr>
        <w:t xml:space="preserve"> N, </w:t>
      </w:r>
      <w:proofErr w:type="spellStart"/>
      <w:r w:rsidRPr="00E127AB">
        <w:rPr>
          <w:rFonts w:ascii="Book Antiqua" w:eastAsia="宋体" w:hAnsi="Book Antiqua" w:cs="宋体"/>
          <w:color w:val="000000"/>
        </w:rPr>
        <w:t>Olavarria</w:t>
      </w:r>
      <w:proofErr w:type="spellEnd"/>
      <w:r w:rsidRPr="00E127AB">
        <w:rPr>
          <w:rFonts w:ascii="Book Antiqua" w:eastAsia="宋体" w:hAnsi="Book Antiqua" w:cs="宋体"/>
          <w:color w:val="000000"/>
        </w:rPr>
        <w:t xml:space="preserve"> E. Donor Lymphocyte Infusions for Chronic Myeloid Leukemia Relapsing after Allogeneic Stem Cell Transplantation: May We Predict Graft-versus-Leukemia Without Graft-versus-Host Disease? </w:t>
      </w:r>
      <w:proofErr w:type="spellStart"/>
      <w:r w:rsidRPr="00E127AB">
        <w:rPr>
          <w:rFonts w:ascii="Book Antiqua" w:eastAsia="宋体" w:hAnsi="Book Antiqua" w:cs="宋体"/>
          <w:i/>
          <w:iCs/>
          <w:color w:val="000000"/>
        </w:rPr>
        <w:t>Biol</w:t>
      </w:r>
      <w:proofErr w:type="spellEnd"/>
      <w:r w:rsidRPr="00E127AB">
        <w:rPr>
          <w:rFonts w:ascii="Book Antiqua" w:eastAsia="宋体" w:hAnsi="Book Antiqua" w:cs="宋体"/>
          <w:i/>
          <w:iCs/>
          <w:color w:val="000000"/>
        </w:rPr>
        <w:t xml:space="preserve"> Blood Marrow Transplant</w:t>
      </w:r>
      <w:r w:rsidRPr="00E127AB">
        <w:rPr>
          <w:rFonts w:ascii="Book Antiqua" w:eastAsia="宋体" w:hAnsi="Book Antiqua" w:cs="宋体"/>
          <w:color w:val="000000"/>
        </w:rPr>
        <w:t> 2015; </w:t>
      </w:r>
      <w:r w:rsidRPr="00E127AB">
        <w:rPr>
          <w:rFonts w:ascii="Book Antiqua" w:eastAsia="宋体" w:hAnsi="Book Antiqua" w:cs="宋体"/>
          <w:b/>
          <w:bCs/>
          <w:color w:val="000000"/>
        </w:rPr>
        <w:t>21</w:t>
      </w:r>
      <w:r w:rsidRPr="00E127AB">
        <w:rPr>
          <w:rFonts w:ascii="Book Antiqua" w:eastAsia="宋体" w:hAnsi="Book Antiqua" w:cs="宋体"/>
          <w:color w:val="000000"/>
        </w:rPr>
        <w:t>: 1230-1236 [PMID: 25797175 DOI: 10.1016/j.bbmt.2015.03.012]</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61 </w:t>
      </w:r>
      <w:proofErr w:type="spellStart"/>
      <w:r w:rsidRPr="00E127AB">
        <w:rPr>
          <w:rFonts w:ascii="Book Antiqua" w:eastAsia="宋体" w:hAnsi="Book Antiqua" w:cs="宋体"/>
          <w:b/>
          <w:bCs/>
          <w:color w:val="000000"/>
        </w:rPr>
        <w:t>Weisdorf</w:t>
      </w:r>
      <w:proofErr w:type="spellEnd"/>
      <w:r w:rsidRPr="00E127AB">
        <w:rPr>
          <w:rFonts w:ascii="Book Antiqua" w:eastAsia="宋体" w:hAnsi="Book Antiqua" w:cs="宋体"/>
          <w:b/>
          <w:bCs/>
          <w:color w:val="000000"/>
        </w:rPr>
        <w:t xml:space="preserve"> DJ</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Anasetti</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Antin</w:t>
      </w:r>
      <w:proofErr w:type="spellEnd"/>
      <w:r w:rsidRPr="00E127AB">
        <w:rPr>
          <w:rFonts w:ascii="Book Antiqua" w:eastAsia="宋体" w:hAnsi="Book Antiqua" w:cs="宋体"/>
          <w:color w:val="000000"/>
        </w:rPr>
        <w:t xml:space="preserve"> JH, </w:t>
      </w:r>
      <w:proofErr w:type="spellStart"/>
      <w:r w:rsidRPr="00E127AB">
        <w:rPr>
          <w:rFonts w:ascii="Book Antiqua" w:eastAsia="宋体" w:hAnsi="Book Antiqua" w:cs="宋体"/>
          <w:color w:val="000000"/>
        </w:rPr>
        <w:t>Kernan</w:t>
      </w:r>
      <w:proofErr w:type="spellEnd"/>
      <w:r w:rsidRPr="00E127AB">
        <w:rPr>
          <w:rFonts w:ascii="Book Antiqua" w:eastAsia="宋体" w:hAnsi="Book Antiqua" w:cs="宋体"/>
          <w:color w:val="000000"/>
        </w:rPr>
        <w:t xml:space="preserve"> NA, </w:t>
      </w:r>
      <w:proofErr w:type="spellStart"/>
      <w:r w:rsidRPr="00E127AB">
        <w:rPr>
          <w:rFonts w:ascii="Book Antiqua" w:eastAsia="宋体" w:hAnsi="Book Antiqua" w:cs="宋体"/>
          <w:color w:val="000000"/>
        </w:rPr>
        <w:t>Kollman</w:t>
      </w:r>
      <w:proofErr w:type="spellEnd"/>
      <w:r w:rsidRPr="00E127AB">
        <w:rPr>
          <w:rFonts w:ascii="Book Antiqua" w:eastAsia="宋体" w:hAnsi="Book Antiqua" w:cs="宋体"/>
          <w:color w:val="000000"/>
        </w:rPr>
        <w:t xml:space="preserve"> C, Snyder D, </w:t>
      </w:r>
      <w:proofErr w:type="spellStart"/>
      <w:r w:rsidRPr="00E127AB">
        <w:rPr>
          <w:rFonts w:ascii="Book Antiqua" w:eastAsia="宋体" w:hAnsi="Book Antiqua" w:cs="宋体"/>
          <w:color w:val="000000"/>
        </w:rPr>
        <w:t>Petersdorf</w:t>
      </w:r>
      <w:proofErr w:type="spellEnd"/>
      <w:r w:rsidRPr="00E127AB">
        <w:rPr>
          <w:rFonts w:ascii="Book Antiqua" w:eastAsia="宋体" w:hAnsi="Book Antiqua" w:cs="宋体"/>
          <w:color w:val="000000"/>
        </w:rPr>
        <w:t xml:space="preserve"> E, Nelson G, </w:t>
      </w:r>
      <w:proofErr w:type="spellStart"/>
      <w:r w:rsidRPr="00E127AB">
        <w:rPr>
          <w:rFonts w:ascii="Book Antiqua" w:eastAsia="宋体" w:hAnsi="Book Antiqua" w:cs="宋体"/>
          <w:color w:val="000000"/>
        </w:rPr>
        <w:t>McGlave</w:t>
      </w:r>
      <w:proofErr w:type="spellEnd"/>
      <w:r w:rsidRPr="00E127AB">
        <w:rPr>
          <w:rFonts w:ascii="Book Antiqua" w:eastAsia="宋体" w:hAnsi="Book Antiqua" w:cs="宋体"/>
          <w:color w:val="000000"/>
        </w:rPr>
        <w:t xml:space="preserve"> P. Allogeneic bone marrow transplantation for chronic myelogenous leukemia: comparative analysis of unrelated versus matched sibling donor transplantation. </w:t>
      </w:r>
      <w:r w:rsidRPr="00E127AB">
        <w:rPr>
          <w:rFonts w:ascii="Book Antiqua" w:eastAsia="宋体" w:hAnsi="Book Antiqua" w:cs="宋体"/>
          <w:i/>
          <w:iCs/>
          <w:color w:val="000000"/>
        </w:rPr>
        <w:t>Blood</w:t>
      </w:r>
      <w:r w:rsidRPr="00E127AB">
        <w:rPr>
          <w:rFonts w:ascii="Book Antiqua" w:eastAsia="宋体" w:hAnsi="Book Antiqua" w:cs="宋体"/>
          <w:color w:val="000000"/>
        </w:rPr>
        <w:t> 2002; </w:t>
      </w:r>
      <w:r w:rsidRPr="00E127AB">
        <w:rPr>
          <w:rFonts w:ascii="Book Antiqua" w:eastAsia="宋体" w:hAnsi="Book Antiqua" w:cs="宋体"/>
          <w:b/>
          <w:bCs/>
          <w:color w:val="000000"/>
        </w:rPr>
        <w:t>99</w:t>
      </w:r>
      <w:r w:rsidRPr="00E127AB">
        <w:rPr>
          <w:rFonts w:ascii="Book Antiqua" w:eastAsia="宋体" w:hAnsi="Book Antiqua" w:cs="宋体"/>
          <w:color w:val="000000"/>
        </w:rPr>
        <w:t>: 1971-1977 [PMID: 11877268]</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62 </w:t>
      </w:r>
      <w:proofErr w:type="spellStart"/>
      <w:r w:rsidRPr="00E127AB">
        <w:rPr>
          <w:rFonts w:ascii="Book Antiqua" w:eastAsia="宋体" w:hAnsi="Book Antiqua" w:cs="宋体"/>
          <w:b/>
          <w:bCs/>
          <w:color w:val="000000"/>
        </w:rPr>
        <w:t>Ringdén</w:t>
      </w:r>
      <w:proofErr w:type="spellEnd"/>
      <w:r w:rsidRPr="00E127AB">
        <w:rPr>
          <w:rFonts w:ascii="Book Antiqua" w:eastAsia="宋体" w:hAnsi="Book Antiqua" w:cs="宋体"/>
          <w:b/>
          <w:bCs/>
          <w:color w:val="000000"/>
        </w:rPr>
        <w:t xml:space="preserve"> O</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Pavletic</w:t>
      </w:r>
      <w:proofErr w:type="spellEnd"/>
      <w:r w:rsidRPr="00E127AB">
        <w:rPr>
          <w:rFonts w:ascii="Book Antiqua" w:eastAsia="宋体" w:hAnsi="Book Antiqua" w:cs="宋体"/>
          <w:color w:val="000000"/>
        </w:rPr>
        <w:t xml:space="preserve"> SZ, </w:t>
      </w:r>
      <w:proofErr w:type="spellStart"/>
      <w:r w:rsidRPr="00E127AB">
        <w:rPr>
          <w:rFonts w:ascii="Book Antiqua" w:eastAsia="宋体" w:hAnsi="Book Antiqua" w:cs="宋体"/>
          <w:color w:val="000000"/>
        </w:rPr>
        <w:t>Anasetti</w:t>
      </w:r>
      <w:proofErr w:type="spellEnd"/>
      <w:r w:rsidRPr="00E127AB">
        <w:rPr>
          <w:rFonts w:ascii="Book Antiqua" w:eastAsia="宋体" w:hAnsi="Book Antiqua" w:cs="宋体"/>
          <w:color w:val="000000"/>
        </w:rPr>
        <w:t xml:space="preserve"> C, Barrett AJ, Wang T, Wang D, </w:t>
      </w:r>
      <w:proofErr w:type="spellStart"/>
      <w:r w:rsidRPr="00E127AB">
        <w:rPr>
          <w:rFonts w:ascii="Book Antiqua" w:eastAsia="宋体" w:hAnsi="Book Antiqua" w:cs="宋体"/>
          <w:color w:val="000000"/>
        </w:rPr>
        <w:t>Antin</w:t>
      </w:r>
      <w:proofErr w:type="spellEnd"/>
      <w:r w:rsidRPr="00E127AB">
        <w:rPr>
          <w:rFonts w:ascii="Book Antiqua" w:eastAsia="宋体" w:hAnsi="Book Antiqua" w:cs="宋体"/>
          <w:color w:val="000000"/>
        </w:rPr>
        <w:t xml:space="preserve"> JH, Di Bartolomeo P, </w:t>
      </w:r>
      <w:proofErr w:type="spellStart"/>
      <w:r w:rsidRPr="00E127AB">
        <w:rPr>
          <w:rFonts w:ascii="Book Antiqua" w:eastAsia="宋体" w:hAnsi="Book Antiqua" w:cs="宋体"/>
          <w:color w:val="000000"/>
        </w:rPr>
        <w:t>Bolwell</w:t>
      </w:r>
      <w:proofErr w:type="spellEnd"/>
      <w:r w:rsidRPr="00E127AB">
        <w:rPr>
          <w:rFonts w:ascii="Book Antiqua" w:eastAsia="宋体" w:hAnsi="Book Antiqua" w:cs="宋体"/>
          <w:color w:val="000000"/>
        </w:rPr>
        <w:t xml:space="preserve"> BJ, </w:t>
      </w:r>
      <w:proofErr w:type="spellStart"/>
      <w:r w:rsidRPr="00E127AB">
        <w:rPr>
          <w:rFonts w:ascii="Book Antiqua" w:eastAsia="宋体" w:hAnsi="Book Antiqua" w:cs="宋体"/>
          <w:color w:val="000000"/>
        </w:rPr>
        <w:t>Bredeson</w:t>
      </w:r>
      <w:proofErr w:type="spellEnd"/>
      <w:r w:rsidRPr="00E127AB">
        <w:rPr>
          <w:rFonts w:ascii="Book Antiqua" w:eastAsia="宋体" w:hAnsi="Book Antiqua" w:cs="宋体"/>
          <w:color w:val="000000"/>
        </w:rPr>
        <w:t xml:space="preserve"> C, Cairo MS, Gale RP, Gupta V, Hahn T, Hale GA, Halter J, </w:t>
      </w:r>
      <w:proofErr w:type="spellStart"/>
      <w:r w:rsidRPr="00E127AB">
        <w:rPr>
          <w:rFonts w:ascii="Book Antiqua" w:eastAsia="宋体" w:hAnsi="Book Antiqua" w:cs="宋体"/>
          <w:color w:val="000000"/>
        </w:rPr>
        <w:t>Jagasia</w:t>
      </w:r>
      <w:proofErr w:type="spellEnd"/>
      <w:r w:rsidRPr="00E127AB">
        <w:rPr>
          <w:rFonts w:ascii="Book Antiqua" w:eastAsia="宋体" w:hAnsi="Book Antiqua" w:cs="宋体"/>
          <w:color w:val="000000"/>
        </w:rPr>
        <w:t xml:space="preserve"> M, </w:t>
      </w:r>
      <w:proofErr w:type="spellStart"/>
      <w:r w:rsidRPr="00E127AB">
        <w:rPr>
          <w:rFonts w:ascii="Book Antiqua" w:eastAsia="宋体" w:hAnsi="Book Antiqua" w:cs="宋体"/>
          <w:color w:val="000000"/>
        </w:rPr>
        <w:t>Litzow</w:t>
      </w:r>
      <w:proofErr w:type="spellEnd"/>
      <w:r w:rsidRPr="00E127AB">
        <w:rPr>
          <w:rFonts w:ascii="Book Antiqua" w:eastAsia="宋体" w:hAnsi="Book Antiqua" w:cs="宋体"/>
          <w:color w:val="000000"/>
        </w:rPr>
        <w:t xml:space="preserve"> MR, Locatelli F, Marks DI, McCarthy PL, Cowan MJ, </w:t>
      </w:r>
      <w:proofErr w:type="spellStart"/>
      <w:r w:rsidRPr="00E127AB">
        <w:rPr>
          <w:rFonts w:ascii="Book Antiqua" w:eastAsia="宋体" w:hAnsi="Book Antiqua" w:cs="宋体"/>
          <w:color w:val="000000"/>
        </w:rPr>
        <w:t>Petersdorf</w:t>
      </w:r>
      <w:proofErr w:type="spellEnd"/>
      <w:r w:rsidRPr="00E127AB">
        <w:rPr>
          <w:rFonts w:ascii="Book Antiqua" w:eastAsia="宋体" w:hAnsi="Book Antiqua" w:cs="宋体"/>
          <w:color w:val="000000"/>
        </w:rPr>
        <w:t xml:space="preserve"> EW, Russell JA, Schiller GJ, Schouten H, Spellman S, </w:t>
      </w:r>
      <w:proofErr w:type="spellStart"/>
      <w:r w:rsidRPr="00E127AB">
        <w:rPr>
          <w:rFonts w:ascii="Book Antiqua" w:eastAsia="宋体" w:hAnsi="Book Antiqua" w:cs="宋体"/>
          <w:color w:val="000000"/>
        </w:rPr>
        <w:t>Verdonck</w:t>
      </w:r>
      <w:proofErr w:type="spellEnd"/>
      <w:r w:rsidRPr="00E127AB">
        <w:rPr>
          <w:rFonts w:ascii="Book Antiqua" w:eastAsia="宋体" w:hAnsi="Book Antiqua" w:cs="宋体"/>
          <w:color w:val="000000"/>
        </w:rPr>
        <w:t xml:space="preserve"> LF, </w:t>
      </w:r>
      <w:proofErr w:type="spellStart"/>
      <w:r w:rsidRPr="00E127AB">
        <w:rPr>
          <w:rFonts w:ascii="Book Antiqua" w:eastAsia="宋体" w:hAnsi="Book Antiqua" w:cs="宋体"/>
          <w:color w:val="000000"/>
        </w:rPr>
        <w:t>Wingard</w:t>
      </w:r>
      <w:proofErr w:type="spellEnd"/>
      <w:r w:rsidRPr="00E127AB">
        <w:rPr>
          <w:rFonts w:ascii="Book Antiqua" w:eastAsia="宋体" w:hAnsi="Book Antiqua" w:cs="宋体"/>
          <w:color w:val="000000"/>
        </w:rPr>
        <w:t xml:space="preserve"> JR, Horowitz MM, Arora M. The graft-versus-leukemia effect using matched unrelated donors is not superior to HLA-identical siblings for hematopoietic stem cell transplantation. </w:t>
      </w:r>
      <w:r w:rsidRPr="00E127AB">
        <w:rPr>
          <w:rFonts w:ascii="Book Antiqua" w:eastAsia="宋体" w:hAnsi="Book Antiqua" w:cs="宋体"/>
          <w:i/>
          <w:iCs/>
          <w:color w:val="000000"/>
        </w:rPr>
        <w:t>Blood</w:t>
      </w:r>
      <w:r w:rsidRPr="00E127AB">
        <w:rPr>
          <w:rFonts w:ascii="Book Antiqua" w:eastAsia="宋体" w:hAnsi="Book Antiqua" w:cs="宋体"/>
          <w:color w:val="000000"/>
        </w:rPr>
        <w:t> 2009; </w:t>
      </w:r>
      <w:r w:rsidRPr="00E127AB">
        <w:rPr>
          <w:rFonts w:ascii="Book Antiqua" w:eastAsia="宋体" w:hAnsi="Book Antiqua" w:cs="宋体"/>
          <w:b/>
          <w:bCs/>
          <w:color w:val="000000"/>
        </w:rPr>
        <w:t>113</w:t>
      </w:r>
      <w:r w:rsidRPr="00E127AB">
        <w:rPr>
          <w:rFonts w:ascii="Book Antiqua" w:eastAsia="宋体" w:hAnsi="Book Antiqua" w:cs="宋体"/>
          <w:color w:val="000000"/>
        </w:rPr>
        <w:t>: 3110-3118 [PMID: 19059878 DOI: 10.1182/blood-2008-07-163212]</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63 </w:t>
      </w:r>
      <w:r w:rsidRPr="00E127AB">
        <w:rPr>
          <w:rFonts w:ascii="Book Antiqua" w:eastAsia="宋体" w:hAnsi="Book Antiqua" w:cs="宋体"/>
          <w:b/>
          <w:bCs/>
          <w:color w:val="000000"/>
        </w:rPr>
        <w:t>Arora M</w:t>
      </w:r>
      <w:r w:rsidRPr="00E127AB">
        <w:rPr>
          <w:rFonts w:ascii="Book Antiqua" w:eastAsia="宋体" w:hAnsi="Book Antiqua" w:cs="宋体"/>
          <w:color w:val="000000"/>
        </w:rPr>
        <w:t xml:space="preserve">, </w:t>
      </w:r>
      <w:proofErr w:type="spellStart"/>
      <w:r w:rsidRPr="00E127AB">
        <w:rPr>
          <w:rFonts w:ascii="Book Antiqua" w:eastAsia="宋体" w:hAnsi="Book Antiqua" w:cs="宋体"/>
          <w:color w:val="000000"/>
        </w:rPr>
        <w:t>Weisdorf</w:t>
      </w:r>
      <w:proofErr w:type="spellEnd"/>
      <w:r w:rsidRPr="00E127AB">
        <w:rPr>
          <w:rFonts w:ascii="Book Antiqua" w:eastAsia="宋体" w:hAnsi="Book Antiqua" w:cs="宋体"/>
          <w:color w:val="000000"/>
        </w:rPr>
        <w:t xml:space="preserve"> DJ, Spellman SR, </w:t>
      </w:r>
      <w:proofErr w:type="spellStart"/>
      <w:r w:rsidRPr="00E127AB">
        <w:rPr>
          <w:rFonts w:ascii="Book Antiqua" w:eastAsia="宋体" w:hAnsi="Book Antiqua" w:cs="宋体"/>
          <w:color w:val="000000"/>
        </w:rPr>
        <w:t>Haagenson</w:t>
      </w:r>
      <w:proofErr w:type="spellEnd"/>
      <w:r w:rsidRPr="00E127AB">
        <w:rPr>
          <w:rFonts w:ascii="Book Antiqua" w:eastAsia="宋体" w:hAnsi="Book Antiqua" w:cs="宋体"/>
          <w:color w:val="000000"/>
        </w:rPr>
        <w:t xml:space="preserve"> MD, Klein JP, Hurley CK, Selby GB, </w:t>
      </w:r>
      <w:proofErr w:type="spellStart"/>
      <w:r w:rsidRPr="00E127AB">
        <w:rPr>
          <w:rFonts w:ascii="Book Antiqua" w:eastAsia="宋体" w:hAnsi="Book Antiqua" w:cs="宋体"/>
          <w:color w:val="000000"/>
        </w:rPr>
        <w:t>Antin</w:t>
      </w:r>
      <w:proofErr w:type="spellEnd"/>
      <w:r w:rsidRPr="00E127AB">
        <w:rPr>
          <w:rFonts w:ascii="Book Antiqua" w:eastAsia="宋体" w:hAnsi="Book Antiqua" w:cs="宋体"/>
          <w:color w:val="000000"/>
        </w:rPr>
        <w:t xml:space="preserve"> JH, </w:t>
      </w:r>
      <w:proofErr w:type="spellStart"/>
      <w:r w:rsidRPr="00E127AB">
        <w:rPr>
          <w:rFonts w:ascii="Book Antiqua" w:eastAsia="宋体" w:hAnsi="Book Antiqua" w:cs="宋体"/>
          <w:color w:val="000000"/>
        </w:rPr>
        <w:t>Kernan</w:t>
      </w:r>
      <w:proofErr w:type="spellEnd"/>
      <w:r w:rsidRPr="00E127AB">
        <w:rPr>
          <w:rFonts w:ascii="Book Antiqua" w:eastAsia="宋体" w:hAnsi="Book Antiqua" w:cs="宋体"/>
          <w:color w:val="000000"/>
        </w:rPr>
        <w:t xml:space="preserve"> NA, </w:t>
      </w:r>
      <w:proofErr w:type="spellStart"/>
      <w:r w:rsidRPr="00E127AB">
        <w:rPr>
          <w:rFonts w:ascii="Book Antiqua" w:eastAsia="宋体" w:hAnsi="Book Antiqua" w:cs="宋体"/>
          <w:color w:val="000000"/>
        </w:rPr>
        <w:t>Kollman</w:t>
      </w:r>
      <w:proofErr w:type="spellEnd"/>
      <w:r w:rsidRPr="00E127AB">
        <w:rPr>
          <w:rFonts w:ascii="Book Antiqua" w:eastAsia="宋体" w:hAnsi="Book Antiqua" w:cs="宋体"/>
          <w:color w:val="000000"/>
        </w:rPr>
        <w:t xml:space="preserve"> C, </w:t>
      </w:r>
      <w:proofErr w:type="spellStart"/>
      <w:r w:rsidRPr="00E127AB">
        <w:rPr>
          <w:rFonts w:ascii="Book Antiqua" w:eastAsia="宋体" w:hAnsi="Book Antiqua" w:cs="宋体"/>
          <w:color w:val="000000"/>
        </w:rPr>
        <w:t>Nademanee</w:t>
      </w:r>
      <w:proofErr w:type="spellEnd"/>
      <w:r w:rsidRPr="00E127AB">
        <w:rPr>
          <w:rFonts w:ascii="Book Antiqua" w:eastAsia="宋体" w:hAnsi="Book Antiqua" w:cs="宋体"/>
          <w:color w:val="000000"/>
        </w:rPr>
        <w:t xml:space="preserve"> A, </w:t>
      </w:r>
      <w:proofErr w:type="spellStart"/>
      <w:r w:rsidRPr="00E127AB">
        <w:rPr>
          <w:rFonts w:ascii="Book Antiqua" w:eastAsia="宋体" w:hAnsi="Book Antiqua" w:cs="宋体"/>
          <w:color w:val="000000"/>
        </w:rPr>
        <w:t>McGlave</w:t>
      </w:r>
      <w:proofErr w:type="spellEnd"/>
      <w:r w:rsidRPr="00E127AB">
        <w:rPr>
          <w:rFonts w:ascii="Book Antiqua" w:eastAsia="宋体" w:hAnsi="Book Antiqua" w:cs="宋体"/>
          <w:color w:val="000000"/>
        </w:rPr>
        <w:t xml:space="preserve"> P, Horowitz MM, </w:t>
      </w:r>
      <w:proofErr w:type="spellStart"/>
      <w:r w:rsidRPr="00E127AB">
        <w:rPr>
          <w:rFonts w:ascii="Book Antiqua" w:eastAsia="宋体" w:hAnsi="Book Antiqua" w:cs="宋体"/>
          <w:color w:val="000000"/>
        </w:rPr>
        <w:t>Petersdorf</w:t>
      </w:r>
      <w:proofErr w:type="spellEnd"/>
      <w:r w:rsidRPr="00E127AB">
        <w:rPr>
          <w:rFonts w:ascii="Book Antiqua" w:eastAsia="宋体" w:hAnsi="Book Antiqua" w:cs="宋体"/>
          <w:color w:val="000000"/>
        </w:rPr>
        <w:t xml:space="preserve"> EW. HLA-identical sibling compared with 8/8 matched and mismatched unrelated donor bone marrow transplant for chronic phase chronic myeloid leukemia. </w:t>
      </w:r>
      <w:r w:rsidRPr="00E127AB">
        <w:rPr>
          <w:rFonts w:ascii="Book Antiqua" w:eastAsia="宋体" w:hAnsi="Book Antiqua" w:cs="宋体"/>
          <w:i/>
          <w:iCs/>
          <w:color w:val="000000"/>
        </w:rPr>
        <w:t xml:space="preserve">J </w:t>
      </w:r>
      <w:proofErr w:type="spellStart"/>
      <w:r w:rsidRPr="00E127AB">
        <w:rPr>
          <w:rFonts w:ascii="Book Antiqua" w:eastAsia="宋体" w:hAnsi="Book Antiqua" w:cs="宋体"/>
          <w:i/>
          <w:iCs/>
          <w:color w:val="000000"/>
        </w:rPr>
        <w:t>Clin</w:t>
      </w:r>
      <w:proofErr w:type="spellEnd"/>
      <w:r w:rsidRPr="00E127AB">
        <w:rPr>
          <w:rFonts w:ascii="Book Antiqua" w:eastAsia="宋体" w:hAnsi="Book Antiqua" w:cs="宋体"/>
          <w:i/>
          <w:iCs/>
          <w:color w:val="000000"/>
        </w:rPr>
        <w:t xml:space="preserve"> </w:t>
      </w:r>
      <w:proofErr w:type="spellStart"/>
      <w:r w:rsidRPr="00E127AB">
        <w:rPr>
          <w:rFonts w:ascii="Book Antiqua" w:eastAsia="宋体" w:hAnsi="Book Antiqua" w:cs="宋体"/>
          <w:i/>
          <w:iCs/>
          <w:color w:val="000000"/>
        </w:rPr>
        <w:t>Oncol</w:t>
      </w:r>
      <w:proofErr w:type="spellEnd"/>
      <w:r w:rsidRPr="00E127AB">
        <w:rPr>
          <w:rFonts w:ascii="Book Antiqua" w:eastAsia="宋体" w:hAnsi="Book Antiqua" w:cs="宋体"/>
          <w:color w:val="000000"/>
        </w:rPr>
        <w:t> 2009; </w:t>
      </w:r>
      <w:r w:rsidRPr="00E127AB">
        <w:rPr>
          <w:rFonts w:ascii="Book Antiqua" w:eastAsia="宋体" w:hAnsi="Book Antiqua" w:cs="宋体"/>
          <w:b/>
          <w:bCs/>
          <w:color w:val="000000"/>
        </w:rPr>
        <w:t>27</w:t>
      </w:r>
      <w:r w:rsidRPr="00E127AB">
        <w:rPr>
          <w:rFonts w:ascii="Book Antiqua" w:eastAsia="宋体" w:hAnsi="Book Antiqua" w:cs="宋体"/>
          <w:color w:val="000000"/>
        </w:rPr>
        <w:t>: 1644-1652 [PMID: 19224849 DOI: 10.1200/JCO.2008.18.7740]</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lastRenderedPageBreak/>
        <w:t>64 </w:t>
      </w:r>
      <w:r w:rsidRPr="00E127AB">
        <w:rPr>
          <w:rFonts w:ascii="Book Antiqua" w:eastAsia="宋体" w:hAnsi="Book Antiqua" w:cs="宋体"/>
          <w:b/>
          <w:bCs/>
          <w:color w:val="000000"/>
        </w:rPr>
        <w:t>Liu QF</w:t>
      </w:r>
      <w:r w:rsidRPr="00E127AB">
        <w:rPr>
          <w:rFonts w:ascii="Book Antiqua" w:eastAsia="宋体" w:hAnsi="Book Antiqua" w:cs="宋体"/>
          <w:color w:val="000000"/>
        </w:rPr>
        <w:t xml:space="preserve">, Xu XJ, Chen YK, Sun J, Zhang Y, Fan ZP, Xu D, Jiang QL, Wei YQ, Huang F, Feng R, Liu XL, Xu B, </w:t>
      </w:r>
      <w:proofErr w:type="spellStart"/>
      <w:r w:rsidRPr="00E127AB">
        <w:rPr>
          <w:rFonts w:ascii="Book Antiqua" w:eastAsia="宋体" w:hAnsi="Book Antiqua" w:cs="宋体"/>
          <w:color w:val="000000"/>
        </w:rPr>
        <w:t>Meng</w:t>
      </w:r>
      <w:proofErr w:type="spellEnd"/>
      <w:r w:rsidRPr="00E127AB">
        <w:rPr>
          <w:rFonts w:ascii="Book Antiqua" w:eastAsia="宋体" w:hAnsi="Book Antiqua" w:cs="宋体"/>
          <w:color w:val="000000"/>
        </w:rPr>
        <w:t xml:space="preserve"> FY. Long-term outcomes of HLA-matched sibling compared with mismatched related and unrelated donor hematopoietic stem cell transplantation for chronic phase chronic myelogenous leukemia: a single institution experience in China. </w:t>
      </w:r>
      <w:r w:rsidRPr="00E127AB">
        <w:rPr>
          <w:rFonts w:ascii="Book Antiqua" w:eastAsia="宋体" w:hAnsi="Book Antiqua" w:cs="宋体"/>
          <w:i/>
          <w:iCs/>
          <w:color w:val="000000"/>
        </w:rPr>
        <w:t xml:space="preserve">Ann </w:t>
      </w:r>
      <w:proofErr w:type="spellStart"/>
      <w:r w:rsidRPr="00E127AB">
        <w:rPr>
          <w:rFonts w:ascii="Book Antiqua" w:eastAsia="宋体" w:hAnsi="Book Antiqua" w:cs="宋体"/>
          <w:i/>
          <w:iCs/>
          <w:color w:val="000000"/>
        </w:rPr>
        <w:t>Hematol</w:t>
      </w:r>
      <w:proofErr w:type="spellEnd"/>
      <w:r w:rsidRPr="00E127AB">
        <w:rPr>
          <w:rFonts w:ascii="Book Antiqua" w:eastAsia="宋体" w:hAnsi="Book Antiqua" w:cs="宋体"/>
          <w:color w:val="000000"/>
        </w:rPr>
        <w:t> 2011; </w:t>
      </w:r>
      <w:r w:rsidRPr="00E127AB">
        <w:rPr>
          <w:rFonts w:ascii="Book Antiqua" w:eastAsia="宋体" w:hAnsi="Book Antiqua" w:cs="宋体"/>
          <w:b/>
          <w:bCs/>
          <w:color w:val="000000"/>
        </w:rPr>
        <w:t>90</w:t>
      </w:r>
      <w:r w:rsidRPr="00E127AB">
        <w:rPr>
          <w:rFonts w:ascii="Book Antiqua" w:eastAsia="宋体" w:hAnsi="Book Antiqua" w:cs="宋体"/>
          <w:color w:val="000000"/>
        </w:rPr>
        <w:t>: 331-341 [PMID: 20872002 DOI: 10.1007/s00277-010-1081-3]</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65 </w:t>
      </w:r>
      <w:r w:rsidRPr="00E127AB">
        <w:rPr>
          <w:rFonts w:ascii="Book Antiqua" w:eastAsia="宋体" w:hAnsi="Book Antiqua" w:cs="宋体"/>
          <w:b/>
          <w:bCs/>
          <w:color w:val="000000"/>
        </w:rPr>
        <w:t>Ma YR</w:t>
      </w:r>
      <w:r w:rsidRPr="00E127AB">
        <w:rPr>
          <w:rFonts w:ascii="Book Antiqua" w:eastAsia="宋体" w:hAnsi="Book Antiqua" w:cs="宋体"/>
          <w:color w:val="000000"/>
        </w:rPr>
        <w:t xml:space="preserve">, Huang XJ, Xu ZL, Liu KY, Chen H, Zhang XH, Han W, Chen YH, Wang FR, Wang JZ, Wang Y, Chen Y, Yan CH, Xu LP. Transplantation from </w:t>
      </w:r>
      <w:proofErr w:type="spellStart"/>
      <w:r w:rsidRPr="00E127AB">
        <w:rPr>
          <w:rFonts w:ascii="Book Antiqua" w:eastAsia="宋体" w:hAnsi="Book Antiqua" w:cs="宋体"/>
          <w:color w:val="000000"/>
        </w:rPr>
        <w:t>haploidentical</w:t>
      </w:r>
      <w:proofErr w:type="spellEnd"/>
      <w:r w:rsidRPr="00E127AB">
        <w:rPr>
          <w:rFonts w:ascii="Book Antiqua" w:eastAsia="宋体" w:hAnsi="Book Antiqua" w:cs="宋体"/>
          <w:color w:val="000000"/>
        </w:rPr>
        <w:t xml:space="preserve"> donor is not inferior to that from identical sibling donor for patients with chronic myeloid leukemia in blast crisis or chronic phase from blast crisis. </w:t>
      </w:r>
      <w:proofErr w:type="spellStart"/>
      <w:r w:rsidRPr="00E127AB">
        <w:rPr>
          <w:rFonts w:ascii="Book Antiqua" w:eastAsia="宋体" w:hAnsi="Book Antiqua" w:cs="宋体"/>
          <w:i/>
          <w:iCs/>
          <w:color w:val="000000"/>
        </w:rPr>
        <w:t>Clin</w:t>
      </w:r>
      <w:proofErr w:type="spellEnd"/>
      <w:r w:rsidRPr="00E127AB">
        <w:rPr>
          <w:rFonts w:ascii="Book Antiqua" w:eastAsia="宋体" w:hAnsi="Book Antiqua" w:cs="宋体"/>
          <w:i/>
          <w:iCs/>
          <w:color w:val="000000"/>
        </w:rPr>
        <w:t xml:space="preserve"> Transplant</w:t>
      </w:r>
      <w:r w:rsidRPr="00E127AB">
        <w:rPr>
          <w:rFonts w:ascii="Book Antiqua" w:eastAsia="宋体" w:hAnsi="Book Antiqua" w:cs="宋体"/>
          <w:color w:val="000000"/>
        </w:rPr>
        <w:t> 2016; </w:t>
      </w:r>
      <w:r w:rsidRPr="00E127AB">
        <w:rPr>
          <w:rFonts w:ascii="Book Antiqua" w:eastAsia="宋体" w:hAnsi="Book Antiqua" w:cs="宋体"/>
          <w:b/>
          <w:bCs/>
          <w:color w:val="000000"/>
        </w:rPr>
        <w:t>30</w:t>
      </w:r>
      <w:r w:rsidRPr="00E127AB">
        <w:rPr>
          <w:rFonts w:ascii="Book Antiqua" w:eastAsia="宋体" w:hAnsi="Book Antiqua" w:cs="宋体"/>
          <w:color w:val="000000"/>
        </w:rPr>
        <w:t>: 994-1001 [PMID: 27292967 DOI: 10.1111/ctr.12779]</w:t>
      </w:r>
    </w:p>
    <w:p w:rsidR="002B2701" w:rsidRPr="00E127AB" w:rsidRDefault="002B2701" w:rsidP="005E6CDB">
      <w:pPr>
        <w:spacing w:line="360" w:lineRule="auto"/>
        <w:jc w:val="both"/>
        <w:rPr>
          <w:rFonts w:ascii="Book Antiqua" w:eastAsia="宋体" w:hAnsi="Book Antiqua" w:cs="宋体"/>
          <w:color w:val="000000"/>
        </w:rPr>
      </w:pPr>
      <w:r w:rsidRPr="00E127AB">
        <w:rPr>
          <w:rFonts w:ascii="Book Antiqua" w:eastAsia="宋体" w:hAnsi="Book Antiqua" w:cs="宋体"/>
          <w:color w:val="000000"/>
        </w:rPr>
        <w:t>66 </w:t>
      </w:r>
      <w:r w:rsidRPr="00E127AB">
        <w:rPr>
          <w:rFonts w:ascii="Book Antiqua" w:eastAsia="宋体" w:hAnsi="Book Antiqua" w:cs="宋体"/>
          <w:b/>
          <w:bCs/>
          <w:color w:val="000000"/>
        </w:rPr>
        <w:t>Xu LP</w:t>
      </w:r>
      <w:r w:rsidRPr="00E127AB">
        <w:rPr>
          <w:rFonts w:ascii="Book Antiqua" w:eastAsia="宋体" w:hAnsi="Book Antiqua" w:cs="宋体"/>
          <w:color w:val="000000"/>
        </w:rPr>
        <w:t>, Xu ZL, Zhang XH, Chen H, Chen YH, Han W, Chen Y, Wang FR, Wang JZ, Wang Y, Yan CH, Mo XD, Liu KY, Huang XJ. Allogeneic Stem Cell Transplantation for Patients with T315I BCR-ABL Mutated Chronic Myeloid Leukemia. </w:t>
      </w:r>
      <w:proofErr w:type="spellStart"/>
      <w:r w:rsidRPr="00E127AB">
        <w:rPr>
          <w:rFonts w:ascii="Book Antiqua" w:eastAsia="宋体" w:hAnsi="Book Antiqua" w:cs="宋体"/>
          <w:i/>
          <w:iCs/>
          <w:color w:val="000000"/>
        </w:rPr>
        <w:t>Biol</w:t>
      </w:r>
      <w:proofErr w:type="spellEnd"/>
      <w:r w:rsidRPr="00E127AB">
        <w:rPr>
          <w:rFonts w:ascii="Book Antiqua" w:eastAsia="宋体" w:hAnsi="Book Antiqua" w:cs="宋体"/>
          <w:i/>
          <w:iCs/>
          <w:color w:val="000000"/>
        </w:rPr>
        <w:t xml:space="preserve"> Blood Marrow Transplant</w:t>
      </w:r>
      <w:r w:rsidRPr="00E127AB">
        <w:rPr>
          <w:rFonts w:ascii="Book Antiqua" w:eastAsia="宋体" w:hAnsi="Book Antiqua" w:cs="宋体"/>
          <w:color w:val="000000"/>
        </w:rPr>
        <w:t> 2016; </w:t>
      </w:r>
      <w:r w:rsidRPr="00E127AB">
        <w:rPr>
          <w:rFonts w:ascii="Book Antiqua" w:eastAsia="宋体" w:hAnsi="Book Antiqua" w:cs="宋体"/>
          <w:b/>
          <w:bCs/>
          <w:color w:val="000000"/>
        </w:rPr>
        <w:t>22</w:t>
      </w:r>
      <w:r w:rsidRPr="00E127AB">
        <w:rPr>
          <w:rFonts w:ascii="Book Antiqua" w:eastAsia="宋体" w:hAnsi="Book Antiqua" w:cs="宋体"/>
          <w:color w:val="000000"/>
        </w:rPr>
        <w:t>: 1080-1086 [PMID: 26995693 DOI: 10.1016/j.bbmt.2016.03.012]</w:t>
      </w:r>
    </w:p>
    <w:p w:rsidR="00473E5F" w:rsidRPr="00E127AB" w:rsidRDefault="00CC4B52" w:rsidP="005933E4">
      <w:pPr>
        <w:spacing w:line="360" w:lineRule="auto"/>
        <w:ind w:left="480" w:hangingChars="200" w:hanging="480"/>
        <w:jc w:val="right"/>
        <w:rPr>
          <w:rFonts w:ascii="Book Antiqua" w:hAnsi="Book Antiqua"/>
          <w:lang w:eastAsia="zh-CN"/>
        </w:rPr>
      </w:pPr>
      <w:bookmarkStart w:id="46" w:name="OLE_LINK127"/>
      <w:bookmarkStart w:id="47" w:name="OLE_LINK22"/>
      <w:bookmarkStart w:id="48" w:name="OLE_LINK23"/>
      <w:bookmarkStart w:id="49" w:name="OLE_LINK32"/>
      <w:bookmarkStart w:id="50" w:name="OLE_LINK94"/>
      <w:bookmarkStart w:id="51" w:name="OLE_LINK117"/>
      <w:bookmarkStart w:id="52" w:name="OLE_LINK143"/>
      <w:r w:rsidRPr="00E127AB">
        <w:rPr>
          <w:rFonts w:ascii="Book Antiqua" w:hAnsi="Book Antiqua"/>
          <w:b/>
        </w:rPr>
        <w:t>P- Reviewer:</w:t>
      </w:r>
      <w:r w:rsidRPr="00E127AB">
        <w:rPr>
          <w:rFonts w:ascii="Book Antiqua" w:hAnsi="Book Antiqua"/>
          <w:color w:val="000000"/>
        </w:rPr>
        <w:t xml:space="preserve"> </w:t>
      </w:r>
      <w:r w:rsidRPr="00E127AB">
        <w:rPr>
          <w:rFonts w:ascii="Book Antiqua" w:eastAsia="宋体" w:hAnsi="Book Antiqua" w:cs="宋体"/>
          <w:color w:val="000000"/>
        </w:rPr>
        <w:t>Fukuda S, Liu L, Tanabe S</w:t>
      </w:r>
      <w:r w:rsidRPr="00E127AB">
        <w:rPr>
          <w:rFonts w:ascii="Book Antiqua" w:hAnsi="Book Antiqua"/>
          <w:color w:val="000000"/>
        </w:rPr>
        <w:t xml:space="preserve">   </w:t>
      </w:r>
      <w:r w:rsidRPr="00E127AB">
        <w:rPr>
          <w:rFonts w:ascii="Book Antiqua" w:hAnsi="Book Antiqua"/>
          <w:color w:val="000000"/>
          <w:lang w:eastAsia="zh-CN"/>
        </w:rPr>
        <w:t xml:space="preserve"> </w:t>
      </w:r>
      <w:r w:rsidRPr="00E127AB">
        <w:rPr>
          <w:rFonts w:ascii="Book Antiqua" w:hAnsi="Book Antiqua"/>
          <w:color w:val="000000"/>
        </w:rPr>
        <w:t xml:space="preserve"> </w:t>
      </w:r>
      <w:proofErr w:type="spellStart"/>
      <w:r w:rsidRPr="00E127AB">
        <w:rPr>
          <w:rFonts w:ascii="Book Antiqua" w:hAnsi="Book Antiqua"/>
          <w:b/>
        </w:rPr>
        <w:t>S</w:t>
      </w:r>
      <w:proofErr w:type="spellEnd"/>
      <w:r w:rsidRPr="00E127AB">
        <w:rPr>
          <w:rFonts w:ascii="Book Antiqua" w:hAnsi="Book Antiqua"/>
          <w:b/>
        </w:rPr>
        <w:t>- Editor:</w:t>
      </w:r>
      <w:r w:rsidRPr="00E127AB">
        <w:rPr>
          <w:rFonts w:ascii="Book Antiqua" w:hAnsi="Book Antiqua"/>
        </w:rPr>
        <w:t xml:space="preserve"> Gong XM</w:t>
      </w:r>
    </w:p>
    <w:p w:rsidR="00E127AB" w:rsidRDefault="00CC4B52" w:rsidP="005933E4">
      <w:pPr>
        <w:spacing w:line="360" w:lineRule="auto"/>
        <w:ind w:left="480" w:hangingChars="200" w:hanging="480"/>
        <w:jc w:val="right"/>
        <w:rPr>
          <w:rFonts w:ascii="Book Antiqua" w:hAnsi="Book Antiqua"/>
          <w:b/>
        </w:rPr>
      </w:pPr>
      <w:r w:rsidRPr="00E127AB">
        <w:rPr>
          <w:rFonts w:ascii="Book Antiqua" w:hAnsi="Book Antiqua"/>
          <w:b/>
        </w:rPr>
        <w:t>L- Editor:</w:t>
      </w:r>
      <w:r w:rsidRPr="00E127AB">
        <w:rPr>
          <w:rFonts w:ascii="Book Antiqua" w:hAnsi="Book Antiqua"/>
        </w:rPr>
        <w:t xml:space="preserve"> </w:t>
      </w:r>
      <w:r w:rsidRPr="00E127AB">
        <w:rPr>
          <w:rFonts w:ascii="Book Antiqua" w:hAnsi="Book Antiqua"/>
          <w:b/>
        </w:rPr>
        <w:t>E- Editor:</w:t>
      </w:r>
      <w:bookmarkEnd w:id="46"/>
    </w:p>
    <w:p w:rsidR="00E127AB" w:rsidRDefault="00E127AB">
      <w:pPr>
        <w:pBdr>
          <w:top w:val="none" w:sz="0" w:space="0" w:color="auto"/>
          <w:left w:val="none" w:sz="0" w:space="0" w:color="auto"/>
          <w:bottom w:val="none" w:sz="0" w:space="0" w:color="auto"/>
          <w:right w:val="none" w:sz="0" w:space="0" w:color="auto"/>
          <w:bar w:val="none" w:sz="0" w:color="auto"/>
        </w:pBdr>
        <w:spacing w:after="200" w:line="276" w:lineRule="auto"/>
        <w:rPr>
          <w:rFonts w:ascii="Book Antiqua" w:hAnsi="Book Antiqua"/>
          <w:b/>
        </w:rPr>
      </w:pPr>
      <w:r>
        <w:rPr>
          <w:rFonts w:ascii="Book Antiqua" w:hAnsi="Book Antiqua"/>
          <w:b/>
        </w:rPr>
        <w:br w:type="page"/>
      </w:r>
    </w:p>
    <w:bookmarkEnd w:id="47"/>
    <w:bookmarkEnd w:id="48"/>
    <w:bookmarkEnd w:id="49"/>
    <w:bookmarkEnd w:id="50"/>
    <w:bookmarkEnd w:id="51"/>
    <w:bookmarkEnd w:id="52"/>
    <w:p w:rsidR="00AE6E5C" w:rsidRPr="00E127AB" w:rsidRDefault="00BE1CDC"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lastRenderedPageBreak/>
        <w:t>Table 1</w:t>
      </w:r>
      <w:r w:rsidR="0042768D" w:rsidRPr="00E127AB">
        <w:rPr>
          <w:rFonts w:ascii="Book Antiqua" w:eastAsiaTheme="minorHAnsi" w:hAnsi="Book Antiqua" w:cs="AdvOT863180fb"/>
          <w:b/>
          <w:color w:val="auto"/>
          <w:sz w:val="24"/>
          <w:szCs w:val="24"/>
          <w:lang w:val="en-US"/>
        </w:rPr>
        <w:t xml:space="preserve"> Calculation of relative risk</w:t>
      </w:r>
    </w:p>
    <w:tbl>
      <w:tblPr>
        <w:tblStyle w:val="a4"/>
        <w:tblW w:w="0" w:type="auto"/>
        <w:tblInd w:w="-318" w:type="dxa"/>
        <w:tblBorders>
          <w:insideV w:val="none" w:sz="0" w:space="0" w:color="auto"/>
        </w:tblBorders>
        <w:tblLayout w:type="fixed"/>
        <w:tblLook w:val="04A0" w:firstRow="1" w:lastRow="0" w:firstColumn="1" w:lastColumn="0" w:noHBand="0" w:noVBand="1"/>
      </w:tblPr>
      <w:tblGrid>
        <w:gridCol w:w="1135"/>
        <w:gridCol w:w="3544"/>
        <w:gridCol w:w="3260"/>
        <w:gridCol w:w="1455"/>
      </w:tblGrid>
      <w:tr w:rsidR="00695F46" w:rsidRPr="00E127AB" w:rsidTr="00C95EF0">
        <w:trPr>
          <w:trHeight w:val="463"/>
        </w:trPr>
        <w:tc>
          <w:tcPr>
            <w:tcW w:w="1135" w:type="dxa"/>
          </w:tcPr>
          <w:p w:rsidR="007A1D7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p>
        </w:tc>
        <w:tc>
          <w:tcPr>
            <w:tcW w:w="3544" w:type="dxa"/>
          </w:tcPr>
          <w:p w:rsidR="007A1D7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proofErr w:type="spellStart"/>
            <w:r w:rsidRPr="00E127AB">
              <w:rPr>
                <w:rFonts w:ascii="Book Antiqua" w:eastAsiaTheme="minorHAnsi" w:hAnsi="Book Antiqua" w:cs="AdvOT863180fb"/>
                <w:b/>
                <w:color w:val="auto"/>
                <w:sz w:val="24"/>
                <w:szCs w:val="24"/>
                <w:lang w:val="en-US"/>
              </w:rPr>
              <w:t>Sokal</w:t>
            </w:r>
            <w:proofErr w:type="spellEnd"/>
            <w:r w:rsidRPr="00E127AB">
              <w:rPr>
                <w:rFonts w:ascii="Book Antiqua" w:eastAsiaTheme="minorHAnsi" w:hAnsi="Book Antiqua" w:cs="AdvOT863180fb"/>
                <w:b/>
                <w:color w:val="auto"/>
                <w:sz w:val="24"/>
                <w:szCs w:val="24"/>
                <w:lang w:val="en-US"/>
              </w:rPr>
              <w:t xml:space="preserve"> score</w:t>
            </w:r>
          </w:p>
        </w:tc>
        <w:tc>
          <w:tcPr>
            <w:tcW w:w="3260" w:type="dxa"/>
          </w:tcPr>
          <w:p w:rsidR="007A1D7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proofErr w:type="spellStart"/>
            <w:r w:rsidRPr="00E127AB">
              <w:rPr>
                <w:rFonts w:ascii="Book Antiqua" w:eastAsiaTheme="minorHAnsi" w:hAnsi="Book Antiqua" w:cs="AdvOT863180fb"/>
                <w:b/>
                <w:color w:val="auto"/>
                <w:sz w:val="24"/>
                <w:szCs w:val="24"/>
                <w:lang w:val="en-US"/>
              </w:rPr>
              <w:t>Hasford</w:t>
            </w:r>
            <w:proofErr w:type="spellEnd"/>
            <w:r w:rsidRPr="00E127AB">
              <w:rPr>
                <w:rFonts w:ascii="Book Antiqua" w:eastAsiaTheme="minorHAnsi" w:hAnsi="Book Antiqua" w:cs="AdvOT863180fb"/>
                <w:b/>
                <w:color w:val="auto"/>
                <w:sz w:val="24"/>
                <w:szCs w:val="24"/>
                <w:lang w:val="en-US"/>
              </w:rPr>
              <w:t xml:space="preserve"> score</w:t>
            </w:r>
          </w:p>
        </w:tc>
        <w:tc>
          <w:tcPr>
            <w:tcW w:w="1455" w:type="dxa"/>
          </w:tcPr>
          <w:p w:rsidR="007A1D7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 xml:space="preserve">EUTOS </w:t>
            </w:r>
          </w:p>
        </w:tc>
      </w:tr>
      <w:tr w:rsidR="00695F46" w:rsidRPr="00E127AB" w:rsidTr="00C95EF0">
        <w:trPr>
          <w:trHeight w:val="463"/>
        </w:trPr>
        <w:tc>
          <w:tcPr>
            <w:tcW w:w="1135" w:type="dxa"/>
          </w:tcPr>
          <w:p w:rsidR="007A1D7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Calculation </w:t>
            </w:r>
          </w:p>
        </w:tc>
        <w:tc>
          <w:tcPr>
            <w:tcW w:w="3544" w:type="dxa"/>
          </w:tcPr>
          <w:p w:rsidR="002A0F0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0.0116 </w:t>
            </w:r>
            <w:bookmarkStart w:id="53" w:name="OLE_LINK46"/>
            <w:bookmarkStart w:id="54" w:name="OLE_LINK47"/>
            <w:bookmarkStart w:id="55" w:name="OLE_LINK48"/>
            <w:bookmarkStart w:id="56" w:name="OLE_LINK49"/>
            <w:bookmarkStart w:id="57" w:name="OLE_LINK50"/>
            <w:bookmarkStart w:id="58" w:name="OLE_LINK51"/>
            <w:r w:rsidR="00BE1CDC" w:rsidRPr="00E127AB">
              <w:rPr>
                <w:rFonts w:ascii="Book Antiqua" w:eastAsia="MS UI Gothic" w:hAnsi="Book Antiqua"/>
                <w:sz w:val="24"/>
                <w:szCs w:val="24"/>
              </w:rPr>
              <w:t>×</w:t>
            </w:r>
            <w:bookmarkEnd w:id="53"/>
            <w:bookmarkEnd w:id="54"/>
            <w:bookmarkEnd w:id="55"/>
            <w:bookmarkEnd w:id="56"/>
            <w:bookmarkEnd w:id="57"/>
            <w:bookmarkEnd w:id="58"/>
            <w:r w:rsidRPr="00E127AB">
              <w:rPr>
                <w:rFonts w:ascii="Book Antiqua" w:eastAsiaTheme="minorHAnsi" w:hAnsi="Book Antiqua" w:cs="AdvOT863180fb"/>
                <w:color w:val="auto"/>
                <w:sz w:val="24"/>
                <w:szCs w:val="24"/>
                <w:lang w:val="en-US"/>
              </w:rPr>
              <w:t xml:space="preserve"> (age - 43.4) + </w:t>
            </w:r>
          </w:p>
          <w:p w:rsidR="002A0F0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0.0345 </w:t>
            </w:r>
            <w:r w:rsidR="00BE1CDC" w:rsidRPr="00E127AB">
              <w:rPr>
                <w:rFonts w:ascii="Book Antiqua" w:eastAsia="MS UI Gothic" w:hAnsi="Book Antiqua"/>
                <w:sz w:val="24"/>
                <w:szCs w:val="24"/>
              </w:rPr>
              <w:t>×</w:t>
            </w:r>
            <w:r w:rsidRPr="00E127AB">
              <w:rPr>
                <w:rFonts w:ascii="Book Antiqua" w:eastAsiaTheme="minorHAnsi" w:hAnsi="Book Antiqua" w:cs="AdvOT863180fb"/>
                <w:color w:val="auto"/>
                <w:sz w:val="24"/>
                <w:szCs w:val="24"/>
                <w:lang w:val="en-US"/>
              </w:rPr>
              <w:t xml:space="preserve"> (spleen - 7.51) + </w:t>
            </w:r>
          </w:p>
          <w:p w:rsidR="007A1D7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0.188 </w:t>
            </w:r>
            <w:r w:rsidR="00BE1CDC" w:rsidRPr="00E127AB">
              <w:rPr>
                <w:rFonts w:ascii="Book Antiqua" w:eastAsia="MS UI Gothic" w:hAnsi="Book Antiqua"/>
                <w:sz w:val="24"/>
                <w:szCs w:val="24"/>
              </w:rPr>
              <w:t>×</w:t>
            </w:r>
            <w:r w:rsidR="000C5132" w:rsidRPr="00E127AB">
              <w:rPr>
                <w:rFonts w:ascii="Book Antiqua" w:eastAsiaTheme="minorHAnsi" w:hAnsi="Book Antiqua" w:cs="AdvOT863180fb"/>
                <w:color w:val="auto"/>
                <w:sz w:val="24"/>
                <w:szCs w:val="24"/>
                <w:lang w:val="en-US"/>
              </w:rPr>
              <w:t xml:space="preserve"> [(platelet count/</w:t>
            </w:r>
            <w:r w:rsidRPr="00E127AB">
              <w:rPr>
                <w:rFonts w:ascii="Book Antiqua" w:eastAsiaTheme="minorHAnsi" w:hAnsi="Book Antiqua" w:cs="AdvOT863180fb"/>
                <w:color w:val="auto"/>
                <w:sz w:val="24"/>
                <w:szCs w:val="24"/>
                <w:lang w:val="en-US"/>
              </w:rPr>
              <w:t>700)</w:t>
            </w:r>
            <w:r w:rsidRPr="00E127AB">
              <w:rPr>
                <w:rFonts w:ascii="Book Antiqua" w:eastAsiaTheme="minorHAnsi" w:hAnsi="Book Antiqua" w:cs="AdvOT863180fb"/>
                <w:color w:val="auto"/>
                <w:sz w:val="24"/>
                <w:szCs w:val="24"/>
                <w:vertAlign w:val="superscript"/>
                <w:lang w:val="en-US"/>
              </w:rPr>
              <w:t>2</w:t>
            </w:r>
            <w:r w:rsidRPr="00E127AB">
              <w:rPr>
                <w:rFonts w:ascii="Book Antiqua" w:eastAsiaTheme="minorHAnsi" w:hAnsi="Book Antiqua" w:cs="AdvOT863180fb"/>
                <w:color w:val="auto"/>
                <w:sz w:val="24"/>
                <w:szCs w:val="24"/>
                <w:lang w:val="en-US"/>
              </w:rPr>
              <w:t xml:space="preserve"> -0.563] + 0.0887 </w:t>
            </w:r>
            <w:r w:rsidR="00BE1CDC" w:rsidRPr="00E127AB">
              <w:rPr>
                <w:rFonts w:ascii="Book Antiqua" w:eastAsia="MS UI Gothic" w:hAnsi="Book Antiqua"/>
                <w:sz w:val="24"/>
                <w:szCs w:val="24"/>
              </w:rPr>
              <w:t>×</w:t>
            </w:r>
            <w:r w:rsidRPr="00E127AB">
              <w:rPr>
                <w:rFonts w:ascii="Book Antiqua" w:eastAsiaTheme="minorHAnsi" w:hAnsi="Book Antiqua" w:cs="AdvOT863180fb"/>
                <w:color w:val="auto"/>
                <w:sz w:val="24"/>
                <w:szCs w:val="24"/>
                <w:lang w:val="en-US"/>
              </w:rPr>
              <w:t xml:space="preserve"> (blast cells - 2.10)</w:t>
            </w:r>
          </w:p>
        </w:tc>
        <w:tc>
          <w:tcPr>
            <w:tcW w:w="3260" w:type="dxa"/>
          </w:tcPr>
          <w:p w:rsidR="002A0F05" w:rsidRPr="00E127AB" w:rsidRDefault="002C48E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0.666 when age ≥</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50 +</w:t>
            </w:r>
            <w:r w:rsidR="00F73E2D" w:rsidRPr="00E127AB">
              <w:rPr>
                <w:rFonts w:ascii="Book Antiqua" w:eastAsiaTheme="minorHAnsi" w:hAnsi="Book Antiqua" w:cs="AdvOT863180fb"/>
                <w:color w:val="auto"/>
                <w:sz w:val="24"/>
                <w:szCs w:val="24"/>
                <w:lang w:val="en-US"/>
              </w:rPr>
              <w:t xml:space="preserve"> </w:t>
            </w:r>
          </w:p>
          <w:p w:rsidR="002A0F05" w:rsidRPr="00E127AB" w:rsidRDefault="002C48E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(0.042 </w:t>
            </w:r>
            <w:r w:rsidR="00BE1CDC" w:rsidRPr="00E127AB">
              <w:rPr>
                <w:rFonts w:ascii="Book Antiqua" w:eastAsia="MS UI Gothic" w:hAnsi="Book Antiqua"/>
                <w:sz w:val="24"/>
                <w:szCs w:val="24"/>
              </w:rPr>
              <w:t>×</w:t>
            </w:r>
            <w:r w:rsidRPr="00E127AB">
              <w:rPr>
                <w:rFonts w:ascii="Book Antiqua" w:eastAsiaTheme="minorHAnsi" w:hAnsi="Book Antiqua" w:cs="AdvOT863180fb"/>
                <w:color w:val="auto"/>
                <w:sz w:val="24"/>
                <w:szCs w:val="24"/>
                <w:lang w:val="en-US"/>
              </w:rPr>
              <w:t xml:space="preserve"> spleen) +</w:t>
            </w:r>
          </w:p>
          <w:p w:rsidR="002C48E8" w:rsidRPr="00E127AB" w:rsidRDefault="002C48E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1.0956 when platelet &gt;</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 xml:space="preserve">1500 </w:t>
            </w:r>
            <w:r w:rsidR="00BE1CDC" w:rsidRPr="00E127AB">
              <w:rPr>
                <w:rFonts w:ascii="Book Antiqua" w:eastAsia="MS UI Gothic" w:hAnsi="Book Antiqua"/>
                <w:sz w:val="24"/>
                <w:szCs w:val="24"/>
              </w:rPr>
              <w:t>×</w:t>
            </w:r>
            <w:r w:rsidRPr="00E127AB">
              <w:rPr>
                <w:rFonts w:ascii="Book Antiqua" w:eastAsiaTheme="minorHAnsi" w:hAnsi="Book Antiqua" w:cs="AdvOT863180fb"/>
                <w:color w:val="auto"/>
                <w:sz w:val="24"/>
                <w:szCs w:val="24"/>
                <w:lang w:val="en-US"/>
              </w:rPr>
              <w:t xml:space="preserve"> 10</w:t>
            </w:r>
            <w:r w:rsidRPr="00E127AB">
              <w:rPr>
                <w:rFonts w:ascii="Book Antiqua" w:eastAsiaTheme="minorHAnsi" w:hAnsi="Book Antiqua" w:cs="AdvOT863180fb"/>
                <w:color w:val="auto"/>
                <w:sz w:val="24"/>
                <w:szCs w:val="24"/>
                <w:vertAlign w:val="superscript"/>
                <w:lang w:val="en-US"/>
              </w:rPr>
              <w:t>9</w:t>
            </w:r>
            <w:r w:rsidRPr="00E127AB">
              <w:rPr>
                <w:rFonts w:ascii="Book Antiqua" w:eastAsiaTheme="minorHAnsi" w:hAnsi="Book Antiqua" w:cs="AdvOT863180fb"/>
                <w:color w:val="auto"/>
                <w:sz w:val="24"/>
                <w:szCs w:val="24"/>
                <w:lang w:val="en-US"/>
              </w:rPr>
              <w:t>/L +</w:t>
            </w:r>
          </w:p>
          <w:p w:rsidR="0012744D" w:rsidRPr="00E127AB" w:rsidRDefault="002C48E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(0.0584 </w:t>
            </w:r>
            <w:r w:rsidR="00BE1CDC" w:rsidRPr="00E127AB">
              <w:rPr>
                <w:rFonts w:ascii="Book Antiqua" w:eastAsia="MS UI Gothic" w:hAnsi="Book Antiqua"/>
                <w:sz w:val="24"/>
                <w:szCs w:val="24"/>
              </w:rPr>
              <w:t>×</w:t>
            </w:r>
            <w:r w:rsidRPr="00E127AB">
              <w:rPr>
                <w:rFonts w:ascii="Book Antiqua" w:eastAsiaTheme="minorHAnsi" w:hAnsi="Book Antiqua" w:cs="AdvOT863180fb"/>
                <w:color w:val="auto"/>
                <w:sz w:val="24"/>
                <w:szCs w:val="24"/>
                <w:lang w:val="en-US"/>
              </w:rPr>
              <w:t xml:space="preserve"> blast cells) +</w:t>
            </w:r>
          </w:p>
          <w:p w:rsidR="007A1D75" w:rsidRPr="00E127AB" w:rsidRDefault="002C48E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0.20399 when basophils &gt;</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 xml:space="preserve">3% + (0.0413 </w:t>
            </w:r>
            <w:r w:rsidR="00BE1CDC" w:rsidRPr="00E127AB">
              <w:rPr>
                <w:rFonts w:ascii="Book Antiqua" w:eastAsia="MS UI Gothic" w:hAnsi="Book Antiqua"/>
                <w:sz w:val="24"/>
                <w:szCs w:val="24"/>
              </w:rPr>
              <w:t>×</w:t>
            </w:r>
            <w:r w:rsidRPr="00E127AB">
              <w:rPr>
                <w:rFonts w:ascii="Book Antiqua" w:eastAsiaTheme="minorHAnsi" w:hAnsi="Book Antiqua" w:cs="AdvOT863180fb"/>
                <w:color w:val="auto"/>
                <w:sz w:val="24"/>
                <w:szCs w:val="24"/>
                <w:lang w:val="en-US"/>
              </w:rPr>
              <w:t xml:space="preserve"> eosinophils) + 100</w:t>
            </w:r>
          </w:p>
        </w:tc>
        <w:tc>
          <w:tcPr>
            <w:tcW w:w="1455" w:type="dxa"/>
          </w:tcPr>
          <w:p w:rsidR="007A1D75" w:rsidRPr="00E127AB" w:rsidRDefault="002C48E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Spleen </w:t>
            </w:r>
            <w:r w:rsidR="00BE1CDC" w:rsidRPr="00E127AB">
              <w:rPr>
                <w:rFonts w:ascii="Book Antiqua" w:eastAsia="MS UI Gothic" w:hAnsi="Book Antiqua"/>
                <w:sz w:val="24"/>
                <w:szCs w:val="24"/>
              </w:rPr>
              <w:t>×</w:t>
            </w:r>
            <w:r w:rsidRPr="00E127AB">
              <w:rPr>
                <w:rFonts w:ascii="Book Antiqua" w:eastAsiaTheme="minorHAnsi" w:hAnsi="Book Antiqua" w:cs="AdvOT863180fb"/>
                <w:color w:val="auto"/>
                <w:sz w:val="24"/>
                <w:szCs w:val="24"/>
                <w:lang w:val="en-US"/>
              </w:rPr>
              <w:t xml:space="preserve"> 4 + basophils </w:t>
            </w:r>
            <w:r w:rsidR="00BE1CDC" w:rsidRPr="00E127AB">
              <w:rPr>
                <w:rFonts w:ascii="Book Antiqua" w:eastAsia="MS UI Gothic" w:hAnsi="Book Antiqua"/>
                <w:sz w:val="24"/>
                <w:szCs w:val="24"/>
              </w:rPr>
              <w:t>×</w:t>
            </w:r>
            <w:r w:rsidRPr="00E127AB">
              <w:rPr>
                <w:rFonts w:ascii="Book Antiqua" w:eastAsiaTheme="minorHAnsi" w:hAnsi="Book Antiqua" w:cs="AdvOT863180fb"/>
                <w:color w:val="auto"/>
                <w:sz w:val="24"/>
                <w:szCs w:val="24"/>
                <w:lang w:val="en-US"/>
              </w:rPr>
              <w:t xml:space="preserve"> 7</w:t>
            </w:r>
          </w:p>
        </w:tc>
      </w:tr>
      <w:tr w:rsidR="00695F46" w:rsidRPr="00E127AB" w:rsidTr="00C95EF0">
        <w:trPr>
          <w:trHeight w:val="452"/>
        </w:trPr>
        <w:tc>
          <w:tcPr>
            <w:tcW w:w="1135" w:type="dxa"/>
          </w:tcPr>
          <w:p w:rsidR="007A1D7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Risk definition </w:t>
            </w:r>
          </w:p>
        </w:tc>
        <w:tc>
          <w:tcPr>
            <w:tcW w:w="3544" w:type="dxa"/>
          </w:tcPr>
          <w:p w:rsidR="00654382" w:rsidRPr="00E127AB" w:rsidRDefault="0065438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Exponential of the total</w:t>
            </w:r>
          </w:p>
          <w:p w:rsidR="007A1D7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Low risk: &lt;</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0.8</w:t>
            </w:r>
          </w:p>
          <w:p w:rsidR="007A1D7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Intermediate risk: 0.8-1.2</w:t>
            </w:r>
          </w:p>
          <w:p w:rsidR="007A1D7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High risk: &gt;</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1.2</w:t>
            </w:r>
          </w:p>
        </w:tc>
        <w:tc>
          <w:tcPr>
            <w:tcW w:w="3260" w:type="dxa"/>
          </w:tcPr>
          <w:p w:rsidR="00654382" w:rsidRPr="00E127AB" w:rsidRDefault="0065438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Total × 1000</w:t>
            </w:r>
          </w:p>
          <w:p w:rsidR="007A1D7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Low risk: ≤</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780</w:t>
            </w:r>
          </w:p>
          <w:p w:rsidR="007A1D7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Intermediate risk: 781-1480</w:t>
            </w:r>
          </w:p>
          <w:p w:rsidR="007A1D7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High risk: &gt;</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1480</w:t>
            </w:r>
          </w:p>
        </w:tc>
        <w:tc>
          <w:tcPr>
            <w:tcW w:w="1455" w:type="dxa"/>
          </w:tcPr>
          <w:p w:rsidR="00654382" w:rsidRPr="00E127AB" w:rsidRDefault="0065438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Total</w:t>
            </w:r>
          </w:p>
          <w:p w:rsidR="007A1D7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Low risk: ≤</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87</w:t>
            </w:r>
          </w:p>
          <w:p w:rsidR="007A1D75" w:rsidRPr="00E127AB" w:rsidRDefault="007A1D75"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High risk: &gt;</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87</w:t>
            </w:r>
          </w:p>
        </w:tc>
      </w:tr>
    </w:tbl>
    <w:p w:rsidR="0042768D" w:rsidRPr="00E127AB" w:rsidRDefault="0042768D"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AdvOT863180fb"/>
          <w:color w:val="auto"/>
          <w:sz w:val="24"/>
          <w:szCs w:val="24"/>
          <w:lang w:val="en-US" w:eastAsia="zh-CN"/>
        </w:rPr>
      </w:pPr>
      <w:r w:rsidRPr="00E127AB">
        <w:rPr>
          <w:rFonts w:ascii="Book Antiqua" w:eastAsiaTheme="minorHAnsi" w:hAnsi="Book Antiqua" w:cs="AdvOT863180fb"/>
          <w:color w:val="auto"/>
          <w:sz w:val="24"/>
          <w:szCs w:val="24"/>
          <w:lang w:val="en-US"/>
        </w:rPr>
        <w:t>Age is given in years. Spleen is given in centimeters below the costal margin (maximum distance). Blast cells, eosinophils, and basophils are given in percent of peripheral blood differential. All values must be collected before any treatment.</w:t>
      </w:r>
      <w:r w:rsidR="0002755E" w:rsidRPr="00E127AB">
        <w:rPr>
          <w:rFonts w:ascii="Book Antiqua" w:eastAsiaTheme="minorEastAsia" w:hAnsi="Book Antiqua" w:cs="AdvOT863180fb"/>
          <w:color w:val="auto"/>
          <w:sz w:val="24"/>
          <w:szCs w:val="24"/>
          <w:lang w:val="en-US" w:eastAsia="zh-CN"/>
        </w:rPr>
        <w:t xml:space="preserve"> </w:t>
      </w:r>
      <w:r w:rsidR="0002755E" w:rsidRPr="00E127AB">
        <w:rPr>
          <w:rFonts w:ascii="Book Antiqua" w:eastAsiaTheme="minorHAnsi" w:hAnsi="Book Antiqua" w:cs="AdvOT863180fb"/>
          <w:color w:val="auto"/>
          <w:sz w:val="24"/>
          <w:szCs w:val="24"/>
          <w:lang w:val="en-US"/>
        </w:rPr>
        <w:t>EUTOS</w:t>
      </w:r>
      <w:r w:rsidR="0002755E" w:rsidRPr="00E127AB">
        <w:rPr>
          <w:rFonts w:ascii="Book Antiqua" w:eastAsiaTheme="minorEastAsia" w:hAnsi="Book Antiqua" w:cs="AdvOT863180fb"/>
          <w:color w:val="auto"/>
          <w:sz w:val="24"/>
          <w:szCs w:val="24"/>
          <w:lang w:val="en-US" w:eastAsia="zh-CN"/>
        </w:rPr>
        <w:t>:</w:t>
      </w:r>
      <w:r w:rsidR="0002755E" w:rsidRPr="00E127AB">
        <w:rPr>
          <w:rFonts w:ascii="Book Antiqua" w:eastAsiaTheme="minorEastAsia" w:hAnsi="Book Antiqua" w:cs="AdvOT863180fb"/>
          <w:b/>
          <w:color w:val="auto"/>
          <w:sz w:val="24"/>
          <w:szCs w:val="24"/>
          <w:lang w:val="en-US" w:eastAsia="zh-CN"/>
        </w:rPr>
        <w:t xml:space="preserve"> </w:t>
      </w:r>
      <w:r w:rsidR="0002755E" w:rsidRPr="00E127AB">
        <w:rPr>
          <w:rFonts w:ascii="Book Antiqua" w:hAnsi="Book Antiqua" w:cs="Times New Roman"/>
          <w:color w:val="auto"/>
          <w:sz w:val="24"/>
          <w:szCs w:val="24"/>
          <w:lang w:val="en-US"/>
        </w:rPr>
        <w:t>European Treatment and Outcome Study</w:t>
      </w:r>
      <w:r w:rsidR="00A318A6" w:rsidRPr="00E127AB">
        <w:rPr>
          <w:rFonts w:ascii="Book Antiqua" w:hAnsi="Book Antiqua" w:cs="Times New Roman"/>
          <w:color w:val="auto"/>
          <w:sz w:val="24"/>
          <w:szCs w:val="24"/>
          <w:lang w:val="en-US" w:eastAsia="zh-CN"/>
        </w:rPr>
        <w:t>.</w:t>
      </w:r>
    </w:p>
    <w:p w:rsidR="00AE6E5C" w:rsidRPr="00E127AB" w:rsidRDefault="00AE6E5C"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color w:val="auto"/>
          <w:sz w:val="24"/>
          <w:szCs w:val="24"/>
          <w:lang w:val="en-US"/>
        </w:rPr>
      </w:pPr>
    </w:p>
    <w:p w:rsidR="00677D43" w:rsidRPr="00E127AB" w:rsidRDefault="00677D43"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color w:val="auto"/>
          <w:sz w:val="24"/>
          <w:szCs w:val="24"/>
          <w:lang w:val="en-US"/>
        </w:rPr>
      </w:pPr>
    </w:p>
    <w:p w:rsidR="00677D43" w:rsidRPr="00E127AB" w:rsidRDefault="00677D43"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color w:val="auto"/>
          <w:sz w:val="24"/>
          <w:szCs w:val="24"/>
          <w:lang w:val="en-US"/>
        </w:rPr>
      </w:pPr>
    </w:p>
    <w:p w:rsidR="00677D43" w:rsidRPr="00E127AB" w:rsidRDefault="00677D43"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color w:val="auto"/>
          <w:sz w:val="24"/>
          <w:szCs w:val="24"/>
          <w:lang w:val="en-US"/>
        </w:rPr>
      </w:pPr>
    </w:p>
    <w:p w:rsidR="00BE1CDC" w:rsidRPr="00E127AB" w:rsidRDefault="00BE1CDC" w:rsidP="005E6CDB">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u w:color="000000"/>
          <w:lang w:eastAsia="tr-TR"/>
        </w:rPr>
      </w:pPr>
      <w:r w:rsidRPr="00E127AB">
        <w:rPr>
          <w:rFonts w:ascii="Book Antiqua" w:eastAsiaTheme="minorHAnsi" w:hAnsi="Book Antiqua" w:cs="AdvOT863180fb"/>
        </w:rPr>
        <w:br w:type="page"/>
      </w:r>
    </w:p>
    <w:p w:rsidR="00AE6E5C" w:rsidRPr="00E127AB" w:rsidRDefault="00BE1CDC"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lastRenderedPageBreak/>
        <w:t>Table 2</w:t>
      </w:r>
      <w:r w:rsidR="007A0C99" w:rsidRPr="00E127AB">
        <w:rPr>
          <w:rFonts w:ascii="Book Antiqua" w:eastAsiaTheme="minorHAnsi" w:hAnsi="Book Antiqua" w:cs="AdvOT863180fb"/>
          <w:b/>
          <w:color w:val="auto"/>
          <w:sz w:val="24"/>
          <w:szCs w:val="24"/>
          <w:lang w:val="en-US"/>
        </w:rPr>
        <w:t xml:space="preserve"> </w:t>
      </w:r>
      <w:r w:rsidR="00A318A6" w:rsidRPr="00E127AB">
        <w:rPr>
          <w:rFonts w:ascii="Book Antiqua" w:eastAsiaTheme="minorHAnsi" w:hAnsi="Book Antiqua" w:cs="AdvOT863180fb"/>
          <w:b/>
          <w:color w:val="auto"/>
          <w:sz w:val="24"/>
          <w:szCs w:val="24"/>
          <w:lang w:val="en-US"/>
        </w:rPr>
        <w:t xml:space="preserve">European </w:t>
      </w:r>
      <w:proofErr w:type="spellStart"/>
      <w:r w:rsidR="00A318A6" w:rsidRPr="00E127AB">
        <w:rPr>
          <w:rFonts w:ascii="Book Antiqua" w:eastAsiaTheme="minorHAnsi" w:hAnsi="Book Antiqua" w:cs="AdvOT863180fb"/>
          <w:b/>
          <w:color w:val="auto"/>
          <w:sz w:val="24"/>
          <w:szCs w:val="24"/>
          <w:lang w:val="en-US"/>
        </w:rPr>
        <w:t>LeukemiaNet</w:t>
      </w:r>
      <w:proofErr w:type="spellEnd"/>
      <w:r w:rsidR="00C80F99" w:rsidRPr="00E127AB">
        <w:rPr>
          <w:rFonts w:ascii="Book Antiqua" w:eastAsiaTheme="minorHAnsi" w:hAnsi="Book Antiqua" w:cs="AdvOT863180fb"/>
          <w:b/>
          <w:color w:val="auto"/>
          <w:sz w:val="24"/>
          <w:szCs w:val="24"/>
          <w:lang w:val="en-US"/>
        </w:rPr>
        <w:t xml:space="preserve"> </w:t>
      </w:r>
      <w:r w:rsidR="007A0C99" w:rsidRPr="00E127AB">
        <w:rPr>
          <w:rFonts w:ascii="Book Antiqua" w:eastAsiaTheme="minorHAnsi" w:hAnsi="Book Antiqua" w:cs="AdvOT863180fb"/>
          <w:b/>
          <w:color w:val="auto"/>
          <w:sz w:val="24"/>
          <w:szCs w:val="24"/>
          <w:lang w:val="en-US"/>
        </w:rPr>
        <w:t>response</w:t>
      </w:r>
      <w:r w:rsidR="00C80F99" w:rsidRPr="00E127AB">
        <w:rPr>
          <w:rFonts w:ascii="Book Antiqua" w:eastAsiaTheme="minorHAnsi" w:hAnsi="Book Antiqua" w:cs="AdvOT863180fb"/>
          <w:b/>
          <w:color w:val="auto"/>
          <w:sz w:val="24"/>
          <w:szCs w:val="24"/>
          <w:lang w:val="en-US"/>
        </w:rPr>
        <w:t xml:space="preserve"> criteria </w:t>
      </w:r>
      <w:r w:rsidR="007A0C99" w:rsidRPr="00E127AB">
        <w:rPr>
          <w:rFonts w:ascii="Book Antiqua" w:eastAsiaTheme="minorHAnsi" w:hAnsi="Book Antiqua" w:cs="AdvOT863180fb"/>
          <w:b/>
          <w:color w:val="auto"/>
          <w:sz w:val="24"/>
          <w:szCs w:val="24"/>
          <w:lang w:val="en-US"/>
        </w:rPr>
        <w:t xml:space="preserve">to </w:t>
      </w:r>
      <w:r w:rsidR="00A318A6" w:rsidRPr="00E127AB">
        <w:rPr>
          <w:rFonts w:ascii="Book Antiqua" w:eastAsiaTheme="minorHAnsi" w:hAnsi="Book Antiqua" w:cs="AdvOT863180fb"/>
          <w:b/>
          <w:color w:val="auto"/>
          <w:sz w:val="24"/>
          <w:szCs w:val="24"/>
          <w:lang w:val="en-US"/>
        </w:rPr>
        <w:t>tyrosine kinase inhibitors</w:t>
      </w:r>
      <w:r w:rsidR="007A0C99" w:rsidRPr="00E127AB">
        <w:rPr>
          <w:rFonts w:ascii="Book Antiqua" w:eastAsiaTheme="minorHAnsi" w:hAnsi="Book Antiqua" w:cs="AdvOT863180fb"/>
          <w:b/>
          <w:color w:val="auto"/>
          <w:sz w:val="24"/>
          <w:szCs w:val="24"/>
          <w:lang w:val="en-US"/>
        </w:rPr>
        <w:t xml:space="preserve"> at first line</w:t>
      </w:r>
    </w:p>
    <w:tbl>
      <w:tblPr>
        <w:tblStyle w:val="a4"/>
        <w:tblW w:w="0" w:type="auto"/>
        <w:tblBorders>
          <w:insideV w:val="none" w:sz="0" w:space="0" w:color="auto"/>
        </w:tblBorders>
        <w:tblLook w:val="04A0" w:firstRow="1" w:lastRow="0" w:firstColumn="1" w:lastColumn="0" w:noHBand="0" w:noVBand="1"/>
      </w:tblPr>
      <w:tblGrid>
        <w:gridCol w:w="2241"/>
        <w:gridCol w:w="2241"/>
        <w:gridCol w:w="2241"/>
        <w:gridCol w:w="2241"/>
      </w:tblGrid>
      <w:tr w:rsidR="00695F46" w:rsidRPr="00E127AB" w:rsidTr="00F04BE0">
        <w:trPr>
          <w:trHeight w:val="467"/>
        </w:trPr>
        <w:tc>
          <w:tcPr>
            <w:tcW w:w="2241" w:type="dxa"/>
          </w:tcPr>
          <w:p w:rsidR="007A0C99" w:rsidRPr="00E127AB" w:rsidRDefault="007A0C9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p>
        </w:tc>
        <w:tc>
          <w:tcPr>
            <w:tcW w:w="2241" w:type="dxa"/>
          </w:tcPr>
          <w:p w:rsidR="007A0C99" w:rsidRPr="00E127AB" w:rsidRDefault="00B0781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 xml:space="preserve">Optimal </w:t>
            </w:r>
          </w:p>
        </w:tc>
        <w:tc>
          <w:tcPr>
            <w:tcW w:w="2241" w:type="dxa"/>
          </w:tcPr>
          <w:p w:rsidR="007A0C99" w:rsidRPr="00E127AB" w:rsidRDefault="00B0781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 xml:space="preserve">Warning </w:t>
            </w:r>
          </w:p>
        </w:tc>
        <w:tc>
          <w:tcPr>
            <w:tcW w:w="2241" w:type="dxa"/>
          </w:tcPr>
          <w:p w:rsidR="007A0C99" w:rsidRPr="00E127AB" w:rsidRDefault="00B0781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Failure</w:t>
            </w:r>
          </w:p>
        </w:tc>
      </w:tr>
      <w:tr w:rsidR="00695F46" w:rsidRPr="00E127AB" w:rsidTr="00F04BE0">
        <w:trPr>
          <w:trHeight w:val="467"/>
        </w:trPr>
        <w:tc>
          <w:tcPr>
            <w:tcW w:w="2241" w:type="dxa"/>
          </w:tcPr>
          <w:p w:rsidR="007A0C99" w:rsidRPr="00E127AB" w:rsidRDefault="00B0781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Baseline</w:t>
            </w:r>
          </w:p>
        </w:tc>
        <w:tc>
          <w:tcPr>
            <w:tcW w:w="2241" w:type="dxa"/>
          </w:tcPr>
          <w:p w:rsidR="007A0C99" w:rsidRPr="00E127AB" w:rsidRDefault="00B0781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NA</w:t>
            </w:r>
          </w:p>
        </w:tc>
        <w:tc>
          <w:tcPr>
            <w:tcW w:w="2241" w:type="dxa"/>
          </w:tcPr>
          <w:p w:rsidR="007A0C99" w:rsidRPr="00E127AB" w:rsidRDefault="00B0781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High risk or CCA/</w:t>
            </w:r>
            <w:proofErr w:type="spellStart"/>
            <w:r w:rsidRPr="00E127AB">
              <w:rPr>
                <w:rFonts w:ascii="Book Antiqua" w:eastAsiaTheme="minorHAnsi" w:hAnsi="Book Antiqua" w:cs="AdvOT863180fb"/>
                <w:color w:val="auto"/>
                <w:sz w:val="24"/>
                <w:szCs w:val="24"/>
                <w:lang w:val="en-US"/>
              </w:rPr>
              <w:t>Ph</w:t>
            </w:r>
            <w:proofErr w:type="spellEnd"/>
            <w:r w:rsidRPr="00E127AB">
              <w:rPr>
                <w:rFonts w:ascii="Book Antiqua" w:eastAsiaTheme="minorHAnsi" w:hAnsi="Book Antiqua" w:cs="AdvOT863180fb"/>
                <w:color w:val="auto"/>
                <w:sz w:val="24"/>
                <w:szCs w:val="24"/>
                <w:lang w:val="en-US"/>
              </w:rPr>
              <w:t xml:space="preserve">+, major route </w:t>
            </w:r>
          </w:p>
        </w:tc>
        <w:tc>
          <w:tcPr>
            <w:tcW w:w="2241" w:type="dxa"/>
          </w:tcPr>
          <w:p w:rsidR="007A0C99" w:rsidRPr="00E127AB" w:rsidRDefault="00B0781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NA</w:t>
            </w:r>
          </w:p>
        </w:tc>
      </w:tr>
      <w:tr w:rsidR="00695F46" w:rsidRPr="00E127AB" w:rsidTr="00F04BE0">
        <w:trPr>
          <w:trHeight w:val="457"/>
        </w:trPr>
        <w:tc>
          <w:tcPr>
            <w:tcW w:w="2241" w:type="dxa"/>
          </w:tcPr>
          <w:p w:rsidR="007A0C99" w:rsidRPr="00E127AB" w:rsidRDefault="00B0781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3 </w:t>
            </w:r>
            <w:proofErr w:type="spellStart"/>
            <w:r w:rsidRPr="00E127AB">
              <w:rPr>
                <w:rFonts w:ascii="Book Antiqua" w:eastAsiaTheme="minorHAnsi" w:hAnsi="Book Antiqua" w:cs="AdvOT863180fb"/>
                <w:color w:val="auto"/>
                <w:sz w:val="24"/>
                <w:szCs w:val="24"/>
                <w:lang w:val="en-US"/>
              </w:rPr>
              <w:t>mo</w:t>
            </w:r>
            <w:proofErr w:type="spellEnd"/>
          </w:p>
        </w:tc>
        <w:tc>
          <w:tcPr>
            <w:tcW w:w="2241" w:type="dxa"/>
          </w:tcPr>
          <w:p w:rsidR="007A0C99" w:rsidRPr="00E127AB" w:rsidRDefault="00B0781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BCR-ABL1</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 10% and/or</w:t>
            </w:r>
          </w:p>
          <w:p w:rsidR="00B07812" w:rsidRPr="00E127AB" w:rsidRDefault="00B0781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proofErr w:type="spellStart"/>
            <w:r w:rsidRPr="00E127AB">
              <w:rPr>
                <w:rFonts w:ascii="Book Antiqua" w:eastAsiaTheme="minorHAnsi" w:hAnsi="Book Antiqua" w:cs="AdvOT863180fb"/>
                <w:color w:val="auto"/>
                <w:sz w:val="24"/>
                <w:szCs w:val="24"/>
                <w:lang w:val="en-US"/>
              </w:rPr>
              <w:t>Ph</w:t>
            </w:r>
            <w:proofErr w:type="spellEnd"/>
            <w:r w:rsidRPr="00E127AB">
              <w:rPr>
                <w:rFonts w:ascii="Book Antiqua" w:eastAsiaTheme="minorHAnsi" w:hAnsi="Book Antiqua" w:cs="AdvOT863180fb"/>
                <w:color w:val="auto"/>
                <w:sz w:val="24"/>
                <w:szCs w:val="24"/>
                <w:lang w:val="en-US"/>
              </w:rPr>
              <w:t>+</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w:t>
            </w:r>
            <w:r w:rsidR="00881929" w:rsidRPr="00E127AB">
              <w:rPr>
                <w:rFonts w:ascii="Book Antiqua" w:eastAsiaTheme="minorHAnsi" w:hAnsi="Book Antiqua" w:cs="AdvOT863180fb"/>
                <w:color w:val="auto"/>
                <w:sz w:val="24"/>
                <w:szCs w:val="24"/>
                <w:lang w:val="en-US"/>
              </w:rPr>
              <w:t xml:space="preserve"> </w:t>
            </w:r>
            <w:r w:rsidRPr="00E127AB">
              <w:rPr>
                <w:rFonts w:ascii="Book Antiqua" w:eastAsiaTheme="minorHAnsi" w:hAnsi="Book Antiqua" w:cs="AdvOT863180fb"/>
                <w:color w:val="auto"/>
                <w:sz w:val="24"/>
                <w:szCs w:val="24"/>
                <w:lang w:val="en-US"/>
              </w:rPr>
              <w:t>35%</w:t>
            </w:r>
          </w:p>
        </w:tc>
        <w:tc>
          <w:tcPr>
            <w:tcW w:w="2241" w:type="dxa"/>
          </w:tcPr>
          <w:p w:rsidR="00881929" w:rsidRPr="00E127AB" w:rsidRDefault="0088192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BCR-ABL1 &gt;</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10% and/or</w:t>
            </w:r>
            <w:r w:rsidR="00A318A6" w:rsidRPr="00E127AB">
              <w:rPr>
                <w:rFonts w:ascii="Book Antiqua" w:eastAsiaTheme="minorEastAsia" w:hAnsi="Book Antiqua" w:cs="AdvOT863180fb"/>
                <w:color w:val="auto"/>
                <w:sz w:val="24"/>
                <w:szCs w:val="24"/>
                <w:lang w:val="en-US" w:eastAsia="zh-CN"/>
              </w:rPr>
              <w:t xml:space="preserve"> </w:t>
            </w:r>
            <w:proofErr w:type="spellStart"/>
            <w:r w:rsidRPr="00E127AB">
              <w:rPr>
                <w:rFonts w:ascii="Book Antiqua" w:eastAsiaTheme="minorHAnsi" w:hAnsi="Book Antiqua" w:cs="AdvOT863180fb"/>
                <w:color w:val="auto"/>
                <w:sz w:val="24"/>
                <w:szCs w:val="24"/>
                <w:lang w:val="en-US"/>
              </w:rPr>
              <w:t>Ph</w:t>
            </w:r>
            <w:proofErr w:type="spellEnd"/>
            <w:r w:rsidRPr="00E127AB">
              <w:rPr>
                <w:rFonts w:ascii="Book Antiqua" w:eastAsiaTheme="minorHAnsi" w:hAnsi="Book Antiqua" w:cs="AdvOT863180fb"/>
                <w:color w:val="auto"/>
                <w:sz w:val="24"/>
                <w:szCs w:val="24"/>
                <w:lang w:val="en-US"/>
              </w:rPr>
              <w:t>+ 35</w:t>
            </w:r>
            <w:r w:rsidR="00BE1CDC" w:rsidRPr="00E127AB">
              <w:rPr>
                <w:rFonts w:ascii="Book Antiqua" w:eastAsiaTheme="minorEastAsia" w:hAnsi="Book Antiqua" w:cs="AdvOT863180fb"/>
                <w:color w:val="auto"/>
                <w:sz w:val="24"/>
                <w:szCs w:val="24"/>
                <w:lang w:val="en-US" w:eastAsia="zh-CN"/>
              </w:rPr>
              <w:t>%</w:t>
            </w:r>
            <w:r w:rsidRPr="00E127AB">
              <w:rPr>
                <w:rFonts w:ascii="Book Antiqua" w:eastAsiaTheme="minorHAnsi" w:hAnsi="Book Antiqua" w:cs="AdvOT863180fb"/>
                <w:color w:val="auto"/>
                <w:sz w:val="24"/>
                <w:szCs w:val="24"/>
                <w:lang w:val="en-US"/>
              </w:rPr>
              <w:t>-95%</w:t>
            </w:r>
          </w:p>
        </w:tc>
        <w:tc>
          <w:tcPr>
            <w:tcW w:w="2241" w:type="dxa"/>
          </w:tcPr>
          <w:p w:rsidR="007A0C99" w:rsidRPr="00E127AB" w:rsidRDefault="00C80F9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Non-CHR</w:t>
            </w:r>
          </w:p>
          <w:p w:rsidR="00C80F99" w:rsidRPr="00E127AB" w:rsidRDefault="00A318A6"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and/or</w:t>
            </w:r>
            <w:r w:rsidRPr="00E127AB">
              <w:rPr>
                <w:rFonts w:ascii="Book Antiqua" w:eastAsiaTheme="minorEastAsia" w:hAnsi="Book Antiqua" w:cs="AdvOT863180fb"/>
                <w:color w:val="auto"/>
                <w:sz w:val="24"/>
                <w:szCs w:val="24"/>
                <w:lang w:val="en-US" w:eastAsia="zh-CN"/>
              </w:rPr>
              <w:t xml:space="preserve"> </w:t>
            </w:r>
            <w:proofErr w:type="spellStart"/>
            <w:r w:rsidR="00C80F99" w:rsidRPr="00E127AB">
              <w:rPr>
                <w:rFonts w:ascii="Book Antiqua" w:eastAsiaTheme="minorHAnsi" w:hAnsi="Book Antiqua" w:cs="AdvOT863180fb"/>
                <w:color w:val="auto"/>
                <w:sz w:val="24"/>
                <w:szCs w:val="24"/>
                <w:lang w:val="en-US"/>
              </w:rPr>
              <w:t>Ph</w:t>
            </w:r>
            <w:proofErr w:type="spellEnd"/>
            <w:r w:rsidR="00C80F99" w:rsidRPr="00E127AB">
              <w:rPr>
                <w:rFonts w:ascii="Book Antiqua" w:eastAsiaTheme="minorHAnsi" w:hAnsi="Book Antiqua" w:cs="AdvOT863180fb"/>
                <w:color w:val="auto"/>
                <w:sz w:val="24"/>
                <w:szCs w:val="24"/>
                <w:lang w:val="en-US"/>
              </w:rPr>
              <w:t>+ &gt;</w:t>
            </w:r>
            <w:r w:rsidR="00BE1CDC" w:rsidRPr="00E127AB">
              <w:rPr>
                <w:rFonts w:ascii="Book Antiqua" w:eastAsiaTheme="minorEastAsia" w:hAnsi="Book Antiqua" w:cs="AdvOT863180fb"/>
                <w:color w:val="auto"/>
                <w:sz w:val="24"/>
                <w:szCs w:val="24"/>
                <w:lang w:val="en-US" w:eastAsia="zh-CN"/>
              </w:rPr>
              <w:t xml:space="preserve"> </w:t>
            </w:r>
            <w:r w:rsidR="00C80F99" w:rsidRPr="00E127AB">
              <w:rPr>
                <w:rFonts w:ascii="Book Antiqua" w:eastAsiaTheme="minorHAnsi" w:hAnsi="Book Antiqua" w:cs="AdvOT863180fb"/>
                <w:color w:val="auto"/>
                <w:sz w:val="24"/>
                <w:szCs w:val="24"/>
                <w:lang w:val="en-US"/>
              </w:rPr>
              <w:t>95%</w:t>
            </w:r>
          </w:p>
        </w:tc>
      </w:tr>
      <w:tr w:rsidR="00695F46" w:rsidRPr="00E127AB" w:rsidTr="00F04BE0">
        <w:trPr>
          <w:trHeight w:val="467"/>
        </w:trPr>
        <w:tc>
          <w:tcPr>
            <w:tcW w:w="2241" w:type="dxa"/>
          </w:tcPr>
          <w:p w:rsidR="007A0C99" w:rsidRPr="00E127AB" w:rsidRDefault="00B0781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6 </w:t>
            </w:r>
            <w:proofErr w:type="spellStart"/>
            <w:r w:rsidRPr="00E127AB">
              <w:rPr>
                <w:rFonts w:ascii="Book Antiqua" w:eastAsiaTheme="minorHAnsi" w:hAnsi="Book Antiqua" w:cs="AdvOT863180fb"/>
                <w:color w:val="auto"/>
                <w:sz w:val="24"/>
                <w:szCs w:val="24"/>
                <w:lang w:val="en-US"/>
              </w:rPr>
              <w:t>mo</w:t>
            </w:r>
            <w:proofErr w:type="spellEnd"/>
          </w:p>
        </w:tc>
        <w:tc>
          <w:tcPr>
            <w:tcW w:w="2241" w:type="dxa"/>
          </w:tcPr>
          <w:p w:rsidR="00881929" w:rsidRPr="00E127AB" w:rsidRDefault="0088192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BCR-ABL1</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 xml:space="preserve">≤ </w:t>
            </w:r>
            <w:r w:rsidR="00C80F99" w:rsidRPr="00E127AB">
              <w:rPr>
                <w:rFonts w:ascii="Book Antiqua" w:eastAsiaTheme="minorHAnsi" w:hAnsi="Book Antiqua" w:cs="AdvOT863180fb"/>
                <w:color w:val="auto"/>
                <w:sz w:val="24"/>
                <w:szCs w:val="24"/>
                <w:lang w:val="en-US"/>
              </w:rPr>
              <w:t>1</w:t>
            </w:r>
            <w:r w:rsidRPr="00E127AB">
              <w:rPr>
                <w:rFonts w:ascii="Book Antiqua" w:eastAsiaTheme="minorHAnsi" w:hAnsi="Book Antiqua" w:cs="AdvOT863180fb"/>
                <w:color w:val="auto"/>
                <w:sz w:val="24"/>
                <w:szCs w:val="24"/>
                <w:lang w:val="en-US"/>
              </w:rPr>
              <w:t>% and/or</w:t>
            </w:r>
          </w:p>
          <w:p w:rsidR="007A0C99" w:rsidRPr="00E127AB" w:rsidRDefault="0088192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proofErr w:type="spellStart"/>
            <w:r w:rsidRPr="00E127AB">
              <w:rPr>
                <w:rFonts w:ascii="Book Antiqua" w:eastAsiaTheme="minorHAnsi" w:hAnsi="Book Antiqua" w:cs="AdvOT863180fb"/>
                <w:color w:val="auto"/>
                <w:sz w:val="24"/>
                <w:szCs w:val="24"/>
                <w:lang w:val="en-US"/>
              </w:rPr>
              <w:t>Ph</w:t>
            </w:r>
            <w:proofErr w:type="spellEnd"/>
            <w:r w:rsidRPr="00E127AB">
              <w:rPr>
                <w:rFonts w:ascii="Book Antiqua" w:eastAsiaTheme="minorHAnsi" w:hAnsi="Book Antiqua" w:cs="AdvOT863180fb"/>
                <w:color w:val="auto"/>
                <w:sz w:val="24"/>
                <w:szCs w:val="24"/>
                <w:lang w:val="en-US"/>
              </w:rPr>
              <w:t>+</w:t>
            </w:r>
            <w:r w:rsidR="00C80F99" w:rsidRPr="00E127AB">
              <w:rPr>
                <w:rFonts w:ascii="Book Antiqua" w:eastAsiaTheme="minorHAnsi" w:hAnsi="Book Antiqua" w:cs="AdvOT863180fb"/>
                <w:color w:val="auto"/>
                <w:sz w:val="24"/>
                <w:szCs w:val="24"/>
                <w:lang w:val="en-US"/>
              </w:rPr>
              <w:t xml:space="preserve"> 0</w:t>
            </w:r>
          </w:p>
        </w:tc>
        <w:tc>
          <w:tcPr>
            <w:tcW w:w="2241" w:type="dxa"/>
          </w:tcPr>
          <w:p w:rsidR="007A0C99" w:rsidRPr="00E127AB" w:rsidRDefault="0088192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BCR-ABL1 1</w:t>
            </w:r>
            <w:r w:rsidR="00BE1CDC" w:rsidRPr="00E127AB">
              <w:rPr>
                <w:rFonts w:ascii="Book Antiqua" w:eastAsiaTheme="minorEastAsia" w:hAnsi="Book Antiqua" w:cs="AdvOT863180fb"/>
                <w:color w:val="auto"/>
                <w:sz w:val="24"/>
                <w:szCs w:val="24"/>
                <w:lang w:val="en-US" w:eastAsia="zh-CN"/>
              </w:rPr>
              <w:t>%</w:t>
            </w:r>
            <w:r w:rsidR="00A318A6" w:rsidRPr="00E127AB">
              <w:rPr>
                <w:rFonts w:ascii="Book Antiqua" w:eastAsiaTheme="minorHAnsi" w:hAnsi="Book Antiqua" w:cs="AdvOT863180fb"/>
                <w:color w:val="auto"/>
                <w:sz w:val="24"/>
                <w:szCs w:val="24"/>
                <w:lang w:val="en-US"/>
              </w:rPr>
              <w:t>-10% and/or</w:t>
            </w:r>
            <w:r w:rsidR="00A318A6" w:rsidRPr="00E127AB">
              <w:rPr>
                <w:rFonts w:ascii="Book Antiqua" w:eastAsiaTheme="minorEastAsia" w:hAnsi="Book Antiqua" w:cs="AdvOT863180fb"/>
                <w:color w:val="auto"/>
                <w:sz w:val="24"/>
                <w:szCs w:val="24"/>
                <w:lang w:val="en-US" w:eastAsia="zh-CN"/>
              </w:rPr>
              <w:t xml:space="preserve"> </w:t>
            </w:r>
            <w:proofErr w:type="spellStart"/>
            <w:r w:rsidRPr="00E127AB">
              <w:rPr>
                <w:rFonts w:ascii="Book Antiqua" w:eastAsiaTheme="minorHAnsi" w:hAnsi="Book Antiqua" w:cs="AdvOT863180fb"/>
                <w:color w:val="auto"/>
                <w:sz w:val="24"/>
                <w:szCs w:val="24"/>
                <w:lang w:val="en-US"/>
              </w:rPr>
              <w:t>Ph</w:t>
            </w:r>
            <w:proofErr w:type="spellEnd"/>
            <w:r w:rsidRPr="00E127AB">
              <w:rPr>
                <w:rFonts w:ascii="Book Antiqua" w:eastAsiaTheme="minorHAnsi" w:hAnsi="Book Antiqua" w:cs="AdvOT863180fb"/>
                <w:color w:val="auto"/>
                <w:sz w:val="24"/>
                <w:szCs w:val="24"/>
                <w:lang w:val="en-US"/>
              </w:rPr>
              <w:t>+ 1</w:t>
            </w:r>
            <w:r w:rsidR="00BE1CDC" w:rsidRPr="00E127AB">
              <w:rPr>
                <w:rFonts w:ascii="Book Antiqua" w:eastAsiaTheme="minorEastAsia" w:hAnsi="Book Antiqua" w:cs="AdvOT863180fb"/>
                <w:color w:val="auto"/>
                <w:sz w:val="24"/>
                <w:szCs w:val="24"/>
                <w:lang w:val="en-US" w:eastAsia="zh-CN"/>
              </w:rPr>
              <w:t>%</w:t>
            </w:r>
            <w:r w:rsidR="00BE1CDC" w:rsidRPr="00E127AB">
              <w:rPr>
                <w:rFonts w:ascii="Book Antiqua" w:eastAsiaTheme="minorHAnsi" w:hAnsi="Book Antiqua" w:cs="AdvOT863180fb"/>
                <w:color w:val="auto"/>
                <w:sz w:val="24"/>
                <w:szCs w:val="24"/>
                <w:lang w:val="en-US"/>
              </w:rPr>
              <w:t>-</w:t>
            </w:r>
            <w:r w:rsidRPr="00E127AB">
              <w:rPr>
                <w:rFonts w:ascii="Book Antiqua" w:eastAsiaTheme="minorHAnsi" w:hAnsi="Book Antiqua" w:cs="AdvOT863180fb"/>
                <w:color w:val="auto"/>
                <w:sz w:val="24"/>
                <w:szCs w:val="24"/>
                <w:lang w:val="en-US"/>
              </w:rPr>
              <w:t>35%</w:t>
            </w:r>
          </w:p>
        </w:tc>
        <w:tc>
          <w:tcPr>
            <w:tcW w:w="2241" w:type="dxa"/>
          </w:tcPr>
          <w:p w:rsidR="007A0C99" w:rsidRPr="00E127AB" w:rsidRDefault="00C80F9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BCR-ABL1 &gt;</w:t>
            </w:r>
            <w:r w:rsidR="00BE1CDC" w:rsidRPr="00E127AB">
              <w:rPr>
                <w:rFonts w:ascii="Book Antiqua" w:eastAsiaTheme="minorEastAsia" w:hAnsi="Book Antiqua" w:cs="AdvOT863180fb"/>
                <w:color w:val="auto"/>
                <w:sz w:val="24"/>
                <w:szCs w:val="24"/>
                <w:lang w:val="en-US" w:eastAsia="zh-CN"/>
              </w:rPr>
              <w:t xml:space="preserve"> </w:t>
            </w:r>
            <w:r w:rsidR="00A318A6" w:rsidRPr="00E127AB">
              <w:rPr>
                <w:rFonts w:ascii="Book Antiqua" w:eastAsiaTheme="minorHAnsi" w:hAnsi="Book Antiqua" w:cs="AdvOT863180fb"/>
                <w:color w:val="auto"/>
                <w:sz w:val="24"/>
                <w:szCs w:val="24"/>
                <w:lang w:val="en-US"/>
              </w:rPr>
              <w:t>10% and/or</w:t>
            </w:r>
            <w:r w:rsidR="00A318A6" w:rsidRPr="00E127AB">
              <w:rPr>
                <w:rFonts w:ascii="Book Antiqua" w:eastAsiaTheme="minorEastAsia" w:hAnsi="Book Antiqua" w:cs="AdvOT863180fb"/>
                <w:color w:val="auto"/>
                <w:sz w:val="24"/>
                <w:szCs w:val="24"/>
                <w:lang w:val="en-US" w:eastAsia="zh-CN"/>
              </w:rPr>
              <w:t xml:space="preserve"> </w:t>
            </w:r>
            <w:proofErr w:type="spellStart"/>
            <w:r w:rsidRPr="00E127AB">
              <w:rPr>
                <w:rFonts w:ascii="Book Antiqua" w:eastAsiaTheme="minorHAnsi" w:hAnsi="Book Antiqua" w:cs="AdvOT863180fb"/>
                <w:color w:val="auto"/>
                <w:sz w:val="24"/>
                <w:szCs w:val="24"/>
                <w:lang w:val="en-US"/>
              </w:rPr>
              <w:t>Ph</w:t>
            </w:r>
            <w:proofErr w:type="spellEnd"/>
            <w:r w:rsidRPr="00E127AB">
              <w:rPr>
                <w:rFonts w:ascii="Book Antiqua" w:eastAsiaTheme="minorHAnsi" w:hAnsi="Book Antiqua" w:cs="AdvOT863180fb"/>
                <w:color w:val="auto"/>
                <w:sz w:val="24"/>
                <w:szCs w:val="24"/>
                <w:lang w:val="en-US"/>
              </w:rPr>
              <w:t>+ &gt;</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35%</w:t>
            </w:r>
          </w:p>
        </w:tc>
      </w:tr>
      <w:tr w:rsidR="00695F46" w:rsidRPr="00E127AB" w:rsidTr="00F04BE0">
        <w:trPr>
          <w:trHeight w:val="467"/>
        </w:trPr>
        <w:tc>
          <w:tcPr>
            <w:tcW w:w="2241" w:type="dxa"/>
          </w:tcPr>
          <w:p w:rsidR="007A0C99" w:rsidRPr="00E127AB" w:rsidRDefault="00B0781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12 </w:t>
            </w:r>
            <w:proofErr w:type="spellStart"/>
            <w:r w:rsidRPr="00E127AB">
              <w:rPr>
                <w:rFonts w:ascii="Book Antiqua" w:eastAsiaTheme="minorHAnsi" w:hAnsi="Book Antiqua" w:cs="AdvOT863180fb"/>
                <w:color w:val="auto"/>
                <w:sz w:val="24"/>
                <w:szCs w:val="24"/>
                <w:lang w:val="en-US"/>
              </w:rPr>
              <w:t>mo</w:t>
            </w:r>
            <w:proofErr w:type="spellEnd"/>
            <w:r w:rsidRPr="00E127AB">
              <w:rPr>
                <w:rFonts w:ascii="Book Antiqua" w:eastAsiaTheme="minorHAnsi" w:hAnsi="Book Antiqua" w:cs="AdvOT863180fb"/>
                <w:color w:val="auto"/>
                <w:sz w:val="24"/>
                <w:szCs w:val="24"/>
                <w:lang w:val="en-US"/>
              </w:rPr>
              <w:t xml:space="preserve"> </w:t>
            </w:r>
          </w:p>
        </w:tc>
        <w:tc>
          <w:tcPr>
            <w:tcW w:w="2241" w:type="dxa"/>
          </w:tcPr>
          <w:p w:rsidR="007A0C99" w:rsidRPr="00E127AB" w:rsidRDefault="0088192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BCR-ABL1≤ </w:t>
            </w:r>
            <w:r w:rsidR="00C80F99" w:rsidRPr="00E127AB">
              <w:rPr>
                <w:rFonts w:ascii="Book Antiqua" w:eastAsiaTheme="minorHAnsi" w:hAnsi="Book Antiqua" w:cs="AdvOT863180fb"/>
                <w:color w:val="auto"/>
                <w:sz w:val="24"/>
                <w:szCs w:val="24"/>
                <w:lang w:val="en-US"/>
              </w:rPr>
              <w:t>0.1</w:t>
            </w:r>
            <w:r w:rsidRPr="00E127AB">
              <w:rPr>
                <w:rFonts w:ascii="Book Antiqua" w:eastAsiaTheme="minorHAnsi" w:hAnsi="Book Antiqua" w:cs="AdvOT863180fb"/>
                <w:color w:val="auto"/>
                <w:sz w:val="24"/>
                <w:szCs w:val="24"/>
                <w:lang w:val="en-US"/>
              </w:rPr>
              <w:t xml:space="preserve">% </w:t>
            </w:r>
          </w:p>
        </w:tc>
        <w:tc>
          <w:tcPr>
            <w:tcW w:w="2241" w:type="dxa"/>
          </w:tcPr>
          <w:p w:rsidR="007A0C99" w:rsidRPr="00E127AB" w:rsidRDefault="00C80F9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BCR-ABL1 &gt;</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0.1</w:t>
            </w:r>
            <w:r w:rsidR="00BE1CDC" w:rsidRPr="00E127AB">
              <w:rPr>
                <w:rFonts w:ascii="Book Antiqua" w:eastAsiaTheme="minorEastAsia" w:hAnsi="Book Antiqua" w:cs="AdvOT863180fb"/>
                <w:color w:val="auto"/>
                <w:sz w:val="24"/>
                <w:szCs w:val="24"/>
                <w:lang w:val="en-US" w:eastAsia="zh-CN"/>
              </w:rPr>
              <w:t>%</w:t>
            </w:r>
            <w:r w:rsidRPr="00E127AB">
              <w:rPr>
                <w:rFonts w:ascii="Book Antiqua" w:eastAsiaTheme="minorHAnsi" w:hAnsi="Book Antiqua" w:cs="AdvOT863180fb"/>
                <w:color w:val="auto"/>
                <w:sz w:val="24"/>
                <w:szCs w:val="24"/>
                <w:lang w:val="en-US"/>
              </w:rPr>
              <w:t>-1%</w:t>
            </w:r>
          </w:p>
        </w:tc>
        <w:tc>
          <w:tcPr>
            <w:tcW w:w="2241" w:type="dxa"/>
          </w:tcPr>
          <w:p w:rsidR="00C80F99" w:rsidRPr="00E127AB" w:rsidRDefault="00C80F9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BCR-ABL1 &gt; 1% and/or</w:t>
            </w:r>
            <w:r w:rsidR="00A318A6" w:rsidRPr="00E127AB">
              <w:rPr>
                <w:rFonts w:ascii="Book Antiqua" w:eastAsiaTheme="minorEastAsia" w:hAnsi="Book Antiqua" w:cs="AdvOT863180fb"/>
                <w:color w:val="auto"/>
                <w:sz w:val="24"/>
                <w:szCs w:val="24"/>
                <w:lang w:val="en-US" w:eastAsia="zh-CN"/>
              </w:rPr>
              <w:t xml:space="preserve"> </w:t>
            </w:r>
            <w:proofErr w:type="spellStart"/>
            <w:r w:rsidRPr="00E127AB">
              <w:rPr>
                <w:rFonts w:ascii="Book Antiqua" w:eastAsiaTheme="minorHAnsi" w:hAnsi="Book Antiqua" w:cs="AdvOT863180fb"/>
                <w:color w:val="auto"/>
                <w:sz w:val="24"/>
                <w:szCs w:val="24"/>
                <w:lang w:val="en-US"/>
              </w:rPr>
              <w:t>Ph</w:t>
            </w:r>
            <w:proofErr w:type="spellEnd"/>
            <w:r w:rsidRPr="00E127AB">
              <w:rPr>
                <w:rFonts w:ascii="Book Antiqua" w:eastAsiaTheme="minorHAnsi" w:hAnsi="Book Antiqua" w:cs="AdvOT863180fb"/>
                <w:color w:val="auto"/>
                <w:sz w:val="24"/>
                <w:szCs w:val="24"/>
                <w:lang w:val="en-US"/>
              </w:rPr>
              <w:t>+ &gt;0</w:t>
            </w:r>
          </w:p>
        </w:tc>
      </w:tr>
      <w:tr w:rsidR="00695F46" w:rsidRPr="00E127AB" w:rsidTr="00F04BE0">
        <w:trPr>
          <w:trHeight w:val="467"/>
        </w:trPr>
        <w:tc>
          <w:tcPr>
            <w:tcW w:w="2241" w:type="dxa"/>
          </w:tcPr>
          <w:p w:rsidR="008F6460" w:rsidRPr="00E127AB" w:rsidRDefault="00B07812"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Then, and any at time</w:t>
            </w:r>
          </w:p>
        </w:tc>
        <w:tc>
          <w:tcPr>
            <w:tcW w:w="2241" w:type="dxa"/>
          </w:tcPr>
          <w:p w:rsidR="008F6460" w:rsidRPr="00E127AB" w:rsidRDefault="00C80F9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BCR-ABL1</w:t>
            </w:r>
            <w:r w:rsidR="00BE1CDC" w:rsidRPr="00E127AB">
              <w:rPr>
                <w:rFonts w:ascii="Book Antiqua" w:eastAsiaTheme="minorEastAsia" w:hAnsi="Book Antiqua" w:cs="AdvOT863180fb"/>
                <w:color w:val="auto"/>
                <w:sz w:val="24"/>
                <w:szCs w:val="24"/>
                <w:lang w:val="en-US" w:eastAsia="zh-CN"/>
              </w:rPr>
              <w:t xml:space="preserve"> </w:t>
            </w:r>
            <w:r w:rsidRPr="00E127AB">
              <w:rPr>
                <w:rFonts w:ascii="Book Antiqua" w:eastAsiaTheme="minorHAnsi" w:hAnsi="Book Antiqua" w:cs="AdvOT863180fb"/>
                <w:color w:val="auto"/>
                <w:sz w:val="24"/>
                <w:szCs w:val="24"/>
                <w:lang w:val="en-US"/>
              </w:rPr>
              <w:t>≤ 0.1%</w:t>
            </w:r>
          </w:p>
        </w:tc>
        <w:tc>
          <w:tcPr>
            <w:tcW w:w="2241" w:type="dxa"/>
          </w:tcPr>
          <w:p w:rsidR="008F6460" w:rsidRPr="00E127AB" w:rsidRDefault="00C80F9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CCA/</w:t>
            </w:r>
            <w:proofErr w:type="spellStart"/>
            <w:r w:rsidRPr="00E127AB">
              <w:rPr>
                <w:rFonts w:ascii="Book Antiqua" w:eastAsiaTheme="minorHAnsi" w:hAnsi="Book Antiqua" w:cs="AdvOT863180fb"/>
                <w:color w:val="auto"/>
                <w:sz w:val="24"/>
                <w:szCs w:val="24"/>
                <w:lang w:val="en-US"/>
              </w:rPr>
              <w:t>Ph</w:t>
            </w:r>
            <w:proofErr w:type="spellEnd"/>
            <w:r w:rsidRPr="00E127AB">
              <w:rPr>
                <w:rFonts w:ascii="Book Antiqua" w:eastAsiaTheme="minorHAnsi" w:hAnsi="Book Antiqua" w:cs="AdvOT863180fb"/>
                <w:color w:val="auto"/>
                <w:sz w:val="24"/>
                <w:szCs w:val="24"/>
                <w:lang w:val="en-US"/>
              </w:rPr>
              <w:t>- (-7 or 7q-)</w:t>
            </w:r>
          </w:p>
        </w:tc>
        <w:tc>
          <w:tcPr>
            <w:tcW w:w="2241" w:type="dxa"/>
          </w:tcPr>
          <w:p w:rsidR="008F6460" w:rsidRPr="00E127AB" w:rsidRDefault="00C80F9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Loss of CHR</w:t>
            </w:r>
          </w:p>
          <w:p w:rsidR="00C80F99" w:rsidRPr="00E127AB" w:rsidRDefault="00C80F9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Loss of CCyR</w:t>
            </w:r>
          </w:p>
          <w:p w:rsidR="00C80F99" w:rsidRPr="00E127AB" w:rsidRDefault="00C80F9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Confirmed loss of </w:t>
            </w:r>
            <w:r w:rsidR="00F04BE0" w:rsidRPr="00E127AB">
              <w:rPr>
                <w:rFonts w:ascii="Book Antiqua" w:eastAsiaTheme="minorHAnsi" w:hAnsi="Book Antiqua" w:cs="AdvOT863180fb"/>
                <w:color w:val="auto"/>
                <w:sz w:val="24"/>
                <w:szCs w:val="24"/>
                <w:lang w:val="en-US"/>
              </w:rPr>
              <w:t>MMR</w:t>
            </w:r>
            <w:r w:rsidR="00A318A6" w:rsidRPr="00E127AB">
              <w:rPr>
                <w:rFonts w:ascii="Book Antiqua" w:eastAsiaTheme="minorEastAsia" w:hAnsi="Book Antiqua" w:cs="AdvOT863180fb"/>
                <w:color w:val="auto"/>
                <w:sz w:val="24"/>
                <w:szCs w:val="24"/>
                <w:lang w:val="en-US" w:eastAsia="zh-CN"/>
              </w:rPr>
              <w:t xml:space="preserve"> </w:t>
            </w:r>
            <w:r w:rsidR="00A318A6" w:rsidRPr="00E127AB">
              <w:rPr>
                <w:rFonts w:ascii="Book Antiqua" w:eastAsiaTheme="minorHAnsi" w:hAnsi="Book Antiqua" w:cs="AdvOT863180fb"/>
                <w:color w:val="auto"/>
                <w:sz w:val="24"/>
                <w:szCs w:val="24"/>
                <w:lang w:val="en-US"/>
              </w:rPr>
              <w:t>m</w:t>
            </w:r>
            <w:r w:rsidRPr="00E127AB">
              <w:rPr>
                <w:rFonts w:ascii="Book Antiqua" w:eastAsiaTheme="minorHAnsi" w:hAnsi="Book Antiqua" w:cs="AdvOT863180fb"/>
                <w:color w:val="auto"/>
                <w:sz w:val="24"/>
                <w:szCs w:val="24"/>
                <w:lang w:val="en-US"/>
              </w:rPr>
              <w:t xml:space="preserve">utations </w:t>
            </w:r>
          </w:p>
          <w:p w:rsidR="00C80F99" w:rsidRPr="00E127AB" w:rsidRDefault="00C80F99"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CCA/</w:t>
            </w:r>
            <w:proofErr w:type="spellStart"/>
            <w:r w:rsidRPr="00E127AB">
              <w:rPr>
                <w:rFonts w:ascii="Book Antiqua" w:eastAsiaTheme="minorHAnsi" w:hAnsi="Book Antiqua" w:cs="AdvOT863180fb"/>
                <w:color w:val="auto"/>
                <w:sz w:val="24"/>
                <w:szCs w:val="24"/>
                <w:lang w:val="en-US"/>
              </w:rPr>
              <w:t>Ph</w:t>
            </w:r>
            <w:proofErr w:type="spellEnd"/>
            <w:r w:rsidRPr="00E127AB">
              <w:rPr>
                <w:rFonts w:ascii="Book Antiqua" w:eastAsiaTheme="minorHAnsi" w:hAnsi="Book Antiqua" w:cs="AdvOT863180fb"/>
                <w:color w:val="auto"/>
                <w:sz w:val="24"/>
                <w:szCs w:val="24"/>
                <w:lang w:val="en-US"/>
              </w:rPr>
              <w:t>+</w:t>
            </w:r>
          </w:p>
        </w:tc>
      </w:tr>
    </w:tbl>
    <w:p w:rsidR="00C80F99" w:rsidRPr="00E127AB" w:rsidRDefault="0039324F" w:rsidP="005E6CDB">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eastAsiaTheme="minorEastAsia" w:hAnsi="Book Antiqua" w:cs="AdvOT3e16243d"/>
          <w:lang w:eastAsia="zh-CN"/>
        </w:rPr>
      </w:pPr>
      <w:r w:rsidRPr="00E127AB">
        <w:rPr>
          <w:rFonts w:ascii="Book Antiqua" w:eastAsiaTheme="minorHAnsi" w:hAnsi="Book Antiqua" w:cs="AdvOT3e16243d"/>
        </w:rPr>
        <w:t xml:space="preserve">In 2 consecutive tests, of which one with a BCR-ABL1 transcripts level </w:t>
      </w:r>
      <w:r w:rsidRPr="00E127AB">
        <w:rPr>
          <w:rFonts w:ascii="Book Antiqua" w:eastAsiaTheme="minorHAnsi" w:hAnsi="Book Antiqua" w:cs="Arial"/>
        </w:rPr>
        <w:t xml:space="preserve">≥ </w:t>
      </w:r>
      <w:r w:rsidRPr="00E127AB">
        <w:rPr>
          <w:rFonts w:ascii="Book Antiqua" w:eastAsiaTheme="minorHAnsi" w:hAnsi="Book Antiqua" w:cs="AdvOT3e16243d"/>
        </w:rPr>
        <w:t>1%</w:t>
      </w:r>
      <w:r w:rsidRPr="00E127AB">
        <w:rPr>
          <w:rFonts w:ascii="Book Antiqua" w:eastAsiaTheme="minorEastAsia" w:hAnsi="Book Antiqua" w:cs="AdvOT3e16243d"/>
          <w:lang w:eastAsia="zh-CN"/>
        </w:rPr>
        <w:t>.</w:t>
      </w:r>
      <w:r w:rsidR="00A318A6" w:rsidRPr="00E127AB">
        <w:rPr>
          <w:rFonts w:ascii="Book Antiqua" w:eastAsiaTheme="minorEastAsia" w:hAnsi="Book Antiqua" w:cs="AdvOT3e16243d"/>
          <w:lang w:eastAsia="zh-CN"/>
        </w:rPr>
        <w:t xml:space="preserve"> </w:t>
      </w:r>
      <w:r w:rsidRPr="00E127AB">
        <w:rPr>
          <w:rFonts w:ascii="Book Antiqua" w:eastAsiaTheme="minorHAnsi" w:hAnsi="Book Antiqua" w:cs="AdvOT3e16243d"/>
        </w:rPr>
        <w:t xml:space="preserve">This table was originally published in </w:t>
      </w:r>
      <w:proofErr w:type="spellStart"/>
      <w:r w:rsidRPr="00E127AB">
        <w:rPr>
          <w:rFonts w:ascii="Book Antiqua" w:eastAsiaTheme="minorHAnsi" w:hAnsi="Book Antiqua" w:cs="AdvOT3e16243d"/>
        </w:rPr>
        <w:t>Baccarani</w:t>
      </w:r>
      <w:proofErr w:type="spellEnd"/>
      <w:r w:rsidRPr="00E127AB">
        <w:rPr>
          <w:rFonts w:ascii="Book Antiqua" w:eastAsiaTheme="minorHAnsi" w:hAnsi="Book Antiqua" w:cs="AdvOT3e16243d"/>
        </w:rPr>
        <w:t xml:space="preserve"> </w:t>
      </w:r>
      <w:r w:rsidRPr="00E127AB">
        <w:rPr>
          <w:rFonts w:ascii="Book Antiqua" w:eastAsiaTheme="minorHAnsi" w:hAnsi="Book Antiqua" w:cs="AdvOT3e16243d"/>
          <w:i/>
        </w:rPr>
        <w:t xml:space="preserve">et </w:t>
      </w:r>
      <w:proofErr w:type="gramStart"/>
      <w:r w:rsidRPr="00E127AB">
        <w:rPr>
          <w:rFonts w:ascii="Book Antiqua" w:eastAsiaTheme="minorHAnsi" w:hAnsi="Book Antiqua" w:cs="AdvOT3e16243d"/>
          <w:i/>
        </w:rPr>
        <w:t>al</w:t>
      </w:r>
      <w:r w:rsidR="00A318A6" w:rsidRPr="00E127AB">
        <w:rPr>
          <w:rFonts w:ascii="Book Antiqua" w:eastAsiaTheme="minorEastAsia" w:hAnsi="Book Antiqua" w:cs="AdvOT3e16243d"/>
          <w:vertAlign w:val="superscript"/>
          <w:lang w:eastAsia="zh-CN"/>
        </w:rPr>
        <w:t>[</w:t>
      </w:r>
      <w:proofErr w:type="gramEnd"/>
      <w:r w:rsidR="00A318A6" w:rsidRPr="00E127AB">
        <w:rPr>
          <w:rFonts w:ascii="Book Antiqua" w:eastAsiaTheme="minorEastAsia" w:hAnsi="Book Antiqua" w:cs="AdvOT3e16243d"/>
          <w:vertAlign w:val="superscript"/>
          <w:lang w:eastAsia="zh-CN"/>
        </w:rPr>
        <w:t>5]</w:t>
      </w:r>
      <w:r w:rsidRPr="00E127AB">
        <w:rPr>
          <w:rFonts w:ascii="Book Antiqua" w:eastAsiaTheme="minorHAnsi" w:hAnsi="Book Antiqua" w:cs="AdvOT3e16243d"/>
        </w:rPr>
        <w:t>.</w:t>
      </w:r>
      <w:r w:rsidRPr="00E127AB">
        <w:rPr>
          <w:rFonts w:ascii="Book Antiqua" w:eastAsiaTheme="minorEastAsia" w:hAnsi="Book Antiqua" w:cs="AdvOT3e16243d"/>
          <w:lang w:eastAsia="zh-CN"/>
        </w:rPr>
        <w:t xml:space="preserve"> </w:t>
      </w:r>
      <w:r w:rsidR="00C80F99" w:rsidRPr="00E127AB">
        <w:rPr>
          <w:rFonts w:ascii="Book Antiqua" w:eastAsiaTheme="minorHAnsi" w:hAnsi="Book Antiqua" w:cs="AdvOT3e16243d"/>
        </w:rPr>
        <w:t>CCA/</w:t>
      </w:r>
      <w:proofErr w:type="spellStart"/>
      <w:r w:rsidR="00C80F99" w:rsidRPr="00E127AB">
        <w:rPr>
          <w:rFonts w:ascii="Book Antiqua" w:eastAsiaTheme="minorHAnsi" w:hAnsi="Book Antiqua" w:cs="AdvOT3e16243d"/>
        </w:rPr>
        <w:t>Ph</w:t>
      </w:r>
      <w:proofErr w:type="spellEnd"/>
      <w:r w:rsidR="00C80F99" w:rsidRPr="00E127AB">
        <w:rPr>
          <w:rFonts w:ascii="Book Antiqua" w:eastAsiaTheme="minorHAnsi" w:hAnsi="Book Antiqua" w:cs="AdvOT3e16243d"/>
        </w:rPr>
        <w:t>+</w:t>
      </w:r>
      <w:r w:rsidRPr="00E127AB">
        <w:rPr>
          <w:rFonts w:ascii="Book Antiqua" w:eastAsiaTheme="minorEastAsia" w:hAnsi="Book Antiqua" w:cs="AdvP4C4E74"/>
          <w:lang w:eastAsia="zh-CN"/>
        </w:rPr>
        <w:t>:</w:t>
      </w:r>
      <w:r w:rsidR="00C80F99" w:rsidRPr="00E127AB">
        <w:rPr>
          <w:rFonts w:ascii="Book Antiqua" w:eastAsiaTheme="minorHAnsi" w:hAnsi="Book Antiqua" w:cs="AdvP4C4E74"/>
        </w:rPr>
        <w:t xml:space="preserve"> </w:t>
      </w:r>
      <w:r w:rsidRPr="00E127AB">
        <w:rPr>
          <w:rFonts w:ascii="Book Antiqua" w:eastAsiaTheme="minorHAnsi" w:hAnsi="Book Antiqua" w:cs="AdvOT3e16243d"/>
        </w:rPr>
        <w:t>C</w:t>
      </w:r>
      <w:r w:rsidR="00C80F99" w:rsidRPr="00E127AB">
        <w:rPr>
          <w:rFonts w:ascii="Book Antiqua" w:eastAsiaTheme="minorHAnsi" w:hAnsi="Book Antiqua" w:cs="AdvOT3e16243d"/>
        </w:rPr>
        <w:t xml:space="preserve">lonal cytogenetic abnormalities in </w:t>
      </w:r>
      <w:proofErr w:type="spellStart"/>
      <w:r w:rsidR="00C80F99" w:rsidRPr="00E127AB">
        <w:rPr>
          <w:rFonts w:ascii="Book Antiqua" w:eastAsiaTheme="minorHAnsi" w:hAnsi="Book Antiqua" w:cs="AdvOT3e16243d"/>
        </w:rPr>
        <w:t>Ph</w:t>
      </w:r>
      <w:proofErr w:type="spellEnd"/>
      <w:r w:rsidR="00C80F99" w:rsidRPr="00E127AB">
        <w:rPr>
          <w:rFonts w:ascii="Book Antiqua" w:eastAsiaTheme="minorHAnsi" w:hAnsi="Book Antiqua" w:cs="AdvOT3e16243d"/>
        </w:rPr>
        <w:t>-positive cells; CCA/</w:t>
      </w:r>
      <w:proofErr w:type="spellStart"/>
      <w:r w:rsidR="00C80F99" w:rsidRPr="00E127AB">
        <w:rPr>
          <w:rFonts w:ascii="Book Antiqua" w:eastAsiaTheme="minorHAnsi" w:hAnsi="Book Antiqua" w:cs="AdvOT3e16243d"/>
        </w:rPr>
        <w:t>Ph</w:t>
      </w:r>
      <w:proofErr w:type="spellEnd"/>
      <w:r w:rsidR="00C80F99" w:rsidRPr="00E127AB">
        <w:rPr>
          <w:rFonts w:ascii="Book Antiqua" w:eastAsiaTheme="minorHAnsi" w:hAnsi="Book Antiqua" w:cs="AdvOT3e16243d"/>
        </w:rPr>
        <w:t>-</w:t>
      </w:r>
      <w:r w:rsidRPr="00E127AB">
        <w:rPr>
          <w:rFonts w:ascii="Book Antiqua" w:eastAsiaTheme="minorEastAsia" w:hAnsi="Book Antiqua" w:cs="AdvOT3e16243d"/>
          <w:lang w:eastAsia="zh-CN"/>
        </w:rPr>
        <w:t>:</w:t>
      </w:r>
      <w:r w:rsidR="00C80F99" w:rsidRPr="00E127AB">
        <w:rPr>
          <w:rFonts w:ascii="Book Antiqua" w:eastAsiaTheme="minorHAnsi" w:hAnsi="Book Antiqua" w:cs="AdvOT3e16243d"/>
        </w:rPr>
        <w:t xml:space="preserve"> </w:t>
      </w:r>
      <w:r w:rsidRPr="00E127AB">
        <w:rPr>
          <w:rFonts w:ascii="Book Antiqua" w:eastAsiaTheme="minorHAnsi" w:hAnsi="Book Antiqua" w:cs="AdvOT3e16243d"/>
        </w:rPr>
        <w:t>C</w:t>
      </w:r>
      <w:r w:rsidR="00C80F99" w:rsidRPr="00E127AB">
        <w:rPr>
          <w:rFonts w:ascii="Book Antiqua" w:eastAsiaTheme="minorHAnsi" w:hAnsi="Book Antiqua" w:cs="AdvOT3e16243d"/>
        </w:rPr>
        <w:t>lonal cytogenetic abno</w:t>
      </w:r>
      <w:r w:rsidRPr="00E127AB">
        <w:rPr>
          <w:rFonts w:ascii="Book Antiqua" w:eastAsiaTheme="minorHAnsi" w:hAnsi="Book Antiqua" w:cs="AdvOT3e16243d"/>
        </w:rPr>
        <w:t xml:space="preserve">rmalities in </w:t>
      </w:r>
      <w:proofErr w:type="spellStart"/>
      <w:r w:rsidRPr="00E127AB">
        <w:rPr>
          <w:rFonts w:ascii="Book Antiqua" w:eastAsiaTheme="minorHAnsi" w:hAnsi="Book Antiqua" w:cs="AdvOT3e16243d"/>
        </w:rPr>
        <w:t>Ph</w:t>
      </w:r>
      <w:proofErr w:type="spellEnd"/>
      <w:r w:rsidRPr="00E127AB">
        <w:rPr>
          <w:rFonts w:ascii="Book Antiqua" w:eastAsiaTheme="minorHAnsi" w:hAnsi="Book Antiqua" w:cs="AdvOT3e16243d"/>
        </w:rPr>
        <w:t>-negative cells;</w:t>
      </w:r>
      <w:r w:rsidRPr="00E127AB">
        <w:rPr>
          <w:rFonts w:ascii="Book Antiqua" w:eastAsiaTheme="minorEastAsia" w:hAnsi="Book Antiqua" w:cs="AdvOT3e16243d"/>
          <w:lang w:eastAsia="zh-CN"/>
        </w:rPr>
        <w:t xml:space="preserve"> </w:t>
      </w:r>
      <w:proofErr w:type="spellStart"/>
      <w:r w:rsidRPr="00E127AB">
        <w:rPr>
          <w:rFonts w:ascii="Book Antiqua" w:eastAsiaTheme="minorHAnsi" w:hAnsi="Book Antiqua" w:cs="AdvOT3e16243d"/>
        </w:rPr>
        <w:t>Ph</w:t>
      </w:r>
      <w:proofErr w:type="spellEnd"/>
      <w:r w:rsidRPr="00E127AB">
        <w:rPr>
          <w:rFonts w:ascii="Book Antiqua" w:eastAsiaTheme="minorEastAsia" w:hAnsi="Book Antiqua" w:cs="AdvP4C4E74"/>
          <w:lang w:eastAsia="zh-CN"/>
        </w:rPr>
        <w:t>:</w:t>
      </w:r>
      <w:r w:rsidRPr="00E127AB">
        <w:rPr>
          <w:rFonts w:ascii="Book Antiqua" w:eastAsiaTheme="minorHAnsi" w:hAnsi="Book Antiqua" w:cs="AdvP4C4E74"/>
        </w:rPr>
        <w:t xml:space="preserve"> </w:t>
      </w:r>
      <w:r w:rsidRPr="00E127AB">
        <w:rPr>
          <w:rFonts w:ascii="Book Antiqua" w:eastAsiaTheme="minorHAnsi" w:hAnsi="Book Antiqua" w:cs="AdvOT3e16243d"/>
        </w:rPr>
        <w:t>Philadelphia chromosome</w:t>
      </w:r>
      <w:r w:rsidRPr="00E127AB">
        <w:rPr>
          <w:rFonts w:ascii="Book Antiqua" w:eastAsiaTheme="minorEastAsia" w:hAnsi="Book Antiqua" w:cs="AdvOT3e16243d"/>
          <w:lang w:eastAsia="zh-CN"/>
        </w:rPr>
        <w:t>;</w:t>
      </w:r>
      <w:r w:rsidRPr="00E127AB">
        <w:rPr>
          <w:rFonts w:ascii="Book Antiqua" w:eastAsiaTheme="minorHAnsi" w:hAnsi="Book Antiqua" w:cs="AdvOT3e16243d"/>
        </w:rPr>
        <w:t xml:space="preserve"> </w:t>
      </w:r>
      <w:proofErr w:type="spellStart"/>
      <w:r w:rsidR="00C80F99" w:rsidRPr="00E127AB">
        <w:rPr>
          <w:rFonts w:ascii="Book Antiqua" w:eastAsiaTheme="minorHAnsi" w:hAnsi="Book Antiqua" w:cs="AdvOT3e16243d"/>
        </w:rPr>
        <w:t>CCyR</w:t>
      </w:r>
      <w:proofErr w:type="spellEnd"/>
      <w:r w:rsidRPr="00E127AB">
        <w:rPr>
          <w:rFonts w:ascii="Book Antiqua" w:eastAsiaTheme="minorEastAsia" w:hAnsi="Book Antiqua" w:cs="AdvP4C4E74"/>
          <w:lang w:eastAsia="zh-CN"/>
        </w:rPr>
        <w:t>:</w:t>
      </w:r>
      <w:r w:rsidR="00C80F99" w:rsidRPr="00E127AB">
        <w:rPr>
          <w:rFonts w:ascii="Book Antiqua" w:eastAsiaTheme="minorHAnsi" w:hAnsi="Book Antiqua" w:cs="AdvP4C4E74"/>
        </w:rPr>
        <w:t xml:space="preserve"> </w:t>
      </w:r>
      <w:r w:rsidRPr="00E127AB">
        <w:rPr>
          <w:rFonts w:ascii="Book Antiqua" w:eastAsiaTheme="minorHAnsi" w:hAnsi="Book Antiqua" w:cs="AdvOT3e16243d"/>
        </w:rPr>
        <w:t>C</w:t>
      </w:r>
      <w:r w:rsidR="00C80F99" w:rsidRPr="00E127AB">
        <w:rPr>
          <w:rFonts w:ascii="Book Antiqua" w:eastAsiaTheme="minorHAnsi" w:hAnsi="Book Antiqua" w:cs="AdvOT3e16243d"/>
        </w:rPr>
        <w:t>omplete cytogenetic response; MMR</w:t>
      </w:r>
      <w:r w:rsidRPr="00E127AB">
        <w:rPr>
          <w:rFonts w:ascii="Book Antiqua" w:eastAsiaTheme="minorEastAsia" w:hAnsi="Book Antiqua" w:cs="AdvOT3e16243d"/>
          <w:lang w:eastAsia="zh-CN"/>
        </w:rPr>
        <w:t xml:space="preserve">: </w:t>
      </w:r>
      <w:r w:rsidRPr="00E127AB">
        <w:rPr>
          <w:rFonts w:ascii="Book Antiqua" w:eastAsiaTheme="minorHAnsi" w:hAnsi="Book Antiqua" w:cs="AdvOT3e16243d"/>
        </w:rPr>
        <w:t>M</w:t>
      </w:r>
      <w:r w:rsidR="00C80F99" w:rsidRPr="00E127AB">
        <w:rPr>
          <w:rFonts w:ascii="Book Antiqua" w:eastAsiaTheme="minorHAnsi" w:hAnsi="Book Antiqua" w:cs="AdvOT3e16243d"/>
        </w:rPr>
        <w:t>ajor molecular response; NA</w:t>
      </w:r>
      <w:r w:rsidRPr="00E127AB">
        <w:rPr>
          <w:rFonts w:ascii="Book Antiqua" w:eastAsiaTheme="minorEastAsia" w:hAnsi="Book Antiqua" w:cs="AdvP4C4E74"/>
          <w:lang w:eastAsia="zh-CN"/>
        </w:rPr>
        <w:t>:</w:t>
      </w:r>
      <w:r w:rsidR="00C80F99" w:rsidRPr="00E127AB">
        <w:rPr>
          <w:rFonts w:ascii="Book Antiqua" w:eastAsiaTheme="minorHAnsi" w:hAnsi="Book Antiqua" w:cs="AdvP4C4E74"/>
        </w:rPr>
        <w:t xml:space="preserve"> </w:t>
      </w:r>
      <w:r w:rsidRPr="00E127AB">
        <w:rPr>
          <w:rFonts w:ascii="Book Antiqua" w:eastAsiaTheme="minorHAnsi" w:hAnsi="Book Antiqua" w:cs="AdvOT3e16243d"/>
        </w:rPr>
        <w:t>N</w:t>
      </w:r>
      <w:r w:rsidR="00C80F99" w:rsidRPr="00E127AB">
        <w:rPr>
          <w:rFonts w:ascii="Book Antiqua" w:eastAsiaTheme="minorHAnsi" w:hAnsi="Book Antiqua" w:cs="AdvOT3e16243d"/>
        </w:rPr>
        <w:t>ot applicable</w:t>
      </w:r>
      <w:r w:rsidRPr="00E127AB">
        <w:rPr>
          <w:rFonts w:ascii="Book Antiqua" w:eastAsiaTheme="minorEastAsia" w:hAnsi="Book Antiqua" w:cs="AdvOT3e16243d"/>
          <w:lang w:eastAsia="zh-CN"/>
        </w:rPr>
        <w:t>.</w:t>
      </w:r>
    </w:p>
    <w:p w:rsidR="00C80F99" w:rsidRPr="00E127AB" w:rsidRDefault="00C80F99" w:rsidP="005E6CDB">
      <w:pPr>
        <w:pBdr>
          <w:top w:val="none" w:sz="0" w:space="0" w:color="auto"/>
          <w:left w:val="none" w:sz="0" w:space="0" w:color="auto"/>
          <w:bottom w:val="none" w:sz="0" w:space="0" w:color="auto"/>
          <w:right w:val="none" w:sz="0" w:space="0" w:color="auto"/>
          <w:bar w:val="none" w:sz="0" w:color="auto"/>
        </w:pBdr>
        <w:autoSpaceDE w:val="0"/>
        <w:autoSpaceDN w:val="0"/>
        <w:adjustRightInd w:val="0"/>
        <w:spacing w:line="360" w:lineRule="auto"/>
        <w:jc w:val="both"/>
        <w:rPr>
          <w:rFonts w:ascii="Book Antiqua" w:eastAsiaTheme="minorHAnsi" w:hAnsi="Book Antiqua" w:cs="AdvOT3e16243d"/>
        </w:rPr>
      </w:pPr>
    </w:p>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3e16243d"/>
          <w:color w:val="auto"/>
          <w:sz w:val="24"/>
          <w:szCs w:val="24"/>
          <w:lang w:val="en-US"/>
        </w:rPr>
      </w:pPr>
    </w:p>
    <w:p w:rsidR="0039324F" w:rsidRPr="00E127AB" w:rsidRDefault="0039324F" w:rsidP="005E6CDB">
      <w:pPr>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3e16243d"/>
          <w:u w:color="000000"/>
          <w:lang w:eastAsia="tr-TR"/>
        </w:rPr>
      </w:pPr>
      <w:r w:rsidRPr="00E127AB">
        <w:rPr>
          <w:rFonts w:ascii="Book Antiqua" w:eastAsiaTheme="minorHAnsi" w:hAnsi="Book Antiqua" w:cs="AdvOT3e16243d"/>
        </w:rPr>
        <w:br w:type="page"/>
      </w:r>
    </w:p>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3e16243d"/>
          <w:b/>
          <w:color w:val="auto"/>
          <w:sz w:val="24"/>
          <w:szCs w:val="24"/>
          <w:lang w:val="en-US"/>
        </w:rPr>
      </w:pPr>
      <w:r w:rsidRPr="00E127AB">
        <w:rPr>
          <w:rFonts w:ascii="Book Antiqua" w:eastAsiaTheme="minorHAnsi" w:hAnsi="Book Antiqua" w:cs="AdvOT3e16243d"/>
          <w:b/>
          <w:color w:val="auto"/>
          <w:sz w:val="24"/>
          <w:szCs w:val="24"/>
          <w:lang w:val="en-US"/>
        </w:rPr>
        <w:lastRenderedPageBreak/>
        <w:t>Table 3</w:t>
      </w:r>
      <w:r w:rsidRPr="00E127AB">
        <w:rPr>
          <w:rFonts w:ascii="Book Antiqua" w:eastAsiaTheme="minorHAnsi" w:hAnsi="Book Antiqua" w:cs="AdvOT863180fb"/>
          <w:b/>
          <w:color w:val="auto"/>
          <w:sz w:val="24"/>
          <w:szCs w:val="24"/>
          <w:lang w:val="en-US"/>
        </w:rPr>
        <w:t xml:space="preserve"> Patients characteristics</w:t>
      </w:r>
    </w:p>
    <w:tbl>
      <w:tblPr>
        <w:tblStyle w:val="a4"/>
        <w:tblW w:w="0" w:type="auto"/>
        <w:tblBorders>
          <w:insideV w:val="none" w:sz="0" w:space="0" w:color="auto"/>
        </w:tblBorders>
        <w:tblLook w:val="04A0" w:firstRow="1" w:lastRow="0" w:firstColumn="1" w:lastColumn="0" w:noHBand="0" w:noVBand="1"/>
      </w:tblPr>
      <w:tblGrid>
        <w:gridCol w:w="994"/>
        <w:gridCol w:w="804"/>
        <w:gridCol w:w="1124"/>
        <w:gridCol w:w="1123"/>
        <w:gridCol w:w="1270"/>
        <w:gridCol w:w="2617"/>
        <w:gridCol w:w="1350"/>
      </w:tblGrid>
      <w:tr w:rsidR="00695F46" w:rsidRPr="00E127AB" w:rsidTr="00A318A6">
        <w:trPr>
          <w:trHeight w:val="708"/>
        </w:trPr>
        <w:tc>
          <w:tcPr>
            <w:tcW w:w="99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 xml:space="preserve">Patient </w:t>
            </w:r>
          </w:p>
        </w:tc>
        <w:tc>
          <w:tcPr>
            <w:tcW w:w="80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Sex</w:t>
            </w:r>
          </w:p>
        </w:tc>
        <w:tc>
          <w:tcPr>
            <w:tcW w:w="1124" w:type="dxa"/>
          </w:tcPr>
          <w:p w:rsidR="00595938" w:rsidRPr="00E127AB" w:rsidRDefault="0039324F"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Age at ASCT (</w:t>
            </w:r>
            <w:proofErr w:type="spellStart"/>
            <w:r w:rsidRPr="00E127AB">
              <w:rPr>
                <w:rFonts w:ascii="Book Antiqua" w:eastAsiaTheme="minorHAnsi" w:hAnsi="Book Antiqua" w:cs="AdvOT863180fb"/>
                <w:b/>
                <w:color w:val="auto"/>
                <w:sz w:val="24"/>
                <w:szCs w:val="24"/>
                <w:lang w:val="en-US"/>
              </w:rPr>
              <w:t>yr</w:t>
            </w:r>
            <w:proofErr w:type="spellEnd"/>
            <w:r w:rsidR="00595938" w:rsidRPr="00E127AB">
              <w:rPr>
                <w:rFonts w:ascii="Book Antiqua" w:eastAsiaTheme="minorHAnsi" w:hAnsi="Book Antiqua" w:cs="AdvOT863180fb"/>
                <w:b/>
                <w:color w:val="auto"/>
                <w:sz w:val="24"/>
                <w:szCs w:val="24"/>
                <w:lang w:val="en-US"/>
              </w:rPr>
              <w:t>)</w:t>
            </w:r>
          </w:p>
        </w:tc>
        <w:tc>
          <w:tcPr>
            <w:tcW w:w="1123"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Disease phase at ASCT</w:t>
            </w:r>
          </w:p>
        </w:tc>
        <w:tc>
          <w:tcPr>
            <w:tcW w:w="127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Time from diagnosis to ASCT (</w:t>
            </w:r>
            <w:proofErr w:type="spellStart"/>
            <w:r w:rsidRPr="00E127AB">
              <w:rPr>
                <w:rFonts w:ascii="Book Antiqua" w:eastAsiaTheme="minorHAnsi" w:hAnsi="Book Antiqua" w:cs="AdvOT863180fb"/>
                <w:b/>
                <w:color w:val="auto"/>
                <w:sz w:val="24"/>
                <w:szCs w:val="24"/>
                <w:lang w:val="en-US"/>
              </w:rPr>
              <w:t>mo</w:t>
            </w:r>
            <w:proofErr w:type="spellEnd"/>
            <w:r w:rsidRPr="00E127AB">
              <w:rPr>
                <w:rFonts w:ascii="Book Antiqua" w:eastAsiaTheme="minorHAnsi" w:hAnsi="Book Antiqua" w:cs="AdvOT863180fb"/>
                <w:b/>
                <w:color w:val="auto"/>
                <w:sz w:val="24"/>
                <w:szCs w:val="24"/>
                <w:lang w:val="en-US"/>
              </w:rPr>
              <w:t>)</w:t>
            </w:r>
          </w:p>
        </w:tc>
        <w:tc>
          <w:tcPr>
            <w:tcW w:w="2617"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Indication for ASCT</w:t>
            </w:r>
          </w:p>
        </w:tc>
        <w:tc>
          <w:tcPr>
            <w:tcW w:w="135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Donor sex</w:t>
            </w:r>
          </w:p>
        </w:tc>
      </w:tr>
      <w:tr w:rsidR="00695F46" w:rsidRPr="00E127AB" w:rsidTr="00A318A6">
        <w:trPr>
          <w:trHeight w:val="281"/>
        </w:trPr>
        <w:tc>
          <w:tcPr>
            <w:tcW w:w="99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w:t>
            </w:r>
          </w:p>
        </w:tc>
        <w:tc>
          <w:tcPr>
            <w:tcW w:w="80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M</w:t>
            </w:r>
          </w:p>
        </w:tc>
        <w:tc>
          <w:tcPr>
            <w:tcW w:w="112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22</w:t>
            </w:r>
          </w:p>
        </w:tc>
        <w:tc>
          <w:tcPr>
            <w:tcW w:w="1123"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w:t>
            </w:r>
            <w:r w:rsidRPr="00E127AB">
              <w:rPr>
                <w:rFonts w:ascii="Book Antiqua" w:eastAsiaTheme="minorHAnsi" w:hAnsi="Book Antiqua" w:cs="AdvOT863180fb"/>
                <w:color w:val="auto"/>
                <w:sz w:val="24"/>
                <w:szCs w:val="24"/>
                <w:vertAlign w:val="superscript"/>
                <w:lang w:val="en-US"/>
              </w:rPr>
              <w:t>st</w:t>
            </w:r>
            <w:r w:rsidR="00F73E2D" w:rsidRPr="00E127AB">
              <w:rPr>
                <w:rFonts w:ascii="Book Antiqua" w:eastAsiaTheme="minorHAnsi" w:hAnsi="Book Antiqua" w:cs="AdvOT863180fb"/>
                <w:color w:val="auto"/>
                <w:sz w:val="24"/>
                <w:szCs w:val="24"/>
                <w:lang w:val="en-US"/>
              </w:rPr>
              <w:t xml:space="preserve"> </w:t>
            </w:r>
            <w:r w:rsidRPr="00E127AB">
              <w:rPr>
                <w:rFonts w:ascii="Book Antiqua" w:eastAsiaTheme="minorHAnsi" w:hAnsi="Book Antiqua" w:cs="AdvOT863180fb"/>
                <w:color w:val="auto"/>
                <w:sz w:val="24"/>
                <w:szCs w:val="24"/>
                <w:lang w:val="en-US"/>
              </w:rPr>
              <w:t>AP</w:t>
            </w:r>
          </w:p>
        </w:tc>
        <w:tc>
          <w:tcPr>
            <w:tcW w:w="127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50</w:t>
            </w:r>
          </w:p>
        </w:tc>
        <w:tc>
          <w:tcPr>
            <w:tcW w:w="2617"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Resistance to imatinib and clonal evolution</w:t>
            </w:r>
          </w:p>
        </w:tc>
        <w:tc>
          <w:tcPr>
            <w:tcW w:w="135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M</w:t>
            </w:r>
          </w:p>
        </w:tc>
      </w:tr>
      <w:tr w:rsidR="00695F46" w:rsidRPr="00E127AB" w:rsidTr="00A318A6">
        <w:trPr>
          <w:trHeight w:val="281"/>
        </w:trPr>
        <w:tc>
          <w:tcPr>
            <w:tcW w:w="99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2</w:t>
            </w:r>
          </w:p>
        </w:tc>
        <w:tc>
          <w:tcPr>
            <w:tcW w:w="80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F</w:t>
            </w:r>
          </w:p>
        </w:tc>
        <w:tc>
          <w:tcPr>
            <w:tcW w:w="112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51</w:t>
            </w:r>
          </w:p>
        </w:tc>
        <w:tc>
          <w:tcPr>
            <w:tcW w:w="1123"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2</w:t>
            </w:r>
            <w:r w:rsidRPr="00E127AB">
              <w:rPr>
                <w:rFonts w:ascii="Book Antiqua" w:eastAsiaTheme="minorHAnsi" w:hAnsi="Book Antiqua" w:cs="AdvOT863180fb"/>
                <w:color w:val="auto"/>
                <w:sz w:val="24"/>
                <w:szCs w:val="24"/>
                <w:vertAlign w:val="superscript"/>
                <w:lang w:val="en-US"/>
              </w:rPr>
              <w:t xml:space="preserve">nd </w:t>
            </w:r>
            <w:r w:rsidRPr="00E127AB">
              <w:rPr>
                <w:rFonts w:ascii="Book Antiqua" w:eastAsiaTheme="minorHAnsi" w:hAnsi="Book Antiqua" w:cs="AdvOT863180fb"/>
                <w:color w:val="auto"/>
                <w:sz w:val="24"/>
                <w:szCs w:val="24"/>
                <w:lang w:val="en-US"/>
              </w:rPr>
              <w:t>CP</w:t>
            </w:r>
          </w:p>
        </w:tc>
        <w:tc>
          <w:tcPr>
            <w:tcW w:w="127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14</w:t>
            </w:r>
          </w:p>
        </w:tc>
        <w:tc>
          <w:tcPr>
            <w:tcW w:w="2617"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Previous myeloid blastic phase</w:t>
            </w:r>
          </w:p>
        </w:tc>
        <w:tc>
          <w:tcPr>
            <w:tcW w:w="135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M</w:t>
            </w:r>
          </w:p>
        </w:tc>
      </w:tr>
      <w:tr w:rsidR="00695F46" w:rsidRPr="00E127AB" w:rsidTr="00A318A6">
        <w:trPr>
          <w:trHeight w:val="291"/>
        </w:trPr>
        <w:tc>
          <w:tcPr>
            <w:tcW w:w="99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3</w:t>
            </w:r>
          </w:p>
        </w:tc>
        <w:tc>
          <w:tcPr>
            <w:tcW w:w="80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M</w:t>
            </w:r>
          </w:p>
        </w:tc>
        <w:tc>
          <w:tcPr>
            <w:tcW w:w="112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25</w:t>
            </w:r>
          </w:p>
        </w:tc>
        <w:tc>
          <w:tcPr>
            <w:tcW w:w="1123"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2</w:t>
            </w:r>
            <w:r w:rsidRPr="00E127AB">
              <w:rPr>
                <w:rFonts w:ascii="Book Antiqua" w:eastAsiaTheme="minorHAnsi" w:hAnsi="Book Antiqua" w:cs="AdvOT863180fb"/>
                <w:color w:val="auto"/>
                <w:sz w:val="24"/>
                <w:szCs w:val="24"/>
                <w:vertAlign w:val="superscript"/>
                <w:lang w:val="en-US"/>
              </w:rPr>
              <w:t xml:space="preserve">nd </w:t>
            </w:r>
            <w:r w:rsidRPr="00E127AB">
              <w:rPr>
                <w:rFonts w:ascii="Book Antiqua" w:eastAsiaTheme="minorHAnsi" w:hAnsi="Book Antiqua" w:cs="AdvOT863180fb"/>
                <w:color w:val="auto"/>
                <w:sz w:val="24"/>
                <w:szCs w:val="24"/>
                <w:lang w:val="en-US"/>
              </w:rPr>
              <w:t>CP</w:t>
            </w:r>
          </w:p>
        </w:tc>
        <w:tc>
          <w:tcPr>
            <w:tcW w:w="127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61</w:t>
            </w:r>
          </w:p>
        </w:tc>
        <w:tc>
          <w:tcPr>
            <w:tcW w:w="2617"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Previous lymphoid blastic phase</w:t>
            </w:r>
          </w:p>
        </w:tc>
        <w:tc>
          <w:tcPr>
            <w:tcW w:w="135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M</w:t>
            </w:r>
          </w:p>
        </w:tc>
      </w:tr>
      <w:tr w:rsidR="00695F46" w:rsidRPr="00E127AB" w:rsidTr="00A318A6">
        <w:trPr>
          <w:trHeight w:val="281"/>
        </w:trPr>
        <w:tc>
          <w:tcPr>
            <w:tcW w:w="99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4</w:t>
            </w:r>
          </w:p>
        </w:tc>
        <w:tc>
          <w:tcPr>
            <w:tcW w:w="80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M</w:t>
            </w:r>
          </w:p>
        </w:tc>
        <w:tc>
          <w:tcPr>
            <w:tcW w:w="112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33</w:t>
            </w:r>
          </w:p>
        </w:tc>
        <w:tc>
          <w:tcPr>
            <w:tcW w:w="1123"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w:t>
            </w:r>
            <w:r w:rsidRPr="00E127AB">
              <w:rPr>
                <w:rFonts w:ascii="Book Antiqua" w:eastAsiaTheme="minorHAnsi" w:hAnsi="Book Antiqua" w:cs="AdvOT863180fb"/>
                <w:color w:val="auto"/>
                <w:sz w:val="24"/>
                <w:szCs w:val="24"/>
                <w:vertAlign w:val="superscript"/>
                <w:lang w:val="en-US"/>
              </w:rPr>
              <w:t>st</w:t>
            </w:r>
            <w:r w:rsidRPr="00E127AB">
              <w:rPr>
                <w:rFonts w:ascii="Book Antiqua" w:eastAsiaTheme="minorHAnsi" w:hAnsi="Book Antiqua" w:cs="AdvOT863180fb"/>
                <w:color w:val="auto"/>
                <w:sz w:val="24"/>
                <w:szCs w:val="24"/>
                <w:lang w:val="en-US"/>
              </w:rPr>
              <w:t xml:space="preserve"> CP</w:t>
            </w:r>
          </w:p>
        </w:tc>
        <w:tc>
          <w:tcPr>
            <w:tcW w:w="127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37</w:t>
            </w:r>
          </w:p>
        </w:tc>
        <w:tc>
          <w:tcPr>
            <w:tcW w:w="2617"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Resistance to imatinib and dasatinib</w:t>
            </w:r>
          </w:p>
        </w:tc>
        <w:tc>
          <w:tcPr>
            <w:tcW w:w="135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M</w:t>
            </w:r>
          </w:p>
        </w:tc>
      </w:tr>
      <w:tr w:rsidR="00695F46" w:rsidRPr="00E127AB" w:rsidTr="00A318A6">
        <w:trPr>
          <w:trHeight w:val="281"/>
        </w:trPr>
        <w:tc>
          <w:tcPr>
            <w:tcW w:w="99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5</w:t>
            </w:r>
          </w:p>
        </w:tc>
        <w:tc>
          <w:tcPr>
            <w:tcW w:w="80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F</w:t>
            </w:r>
          </w:p>
        </w:tc>
        <w:tc>
          <w:tcPr>
            <w:tcW w:w="112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54</w:t>
            </w:r>
          </w:p>
        </w:tc>
        <w:tc>
          <w:tcPr>
            <w:tcW w:w="1123"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w:t>
            </w:r>
            <w:r w:rsidRPr="00E127AB">
              <w:rPr>
                <w:rFonts w:ascii="Book Antiqua" w:eastAsiaTheme="minorHAnsi" w:hAnsi="Book Antiqua" w:cs="AdvOT863180fb"/>
                <w:color w:val="auto"/>
                <w:sz w:val="24"/>
                <w:szCs w:val="24"/>
                <w:vertAlign w:val="superscript"/>
                <w:lang w:val="en-US"/>
              </w:rPr>
              <w:t>st</w:t>
            </w:r>
            <w:r w:rsidRPr="00E127AB">
              <w:rPr>
                <w:rFonts w:ascii="Book Antiqua" w:eastAsiaTheme="minorHAnsi" w:hAnsi="Book Antiqua" w:cs="AdvOT863180fb"/>
                <w:color w:val="auto"/>
                <w:sz w:val="24"/>
                <w:szCs w:val="24"/>
                <w:lang w:val="en-US"/>
              </w:rPr>
              <w:t xml:space="preserve"> AP</w:t>
            </w:r>
          </w:p>
        </w:tc>
        <w:tc>
          <w:tcPr>
            <w:tcW w:w="127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103</w:t>
            </w:r>
          </w:p>
        </w:tc>
        <w:tc>
          <w:tcPr>
            <w:tcW w:w="2617"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Resistance to imatinib, nilotinib and dasatinib </w:t>
            </w:r>
          </w:p>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w:t>
            </w:r>
            <w:r w:rsidRPr="00E127AB">
              <w:rPr>
                <w:rFonts w:ascii="Book Antiqua" w:eastAsiaTheme="minorHAnsi" w:hAnsi="Book Antiqua" w:cs="AdvOT863180fb"/>
                <w:color w:val="auto"/>
                <w:sz w:val="24"/>
                <w:szCs w:val="24"/>
                <w:vertAlign w:val="superscript"/>
                <w:lang w:val="en-US"/>
              </w:rPr>
              <w:t>st</w:t>
            </w:r>
            <w:r w:rsidRPr="00E127AB">
              <w:rPr>
                <w:rFonts w:ascii="Book Antiqua" w:eastAsiaTheme="minorHAnsi" w:hAnsi="Book Antiqua" w:cs="AdvOT863180fb"/>
                <w:color w:val="auto"/>
                <w:sz w:val="24"/>
                <w:szCs w:val="24"/>
                <w:lang w:val="en-US"/>
              </w:rPr>
              <w:t xml:space="preserve"> accelerated phase </w:t>
            </w:r>
          </w:p>
        </w:tc>
        <w:tc>
          <w:tcPr>
            <w:tcW w:w="135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F</w:t>
            </w:r>
          </w:p>
        </w:tc>
      </w:tr>
      <w:tr w:rsidR="00695F46" w:rsidRPr="00E127AB" w:rsidTr="00A318A6">
        <w:trPr>
          <w:trHeight w:val="291"/>
        </w:trPr>
        <w:tc>
          <w:tcPr>
            <w:tcW w:w="99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6</w:t>
            </w:r>
          </w:p>
        </w:tc>
        <w:tc>
          <w:tcPr>
            <w:tcW w:w="80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M</w:t>
            </w:r>
          </w:p>
        </w:tc>
        <w:tc>
          <w:tcPr>
            <w:tcW w:w="112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65</w:t>
            </w:r>
          </w:p>
        </w:tc>
        <w:tc>
          <w:tcPr>
            <w:tcW w:w="1123"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w:t>
            </w:r>
            <w:r w:rsidRPr="00E127AB">
              <w:rPr>
                <w:rFonts w:ascii="Book Antiqua" w:eastAsiaTheme="minorHAnsi" w:hAnsi="Book Antiqua" w:cs="AdvOT863180fb"/>
                <w:color w:val="auto"/>
                <w:sz w:val="24"/>
                <w:szCs w:val="24"/>
                <w:vertAlign w:val="superscript"/>
                <w:lang w:val="en-US"/>
              </w:rPr>
              <w:t>st</w:t>
            </w:r>
            <w:r w:rsidRPr="00E127AB">
              <w:rPr>
                <w:rFonts w:ascii="Book Antiqua" w:eastAsiaTheme="minorHAnsi" w:hAnsi="Book Antiqua" w:cs="AdvOT863180fb"/>
                <w:color w:val="auto"/>
                <w:sz w:val="24"/>
                <w:szCs w:val="24"/>
                <w:lang w:val="en-US"/>
              </w:rPr>
              <w:t xml:space="preserve"> CP</w:t>
            </w:r>
          </w:p>
        </w:tc>
        <w:tc>
          <w:tcPr>
            <w:tcW w:w="127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133</w:t>
            </w:r>
          </w:p>
        </w:tc>
        <w:tc>
          <w:tcPr>
            <w:tcW w:w="2617"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Resistance to imatinib and nilotinib</w:t>
            </w:r>
          </w:p>
        </w:tc>
        <w:tc>
          <w:tcPr>
            <w:tcW w:w="135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F</w:t>
            </w:r>
          </w:p>
        </w:tc>
      </w:tr>
      <w:tr w:rsidR="00695F46" w:rsidRPr="00E127AB" w:rsidTr="00A318A6">
        <w:trPr>
          <w:trHeight w:val="281"/>
        </w:trPr>
        <w:tc>
          <w:tcPr>
            <w:tcW w:w="99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7</w:t>
            </w:r>
          </w:p>
        </w:tc>
        <w:tc>
          <w:tcPr>
            <w:tcW w:w="80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F</w:t>
            </w:r>
          </w:p>
        </w:tc>
        <w:tc>
          <w:tcPr>
            <w:tcW w:w="112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49</w:t>
            </w:r>
          </w:p>
        </w:tc>
        <w:tc>
          <w:tcPr>
            <w:tcW w:w="1123"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w:t>
            </w:r>
            <w:r w:rsidRPr="00E127AB">
              <w:rPr>
                <w:rFonts w:ascii="Book Antiqua" w:eastAsiaTheme="minorHAnsi" w:hAnsi="Book Antiqua" w:cs="AdvOT863180fb"/>
                <w:color w:val="auto"/>
                <w:sz w:val="24"/>
                <w:szCs w:val="24"/>
                <w:vertAlign w:val="superscript"/>
                <w:lang w:val="en-US"/>
              </w:rPr>
              <w:t>st</w:t>
            </w:r>
            <w:r w:rsidRPr="00E127AB">
              <w:rPr>
                <w:rFonts w:ascii="Book Antiqua" w:eastAsiaTheme="minorHAnsi" w:hAnsi="Book Antiqua" w:cs="AdvOT863180fb"/>
                <w:color w:val="auto"/>
                <w:sz w:val="24"/>
                <w:szCs w:val="24"/>
                <w:lang w:val="en-US"/>
              </w:rPr>
              <w:t xml:space="preserve"> CP</w:t>
            </w:r>
          </w:p>
        </w:tc>
        <w:tc>
          <w:tcPr>
            <w:tcW w:w="127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62</w:t>
            </w:r>
          </w:p>
        </w:tc>
        <w:tc>
          <w:tcPr>
            <w:tcW w:w="2617"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Resistance to imatinib</w:t>
            </w:r>
          </w:p>
        </w:tc>
        <w:tc>
          <w:tcPr>
            <w:tcW w:w="135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M</w:t>
            </w:r>
          </w:p>
        </w:tc>
      </w:tr>
      <w:tr w:rsidR="00695F46" w:rsidRPr="00E127AB" w:rsidTr="00A318A6">
        <w:trPr>
          <w:trHeight w:val="281"/>
        </w:trPr>
        <w:tc>
          <w:tcPr>
            <w:tcW w:w="99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8</w:t>
            </w:r>
          </w:p>
        </w:tc>
        <w:tc>
          <w:tcPr>
            <w:tcW w:w="80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M</w:t>
            </w:r>
          </w:p>
        </w:tc>
        <w:tc>
          <w:tcPr>
            <w:tcW w:w="112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53</w:t>
            </w:r>
          </w:p>
        </w:tc>
        <w:tc>
          <w:tcPr>
            <w:tcW w:w="1123"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2</w:t>
            </w:r>
            <w:r w:rsidRPr="00E127AB">
              <w:rPr>
                <w:rFonts w:ascii="Book Antiqua" w:eastAsiaTheme="minorHAnsi" w:hAnsi="Book Antiqua" w:cs="AdvOT863180fb"/>
                <w:color w:val="auto"/>
                <w:sz w:val="24"/>
                <w:szCs w:val="24"/>
                <w:vertAlign w:val="superscript"/>
                <w:lang w:val="en-US"/>
              </w:rPr>
              <w:t xml:space="preserve">nd </w:t>
            </w:r>
            <w:r w:rsidRPr="00E127AB">
              <w:rPr>
                <w:rFonts w:ascii="Book Antiqua" w:eastAsiaTheme="minorHAnsi" w:hAnsi="Book Antiqua" w:cs="AdvOT863180fb"/>
                <w:color w:val="auto"/>
                <w:sz w:val="24"/>
                <w:szCs w:val="24"/>
                <w:lang w:val="en-US"/>
              </w:rPr>
              <w:t>CP</w:t>
            </w:r>
          </w:p>
        </w:tc>
        <w:tc>
          <w:tcPr>
            <w:tcW w:w="127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63</w:t>
            </w:r>
          </w:p>
        </w:tc>
        <w:tc>
          <w:tcPr>
            <w:tcW w:w="2617"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Previous myeloid blastic phase</w:t>
            </w:r>
          </w:p>
        </w:tc>
        <w:tc>
          <w:tcPr>
            <w:tcW w:w="135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M</w:t>
            </w:r>
          </w:p>
        </w:tc>
      </w:tr>
      <w:tr w:rsidR="00695F46" w:rsidRPr="00E127AB" w:rsidTr="00A318A6">
        <w:trPr>
          <w:trHeight w:val="291"/>
        </w:trPr>
        <w:tc>
          <w:tcPr>
            <w:tcW w:w="99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9</w:t>
            </w:r>
          </w:p>
        </w:tc>
        <w:tc>
          <w:tcPr>
            <w:tcW w:w="80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M</w:t>
            </w:r>
          </w:p>
        </w:tc>
        <w:tc>
          <w:tcPr>
            <w:tcW w:w="112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41</w:t>
            </w:r>
          </w:p>
        </w:tc>
        <w:tc>
          <w:tcPr>
            <w:tcW w:w="1123"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w:t>
            </w:r>
            <w:r w:rsidRPr="00E127AB">
              <w:rPr>
                <w:rFonts w:ascii="Book Antiqua" w:eastAsiaTheme="minorHAnsi" w:hAnsi="Book Antiqua" w:cs="AdvOT863180fb"/>
                <w:color w:val="auto"/>
                <w:sz w:val="24"/>
                <w:szCs w:val="24"/>
                <w:vertAlign w:val="superscript"/>
                <w:lang w:val="en-US"/>
              </w:rPr>
              <w:t>st</w:t>
            </w:r>
            <w:r w:rsidRPr="00E127AB">
              <w:rPr>
                <w:rFonts w:ascii="Book Antiqua" w:eastAsiaTheme="minorHAnsi" w:hAnsi="Book Antiqua" w:cs="AdvOT863180fb"/>
                <w:color w:val="auto"/>
                <w:sz w:val="24"/>
                <w:szCs w:val="24"/>
                <w:lang w:val="en-US"/>
              </w:rPr>
              <w:t xml:space="preserve"> CP</w:t>
            </w:r>
          </w:p>
        </w:tc>
        <w:tc>
          <w:tcPr>
            <w:tcW w:w="127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51</w:t>
            </w:r>
          </w:p>
        </w:tc>
        <w:tc>
          <w:tcPr>
            <w:tcW w:w="2617"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Resistance to imatinib</w:t>
            </w:r>
          </w:p>
        </w:tc>
        <w:tc>
          <w:tcPr>
            <w:tcW w:w="135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M</w:t>
            </w:r>
          </w:p>
        </w:tc>
      </w:tr>
      <w:tr w:rsidR="00595938" w:rsidRPr="00E127AB" w:rsidTr="00A318A6">
        <w:trPr>
          <w:trHeight w:val="281"/>
        </w:trPr>
        <w:tc>
          <w:tcPr>
            <w:tcW w:w="99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10</w:t>
            </w:r>
          </w:p>
        </w:tc>
        <w:tc>
          <w:tcPr>
            <w:tcW w:w="80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M</w:t>
            </w:r>
          </w:p>
        </w:tc>
        <w:tc>
          <w:tcPr>
            <w:tcW w:w="1124"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61</w:t>
            </w:r>
          </w:p>
        </w:tc>
        <w:tc>
          <w:tcPr>
            <w:tcW w:w="1123"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w:t>
            </w:r>
            <w:r w:rsidRPr="00E127AB">
              <w:rPr>
                <w:rFonts w:ascii="Book Antiqua" w:eastAsiaTheme="minorHAnsi" w:hAnsi="Book Antiqua" w:cs="AdvOT863180fb"/>
                <w:color w:val="auto"/>
                <w:sz w:val="24"/>
                <w:szCs w:val="24"/>
                <w:vertAlign w:val="superscript"/>
                <w:lang w:val="en-US"/>
              </w:rPr>
              <w:t>st</w:t>
            </w:r>
            <w:r w:rsidRPr="00E127AB">
              <w:rPr>
                <w:rFonts w:ascii="Book Antiqua" w:eastAsiaTheme="minorHAnsi" w:hAnsi="Book Antiqua" w:cs="AdvOT863180fb"/>
                <w:color w:val="auto"/>
                <w:sz w:val="24"/>
                <w:szCs w:val="24"/>
                <w:lang w:val="en-US"/>
              </w:rPr>
              <w:t xml:space="preserve"> CP</w:t>
            </w:r>
          </w:p>
        </w:tc>
        <w:tc>
          <w:tcPr>
            <w:tcW w:w="127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75</w:t>
            </w:r>
          </w:p>
        </w:tc>
        <w:tc>
          <w:tcPr>
            <w:tcW w:w="2617"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Resistance to imatinib, nilotinib and dasatinib</w:t>
            </w:r>
          </w:p>
        </w:tc>
        <w:tc>
          <w:tcPr>
            <w:tcW w:w="1350" w:type="dxa"/>
          </w:tcPr>
          <w:p w:rsidR="00595938" w:rsidRPr="00E127AB" w:rsidRDefault="00595938"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F</w:t>
            </w:r>
          </w:p>
        </w:tc>
      </w:tr>
    </w:tbl>
    <w:p w:rsidR="00595938" w:rsidRPr="00E127AB" w:rsidRDefault="00A318A6"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AdvOT863180fb"/>
          <w:color w:val="auto"/>
          <w:sz w:val="24"/>
          <w:szCs w:val="24"/>
          <w:lang w:val="en-US" w:eastAsia="zh-CN"/>
        </w:rPr>
      </w:pPr>
      <w:r w:rsidRPr="00E127AB">
        <w:rPr>
          <w:rFonts w:ascii="Book Antiqua" w:hAnsi="Book Antiqua" w:cs="Times New Roman"/>
          <w:color w:val="auto"/>
          <w:sz w:val="24"/>
          <w:szCs w:val="24"/>
          <w:shd w:val="clear" w:color="auto" w:fill="FFFFFF"/>
          <w:lang w:val="en-US"/>
        </w:rPr>
        <w:t>ASCT:</w:t>
      </w:r>
      <w:r w:rsidRPr="00E127AB">
        <w:rPr>
          <w:rFonts w:ascii="Book Antiqua" w:eastAsiaTheme="minorEastAsia" w:hAnsi="Book Antiqua" w:cs="AdvOT863180fb"/>
          <w:b/>
          <w:color w:val="auto"/>
          <w:sz w:val="24"/>
          <w:szCs w:val="24"/>
          <w:lang w:val="en-US" w:eastAsia="zh-CN"/>
        </w:rPr>
        <w:t xml:space="preserve"> </w:t>
      </w:r>
      <w:r w:rsidRPr="00E127AB">
        <w:rPr>
          <w:rFonts w:ascii="Book Antiqua" w:hAnsi="Book Antiqua" w:cs="Times New Roman"/>
          <w:color w:val="auto"/>
          <w:sz w:val="24"/>
          <w:szCs w:val="24"/>
          <w:shd w:val="clear" w:color="auto" w:fill="FFFFFF"/>
          <w:lang w:val="en-US"/>
        </w:rPr>
        <w:t>Allogeneic stem cell transplantation</w:t>
      </w:r>
      <w:r w:rsidRPr="00E127AB">
        <w:rPr>
          <w:rFonts w:ascii="Book Antiqua" w:hAnsi="Book Antiqua" w:cs="Times New Roman"/>
          <w:color w:val="auto"/>
          <w:sz w:val="24"/>
          <w:szCs w:val="24"/>
          <w:shd w:val="clear" w:color="auto" w:fill="FFFFFF"/>
          <w:lang w:val="en-US" w:eastAsia="zh-CN"/>
        </w:rPr>
        <w:t>.</w:t>
      </w:r>
    </w:p>
    <w:p w:rsidR="0015061A" w:rsidRPr="00E127AB" w:rsidRDefault="0015061A"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color w:val="auto"/>
          <w:sz w:val="24"/>
          <w:szCs w:val="24"/>
          <w:lang w:val="en-US"/>
        </w:rPr>
      </w:pPr>
    </w:p>
    <w:p w:rsidR="0015061A" w:rsidRPr="00E127AB" w:rsidRDefault="0015061A"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color w:val="auto"/>
          <w:sz w:val="24"/>
          <w:szCs w:val="24"/>
          <w:lang w:val="en-US"/>
        </w:rPr>
      </w:pPr>
    </w:p>
    <w:p w:rsidR="0015061A" w:rsidRPr="00E127AB" w:rsidRDefault="0015061A"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color w:val="auto"/>
          <w:sz w:val="24"/>
          <w:szCs w:val="24"/>
          <w:lang w:val="en-US"/>
        </w:rPr>
      </w:pPr>
    </w:p>
    <w:p w:rsidR="0057493A" w:rsidRPr="00E127AB" w:rsidRDefault="0057493A"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lastRenderedPageBreak/>
        <w:t xml:space="preserve">Table </w:t>
      </w:r>
      <w:r w:rsidR="0039324F" w:rsidRPr="00E127AB">
        <w:rPr>
          <w:rFonts w:ascii="Book Antiqua" w:eastAsiaTheme="minorHAnsi" w:hAnsi="Book Antiqua" w:cs="AdvOT863180fb"/>
          <w:b/>
          <w:color w:val="auto"/>
          <w:sz w:val="24"/>
          <w:szCs w:val="24"/>
          <w:lang w:val="en-US"/>
        </w:rPr>
        <w:t>4</w:t>
      </w:r>
      <w:r w:rsidRPr="00E127AB">
        <w:rPr>
          <w:rFonts w:ascii="Book Antiqua" w:eastAsiaTheme="minorHAnsi" w:hAnsi="Book Antiqua" w:cs="AdvOT863180fb"/>
          <w:b/>
          <w:color w:val="auto"/>
          <w:sz w:val="24"/>
          <w:szCs w:val="24"/>
          <w:lang w:val="en-US"/>
        </w:rPr>
        <w:t xml:space="preserve"> Transplantation outcomes </w:t>
      </w:r>
    </w:p>
    <w:tbl>
      <w:tblPr>
        <w:tblStyle w:val="a4"/>
        <w:tblW w:w="0" w:type="auto"/>
        <w:tblBorders>
          <w:insideV w:val="none" w:sz="0" w:space="0" w:color="auto"/>
        </w:tblBorders>
        <w:tblLook w:val="04A0" w:firstRow="1" w:lastRow="0" w:firstColumn="1" w:lastColumn="0" w:noHBand="0" w:noVBand="1"/>
      </w:tblPr>
      <w:tblGrid>
        <w:gridCol w:w="989"/>
        <w:gridCol w:w="1563"/>
        <w:gridCol w:w="1563"/>
        <w:gridCol w:w="1030"/>
        <w:gridCol w:w="1096"/>
        <w:gridCol w:w="1981"/>
        <w:gridCol w:w="1060"/>
      </w:tblGrid>
      <w:tr w:rsidR="00695F46" w:rsidRPr="00E127AB" w:rsidTr="00A318A6">
        <w:trPr>
          <w:trHeight w:val="708"/>
        </w:trPr>
        <w:tc>
          <w:tcPr>
            <w:tcW w:w="989"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 xml:space="preserve">Patient </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bookmarkStart w:id="59" w:name="OLE_LINK176"/>
            <w:bookmarkStart w:id="60" w:name="OLE_LINK177"/>
            <w:r w:rsidRPr="00E127AB">
              <w:rPr>
                <w:rFonts w:ascii="Book Antiqua" w:eastAsiaTheme="minorHAnsi" w:hAnsi="Book Antiqua" w:cs="AdvOT863180fb"/>
                <w:b/>
                <w:color w:val="auto"/>
                <w:sz w:val="24"/>
                <w:szCs w:val="24"/>
                <w:lang w:val="en-US"/>
              </w:rPr>
              <w:t>PNL engraftment</w:t>
            </w:r>
            <w:bookmarkEnd w:id="59"/>
            <w:bookmarkEnd w:id="60"/>
            <w:r w:rsidRPr="00E127AB">
              <w:rPr>
                <w:rFonts w:ascii="Book Antiqua" w:eastAsiaTheme="minorHAnsi" w:hAnsi="Book Antiqua" w:cs="AdvOT863180fb"/>
                <w:b/>
                <w:color w:val="auto"/>
                <w:sz w:val="24"/>
                <w:szCs w:val="24"/>
                <w:lang w:val="en-US"/>
              </w:rPr>
              <w:t xml:space="preserve"> (d)</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bookmarkStart w:id="61" w:name="OLE_LINK178"/>
            <w:bookmarkStart w:id="62" w:name="OLE_LINK179"/>
            <w:r w:rsidRPr="00E127AB">
              <w:rPr>
                <w:rFonts w:ascii="Book Antiqua" w:eastAsiaTheme="minorHAnsi" w:hAnsi="Book Antiqua" w:cs="AdvOT863180fb"/>
                <w:b/>
                <w:color w:val="auto"/>
                <w:sz w:val="24"/>
                <w:szCs w:val="24"/>
                <w:lang w:val="en-US"/>
              </w:rPr>
              <w:t>PLT engraftment</w:t>
            </w:r>
          </w:p>
          <w:bookmarkEnd w:id="61"/>
          <w:bookmarkEnd w:id="62"/>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(d)</w:t>
            </w:r>
          </w:p>
        </w:tc>
        <w:tc>
          <w:tcPr>
            <w:tcW w:w="103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Acute GVHD</w:t>
            </w:r>
          </w:p>
        </w:tc>
        <w:tc>
          <w:tcPr>
            <w:tcW w:w="1096"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Chronic GVHD</w:t>
            </w:r>
          </w:p>
        </w:tc>
        <w:tc>
          <w:tcPr>
            <w:tcW w:w="1981"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Post-transplant disease status</w:t>
            </w:r>
          </w:p>
        </w:tc>
        <w:tc>
          <w:tcPr>
            <w:tcW w:w="106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b/>
                <w:color w:val="auto"/>
                <w:sz w:val="24"/>
                <w:szCs w:val="24"/>
                <w:lang w:val="en-US"/>
              </w:rPr>
            </w:pPr>
            <w:r w:rsidRPr="00E127AB">
              <w:rPr>
                <w:rFonts w:ascii="Book Antiqua" w:eastAsiaTheme="minorHAnsi" w:hAnsi="Book Antiqua" w:cs="AdvOT863180fb"/>
                <w:b/>
                <w:color w:val="auto"/>
                <w:sz w:val="24"/>
                <w:szCs w:val="24"/>
                <w:lang w:val="en-US"/>
              </w:rPr>
              <w:t>Last status</w:t>
            </w:r>
          </w:p>
        </w:tc>
      </w:tr>
      <w:tr w:rsidR="00695F46" w:rsidRPr="00E127AB" w:rsidTr="00A318A6">
        <w:trPr>
          <w:trHeight w:val="281"/>
        </w:trPr>
        <w:tc>
          <w:tcPr>
            <w:tcW w:w="989"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12</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18</w:t>
            </w:r>
          </w:p>
        </w:tc>
        <w:tc>
          <w:tcPr>
            <w:tcW w:w="103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No </w:t>
            </w:r>
          </w:p>
        </w:tc>
        <w:tc>
          <w:tcPr>
            <w:tcW w:w="1096"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No </w:t>
            </w:r>
          </w:p>
        </w:tc>
        <w:tc>
          <w:tcPr>
            <w:tcW w:w="1981"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Molecular relapse and granulocytic sarcoma</w:t>
            </w:r>
          </w:p>
        </w:tc>
        <w:tc>
          <w:tcPr>
            <w:tcW w:w="106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Died </w:t>
            </w:r>
          </w:p>
        </w:tc>
      </w:tr>
      <w:tr w:rsidR="00695F46" w:rsidRPr="00E127AB" w:rsidTr="00A318A6">
        <w:trPr>
          <w:trHeight w:val="281"/>
        </w:trPr>
        <w:tc>
          <w:tcPr>
            <w:tcW w:w="989"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2</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15</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16</w:t>
            </w:r>
          </w:p>
        </w:tc>
        <w:tc>
          <w:tcPr>
            <w:tcW w:w="103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No</w:t>
            </w:r>
          </w:p>
        </w:tc>
        <w:tc>
          <w:tcPr>
            <w:tcW w:w="1096"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No </w:t>
            </w:r>
          </w:p>
        </w:tc>
        <w:tc>
          <w:tcPr>
            <w:tcW w:w="1981"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Blastic crises </w:t>
            </w:r>
          </w:p>
        </w:tc>
        <w:tc>
          <w:tcPr>
            <w:tcW w:w="106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Died </w:t>
            </w:r>
          </w:p>
        </w:tc>
      </w:tr>
      <w:tr w:rsidR="00695F46" w:rsidRPr="00E127AB" w:rsidTr="00A318A6">
        <w:trPr>
          <w:trHeight w:val="291"/>
        </w:trPr>
        <w:tc>
          <w:tcPr>
            <w:tcW w:w="989"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3</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18</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30</w:t>
            </w:r>
          </w:p>
        </w:tc>
        <w:tc>
          <w:tcPr>
            <w:tcW w:w="103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No</w:t>
            </w:r>
          </w:p>
        </w:tc>
        <w:tc>
          <w:tcPr>
            <w:tcW w:w="1096"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No </w:t>
            </w:r>
          </w:p>
        </w:tc>
        <w:tc>
          <w:tcPr>
            <w:tcW w:w="1981"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Remission </w:t>
            </w:r>
          </w:p>
        </w:tc>
        <w:tc>
          <w:tcPr>
            <w:tcW w:w="106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Died </w:t>
            </w:r>
          </w:p>
        </w:tc>
      </w:tr>
      <w:tr w:rsidR="00695F46" w:rsidRPr="00E127AB" w:rsidTr="00A318A6">
        <w:trPr>
          <w:trHeight w:val="281"/>
        </w:trPr>
        <w:tc>
          <w:tcPr>
            <w:tcW w:w="989"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4</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14</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14</w:t>
            </w:r>
          </w:p>
        </w:tc>
        <w:tc>
          <w:tcPr>
            <w:tcW w:w="103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Yes</w:t>
            </w:r>
          </w:p>
        </w:tc>
        <w:tc>
          <w:tcPr>
            <w:tcW w:w="1096"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No </w:t>
            </w:r>
          </w:p>
        </w:tc>
        <w:tc>
          <w:tcPr>
            <w:tcW w:w="1981"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Remission </w:t>
            </w:r>
          </w:p>
        </w:tc>
        <w:tc>
          <w:tcPr>
            <w:tcW w:w="106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Died </w:t>
            </w:r>
          </w:p>
        </w:tc>
      </w:tr>
      <w:tr w:rsidR="00695F46" w:rsidRPr="00E127AB" w:rsidTr="00A318A6">
        <w:trPr>
          <w:trHeight w:val="281"/>
        </w:trPr>
        <w:tc>
          <w:tcPr>
            <w:tcW w:w="989"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5</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25</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21</w:t>
            </w:r>
          </w:p>
        </w:tc>
        <w:tc>
          <w:tcPr>
            <w:tcW w:w="103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Yes</w:t>
            </w:r>
          </w:p>
        </w:tc>
        <w:tc>
          <w:tcPr>
            <w:tcW w:w="1096"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Yes </w:t>
            </w:r>
          </w:p>
        </w:tc>
        <w:tc>
          <w:tcPr>
            <w:tcW w:w="1981"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Remission </w:t>
            </w:r>
          </w:p>
        </w:tc>
        <w:tc>
          <w:tcPr>
            <w:tcW w:w="106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Alive </w:t>
            </w:r>
          </w:p>
        </w:tc>
      </w:tr>
      <w:tr w:rsidR="00695F46" w:rsidRPr="00E127AB" w:rsidTr="00A318A6">
        <w:trPr>
          <w:trHeight w:val="291"/>
        </w:trPr>
        <w:tc>
          <w:tcPr>
            <w:tcW w:w="989"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6</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19</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15</w:t>
            </w:r>
          </w:p>
        </w:tc>
        <w:tc>
          <w:tcPr>
            <w:tcW w:w="103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Yes</w:t>
            </w:r>
          </w:p>
        </w:tc>
        <w:tc>
          <w:tcPr>
            <w:tcW w:w="1096"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No </w:t>
            </w:r>
          </w:p>
        </w:tc>
        <w:tc>
          <w:tcPr>
            <w:tcW w:w="1981"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Remission</w:t>
            </w:r>
          </w:p>
        </w:tc>
        <w:tc>
          <w:tcPr>
            <w:tcW w:w="106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Died </w:t>
            </w:r>
          </w:p>
        </w:tc>
      </w:tr>
      <w:tr w:rsidR="00695F46" w:rsidRPr="00E127AB" w:rsidTr="00A318A6">
        <w:trPr>
          <w:trHeight w:val="281"/>
        </w:trPr>
        <w:tc>
          <w:tcPr>
            <w:tcW w:w="989"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7</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10</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10</w:t>
            </w:r>
          </w:p>
        </w:tc>
        <w:tc>
          <w:tcPr>
            <w:tcW w:w="103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No</w:t>
            </w:r>
          </w:p>
        </w:tc>
        <w:tc>
          <w:tcPr>
            <w:tcW w:w="1096"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No </w:t>
            </w:r>
          </w:p>
        </w:tc>
        <w:tc>
          <w:tcPr>
            <w:tcW w:w="1981"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Remission</w:t>
            </w:r>
          </w:p>
        </w:tc>
        <w:tc>
          <w:tcPr>
            <w:tcW w:w="106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Alive</w:t>
            </w:r>
            <w:r w:rsidR="00F73E2D" w:rsidRPr="00E127AB">
              <w:rPr>
                <w:rFonts w:ascii="Book Antiqua" w:eastAsiaTheme="minorHAnsi" w:hAnsi="Book Antiqua" w:cs="AdvOT863180fb"/>
                <w:color w:val="auto"/>
                <w:sz w:val="24"/>
                <w:szCs w:val="24"/>
                <w:lang w:val="en-US"/>
              </w:rPr>
              <w:t xml:space="preserve"> </w:t>
            </w:r>
          </w:p>
        </w:tc>
      </w:tr>
      <w:tr w:rsidR="00695F46" w:rsidRPr="00E127AB" w:rsidTr="00A318A6">
        <w:trPr>
          <w:trHeight w:val="281"/>
        </w:trPr>
        <w:tc>
          <w:tcPr>
            <w:tcW w:w="989"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8</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10</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10</w:t>
            </w:r>
          </w:p>
        </w:tc>
        <w:tc>
          <w:tcPr>
            <w:tcW w:w="103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Yes</w:t>
            </w:r>
          </w:p>
        </w:tc>
        <w:tc>
          <w:tcPr>
            <w:tcW w:w="1096"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No </w:t>
            </w:r>
          </w:p>
        </w:tc>
        <w:tc>
          <w:tcPr>
            <w:tcW w:w="1981"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Remission</w:t>
            </w:r>
          </w:p>
        </w:tc>
        <w:tc>
          <w:tcPr>
            <w:tcW w:w="106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Died </w:t>
            </w:r>
          </w:p>
        </w:tc>
      </w:tr>
      <w:tr w:rsidR="00695F46" w:rsidRPr="00E127AB" w:rsidTr="00A318A6">
        <w:trPr>
          <w:trHeight w:val="291"/>
        </w:trPr>
        <w:tc>
          <w:tcPr>
            <w:tcW w:w="989"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9</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11</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14</w:t>
            </w:r>
          </w:p>
        </w:tc>
        <w:tc>
          <w:tcPr>
            <w:tcW w:w="103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Yes</w:t>
            </w:r>
          </w:p>
        </w:tc>
        <w:tc>
          <w:tcPr>
            <w:tcW w:w="1096"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No </w:t>
            </w:r>
          </w:p>
        </w:tc>
        <w:tc>
          <w:tcPr>
            <w:tcW w:w="1981"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Remission</w:t>
            </w:r>
          </w:p>
        </w:tc>
        <w:tc>
          <w:tcPr>
            <w:tcW w:w="106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Alive </w:t>
            </w:r>
          </w:p>
        </w:tc>
      </w:tr>
      <w:tr w:rsidR="00753484" w:rsidRPr="00E127AB" w:rsidTr="00A318A6">
        <w:trPr>
          <w:trHeight w:val="281"/>
        </w:trPr>
        <w:tc>
          <w:tcPr>
            <w:tcW w:w="989"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10</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12</w:t>
            </w:r>
          </w:p>
        </w:tc>
        <w:tc>
          <w:tcPr>
            <w:tcW w:w="1563"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13</w:t>
            </w:r>
          </w:p>
        </w:tc>
        <w:tc>
          <w:tcPr>
            <w:tcW w:w="103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Yes</w:t>
            </w:r>
          </w:p>
        </w:tc>
        <w:tc>
          <w:tcPr>
            <w:tcW w:w="1096"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No </w:t>
            </w:r>
          </w:p>
        </w:tc>
        <w:tc>
          <w:tcPr>
            <w:tcW w:w="1981"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Remission</w:t>
            </w:r>
          </w:p>
        </w:tc>
        <w:tc>
          <w:tcPr>
            <w:tcW w:w="1060" w:type="dxa"/>
          </w:tcPr>
          <w:p w:rsidR="00753484" w:rsidRPr="00E127AB" w:rsidRDefault="00753484" w:rsidP="005E6CDB">
            <w:pPr>
              <w:pStyle w:val="Gvde"/>
              <w:pBdr>
                <w:top w:val="none" w:sz="0" w:space="0" w:color="auto"/>
                <w:left w:val="none" w:sz="0" w:space="0" w:color="auto"/>
                <w:bottom w:val="none" w:sz="0" w:space="0" w:color="auto"/>
                <w:right w:val="none" w:sz="0" w:space="0" w:color="auto"/>
                <w:bar w:val="none" w:sz="0" w:color="auto"/>
              </w:pBdr>
              <w:spacing w:line="360" w:lineRule="auto"/>
              <w:jc w:val="both"/>
              <w:rPr>
                <w:rFonts w:ascii="Book Antiqua" w:eastAsiaTheme="minorHAnsi" w:hAnsi="Book Antiqua" w:cs="AdvOT863180fb"/>
                <w:color w:val="auto"/>
                <w:sz w:val="24"/>
                <w:szCs w:val="24"/>
                <w:lang w:val="en-US"/>
              </w:rPr>
            </w:pPr>
            <w:r w:rsidRPr="00E127AB">
              <w:rPr>
                <w:rFonts w:ascii="Book Antiqua" w:eastAsiaTheme="minorHAnsi" w:hAnsi="Book Antiqua" w:cs="AdvOT863180fb"/>
                <w:color w:val="auto"/>
                <w:sz w:val="24"/>
                <w:szCs w:val="24"/>
                <w:lang w:val="en-US"/>
              </w:rPr>
              <w:t xml:space="preserve">Died </w:t>
            </w:r>
          </w:p>
        </w:tc>
      </w:tr>
    </w:tbl>
    <w:p w:rsidR="0057493A" w:rsidRPr="005E6CDB" w:rsidRDefault="00A318A6" w:rsidP="005E6CDB">
      <w:pPr>
        <w:pStyle w:val="Gvde"/>
        <w:pBdr>
          <w:top w:val="none" w:sz="0" w:space="0" w:color="auto"/>
          <w:left w:val="none" w:sz="0" w:space="0" w:color="auto"/>
          <w:bottom w:val="none" w:sz="0" w:space="0" w:color="auto"/>
          <w:right w:val="none" w:sz="0" w:space="0" w:color="auto"/>
          <w:bar w:val="none" w:sz="0" w:color="auto"/>
        </w:pBdr>
        <w:spacing w:after="0" w:line="360" w:lineRule="auto"/>
        <w:jc w:val="both"/>
        <w:rPr>
          <w:rFonts w:ascii="Book Antiqua" w:eastAsiaTheme="minorEastAsia" w:hAnsi="Book Antiqua" w:cs="AdvOT863180fb"/>
          <w:color w:val="auto"/>
          <w:sz w:val="24"/>
          <w:szCs w:val="24"/>
          <w:lang w:val="en-US" w:eastAsia="zh-CN"/>
        </w:rPr>
      </w:pPr>
      <w:r w:rsidRPr="00E127AB">
        <w:rPr>
          <w:rFonts w:ascii="Book Antiqua" w:eastAsiaTheme="minorHAnsi" w:hAnsi="Book Antiqua" w:cs="AdvOT863180fb"/>
          <w:color w:val="auto"/>
          <w:sz w:val="24"/>
          <w:szCs w:val="24"/>
          <w:lang w:val="en-US"/>
        </w:rPr>
        <w:t>GVHD</w:t>
      </w:r>
      <w:r w:rsidRPr="00E127AB">
        <w:rPr>
          <w:rFonts w:ascii="Book Antiqua" w:eastAsiaTheme="minorEastAsia" w:hAnsi="Book Antiqua" w:cs="AdvOT863180fb"/>
          <w:color w:val="auto"/>
          <w:sz w:val="24"/>
          <w:szCs w:val="24"/>
          <w:lang w:val="en-US" w:eastAsia="zh-CN"/>
        </w:rPr>
        <w:t>:</w:t>
      </w:r>
      <w:r w:rsidRPr="00E127AB">
        <w:rPr>
          <w:rFonts w:ascii="Book Antiqua" w:eastAsiaTheme="minorEastAsia" w:hAnsi="Book Antiqua" w:cs="AdvOT863180fb"/>
          <w:b/>
          <w:color w:val="auto"/>
          <w:sz w:val="24"/>
          <w:szCs w:val="24"/>
          <w:lang w:val="en-US" w:eastAsia="zh-CN"/>
        </w:rPr>
        <w:t xml:space="preserve"> </w:t>
      </w:r>
      <w:r w:rsidRPr="00E127AB">
        <w:rPr>
          <w:rFonts w:ascii="Book Antiqua" w:eastAsiaTheme="minorHAnsi" w:hAnsi="Book Antiqua" w:cs="AdvOT863180fb"/>
          <w:color w:val="auto"/>
          <w:sz w:val="24"/>
          <w:szCs w:val="24"/>
          <w:lang w:val="en-US"/>
        </w:rPr>
        <w:t xml:space="preserve">Graft </w:t>
      </w:r>
      <w:r w:rsidRPr="00E127AB">
        <w:rPr>
          <w:rFonts w:ascii="Book Antiqua" w:eastAsiaTheme="minorHAnsi" w:hAnsi="Book Antiqua" w:cs="AdvOT863180fb"/>
          <w:i/>
          <w:color w:val="auto"/>
          <w:sz w:val="24"/>
          <w:szCs w:val="24"/>
          <w:lang w:val="en-US"/>
        </w:rPr>
        <w:t>vs</w:t>
      </w:r>
      <w:r w:rsidRPr="00E127AB">
        <w:rPr>
          <w:rFonts w:ascii="Book Antiqua" w:eastAsiaTheme="minorHAnsi" w:hAnsi="Book Antiqua" w:cs="AdvOT863180fb"/>
          <w:color w:val="auto"/>
          <w:sz w:val="24"/>
          <w:szCs w:val="24"/>
          <w:lang w:val="en-US"/>
        </w:rPr>
        <w:t xml:space="preserve"> host disease</w:t>
      </w:r>
      <w:r w:rsidRPr="00E127AB">
        <w:rPr>
          <w:rFonts w:ascii="Book Antiqua" w:eastAsiaTheme="minorEastAsia" w:hAnsi="Book Antiqua" w:cs="AdvOT863180fb"/>
          <w:color w:val="auto"/>
          <w:sz w:val="24"/>
          <w:szCs w:val="24"/>
          <w:lang w:val="en-US" w:eastAsia="zh-CN"/>
        </w:rPr>
        <w:t>.</w:t>
      </w:r>
    </w:p>
    <w:sectPr w:rsidR="0057493A" w:rsidRPr="005E6CDB" w:rsidSect="00BE1CDC">
      <w:headerReference w:type="default" r:id="rId13"/>
      <w:footerReference w:type="default" r:id="rId14"/>
      <w:pgSz w:w="11900" w:h="16840"/>
      <w:pgMar w:top="1417" w:right="1417" w:bottom="1417" w:left="1417"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AB" w:rsidRDefault="00B219AB">
      <w:r>
        <w:separator/>
      </w:r>
    </w:p>
  </w:endnote>
  <w:endnote w:type="continuationSeparator" w:id="0">
    <w:p w:rsidR="00B219AB" w:rsidRDefault="00B2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863180fb">
    <w:altName w:val="Times New Roman"/>
    <w:charset w:val="00"/>
    <w:family w:val="auto"/>
    <w:pitch w:val="default"/>
    <w:sig w:usb0="00000003" w:usb1="00000000" w:usb2="00000000" w:usb3="00000000" w:csb0="00000001" w:csb1="00000000"/>
  </w:font>
  <w:font w:name="AdvPS6EC0">
    <w:altName w:val="Arial"/>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AdvOT3e16243d">
    <w:altName w:val="Arial"/>
    <w:charset w:val="00"/>
    <w:family w:val="auto"/>
    <w:pitch w:val="default"/>
    <w:sig w:usb0="00000003" w:usb1="00000000" w:usb2="00000000" w:usb3="00000000" w:csb0="00000001" w:csb1="00000000"/>
  </w:font>
  <w:font w:name="AdvP4C4E74">
    <w:altName w:val="Times New Roman"/>
    <w:charset w:val="A2"/>
    <w:family w:val="auto"/>
    <w:pitch w:val="default"/>
    <w:sig w:usb0="00000005" w:usb1="00000000" w:usb2="00000000" w:usb3="00000000" w:csb0="0000001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DC" w:rsidRDefault="00BE1CDC">
    <w:pPr>
      <w:pStyle w:val="BalkveAltlk"/>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AB" w:rsidRDefault="00B219AB">
      <w:r>
        <w:separator/>
      </w:r>
    </w:p>
  </w:footnote>
  <w:footnote w:type="continuationSeparator" w:id="0">
    <w:p w:rsidR="00B219AB" w:rsidRDefault="00B21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DC" w:rsidRDefault="00BE1CDC">
    <w:pPr>
      <w:pStyle w:val="BalkveAltlk"/>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523E7"/>
    <w:multiLevelType w:val="hybridMultilevel"/>
    <w:tmpl w:val="7F569C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24"/>
    <w:rsid w:val="000070A8"/>
    <w:rsid w:val="00010FE2"/>
    <w:rsid w:val="00012AF6"/>
    <w:rsid w:val="00016B22"/>
    <w:rsid w:val="00020350"/>
    <w:rsid w:val="000237E2"/>
    <w:rsid w:val="00023ABD"/>
    <w:rsid w:val="00024706"/>
    <w:rsid w:val="00025F61"/>
    <w:rsid w:val="0002755E"/>
    <w:rsid w:val="00033A3D"/>
    <w:rsid w:val="00034220"/>
    <w:rsid w:val="00035613"/>
    <w:rsid w:val="000358B1"/>
    <w:rsid w:val="00040B38"/>
    <w:rsid w:val="00043C33"/>
    <w:rsid w:val="00045CE1"/>
    <w:rsid w:val="00046414"/>
    <w:rsid w:val="000472D1"/>
    <w:rsid w:val="00051995"/>
    <w:rsid w:val="00055146"/>
    <w:rsid w:val="0005658C"/>
    <w:rsid w:val="00057D02"/>
    <w:rsid w:val="00061A40"/>
    <w:rsid w:val="00070AC5"/>
    <w:rsid w:val="0007444C"/>
    <w:rsid w:val="00080F72"/>
    <w:rsid w:val="00084D8E"/>
    <w:rsid w:val="000854CA"/>
    <w:rsid w:val="00085A0D"/>
    <w:rsid w:val="000871FC"/>
    <w:rsid w:val="00094CBB"/>
    <w:rsid w:val="000A02A7"/>
    <w:rsid w:val="000A0507"/>
    <w:rsid w:val="000A16B7"/>
    <w:rsid w:val="000A204C"/>
    <w:rsid w:val="000A2FF0"/>
    <w:rsid w:val="000A340B"/>
    <w:rsid w:val="000A3BCB"/>
    <w:rsid w:val="000B3A8A"/>
    <w:rsid w:val="000B4DC7"/>
    <w:rsid w:val="000B5604"/>
    <w:rsid w:val="000B5E03"/>
    <w:rsid w:val="000C3F39"/>
    <w:rsid w:val="000C5132"/>
    <w:rsid w:val="000D1DBA"/>
    <w:rsid w:val="000D1E37"/>
    <w:rsid w:val="000D2721"/>
    <w:rsid w:val="000D483F"/>
    <w:rsid w:val="000D681C"/>
    <w:rsid w:val="000E6E5F"/>
    <w:rsid w:val="000F0E29"/>
    <w:rsid w:val="000F67FF"/>
    <w:rsid w:val="001001FC"/>
    <w:rsid w:val="0010254D"/>
    <w:rsid w:val="0010313F"/>
    <w:rsid w:val="00103EE0"/>
    <w:rsid w:val="00104758"/>
    <w:rsid w:val="001133AC"/>
    <w:rsid w:val="0011401B"/>
    <w:rsid w:val="00115A5E"/>
    <w:rsid w:val="00116905"/>
    <w:rsid w:val="00116E17"/>
    <w:rsid w:val="00121BEC"/>
    <w:rsid w:val="00122E12"/>
    <w:rsid w:val="0012744D"/>
    <w:rsid w:val="00131241"/>
    <w:rsid w:val="00132F05"/>
    <w:rsid w:val="00136CE6"/>
    <w:rsid w:val="001417DC"/>
    <w:rsid w:val="00143859"/>
    <w:rsid w:val="001461C8"/>
    <w:rsid w:val="00147C6F"/>
    <w:rsid w:val="0015061A"/>
    <w:rsid w:val="00151DE2"/>
    <w:rsid w:val="00151E42"/>
    <w:rsid w:val="00155A60"/>
    <w:rsid w:val="0015671B"/>
    <w:rsid w:val="001567E6"/>
    <w:rsid w:val="0015734E"/>
    <w:rsid w:val="001574CD"/>
    <w:rsid w:val="00160990"/>
    <w:rsid w:val="001658F5"/>
    <w:rsid w:val="0017028E"/>
    <w:rsid w:val="00173CEE"/>
    <w:rsid w:val="00174708"/>
    <w:rsid w:val="00183316"/>
    <w:rsid w:val="00183532"/>
    <w:rsid w:val="00190B80"/>
    <w:rsid w:val="0019250D"/>
    <w:rsid w:val="001A469B"/>
    <w:rsid w:val="001A471C"/>
    <w:rsid w:val="001A575F"/>
    <w:rsid w:val="001A591E"/>
    <w:rsid w:val="001B2B28"/>
    <w:rsid w:val="001B454D"/>
    <w:rsid w:val="001B5350"/>
    <w:rsid w:val="001B6CB6"/>
    <w:rsid w:val="001B7065"/>
    <w:rsid w:val="001C1ECA"/>
    <w:rsid w:val="001C2AFD"/>
    <w:rsid w:val="001C31A8"/>
    <w:rsid w:val="001C6B8C"/>
    <w:rsid w:val="001C752B"/>
    <w:rsid w:val="001C7642"/>
    <w:rsid w:val="001D10DB"/>
    <w:rsid w:val="001D5BBE"/>
    <w:rsid w:val="001E0D89"/>
    <w:rsid w:val="001E3572"/>
    <w:rsid w:val="001E3D4D"/>
    <w:rsid w:val="001E3E92"/>
    <w:rsid w:val="001E60E4"/>
    <w:rsid w:val="001F361D"/>
    <w:rsid w:val="0020043C"/>
    <w:rsid w:val="002017D8"/>
    <w:rsid w:val="00202CAB"/>
    <w:rsid w:val="00206CF9"/>
    <w:rsid w:val="00210E53"/>
    <w:rsid w:val="00222B08"/>
    <w:rsid w:val="00224EED"/>
    <w:rsid w:val="00224FB5"/>
    <w:rsid w:val="002259A5"/>
    <w:rsid w:val="00230A30"/>
    <w:rsid w:val="0023167A"/>
    <w:rsid w:val="00231AD7"/>
    <w:rsid w:val="002331DA"/>
    <w:rsid w:val="0023693D"/>
    <w:rsid w:val="00245528"/>
    <w:rsid w:val="00252E6B"/>
    <w:rsid w:val="00254DA1"/>
    <w:rsid w:val="00255170"/>
    <w:rsid w:val="002571F2"/>
    <w:rsid w:val="00257AB0"/>
    <w:rsid w:val="00257CBB"/>
    <w:rsid w:val="002612EC"/>
    <w:rsid w:val="00262B82"/>
    <w:rsid w:val="00263CD9"/>
    <w:rsid w:val="00266867"/>
    <w:rsid w:val="00266D7F"/>
    <w:rsid w:val="00273058"/>
    <w:rsid w:val="00276FB3"/>
    <w:rsid w:val="00292C7B"/>
    <w:rsid w:val="00292D72"/>
    <w:rsid w:val="0029601C"/>
    <w:rsid w:val="002979AF"/>
    <w:rsid w:val="002A0F05"/>
    <w:rsid w:val="002A2CD6"/>
    <w:rsid w:val="002A48CE"/>
    <w:rsid w:val="002A73F9"/>
    <w:rsid w:val="002A7C42"/>
    <w:rsid w:val="002B2396"/>
    <w:rsid w:val="002B2701"/>
    <w:rsid w:val="002B527C"/>
    <w:rsid w:val="002C0EAD"/>
    <w:rsid w:val="002C3737"/>
    <w:rsid w:val="002C48E8"/>
    <w:rsid w:val="002D0C50"/>
    <w:rsid w:val="002D2221"/>
    <w:rsid w:val="002D2CFA"/>
    <w:rsid w:val="002D4241"/>
    <w:rsid w:val="002D6C7D"/>
    <w:rsid w:val="002D711E"/>
    <w:rsid w:val="002E1D2D"/>
    <w:rsid w:val="002E1F21"/>
    <w:rsid w:val="002E469A"/>
    <w:rsid w:val="002E5568"/>
    <w:rsid w:val="002E60C4"/>
    <w:rsid w:val="002E79B3"/>
    <w:rsid w:val="002F02D8"/>
    <w:rsid w:val="002F25CE"/>
    <w:rsid w:val="00302AA4"/>
    <w:rsid w:val="0030653E"/>
    <w:rsid w:val="003069D6"/>
    <w:rsid w:val="0031426F"/>
    <w:rsid w:val="0031748F"/>
    <w:rsid w:val="0032044B"/>
    <w:rsid w:val="00327BB7"/>
    <w:rsid w:val="0033678E"/>
    <w:rsid w:val="00336AC6"/>
    <w:rsid w:val="00341049"/>
    <w:rsid w:val="0034374E"/>
    <w:rsid w:val="00344350"/>
    <w:rsid w:val="003545C9"/>
    <w:rsid w:val="00354D16"/>
    <w:rsid w:val="00355837"/>
    <w:rsid w:val="00356961"/>
    <w:rsid w:val="00357AC6"/>
    <w:rsid w:val="003608D1"/>
    <w:rsid w:val="003608DD"/>
    <w:rsid w:val="00360C23"/>
    <w:rsid w:val="00364910"/>
    <w:rsid w:val="003675B7"/>
    <w:rsid w:val="00370A36"/>
    <w:rsid w:val="00377E16"/>
    <w:rsid w:val="003808F3"/>
    <w:rsid w:val="00381899"/>
    <w:rsid w:val="00383E90"/>
    <w:rsid w:val="00384A41"/>
    <w:rsid w:val="0039170F"/>
    <w:rsid w:val="0039324F"/>
    <w:rsid w:val="00395DD1"/>
    <w:rsid w:val="0039693A"/>
    <w:rsid w:val="00397A93"/>
    <w:rsid w:val="003A3EAD"/>
    <w:rsid w:val="003A41C5"/>
    <w:rsid w:val="003A603F"/>
    <w:rsid w:val="003A7D4B"/>
    <w:rsid w:val="003C4040"/>
    <w:rsid w:val="003C7847"/>
    <w:rsid w:val="003C7FDA"/>
    <w:rsid w:val="003D7947"/>
    <w:rsid w:val="003D7B61"/>
    <w:rsid w:val="003E0CE0"/>
    <w:rsid w:val="003E2636"/>
    <w:rsid w:val="003E34BD"/>
    <w:rsid w:val="003E4CAF"/>
    <w:rsid w:val="003E7437"/>
    <w:rsid w:val="003E7C9A"/>
    <w:rsid w:val="003F06B5"/>
    <w:rsid w:val="003F0F94"/>
    <w:rsid w:val="003F3F4C"/>
    <w:rsid w:val="003F6C39"/>
    <w:rsid w:val="00403E47"/>
    <w:rsid w:val="004062CA"/>
    <w:rsid w:val="00406DE0"/>
    <w:rsid w:val="00422138"/>
    <w:rsid w:val="00424F70"/>
    <w:rsid w:val="00427366"/>
    <w:rsid w:val="0042768D"/>
    <w:rsid w:val="00430893"/>
    <w:rsid w:val="00433463"/>
    <w:rsid w:val="00435C13"/>
    <w:rsid w:val="0044171D"/>
    <w:rsid w:val="0044259F"/>
    <w:rsid w:val="00444646"/>
    <w:rsid w:val="004451B6"/>
    <w:rsid w:val="004462A0"/>
    <w:rsid w:val="004508CD"/>
    <w:rsid w:val="00450C26"/>
    <w:rsid w:val="00451DCC"/>
    <w:rsid w:val="00452D19"/>
    <w:rsid w:val="004620C5"/>
    <w:rsid w:val="0046292B"/>
    <w:rsid w:val="00462D27"/>
    <w:rsid w:val="004658DE"/>
    <w:rsid w:val="00465E05"/>
    <w:rsid w:val="00471B4E"/>
    <w:rsid w:val="00473E5F"/>
    <w:rsid w:val="004758E3"/>
    <w:rsid w:val="00476DDB"/>
    <w:rsid w:val="004779A4"/>
    <w:rsid w:val="0048192E"/>
    <w:rsid w:val="00481BFF"/>
    <w:rsid w:val="00485CBE"/>
    <w:rsid w:val="00494B02"/>
    <w:rsid w:val="00495364"/>
    <w:rsid w:val="004964F0"/>
    <w:rsid w:val="004978A5"/>
    <w:rsid w:val="004A05CA"/>
    <w:rsid w:val="004A15BE"/>
    <w:rsid w:val="004B0444"/>
    <w:rsid w:val="004B0E1E"/>
    <w:rsid w:val="004B2F9F"/>
    <w:rsid w:val="004B39CA"/>
    <w:rsid w:val="004B4065"/>
    <w:rsid w:val="004B5239"/>
    <w:rsid w:val="004B7C91"/>
    <w:rsid w:val="004C17F8"/>
    <w:rsid w:val="004C2AB5"/>
    <w:rsid w:val="004C667A"/>
    <w:rsid w:val="004D0E17"/>
    <w:rsid w:val="004F23CE"/>
    <w:rsid w:val="004F435F"/>
    <w:rsid w:val="00500AF1"/>
    <w:rsid w:val="00501880"/>
    <w:rsid w:val="00503497"/>
    <w:rsid w:val="00503682"/>
    <w:rsid w:val="00510E58"/>
    <w:rsid w:val="005135E9"/>
    <w:rsid w:val="005144FE"/>
    <w:rsid w:val="00514DEA"/>
    <w:rsid w:val="00520A27"/>
    <w:rsid w:val="005246C5"/>
    <w:rsid w:val="005317E5"/>
    <w:rsid w:val="00532DA3"/>
    <w:rsid w:val="00533A28"/>
    <w:rsid w:val="0053487E"/>
    <w:rsid w:val="00536177"/>
    <w:rsid w:val="00537624"/>
    <w:rsid w:val="00540B6D"/>
    <w:rsid w:val="005412D9"/>
    <w:rsid w:val="005425A6"/>
    <w:rsid w:val="00542722"/>
    <w:rsid w:val="00542EA6"/>
    <w:rsid w:val="00544CD3"/>
    <w:rsid w:val="00550A77"/>
    <w:rsid w:val="00552E31"/>
    <w:rsid w:val="0055350F"/>
    <w:rsid w:val="0056253A"/>
    <w:rsid w:val="00563EB4"/>
    <w:rsid w:val="0056509A"/>
    <w:rsid w:val="005736B2"/>
    <w:rsid w:val="0057493A"/>
    <w:rsid w:val="005807E7"/>
    <w:rsid w:val="00580B46"/>
    <w:rsid w:val="00582986"/>
    <w:rsid w:val="00585337"/>
    <w:rsid w:val="005908A1"/>
    <w:rsid w:val="005933E4"/>
    <w:rsid w:val="00593EC2"/>
    <w:rsid w:val="00595938"/>
    <w:rsid w:val="005969ED"/>
    <w:rsid w:val="005A13AE"/>
    <w:rsid w:val="005A3B1B"/>
    <w:rsid w:val="005A70B1"/>
    <w:rsid w:val="005B085B"/>
    <w:rsid w:val="005B3BE7"/>
    <w:rsid w:val="005B50EB"/>
    <w:rsid w:val="005B628A"/>
    <w:rsid w:val="005C181A"/>
    <w:rsid w:val="005C389E"/>
    <w:rsid w:val="005C7E9F"/>
    <w:rsid w:val="005D436E"/>
    <w:rsid w:val="005D7280"/>
    <w:rsid w:val="005D7DA0"/>
    <w:rsid w:val="005E10D4"/>
    <w:rsid w:val="005E1827"/>
    <w:rsid w:val="005E1A24"/>
    <w:rsid w:val="005E440C"/>
    <w:rsid w:val="005E458C"/>
    <w:rsid w:val="005E5CAD"/>
    <w:rsid w:val="005E5D5C"/>
    <w:rsid w:val="005E6CDB"/>
    <w:rsid w:val="005E7DF2"/>
    <w:rsid w:val="005F22F1"/>
    <w:rsid w:val="005F2EFC"/>
    <w:rsid w:val="005F3B5B"/>
    <w:rsid w:val="005F3D6C"/>
    <w:rsid w:val="005F57FC"/>
    <w:rsid w:val="00604054"/>
    <w:rsid w:val="00604AAD"/>
    <w:rsid w:val="00607531"/>
    <w:rsid w:val="00610118"/>
    <w:rsid w:val="0061328D"/>
    <w:rsid w:val="0062208B"/>
    <w:rsid w:val="00622743"/>
    <w:rsid w:val="00625907"/>
    <w:rsid w:val="00627013"/>
    <w:rsid w:val="006306A5"/>
    <w:rsid w:val="006312D8"/>
    <w:rsid w:val="00636571"/>
    <w:rsid w:val="006425AA"/>
    <w:rsid w:val="00642973"/>
    <w:rsid w:val="00650569"/>
    <w:rsid w:val="006519CA"/>
    <w:rsid w:val="00652D7B"/>
    <w:rsid w:val="00654382"/>
    <w:rsid w:val="0065454E"/>
    <w:rsid w:val="00655E2F"/>
    <w:rsid w:val="006568A3"/>
    <w:rsid w:val="00661FC4"/>
    <w:rsid w:val="00662E1F"/>
    <w:rsid w:val="00662F6F"/>
    <w:rsid w:val="00663EE5"/>
    <w:rsid w:val="00664E66"/>
    <w:rsid w:val="006654CF"/>
    <w:rsid w:val="00666C79"/>
    <w:rsid w:val="00670285"/>
    <w:rsid w:val="00672CC2"/>
    <w:rsid w:val="00672E14"/>
    <w:rsid w:val="00673ADF"/>
    <w:rsid w:val="0067420C"/>
    <w:rsid w:val="006756AB"/>
    <w:rsid w:val="00675FF6"/>
    <w:rsid w:val="0067619D"/>
    <w:rsid w:val="006776B8"/>
    <w:rsid w:val="00677D43"/>
    <w:rsid w:val="00681DBB"/>
    <w:rsid w:val="0068363C"/>
    <w:rsid w:val="00684DAE"/>
    <w:rsid w:val="00690478"/>
    <w:rsid w:val="00690609"/>
    <w:rsid w:val="00691BF2"/>
    <w:rsid w:val="00695F46"/>
    <w:rsid w:val="00696329"/>
    <w:rsid w:val="00696DAB"/>
    <w:rsid w:val="0069796D"/>
    <w:rsid w:val="006A0BFB"/>
    <w:rsid w:val="006A377C"/>
    <w:rsid w:val="006A4DDA"/>
    <w:rsid w:val="006A5A10"/>
    <w:rsid w:val="006B3C52"/>
    <w:rsid w:val="006B5006"/>
    <w:rsid w:val="006B6CF1"/>
    <w:rsid w:val="006C0995"/>
    <w:rsid w:val="006C13BB"/>
    <w:rsid w:val="006C1680"/>
    <w:rsid w:val="006C5796"/>
    <w:rsid w:val="006C7C69"/>
    <w:rsid w:val="006D071C"/>
    <w:rsid w:val="006D082B"/>
    <w:rsid w:val="006D5F2C"/>
    <w:rsid w:val="006D6092"/>
    <w:rsid w:val="006E439E"/>
    <w:rsid w:val="006E4C27"/>
    <w:rsid w:val="006E57E7"/>
    <w:rsid w:val="006E74B9"/>
    <w:rsid w:val="006F19D2"/>
    <w:rsid w:val="006F55D6"/>
    <w:rsid w:val="00702E6B"/>
    <w:rsid w:val="0070408A"/>
    <w:rsid w:val="00706EE3"/>
    <w:rsid w:val="00707A23"/>
    <w:rsid w:val="00707A6C"/>
    <w:rsid w:val="0071010C"/>
    <w:rsid w:val="007120C4"/>
    <w:rsid w:val="00712672"/>
    <w:rsid w:val="0071416C"/>
    <w:rsid w:val="00720542"/>
    <w:rsid w:val="007214F8"/>
    <w:rsid w:val="00734A22"/>
    <w:rsid w:val="00735B1C"/>
    <w:rsid w:val="007404E8"/>
    <w:rsid w:val="00741386"/>
    <w:rsid w:val="00742BDF"/>
    <w:rsid w:val="00750AA4"/>
    <w:rsid w:val="00751C9F"/>
    <w:rsid w:val="00753484"/>
    <w:rsid w:val="00753565"/>
    <w:rsid w:val="007547FB"/>
    <w:rsid w:val="00763DC0"/>
    <w:rsid w:val="00764CA3"/>
    <w:rsid w:val="0076734A"/>
    <w:rsid w:val="00771AD2"/>
    <w:rsid w:val="00775D5A"/>
    <w:rsid w:val="00780021"/>
    <w:rsid w:val="00786503"/>
    <w:rsid w:val="00787147"/>
    <w:rsid w:val="00791282"/>
    <w:rsid w:val="00791FF2"/>
    <w:rsid w:val="007920CD"/>
    <w:rsid w:val="007931A1"/>
    <w:rsid w:val="007A0C99"/>
    <w:rsid w:val="007A0FDF"/>
    <w:rsid w:val="007A163C"/>
    <w:rsid w:val="007A1D75"/>
    <w:rsid w:val="007A55F5"/>
    <w:rsid w:val="007A5C84"/>
    <w:rsid w:val="007B0845"/>
    <w:rsid w:val="007B2E04"/>
    <w:rsid w:val="007B50A8"/>
    <w:rsid w:val="007C1671"/>
    <w:rsid w:val="007C42EB"/>
    <w:rsid w:val="007C55A2"/>
    <w:rsid w:val="007D06B5"/>
    <w:rsid w:val="007D2613"/>
    <w:rsid w:val="007D42F7"/>
    <w:rsid w:val="007D4AC9"/>
    <w:rsid w:val="007D57EA"/>
    <w:rsid w:val="007D7014"/>
    <w:rsid w:val="007D74CE"/>
    <w:rsid w:val="007D7739"/>
    <w:rsid w:val="007D7C8A"/>
    <w:rsid w:val="007E15A2"/>
    <w:rsid w:val="007E455E"/>
    <w:rsid w:val="007E472D"/>
    <w:rsid w:val="007E7B71"/>
    <w:rsid w:val="007F48CE"/>
    <w:rsid w:val="007F5634"/>
    <w:rsid w:val="007F6A36"/>
    <w:rsid w:val="007F7F9E"/>
    <w:rsid w:val="008006BD"/>
    <w:rsid w:val="00800A6F"/>
    <w:rsid w:val="00800DBA"/>
    <w:rsid w:val="00801996"/>
    <w:rsid w:val="008033EE"/>
    <w:rsid w:val="008035A0"/>
    <w:rsid w:val="00805710"/>
    <w:rsid w:val="008062F1"/>
    <w:rsid w:val="00807637"/>
    <w:rsid w:val="00811900"/>
    <w:rsid w:val="00812F75"/>
    <w:rsid w:val="008157FC"/>
    <w:rsid w:val="008163D9"/>
    <w:rsid w:val="00816A3A"/>
    <w:rsid w:val="00817DF7"/>
    <w:rsid w:val="00820909"/>
    <w:rsid w:val="00820974"/>
    <w:rsid w:val="008225CF"/>
    <w:rsid w:val="0082476E"/>
    <w:rsid w:val="00825794"/>
    <w:rsid w:val="00830EDF"/>
    <w:rsid w:val="00835D45"/>
    <w:rsid w:val="00837180"/>
    <w:rsid w:val="00841E00"/>
    <w:rsid w:val="0084261D"/>
    <w:rsid w:val="008474CD"/>
    <w:rsid w:val="00853C9C"/>
    <w:rsid w:val="00855D10"/>
    <w:rsid w:val="008600A9"/>
    <w:rsid w:val="00862B99"/>
    <w:rsid w:val="0086465C"/>
    <w:rsid w:val="00864F46"/>
    <w:rsid w:val="00870C62"/>
    <w:rsid w:val="0087313D"/>
    <w:rsid w:val="00874143"/>
    <w:rsid w:val="00875441"/>
    <w:rsid w:val="00876537"/>
    <w:rsid w:val="00880CB5"/>
    <w:rsid w:val="00881929"/>
    <w:rsid w:val="008820DD"/>
    <w:rsid w:val="0088283E"/>
    <w:rsid w:val="008832C7"/>
    <w:rsid w:val="00884267"/>
    <w:rsid w:val="00884469"/>
    <w:rsid w:val="008942B7"/>
    <w:rsid w:val="0089748B"/>
    <w:rsid w:val="00897534"/>
    <w:rsid w:val="008A11F4"/>
    <w:rsid w:val="008A6D4B"/>
    <w:rsid w:val="008B598E"/>
    <w:rsid w:val="008B7CF0"/>
    <w:rsid w:val="008B7FF6"/>
    <w:rsid w:val="008C4E4C"/>
    <w:rsid w:val="008D0683"/>
    <w:rsid w:val="008D0DD1"/>
    <w:rsid w:val="008D35B6"/>
    <w:rsid w:val="008E53E4"/>
    <w:rsid w:val="008E63F6"/>
    <w:rsid w:val="008E7434"/>
    <w:rsid w:val="008F490C"/>
    <w:rsid w:val="008F626E"/>
    <w:rsid w:val="008F6460"/>
    <w:rsid w:val="008F6D87"/>
    <w:rsid w:val="008F7E74"/>
    <w:rsid w:val="0090047B"/>
    <w:rsid w:val="009035A8"/>
    <w:rsid w:val="00903B17"/>
    <w:rsid w:val="00904391"/>
    <w:rsid w:val="00904844"/>
    <w:rsid w:val="009118D0"/>
    <w:rsid w:val="00911AAA"/>
    <w:rsid w:val="009153FB"/>
    <w:rsid w:val="00922520"/>
    <w:rsid w:val="00922F19"/>
    <w:rsid w:val="0092312D"/>
    <w:rsid w:val="00926535"/>
    <w:rsid w:val="00935DFF"/>
    <w:rsid w:val="00940345"/>
    <w:rsid w:val="0094059D"/>
    <w:rsid w:val="00941ACB"/>
    <w:rsid w:val="0094264C"/>
    <w:rsid w:val="0094357F"/>
    <w:rsid w:val="00943751"/>
    <w:rsid w:val="009461ED"/>
    <w:rsid w:val="00947F44"/>
    <w:rsid w:val="00953917"/>
    <w:rsid w:val="00954C97"/>
    <w:rsid w:val="00955E25"/>
    <w:rsid w:val="00956A87"/>
    <w:rsid w:val="00960F32"/>
    <w:rsid w:val="00960F89"/>
    <w:rsid w:val="009616D0"/>
    <w:rsid w:val="009655AE"/>
    <w:rsid w:val="00965E6F"/>
    <w:rsid w:val="00966B31"/>
    <w:rsid w:val="009757D2"/>
    <w:rsid w:val="00983910"/>
    <w:rsid w:val="009871D9"/>
    <w:rsid w:val="00990246"/>
    <w:rsid w:val="0099442D"/>
    <w:rsid w:val="00995800"/>
    <w:rsid w:val="00995B8C"/>
    <w:rsid w:val="00997165"/>
    <w:rsid w:val="009A0530"/>
    <w:rsid w:val="009A0F52"/>
    <w:rsid w:val="009A1561"/>
    <w:rsid w:val="009A1DE7"/>
    <w:rsid w:val="009A2059"/>
    <w:rsid w:val="009A3D55"/>
    <w:rsid w:val="009A64EF"/>
    <w:rsid w:val="009A686B"/>
    <w:rsid w:val="009B223E"/>
    <w:rsid w:val="009B2E10"/>
    <w:rsid w:val="009B72CC"/>
    <w:rsid w:val="009B7721"/>
    <w:rsid w:val="009C15A8"/>
    <w:rsid w:val="009C2019"/>
    <w:rsid w:val="009C4EF2"/>
    <w:rsid w:val="009D4AEC"/>
    <w:rsid w:val="009D4BCB"/>
    <w:rsid w:val="009D796A"/>
    <w:rsid w:val="009E4017"/>
    <w:rsid w:val="009E48E1"/>
    <w:rsid w:val="009E5EF0"/>
    <w:rsid w:val="009F145B"/>
    <w:rsid w:val="009F40F3"/>
    <w:rsid w:val="009F5E7D"/>
    <w:rsid w:val="009F7691"/>
    <w:rsid w:val="00A02D6C"/>
    <w:rsid w:val="00A059EF"/>
    <w:rsid w:val="00A10EBB"/>
    <w:rsid w:val="00A11C64"/>
    <w:rsid w:val="00A1289C"/>
    <w:rsid w:val="00A138EC"/>
    <w:rsid w:val="00A14993"/>
    <w:rsid w:val="00A14AD8"/>
    <w:rsid w:val="00A15FB8"/>
    <w:rsid w:val="00A21215"/>
    <w:rsid w:val="00A22603"/>
    <w:rsid w:val="00A25B80"/>
    <w:rsid w:val="00A265D5"/>
    <w:rsid w:val="00A31731"/>
    <w:rsid w:val="00A318A6"/>
    <w:rsid w:val="00A3318D"/>
    <w:rsid w:val="00A33569"/>
    <w:rsid w:val="00A34FED"/>
    <w:rsid w:val="00A37BD8"/>
    <w:rsid w:val="00A40807"/>
    <w:rsid w:val="00A411CD"/>
    <w:rsid w:val="00A514DA"/>
    <w:rsid w:val="00A54636"/>
    <w:rsid w:val="00A56967"/>
    <w:rsid w:val="00A570FC"/>
    <w:rsid w:val="00A578C4"/>
    <w:rsid w:val="00A6156E"/>
    <w:rsid w:val="00A636FD"/>
    <w:rsid w:val="00A65CCA"/>
    <w:rsid w:val="00A67686"/>
    <w:rsid w:val="00A70477"/>
    <w:rsid w:val="00A71A4B"/>
    <w:rsid w:val="00A7292E"/>
    <w:rsid w:val="00A75BFB"/>
    <w:rsid w:val="00A827DC"/>
    <w:rsid w:val="00A84CBE"/>
    <w:rsid w:val="00A87637"/>
    <w:rsid w:val="00A9302B"/>
    <w:rsid w:val="00A94139"/>
    <w:rsid w:val="00A94447"/>
    <w:rsid w:val="00A95D00"/>
    <w:rsid w:val="00A95EDD"/>
    <w:rsid w:val="00A97E71"/>
    <w:rsid w:val="00AA0172"/>
    <w:rsid w:val="00AA3069"/>
    <w:rsid w:val="00AA484F"/>
    <w:rsid w:val="00AA4D7E"/>
    <w:rsid w:val="00AA7829"/>
    <w:rsid w:val="00AB02A4"/>
    <w:rsid w:val="00AB185A"/>
    <w:rsid w:val="00AB24B1"/>
    <w:rsid w:val="00AB274F"/>
    <w:rsid w:val="00AB3F98"/>
    <w:rsid w:val="00AB6E0B"/>
    <w:rsid w:val="00AC15F2"/>
    <w:rsid w:val="00AC1D8D"/>
    <w:rsid w:val="00AC6111"/>
    <w:rsid w:val="00AC716F"/>
    <w:rsid w:val="00AD1074"/>
    <w:rsid w:val="00AD1862"/>
    <w:rsid w:val="00AD233E"/>
    <w:rsid w:val="00AD2616"/>
    <w:rsid w:val="00AD7738"/>
    <w:rsid w:val="00AE48C8"/>
    <w:rsid w:val="00AE6E5C"/>
    <w:rsid w:val="00AE6E60"/>
    <w:rsid w:val="00AE7999"/>
    <w:rsid w:val="00AF4010"/>
    <w:rsid w:val="00AF483B"/>
    <w:rsid w:val="00AF78A0"/>
    <w:rsid w:val="00B0378A"/>
    <w:rsid w:val="00B03BEE"/>
    <w:rsid w:val="00B0440A"/>
    <w:rsid w:val="00B05DD6"/>
    <w:rsid w:val="00B07812"/>
    <w:rsid w:val="00B07E7E"/>
    <w:rsid w:val="00B10638"/>
    <w:rsid w:val="00B12149"/>
    <w:rsid w:val="00B12958"/>
    <w:rsid w:val="00B20D5D"/>
    <w:rsid w:val="00B219AB"/>
    <w:rsid w:val="00B22A15"/>
    <w:rsid w:val="00B2645B"/>
    <w:rsid w:val="00B30E25"/>
    <w:rsid w:val="00B326A7"/>
    <w:rsid w:val="00B3550D"/>
    <w:rsid w:val="00B4027A"/>
    <w:rsid w:val="00B42982"/>
    <w:rsid w:val="00B43C49"/>
    <w:rsid w:val="00B4555D"/>
    <w:rsid w:val="00B4584A"/>
    <w:rsid w:val="00B4757C"/>
    <w:rsid w:val="00B50320"/>
    <w:rsid w:val="00B52BA7"/>
    <w:rsid w:val="00B574E9"/>
    <w:rsid w:val="00B62050"/>
    <w:rsid w:val="00B70480"/>
    <w:rsid w:val="00B7434F"/>
    <w:rsid w:val="00B75237"/>
    <w:rsid w:val="00B8534D"/>
    <w:rsid w:val="00B874C8"/>
    <w:rsid w:val="00B9373D"/>
    <w:rsid w:val="00B97099"/>
    <w:rsid w:val="00BA30AA"/>
    <w:rsid w:val="00BB061F"/>
    <w:rsid w:val="00BB11F9"/>
    <w:rsid w:val="00BB1E5D"/>
    <w:rsid w:val="00BB2D54"/>
    <w:rsid w:val="00BB3F1B"/>
    <w:rsid w:val="00BB450C"/>
    <w:rsid w:val="00BB501E"/>
    <w:rsid w:val="00BB671C"/>
    <w:rsid w:val="00BC1A87"/>
    <w:rsid w:val="00BC1B77"/>
    <w:rsid w:val="00BC2AB5"/>
    <w:rsid w:val="00BD28CC"/>
    <w:rsid w:val="00BD3BC8"/>
    <w:rsid w:val="00BD6E38"/>
    <w:rsid w:val="00BE0189"/>
    <w:rsid w:val="00BE1379"/>
    <w:rsid w:val="00BE16F4"/>
    <w:rsid w:val="00BE1CDC"/>
    <w:rsid w:val="00BE217D"/>
    <w:rsid w:val="00BE3132"/>
    <w:rsid w:val="00BE476C"/>
    <w:rsid w:val="00BE6DED"/>
    <w:rsid w:val="00BF6450"/>
    <w:rsid w:val="00BF7BB9"/>
    <w:rsid w:val="00C010A4"/>
    <w:rsid w:val="00C0336A"/>
    <w:rsid w:val="00C03DE1"/>
    <w:rsid w:val="00C04902"/>
    <w:rsid w:val="00C049F5"/>
    <w:rsid w:val="00C100F5"/>
    <w:rsid w:val="00C10BED"/>
    <w:rsid w:val="00C14C10"/>
    <w:rsid w:val="00C150D7"/>
    <w:rsid w:val="00C16594"/>
    <w:rsid w:val="00C173DE"/>
    <w:rsid w:val="00C17D7A"/>
    <w:rsid w:val="00C234FD"/>
    <w:rsid w:val="00C26465"/>
    <w:rsid w:val="00C329E8"/>
    <w:rsid w:val="00C34878"/>
    <w:rsid w:val="00C42CC5"/>
    <w:rsid w:val="00C458D4"/>
    <w:rsid w:val="00C501ED"/>
    <w:rsid w:val="00C51664"/>
    <w:rsid w:val="00C52DBE"/>
    <w:rsid w:val="00C551EE"/>
    <w:rsid w:val="00C5570C"/>
    <w:rsid w:val="00C55CA6"/>
    <w:rsid w:val="00C66FA8"/>
    <w:rsid w:val="00C67365"/>
    <w:rsid w:val="00C712EF"/>
    <w:rsid w:val="00C737FF"/>
    <w:rsid w:val="00C7404E"/>
    <w:rsid w:val="00C76FA3"/>
    <w:rsid w:val="00C7754A"/>
    <w:rsid w:val="00C7768F"/>
    <w:rsid w:val="00C80F99"/>
    <w:rsid w:val="00C826BD"/>
    <w:rsid w:val="00C8291B"/>
    <w:rsid w:val="00C83102"/>
    <w:rsid w:val="00C8414E"/>
    <w:rsid w:val="00C95EF0"/>
    <w:rsid w:val="00C96669"/>
    <w:rsid w:val="00CA1750"/>
    <w:rsid w:val="00CA5113"/>
    <w:rsid w:val="00CB0455"/>
    <w:rsid w:val="00CB0635"/>
    <w:rsid w:val="00CB1F6E"/>
    <w:rsid w:val="00CB3CE7"/>
    <w:rsid w:val="00CC0D9F"/>
    <w:rsid w:val="00CC2457"/>
    <w:rsid w:val="00CC4B52"/>
    <w:rsid w:val="00CC65C1"/>
    <w:rsid w:val="00CD1E1B"/>
    <w:rsid w:val="00CD28BB"/>
    <w:rsid w:val="00CE0ADC"/>
    <w:rsid w:val="00CE1AB4"/>
    <w:rsid w:val="00CE7E4B"/>
    <w:rsid w:val="00CF20B7"/>
    <w:rsid w:val="00D01B76"/>
    <w:rsid w:val="00D03BD5"/>
    <w:rsid w:val="00D05F92"/>
    <w:rsid w:val="00D0708A"/>
    <w:rsid w:val="00D07234"/>
    <w:rsid w:val="00D10111"/>
    <w:rsid w:val="00D13749"/>
    <w:rsid w:val="00D14044"/>
    <w:rsid w:val="00D16F98"/>
    <w:rsid w:val="00D21A66"/>
    <w:rsid w:val="00D2344B"/>
    <w:rsid w:val="00D268C8"/>
    <w:rsid w:val="00D27F3D"/>
    <w:rsid w:val="00D326FE"/>
    <w:rsid w:val="00D418B0"/>
    <w:rsid w:val="00D45014"/>
    <w:rsid w:val="00D460E7"/>
    <w:rsid w:val="00D508E3"/>
    <w:rsid w:val="00D5118C"/>
    <w:rsid w:val="00D529FC"/>
    <w:rsid w:val="00D56B10"/>
    <w:rsid w:val="00D5744F"/>
    <w:rsid w:val="00D634A9"/>
    <w:rsid w:val="00D6373A"/>
    <w:rsid w:val="00D6387C"/>
    <w:rsid w:val="00D63949"/>
    <w:rsid w:val="00D64224"/>
    <w:rsid w:val="00D64AED"/>
    <w:rsid w:val="00D654ED"/>
    <w:rsid w:val="00D65DC0"/>
    <w:rsid w:val="00D65E10"/>
    <w:rsid w:val="00D66907"/>
    <w:rsid w:val="00D71853"/>
    <w:rsid w:val="00D7316B"/>
    <w:rsid w:val="00D76EF9"/>
    <w:rsid w:val="00D8465F"/>
    <w:rsid w:val="00D85F21"/>
    <w:rsid w:val="00D90468"/>
    <w:rsid w:val="00D90626"/>
    <w:rsid w:val="00D90F24"/>
    <w:rsid w:val="00D93926"/>
    <w:rsid w:val="00D93BD2"/>
    <w:rsid w:val="00DA1055"/>
    <w:rsid w:val="00DA193C"/>
    <w:rsid w:val="00DA3E3F"/>
    <w:rsid w:val="00DA4CF9"/>
    <w:rsid w:val="00DA5BD2"/>
    <w:rsid w:val="00DA605D"/>
    <w:rsid w:val="00DA6DED"/>
    <w:rsid w:val="00DB016D"/>
    <w:rsid w:val="00DB2A2D"/>
    <w:rsid w:val="00DB4E20"/>
    <w:rsid w:val="00DB5872"/>
    <w:rsid w:val="00DB67C0"/>
    <w:rsid w:val="00DC391B"/>
    <w:rsid w:val="00DC3EE8"/>
    <w:rsid w:val="00DC566D"/>
    <w:rsid w:val="00DC5BA7"/>
    <w:rsid w:val="00DD381D"/>
    <w:rsid w:val="00DD3B20"/>
    <w:rsid w:val="00DE4F7E"/>
    <w:rsid w:val="00DE5568"/>
    <w:rsid w:val="00DE59D8"/>
    <w:rsid w:val="00DF0671"/>
    <w:rsid w:val="00DF104C"/>
    <w:rsid w:val="00DF22B1"/>
    <w:rsid w:val="00DF543E"/>
    <w:rsid w:val="00DF655A"/>
    <w:rsid w:val="00E016B7"/>
    <w:rsid w:val="00E020FD"/>
    <w:rsid w:val="00E0368A"/>
    <w:rsid w:val="00E05EC5"/>
    <w:rsid w:val="00E127AB"/>
    <w:rsid w:val="00E17914"/>
    <w:rsid w:val="00E20123"/>
    <w:rsid w:val="00E234E7"/>
    <w:rsid w:val="00E30783"/>
    <w:rsid w:val="00E31428"/>
    <w:rsid w:val="00E33A00"/>
    <w:rsid w:val="00E36A78"/>
    <w:rsid w:val="00E40120"/>
    <w:rsid w:val="00E43A1E"/>
    <w:rsid w:val="00E50659"/>
    <w:rsid w:val="00E50C80"/>
    <w:rsid w:val="00E50F55"/>
    <w:rsid w:val="00E5119D"/>
    <w:rsid w:val="00E55237"/>
    <w:rsid w:val="00E62A90"/>
    <w:rsid w:val="00E639B2"/>
    <w:rsid w:val="00E66980"/>
    <w:rsid w:val="00E66D58"/>
    <w:rsid w:val="00E70925"/>
    <w:rsid w:val="00E75F1B"/>
    <w:rsid w:val="00E83DD8"/>
    <w:rsid w:val="00E8662F"/>
    <w:rsid w:val="00E86B9E"/>
    <w:rsid w:val="00E924CB"/>
    <w:rsid w:val="00E92901"/>
    <w:rsid w:val="00E93D35"/>
    <w:rsid w:val="00E95BAD"/>
    <w:rsid w:val="00EA4510"/>
    <w:rsid w:val="00EB0FD8"/>
    <w:rsid w:val="00EB26B5"/>
    <w:rsid w:val="00EB5DF3"/>
    <w:rsid w:val="00EB665E"/>
    <w:rsid w:val="00EC2507"/>
    <w:rsid w:val="00EC4242"/>
    <w:rsid w:val="00EC6AA4"/>
    <w:rsid w:val="00EC713F"/>
    <w:rsid w:val="00ED116A"/>
    <w:rsid w:val="00ED1593"/>
    <w:rsid w:val="00ED163E"/>
    <w:rsid w:val="00ED3101"/>
    <w:rsid w:val="00ED3B45"/>
    <w:rsid w:val="00ED58CD"/>
    <w:rsid w:val="00ED65EE"/>
    <w:rsid w:val="00ED6E0C"/>
    <w:rsid w:val="00EE0CEC"/>
    <w:rsid w:val="00EE3861"/>
    <w:rsid w:val="00EE487E"/>
    <w:rsid w:val="00EF14FB"/>
    <w:rsid w:val="00EF1DD6"/>
    <w:rsid w:val="00EF40C5"/>
    <w:rsid w:val="00EF43FF"/>
    <w:rsid w:val="00EF68D2"/>
    <w:rsid w:val="00F02EFB"/>
    <w:rsid w:val="00F04BE0"/>
    <w:rsid w:val="00F05716"/>
    <w:rsid w:val="00F10571"/>
    <w:rsid w:val="00F138CA"/>
    <w:rsid w:val="00F1723D"/>
    <w:rsid w:val="00F23E1E"/>
    <w:rsid w:val="00F24401"/>
    <w:rsid w:val="00F249C4"/>
    <w:rsid w:val="00F25744"/>
    <w:rsid w:val="00F27D1D"/>
    <w:rsid w:val="00F3172A"/>
    <w:rsid w:val="00F325EB"/>
    <w:rsid w:val="00F349CA"/>
    <w:rsid w:val="00F42039"/>
    <w:rsid w:val="00F44BC8"/>
    <w:rsid w:val="00F45A81"/>
    <w:rsid w:val="00F4707F"/>
    <w:rsid w:val="00F47297"/>
    <w:rsid w:val="00F51DCE"/>
    <w:rsid w:val="00F574A2"/>
    <w:rsid w:val="00F60547"/>
    <w:rsid w:val="00F619D9"/>
    <w:rsid w:val="00F61C38"/>
    <w:rsid w:val="00F6449C"/>
    <w:rsid w:val="00F652EF"/>
    <w:rsid w:val="00F6573E"/>
    <w:rsid w:val="00F7067F"/>
    <w:rsid w:val="00F73E2D"/>
    <w:rsid w:val="00F80B0E"/>
    <w:rsid w:val="00F82465"/>
    <w:rsid w:val="00F84AC9"/>
    <w:rsid w:val="00F868CF"/>
    <w:rsid w:val="00F86910"/>
    <w:rsid w:val="00F90264"/>
    <w:rsid w:val="00F9246E"/>
    <w:rsid w:val="00F95CD7"/>
    <w:rsid w:val="00FA0E04"/>
    <w:rsid w:val="00FA1C44"/>
    <w:rsid w:val="00FA2CCB"/>
    <w:rsid w:val="00FA5053"/>
    <w:rsid w:val="00FB2F02"/>
    <w:rsid w:val="00FB43A6"/>
    <w:rsid w:val="00FB4D18"/>
    <w:rsid w:val="00FB554C"/>
    <w:rsid w:val="00FC66C9"/>
    <w:rsid w:val="00FC7826"/>
    <w:rsid w:val="00FC7DDB"/>
    <w:rsid w:val="00FD5F48"/>
    <w:rsid w:val="00FD679F"/>
    <w:rsid w:val="00FD698B"/>
    <w:rsid w:val="00FD69E6"/>
    <w:rsid w:val="00FD7682"/>
    <w:rsid w:val="00FD7A8D"/>
    <w:rsid w:val="00FE0851"/>
    <w:rsid w:val="00FE0ACE"/>
    <w:rsid w:val="00FE33BD"/>
    <w:rsid w:val="00FF0B24"/>
    <w:rsid w:val="00FF425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B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kveAltlk">
    <w:name w:val="Başlık ve Altlık"/>
    <w:uiPriority w:val="99"/>
    <w:rsid w:val="00C52DB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tr-TR"/>
    </w:rPr>
  </w:style>
  <w:style w:type="paragraph" w:customStyle="1" w:styleId="Gvde">
    <w:name w:val="Gövde"/>
    <w:uiPriority w:val="99"/>
    <w:rsid w:val="00C52DB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eastAsia="tr-TR"/>
    </w:rPr>
  </w:style>
  <w:style w:type="paragraph" w:customStyle="1" w:styleId="LightShading1">
    <w:name w:val="Light Shading1"/>
    <w:uiPriority w:val="99"/>
    <w:rsid w:val="00C52DB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tr-TR"/>
    </w:rPr>
  </w:style>
  <w:style w:type="paragraph" w:styleId="a3">
    <w:name w:val="Balloon Text"/>
    <w:basedOn w:val="a"/>
    <w:link w:val="Char"/>
    <w:uiPriority w:val="99"/>
    <w:semiHidden/>
    <w:unhideWhenUsed/>
    <w:rsid w:val="009B2E10"/>
    <w:rPr>
      <w:rFonts w:ascii="Tahoma" w:hAnsi="Tahoma" w:cs="Tahoma"/>
      <w:sz w:val="16"/>
      <w:szCs w:val="16"/>
    </w:rPr>
  </w:style>
  <w:style w:type="character" w:customStyle="1" w:styleId="Char">
    <w:name w:val="批注框文本 Char"/>
    <w:basedOn w:val="a0"/>
    <w:link w:val="a3"/>
    <w:uiPriority w:val="99"/>
    <w:semiHidden/>
    <w:rsid w:val="009B2E10"/>
    <w:rPr>
      <w:rFonts w:ascii="Tahoma" w:eastAsia="Arial Unicode MS" w:hAnsi="Tahoma" w:cs="Tahoma"/>
      <w:sz w:val="16"/>
      <w:szCs w:val="16"/>
      <w:lang w:val="en-US"/>
    </w:rPr>
  </w:style>
  <w:style w:type="table" w:styleId="a4">
    <w:name w:val="Table Grid"/>
    <w:basedOn w:val="a1"/>
    <w:uiPriority w:val="59"/>
    <w:rsid w:val="009F5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832C7"/>
    <w:pPr>
      <w:ind w:left="720"/>
      <w:contextualSpacing/>
    </w:pPr>
  </w:style>
  <w:style w:type="character" w:styleId="a6">
    <w:name w:val="Hyperlink"/>
    <w:basedOn w:val="a0"/>
    <w:uiPriority w:val="99"/>
    <w:unhideWhenUsed/>
    <w:rsid w:val="00B05DD6"/>
    <w:rPr>
      <w:color w:val="0000FF" w:themeColor="hyperlink"/>
      <w:u w:val="single"/>
    </w:rPr>
  </w:style>
  <w:style w:type="paragraph" w:styleId="a7">
    <w:name w:val="header"/>
    <w:basedOn w:val="a"/>
    <w:link w:val="Char0"/>
    <w:uiPriority w:val="99"/>
    <w:unhideWhenUsed/>
    <w:rsid w:val="00695F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95F46"/>
    <w:rPr>
      <w:rFonts w:ascii="Times New Roman" w:eastAsia="Arial Unicode MS" w:hAnsi="Times New Roman" w:cs="Times New Roman"/>
      <w:sz w:val="18"/>
      <w:szCs w:val="18"/>
      <w:lang w:val="en-US"/>
    </w:rPr>
  </w:style>
  <w:style w:type="paragraph" w:styleId="a8">
    <w:name w:val="footer"/>
    <w:basedOn w:val="a"/>
    <w:link w:val="Char1"/>
    <w:uiPriority w:val="99"/>
    <w:unhideWhenUsed/>
    <w:rsid w:val="00695F46"/>
    <w:pPr>
      <w:tabs>
        <w:tab w:val="center" w:pos="4153"/>
        <w:tab w:val="right" w:pos="8306"/>
      </w:tabs>
      <w:snapToGrid w:val="0"/>
    </w:pPr>
    <w:rPr>
      <w:sz w:val="18"/>
      <w:szCs w:val="18"/>
    </w:rPr>
  </w:style>
  <w:style w:type="character" w:customStyle="1" w:styleId="Char1">
    <w:name w:val="页脚 Char"/>
    <w:basedOn w:val="a0"/>
    <w:link w:val="a8"/>
    <w:uiPriority w:val="99"/>
    <w:rsid w:val="00695F46"/>
    <w:rPr>
      <w:rFonts w:ascii="Times New Roman" w:eastAsia="Arial Unicode MS" w:hAnsi="Times New Roman" w:cs="Times New Roman"/>
      <w:sz w:val="18"/>
      <w:szCs w:val="18"/>
      <w:lang w:val="en-US"/>
    </w:rPr>
  </w:style>
  <w:style w:type="character" w:styleId="a9">
    <w:name w:val="FollowedHyperlink"/>
    <w:rsid w:val="00695F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B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kveAltlk">
    <w:name w:val="Başlık ve Altlık"/>
    <w:uiPriority w:val="99"/>
    <w:rsid w:val="00C52DB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tr-TR"/>
    </w:rPr>
  </w:style>
  <w:style w:type="paragraph" w:customStyle="1" w:styleId="Gvde">
    <w:name w:val="Gövde"/>
    <w:uiPriority w:val="99"/>
    <w:rsid w:val="00C52DB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lang w:eastAsia="tr-TR"/>
    </w:rPr>
  </w:style>
  <w:style w:type="paragraph" w:customStyle="1" w:styleId="LightShading1">
    <w:name w:val="Light Shading1"/>
    <w:uiPriority w:val="99"/>
    <w:rsid w:val="00C52DB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tr-TR"/>
    </w:rPr>
  </w:style>
  <w:style w:type="paragraph" w:styleId="a3">
    <w:name w:val="Balloon Text"/>
    <w:basedOn w:val="a"/>
    <w:link w:val="Char"/>
    <w:uiPriority w:val="99"/>
    <w:semiHidden/>
    <w:unhideWhenUsed/>
    <w:rsid w:val="009B2E10"/>
    <w:rPr>
      <w:rFonts w:ascii="Tahoma" w:hAnsi="Tahoma" w:cs="Tahoma"/>
      <w:sz w:val="16"/>
      <w:szCs w:val="16"/>
    </w:rPr>
  </w:style>
  <w:style w:type="character" w:customStyle="1" w:styleId="Char">
    <w:name w:val="批注框文本 Char"/>
    <w:basedOn w:val="a0"/>
    <w:link w:val="a3"/>
    <w:uiPriority w:val="99"/>
    <w:semiHidden/>
    <w:rsid w:val="009B2E10"/>
    <w:rPr>
      <w:rFonts w:ascii="Tahoma" w:eastAsia="Arial Unicode MS" w:hAnsi="Tahoma" w:cs="Tahoma"/>
      <w:sz w:val="16"/>
      <w:szCs w:val="16"/>
      <w:lang w:val="en-US"/>
    </w:rPr>
  </w:style>
  <w:style w:type="table" w:styleId="a4">
    <w:name w:val="Table Grid"/>
    <w:basedOn w:val="a1"/>
    <w:uiPriority w:val="59"/>
    <w:rsid w:val="009F5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832C7"/>
    <w:pPr>
      <w:ind w:left="720"/>
      <w:contextualSpacing/>
    </w:pPr>
  </w:style>
  <w:style w:type="character" w:styleId="a6">
    <w:name w:val="Hyperlink"/>
    <w:basedOn w:val="a0"/>
    <w:uiPriority w:val="99"/>
    <w:unhideWhenUsed/>
    <w:rsid w:val="00B05DD6"/>
    <w:rPr>
      <w:color w:val="0000FF" w:themeColor="hyperlink"/>
      <w:u w:val="single"/>
    </w:rPr>
  </w:style>
  <w:style w:type="paragraph" w:styleId="a7">
    <w:name w:val="header"/>
    <w:basedOn w:val="a"/>
    <w:link w:val="Char0"/>
    <w:uiPriority w:val="99"/>
    <w:unhideWhenUsed/>
    <w:rsid w:val="00695F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95F46"/>
    <w:rPr>
      <w:rFonts w:ascii="Times New Roman" w:eastAsia="Arial Unicode MS" w:hAnsi="Times New Roman" w:cs="Times New Roman"/>
      <w:sz w:val="18"/>
      <w:szCs w:val="18"/>
      <w:lang w:val="en-US"/>
    </w:rPr>
  </w:style>
  <w:style w:type="paragraph" w:styleId="a8">
    <w:name w:val="footer"/>
    <w:basedOn w:val="a"/>
    <w:link w:val="Char1"/>
    <w:uiPriority w:val="99"/>
    <w:unhideWhenUsed/>
    <w:rsid w:val="00695F46"/>
    <w:pPr>
      <w:tabs>
        <w:tab w:val="center" w:pos="4153"/>
        <w:tab w:val="right" w:pos="8306"/>
      </w:tabs>
      <w:snapToGrid w:val="0"/>
    </w:pPr>
    <w:rPr>
      <w:sz w:val="18"/>
      <w:szCs w:val="18"/>
    </w:rPr>
  </w:style>
  <w:style w:type="character" w:customStyle="1" w:styleId="Char1">
    <w:name w:val="页脚 Char"/>
    <w:basedOn w:val="a0"/>
    <w:link w:val="a8"/>
    <w:uiPriority w:val="99"/>
    <w:rsid w:val="00695F46"/>
    <w:rPr>
      <w:rFonts w:ascii="Times New Roman" w:eastAsia="Arial Unicode MS" w:hAnsi="Times New Roman" w:cs="Times New Roman"/>
      <w:sz w:val="18"/>
      <w:szCs w:val="18"/>
      <w:lang w:val="en-US"/>
    </w:rPr>
  </w:style>
  <w:style w:type="character" w:styleId="a9">
    <w:name w:val="FollowedHyperlink"/>
    <w:rsid w:val="00695F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6307">
      <w:bodyDiv w:val="1"/>
      <w:marLeft w:val="0"/>
      <w:marRight w:val="0"/>
      <w:marTop w:val="0"/>
      <w:marBottom w:val="0"/>
      <w:divBdr>
        <w:top w:val="none" w:sz="0" w:space="0" w:color="auto"/>
        <w:left w:val="none" w:sz="0" w:space="0" w:color="auto"/>
        <w:bottom w:val="none" w:sz="0" w:space="0" w:color="auto"/>
        <w:right w:val="none" w:sz="0" w:space="0" w:color="auto"/>
      </w:divBdr>
    </w:div>
    <w:div w:id="217278653">
      <w:bodyDiv w:val="1"/>
      <w:marLeft w:val="0"/>
      <w:marRight w:val="0"/>
      <w:marTop w:val="0"/>
      <w:marBottom w:val="0"/>
      <w:divBdr>
        <w:top w:val="none" w:sz="0" w:space="0" w:color="auto"/>
        <w:left w:val="none" w:sz="0" w:space="0" w:color="auto"/>
        <w:bottom w:val="none" w:sz="0" w:space="0" w:color="auto"/>
        <w:right w:val="none" w:sz="0" w:space="0" w:color="auto"/>
      </w:divBdr>
    </w:div>
    <w:div w:id="727337264">
      <w:bodyDiv w:val="1"/>
      <w:marLeft w:val="0"/>
      <w:marRight w:val="0"/>
      <w:marTop w:val="0"/>
      <w:marBottom w:val="0"/>
      <w:divBdr>
        <w:top w:val="none" w:sz="0" w:space="0" w:color="auto"/>
        <w:left w:val="none" w:sz="0" w:space="0" w:color="auto"/>
        <w:bottom w:val="none" w:sz="0" w:space="0" w:color="auto"/>
        <w:right w:val="none" w:sz="0" w:space="0" w:color="auto"/>
      </w:divBdr>
    </w:div>
    <w:div w:id="975641669">
      <w:bodyDiv w:val="1"/>
      <w:marLeft w:val="0"/>
      <w:marRight w:val="0"/>
      <w:marTop w:val="0"/>
      <w:marBottom w:val="0"/>
      <w:divBdr>
        <w:top w:val="none" w:sz="0" w:space="0" w:color="auto"/>
        <w:left w:val="none" w:sz="0" w:space="0" w:color="auto"/>
        <w:bottom w:val="none" w:sz="0" w:space="0" w:color="auto"/>
        <w:right w:val="none" w:sz="0" w:space="0" w:color="auto"/>
      </w:divBdr>
    </w:div>
    <w:div w:id="1520192836">
      <w:bodyDiv w:val="1"/>
      <w:marLeft w:val="0"/>
      <w:marRight w:val="0"/>
      <w:marTop w:val="0"/>
      <w:marBottom w:val="0"/>
      <w:divBdr>
        <w:top w:val="none" w:sz="0" w:space="0" w:color="auto"/>
        <w:left w:val="none" w:sz="0" w:space="0" w:color="auto"/>
        <w:bottom w:val="none" w:sz="0" w:space="0" w:color="auto"/>
        <w:right w:val="none" w:sz="0" w:space="0" w:color="auto"/>
      </w:divBdr>
    </w:div>
    <w:div w:id="1649289247">
      <w:bodyDiv w:val="1"/>
      <w:marLeft w:val="0"/>
      <w:marRight w:val="0"/>
      <w:marTop w:val="0"/>
      <w:marBottom w:val="0"/>
      <w:divBdr>
        <w:top w:val="none" w:sz="0" w:space="0" w:color="auto"/>
        <w:left w:val="none" w:sz="0" w:space="0" w:color="auto"/>
        <w:bottom w:val="none" w:sz="0" w:space="0" w:color="auto"/>
        <w:right w:val="none" w:sz="0" w:space="0" w:color="auto"/>
      </w:divBdr>
    </w:div>
    <w:div w:id="17875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016/S0140-6736(82)9273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S0140-6736(82)92736-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1016/S0140-6736(82)92735-0" TargetMode="External"/><Relationship Id="rId4" Type="http://schemas.microsoft.com/office/2007/relationships/stylesWithEffects" Target="stylesWithEffects.xml"/><Relationship Id="rId9" Type="http://schemas.openxmlformats.org/officeDocument/2006/relationships/hyperlink" Target="https://www.ncbi.nlm.nih.gov/pubmed/?term=Chronic%20Leukemia%20Working%20Committee%2C%20Center%20for%20International%20Blood%20and%20Marrow%20Transplant%20Research%5BCorporate%20Author%5D"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9D55-C339-4953-9A0B-4105CF65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8703</Words>
  <Characters>49611</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lastModifiedBy>
  <cp:revision>3</cp:revision>
  <dcterms:created xsi:type="dcterms:W3CDTF">2017-01-03T02:05:00Z</dcterms:created>
  <dcterms:modified xsi:type="dcterms:W3CDTF">2017-01-03T06:39:00Z</dcterms:modified>
</cp:coreProperties>
</file>