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F3C" w:rsidRPr="00D10422" w:rsidRDefault="003C4F3C" w:rsidP="00AD7ECF">
      <w:pPr>
        <w:wordWrap/>
        <w:adjustRightInd w:val="0"/>
        <w:snapToGrid w:val="0"/>
        <w:spacing w:line="360" w:lineRule="auto"/>
        <w:rPr>
          <w:rFonts w:ascii="Book Antiqua" w:eastAsia="Times New Roman" w:hAnsi="Book Antiqua" w:cs="SimSun"/>
          <w:b/>
          <w:i/>
          <w:color w:val="000000"/>
          <w:sz w:val="24"/>
          <w:szCs w:val="24"/>
        </w:rPr>
      </w:pPr>
      <w:bookmarkStart w:id="0" w:name="OLE_LINK545"/>
      <w:bookmarkStart w:id="1" w:name="OLE_LINK546"/>
      <w:bookmarkStart w:id="2" w:name="OLE_LINK592"/>
      <w:r w:rsidRPr="00D10422">
        <w:rPr>
          <w:rFonts w:ascii="Book Antiqua" w:eastAsia="Times New Roman" w:hAnsi="Book Antiqua" w:cs="SimSun"/>
          <w:b/>
          <w:color w:val="000000"/>
          <w:sz w:val="24"/>
          <w:szCs w:val="24"/>
        </w:rPr>
        <w:t xml:space="preserve">Name of journal: </w:t>
      </w:r>
      <w:bookmarkStart w:id="3" w:name="OLE_LINK718"/>
      <w:bookmarkStart w:id="4" w:name="OLE_LINK719"/>
      <w:bookmarkStart w:id="5" w:name="OLE_LINK645"/>
      <w:bookmarkStart w:id="6" w:name="OLE_LINK661"/>
      <w:bookmarkStart w:id="7" w:name="OLE_LINK1068"/>
      <w:r w:rsidRPr="00D10422">
        <w:rPr>
          <w:rFonts w:ascii="Book Antiqua" w:eastAsia="Times New Roman" w:hAnsi="Book Antiqua" w:cs="SimSun"/>
          <w:b/>
          <w:i/>
          <w:color w:val="000000"/>
          <w:sz w:val="24"/>
          <w:szCs w:val="24"/>
        </w:rPr>
        <w:t xml:space="preserve">World Journal of </w:t>
      </w:r>
      <w:bookmarkStart w:id="8" w:name="OLE_LINK1222"/>
      <w:bookmarkStart w:id="9" w:name="OLE_LINK1223"/>
      <w:r w:rsidRPr="00D10422">
        <w:rPr>
          <w:rFonts w:ascii="Book Antiqua" w:eastAsia="Times New Roman" w:hAnsi="Book Antiqua" w:cs="SimSun"/>
          <w:b/>
          <w:i/>
          <w:color w:val="000000"/>
          <w:sz w:val="24"/>
          <w:szCs w:val="24"/>
        </w:rPr>
        <w:t>Gastroenterology</w:t>
      </w:r>
      <w:bookmarkEnd w:id="3"/>
      <w:bookmarkEnd w:id="4"/>
      <w:bookmarkEnd w:id="5"/>
      <w:bookmarkEnd w:id="6"/>
      <w:bookmarkEnd w:id="7"/>
      <w:bookmarkEnd w:id="8"/>
      <w:bookmarkEnd w:id="9"/>
    </w:p>
    <w:p w:rsidR="003C4F3C" w:rsidRPr="00D10422" w:rsidRDefault="003C4F3C" w:rsidP="00AD7ECF">
      <w:pPr>
        <w:wordWrap/>
        <w:adjustRightInd w:val="0"/>
        <w:snapToGrid w:val="0"/>
        <w:spacing w:line="360" w:lineRule="auto"/>
        <w:rPr>
          <w:rFonts w:ascii="Book Antiqua" w:eastAsia="SimSun" w:hAnsi="Book Antiqua" w:cs="Arial"/>
          <w:color w:val="000000"/>
          <w:sz w:val="24"/>
          <w:szCs w:val="24"/>
          <w:lang w:eastAsia="zh-CN"/>
        </w:rPr>
      </w:pPr>
      <w:r w:rsidRPr="00D10422">
        <w:rPr>
          <w:rFonts w:ascii="Book Antiqua" w:hAnsi="Book Antiqua" w:cs="Arial"/>
          <w:b/>
          <w:color w:val="000000"/>
          <w:sz w:val="24"/>
          <w:szCs w:val="24"/>
        </w:rPr>
        <w:t xml:space="preserve">ESPS Manuscript NO: </w:t>
      </w:r>
      <w:r w:rsidRPr="00D10422">
        <w:rPr>
          <w:rFonts w:ascii="Book Antiqua" w:eastAsia="SimSun" w:hAnsi="Book Antiqua" w:cs="Arial"/>
          <w:b/>
          <w:color w:val="000000"/>
          <w:sz w:val="24"/>
          <w:szCs w:val="24"/>
          <w:lang w:eastAsia="zh-CN"/>
        </w:rPr>
        <w:t>29648</w:t>
      </w:r>
    </w:p>
    <w:p w:rsidR="003C4F3C" w:rsidRPr="00AD7ECF" w:rsidRDefault="003C4F3C" w:rsidP="00AD7ECF">
      <w:pPr>
        <w:wordWrap/>
        <w:spacing w:line="360" w:lineRule="auto"/>
        <w:rPr>
          <w:rFonts w:ascii="Book Antiqua" w:hAnsi="Book Antiqua"/>
          <w:b/>
          <w:sz w:val="24"/>
          <w:szCs w:val="24"/>
        </w:rPr>
      </w:pPr>
      <w:r w:rsidRPr="00D10422">
        <w:rPr>
          <w:rFonts w:ascii="Book Antiqua" w:hAnsi="Book Antiqua"/>
          <w:b/>
          <w:sz w:val="24"/>
          <w:szCs w:val="24"/>
        </w:rPr>
        <w:t xml:space="preserve">Manuscript Type: </w:t>
      </w:r>
      <w:r w:rsidRPr="00AD7ECF">
        <w:rPr>
          <w:rFonts w:ascii="Book Antiqua" w:hAnsi="Book Antiqua" w:cs="Book Antiqua"/>
          <w:b/>
          <w:kern w:val="0"/>
          <w:sz w:val="24"/>
          <w:szCs w:val="24"/>
        </w:rPr>
        <w:t>CASE REPORT</w:t>
      </w:r>
    </w:p>
    <w:bookmarkEnd w:id="0"/>
    <w:bookmarkEnd w:id="1"/>
    <w:bookmarkEnd w:id="2"/>
    <w:p w:rsidR="00205BE1" w:rsidRPr="00D10422" w:rsidRDefault="00205BE1" w:rsidP="00AD7ECF">
      <w:pPr>
        <w:wordWrap/>
        <w:spacing w:line="360" w:lineRule="auto"/>
        <w:rPr>
          <w:rFonts w:ascii="Book Antiqua" w:hAnsi="Book Antiqua" w:cs="Arial"/>
          <w:sz w:val="24"/>
          <w:szCs w:val="24"/>
        </w:rPr>
      </w:pPr>
    </w:p>
    <w:p w:rsidR="00205BE1" w:rsidRPr="00D10422" w:rsidRDefault="00205BE1" w:rsidP="00AD7ECF">
      <w:pPr>
        <w:wordWrap/>
        <w:spacing w:line="360" w:lineRule="auto"/>
        <w:rPr>
          <w:rFonts w:ascii="Book Antiqua" w:hAnsi="Book Antiqua" w:cs="Arial"/>
          <w:b/>
          <w:sz w:val="24"/>
          <w:szCs w:val="24"/>
        </w:rPr>
      </w:pPr>
      <w:r w:rsidRPr="00D10422">
        <w:rPr>
          <w:rFonts w:ascii="Book Antiqua" w:hAnsi="Book Antiqua" w:cs="Arial"/>
          <w:b/>
          <w:sz w:val="24"/>
          <w:szCs w:val="24"/>
        </w:rPr>
        <w:t>Peroral endoscopic myotomy for treatment of Guillain-Barre syndrome-associated achalasia: A rare case</w:t>
      </w:r>
    </w:p>
    <w:p w:rsidR="00205BE1" w:rsidRPr="00D10422" w:rsidRDefault="00205BE1" w:rsidP="00AD7ECF">
      <w:pPr>
        <w:wordWrap/>
        <w:spacing w:line="360" w:lineRule="auto"/>
        <w:rPr>
          <w:rFonts w:ascii="Book Antiqua" w:hAnsi="Book Antiqua" w:cs="Arial"/>
          <w:sz w:val="24"/>
          <w:szCs w:val="24"/>
        </w:rPr>
      </w:pPr>
    </w:p>
    <w:p w:rsidR="00205BE1" w:rsidRPr="00D10422" w:rsidRDefault="00205BE1" w:rsidP="00AD7ECF">
      <w:pPr>
        <w:wordWrap/>
        <w:spacing w:line="360" w:lineRule="auto"/>
        <w:rPr>
          <w:rFonts w:ascii="Book Antiqua" w:hAnsi="Book Antiqua" w:cs="Arial"/>
          <w:sz w:val="24"/>
          <w:szCs w:val="24"/>
        </w:rPr>
      </w:pPr>
      <w:r w:rsidRPr="00D10422">
        <w:rPr>
          <w:rFonts w:ascii="Book Antiqua" w:hAnsi="Book Antiqua" w:cs="Arial"/>
          <w:sz w:val="24"/>
          <w:szCs w:val="24"/>
        </w:rPr>
        <w:t xml:space="preserve">Shin SK </w:t>
      </w:r>
      <w:r w:rsidRPr="00D10422">
        <w:rPr>
          <w:rFonts w:ascii="Book Antiqua" w:hAnsi="Book Antiqua" w:cs="Arial"/>
          <w:i/>
          <w:sz w:val="24"/>
          <w:szCs w:val="24"/>
        </w:rPr>
        <w:t>et al</w:t>
      </w:r>
      <w:r w:rsidRPr="00D10422">
        <w:rPr>
          <w:rFonts w:ascii="Book Antiqua" w:hAnsi="Book Antiqua" w:cs="Arial"/>
          <w:sz w:val="24"/>
          <w:szCs w:val="24"/>
        </w:rPr>
        <w:t>. POEM for Guillain-Barre syndrome-associated achalasia</w:t>
      </w:r>
    </w:p>
    <w:p w:rsidR="00205BE1" w:rsidRPr="00D10422" w:rsidRDefault="00205BE1" w:rsidP="00AD7ECF">
      <w:pPr>
        <w:wordWrap/>
        <w:spacing w:line="360" w:lineRule="auto"/>
        <w:rPr>
          <w:rFonts w:ascii="Book Antiqua" w:hAnsi="Book Antiqua" w:cs="Arial"/>
          <w:sz w:val="24"/>
          <w:szCs w:val="24"/>
        </w:rPr>
      </w:pPr>
    </w:p>
    <w:p w:rsidR="000C690D" w:rsidRPr="00AD7ECF" w:rsidRDefault="00205BE1" w:rsidP="00AD7ECF">
      <w:pPr>
        <w:wordWrap/>
        <w:spacing w:line="360" w:lineRule="auto"/>
        <w:rPr>
          <w:rFonts w:ascii="Book Antiqua" w:hAnsi="Book Antiqua" w:cs="Arial"/>
          <w:sz w:val="24"/>
          <w:szCs w:val="24"/>
        </w:rPr>
      </w:pPr>
      <w:r w:rsidRPr="00AD7ECF">
        <w:rPr>
          <w:rFonts w:ascii="Book Antiqua" w:hAnsi="Book Antiqua" w:cs="Arial"/>
          <w:sz w:val="24"/>
          <w:szCs w:val="24"/>
        </w:rPr>
        <w:t>Seung Kak Shin, Kyoung Oh Kim</w:t>
      </w:r>
      <w:r w:rsidR="005F5FE9" w:rsidRPr="00AD7ECF">
        <w:rPr>
          <w:rFonts w:ascii="Book Antiqua" w:hAnsi="Book Antiqua" w:cs="Arial"/>
          <w:sz w:val="24"/>
          <w:szCs w:val="24"/>
        </w:rPr>
        <w:t xml:space="preserve">, </w:t>
      </w:r>
      <w:r w:rsidR="00DE2395" w:rsidRPr="00AD7ECF">
        <w:rPr>
          <w:rFonts w:ascii="Book Antiqua" w:hAnsi="Book Antiqua" w:cs="Arial"/>
          <w:sz w:val="24"/>
          <w:szCs w:val="24"/>
        </w:rPr>
        <w:t xml:space="preserve">Eui Joo Kim, </w:t>
      </w:r>
      <w:r w:rsidR="000C690D" w:rsidRPr="00AD7ECF">
        <w:rPr>
          <w:rFonts w:ascii="Book Antiqua" w:hAnsi="Book Antiqua" w:cs="Arial"/>
          <w:sz w:val="24"/>
          <w:szCs w:val="24"/>
        </w:rPr>
        <w:t>Su Young Kim, Jung Ho Kim, Yoon Jae Kim, Jun</w:t>
      </w:r>
      <w:r w:rsidR="00D10422" w:rsidRPr="00AD7ECF">
        <w:rPr>
          <w:rFonts w:ascii="Book Antiqua" w:hAnsi="Book Antiqua" w:cs="Arial" w:hint="eastAsia"/>
          <w:sz w:val="24"/>
          <w:szCs w:val="24"/>
        </w:rPr>
        <w:t>-</w:t>
      </w:r>
      <w:r w:rsidR="000C690D" w:rsidRPr="00AD7ECF">
        <w:rPr>
          <w:rFonts w:ascii="Book Antiqua" w:hAnsi="Book Antiqua" w:cs="Arial"/>
          <w:sz w:val="24"/>
          <w:szCs w:val="24"/>
        </w:rPr>
        <w:t>Won Chung</w:t>
      </w:r>
      <w:r w:rsidR="00D74A22" w:rsidRPr="00AD7ECF">
        <w:rPr>
          <w:rFonts w:ascii="Book Antiqua" w:hAnsi="Book Antiqua" w:cs="Arial"/>
          <w:sz w:val="24"/>
          <w:szCs w:val="24"/>
        </w:rPr>
        <w:t>,</w:t>
      </w:r>
      <w:r w:rsidR="00D74A22" w:rsidRPr="00AD7ECF">
        <w:rPr>
          <w:rFonts w:ascii="Book Antiqua" w:hAnsi="Book Antiqua" w:cs="Arial" w:hint="eastAsia"/>
          <w:sz w:val="24"/>
          <w:szCs w:val="24"/>
        </w:rPr>
        <w:t xml:space="preserve"> </w:t>
      </w:r>
      <w:r w:rsidR="000C690D" w:rsidRPr="00AD7ECF">
        <w:rPr>
          <w:rFonts w:ascii="Book Antiqua" w:hAnsi="Book Antiqua" w:cs="Arial"/>
          <w:sz w:val="24"/>
          <w:szCs w:val="24"/>
        </w:rPr>
        <w:t>Kwang An Kwon, Dong Kyun Park</w:t>
      </w:r>
    </w:p>
    <w:p w:rsidR="00205BE1" w:rsidRPr="00D10422" w:rsidRDefault="00205BE1" w:rsidP="00AD7ECF">
      <w:pPr>
        <w:wordWrap/>
        <w:spacing w:line="360" w:lineRule="auto"/>
        <w:rPr>
          <w:rFonts w:ascii="Book Antiqua" w:hAnsi="Book Antiqua" w:cs="Arial"/>
          <w:sz w:val="24"/>
          <w:szCs w:val="24"/>
        </w:rPr>
      </w:pPr>
    </w:p>
    <w:p w:rsidR="00205BE1" w:rsidRPr="00D10422" w:rsidRDefault="000C690D" w:rsidP="00AD7ECF">
      <w:pPr>
        <w:wordWrap/>
        <w:spacing w:line="360" w:lineRule="auto"/>
        <w:rPr>
          <w:rFonts w:ascii="Book Antiqua" w:hAnsi="Book Antiqua" w:cs="Arial"/>
          <w:sz w:val="24"/>
          <w:szCs w:val="24"/>
        </w:rPr>
      </w:pPr>
      <w:r w:rsidRPr="00D10422">
        <w:rPr>
          <w:rFonts w:ascii="Book Antiqua" w:hAnsi="Book Antiqua" w:cs="Arial"/>
          <w:b/>
          <w:sz w:val="24"/>
          <w:szCs w:val="24"/>
        </w:rPr>
        <w:t>Seung Kak Shin, Kyoung Oh Kim, Eui Joo Kim, Su Young Kim, Jung Ho Kim, Yoon Jae Kim, Jun</w:t>
      </w:r>
      <w:r w:rsidR="00D10422">
        <w:rPr>
          <w:rFonts w:ascii="Book Antiqua" w:hAnsi="Book Antiqua" w:cs="Arial" w:hint="eastAsia"/>
          <w:b/>
          <w:sz w:val="24"/>
          <w:szCs w:val="24"/>
        </w:rPr>
        <w:t>-</w:t>
      </w:r>
      <w:r w:rsidRPr="00D10422">
        <w:rPr>
          <w:rFonts w:ascii="Book Antiqua" w:hAnsi="Book Antiqua" w:cs="Arial"/>
          <w:b/>
          <w:sz w:val="24"/>
          <w:szCs w:val="24"/>
        </w:rPr>
        <w:t>Won Chung, Kwang An Kwon, Dong Kyun Park</w:t>
      </w:r>
      <w:r w:rsidR="00AD7ECF">
        <w:rPr>
          <w:rFonts w:ascii="Book Antiqua" w:eastAsia="SimSun" w:hAnsi="Book Antiqua" w:cs="Arial" w:hint="eastAsia"/>
          <w:b/>
          <w:sz w:val="24"/>
          <w:szCs w:val="24"/>
          <w:lang w:eastAsia="zh-CN"/>
        </w:rPr>
        <w:t>,</w:t>
      </w:r>
      <w:r w:rsidRPr="00D10422">
        <w:rPr>
          <w:rFonts w:ascii="Book Antiqua" w:hAnsi="Book Antiqua" w:cs="Arial"/>
          <w:sz w:val="24"/>
          <w:szCs w:val="24"/>
        </w:rPr>
        <w:t xml:space="preserve"> </w:t>
      </w:r>
      <w:r w:rsidR="00205BE1" w:rsidRPr="00D10422">
        <w:rPr>
          <w:rFonts w:ascii="Book Antiqua" w:hAnsi="Book Antiqua" w:cs="Arial"/>
          <w:sz w:val="24"/>
          <w:szCs w:val="24"/>
        </w:rPr>
        <w:t>Department of Internal Medicine, Gachon University Gil Medical Center, Incheon</w:t>
      </w:r>
      <w:r w:rsidR="0007107D">
        <w:rPr>
          <w:rFonts w:ascii="Book Antiqua" w:hAnsi="Book Antiqua" w:cs="Arial" w:hint="eastAsia"/>
          <w:sz w:val="24"/>
          <w:szCs w:val="24"/>
        </w:rPr>
        <w:t xml:space="preserve"> 21565</w:t>
      </w:r>
      <w:r w:rsidR="00205BE1" w:rsidRPr="00D10422">
        <w:rPr>
          <w:rFonts w:ascii="Book Antiqua" w:hAnsi="Book Antiqua" w:cs="Arial"/>
          <w:sz w:val="24"/>
          <w:szCs w:val="24"/>
        </w:rPr>
        <w:t>,</w:t>
      </w:r>
      <w:r w:rsidR="0007107D">
        <w:rPr>
          <w:rFonts w:ascii="Book Antiqua" w:hAnsi="Book Antiqua" w:cs="Arial" w:hint="eastAsia"/>
          <w:sz w:val="24"/>
          <w:szCs w:val="24"/>
        </w:rPr>
        <w:t xml:space="preserve"> </w:t>
      </w:r>
      <w:r w:rsidR="00AD7ECF">
        <w:rPr>
          <w:rFonts w:ascii="Book Antiqua" w:eastAsia="SimSun" w:hAnsi="Book Antiqua" w:cs="Arial" w:hint="eastAsia"/>
          <w:sz w:val="24"/>
          <w:szCs w:val="24"/>
          <w:lang w:eastAsia="zh-CN"/>
        </w:rPr>
        <w:t xml:space="preserve">South </w:t>
      </w:r>
      <w:r w:rsidR="00205BE1" w:rsidRPr="00D10422">
        <w:rPr>
          <w:rFonts w:ascii="Book Antiqua" w:hAnsi="Book Antiqua" w:cs="Arial"/>
          <w:sz w:val="24"/>
          <w:szCs w:val="24"/>
        </w:rPr>
        <w:t>Korea</w:t>
      </w:r>
    </w:p>
    <w:p w:rsidR="00205BE1" w:rsidRPr="00AD7ECF" w:rsidRDefault="00205BE1" w:rsidP="00AD7ECF">
      <w:pPr>
        <w:wordWrap/>
        <w:spacing w:line="360" w:lineRule="auto"/>
        <w:rPr>
          <w:rFonts w:ascii="Book Antiqua" w:hAnsi="Book Antiqua" w:cs="Arial"/>
          <w:sz w:val="24"/>
          <w:szCs w:val="24"/>
        </w:rPr>
      </w:pPr>
    </w:p>
    <w:p w:rsidR="00205BE1" w:rsidRPr="00D10422" w:rsidRDefault="00205BE1" w:rsidP="00AD7ECF">
      <w:pPr>
        <w:wordWrap/>
        <w:adjustRightInd w:val="0"/>
        <w:spacing w:line="360" w:lineRule="auto"/>
        <w:rPr>
          <w:rFonts w:ascii="Book Antiqua" w:hAnsi="Book Antiqua" w:cs="Book Antiqua"/>
          <w:kern w:val="0"/>
          <w:sz w:val="24"/>
          <w:szCs w:val="24"/>
        </w:rPr>
      </w:pPr>
      <w:r w:rsidRPr="00D10422">
        <w:rPr>
          <w:rFonts w:ascii="Book Antiqua" w:hAnsi="Book Antiqua" w:cs="Book Antiqua"/>
          <w:b/>
          <w:kern w:val="0"/>
          <w:sz w:val="24"/>
          <w:szCs w:val="24"/>
        </w:rPr>
        <w:t>Author contributions:</w:t>
      </w:r>
      <w:r w:rsidRPr="00D10422">
        <w:rPr>
          <w:rFonts w:ascii="Book Antiqua" w:hAnsi="Book Antiqua" w:cs="Book Antiqua"/>
          <w:kern w:val="0"/>
          <w:sz w:val="24"/>
          <w:szCs w:val="24"/>
        </w:rPr>
        <w:t xml:space="preserve"> Shin SK wrote the paper; Kim KO designed the report and reviewed the paper</w:t>
      </w:r>
      <w:r w:rsidR="003E12C2" w:rsidRPr="00D10422">
        <w:rPr>
          <w:rFonts w:ascii="Book Antiqua" w:hAnsi="Book Antiqua" w:cs="Book Antiqua"/>
          <w:kern w:val="0"/>
          <w:sz w:val="24"/>
          <w:szCs w:val="24"/>
        </w:rPr>
        <w:t>;</w:t>
      </w:r>
      <w:r w:rsidRPr="00D10422">
        <w:rPr>
          <w:rFonts w:ascii="Book Antiqua" w:hAnsi="Book Antiqua" w:cs="Book Antiqua"/>
          <w:kern w:val="0"/>
          <w:sz w:val="24"/>
          <w:szCs w:val="24"/>
        </w:rPr>
        <w:t xml:space="preserve"> </w:t>
      </w:r>
      <w:r w:rsidR="005F5FE9" w:rsidRPr="00D10422">
        <w:rPr>
          <w:rFonts w:ascii="Book Antiqua" w:hAnsi="Book Antiqua" w:cs="Arial"/>
          <w:sz w:val="24"/>
          <w:szCs w:val="24"/>
        </w:rPr>
        <w:t>Park</w:t>
      </w:r>
      <w:r w:rsidR="003E12C2" w:rsidRPr="00D10422">
        <w:rPr>
          <w:rFonts w:ascii="Book Antiqua" w:hAnsi="Book Antiqua" w:cs="Arial"/>
          <w:sz w:val="24"/>
          <w:szCs w:val="24"/>
        </w:rPr>
        <w:t xml:space="preserve"> DK</w:t>
      </w:r>
      <w:r w:rsidR="005F5FE9" w:rsidRPr="00D10422">
        <w:rPr>
          <w:rFonts w:ascii="Book Antiqua" w:hAnsi="Book Antiqua" w:cs="Arial"/>
          <w:sz w:val="24"/>
          <w:szCs w:val="24"/>
        </w:rPr>
        <w:t>, Kwon</w:t>
      </w:r>
      <w:r w:rsidR="003E12C2" w:rsidRPr="00D10422">
        <w:rPr>
          <w:rFonts w:ascii="Book Antiqua" w:hAnsi="Book Antiqua" w:cs="Arial"/>
          <w:sz w:val="24"/>
          <w:szCs w:val="24"/>
        </w:rPr>
        <w:t xml:space="preserve"> KA</w:t>
      </w:r>
      <w:r w:rsidR="005F5FE9" w:rsidRPr="00D10422">
        <w:rPr>
          <w:rFonts w:ascii="Book Antiqua" w:hAnsi="Book Antiqua" w:cs="Arial"/>
          <w:sz w:val="24"/>
          <w:szCs w:val="24"/>
        </w:rPr>
        <w:t xml:space="preserve"> </w:t>
      </w:r>
      <w:r w:rsidR="003E12C2" w:rsidRPr="00D10422">
        <w:rPr>
          <w:rFonts w:ascii="Book Antiqua" w:hAnsi="Book Antiqua" w:cs="Arial"/>
          <w:sz w:val="24"/>
          <w:szCs w:val="24"/>
        </w:rPr>
        <w:t>supervised the initial manuscript;</w:t>
      </w:r>
      <w:r w:rsidR="005F5FE9" w:rsidRPr="00D10422">
        <w:rPr>
          <w:rFonts w:ascii="Book Antiqua" w:hAnsi="Book Antiqua" w:cs="Arial"/>
          <w:sz w:val="24"/>
          <w:szCs w:val="24"/>
        </w:rPr>
        <w:t xml:space="preserve"> Chung</w:t>
      </w:r>
      <w:r w:rsidR="003E12C2" w:rsidRPr="00D10422">
        <w:rPr>
          <w:rFonts w:ascii="Book Antiqua" w:hAnsi="Book Antiqua" w:cs="Arial"/>
          <w:sz w:val="24"/>
          <w:szCs w:val="24"/>
        </w:rPr>
        <w:t xml:space="preserve"> JW</w:t>
      </w:r>
      <w:r w:rsidR="005F5FE9" w:rsidRPr="00D10422">
        <w:rPr>
          <w:rFonts w:ascii="Book Antiqua" w:hAnsi="Book Antiqua" w:cs="Arial"/>
          <w:sz w:val="24"/>
          <w:szCs w:val="24"/>
        </w:rPr>
        <w:t>, Kim</w:t>
      </w:r>
      <w:r w:rsidR="003E12C2" w:rsidRPr="00D10422">
        <w:rPr>
          <w:rFonts w:ascii="Book Antiqua" w:hAnsi="Book Antiqua" w:cs="Arial"/>
          <w:sz w:val="24"/>
          <w:szCs w:val="24"/>
        </w:rPr>
        <w:t xml:space="preserve"> YJ</w:t>
      </w:r>
      <w:r w:rsidR="00AD7ECF">
        <w:rPr>
          <w:rFonts w:ascii="Book Antiqua" w:eastAsia="SimSun" w:hAnsi="Book Antiqua" w:cs="Arial" w:hint="eastAsia"/>
          <w:sz w:val="24"/>
          <w:szCs w:val="24"/>
          <w:lang w:eastAsia="zh-CN"/>
        </w:rPr>
        <w:t xml:space="preserve"> and</w:t>
      </w:r>
      <w:r w:rsidR="003E12C2" w:rsidRPr="00D10422">
        <w:rPr>
          <w:rFonts w:ascii="Book Antiqua" w:hAnsi="Book Antiqua" w:cs="Arial"/>
          <w:sz w:val="24"/>
          <w:szCs w:val="24"/>
        </w:rPr>
        <w:t xml:space="preserve"> Kim SY</w:t>
      </w:r>
      <w:r w:rsidR="005F5FE9" w:rsidRPr="00D10422">
        <w:rPr>
          <w:rFonts w:ascii="Book Antiqua" w:hAnsi="Book Antiqua" w:cs="Arial"/>
          <w:sz w:val="24"/>
          <w:szCs w:val="24"/>
        </w:rPr>
        <w:t xml:space="preserve"> </w:t>
      </w:r>
      <w:r w:rsidR="003E12C2" w:rsidRPr="00D10422">
        <w:rPr>
          <w:rFonts w:ascii="Book Antiqua" w:hAnsi="Book Antiqua"/>
          <w:sz w:val="24"/>
          <w:szCs w:val="24"/>
        </w:rPr>
        <w:t xml:space="preserve">contributed cases and edited the manuscript; </w:t>
      </w:r>
      <w:r w:rsidR="00602F9F" w:rsidRPr="00D10422">
        <w:rPr>
          <w:rFonts w:ascii="Book Antiqua" w:hAnsi="Book Antiqua" w:cs="Arial"/>
          <w:sz w:val="24"/>
          <w:szCs w:val="24"/>
        </w:rPr>
        <w:t>Kim</w:t>
      </w:r>
      <w:r w:rsidR="003E12C2" w:rsidRPr="00D10422">
        <w:rPr>
          <w:rFonts w:ascii="Book Antiqua" w:hAnsi="Book Antiqua" w:cs="Arial"/>
          <w:sz w:val="24"/>
          <w:szCs w:val="24"/>
        </w:rPr>
        <w:t xml:space="preserve"> EJ</w:t>
      </w:r>
      <w:r w:rsidR="00602F9F" w:rsidRPr="00D10422">
        <w:rPr>
          <w:rFonts w:ascii="Book Antiqua" w:hAnsi="Book Antiqua" w:cs="Arial"/>
          <w:sz w:val="24"/>
          <w:szCs w:val="24"/>
        </w:rPr>
        <w:t xml:space="preserve"> </w:t>
      </w:r>
      <w:r w:rsidR="005F5FE9" w:rsidRPr="00D10422">
        <w:rPr>
          <w:rFonts w:ascii="Book Antiqua" w:hAnsi="Book Antiqua" w:cs="Arial"/>
          <w:sz w:val="24"/>
          <w:szCs w:val="24"/>
        </w:rPr>
        <w:t>participated to the medical care of the patient.</w:t>
      </w:r>
    </w:p>
    <w:p w:rsidR="004D5636" w:rsidRPr="00AD7ECF" w:rsidRDefault="004D5636" w:rsidP="00AD7ECF">
      <w:pPr>
        <w:wordWrap/>
        <w:spacing w:line="360" w:lineRule="auto"/>
        <w:rPr>
          <w:rFonts w:ascii="Book Antiqua" w:eastAsia="SimSun" w:hAnsi="Book Antiqua" w:cs="Arial"/>
          <w:sz w:val="24"/>
          <w:szCs w:val="24"/>
          <w:lang w:eastAsia="zh-CN"/>
        </w:rPr>
      </w:pPr>
    </w:p>
    <w:p w:rsidR="003C4F3C" w:rsidRDefault="003C4F3C" w:rsidP="00AD7ECF">
      <w:pPr>
        <w:wordWrap/>
        <w:adjustRightInd w:val="0"/>
        <w:spacing w:line="360" w:lineRule="auto"/>
        <w:rPr>
          <w:rFonts w:ascii="Book Antiqua" w:eastAsia="SimSun" w:hAnsi="Book Antiqua"/>
          <w:bCs/>
          <w:iCs/>
          <w:color w:val="000000"/>
          <w:sz w:val="24"/>
          <w:szCs w:val="24"/>
          <w:lang w:eastAsia="zh-CN"/>
        </w:rPr>
      </w:pPr>
      <w:bookmarkStart w:id="10" w:name="OLE_LINK4"/>
      <w:bookmarkStart w:id="11" w:name="OLE_LINK5"/>
      <w:r w:rsidRPr="00D10422">
        <w:rPr>
          <w:rFonts w:ascii="Book Antiqua" w:hAnsi="Book Antiqua"/>
          <w:b/>
          <w:bCs/>
          <w:iCs/>
          <w:color w:val="000000"/>
          <w:kern w:val="0"/>
          <w:sz w:val="24"/>
          <w:szCs w:val="24"/>
        </w:rPr>
        <w:t>Institutional review board</w:t>
      </w:r>
      <w:r w:rsidRPr="00D10422">
        <w:rPr>
          <w:rFonts w:ascii="Book Antiqua" w:hAnsi="Book Antiqua"/>
          <w:b/>
          <w:bCs/>
          <w:iCs/>
          <w:kern w:val="0"/>
          <w:sz w:val="24"/>
          <w:szCs w:val="24"/>
        </w:rPr>
        <w:t xml:space="preserve"> statement</w:t>
      </w:r>
      <w:r w:rsidRPr="00D10422">
        <w:rPr>
          <w:rFonts w:ascii="Book Antiqua" w:hAnsi="Book Antiqua"/>
          <w:b/>
          <w:bCs/>
          <w:iCs/>
          <w:color w:val="000000"/>
          <w:kern w:val="0"/>
          <w:sz w:val="24"/>
          <w:szCs w:val="24"/>
        </w:rPr>
        <w:t>:</w:t>
      </w:r>
      <w:bookmarkEnd w:id="10"/>
      <w:bookmarkEnd w:id="11"/>
      <w:r w:rsidR="00AD7ECF">
        <w:rPr>
          <w:rFonts w:ascii="Book Antiqua" w:eastAsia="SimSun" w:hAnsi="Book Antiqua" w:hint="eastAsia"/>
          <w:b/>
          <w:bCs/>
          <w:iCs/>
          <w:color w:val="000000"/>
          <w:kern w:val="0"/>
          <w:sz w:val="24"/>
          <w:szCs w:val="24"/>
          <w:lang w:eastAsia="zh-CN"/>
        </w:rPr>
        <w:t xml:space="preserve"> </w:t>
      </w:r>
      <w:r w:rsidR="00602F9F" w:rsidRPr="00D10422">
        <w:rPr>
          <w:rFonts w:ascii="Book Antiqua" w:hAnsi="Book Antiqua"/>
          <w:bCs/>
          <w:iCs/>
          <w:color w:val="000000"/>
          <w:sz w:val="24"/>
          <w:szCs w:val="24"/>
        </w:rPr>
        <w:t>This case report was exempt from the Institutional Review Board standards at Gachon University Gil Medical Center</w:t>
      </w:r>
      <w:r w:rsidR="00AD7ECF">
        <w:rPr>
          <w:rFonts w:ascii="Book Antiqua" w:eastAsia="SimSun" w:hAnsi="Book Antiqua" w:hint="eastAsia"/>
          <w:bCs/>
          <w:iCs/>
          <w:color w:val="000000"/>
          <w:sz w:val="24"/>
          <w:szCs w:val="24"/>
          <w:lang w:eastAsia="zh-CN"/>
        </w:rPr>
        <w:t>.</w:t>
      </w:r>
    </w:p>
    <w:p w:rsidR="00AD7ECF" w:rsidRDefault="00AD7ECF" w:rsidP="00AD7ECF">
      <w:pPr>
        <w:wordWrap/>
        <w:adjustRightInd w:val="0"/>
        <w:spacing w:line="360" w:lineRule="auto"/>
        <w:rPr>
          <w:rFonts w:ascii="Book Antiqua" w:eastAsia="SimSun" w:hAnsi="Book Antiqua"/>
          <w:b/>
          <w:bCs/>
          <w:iCs/>
          <w:color w:val="000000"/>
          <w:kern w:val="0"/>
          <w:sz w:val="24"/>
          <w:szCs w:val="24"/>
          <w:lang w:eastAsia="zh-CN"/>
        </w:rPr>
      </w:pPr>
    </w:p>
    <w:p w:rsidR="00CC0B1F" w:rsidRDefault="003C4F3C" w:rsidP="00AD7ECF">
      <w:pPr>
        <w:wordWrap/>
        <w:adjustRightInd w:val="0"/>
        <w:spacing w:line="360" w:lineRule="auto"/>
        <w:rPr>
          <w:rFonts w:ascii="Book Antiqua" w:eastAsia="SimSun" w:hAnsi="Book Antiqua" w:cs="Book Antiqua"/>
          <w:kern w:val="0"/>
          <w:sz w:val="24"/>
          <w:szCs w:val="24"/>
          <w:lang w:eastAsia="zh-CN"/>
        </w:rPr>
      </w:pPr>
      <w:r w:rsidRPr="00D10422">
        <w:rPr>
          <w:rFonts w:ascii="Book Antiqua" w:hAnsi="Book Antiqua"/>
          <w:b/>
          <w:bCs/>
          <w:iCs/>
          <w:color w:val="000000"/>
          <w:kern w:val="0"/>
          <w:sz w:val="24"/>
          <w:szCs w:val="24"/>
        </w:rPr>
        <w:t>Informed consent</w:t>
      </w:r>
      <w:r w:rsidRPr="00D10422">
        <w:rPr>
          <w:rFonts w:ascii="Book Antiqua" w:hAnsi="Book Antiqua"/>
          <w:b/>
          <w:bCs/>
          <w:iCs/>
          <w:kern w:val="0"/>
          <w:sz w:val="24"/>
          <w:szCs w:val="24"/>
        </w:rPr>
        <w:t xml:space="preserve"> statement</w:t>
      </w:r>
      <w:r w:rsidRPr="00D10422">
        <w:rPr>
          <w:rFonts w:ascii="Book Antiqua" w:hAnsi="Book Antiqua"/>
          <w:b/>
          <w:bCs/>
          <w:iCs/>
          <w:color w:val="000000"/>
          <w:sz w:val="24"/>
          <w:szCs w:val="24"/>
        </w:rPr>
        <w:t>:</w:t>
      </w:r>
      <w:r w:rsidRPr="00D10422">
        <w:rPr>
          <w:rFonts w:ascii="Book Antiqua" w:hAnsi="Book Antiqua"/>
          <w:b/>
          <w:bCs/>
          <w:iCs/>
          <w:color w:val="000000"/>
          <w:kern w:val="0"/>
          <w:sz w:val="24"/>
          <w:szCs w:val="24"/>
        </w:rPr>
        <w:t xml:space="preserve"> </w:t>
      </w:r>
      <w:r w:rsidR="00843A62" w:rsidRPr="00D10422">
        <w:rPr>
          <w:rFonts w:ascii="Book Antiqua" w:hAnsi="Book Antiqua" w:cs="Book Antiqua"/>
          <w:kern w:val="0"/>
          <w:sz w:val="24"/>
          <w:szCs w:val="24"/>
        </w:rPr>
        <w:t>The patient involved in this study gave his written informed consent authorizing use and disclosure of his protected health information.</w:t>
      </w:r>
    </w:p>
    <w:p w:rsidR="00AD7ECF" w:rsidRPr="00AD7ECF" w:rsidRDefault="00AD7ECF" w:rsidP="00AD7ECF">
      <w:pPr>
        <w:wordWrap/>
        <w:adjustRightInd w:val="0"/>
        <w:spacing w:line="360" w:lineRule="auto"/>
        <w:rPr>
          <w:rFonts w:ascii="Book Antiqua" w:eastAsia="SimSun" w:hAnsi="Book Antiqua"/>
          <w:b/>
          <w:bCs/>
          <w:iCs/>
          <w:color w:val="000000"/>
          <w:kern w:val="0"/>
          <w:sz w:val="24"/>
          <w:szCs w:val="24"/>
          <w:lang w:eastAsia="zh-CN"/>
        </w:rPr>
      </w:pPr>
    </w:p>
    <w:p w:rsidR="00205BE1" w:rsidRPr="00D10422" w:rsidRDefault="00205BE1" w:rsidP="00AD7ECF">
      <w:pPr>
        <w:wordWrap/>
        <w:spacing w:line="360" w:lineRule="auto"/>
        <w:rPr>
          <w:rFonts w:ascii="Book Antiqua" w:hAnsi="Book Antiqua" w:cs="Arial"/>
          <w:sz w:val="24"/>
          <w:szCs w:val="24"/>
        </w:rPr>
      </w:pPr>
      <w:r w:rsidRPr="00D10422">
        <w:rPr>
          <w:rFonts w:ascii="Book Antiqua" w:hAnsi="Book Antiqua" w:cs="Arial"/>
          <w:b/>
          <w:sz w:val="24"/>
          <w:szCs w:val="24"/>
        </w:rPr>
        <w:t>Conflict-of-interest statement:</w:t>
      </w:r>
      <w:r w:rsidRPr="00D10422">
        <w:rPr>
          <w:rFonts w:ascii="Book Antiqua" w:hAnsi="Book Antiqua" w:cs="Arial"/>
          <w:sz w:val="24"/>
          <w:szCs w:val="24"/>
        </w:rPr>
        <w:t xml:space="preserve"> Authors have no conflict of interest to disclose.</w:t>
      </w:r>
    </w:p>
    <w:p w:rsidR="00205BE1" w:rsidRPr="00D10422" w:rsidRDefault="00205BE1" w:rsidP="00AD7ECF">
      <w:pPr>
        <w:wordWrap/>
        <w:spacing w:line="360" w:lineRule="auto"/>
        <w:rPr>
          <w:rFonts w:ascii="Book Antiqua" w:hAnsi="Book Antiqua" w:cs="Arial"/>
          <w:sz w:val="24"/>
          <w:szCs w:val="24"/>
        </w:rPr>
      </w:pPr>
    </w:p>
    <w:p w:rsidR="003C4F3C" w:rsidRPr="00D10422" w:rsidRDefault="003C4F3C" w:rsidP="00AD7ECF">
      <w:pPr>
        <w:wordWrap/>
        <w:spacing w:line="360" w:lineRule="auto"/>
        <w:rPr>
          <w:rFonts w:ascii="Book Antiqua" w:hAnsi="Book Antiqua"/>
          <w:b/>
          <w:color w:val="000000"/>
          <w:kern w:val="0"/>
          <w:sz w:val="24"/>
          <w:szCs w:val="24"/>
        </w:rPr>
      </w:pPr>
      <w:bookmarkStart w:id="12" w:name="OLE_LINK155"/>
      <w:bookmarkStart w:id="13" w:name="OLE_LINK183"/>
      <w:bookmarkStart w:id="14" w:name="OLE_LINK441"/>
      <w:r w:rsidRPr="00D10422">
        <w:rPr>
          <w:rFonts w:ascii="Book Antiqua" w:hAnsi="Book Antiqua"/>
          <w:b/>
          <w:color w:val="000000"/>
          <w:kern w:val="0"/>
          <w:sz w:val="24"/>
          <w:szCs w:val="24"/>
        </w:rPr>
        <w:t xml:space="preserve">Open-Access: </w:t>
      </w:r>
      <w:r w:rsidRPr="00D10422">
        <w:rPr>
          <w:rFonts w:ascii="Book Antiqua" w:hAnsi="Book Antiqua"/>
          <w:color w:val="000000"/>
          <w:kern w:val="0"/>
          <w:sz w:val="24"/>
          <w:szCs w:val="24"/>
        </w:rPr>
        <w:t>This article is an open-access article which was selected by an in-</w:t>
      </w:r>
      <w:r w:rsidRPr="00D10422">
        <w:rPr>
          <w:rFonts w:ascii="Book Antiqua" w:hAnsi="Book Antiqua"/>
          <w:color w:val="000000"/>
          <w:kern w:val="0"/>
          <w:sz w:val="24"/>
          <w:szCs w:val="24"/>
        </w:rPr>
        <w:lastRenderedPageBreak/>
        <w:t>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rsidR="003C4F3C" w:rsidRPr="00D10422" w:rsidRDefault="003C4F3C" w:rsidP="00AD7ECF">
      <w:pPr>
        <w:wordWrap/>
        <w:spacing w:line="360" w:lineRule="auto"/>
        <w:rPr>
          <w:rFonts w:ascii="Book Antiqua" w:hAnsi="Book Antiqua" w:cs="Arial Unicode MS"/>
          <w:color w:val="000000"/>
          <w:sz w:val="24"/>
          <w:szCs w:val="24"/>
        </w:rPr>
      </w:pPr>
    </w:p>
    <w:p w:rsidR="003C4F3C" w:rsidRPr="00D10422" w:rsidRDefault="003C4F3C" w:rsidP="00AD7ECF">
      <w:pPr>
        <w:wordWrap/>
        <w:spacing w:line="360" w:lineRule="auto"/>
        <w:rPr>
          <w:rFonts w:ascii="Book Antiqua" w:hAnsi="Book Antiqua" w:cs="Arial Unicode MS"/>
          <w:color w:val="000000"/>
          <w:sz w:val="24"/>
          <w:szCs w:val="24"/>
        </w:rPr>
      </w:pPr>
      <w:r w:rsidRPr="00D10422">
        <w:rPr>
          <w:rFonts w:ascii="Book Antiqua" w:hAnsi="Book Antiqua" w:cs="Arial Unicode MS"/>
          <w:b/>
          <w:color w:val="000000"/>
          <w:sz w:val="24"/>
          <w:szCs w:val="24"/>
        </w:rPr>
        <w:t xml:space="preserve">Manuscript source: </w:t>
      </w:r>
      <w:r w:rsidRPr="00D10422">
        <w:rPr>
          <w:rFonts w:ascii="Book Antiqua" w:hAnsi="Book Antiqua" w:cs="Arial Unicode MS"/>
          <w:color w:val="000000"/>
          <w:sz w:val="24"/>
          <w:szCs w:val="24"/>
        </w:rPr>
        <w:t>Unsolicited manuscript</w:t>
      </w:r>
    </w:p>
    <w:p w:rsidR="00CC0B1F" w:rsidRPr="00D10422" w:rsidRDefault="00CC0B1F" w:rsidP="00AD7ECF">
      <w:pPr>
        <w:wordWrap/>
        <w:spacing w:line="360" w:lineRule="auto"/>
        <w:rPr>
          <w:rFonts w:ascii="Book Antiqua" w:eastAsia="Malgun Gothic" w:hAnsi="Book Antiqua" w:cs="Arial"/>
          <w:b/>
          <w:sz w:val="24"/>
          <w:szCs w:val="24"/>
        </w:rPr>
      </w:pPr>
    </w:p>
    <w:p w:rsidR="00205BE1" w:rsidRPr="00D10422" w:rsidRDefault="00205BE1" w:rsidP="00AD7ECF">
      <w:pPr>
        <w:wordWrap/>
        <w:spacing w:line="360" w:lineRule="auto"/>
        <w:rPr>
          <w:rFonts w:ascii="Book Antiqua" w:eastAsiaTheme="minorHAnsi" w:hAnsi="Book Antiqua" w:cs="Arial"/>
          <w:sz w:val="24"/>
          <w:szCs w:val="24"/>
        </w:rPr>
      </w:pPr>
      <w:r w:rsidRPr="00D10422">
        <w:rPr>
          <w:rFonts w:ascii="Book Antiqua" w:eastAsia="Malgun Gothic" w:hAnsi="Book Antiqua" w:cs="Arial"/>
          <w:b/>
          <w:sz w:val="24"/>
          <w:szCs w:val="24"/>
        </w:rPr>
        <w:t xml:space="preserve">Correspondence to: </w:t>
      </w:r>
      <w:r w:rsidRPr="00D10422">
        <w:rPr>
          <w:rFonts w:ascii="Book Antiqua" w:hAnsi="Book Antiqua" w:cs="Arial"/>
          <w:b/>
          <w:sz w:val="24"/>
          <w:szCs w:val="24"/>
        </w:rPr>
        <w:t xml:space="preserve">Kyoung Oh Kim, MD, </w:t>
      </w:r>
      <w:r w:rsidRPr="00D10422">
        <w:rPr>
          <w:rFonts w:ascii="Book Antiqua" w:eastAsiaTheme="minorHAnsi" w:hAnsi="Book Antiqua" w:cs="Arial"/>
          <w:sz w:val="24"/>
          <w:szCs w:val="24"/>
        </w:rPr>
        <w:t>Department of Internal Medicine, Gachon University Gil Medical Center, 21, Namdone-daero 774 beon-</w:t>
      </w:r>
      <w:r w:rsidR="00021263" w:rsidRPr="00D10422">
        <w:rPr>
          <w:rFonts w:ascii="Book Antiqua" w:eastAsiaTheme="minorHAnsi" w:hAnsi="Book Antiqua" w:cs="Arial"/>
          <w:sz w:val="24"/>
          <w:szCs w:val="24"/>
        </w:rPr>
        <w:t>gil, Namdong-gu, Incheon</w:t>
      </w:r>
      <w:r w:rsidR="003A4C96" w:rsidRPr="00D10422">
        <w:rPr>
          <w:rFonts w:ascii="Book Antiqua" w:eastAsiaTheme="minorHAnsi" w:hAnsi="Book Antiqua" w:cs="Arial"/>
          <w:sz w:val="24"/>
          <w:szCs w:val="24"/>
        </w:rPr>
        <w:t xml:space="preserve"> </w:t>
      </w:r>
      <w:r w:rsidR="00021263" w:rsidRPr="00D10422">
        <w:rPr>
          <w:rFonts w:ascii="Book Antiqua" w:eastAsiaTheme="minorHAnsi" w:hAnsi="Book Antiqua" w:cs="Arial"/>
          <w:sz w:val="24"/>
          <w:szCs w:val="24"/>
        </w:rPr>
        <w:t>21565</w:t>
      </w:r>
      <w:r w:rsidRPr="00D10422">
        <w:rPr>
          <w:rFonts w:ascii="Book Antiqua" w:eastAsiaTheme="minorHAnsi" w:hAnsi="Book Antiqua" w:cs="Arial"/>
          <w:sz w:val="24"/>
          <w:szCs w:val="24"/>
        </w:rPr>
        <w:t xml:space="preserve">, </w:t>
      </w:r>
      <w:r w:rsidR="00AD7ECF">
        <w:rPr>
          <w:rFonts w:ascii="Book Antiqua" w:eastAsia="SimSun" w:hAnsi="Book Antiqua" w:cs="Arial" w:hint="eastAsia"/>
          <w:sz w:val="24"/>
          <w:szCs w:val="24"/>
          <w:lang w:eastAsia="zh-CN"/>
        </w:rPr>
        <w:t>South</w:t>
      </w:r>
      <w:r w:rsidRPr="00D10422">
        <w:rPr>
          <w:rFonts w:ascii="Book Antiqua" w:eastAsiaTheme="minorHAnsi" w:hAnsi="Book Antiqua" w:cs="Arial"/>
          <w:sz w:val="24"/>
          <w:szCs w:val="24"/>
        </w:rPr>
        <w:t xml:space="preserve"> Korea. kkoimge@naver.com</w:t>
      </w:r>
    </w:p>
    <w:p w:rsidR="00205BE1" w:rsidRPr="00D10422" w:rsidRDefault="00205BE1" w:rsidP="00AD7ECF">
      <w:pPr>
        <w:wordWrap/>
        <w:spacing w:line="360" w:lineRule="auto"/>
        <w:rPr>
          <w:rFonts w:ascii="Book Antiqua" w:eastAsiaTheme="minorHAnsi" w:hAnsi="Book Antiqua" w:cs="Arial"/>
          <w:sz w:val="24"/>
          <w:szCs w:val="24"/>
        </w:rPr>
      </w:pPr>
      <w:r w:rsidRPr="00D10422">
        <w:rPr>
          <w:rFonts w:ascii="Book Antiqua" w:eastAsiaTheme="minorHAnsi" w:hAnsi="Book Antiqua" w:cs="Arial"/>
          <w:b/>
          <w:sz w:val="24"/>
          <w:szCs w:val="24"/>
        </w:rPr>
        <w:t>Telephone:</w:t>
      </w:r>
      <w:r w:rsidR="00AD7ECF">
        <w:rPr>
          <w:rFonts w:ascii="Book Antiqua" w:eastAsiaTheme="minorHAnsi" w:hAnsi="Book Antiqua" w:cs="Arial"/>
          <w:sz w:val="24"/>
          <w:szCs w:val="24"/>
        </w:rPr>
        <w:t xml:space="preserve"> +82-32-460</w:t>
      </w:r>
      <w:r w:rsidRPr="00D10422">
        <w:rPr>
          <w:rFonts w:ascii="Book Antiqua" w:eastAsiaTheme="minorHAnsi" w:hAnsi="Book Antiqua" w:cs="Arial"/>
          <w:sz w:val="24"/>
          <w:szCs w:val="24"/>
        </w:rPr>
        <w:t>3778</w:t>
      </w:r>
    </w:p>
    <w:p w:rsidR="00205BE1" w:rsidRPr="00D10422" w:rsidRDefault="00205BE1" w:rsidP="00AD7ECF">
      <w:pPr>
        <w:wordWrap/>
        <w:spacing w:line="360" w:lineRule="auto"/>
        <w:rPr>
          <w:rFonts w:ascii="Book Antiqua" w:hAnsi="Book Antiqua" w:cs="Arial"/>
          <w:sz w:val="24"/>
          <w:szCs w:val="24"/>
        </w:rPr>
      </w:pPr>
      <w:r w:rsidRPr="00D10422">
        <w:rPr>
          <w:rFonts w:ascii="Book Antiqua" w:eastAsiaTheme="minorHAnsi" w:hAnsi="Book Antiqua" w:cs="Arial"/>
          <w:b/>
          <w:sz w:val="24"/>
          <w:szCs w:val="24"/>
        </w:rPr>
        <w:t>Fax:</w:t>
      </w:r>
      <w:r w:rsidR="00AD7ECF">
        <w:rPr>
          <w:rFonts w:ascii="Book Antiqua" w:eastAsiaTheme="minorHAnsi" w:hAnsi="Book Antiqua" w:cs="Arial"/>
          <w:sz w:val="24"/>
          <w:szCs w:val="24"/>
        </w:rPr>
        <w:t xml:space="preserve"> +82-32-460</w:t>
      </w:r>
      <w:r w:rsidRPr="00D10422">
        <w:rPr>
          <w:rFonts w:ascii="Book Antiqua" w:eastAsiaTheme="minorHAnsi" w:hAnsi="Book Antiqua" w:cs="Arial"/>
          <w:sz w:val="24"/>
          <w:szCs w:val="24"/>
        </w:rPr>
        <w:t>3408</w:t>
      </w:r>
    </w:p>
    <w:p w:rsidR="00AD7ECF" w:rsidRDefault="00AD7ECF" w:rsidP="00AD7ECF">
      <w:pPr>
        <w:widowControl/>
        <w:wordWrap/>
        <w:autoSpaceDE/>
        <w:autoSpaceDN/>
        <w:rPr>
          <w:rFonts w:ascii="Book Antiqua" w:eastAsia="SimSun" w:hAnsi="Book Antiqua" w:cs="Arial"/>
          <w:b/>
          <w:sz w:val="24"/>
          <w:szCs w:val="24"/>
          <w:lang w:eastAsia="zh-CN"/>
        </w:rPr>
      </w:pPr>
    </w:p>
    <w:p w:rsidR="00AD7ECF" w:rsidRPr="00AD7ECF" w:rsidRDefault="00AD7ECF" w:rsidP="00AD7ECF">
      <w:pPr>
        <w:spacing w:line="360" w:lineRule="auto"/>
        <w:rPr>
          <w:rFonts w:ascii="Book Antiqua" w:eastAsia="SimSun" w:hAnsi="Book Antiqua"/>
          <w:sz w:val="24"/>
          <w:lang w:eastAsia="zh-CN"/>
        </w:rPr>
      </w:pPr>
      <w:bookmarkStart w:id="15" w:name="OLE_LINK476"/>
      <w:bookmarkStart w:id="16" w:name="OLE_LINK477"/>
      <w:bookmarkStart w:id="17" w:name="OLE_LINK117"/>
      <w:bookmarkStart w:id="18" w:name="OLE_LINK528"/>
      <w:bookmarkStart w:id="19" w:name="OLE_LINK557"/>
      <w:r>
        <w:rPr>
          <w:rFonts w:ascii="Book Antiqua" w:hAnsi="Book Antiqua"/>
          <w:b/>
          <w:sz w:val="24"/>
        </w:rPr>
        <w:t>Received:</w:t>
      </w:r>
      <w:r>
        <w:rPr>
          <w:rFonts w:ascii="Book Antiqua" w:eastAsia="SimSun" w:hAnsi="Book Antiqua" w:hint="eastAsia"/>
          <w:b/>
          <w:sz w:val="24"/>
          <w:lang w:eastAsia="zh-CN"/>
        </w:rPr>
        <w:t xml:space="preserve"> </w:t>
      </w:r>
      <w:r w:rsidRPr="00AD7ECF">
        <w:rPr>
          <w:rFonts w:ascii="Book Antiqua" w:eastAsia="SimSun" w:hAnsi="Book Antiqua" w:hint="eastAsia"/>
          <w:sz w:val="24"/>
          <w:lang w:eastAsia="zh-CN"/>
        </w:rPr>
        <w:t>August 23, 2016</w:t>
      </w:r>
    </w:p>
    <w:p w:rsidR="00AD7ECF" w:rsidRPr="00AD7ECF" w:rsidRDefault="00AD7ECF" w:rsidP="00AD7ECF">
      <w:pPr>
        <w:spacing w:line="360" w:lineRule="auto"/>
        <w:rPr>
          <w:rFonts w:ascii="Book Antiqua" w:eastAsia="SimSun" w:hAnsi="Book Antiqua"/>
          <w:sz w:val="24"/>
          <w:lang w:eastAsia="zh-CN"/>
        </w:rPr>
      </w:pPr>
      <w:r w:rsidRPr="009659DA">
        <w:rPr>
          <w:rFonts w:ascii="Book Antiqua" w:hAnsi="Book Antiqua" w:hint="eastAsia"/>
          <w:b/>
          <w:sz w:val="24"/>
        </w:rPr>
        <w:t>Peer-review started</w:t>
      </w:r>
      <w:r>
        <w:rPr>
          <w:rFonts w:ascii="Book Antiqua" w:hAnsi="Book Antiqua"/>
          <w:b/>
          <w:sz w:val="24"/>
        </w:rPr>
        <w:t>:</w:t>
      </w:r>
      <w:r>
        <w:rPr>
          <w:rFonts w:ascii="Book Antiqua" w:eastAsia="SimSun" w:hAnsi="Book Antiqua" w:hint="eastAsia"/>
          <w:b/>
          <w:sz w:val="24"/>
          <w:lang w:eastAsia="zh-CN"/>
        </w:rPr>
        <w:t xml:space="preserve"> </w:t>
      </w:r>
      <w:r w:rsidRPr="00AD7ECF">
        <w:rPr>
          <w:rFonts w:ascii="Book Antiqua" w:eastAsia="SimSun" w:hAnsi="Book Antiqua" w:hint="eastAsia"/>
          <w:sz w:val="24"/>
          <w:lang w:eastAsia="zh-CN"/>
        </w:rPr>
        <w:t xml:space="preserve">August </w:t>
      </w:r>
      <w:r>
        <w:rPr>
          <w:rFonts w:ascii="Book Antiqua" w:eastAsia="SimSun" w:hAnsi="Book Antiqua" w:hint="eastAsia"/>
          <w:sz w:val="24"/>
          <w:lang w:eastAsia="zh-CN"/>
        </w:rPr>
        <w:t>24</w:t>
      </w:r>
      <w:r w:rsidRPr="00AD7ECF">
        <w:rPr>
          <w:rFonts w:ascii="Book Antiqua" w:eastAsia="SimSun" w:hAnsi="Book Antiqua" w:hint="eastAsia"/>
          <w:sz w:val="24"/>
          <w:lang w:eastAsia="zh-CN"/>
        </w:rPr>
        <w:t>, 2016</w:t>
      </w:r>
    </w:p>
    <w:p w:rsidR="00AD7ECF" w:rsidRPr="00AD7ECF" w:rsidRDefault="00AD7ECF" w:rsidP="00AD7ECF">
      <w:pPr>
        <w:spacing w:line="360" w:lineRule="auto"/>
        <w:rPr>
          <w:rFonts w:ascii="Book Antiqua" w:eastAsia="SimSun" w:hAnsi="Book Antiqua"/>
          <w:sz w:val="24"/>
          <w:lang w:eastAsia="zh-CN"/>
        </w:rPr>
      </w:pPr>
      <w:r w:rsidRPr="009659DA">
        <w:rPr>
          <w:rFonts w:ascii="Book Antiqua" w:hAnsi="Book Antiqua"/>
          <w:b/>
          <w:sz w:val="24"/>
        </w:rPr>
        <w:t>First decision:</w:t>
      </w:r>
      <w:r>
        <w:rPr>
          <w:rFonts w:ascii="Book Antiqua" w:eastAsia="SimSun" w:hAnsi="Book Antiqua" w:hint="eastAsia"/>
          <w:b/>
          <w:sz w:val="24"/>
          <w:lang w:eastAsia="zh-CN"/>
        </w:rPr>
        <w:t xml:space="preserve"> </w:t>
      </w:r>
      <w:r w:rsidRPr="00AD7ECF">
        <w:rPr>
          <w:rFonts w:ascii="Book Antiqua" w:eastAsia="SimSun" w:hAnsi="Book Antiqua" w:hint="eastAsia"/>
          <w:sz w:val="24"/>
          <w:lang w:eastAsia="zh-CN"/>
        </w:rPr>
        <w:t>September 28, 2016</w:t>
      </w:r>
    </w:p>
    <w:p w:rsidR="00AD7ECF" w:rsidRPr="00AD7ECF" w:rsidRDefault="00AD7ECF" w:rsidP="00AD7ECF">
      <w:pPr>
        <w:spacing w:line="360" w:lineRule="auto"/>
        <w:rPr>
          <w:rFonts w:ascii="Book Antiqua" w:eastAsia="SimSun" w:hAnsi="Book Antiqua"/>
          <w:sz w:val="24"/>
          <w:lang w:eastAsia="zh-CN"/>
        </w:rPr>
      </w:pPr>
      <w:r>
        <w:rPr>
          <w:rFonts w:ascii="Book Antiqua" w:hAnsi="Book Antiqua"/>
          <w:b/>
          <w:sz w:val="24"/>
        </w:rPr>
        <w:t>Revised:</w:t>
      </w:r>
      <w:r>
        <w:rPr>
          <w:rFonts w:ascii="Book Antiqua" w:eastAsia="SimSun" w:hAnsi="Book Antiqua" w:hint="eastAsia"/>
          <w:b/>
          <w:sz w:val="24"/>
          <w:lang w:eastAsia="zh-CN"/>
        </w:rPr>
        <w:t xml:space="preserve"> </w:t>
      </w:r>
      <w:r w:rsidRPr="00AD7ECF">
        <w:rPr>
          <w:rFonts w:ascii="Book Antiqua" w:eastAsia="SimSun" w:hAnsi="Book Antiqua"/>
          <w:sz w:val="24"/>
          <w:lang w:eastAsia="zh-CN"/>
        </w:rPr>
        <w:t xml:space="preserve">October </w:t>
      </w:r>
      <w:r w:rsidRPr="00AD7ECF">
        <w:rPr>
          <w:rFonts w:ascii="Book Antiqua" w:eastAsia="SimSun" w:hAnsi="Book Antiqua" w:hint="eastAsia"/>
          <w:sz w:val="24"/>
          <w:lang w:eastAsia="zh-CN"/>
        </w:rPr>
        <w:t>6</w:t>
      </w:r>
      <w:r w:rsidRPr="00AD7ECF">
        <w:rPr>
          <w:rFonts w:ascii="Book Antiqua" w:eastAsia="SimSun" w:hAnsi="Book Antiqua"/>
          <w:sz w:val="24"/>
          <w:lang w:eastAsia="zh-CN"/>
        </w:rPr>
        <w:t>, 2016</w:t>
      </w:r>
    </w:p>
    <w:p w:rsidR="00AD7ECF" w:rsidRPr="000E7172" w:rsidRDefault="00AD7ECF" w:rsidP="00AD7ECF">
      <w:pPr>
        <w:spacing w:line="360" w:lineRule="auto"/>
        <w:rPr>
          <w:rFonts w:ascii="Book Antiqua" w:hAnsi="Book Antiqua"/>
          <w:color w:val="000000"/>
          <w:sz w:val="24"/>
        </w:rPr>
      </w:pPr>
      <w:r>
        <w:rPr>
          <w:rFonts w:ascii="Book Antiqua" w:hAnsi="Book Antiqua"/>
          <w:b/>
          <w:sz w:val="24"/>
        </w:rPr>
        <w:t>Accepted:</w:t>
      </w:r>
      <w:r w:rsidR="000E7172" w:rsidRPr="000E7172">
        <w:rPr>
          <w:rFonts w:ascii="Book Antiqua" w:hAnsi="Book Antiqua"/>
          <w:color w:val="000000"/>
          <w:sz w:val="24"/>
        </w:rPr>
        <w:t xml:space="preserve"> </w:t>
      </w:r>
      <w:r w:rsidR="000E7172">
        <w:rPr>
          <w:rFonts w:ascii="Book Antiqua" w:hAnsi="Book Antiqua"/>
          <w:color w:val="000000"/>
          <w:sz w:val="24"/>
        </w:rPr>
        <w:t>October 19, 2016</w:t>
      </w:r>
      <w:bookmarkStart w:id="20" w:name="_GoBack"/>
      <w:bookmarkEnd w:id="20"/>
      <w:r>
        <w:rPr>
          <w:rFonts w:ascii="Book Antiqua" w:hAnsi="Book Antiqua" w:hint="eastAsia"/>
          <w:b/>
          <w:sz w:val="24"/>
        </w:rPr>
        <w:t xml:space="preserve">  </w:t>
      </w:r>
    </w:p>
    <w:p w:rsidR="00AD7ECF" w:rsidRDefault="00AD7ECF" w:rsidP="00AD7ECF">
      <w:pPr>
        <w:spacing w:line="360" w:lineRule="auto"/>
        <w:rPr>
          <w:rFonts w:ascii="Book Antiqua" w:hAnsi="Book Antiqua"/>
          <w:b/>
          <w:sz w:val="24"/>
        </w:rPr>
      </w:pPr>
      <w:r w:rsidRPr="009659DA">
        <w:rPr>
          <w:rFonts w:ascii="Book Antiqua" w:hAnsi="Book Antiqua"/>
          <w:b/>
          <w:sz w:val="24"/>
        </w:rPr>
        <w:t>Article in press:</w:t>
      </w:r>
    </w:p>
    <w:p w:rsidR="00AD7ECF" w:rsidRPr="00ED7CB9" w:rsidRDefault="00AD7ECF" w:rsidP="00AD7ECF">
      <w:pPr>
        <w:spacing w:line="360" w:lineRule="auto"/>
        <w:rPr>
          <w:rFonts w:ascii="Book Antiqua" w:hAnsi="Book Antiqua"/>
          <w:b/>
          <w:sz w:val="24"/>
        </w:rPr>
      </w:pPr>
      <w:r>
        <w:rPr>
          <w:rFonts w:ascii="Book Antiqua" w:hAnsi="Book Antiqua"/>
          <w:b/>
          <w:sz w:val="24"/>
        </w:rPr>
        <w:t>Published online:</w:t>
      </w:r>
    </w:p>
    <w:bookmarkEnd w:id="15"/>
    <w:bookmarkEnd w:id="16"/>
    <w:bookmarkEnd w:id="17"/>
    <w:bookmarkEnd w:id="18"/>
    <w:bookmarkEnd w:id="19"/>
    <w:p w:rsidR="003C4F3C" w:rsidRDefault="003C4F3C" w:rsidP="00AD7ECF">
      <w:pPr>
        <w:widowControl/>
        <w:wordWrap/>
        <w:autoSpaceDE/>
        <w:autoSpaceDN/>
        <w:rPr>
          <w:rFonts w:ascii="Book Antiqua" w:hAnsi="Book Antiqua" w:cs="Arial"/>
          <w:b/>
          <w:sz w:val="24"/>
          <w:szCs w:val="24"/>
        </w:rPr>
      </w:pPr>
      <w:r>
        <w:rPr>
          <w:rFonts w:ascii="Book Antiqua" w:hAnsi="Book Antiqua" w:cs="Arial"/>
          <w:b/>
          <w:sz w:val="24"/>
          <w:szCs w:val="24"/>
        </w:rPr>
        <w:br w:type="page"/>
      </w:r>
    </w:p>
    <w:p w:rsidR="00A37786" w:rsidRDefault="00205BE1" w:rsidP="00AD7ECF">
      <w:pPr>
        <w:wordWrap/>
        <w:spacing w:line="360" w:lineRule="auto"/>
        <w:rPr>
          <w:rFonts w:ascii="Book Antiqua" w:hAnsi="Book Antiqua" w:cs="Arial"/>
          <w:b/>
          <w:sz w:val="24"/>
          <w:szCs w:val="24"/>
        </w:rPr>
      </w:pPr>
      <w:r w:rsidRPr="00934CE4">
        <w:rPr>
          <w:rFonts w:ascii="Book Antiqua" w:hAnsi="Book Antiqua" w:cs="Arial"/>
          <w:b/>
          <w:sz w:val="24"/>
          <w:szCs w:val="24"/>
        </w:rPr>
        <w:lastRenderedPageBreak/>
        <w:t xml:space="preserve">Abstract </w:t>
      </w:r>
    </w:p>
    <w:p w:rsidR="00205BE1" w:rsidRDefault="00205BE1" w:rsidP="00AD7ECF">
      <w:pPr>
        <w:wordWrap/>
        <w:spacing w:line="360" w:lineRule="auto"/>
        <w:rPr>
          <w:rFonts w:ascii="Book Antiqua" w:hAnsi="Book Antiqua" w:cs="Arial"/>
          <w:sz w:val="24"/>
          <w:szCs w:val="24"/>
        </w:rPr>
      </w:pPr>
      <w:r w:rsidRPr="00934CE4">
        <w:rPr>
          <w:rFonts w:ascii="Book Antiqua" w:hAnsi="Book Antiqua" w:cs="Arial"/>
          <w:sz w:val="24"/>
          <w:szCs w:val="24"/>
        </w:rPr>
        <w:t xml:space="preserve">Guillain-Barre syndrome (GBS)-associated achalasia is a very rare disease of uncertain cause. We report the case of a patient diagnosed with GBS-associated type I achalasia who was successfully treated with peroral endoscopic myotomy (POEM). A 30-year-old man who was diagnosed with GBS 3 months before was referred to our department with dysphagia and meal-related regurgitation. The results of esophagography, endoscopy, and high-resolution manometry (HRM) revealed type I achalasia. POEM that utilized a submucosal tunneling technique was performed to treat the GBS-associated type I achalasia. After POEM, smooth passage of a contrast agent into the stomach was shown in follow-up esophagography, and follow-up HRM revealed a decrease in the mean integrated relaxation pressure (IRP) 22.9 mmHg to 9.6 mmHg. The patient remained without dysphagia for 7 </w:t>
      </w:r>
      <w:r w:rsidR="00AD7ECF">
        <w:rPr>
          <w:rFonts w:ascii="Book Antiqua" w:eastAsia="SimSun" w:hAnsi="Book Antiqua" w:cs="Arial" w:hint="eastAsia"/>
          <w:sz w:val="24"/>
          <w:szCs w:val="24"/>
          <w:lang w:eastAsia="zh-CN"/>
        </w:rPr>
        <w:t>mo</w:t>
      </w:r>
      <w:r w:rsidRPr="00934CE4">
        <w:rPr>
          <w:rFonts w:ascii="Book Antiqua" w:hAnsi="Book Antiqua" w:cs="Arial"/>
          <w:sz w:val="24"/>
          <w:szCs w:val="24"/>
        </w:rPr>
        <w:t>, even though the patient’s neurological problems were not fully resolved. POEM may be a safe and effective treatment for GBS-associated type I achalasia.</w:t>
      </w:r>
    </w:p>
    <w:p w:rsidR="00205BE1" w:rsidRDefault="00205BE1" w:rsidP="00AD7ECF">
      <w:pPr>
        <w:wordWrap/>
        <w:spacing w:line="360" w:lineRule="auto"/>
        <w:rPr>
          <w:rFonts w:ascii="Book Antiqua" w:hAnsi="Book Antiqua" w:cs="Arial"/>
          <w:sz w:val="24"/>
          <w:szCs w:val="24"/>
        </w:rPr>
      </w:pPr>
    </w:p>
    <w:p w:rsidR="00205BE1" w:rsidRDefault="00205BE1" w:rsidP="00AD7ECF">
      <w:pPr>
        <w:wordWrap/>
        <w:spacing w:line="360" w:lineRule="auto"/>
        <w:rPr>
          <w:rFonts w:ascii="Book Antiqua" w:hAnsi="Book Antiqua" w:cs="Arial"/>
          <w:sz w:val="24"/>
          <w:szCs w:val="24"/>
        </w:rPr>
      </w:pPr>
      <w:r w:rsidRPr="00934CE4">
        <w:rPr>
          <w:rFonts w:ascii="Book Antiqua" w:hAnsi="Book Antiqua" w:cs="Arial"/>
          <w:b/>
          <w:sz w:val="24"/>
          <w:szCs w:val="24"/>
        </w:rPr>
        <w:t>Key words:</w:t>
      </w:r>
      <w:r w:rsidRPr="00934CE4">
        <w:rPr>
          <w:rFonts w:ascii="Book Antiqua" w:hAnsi="Book Antiqua" w:cs="Arial"/>
          <w:sz w:val="24"/>
          <w:szCs w:val="24"/>
        </w:rPr>
        <w:t xml:space="preserve"> Peroral endoscopic myotomy; Achalasia; Guillain-Barre syndrome</w:t>
      </w:r>
    </w:p>
    <w:p w:rsidR="00205BE1" w:rsidRDefault="00205BE1" w:rsidP="00AD7ECF">
      <w:pPr>
        <w:wordWrap/>
        <w:spacing w:line="360" w:lineRule="auto"/>
        <w:rPr>
          <w:rFonts w:ascii="Book Antiqua" w:hAnsi="Book Antiqua" w:cs="Arial"/>
          <w:sz w:val="24"/>
          <w:szCs w:val="24"/>
        </w:rPr>
      </w:pPr>
    </w:p>
    <w:p w:rsidR="00205BE1" w:rsidRDefault="00D10422" w:rsidP="00AD7ECF">
      <w:pPr>
        <w:wordWrap/>
        <w:spacing w:line="360" w:lineRule="auto"/>
        <w:rPr>
          <w:rFonts w:ascii="Book Antiqua" w:hAnsi="Book Antiqua" w:cs="Arial"/>
          <w:sz w:val="24"/>
          <w:szCs w:val="24"/>
        </w:rPr>
      </w:pPr>
      <w:r w:rsidRPr="00AD7ECF">
        <w:rPr>
          <w:rFonts w:ascii="Book Antiqua" w:hAnsi="Book Antiqua" w:cs="Arial" w:hint="eastAsia"/>
          <w:b/>
          <w:sz w:val="24"/>
          <w:szCs w:val="24"/>
        </w:rPr>
        <w:t>©</w:t>
      </w:r>
      <w:r w:rsidRPr="00AD7ECF">
        <w:rPr>
          <w:rFonts w:ascii="Book Antiqua" w:hAnsi="Book Antiqua" w:cs="Arial"/>
          <w:b/>
          <w:sz w:val="24"/>
          <w:szCs w:val="24"/>
        </w:rPr>
        <w:t xml:space="preserve"> The Author(s) 201</w:t>
      </w:r>
      <w:r w:rsidRPr="00AD7ECF">
        <w:rPr>
          <w:rFonts w:ascii="Book Antiqua" w:hAnsi="Book Antiqua" w:cs="Arial" w:hint="eastAsia"/>
          <w:b/>
          <w:sz w:val="24"/>
          <w:szCs w:val="24"/>
        </w:rPr>
        <w:t>6</w:t>
      </w:r>
      <w:r w:rsidRPr="00AD7ECF">
        <w:rPr>
          <w:rFonts w:ascii="Book Antiqua" w:hAnsi="Book Antiqua" w:cs="Arial"/>
          <w:b/>
          <w:sz w:val="24"/>
          <w:szCs w:val="24"/>
        </w:rPr>
        <w:t>.</w:t>
      </w:r>
      <w:r w:rsidRPr="00D10422">
        <w:rPr>
          <w:rFonts w:ascii="Book Antiqua" w:hAnsi="Book Antiqua" w:cs="Arial"/>
          <w:sz w:val="24"/>
          <w:szCs w:val="24"/>
        </w:rPr>
        <w:t xml:space="preserve"> Published by Baishideng Publishing Group Inc. All rights reserved.</w:t>
      </w:r>
    </w:p>
    <w:p w:rsidR="00205BE1" w:rsidRPr="00D10422" w:rsidRDefault="00205BE1" w:rsidP="00AD7ECF">
      <w:pPr>
        <w:wordWrap/>
        <w:spacing w:line="360" w:lineRule="auto"/>
        <w:rPr>
          <w:rFonts w:ascii="Book Antiqua" w:hAnsi="Book Antiqua" w:cs="Arial"/>
          <w:sz w:val="24"/>
          <w:szCs w:val="24"/>
        </w:rPr>
      </w:pPr>
    </w:p>
    <w:p w:rsidR="00205BE1" w:rsidRDefault="00205BE1" w:rsidP="00AD7ECF">
      <w:pPr>
        <w:wordWrap/>
        <w:spacing w:line="360" w:lineRule="auto"/>
        <w:rPr>
          <w:rFonts w:ascii="Book Antiqua" w:hAnsi="Book Antiqua" w:cs="Arial"/>
          <w:sz w:val="24"/>
          <w:szCs w:val="24"/>
        </w:rPr>
      </w:pPr>
      <w:r w:rsidRPr="00934CE4">
        <w:rPr>
          <w:rFonts w:ascii="Book Antiqua" w:hAnsi="Book Antiqua" w:cs="Arial"/>
          <w:b/>
          <w:sz w:val="24"/>
          <w:szCs w:val="24"/>
        </w:rPr>
        <w:t xml:space="preserve">Core tip: </w:t>
      </w:r>
      <w:r w:rsidRPr="00934CE4">
        <w:rPr>
          <w:rFonts w:ascii="Book Antiqua" w:hAnsi="Book Antiqua" w:cs="Arial"/>
          <w:sz w:val="24"/>
          <w:szCs w:val="24"/>
        </w:rPr>
        <w:t>Guillain-Barre' syndrome (GBS)-associated achalasia is a rare disease of uncertain cause. Previously, a case of GBS-associated achalasia that was treated with pneumatic dilation was reported. However, pneumatic dilatation has about a 25</w:t>
      </w:r>
      <w:r w:rsidR="00AD7ECF">
        <w:rPr>
          <w:rFonts w:ascii="Book Antiqua" w:eastAsia="SimSun" w:hAnsi="Book Antiqua" w:cs="Arial" w:hint="eastAsia"/>
          <w:sz w:val="24"/>
          <w:szCs w:val="24"/>
          <w:lang w:eastAsia="zh-CN"/>
        </w:rPr>
        <w:t>%</w:t>
      </w:r>
      <w:r w:rsidRPr="00934CE4">
        <w:rPr>
          <w:rFonts w:ascii="Book Antiqua" w:hAnsi="Book Antiqua" w:cs="Arial"/>
          <w:sz w:val="24"/>
          <w:szCs w:val="24"/>
        </w:rPr>
        <w:t xml:space="preserve">–50% chance that the patient will require another procedure within five years. Here, we present a case of a patient diagnosed with GBS-associated type I achalasia who was successfully treated with </w:t>
      </w:r>
      <w:r w:rsidR="00AD7ECF" w:rsidRPr="00934CE4">
        <w:rPr>
          <w:rFonts w:ascii="Book Antiqua" w:hAnsi="Book Antiqua" w:cs="Arial"/>
          <w:sz w:val="24"/>
          <w:szCs w:val="24"/>
        </w:rPr>
        <w:t>peroral endoscopic myotomy</w:t>
      </w:r>
      <w:r w:rsidRPr="00934CE4">
        <w:rPr>
          <w:rFonts w:ascii="Book Antiqua" w:hAnsi="Book Antiqua" w:cs="Arial"/>
          <w:sz w:val="24"/>
          <w:szCs w:val="24"/>
        </w:rPr>
        <w:t>.</w:t>
      </w:r>
    </w:p>
    <w:p w:rsidR="00205BE1" w:rsidRDefault="00205BE1" w:rsidP="00AD7ECF">
      <w:pPr>
        <w:wordWrap/>
        <w:spacing w:line="360" w:lineRule="auto"/>
        <w:rPr>
          <w:rFonts w:ascii="Book Antiqua" w:hAnsi="Book Antiqua" w:cs="Arial"/>
          <w:sz w:val="24"/>
          <w:szCs w:val="24"/>
        </w:rPr>
      </w:pPr>
    </w:p>
    <w:p w:rsidR="00AD7ECF" w:rsidRPr="006645DC" w:rsidRDefault="004D5636" w:rsidP="006645DC">
      <w:pPr>
        <w:adjustRightInd w:val="0"/>
        <w:snapToGrid w:val="0"/>
        <w:spacing w:line="360" w:lineRule="auto"/>
        <w:rPr>
          <w:rFonts w:ascii="Book Antiqua" w:hAnsi="Book Antiqua"/>
          <w:sz w:val="24"/>
        </w:rPr>
      </w:pPr>
      <w:r w:rsidRPr="004D5636">
        <w:rPr>
          <w:rFonts w:ascii="Book Antiqua" w:hAnsi="Book Antiqua" w:cs="Arial"/>
          <w:sz w:val="24"/>
          <w:szCs w:val="24"/>
        </w:rPr>
        <w:t>Shin</w:t>
      </w:r>
      <w:r w:rsidR="00D10422">
        <w:rPr>
          <w:rFonts w:ascii="Book Antiqua" w:hAnsi="Book Antiqua" w:cs="Arial" w:hint="eastAsia"/>
          <w:sz w:val="24"/>
          <w:szCs w:val="24"/>
        </w:rPr>
        <w:t xml:space="preserve"> SK</w:t>
      </w:r>
      <w:r w:rsidRPr="004D5636">
        <w:rPr>
          <w:rFonts w:ascii="Book Antiqua" w:hAnsi="Book Antiqua" w:cs="Arial"/>
          <w:sz w:val="24"/>
          <w:szCs w:val="24"/>
        </w:rPr>
        <w:t>, Kim</w:t>
      </w:r>
      <w:r w:rsidR="00D10422">
        <w:rPr>
          <w:rFonts w:ascii="Book Antiqua" w:hAnsi="Book Antiqua" w:cs="Arial" w:hint="eastAsia"/>
          <w:sz w:val="24"/>
          <w:szCs w:val="24"/>
        </w:rPr>
        <w:t xml:space="preserve"> KO</w:t>
      </w:r>
      <w:r w:rsidRPr="004D5636">
        <w:rPr>
          <w:rFonts w:ascii="Book Antiqua" w:hAnsi="Book Antiqua" w:cs="Arial"/>
          <w:sz w:val="24"/>
          <w:szCs w:val="24"/>
        </w:rPr>
        <w:t>, Kim</w:t>
      </w:r>
      <w:r w:rsidR="00D10422">
        <w:rPr>
          <w:rFonts w:ascii="Book Antiqua" w:hAnsi="Book Antiqua" w:cs="Arial" w:hint="eastAsia"/>
          <w:sz w:val="24"/>
          <w:szCs w:val="24"/>
        </w:rPr>
        <w:t xml:space="preserve"> EJ</w:t>
      </w:r>
      <w:r w:rsidRPr="004D5636">
        <w:rPr>
          <w:rFonts w:ascii="Book Antiqua" w:hAnsi="Book Antiqua" w:cs="Arial"/>
          <w:sz w:val="24"/>
          <w:szCs w:val="24"/>
        </w:rPr>
        <w:t xml:space="preserve">, Kim </w:t>
      </w:r>
      <w:r w:rsidR="00D10422">
        <w:rPr>
          <w:rFonts w:ascii="Book Antiqua" w:hAnsi="Book Antiqua" w:cs="Arial" w:hint="eastAsia"/>
          <w:sz w:val="24"/>
          <w:szCs w:val="24"/>
        </w:rPr>
        <w:t>SY</w:t>
      </w:r>
      <w:r w:rsidRPr="004D5636">
        <w:rPr>
          <w:rFonts w:ascii="Book Antiqua" w:hAnsi="Book Antiqua" w:cs="Arial"/>
          <w:sz w:val="24"/>
          <w:szCs w:val="24"/>
        </w:rPr>
        <w:t>, Kim</w:t>
      </w:r>
      <w:r w:rsidR="00D10422">
        <w:rPr>
          <w:rFonts w:ascii="Book Antiqua" w:hAnsi="Book Antiqua" w:cs="Arial" w:hint="eastAsia"/>
          <w:sz w:val="24"/>
          <w:szCs w:val="24"/>
        </w:rPr>
        <w:t xml:space="preserve"> JH</w:t>
      </w:r>
      <w:r w:rsidRPr="004D5636">
        <w:rPr>
          <w:rFonts w:ascii="Book Antiqua" w:hAnsi="Book Antiqua" w:cs="Arial"/>
          <w:sz w:val="24"/>
          <w:szCs w:val="24"/>
        </w:rPr>
        <w:t>, Kim</w:t>
      </w:r>
      <w:r w:rsidR="00D10422">
        <w:rPr>
          <w:rFonts w:ascii="Book Antiqua" w:hAnsi="Book Antiqua" w:cs="Arial" w:hint="eastAsia"/>
          <w:sz w:val="24"/>
          <w:szCs w:val="24"/>
        </w:rPr>
        <w:t xml:space="preserve"> YJ</w:t>
      </w:r>
      <w:r w:rsidRPr="004D5636">
        <w:rPr>
          <w:rFonts w:ascii="Book Antiqua" w:hAnsi="Book Antiqua" w:cs="Arial"/>
          <w:sz w:val="24"/>
          <w:szCs w:val="24"/>
        </w:rPr>
        <w:t>, Chung</w:t>
      </w:r>
      <w:r w:rsidR="00D10422">
        <w:rPr>
          <w:rFonts w:ascii="Book Antiqua" w:hAnsi="Book Antiqua" w:cs="Arial" w:hint="eastAsia"/>
          <w:sz w:val="24"/>
          <w:szCs w:val="24"/>
        </w:rPr>
        <w:t xml:space="preserve"> JW</w:t>
      </w:r>
      <w:r w:rsidRPr="004D5636">
        <w:rPr>
          <w:rFonts w:ascii="Book Antiqua" w:hAnsi="Book Antiqua" w:cs="Arial"/>
          <w:sz w:val="24"/>
          <w:szCs w:val="24"/>
        </w:rPr>
        <w:t>, Kwon</w:t>
      </w:r>
      <w:r w:rsidR="00D10422">
        <w:rPr>
          <w:rFonts w:ascii="Book Antiqua" w:hAnsi="Book Antiqua" w:cs="Arial" w:hint="eastAsia"/>
          <w:sz w:val="24"/>
          <w:szCs w:val="24"/>
        </w:rPr>
        <w:t xml:space="preserve"> KA</w:t>
      </w:r>
      <w:r w:rsidRPr="004D5636">
        <w:rPr>
          <w:rFonts w:ascii="Book Antiqua" w:hAnsi="Book Antiqua" w:cs="Arial"/>
          <w:sz w:val="24"/>
          <w:szCs w:val="24"/>
        </w:rPr>
        <w:t>, Park</w:t>
      </w:r>
      <w:r w:rsidR="00D10422">
        <w:rPr>
          <w:rFonts w:ascii="Book Antiqua" w:hAnsi="Book Antiqua" w:cs="Arial" w:hint="eastAsia"/>
          <w:sz w:val="24"/>
          <w:szCs w:val="24"/>
        </w:rPr>
        <w:t xml:space="preserve"> DK</w:t>
      </w:r>
      <w:r w:rsidR="00205BE1" w:rsidRPr="00934CE4">
        <w:rPr>
          <w:rFonts w:ascii="Book Antiqua" w:hAnsi="Book Antiqua" w:cs="Arial"/>
          <w:sz w:val="24"/>
          <w:szCs w:val="24"/>
        </w:rPr>
        <w:t>. Peroral endoscopic myotomy for treatment of Guillain-Barre syndrome-associated achalasia: A rare case.</w:t>
      </w:r>
      <w:r w:rsidR="00AD7ECF">
        <w:rPr>
          <w:rFonts w:ascii="Book Antiqua" w:eastAsia="SimSun" w:hAnsi="Book Antiqua" w:cs="Arial" w:hint="eastAsia"/>
          <w:sz w:val="24"/>
          <w:szCs w:val="24"/>
          <w:lang w:eastAsia="zh-CN"/>
        </w:rPr>
        <w:t xml:space="preserve"> </w:t>
      </w:r>
      <w:bookmarkStart w:id="21" w:name="OLE_LINK424"/>
      <w:bookmarkStart w:id="22" w:name="OLE_LINK425"/>
      <w:r w:rsidR="00AD7ECF" w:rsidRPr="00712F63">
        <w:rPr>
          <w:rFonts w:ascii="Book Antiqua" w:hAnsi="Book Antiqua"/>
          <w:i/>
          <w:sz w:val="24"/>
        </w:rPr>
        <w:t>World J Gastroenterol</w:t>
      </w:r>
      <w:r w:rsidR="00AD7ECF" w:rsidRPr="00712F63">
        <w:rPr>
          <w:rFonts w:ascii="Book Antiqua" w:hAnsi="Book Antiqua"/>
          <w:sz w:val="24"/>
        </w:rPr>
        <w:t xml:space="preserve"> 201</w:t>
      </w:r>
      <w:r w:rsidR="00AD7ECF">
        <w:rPr>
          <w:rFonts w:ascii="Book Antiqua" w:hAnsi="Book Antiqua" w:hint="eastAsia"/>
          <w:sz w:val="24"/>
        </w:rPr>
        <w:t>6</w:t>
      </w:r>
      <w:r w:rsidR="00AD7ECF" w:rsidRPr="00712F63">
        <w:rPr>
          <w:rFonts w:ascii="Book Antiqua" w:hAnsi="Book Antiqua"/>
          <w:sz w:val="24"/>
        </w:rPr>
        <w:t xml:space="preserve">; </w:t>
      </w:r>
      <w:bookmarkStart w:id="23" w:name="OLE_LINK1689"/>
      <w:bookmarkStart w:id="24" w:name="OLE_LINK1298"/>
      <w:bookmarkStart w:id="25" w:name="OLE_LINK1297"/>
      <w:r w:rsidR="00AD7ECF" w:rsidRPr="00712F63">
        <w:rPr>
          <w:rFonts w:ascii="Book Antiqua" w:hAnsi="Book Antiqua"/>
          <w:sz w:val="24"/>
        </w:rPr>
        <w:t>In press</w:t>
      </w:r>
      <w:bookmarkEnd w:id="21"/>
      <w:bookmarkEnd w:id="22"/>
      <w:bookmarkEnd w:id="23"/>
      <w:bookmarkEnd w:id="24"/>
      <w:bookmarkEnd w:id="25"/>
      <w:r w:rsidR="00AD7ECF">
        <w:rPr>
          <w:rFonts w:ascii="Book Antiqua" w:eastAsia="SimSun" w:hAnsi="Book Antiqua" w:cs="Arial"/>
          <w:sz w:val="24"/>
          <w:szCs w:val="24"/>
          <w:lang w:eastAsia="zh-CN"/>
        </w:rPr>
        <w:br w:type="page"/>
      </w:r>
    </w:p>
    <w:p w:rsidR="00205BE1" w:rsidRDefault="00205BE1" w:rsidP="00AD7ECF">
      <w:pPr>
        <w:wordWrap/>
        <w:spacing w:line="360" w:lineRule="auto"/>
        <w:rPr>
          <w:rFonts w:ascii="Book Antiqua" w:hAnsi="Book Antiqua" w:cs="Arial"/>
          <w:b/>
          <w:sz w:val="24"/>
          <w:szCs w:val="24"/>
        </w:rPr>
      </w:pPr>
      <w:r w:rsidRPr="00934CE4">
        <w:rPr>
          <w:rFonts w:ascii="Book Antiqua" w:hAnsi="Book Antiqua" w:cs="Arial"/>
          <w:b/>
          <w:sz w:val="24"/>
          <w:szCs w:val="24"/>
        </w:rPr>
        <w:lastRenderedPageBreak/>
        <w:t>INTRODUCTION</w:t>
      </w:r>
    </w:p>
    <w:p w:rsidR="00205BE1" w:rsidRDefault="00205BE1" w:rsidP="00AD7ECF">
      <w:pPr>
        <w:wordWrap/>
        <w:spacing w:line="360" w:lineRule="auto"/>
        <w:rPr>
          <w:rFonts w:ascii="Book Antiqua" w:hAnsi="Book Antiqua" w:cs="Arial"/>
          <w:sz w:val="24"/>
          <w:szCs w:val="24"/>
        </w:rPr>
      </w:pPr>
      <w:r w:rsidRPr="00934CE4">
        <w:rPr>
          <w:rFonts w:ascii="Book Antiqua" w:hAnsi="Book Antiqua" w:cs="Arial"/>
          <w:sz w:val="24"/>
          <w:szCs w:val="24"/>
        </w:rPr>
        <w:t>Guillain-Barré syndrome (GBS) is an immune-mediated polyradiculoneuropathy characterized by rapidly progressive, symmetrical, ascending weakness and sensory loss.</w:t>
      </w:r>
      <w:r>
        <w:rPr>
          <w:rFonts w:ascii="Book Antiqua" w:hAnsi="Book Antiqua" w:cs="Arial" w:hint="eastAsia"/>
          <w:sz w:val="24"/>
          <w:szCs w:val="24"/>
        </w:rPr>
        <w:t xml:space="preserve"> </w:t>
      </w:r>
      <w:r w:rsidRPr="00934CE4">
        <w:rPr>
          <w:rFonts w:ascii="Book Antiqua" w:hAnsi="Book Antiqua" w:cs="Arial"/>
          <w:sz w:val="24"/>
          <w:szCs w:val="24"/>
        </w:rPr>
        <w:t>It is usually triggered by an infection, such as upper respiratory tract infection or gastroenteritis</w:t>
      </w:r>
      <w:r w:rsidRPr="00934CE4">
        <w:rPr>
          <w:rFonts w:ascii="Book Antiqua" w:hAnsi="Book Antiqua" w:cs="Arial"/>
          <w:sz w:val="24"/>
          <w:szCs w:val="24"/>
          <w:vertAlign w:val="superscript"/>
        </w:rPr>
        <w:t>[1]</w:t>
      </w:r>
      <w:r w:rsidRPr="00934CE4">
        <w:rPr>
          <w:rFonts w:ascii="Book Antiqua" w:hAnsi="Book Antiqua" w:cs="Arial"/>
          <w:sz w:val="24"/>
          <w:szCs w:val="24"/>
        </w:rPr>
        <w:t>.</w:t>
      </w:r>
      <w:r>
        <w:rPr>
          <w:rFonts w:ascii="Book Antiqua" w:hAnsi="Book Antiqua" w:cs="Arial" w:hint="eastAsia"/>
          <w:sz w:val="24"/>
          <w:szCs w:val="24"/>
        </w:rPr>
        <w:t xml:space="preserve"> </w:t>
      </w:r>
      <w:r w:rsidRPr="00934CE4">
        <w:rPr>
          <w:rFonts w:ascii="Book Antiqua" w:hAnsi="Book Antiqua" w:cs="Arial"/>
          <w:sz w:val="24"/>
          <w:szCs w:val="24"/>
        </w:rPr>
        <w:t>GBS-associated achalasia is a very rare condition of uncertain cause. Previously, a case of GBS-associated achalasia that was treated with pneumatic dilation was reported</w:t>
      </w:r>
      <w:r w:rsidRPr="00934CE4">
        <w:rPr>
          <w:rFonts w:ascii="Book Antiqua" w:hAnsi="Book Antiqua" w:cs="Arial"/>
          <w:sz w:val="24"/>
          <w:szCs w:val="24"/>
          <w:vertAlign w:val="superscript"/>
        </w:rPr>
        <w:t>[2]</w:t>
      </w:r>
      <w:r>
        <w:rPr>
          <w:rFonts w:ascii="Book Antiqua" w:hAnsi="Book Antiqua" w:cs="Arial" w:hint="eastAsia"/>
          <w:sz w:val="24"/>
          <w:szCs w:val="24"/>
        </w:rPr>
        <w:t>.</w:t>
      </w:r>
      <w:r w:rsidRPr="00934CE4">
        <w:rPr>
          <w:rFonts w:ascii="Book Antiqua" w:hAnsi="Book Antiqua" w:cs="Arial"/>
          <w:sz w:val="24"/>
          <w:szCs w:val="24"/>
        </w:rPr>
        <w:t xml:space="preserve"> However, pneumatic dilatation has about a 25</w:t>
      </w:r>
      <w:r w:rsidR="00AD7ECF">
        <w:rPr>
          <w:rFonts w:ascii="Book Antiqua" w:eastAsia="SimSun" w:hAnsi="Book Antiqua" w:cs="Arial" w:hint="eastAsia"/>
          <w:sz w:val="24"/>
          <w:szCs w:val="24"/>
          <w:lang w:eastAsia="zh-CN"/>
        </w:rPr>
        <w:t>%</w:t>
      </w:r>
      <w:r w:rsidRPr="00934CE4">
        <w:rPr>
          <w:rFonts w:ascii="Book Antiqua" w:hAnsi="Book Antiqua" w:cs="Arial"/>
          <w:sz w:val="24"/>
          <w:szCs w:val="24"/>
        </w:rPr>
        <w:t>–50% chance that the patient will require another procedure within five years</w:t>
      </w:r>
      <w:r w:rsidRPr="00934CE4">
        <w:rPr>
          <w:rFonts w:ascii="Book Antiqua" w:hAnsi="Book Antiqua" w:cs="Arial"/>
          <w:sz w:val="24"/>
          <w:szCs w:val="24"/>
          <w:vertAlign w:val="superscript"/>
        </w:rPr>
        <w:t>[3,4]</w:t>
      </w:r>
      <w:r>
        <w:rPr>
          <w:rFonts w:ascii="Book Antiqua" w:hAnsi="Book Antiqua" w:cs="Arial" w:hint="eastAsia"/>
          <w:sz w:val="24"/>
          <w:szCs w:val="24"/>
        </w:rPr>
        <w:t>.</w:t>
      </w:r>
      <w:r w:rsidRPr="00934CE4">
        <w:rPr>
          <w:rFonts w:ascii="Book Antiqua" w:hAnsi="Book Antiqua" w:cs="Arial"/>
          <w:sz w:val="24"/>
          <w:szCs w:val="24"/>
        </w:rPr>
        <w:t xml:space="preserve"> </w:t>
      </w:r>
      <w:r w:rsidRPr="00934CE4">
        <w:rPr>
          <w:rStyle w:val="element-citation"/>
          <w:rFonts w:ascii="Book Antiqua" w:hAnsi="Book Antiqua" w:cs="Arial"/>
          <w:sz w:val="24"/>
          <w:szCs w:val="24"/>
        </w:rPr>
        <w:t xml:space="preserve">Recently, </w:t>
      </w:r>
      <w:r w:rsidRPr="00934CE4">
        <w:rPr>
          <w:rFonts w:ascii="Book Antiqua" w:hAnsi="Book Antiqua" w:cs="Arial"/>
          <w:sz w:val="24"/>
          <w:szCs w:val="24"/>
        </w:rPr>
        <w:t>peroral endoscopic myotomy (</w:t>
      </w:r>
      <w:r w:rsidRPr="00934CE4">
        <w:rPr>
          <w:rStyle w:val="element-citation"/>
          <w:rFonts w:ascii="Book Antiqua" w:hAnsi="Book Antiqua" w:cs="Arial"/>
          <w:sz w:val="24"/>
          <w:szCs w:val="24"/>
        </w:rPr>
        <w:t>POEM) has emerged as a safe and effective technique that can adequately treat achalasia.</w:t>
      </w:r>
      <w:r>
        <w:rPr>
          <w:rStyle w:val="element-citation"/>
          <w:rFonts w:ascii="Book Antiqua" w:hAnsi="Book Antiqua" w:cs="Arial" w:hint="eastAsia"/>
          <w:sz w:val="24"/>
          <w:szCs w:val="24"/>
        </w:rPr>
        <w:t xml:space="preserve"> </w:t>
      </w:r>
      <w:r w:rsidRPr="00934CE4">
        <w:rPr>
          <w:rFonts w:ascii="Book Antiqua" w:hAnsi="Book Antiqua" w:cs="Arial"/>
          <w:sz w:val="24"/>
          <w:szCs w:val="24"/>
        </w:rPr>
        <w:t>Here, we present a case in which a patient diagnosed with GBS-associated type I achalasia was successfully treated with POEM.</w:t>
      </w:r>
    </w:p>
    <w:p w:rsidR="00205BE1" w:rsidRDefault="00205BE1" w:rsidP="00AD7ECF">
      <w:pPr>
        <w:wordWrap/>
        <w:spacing w:line="360" w:lineRule="auto"/>
        <w:rPr>
          <w:rFonts w:ascii="Book Antiqua" w:hAnsi="Book Antiqua" w:cs="Arial"/>
          <w:sz w:val="24"/>
          <w:szCs w:val="24"/>
        </w:rPr>
      </w:pPr>
    </w:p>
    <w:p w:rsidR="00205BE1" w:rsidRDefault="00205BE1" w:rsidP="00AD7ECF">
      <w:pPr>
        <w:wordWrap/>
        <w:spacing w:line="360" w:lineRule="auto"/>
        <w:rPr>
          <w:rFonts w:ascii="Book Antiqua" w:hAnsi="Book Antiqua" w:cs="Arial"/>
          <w:b/>
          <w:sz w:val="24"/>
          <w:szCs w:val="24"/>
        </w:rPr>
      </w:pPr>
      <w:r w:rsidRPr="00934CE4">
        <w:rPr>
          <w:rFonts w:ascii="Book Antiqua" w:hAnsi="Book Antiqua" w:cs="Arial"/>
          <w:b/>
          <w:sz w:val="24"/>
          <w:szCs w:val="24"/>
        </w:rPr>
        <w:t>CASE REPORT</w:t>
      </w:r>
    </w:p>
    <w:p w:rsidR="00205BE1" w:rsidRDefault="00205BE1" w:rsidP="00AD7ECF">
      <w:pPr>
        <w:wordWrap/>
        <w:spacing w:line="360" w:lineRule="auto"/>
        <w:rPr>
          <w:rFonts w:ascii="Book Antiqua" w:hAnsi="Book Antiqua" w:cs="Arial"/>
          <w:sz w:val="24"/>
          <w:szCs w:val="24"/>
        </w:rPr>
      </w:pPr>
      <w:r w:rsidRPr="00934CE4">
        <w:rPr>
          <w:rFonts w:ascii="Book Antiqua" w:hAnsi="Book Antiqua" w:cs="Arial"/>
          <w:sz w:val="24"/>
          <w:szCs w:val="24"/>
        </w:rPr>
        <w:t xml:space="preserve">A 30-year-old man was referred to our department with dysphagia and meal-related regurgitation, with a baseline Eckardt symptom score of 11. Three months before, he had suffered from progressive quadriparesis, dysarthria, and facial palsy following gastrointestinal illness that he had about 10 </w:t>
      </w:r>
      <w:r w:rsidR="00AD7ECF">
        <w:rPr>
          <w:rFonts w:ascii="Book Antiqua" w:eastAsia="SimSun" w:hAnsi="Book Antiqua" w:cs="Arial" w:hint="eastAsia"/>
          <w:sz w:val="24"/>
          <w:szCs w:val="24"/>
          <w:lang w:eastAsia="zh-CN"/>
        </w:rPr>
        <w:t>d</w:t>
      </w:r>
      <w:r w:rsidRPr="00934CE4">
        <w:rPr>
          <w:rFonts w:ascii="Book Antiqua" w:hAnsi="Book Antiqua" w:cs="Arial"/>
          <w:sz w:val="24"/>
          <w:szCs w:val="24"/>
        </w:rPr>
        <w:t xml:space="preserve"> prior. With the characteristic protein-cell count differentiation of albuminocytologic dissociation detected via cerebrospinal fluid analysis (protein 73.4mg/dL, WBC 8</w:t>
      </w:r>
      <w:r w:rsidRPr="00934CE4">
        <w:rPr>
          <w:rFonts w:ascii="Book Antiqua" w:hAnsi="Book Antiqua"/>
          <w:sz w:val="24"/>
          <w:szCs w:val="24"/>
        </w:rPr>
        <w:t xml:space="preserve"> </w:t>
      </w:r>
      <w:r w:rsidRPr="00934CE4">
        <w:rPr>
          <w:rFonts w:ascii="Book Antiqua" w:hAnsi="Book Antiqua" w:cs="Arial"/>
          <w:sz w:val="24"/>
          <w:szCs w:val="24"/>
        </w:rPr>
        <w:t>/mm</w:t>
      </w:r>
      <w:r w:rsidRPr="00934CE4">
        <w:rPr>
          <w:rFonts w:ascii="Book Antiqua" w:hAnsi="Book Antiqua" w:cs="Arial"/>
          <w:sz w:val="24"/>
          <w:szCs w:val="24"/>
          <w:vertAlign w:val="superscript"/>
        </w:rPr>
        <w:t>3</w:t>
      </w:r>
      <w:r w:rsidRPr="00934CE4">
        <w:rPr>
          <w:rFonts w:ascii="Book Antiqua" w:hAnsi="Book Antiqua" w:cs="Arial"/>
          <w:sz w:val="24"/>
          <w:szCs w:val="24"/>
        </w:rPr>
        <w:t xml:space="preserve">) and high titer of the serum IgM antibody to GD1b, in addition to nerve conduction studies, a diagnosis of GBS was made. Despite receiving five days of intravenous immunoglobulin therapy immediately after the diagnosis of GBS, the patient’s neurological problems had not recovered, and swallowing difficulty was worsening. His family history was unremarkable. </w:t>
      </w:r>
      <w:r w:rsidRPr="00934CE4">
        <w:rPr>
          <w:rStyle w:val="Emphasis"/>
          <w:rFonts w:ascii="Book Antiqua" w:hAnsi="Book Antiqua" w:cs="Arial"/>
          <w:b w:val="0"/>
          <w:sz w:val="24"/>
          <w:szCs w:val="24"/>
        </w:rPr>
        <w:t>Abdominal examinations</w:t>
      </w:r>
      <w:r w:rsidRPr="00934CE4">
        <w:rPr>
          <w:rStyle w:val="st1"/>
          <w:rFonts w:ascii="Book Antiqua" w:hAnsi="Book Antiqua" w:cs="Arial"/>
          <w:sz w:val="24"/>
          <w:szCs w:val="24"/>
        </w:rPr>
        <w:t xml:space="preserve"> showed normal bowel sounds, </w:t>
      </w:r>
      <w:r w:rsidRPr="00934CE4">
        <w:rPr>
          <w:rStyle w:val="Emphasis"/>
          <w:rFonts w:ascii="Book Antiqua" w:hAnsi="Book Antiqua" w:cs="Arial"/>
          <w:b w:val="0"/>
          <w:sz w:val="24"/>
          <w:szCs w:val="24"/>
        </w:rPr>
        <w:t>no palpable masses, and</w:t>
      </w:r>
      <w:r w:rsidRPr="00934CE4">
        <w:rPr>
          <w:rStyle w:val="st1"/>
          <w:rFonts w:ascii="Book Antiqua" w:hAnsi="Book Antiqua" w:cs="Arial"/>
          <w:b/>
          <w:sz w:val="24"/>
          <w:szCs w:val="24"/>
        </w:rPr>
        <w:t xml:space="preserve"> </w:t>
      </w:r>
      <w:r w:rsidRPr="00934CE4">
        <w:rPr>
          <w:rStyle w:val="Emphasis"/>
          <w:rFonts w:ascii="Book Antiqua" w:hAnsi="Book Antiqua" w:cs="Arial"/>
          <w:b w:val="0"/>
          <w:sz w:val="24"/>
          <w:szCs w:val="24"/>
        </w:rPr>
        <w:t xml:space="preserve">no organomegaly. </w:t>
      </w:r>
      <w:r w:rsidRPr="00934CE4">
        <w:rPr>
          <w:rFonts w:ascii="Book Antiqua" w:hAnsi="Book Antiqua" w:cs="Arial"/>
          <w:sz w:val="24"/>
          <w:szCs w:val="24"/>
        </w:rPr>
        <w:t xml:space="preserve">Laboratory tests revealed normocytic normochromic anemia, with a hemoglobin level of 11.1 g/dL. The results of liver and renal function tests were within normal limits. A videofluoroscopic swallowing study (VFSS) on day 30 showed dysfunctional oropharyngeal transfer of the barium paste, subglottic aspiration of the liquid barium, and decreased esophageal peristaltic movement. Oromotor facilitation and electrical stimulation therapy to the pharyngeal muscles </w:t>
      </w:r>
      <w:r w:rsidRPr="00934CE4">
        <w:rPr>
          <w:rFonts w:ascii="Book Antiqua" w:hAnsi="Book Antiqua" w:cs="Arial"/>
          <w:sz w:val="24"/>
          <w:szCs w:val="24"/>
        </w:rPr>
        <w:lastRenderedPageBreak/>
        <w:t>were performed for the swallowing difficulty. A follow-up VFSS on day 71 showed slight improvement of the oropharyngeal transfer of barium paste. However, decreased esophageal peristaltic movement was still present, and the dysphagia was aggravated.</w:t>
      </w:r>
      <w:r>
        <w:rPr>
          <w:rFonts w:ascii="Book Antiqua" w:hAnsi="Book Antiqua" w:cs="Arial" w:hint="eastAsia"/>
          <w:sz w:val="24"/>
          <w:szCs w:val="24"/>
        </w:rPr>
        <w:t xml:space="preserve"> </w:t>
      </w:r>
      <w:r w:rsidRPr="00934CE4">
        <w:rPr>
          <w:rFonts w:ascii="Book Antiqua" w:hAnsi="Book Antiqua" w:cs="Arial"/>
          <w:sz w:val="24"/>
          <w:szCs w:val="24"/>
        </w:rPr>
        <w:t>On day 93, subtle dilated distal esophageal lumen with acute tapering at the lower esophageal sphincter and narrowing at the esophagogastric junction was shown through esophagography (Figure 1), and dilation of the esophageal lumen and retention of food remnants in the esophagus were identified during endoscopy (Figure 2). A mean integrated relaxation pressure (IRP) of 22.9 mmHg over test swallows with absent peristalsis was shown in high-resolution manometry (HRM) (Figure 3).</w:t>
      </w:r>
      <w:r>
        <w:rPr>
          <w:rFonts w:ascii="Book Antiqua" w:hAnsi="Book Antiqua" w:cs="Arial" w:hint="eastAsia"/>
          <w:sz w:val="24"/>
          <w:szCs w:val="24"/>
        </w:rPr>
        <w:t xml:space="preserve"> </w:t>
      </w:r>
      <w:r w:rsidRPr="00934CE4">
        <w:rPr>
          <w:rFonts w:ascii="Book Antiqua" w:hAnsi="Book Antiqua" w:cs="Arial"/>
          <w:sz w:val="24"/>
          <w:szCs w:val="24"/>
        </w:rPr>
        <w:t>POEM was performed in the operating room under general anesthesia to treat GBS-associated type I achalasia (Figure 4). To summarize, it consisted of four steps: longitudinal mucosal incision, creation of a submucosal tunnel extending towards the gastroesophageal junction, selective myotomy of the circular muscle fibers, and mucosal closure by clip.</w:t>
      </w:r>
      <w:r>
        <w:rPr>
          <w:rFonts w:ascii="Book Antiqua" w:hAnsi="Book Antiqua" w:cs="Arial" w:hint="eastAsia"/>
          <w:sz w:val="24"/>
          <w:szCs w:val="24"/>
        </w:rPr>
        <w:t xml:space="preserve"> </w:t>
      </w:r>
      <w:r w:rsidRPr="00934CE4">
        <w:rPr>
          <w:rFonts w:ascii="Book Antiqua" w:hAnsi="Book Antiqua" w:cs="Arial"/>
          <w:sz w:val="24"/>
          <w:szCs w:val="24"/>
        </w:rPr>
        <w:t xml:space="preserve">After the treatment, smooth passage of a contrast agent into the stomach was shown in follow-up esophagography (Figure 5), and follow-up HRM showed that the mean IRP decreased to 9.6 mmHg (Figure 6). The endoscope could be passed without resistance at 2 </w:t>
      </w:r>
      <w:r w:rsidR="00AD7ECF">
        <w:rPr>
          <w:rFonts w:ascii="Book Antiqua" w:eastAsia="SimSun" w:hAnsi="Book Antiqua" w:cs="Arial" w:hint="eastAsia"/>
          <w:sz w:val="24"/>
          <w:szCs w:val="24"/>
          <w:lang w:eastAsia="zh-CN"/>
        </w:rPr>
        <w:t>mo</w:t>
      </w:r>
      <w:r w:rsidRPr="00934CE4">
        <w:rPr>
          <w:rFonts w:ascii="Book Antiqua" w:hAnsi="Book Antiqua" w:cs="Arial"/>
          <w:sz w:val="24"/>
          <w:szCs w:val="24"/>
        </w:rPr>
        <w:t xml:space="preserve"> after the procedure. The patient’s Eckardt symptom score decreased to 2. Although the patient’s neurological problems were not fully recovered at 10 </w:t>
      </w:r>
      <w:r w:rsidR="00AD7ECF">
        <w:rPr>
          <w:rFonts w:ascii="Book Antiqua" w:eastAsia="SimSun" w:hAnsi="Book Antiqua" w:cs="Arial" w:hint="eastAsia"/>
          <w:sz w:val="24"/>
          <w:szCs w:val="24"/>
          <w:lang w:eastAsia="zh-CN"/>
        </w:rPr>
        <w:t>mo</w:t>
      </w:r>
      <w:r w:rsidR="00AD7ECF" w:rsidRPr="00934CE4">
        <w:rPr>
          <w:rFonts w:ascii="Book Antiqua" w:hAnsi="Book Antiqua" w:cs="Arial"/>
          <w:sz w:val="24"/>
          <w:szCs w:val="24"/>
        </w:rPr>
        <w:t xml:space="preserve"> </w:t>
      </w:r>
      <w:r w:rsidRPr="00934CE4">
        <w:rPr>
          <w:rFonts w:ascii="Book Antiqua" w:hAnsi="Book Antiqua" w:cs="Arial"/>
          <w:sz w:val="24"/>
          <w:szCs w:val="24"/>
        </w:rPr>
        <w:t>after diagnosis of GBS</w:t>
      </w:r>
      <w:r w:rsidRPr="00934CE4">
        <w:rPr>
          <w:rFonts w:ascii="Book Antiqua" w:hAnsi="Book Antiqua" w:cs="Arial"/>
          <w:b/>
          <w:sz w:val="24"/>
          <w:szCs w:val="24"/>
        </w:rPr>
        <w:t>,</w:t>
      </w:r>
      <w:r w:rsidRPr="00934CE4">
        <w:rPr>
          <w:rFonts w:ascii="Book Antiqua" w:hAnsi="Book Antiqua" w:cs="Arial"/>
          <w:b/>
          <w:color w:val="FF0000"/>
          <w:sz w:val="24"/>
          <w:szCs w:val="24"/>
        </w:rPr>
        <w:t xml:space="preserve"> </w:t>
      </w:r>
      <w:r w:rsidRPr="00934CE4">
        <w:rPr>
          <w:rFonts w:ascii="Book Antiqua" w:hAnsi="Book Antiqua" w:cs="Arial"/>
          <w:sz w:val="24"/>
          <w:szCs w:val="24"/>
        </w:rPr>
        <w:t xml:space="preserve">he could eat a soft diet without problems for 7 </w:t>
      </w:r>
      <w:r w:rsidR="00AD7ECF">
        <w:rPr>
          <w:rFonts w:ascii="Book Antiqua" w:eastAsia="SimSun" w:hAnsi="Book Antiqua" w:cs="Arial" w:hint="eastAsia"/>
          <w:sz w:val="24"/>
          <w:szCs w:val="24"/>
          <w:lang w:eastAsia="zh-CN"/>
        </w:rPr>
        <w:t>mo</w:t>
      </w:r>
      <w:r w:rsidR="00AD7ECF" w:rsidRPr="00934CE4">
        <w:rPr>
          <w:rFonts w:ascii="Book Antiqua" w:hAnsi="Book Antiqua" w:cs="Arial"/>
          <w:sz w:val="24"/>
          <w:szCs w:val="24"/>
        </w:rPr>
        <w:t xml:space="preserve"> </w:t>
      </w:r>
      <w:r w:rsidRPr="00934CE4">
        <w:rPr>
          <w:rFonts w:ascii="Book Antiqua" w:hAnsi="Book Antiqua" w:cs="Arial"/>
          <w:sz w:val="24"/>
          <w:szCs w:val="24"/>
        </w:rPr>
        <w:t xml:space="preserve">after POEM. </w:t>
      </w:r>
    </w:p>
    <w:p w:rsidR="00205BE1" w:rsidRDefault="00205BE1" w:rsidP="00AD7ECF">
      <w:pPr>
        <w:wordWrap/>
        <w:spacing w:line="360" w:lineRule="auto"/>
        <w:rPr>
          <w:rFonts w:ascii="Book Antiqua" w:hAnsi="Book Antiqua" w:cs="Arial"/>
          <w:sz w:val="24"/>
          <w:szCs w:val="24"/>
        </w:rPr>
      </w:pPr>
    </w:p>
    <w:p w:rsidR="00205BE1" w:rsidRDefault="00205BE1" w:rsidP="00AD7ECF">
      <w:pPr>
        <w:wordWrap/>
        <w:spacing w:line="360" w:lineRule="auto"/>
        <w:rPr>
          <w:rFonts w:ascii="Book Antiqua" w:hAnsi="Book Antiqua" w:cs="Arial"/>
          <w:b/>
          <w:sz w:val="24"/>
          <w:szCs w:val="24"/>
        </w:rPr>
      </w:pPr>
      <w:r w:rsidRPr="00934CE4">
        <w:rPr>
          <w:rFonts w:ascii="Book Antiqua" w:hAnsi="Book Antiqua" w:cs="Arial"/>
          <w:b/>
          <w:sz w:val="24"/>
          <w:szCs w:val="24"/>
        </w:rPr>
        <w:t>DISCUSSION</w:t>
      </w:r>
    </w:p>
    <w:p w:rsidR="00205BE1" w:rsidRDefault="00205BE1" w:rsidP="00AD7ECF">
      <w:pPr>
        <w:wordWrap/>
        <w:spacing w:line="360" w:lineRule="auto"/>
        <w:rPr>
          <w:rFonts w:ascii="Book Antiqua" w:hAnsi="Book Antiqua" w:cs="Arial"/>
          <w:sz w:val="24"/>
          <w:szCs w:val="24"/>
        </w:rPr>
      </w:pPr>
      <w:r w:rsidRPr="00934CE4">
        <w:rPr>
          <w:rFonts w:ascii="Book Antiqua" w:hAnsi="Book Antiqua" w:cs="Arial"/>
          <w:sz w:val="24"/>
          <w:szCs w:val="24"/>
        </w:rPr>
        <w:t>GBS is an acute, immune-mediated polyneuropathy that often leads to severe weakness</w:t>
      </w:r>
      <w:r w:rsidRPr="00934CE4">
        <w:rPr>
          <w:rFonts w:ascii="Book Antiqua" w:hAnsi="Book Antiqua" w:cs="Arial"/>
          <w:sz w:val="24"/>
          <w:szCs w:val="24"/>
          <w:vertAlign w:val="superscript"/>
        </w:rPr>
        <w:t>[5]</w:t>
      </w:r>
      <w:r>
        <w:rPr>
          <w:rFonts w:ascii="Book Antiqua" w:hAnsi="Book Antiqua" w:cs="Arial" w:hint="eastAsia"/>
          <w:sz w:val="24"/>
          <w:szCs w:val="24"/>
        </w:rPr>
        <w:t>.</w:t>
      </w:r>
      <w:r w:rsidRPr="00934CE4">
        <w:rPr>
          <w:rFonts w:ascii="Book Antiqua" w:hAnsi="Book Antiqua" w:cs="Arial"/>
          <w:sz w:val="24"/>
          <w:szCs w:val="24"/>
        </w:rPr>
        <w:t xml:space="preserve"> Required criteria for diagnosis include progressive weakness of more than two limbs, areflexia, and progression for no more than four weeks. Other causes of acute neuropathy, such as lead poisoning, vasculitis, botulism, and porphyria, require exclusion. Supportive criteria include relatively mild sensory signs, raised protein levels in the cerebrospinal fluid while maintaining a relatively normal cell count, and neurophysiological evidence of conduction block.</w:t>
      </w:r>
      <w:r>
        <w:rPr>
          <w:rFonts w:ascii="Book Antiqua" w:hAnsi="Book Antiqua" w:cs="Arial" w:hint="eastAsia"/>
          <w:sz w:val="24"/>
          <w:szCs w:val="24"/>
        </w:rPr>
        <w:t xml:space="preserve"> </w:t>
      </w:r>
      <w:r w:rsidRPr="00934CE4">
        <w:rPr>
          <w:rFonts w:ascii="Book Antiqua" w:hAnsi="Book Antiqua" w:cs="Arial"/>
          <w:sz w:val="24"/>
          <w:szCs w:val="24"/>
        </w:rPr>
        <w:t xml:space="preserve">Weakness is frequently proximal and distal, unlike dying-back axonopathies, and respiratory </w:t>
      </w:r>
      <w:r w:rsidRPr="00934CE4">
        <w:rPr>
          <w:rFonts w:ascii="Book Antiqua" w:hAnsi="Book Antiqua" w:cs="Arial"/>
          <w:sz w:val="24"/>
          <w:szCs w:val="24"/>
        </w:rPr>
        <w:lastRenderedPageBreak/>
        <w:t>involvement occurs in about a quarter of cases</w:t>
      </w:r>
      <w:r w:rsidRPr="00934CE4">
        <w:rPr>
          <w:rFonts w:ascii="Book Antiqua" w:hAnsi="Book Antiqua" w:cs="Arial"/>
          <w:sz w:val="24"/>
          <w:szCs w:val="24"/>
          <w:vertAlign w:val="superscript"/>
        </w:rPr>
        <w:t>[6]</w:t>
      </w:r>
      <w:r>
        <w:rPr>
          <w:rFonts w:ascii="Book Antiqua" w:hAnsi="Book Antiqua" w:cs="Arial" w:hint="eastAsia"/>
          <w:sz w:val="24"/>
          <w:szCs w:val="24"/>
        </w:rPr>
        <w:t>.</w:t>
      </w:r>
      <w:r w:rsidRPr="00934CE4">
        <w:rPr>
          <w:rFonts w:ascii="Book Antiqua" w:hAnsi="Book Antiqua" w:cs="Arial"/>
          <w:sz w:val="24"/>
          <w:szCs w:val="24"/>
        </w:rPr>
        <w:t xml:space="preserve"> Cranial nerve involvement can be observed in 45</w:t>
      </w:r>
      <w:r w:rsidR="00AD7ECF">
        <w:rPr>
          <w:rFonts w:ascii="Book Antiqua" w:eastAsia="SimSun" w:hAnsi="Book Antiqua" w:cs="Arial" w:hint="eastAsia"/>
          <w:sz w:val="24"/>
          <w:szCs w:val="24"/>
          <w:lang w:eastAsia="zh-CN"/>
        </w:rPr>
        <w:t>%</w:t>
      </w:r>
      <w:r w:rsidRPr="00934CE4">
        <w:rPr>
          <w:rFonts w:ascii="Book Antiqua" w:hAnsi="Book Antiqua" w:cs="Arial"/>
          <w:sz w:val="24"/>
          <w:szCs w:val="24"/>
        </w:rPr>
        <w:t>-75% of patients with GBS</w:t>
      </w:r>
      <w:r w:rsidRPr="00934CE4">
        <w:rPr>
          <w:rFonts w:ascii="Book Antiqua" w:hAnsi="Book Antiqua" w:cs="Arial"/>
          <w:sz w:val="24"/>
          <w:szCs w:val="24"/>
          <w:vertAlign w:val="superscript"/>
        </w:rPr>
        <w:t>[7]</w:t>
      </w:r>
      <w:r>
        <w:rPr>
          <w:rFonts w:ascii="Book Antiqua" w:hAnsi="Book Antiqua" w:cs="Arial" w:hint="eastAsia"/>
          <w:sz w:val="24"/>
          <w:szCs w:val="24"/>
        </w:rPr>
        <w:t>.</w:t>
      </w:r>
      <w:r w:rsidRPr="00934CE4">
        <w:rPr>
          <w:rFonts w:ascii="Book Antiqua" w:hAnsi="Book Antiqua"/>
          <w:sz w:val="24"/>
          <w:szCs w:val="24"/>
        </w:rPr>
        <w:t xml:space="preserve"> </w:t>
      </w:r>
      <w:r w:rsidRPr="00934CE4">
        <w:rPr>
          <w:rFonts w:ascii="Book Antiqua" w:hAnsi="Book Antiqua" w:cs="Arial"/>
          <w:sz w:val="24"/>
          <w:szCs w:val="24"/>
        </w:rPr>
        <w:t>In cases of cranial nerve involvement, facial and oropharyngeal weakness can appear, and dysphagia can develop</w:t>
      </w:r>
      <w:r w:rsidRPr="00934CE4">
        <w:rPr>
          <w:rFonts w:ascii="Book Antiqua" w:hAnsi="Book Antiqua" w:cs="Arial"/>
          <w:sz w:val="24"/>
          <w:szCs w:val="24"/>
          <w:vertAlign w:val="superscript"/>
        </w:rPr>
        <w:t>[8]</w:t>
      </w:r>
      <w:r>
        <w:rPr>
          <w:rFonts w:ascii="Book Antiqua" w:hAnsi="Book Antiqua" w:cs="Arial" w:hint="eastAsia"/>
          <w:sz w:val="24"/>
          <w:szCs w:val="24"/>
        </w:rPr>
        <w:t>.</w:t>
      </w:r>
      <w:r w:rsidRPr="00934CE4">
        <w:rPr>
          <w:rFonts w:ascii="Book Antiqua" w:hAnsi="Book Antiqua" w:cs="Arial"/>
          <w:sz w:val="24"/>
          <w:szCs w:val="24"/>
        </w:rPr>
        <w:t xml:space="preserve"> </w:t>
      </w:r>
      <w:r>
        <w:rPr>
          <w:rFonts w:ascii="Book Antiqua" w:hAnsi="Book Antiqua" w:cs="Arial" w:hint="eastAsia"/>
          <w:sz w:val="24"/>
          <w:szCs w:val="24"/>
        </w:rPr>
        <w:t xml:space="preserve"> </w:t>
      </w:r>
    </w:p>
    <w:p w:rsidR="00205BE1" w:rsidRDefault="00205BE1" w:rsidP="00AD7ECF">
      <w:pPr>
        <w:wordWrap/>
        <w:spacing w:line="360" w:lineRule="auto"/>
        <w:ind w:firstLineChars="200" w:firstLine="480"/>
        <w:rPr>
          <w:rFonts w:ascii="Book Antiqua" w:hAnsi="Book Antiqua" w:cs="Arial"/>
          <w:sz w:val="24"/>
          <w:szCs w:val="24"/>
        </w:rPr>
      </w:pPr>
      <w:r w:rsidRPr="00934CE4">
        <w:rPr>
          <w:rFonts w:ascii="Book Antiqua" w:hAnsi="Book Antiqua" w:cs="Arial"/>
          <w:sz w:val="24"/>
          <w:szCs w:val="24"/>
        </w:rPr>
        <w:t xml:space="preserve">A definite mechanism of GBS has not been established, but it has been found that the antibodies generated by the activation of immune responses after infections makes a cross-bridge </w:t>
      </w:r>
      <w:r w:rsidRPr="00AD7ECF">
        <w:rPr>
          <w:rFonts w:ascii="Book Antiqua" w:hAnsi="Book Antiqua" w:cs="Arial"/>
          <w:i/>
          <w:sz w:val="24"/>
          <w:szCs w:val="24"/>
        </w:rPr>
        <w:t>via</w:t>
      </w:r>
      <w:r w:rsidRPr="00934CE4">
        <w:rPr>
          <w:rFonts w:ascii="Book Antiqua" w:hAnsi="Book Antiqua" w:cs="Arial"/>
          <w:sz w:val="24"/>
          <w:szCs w:val="24"/>
        </w:rPr>
        <w:t xml:space="preserve"> molecular mimicry with antigens in the peripheral nerves, which destroys them</w:t>
      </w:r>
      <w:r w:rsidRPr="00934CE4">
        <w:rPr>
          <w:rFonts w:ascii="Book Antiqua" w:hAnsi="Book Antiqua" w:cs="Arial"/>
          <w:sz w:val="24"/>
          <w:szCs w:val="24"/>
          <w:vertAlign w:val="superscript"/>
        </w:rPr>
        <w:t>[9,10]</w:t>
      </w:r>
      <w:r>
        <w:rPr>
          <w:rFonts w:ascii="Book Antiqua" w:hAnsi="Book Antiqua" w:cs="Arial" w:hint="eastAsia"/>
          <w:sz w:val="24"/>
          <w:szCs w:val="24"/>
        </w:rPr>
        <w:t>.</w:t>
      </w:r>
      <w:r w:rsidRPr="00934CE4">
        <w:rPr>
          <w:rFonts w:ascii="Book Antiqua" w:hAnsi="Book Antiqua" w:cs="Arial"/>
          <w:sz w:val="24"/>
          <w:szCs w:val="24"/>
        </w:rPr>
        <w:t xml:space="preserve"> This hypothesis is supported by the fact that anti</w:t>
      </w:r>
      <w:r>
        <w:rPr>
          <w:rFonts w:ascii="Book Antiqua" w:hAnsi="Book Antiqua" w:cs="Arial" w:hint="eastAsia"/>
          <w:sz w:val="24"/>
          <w:szCs w:val="24"/>
        </w:rPr>
        <w:t>-</w:t>
      </w:r>
      <w:r w:rsidRPr="00934CE4">
        <w:rPr>
          <w:rFonts w:ascii="Book Antiqua" w:hAnsi="Book Antiqua" w:cs="Arial"/>
          <w:sz w:val="24"/>
          <w:szCs w:val="24"/>
        </w:rPr>
        <w:t>anglioside antibodies have been found in GBS patients’ serum. In our case, high titer of the serum IgM antibody to GD1b was found.</w:t>
      </w:r>
    </w:p>
    <w:p w:rsidR="00205BE1" w:rsidRDefault="00205BE1" w:rsidP="00AD7ECF">
      <w:pPr>
        <w:wordWrap/>
        <w:spacing w:line="360" w:lineRule="auto"/>
        <w:ind w:firstLineChars="200" w:firstLine="480"/>
        <w:rPr>
          <w:rFonts w:ascii="Book Antiqua" w:hAnsi="Book Antiqua" w:cs="Arial"/>
          <w:sz w:val="24"/>
          <w:szCs w:val="24"/>
        </w:rPr>
      </w:pPr>
      <w:r w:rsidRPr="00934CE4">
        <w:rPr>
          <w:rFonts w:ascii="Book Antiqua" w:hAnsi="Book Antiqua" w:cs="Arial"/>
          <w:sz w:val="24"/>
          <w:szCs w:val="24"/>
        </w:rPr>
        <w:t>On the other hand, GBS-associated achalasia is a very rare disease of uncertain cause. Achalasia is an esophageal motor disorder characterized by the absence of peristalsis and a defective relaxation of the lower esophageal sphincter (LES) which results in impaired bolus transport and food stasis in the esophagus</w:t>
      </w:r>
      <w:r w:rsidRPr="00934CE4">
        <w:rPr>
          <w:rFonts w:ascii="Book Antiqua" w:hAnsi="Book Antiqua" w:cs="Arial"/>
          <w:sz w:val="24"/>
          <w:szCs w:val="24"/>
          <w:vertAlign w:val="superscript"/>
        </w:rPr>
        <w:t>[11,12]</w:t>
      </w:r>
      <w:r>
        <w:rPr>
          <w:rFonts w:ascii="Book Antiqua" w:hAnsi="Book Antiqua" w:cs="Arial" w:hint="eastAsia"/>
          <w:sz w:val="24"/>
          <w:szCs w:val="24"/>
        </w:rPr>
        <w:t>.</w:t>
      </w:r>
      <w:r w:rsidRPr="00934CE4">
        <w:rPr>
          <w:rFonts w:ascii="Book Antiqua" w:hAnsi="Book Antiqua" w:cs="Arial"/>
          <w:sz w:val="24"/>
          <w:szCs w:val="24"/>
        </w:rPr>
        <w:t xml:space="preserve"> </w:t>
      </w:r>
      <w:r w:rsidRPr="00934CE4">
        <w:rPr>
          <w:rFonts w:ascii="Book Antiqua" w:hAnsi="Book Antiqua" w:cs="Arial"/>
          <w:kern w:val="0"/>
          <w:sz w:val="24"/>
          <w:szCs w:val="24"/>
        </w:rPr>
        <w:t>In 1994, Firouzi et al. presented a case of GBS with achalasia</w:t>
      </w:r>
      <w:r w:rsidRPr="00934CE4">
        <w:rPr>
          <w:rFonts w:ascii="Book Antiqua" w:hAnsi="Book Antiqua" w:cs="Arial"/>
          <w:kern w:val="0"/>
          <w:sz w:val="24"/>
          <w:szCs w:val="24"/>
          <w:vertAlign w:val="superscript"/>
        </w:rPr>
        <w:t>[2]</w:t>
      </w:r>
      <w:r>
        <w:rPr>
          <w:rFonts w:ascii="Book Antiqua" w:hAnsi="Book Antiqua" w:cs="Arial" w:hint="eastAsia"/>
          <w:kern w:val="0"/>
          <w:sz w:val="24"/>
          <w:szCs w:val="24"/>
        </w:rPr>
        <w:t>.</w:t>
      </w:r>
      <w:r w:rsidRPr="00934CE4">
        <w:rPr>
          <w:rFonts w:ascii="Book Antiqua" w:hAnsi="Book Antiqua" w:cs="Arial"/>
          <w:kern w:val="0"/>
          <w:sz w:val="24"/>
          <w:szCs w:val="24"/>
        </w:rPr>
        <w:t xml:space="preserve"> </w:t>
      </w:r>
      <w:r w:rsidRPr="00934CE4">
        <w:rPr>
          <w:rFonts w:ascii="Book Antiqua" w:hAnsi="Book Antiqua" w:cs="Arial"/>
          <w:sz w:val="24"/>
          <w:szCs w:val="24"/>
        </w:rPr>
        <w:t>An autoimmune response triggered by an infection such as gastroenteritis or respiratory tract infection is discussed as one possible cause of the loss of inhibitory ganglion cells within the myenteric plexus in patients with GBS-associated achalasia</w:t>
      </w:r>
      <w:r w:rsidRPr="00934CE4">
        <w:rPr>
          <w:rFonts w:ascii="Book Antiqua" w:hAnsi="Book Antiqua" w:cs="Arial"/>
          <w:sz w:val="24"/>
          <w:szCs w:val="24"/>
          <w:vertAlign w:val="superscript"/>
        </w:rPr>
        <w:t>[13]</w:t>
      </w:r>
      <w:r>
        <w:rPr>
          <w:rFonts w:ascii="Book Antiqua" w:hAnsi="Book Antiqua" w:cs="Arial" w:hint="eastAsia"/>
          <w:sz w:val="24"/>
          <w:szCs w:val="24"/>
        </w:rPr>
        <w:t>.</w:t>
      </w:r>
      <w:r w:rsidRPr="00934CE4">
        <w:rPr>
          <w:rFonts w:ascii="Book Antiqua" w:hAnsi="Book Antiqua" w:cs="Arial"/>
          <w:sz w:val="24"/>
          <w:szCs w:val="24"/>
        </w:rPr>
        <w:t xml:space="preserve"> Previously, it was reported that GD1b antibodies preferentially stained the large dorsal root ganglion neurones in animal models</w:t>
      </w:r>
      <w:r w:rsidRPr="00934CE4">
        <w:rPr>
          <w:rFonts w:ascii="Book Antiqua" w:hAnsi="Book Antiqua" w:cs="Arial"/>
          <w:sz w:val="24"/>
          <w:szCs w:val="24"/>
          <w:vertAlign w:val="superscript"/>
        </w:rPr>
        <w:t>[14]</w:t>
      </w:r>
      <w:r w:rsidRPr="00934CE4">
        <w:rPr>
          <w:rFonts w:ascii="Book Antiqua" w:hAnsi="Book Antiqua" w:cs="Arial"/>
          <w:sz w:val="24"/>
          <w:szCs w:val="24"/>
        </w:rPr>
        <w:t>, and degenerative changes in the ganglion cells of the dorsal motor nucleus of the vagus have been reported in some patients with achalasia</w:t>
      </w:r>
      <w:r w:rsidRPr="00934CE4">
        <w:rPr>
          <w:rFonts w:ascii="Book Antiqua" w:hAnsi="Book Antiqua" w:cs="Arial"/>
          <w:sz w:val="24"/>
          <w:szCs w:val="24"/>
          <w:vertAlign w:val="superscript"/>
        </w:rPr>
        <w:t>[15]</w:t>
      </w:r>
      <w:r>
        <w:rPr>
          <w:rFonts w:ascii="Book Antiqua" w:hAnsi="Book Antiqua" w:cs="Arial" w:hint="eastAsia"/>
          <w:sz w:val="24"/>
          <w:szCs w:val="24"/>
        </w:rPr>
        <w:t>.</w:t>
      </w:r>
      <w:r w:rsidRPr="00934CE4">
        <w:rPr>
          <w:rFonts w:ascii="Book Antiqua" w:hAnsi="Book Antiqua" w:cs="Arial"/>
          <w:sz w:val="24"/>
          <w:szCs w:val="24"/>
        </w:rPr>
        <w:t xml:space="preserve"> In our case, changes in the ganglion cells of the dorsal motor nucleus of the vagus by GD1b antibodies may have induced GBS-associated achalasia. </w:t>
      </w:r>
    </w:p>
    <w:p w:rsidR="00205BE1" w:rsidRDefault="00205BE1" w:rsidP="00AD7ECF">
      <w:pPr>
        <w:wordWrap/>
        <w:spacing w:line="360" w:lineRule="auto"/>
        <w:ind w:firstLineChars="200" w:firstLine="480"/>
        <w:rPr>
          <w:rFonts w:ascii="Book Antiqua" w:hAnsi="Book Antiqua" w:cs="Arial"/>
          <w:sz w:val="24"/>
          <w:szCs w:val="24"/>
        </w:rPr>
      </w:pPr>
      <w:r w:rsidRPr="00934CE4">
        <w:rPr>
          <w:rFonts w:ascii="Book Antiqua" w:hAnsi="Book Antiqua" w:cs="Arial"/>
          <w:sz w:val="24"/>
          <w:szCs w:val="24"/>
        </w:rPr>
        <w:t>Although intravenous immunoglobulin and plasma exchange have proved effective, many patients with GBS still develop severe weakness and have a long disease course, often with incomplete recovery, pain, and fatigue</w:t>
      </w:r>
      <w:r w:rsidRPr="00934CE4">
        <w:rPr>
          <w:rFonts w:ascii="Book Antiqua" w:hAnsi="Book Antiqua" w:cs="Arial"/>
          <w:sz w:val="24"/>
          <w:szCs w:val="24"/>
          <w:vertAlign w:val="superscript"/>
        </w:rPr>
        <w:t>[16]</w:t>
      </w:r>
      <w:r>
        <w:rPr>
          <w:rFonts w:ascii="Book Antiqua" w:hAnsi="Book Antiqua" w:cs="Arial" w:hint="eastAsia"/>
          <w:sz w:val="24"/>
          <w:szCs w:val="24"/>
        </w:rPr>
        <w:t>.</w:t>
      </w:r>
      <w:r w:rsidRPr="00934CE4">
        <w:rPr>
          <w:rFonts w:ascii="Book Antiqua" w:hAnsi="Book Antiqua" w:cs="Arial"/>
          <w:sz w:val="24"/>
          <w:szCs w:val="24"/>
        </w:rPr>
        <w:t xml:space="preserve"> In our case, despite receiving five days of intravenous immunoglobulin therapy immediately, the patient’s neurological problems had not recovered and swallowing difficulty was worsening. </w:t>
      </w:r>
    </w:p>
    <w:p w:rsidR="00205BE1" w:rsidRDefault="00205BE1" w:rsidP="00AD7ECF">
      <w:pPr>
        <w:wordWrap/>
        <w:spacing w:line="360" w:lineRule="auto"/>
        <w:ind w:firstLineChars="200" w:firstLine="480"/>
        <w:rPr>
          <w:rFonts w:ascii="Book Antiqua" w:hAnsi="Book Antiqua" w:cs="Arial"/>
          <w:sz w:val="24"/>
          <w:szCs w:val="24"/>
        </w:rPr>
      </w:pPr>
      <w:r w:rsidRPr="00934CE4">
        <w:rPr>
          <w:rFonts w:ascii="Book Antiqua" w:hAnsi="Book Antiqua" w:cs="Arial"/>
          <w:sz w:val="24"/>
          <w:szCs w:val="24"/>
        </w:rPr>
        <w:t xml:space="preserve">Treatment of achalasia is currently aimed at decreasing the resting pressure in the LES. In a previous report, GBS-associated achalasia was subsequently diagnosed </w:t>
      </w:r>
      <w:r w:rsidRPr="00934CE4">
        <w:rPr>
          <w:rFonts w:ascii="Book Antiqua" w:hAnsi="Book Antiqua" w:cs="Arial"/>
          <w:sz w:val="24"/>
          <w:szCs w:val="24"/>
        </w:rPr>
        <w:lastRenderedPageBreak/>
        <w:t>by manometry and was successfully treated with pneumatic dilation</w:t>
      </w:r>
      <w:r w:rsidRPr="00934CE4">
        <w:rPr>
          <w:rFonts w:ascii="Book Antiqua" w:hAnsi="Book Antiqua" w:cs="Arial"/>
          <w:sz w:val="24"/>
          <w:szCs w:val="24"/>
          <w:vertAlign w:val="superscript"/>
        </w:rPr>
        <w:t>[2]</w:t>
      </w:r>
      <w:r>
        <w:rPr>
          <w:rFonts w:ascii="Book Antiqua" w:hAnsi="Book Antiqua" w:cs="Arial" w:hint="eastAsia"/>
          <w:sz w:val="24"/>
          <w:szCs w:val="24"/>
        </w:rPr>
        <w:t>.</w:t>
      </w:r>
      <w:r w:rsidRPr="00934CE4">
        <w:rPr>
          <w:rFonts w:ascii="Book Antiqua" w:hAnsi="Book Antiqua" w:cs="Arial"/>
          <w:sz w:val="24"/>
          <w:szCs w:val="24"/>
        </w:rPr>
        <w:t xml:space="preserve"> However, the pneumatic dilatation has about a 25</w:t>
      </w:r>
      <w:r w:rsidR="00AD7ECF">
        <w:rPr>
          <w:rFonts w:ascii="Book Antiqua" w:eastAsia="SimSun" w:hAnsi="Book Antiqua" w:cs="Arial" w:hint="eastAsia"/>
          <w:sz w:val="24"/>
          <w:szCs w:val="24"/>
          <w:lang w:eastAsia="zh-CN"/>
        </w:rPr>
        <w:t>%</w:t>
      </w:r>
      <w:r w:rsidRPr="00934CE4">
        <w:rPr>
          <w:rFonts w:ascii="Book Antiqua" w:hAnsi="Book Antiqua" w:cs="Arial"/>
          <w:sz w:val="24"/>
          <w:szCs w:val="24"/>
        </w:rPr>
        <w:t>–50% chance that the patient will require another procedure within five years</w:t>
      </w:r>
      <w:r w:rsidRPr="00934CE4">
        <w:rPr>
          <w:rFonts w:ascii="Book Antiqua" w:hAnsi="Book Antiqua" w:cs="Arial"/>
          <w:sz w:val="24"/>
          <w:szCs w:val="24"/>
          <w:vertAlign w:val="superscript"/>
        </w:rPr>
        <w:t>[4]</w:t>
      </w:r>
      <w:r>
        <w:rPr>
          <w:rFonts w:ascii="Book Antiqua" w:hAnsi="Book Antiqua" w:cs="Arial" w:hint="eastAsia"/>
          <w:sz w:val="24"/>
          <w:szCs w:val="24"/>
        </w:rPr>
        <w:t>.</w:t>
      </w:r>
      <w:r w:rsidRPr="00934CE4">
        <w:rPr>
          <w:rFonts w:ascii="Book Antiqua" w:hAnsi="Book Antiqua" w:cs="Arial"/>
          <w:sz w:val="24"/>
          <w:szCs w:val="24"/>
        </w:rPr>
        <w:t xml:space="preserve"> An alternative to dilation in patients with achalasia is endoscopic injection of the botulinum toxin. The symptomatic response to this treatment is often short lived, with a greater than 50% recurrence rate </w:t>
      </w:r>
      <w:r>
        <w:rPr>
          <w:rFonts w:ascii="Book Antiqua" w:hAnsi="Book Antiqua" w:cs="Arial" w:hint="eastAsia"/>
          <w:sz w:val="24"/>
          <w:szCs w:val="24"/>
        </w:rPr>
        <w:t xml:space="preserve">within </w:t>
      </w:r>
      <w:r w:rsidRPr="00934CE4">
        <w:rPr>
          <w:rFonts w:ascii="Book Antiqua" w:hAnsi="Book Antiqua" w:cs="Arial"/>
          <w:sz w:val="24"/>
          <w:szCs w:val="24"/>
        </w:rPr>
        <w:t>6</w:t>
      </w:r>
      <w:r>
        <w:rPr>
          <w:rFonts w:ascii="Book Antiqua" w:hAnsi="Book Antiqua" w:cs="Arial" w:hint="eastAsia"/>
          <w:sz w:val="24"/>
          <w:szCs w:val="24"/>
        </w:rPr>
        <w:t xml:space="preserve"> </w:t>
      </w:r>
      <w:r w:rsidRPr="00934CE4">
        <w:rPr>
          <w:rFonts w:ascii="Book Antiqua" w:hAnsi="Book Antiqua" w:cs="Arial"/>
          <w:sz w:val="24"/>
          <w:szCs w:val="24"/>
        </w:rPr>
        <w:t>month</w:t>
      </w:r>
      <w:r>
        <w:rPr>
          <w:rFonts w:ascii="Book Antiqua" w:hAnsi="Book Antiqua" w:cs="Arial" w:hint="eastAsia"/>
          <w:sz w:val="24"/>
          <w:szCs w:val="24"/>
        </w:rPr>
        <w:t>s</w:t>
      </w:r>
      <w:r w:rsidRPr="00934CE4">
        <w:rPr>
          <w:rFonts w:ascii="Book Antiqua" w:hAnsi="Book Antiqua" w:cs="Arial"/>
          <w:sz w:val="24"/>
          <w:szCs w:val="24"/>
          <w:vertAlign w:val="superscript"/>
        </w:rPr>
        <w:t>[17]</w:t>
      </w:r>
      <w:r>
        <w:rPr>
          <w:rFonts w:ascii="Book Antiqua" w:hAnsi="Book Antiqua" w:cs="Arial" w:hint="eastAsia"/>
          <w:sz w:val="24"/>
          <w:szCs w:val="24"/>
        </w:rPr>
        <w:t>.</w:t>
      </w:r>
      <w:r w:rsidRPr="00934CE4">
        <w:rPr>
          <w:rFonts w:ascii="Book Antiqua" w:hAnsi="Book Antiqua" w:cs="Arial"/>
          <w:sz w:val="24"/>
          <w:szCs w:val="24"/>
        </w:rPr>
        <w:t xml:space="preserve"> </w:t>
      </w:r>
    </w:p>
    <w:p w:rsidR="00205BE1" w:rsidRDefault="00205BE1" w:rsidP="00AD7ECF">
      <w:pPr>
        <w:wordWrap/>
        <w:spacing w:line="360" w:lineRule="auto"/>
        <w:ind w:firstLineChars="200" w:firstLine="480"/>
        <w:rPr>
          <w:rFonts w:ascii="Book Antiqua" w:hAnsi="Book Antiqua" w:cs="Arial"/>
          <w:sz w:val="24"/>
          <w:szCs w:val="24"/>
        </w:rPr>
      </w:pPr>
      <w:r w:rsidRPr="00934CE4">
        <w:rPr>
          <w:rFonts w:ascii="Book Antiqua" w:hAnsi="Book Antiqua" w:cs="Arial"/>
          <w:sz w:val="24"/>
          <w:szCs w:val="24"/>
        </w:rPr>
        <w:t>Recently, POEM has been developed as an alternative endoscopic treatment that is effective and less invasive</w:t>
      </w:r>
      <w:r w:rsidRPr="00934CE4">
        <w:rPr>
          <w:rFonts w:ascii="Book Antiqua" w:hAnsi="Book Antiqua" w:cs="Arial"/>
          <w:sz w:val="24"/>
          <w:szCs w:val="24"/>
          <w:vertAlign w:val="superscript"/>
        </w:rPr>
        <w:t>[18]</w:t>
      </w:r>
      <w:r>
        <w:rPr>
          <w:rFonts w:ascii="Book Antiqua" w:hAnsi="Book Antiqua" w:cs="Arial" w:hint="eastAsia"/>
          <w:sz w:val="24"/>
          <w:szCs w:val="24"/>
        </w:rPr>
        <w:t>.</w:t>
      </w:r>
      <w:r w:rsidRPr="00934CE4">
        <w:rPr>
          <w:rFonts w:ascii="Book Antiqua" w:hAnsi="Book Antiqua" w:cs="Arial"/>
          <w:sz w:val="24"/>
          <w:szCs w:val="24"/>
        </w:rPr>
        <w:t xml:space="preserve"> A major benefit of POEM may be the ability to avoid the risk of unexpected and uncontrolled perforation that may occur during balloon dilation. The clinical effects of the POEM treatment were immediate, and the later HRM showed improvement in the LES pressure and pressurization disappeared</w:t>
      </w:r>
      <w:r w:rsidRPr="00934CE4">
        <w:rPr>
          <w:rFonts w:ascii="Book Antiqua" w:hAnsi="Book Antiqua" w:cs="Arial"/>
          <w:sz w:val="24"/>
          <w:szCs w:val="24"/>
          <w:vertAlign w:val="superscript"/>
        </w:rPr>
        <w:t>[19]</w:t>
      </w:r>
      <w:r>
        <w:rPr>
          <w:rFonts w:ascii="Book Antiqua" w:hAnsi="Book Antiqua" w:cs="Arial" w:hint="eastAsia"/>
          <w:sz w:val="24"/>
          <w:szCs w:val="24"/>
        </w:rPr>
        <w:t>.</w:t>
      </w:r>
    </w:p>
    <w:p w:rsidR="00205BE1" w:rsidRDefault="00205BE1" w:rsidP="00AD7ECF">
      <w:pPr>
        <w:wordWrap/>
        <w:spacing w:line="360" w:lineRule="auto"/>
        <w:ind w:firstLineChars="200" w:firstLine="480"/>
        <w:rPr>
          <w:rFonts w:ascii="Book Antiqua" w:hAnsi="Book Antiqua" w:cs="Arial"/>
          <w:sz w:val="24"/>
          <w:szCs w:val="24"/>
        </w:rPr>
      </w:pPr>
      <w:r w:rsidRPr="00934CE4">
        <w:rPr>
          <w:rFonts w:ascii="Book Antiqua" w:hAnsi="Book Antiqua" w:cs="Arial"/>
          <w:sz w:val="24"/>
          <w:szCs w:val="24"/>
        </w:rPr>
        <w:t xml:space="preserve">In the present case, we performed POEM for treatment of GBS-associated type I achalasia. After POEM without any complications, mean IRP decreased from 22.9 mmHg to 9.6 mmHg and Eckardt symptom score was reduced from 11 to 2 points. Our initial experience suggests that POEM is a safe and effective treatment for GBS-associated type I achalasia. </w:t>
      </w:r>
    </w:p>
    <w:p w:rsidR="00205BE1" w:rsidRDefault="00205BE1" w:rsidP="00AD7ECF">
      <w:pPr>
        <w:wordWrap/>
        <w:spacing w:line="360" w:lineRule="auto"/>
        <w:ind w:firstLineChars="200" w:firstLine="480"/>
        <w:rPr>
          <w:rFonts w:ascii="Book Antiqua" w:hAnsi="Book Antiqua" w:cs="Arial"/>
          <w:sz w:val="24"/>
          <w:szCs w:val="24"/>
        </w:rPr>
      </w:pPr>
    </w:p>
    <w:p w:rsidR="00205BE1" w:rsidRDefault="00205BE1" w:rsidP="00AD7ECF">
      <w:pPr>
        <w:wordWrap/>
        <w:spacing w:line="360" w:lineRule="auto"/>
        <w:ind w:firstLineChars="200" w:firstLine="480"/>
        <w:rPr>
          <w:rFonts w:ascii="Book Antiqua" w:hAnsi="Book Antiqua" w:cs="Arial"/>
          <w:sz w:val="24"/>
          <w:szCs w:val="24"/>
        </w:rPr>
      </w:pPr>
    </w:p>
    <w:p w:rsidR="003C4F3C" w:rsidRPr="00D74A22" w:rsidRDefault="003C4F3C" w:rsidP="00AD7ECF">
      <w:pPr>
        <w:wordWrap/>
        <w:spacing w:line="360" w:lineRule="auto"/>
        <w:rPr>
          <w:rFonts w:ascii="Book Antiqua" w:hAnsi="Book Antiqua"/>
          <w:b/>
          <w:sz w:val="24"/>
          <w:szCs w:val="24"/>
        </w:rPr>
      </w:pPr>
      <w:bookmarkStart w:id="26" w:name="OLE_LINK249"/>
      <w:bookmarkStart w:id="27" w:name="OLE_LINK250"/>
      <w:bookmarkStart w:id="28" w:name="OLE_LINK443"/>
      <w:bookmarkStart w:id="29" w:name="OLE_LINK444"/>
      <w:bookmarkStart w:id="30" w:name="OLE_LINK531"/>
      <w:r w:rsidRPr="00D74A22">
        <w:rPr>
          <w:rFonts w:ascii="Book Antiqua" w:hAnsi="Book Antiqua"/>
          <w:b/>
          <w:sz w:val="24"/>
          <w:szCs w:val="24"/>
        </w:rPr>
        <w:t>COMMENTS</w:t>
      </w:r>
    </w:p>
    <w:p w:rsidR="003C4F3C" w:rsidRPr="00AD7ECF" w:rsidRDefault="003C4F3C" w:rsidP="00AD7ECF">
      <w:pPr>
        <w:wordWrap/>
        <w:spacing w:line="360" w:lineRule="auto"/>
        <w:rPr>
          <w:rFonts w:ascii="Book Antiqua" w:hAnsi="Book Antiqua"/>
          <w:i/>
          <w:sz w:val="24"/>
          <w:szCs w:val="24"/>
        </w:rPr>
      </w:pPr>
      <w:r w:rsidRPr="00AD7ECF">
        <w:rPr>
          <w:rFonts w:ascii="Book Antiqua" w:hAnsi="Book Antiqua"/>
          <w:b/>
          <w:i/>
          <w:sz w:val="24"/>
          <w:szCs w:val="24"/>
        </w:rPr>
        <w:t>Case characteristics</w:t>
      </w:r>
    </w:p>
    <w:p w:rsidR="007D1BEB" w:rsidRDefault="007D1BEB" w:rsidP="00AD7ECF">
      <w:pPr>
        <w:wordWrap/>
        <w:spacing w:line="360" w:lineRule="auto"/>
        <w:rPr>
          <w:rFonts w:ascii="Book Antiqua" w:eastAsia="SimSun" w:hAnsi="Book Antiqua" w:cs="Arial"/>
          <w:sz w:val="24"/>
          <w:szCs w:val="24"/>
          <w:lang w:eastAsia="zh-CN"/>
        </w:rPr>
      </w:pPr>
      <w:r w:rsidRPr="00D74A22">
        <w:rPr>
          <w:rFonts w:ascii="Book Antiqua" w:hAnsi="Book Antiqua" w:cs="Arial"/>
          <w:sz w:val="24"/>
          <w:szCs w:val="24"/>
        </w:rPr>
        <w:t>A 30-year-old man was referred to our department with dysphagia and meal-related regurgitation, with a baseline Eckardt symptom score of 11.</w:t>
      </w:r>
    </w:p>
    <w:p w:rsidR="00AD7ECF" w:rsidRPr="00AD7ECF" w:rsidRDefault="00AD7ECF" w:rsidP="00AD7ECF">
      <w:pPr>
        <w:wordWrap/>
        <w:spacing w:line="360" w:lineRule="auto"/>
        <w:rPr>
          <w:rFonts w:ascii="Book Antiqua" w:eastAsia="SimSun" w:hAnsi="Book Antiqua" w:cs="Arial"/>
          <w:b/>
          <w:color w:val="000000"/>
          <w:sz w:val="24"/>
          <w:szCs w:val="24"/>
          <w:lang w:eastAsia="zh-CN"/>
        </w:rPr>
      </w:pPr>
    </w:p>
    <w:p w:rsidR="003C4F3C" w:rsidRPr="00AD7ECF" w:rsidRDefault="003C4F3C" w:rsidP="00AD7ECF">
      <w:pPr>
        <w:wordWrap/>
        <w:spacing w:line="360" w:lineRule="auto"/>
        <w:rPr>
          <w:rFonts w:ascii="Book Antiqua" w:hAnsi="Book Antiqua" w:cs="SimSun"/>
          <w:b/>
          <w:i/>
          <w:color w:val="000000"/>
          <w:sz w:val="24"/>
          <w:szCs w:val="24"/>
        </w:rPr>
      </w:pPr>
      <w:r w:rsidRPr="00AD7ECF">
        <w:rPr>
          <w:rFonts w:ascii="Book Antiqua" w:hAnsi="Book Antiqua" w:cs="Arial"/>
          <w:b/>
          <w:i/>
          <w:color w:val="000000"/>
          <w:sz w:val="24"/>
          <w:szCs w:val="24"/>
        </w:rPr>
        <w:t>Clinical diagnosis</w:t>
      </w:r>
    </w:p>
    <w:p w:rsidR="00814361" w:rsidRDefault="008504DD" w:rsidP="00AD7ECF">
      <w:pPr>
        <w:wordWrap/>
        <w:spacing w:line="360" w:lineRule="auto"/>
        <w:rPr>
          <w:rFonts w:ascii="Book Antiqua" w:eastAsia="SimSun" w:hAnsi="Book Antiqua" w:cs="Arial"/>
          <w:sz w:val="24"/>
          <w:szCs w:val="24"/>
          <w:lang w:eastAsia="zh-CN"/>
        </w:rPr>
      </w:pPr>
      <w:r w:rsidRPr="00D74A22">
        <w:rPr>
          <w:rFonts w:ascii="Book Antiqua" w:hAnsi="Book Antiqua" w:cs="Arial" w:hint="eastAsia"/>
          <w:sz w:val="24"/>
          <w:szCs w:val="24"/>
        </w:rPr>
        <w:t>A</w:t>
      </w:r>
      <w:r w:rsidRPr="00D74A22">
        <w:rPr>
          <w:rFonts w:ascii="Book Antiqua" w:hAnsi="Book Antiqua" w:cs="Arial"/>
          <w:sz w:val="24"/>
          <w:szCs w:val="24"/>
        </w:rPr>
        <w:t xml:space="preserve">fter the diagnosis of </w:t>
      </w:r>
      <w:r w:rsidR="000F1150" w:rsidRPr="00D74A22">
        <w:rPr>
          <w:rFonts w:ascii="Book Antiqua" w:hAnsi="Book Antiqua" w:cs="Arial"/>
          <w:sz w:val="24"/>
          <w:szCs w:val="24"/>
        </w:rPr>
        <w:t>Guillain-Barré syndrome</w:t>
      </w:r>
      <w:r w:rsidRPr="00D74A22">
        <w:rPr>
          <w:rFonts w:ascii="Book Antiqua" w:hAnsi="Book Antiqua" w:cs="Arial" w:hint="eastAsia"/>
          <w:sz w:val="24"/>
          <w:szCs w:val="24"/>
        </w:rPr>
        <w:t>,</w:t>
      </w:r>
      <w:r w:rsidRPr="00D74A22">
        <w:rPr>
          <w:rFonts w:ascii="Book Antiqua" w:hAnsi="Book Antiqua" w:cs="Arial"/>
          <w:sz w:val="24"/>
          <w:szCs w:val="24"/>
        </w:rPr>
        <w:t xml:space="preserve"> </w:t>
      </w:r>
      <w:r w:rsidRPr="00D74A22">
        <w:rPr>
          <w:rFonts w:ascii="Book Antiqua" w:hAnsi="Book Antiqua" w:cs="Arial" w:hint="eastAsia"/>
          <w:sz w:val="24"/>
          <w:szCs w:val="24"/>
        </w:rPr>
        <w:t>a</w:t>
      </w:r>
      <w:r w:rsidR="00814361" w:rsidRPr="00D74A22">
        <w:rPr>
          <w:rFonts w:ascii="Book Antiqua" w:hAnsi="Book Antiqua" w:cs="Arial"/>
          <w:sz w:val="24"/>
          <w:szCs w:val="24"/>
        </w:rPr>
        <w:t xml:space="preserve"> mean integrated relaxation pressure of 22.9 mmHg over test swallows with absent peristalsis was shown in high-resolution manometry</w:t>
      </w:r>
      <w:r w:rsidR="00FD6ABD" w:rsidRPr="00D74A22">
        <w:rPr>
          <w:rFonts w:ascii="Book Antiqua" w:hAnsi="Book Antiqua" w:cs="Arial" w:hint="eastAsia"/>
          <w:sz w:val="24"/>
          <w:szCs w:val="24"/>
        </w:rPr>
        <w:t>, which refers to</w:t>
      </w:r>
      <w:r w:rsidRPr="00D74A22">
        <w:rPr>
          <w:rFonts w:ascii="Book Antiqua" w:hAnsi="Book Antiqua" w:cs="Arial" w:hint="eastAsia"/>
          <w:sz w:val="24"/>
          <w:szCs w:val="24"/>
        </w:rPr>
        <w:t xml:space="preserve"> </w:t>
      </w:r>
      <w:r w:rsidRPr="00D74A22">
        <w:rPr>
          <w:rFonts w:ascii="Book Antiqua" w:hAnsi="Book Antiqua" w:cs="Arial"/>
          <w:sz w:val="24"/>
          <w:szCs w:val="24"/>
        </w:rPr>
        <w:t>Guillain-Barré syndrome</w:t>
      </w:r>
      <w:r w:rsidRPr="00D74A22">
        <w:rPr>
          <w:rFonts w:ascii="Book Antiqua" w:hAnsi="Book Antiqua" w:cs="Arial" w:hint="eastAsia"/>
          <w:sz w:val="24"/>
          <w:szCs w:val="24"/>
        </w:rPr>
        <w:t xml:space="preserve"> associated</w:t>
      </w:r>
      <w:r w:rsidR="00FD6ABD" w:rsidRPr="00D74A22">
        <w:rPr>
          <w:rFonts w:ascii="Book Antiqua" w:hAnsi="Book Antiqua" w:cs="Arial" w:hint="eastAsia"/>
          <w:sz w:val="24"/>
          <w:szCs w:val="24"/>
        </w:rPr>
        <w:t xml:space="preserve"> type I achalasia.</w:t>
      </w:r>
    </w:p>
    <w:p w:rsidR="00AD7ECF" w:rsidRPr="00AD7ECF" w:rsidRDefault="00AD7ECF" w:rsidP="00AD7ECF">
      <w:pPr>
        <w:wordWrap/>
        <w:spacing w:line="360" w:lineRule="auto"/>
        <w:rPr>
          <w:rFonts w:ascii="Book Antiqua" w:eastAsia="SimSun" w:hAnsi="Book Antiqua"/>
          <w:b/>
          <w:sz w:val="24"/>
          <w:szCs w:val="24"/>
          <w:lang w:eastAsia="zh-CN"/>
        </w:rPr>
      </w:pPr>
    </w:p>
    <w:p w:rsidR="003C4F3C" w:rsidRPr="00AD7ECF" w:rsidRDefault="003C4F3C" w:rsidP="00AD7ECF">
      <w:pPr>
        <w:wordWrap/>
        <w:spacing w:line="360" w:lineRule="auto"/>
        <w:rPr>
          <w:rFonts w:ascii="Book Antiqua" w:hAnsi="Book Antiqua" w:cs="Arial"/>
          <w:b/>
          <w:i/>
          <w:color w:val="000000"/>
          <w:sz w:val="24"/>
          <w:szCs w:val="24"/>
        </w:rPr>
      </w:pPr>
      <w:r w:rsidRPr="00AD7ECF">
        <w:rPr>
          <w:rFonts w:ascii="Book Antiqua" w:hAnsi="Book Antiqua" w:cs="Arial"/>
          <w:b/>
          <w:i/>
          <w:color w:val="000000"/>
          <w:sz w:val="24"/>
          <w:szCs w:val="24"/>
        </w:rPr>
        <w:t>Differential diagnosis</w:t>
      </w:r>
    </w:p>
    <w:p w:rsidR="00814361" w:rsidRPr="00D74A22" w:rsidRDefault="00814361" w:rsidP="00AD7ECF">
      <w:pPr>
        <w:wordWrap/>
        <w:spacing w:line="360" w:lineRule="auto"/>
        <w:rPr>
          <w:rFonts w:ascii="Book Antiqua" w:hAnsi="Book Antiqua" w:cs="Arial"/>
          <w:color w:val="000000"/>
          <w:sz w:val="24"/>
          <w:szCs w:val="24"/>
        </w:rPr>
      </w:pPr>
      <w:r w:rsidRPr="00D74A22">
        <w:rPr>
          <w:rFonts w:ascii="Book Antiqua" w:hAnsi="Book Antiqua" w:cs="Arial" w:hint="eastAsia"/>
          <w:color w:val="000000"/>
          <w:sz w:val="24"/>
          <w:szCs w:val="24"/>
        </w:rPr>
        <w:t xml:space="preserve">Cranial nerve involvement in </w:t>
      </w:r>
      <w:r w:rsidR="004D5636" w:rsidRPr="00D74A22">
        <w:rPr>
          <w:rFonts w:ascii="Book Antiqua" w:hAnsi="Book Antiqua" w:cs="Arial"/>
          <w:sz w:val="24"/>
          <w:szCs w:val="24"/>
        </w:rPr>
        <w:t>Guillain-Barré syndrome</w:t>
      </w:r>
    </w:p>
    <w:p w:rsidR="003C4F3C" w:rsidRPr="00AD7ECF" w:rsidRDefault="003C4F3C" w:rsidP="00AD7ECF">
      <w:pPr>
        <w:wordWrap/>
        <w:spacing w:line="360" w:lineRule="auto"/>
        <w:rPr>
          <w:rFonts w:ascii="Book Antiqua" w:hAnsi="Book Antiqua" w:cs="Arial"/>
          <w:b/>
          <w:i/>
          <w:color w:val="000000"/>
          <w:sz w:val="24"/>
          <w:szCs w:val="24"/>
        </w:rPr>
      </w:pPr>
      <w:r w:rsidRPr="00AD7ECF">
        <w:rPr>
          <w:rFonts w:ascii="Book Antiqua" w:hAnsi="Book Antiqua" w:cs="Arial"/>
          <w:b/>
          <w:i/>
          <w:color w:val="000000"/>
          <w:sz w:val="24"/>
          <w:szCs w:val="24"/>
        </w:rPr>
        <w:lastRenderedPageBreak/>
        <w:t>Laboratory diagnosis</w:t>
      </w:r>
    </w:p>
    <w:p w:rsidR="001D0CE0" w:rsidRDefault="001D0CE0" w:rsidP="00AD7ECF">
      <w:pPr>
        <w:wordWrap/>
        <w:spacing w:line="360" w:lineRule="auto"/>
        <w:rPr>
          <w:rFonts w:ascii="Book Antiqua" w:eastAsia="SimSun" w:hAnsi="Book Antiqua" w:cs="Arial"/>
          <w:sz w:val="24"/>
          <w:szCs w:val="24"/>
          <w:lang w:eastAsia="zh-CN"/>
        </w:rPr>
      </w:pPr>
      <w:r w:rsidRPr="00D74A22">
        <w:rPr>
          <w:rFonts w:ascii="Book Antiqua" w:hAnsi="Book Antiqua" w:cs="Arial"/>
          <w:sz w:val="24"/>
          <w:szCs w:val="24"/>
        </w:rPr>
        <w:t>Laboratory tests revealed normocytic normochromic anemia, with a hemoglobin level of 11.1 g/dL</w:t>
      </w:r>
      <w:r w:rsidRPr="00D74A22">
        <w:rPr>
          <w:rFonts w:ascii="Book Antiqua" w:hAnsi="Book Antiqua" w:cs="Arial" w:hint="eastAsia"/>
          <w:sz w:val="24"/>
          <w:szCs w:val="24"/>
        </w:rPr>
        <w:t>, and other laboratory findings were within normal limits.</w:t>
      </w:r>
    </w:p>
    <w:p w:rsidR="00AD7ECF" w:rsidRPr="00AD7ECF" w:rsidRDefault="00AD7ECF" w:rsidP="00AD7ECF">
      <w:pPr>
        <w:wordWrap/>
        <w:spacing w:line="360" w:lineRule="auto"/>
        <w:rPr>
          <w:rFonts w:ascii="Book Antiqua" w:eastAsia="SimSun" w:hAnsi="Book Antiqua" w:cs="Arial"/>
          <w:b/>
          <w:color w:val="000000"/>
          <w:sz w:val="24"/>
          <w:szCs w:val="24"/>
          <w:lang w:eastAsia="zh-CN"/>
        </w:rPr>
      </w:pPr>
    </w:p>
    <w:p w:rsidR="003C4F3C" w:rsidRPr="00AD7ECF" w:rsidRDefault="003C4F3C" w:rsidP="00AD7ECF">
      <w:pPr>
        <w:wordWrap/>
        <w:spacing w:line="360" w:lineRule="auto"/>
        <w:rPr>
          <w:rFonts w:ascii="Book Antiqua" w:hAnsi="Book Antiqua" w:cs="Arial"/>
          <w:b/>
          <w:i/>
          <w:color w:val="000000"/>
          <w:sz w:val="24"/>
          <w:szCs w:val="24"/>
        </w:rPr>
      </w:pPr>
      <w:r w:rsidRPr="00AD7ECF">
        <w:rPr>
          <w:rFonts w:ascii="Book Antiqua" w:hAnsi="Book Antiqua" w:cs="Arial"/>
          <w:b/>
          <w:i/>
          <w:color w:val="000000"/>
          <w:sz w:val="24"/>
          <w:szCs w:val="24"/>
        </w:rPr>
        <w:t>Imaging diagnosis</w:t>
      </w:r>
    </w:p>
    <w:p w:rsidR="003C4F3C" w:rsidRDefault="001D0CE0" w:rsidP="00AD7ECF">
      <w:pPr>
        <w:wordWrap/>
        <w:spacing w:line="360" w:lineRule="auto"/>
        <w:rPr>
          <w:rFonts w:ascii="Book Antiqua" w:eastAsia="SimSun" w:hAnsi="Book Antiqua" w:cs="Arial"/>
          <w:color w:val="000000"/>
          <w:sz w:val="24"/>
          <w:szCs w:val="24"/>
          <w:lang w:eastAsia="zh-CN"/>
        </w:rPr>
      </w:pPr>
      <w:r w:rsidRPr="00D74A22">
        <w:rPr>
          <w:rFonts w:ascii="Book Antiqua" w:hAnsi="Book Antiqua" w:cs="Arial" w:hint="eastAsia"/>
          <w:sz w:val="24"/>
          <w:szCs w:val="24"/>
        </w:rPr>
        <w:t>S</w:t>
      </w:r>
      <w:r w:rsidRPr="00D74A22">
        <w:rPr>
          <w:rFonts w:ascii="Book Antiqua" w:hAnsi="Book Antiqua" w:cs="Arial"/>
          <w:sz w:val="24"/>
          <w:szCs w:val="24"/>
        </w:rPr>
        <w:t>ubtle dilated distal esophageal lumen with acute tapering at the lower esophageal sphincter and narrowing at the esophagogastric junction was shown through esophagography</w:t>
      </w:r>
      <w:r w:rsidR="003C4F3C" w:rsidRPr="00D74A22">
        <w:rPr>
          <w:rFonts w:ascii="Book Antiqua" w:hAnsi="Book Antiqua" w:cs="Arial"/>
          <w:color w:val="000000"/>
          <w:sz w:val="24"/>
          <w:szCs w:val="24"/>
        </w:rPr>
        <w:t>.</w:t>
      </w:r>
    </w:p>
    <w:p w:rsidR="00AD7ECF" w:rsidRPr="00AD7ECF" w:rsidRDefault="00AD7ECF" w:rsidP="00AD7ECF">
      <w:pPr>
        <w:wordWrap/>
        <w:spacing w:line="360" w:lineRule="auto"/>
        <w:rPr>
          <w:rFonts w:ascii="Book Antiqua" w:eastAsia="SimSun" w:hAnsi="Book Antiqua" w:cs="Arial"/>
          <w:color w:val="000000"/>
          <w:sz w:val="24"/>
          <w:szCs w:val="24"/>
          <w:lang w:eastAsia="zh-CN"/>
        </w:rPr>
      </w:pPr>
    </w:p>
    <w:p w:rsidR="003C4F3C" w:rsidRPr="00AD7ECF" w:rsidRDefault="003C4F3C" w:rsidP="00AD7ECF">
      <w:pPr>
        <w:wordWrap/>
        <w:spacing w:line="360" w:lineRule="auto"/>
        <w:rPr>
          <w:rFonts w:ascii="Book Antiqua" w:hAnsi="Book Antiqua" w:cs="Arial"/>
          <w:b/>
          <w:i/>
          <w:color w:val="000000"/>
          <w:sz w:val="24"/>
          <w:szCs w:val="24"/>
        </w:rPr>
      </w:pPr>
      <w:r w:rsidRPr="00AD7ECF">
        <w:rPr>
          <w:rFonts w:ascii="Book Antiqua" w:hAnsi="Book Antiqua" w:cs="Arial"/>
          <w:b/>
          <w:i/>
          <w:color w:val="000000"/>
          <w:sz w:val="24"/>
          <w:szCs w:val="24"/>
        </w:rPr>
        <w:t>Pathological diagnosis</w:t>
      </w:r>
    </w:p>
    <w:p w:rsidR="001D0CE0" w:rsidRDefault="001D0CE0" w:rsidP="00AD7ECF">
      <w:pPr>
        <w:wordWrap/>
        <w:spacing w:line="360" w:lineRule="auto"/>
        <w:rPr>
          <w:rFonts w:ascii="Book Antiqua" w:eastAsia="SimSun" w:hAnsi="Book Antiqua" w:cs="Arial"/>
          <w:color w:val="000000"/>
          <w:sz w:val="24"/>
          <w:szCs w:val="24"/>
          <w:lang w:eastAsia="zh-CN"/>
        </w:rPr>
      </w:pPr>
      <w:r w:rsidRPr="00D74A22">
        <w:rPr>
          <w:rFonts w:ascii="Book Antiqua" w:hAnsi="Book Antiqua" w:cs="Arial" w:hint="eastAsia"/>
          <w:color w:val="000000"/>
          <w:sz w:val="24"/>
          <w:szCs w:val="24"/>
        </w:rPr>
        <w:t>Pathologic</w:t>
      </w:r>
      <w:r w:rsidR="00C83150" w:rsidRPr="00D74A22">
        <w:rPr>
          <w:rFonts w:ascii="Book Antiqua" w:hAnsi="Book Antiqua" w:cs="Arial" w:hint="eastAsia"/>
          <w:color w:val="000000"/>
          <w:sz w:val="24"/>
          <w:szCs w:val="24"/>
        </w:rPr>
        <w:t xml:space="preserve"> confirmation was not </w:t>
      </w:r>
      <w:r w:rsidR="004D5636" w:rsidRPr="00D74A22">
        <w:rPr>
          <w:rFonts w:ascii="Book Antiqua" w:hAnsi="Book Antiqua" w:cs="Arial" w:hint="eastAsia"/>
          <w:color w:val="000000"/>
          <w:sz w:val="24"/>
          <w:szCs w:val="24"/>
        </w:rPr>
        <w:t>perfomed</w:t>
      </w:r>
      <w:r w:rsidR="00C83150" w:rsidRPr="00D74A22">
        <w:rPr>
          <w:rFonts w:ascii="Book Antiqua" w:hAnsi="Book Antiqua" w:cs="Arial" w:hint="eastAsia"/>
          <w:color w:val="000000"/>
          <w:sz w:val="24"/>
          <w:szCs w:val="24"/>
        </w:rPr>
        <w:t xml:space="preserve"> in our</w:t>
      </w:r>
      <w:r w:rsidRPr="00D74A22">
        <w:rPr>
          <w:rFonts w:ascii="Book Antiqua" w:hAnsi="Book Antiqua" w:cs="Arial" w:hint="eastAsia"/>
          <w:color w:val="000000"/>
          <w:sz w:val="24"/>
          <w:szCs w:val="24"/>
        </w:rPr>
        <w:t xml:space="preserve"> case.</w:t>
      </w:r>
    </w:p>
    <w:p w:rsidR="00AD7ECF" w:rsidRPr="00AD7ECF" w:rsidRDefault="00AD7ECF" w:rsidP="00AD7ECF">
      <w:pPr>
        <w:wordWrap/>
        <w:spacing w:line="360" w:lineRule="auto"/>
        <w:rPr>
          <w:rFonts w:ascii="Book Antiqua" w:eastAsia="SimSun" w:hAnsi="Book Antiqua" w:cs="Arial"/>
          <w:color w:val="000000"/>
          <w:sz w:val="24"/>
          <w:szCs w:val="24"/>
          <w:lang w:eastAsia="zh-CN"/>
        </w:rPr>
      </w:pPr>
    </w:p>
    <w:p w:rsidR="003C4F3C" w:rsidRPr="00AD7ECF" w:rsidRDefault="003C4F3C" w:rsidP="00AD7ECF">
      <w:pPr>
        <w:wordWrap/>
        <w:spacing w:line="360" w:lineRule="auto"/>
        <w:rPr>
          <w:rFonts w:ascii="Book Antiqua" w:hAnsi="Book Antiqua" w:cs="Arial"/>
          <w:b/>
          <w:i/>
          <w:color w:val="000000"/>
          <w:sz w:val="24"/>
          <w:szCs w:val="24"/>
        </w:rPr>
      </w:pPr>
      <w:r w:rsidRPr="00AD7ECF">
        <w:rPr>
          <w:rFonts w:ascii="Book Antiqua" w:hAnsi="Book Antiqua" w:cs="Arial"/>
          <w:b/>
          <w:i/>
          <w:color w:val="000000"/>
          <w:sz w:val="24"/>
          <w:szCs w:val="24"/>
        </w:rPr>
        <w:t>Treatment</w:t>
      </w:r>
    </w:p>
    <w:p w:rsidR="001D0CE0" w:rsidRDefault="004D5636" w:rsidP="00AD7ECF">
      <w:pPr>
        <w:wordWrap/>
        <w:spacing w:line="360" w:lineRule="auto"/>
        <w:rPr>
          <w:rFonts w:ascii="Book Antiqua" w:eastAsia="SimSun" w:hAnsi="Book Antiqua" w:cs="Arial"/>
          <w:sz w:val="24"/>
          <w:szCs w:val="24"/>
          <w:lang w:eastAsia="zh-CN"/>
        </w:rPr>
      </w:pPr>
      <w:r w:rsidRPr="00D74A22">
        <w:rPr>
          <w:rFonts w:ascii="Book Antiqua" w:hAnsi="Book Antiqua" w:cs="Arial" w:hint="eastAsia"/>
          <w:sz w:val="24"/>
          <w:szCs w:val="24"/>
        </w:rPr>
        <w:t>P</w:t>
      </w:r>
      <w:r w:rsidRPr="00D74A22">
        <w:rPr>
          <w:rFonts w:ascii="Book Antiqua" w:hAnsi="Book Antiqua" w:cs="Arial"/>
          <w:sz w:val="24"/>
          <w:szCs w:val="24"/>
        </w:rPr>
        <w:t>eroral endoscopic myotomy</w:t>
      </w:r>
      <w:r w:rsidR="001D0CE0" w:rsidRPr="00D74A22">
        <w:rPr>
          <w:rFonts w:ascii="Book Antiqua" w:hAnsi="Book Antiqua" w:cs="Arial"/>
          <w:sz w:val="24"/>
          <w:szCs w:val="24"/>
        </w:rPr>
        <w:t xml:space="preserve"> was performed </w:t>
      </w:r>
      <w:r w:rsidRPr="00D74A22">
        <w:rPr>
          <w:rFonts w:ascii="Book Antiqua" w:hAnsi="Book Antiqua" w:cs="Arial"/>
          <w:sz w:val="24"/>
          <w:szCs w:val="24"/>
        </w:rPr>
        <w:t>to treat Guillain-Barré syndrome</w:t>
      </w:r>
      <w:r w:rsidR="001D0CE0" w:rsidRPr="00D74A22">
        <w:rPr>
          <w:rFonts w:ascii="Book Antiqua" w:hAnsi="Book Antiqua" w:cs="Arial"/>
          <w:sz w:val="24"/>
          <w:szCs w:val="24"/>
        </w:rPr>
        <w:t>-associated type I achalasia</w:t>
      </w:r>
      <w:r w:rsidR="001D0CE0" w:rsidRPr="00D74A22">
        <w:rPr>
          <w:rFonts w:ascii="Book Antiqua" w:hAnsi="Book Antiqua" w:cs="Arial" w:hint="eastAsia"/>
          <w:sz w:val="24"/>
          <w:szCs w:val="24"/>
        </w:rPr>
        <w:t>.</w:t>
      </w:r>
    </w:p>
    <w:p w:rsidR="00AD7ECF" w:rsidRPr="00AD7ECF" w:rsidRDefault="00AD7ECF" w:rsidP="00AD7ECF">
      <w:pPr>
        <w:wordWrap/>
        <w:spacing w:line="360" w:lineRule="auto"/>
        <w:rPr>
          <w:rFonts w:ascii="Book Antiqua" w:eastAsia="SimSun" w:hAnsi="Book Antiqua" w:cs="Arial"/>
          <w:b/>
          <w:color w:val="000000"/>
          <w:sz w:val="24"/>
          <w:szCs w:val="24"/>
          <w:lang w:eastAsia="zh-CN"/>
        </w:rPr>
      </w:pPr>
    </w:p>
    <w:p w:rsidR="003C4F3C" w:rsidRPr="00AD7ECF" w:rsidRDefault="003C4F3C" w:rsidP="00AD7ECF">
      <w:pPr>
        <w:wordWrap/>
        <w:spacing w:line="360" w:lineRule="auto"/>
        <w:rPr>
          <w:rFonts w:ascii="Book Antiqua" w:hAnsi="Book Antiqua" w:cs="Arial"/>
          <w:b/>
          <w:i/>
          <w:color w:val="000000"/>
          <w:sz w:val="24"/>
          <w:szCs w:val="24"/>
        </w:rPr>
      </w:pPr>
      <w:r w:rsidRPr="00AD7ECF">
        <w:rPr>
          <w:rFonts w:ascii="Book Antiqua" w:hAnsi="Book Antiqua"/>
          <w:b/>
          <w:i/>
          <w:sz w:val="24"/>
          <w:szCs w:val="24"/>
        </w:rPr>
        <w:t>Related reports</w:t>
      </w:r>
    </w:p>
    <w:p w:rsidR="003377B2" w:rsidRPr="00D74A22" w:rsidRDefault="003377B2" w:rsidP="00AD7ECF">
      <w:pPr>
        <w:wordWrap/>
        <w:spacing w:line="360" w:lineRule="auto"/>
        <w:rPr>
          <w:rFonts w:ascii="Book Antiqua" w:hAnsi="Book Antiqua"/>
          <w:b/>
          <w:sz w:val="24"/>
          <w:szCs w:val="24"/>
        </w:rPr>
      </w:pPr>
      <w:r w:rsidRPr="00D74A22">
        <w:rPr>
          <w:rFonts w:ascii="Book Antiqua" w:hAnsi="Book Antiqua" w:cs="Arial"/>
          <w:sz w:val="24"/>
          <w:szCs w:val="24"/>
        </w:rPr>
        <w:t xml:space="preserve">Previously, a case of </w:t>
      </w:r>
      <w:r w:rsidRPr="00D74A22">
        <w:rPr>
          <w:rFonts w:ascii="Book Antiqua" w:hAnsi="Book Antiqua" w:cs="Arial" w:hint="eastAsia"/>
          <w:color w:val="000000"/>
          <w:sz w:val="24"/>
          <w:szCs w:val="24"/>
        </w:rPr>
        <w:t xml:space="preserve">in </w:t>
      </w:r>
      <w:r w:rsidR="004D5636" w:rsidRPr="00D74A22">
        <w:rPr>
          <w:rFonts w:ascii="Book Antiqua" w:hAnsi="Book Antiqua" w:cs="Arial"/>
          <w:sz w:val="24"/>
          <w:szCs w:val="24"/>
        </w:rPr>
        <w:t>Guillain-Barré syndrome</w:t>
      </w:r>
      <w:r w:rsidRPr="00D74A22">
        <w:rPr>
          <w:rFonts w:ascii="Book Antiqua" w:hAnsi="Book Antiqua" w:cs="Arial"/>
          <w:sz w:val="24"/>
          <w:szCs w:val="24"/>
        </w:rPr>
        <w:t>-associated achalasia that was treated with pneumatic dilation was reported</w:t>
      </w:r>
      <w:r w:rsidR="00D10422" w:rsidRPr="00D74A22">
        <w:rPr>
          <w:rFonts w:ascii="Book Antiqua" w:hAnsi="Book Antiqua" w:cs="Arial" w:hint="eastAsia"/>
          <w:sz w:val="24"/>
          <w:szCs w:val="24"/>
        </w:rPr>
        <w:t>.</w:t>
      </w:r>
    </w:p>
    <w:p w:rsidR="00AD7ECF" w:rsidRDefault="00AD7ECF" w:rsidP="00AD7ECF">
      <w:pPr>
        <w:wordWrap/>
        <w:spacing w:line="360" w:lineRule="auto"/>
        <w:rPr>
          <w:rFonts w:ascii="Book Antiqua" w:eastAsia="SimSun" w:hAnsi="Book Antiqua"/>
          <w:b/>
          <w:sz w:val="24"/>
          <w:szCs w:val="24"/>
          <w:lang w:eastAsia="zh-CN"/>
        </w:rPr>
      </w:pPr>
    </w:p>
    <w:p w:rsidR="003C4F3C" w:rsidRPr="00AD7ECF" w:rsidRDefault="003C4F3C" w:rsidP="00AD7ECF">
      <w:pPr>
        <w:wordWrap/>
        <w:spacing w:line="360" w:lineRule="auto"/>
        <w:rPr>
          <w:rFonts w:ascii="Book Antiqua" w:hAnsi="Book Antiqua"/>
          <w:b/>
          <w:i/>
          <w:sz w:val="24"/>
          <w:szCs w:val="24"/>
        </w:rPr>
      </w:pPr>
      <w:r w:rsidRPr="00AD7ECF">
        <w:rPr>
          <w:rFonts w:ascii="Book Antiqua" w:hAnsi="Book Antiqua"/>
          <w:b/>
          <w:i/>
          <w:sz w:val="24"/>
          <w:szCs w:val="24"/>
        </w:rPr>
        <w:t xml:space="preserve">Term explanation </w:t>
      </w:r>
    </w:p>
    <w:p w:rsidR="003377B2" w:rsidRPr="00D74A22" w:rsidRDefault="00AD7ECF" w:rsidP="00AD7ECF">
      <w:pPr>
        <w:wordWrap/>
        <w:spacing w:line="360" w:lineRule="auto"/>
        <w:rPr>
          <w:rFonts w:ascii="Book Antiqua" w:hAnsi="Book Antiqua" w:cs="Arial"/>
          <w:b/>
          <w:color w:val="000000"/>
          <w:sz w:val="24"/>
          <w:szCs w:val="24"/>
        </w:rPr>
      </w:pPr>
      <w:r>
        <w:rPr>
          <w:rFonts w:ascii="Book Antiqua" w:hAnsi="Book Antiqua" w:cs="Arial"/>
          <w:sz w:val="24"/>
          <w:szCs w:val="24"/>
        </w:rPr>
        <w:t>Guillain-Barré syndrome</w:t>
      </w:r>
      <w:r>
        <w:rPr>
          <w:rFonts w:ascii="Book Antiqua" w:eastAsia="SimSun" w:hAnsi="Book Antiqua" w:cs="Arial" w:hint="eastAsia"/>
          <w:sz w:val="24"/>
          <w:szCs w:val="24"/>
          <w:lang w:eastAsia="zh-CN"/>
        </w:rPr>
        <w:t xml:space="preserve"> </w:t>
      </w:r>
      <w:r w:rsidR="003377B2" w:rsidRPr="00D74A22">
        <w:rPr>
          <w:rFonts w:ascii="Book Antiqua" w:hAnsi="Book Antiqua" w:cs="Arial"/>
          <w:sz w:val="24"/>
          <w:szCs w:val="24"/>
        </w:rPr>
        <w:t>is an immune-mediated polyradiculoneuropathy characterized by rapidly progressive, symmetrical, ascending weakness and sensory loss.</w:t>
      </w:r>
    </w:p>
    <w:p w:rsidR="00AD7ECF" w:rsidRDefault="00AD7ECF" w:rsidP="00AD7ECF">
      <w:pPr>
        <w:wordWrap/>
        <w:spacing w:line="360" w:lineRule="auto"/>
        <w:rPr>
          <w:rFonts w:ascii="Book Antiqua" w:eastAsia="SimSun" w:hAnsi="Book Antiqua" w:cs="Arial"/>
          <w:b/>
          <w:color w:val="000000"/>
          <w:sz w:val="24"/>
          <w:szCs w:val="24"/>
          <w:lang w:eastAsia="zh-CN"/>
        </w:rPr>
      </w:pPr>
    </w:p>
    <w:p w:rsidR="003C4F3C" w:rsidRPr="00AD7ECF" w:rsidRDefault="003C4F3C" w:rsidP="00AD7ECF">
      <w:pPr>
        <w:wordWrap/>
        <w:spacing w:line="360" w:lineRule="auto"/>
        <w:rPr>
          <w:rFonts w:ascii="Book Antiqua" w:hAnsi="Book Antiqua" w:cs="Arial"/>
          <w:b/>
          <w:i/>
          <w:color w:val="000000"/>
          <w:sz w:val="24"/>
          <w:szCs w:val="24"/>
        </w:rPr>
      </w:pPr>
      <w:r w:rsidRPr="00AD7ECF">
        <w:rPr>
          <w:rFonts w:ascii="Book Antiqua" w:hAnsi="Book Antiqua" w:cs="Arial"/>
          <w:b/>
          <w:i/>
          <w:color w:val="000000"/>
          <w:sz w:val="24"/>
          <w:szCs w:val="24"/>
        </w:rPr>
        <w:t>Experiences and lessons</w:t>
      </w:r>
    </w:p>
    <w:p w:rsidR="004D5636" w:rsidRDefault="004D5636" w:rsidP="00AD7ECF">
      <w:pPr>
        <w:wordWrap/>
        <w:spacing w:line="360" w:lineRule="auto"/>
        <w:rPr>
          <w:rFonts w:ascii="Book Antiqua" w:eastAsia="SimSun" w:hAnsi="Book Antiqua" w:cs="Arial"/>
          <w:sz w:val="24"/>
          <w:szCs w:val="24"/>
          <w:lang w:eastAsia="zh-CN"/>
        </w:rPr>
      </w:pPr>
      <w:r w:rsidRPr="00D74A22">
        <w:rPr>
          <w:rFonts w:ascii="Book Antiqua" w:hAnsi="Book Antiqua" w:cs="Arial"/>
          <w:sz w:val="24"/>
          <w:szCs w:val="24"/>
        </w:rPr>
        <w:t>Our initial experience suggests that peroral endoscopic myotomy is a safe and effective treatment for Guillain-Barré syndrome -associated type I achalasia.</w:t>
      </w:r>
    </w:p>
    <w:p w:rsidR="00AD7ECF" w:rsidRPr="00AD7ECF" w:rsidRDefault="00AD7ECF" w:rsidP="00AD7ECF">
      <w:pPr>
        <w:wordWrap/>
        <w:spacing w:line="360" w:lineRule="auto"/>
        <w:rPr>
          <w:rFonts w:ascii="Book Antiqua" w:eastAsia="SimSun" w:hAnsi="Book Antiqua"/>
          <w:b/>
          <w:sz w:val="24"/>
          <w:szCs w:val="24"/>
          <w:lang w:eastAsia="zh-CN"/>
        </w:rPr>
      </w:pPr>
    </w:p>
    <w:p w:rsidR="003C4F3C" w:rsidRPr="00AD7ECF" w:rsidRDefault="003C4F3C" w:rsidP="00AD7ECF">
      <w:pPr>
        <w:wordWrap/>
        <w:spacing w:line="360" w:lineRule="auto"/>
        <w:rPr>
          <w:rFonts w:ascii="Book Antiqua" w:hAnsi="Book Antiqua"/>
          <w:b/>
          <w:i/>
          <w:sz w:val="24"/>
          <w:szCs w:val="24"/>
        </w:rPr>
      </w:pPr>
      <w:r w:rsidRPr="00AD7ECF">
        <w:rPr>
          <w:rFonts w:ascii="Book Antiqua" w:hAnsi="Book Antiqua"/>
          <w:b/>
          <w:i/>
          <w:sz w:val="24"/>
          <w:szCs w:val="24"/>
        </w:rPr>
        <w:t>Peer</w:t>
      </w:r>
      <w:r w:rsidRPr="00AD7ECF">
        <w:rPr>
          <w:rFonts w:ascii="Book Antiqua" w:hAnsi="Book Antiqua" w:hint="eastAsia"/>
          <w:b/>
          <w:i/>
          <w:sz w:val="24"/>
          <w:szCs w:val="24"/>
        </w:rPr>
        <w:t>-</w:t>
      </w:r>
      <w:r w:rsidRPr="00AD7ECF">
        <w:rPr>
          <w:rFonts w:ascii="Book Antiqua" w:hAnsi="Book Antiqua"/>
          <w:b/>
          <w:i/>
          <w:sz w:val="24"/>
          <w:szCs w:val="24"/>
        </w:rPr>
        <w:t>review</w:t>
      </w:r>
    </w:p>
    <w:bookmarkEnd w:id="26"/>
    <w:bookmarkEnd w:id="27"/>
    <w:p w:rsidR="003C4F3C" w:rsidRPr="00D10422" w:rsidRDefault="004D5636" w:rsidP="00AD7ECF">
      <w:pPr>
        <w:wordWrap/>
        <w:adjustRightInd w:val="0"/>
        <w:snapToGrid w:val="0"/>
        <w:spacing w:line="360" w:lineRule="auto"/>
        <w:rPr>
          <w:rFonts w:ascii="Book Antiqua" w:hAnsi="Book Antiqua" w:cs="Arial"/>
          <w:sz w:val="24"/>
          <w:szCs w:val="24"/>
        </w:rPr>
      </w:pPr>
      <w:r w:rsidRPr="00D74A22">
        <w:rPr>
          <w:rFonts w:ascii="Book Antiqua" w:hAnsi="Book Antiqua" w:cs="Arial"/>
          <w:sz w:val="24"/>
          <w:szCs w:val="24"/>
        </w:rPr>
        <w:t>It is an interesting and well-written case report</w:t>
      </w:r>
      <w:r w:rsidRPr="00D74A22">
        <w:rPr>
          <w:rFonts w:ascii="Book Antiqua" w:hAnsi="Book Antiqua" w:cs="Arial" w:hint="eastAsia"/>
          <w:sz w:val="24"/>
          <w:szCs w:val="24"/>
        </w:rPr>
        <w:t>.</w:t>
      </w:r>
    </w:p>
    <w:bookmarkEnd w:id="28"/>
    <w:bookmarkEnd w:id="29"/>
    <w:bookmarkEnd w:id="30"/>
    <w:p w:rsidR="00205BE1" w:rsidRDefault="00205BE1" w:rsidP="00AD7ECF">
      <w:pPr>
        <w:wordWrap/>
        <w:spacing w:line="360" w:lineRule="auto"/>
        <w:rPr>
          <w:rFonts w:ascii="Book Antiqua" w:eastAsia="SimSun" w:hAnsi="Book Antiqua"/>
          <w:sz w:val="24"/>
          <w:szCs w:val="24"/>
          <w:lang w:eastAsia="zh-CN"/>
        </w:rPr>
      </w:pPr>
      <w:r w:rsidRPr="00BE0FF2">
        <w:rPr>
          <w:rFonts w:ascii="Book Antiqua" w:hAnsi="Book Antiqua" w:cs="Arial"/>
          <w:b/>
          <w:sz w:val="24"/>
          <w:szCs w:val="24"/>
        </w:rPr>
        <w:lastRenderedPageBreak/>
        <w:t>REFERENCES</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1 </w:t>
      </w:r>
      <w:r w:rsidRPr="00E52780">
        <w:rPr>
          <w:rFonts w:ascii="Book Antiqua" w:eastAsia="SimSun" w:hAnsi="Book Antiqua" w:cs="SimSun"/>
          <w:b/>
          <w:bCs/>
          <w:kern w:val="0"/>
          <w:sz w:val="24"/>
          <w:szCs w:val="24"/>
        </w:rPr>
        <w:t>Dimachkie MM</w:t>
      </w:r>
      <w:r w:rsidRPr="00E52780">
        <w:rPr>
          <w:rFonts w:ascii="Book Antiqua" w:eastAsia="SimSun" w:hAnsi="Book Antiqua" w:cs="SimSun"/>
          <w:kern w:val="0"/>
          <w:sz w:val="24"/>
          <w:szCs w:val="24"/>
        </w:rPr>
        <w:t>, Barohn RJ. Guillain-Barré syndrome and variants. </w:t>
      </w:r>
      <w:r w:rsidRPr="00E52780">
        <w:rPr>
          <w:rFonts w:ascii="Book Antiqua" w:eastAsia="SimSun" w:hAnsi="Book Antiqua" w:cs="SimSun"/>
          <w:i/>
          <w:iCs/>
          <w:kern w:val="0"/>
          <w:sz w:val="24"/>
          <w:szCs w:val="24"/>
        </w:rPr>
        <w:t>Neurol Clin</w:t>
      </w:r>
      <w:r w:rsidRPr="00E52780">
        <w:rPr>
          <w:rFonts w:ascii="Book Antiqua" w:eastAsia="SimSun" w:hAnsi="Book Antiqua" w:cs="SimSun"/>
          <w:kern w:val="0"/>
          <w:sz w:val="24"/>
          <w:szCs w:val="24"/>
        </w:rPr>
        <w:t> 2013; </w:t>
      </w:r>
      <w:r w:rsidRPr="00E52780">
        <w:rPr>
          <w:rFonts w:ascii="Book Antiqua" w:eastAsia="SimSun" w:hAnsi="Book Antiqua" w:cs="SimSun"/>
          <w:b/>
          <w:bCs/>
          <w:kern w:val="0"/>
          <w:sz w:val="24"/>
          <w:szCs w:val="24"/>
        </w:rPr>
        <w:t>31</w:t>
      </w:r>
      <w:r w:rsidRPr="00E52780">
        <w:rPr>
          <w:rFonts w:ascii="Book Antiqua" w:eastAsia="SimSun" w:hAnsi="Book Antiqua" w:cs="SimSun"/>
          <w:kern w:val="0"/>
          <w:sz w:val="24"/>
          <w:szCs w:val="24"/>
        </w:rPr>
        <w:t>: 491-510 [PMID: 23642721 DOI: 10.1016/j.ncl.2013.01.005]</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2 </w:t>
      </w:r>
      <w:r w:rsidRPr="00E52780">
        <w:rPr>
          <w:rFonts w:ascii="Book Antiqua" w:eastAsia="SimSun" w:hAnsi="Book Antiqua" w:cs="SimSun"/>
          <w:b/>
          <w:bCs/>
          <w:kern w:val="0"/>
          <w:sz w:val="24"/>
          <w:szCs w:val="24"/>
        </w:rPr>
        <w:t>Firouzi M</w:t>
      </w:r>
      <w:r w:rsidRPr="00E52780">
        <w:rPr>
          <w:rFonts w:ascii="Book Antiqua" w:eastAsia="SimSun" w:hAnsi="Book Antiqua" w:cs="SimSun"/>
          <w:kern w:val="0"/>
          <w:sz w:val="24"/>
          <w:szCs w:val="24"/>
        </w:rPr>
        <w:t>, Keshavarzian A. Guillain-Barre syndrome and achalasia: two manifestations of a viral disease or coincidental association? </w:t>
      </w:r>
      <w:r w:rsidRPr="00E52780">
        <w:rPr>
          <w:rFonts w:ascii="Book Antiqua" w:eastAsia="SimSun" w:hAnsi="Book Antiqua" w:cs="SimSun"/>
          <w:i/>
          <w:iCs/>
          <w:kern w:val="0"/>
          <w:sz w:val="24"/>
          <w:szCs w:val="24"/>
        </w:rPr>
        <w:t>Am J Gastroenterol</w:t>
      </w:r>
      <w:r w:rsidRPr="00E52780">
        <w:rPr>
          <w:rFonts w:ascii="Book Antiqua" w:eastAsia="SimSun" w:hAnsi="Book Antiqua" w:cs="SimSun"/>
          <w:kern w:val="0"/>
          <w:sz w:val="24"/>
          <w:szCs w:val="24"/>
        </w:rPr>
        <w:t> 1994; </w:t>
      </w:r>
      <w:r w:rsidRPr="00E52780">
        <w:rPr>
          <w:rFonts w:ascii="Book Antiqua" w:eastAsia="SimSun" w:hAnsi="Book Antiqua" w:cs="SimSun"/>
          <w:b/>
          <w:bCs/>
          <w:kern w:val="0"/>
          <w:sz w:val="24"/>
          <w:szCs w:val="24"/>
        </w:rPr>
        <w:t>89</w:t>
      </w:r>
      <w:r w:rsidRPr="00E52780">
        <w:rPr>
          <w:rFonts w:ascii="Book Antiqua" w:eastAsia="SimSun" w:hAnsi="Book Antiqua" w:cs="SimSun"/>
          <w:kern w:val="0"/>
          <w:sz w:val="24"/>
          <w:szCs w:val="24"/>
        </w:rPr>
        <w:t>: 1585-1587 [PMID: 8079948]</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3 </w:t>
      </w:r>
      <w:r w:rsidRPr="00E52780">
        <w:rPr>
          <w:rFonts w:ascii="Book Antiqua" w:eastAsia="SimSun" w:hAnsi="Book Antiqua" w:cs="SimSun"/>
          <w:b/>
          <w:bCs/>
          <w:kern w:val="0"/>
          <w:sz w:val="24"/>
          <w:szCs w:val="24"/>
        </w:rPr>
        <w:t>Vanuytsel T</w:t>
      </w:r>
      <w:r w:rsidRPr="00E52780">
        <w:rPr>
          <w:rFonts w:ascii="Book Antiqua" w:eastAsia="SimSun" w:hAnsi="Book Antiqua" w:cs="SimSun"/>
          <w:kern w:val="0"/>
          <w:sz w:val="24"/>
          <w:szCs w:val="24"/>
        </w:rPr>
        <w:t>, Lerut T, Coosemans W, Vanbeckevoort D, Blondeau K, Boeckxstaens G, Tack J. Conservative management of esophageal perforations during pneumatic dilation for idiopathic esophageal achalasia. </w:t>
      </w:r>
      <w:r w:rsidRPr="00E52780">
        <w:rPr>
          <w:rFonts w:ascii="Book Antiqua" w:eastAsia="SimSun" w:hAnsi="Book Antiqua" w:cs="SimSun"/>
          <w:i/>
          <w:iCs/>
          <w:kern w:val="0"/>
          <w:sz w:val="24"/>
          <w:szCs w:val="24"/>
        </w:rPr>
        <w:t>Clin Gastroenterol Hepatol</w:t>
      </w:r>
      <w:r w:rsidRPr="00E52780">
        <w:rPr>
          <w:rFonts w:ascii="Book Antiqua" w:eastAsia="SimSun" w:hAnsi="Book Antiqua" w:cs="SimSun"/>
          <w:kern w:val="0"/>
          <w:sz w:val="24"/>
          <w:szCs w:val="24"/>
        </w:rPr>
        <w:t> 2012; </w:t>
      </w:r>
      <w:r w:rsidRPr="00E52780">
        <w:rPr>
          <w:rFonts w:ascii="Book Antiqua" w:eastAsia="SimSun" w:hAnsi="Book Antiqua" w:cs="SimSun"/>
          <w:b/>
          <w:bCs/>
          <w:kern w:val="0"/>
          <w:sz w:val="24"/>
          <w:szCs w:val="24"/>
        </w:rPr>
        <w:t>10</w:t>
      </w:r>
      <w:r w:rsidRPr="00E52780">
        <w:rPr>
          <w:rFonts w:ascii="Book Antiqua" w:eastAsia="SimSun" w:hAnsi="Book Antiqua" w:cs="SimSun"/>
          <w:kern w:val="0"/>
          <w:sz w:val="24"/>
          <w:szCs w:val="24"/>
        </w:rPr>
        <w:t>: 142-149 [PMID: 22064041 DOI: 10.1016/j.cgh.2011.10.032]</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4 </w:t>
      </w:r>
      <w:r w:rsidRPr="00E52780">
        <w:rPr>
          <w:rFonts w:ascii="Book Antiqua" w:eastAsia="SimSun" w:hAnsi="Book Antiqua" w:cs="SimSun"/>
          <w:b/>
          <w:bCs/>
          <w:kern w:val="0"/>
          <w:sz w:val="24"/>
          <w:szCs w:val="24"/>
        </w:rPr>
        <w:t>Campos GM</w:t>
      </w:r>
      <w:r w:rsidRPr="00E52780">
        <w:rPr>
          <w:rFonts w:ascii="Book Antiqua" w:eastAsia="SimSun" w:hAnsi="Book Antiqua" w:cs="SimSun"/>
          <w:kern w:val="0"/>
          <w:sz w:val="24"/>
          <w:szCs w:val="24"/>
        </w:rPr>
        <w:t>, Vittinghoff E, Rabl C, Takata M, Gadenstätter M, Lin F, Ciovica R. Endoscopic and surgical treatments for achalasia: a systematic review and meta-analysis. </w:t>
      </w:r>
      <w:r w:rsidRPr="00E52780">
        <w:rPr>
          <w:rFonts w:ascii="Book Antiqua" w:eastAsia="SimSun" w:hAnsi="Book Antiqua" w:cs="SimSun"/>
          <w:i/>
          <w:iCs/>
          <w:kern w:val="0"/>
          <w:sz w:val="24"/>
          <w:szCs w:val="24"/>
        </w:rPr>
        <w:t>Ann Surg</w:t>
      </w:r>
      <w:r w:rsidRPr="00E52780">
        <w:rPr>
          <w:rFonts w:ascii="Book Antiqua" w:eastAsia="SimSun" w:hAnsi="Book Antiqua" w:cs="SimSun"/>
          <w:kern w:val="0"/>
          <w:sz w:val="24"/>
          <w:szCs w:val="24"/>
        </w:rPr>
        <w:t> 2009; </w:t>
      </w:r>
      <w:r w:rsidRPr="00E52780">
        <w:rPr>
          <w:rFonts w:ascii="Book Antiqua" w:eastAsia="SimSun" w:hAnsi="Book Antiqua" w:cs="SimSun"/>
          <w:b/>
          <w:bCs/>
          <w:kern w:val="0"/>
          <w:sz w:val="24"/>
          <w:szCs w:val="24"/>
        </w:rPr>
        <w:t>249</w:t>
      </w:r>
      <w:r w:rsidRPr="00E52780">
        <w:rPr>
          <w:rFonts w:ascii="Book Antiqua" w:eastAsia="SimSun" w:hAnsi="Book Antiqua" w:cs="SimSun"/>
          <w:kern w:val="0"/>
          <w:sz w:val="24"/>
          <w:szCs w:val="24"/>
        </w:rPr>
        <w:t>: 45-57 [PMID: 19106675 DOI: 10.1097/SLA.0b013e31818e43ab]</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5 </w:t>
      </w:r>
      <w:r w:rsidRPr="00E52780">
        <w:rPr>
          <w:rFonts w:ascii="Book Antiqua" w:eastAsia="SimSun" w:hAnsi="Book Antiqua" w:cs="SimSun"/>
          <w:b/>
          <w:bCs/>
          <w:kern w:val="0"/>
          <w:sz w:val="24"/>
          <w:szCs w:val="24"/>
        </w:rPr>
        <w:t>van Doorn PA</w:t>
      </w:r>
      <w:r w:rsidRPr="00E52780">
        <w:rPr>
          <w:rFonts w:ascii="Book Antiqua" w:eastAsia="SimSun" w:hAnsi="Book Antiqua" w:cs="SimSun"/>
          <w:kern w:val="0"/>
          <w:sz w:val="24"/>
          <w:szCs w:val="24"/>
        </w:rPr>
        <w:t>, Kuitwaard K, Walgaard C, van Koningsveld R, Ruts L, Jacobs BC. IVIG treatment and prognosis in Guillain-Barré syndrome. </w:t>
      </w:r>
      <w:r w:rsidRPr="00E52780">
        <w:rPr>
          <w:rFonts w:ascii="Book Antiqua" w:eastAsia="SimSun" w:hAnsi="Book Antiqua" w:cs="SimSun"/>
          <w:i/>
          <w:iCs/>
          <w:kern w:val="0"/>
          <w:sz w:val="24"/>
          <w:szCs w:val="24"/>
        </w:rPr>
        <w:t>J Clin Immunol</w:t>
      </w:r>
      <w:r w:rsidRPr="00E52780">
        <w:rPr>
          <w:rFonts w:ascii="Book Antiqua" w:eastAsia="SimSun" w:hAnsi="Book Antiqua" w:cs="SimSun"/>
          <w:kern w:val="0"/>
          <w:sz w:val="24"/>
          <w:szCs w:val="24"/>
        </w:rPr>
        <w:t> 2010; </w:t>
      </w:r>
      <w:r w:rsidRPr="00E52780">
        <w:rPr>
          <w:rFonts w:ascii="Book Antiqua" w:eastAsia="SimSun" w:hAnsi="Book Antiqua" w:cs="SimSun"/>
          <w:b/>
          <w:bCs/>
          <w:kern w:val="0"/>
          <w:sz w:val="24"/>
          <w:szCs w:val="24"/>
        </w:rPr>
        <w:t xml:space="preserve">30 </w:t>
      </w:r>
      <w:r w:rsidRPr="00E52780">
        <w:rPr>
          <w:rFonts w:ascii="Book Antiqua" w:eastAsia="SimSun" w:hAnsi="Book Antiqua" w:cs="SimSun"/>
          <w:bCs/>
          <w:kern w:val="0"/>
          <w:sz w:val="24"/>
          <w:szCs w:val="24"/>
        </w:rPr>
        <w:t>Suppl 1</w:t>
      </w:r>
      <w:r w:rsidRPr="00E52780">
        <w:rPr>
          <w:rFonts w:ascii="Book Antiqua" w:eastAsia="SimSun" w:hAnsi="Book Antiqua" w:cs="SimSun"/>
          <w:kern w:val="0"/>
          <w:sz w:val="24"/>
          <w:szCs w:val="24"/>
        </w:rPr>
        <w:t>: S74-S78 [PMID: 20396937 DOI: 10.1007/s10875-010-9407-4]</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6 </w:t>
      </w:r>
      <w:r w:rsidRPr="00E52780">
        <w:rPr>
          <w:rFonts w:ascii="Book Antiqua" w:eastAsia="SimSun" w:hAnsi="Book Antiqua" w:cs="SimSun"/>
          <w:b/>
          <w:bCs/>
          <w:kern w:val="0"/>
          <w:sz w:val="24"/>
          <w:szCs w:val="24"/>
        </w:rPr>
        <w:t>Winer JB</w:t>
      </w:r>
      <w:r w:rsidRPr="00E52780">
        <w:rPr>
          <w:rFonts w:ascii="Book Antiqua" w:eastAsia="SimSun" w:hAnsi="Book Antiqua" w:cs="SimSun"/>
          <w:kern w:val="0"/>
          <w:sz w:val="24"/>
          <w:szCs w:val="24"/>
        </w:rPr>
        <w:t>. Guillain Barré syndrome. </w:t>
      </w:r>
      <w:r w:rsidRPr="00E52780">
        <w:rPr>
          <w:rFonts w:ascii="Book Antiqua" w:eastAsia="SimSun" w:hAnsi="Book Antiqua" w:cs="SimSun"/>
          <w:i/>
          <w:iCs/>
          <w:kern w:val="0"/>
          <w:sz w:val="24"/>
          <w:szCs w:val="24"/>
        </w:rPr>
        <w:t>Mol Pathol</w:t>
      </w:r>
      <w:r w:rsidRPr="00E52780">
        <w:rPr>
          <w:rFonts w:ascii="Book Antiqua" w:eastAsia="SimSun" w:hAnsi="Book Antiqua" w:cs="SimSun"/>
          <w:kern w:val="0"/>
          <w:sz w:val="24"/>
          <w:szCs w:val="24"/>
        </w:rPr>
        <w:t> 2001; </w:t>
      </w:r>
      <w:r w:rsidRPr="00E52780">
        <w:rPr>
          <w:rFonts w:ascii="Book Antiqua" w:eastAsia="SimSun" w:hAnsi="Book Antiqua" w:cs="SimSun"/>
          <w:b/>
          <w:bCs/>
          <w:kern w:val="0"/>
          <w:sz w:val="24"/>
          <w:szCs w:val="24"/>
        </w:rPr>
        <w:t>54</w:t>
      </w:r>
      <w:r w:rsidRPr="00E52780">
        <w:rPr>
          <w:rFonts w:ascii="Book Antiqua" w:eastAsia="SimSun" w:hAnsi="Book Antiqua" w:cs="SimSun"/>
          <w:kern w:val="0"/>
          <w:sz w:val="24"/>
          <w:szCs w:val="24"/>
        </w:rPr>
        <w:t>: 381-385 [PMID: 11724912]</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7 </w:t>
      </w:r>
      <w:r w:rsidRPr="00E52780">
        <w:rPr>
          <w:rFonts w:ascii="Book Antiqua" w:eastAsia="SimSun" w:hAnsi="Book Antiqua" w:cs="SimSun"/>
          <w:b/>
          <w:bCs/>
          <w:kern w:val="0"/>
          <w:sz w:val="24"/>
          <w:szCs w:val="24"/>
        </w:rPr>
        <w:t>Nanda SK</w:t>
      </w:r>
      <w:r w:rsidRPr="00E52780">
        <w:rPr>
          <w:rFonts w:ascii="Book Antiqua" w:eastAsia="SimSun" w:hAnsi="Book Antiqua" w:cs="SimSun"/>
          <w:kern w:val="0"/>
          <w:sz w:val="24"/>
          <w:szCs w:val="24"/>
        </w:rPr>
        <w:t>, Jayalakshmi S, Ruikar D, Surath M. Twelfth cranial nerve involvement in Guillian Barre syndrome. </w:t>
      </w:r>
      <w:r w:rsidRPr="00E52780">
        <w:rPr>
          <w:rFonts w:ascii="Book Antiqua" w:eastAsia="SimSun" w:hAnsi="Book Antiqua" w:cs="SimSun"/>
          <w:i/>
          <w:iCs/>
          <w:kern w:val="0"/>
          <w:sz w:val="24"/>
          <w:szCs w:val="24"/>
        </w:rPr>
        <w:t>J Neurosci Rural Pract</w:t>
      </w:r>
      <w:r w:rsidRPr="00E52780">
        <w:rPr>
          <w:rFonts w:ascii="Book Antiqua" w:eastAsia="SimSun" w:hAnsi="Book Antiqua" w:cs="SimSun"/>
          <w:kern w:val="0"/>
          <w:sz w:val="24"/>
          <w:szCs w:val="24"/>
        </w:rPr>
        <w:t> 2013; </w:t>
      </w:r>
      <w:r w:rsidRPr="00E52780">
        <w:rPr>
          <w:rFonts w:ascii="Book Antiqua" w:eastAsia="SimSun" w:hAnsi="Book Antiqua" w:cs="SimSun"/>
          <w:b/>
          <w:bCs/>
          <w:kern w:val="0"/>
          <w:sz w:val="24"/>
          <w:szCs w:val="24"/>
        </w:rPr>
        <w:t>4</w:t>
      </w:r>
      <w:r w:rsidRPr="00E52780">
        <w:rPr>
          <w:rFonts w:ascii="Book Antiqua" w:eastAsia="SimSun" w:hAnsi="Book Antiqua" w:cs="SimSun"/>
          <w:kern w:val="0"/>
          <w:sz w:val="24"/>
          <w:szCs w:val="24"/>
        </w:rPr>
        <w:t>: 338-340 [PMID: 24250180 DOI: 10.4103/0976-3147.118804]</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8 </w:t>
      </w:r>
      <w:r w:rsidRPr="00E52780">
        <w:rPr>
          <w:rFonts w:ascii="Book Antiqua" w:eastAsia="SimSun" w:hAnsi="Book Antiqua" w:cs="SimSun"/>
          <w:b/>
          <w:bCs/>
          <w:kern w:val="0"/>
          <w:sz w:val="24"/>
          <w:szCs w:val="24"/>
        </w:rPr>
        <w:t>Yu JY</w:t>
      </w:r>
      <w:r w:rsidRPr="00E52780">
        <w:rPr>
          <w:rFonts w:ascii="Book Antiqua" w:eastAsia="SimSun" w:hAnsi="Book Antiqua" w:cs="SimSun"/>
          <w:kern w:val="0"/>
          <w:sz w:val="24"/>
          <w:szCs w:val="24"/>
        </w:rPr>
        <w:t>, Jung HY, Kim CH, Kim HS, Kim MO. Multiple cranial neuropathies without limb involvements: guillain-barre syndrome variant? </w:t>
      </w:r>
      <w:r w:rsidRPr="00E52780">
        <w:rPr>
          <w:rFonts w:ascii="Book Antiqua" w:eastAsia="SimSun" w:hAnsi="Book Antiqua" w:cs="SimSun"/>
          <w:i/>
          <w:iCs/>
          <w:kern w:val="0"/>
          <w:sz w:val="24"/>
          <w:szCs w:val="24"/>
        </w:rPr>
        <w:t>Ann Rehabil Med</w:t>
      </w:r>
      <w:r w:rsidRPr="00E52780">
        <w:rPr>
          <w:rFonts w:ascii="Book Antiqua" w:eastAsia="SimSun" w:hAnsi="Book Antiqua" w:cs="SimSun"/>
          <w:kern w:val="0"/>
          <w:sz w:val="24"/>
          <w:szCs w:val="24"/>
        </w:rPr>
        <w:t> 2013; </w:t>
      </w:r>
      <w:r w:rsidRPr="00E52780">
        <w:rPr>
          <w:rFonts w:ascii="Book Antiqua" w:eastAsia="SimSun" w:hAnsi="Book Antiqua" w:cs="SimSun"/>
          <w:b/>
          <w:bCs/>
          <w:kern w:val="0"/>
          <w:sz w:val="24"/>
          <w:szCs w:val="24"/>
        </w:rPr>
        <w:t>37</w:t>
      </w:r>
      <w:r w:rsidRPr="00E52780">
        <w:rPr>
          <w:rFonts w:ascii="Book Antiqua" w:eastAsia="SimSun" w:hAnsi="Book Antiqua" w:cs="SimSun"/>
          <w:kern w:val="0"/>
          <w:sz w:val="24"/>
          <w:szCs w:val="24"/>
        </w:rPr>
        <w:t>: 740-744 [PMID: 24236266 DOI: 10.5535/arm.2013.37.5.740]</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9 </w:t>
      </w:r>
      <w:r w:rsidRPr="00E52780">
        <w:rPr>
          <w:rFonts w:ascii="Book Antiqua" w:eastAsia="SimSun" w:hAnsi="Book Antiqua" w:cs="SimSun"/>
          <w:b/>
          <w:bCs/>
          <w:kern w:val="0"/>
          <w:sz w:val="24"/>
          <w:szCs w:val="24"/>
        </w:rPr>
        <w:t>Hughes RA</w:t>
      </w:r>
      <w:r w:rsidRPr="00E52780">
        <w:rPr>
          <w:rFonts w:ascii="Book Antiqua" w:eastAsia="SimSun" w:hAnsi="Book Antiqua" w:cs="SimSun"/>
          <w:kern w:val="0"/>
          <w:sz w:val="24"/>
          <w:szCs w:val="24"/>
        </w:rPr>
        <w:t>, Hadden RD, Gregson NA, Smith KJ. Pathogenesis of Guillain-Barré syndrome. </w:t>
      </w:r>
      <w:r w:rsidRPr="00E52780">
        <w:rPr>
          <w:rFonts w:ascii="Book Antiqua" w:eastAsia="SimSun" w:hAnsi="Book Antiqua" w:cs="SimSun"/>
          <w:i/>
          <w:iCs/>
          <w:kern w:val="0"/>
          <w:sz w:val="24"/>
          <w:szCs w:val="24"/>
        </w:rPr>
        <w:t>J Neuroimmunol</w:t>
      </w:r>
      <w:r w:rsidRPr="00E52780">
        <w:rPr>
          <w:rFonts w:ascii="Book Antiqua" w:eastAsia="SimSun" w:hAnsi="Book Antiqua" w:cs="SimSun"/>
          <w:kern w:val="0"/>
          <w:sz w:val="24"/>
          <w:szCs w:val="24"/>
        </w:rPr>
        <w:t> 1999; </w:t>
      </w:r>
      <w:r w:rsidRPr="00E52780">
        <w:rPr>
          <w:rFonts w:ascii="Book Antiqua" w:eastAsia="SimSun" w:hAnsi="Book Antiqua" w:cs="SimSun"/>
          <w:b/>
          <w:bCs/>
          <w:kern w:val="0"/>
          <w:sz w:val="24"/>
          <w:szCs w:val="24"/>
        </w:rPr>
        <w:t>100</w:t>
      </w:r>
      <w:r w:rsidRPr="00E52780">
        <w:rPr>
          <w:rFonts w:ascii="Book Antiqua" w:eastAsia="SimSun" w:hAnsi="Book Antiqua" w:cs="SimSun"/>
          <w:kern w:val="0"/>
          <w:sz w:val="24"/>
          <w:szCs w:val="24"/>
        </w:rPr>
        <w:t>: 74-97 [PMID: 10695718]</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10 </w:t>
      </w:r>
      <w:r w:rsidRPr="00E52780">
        <w:rPr>
          <w:rFonts w:ascii="Book Antiqua" w:eastAsia="SimSun" w:hAnsi="Book Antiqua" w:cs="SimSun"/>
          <w:b/>
          <w:bCs/>
          <w:kern w:val="0"/>
          <w:sz w:val="24"/>
          <w:szCs w:val="24"/>
        </w:rPr>
        <w:t>Mogale KD</w:t>
      </w:r>
      <w:r w:rsidRPr="00E52780">
        <w:rPr>
          <w:rFonts w:ascii="Book Antiqua" w:eastAsia="SimSun" w:hAnsi="Book Antiqua" w:cs="SimSun"/>
          <w:kern w:val="0"/>
          <w:sz w:val="24"/>
          <w:szCs w:val="24"/>
        </w:rPr>
        <w:t>, Antony JH, Ryan MM. The pharyngeal-cervical-brachial form of Guillain-Barré syndrome in childhood. </w:t>
      </w:r>
      <w:r w:rsidRPr="00E52780">
        <w:rPr>
          <w:rFonts w:ascii="Book Antiqua" w:eastAsia="SimSun" w:hAnsi="Book Antiqua" w:cs="SimSun"/>
          <w:i/>
          <w:iCs/>
          <w:kern w:val="0"/>
          <w:sz w:val="24"/>
          <w:szCs w:val="24"/>
        </w:rPr>
        <w:t>Pediatr Neurol</w:t>
      </w:r>
      <w:r w:rsidRPr="00E52780">
        <w:rPr>
          <w:rFonts w:ascii="Book Antiqua" w:eastAsia="SimSun" w:hAnsi="Book Antiqua" w:cs="SimSun"/>
          <w:kern w:val="0"/>
          <w:sz w:val="24"/>
          <w:szCs w:val="24"/>
        </w:rPr>
        <w:t> 2005; </w:t>
      </w:r>
      <w:r w:rsidRPr="00E52780">
        <w:rPr>
          <w:rFonts w:ascii="Book Antiqua" w:eastAsia="SimSun" w:hAnsi="Book Antiqua" w:cs="SimSun"/>
          <w:b/>
          <w:bCs/>
          <w:kern w:val="0"/>
          <w:sz w:val="24"/>
          <w:szCs w:val="24"/>
        </w:rPr>
        <w:t>33</w:t>
      </w:r>
      <w:r w:rsidRPr="00E52780">
        <w:rPr>
          <w:rFonts w:ascii="Book Antiqua" w:eastAsia="SimSun" w:hAnsi="Book Antiqua" w:cs="SimSun"/>
          <w:kern w:val="0"/>
          <w:sz w:val="24"/>
          <w:szCs w:val="24"/>
        </w:rPr>
        <w:t>: 285-288 [PMID: 16194730 DOI: 10.1016/j.pediatrneurol.2005.04.012]</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lastRenderedPageBreak/>
        <w:t>11 </w:t>
      </w:r>
      <w:r w:rsidRPr="00E52780">
        <w:rPr>
          <w:rFonts w:ascii="Book Antiqua" w:eastAsia="SimSun" w:hAnsi="Book Antiqua" w:cs="SimSun"/>
          <w:b/>
          <w:bCs/>
          <w:kern w:val="0"/>
          <w:sz w:val="24"/>
          <w:szCs w:val="24"/>
        </w:rPr>
        <w:t>Boeckxstaens GE</w:t>
      </w:r>
      <w:r w:rsidRPr="00E52780">
        <w:rPr>
          <w:rFonts w:ascii="Book Antiqua" w:eastAsia="SimSun" w:hAnsi="Book Antiqua" w:cs="SimSun"/>
          <w:kern w:val="0"/>
          <w:sz w:val="24"/>
          <w:szCs w:val="24"/>
        </w:rPr>
        <w:t>. The lower oesophageal sphincter. </w:t>
      </w:r>
      <w:r w:rsidRPr="00E52780">
        <w:rPr>
          <w:rFonts w:ascii="Book Antiqua" w:eastAsia="SimSun" w:hAnsi="Book Antiqua" w:cs="SimSun"/>
          <w:i/>
          <w:iCs/>
          <w:kern w:val="0"/>
          <w:sz w:val="24"/>
          <w:szCs w:val="24"/>
        </w:rPr>
        <w:t>Neurogastroenterol Motil</w:t>
      </w:r>
      <w:r w:rsidRPr="00E52780">
        <w:rPr>
          <w:rFonts w:ascii="Book Antiqua" w:eastAsia="SimSun" w:hAnsi="Book Antiqua" w:cs="SimSun"/>
          <w:kern w:val="0"/>
          <w:sz w:val="24"/>
          <w:szCs w:val="24"/>
        </w:rPr>
        <w:t> 2005; </w:t>
      </w:r>
      <w:r w:rsidRPr="00E52780">
        <w:rPr>
          <w:rFonts w:ascii="Book Antiqua" w:eastAsia="SimSun" w:hAnsi="Book Antiqua" w:cs="SimSun"/>
          <w:b/>
          <w:bCs/>
          <w:kern w:val="0"/>
          <w:sz w:val="24"/>
          <w:szCs w:val="24"/>
        </w:rPr>
        <w:t xml:space="preserve">17 </w:t>
      </w:r>
      <w:r w:rsidRPr="00E52780">
        <w:rPr>
          <w:rFonts w:ascii="Book Antiqua" w:eastAsia="SimSun" w:hAnsi="Book Antiqua" w:cs="SimSun"/>
          <w:bCs/>
          <w:kern w:val="0"/>
          <w:sz w:val="24"/>
          <w:szCs w:val="24"/>
        </w:rPr>
        <w:t>Suppl 1</w:t>
      </w:r>
      <w:r w:rsidRPr="00E52780">
        <w:rPr>
          <w:rFonts w:ascii="Book Antiqua" w:eastAsia="SimSun" w:hAnsi="Book Antiqua" w:cs="SimSun"/>
          <w:kern w:val="0"/>
          <w:sz w:val="24"/>
          <w:szCs w:val="24"/>
        </w:rPr>
        <w:t>: 13-21 [PMID: 15836451 DOI: 10.1111/j.1365-2982.2005.00661.x]</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12</w:t>
      </w:r>
      <w:r>
        <w:rPr>
          <w:rFonts w:ascii="Book Antiqua" w:eastAsia="SimSun" w:hAnsi="Book Antiqua" w:cs="SimSun" w:hint="eastAsia"/>
          <w:kern w:val="0"/>
          <w:sz w:val="24"/>
          <w:szCs w:val="24"/>
        </w:rPr>
        <w:t xml:space="preserve"> </w:t>
      </w:r>
      <w:r w:rsidRPr="00E52780">
        <w:rPr>
          <w:rFonts w:ascii="Book Antiqua" w:eastAsia="SimSun" w:hAnsi="Book Antiqua" w:cs="SimSun"/>
          <w:b/>
          <w:kern w:val="0"/>
          <w:sz w:val="24"/>
          <w:szCs w:val="24"/>
        </w:rPr>
        <w:t>Torresan F,</w:t>
      </w:r>
      <w:r>
        <w:rPr>
          <w:rFonts w:ascii="Book Antiqua" w:eastAsia="SimSun" w:hAnsi="Book Antiqua" w:cs="SimSun"/>
          <w:kern w:val="0"/>
          <w:sz w:val="24"/>
          <w:szCs w:val="24"/>
        </w:rPr>
        <w:t xml:space="preserve"> Ioannou A, Azzaroli F, Bazzoli F</w:t>
      </w:r>
      <w:r w:rsidRPr="00E52780">
        <w:rPr>
          <w:rFonts w:ascii="Book Antiqua" w:eastAsia="SimSun" w:hAnsi="Book Antiqua" w:cs="SimSun"/>
          <w:kern w:val="0"/>
          <w:sz w:val="24"/>
          <w:szCs w:val="24"/>
        </w:rPr>
        <w:t>.</w:t>
      </w:r>
      <w:r>
        <w:rPr>
          <w:rFonts w:ascii="Book Antiqua" w:eastAsia="SimSun" w:hAnsi="Book Antiqua" w:cs="SimSun" w:hint="eastAsia"/>
          <w:kern w:val="0"/>
          <w:sz w:val="24"/>
          <w:szCs w:val="24"/>
        </w:rPr>
        <w:t xml:space="preserve"> </w:t>
      </w:r>
      <w:r w:rsidRPr="00E52780">
        <w:rPr>
          <w:rFonts w:ascii="Book Antiqua" w:eastAsia="SimSun" w:hAnsi="Book Antiqua" w:cs="SimSun"/>
          <w:kern w:val="0"/>
          <w:sz w:val="24"/>
          <w:szCs w:val="24"/>
        </w:rPr>
        <w:t>Treatment of achalasia in the era of high-resolution manometry. </w:t>
      </w:r>
      <w:r w:rsidRPr="00E52780">
        <w:rPr>
          <w:rFonts w:ascii="Book Antiqua" w:eastAsia="SimSun" w:hAnsi="Book Antiqua" w:cs="SimSun"/>
          <w:i/>
          <w:iCs/>
          <w:kern w:val="0"/>
          <w:sz w:val="24"/>
          <w:szCs w:val="24"/>
        </w:rPr>
        <w:t>Ann Gastroenterol</w:t>
      </w:r>
      <w:r w:rsidRPr="00E52780">
        <w:rPr>
          <w:rFonts w:ascii="Book Antiqua" w:eastAsia="SimSun" w:hAnsi="Book Antiqua" w:cs="SimSun"/>
          <w:kern w:val="0"/>
          <w:sz w:val="24"/>
          <w:szCs w:val="24"/>
        </w:rPr>
        <w:t> </w:t>
      </w:r>
      <w:r>
        <w:rPr>
          <w:rFonts w:ascii="Book Antiqua" w:eastAsia="SimSun" w:hAnsi="Book Antiqua" w:cs="SimSun" w:hint="eastAsia"/>
          <w:kern w:val="0"/>
          <w:sz w:val="24"/>
          <w:szCs w:val="24"/>
        </w:rPr>
        <w:t>2015</w:t>
      </w:r>
      <w:r w:rsidRPr="00E52780">
        <w:rPr>
          <w:rFonts w:ascii="Book Antiqua" w:eastAsia="SimSun" w:hAnsi="Book Antiqua" w:cs="SimSun"/>
          <w:kern w:val="0"/>
          <w:sz w:val="24"/>
          <w:szCs w:val="24"/>
        </w:rPr>
        <w:t>; </w:t>
      </w:r>
      <w:r w:rsidRPr="00E52780">
        <w:rPr>
          <w:rFonts w:ascii="Book Antiqua" w:eastAsia="SimSun" w:hAnsi="Book Antiqua" w:cs="SimSun"/>
          <w:b/>
          <w:bCs/>
          <w:kern w:val="0"/>
          <w:sz w:val="24"/>
          <w:szCs w:val="24"/>
        </w:rPr>
        <w:t>28</w:t>
      </w:r>
      <w:r w:rsidRPr="00E52780">
        <w:rPr>
          <w:rFonts w:ascii="Book Antiqua" w:eastAsia="SimSun" w:hAnsi="Book Antiqua" w:cs="SimSun"/>
          <w:kern w:val="0"/>
          <w:sz w:val="24"/>
          <w:szCs w:val="24"/>
        </w:rPr>
        <w:t>: 301-308 [PMID: 26130022]</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13 </w:t>
      </w:r>
      <w:r w:rsidRPr="00E52780">
        <w:rPr>
          <w:rFonts w:ascii="Book Antiqua" w:eastAsia="SimSun" w:hAnsi="Book Antiqua" w:cs="SimSun"/>
          <w:b/>
          <w:bCs/>
          <w:kern w:val="0"/>
          <w:sz w:val="24"/>
          <w:szCs w:val="24"/>
        </w:rPr>
        <w:t>Müller M</w:t>
      </w:r>
      <w:r w:rsidRPr="00E52780">
        <w:rPr>
          <w:rFonts w:ascii="Book Antiqua" w:eastAsia="SimSun" w:hAnsi="Book Antiqua" w:cs="SimSun"/>
          <w:kern w:val="0"/>
          <w:sz w:val="24"/>
          <w:szCs w:val="24"/>
        </w:rPr>
        <w:t>, Eckardt V, Schrank B, Graap H. [Achalasia and Guillain-Barré syndrome]. </w:t>
      </w:r>
      <w:r w:rsidRPr="00E52780">
        <w:rPr>
          <w:rFonts w:ascii="Book Antiqua" w:eastAsia="SimSun" w:hAnsi="Book Antiqua" w:cs="SimSun"/>
          <w:i/>
          <w:iCs/>
          <w:kern w:val="0"/>
          <w:sz w:val="24"/>
          <w:szCs w:val="24"/>
        </w:rPr>
        <w:t>Z Gastroenterol</w:t>
      </w:r>
      <w:r w:rsidRPr="00E52780">
        <w:rPr>
          <w:rFonts w:ascii="Book Antiqua" w:eastAsia="SimSun" w:hAnsi="Book Antiqua" w:cs="SimSun"/>
          <w:kern w:val="0"/>
          <w:sz w:val="24"/>
          <w:szCs w:val="24"/>
        </w:rPr>
        <w:t> 2009; </w:t>
      </w:r>
      <w:r w:rsidRPr="00E52780">
        <w:rPr>
          <w:rFonts w:ascii="Book Antiqua" w:eastAsia="SimSun" w:hAnsi="Book Antiqua" w:cs="SimSun"/>
          <w:b/>
          <w:bCs/>
          <w:kern w:val="0"/>
          <w:sz w:val="24"/>
          <w:szCs w:val="24"/>
        </w:rPr>
        <w:t>47</w:t>
      </w:r>
      <w:r w:rsidRPr="00E52780">
        <w:rPr>
          <w:rFonts w:ascii="Book Antiqua" w:eastAsia="SimSun" w:hAnsi="Book Antiqua" w:cs="SimSun"/>
          <w:kern w:val="0"/>
          <w:sz w:val="24"/>
          <w:szCs w:val="24"/>
        </w:rPr>
        <w:t>: 1149-1152 [PMID: 19899023 DOI: 10.1055/s-0028-1109121]</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14 </w:t>
      </w:r>
      <w:r w:rsidRPr="00E52780">
        <w:rPr>
          <w:rFonts w:ascii="Book Antiqua" w:eastAsia="SimSun" w:hAnsi="Book Antiqua" w:cs="SimSun"/>
          <w:b/>
          <w:bCs/>
          <w:kern w:val="0"/>
          <w:sz w:val="24"/>
          <w:szCs w:val="24"/>
        </w:rPr>
        <w:t>Gong Y</w:t>
      </w:r>
      <w:r w:rsidRPr="00E52780">
        <w:rPr>
          <w:rFonts w:ascii="Book Antiqua" w:eastAsia="SimSun" w:hAnsi="Book Antiqua" w:cs="SimSun"/>
          <w:kern w:val="0"/>
          <w:sz w:val="24"/>
          <w:szCs w:val="24"/>
        </w:rPr>
        <w:t>, Tagawa Y, Lunn MP, Laroy W, Heffer-Lauc M, Li CY, Griffin JW, Schnaar RL, Sheikh KA. Localization of major gangliosides in the PNS: implications for immune neuropathies. </w:t>
      </w:r>
      <w:r w:rsidRPr="00E52780">
        <w:rPr>
          <w:rFonts w:ascii="Book Antiqua" w:eastAsia="SimSun" w:hAnsi="Book Antiqua" w:cs="SimSun"/>
          <w:i/>
          <w:iCs/>
          <w:kern w:val="0"/>
          <w:sz w:val="24"/>
          <w:szCs w:val="24"/>
        </w:rPr>
        <w:t>Brain</w:t>
      </w:r>
      <w:r w:rsidRPr="00E52780">
        <w:rPr>
          <w:rFonts w:ascii="Book Antiqua" w:eastAsia="SimSun" w:hAnsi="Book Antiqua" w:cs="SimSun"/>
          <w:kern w:val="0"/>
          <w:sz w:val="24"/>
          <w:szCs w:val="24"/>
        </w:rPr>
        <w:t> 2002; </w:t>
      </w:r>
      <w:r w:rsidRPr="00E52780">
        <w:rPr>
          <w:rFonts w:ascii="Book Antiqua" w:eastAsia="SimSun" w:hAnsi="Book Antiqua" w:cs="SimSun"/>
          <w:b/>
          <w:bCs/>
          <w:kern w:val="0"/>
          <w:sz w:val="24"/>
          <w:szCs w:val="24"/>
        </w:rPr>
        <w:t>125</w:t>
      </w:r>
      <w:r w:rsidRPr="00E52780">
        <w:rPr>
          <w:rFonts w:ascii="Book Antiqua" w:eastAsia="SimSun" w:hAnsi="Book Antiqua" w:cs="SimSun"/>
          <w:kern w:val="0"/>
          <w:sz w:val="24"/>
          <w:szCs w:val="24"/>
        </w:rPr>
        <w:t>: 2491-2506 [PMID: 12390975]</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15 </w:t>
      </w:r>
      <w:r w:rsidRPr="00E52780">
        <w:rPr>
          <w:rFonts w:ascii="Book Antiqua" w:eastAsia="SimSun" w:hAnsi="Book Antiqua" w:cs="SimSun"/>
          <w:b/>
          <w:bCs/>
          <w:kern w:val="0"/>
          <w:sz w:val="24"/>
          <w:szCs w:val="24"/>
        </w:rPr>
        <w:t>Qualman SJ</w:t>
      </w:r>
      <w:r w:rsidRPr="00E52780">
        <w:rPr>
          <w:rFonts w:ascii="Book Antiqua" w:eastAsia="SimSun" w:hAnsi="Book Antiqua" w:cs="SimSun"/>
          <w:kern w:val="0"/>
          <w:sz w:val="24"/>
          <w:szCs w:val="24"/>
        </w:rPr>
        <w:t>, Haupt HM, Yang P, Hamilton SR. Esophageal Lewy bodies associated with ganglion cell loss in achalasia. Similarity to Parkinson's disease. </w:t>
      </w:r>
      <w:r w:rsidRPr="00E52780">
        <w:rPr>
          <w:rFonts w:ascii="Book Antiqua" w:eastAsia="SimSun" w:hAnsi="Book Antiqua" w:cs="SimSun"/>
          <w:i/>
          <w:iCs/>
          <w:kern w:val="0"/>
          <w:sz w:val="24"/>
          <w:szCs w:val="24"/>
        </w:rPr>
        <w:t>Gastroenterology</w:t>
      </w:r>
      <w:r w:rsidRPr="00E52780">
        <w:rPr>
          <w:rFonts w:ascii="Book Antiqua" w:eastAsia="SimSun" w:hAnsi="Book Antiqua" w:cs="SimSun"/>
          <w:kern w:val="0"/>
          <w:sz w:val="24"/>
          <w:szCs w:val="24"/>
        </w:rPr>
        <w:t> 1984; </w:t>
      </w:r>
      <w:r w:rsidRPr="00E52780">
        <w:rPr>
          <w:rFonts w:ascii="Book Antiqua" w:eastAsia="SimSun" w:hAnsi="Book Antiqua" w:cs="SimSun"/>
          <w:b/>
          <w:bCs/>
          <w:kern w:val="0"/>
          <w:sz w:val="24"/>
          <w:szCs w:val="24"/>
        </w:rPr>
        <w:t>87</w:t>
      </w:r>
      <w:r w:rsidRPr="00E52780">
        <w:rPr>
          <w:rFonts w:ascii="Book Antiqua" w:eastAsia="SimSun" w:hAnsi="Book Antiqua" w:cs="SimSun"/>
          <w:kern w:val="0"/>
          <w:sz w:val="24"/>
          <w:szCs w:val="24"/>
        </w:rPr>
        <w:t>: 848-856 [PMID: 6088351]</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16 </w:t>
      </w:r>
      <w:r w:rsidRPr="00E52780">
        <w:rPr>
          <w:rFonts w:ascii="Book Antiqua" w:eastAsia="SimSun" w:hAnsi="Book Antiqua" w:cs="SimSun"/>
          <w:b/>
          <w:bCs/>
          <w:kern w:val="0"/>
          <w:sz w:val="24"/>
          <w:szCs w:val="24"/>
        </w:rPr>
        <w:t>Willison HJ</w:t>
      </w:r>
      <w:r w:rsidRPr="00E52780">
        <w:rPr>
          <w:rFonts w:ascii="Book Antiqua" w:eastAsia="SimSun" w:hAnsi="Book Antiqua" w:cs="SimSun"/>
          <w:kern w:val="0"/>
          <w:sz w:val="24"/>
          <w:szCs w:val="24"/>
        </w:rPr>
        <w:t>, Jacobs BC, van Doorn PA. Guillain-Barré syndrome. </w:t>
      </w:r>
      <w:r w:rsidRPr="00E52780">
        <w:rPr>
          <w:rFonts w:ascii="Book Antiqua" w:eastAsia="SimSun" w:hAnsi="Book Antiqua" w:cs="SimSun"/>
          <w:i/>
          <w:iCs/>
          <w:kern w:val="0"/>
          <w:sz w:val="24"/>
          <w:szCs w:val="24"/>
        </w:rPr>
        <w:t>Lancet</w:t>
      </w:r>
      <w:r w:rsidRPr="00E52780">
        <w:rPr>
          <w:rFonts w:ascii="Book Antiqua" w:eastAsia="SimSun" w:hAnsi="Book Antiqua" w:cs="SimSun"/>
          <w:kern w:val="0"/>
          <w:sz w:val="24"/>
          <w:szCs w:val="24"/>
        </w:rPr>
        <w:t> 2016; </w:t>
      </w:r>
      <w:r w:rsidRPr="00E52780">
        <w:rPr>
          <w:rFonts w:ascii="Book Antiqua" w:eastAsia="SimSun" w:hAnsi="Book Antiqua" w:cs="SimSun"/>
          <w:b/>
          <w:bCs/>
          <w:kern w:val="0"/>
          <w:sz w:val="24"/>
          <w:szCs w:val="24"/>
        </w:rPr>
        <w:t>388</w:t>
      </w:r>
      <w:r w:rsidRPr="00E52780">
        <w:rPr>
          <w:rFonts w:ascii="Book Antiqua" w:eastAsia="SimSun" w:hAnsi="Book Antiqua" w:cs="SimSun"/>
          <w:kern w:val="0"/>
          <w:sz w:val="24"/>
          <w:szCs w:val="24"/>
        </w:rPr>
        <w:t>: 717-727 [PMID: 26948435 DOI: 10.1016/S0140-6736(16)00339-1]</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17 </w:t>
      </w:r>
      <w:r w:rsidRPr="00E52780">
        <w:rPr>
          <w:rFonts w:ascii="Book Antiqua" w:eastAsia="SimSun" w:hAnsi="Book Antiqua" w:cs="SimSun"/>
          <w:b/>
          <w:bCs/>
          <w:kern w:val="0"/>
          <w:sz w:val="24"/>
          <w:szCs w:val="24"/>
        </w:rPr>
        <w:t>Pasha SF</w:t>
      </w:r>
      <w:r w:rsidRPr="00E52780">
        <w:rPr>
          <w:rFonts w:ascii="Book Antiqua" w:eastAsia="SimSun" w:hAnsi="Book Antiqua" w:cs="SimSun"/>
          <w:kern w:val="0"/>
          <w:sz w:val="24"/>
          <w:szCs w:val="24"/>
        </w:rPr>
        <w:t>, Acosta RD, Chandrasekhara V, Chathadi KV, Decker GA, Early DS, Evans JA, Fanelli RD, Fisher DA, Foley KQ, Fonkalsrud L, Hwang JH, Jue TL, Khashab MA, Lightdale JR, Muthusamy VR, Sharaf R, Saltzman JR, Shergill AK, Cash B. The role of endoscopy in the evaluation and management of dysphagia. </w:t>
      </w:r>
      <w:r w:rsidRPr="00E52780">
        <w:rPr>
          <w:rFonts w:ascii="Book Antiqua" w:eastAsia="SimSun" w:hAnsi="Book Antiqua" w:cs="SimSun"/>
          <w:i/>
          <w:iCs/>
          <w:kern w:val="0"/>
          <w:sz w:val="24"/>
          <w:szCs w:val="24"/>
        </w:rPr>
        <w:t>Gastrointest Endosc</w:t>
      </w:r>
      <w:r w:rsidRPr="00E52780">
        <w:rPr>
          <w:rFonts w:ascii="Book Antiqua" w:eastAsia="SimSun" w:hAnsi="Book Antiqua" w:cs="SimSun"/>
          <w:kern w:val="0"/>
          <w:sz w:val="24"/>
          <w:szCs w:val="24"/>
        </w:rPr>
        <w:t> 2014; </w:t>
      </w:r>
      <w:r w:rsidRPr="00E52780">
        <w:rPr>
          <w:rFonts w:ascii="Book Antiqua" w:eastAsia="SimSun" w:hAnsi="Book Antiqua" w:cs="SimSun"/>
          <w:b/>
          <w:bCs/>
          <w:kern w:val="0"/>
          <w:sz w:val="24"/>
          <w:szCs w:val="24"/>
        </w:rPr>
        <w:t>79</w:t>
      </w:r>
      <w:r w:rsidRPr="00E52780">
        <w:rPr>
          <w:rFonts w:ascii="Book Antiqua" w:eastAsia="SimSun" w:hAnsi="Book Antiqua" w:cs="SimSun"/>
          <w:kern w:val="0"/>
          <w:sz w:val="24"/>
          <w:szCs w:val="24"/>
        </w:rPr>
        <w:t>: 191-201 [PMID: 24332405 DOI: 10.1016/j.gie.2013.07.042]</w:t>
      </w:r>
    </w:p>
    <w:p w:rsidR="00AD7ECF" w:rsidRPr="00E52780" w:rsidRDefault="00AD7ECF" w:rsidP="00AD7ECF">
      <w:pPr>
        <w:widowControl/>
        <w:spacing w:line="360" w:lineRule="auto"/>
        <w:rPr>
          <w:rFonts w:ascii="Book Antiqua" w:eastAsia="SimSun" w:hAnsi="Book Antiqua" w:cs="SimSun"/>
          <w:kern w:val="0"/>
          <w:sz w:val="24"/>
          <w:szCs w:val="24"/>
        </w:rPr>
      </w:pPr>
      <w:r w:rsidRPr="00E52780">
        <w:rPr>
          <w:rFonts w:ascii="Book Antiqua" w:eastAsia="SimSun" w:hAnsi="Book Antiqua" w:cs="SimSun"/>
          <w:kern w:val="0"/>
          <w:sz w:val="24"/>
          <w:szCs w:val="24"/>
        </w:rPr>
        <w:t>18 </w:t>
      </w:r>
      <w:r w:rsidRPr="00E52780">
        <w:rPr>
          <w:rFonts w:ascii="Book Antiqua" w:eastAsia="SimSun" w:hAnsi="Book Antiqua" w:cs="SimSun"/>
          <w:b/>
          <w:bCs/>
          <w:kern w:val="0"/>
          <w:sz w:val="24"/>
          <w:szCs w:val="24"/>
        </w:rPr>
        <w:t>Inoue H</w:t>
      </w:r>
      <w:r w:rsidRPr="00E52780">
        <w:rPr>
          <w:rFonts w:ascii="Book Antiqua" w:eastAsia="SimSun" w:hAnsi="Book Antiqua" w:cs="SimSun"/>
          <w:kern w:val="0"/>
          <w:sz w:val="24"/>
          <w:szCs w:val="24"/>
        </w:rPr>
        <w:t>, Minami H, Kobayashi Y, Sato Y, Kaga M, Suzuki M, Satodate H, Odaka N, Itoh H, Kudo S. Peroral endoscopic myotomy (POEM) for esophageal achalasia. </w:t>
      </w:r>
      <w:r w:rsidRPr="00E52780">
        <w:rPr>
          <w:rFonts w:ascii="Book Antiqua" w:eastAsia="SimSun" w:hAnsi="Book Antiqua" w:cs="SimSun"/>
          <w:i/>
          <w:iCs/>
          <w:kern w:val="0"/>
          <w:sz w:val="24"/>
          <w:szCs w:val="24"/>
        </w:rPr>
        <w:t>Endoscopy</w:t>
      </w:r>
      <w:r w:rsidRPr="00E52780">
        <w:rPr>
          <w:rFonts w:ascii="Book Antiqua" w:eastAsia="SimSun" w:hAnsi="Book Antiqua" w:cs="SimSun"/>
          <w:kern w:val="0"/>
          <w:sz w:val="24"/>
          <w:szCs w:val="24"/>
        </w:rPr>
        <w:t> 2010; </w:t>
      </w:r>
      <w:r w:rsidRPr="00E52780">
        <w:rPr>
          <w:rFonts w:ascii="Book Antiqua" w:eastAsia="SimSun" w:hAnsi="Book Antiqua" w:cs="SimSun"/>
          <w:b/>
          <w:bCs/>
          <w:kern w:val="0"/>
          <w:sz w:val="24"/>
          <w:szCs w:val="24"/>
        </w:rPr>
        <w:t>42</w:t>
      </w:r>
      <w:r w:rsidRPr="00E52780">
        <w:rPr>
          <w:rFonts w:ascii="Book Antiqua" w:eastAsia="SimSun" w:hAnsi="Book Antiqua" w:cs="SimSun"/>
          <w:kern w:val="0"/>
          <w:sz w:val="24"/>
          <w:szCs w:val="24"/>
        </w:rPr>
        <w:t>: 265-271 [PMID: 20354937 DOI: 10.1055/s-0029-1244080]</w:t>
      </w:r>
    </w:p>
    <w:p w:rsidR="00205BE1" w:rsidRPr="00AD7ECF" w:rsidRDefault="00AD7ECF" w:rsidP="00AD7ECF">
      <w:pPr>
        <w:widowControl/>
        <w:spacing w:line="360" w:lineRule="auto"/>
        <w:rPr>
          <w:rFonts w:ascii="Book Antiqua" w:eastAsia="SimSun" w:hAnsi="Book Antiqua" w:cs="SimSun"/>
          <w:kern w:val="0"/>
          <w:sz w:val="24"/>
          <w:szCs w:val="24"/>
          <w:lang w:eastAsia="zh-CN"/>
        </w:rPr>
      </w:pPr>
      <w:r w:rsidRPr="00E52780">
        <w:rPr>
          <w:rFonts w:ascii="Book Antiqua" w:eastAsia="SimSun" w:hAnsi="Book Antiqua" w:cs="SimSun"/>
          <w:kern w:val="0"/>
          <w:sz w:val="24"/>
          <w:szCs w:val="24"/>
        </w:rPr>
        <w:t>19 </w:t>
      </w:r>
      <w:r w:rsidRPr="00E52780">
        <w:rPr>
          <w:rFonts w:ascii="Book Antiqua" w:eastAsia="SimSun" w:hAnsi="Book Antiqua" w:cs="SimSun"/>
          <w:b/>
          <w:bCs/>
          <w:kern w:val="0"/>
          <w:sz w:val="24"/>
          <w:szCs w:val="24"/>
        </w:rPr>
        <w:t>Talukdar R</w:t>
      </w:r>
      <w:r w:rsidRPr="00E52780">
        <w:rPr>
          <w:rFonts w:ascii="Book Antiqua" w:eastAsia="SimSun" w:hAnsi="Book Antiqua" w:cs="SimSun"/>
          <w:kern w:val="0"/>
          <w:sz w:val="24"/>
          <w:szCs w:val="24"/>
        </w:rPr>
        <w:t>, Inoue H, Nageshwar Reddy D. Efficacy of peroral endoscopic myotomy (POEM) in the treatment of achalasia: a systematic review and meta-analysis. </w:t>
      </w:r>
      <w:r w:rsidRPr="00E52780">
        <w:rPr>
          <w:rFonts w:ascii="Book Antiqua" w:eastAsia="SimSun" w:hAnsi="Book Antiqua" w:cs="SimSun"/>
          <w:i/>
          <w:iCs/>
          <w:kern w:val="0"/>
          <w:sz w:val="24"/>
          <w:szCs w:val="24"/>
        </w:rPr>
        <w:t>Surg Endosc</w:t>
      </w:r>
      <w:r w:rsidRPr="00E52780">
        <w:rPr>
          <w:rFonts w:ascii="Book Antiqua" w:eastAsia="SimSun" w:hAnsi="Book Antiqua" w:cs="SimSun"/>
          <w:kern w:val="0"/>
          <w:sz w:val="24"/>
          <w:szCs w:val="24"/>
        </w:rPr>
        <w:t> 2015; </w:t>
      </w:r>
      <w:r w:rsidRPr="00E52780">
        <w:rPr>
          <w:rFonts w:ascii="Book Antiqua" w:eastAsia="SimSun" w:hAnsi="Book Antiqua" w:cs="SimSun"/>
          <w:b/>
          <w:bCs/>
          <w:kern w:val="0"/>
          <w:sz w:val="24"/>
          <w:szCs w:val="24"/>
        </w:rPr>
        <w:t>29</w:t>
      </w:r>
      <w:r w:rsidRPr="00E52780">
        <w:rPr>
          <w:rFonts w:ascii="Book Antiqua" w:eastAsia="SimSun" w:hAnsi="Book Antiqua" w:cs="SimSun"/>
          <w:kern w:val="0"/>
          <w:sz w:val="24"/>
          <w:szCs w:val="24"/>
        </w:rPr>
        <w:t>: 3030-3046 [PMID: 25539695 DOI: 10.1007/s00464-014-4040-6]</w:t>
      </w:r>
    </w:p>
    <w:p w:rsidR="00205BE1" w:rsidRDefault="00205BE1" w:rsidP="00AD7ECF">
      <w:pPr>
        <w:wordWrap/>
        <w:spacing w:line="360" w:lineRule="auto"/>
        <w:rPr>
          <w:rFonts w:ascii="Book Antiqua" w:hAnsi="Book Antiqua" w:cs="Arial"/>
          <w:b/>
          <w:sz w:val="24"/>
          <w:szCs w:val="24"/>
        </w:rPr>
      </w:pPr>
    </w:p>
    <w:p w:rsidR="00AD7ECF" w:rsidRPr="008E0A88" w:rsidRDefault="00AD7ECF" w:rsidP="00AD7ECF">
      <w:pPr>
        <w:pStyle w:val="ListParagraph"/>
        <w:spacing w:line="360" w:lineRule="auto"/>
        <w:ind w:right="120" w:firstLineChars="0" w:firstLine="0"/>
        <w:rPr>
          <w:rFonts w:ascii="Book Antiqua" w:eastAsia="SimSun" w:hAnsi="Book Antiqua"/>
          <w:b/>
          <w:bCs/>
          <w:color w:val="000000"/>
          <w:lang w:eastAsia="zh-CN"/>
        </w:rPr>
      </w:pPr>
      <w:r w:rsidRPr="00712F63">
        <w:rPr>
          <w:rStyle w:val="Strong"/>
          <w:rFonts w:ascii="Book Antiqua" w:hAnsi="Book Antiqua" w:cs="Arial"/>
          <w:bCs w:val="0"/>
          <w:noProof/>
          <w:color w:val="000000"/>
        </w:rPr>
        <w:t>P-Reviewer</w:t>
      </w:r>
      <w:r w:rsidRPr="00712F63">
        <w:rPr>
          <w:rStyle w:val="Strong"/>
          <w:rFonts w:ascii="Book Antiqua" w:eastAsia="SimSun" w:hAnsi="Book Antiqua" w:cs="Arial"/>
          <w:bCs w:val="0"/>
          <w:noProof/>
          <w:color w:val="000000"/>
          <w:lang w:eastAsia="zh-CN"/>
        </w:rPr>
        <w:t>:</w:t>
      </w:r>
      <w:r w:rsidRPr="00712F63">
        <w:rPr>
          <w:rFonts w:ascii="Book Antiqua" w:hAnsi="Book Antiqua"/>
          <w:bCs/>
          <w:color w:val="000000"/>
        </w:rPr>
        <w:t xml:space="preserve"> </w:t>
      </w:r>
      <w:r w:rsidRPr="00AD7ECF">
        <w:rPr>
          <w:rFonts w:ascii="Book Antiqua" w:hAnsi="Book Antiqua"/>
          <w:bCs/>
          <w:color w:val="000000"/>
          <w:lang w:val="en-US"/>
        </w:rPr>
        <w:t>Pavlidis</w:t>
      </w:r>
      <w:r>
        <w:rPr>
          <w:rFonts w:ascii="Book Antiqua" w:eastAsia="SimSun" w:hAnsi="Book Antiqua" w:hint="eastAsia"/>
          <w:bCs/>
          <w:color w:val="000000"/>
          <w:lang w:val="en-US" w:eastAsia="zh-CN"/>
        </w:rPr>
        <w:t xml:space="preserve"> TE</w:t>
      </w:r>
      <w:r w:rsidRPr="00712F63">
        <w:rPr>
          <w:rFonts w:ascii="Book Antiqua" w:hAnsi="Book Antiqua"/>
          <w:bCs/>
          <w:color w:val="000000"/>
        </w:rPr>
        <w:t xml:space="preserve">   </w:t>
      </w:r>
      <w:r w:rsidRPr="00712F63">
        <w:rPr>
          <w:rFonts w:ascii="Book Antiqua" w:hAnsi="Book Antiqua"/>
          <w:b/>
          <w:bCs/>
          <w:color w:val="000000"/>
        </w:rPr>
        <w:t>S-Editor</w:t>
      </w:r>
      <w:r w:rsidRPr="00712F63">
        <w:rPr>
          <w:rFonts w:ascii="Book Antiqua" w:eastAsia="SimSun" w:hAnsi="Book Antiqua"/>
          <w:b/>
          <w:bCs/>
          <w:color w:val="000000"/>
          <w:lang w:eastAsia="zh-CN"/>
        </w:rPr>
        <w:t>:</w:t>
      </w:r>
      <w:r w:rsidRPr="00712F63">
        <w:rPr>
          <w:rFonts w:ascii="Book Antiqua" w:hAnsi="Book Antiqua"/>
          <w:bCs/>
          <w:color w:val="000000"/>
        </w:rPr>
        <w:t xml:space="preserve"> </w:t>
      </w:r>
      <w:r w:rsidRPr="00712F63">
        <w:rPr>
          <w:rFonts w:ascii="Book Antiqua" w:eastAsia="SimSun" w:hAnsi="Book Antiqua"/>
          <w:bCs/>
          <w:color w:val="000000"/>
          <w:lang w:eastAsia="zh-CN"/>
        </w:rPr>
        <w:t>Qi Y</w:t>
      </w:r>
      <w:r w:rsidRPr="00712F63">
        <w:rPr>
          <w:rFonts w:ascii="Book Antiqua" w:hAnsi="Book Antiqua"/>
          <w:b/>
          <w:bCs/>
          <w:color w:val="000000"/>
        </w:rPr>
        <w:t xml:space="preserve">   L-Editor</w:t>
      </w:r>
      <w:r w:rsidRPr="00712F63">
        <w:rPr>
          <w:rFonts w:ascii="Book Antiqua" w:eastAsia="SimSun" w:hAnsi="Book Antiqua"/>
          <w:b/>
          <w:bCs/>
          <w:color w:val="000000"/>
          <w:lang w:eastAsia="zh-CN"/>
        </w:rPr>
        <w:t>:</w:t>
      </w:r>
      <w:r w:rsidRPr="00712F63">
        <w:rPr>
          <w:rFonts w:ascii="Book Antiqua" w:hAnsi="Book Antiqua"/>
          <w:b/>
          <w:bCs/>
          <w:color w:val="000000"/>
        </w:rPr>
        <w:t xml:space="preserve">   E-Editor</w:t>
      </w:r>
      <w:r w:rsidRPr="00712F63">
        <w:rPr>
          <w:rFonts w:ascii="Book Antiqua" w:eastAsia="SimSun" w:hAnsi="Book Antiqua"/>
          <w:b/>
          <w:bCs/>
          <w:color w:val="000000"/>
          <w:lang w:eastAsia="zh-CN"/>
        </w:rPr>
        <w:t>:</w:t>
      </w:r>
    </w:p>
    <w:p w:rsidR="00AD7ECF" w:rsidRPr="008F0DB6" w:rsidRDefault="00AD7ECF" w:rsidP="00AD7ECF">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lastRenderedPageBreak/>
        <w:t xml:space="preserve">Specialty type: </w:t>
      </w:r>
      <w:r w:rsidRPr="008F0DB6">
        <w:rPr>
          <w:rFonts w:ascii="Book Antiqua" w:hAnsi="Book Antiqua" w:cs="Helvetica"/>
          <w:sz w:val="24"/>
        </w:rPr>
        <w:t>Gastroenterology and</w:t>
      </w:r>
      <w:r w:rsidRPr="008F0DB6">
        <w:rPr>
          <w:rFonts w:ascii="Book Antiqua" w:hAnsi="Book Antiqua" w:cs="Helvetica" w:hint="eastAsia"/>
          <w:sz w:val="24"/>
        </w:rPr>
        <w:t xml:space="preserve"> </w:t>
      </w:r>
      <w:r w:rsidRPr="008F0DB6">
        <w:rPr>
          <w:rFonts w:ascii="Book Antiqua" w:hAnsi="Book Antiqua" w:cs="Helvetica"/>
          <w:sz w:val="24"/>
        </w:rPr>
        <w:t>hepatology</w:t>
      </w:r>
    </w:p>
    <w:p w:rsidR="00AD7ECF" w:rsidRPr="00AD7ECF" w:rsidRDefault="00AD7ECF" w:rsidP="00AD7ECF">
      <w:pPr>
        <w:shd w:val="clear" w:color="auto" w:fill="FFFFFF"/>
        <w:snapToGrid w:val="0"/>
        <w:spacing w:line="360" w:lineRule="auto"/>
        <w:rPr>
          <w:rFonts w:ascii="Book Antiqua" w:hAnsi="Book Antiqua" w:cs="Helvetica"/>
          <w:sz w:val="24"/>
        </w:rPr>
      </w:pPr>
      <w:r w:rsidRPr="008F0DB6">
        <w:rPr>
          <w:rFonts w:ascii="Book Antiqua" w:hAnsi="Book Antiqua" w:cs="Helvetica"/>
          <w:b/>
          <w:sz w:val="24"/>
        </w:rPr>
        <w:t xml:space="preserve">Country of origin: </w:t>
      </w:r>
      <w:r w:rsidRPr="00AD7ECF">
        <w:rPr>
          <w:rFonts w:ascii="Book Antiqua" w:eastAsia="SimSun" w:hAnsi="Book Antiqua" w:cs="Helvetica" w:hint="eastAsia"/>
          <w:sz w:val="24"/>
          <w:lang w:eastAsia="zh-CN"/>
        </w:rPr>
        <w:t xml:space="preserve">South </w:t>
      </w:r>
      <w:r w:rsidRPr="00AD7ECF">
        <w:rPr>
          <w:rFonts w:ascii="Book Antiqua" w:hAnsi="Book Antiqua" w:cs="Helvetica"/>
          <w:sz w:val="24"/>
        </w:rPr>
        <w:t>Korea</w:t>
      </w:r>
    </w:p>
    <w:p w:rsidR="00AD7ECF" w:rsidRPr="008F0DB6" w:rsidRDefault="00AD7ECF" w:rsidP="00AD7ECF">
      <w:pPr>
        <w:shd w:val="clear" w:color="auto" w:fill="FFFFFF"/>
        <w:snapToGrid w:val="0"/>
        <w:spacing w:line="360" w:lineRule="auto"/>
        <w:rPr>
          <w:rFonts w:ascii="Book Antiqua" w:hAnsi="Book Antiqua" w:cs="Helvetica"/>
          <w:b/>
          <w:sz w:val="24"/>
        </w:rPr>
      </w:pPr>
      <w:r w:rsidRPr="008F0DB6">
        <w:rPr>
          <w:rFonts w:ascii="Book Antiqua" w:hAnsi="Book Antiqua" w:cs="Helvetica"/>
          <w:b/>
          <w:sz w:val="24"/>
        </w:rPr>
        <w:t>Peer-review report classification</w:t>
      </w:r>
    </w:p>
    <w:p w:rsidR="00AD7ECF" w:rsidRPr="008F0DB6" w:rsidRDefault="00AD7ECF" w:rsidP="00AD7EC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A (Excellent): </w:t>
      </w:r>
      <w:r w:rsidRPr="008F0DB6">
        <w:rPr>
          <w:rFonts w:ascii="Book Antiqua" w:hAnsi="Book Antiqua" w:cs="Helvetica" w:hint="eastAsia"/>
          <w:sz w:val="24"/>
        </w:rPr>
        <w:t>0</w:t>
      </w:r>
    </w:p>
    <w:p w:rsidR="00AD7ECF" w:rsidRPr="00AD7ECF" w:rsidRDefault="00AD7ECF" w:rsidP="00AD7ECF">
      <w:pPr>
        <w:shd w:val="clear" w:color="auto" w:fill="FFFFFF"/>
        <w:snapToGrid w:val="0"/>
        <w:spacing w:line="360" w:lineRule="auto"/>
        <w:rPr>
          <w:rFonts w:ascii="Book Antiqua" w:eastAsia="SimSun" w:hAnsi="Book Antiqua" w:cs="Helvetica"/>
          <w:sz w:val="24"/>
          <w:lang w:eastAsia="zh-CN"/>
        </w:rPr>
      </w:pPr>
      <w:r w:rsidRPr="008F0DB6">
        <w:rPr>
          <w:rFonts w:ascii="Book Antiqua" w:hAnsi="Book Antiqua" w:cs="Helvetica"/>
          <w:sz w:val="24"/>
        </w:rPr>
        <w:t xml:space="preserve">Grade B (Very good): </w:t>
      </w:r>
      <w:r>
        <w:rPr>
          <w:rFonts w:ascii="Book Antiqua" w:eastAsia="SimSun" w:hAnsi="Book Antiqua" w:cs="Helvetica" w:hint="eastAsia"/>
          <w:sz w:val="24"/>
          <w:lang w:eastAsia="zh-CN"/>
        </w:rPr>
        <w:t>B</w:t>
      </w:r>
    </w:p>
    <w:p w:rsidR="00AD7ECF" w:rsidRPr="008F0DB6" w:rsidRDefault="00AD7ECF" w:rsidP="00AD7EC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C (Good): </w:t>
      </w:r>
      <w:r w:rsidRPr="008F0DB6">
        <w:rPr>
          <w:rFonts w:ascii="Book Antiqua" w:hAnsi="Book Antiqua" w:cs="Helvetica" w:hint="eastAsia"/>
          <w:sz w:val="24"/>
        </w:rPr>
        <w:t>0</w:t>
      </w:r>
    </w:p>
    <w:p w:rsidR="00AD7ECF" w:rsidRPr="008F0DB6" w:rsidRDefault="00AD7ECF" w:rsidP="00AD7EC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D (Fair): </w:t>
      </w:r>
      <w:r w:rsidRPr="008F0DB6">
        <w:rPr>
          <w:rFonts w:ascii="Book Antiqua" w:hAnsi="Book Antiqua" w:cs="Helvetica" w:hint="eastAsia"/>
          <w:sz w:val="24"/>
        </w:rPr>
        <w:t>0</w:t>
      </w:r>
    </w:p>
    <w:p w:rsidR="00AD7ECF" w:rsidRPr="008F0DB6" w:rsidRDefault="00AD7ECF" w:rsidP="00AD7ECF">
      <w:pPr>
        <w:shd w:val="clear" w:color="auto" w:fill="FFFFFF"/>
        <w:snapToGrid w:val="0"/>
        <w:spacing w:line="360" w:lineRule="auto"/>
        <w:rPr>
          <w:rFonts w:ascii="Book Antiqua" w:hAnsi="Book Antiqua" w:cs="Helvetica"/>
          <w:sz w:val="24"/>
        </w:rPr>
      </w:pPr>
      <w:r w:rsidRPr="008F0DB6">
        <w:rPr>
          <w:rFonts w:ascii="Book Antiqua" w:hAnsi="Book Antiqua" w:cs="Helvetica"/>
          <w:sz w:val="24"/>
        </w:rPr>
        <w:t xml:space="preserve">Grade E (Poor): </w:t>
      </w:r>
      <w:r w:rsidRPr="008F0DB6">
        <w:rPr>
          <w:rFonts w:ascii="Book Antiqua" w:hAnsi="Book Antiqua" w:cs="Helvetica" w:hint="eastAsia"/>
          <w:sz w:val="24"/>
        </w:rPr>
        <w:t>0</w:t>
      </w:r>
    </w:p>
    <w:p w:rsidR="00AD7ECF" w:rsidRDefault="00AD7ECF">
      <w:pPr>
        <w:widowControl/>
        <w:wordWrap/>
        <w:autoSpaceDE/>
        <w:autoSpaceDN/>
        <w:jc w:val="left"/>
        <w:rPr>
          <w:rFonts w:ascii="Book Antiqua" w:hAnsi="Book Antiqua" w:cs="Arial"/>
          <w:b/>
          <w:sz w:val="24"/>
          <w:szCs w:val="24"/>
        </w:rPr>
      </w:pPr>
      <w:r>
        <w:rPr>
          <w:rFonts w:ascii="Book Antiqua" w:hAnsi="Book Antiqua" w:cs="Arial"/>
          <w:b/>
          <w:sz w:val="24"/>
          <w:szCs w:val="24"/>
        </w:rPr>
        <w:br w:type="page"/>
      </w:r>
    </w:p>
    <w:p w:rsidR="00205BE1" w:rsidRPr="00AD7ECF" w:rsidRDefault="00205BE1" w:rsidP="00AD7ECF">
      <w:pPr>
        <w:wordWrap/>
        <w:spacing w:line="360" w:lineRule="auto"/>
        <w:rPr>
          <w:rFonts w:ascii="Book Antiqua" w:hAnsi="Book Antiqua" w:cs="Arial"/>
          <w:b/>
          <w:sz w:val="24"/>
          <w:szCs w:val="24"/>
        </w:rPr>
      </w:pPr>
    </w:p>
    <w:p w:rsidR="00205BE1" w:rsidRDefault="00205BE1" w:rsidP="00AD7ECF">
      <w:pPr>
        <w:wordWrap/>
        <w:spacing w:line="360" w:lineRule="auto"/>
        <w:rPr>
          <w:rFonts w:ascii="Book Antiqua" w:hAnsi="Book Antiqua" w:cs="Arial"/>
          <w:sz w:val="24"/>
          <w:szCs w:val="24"/>
        </w:rPr>
      </w:pPr>
      <w:r>
        <w:rPr>
          <w:rFonts w:ascii="Book Antiqua" w:hAnsi="Book Antiqua" w:cs="Arial"/>
          <w:noProof/>
          <w:sz w:val="24"/>
          <w:szCs w:val="24"/>
          <w:lang w:eastAsia="zh-CN"/>
        </w:rPr>
        <w:drawing>
          <wp:inline distT="0" distB="0" distL="0" distR="0" wp14:anchorId="4ACFD307" wp14:editId="21DF9CD2">
            <wp:extent cx="3522513" cy="5084708"/>
            <wp:effectExtent l="19050" t="0" r="1737" b="0"/>
            <wp:docPr id="2" name="그림 3"/>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6" cstate="print"/>
                    <a:srcRect/>
                    <a:stretch>
                      <a:fillRect/>
                    </a:stretch>
                  </pic:blipFill>
                  <pic:spPr bwMode="auto">
                    <a:xfrm>
                      <a:off x="0" y="0"/>
                      <a:ext cx="3522513" cy="5084708"/>
                    </a:xfrm>
                    <a:prstGeom prst="rect">
                      <a:avLst/>
                    </a:prstGeom>
                    <a:noFill/>
                    <a:ln w="9525">
                      <a:noFill/>
                      <a:miter lim="800000"/>
                      <a:headEnd/>
                      <a:tailEnd/>
                    </a:ln>
                  </pic:spPr>
                </pic:pic>
              </a:graphicData>
            </a:graphic>
          </wp:inline>
        </w:drawing>
      </w:r>
    </w:p>
    <w:p w:rsidR="00205BE1" w:rsidRPr="00AD7ECF" w:rsidRDefault="00205BE1" w:rsidP="00AD7ECF">
      <w:pPr>
        <w:wordWrap/>
        <w:spacing w:line="360" w:lineRule="auto"/>
        <w:rPr>
          <w:rFonts w:ascii="Book Antiqua" w:hAnsi="Book Antiqua" w:cs="Arial"/>
          <w:b/>
          <w:sz w:val="24"/>
          <w:szCs w:val="24"/>
        </w:rPr>
      </w:pPr>
      <w:r w:rsidRPr="00AD7ECF">
        <w:rPr>
          <w:rFonts w:ascii="Book Antiqua" w:hAnsi="Book Antiqua" w:cs="Arial"/>
          <w:b/>
          <w:sz w:val="24"/>
          <w:szCs w:val="24"/>
        </w:rPr>
        <w:t>Figure 1</w:t>
      </w:r>
      <w:r w:rsidRPr="00AD7ECF">
        <w:rPr>
          <w:rFonts w:ascii="Book Antiqua" w:hAnsi="Book Antiqua" w:cs="Arial" w:hint="eastAsia"/>
          <w:b/>
          <w:sz w:val="24"/>
          <w:szCs w:val="24"/>
        </w:rPr>
        <w:t xml:space="preserve"> S</w:t>
      </w:r>
      <w:r w:rsidRPr="00AD7ECF">
        <w:rPr>
          <w:rFonts w:ascii="Book Antiqua" w:hAnsi="Book Antiqua" w:cs="Arial"/>
          <w:b/>
          <w:sz w:val="24"/>
          <w:szCs w:val="24"/>
        </w:rPr>
        <w:t>ubtle dilated distal esophageal lumen with acute tapering at the lower esophageal sphincter and narrowing at the esophagogastric junction</w:t>
      </w:r>
      <w:r w:rsidRPr="00AD7ECF">
        <w:rPr>
          <w:rFonts w:ascii="Book Antiqua" w:hAnsi="Book Antiqua" w:cs="Arial" w:hint="eastAsia"/>
          <w:b/>
          <w:sz w:val="24"/>
          <w:szCs w:val="24"/>
        </w:rPr>
        <w:t xml:space="preserve"> was shown </w:t>
      </w:r>
      <w:r w:rsidRPr="00AD7ECF">
        <w:rPr>
          <w:rFonts w:ascii="Book Antiqua" w:hAnsi="Book Antiqua" w:cs="Arial"/>
          <w:b/>
          <w:sz w:val="24"/>
          <w:szCs w:val="24"/>
        </w:rPr>
        <w:t>in</w:t>
      </w:r>
      <w:r w:rsidRPr="00AD7ECF">
        <w:rPr>
          <w:rFonts w:ascii="Book Antiqua" w:hAnsi="Book Antiqua" w:cs="Arial" w:hint="eastAsia"/>
          <w:b/>
          <w:sz w:val="24"/>
          <w:szCs w:val="24"/>
        </w:rPr>
        <w:t xml:space="preserve"> </w:t>
      </w:r>
      <w:r w:rsidRPr="00AD7ECF">
        <w:rPr>
          <w:rFonts w:ascii="Book Antiqua" w:hAnsi="Book Antiqua" w:cs="Arial"/>
          <w:b/>
          <w:sz w:val="24"/>
          <w:szCs w:val="24"/>
        </w:rPr>
        <w:t>esophagography.</w:t>
      </w:r>
    </w:p>
    <w:p w:rsidR="00205BE1" w:rsidRPr="00BE0FF2" w:rsidRDefault="00205BE1" w:rsidP="00AD7ECF">
      <w:pPr>
        <w:wordWrap/>
        <w:spacing w:line="360" w:lineRule="auto"/>
        <w:ind w:firstLineChars="550" w:firstLine="1320"/>
        <w:rPr>
          <w:rFonts w:ascii="Book Antiqua" w:hAnsi="Book Antiqua" w:cs="Arial"/>
          <w:sz w:val="24"/>
          <w:szCs w:val="24"/>
        </w:rPr>
      </w:pPr>
    </w:p>
    <w:p w:rsidR="00205BE1" w:rsidRDefault="00205BE1" w:rsidP="00AD7ECF">
      <w:pPr>
        <w:wordWrap/>
        <w:spacing w:line="360" w:lineRule="auto"/>
        <w:ind w:firstLineChars="550" w:firstLine="1320"/>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1A8FDFA3" wp14:editId="1C831E4C">
            <wp:extent cx="4152878" cy="3600400"/>
            <wp:effectExtent l="19050" t="0" r="22" b="0"/>
            <wp:docPr id="4" name="그림 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7" cstate="print"/>
                    <a:srcRect/>
                    <a:stretch>
                      <a:fillRect/>
                    </a:stretch>
                  </pic:blipFill>
                  <pic:spPr bwMode="auto">
                    <a:xfrm>
                      <a:off x="0" y="0"/>
                      <a:ext cx="4152878" cy="3600400"/>
                    </a:xfrm>
                    <a:prstGeom prst="rect">
                      <a:avLst/>
                    </a:prstGeom>
                    <a:noFill/>
                    <a:ln w="9525">
                      <a:noFill/>
                      <a:miter lim="800000"/>
                      <a:headEnd/>
                      <a:tailEnd/>
                    </a:ln>
                  </pic:spPr>
                </pic:pic>
              </a:graphicData>
            </a:graphic>
          </wp:inline>
        </w:drawing>
      </w:r>
    </w:p>
    <w:p w:rsidR="00205BE1" w:rsidRDefault="00205BE1" w:rsidP="00AD7ECF">
      <w:pPr>
        <w:wordWrap/>
        <w:spacing w:line="360" w:lineRule="auto"/>
        <w:rPr>
          <w:rFonts w:ascii="Book Antiqua" w:hAnsi="Book Antiqua" w:cs="Arial"/>
          <w:sz w:val="24"/>
          <w:szCs w:val="24"/>
        </w:rPr>
      </w:pPr>
    </w:p>
    <w:p w:rsidR="00205BE1" w:rsidRPr="00AD7ECF" w:rsidRDefault="00205BE1" w:rsidP="00AD7ECF">
      <w:pPr>
        <w:wordWrap/>
        <w:spacing w:line="360" w:lineRule="auto"/>
        <w:rPr>
          <w:rFonts w:ascii="Book Antiqua" w:hAnsi="Book Antiqua" w:cs="Arial"/>
          <w:b/>
          <w:sz w:val="24"/>
          <w:szCs w:val="24"/>
        </w:rPr>
      </w:pPr>
      <w:r w:rsidRPr="00AD7ECF">
        <w:rPr>
          <w:rFonts w:ascii="Book Antiqua" w:hAnsi="Book Antiqua" w:cs="Arial"/>
          <w:b/>
          <w:sz w:val="24"/>
          <w:szCs w:val="24"/>
        </w:rPr>
        <w:t>Figure 2 Dilation of the esophageal lumen and retention of food remnants in the esophagus was identified during endoscopy</w:t>
      </w:r>
      <w:r w:rsidRPr="00AD7ECF">
        <w:rPr>
          <w:rFonts w:ascii="Book Antiqua" w:hAnsi="Book Antiqua" w:cs="Arial" w:hint="eastAsia"/>
          <w:b/>
          <w:sz w:val="24"/>
          <w:szCs w:val="24"/>
        </w:rPr>
        <w:t>.</w:t>
      </w:r>
    </w:p>
    <w:p w:rsidR="00205BE1" w:rsidRDefault="00205BE1" w:rsidP="00AD7ECF">
      <w:pPr>
        <w:wordWrap/>
        <w:spacing w:line="360" w:lineRule="auto"/>
        <w:ind w:firstLineChars="550" w:firstLine="1320"/>
        <w:rPr>
          <w:rFonts w:ascii="Book Antiqua" w:hAnsi="Book Antiqua" w:cs="Arial"/>
          <w:sz w:val="24"/>
          <w:szCs w:val="24"/>
        </w:rPr>
      </w:pPr>
    </w:p>
    <w:p w:rsidR="00205BE1" w:rsidRDefault="00205BE1" w:rsidP="00AD7ECF">
      <w:pPr>
        <w:wordWrap/>
        <w:spacing w:line="360" w:lineRule="auto"/>
        <w:ind w:firstLineChars="550" w:firstLine="1320"/>
        <w:rPr>
          <w:rFonts w:ascii="Book Antiqua" w:hAnsi="Book Antiqua" w:cs="Arial"/>
          <w:sz w:val="24"/>
          <w:szCs w:val="24"/>
        </w:rPr>
      </w:pPr>
    </w:p>
    <w:p w:rsidR="00205BE1" w:rsidRDefault="00205BE1" w:rsidP="00AD7ECF">
      <w:pPr>
        <w:wordWrap/>
        <w:spacing w:line="360" w:lineRule="auto"/>
        <w:ind w:firstLineChars="550" w:firstLine="1320"/>
        <w:rPr>
          <w:rFonts w:ascii="Book Antiqua" w:hAnsi="Book Antiqua" w:cs="Arial"/>
          <w:sz w:val="24"/>
          <w:szCs w:val="24"/>
        </w:rPr>
      </w:pPr>
    </w:p>
    <w:p w:rsidR="00205BE1" w:rsidRDefault="00205BE1" w:rsidP="00AD7ECF">
      <w:pPr>
        <w:wordWrap/>
        <w:spacing w:line="360" w:lineRule="auto"/>
        <w:ind w:firstLineChars="550" w:firstLine="1320"/>
        <w:rPr>
          <w:rFonts w:ascii="Book Antiqua" w:hAnsi="Book Antiqua" w:cs="Arial"/>
          <w:sz w:val="24"/>
          <w:szCs w:val="24"/>
        </w:rPr>
      </w:pPr>
    </w:p>
    <w:p w:rsidR="00205BE1" w:rsidRDefault="00205BE1" w:rsidP="00AD7ECF">
      <w:pPr>
        <w:wordWrap/>
        <w:spacing w:line="360" w:lineRule="auto"/>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6D2E1848" wp14:editId="1C6677B9">
            <wp:extent cx="4446270" cy="3649997"/>
            <wp:effectExtent l="19050" t="0" r="0" b="0"/>
            <wp:docPr id="8"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449605" cy="3652734"/>
                    </a:xfrm>
                    <a:prstGeom prst="rect">
                      <a:avLst/>
                    </a:prstGeom>
                    <a:noFill/>
                    <a:ln w="9525">
                      <a:noFill/>
                      <a:miter lim="800000"/>
                      <a:headEnd/>
                      <a:tailEnd/>
                    </a:ln>
                  </pic:spPr>
                </pic:pic>
              </a:graphicData>
            </a:graphic>
          </wp:inline>
        </w:drawing>
      </w:r>
    </w:p>
    <w:p w:rsidR="00BF7540" w:rsidRDefault="00205BE1" w:rsidP="00AD7ECF">
      <w:pPr>
        <w:wordWrap/>
        <w:spacing w:line="360" w:lineRule="auto"/>
        <w:rPr>
          <w:rFonts w:ascii="Book Antiqua" w:hAnsi="Book Antiqua" w:cs="Arial"/>
          <w:b/>
          <w:sz w:val="24"/>
          <w:szCs w:val="24"/>
        </w:rPr>
      </w:pPr>
      <w:r w:rsidRPr="00AD7ECF">
        <w:rPr>
          <w:rFonts w:ascii="Book Antiqua" w:hAnsi="Book Antiqua" w:cs="Arial"/>
          <w:b/>
          <w:sz w:val="24"/>
          <w:szCs w:val="24"/>
        </w:rPr>
        <w:t>Figure 3 Mean integrated relaxation pressure 22.9 mmHg over test swallows with absent peristalsis was shown in high-resolution manometry</w:t>
      </w:r>
      <w:r w:rsidRPr="00AD7ECF">
        <w:rPr>
          <w:rFonts w:ascii="Book Antiqua" w:hAnsi="Book Antiqua" w:cs="Arial" w:hint="eastAsia"/>
          <w:b/>
          <w:sz w:val="24"/>
          <w:szCs w:val="24"/>
        </w:rPr>
        <w:t>.</w:t>
      </w:r>
    </w:p>
    <w:p w:rsidR="00BF7540" w:rsidRDefault="00BF7540">
      <w:pPr>
        <w:widowControl/>
        <w:wordWrap/>
        <w:autoSpaceDE/>
        <w:autoSpaceDN/>
        <w:jc w:val="left"/>
        <w:rPr>
          <w:rFonts w:ascii="Book Antiqua" w:hAnsi="Book Antiqua" w:cs="Arial"/>
          <w:b/>
          <w:sz w:val="24"/>
          <w:szCs w:val="24"/>
        </w:rPr>
      </w:pPr>
      <w:r>
        <w:rPr>
          <w:rFonts w:ascii="Book Antiqua" w:hAnsi="Book Antiqua" w:cs="Arial"/>
          <w:b/>
          <w:sz w:val="24"/>
          <w:szCs w:val="24"/>
        </w:rPr>
        <w:br w:type="page"/>
      </w:r>
    </w:p>
    <w:p w:rsidR="00205BE1" w:rsidRPr="00BF7540" w:rsidRDefault="00205BE1" w:rsidP="00AD7ECF">
      <w:pPr>
        <w:wordWrap/>
        <w:spacing w:line="360" w:lineRule="auto"/>
        <w:rPr>
          <w:rFonts w:ascii="Book Antiqua" w:hAnsi="Book Antiqua" w:cs="Arial"/>
          <w:b/>
          <w:sz w:val="24"/>
          <w:szCs w:val="24"/>
        </w:rPr>
      </w:pPr>
    </w:p>
    <w:p w:rsidR="00205BE1" w:rsidRDefault="00205BE1" w:rsidP="00AD7ECF">
      <w:pPr>
        <w:wordWrap/>
        <w:spacing w:line="360" w:lineRule="auto"/>
        <w:rPr>
          <w:rFonts w:ascii="Book Antiqua" w:hAnsi="Book Antiqua" w:cs="Arial"/>
          <w:sz w:val="24"/>
          <w:szCs w:val="24"/>
        </w:rPr>
      </w:pPr>
    </w:p>
    <w:p w:rsidR="00205BE1" w:rsidRDefault="00205BE1" w:rsidP="00AD7ECF">
      <w:pPr>
        <w:wordWrap/>
        <w:spacing w:line="360" w:lineRule="auto"/>
        <w:rPr>
          <w:rFonts w:ascii="Book Antiqua" w:hAnsi="Book Antiqua" w:cs="Arial"/>
          <w:sz w:val="24"/>
          <w:szCs w:val="24"/>
        </w:rPr>
      </w:pPr>
      <w:r>
        <w:rPr>
          <w:rFonts w:ascii="Book Antiqua" w:hAnsi="Book Antiqua" w:cs="Arial"/>
          <w:noProof/>
          <w:sz w:val="24"/>
          <w:szCs w:val="24"/>
          <w:lang w:eastAsia="zh-CN"/>
        </w:rPr>
        <w:drawing>
          <wp:inline distT="0" distB="0" distL="0" distR="0" wp14:anchorId="220BA789" wp14:editId="3426F681">
            <wp:extent cx="3842268" cy="3009900"/>
            <wp:effectExtent l="0" t="0" r="0" b="0"/>
            <wp:docPr id="10"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44964" cy="3012012"/>
                    </a:xfrm>
                    <a:prstGeom prst="rect">
                      <a:avLst/>
                    </a:prstGeom>
                    <a:noFill/>
                    <a:ln>
                      <a:noFill/>
                    </a:ln>
                  </pic:spPr>
                </pic:pic>
              </a:graphicData>
            </a:graphic>
          </wp:inline>
        </w:drawing>
      </w:r>
    </w:p>
    <w:p w:rsidR="00205BE1" w:rsidRPr="00AD7ECF" w:rsidRDefault="00205BE1" w:rsidP="00AD7ECF">
      <w:pPr>
        <w:wordWrap/>
        <w:spacing w:line="360" w:lineRule="auto"/>
        <w:rPr>
          <w:rFonts w:ascii="Book Antiqua" w:hAnsi="Book Antiqua" w:cs="Arial"/>
          <w:b/>
          <w:sz w:val="24"/>
          <w:szCs w:val="24"/>
        </w:rPr>
      </w:pPr>
      <w:r w:rsidRPr="00AD7ECF">
        <w:rPr>
          <w:rFonts w:ascii="Book Antiqua" w:hAnsi="Book Antiqua" w:cs="Arial"/>
          <w:b/>
          <w:sz w:val="24"/>
          <w:szCs w:val="24"/>
        </w:rPr>
        <w:t xml:space="preserve">Figure 4 </w:t>
      </w:r>
      <w:r w:rsidRPr="00AD7ECF">
        <w:rPr>
          <w:rFonts w:ascii="Book Antiqua" w:hAnsi="Book Antiqua" w:cs="Arial" w:hint="eastAsia"/>
          <w:b/>
          <w:sz w:val="24"/>
          <w:szCs w:val="24"/>
        </w:rPr>
        <w:t>P</w:t>
      </w:r>
      <w:r w:rsidRPr="00AD7ECF">
        <w:rPr>
          <w:rFonts w:ascii="Book Antiqua" w:hAnsi="Book Antiqua" w:cs="Arial"/>
          <w:b/>
          <w:sz w:val="24"/>
          <w:szCs w:val="24"/>
        </w:rPr>
        <w:t>eroral endoscopic myotomy was performed to treat Guillain-Barre syndrome-associated type I achalasia.</w:t>
      </w:r>
    </w:p>
    <w:p w:rsidR="00205BE1" w:rsidRDefault="00205BE1" w:rsidP="00AD7ECF">
      <w:pPr>
        <w:wordWrap/>
        <w:spacing w:line="360" w:lineRule="auto"/>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55CB947E" wp14:editId="7E0C999C">
            <wp:extent cx="4949825" cy="4999037"/>
            <wp:effectExtent l="19050" t="0" r="3175" b="0"/>
            <wp:docPr id="11" name="그림 4"/>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cstate="print"/>
                    <a:srcRect/>
                    <a:stretch>
                      <a:fillRect/>
                    </a:stretch>
                  </pic:blipFill>
                  <pic:spPr bwMode="auto">
                    <a:xfrm>
                      <a:off x="0" y="0"/>
                      <a:ext cx="4949825" cy="4999037"/>
                    </a:xfrm>
                    <a:prstGeom prst="rect">
                      <a:avLst/>
                    </a:prstGeom>
                    <a:noFill/>
                    <a:ln w="9525">
                      <a:noFill/>
                      <a:miter lim="800000"/>
                      <a:headEnd/>
                      <a:tailEnd/>
                    </a:ln>
                  </pic:spPr>
                </pic:pic>
              </a:graphicData>
            </a:graphic>
          </wp:inline>
        </w:drawing>
      </w:r>
    </w:p>
    <w:p w:rsidR="00205BE1" w:rsidRPr="00AD7ECF" w:rsidRDefault="00205BE1" w:rsidP="00AD7ECF">
      <w:pPr>
        <w:wordWrap/>
        <w:spacing w:line="360" w:lineRule="auto"/>
        <w:rPr>
          <w:rFonts w:ascii="Book Antiqua" w:hAnsi="Book Antiqua" w:cs="Arial"/>
          <w:b/>
          <w:sz w:val="24"/>
          <w:szCs w:val="24"/>
        </w:rPr>
      </w:pPr>
      <w:r w:rsidRPr="00AD7ECF">
        <w:rPr>
          <w:rFonts w:ascii="Book Antiqua" w:hAnsi="Book Antiqua" w:cs="Arial"/>
          <w:b/>
          <w:sz w:val="24"/>
          <w:szCs w:val="24"/>
        </w:rPr>
        <w:t xml:space="preserve">Figure 5 After </w:t>
      </w:r>
      <w:r w:rsidRPr="00AD7ECF">
        <w:rPr>
          <w:rFonts w:ascii="Book Antiqua" w:hAnsi="Book Antiqua" w:cs="Arial" w:hint="eastAsia"/>
          <w:b/>
          <w:sz w:val="24"/>
          <w:szCs w:val="24"/>
        </w:rPr>
        <w:t>p</w:t>
      </w:r>
      <w:r w:rsidRPr="00AD7ECF">
        <w:rPr>
          <w:rFonts w:ascii="Book Antiqua" w:hAnsi="Book Antiqua" w:cs="Arial"/>
          <w:b/>
          <w:sz w:val="24"/>
          <w:szCs w:val="24"/>
        </w:rPr>
        <w:t>eroral endoscopic myotomy, smooth passage of a contrast agent into the stomach was shown in follow-up esophagography</w:t>
      </w:r>
      <w:r w:rsidRPr="00AD7ECF">
        <w:rPr>
          <w:rFonts w:ascii="Book Antiqua" w:hAnsi="Book Antiqua" w:cs="Arial" w:hint="eastAsia"/>
          <w:b/>
          <w:sz w:val="24"/>
          <w:szCs w:val="24"/>
        </w:rPr>
        <w:t>.</w:t>
      </w:r>
    </w:p>
    <w:p w:rsidR="00205BE1" w:rsidRDefault="00205BE1" w:rsidP="00AD7ECF">
      <w:pPr>
        <w:wordWrap/>
        <w:spacing w:line="360" w:lineRule="auto"/>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446DEED5" wp14:editId="48703047">
            <wp:extent cx="5688632" cy="4664678"/>
            <wp:effectExtent l="19050" t="0" r="7318" b="0"/>
            <wp:docPr id="12" name="그림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cstate="print"/>
                    <a:srcRect/>
                    <a:stretch>
                      <a:fillRect/>
                    </a:stretch>
                  </pic:blipFill>
                  <pic:spPr bwMode="auto">
                    <a:xfrm>
                      <a:off x="0" y="0"/>
                      <a:ext cx="5688632" cy="4664678"/>
                    </a:xfrm>
                    <a:prstGeom prst="rect">
                      <a:avLst/>
                    </a:prstGeom>
                    <a:noFill/>
                    <a:ln w="9525">
                      <a:noFill/>
                      <a:miter lim="800000"/>
                      <a:headEnd/>
                      <a:tailEnd/>
                    </a:ln>
                  </pic:spPr>
                </pic:pic>
              </a:graphicData>
            </a:graphic>
          </wp:inline>
        </w:drawing>
      </w:r>
    </w:p>
    <w:p w:rsidR="00205BE1" w:rsidRPr="00AD7ECF" w:rsidRDefault="00205BE1" w:rsidP="00AD7ECF">
      <w:pPr>
        <w:wordWrap/>
        <w:spacing w:line="360" w:lineRule="auto"/>
        <w:rPr>
          <w:rFonts w:ascii="Book Antiqua" w:hAnsi="Book Antiqua" w:cs="Arial"/>
          <w:b/>
          <w:sz w:val="24"/>
          <w:szCs w:val="24"/>
        </w:rPr>
      </w:pPr>
      <w:r w:rsidRPr="00AD7ECF">
        <w:rPr>
          <w:rFonts w:ascii="Book Antiqua" w:hAnsi="Book Antiqua" w:cs="Arial"/>
          <w:b/>
          <w:sz w:val="24"/>
          <w:szCs w:val="24"/>
        </w:rPr>
        <w:t>Figure 6 Mean integrated relaxation pressure decreased to 9.6 mmHg in follow-up high-resolution manometry</w:t>
      </w:r>
      <w:r w:rsidRPr="00AD7ECF">
        <w:rPr>
          <w:rFonts w:ascii="Book Antiqua" w:hAnsi="Book Antiqua" w:cs="Arial" w:hint="eastAsia"/>
          <w:b/>
          <w:sz w:val="24"/>
          <w:szCs w:val="24"/>
        </w:rPr>
        <w:t>.</w:t>
      </w:r>
      <w:r w:rsidRPr="00AD7ECF">
        <w:rPr>
          <w:rFonts w:ascii="Book Antiqua" w:hAnsi="Book Antiqua" w:cs="Arial"/>
          <w:b/>
          <w:sz w:val="24"/>
          <w:szCs w:val="24"/>
        </w:rPr>
        <w:t xml:space="preserve"> </w:t>
      </w:r>
    </w:p>
    <w:p w:rsidR="00205BE1" w:rsidRDefault="00205BE1" w:rsidP="00AD7ECF">
      <w:pPr>
        <w:wordWrap/>
        <w:spacing w:line="360" w:lineRule="auto"/>
        <w:rPr>
          <w:rFonts w:ascii="Book Antiqua" w:hAnsi="Book Antiqua" w:cs="Arial"/>
          <w:sz w:val="24"/>
          <w:szCs w:val="24"/>
        </w:rPr>
      </w:pPr>
    </w:p>
    <w:p w:rsidR="00205BE1" w:rsidRDefault="003850FA" w:rsidP="00AD7ECF">
      <w:pPr>
        <w:wordWrap/>
        <w:rPr>
          <w:rFonts w:ascii="Book Antiqua" w:hAnsi="Book Antiqua" w:cs="Arial"/>
          <w:sz w:val="24"/>
          <w:szCs w:val="24"/>
        </w:rPr>
      </w:pPr>
      <w:r w:rsidRPr="00934CE4">
        <w:rPr>
          <w:rFonts w:ascii="Book Antiqua" w:eastAsia="Malgun Gothic" w:hAnsi="Book Antiqua" w:cs="Arial"/>
          <w:noProof/>
          <w:sz w:val="24"/>
          <w:szCs w:val="24"/>
        </w:rPr>
        <w:fldChar w:fldCharType="begin"/>
      </w:r>
      <w:r w:rsidR="00205BE1">
        <w:rPr>
          <w:rFonts w:ascii="Book Antiqua" w:hAnsi="Book Antiqua" w:cs="Arial"/>
          <w:sz w:val="24"/>
          <w:szCs w:val="24"/>
        </w:rPr>
        <w:instrText xml:space="preserve"> ADDIN EN.REFLIST </w:instrText>
      </w:r>
      <w:r w:rsidRPr="00934CE4">
        <w:rPr>
          <w:rFonts w:ascii="Book Antiqua" w:eastAsia="Malgun Gothic" w:hAnsi="Book Antiqua" w:cs="Arial"/>
          <w:noProof/>
          <w:sz w:val="24"/>
          <w:szCs w:val="24"/>
        </w:rPr>
        <w:fldChar w:fldCharType="end"/>
      </w:r>
    </w:p>
    <w:p w:rsidR="00F25185" w:rsidRPr="00205BE1" w:rsidRDefault="00A71BF6" w:rsidP="00AD7ECF">
      <w:pPr>
        <w:wordWrap/>
      </w:pPr>
    </w:p>
    <w:p w:rsidR="00B45A67" w:rsidRDefault="00B45A67" w:rsidP="00AD7ECF">
      <w:pPr>
        <w:wordWrap/>
      </w:pPr>
    </w:p>
    <w:sectPr w:rsidR="00B45A67" w:rsidSect="00661583">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1BF6" w:rsidRDefault="00A71BF6" w:rsidP="00A37786">
      <w:r>
        <w:separator/>
      </w:r>
    </w:p>
  </w:endnote>
  <w:endnote w:type="continuationSeparator" w:id="0">
    <w:p w:rsidR="00A71BF6" w:rsidRDefault="00A71BF6" w:rsidP="00A377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Malgun Gothic">
    <w:panose1 w:val="020B0503020000020004"/>
    <w:charset w:val="81"/>
    <w:family w:val="swiss"/>
    <w:pitch w:val="variable"/>
    <w:sig w:usb0="900002AF" w:usb1="09D77CFB" w:usb2="00000012" w:usb3="00000000" w:csb0="00080001"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1BF6" w:rsidRDefault="00A71BF6" w:rsidP="00A37786">
      <w:r>
        <w:separator/>
      </w:r>
    </w:p>
  </w:footnote>
  <w:footnote w:type="continuationSeparator" w:id="0">
    <w:p w:rsidR="00A71BF6" w:rsidRDefault="00A71BF6" w:rsidP="00A3778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BE1"/>
    <w:rsid w:val="00021263"/>
    <w:rsid w:val="0007107D"/>
    <w:rsid w:val="000C690D"/>
    <w:rsid w:val="000E7172"/>
    <w:rsid w:val="000F1150"/>
    <w:rsid w:val="00106043"/>
    <w:rsid w:val="00114F54"/>
    <w:rsid w:val="00142265"/>
    <w:rsid w:val="00171123"/>
    <w:rsid w:val="001774D4"/>
    <w:rsid w:val="001D0CE0"/>
    <w:rsid w:val="00205BE1"/>
    <w:rsid w:val="002E59A5"/>
    <w:rsid w:val="003377B2"/>
    <w:rsid w:val="003850FA"/>
    <w:rsid w:val="003A4C96"/>
    <w:rsid w:val="003C4F3C"/>
    <w:rsid w:val="003E12C2"/>
    <w:rsid w:val="00440DB3"/>
    <w:rsid w:val="00462710"/>
    <w:rsid w:val="004D5636"/>
    <w:rsid w:val="005F5FE9"/>
    <w:rsid w:val="00602F9F"/>
    <w:rsid w:val="006330BC"/>
    <w:rsid w:val="00655D5D"/>
    <w:rsid w:val="006645DC"/>
    <w:rsid w:val="00672911"/>
    <w:rsid w:val="007058D6"/>
    <w:rsid w:val="007154E7"/>
    <w:rsid w:val="007D1BEB"/>
    <w:rsid w:val="00814361"/>
    <w:rsid w:val="00821498"/>
    <w:rsid w:val="00843A62"/>
    <w:rsid w:val="008504DD"/>
    <w:rsid w:val="008B1CDE"/>
    <w:rsid w:val="008B44A8"/>
    <w:rsid w:val="00A035D9"/>
    <w:rsid w:val="00A37786"/>
    <w:rsid w:val="00A474C1"/>
    <w:rsid w:val="00A666AA"/>
    <w:rsid w:val="00A71BF6"/>
    <w:rsid w:val="00AD7ECF"/>
    <w:rsid w:val="00B45A67"/>
    <w:rsid w:val="00BA5FB0"/>
    <w:rsid w:val="00BF7540"/>
    <w:rsid w:val="00C83150"/>
    <w:rsid w:val="00CC0B1F"/>
    <w:rsid w:val="00D10422"/>
    <w:rsid w:val="00D11F39"/>
    <w:rsid w:val="00D74A22"/>
    <w:rsid w:val="00D761E7"/>
    <w:rsid w:val="00DE2395"/>
    <w:rsid w:val="00F85731"/>
    <w:rsid w:val="00FD6AB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AE5CB9-F281-40D1-B97A-4F453A76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5BE1"/>
    <w:pPr>
      <w:widowControl w:val="0"/>
      <w:wordWrap w:val="0"/>
      <w:autoSpaceDE w:val="0"/>
      <w:autoSpaceDN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205BE1"/>
    <w:rPr>
      <w:b/>
      <w:bCs/>
      <w:i w:val="0"/>
      <w:iCs w:val="0"/>
    </w:rPr>
  </w:style>
  <w:style w:type="character" w:customStyle="1" w:styleId="st1">
    <w:name w:val="st1"/>
    <w:basedOn w:val="DefaultParagraphFont"/>
    <w:rsid w:val="00205BE1"/>
  </w:style>
  <w:style w:type="character" w:customStyle="1" w:styleId="element-citation">
    <w:name w:val="element-citation"/>
    <w:basedOn w:val="DefaultParagraphFont"/>
    <w:rsid w:val="00205BE1"/>
  </w:style>
  <w:style w:type="character" w:styleId="CommentReference">
    <w:name w:val="annotation reference"/>
    <w:basedOn w:val="DefaultParagraphFont"/>
    <w:unhideWhenUsed/>
    <w:rsid w:val="00205BE1"/>
    <w:rPr>
      <w:sz w:val="16"/>
      <w:szCs w:val="16"/>
    </w:rPr>
  </w:style>
  <w:style w:type="paragraph" w:styleId="CommentText">
    <w:name w:val="annotation text"/>
    <w:basedOn w:val="Normal"/>
    <w:link w:val="CommentTextChar"/>
    <w:unhideWhenUsed/>
    <w:rsid w:val="00205BE1"/>
    <w:rPr>
      <w:szCs w:val="20"/>
    </w:rPr>
  </w:style>
  <w:style w:type="character" w:customStyle="1" w:styleId="CommentTextChar">
    <w:name w:val="Comment Text Char"/>
    <w:basedOn w:val="DefaultParagraphFont"/>
    <w:link w:val="CommentText"/>
    <w:rsid w:val="00205BE1"/>
    <w:rPr>
      <w:szCs w:val="20"/>
    </w:rPr>
  </w:style>
  <w:style w:type="paragraph" w:styleId="BalloonText">
    <w:name w:val="Balloon Text"/>
    <w:basedOn w:val="Normal"/>
    <w:link w:val="BalloonTextChar"/>
    <w:uiPriority w:val="99"/>
    <w:semiHidden/>
    <w:unhideWhenUsed/>
    <w:rsid w:val="00205BE1"/>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205BE1"/>
    <w:rPr>
      <w:rFonts w:asciiTheme="majorHAnsi" w:eastAsiaTheme="majorEastAsia" w:hAnsiTheme="majorHAnsi" w:cstheme="majorBidi"/>
      <w:sz w:val="18"/>
      <w:szCs w:val="18"/>
    </w:rPr>
  </w:style>
  <w:style w:type="paragraph" w:styleId="Header">
    <w:name w:val="header"/>
    <w:basedOn w:val="Normal"/>
    <w:link w:val="HeaderChar"/>
    <w:uiPriority w:val="99"/>
    <w:unhideWhenUsed/>
    <w:rsid w:val="00A37786"/>
    <w:pPr>
      <w:tabs>
        <w:tab w:val="center" w:pos="4513"/>
        <w:tab w:val="right" w:pos="9026"/>
      </w:tabs>
      <w:snapToGrid w:val="0"/>
    </w:pPr>
  </w:style>
  <w:style w:type="character" w:customStyle="1" w:styleId="HeaderChar">
    <w:name w:val="Header Char"/>
    <w:basedOn w:val="DefaultParagraphFont"/>
    <w:link w:val="Header"/>
    <w:uiPriority w:val="99"/>
    <w:rsid w:val="00A37786"/>
  </w:style>
  <w:style w:type="paragraph" w:styleId="Footer">
    <w:name w:val="footer"/>
    <w:basedOn w:val="Normal"/>
    <w:link w:val="FooterChar"/>
    <w:uiPriority w:val="99"/>
    <w:unhideWhenUsed/>
    <w:rsid w:val="00A37786"/>
    <w:pPr>
      <w:tabs>
        <w:tab w:val="center" w:pos="4513"/>
        <w:tab w:val="right" w:pos="9026"/>
      </w:tabs>
      <w:snapToGrid w:val="0"/>
    </w:pPr>
  </w:style>
  <w:style w:type="character" w:customStyle="1" w:styleId="FooterChar">
    <w:name w:val="Footer Char"/>
    <w:basedOn w:val="DefaultParagraphFont"/>
    <w:link w:val="Footer"/>
    <w:uiPriority w:val="99"/>
    <w:rsid w:val="00A37786"/>
  </w:style>
  <w:style w:type="paragraph" w:styleId="NormalWeb">
    <w:name w:val="Normal (Web)"/>
    <w:basedOn w:val="Normal"/>
    <w:uiPriority w:val="99"/>
    <w:unhideWhenUsed/>
    <w:rsid w:val="003C4F3C"/>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it-IT" w:eastAsia="it-IT"/>
    </w:rPr>
  </w:style>
  <w:style w:type="character" w:styleId="Strong">
    <w:name w:val="Strong"/>
    <w:uiPriority w:val="22"/>
    <w:qFormat/>
    <w:rsid w:val="003C4F3C"/>
    <w:rPr>
      <w:b/>
      <w:bCs/>
    </w:rPr>
  </w:style>
  <w:style w:type="paragraph" w:styleId="CommentSubject">
    <w:name w:val="annotation subject"/>
    <w:basedOn w:val="CommentText"/>
    <w:next w:val="CommentText"/>
    <w:link w:val="CommentSubjectChar"/>
    <w:uiPriority w:val="99"/>
    <w:semiHidden/>
    <w:unhideWhenUsed/>
    <w:rsid w:val="00114F54"/>
    <w:pPr>
      <w:jc w:val="left"/>
    </w:pPr>
    <w:rPr>
      <w:b/>
      <w:bCs/>
      <w:szCs w:val="22"/>
    </w:rPr>
  </w:style>
  <w:style w:type="character" w:customStyle="1" w:styleId="CommentSubjectChar">
    <w:name w:val="Comment Subject Char"/>
    <w:basedOn w:val="CommentTextChar"/>
    <w:link w:val="CommentSubject"/>
    <w:uiPriority w:val="99"/>
    <w:semiHidden/>
    <w:rsid w:val="00114F54"/>
    <w:rPr>
      <w:b/>
      <w:bCs/>
      <w:szCs w:val="20"/>
    </w:rPr>
  </w:style>
  <w:style w:type="paragraph" w:styleId="ListParagraph">
    <w:name w:val="List Paragraph"/>
    <w:basedOn w:val="Normal"/>
    <w:uiPriority w:val="34"/>
    <w:qFormat/>
    <w:rsid w:val="00AD7ECF"/>
    <w:pPr>
      <w:widowControl/>
      <w:suppressAutoHyphens/>
      <w:wordWrap/>
      <w:autoSpaceDE/>
      <w:autoSpaceDN/>
      <w:ind w:firstLineChars="200" w:firstLine="420"/>
      <w:jc w:val="left"/>
    </w:pPr>
    <w:rPr>
      <w:rFonts w:ascii="Times New Roman" w:eastAsia="Lucida Sans Unicode" w:hAnsi="Times New Roman" w:cs="Mangal"/>
      <w:kern w:val="1"/>
      <w:sz w:val="24"/>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2810</Words>
  <Characters>16023</Characters>
  <Application>Microsoft Office Word</Application>
  <DocSecurity>0</DocSecurity>
  <Lines>133</Lines>
  <Paragraphs>37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18796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dc:creator>
  <cp:lastModifiedBy>LS Ma</cp:lastModifiedBy>
  <cp:revision>2</cp:revision>
  <dcterms:created xsi:type="dcterms:W3CDTF">2016-10-18T18:16:00Z</dcterms:created>
  <dcterms:modified xsi:type="dcterms:W3CDTF">2016-10-18T18:16:00Z</dcterms:modified>
</cp:coreProperties>
</file>